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2"/>
        <w:ind w:left="1556" w:right="2552" w:firstLine="0"/>
        <w:jc w:val="center"/>
        <w:rPr>
          <w:b/>
          <w:sz w:val="24"/>
        </w:rPr>
      </w:pPr>
      <w:r>
        <w:rPr>
          <w:b/>
          <w:sz w:val="24"/>
          <w:u w:val="single"/>
        </w:rPr>
        <w:t>Supporting</w:t>
      </w:r>
      <w:r>
        <w:rPr>
          <w:b/>
          <w:spacing w:val="4"/>
          <w:sz w:val="24"/>
          <w:u w:val="single"/>
        </w:rPr>
        <w:t xml:space="preserve"> </w:t>
      </w:r>
      <w:r>
        <w:rPr>
          <w:b/>
          <w:sz w:val="24"/>
          <w:u w:val="single"/>
        </w:rPr>
        <w:t>Statement</w:t>
      </w:r>
      <w:r>
        <w:rPr>
          <w:b/>
          <w:spacing w:val="3"/>
          <w:sz w:val="24"/>
          <w:u w:val="single"/>
        </w:rPr>
        <w:t xml:space="preserve"> </w:t>
      </w:r>
      <w:r>
        <w:rPr>
          <w:b/>
          <w:sz w:val="24"/>
          <w:u w:val="single"/>
        </w:rPr>
        <w:t>–</w:t>
      </w:r>
      <w:r>
        <w:rPr>
          <w:b/>
          <w:spacing w:val="3"/>
          <w:sz w:val="24"/>
          <w:u w:val="single"/>
        </w:rPr>
        <w:t xml:space="preserve"> </w:t>
      </w:r>
      <w:r>
        <w:rPr>
          <w:b/>
          <w:sz w:val="24"/>
          <w:u w:val="single"/>
        </w:rPr>
        <w:t>Part</w:t>
      </w:r>
      <w:r>
        <w:rPr>
          <w:b/>
          <w:spacing w:val="-14"/>
          <w:sz w:val="24"/>
          <w:u w:val="single"/>
        </w:rPr>
        <w:t xml:space="preserve"> </w:t>
      </w:r>
      <w:r>
        <w:rPr>
          <w:b/>
          <w:spacing w:val="-10"/>
          <w:sz w:val="24"/>
          <w:u w:val="single"/>
        </w:rPr>
        <w:t>A</w:t>
      </w:r>
    </w:p>
    <w:p>
      <w:pPr>
        <w:spacing w:before="3" w:line="242" w:lineRule="auto"/>
        <w:ind w:left="1555" w:right="2552" w:firstLine="0"/>
        <w:jc w:val="center"/>
        <w:rPr>
          <w:b/>
          <w:sz w:val="24"/>
        </w:rPr>
      </w:pPr>
      <w:r>
        <w:rPr>
          <w:b/>
          <w:sz w:val="24"/>
        </w:rPr>
        <w:t>Annual</w:t>
      </w:r>
      <w:r>
        <w:rPr>
          <w:b/>
          <w:spacing w:val="-10"/>
          <w:sz w:val="24"/>
        </w:rPr>
        <w:t xml:space="preserve"> </w:t>
      </w:r>
      <w:r>
        <w:rPr>
          <w:b/>
          <w:sz w:val="24"/>
        </w:rPr>
        <w:t>Eligibility</w:t>
      </w:r>
      <w:r>
        <w:rPr>
          <w:b/>
          <w:spacing w:val="-7"/>
          <w:sz w:val="24"/>
        </w:rPr>
        <w:t xml:space="preserve"> </w:t>
      </w:r>
      <w:r>
        <w:rPr>
          <w:b/>
          <w:sz w:val="24"/>
        </w:rPr>
        <w:t>Redetermination,</w:t>
      </w:r>
      <w:r>
        <w:rPr>
          <w:b/>
          <w:spacing w:val="-3"/>
          <w:sz w:val="24"/>
        </w:rPr>
        <w:t xml:space="preserve"> </w:t>
      </w:r>
      <w:r>
        <w:rPr>
          <w:b/>
          <w:sz w:val="24"/>
        </w:rPr>
        <w:t>Product</w:t>
      </w:r>
      <w:r>
        <w:rPr>
          <w:b/>
          <w:spacing w:val="-15"/>
          <w:sz w:val="24"/>
        </w:rPr>
        <w:t xml:space="preserve"> </w:t>
      </w:r>
      <w:r>
        <w:rPr>
          <w:b/>
          <w:sz w:val="24"/>
        </w:rPr>
        <w:t>Discontinuation and Renewal Notices - CMS-10527</w:t>
      </w:r>
    </w:p>
    <w:p>
      <w:pPr>
        <w:spacing w:before="1"/>
        <w:ind w:left="1556" w:right="2552" w:firstLine="0"/>
        <w:jc w:val="center"/>
        <w:rPr>
          <w:b/>
          <w:sz w:val="24"/>
        </w:rPr>
      </w:pPr>
      <w:r>
        <w:rPr>
          <w:b/>
          <w:sz w:val="24"/>
        </w:rPr>
        <w:t>(OMB control number:</w:t>
      </w:r>
      <w:r>
        <w:rPr>
          <w:b/>
          <w:spacing w:val="-1"/>
          <w:sz w:val="24"/>
        </w:rPr>
        <w:t xml:space="preserve"> </w:t>
      </w:r>
      <w:r>
        <w:rPr>
          <w:b/>
          <w:sz w:val="24"/>
        </w:rPr>
        <w:t>0938-</w:t>
      </w:r>
      <w:r>
        <w:rPr>
          <w:b/>
          <w:spacing w:val="-2"/>
          <w:sz w:val="24"/>
        </w:rPr>
        <w:t>1254)</w:t>
      </w:r>
    </w:p>
    <w:p>
      <w:pPr>
        <w:pStyle w:val="BodyText"/>
        <w:spacing w:before="23"/>
        <w:rPr>
          <w:b/>
        </w:rPr>
      </w:pPr>
    </w:p>
    <w:p>
      <w:pPr>
        <w:pStyle w:val="ListParagraph"/>
        <w:numPr>
          <w:ilvl w:val="0"/>
          <w:numId w:val="2"/>
        </w:numPr>
        <w:tabs>
          <w:tab w:val="left" w:pos="1210"/>
        </w:tabs>
        <w:spacing w:before="0" w:after="0" w:line="240" w:lineRule="auto"/>
        <w:ind w:left="1210" w:right="0" w:hanging="430"/>
        <w:jc w:val="left"/>
        <w:rPr>
          <w:b/>
          <w:sz w:val="24"/>
        </w:rPr>
      </w:pPr>
      <w:r>
        <w:rPr>
          <w:b/>
          <w:spacing w:val="-2"/>
          <w:sz w:val="24"/>
          <w:u w:val="single"/>
        </w:rPr>
        <w:t>Background</w:t>
      </w:r>
    </w:p>
    <w:p>
      <w:pPr>
        <w:pStyle w:val="BodyText"/>
        <w:spacing w:before="275" w:line="242" w:lineRule="auto"/>
        <w:ind w:left="1211" w:right="857"/>
      </w:pPr>
      <w:r>
        <w:t>The Patient Protection and Affordable Care Act, Pub. L. 111-148, was enacted on March 23, 2010, and the Health Care and Education Reconciliation Act of 2010, Pub. L. 111- 152,</w:t>
      </w:r>
      <w:r>
        <w:rPr>
          <w:spacing w:val="-4"/>
        </w:rPr>
        <w:t xml:space="preserve"> </w:t>
      </w:r>
      <w:r>
        <w:t>was enacted on March 30, 2010 (collectively known as the “Affordable Care Act”). The Affordable Care Act reorganizes, amends, and adds to the provisions of Part A of title</w:t>
      </w:r>
      <w:r>
        <w:rPr>
          <w:spacing w:val="-15"/>
        </w:rPr>
        <w:t xml:space="preserve"> </w:t>
      </w:r>
      <w:r>
        <w:t>XXVII</w:t>
      </w:r>
      <w:r>
        <w:rPr>
          <w:spacing w:val="-5"/>
        </w:rPr>
        <w:t xml:space="preserve"> </w:t>
      </w:r>
      <w:r>
        <w:t>of</w:t>
      </w:r>
      <w:r>
        <w:rPr>
          <w:spacing w:val="-5"/>
        </w:rPr>
        <w:t xml:space="preserve"> </w:t>
      </w:r>
      <w:r>
        <w:t>the</w:t>
      </w:r>
      <w:r>
        <w:rPr>
          <w:spacing w:val="-4"/>
        </w:rPr>
        <w:t xml:space="preserve"> </w:t>
      </w:r>
      <w:r>
        <w:t>Public</w:t>
      </w:r>
      <w:r>
        <w:rPr>
          <w:spacing w:val="-4"/>
        </w:rPr>
        <w:t xml:space="preserve"> </w:t>
      </w:r>
      <w:r>
        <w:t>Health</w:t>
      </w:r>
      <w:r>
        <w:rPr>
          <w:spacing w:val="-3"/>
        </w:rPr>
        <w:t xml:space="preserve"> </w:t>
      </w:r>
      <w:r>
        <w:t>Service</w:t>
      </w:r>
      <w:r>
        <w:rPr>
          <w:spacing w:val="-5"/>
        </w:rPr>
        <w:t xml:space="preserve"> </w:t>
      </w:r>
      <w:r>
        <w:t>Act</w:t>
      </w:r>
      <w:r>
        <w:rPr>
          <w:spacing w:val="-6"/>
        </w:rPr>
        <w:t xml:space="preserve"> </w:t>
      </w:r>
      <w:r>
        <w:t>(PHS</w:t>
      </w:r>
      <w:r>
        <w:rPr>
          <w:spacing w:val="-2"/>
        </w:rPr>
        <w:t xml:space="preserve"> </w:t>
      </w:r>
      <w:r>
        <w:t>Act)</w:t>
      </w:r>
      <w:r>
        <w:rPr>
          <w:spacing w:val="-5"/>
        </w:rPr>
        <w:t xml:space="preserve"> </w:t>
      </w:r>
      <w:r>
        <w:t>relating</w:t>
      </w:r>
      <w:r>
        <w:rPr>
          <w:spacing w:val="-3"/>
        </w:rPr>
        <w:t xml:space="preserve"> </w:t>
      </w:r>
      <w:r>
        <w:t>to</w:t>
      </w:r>
      <w:r>
        <w:rPr>
          <w:spacing w:val="-3"/>
        </w:rPr>
        <w:t xml:space="preserve"> </w:t>
      </w:r>
      <w:r>
        <w:t>group</w:t>
      </w:r>
      <w:r>
        <w:rPr>
          <w:spacing w:val="-3"/>
        </w:rPr>
        <w:t xml:space="preserve"> </w:t>
      </w:r>
      <w:r>
        <w:t>health</w:t>
      </w:r>
      <w:r>
        <w:rPr>
          <w:spacing w:val="-3"/>
        </w:rPr>
        <w:t xml:space="preserve"> </w:t>
      </w:r>
      <w:r>
        <w:t>plans</w:t>
      </w:r>
      <w:r>
        <w:rPr>
          <w:spacing w:val="-5"/>
        </w:rPr>
        <w:t xml:space="preserve"> </w:t>
      </w:r>
      <w:r>
        <w:t>and health insurance issuers in the group and individual markets.</w:t>
      </w:r>
    </w:p>
    <w:p>
      <w:pPr>
        <w:pStyle w:val="BodyText"/>
      </w:pPr>
    </w:p>
    <w:p>
      <w:pPr>
        <w:pStyle w:val="BodyText"/>
        <w:spacing w:before="1" w:line="242" w:lineRule="auto"/>
        <w:ind w:left="1211" w:right="857"/>
      </w:pPr>
      <w:r>
        <w:t>Section 1411(f)(1)(B) of the Affordable Care Act directs the Secretary of Health and Human</w:t>
      </w:r>
      <w:r>
        <w:rPr>
          <w:spacing w:val="-5"/>
        </w:rPr>
        <w:t xml:space="preserve"> </w:t>
      </w:r>
      <w:r>
        <w:t>Services</w:t>
      </w:r>
      <w:r>
        <w:rPr>
          <w:spacing w:val="-6"/>
        </w:rPr>
        <w:t xml:space="preserve"> </w:t>
      </w:r>
      <w:r>
        <w:t>(the</w:t>
      </w:r>
      <w:r>
        <w:rPr>
          <w:spacing w:val="-3"/>
        </w:rPr>
        <w:t xml:space="preserve"> </w:t>
      </w:r>
      <w:r>
        <w:t>Secretary)</w:t>
      </w:r>
      <w:r>
        <w:rPr>
          <w:spacing w:val="-6"/>
        </w:rPr>
        <w:t xml:space="preserve"> </w:t>
      </w:r>
      <w:r>
        <w:t>to</w:t>
      </w:r>
      <w:r>
        <w:rPr>
          <w:spacing w:val="-4"/>
        </w:rPr>
        <w:t xml:space="preserve"> </w:t>
      </w:r>
      <w:r>
        <w:t>establish</w:t>
      </w:r>
      <w:r>
        <w:rPr>
          <w:spacing w:val="-4"/>
        </w:rPr>
        <w:t xml:space="preserve"> </w:t>
      </w:r>
      <w:r>
        <w:t>procedures</w:t>
      </w:r>
      <w:r>
        <w:rPr>
          <w:spacing w:val="-6"/>
        </w:rPr>
        <w:t xml:space="preserve"> </w:t>
      </w:r>
      <w:r>
        <w:t>to</w:t>
      </w:r>
      <w:r>
        <w:rPr>
          <w:spacing w:val="-4"/>
        </w:rPr>
        <w:t xml:space="preserve"> </w:t>
      </w:r>
      <w:r>
        <w:t>redetermine</w:t>
      </w:r>
      <w:r>
        <w:rPr>
          <w:spacing w:val="-5"/>
        </w:rPr>
        <w:t xml:space="preserve"> </w:t>
      </w:r>
      <w:r>
        <w:t>the eligibility</w:t>
      </w:r>
      <w:r>
        <w:rPr>
          <w:spacing w:val="-4"/>
        </w:rPr>
        <w:t xml:space="preserve"> </w:t>
      </w:r>
      <w:r>
        <w:t>of individuals for</w:t>
      </w:r>
      <w:r>
        <w:rPr>
          <w:spacing w:val="-5"/>
        </w:rPr>
        <w:t xml:space="preserve"> </w:t>
      </w:r>
      <w:r>
        <w:t>premium</w:t>
      </w:r>
      <w:r>
        <w:rPr>
          <w:spacing w:val="-6"/>
        </w:rPr>
        <w:t xml:space="preserve"> </w:t>
      </w:r>
      <w:r>
        <w:t>tax</w:t>
      </w:r>
      <w:r>
        <w:rPr>
          <w:spacing w:val="-10"/>
        </w:rPr>
        <w:t xml:space="preserve"> </w:t>
      </w:r>
      <w:r>
        <w:t>credits</w:t>
      </w:r>
      <w:r>
        <w:rPr>
          <w:spacing w:val="-12"/>
        </w:rPr>
        <w:t xml:space="preserve"> </w:t>
      </w:r>
      <w:r>
        <w:t>on a periodic basis in appropriate circumstances.</w:t>
      </w:r>
    </w:p>
    <w:p>
      <w:pPr>
        <w:pStyle w:val="BodyText"/>
        <w:spacing w:line="242" w:lineRule="auto"/>
        <w:ind w:left="1211" w:right="857"/>
      </w:pPr>
      <w:r>
        <w:t>Section 1321(a) of the Affordable Care Act provides authority for the Secretary to establish standards and regulations to implement</w:t>
      </w:r>
      <w:r>
        <w:rPr>
          <w:spacing w:val="-4"/>
        </w:rPr>
        <w:t xml:space="preserve"> </w:t>
      </w:r>
      <w:r>
        <w:t>the statutory requirements related to Exchanges, qualified health plans (QHPs) and other components of title I of the Affordable Care Act. Under</w:t>
      </w:r>
      <w:r>
        <w:rPr>
          <w:spacing w:val="-1"/>
        </w:rPr>
        <w:t xml:space="preserve"> </w:t>
      </w:r>
      <w:r>
        <w:t>section 2703 of the PHS</w:t>
      </w:r>
      <w:r>
        <w:rPr>
          <w:spacing w:val="-5"/>
        </w:rPr>
        <w:t xml:space="preserve"> </w:t>
      </w:r>
      <w:r>
        <w:t>Act,</w:t>
      </w:r>
      <w:r>
        <w:rPr>
          <w:spacing w:val="-2"/>
        </w:rPr>
        <w:t xml:space="preserve"> </w:t>
      </w:r>
      <w:r>
        <w:t>as added by</w:t>
      </w:r>
      <w:r>
        <w:rPr>
          <w:spacing w:val="-5"/>
        </w:rPr>
        <w:t xml:space="preserve"> </w:t>
      </w:r>
      <w:r>
        <w:t>the</w:t>
      </w:r>
      <w:r>
        <w:rPr>
          <w:spacing w:val="-12"/>
        </w:rPr>
        <w:t xml:space="preserve"> </w:t>
      </w:r>
      <w:r>
        <w:t>Affordable Care</w:t>
      </w:r>
      <w:r>
        <w:rPr>
          <w:spacing w:val="-2"/>
        </w:rPr>
        <w:t xml:space="preserve"> </w:t>
      </w:r>
      <w:r>
        <w:t>Act, and</w:t>
      </w:r>
      <w:r>
        <w:rPr>
          <w:spacing w:val="-7"/>
        </w:rPr>
        <w:t xml:space="preserve"> </w:t>
      </w:r>
      <w:r>
        <w:t>sections</w:t>
      </w:r>
      <w:r>
        <w:rPr>
          <w:spacing w:val="-3"/>
        </w:rPr>
        <w:t xml:space="preserve"> </w:t>
      </w:r>
      <w:r>
        <w:t>2712</w:t>
      </w:r>
      <w:r>
        <w:rPr>
          <w:spacing w:val="-1"/>
        </w:rPr>
        <w:t xml:space="preserve"> </w:t>
      </w:r>
      <w:r>
        <w:t>(former)</w:t>
      </w:r>
      <w:r>
        <w:rPr>
          <w:spacing w:val="-3"/>
        </w:rPr>
        <w:t xml:space="preserve"> </w:t>
      </w:r>
      <w:r>
        <w:t>and</w:t>
      </w:r>
      <w:r>
        <w:rPr>
          <w:spacing w:val="-2"/>
        </w:rPr>
        <w:t xml:space="preserve"> </w:t>
      </w:r>
      <w:r>
        <w:t>2741</w:t>
      </w:r>
      <w:r>
        <w:rPr>
          <w:spacing w:val="-1"/>
        </w:rPr>
        <w:t xml:space="preserve"> </w:t>
      </w:r>
      <w:r>
        <w:t>of</w:t>
      </w:r>
      <w:r>
        <w:rPr>
          <w:spacing w:val="-3"/>
        </w:rPr>
        <w:t xml:space="preserve"> </w:t>
      </w:r>
      <w:r>
        <w:t>the</w:t>
      </w:r>
      <w:r>
        <w:rPr>
          <w:spacing w:val="-2"/>
        </w:rPr>
        <w:t xml:space="preserve"> </w:t>
      </w:r>
      <w:r>
        <w:t>PHS</w:t>
      </w:r>
      <w:r>
        <w:rPr>
          <w:spacing w:val="-7"/>
        </w:rPr>
        <w:t xml:space="preserve"> </w:t>
      </w:r>
      <w:r>
        <w:t>Act, enacted</w:t>
      </w:r>
      <w:r>
        <w:rPr>
          <w:spacing w:val="-2"/>
        </w:rPr>
        <w:t xml:space="preserve"> </w:t>
      </w:r>
      <w:r>
        <w:t>by</w:t>
      </w:r>
      <w:r>
        <w:rPr>
          <w:spacing w:val="-8"/>
        </w:rPr>
        <w:t xml:space="preserve"> </w:t>
      </w:r>
      <w:r>
        <w:t>the</w:t>
      </w:r>
      <w:r>
        <w:rPr>
          <w:spacing w:val="-2"/>
        </w:rPr>
        <w:t xml:space="preserve"> </w:t>
      </w:r>
      <w:r>
        <w:t>Health Insurance Portability and Accountability Act of 1996, health insurance issuers in the group and individual markets must guarantee the renewability of coverage unless an exception applies.</w:t>
      </w:r>
    </w:p>
    <w:p>
      <w:pPr>
        <w:pStyle w:val="ListParagraph"/>
        <w:numPr>
          <w:ilvl w:val="0"/>
          <w:numId w:val="2"/>
        </w:numPr>
        <w:tabs>
          <w:tab w:val="left" w:pos="1211"/>
        </w:tabs>
        <w:spacing w:before="274" w:after="0" w:line="240" w:lineRule="auto"/>
        <w:ind w:left="1211" w:right="0" w:hanging="431"/>
        <w:jc w:val="left"/>
        <w:rPr>
          <w:b/>
          <w:sz w:val="24"/>
        </w:rPr>
      </w:pPr>
      <w:r>
        <w:rPr>
          <w:b/>
          <w:spacing w:val="-2"/>
          <w:sz w:val="24"/>
          <w:u w:val="single"/>
        </w:rPr>
        <w:t>Justification</w:t>
      </w:r>
    </w:p>
    <w:p>
      <w:pPr>
        <w:pStyle w:val="ListParagraph"/>
        <w:numPr>
          <w:ilvl w:val="1"/>
          <w:numId w:val="2"/>
        </w:numPr>
        <w:tabs>
          <w:tab w:val="left" w:pos="1380"/>
        </w:tabs>
        <w:spacing w:before="274" w:after="0" w:line="240" w:lineRule="auto"/>
        <w:ind w:left="1380" w:right="0" w:hanging="360"/>
        <w:jc w:val="left"/>
        <w:rPr>
          <w:sz w:val="24"/>
        </w:rPr>
      </w:pPr>
      <w:r>
        <w:rPr>
          <w:sz w:val="24"/>
          <w:u w:val="single"/>
        </w:rPr>
        <w:t>Need and</w:t>
      </w:r>
      <w:r>
        <w:rPr>
          <w:spacing w:val="2"/>
          <w:sz w:val="24"/>
          <w:u w:val="single"/>
        </w:rPr>
        <w:t xml:space="preserve"> </w:t>
      </w:r>
      <w:r>
        <w:rPr>
          <w:sz w:val="24"/>
          <w:u w:val="single"/>
        </w:rPr>
        <w:t>Legal</w:t>
      </w:r>
      <w:r>
        <w:rPr>
          <w:spacing w:val="9"/>
          <w:sz w:val="24"/>
          <w:u w:val="single"/>
        </w:rPr>
        <w:t xml:space="preserve"> </w:t>
      </w:r>
      <w:r>
        <w:rPr>
          <w:spacing w:val="-4"/>
          <w:sz w:val="24"/>
          <w:u w:val="single"/>
        </w:rPr>
        <w:t>Basis</w:t>
      </w:r>
    </w:p>
    <w:p>
      <w:pPr>
        <w:pStyle w:val="BodyText"/>
        <w:spacing w:before="276" w:line="242" w:lineRule="auto"/>
        <w:ind w:left="1211" w:right="811"/>
      </w:pPr>
      <w:r>
        <w:t>The 2014 final rule “Patient Protection and Affordable Care Act; Annual Eligibility Redeterminations for Exchange Participation and Insurance Affordability Programs; Health Insurance Issuer Standards Under the Affordable Care Act, Including Standards Related to Exchanges” (79 FR 52994, September 5, 2014), provides that an Exchange may choose to conduct the annual redetermination process for a plan year (1) in accordance with the existing procedures described in 45 CFR 155.335; (2)</w:t>
      </w:r>
      <w:r>
        <w:rPr>
          <w:spacing w:val="-1"/>
        </w:rPr>
        <w:t xml:space="preserve"> </w:t>
      </w:r>
      <w:r>
        <w:t>in accordance with procedures described in guidance issued by the Secretary for the applicable benefit year;</w:t>
      </w:r>
      <w:r>
        <w:rPr>
          <w:spacing w:val="-5"/>
        </w:rPr>
        <w:t xml:space="preserve"> </w:t>
      </w:r>
      <w:r>
        <w:t>or</w:t>
      </w:r>
      <w:r>
        <w:rPr>
          <w:spacing w:val="-4"/>
        </w:rPr>
        <w:t xml:space="preserve"> </w:t>
      </w:r>
      <w:r>
        <w:t>(3)</w:t>
      </w:r>
      <w:r>
        <w:rPr>
          <w:spacing w:val="-4"/>
        </w:rPr>
        <w:t xml:space="preserve"> </w:t>
      </w:r>
      <w:r>
        <w:t>using</w:t>
      </w:r>
      <w:r>
        <w:rPr>
          <w:spacing w:val="-2"/>
        </w:rPr>
        <w:t xml:space="preserve"> </w:t>
      </w:r>
      <w:r>
        <w:t>an</w:t>
      </w:r>
      <w:r>
        <w:rPr>
          <w:spacing w:val="-3"/>
        </w:rPr>
        <w:t xml:space="preserve"> </w:t>
      </w:r>
      <w:r>
        <w:t>alternative procedure</w:t>
      </w:r>
      <w:r>
        <w:rPr>
          <w:spacing w:val="-2"/>
        </w:rPr>
        <w:t xml:space="preserve"> </w:t>
      </w:r>
      <w:r>
        <w:t>proposed</w:t>
      </w:r>
      <w:r>
        <w:rPr>
          <w:spacing w:val="-3"/>
        </w:rPr>
        <w:t xml:space="preserve"> </w:t>
      </w:r>
      <w:r>
        <w:t>by</w:t>
      </w:r>
      <w:r>
        <w:rPr>
          <w:spacing w:val="-1"/>
        </w:rPr>
        <w:t xml:space="preserve"> </w:t>
      </w:r>
      <w:r>
        <w:t>the</w:t>
      </w:r>
      <w:r>
        <w:rPr>
          <w:spacing w:val="-3"/>
        </w:rPr>
        <w:t xml:space="preserve"> </w:t>
      </w:r>
      <w:r>
        <w:t>Exchange</w:t>
      </w:r>
      <w:r>
        <w:rPr>
          <w:spacing w:val="-2"/>
        </w:rPr>
        <w:t xml:space="preserve"> </w:t>
      </w:r>
      <w:r>
        <w:t>and</w:t>
      </w:r>
      <w:r>
        <w:rPr>
          <w:spacing w:val="-3"/>
        </w:rPr>
        <w:t xml:space="preserve"> </w:t>
      </w:r>
      <w:r>
        <w:t>approved</w:t>
      </w:r>
      <w:r>
        <w:rPr>
          <w:spacing w:val="-3"/>
        </w:rPr>
        <w:t xml:space="preserve"> </w:t>
      </w:r>
      <w:r>
        <w:t>by</w:t>
      </w:r>
      <w:r>
        <w:rPr>
          <w:spacing w:val="-2"/>
        </w:rPr>
        <w:t xml:space="preserve"> </w:t>
      </w:r>
      <w:r>
        <w:t xml:space="preserve">the </w:t>
      </w:r>
      <w:r>
        <w:rPr>
          <w:spacing w:val="-2"/>
        </w:rPr>
        <w:t>Secretary.</w:t>
      </w:r>
    </w:p>
    <w:p>
      <w:pPr>
        <w:pStyle w:val="BodyText"/>
        <w:spacing w:before="273" w:line="242" w:lineRule="auto"/>
        <w:ind w:left="1211" w:right="823"/>
      </w:pPr>
      <w:r>
        <w:t>The 2014 final rule established a renewal and reenrollment hierarchy at 45 CFR 155.335(j) to minimize potential enrollment disruptions. The 2016 final rule “Patient Protection and Affordable Care Act; HHS Notice of Benefit and Payment Parameters for 2017” (81 FR 12204, March 8, 2016) amended the enrollment hierarchy to further minimize</w:t>
      </w:r>
      <w:r>
        <w:rPr>
          <w:spacing w:val="-5"/>
        </w:rPr>
        <w:t xml:space="preserve"> </w:t>
      </w:r>
      <w:r>
        <w:t>potential</w:t>
      </w:r>
      <w:r>
        <w:rPr>
          <w:spacing w:val="-6"/>
        </w:rPr>
        <w:t xml:space="preserve"> </w:t>
      </w:r>
      <w:r>
        <w:t>disruptions</w:t>
      </w:r>
      <w:r>
        <w:rPr>
          <w:spacing w:val="-5"/>
        </w:rPr>
        <w:t xml:space="preserve"> </w:t>
      </w:r>
      <w:r>
        <w:t>of</w:t>
      </w:r>
      <w:r>
        <w:rPr>
          <w:spacing w:val="-5"/>
        </w:rPr>
        <w:t xml:space="preserve"> </w:t>
      </w:r>
      <w:r>
        <w:t>enrollee</w:t>
      </w:r>
      <w:r>
        <w:rPr>
          <w:spacing w:val="-5"/>
        </w:rPr>
        <w:t xml:space="preserve"> </w:t>
      </w:r>
      <w:r>
        <w:t>eligibility</w:t>
      </w:r>
      <w:r>
        <w:rPr>
          <w:spacing w:val="-3"/>
        </w:rPr>
        <w:t xml:space="preserve"> </w:t>
      </w:r>
      <w:r>
        <w:t>for</w:t>
      </w:r>
      <w:r>
        <w:rPr>
          <w:spacing w:val="-5"/>
        </w:rPr>
        <w:t xml:space="preserve"> </w:t>
      </w:r>
      <w:r>
        <w:t>cost-sharing</w:t>
      </w:r>
      <w:r>
        <w:rPr>
          <w:spacing w:val="-3"/>
        </w:rPr>
        <w:t xml:space="preserve"> </w:t>
      </w:r>
      <w:r>
        <w:t>reductions. The</w:t>
      </w:r>
      <w:r>
        <w:rPr>
          <w:spacing w:val="-4"/>
        </w:rPr>
        <w:t xml:space="preserve"> </w:t>
      </w:r>
      <w:r>
        <w:t>final rule “Patient Protection and Affordable Care Act, HHS Notice of Benefit and Payment Parameters for 2024” incorporated requirements to take network similarity into account</w:t>
      </w:r>
    </w:p>
    <w:p>
      <w:pPr>
        <w:spacing w:after="0" w:line="242" w:lineRule="auto"/>
        <w:sectPr>
          <w:footerReference w:type="default" r:id="rId4"/>
          <w:type w:val="continuous"/>
          <w:pgSz w:w="12240" w:h="15840"/>
          <w:pgMar w:top="1020" w:right="780" w:bottom="960" w:left="780" w:header="0" w:footer="772"/>
          <w:pgNumType w:start="1"/>
          <w:cols w:space="720"/>
        </w:sectPr>
      </w:pPr>
    </w:p>
    <w:p>
      <w:pPr>
        <w:pStyle w:val="BodyText"/>
        <w:spacing w:before="62" w:line="242" w:lineRule="auto"/>
        <w:ind w:left="1211" w:right="948"/>
      </w:pPr>
      <w:r>
        <w:t>for</w:t>
      </w:r>
      <w:r>
        <w:rPr>
          <w:spacing w:val="-2"/>
        </w:rPr>
        <w:t xml:space="preserve"> </w:t>
      </w:r>
      <w:r>
        <w:t>enrollees</w:t>
      </w:r>
      <w:r>
        <w:rPr>
          <w:spacing w:val="-2"/>
        </w:rPr>
        <w:t xml:space="preserve"> </w:t>
      </w:r>
      <w:r>
        <w:t>whose</w:t>
      </w:r>
      <w:r>
        <w:rPr>
          <w:spacing w:val="-1"/>
        </w:rPr>
        <w:t xml:space="preserve"> </w:t>
      </w:r>
      <w:r>
        <w:t>current</w:t>
      </w:r>
      <w:r>
        <w:rPr>
          <w:spacing w:val="-1"/>
        </w:rPr>
        <w:t xml:space="preserve"> </w:t>
      </w:r>
      <w:r>
        <w:t>QHP would not</w:t>
      </w:r>
      <w:r>
        <w:rPr>
          <w:spacing w:val="-3"/>
        </w:rPr>
        <w:t xml:space="preserve"> </w:t>
      </w:r>
      <w:r>
        <w:t>be</w:t>
      </w:r>
      <w:r>
        <w:rPr>
          <w:spacing w:val="-7"/>
        </w:rPr>
        <w:t xml:space="preserve"> </w:t>
      </w:r>
      <w:r>
        <w:t>available</w:t>
      </w:r>
      <w:r>
        <w:rPr>
          <w:spacing w:val="-1"/>
        </w:rPr>
        <w:t xml:space="preserve"> </w:t>
      </w:r>
      <w:r>
        <w:t>in the</w:t>
      </w:r>
      <w:r>
        <w:rPr>
          <w:spacing w:val="-1"/>
        </w:rPr>
        <w:t xml:space="preserve"> </w:t>
      </w:r>
      <w:r>
        <w:t>coming plan year. It</w:t>
      </w:r>
      <w:r>
        <w:rPr>
          <w:spacing w:val="-3"/>
        </w:rPr>
        <w:t xml:space="preserve"> </w:t>
      </w:r>
      <w:r>
        <w:t>also adopted changes to 45 CFR 155.335(j) by adding a paragraph at (j)(4) to allow the Exchange, beginning in the</w:t>
      </w:r>
      <w:r>
        <w:rPr>
          <w:spacing w:val="-1"/>
        </w:rPr>
        <w:t xml:space="preserve"> </w:t>
      </w:r>
      <w:r>
        <w:t>2024 plan</w:t>
      </w:r>
      <w:r>
        <w:rPr>
          <w:spacing w:val="-1"/>
        </w:rPr>
        <w:t xml:space="preserve"> </w:t>
      </w:r>
      <w:r>
        <w:t>year, to automatically re-enroll</w:t>
      </w:r>
      <w:r>
        <w:rPr>
          <w:spacing w:val="-3"/>
        </w:rPr>
        <w:t xml:space="preserve"> </w:t>
      </w:r>
      <w:r>
        <w:t>enrollees</w:t>
      </w:r>
      <w:r>
        <w:rPr>
          <w:spacing w:val="-2"/>
        </w:rPr>
        <w:t xml:space="preserve"> </w:t>
      </w:r>
      <w:r>
        <w:t>who are eligible</w:t>
      </w:r>
      <w:r>
        <w:rPr>
          <w:spacing w:val="-3"/>
        </w:rPr>
        <w:t xml:space="preserve"> </w:t>
      </w:r>
      <w:r>
        <w:t>for</w:t>
      </w:r>
      <w:r>
        <w:rPr>
          <w:spacing w:val="-4"/>
        </w:rPr>
        <w:t xml:space="preserve"> </w:t>
      </w:r>
      <w:r>
        <w:t>cost-sharing</w:t>
      </w:r>
      <w:r>
        <w:rPr>
          <w:spacing w:val="-2"/>
        </w:rPr>
        <w:t xml:space="preserve"> </w:t>
      </w:r>
      <w:r>
        <w:t>reductions</w:t>
      </w:r>
      <w:r>
        <w:rPr>
          <w:spacing w:val="-4"/>
        </w:rPr>
        <w:t xml:space="preserve"> </w:t>
      </w:r>
      <w:r>
        <w:t>in</w:t>
      </w:r>
      <w:r>
        <w:rPr>
          <w:spacing w:val="-2"/>
        </w:rPr>
        <w:t xml:space="preserve"> </w:t>
      </w:r>
      <w:r>
        <w:t>accordance</w:t>
      </w:r>
      <w:r>
        <w:rPr>
          <w:spacing w:val="-3"/>
        </w:rPr>
        <w:t xml:space="preserve"> </w:t>
      </w:r>
      <w:r>
        <w:t>with</w:t>
      </w:r>
      <w:r>
        <w:rPr>
          <w:spacing w:val="-2"/>
        </w:rPr>
        <w:t xml:space="preserve"> </w:t>
      </w:r>
      <w:r>
        <w:t>§</w:t>
      </w:r>
      <w:r>
        <w:rPr>
          <w:spacing w:val="-15"/>
        </w:rPr>
        <w:t xml:space="preserve"> </w:t>
      </w:r>
      <w:r>
        <w:t>155.305(g)</w:t>
      </w:r>
      <w:r>
        <w:rPr>
          <w:spacing w:val="-4"/>
        </w:rPr>
        <w:t xml:space="preserve"> </w:t>
      </w:r>
      <w:r>
        <w:t>from</w:t>
      </w:r>
      <w:r>
        <w:rPr>
          <w:spacing w:val="-5"/>
        </w:rPr>
        <w:t xml:space="preserve"> </w:t>
      </w:r>
      <w:r>
        <w:t>a bronze</w:t>
      </w:r>
      <w:r>
        <w:rPr>
          <w:spacing w:val="-4"/>
        </w:rPr>
        <w:t xml:space="preserve"> </w:t>
      </w:r>
      <w:r>
        <w:t>QHP to a silver QHP with a lower or equivalent premium after advance payments of the premium</w:t>
      </w:r>
      <w:r>
        <w:rPr>
          <w:spacing w:val="-4"/>
        </w:rPr>
        <w:t xml:space="preserve"> </w:t>
      </w:r>
      <w:r>
        <w:t>tax</w:t>
      </w:r>
      <w:r>
        <w:rPr>
          <w:spacing w:val="-2"/>
        </w:rPr>
        <w:t xml:space="preserve"> </w:t>
      </w:r>
      <w:r>
        <w:t>credit</w:t>
      </w:r>
      <w:r>
        <w:rPr>
          <w:spacing w:val="-4"/>
        </w:rPr>
        <w:t xml:space="preserve"> </w:t>
      </w:r>
      <w:r>
        <w:t>within</w:t>
      </w:r>
      <w:r>
        <w:rPr>
          <w:spacing w:val="-1"/>
        </w:rPr>
        <w:t xml:space="preserve"> </w:t>
      </w:r>
      <w:r>
        <w:t>the</w:t>
      </w:r>
      <w:r>
        <w:rPr>
          <w:spacing w:val="-2"/>
        </w:rPr>
        <w:t xml:space="preserve"> </w:t>
      </w:r>
      <w:r>
        <w:t>same</w:t>
      </w:r>
      <w:r>
        <w:rPr>
          <w:spacing w:val="-2"/>
        </w:rPr>
        <w:t xml:space="preserve"> </w:t>
      </w:r>
      <w:r>
        <w:t>product</w:t>
      </w:r>
      <w:r>
        <w:rPr>
          <w:spacing w:val="-5"/>
        </w:rPr>
        <w:t xml:space="preserve"> </w:t>
      </w:r>
      <w:r>
        <w:t>and</w:t>
      </w:r>
      <w:r>
        <w:rPr>
          <w:spacing w:val="-2"/>
        </w:rPr>
        <w:t xml:space="preserve"> </w:t>
      </w:r>
      <w:r>
        <w:t>QHP issuer, regardless</w:t>
      </w:r>
      <w:r>
        <w:rPr>
          <w:spacing w:val="-3"/>
        </w:rPr>
        <w:t xml:space="preserve"> </w:t>
      </w:r>
      <w:r>
        <w:t>of</w:t>
      </w:r>
      <w:r>
        <w:rPr>
          <w:spacing w:val="-3"/>
        </w:rPr>
        <w:t xml:space="preserve"> </w:t>
      </w:r>
      <w:r>
        <w:t>whether</w:t>
      </w:r>
      <w:r>
        <w:rPr>
          <w:spacing w:val="-4"/>
        </w:rPr>
        <w:t xml:space="preserve"> </w:t>
      </w:r>
      <w:r>
        <w:t>their current plan is available or not, if certain conditions are met (referred to here as the</w:t>
      </w:r>
    </w:p>
    <w:p>
      <w:pPr>
        <w:pStyle w:val="BodyText"/>
        <w:spacing w:line="242" w:lineRule="auto"/>
        <w:ind w:left="1211" w:right="857"/>
      </w:pPr>
      <w:r>
        <w:t>“bronze to silver crosswalk policy”). The proposed rule “Patient Protection and Affordable Care Act; Individual Health Insurance Market and Exchange Program Integrity”</w:t>
      </w:r>
      <w:r>
        <w:rPr>
          <w:spacing w:val="-4"/>
        </w:rPr>
        <w:t xml:space="preserve"> </w:t>
      </w:r>
      <w:r>
        <w:t>(2025</w:t>
      </w:r>
      <w:r>
        <w:rPr>
          <w:spacing w:val="-4"/>
        </w:rPr>
        <w:t xml:space="preserve"> </w:t>
      </w:r>
      <w:r>
        <w:t>Proposed</w:t>
      </w:r>
      <w:r>
        <w:rPr>
          <w:spacing w:val="-5"/>
        </w:rPr>
        <w:t xml:space="preserve"> </w:t>
      </w:r>
      <w:r>
        <w:t>Rule)</w:t>
      </w:r>
      <w:r>
        <w:rPr>
          <w:spacing w:val="-5"/>
        </w:rPr>
        <w:t xml:space="preserve"> </w:t>
      </w:r>
      <w:r>
        <w:t>proposes</w:t>
      </w:r>
      <w:r>
        <w:rPr>
          <w:spacing w:val="-6"/>
        </w:rPr>
        <w:t xml:space="preserve"> </w:t>
      </w:r>
      <w:r>
        <w:t>to</w:t>
      </w:r>
      <w:r>
        <w:rPr>
          <w:spacing w:val="-3"/>
        </w:rPr>
        <w:t xml:space="preserve"> </w:t>
      </w:r>
      <w:r>
        <w:t>eliminate</w:t>
      </w:r>
      <w:r>
        <w:rPr>
          <w:spacing w:val="-5"/>
        </w:rPr>
        <w:t xml:space="preserve"> </w:t>
      </w:r>
      <w:r>
        <w:t>the</w:t>
      </w:r>
      <w:r>
        <w:rPr>
          <w:spacing w:val="-5"/>
        </w:rPr>
        <w:t xml:space="preserve"> </w:t>
      </w:r>
      <w:r>
        <w:t>bronze-to-</w:t>
      </w:r>
      <w:r>
        <w:rPr>
          <w:spacing w:val="-6"/>
        </w:rPr>
        <w:t xml:space="preserve"> </w:t>
      </w:r>
      <w:r>
        <w:t>silver crosswalk policy at 45 CFR 155.335(j)(4).</w:t>
      </w:r>
    </w:p>
    <w:p>
      <w:pPr>
        <w:pStyle w:val="BodyText"/>
        <w:spacing w:before="274" w:line="242" w:lineRule="auto"/>
        <w:ind w:left="1211" w:right="857"/>
      </w:pPr>
      <w:r>
        <w:t>The 2025 Proposed Rule also proposes</w:t>
      </w:r>
      <w:r>
        <w:rPr>
          <w:spacing w:val="-1"/>
        </w:rPr>
        <w:t xml:space="preserve"> </w:t>
      </w:r>
      <w:r>
        <w:t>changes</w:t>
      </w:r>
      <w:r>
        <w:rPr>
          <w:spacing w:val="-1"/>
        </w:rPr>
        <w:t xml:space="preserve"> </w:t>
      </w:r>
      <w:r>
        <w:t>to the annual</w:t>
      </w:r>
      <w:r>
        <w:rPr>
          <w:spacing w:val="-2"/>
        </w:rPr>
        <w:t xml:space="preserve"> </w:t>
      </w:r>
      <w:r>
        <w:t>Open Enrollment</w:t>
      </w:r>
      <w:r>
        <w:rPr>
          <w:spacing w:val="-2"/>
        </w:rPr>
        <w:t xml:space="preserve"> </w:t>
      </w:r>
      <w:r>
        <w:t>Period (OEP)</w:t>
      </w:r>
      <w:r>
        <w:rPr>
          <w:spacing w:val="-4"/>
        </w:rPr>
        <w:t xml:space="preserve"> </w:t>
      </w:r>
      <w:r>
        <w:t>for</w:t>
      </w:r>
      <w:r>
        <w:rPr>
          <w:spacing w:val="-3"/>
        </w:rPr>
        <w:t xml:space="preserve"> </w:t>
      </w:r>
      <w:r>
        <w:t>on-</w:t>
      </w:r>
      <w:r>
        <w:rPr>
          <w:spacing w:val="-4"/>
        </w:rPr>
        <w:t xml:space="preserve"> </w:t>
      </w:r>
      <w:r>
        <w:t>and</w:t>
      </w:r>
      <w:r>
        <w:rPr>
          <w:spacing w:val="-3"/>
        </w:rPr>
        <w:t xml:space="preserve"> </w:t>
      </w:r>
      <w:r>
        <w:t>off-Exchange</w:t>
      </w:r>
      <w:r>
        <w:rPr>
          <w:spacing w:val="-3"/>
        </w:rPr>
        <w:t xml:space="preserve"> </w:t>
      </w:r>
      <w:r>
        <w:t>individual</w:t>
      </w:r>
      <w:r>
        <w:rPr>
          <w:spacing w:val="-6"/>
        </w:rPr>
        <w:t xml:space="preserve"> </w:t>
      </w:r>
      <w:r>
        <w:t>health</w:t>
      </w:r>
      <w:r>
        <w:rPr>
          <w:spacing w:val="-2"/>
        </w:rPr>
        <w:t xml:space="preserve"> </w:t>
      </w:r>
      <w:r>
        <w:t>insurance</w:t>
      </w:r>
      <w:r>
        <w:rPr>
          <w:spacing w:val="-3"/>
        </w:rPr>
        <w:t xml:space="preserve"> </w:t>
      </w:r>
      <w:r>
        <w:t>coverage</w:t>
      </w:r>
      <w:r>
        <w:rPr>
          <w:spacing w:val="-4"/>
        </w:rPr>
        <w:t xml:space="preserve"> </w:t>
      </w:r>
      <w:r>
        <w:t>for</w:t>
      </w:r>
      <w:r>
        <w:rPr>
          <w:spacing w:val="-4"/>
        </w:rPr>
        <w:t xml:space="preserve"> </w:t>
      </w:r>
      <w:r>
        <w:t>benefit years starting January 1, 2026, and</w:t>
      </w:r>
      <w:r>
        <w:rPr>
          <w:spacing w:val="-2"/>
        </w:rPr>
        <w:t xml:space="preserve"> </w:t>
      </w:r>
      <w:r>
        <w:t>beyond so that the OEP</w:t>
      </w:r>
      <w:r>
        <w:rPr>
          <w:spacing w:val="-1"/>
        </w:rPr>
        <w:t xml:space="preserve"> </w:t>
      </w:r>
      <w:r>
        <w:t>begins on</w:t>
      </w:r>
      <w:r>
        <w:rPr>
          <w:spacing w:val="-1"/>
        </w:rPr>
        <w:t xml:space="preserve"> </w:t>
      </w:r>
      <w:r>
        <w:t>November 1 and runs through December 15 of the calendar year preceding the benefit year.</w:t>
      </w:r>
    </w:p>
    <w:p>
      <w:pPr>
        <w:pStyle w:val="BodyText"/>
        <w:spacing w:before="1"/>
      </w:pPr>
    </w:p>
    <w:p>
      <w:pPr>
        <w:pStyle w:val="BodyText"/>
        <w:spacing w:line="242" w:lineRule="auto"/>
        <w:ind w:left="1211" w:right="812"/>
      </w:pPr>
      <w:r>
        <w:t>The 2025 Proposed Rule also proposes to require that when an enrollee does not submit an application for an updated eligibility determination on or before the last day to select</w:t>
      </w:r>
      <w:r>
        <w:rPr>
          <w:spacing w:val="-1"/>
        </w:rPr>
        <w:t xml:space="preserve"> </w:t>
      </w:r>
      <w:r>
        <w:t>a plan for January 1 coverage, and the enrollee’s portion of the premium for the entire policy would be zero dollars after application of advance payments of the premium tax credit through the annual redetermination process, the Marketplace will decrease the amount of the advance payments applied to the policy such that the remaining monthly premium owed by the enrollee for the entire policy equals five dollars (“five-dollar automatic re-enrollment policy”) for the first month and for every following month the enrollee does not confirm or update the eligibility determination. Enrollees automatically reenrolled with a $5 monthly premium after payments of APTC due to this policy would be able to submit the application and re-confirm their plan at any point to confirm eligibility</w:t>
      </w:r>
      <w:r>
        <w:rPr>
          <w:spacing w:val="-3"/>
        </w:rPr>
        <w:t xml:space="preserve"> </w:t>
      </w:r>
      <w:r>
        <w:t>for</w:t>
      </w:r>
      <w:r>
        <w:rPr>
          <w:spacing w:val="-5"/>
        </w:rPr>
        <w:t xml:space="preserve"> </w:t>
      </w:r>
      <w:r>
        <w:t>APTC</w:t>
      </w:r>
      <w:r>
        <w:rPr>
          <w:spacing w:val="-1"/>
        </w:rPr>
        <w:t xml:space="preserve"> </w:t>
      </w:r>
      <w:r>
        <w:t>that</w:t>
      </w:r>
      <w:r>
        <w:rPr>
          <w:spacing w:val="-7"/>
        </w:rPr>
        <w:t xml:space="preserve"> </w:t>
      </w:r>
      <w:r>
        <w:t>covers</w:t>
      </w:r>
      <w:r>
        <w:rPr>
          <w:spacing w:val="-5"/>
        </w:rPr>
        <w:t xml:space="preserve"> </w:t>
      </w:r>
      <w:r>
        <w:t>the</w:t>
      </w:r>
      <w:r>
        <w:rPr>
          <w:spacing w:val="-4"/>
        </w:rPr>
        <w:t xml:space="preserve"> </w:t>
      </w:r>
      <w:r>
        <w:t>entire</w:t>
      </w:r>
      <w:r>
        <w:rPr>
          <w:spacing w:val="-4"/>
        </w:rPr>
        <w:t xml:space="preserve"> </w:t>
      </w:r>
      <w:r>
        <w:t>monthly</w:t>
      </w:r>
      <w:r>
        <w:rPr>
          <w:spacing w:val="-3"/>
        </w:rPr>
        <w:t xml:space="preserve"> </w:t>
      </w:r>
      <w:r>
        <w:t>premium, and</w:t>
      </w:r>
      <w:r>
        <w:rPr>
          <w:spacing w:val="-4"/>
        </w:rPr>
        <w:t xml:space="preserve"> </w:t>
      </w:r>
      <w:r>
        <w:t>thereby</w:t>
      </w:r>
      <w:r>
        <w:rPr>
          <w:spacing w:val="-4"/>
        </w:rPr>
        <w:t xml:space="preserve"> </w:t>
      </w:r>
      <w:r>
        <w:t>reinstate</w:t>
      </w:r>
      <w:r>
        <w:rPr>
          <w:spacing w:val="-4"/>
        </w:rPr>
        <w:t xml:space="preserve"> </w:t>
      </w:r>
      <w:r>
        <w:t>the</w:t>
      </w:r>
      <w:r>
        <w:rPr>
          <w:spacing w:val="-4"/>
        </w:rPr>
        <w:t xml:space="preserve"> </w:t>
      </w:r>
      <w:r>
        <w:t>full amount of APTC for which the enrollee is eligible on a prospective basis.</w:t>
      </w:r>
    </w:p>
    <w:p>
      <w:pPr>
        <w:pStyle w:val="BodyText"/>
        <w:spacing w:before="274"/>
        <w:ind w:left="1211"/>
      </w:pPr>
      <w:r>
        <w:t>The</w:t>
      </w:r>
      <w:r>
        <w:rPr>
          <w:spacing w:val="-3"/>
        </w:rPr>
        <w:t xml:space="preserve"> </w:t>
      </w:r>
      <w:r>
        <w:t>guidance</w:t>
      </w:r>
      <w:r>
        <w:rPr>
          <w:spacing w:val="-3"/>
        </w:rPr>
        <w:t xml:space="preserve"> </w:t>
      </w:r>
      <w:r>
        <w:t>document</w:t>
      </w:r>
      <w:r>
        <w:rPr>
          <w:spacing w:val="-4"/>
        </w:rPr>
        <w:t xml:space="preserve"> </w:t>
      </w:r>
      <w:r>
        <w:t>“Guidance</w:t>
      </w:r>
      <w:r>
        <w:rPr>
          <w:spacing w:val="-3"/>
        </w:rPr>
        <w:t xml:space="preserve"> </w:t>
      </w:r>
      <w:r>
        <w:t>on</w:t>
      </w:r>
      <w:r>
        <w:rPr>
          <w:spacing w:val="-2"/>
        </w:rPr>
        <w:t xml:space="preserve"> </w:t>
      </w:r>
      <w:r>
        <w:t>Annual</w:t>
      </w:r>
      <w:r>
        <w:rPr>
          <w:spacing w:val="-4"/>
        </w:rPr>
        <w:t xml:space="preserve"> </w:t>
      </w:r>
      <w:r>
        <w:t>Eligibility</w:t>
      </w:r>
      <w:r>
        <w:rPr>
          <w:spacing w:val="-1"/>
        </w:rPr>
        <w:t xml:space="preserve"> </w:t>
      </w:r>
      <w:r>
        <w:t>Redetermination</w:t>
      </w:r>
      <w:r>
        <w:rPr>
          <w:spacing w:val="4"/>
        </w:rPr>
        <w:t xml:space="preserve"> </w:t>
      </w:r>
      <w:r>
        <w:t>and</w:t>
      </w:r>
      <w:r>
        <w:rPr>
          <w:spacing w:val="-2"/>
        </w:rPr>
        <w:t xml:space="preserve"> </w:t>
      </w:r>
      <w:r>
        <w:rPr>
          <w:spacing w:val="-5"/>
        </w:rPr>
        <w:t>Re-</w:t>
      </w:r>
    </w:p>
    <w:p>
      <w:pPr>
        <w:pStyle w:val="BodyText"/>
        <w:spacing w:before="6" w:line="242" w:lineRule="auto"/>
        <w:ind w:left="1211" w:right="857"/>
      </w:pPr>
      <w:r>
        <w:t>enrollment</w:t>
      </w:r>
      <w:r>
        <w:rPr>
          <w:spacing w:val="-6"/>
        </w:rPr>
        <w:t xml:space="preserve"> </w:t>
      </w:r>
      <w:r>
        <w:t>for</w:t>
      </w:r>
      <w:r>
        <w:rPr>
          <w:spacing w:val="-4"/>
        </w:rPr>
        <w:t xml:space="preserve"> </w:t>
      </w:r>
      <w:r>
        <w:t>Marketplace</w:t>
      </w:r>
      <w:r>
        <w:rPr>
          <w:spacing w:val="-3"/>
        </w:rPr>
        <w:t xml:space="preserve"> </w:t>
      </w:r>
      <w:r>
        <w:t>Coverage</w:t>
      </w:r>
      <w:r>
        <w:rPr>
          <w:spacing w:val="-4"/>
        </w:rPr>
        <w:t xml:space="preserve"> </w:t>
      </w:r>
      <w:r>
        <w:t>for</w:t>
      </w:r>
      <w:r>
        <w:rPr>
          <w:spacing w:val="-4"/>
        </w:rPr>
        <w:t xml:space="preserve"> </w:t>
      </w:r>
      <w:r>
        <w:t>2024</w:t>
      </w:r>
      <w:r>
        <w:rPr>
          <w:spacing w:val="-2"/>
        </w:rPr>
        <w:t xml:space="preserve"> </w:t>
      </w:r>
      <w:r>
        <w:t>and</w:t>
      </w:r>
      <w:r>
        <w:rPr>
          <w:spacing w:val="-3"/>
        </w:rPr>
        <w:t xml:space="preserve"> </w:t>
      </w:r>
      <w:r>
        <w:t>Later</w:t>
      </w:r>
      <w:r>
        <w:rPr>
          <w:spacing w:val="-5"/>
        </w:rPr>
        <w:t xml:space="preserve"> </w:t>
      </w:r>
      <w:r>
        <w:t>Years”</w:t>
      </w:r>
      <w:hyperlink w:anchor="_bookmark0" w:history="1">
        <w:r>
          <w:rPr>
            <w:vertAlign w:val="superscript"/>
          </w:rPr>
          <w:t>1</w:t>
        </w:r>
      </w:hyperlink>
      <w:r>
        <w:rPr>
          <w:vertAlign w:val="baseline"/>
        </w:rPr>
        <w:t xml:space="preserve"> contains</w:t>
      </w:r>
      <w:r>
        <w:rPr>
          <w:spacing w:val="-4"/>
          <w:vertAlign w:val="baseline"/>
        </w:rPr>
        <w:t xml:space="preserve"> </w:t>
      </w:r>
      <w:r>
        <w:rPr>
          <w:vertAlign w:val="baseline"/>
        </w:rPr>
        <w:t>the</w:t>
      </w:r>
      <w:r>
        <w:rPr>
          <w:spacing w:val="-3"/>
          <w:vertAlign w:val="baseline"/>
        </w:rPr>
        <w:t xml:space="preserve"> </w:t>
      </w:r>
      <w:r>
        <w:rPr>
          <w:vertAlign w:val="baseline"/>
        </w:rPr>
        <w:t>procedures that</w:t>
      </w:r>
      <w:r>
        <w:rPr>
          <w:spacing w:val="-2"/>
          <w:vertAlign w:val="baseline"/>
        </w:rPr>
        <w:t xml:space="preserve"> </w:t>
      </w:r>
      <w:r>
        <w:rPr>
          <w:vertAlign w:val="baseline"/>
        </w:rPr>
        <w:t>the Secretary is specifying for the coverage year, as noted in (2) above, and specifies that these procedures will be used by all Exchanges using the Federal eligibility and enrollment platform, unless otherwise specified in future guidance or rulemaking.</w:t>
      </w:r>
    </w:p>
    <w:p>
      <w:pPr>
        <w:pStyle w:val="BodyText"/>
        <w:spacing w:before="270" w:line="242" w:lineRule="auto"/>
        <w:ind w:left="1211" w:right="811"/>
      </w:pPr>
      <w:r>
        <w:t>The 2014 final rule amended the requirements for product renewal and re-enrollment (or discontinuance)</w:t>
      </w:r>
      <w:r>
        <w:rPr>
          <w:spacing w:val="-5"/>
        </w:rPr>
        <w:t xml:space="preserve"> </w:t>
      </w:r>
      <w:r>
        <w:t>notices</w:t>
      </w:r>
      <w:r>
        <w:rPr>
          <w:spacing w:val="-4"/>
        </w:rPr>
        <w:t xml:space="preserve"> </w:t>
      </w:r>
      <w:r>
        <w:t>to</w:t>
      </w:r>
      <w:r>
        <w:rPr>
          <w:spacing w:val="-2"/>
        </w:rPr>
        <w:t xml:space="preserve"> </w:t>
      </w:r>
      <w:r>
        <w:t>be</w:t>
      </w:r>
      <w:r>
        <w:rPr>
          <w:spacing w:val="-3"/>
        </w:rPr>
        <w:t xml:space="preserve"> </w:t>
      </w:r>
      <w:r>
        <w:t>sent</w:t>
      </w:r>
      <w:r>
        <w:rPr>
          <w:spacing w:val="-6"/>
        </w:rPr>
        <w:t xml:space="preserve"> </w:t>
      </w:r>
      <w:r>
        <w:t>by</w:t>
      </w:r>
      <w:r>
        <w:rPr>
          <w:spacing w:val="-2"/>
        </w:rPr>
        <w:t xml:space="preserve"> </w:t>
      </w:r>
      <w:r>
        <w:t>QHP</w:t>
      </w:r>
      <w:r>
        <w:rPr>
          <w:spacing w:val="-1"/>
        </w:rPr>
        <w:t xml:space="preserve"> </w:t>
      </w:r>
      <w:r>
        <w:t>issuers</w:t>
      </w:r>
      <w:r>
        <w:rPr>
          <w:spacing w:val="-4"/>
        </w:rPr>
        <w:t xml:space="preserve"> </w:t>
      </w:r>
      <w:r>
        <w:t>in</w:t>
      </w:r>
      <w:r>
        <w:rPr>
          <w:spacing w:val="-2"/>
        </w:rPr>
        <w:t xml:space="preserve"> </w:t>
      </w:r>
      <w:r>
        <w:t>the</w:t>
      </w:r>
      <w:r>
        <w:rPr>
          <w:spacing w:val="-3"/>
        </w:rPr>
        <w:t xml:space="preserve"> </w:t>
      </w:r>
      <w:r>
        <w:t>individual</w:t>
      </w:r>
      <w:r>
        <w:rPr>
          <w:spacing w:val="-5"/>
        </w:rPr>
        <w:t xml:space="preserve"> </w:t>
      </w:r>
      <w:r>
        <w:t>market Exchanges</w:t>
      </w:r>
      <w:r>
        <w:rPr>
          <w:spacing w:val="-11"/>
        </w:rPr>
        <w:t xml:space="preserve"> </w:t>
      </w:r>
      <w:r>
        <w:t>and specified content for these notices.</w:t>
      </w:r>
      <w:r>
        <w:rPr>
          <w:spacing w:val="40"/>
        </w:rPr>
        <w:t xml:space="preserve"> </w:t>
      </w:r>
      <w:r>
        <w:t>The bulletin “Updated Federal Standard Renewal and Product Discontinuation Notices, and Enforcement Safe Harbor for Product Discontinuation Notices in Connection with the Open Enrollment Period for Coverage in the Individual Market in the 2024 Benefit Year” provides standard notices to be sent by</w:t>
      </w:r>
    </w:p>
    <w:p>
      <w:pPr>
        <w:pStyle w:val="BodyText"/>
        <w:rPr>
          <w:sz w:val="20"/>
        </w:rPr>
      </w:pPr>
    </w:p>
    <w:p>
      <w:pPr>
        <w:pStyle w:val="BodyText"/>
        <w:spacing w:before="65"/>
        <w:rPr>
          <w:sz w:val="20"/>
        </w:rPr>
      </w:pPr>
      <w: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203180</wp:posOffset>
                </wp:positionV>
                <wp:extent cx="183007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7pt;height:0.71pt;margin-top:16pt;margin-left:72.05pt;mso-position-horizontal-relative:page;mso-wrap-distance-left:0;mso-wrap-distance-right:0;position:absolute;z-index:-251655168" filled="t" fillcolor="black" stroked="f">
                <v:fill type="solid"/>
                <w10:wrap type="topAndBottom"/>
              </v:rect>
            </w:pict>
          </mc:Fallback>
        </mc:AlternateContent>
      </w:r>
    </w:p>
    <w:p>
      <w:pPr>
        <w:spacing w:before="112" w:line="252" w:lineRule="auto"/>
        <w:ind w:left="660" w:right="769" w:firstLine="0"/>
        <w:jc w:val="both"/>
        <w:rPr>
          <w:sz w:val="19"/>
        </w:rPr>
      </w:pPr>
      <w:bookmarkStart w:id="0" w:name="_bookmark0"/>
      <w:bookmarkEnd w:id="0"/>
      <w:r>
        <w:rPr>
          <w:w w:val="105"/>
          <w:sz w:val="19"/>
          <w:vertAlign w:val="superscript"/>
        </w:rPr>
        <w:t>1</w:t>
      </w:r>
      <w:r>
        <w:rPr>
          <w:spacing w:val="-4"/>
          <w:w w:val="105"/>
          <w:sz w:val="19"/>
          <w:vertAlign w:val="baseline"/>
        </w:rPr>
        <w:t xml:space="preserve"> </w:t>
      </w:r>
      <w:r>
        <w:rPr>
          <w:w w:val="105"/>
          <w:sz w:val="19"/>
          <w:vertAlign w:val="baseline"/>
        </w:rPr>
        <w:t>Guidance</w:t>
      </w:r>
      <w:r>
        <w:rPr>
          <w:spacing w:val="-7"/>
          <w:w w:val="105"/>
          <w:sz w:val="19"/>
          <w:vertAlign w:val="baseline"/>
        </w:rPr>
        <w:t xml:space="preserve"> </w:t>
      </w:r>
      <w:r>
        <w:rPr>
          <w:w w:val="105"/>
          <w:sz w:val="19"/>
          <w:vertAlign w:val="baseline"/>
        </w:rPr>
        <w:t>on Annual</w:t>
      </w:r>
      <w:r>
        <w:rPr>
          <w:spacing w:val="-2"/>
          <w:w w:val="105"/>
          <w:sz w:val="19"/>
          <w:vertAlign w:val="baseline"/>
        </w:rPr>
        <w:t xml:space="preserve"> </w:t>
      </w:r>
      <w:r>
        <w:rPr>
          <w:w w:val="105"/>
          <w:sz w:val="19"/>
          <w:vertAlign w:val="baseline"/>
        </w:rPr>
        <w:t>Eligibility</w:t>
      </w:r>
      <w:r>
        <w:rPr>
          <w:spacing w:val="-4"/>
          <w:w w:val="105"/>
          <w:sz w:val="19"/>
          <w:vertAlign w:val="baseline"/>
        </w:rPr>
        <w:t xml:space="preserve"> </w:t>
      </w:r>
      <w:r>
        <w:rPr>
          <w:w w:val="105"/>
          <w:sz w:val="19"/>
          <w:vertAlign w:val="baseline"/>
        </w:rPr>
        <w:t>Redetermination</w:t>
      </w:r>
      <w:r>
        <w:rPr>
          <w:spacing w:val="-4"/>
          <w:w w:val="105"/>
          <w:sz w:val="19"/>
          <w:vertAlign w:val="baseline"/>
        </w:rPr>
        <w:t xml:space="preserve"> </w:t>
      </w:r>
      <w:r>
        <w:rPr>
          <w:w w:val="105"/>
          <w:sz w:val="19"/>
          <w:vertAlign w:val="baseline"/>
        </w:rPr>
        <w:t>and</w:t>
      </w:r>
      <w:r>
        <w:rPr>
          <w:spacing w:val="-4"/>
          <w:w w:val="105"/>
          <w:sz w:val="19"/>
          <w:vertAlign w:val="baseline"/>
        </w:rPr>
        <w:t xml:space="preserve"> </w:t>
      </w:r>
      <w:r>
        <w:rPr>
          <w:w w:val="105"/>
          <w:sz w:val="19"/>
          <w:vertAlign w:val="baseline"/>
        </w:rPr>
        <w:t>Re-enrollment for Marketplace</w:t>
      </w:r>
      <w:r>
        <w:rPr>
          <w:spacing w:val="-7"/>
          <w:w w:val="105"/>
          <w:sz w:val="19"/>
          <w:vertAlign w:val="baseline"/>
        </w:rPr>
        <w:t xml:space="preserve"> </w:t>
      </w:r>
      <w:r>
        <w:rPr>
          <w:w w:val="105"/>
          <w:sz w:val="19"/>
          <w:vertAlign w:val="baseline"/>
        </w:rPr>
        <w:t>Coverage for 2024 and Later Years (August</w:t>
      </w:r>
      <w:r>
        <w:rPr>
          <w:spacing w:val="-2"/>
          <w:w w:val="105"/>
          <w:sz w:val="19"/>
          <w:vertAlign w:val="baseline"/>
        </w:rPr>
        <w:t xml:space="preserve"> </w:t>
      </w:r>
      <w:r>
        <w:rPr>
          <w:w w:val="105"/>
          <w:sz w:val="19"/>
          <w:vertAlign w:val="baseline"/>
        </w:rPr>
        <w:t>14,</w:t>
      </w:r>
      <w:r>
        <w:rPr>
          <w:spacing w:val="-4"/>
          <w:w w:val="105"/>
          <w:sz w:val="19"/>
          <w:vertAlign w:val="baseline"/>
        </w:rPr>
        <w:t xml:space="preserve"> </w:t>
      </w:r>
      <w:r>
        <w:rPr>
          <w:w w:val="105"/>
          <w:sz w:val="19"/>
          <w:vertAlign w:val="baseline"/>
        </w:rPr>
        <w:t>2023), available</w:t>
      </w:r>
      <w:r>
        <w:rPr>
          <w:spacing w:val="-7"/>
          <w:w w:val="105"/>
          <w:sz w:val="19"/>
          <w:vertAlign w:val="baseline"/>
        </w:rPr>
        <w:t xml:space="preserve"> </w:t>
      </w:r>
      <w:r>
        <w:rPr>
          <w:w w:val="105"/>
          <w:sz w:val="19"/>
          <w:vertAlign w:val="baseline"/>
        </w:rPr>
        <w:t>at:</w:t>
      </w:r>
      <w:r>
        <w:rPr>
          <w:spacing w:val="40"/>
          <w:w w:val="105"/>
          <w:sz w:val="19"/>
          <w:vertAlign w:val="baseline"/>
        </w:rPr>
        <w:t xml:space="preserve"> </w:t>
      </w:r>
      <w:r>
        <w:rPr>
          <w:w w:val="105"/>
          <w:sz w:val="19"/>
          <w:vertAlign w:val="baseline"/>
        </w:rPr>
        <w:t>https://</w:t>
      </w:r>
      <w:hyperlink r:id="rId5">
        <w:r>
          <w:rPr>
            <w:w w:val="105"/>
            <w:sz w:val="19"/>
            <w:vertAlign w:val="baseline"/>
          </w:rPr>
          <w:t>www.cms.gov/files/document/guidance-annual-redetermination-and-</w:t>
        </w:r>
      </w:hyperlink>
      <w:r>
        <w:rPr>
          <w:w w:val="105"/>
          <w:sz w:val="19"/>
          <w:vertAlign w:val="baseline"/>
        </w:rPr>
        <w:t xml:space="preserve"> </w:t>
      </w:r>
      <w:r>
        <w:rPr>
          <w:spacing w:val="-2"/>
          <w:w w:val="105"/>
          <w:sz w:val="19"/>
          <w:vertAlign w:val="baseline"/>
        </w:rPr>
        <w:t>re-enrollment-marketplace-coverage-2024-and-later-years.pdf.</w:t>
      </w:r>
    </w:p>
    <w:p>
      <w:pPr>
        <w:spacing w:after="0" w:line="252" w:lineRule="auto"/>
        <w:jc w:val="both"/>
        <w:rPr>
          <w:sz w:val="19"/>
        </w:rPr>
        <w:sectPr>
          <w:pgSz w:w="12240" w:h="15840"/>
          <w:pgMar w:top="1020" w:right="780" w:bottom="960" w:left="780" w:header="0" w:footer="772"/>
          <w:cols w:space="720"/>
        </w:sectPr>
      </w:pPr>
    </w:p>
    <w:p>
      <w:pPr>
        <w:pStyle w:val="BodyText"/>
        <w:spacing w:before="102"/>
        <w:ind w:left="1211"/>
      </w:pPr>
      <w:r>
        <w:t>issuers</w:t>
      </w:r>
      <w:r>
        <w:rPr>
          <w:spacing w:val="-5"/>
        </w:rPr>
        <w:t xml:space="preserve"> </w:t>
      </w:r>
      <w:r>
        <w:t>of</w:t>
      </w:r>
      <w:r>
        <w:rPr>
          <w:spacing w:val="-2"/>
        </w:rPr>
        <w:t xml:space="preserve"> </w:t>
      </w:r>
      <w:r>
        <w:t>individual</w:t>
      </w:r>
      <w:r>
        <w:rPr>
          <w:spacing w:val="-3"/>
        </w:rPr>
        <w:t xml:space="preserve"> </w:t>
      </w:r>
      <w:r>
        <w:t>market</w:t>
      </w:r>
      <w:r>
        <w:rPr>
          <w:spacing w:val="-4"/>
        </w:rPr>
        <w:t xml:space="preserve"> </w:t>
      </w:r>
      <w:r>
        <w:t>QHPs</w:t>
      </w:r>
      <w:r>
        <w:rPr>
          <w:spacing w:val="-1"/>
        </w:rPr>
        <w:t xml:space="preserve"> </w:t>
      </w:r>
      <w:r>
        <w:t>and</w:t>
      </w:r>
      <w:r>
        <w:rPr>
          <w:spacing w:val="3"/>
        </w:rPr>
        <w:t xml:space="preserve"> </w:t>
      </w:r>
      <w:r>
        <w:t>other</w:t>
      </w:r>
      <w:r>
        <w:rPr>
          <w:spacing w:val="-2"/>
        </w:rPr>
        <w:t xml:space="preserve"> </w:t>
      </w:r>
      <w:r>
        <w:t>issuers</w:t>
      </w:r>
      <w:r>
        <w:rPr>
          <w:spacing w:val="-2"/>
        </w:rPr>
        <w:t xml:space="preserve"> </w:t>
      </w:r>
      <w:r>
        <w:t>in</w:t>
      </w:r>
      <w:r>
        <w:rPr>
          <w:spacing w:val="-1"/>
        </w:rPr>
        <w:t xml:space="preserve"> </w:t>
      </w:r>
      <w:r>
        <w:t>the</w:t>
      </w:r>
      <w:r>
        <w:rPr>
          <w:spacing w:val="-1"/>
        </w:rPr>
        <w:t xml:space="preserve"> </w:t>
      </w:r>
      <w:r>
        <w:t>individual</w:t>
      </w:r>
      <w:r>
        <w:rPr>
          <w:spacing w:val="-4"/>
        </w:rPr>
        <w:t xml:space="preserve"> </w:t>
      </w:r>
      <w:r>
        <w:rPr>
          <w:spacing w:val="-2"/>
        </w:rPr>
        <w:t>market.</w:t>
      </w:r>
      <w:hyperlink w:anchor="_bookmark1" w:history="1">
        <w:r>
          <w:rPr>
            <w:spacing w:val="-2"/>
            <w:vertAlign w:val="superscript"/>
          </w:rPr>
          <w:t>2</w:t>
        </w:r>
      </w:hyperlink>
    </w:p>
    <w:p>
      <w:pPr>
        <w:pStyle w:val="BodyText"/>
        <w:spacing w:before="6" w:line="242" w:lineRule="auto"/>
        <w:ind w:left="1211" w:right="857"/>
      </w:pPr>
      <w:r>
        <w:t>States that are enforcing the guaranteed renewability provisions under the Affordable Care</w:t>
      </w:r>
      <w:r>
        <w:rPr>
          <w:spacing w:val="-5"/>
        </w:rPr>
        <w:t xml:space="preserve"> </w:t>
      </w:r>
      <w:r>
        <w:t>Act</w:t>
      </w:r>
      <w:hyperlink w:anchor="_bookmark2" w:history="1">
        <w:r>
          <w:rPr>
            <w:vertAlign w:val="superscript"/>
          </w:rPr>
          <w:t>3</w:t>
        </w:r>
      </w:hyperlink>
      <w:r>
        <w:rPr>
          <w:spacing w:val="-15"/>
          <w:vertAlign w:val="baseline"/>
        </w:rPr>
        <w:t xml:space="preserve"> </w:t>
      </w:r>
      <w:r>
        <w:rPr>
          <w:vertAlign w:val="baseline"/>
        </w:rPr>
        <w:t>may</w:t>
      </w:r>
      <w:r>
        <w:rPr>
          <w:spacing w:val="-3"/>
          <w:vertAlign w:val="baseline"/>
        </w:rPr>
        <w:t xml:space="preserve"> </w:t>
      </w:r>
      <w:r>
        <w:rPr>
          <w:vertAlign w:val="baseline"/>
        </w:rPr>
        <w:t>develop</w:t>
      </w:r>
      <w:r>
        <w:rPr>
          <w:spacing w:val="-2"/>
          <w:vertAlign w:val="baseline"/>
        </w:rPr>
        <w:t xml:space="preserve"> </w:t>
      </w:r>
      <w:r>
        <w:rPr>
          <w:vertAlign w:val="baseline"/>
        </w:rPr>
        <w:t>their</w:t>
      </w:r>
      <w:r>
        <w:rPr>
          <w:spacing w:val="-4"/>
          <w:vertAlign w:val="baseline"/>
        </w:rPr>
        <w:t xml:space="preserve"> </w:t>
      </w:r>
      <w:r>
        <w:rPr>
          <w:vertAlign w:val="baseline"/>
        </w:rPr>
        <w:t>own</w:t>
      </w:r>
      <w:r>
        <w:rPr>
          <w:spacing w:val="-2"/>
          <w:vertAlign w:val="baseline"/>
        </w:rPr>
        <w:t xml:space="preserve"> </w:t>
      </w:r>
      <w:r>
        <w:rPr>
          <w:vertAlign w:val="baseline"/>
        </w:rPr>
        <w:t>standard</w:t>
      </w:r>
      <w:r>
        <w:rPr>
          <w:spacing w:val="-2"/>
          <w:vertAlign w:val="baseline"/>
        </w:rPr>
        <w:t xml:space="preserve"> </w:t>
      </w:r>
      <w:r>
        <w:rPr>
          <w:vertAlign w:val="baseline"/>
        </w:rPr>
        <w:t>notices for</w:t>
      </w:r>
      <w:r>
        <w:rPr>
          <w:spacing w:val="-4"/>
          <w:vertAlign w:val="baseline"/>
        </w:rPr>
        <w:t xml:space="preserve"> </w:t>
      </w:r>
      <w:r>
        <w:rPr>
          <w:vertAlign w:val="baseline"/>
        </w:rPr>
        <w:t>product</w:t>
      </w:r>
      <w:r>
        <w:rPr>
          <w:spacing w:val="-5"/>
          <w:vertAlign w:val="baseline"/>
        </w:rPr>
        <w:t xml:space="preserve"> </w:t>
      </w:r>
      <w:r>
        <w:rPr>
          <w:vertAlign w:val="baseline"/>
        </w:rPr>
        <w:t>discontinuances, renewals, or both, provided the State-developed notices are at least as consumer-protective as the Federal standard notices.</w:t>
      </w:r>
    </w:p>
    <w:p>
      <w:pPr>
        <w:pStyle w:val="BodyText"/>
        <w:spacing w:before="270" w:line="242" w:lineRule="auto"/>
        <w:ind w:left="1211" w:right="857"/>
      </w:pPr>
      <w:r>
        <w:t>Issuers</w:t>
      </w:r>
      <w:r>
        <w:rPr>
          <w:spacing w:val="-2"/>
        </w:rPr>
        <w:t xml:space="preserve"> </w:t>
      </w:r>
      <w:r>
        <w:t>in the</w:t>
      </w:r>
      <w:r>
        <w:rPr>
          <w:spacing w:val="-1"/>
        </w:rPr>
        <w:t xml:space="preserve"> </w:t>
      </w:r>
      <w:r>
        <w:t>small</w:t>
      </w:r>
      <w:r>
        <w:rPr>
          <w:spacing w:val="-3"/>
        </w:rPr>
        <w:t xml:space="preserve"> </w:t>
      </w:r>
      <w:r>
        <w:t>group market</w:t>
      </w:r>
      <w:r>
        <w:rPr>
          <w:spacing w:val="-4"/>
        </w:rPr>
        <w:t xml:space="preserve"> </w:t>
      </w:r>
      <w:r>
        <w:t>may</w:t>
      </w:r>
      <w:r>
        <w:rPr>
          <w:spacing w:val="-1"/>
        </w:rPr>
        <w:t xml:space="preserve"> </w:t>
      </w:r>
      <w:r>
        <w:t>use</w:t>
      </w:r>
      <w:r>
        <w:rPr>
          <w:spacing w:val="-1"/>
        </w:rPr>
        <w:t xml:space="preserve"> </w:t>
      </w:r>
      <w:r>
        <w:t>the</w:t>
      </w:r>
      <w:r>
        <w:rPr>
          <w:spacing w:val="-1"/>
        </w:rPr>
        <w:t xml:space="preserve"> </w:t>
      </w:r>
      <w:r>
        <w:t>draft</w:t>
      </w:r>
      <w:r>
        <w:rPr>
          <w:spacing w:val="-3"/>
        </w:rPr>
        <w:t xml:space="preserve"> </w:t>
      </w:r>
      <w:r>
        <w:t>Federal</w:t>
      </w:r>
      <w:r>
        <w:rPr>
          <w:spacing w:val="-3"/>
        </w:rPr>
        <w:t xml:space="preserve"> </w:t>
      </w:r>
      <w:r>
        <w:t>standard small group notices released</w:t>
      </w:r>
      <w:r>
        <w:rPr>
          <w:spacing w:val="-4"/>
        </w:rPr>
        <w:t xml:space="preserve"> </w:t>
      </w:r>
      <w:r>
        <w:t>in</w:t>
      </w:r>
      <w:r>
        <w:rPr>
          <w:spacing w:val="-3"/>
        </w:rPr>
        <w:t xml:space="preserve"> </w:t>
      </w:r>
      <w:r>
        <w:t>the</w:t>
      </w:r>
      <w:r>
        <w:rPr>
          <w:spacing w:val="-2"/>
        </w:rPr>
        <w:t xml:space="preserve"> </w:t>
      </w:r>
      <w:r>
        <w:t>June</w:t>
      </w:r>
      <w:r>
        <w:rPr>
          <w:spacing w:val="-4"/>
        </w:rPr>
        <w:t xml:space="preserve"> </w:t>
      </w:r>
      <w:r>
        <w:t>26, 2014</w:t>
      </w:r>
      <w:r>
        <w:rPr>
          <w:spacing w:val="-1"/>
        </w:rPr>
        <w:t xml:space="preserve"> </w:t>
      </w:r>
      <w:r>
        <w:t>bulletin,</w:t>
      </w:r>
      <w:hyperlink w:anchor="_bookmark3" w:history="1">
        <w:r>
          <w:rPr>
            <w:vertAlign w:val="superscript"/>
          </w:rPr>
          <w:t>4</w:t>
        </w:r>
      </w:hyperlink>
      <w:r>
        <w:rPr>
          <w:vertAlign w:val="baseline"/>
        </w:rPr>
        <w:t xml:space="preserve"> or</w:t>
      </w:r>
      <w:r>
        <w:rPr>
          <w:spacing w:val="-5"/>
          <w:vertAlign w:val="baseline"/>
        </w:rPr>
        <w:t xml:space="preserve"> </w:t>
      </w:r>
      <w:r>
        <w:rPr>
          <w:vertAlign w:val="baseline"/>
        </w:rPr>
        <w:t>any</w:t>
      </w:r>
      <w:r>
        <w:rPr>
          <w:spacing w:val="-4"/>
          <w:vertAlign w:val="baseline"/>
        </w:rPr>
        <w:t xml:space="preserve"> </w:t>
      </w:r>
      <w:r>
        <w:rPr>
          <w:vertAlign w:val="baseline"/>
        </w:rPr>
        <w:t>forms</w:t>
      </w:r>
      <w:r>
        <w:rPr>
          <w:spacing w:val="-5"/>
          <w:vertAlign w:val="baseline"/>
        </w:rPr>
        <w:t xml:space="preserve"> </w:t>
      </w:r>
      <w:r>
        <w:rPr>
          <w:vertAlign w:val="baseline"/>
        </w:rPr>
        <w:t>of</w:t>
      </w:r>
      <w:r>
        <w:rPr>
          <w:spacing w:val="-5"/>
          <w:vertAlign w:val="baseline"/>
        </w:rPr>
        <w:t xml:space="preserve"> </w:t>
      </w:r>
      <w:r>
        <w:rPr>
          <w:vertAlign w:val="baseline"/>
        </w:rPr>
        <w:t>the</w:t>
      </w:r>
      <w:r>
        <w:rPr>
          <w:spacing w:val="-4"/>
          <w:vertAlign w:val="baseline"/>
        </w:rPr>
        <w:t xml:space="preserve"> </w:t>
      </w:r>
      <w:r>
        <w:rPr>
          <w:vertAlign w:val="baseline"/>
        </w:rPr>
        <w:t>notice</w:t>
      </w:r>
      <w:r>
        <w:rPr>
          <w:spacing w:val="-5"/>
          <w:vertAlign w:val="baseline"/>
        </w:rPr>
        <w:t xml:space="preserve"> </w:t>
      </w:r>
      <w:r>
        <w:rPr>
          <w:vertAlign w:val="baseline"/>
        </w:rPr>
        <w:t>otherwise permitted</w:t>
      </w:r>
      <w:r>
        <w:rPr>
          <w:spacing w:val="-7"/>
          <w:vertAlign w:val="baseline"/>
        </w:rPr>
        <w:t xml:space="preserve"> </w:t>
      </w:r>
      <w:r>
        <w:rPr>
          <w:vertAlign w:val="baseline"/>
        </w:rPr>
        <w:t>by applicable laws and regulations. Small group market issuers not using the form and manner of the draft Federal standard notices released in the June 26, 2014 bulletin are expected to include the content described in the September 2, 2014 bulletin</w:t>
      </w:r>
      <w:hyperlink w:anchor="_bookmark4" w:history="1">
        <w:r>
          <w:rPr>
            <w:vertAlign w:val="superscript"/>
          </w:rPr>
          <w:t>5</w:t>
        </w:r>
      </w:hyperlink>
      <w:r>
        <w:rPr>
          <w:vertAlign w:val="baseline"/>
        </w:rPr>
        <w:t xml:space="preserve"> “Form and Manner of Notices When Discontinuing or Renewing a Product in the Group or Individual Market.”</w:t>
      </w:r>
    </w:p>
    <w:p>
      <w:pPr>
        <w:pStyle w:val="BodyText"/>
        <w:spacing w:before="4"/>
      </w:pPr>
    </w:p>
    <w:p>
      <w:pPr>
        <w:pStyle w:val="BodyText"/>
        <w:spacing w:line="242" w:lineRule="auto"/>
        <w:ind w:left="1211" w:right="857"/>
      </w:pPr>
      <w:r>
        <w:t>The federal standard notices to be sent by issuers of individual market QHPs and other issuers in the individual market have been revised to reflect the policies proposed in the 2025</w:t>
      </w:r>
      <w:r>
        <w:rPr>
          <w:spacing w:val="-4"/>
        </w:rPr>
        <w:t xml:space="preserve"> </w:t>
      </w:r>
      <w:r>
        <w:t>Proposed</w:t>
      </w:r>
      <w:r>
        <w:rPr>
          <w:spacing w:val="-5"/>
        </w:rPr>
        <w:t xml:space="preserve"> </w:t>
      </w:r>
      <w:r>
        <w:t>Rule, and</w:t>
      </w:r>
      <w:r>
        <w:rPr>
          <w:spacing w:val="-11"/>
        </w:rPr>
        <w:t xml:space="preserve"> </w:t>
      </w:r>
      <w:r>
        <w:t>update</w:t>
      </w:r>
      <w:r>
        <w:rPr>
          <w:spacing w:val="-5"/>
        </w:rPr>
        <w:t xml:space="preserve"> </w:t>
      </w:r>
      <w:r>
        <w:t>out-of-date</w:t>
      </w:r>
      <w:r>
        <w:rPr>
          <w:spacing w:val="-5"/>
        </w:rPr>
        <w:t xml:space="preserve"> </w:t>
      </w:r>
      <w:r>
        <w:t>information. If</w:t>
      </w:r>
      <w:r>
        <w:rPr>
          <w:spacing w:val="-6"/>
        </w:rPr>
        <w:t xml:space="preserve"> </w:t>
      </w:r>
      <w:r>
        <w:t>finalized,</w:t>
      </w:r>
      <w:r>
        <w:rPr>
          <w:spacing w:val="-1"/>
        </w:rPr>
        <w:t xml:space="preserve"> </w:t>
      </w:r>
      <w:r>
        <w:t>the</w:t>
      </w:r>
      <w:r>
        <w:rPr>
          <w:spacing w:val="-3"/>
        </w:rPr>
        <w:t xml:space="preserve"> </w:t>
      </w:r>
      <w:r>
        <w:t>revised</w:t>
      </w:r>
      <w:r>
        <w:rPr>
          <w:spacing w:val="-5"/>
        </w:rPr>
        <w:t xml:space="preserve"> </w:t>
      </w:r>
      <w:r>
        <w:t>notices in this information collection (Attachments 1- 6) would be required for notices provided in connection with coverage beginning in the 2026 benefit year.</w:t>
      </w:r>
    </w:p>
    <w:p>
      <w:pPr>
        <w:pStyle w:val="BodyText"/>
        <w:spacing w:before="273" w:line="244" w:lineRule="auto"/>
        <w:ind w:left="1211" w:right="857"/>
      </w:pPr>
      <w:r>
        <w:t>The</w:t>
      </w:r>
      <w:r>
        <w:rPr>
          <w:spacing w:val="-4"/>
        </w:rPr>
        <w:t xml:space="preserve"> </w:t>
      </w:r>
      <w:r>
        <w:t>Centers</w:t>
      </w:r>
      <w:r>
        <w:rPr>
          <w:spacing w:val="-5"/>
        </w:rPr>
        <w:t xml:space="preserve"> </w:t>
      </w:r>
      <w:r>
        <w:t>for</w:t>
      </w:r>
      <w:r>
        <w:rPr>
          <w:spacing w:val="-5"/>
        </w:rPr>
        <w:t xml:space="preserve"> </w:t>
      </w:r>
      <w:r>
        <w:t>Medicare</w:t>
      </w:r>
      <w:r>
        <w:rPr>
          <w:spacing w:val="-4"/>
        </w:rPr>
        <w:t xml:space="preserve"> </w:t>
      </w:r>
      <w:r>
        <w:t>&amp;</w:t>
      </w:r>
      <w:r>
        <w:rPr>
          <w:spacing w:val="-6"/>
        </w:rPr>
        <w:t xml:space="preserve"> </w:t>
      </w:r>
      <w:r>
        <w:t>Medicaid</w:t>
      </w:r>
      <w:r>
        <w:rPr>
          <w:spacing w:val="-3"/>
        </w:rPr>
        <w:t xml:space="preserve"> </w:t>
      </w:r>
      <w:r>
        <w:t>Services</w:t>
      </w:r>
      <w:r>
        <w:rPr>
          <w:spacing w:val="-5"/>
        </w:rPr>
        <w:t xml:space="preserve"> </w:t>
      </w:r>
      <w:r>
        <w:t>(CMS)</w:t>
      </w:r>
      <w:r>
        <w:rPr>
          <w:spacing w:val="-5"/>
        </w:rPr>
        <w:t xml:space="preserve"> </w:t>
      </w:r>
      <w:r>
        <w:t>is</w:t>
      </w:r>
      <w:r>
        <w:rPr>
          <w:spacing w:val="-5"/>
        </w:rPr>
        <w:t xml:space="preserve"> </w:t>
      </w:r>
      <w:r>
        <w:t>requesting</w:t>
      </w:r>
      <w:r>
        <w:rPr>
          <w:spacing w:val="-3"/>
        </w:rPr>
        <w:t xml:space="preserve"> </w:t>
      </w:r>
      <w:r>
        <w:t>OMB</w:t>
      </w:r>
      <w:r>
        <w:rPr>
          <w:spacing w:val="-1"/>
        </w:rPr>
        <w:t xml:space="preserve"> </w:t>
      </w:r>
      <w:r>
        <w:t>approval</w:t>
      </w:r>
      <w:r>
        <w:rPr>
          <w:spacing w:val="-6"/>
        </w:rPr>
        <w:t xml:space="preserve"> </w:t>
      </w:r>
      <w:r>
        <w:t>for the revised data collections included in this information collection request (ICR).</w:t>
      </w:r>
    </w:p>
    <w:p>
      <w:pPr>
        <w:pStyle w:val="BodyText"/>
        <w:spacing w:before="1"/>
      </w:pPr>
    </w:p>
    <w:p>
      <w:pPr>
        <w:pStyle w:val="ListParagraph"/>
        <w:numPr>
          <w:ilvl w:val="1"/>
          <w:numId w:val="2"/>
        </w:numPr>
        <w:tabs>
          <w:tab w:val="left" w:pos="1190"/>
        </w:tabs>
        <w:spacing w:before="1" w:after="0" w:line="240" w:lineRule="auto"/>
        <w:ind w:left="1190" w:right="0" w:hanging="431"/>
        <w:jc w:val="left"/>
        <w:rPr>
          <w:sz w:val="24"/>
        </w:rPr>
      </w:pPr>
      <w:r>
        <w:rPr>
          <w:sz w:val="24"/>
          <w:u w:val="single"/>
        </w:rPr>
        <w:t>Information</w:t>
      </w:r>
      <w:r>
        <w:rPr>
          <w:spacing w:val="-10"/>
          <w:sz w:val="24"/>
          <w:u w:val="single"/>
        </w:rPr>
        <w:t xml:space="preserve"> </w:t>
      </w:r>
      <w:r>
        <w:rPr>
          <w:spacing w:val="-4"/>
          <w:sz w:val="24"/>
          <w:u w:val="single"/>
        </w:rPr>
        <w:t>Users</w:t>
      </w:r>
    </w:p>
    <w:p>
      <w:pPr>
        <w:pStyle w:val="BodyText"/>
        <w:spacing w:before="204" w:line="242" w:lineRule="auto"/>
        <w:ind w:left="1211" w:right="857"/>
      </w:pPr>
      <w:r>
        <w:t>Consumers</w:t>
      </w:r>
      <w:r>
        <w:rPr>
          <w:spacing w:val="-4"/>
        </w:rPr>
        <w:t xml:space="preserve"> </w:t>
      </w:r>
      <w:r>
        <w:t>will</w:t>
      </w:r>
      <w:r>
        <w:rPr>
          <w:spacing w:val="-5"/>
        </w:rPr>
        <w:t xml:space="preserve"> </w:t>
      </w:r>
      <w:r>
        <w:t>need</w:t>
      </w:r>
      <w:r>
        <w:rPr>
          <w:spacing w:val="-3"/>
        </w:rPr>
        <w:t xml:space="preserve"> </w:t>
      </w:r>
      <w:r>
        <w:t>the</w:t>
      </w:r>
      <w:r>
        <w:rPr>
          <w:spacing w:val="-4"/>
        </w:rPr>
        <w:t xml:space="preserve"> </w:t>
      </w:r>
      <w:r>
        <w:t>information</w:t>
      </w:r>
      <w:r>
        <w:rPr>
          <w:spacing w:val="-3"/>
        </w:rPr>
        <w:t xml:space="preserve"> </w:t>
      </w:r>
      <w:r>
        <w:t>in</w:t>
      </w:r>
      <w:r>
        <w:rPr>
          <w:spacing w:val="-3"/>
        </w:rPr>
        <w:t xml:space="preserve"> </w:t>
      </w:r>
      <w:r>
        <w:t>these</w:t>
      </w:r>
      <w:r>
        <w:rPr>
          <w:spacing w:val="-4"/>
        </w:rPr>
        <w:t xml:space="preserve"> </w:t>
      </w:r>
      <w:r>
        <w:t>notices</w:t>
      </w:r>
      <w:r>
        <w:rPr>
          <w:spacing w:val="-4"/>
        </w:rPr>
        <w:t xml:space="preserve"> </w:t>
      </w:r>
      <w:r>
        <w:t>in</w:t>
      </w:r>
      <w:r>
        <w:rPr>
          <w:spacing w:val="-3"/>
        </w:rPr>
        <w:t xml:space="preserve"> </w:t>
      </w:r>
      <w:r>
        <w:t>order</w:t>
      </w:r>
      <w:r>
        <w:rPr>
          <w:spacing w:val="-4"/>
        </w:rPr>
        <w:t xml:space="preserve"> </w:t>
      </w:r>
      <w:r>
        <w:t>to</w:t>
      </w:r>
      <w:r>
        <w:rPr>
          <w:spacing w:val="-3"/>
        </w:rPr>
        <w:t xml:space="preserve"> </w:t>
      </w:r>
      <w:r>
        <w:t>understand</w:t>
      </w:r>
      <w:r>
        <w:rPr>
          <w:spacing w:val="-3"/>
        </w:rPr>
        <w:t xml:space="preserve"> </w:t>
      </w:r>
      <w:r>
        <w:t>the</w:t>
      </w:r>
      <w:r>
        <w:rPr>
          <w:spacing w:val="-3"/>
        </w:rPr>
        <w:t xml:space="preserve"> </w:t>
      </w:r>
      <w:r>
        <w:t>annual renewal process and the Exchange redetermination process, as well as to make appropriate decisions regarding their coverage for the next plan year.</w:t>
      </w:r>
    </w:p>
    <w:p>
      <w:pPr>
        <w:pStyle w:val="ListParagraph"/>
        <w:numPr>
          <w:ilvl w:val="1"/>
          <w:numId w:val="2"/>
        </w:numPr>
        <w:tabs>
          <w:tab w:val="left" w:pos="1190"/>
        </w:tabs>
        <w:spacing w:before="230" w:after="0" w:line="240" w:lineRule="auto"/>
        <w:ind w:left="1190" w:right="0" w:hanging="431"/>
        <w:jc w:val="left"/>
        <w:rPr>
          <w:sz w:val="24"/>
        </w:rPr>
      </w:pPr>
      <w:r>
        <w:rPr>
          <w:sz w:val="24"/>
          <w:u w:val="single"/>
        </w:rPr>
        <w:t>Use</w:t>
      </w:r>
      <w:r>
        <w:rPr>
          <w:spacing w:val="-3"/>
          <w:sz w:val="24"/>
          <w:u w:val="single"/>
        </w:rPr>
        <w:t xml:space="preserve"> </w:t>
      </w:r>
      <w:r>
        <w:rPr>
          <w:sz w:val="24"/>
          <w:u w:val="single"/>
        </w:rPr>
        <w:t>of</w:t>
      </w:r>
      <w:r>
        <w:rPr>
          <w:spacing w:val="-4"/>
          <w:sz w:val="24"/>
          <w:u w:val="single"/>
        </w:rPr>
        <w:t xml:space="preserve"> </w:t>
      </w:r>
      <w:r>
        <w:rPr>
          <w:sz w:val="24"/>
          <w:u w:val="single"/>
        </w:rPr>
        <w:t xml:space="preserve">Information </w:t>
      </w:r>
      <w:r>
        <w:rPr>
          <w:spacing w:val="-2"/>
          <w:sz w:val="24"/>
          <w:u w:val="single"/>
        </w:rPr>
        <w:t>Technology</w:t>
      </w:r>
    </w:p>
    <w:p>
      <w:pPr>
        <w:pStyle w:val="BodyText"/>
        <w:spacing w:before="204"/>
        <w:ind w:left="1190"/>
      </w:pPr>
      <w:r>
        <w:t>Exchanges</w:t>
      </w:r>
      <w:r>
        <w:rPr>
          <w:spacing w:val="-4"/>
        </w:rPr>
        <w:t xml:space="preserve"> </w:t>
      </w:r>
      <w:r>
        <w:t>and</w:t>
      </w:r>
      <w:r>
        <w:rPr>
          <w:spacing w:val="-2"/>
        </w:rPr>
        <w:t xml:space="preserve"> </w:t>
      </w:r>
      <w:r>
        <w:t>issuers</w:t>
      </w:r>
      <w:r>
        <w:rPr>
          <w:spacing w:val="-3"/>
        </w:rPr>
        <w:t xml:space="preserve"> </w:t>
      </w:r>
      <w:r>
        <w:t>may</w:t>
      </w:r>
      <w:r>
        <w:rPr>
          <w:spacing w:val="-3"/>
        </w:rPr>
        <w:t xml:space="preserve"> </w:t>
      </w:r>
      <w:r>
        <w:t>provide</w:t>
      </w:r>
      <w:r>
        <w:rPr>
          <w:spacing w:val="-2"/>
        </w:rPr>
        <w:t xml:space="preserve"> </w:t>
      </w:r>
      <w:r>
        <w:t>notices</w:t>
      </w:r>
      <w:r>
        <w:rPr>
          <w:spacing w:val="1"/>
        </w:rPr>
        <w:t xml:space="preserve"> </w:t>
      </w:r>
      <w:r>
        <w:rPr>
          <w:spacing w:val="-2"/>
        </w:rPr>
        <w:t>electronically.</w:t>
      </w:r>
    </w:p>
    <w:p>
      <w:pPr>
        <w:pStyle w:val="BodyText"/>
        <w:spacing w:before="6"/>
      </w:pPr>
    </w:p>
    <w:p>
      <w:pPr>
        <w:pStyle w:val="ListParagraph"/>
        <w:numPr>
          <w:ilvl w:val="1"/>
          <w:numId w:val="2"/>
        </w:numPr>
        <w:tabs>
          <w:tab w:val="left" w:pos="1190"/>
        </w:tabs>
        <w:spacing w:before="0" w:after="0" w:line="240" w:lineRule="auto"/>
        <w:ind w:left="1190" w:right="0" w:hanging="431"/>
        <w:jc w:val="left"/>
        <w:rPr>
          <w:sz w:val="24"/>
        </w:rPr>
      </w:pPr>
      <w:r>
        <w:rPr>
          <w:sz w:val="24"/>
          <w:u w:val="single"/>
        </w:rPr>
        <w:t>Duplication</w:t>
      </w:r>
      <w:r>
        <w:rPr>
          <w:spacing w:val="-2"/>
          <w:sz w:val="24"/>
          <w:u w:val="single"/>
        </w:rPr>
        <w:t xml:space="preserve"> </w:t>
      </w:r>
      <w:r>
        <w:rPr>
          <w:sz w:val="24"/>
          <w:u w:val="single"/>
        </w:rPr>
        <w:t>of</w:t>
      </w:r>
      <w:r>
        <w:rPr>
          <w:spacing w:val="-1"/>
          <w:sz w:val="24"/>
          <w:u w:val="single"/>
        </w:rPr>
        <w:t xml:space="preserve"> </w:t>
      </w:r>
      <w:r>
        <w:rPr>
          <w:spacing w:val="-2"/>
          <w:sz w:val="24"/>
          <w:u w:val="single"/>
        </w:rPr>
        <w:t>Efforts</w:t>
      </w:r>
    </w:p>
    <w:p>
      <w:pPr>
        <w:pStyle w:val="BodyText"/>
        <w:spacing w:before="204"/>
        <w:ind w:left="1190"/>
      </w:pPr>
      <w:r>
        <w:t>There</w:t>
      </w:r>
      <w:r>
        <w:rPr>
          <w:spacing w:val="-3"/>
        </w:rPr>
        <w:t xml:space="preserve"> </w:t>
      </w:r>
      <w:r>
        <w:t>will</w:t>
      </w:r>
      <w:r>
        <w:rPr>
          <w:spacing w:val="-3"/>
        </w:rPr>
        <w:t xml:space="preserve"> </w:t>
      </w:r>
      <w:r>
        <w:t>be</w:t>
      </w:r>
      <w:r>
        <w:rPr>
          <w:spacing w:val="-2"/>
        </w:rPr>
        <w:t xml:space="preserve"> </w:t>
      </w:r>
      <w:r>
        <w:t>no</w:t>
      </w:r>
      <w:r>
        <w:rPr>
          <w:spacing w:val="-1"/>
        </w:rPr>
        <w:t xml:space="preserve"> </w:t>
      </w:r>
      <w:r>
        <w:t>duplication</w:t>
      </w:r>
      <w:r>
        <w:rPr>
          <w:spacing w:val="-2"/>
        </w:rPr>
        <w:t xml:space="preserve"> </w:t>
      </w:r>
      <w:r>
        <w:t>of</w:t>
      </w:r>
      <w:r>
        <w:rPr>
          <w:spacing w:val="-8"/>
        </w:rPr>
        <w:t xml:space="preserve"> </w:t>
      </w:r>
      <w:r>
        <w:rPr>
          <w:spacing w:val="-2"/>
        </w:rPr>
        <w:t>efforts.</w:t>
      </w:r>
    </w:p>
    <w:p>
      <w:pPr>
        <w:pStyle w:val="BodyText"/>
        <w:spacing w:before="202"/>
        <w:rPr>
          <w:sz w:val="20"/>
        </w:rPr>
      </w:pPr>
      <w: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290136</wp:posOffset>
                </wp:positionV>
                <wp:extent cx="183007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6"/>
                              </a:lnTo>
                              <a:lnTo>
                                <a:pt x="1829689" y="8966"/>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7pt;height:0.71pt;margin-top:22.85pt;margin-left:72.05pt;mso-position-horizontal-relative:page;mso-wrap-distance-left:0;mso-wrap-distance-right:0;position:absolute;z-index:-251653120" filled="t" fillcolor="black" stroked="f">
                <v:fill type="solid"/>
                <w10:wrap type="topAndBottom"/>
              </v:rect>
            </w:pict>
          </mc:Fallback>
        </mc:AlternateContent>
      </w:r>
    </w:p>
    <w:p>
      <w:pPr>
        <w:spacing w:before="112" w:line="254" w:lineRule="auto"/>
        <w:ind w:left="660" w:right="705" w:firstLine="0"/>
        <w:jc w:val="left"/>
        <w:rPr>
          <w:sz w:val="19"/>
        </w:rPr>
      </w:pPr>
      <w:bookmarkStart w:id="1" w:name="_bookmark1"/>
      <w:bookmarkEnd w:id="1"/>
      <w:r>
        <w:rPr>
          <w:w w:val="105"/>
          <w:sz w:val="19"/>
          <w:vertAlign w:val="superscript"/>
        </w:rPr>
        <w:t>2</w:t>
      </w:r>
      <w:r>
        <w:rPr>
          <w:w w:val="105"/>
          <w:sz w:val="19"/>
          <w:vertAlign w:val="baseline"/>
        </w:rPr>
        <w:t xml:space="preserve"> Updated Federal Standard Renewal and Product Discontinuation Notices, and Enforcement Safe Harbor for Product Discontinuation Notices in Connection with the Open Enrollment Period for Coverage in the Individual Market</w:t>
      </w:r>
      <w:r>
        <w:rPr>
          <w:spacing w:val="-1"/>
          <w:w w:val="105"/>
          <w:sz w:val="19"/>
          <w:vertAlign w:val="baseline"/>
        </w:rPr>
        <w:t xml:space="preserve"> </w:t>
      </w:r>
      <w:r>
        <w:rPr>
          <w:w w:val="105"/>
          <w:sz w:val="19"/>
          <w:vertAlign w:val="baseline"/>
        </w:rPr>
        <w:t>in</w:t>
      </w:r>
      <w:r>
        <w:rPr>
          <w:spacing w:val="-3"/>
          <w:w w:val="105"/>
          <w:sz w:val="19"/>
          <w:vertAlign w:val="baseline"/>
        </w:rPr>
        <w:t xml:space="preserve"> </w:t>
      </w:r>
      <w:r>
        <w:rPr>
          <w:w w:val="105"/>
          <w:sz w:val="19"/>
          <w:vertAlign w:val="baseline"/>
        </w:rPr>
        <w:t>the</w:t>
      </w:r>
      <w:r>
        <w:rPr>
          <w:spacing w:val="-4"/>
          <w:w w:val="105"/>
          <w:sz w:val="19"/>
          <w:vertAlign w:val="baseline"/>
        </w:rPr>
        <w:t xml:space="preserve"> </w:t>
      </w:r>
      <w:r>
        <w:rPr>
          <w:w w:val="105"/>
          <w:sz w:val="19"/>
          <w:vertAlign w:val="baseline"/>
        </w:rPr>
        <w:t>2024 Benefit</w:t>
      </w:r>
      <w:r>
        <w:rPr>
          <w:spacing w:val="-1"/>
          <w:w w:val="105"/>
          <w:sz w:val="19"/>
          <w:vertAlign w:val="baseline"/>
        </w:rPr>
        <w:t xml:space="preserve"> </w:t>
      </w:r>
      <w:r>
        <w:rPr>
          <w:w w:val="105"/>
          <w:sz w:val="19"/>
          <w:vertAlign w:val="baseline"/>
        </w:rPr>
        <w:t>Year (June</w:t>
      </w:r>
      <w:r>
        <w:rPr>
          <w:spacing w:val="-6"/>
          <w:w w:val="105"/>
          <w:sz w:val="19"/>
          <w:vertAlign w:val="baseline"/>
        </w:rPr>
        <w:t xml:space="preserve"> </w:t>
      </w:r>
      <w:r>
        <w:rPr>
          <w:w w:val="105"/>
          <w:sz w:val="19"/>
          <w:vertAlign w:val="baseline"/>
        </w:rPr>
        <w:t>20,</w:t>
      </w:r>
      <w:r>
        <w:rPr>
          <w:spacing w:val="-3"/>
          <w:w w:val="105"/>
          <w:sz w:val="19"/>
          <w:vertAlign w:val="baseline"/>
        </w:rPr>
        <w:t xml:space="preserve"> </w:t>
      </w:r>
      <w:r>
        <w:rPr>
          <w:w w:val="105"/>
          <w:sz w:val="19"/>
          <w:vertAlign w:val="baseline"/>
        </w:rPr>
        <w:t>2023) available</w:t>
      </w:r>
      <w:r>
        <w:rPr>
          <w:spacing w:val="-6"/>
          <w:w w:val="105"/>
          <w:sz w:val="19"/>
          <w:vertAlign w:val="baseline"/>
        </w:rPr>
        <w:t xml:space="preserve"> </w:t>
      </w:r>
      <w:r>
        <w:rPr>
          <w:w w:val="105"/>
          <w:sz w:val="19"/>
          <w:vertAlign w:val="baseline"/>
        </w:rPr>
        <w:t>at: https://</w:t>
      </w:r>
      <w:hyperlink r:id="rId6">
        <w:r>
          <w:rPr>
            <w:w w:val="105"/>
            <w:sz w:val="19"/>
            <w:vertAlign w:val="baseline"/>
          </w:rPr>
          <w:t>www.cms.gov/files/document/updated-federal-</w:t>
        </w:r>
      </w:hyperlink>
      <w:r>
        <w:rPr>
          <w:w w:val="105"/>
          <w:sz w:val="19"/>
          <w:vertAlign w:val="baseline"/>
        </w:rPr>
        <w:t xml:space="preserve"> </w:t>
      </w:r>
      <w:bookmarkStart w:id="2" w:name="_bookmark2"/>
      <w:bookmarkEnd w:id="2"/>
      <w:r>
        <w:rPr>
          <w:spacing w:val="-2"/>
          <w:w w:val="105"/>
          <w:sz w:val="19"/>
          <w:vertAlign w:val="baseline"/>
        </w:rPr>
        <w:t>s</w:t>
      </w:r>
      <w:r>
        <w:rPr>
          <w:spacing w:val="-2"/>
          <w:w w:val="105"/>
          <w:sz w:val="19"/>
          <w:vertAlign w:val="baseline"/>
        </w:rPr>
        <w:t>tandard-notices-and-enforcement-safe-harbor-discontinuation-notices-py-2024.</w:t>
      </w:r>
    </w:p>
    <w:p>
      <w:pPr>
        <w:spacing w:before="0" w:line="210" w:lineRule="exact"/>
        <w:ind w:left="660" w:right="0" w:firstLine="0"/>
        <w:jc w:val="left"/>
        <w:rPr>
          <w:sz w:val="19"/>
        </w:rPr>
      </w:pPr>
      <w:r>
        <w:rPr>
          <w:w w:val="105"/>
          <w:sz w:val="19"/>
          <w:vertAlign w:val="superscript"/>
        </w:rPr>
        <w:t>3</w:t>
      </w:r>
      <w:r>
        <w:rPr>
          <w:spacing w:val="-4"/>
          <w:w w:val="105"/>
          <w:sz w:val="19"/>
          <w:vertAlign w:val="baseline"/>
        </w:rPr>
        <w:t xml:space="preserve"> </w:t>
      </w:r>
      <w:r>
        <w:rPr>
          <w:w w:val="105"/>
          <w:sz w:val="19"/>
          <w:vertAlign w:val="baseline"/>
        </w:rPr>
        <w:t>Currently,</w:t>
      </w:r>
      <w:r>
        <w:rPr>
          <w:spacing w:val="-3"/>
          <w:w w:val="105"/>
          <w:sz w:val="19"/>
          <w:vertAlign w:val="baseline"/>
        </w:rPr>
        <w:t xml:space="preserve"> </w:t>
      </w:r>
      <w:r>
        <w:rPr>
          <w:w w:val="105"/>
          <w:sz w:val="19"/>
          <w:vertAlign w:val="baseline"/>
        </w:rPr>
        <w:t>Missouri,</w:t>
      </w:r>
      <w:r>
        <w:rPr>
          <w:spacing w:val="-3"/>
          <w:w w:val="105"/>
          <w:sz w:val="19"/>
          <w:vertAlign w:val="baseline"/>
        </w:rPr>
        <w:t xml:space="preserve"> </w:t>
      </w:r>
      <w:r>
        <w:rPr>
          <w:w w:val="105"/>
          <w:sz w:val="19"/>
          <w:vertAlign w:val="baseline"/>
        </w:rPr>
        <w:t>Oklahoma,</w:t>
      </w:r>
      <w:r>
        <w:rPr>
          <w:spacing w:val="-4"/>
          <w:w w:val="105"/>
          <w:sz w:val="19"/>
          <w:vertAlign w:val="baseline"/>
        </w:rPr>
        <w:t xml:space="preserve"> </w:t>
      </w:r>
      <w:r>
        <w:rPr>
          <w:w w:val="105"/>
          <w:sz w:val="19"/>
          <w:vertAlign w:val="baseline"/>
        </w:rPr>
        <w:t>Texas,</w:t>
      </w:r>
      <w:r>
        <w:rPr>
          <w:spacing w:val="2"/>
          <w:w w:val="105"/>
          <w:sz w:val="19"/>
          <w:vertAlign w:val="baseline"/>
        </w:rPr>
        <w:t xml:space="preserve"> </w:t>
      </w:r>
      <w:r>
        <w:rPr>
          <w:w w:val="105"/>
          <w:sz w:val="19"/>
          <w:vertAlign w:val="baseline"/>
        </w:rPr>
        <w:t>Tennessee,</w:t>
      </w:r>
      <w:r>
        <w:rPr>
          <w:spacing w:val="5"/>
          <w:w w:val="105"/>
          <w:sz w:val="19"/>
          <w:vertAlign w:val="baseline"/>
        </w:rPr>
        <w:t xml:space="preserve"> </w:t>
      </w:r>
      <w:r>
        <w:rPr>
          <w:w w:val="105"/>
          <w:sz w:val="19"/>
          <w:vertAlign w:val="baseline"/>
        </w:rPr>
        <w:t>and</w:t>
      </w:r>
      <w:r>
        <w:rPr>
          <w:spacing w:val="4"/>
          <w:w w:val="105"/>
          <w:sz w:val="19"/>
          <w:vertAlign w:val="baseline"/>
        </w:rPr>
        <w:t xml:space="preserve"> </w:t>
      </w:r>
      <w:r>
        <w:rPr>
          <w:w w:val="105"/>
          <w:sz w:val="19"/>
          <w:vertAlign w:val="baseline"/>
        </w:rPr>
        <w:t>Wyoming</w:t>
      </w:r>
      <w:r>
        <w:rPr>
          <w:spacing w:val="3"/>
          <w:w w:val="105"/>
          <w:sz w:val="19"/>
          <w:vertAlign w:val="baseline"/>
        </w:rPr>
        <w:t xml:space="preserve"> </w:t>
      </w:r>
      <w:r>
        <w:rPr>
          <w:w w:val="105"/>
          <w:sz w:val="19"/>
          <w:vertAlign w:val="baseline"/>
        </w:rPr>
        <w:t>have</w:t>
      </w:r>
      <w:r>
        <w:rPr>
          <w:spacing w:val="-6"/>
          <w:w w:val="105"/>
          <w:sz w:val="19"/>
          <w:vertAlign w:val="baseline"/>
        </w:rPr>
        <w:t xml:space="preserve"> </w:t>
      </w:r>
      <w:r>
        <w:rPr>
          <w:w w:val="105"/>
          <w:sz w:val="19"/>
          <w:vertAlign w:val="baseline"/>
        </w:rPr>
        <w:t>informed</w:t>
      </w:r>
      <w:r>
        <w:rPr>
          <w:spacing w:val="3"/>
          <w:w w:val="105"/>
          <w:sz w:val="19"/>
          <w:vertAlign w:val="baseline"/>
        </w:rPr>
        <w:t xml:space="preserve"> </w:t>
      </w:r>
      <w:r>
        <w:rPr>
          <w:w w:val="105"/>
          <w:sz w:val="19"/>
          <w:vertAlign w:val="baseline"/>
        </w:rPr>
        <w:t>HHS that</w:t>
      </w:r>
      <w:r>
        <w:rPr>
          <w:spacing w:val="3"/>
          <w:w w:val="105"/>
          <w:sz w:val="19"/>
          <w:vertAlign w:val="baseline"/>
        </w:rPr>
        <w:t xml:space="preserve"> </w:t>
      </w:r>
      <w:r>
        <w:rPr>
          <w:w w:val="105"/>
          <w:sz w:val="19"/>
          <w:vertAlign w:val="baseline"/>
        </w:rPr>
        <w:t>they</w:t>
      </w:r>
      <w:r>
        <w:rPr>
          <w:spacing w:val="3"/>
          <w:w w:val="105"/>
          <w:sz w:val="19"/>
          <w:vertAlign w:val="baseline"/>
        </w:rPr>
        <w:t xml:space="preserve"> </w:t>
      </w:r>
      <w:r>
        <w:rPr>
          <w:w w:val="105"/>
          <w:sz w:val="19"/>
          <w:vertAlign w:val="baseline"/>
        </w:rPr>
        <w:t>do</w:t>
      </w:r>
      <w:r>
        <w:rPr>
          <w:spacing w:val="-3"/>
          <w:w w:val="105"/>
          <w:sz w:val="19"/>
          <w:vertAlign w:val="baseline"/>
        </w:rPr>
        <w:t xml:space="preserve"> </w:t>
      </w:r>
      <w:r>
        <w:rPr>
          <w:w w:val="105"/>
          <w:sz w:val="19"/>
          <w:vertAlign w:val="baseline"/>
        </w:rPr>
        <w:t>not</w:t>
      </w:r>
      <w:r>
        <w:rPr>
          <w:spacing w:val="-2"/>
          <w:w w:val="105"/>
          <w:sz w:val="19"/>
          <w:vertAlign w:val="baseline"/>
        </w:rPr>
        <w:t xml:space="preserve"> </w:t>
      </w:r>
      <w:r>
        <w:rPr>
          <w:w w:val="105"/>
          <w:sz w:val="19"/>
          <w:vertAlign w:val="baseline"/>
        </w:rPr>
        <w:t>have</w:t>
      </w:r>
      <w:r>
        <w:rPr>
          <w:spacing w:val="-6"/>
          <w:w w:val="105"/>
          <w:sz w:val="19"/>
          <w:vertAlign w:val="baseline"/>
        </w:rPr>
        <w:t xml:space="preserve"> </w:t>
      </w:r>
      <w:r>
        <w:rPr>
          <w:spacing w:val="-5"/>
          <w:w w:val="105"/>
          <w:sz w:val="19"/>
          <w:vertAlign w:val="baseline"/>
        </w:rPr>
        <w:t>the</w:t>
      </w:r>
    </w:p>
    <w:p>
      <w:pPr>
        <w:spacing w:before="15" w:line="252" w:lineRule="auto"/>
        <w:ind w:left="660" w:right="857" w:firstLine="0"/>
        <w:jc w:val="left"/>
        <w:rPr>
          <w:sz w:val="19"/>
        </w:rPr>
      </w:pPr>
      <w:r>
        <w:rPr>
          <w:w w:val="105"/>
          <w:sz w:val="19"/>
        </w:rPr>
        <w:t>authority to enforce or are not otherwise enforcing the Affordable Care Act market reform provisions in their jurisdictions. These are</w:t>
      </w:r>
      <w:r>
        <w:rPr>
          <w:spacing w:val="-7"/>
          <w:w w:val="105"/>
          <w:sz w:val="19"/>
        </w:rPr>
        <w:t xml:space="preserve"> </w:t>
      </w:r>
      <w:r>
        <w:rPr>
          <w:w w:val="105"/>
          <w:sz w:val="19"/>
        </w:rPr>
        <w:t>considered “non-enforcing”</w:t>
      </w:r>
      <w:r>
        <w:rPr>
          <w:spacing w:val="-7"/>
          <w:w w:val="105"/>
          <w:sz w:val="19"/>
        </w:rPr>
        <w:t xml:space="preserve"> </w:t>
      </w:r>
      <w:r>
        <w:rPr>
          <w:w w:val="105"/>
          <w:sz w:val="19"/>
        </w:rPr>
        <w:t>States. All</w:t>
      </w:r>
      <w:r>
        <w:rPr>
          <w:spacing w:val="-2"/>
          <w:w w:val="105"/>
          <w:sz w:val="19"/>
        </w:rPr>
        <w:t xml:space="preserve"> </w:t>
      </w:r>
      <w:r>
        <w:rPr>
          <w:w w:val="105"/>
          <w:sz w:val="19"/>
        </w:rPr>
        <w:t>other</w:t>
      </w:r>
      <w:r>
        <w:rPr>
          <w:spacing w:val="-6"/>
          <w:w w:val="105"/>
          <w:sz w:val="19"/>
        </w:rPr>
        <w:t xml:space="preserve"> </w:t>
      </w:r>
      <w:r>
        <w:rPr>
          <w:w w:val="105"/>
          <w:sz w:val="19"/>
        </w:rPr>
        <w:t>States</w:t>
      </w:r>
      <w:r>
        <w:rPr>
          <w:spacing w:val="-3"/>
          <w:w w:val="105"/>
          <w:sz w:val="19"/>
        </w:rPr>
        <w:t xml:space="preserve"> </w:t>
      </w:r>
      <w:r>
        <w:rPr>
          <w:w w:val="105"/>
          <w:sz w:val="19"/>
        </w:rPr>
        <w:t>are currently</w:t>
      </w:r>
      <w:r>
        <w:rPr>
          <w:spacing w:val="-4"/>
          <w:w w:val="105"/>
          <w:sz w:val="19"/>
        </w:rPr>
        <w:t xml:space="preserve"> </w:t>
      </w:r>
      <w:r>
        <w:rPr>
          <w:w w:val="105"/>
          <w:sz w:val="19"/>
        </w:rPr>
        <w:t>considered</w:t>
      </w:r>
      <w:r>
        <w:rPr>
          <w:spacing w:val="-4"/>
          <w:w w:val="105"/>
          <w:sz w:val="19"/>
        </w:rPr>
        <w:t xml:space="preserve"> </w:t>
      </w:r>
      <w:r>
        <w:rPr>
          <w:w w:val="105"/>
          <w:sz w:val="19"/>
        </w:rPr>
        <w:t>by</w:t>
      </w:r>
      <w:r>
        <w:rPr>
          <w:spacing w:val="-4"/>
          <w:w w:val="105"/>
          <w:sz w:val="19"/>
        </w:rPr>
        <w:t xml:space="preserve"> </w:t>
      </w:r>
      <w:r>
        <w:rPr>
          <w:w w:val="105"/>
          <w:sz w:val="19"/>
        </w:rPr>
        <w:t>HHS</w:t>
      </w:r>
      <w:r>
        <w:rPr>
          <w:spacing w:val="-1"/>
          <w:w w:val="105"/>
          <w:sz w:val="19"/>
        </w:rPr>
        <w:t xml:space="preserve"> </w:t>
      </w:r>
      <w:r>
        <w:rPr>
          <w:w w:val="105"/>
          <w:sz w:val="19"/>
        </w:rPr>
        <w:t>to</w:t>
      </w:r>
      <w:r>
        <w:rPr>
          <w:spacing w:val="-4"/>
          <w:w w:val="105"/>
          <w:sz w:val="19"/>
        </w:rPr>
        <w:t xml:space="preserve"> </w:t>
      </w:r>
      <w:r>
        <w:rPr>
          <w:w w:val="105"/>
          <w:sz w:val="19"/>
        </w:rPr>
        <w:t xml:space="preserve">be </w:t>
      </w:r>
      <w:bookmarkStart w:id="3" w:name="_bookmark3"/>
      <w:bookmarkEnd w:id="3"/>
      <w:r>
        <w:rPr>
          <w:w w:val="105"/>
          <w:sz w:val="19"/>
        </w:rPr>
        <w:t>e</w:t>
      </w:r>
      <w:r>
        <w:rPr>
          <w:w w:val="105"/>
          <w:sz w:val="19"/>
        </w:rPr>
        <w:t>nforcing the Affordable Care Act.</w:t>
      </w:r>
    </w:p>
    <w:p>
      <w:pPr>
        <w:spacing w:before="4" w:line="252" w:lineRule="auto"/>
        <w:ind w:left="660" w:right="720" w:firstLine="0"/>
        <w:jc w:val="left"/>
        <w:rPr>
          <w:sz w:val="19"/>
        </w:rPr>
      </w:pPr>
      <w:r>
        <w:rPr>
          <w:sz w:val="19"/>
          <w:vertAlign w:val="superscript"/>
        </w:rPr>
        <w:t>4</w:t>
      </w:r>
      <w:r>
        <w:rPr>
          <w:spacing w:val="45"/>
          <w:sz w:val="19"/>
          <w:vertAlign w:val="baseline"/>
        </w:rPr>
        <w:t xml:space="preserve"> </w:t>
      </w:r>
      <w:r>
        <w:rPr>
          <w:sz w:val="19"/>
          <w:vertAlign w:val="baseline"/>
        </w:rPr>
        <w:t>Available</w:t>
      </w:r>
      <w:r>
        <w:rPr>
          <w:spacing w:val="53"/>
          <w:sz w:val="19"/>
          <w:vertAlign w:val="baseline"/>
        </w:rPr>
        <w:t xml:space="preserve"> </w:t>
      </w:r>
      <w:r>
        <w:rPr>
          <w:sz w:val="19"/>
          <w:vertAlign w:val="baseline"/>
        </w:rPr>
        <w:t>at</w:t>
      </w:r>
      <w:r>
        <w:rPr>
          <w:spacing w:val="51"/>
          <w:sz w:val="19"/>
          <w:vertAlign w:val="baseline"/>
        </w:rPr>
        <w:t xml:space="preserve"> </w:t>
      </w:r>
      <w:r>
        <w:rPr>
          <w:sz w:val="19"/>
          <w:vertAlign w:val="baseline"/>
        </w:rPr>
        <w:t>https://</w:t>
      </w:r>
      <w:hyperlink r:id="rId7">
        <w:r>
          <w:rPr>
            <w:sz w:val="19"/>
            <w:vertAlign w:val="baseline"/>
          </w:rPr>
          <w:t>www.cms.gov/CCIIO/Resources/Regulations-and-Guidance/Downloads/Bulletin-on-Renewal-</w:t>
        </w:r>
      </w:hyperlink>
      <w:r>
        <w:rPr>
          <w:spacing w:val="80"/>
          <w:w w:val="150"/>
          <w:sz w:val="19"/>
          <w:vertAlign w:val="baseline"/>
        </w:rPr>
        <w:t xml:space="preserve"> </w:t>
      </w:r>
      <w:r>
        <w:rPr>
          <w:w w:val="105"/>
          <w:sz w:val="19"/>
          <w:vertAlign w:val="baseline"/>
        </w:rPr>
        <w:t>and-Discontinuation-Notices.pdf. Note that the draft federal standard notices have not been updated and contain information that is out-of-date.</w:t>
      </w:r>
    </w:p>
    <w:p>
      <w:pPr>
        <w:spacing w:before="0" w:line="252" w:lineRule="auto"/>
        <w:ind w:left="660" w:right="857" w:firstLine="0"/>
        <w:jc w:val="left"/>
        <w:rPr>
          <w:rFonts w:ascii="Calibri"/>
          <w:sz w:val="19"/>
        </w:rPr>
      </w:pPr>
      <w:bookmarkStart w:id="4" w:name="_bookmark4"/>
      <w:bookmarkEnd w:id="4"/>
      <w:r>
        <w:rPr>
          <w:sz w:val="19"/>
          <w:vertAlign w:val="superscript"/>
        </w:rPr>
        <w:t>5</w:t>
      </w:r>
      <w:r>
        <w:rPr>
          <w:spacing w:val="39"/>
          <w:sz w:val="19"/>
          <w:vertAlign w:val="baseline"/>
        </w:rPr>
        <w:t xml:space="preserve"> </w:t>
      </w:r>
      <w:r>
        <w:rPr>
          <w:sz w:val="19"/>
          <w:vertAlign w:val="baseline"/>
        </w:rPr>
        <w:t>Available</w:t>
      </w:r>
      <w:r>
        <w:rPr>
          <w:spacing w:val="46"/>
          <w:sz w:val="19"/>
          <w:vertAlign w:val="baseline"/>
        </w:rPr>
        <w:t xml:space="preserve"> </w:t>
      </w:r>
      <w:r>
        <w:rPr>
          <w:sz w:val="19"/>
          <w:vertAlign w:val="baseline"/>
        </w:rPr>
        <w:t>at</w:t>
      </w:r>
      <w:r>
        <w:rPr>
          <w:spacing w:val="44"/>
          <w:sz w:val="19"/>
          <w:vertAlign w:val="baseline"/>
        </w:rPr>
        <w:t xml:space="preserve"> </w:t>
      </w:r>
      <w:r>
        <w:rPr>
          <w:sz w:val="19"/>
          <w:vertAlign w:val="baseline"/>
        </w:rPr>
        <w:t>https://</w:t>
      </w:r>
      <w:hyperlink r:id="rId8">
        <w:r>
          <w:rPr>
            <w:sz w:val="19"/>
            <w:vertAlign w:val="baseline"/>
          </w:rPr>
          <w:t>www.cms.gov/cciio/resources/regulations-and-guidance/downloads/renewal-notices-9-3-14-</w:t>
        </w:r>
      </w:hyperlink>
      <w:r>
        <w:rPr>
          <w:spacing w:val="80"/>
          <w:w w:val="150"/>
          <w:sz w:val="19"/>
          <w:vertAlign w:val="baseline"/>
        </w:rPr>
        <w:t xml:space="preserve"> </w:t>
      </w:r>
      <w:r>
        <w:rPr>
          <w:spacing w:val="-2"/>
          <w:w w:val="105"/>
          <w:sz w:val="19"/>
          <w:vertAlign w:val="baseline"/>
        </w:rPr>
        <w:t>final.pdf</w:t>
      </w:r>
      <w:r>
        <w:rPr>
          <w:rFonts w:ascii="Calibri"/>
          <w:spacing w:val="-2"/>
          <w:w w:val="105"/>
          <w:sz w:val="19"/>
          <w:vertAlign w:val="baseline"/>
        </w:rPr>
        <w:t>.</w:t>
      </w:r>
    </w:p>
    <w:p>
      <w:pPr>
        <w:spacing w:after="0" w:line="252" w:lineRule="auto"/>
        <w:jc w:val="left"/>
        <w:rPr>
          <w:rFonts w:ascii="Calibri"/>
          <w:sz w:val="19"/>
        </w:rPr>
        <w:sectPr>
          <w:pgSz w:w="12240" w:h="15840"/>
          <w:pgMar w:top="980" w:right="780" w:bottom="960" w:left="780" w:header="0" w:footer="772"/>
          <w:cols w:space="720"/>
        </w:sectPr>
      </w:pPr>
    </w:p>
    <w:p>
      <w:pPr>
        <w:pStyle w:val="ListParagraph"/>
        <w:numPr>
          <w:ilvl w:val="1"/>
          <w:numId w:val="2"/>
        </w:numPr>
        <w:tabs>
          <w:tab w:val="left" w:pos="1190"/>
        </w:tabs>
        <w:spacing w:before="62" w:after="0" w:line="240" w:lineRule="auto"/>
        <w:ind w:left="1190" w:right="0" w:hanging="431"/>
        <w:jc w:val="left"/>
        <w:rPr>
          <w:sz w:val="24"/>
        </w:rPr>
      </w:pPr>
      <w:r>
        <w:rPr>
          <w:sz w:val="24"/>
          <w:u w:val="single"/>
        </w:rPr>
        <w:t xml:space="preserve">Small </w:t>
      </w:r>
      <w:r>
        <w:rPr>
          <w:spacing w:val="-2"/>
          <w:sz w:val="24"/>
          <w:u w:val="single"/>
        </w:rPr>
        <w:t>Businesses</w:t>
      </w:r>
    </w:p>
    <w:p>
      <w:pPr>
        <w:pStyle w:val="BodyText"/>
        <w:spacing w:before="204"/>
        <w:ind w:left="1190"/>
      </w:pPr>
      <w:r>
        <w:t>Small businesses</w:t>
      </w:r>
      <w:r>
        <w:rPr>
          <w:spacing w:val="1"/>
        </w:rPr>
        <w:t xml:space="preserve"> </w:t>
      </w:r>
      <w:r>
        <w:t>are</w:t>
      </w:r>
      <w:r>
        <w:rPr>
          <w:spacing w:val="2"/>
        </w:rPr>
        <w:t xml:space="preserve"> </w:t>
      </w:r>
      <w:r>
        <w:t>not significantly</w:t>
      </w:r>
      <w:r>
        <w:rPr>
          <w:spacing w:val="3"/>
        </w:rPr>
        <w:t xml:space="preserve"> </w:t>
      </w:r>
      <w:r>
        <w:t>affected</w:t>
      </w:r>
      <w:r>
        <w:rPr>
          <w:spacing w:val="3"/>
        </w:rPr>
        <w:t xml:space="preserve"> </w:t>
      </w:r>
      <w:r>
        <w:t>by</w:t>
      </w:r>
      <w:r>
        <w:rPr>
          <w:spacing w:val="3"/>
        </w:rPr>
        <w:t xml:space="preserve"> </w:t>
      </w:r>
      <w:r>
        <w:t>this</w:t>
      </w:r>
      <w:r>
        <w:rPr>
          <w:spacing w:val="1"/>
        </w:rPr>
        <w:t xml:space="preserve"> </w:t>
      </w:r>
      <w:r>
        <w:rPr>
          <w:spacing w:val="-2"/>
        </w:rPr>
        <w:t>collection.</w:t>
      </w:r>
    </w:p>
    <w:p>
      <w:pPr>
        <w:pStyle w:val="BodyText"/>
        <w:spacing w:before="6"/>
      </w:pPr>
    </w:p>
    <w:p>
      <w:pPr>
        <w:pStyle w:val="ListParagraph"/>
        <w:numPr>
          <w:ilvl w:val="1"/>
          <w:numId w:val="2"/>
        </w:numPr>
        <w:tabs>
          <w:tab w:val="left" w:pos="1190"/>
        </w:tabs>
        <w:spacing w:before="0" w:after="0" w:line="240" w:lineRule="auto"/>
        <w:ind w:left="1190" w:right="0" w:hanging="431"/>
        <w:jc w:val="left"/>
        <w:rPr>
          <w:sz w:val="24"/>
        </w:rPr>
      </w:pPr>
      <w:r>
        <w:rPr>
          <w:sz w:val="24"/>
          <w:u w:val="single"/>
        </w:rPr>
        <w:t>Less</w:t>
      </w:r>
      <w:r>
        <w:rPr>
          <w:spacing w:val="1"/>
          <w:sz w:val="24"/>
          <w:u w:val="single"/>
        </w:rPr>
        <w:t xml:space="preserve"> </w:t>
      </w:r>
      <w:r>
        <w:rPr>
          <w:sz w:val="24"/>
          <w:u w:val="single"/>
        </w:rPr>
        <w:t>Frequent</w:t>
      </w:r>
      <w:r>
        <w:rPr>
          <w:spacing w:val="1"/>
          <w:sz w:val="24"/>
          <w:u w:val="single"/>
        </w:rPr>
        <w:t xml:space="preserve"> </w:t>
      </w:r>
      <w:r>
        <w:rPr>
          <w:spacing w:val="-2"/>
          <w:sz w:val="24"/>
          <w:u w:val="single"/>
        </w:rPr>
        <w:t>Collection</w:t>
      </w:r>
    </w:p>
    <w:p>
      <w:pPr>
        <w:pStyle w:val="BodyText"/>
        <w:spacing w:before="70" w:line="300" w:lineRule="auto"/>
        <w:ind w:left="1190" w:right="857"/>
      </w:pPr>
      <w:r>
        <w:t>If</w:t>
      </w:r>
      <w:r>
        <w:rPr>
          <w:spacing w:val="-2"/>
        </w:rPr>
        <w:t xml:space="preserve"> </w:t>
      </w:r>
      <w:r>
        <w:t>these</w:t>
      </w:r>
      <w:r>
        <w:rPr>
          <w:spacing w:val="-1"/>
        </w:rPr>
        <w:t xml:space="preserve"> </w:t>
      </w:r>
      <w:r>
        <w:t>notices</w:t>
      </w:r>
      <w:r>
        <w:rPr>
          <w:spacing w:val="-2"/>
        </w:rPr>
        <w:t xml:space="preserve"> </w:t>
      </w:r>
      <w:r>
        <w:t>are</w:t>
      </w:r>
      <w:r>
        <w:rPr>
          <w:spacing w:val="-1"/>
        </w:rPr>
        <w:t xml:space="preserve"> </w:t>
      </w:r>
      <w:r>
        <w:t>not</w:t>
      </w:r>
      <w:r>
        <w:rPr>
          <w:spacing w:val="-3"/>
        </w:rPr>
        <w:t xml:space="preserve"> </w:t>
      </w:r>
      <w:r>
        <w:t>sent</w:t>
      </w:r>
      <w:r>
        <w:rPr>
          <w:spacing w:val="-4"/>
        </w:rPr>
        <w:t xml:space="preserve"> </w:t>
      </w:r>
      <w:r>
        <w:t>annually before</w:t>
      </w:r>
      <w:r>
        <w:rPr>
          <w:spacing w:val="-1"/>
        </w:rPr>
        <w:t xml:space="preserve"> </w:t>
      </w:r>
      <w:r>
        <w:t>the open</w:t>
      </w:r>
      <w:r>
        <w:rPr>
          <w:spacing w:val="-1"/>
        </w:rPr>
        <w:t xml:space="preserve"> </w:t>
      </w:r>
      <w:r>
        <w:t>enrollment</w:t>
      </w:r>
      <w:r>
        <w:rPr>
          <w:spacing w:val="-3"/>
        </w:rPr>
        <w:t xml:space="preserve"> </w:t>
      </w:r>
      <w:r>
        <w:t>period, consumers</w:t>
      </w:r>
      <w:r>
        <w:rPr>
          <w:spacing w:val="-2"/>
        </w:rPr>
        <w:t xml:space="preserve"> </w:t>
      </w:r>
      <w:r>
        <w:t>will not have the necessary information to make their decisions regarding health insurance coverage for the upcoming plan year.</w:t>
      </w:r>
    </w:p>
    <w:p>
      <w:pPr>
        <w:pStyle w:val="ListParagraph"/>
        <w:numPr>
          <w:ilvl w:val="1"/>
          <w:numId w:val="2"/>
        </w:numPr>
        <w:tabs>
          <w:tab w:val="left" w:pos="1190"/>
        </w:tabs>
        <w:spacing w:before="208" w:after="0" w:line="240" w:lineRule="auto"/>
        <w:ind w:left="1190" w:right="0" w:hanging="431"/>
        <w:jc w:val="left"/>
        <w:rPr>
          <w:sz w:val="24"/>
        </w:rPr>
      </w:pPr>
      <w:r>
        <w:rPr>
          <w:sz w:val="24"/>
          <w:u w:val="single"/>
        </w:rPr>
        <w:t xml:space="preserve">Special </w:t>
      </w:r>
      <w:r>
        <w:rPr>
          <w:spacing w:val="-2"/>
          <w:sz w:val="24"/>
          <w:u w:val="single"/>
        </w:rPr>
        <w:t>Circumstances</w:t>
      </w:r>
    </w:p>
    <w:p>
      <w:pPr>
        <w:pStyle w:val="BodyText"/>
        <w:spacing w:before="212"/>
        <w:ind w:left="1190"/>
      </w:pPr>
      <w:r>
        <w:t>There</w:t>
      </w:r>
      <w:r>
        <w:rPr>
          <w:spacing w:val="2"/>
        </w:rPr>
        <w:t xml:space="preserve"> </w:t>
      </w:r>
      <w:r>
        <w:t>are</w:t>
      </w:r>
      <w:r>
        <w:rPr>
          <w:spacing w:val="2"/>
        </w:rPr>
        <w:t xml:space="preserve"> </w:t>
      </w:r>
      <w:r>
        <w:t>no</w:t>
      </w:r>
      <w:r>
        <w:rPr>
          <w:spacing w:val="3"/>
        </w:rPr>
        <w:t xml:space="preserve"> </w:t>
      </w:r>
      <w:r>
        <w:t>special</w:t>
      </w:r>
      <w:r>
        <w:rPr>
          <w:spacing w:val="1"/>
        </w:rPr>
        <w:t xml:space="preserve"> </w:t>
      </w:r>
      <w:r>
        <w:rPr>
          <w:spacing w:val="-2"/>
        </w:rPr>
        <w:t>circumstances.</w:t>
      </w:r>
    </w:p>
    <w:p>
      <w:pPr>
        <w:pStyle w:val="ListParagraph"/>
        <w:numPr>
          <w:ilvl w:val="1"/>
          <w:numId w:val="2"/>
        </w:numPr>
        <w:tabs>
          <w:tab w:val="left" w:pos="1190"/>
        </w:tabs>
        <w:spacing w:before="275" w:after="0" w:line="240" w:lineRule="auto"/>
        <w:ind w:left="1190" w:right="0" w:hanging="431"/>
        <w:jc w:val="left"/>
        <w:rPr>
          <w:sz w:val="24"/>
        </w:rPr>
      </w:pPr>
      <w:r>
        <w:rPr>
          <w:sz w:val="24"/>
          <w:u w:val="single"/>
        </w:rPr>
        <w:t>Federal</w:t>
      </w:r>
      <w:r>
        <w:rPr>
          <w:spacing w:val="-1"/>
          <w:sz w:val="24"/>
          <w:u w:val="single"/>
        </w:rPr>
        <w:t xml:space="preserve"> </w:t>
      </w:r>
      <w:r>
        <w:rPr>
          <w:sz w:val="24"/>
          <w:u w:val="single"/>
        </w:rPr>
        <w:t>Register/Outside</w:t>
      </w:r>
      <w:r>
        <w:rPr>
          <w:spacing w:val="5"/>
          <w:sz w:val="24"/>
          <w:u w:val="single"/>
        </w:rPr>
        <w:t xml:space="preserve"> </w:t>
      </w:r>
      <w:r>
        <w:rPr>
          <w:spacing w:val="-2"/>
          <w:sz w:val="24"/>
          <w:u w:val="single"/>
        </w:rPr>
        <w:t>Consultation</w:t>
      </w:r>
    </w:p>
    <w:p>
      <w:pPr>
        <w:pStyle w:val="BodyText"/>
        <w:spacing w:before="54" w:line="288" w:lineRule="auto"/>
        <w:ind w:left="1190" w:right="857"/>
      </w:pPr>
      <w:r>
        <mc:AlternateContent>
          <mc:Choice Requires="wpg">
            <w:drawing>
              <wp:anchor distT="0" distB="0" distL="0" distR="0" simplePos="0" relativeHeight="251658240" behindDoc="1" locked="0" layoutInCell="1" allowOverlap="1">
                <wp:simplePos x="0" y="0"/>
                <wp:positionH relativeFrom="page">
                  <wp:posOffset>2076996</wp:posOffset>
                </wp:positionH>
                <wp:positionV relativeFrom="paragraph">
                  <wp:posOffset>437346</wp:posOffset>
                </wp:positionV>
                <wp:extent cx="1064895" cy="22479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64895" cy="224790"/>
                          <a:chOff x="0" y="0"/>
                          <a:chExt cx="1064895" cy="224790"/>
                        </a:xfrm>
                      </wpg:grpSpPr>
                      <wps:wsp xmlns:wps="http://schemas.microsoft.com/office/word/2010/wordprocessingShape">
                        <wps:cNvPr id="5" name="Graphic 5"/>
                        <wps:cNvSpPr/>
                        <wps:spPr>
                          <a:xfrm>
                            <a:off x="0" y="52882"/>
                            <a:ext cx="398145" cy="139065"/>
                          </a:xfrm>
                          <a:custGeom>
                            <a:avLst/>
                            <a:gdLst/>
                            <a:rect l="l" t="t" r="r" b="b"/>
                            <a:pathLst>
                              <a:path fill="norm" h="139065" w="398145" stroke="1">
                                <a:moveTo>
                                  <a:pt x="397763" y="0"/>
                                </a:moveTo>
                                <a:lnTo>
                                  <a:pt x="0" y="0"/>
                                </a:lnTo>
                                <a:lnTo>
                                  <a:pt x="0" y="138529"/>
                                </a:lnTo>
                                <a:lnTo>
                                  <a:pt x="397763" y="138529"/>
                                </a:lnTo>
                                <a:lnTo>
                                  <a:pt x="397763" y="0"/>
                                </a:lnTo>
                                <a:close/>
                              </a:path>
                            </a:pathLst>
                          </a:custGeom>
                          <a:solidFill>
                            <a:srgbClr val="FFFFFF">
                              <a:alpha val="39999"/>
                            </a:srgbClr>
                          </a:solidFill>
                        </wps:spPr>
                        <wps:bodyPr wrap="square" lIns="0" tIns="0" rIns="0" bIns="0" rtlCol="0">
                          <a:prstTxWarp prst="textNoShape">
                            <a:avLst/>
                          </a:prstTxWarp>
                        </wps:bodyPr>
                      </wps:wsp>
                      <wps:wsp xmlns:wps="http://schemas.microsoft.com/office/word/2010/wordprocessingShape">
                        <wps:cNvPr id="6" name="Graphic 6"/>
                        <wps:cNvSpPr/>
                        <wps:spPr>
                          <a:xfrm>
                            <a:off x="437972" y="0"/>
                            <a:ext cx="626745" cy="205740"/>
                          </a:xfrm>
                          <a:custGeom>
                            <a:avLst/>
                            <a:gdLst/>
                            <a:rect l="l" t="t" r="r" b="b"/>
                            <a:pathLst>
                              <a:path fill="norm" h="205740" w="626745" stroke="1">
                                <a:moveTo>
                                  <a:pt x="626515" y="0"/>
                                </a:moveTo>
                                <a:lnTo>
                                  <a:pt x="0" y="0"/>
                                </a:lnTo>
                                <a:lnTo>
                                  <a:pt x="0" y="205280"/>
                                </a:lnTo>
                                <a:lnTo>
                                  <a:pt x="626515" y="205280"/>
                                </a:lnTo>
                                <a:lnTo>
                                  <a:pt x="626515" y="0"/>
                                </a:lnTo>
                                <a:close/>
                              </a:path>
                            </a:pathLst>
                          </a:custGeom>
                          <a:solidFill>
                            <a:srgbClr val="FFFFFF">
                              <a:alpha val="39999"/>
                            </a:srgbClr>
                          </a:solidFill>
                        </wps:spPr>
                        <wps:bodyPr wrap="square" lIns="0" tIns="0" rIns="0" bIns="0" rtlCol="0">
                          <a:prstTxWarp prst="textNoShape">
                            <a:avLst/>
                          </a:prstTxWarp>
                        </wps:bodyPr>
                      </wps:wsp>
                      <wps:wsp xmlns:wps="http://schemas.microsoft.com/office/word/2010/wordprocessingShape">
                        <wps:cNvPr id="7" name="Graphic 7"/>
                        <wps:cNvSpPr/>
                        <wps:spPr>
                          <a:xfrm>
                            <a:off x="8470" y="45147"/>
                            <a:ext cx="1040765" cy="179705"/>
                          </a:xfrm>
                          <a:custGeom>
                            <a:avLst/>
                            <a:gdLst/>
                            <a:rect l="l" t="t" r="r" b="b"/>
                            <a:pathLst>
                              <a:path fill="norm" h="179705" w="1040765" stroke="1">
                                <a:moveTo>
                                  <a:pt x="1040498" y="0"/>
                                </a:moveTo>
                                <a:lnTo>
                                  <a:pt x="0" y="0"/>
                                </a:lnTo>
                                <a:lnTo>
                                  <a:pt x="0" y="179590"/>
                                </a:lnTo>
                                <a:lnTo>
                                  <a:pt x="1040498" y="179590"/>
                                </a:lnTo>
                                <a:lnTo>
                                  <a:pt x="1040498" y="0"/>
                                </a:lnTo>
                                <a:close/>
                              </a:path>
                            </a:pathLst>
                          </a:custGeom>
                          <a:solidFill>
                            <a:srgbClr val="00FFFF"/>
                          </a:solidFill>
                        </wps:spPr>
                        <wps:bodyPr wrap="square" lIns="0" tIns="0" rIns="0" bIns="0" rtlCol="0">
                          <a:prstTxWarp prst="textNoShape">
                            <a:avLst/>
                          </a:prstTxWarp>
                        </wps:bodyPr>
                      </wps:wsp>
                    </wpg:wgp>
                  </a:graphicData>
                </a:graphic>
              </wp:anchor>
            </w:drawing>
          </mc:Choice>
          <mc:Fallback>
            <w:pict>
              <v:group id="_x0000_s1027" style="width:83.85pt;height:17.7pt;margin-top:34.44pt;margin-left:163.54pt;mso-position-horizontal-relative:page;position:absolute;z-index:-251657216" coordorigin="3271,689" coordsize="1677,354">
                <v:rect id="_x0000_s1028" style="width:627;height:219;left:3270;position:absolute;top:772" filled="t" fillcolor="white" stroked="f">
                  <v:fill opacity="26214f" type="solid"/>
                </v:rect>
                <v:rect id="_x0000_s1029" style="width:987;height:324;left:3960;position:absolute;top:688" filled="t" fillcolor="white" stroked="f">
                  <v:fill opacity="26214f" type="solid"/>
                </v:rect>
                <v:rect id="_x0000_s1030" style="width:1639;height:283;left:3284;position:absolute;top:759" filled="t" fillcolor="aqua" stroked="f">
                  <v:fill type="solid"/>
                </v:rect>
              </v:group>
            </w:pict>
          </mc:Fallback>
        </mc:AlternateContent>
      </w:r>
      <w:r>
        <w:t>The proposed regulation (Patient Protection and Affordable Care Act; Individual Health Insurance Market and Exchange Program Integrity) with requests for comments will be published</w:t>
      </w:r>
      <w:r>
        <w:rPr>
          <w:spacing w:val="-1"/>
        </w:rPr>
        <w:t xml:space="preserve"> </w:t>
      </w:r>
      <w:r>
        <w:t>on March 19, 2025</w:t>
      </w:r>
      <w:r>
        <w:rPr>
          <w:spacing w:val="-3"/>
        </w:rPr>
        <w:t xml:space="preserve"> </w:t>
      </w:r>
      <w:r>
        <w:t>(90</w:t>
      </w:r>
      <w:r>
        <w:rPr>
          <w:spacing w:val="-3"/>
        </w:rPr>
        <w:t xml:space="preserve"> </w:t>
      </w:r>
      <w:r>
        <w:t>FR</w:t>
      </w:r>
      <w:r>
        <w:rPr>
          <w:spacing w:val="-3"/>
        </w:rPr>
        <w:t xml:space="preserve"> </w:t>
      </w:r>
      <w:r>
        <w:t>12942)</w:t>
      </w:r>
      <w:r>
        <w:rPr>
          <w:spacing w:val="-4"/>
        </w:rPr>
        <w:t xml:space="preserve"> </w:t>
      </w:r>
      <w:r>
        <w:t>The</w:t>
      </w:r>
      <w:r>
        <w:rPr>
          <w:spacing w:val="-1"/>
        </w:rPr>
        <w:t xml:space="preserve"> </w:t>
      </w:r>
      <w:r>
        <w:t>public</w:t>
      </w:r>
      <w:r>
        <w:rPr>
          <w:spacing w:val="-1"/>
        </w:rPr>
        <w:t xml:space="preserve"> </w:t>
      </w:r>
      <w:r>
        <w:t>solicitation for</w:t>
      </w:r>
      <w:r>
        <w:rPr>
          <w:spacing w:val="-2"/>
        </w:rPr>
        <w:t xml:space="preserve"> </w:t>
      </w:r>
      <w:r>
        <w:t>comments</w:t>
      </w:r>
      <w:r>
        <w:rPr>
          <w:spacing w:val="-2"/>
        </w:rPr>
        <w:t xml:space="preserve"> </w:t>
      </w:r>
      <w:r>
        <w:t>related to these information collections will be open for a period of 60 days.</w:t>
      </w:r>
    </w:p>
    <w:p>
      <w:pPr>
        <w:pStyle w:val="ListParagraph"/>
        <w:numPr>
          <w:ilvl w:val="1"/>
          <w:numId w:val="2"/>
        </w:numPr>
        <w:tabs>
          <w:tab w:val="left" w:pos="1190"/>
        </w:tabs>
        <w:spacing w:before="216" w:after="0" w:line="240" w:lineRule="auto"/>
        <w:ind w:left="1190" w:right="0" w:hanging="431"/>
        <w:jc w:val="left"/>
        <w:rPr>
          <w:sz w:val="24"/>
        </w:rPr>
      </w:pPr>
      <w:r>
        <w:rPr>
          <w:sz w:val="24"/>
          <w:u w:val="single"/>
        </w:rPr>
        <w:t>Payments/Gifts</w:t>
      </w:r>
      <w:r>
        <w:rPr>
          <w:spacing w:val="1"/>
          <w:sz w:val="24"/>
          <w:u w:val="single"/>
        </w:rPr>
        <w:t xml:space="preserve"> </w:t>
      </w:r>
      <w:r>
        <w:rPr>
          <w:sz w:val="24"/>
          <w:u w:val="single"/>
        </w:rPr>
        <w:t>to</w:t>
      </w:r>
      <w:r>
        <w:rPr>
          <w:spacing w:val="5"/>
          <w:sz w:val="24"/>
          <w:u w:val="single"/>
        </w:rPr>
        <w:t xml:space="preserve"> </w:t>
      </w:r>
      <w:r>
        <w:rPr>
          <w:spacing w:val="-2"/>
          <w:sz w:val="24"/>
          <w:u w:val="single"/>
        </w:rPr>
        <w:t>Respondents</w:t>
      </w:r>
    </w:p>
    <w:p>
      <w:pPr>
        <w:pStyle w:val="BodyText"/>
        <w:spacing w:before="212"/>
        <w:ind w:left="1190"/>
      </w:pPr>
      <w:r>
        <w:t>No</w:t>
      </w:r>
      <w:r>
        <w:rPr>
          <w:spacing w:val="3"/>
        </w:rPr>
        <w:t xml:space="preserve"> </w:t>
      </w:r>
      <w:r>
        <w:t>payments</w:t>
      </w:r>
      <w:r>
        <w:rPr>
          <w:spacing w:val="1"/>
        </w:rPr>
        <w:t xml:space="preserve"> </w:t>
      </w:r>
      <w:r>
        <w:t>or</w:t>
      </w:r>
      <w:r>
        <w:rPr>
          <w:spacing w:val="1"/>
        </w:rPr>
        <w:t xml:space="preserve"> </w:t>
      </w:r>
      <w:r>
        <w:t>gifts</w:t>
      </w:r>
      <w:r>
        <w:rPr>
          <w:spacing w:val="1"/>
        </w:rPr>
        <w:t xml:space="preserve"> </w:t>
      </w:r>
      <w:r>
        <w:t>are</w:t>
      </w:r>
      <w:r>
        <w:rPr>
          <w:spacing w:val="2"/>
        </w:rPr>
        <w:t xml:space="preserve"> </w:t>
      </w:r>
      <w:r>
        <w:t>associated</w:t>
      </w:r>
      <w:r>
        <w:rPr>
          <w:spacing w:val="2"/>
        </w:rPr>
        <w:t xml:space="preserve"> </w:t>
      </w:r>
      <w:r>
        <w:t>with</w:t>
      </w:r>
      <w:r>
        <w:rPr>
          <w:spacing w:val="7"/>
        </w:rPr>
        <w:t xml:space="preserve"> </w:t>
      </w:r>
      <w:r>
        <w:t>this</w:t>
      </w:r>
      <w:r>
        <w:rPr>
          <w:spacing w:val="-5"/>
        </w:rPr>
        <w:t xml:space="preserve"> </w:t>
      </w:r>
      <w:r>
        <w:rPr>
          <w:spacing w:val="-4"/>
        </w:rPr>
        <w:t>ICR.</w:t>
      </w:r>
    </w:p>
    <w:p>
      <w:pPr>
        <w:pStyle w:val="ListParagraph"/>
        <w:numPr>
          <w:ilvl w:val="1"/>
          <w:numId w:val="2"/>
        </w:numPr>
        <w:tabs>
          <w:tab w:val="left" w:pos="1189"/>
        </w:tabs>
        <w:spacing w:before="239" w:after="0" w:line="240" w:lineRule="auto"/>
        <w:ind w:left="1189" w:right="0" w:hanging="430"/>
        <w:jc w:val="both"/>
        <w:rPr>
          <w:sz w:val="24"/>
        </w:rPr>
      </w:pPr>
      <w:r>
        <w:rPr>
          <w:spacing w:val="-2"/>
          <w:sz w:val="24"/>
          <w:u w:val="single"/>
        </w:rPr>
        <w:t>Confidentiality</w:t>
      </w:r>
    </w:p>
    <w:p>
      <w:pPr>
        <w:pStyle w:val="BodyText"/>
        <w:spacing w:before="70" w:line="300" w:lineRule="auto"/>
        <w:ind w:left="1190" w:right="832"/>
        <w:jc w:val="both"/>
      </w:pPr>
      <w:r>
        <w:t>No</w:t>
      </w:r>
      <w:r>
        <w:rPr>
          <w:spacing w:val="-1"/>
        </w:rPr>
        <w:t xml:space="preserve"> </w:t>
      </w:r>
      <w:r>
        <w:t>personal</w:t>
      </w:r>
      <w:r>
        <w:rPr>
          <w:spacing w:val="-4"/>
        </w:rPr>
        <w:t xml:space="preserve"> </w:t>
      </w:r>
      <w:r>
        <w:t>identifiable</w:t>
      </w:r>
      <w:r>
        <w:rPr>
          <w:spacing w:val="-1"/>
        </w:rPr>
        <w:t xml:space="preserve"> </w:t>
      </w:r>
      <w:r>
        <w:t>information</w:t>
      </w:r>
      <w:r>
        <w:rPr>
          <w:spacing w:val="-1"/>
        </w:rPr>
        <w:t xml:space="preserve"> </w:t>
      </w:r>
      <w:r>
        <w:t>is</w:t>
      </w:r>
      <w:r>
        <w:rPr>
          <w:spacing w:val="-2"/>
        </w:rPr>
        <w:t xml:space="preserve"> </w:t>
      </w:r>
      <w:r>
        <w:t>being</w:t>
      </w:r>
      <w:r>
        <w:rPr>
          <w:spacing w:val="-1"/>
        </w:rPr>
        <w:t xml:space="preserve"> </w:t>
      </w:r>
      <w:r>
        <w:t>collected. These</w:t>
      </w:r>
      <w:r>
        <w:rPr>
          <w:spacing w:val="-1"/>
        </w:rPr>
        <w:t xml:space="preserve"> </w:t>
      </w:r>
      <w:r>
        <w:t>are</w:t>
      </w:r>
      <w:r>
        <w:rPr>
          <w:spacing w:val="-1"/>
        </w:rPr>
        <w:t xml:space="preserve"> </w:t>
      </w:r>
      <w:r>
        <w:t>third</w:t>
      </w:r>
      <w:r>
        <w:rPr>
          <w:spacing w:val="-1"/>
        </w:rPr>
        <w:t xml:space="preserve"> </w:t>
      </w:r>
      <w:r>
        <w:t>party</w:t>
      </w:r>
      <w:r>
        <w:rPr>
          <w:spacing w:val="-1"/>
        </w:rPr>
        <w:t xml:space="preserve"> </w:t>
      </w:r>
      <w:r>
        <w:t xml:space="preserve">notifications and the issue of confidentiality between third parties is out of scope for these information </w:t>
      </w:r>
      <w:r>
        <w:rPr>
          <w:spacing w:val="-2"/>
        </w:rPr>
        <w:t>collections.</w:t>
      </w:r>
    </w:p>
    <w:p>
      <w:pPr>
        <w:pStyle w:val="ListParagraph"/>
        <w:numPr>
          <w:ilvl w:val="1"/>
          <w:numId w:val="2"/>
        </w:numPr>
        <w:tabs>
          <w:tab w:val="left" w:pos="1189"/>
        </w:tabs>
        <w:spacing w:before="208" w:after="0" w:line="240" w:lineRule="auto"/>
        <w:ind w:left="1189" w:right="0" w:hanging="430"/>
        <w:jc w:val="both"/>
        <w:rPr>
          <w:sz w:val="24"/>
        </w:rPr>
      </w:pPr>
      <w:r>
        <w:rPr>
          <w:sz w:val="24"/>
          <w:u w:val="single"/>
        </w:rPr>
        <w:t>Sensitive</w:t>
      </w:r>
      <w:r>
        <w:rPr>
          <w:spacing w:val="3"/>
          <w:sz w:val="24"/>
          <w:u w:val="single"/>
        </w:rPr>
        <w:t xml:space="preserve"> </w:t>
      </w:r>
      <w:r>
        <w:rPr>
          <w:spacing w:val="-2"/>
          <w:sz w:val="24"/>
          <w:u w:val="single"/>
        </w:rPr>
        <w:t>Questions</w:t>
      </w:r>
    </w:p>
    <w:p>
      <w:pPr>
        <w:pStyle w:val="BodyText"/>
        <w:spacing w:before="225"/>
        <w:ind w:left="1190"/>
      </w:pPr>
      <w:r>
        <w:t>This</w:t>
      </w:r>
      <w:r>
        <w:rPr>
          <w:spacing w:val="2"/>
        </w:rPr>
        <w:t xml:space="preserve"> </w:t>
      </w:r>
      <w:r>
        <w:t>ICR</w:t>
      </w:r>
      <w:r>
        <w:rPr>
          <w:spacing w:val="5"/>
        </w:rPr>
        <w:t xml:space="preserve"> </w:t>
      </w:r>
      <w:r>
        <w:t>involves</w:t>
      </w:r>
      <w:r>
        <w:rPr>
          <w:spacing w:val="2"/>
        </w:rPr>
        <w:t xml:space="preserve"> </w:t>
      </w:r>
      <w:r>
        <w:t>no</w:t>
      </w:r>
      <w:r>
        <w:rPr>
          <w:spacing w:val="3"/>
        </w:rPr>
        <w:t xml:space="preserve"> </w:t>
      </w:r>
      <w:r>
        <w:t>sensitive</w:t>
      </w:r>
      <w:r>
        <w:rPr>
          <w:spacing w:val="3"/>
        </w:rPr>
        <w:t xml:space="preserve"> </w:t>
      </w:r>
      <w:r>
        <w:rPr>
          <w:spacing w:val="-2"/>
        </w:rPr>
        <w:t>questions.</w:t>
      </w:r>
    </w:p>
    <w:p>
      <w:pPr>
        <w:pStyle w:val="BodyText"/>
        <w:spacing w:before="6"/>
      </w:pPr>
    </w:p>
    <w:p>
      <w:pPr>
        <w:pStyle w:val="ListParagraph"/>
        <w:numPr>
          <w:ilvl w:val="1"/>
          <w:numId w:val="2"/>
        </w:numPr>
        <w:tabs>
          <w:tab w:val="left" w:pos="1189"/>
        </w:tabs>
        <w:spacing w:before="1" w:after="0" w:line="240" w:lineRule="auto"/>
        <w:ind w:left="1189" w:right="0" w:hanging="430"/>
        <w:jc w:val="left"/>
        <w:rPr>
          <w:sz w:val="24"/>
        </w:rPr>
      </w:pPr>
      <w:r>
        <w:rPr>
          <w:sz w:val="24"/>
          <w:u w:val="single"/>
        </w:rPr>
        <w:t>Burden</w:t>
      </w:r>
      <w:r>
        <w:rPr>
          <w:spacing w:val="2"/>
          <w:sz w:val="24"/>
          <w:u w:val="single"/>
        </w:rPr>
        <w:t xml:space="preserve"> </w:t>
      </w:r>
      <w:r>
        <w:rPr>
          <w:sz w:val="24"/>
          <w:u w:val="single"/>
        </w:rPr>
        <w:t>Estimates</w:t>
      </w:r>
      <w:r>
        <w:rPr>
          <w:spacing w:val="1"/>
          <w:sz w:val="24"/>
          <w:u w:val="single"/>
        </w:rPr>
        <w:t xml:space="preserve"> </w:t>
      </w:r>
      <w:r>
        <w:rPr>
          <w:sz w:val="24"/>
          <w:u w:val="single"/>
        </w:rPr>
        <w:t>(Hours</w:t>
      </w:r>
      <w:r>
        <w:rPr>
          <w:spacing w:val="1"/>
          <w:sz w:val="24"/>
          <w:u w:val="single"/>
        </w:rPr>
        <w:t xml:space="preserve"> </w:t>
      </w:r>
      <w:r>
        <w:rPr>
          <w:sz w:val="24"/>
          <w:u w:val="single"/>
        </w:rPr>
        <w:t>&amp;</w:t>
      </w:r>
      <w:r>
        <w:rPr>
          <w:spacing w:val="3"/>
          <w:sz w:val="24"/>
          <w:u w:val="single"/>
        </w:rPr>
        <w:t xml:space="preserve"> </w:t>
      </w:r>
      <w:r>
        <w:rPr>
          <w:spacing w:val="-2"/>
          <w:sz w:val="24"/>
          <w:u w:val="single"/>
        </w:rPr>
        <w:t>Wages)</w:t>
      </w:r>
    </w:p>
    <w:p>
      <w:pPr>
        <w:pStyle w:val="BodyText"/>
        <w:spacing w:before="50" w:line="283" w:lineRule="auto"/>
        <w:ind w:left="1190" w:right="720"/>
      </w:pPr>
      <w:r>
        <w:t>To estimate the burden and equivalent costs associated with this ICR, we used the median hourly rate data</w:t>
      </w:r>
      <w:r>
        <w:rPr>
          <w:spacing w:val="-1"/>
        </w:rPr>
        <w:t xml:space="preserve"> </w:t>
      </w:r>
      <w:r>
        <w:t>from</w:t>
      </w:r>
      <w:r>
        <w:rPr>
          <w:spacing w:val="-3"/>
        </w:rPr>
        <w:t xml:space="preserve"> </w:t>
      </w:r>
      <w:r>
        <w:t>the</w:t>
      </w:r>
      <w:r>
        <w:rPr>
          <w:spacing w:val="-1"/>
        </w:rPr>
        <w:t xml:space="preserve"> </w:t>
      </w:r>
      <w:r>
        <w:t>Bureau of</w:t>
      </w:r>
      <w:r>
        <w:rPr>
          <w:spacing w:val="-2"/>
        </w:rPr>
        <w:t xml:space="preserve"> </w:t>
      </w:r>
      <w:r>
        <w:t>Labor Statistics’ May 2023</w:t>
      </w:r>
      <w:r>
        <w:rPr>
          <w:spacing w:val="-6"/>
        </w:rPr>
        <w:t xml:space="preserve"> </w:t>
      </w:r>
      <w:r>
        <w:t>Occupational</w:t>
      </w:r>
      <w:r>
        <w:rPr>
          <w:spacing w:val="-4"/>
        </w:rPr>
        <w:t xml:space="preserve"> </w:t>
      </w:r>
      <w:r>
        <w:t>Employment Statistic</w:t>
      </w:r>
      <w:hyperlink w:anchor="_bookmark5" w:history="1">
        <w:r>
          <w:t>s</w:t>
        </w:r>
        <w:r>
          <w:rPr>
            <w:vertAlign w:val="superscript"/>
          </w:rPr>
          <w:t>6</w:t>
        </w:r>
        <w:r>
          <w:rPr>
            <w:vertAlign w:val="baseline"/>
          </w:rPr>
          <w:t>.</w:t>
        </w:r>
      </w:hyperlink>
      <w:r>
        <w:rPr>
          <w:spacing w:val="40"/>
          <w:vertAlign w:val="baseline"/>
        </w:rPr>
        <w:t xml:space="preserve"> </w:t>
      </w:r>
      <w:r>
        <w:rPr>
          <w:vertAlign w:val="baseline"/>
        </w:rPr>
        <w:t>Adjusted hourly labor rates include the costs of fringe benefits and other indirect costs (calculated at 100 percent of median hourly wage).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7"/>
        <w:rPr>
          <w:sz w:val="20"/>
        </w:rPr>
      </w:pPr>
      <w: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204218</wp:posOffset>
                </wp:positionV>
                <wp:extent cx="1830070" cy="9525"/>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6"/>
                              </a:lnTo>
                              <a:lnTo>
                                <a:pt x="1829689" y="8966"/>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1" style="width:144.07pt;height:0.71pt;margin-top:16.08pt;margin-left:72.05pt;mso-position-horizontal-relative:page;mso-wrap-distance-left:0;mso-wrap-distance-right:0;position:absolute;z-index:-251651072" filled="t" fillcolor="black" stroked="f">
                <v:fill type="solid"/>
                <w10:wrap type="topAndBottom"/>
              </v:rect>
            </w:pict>
          </mc:Fallback>
        </mc:AlternateContent>
      </w:r>
    </w:p>
    <w:p>
      <w:pPr>
        <w:spacing w:before="112"/>
        <w:ind w:left="660" w:right="0" w:firstLine="0"/>
        <w:jc w:val="left"/>
        <w:rPr>
          <w:sz w:val="19"/>
        </w:rPr>
      </w:pPr>
      <w:bookmarkStart w:id="5" w:name="_bookmark5"/>
      <w:bookmarkEnd w:id="5"/>
      <w:r>
        <w:rPr>
          <w:w w:val="105"/>
          <w:sz w:val="19"/>
          <w:vertAlign w:val="superscript"/>
        </w:rPr>
        <w:t>6</w:t>
      </w:r>
      <w:r>
        <w:rPr>
          <w:spacing w:val="-4"/>
          <w:w w:val="105"/>
          <w:sz w:val="19"/>
          <w:vertAlign w:val="baseline"/>
        </w:rPr>
        <w:t xml:space="preserve"> </w:t>
      </w:r>
      <w:r>
        <w:rPr>
          <w:w w:val="105"/>
          <w:sz w:val="19"/>
          <w:vertAlign w:val="baseline"/>
        </w:rPr>
        <w:t>Available</w:t>
      </w:r>
      <w:r>
        <w:rPr>
          <w:spacing w:val="1"/>
          <w:w w:val="105"/>
          <w:sz w:val="19"/>
          <w:vertAlign w:val="baseline"/>
        </w:rPr>
        <w:t xml:space="preserve"> </w:t>
      </w:r>
      <w:r>
        <w:rPr>
          <w:w w:val="105"/>
          <w:sz w:val="19"/>
          <w:vertAlign w:val="baseline"/>
        </w:rPr>
        <w:t xml:space="preserve">at </w:t>
      </w:r>
      <w:r>
        <w:rPr>
          <w:spacing w:val="-2"/>
          <w:w w:val="105"/>
          <w:sz w:val="19"/>
          <w:vertAlign w:val="baseline"/>
        </w:rPr>
        <w:t>https://</w:t>
      </w:r>
      <w:hyperlink r:id="rId9">
        <w:r>
          <w:rPr>
            <w:spacing w:val="-2"/>
            <w:w w:val="105"/>
            <w:sz w:val="19"/>
            <w:vertAlign w:val="baseline"/>
          </w:rPr>
          <w:t>www.bls.gov/oes/current/oes_nat.htm.</w:t>
        </w:r>
      </w:hyperlink>
    </w:p>
    <w:p>
      <w:pPr>
        <w:spacing w:after="0"/>
        <w:jc w:val="left"/>
        <w:rPr>
          <w:sz w:val="19"/>
        </w:rPr>
        <w:sectPr>
          <w:pgSz w:w="12240" w:h="15840"/>
          <w:pgMar w:top="1020" w:right="780" w:bottom="960" w:left="780" w:header="0" w:footer="772"/>
          <w:cols w:space="720"/>
        </w:sectPr>
      </w:pPr>
    </w:p>
    <w:p>
      <w:pPr>
        <w:pStyle w:val="BodyText"/>
        <w:spacing w:before="62"/>
        <w:ind w:left="1190"/>
      </w:pPr>
      <w:r>
        <w:rPr>
          <w:u w:val="single"/>
        </w:rPr>
        <w:t>Table</w:t>
      </w:r>
      <w:r>
        <w:rPr>
          <w:spacing w:val="-1"/>
          <w:u w:val="single"/>
        </w:rPr>
        <w:t xml:space="preserve"> </w:t>
      </w:r>
      <w:r>
        <w:rPr>
          <w:u w:val="single"/>
        </w:rPr>
        <w:t>12.1</w:t>
      </w:r>
      <w:r>
        <w:rPr>
          <w:spacing w:val="-5"/>
          <w:u w:val="single"/>
        </w:rPr>
        <w:t xml:space="preserve"> </w:t>
      </w:r>
      <w:r>
        <w:rPr>
          <w:u w:val="single"/>
        </w:rPr>
        <w:t>Adjusted Hourly Wages</w:t>
      </w:r>
      <w:r>
        <w:rPr>
          <w:spacing w:val="-2"/>
          <w:u w:val="single"/>
        </w:rPr>
        <w:t xml:space="preserve"> </w:t>
      </w:r>
      <w:r>
        <w:rPr>
          <w:u w:val="single"/>
        </w:rPr>
        <w:t>Used in Burden</w:t>
      </w:r>
      <w:r>
        <w:rPr>
          <w:spacing w:val="3"/>
          <w:u w:val="single"/>
        </w:rPr>
        <w:t xml:space="preserve"> </w:t>
      </w:r>
      <w:r>
        <w:rPr>
          <w:u w:val="single"/>
        </w:rPr>
        <w:t>and</w:t>
      </w:r>
      <w:r>
        <w:rPr>
          <w:spacing w:val="-7"/>
          <w:u w:val="single"/>
        </w:rPr>
        <w:t xml:space="preserve"> </w:t>
      </w:r>
      <w:r>
        <w:rPr>
          <w:u w:val="single"/>
        </w:rPr>
        <w:t>Equivalent</w:t>
      </w:r>
      <w:r>
        <w:rPr>
          <w:spacing w:val="-4"/>
          <w:u w:val="single"/>
        </w:rPr>
        <w:t xml:space="preserve"> </w:t>
      </w:r>
      <w:r>
        <w:rPr>
          <w:u w:val="single"/>
        </w:rPr>
        <w:t xml:space="preserve">Cost </w:t>
      </w:r>
      <w:r>
        <w:rPr>
          <w:spacing w:val="-2"/>
          <w:u w:val="single"/>
        </w:rPr>
        <w:t>Estimates</w:t>
      </w:r>
    </w:p>
    <w:p>
      <w:pPr>
        <w:pStyle w:val="BodyText"/>
        <w:spacing w:before="43"/>
        <w:rPr>
          <w:sz w:val="20"/>
        </w:rPr>
      </w:pPr>
    </w:p>
    <w:tbl>
      <w:tblPr>
        <w:tblStyle w:val="TableNormal"/>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1703"/>
        <w:gridCol w:w="1286"/>
        <w:gridCol w:w="1370"/>
        <w:gridCol w:w="1293"/>
      </w:tblGrid>
      <w:tr>
        <w:tblPrEx>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931"/>
          <w:jc w:val="left"/>
        </w:trPr>
        <w:tc>
          <w:tcPr>
            <w:tcW w:w="3701" w:type="dxa"/>
          </w:tcPr>
          <w:p>
            <w:pPr>
              <w:pStyle w:val="TableParagraph"/>
              <w:rPr>
                <w:sz w:val="24"/>
              </w:rPr>
            </w:pPr>
          </w:p>
          <w:p>
            <w:pPr>
              <w:pStyle w:val="TableParagraph"/>
              <w:rPr>
                <w:sz w:val="24"/>
              </w:rPr>
            </w:pPr>
          </w:p>
          <w:p>
            <w:pPr>
              <w:pStyle w:val="TableParagraph"/>
              <w:spacing w:before="5"/>
              <w:rPr>
                <w:sz w:val="24"/>
              </w:rPr>
            </w:pPr>
          </w:p>
          <w:p>
            <w:pPr>
              <w:pStyle w:val="TableParagraph"/>
              <w:ind w:left="983"/>
              <w:rPr>
                <w:b/>
                <w:sz w:val="24"/>
              </w:rPr>
            </w:pPr>
            <w:r>
              <w:rPr>
                <w:b/>
                <w:sz w:val="24"/>
              </w:rPr>
              <w:t>Occupation</w:t>
            </w:r>
            <w:r>
              <w:rPr>
                <w:b/>
                <w:spacing w:val="-8"/>
                <w:sz w:val="24"/>
              </w:rPr>
              <w:t xml:space="preserve"> </w:t>
            </w:r>
            <w:r>
              <w:rPr>
                <w:b/>
                <w:spacing w:val="-4"/>
                <w:sz w:val="24"/>
              </w:rPr>
              <w:t>Title</w:t>
            </w:r>
          </w:p>
        </w:tc>
        <w:tc>
          <w:tcPr>
            <w:tcW w:w="1703" w:type="dxa"/>
          </w:tcPr>
          <w:p>
            <w:pPr>
              <w:pStyle w:val="TableParagraph"/>
              <w:rPr>
                <w:sz w:val="24"/>
              </w:rPr>
            </w:pPr>
          </w:p>
          <w:p>
            <w:pPr>
              <w:pStyle w:val="TableParagraph"/>
              <w:spacing w:before="140"/>
              <w:rPr>
                <w:sz w:val="24"/>
              </w:rPr>
            </w:pPr>
          </w:p>
          <w:p>
            <w:pPr>
              <w:pStyle w:val="TableParagraph"/>
              <w:ind w:left="588" w:hanging="417"/>
              <w:rPr>
                <w:b/>
                <w:sz w:val="24"/>
              </w:rPr>
            </w:pPr>
            <w:r>
              <w:rPr>
                <w:b/>
                <w:spacing w:val="-2"/>
                <w:sz w:val="24"/>
              </w:rPr>
              <w:t xml:space="preserve">Occupational </w:t>
            </w:r>
            <w:r>
              <w:rPr>
                <w:b/>
                <w:spacing w:val="-4"/>
                <w:sz w:val="24"/>
              </w:rPr>
              <w:t>Code</w:t>
            </w:r>
          </w:p>
        </w:tc>
        <w:tc>
          <w:tcPr>
            <w:tcW w:w="1286" w:type="dxa"/>
          </w:tcPr>
          <w:p>
            <w:pPr>
              <w:pStyle w:val="TableParagraph"/>
              <w:spacing w:before="140"/>
              <w:rPr>
                <w:sz w:val="24"/>
              </w:rPr>
            </w:pPr>
          </w:p>
          <w:p>
            <w:pPr>
              <w:pStyle w:val="TableParagraph"/>
              <w:spacing w:before="1" w:line="242" w:lineRule="auto"/>
              <w:ind w:left="226" w:right="211" w:firstLine="3"/>
              <w:jc w:val="center"/>
              <w:rPr>
                <w:b/>
                <w:sz w:val="24"/>
              </w:rPr>
            </w:pPr>
            <w:r>
              <w:rPr>
                <w:b/>
                <w:spacing w:val="-2"/>
                <w:sz w:val="24"/>
              </w:rPr>
              <w:t xml:space="preserve">Median Hourly </w:t>
            </w:r>
            <w:r>
              <w:rPr>
                <w:b/>
                <w:spacing w:val="-4"/>
                <w:sz w:val="24"/>
              </w:rPr>
              <w:t xml:space="preserve">Wage </w:t>
            </w:r>
            <w:r>
              <w:rPr>
                <w:b/>
                <w:spacing w:val="-2"/>
                <w:sz w:val="24"/>
              </w:rPr>
              <w:t>($/hour)</w:t>
            </w:r>
          </w:p>
        </w:tc>
        <w:tc>
          <w:tcPr>
            <w:tcW w:w="1370" w:type="dxa"/>
          </w:tcPr>
          <w:p>
            <w:pPr>
              <w:pStyle w:val="TableParagraph"/>
              <w:spacing w:before="7"/>
              <w:ind w:left="49" w:right="32" w:firstLine="4"/>
              <w:jc w:val="center"/>
              <w:rPr>
                <w:b/>
                <w:sz w:val="24"/>
              </w:rPr>
            </w:pPr>
            <w:r>
              <w:rPr>
                <w:b/>
                <w:sz w:val="24"/>
              </w:rPr>
              <w:t xml:space="preserve">Cost of </w:t>
            </w:r>
            <w:r>
              <w:rPr>
                <w:b/>
                <w:spacing w:val="-2"/>
                <w:sz w:val="24"/>
              </w:rPr>
              <w:t xml:space="preserve">Fringe </w:t>
            </w:r>
            <w:r>
              <w:rPr>
                <w:b/>
                <w:sz w:val="24"/>
              </w:rPr>
              <w:t>Benefits</w:t>
            </w:r>
            <w:r>
              <w:rPr>
                <w:b/>
                <w:spacing w:val="-15"/>
                <w:sz w:val="24"/>
              </w:rPr>
              <w:t xml:space="preserve"> </w:t>
            </w:r>
            <w:r>
              <w:rPr>
                <w:b/>
                <w:sz w:val="24"/>
              </w:rPr>
              <w:t xml:space="preserve">and </w:t>
            </w:r>
            <w:r>
              <w:rPr>
                <w:b/>
                <w:spacing w:val="-4"/>
                <w:sz w:val="24"/>
              </w:rPr>
              <w:t xml:space="preserve">Other </w:t>
            </w:r>
            <w:r>
              <w:rPr>
                <w:b/>
                <w:spacing w:val="-2"/>
                <w:sz w:val="24"/>
              </w:rPr>
              <w:t>Indirect Costs</w:t>
            </w:r>
          </w:p>
          <w:p>
            <w:pPr>
              <w:pStyle w:val="TableParagraph"/>
              <w:spacing w:line="248" w:lineRule="exact"/>
              <w:ind w:left="14" w:right="1"/>
              <w:jc w:val="center"/>
              <w:rPr>
                <w:b/>
                <w:sz w:val="24"/>
              </w:rPr>
            </w:pPr>
            <w:r>
              <w:rPr>
                <w:b/>
                <w:spacing w:val="-2"/>
                <w:sz w:val="24"/>
              </w:rPr>
              <w:t>($/hour)</w:t>
            </w:r>
          </w:p>
        </w:tc>
        <w:tc>
          <w:tcPr>
            <w:tcW w:w="1293" w:type="dxa"/>
          </w:tcPr>
          <w:p>
            <w:pPr>
              <w:pStyle w:val="TableParagraph"/>
              <w:spacing w:before="140"/>
              <w:rPr>
                <w:sz w:val="24"/>
              </w:rPr>
            </w:pPr>
          </w:p>
          <w:p>
            <w:pPr>
              <w:pStyle w:val="TableParagraph"/>
              <w:spacing w:before="1" w:line="242" w:lineRule="auto"/>
              <w:ind w:left="24" w:right="6"/>
              <w:jc w:val="center"/>
              <w:rPr>
                <w:b/>
                <w:sz w:val="24"/>
              </w:rPr>
            </w:pPr>
            <w:r>
              <w:rPr>
                <w:b/>
                <w:spacing w:val="-2"/>
                <w:sz w:val="24"/>
              </w:rPr>
              <w:t xml:space="preserve">Adjusted Hourly </w:t>
            </w:r>
            <w:r>
              <w:rPr>
                <w:b/>
                <w:spacing w:val="-4"/>
                <w:sz w:val="24"/>
              </w:rPr>
              <w:t xml:space="preserve">Wage </w:t>
            </w:r>
            <w:r>
              <w:rPr>
                <w:b/>
                <w:spacing w:val="-2"/>
                <w:sz w:val="24"/>
              </w:rPr>
              <w:t>($/hour)</w:t>
            </w:r>
          </w:p>
        </w:tc>
      </w:tr>
      <w:tr>
        <w:tblPrEx>
          <w:tblW w:w="0" w:type="auto"/>
          <w:jc w:val="left"/>
          <w:tblInd w:w="670" w:type="dxa"/>
          <w:tblLayout w:type="fixed"/>
          <w:tblCellMar>
            <w:top w:w="0" w:type="dxa"/>
            <w:left w:w="0" w:type="dxa"/>
            <w:bottom w:w="0" w:type="dxa"/>
            <w:right w:w="0" w:type="dxa"/>
          </w:tblCellMar>
          <w:tblLook w:val="01E0"/>
        </w:tblPrEx>
        <w:trPr>
          <w:trHeight w:val="830"/>
          <w:jc w:val="left"/>
        </w:trPr>
        <w:tc>
          <w:tcPr>
            <w:tcW w:w="3701" w:type="dxa"/>
          </w:tcPr>
          <w:p>
            <w:pPr>
              <w:pStyle w:val="TableParagraph"/>
              <w:spacing w:line="276" w:lineRule="exact"/>
              <w:ind w:left="2" w:right="74"/>
              <w:rPr>
                <w:sz w:val="24"/>
              </w:rPr>
            </w:pPr>
            <w:r>
              <w:rPr>
                <w:sz w:val="24"/>
              </w:rPr>
              <w:t>Secretaries and Administrative Assistants,</w:t>
            </w:r>
            <w:r>
              <w:rPr>
                <w:spacing w:val="-15"/>
                <w:sz w:val="24"/>
              </w:rPr>
              <w:t xml:space="preserve"> </w:t>
            </w:r>
            <w:r>
              <w:rPr>
                <w:sz w:val="24"/>
              </w:rPr>
              <w:t>Except</w:t>
            </w:r>
            <w:r>
              <w:rPr>
                <w:spacing w:val="-15"/>
                <w:sz w:val="24"/>
              </w:rPr>
              <w:t xml:space="preserve"> </w:t>
            </w:r>
            <w:r>
              <w:rPr>
                <w:sz w:val="24"/>
              </w:rPr>
              <w:t>Legal,</w:t>
            </w:r>
            <w:r>
              <w:rPr>
                <w:spacing w:val="-14"/>
                <w:sz w:val="24"/>
              </w:rPr>
              <w:t xml:space="preserve"> </w:t>
            </w:r>
            <w:r>
              <w:rPr>
                <w:sz w:val="24"/>
              </w:rPr>
              <w:t>Medical, and Executive</w:t>
            </w:r>
          </w:p>
        </w:tc>
        <w:tc>
          <w:tcPr>
            <w:tcW w:w="1703" w:type="dxa"/>
          </w:tcPr>
          <w:p>
            <w:pPr>
              <w:pStyle w:val="TableParagraph"/>
              <w:spacing w:before="7"/>
              <w:rPr>
                <w:sz w:val="24"/>
              </w:rPr>
            </w:pPr>
          </w:p>
          <w:p>
            <w:pPr>
              <w:pStyle w:val="TableParagraph"/>
              <w:ind w:right="1"/>
              <w:jc w:val="center"/>
              <w:rPr>
                <w:sz w:val="24"/>
              </w:rPr>
            </w:pPr>
            <w:r>
              <w:rPr>
                <w:spacing w:val="-2"/>
                <w:sz w:val="24"/>
              </w:rPr>
              <w:t>43-</w:t>
            </w:r>
            <w:r>
              <w:rPr>
                <w:spacing w:val="-4"/>
                <w:sz w:val="24"/>
              </w:rPr>
              <w:t>6014</w:t>
            </w:r>
          </w:p>
        </w:tc>
        <w:tc>
          <w:tcPr>
            <w:tcW w:w="1286" w:type="dxa"/>
          </w:tcPr>
          <w:p>
            <w:pPr>
              <w:pStyle w:val="TableParagraph"/>
              <w:spacing w:before="7"/>
              <w:rPr>
                <w:sz w:val="24"/>
              </w:rPr>
            </w:pPr>
          </w:p>
          <w:p>
            <w:pPr>
              <w:pStyle w:val="TableParagraph"/>
              <w:ind w:right="1"/>
              <w:jc w:val="center"/>
              <w:rPr>
                <w:sz w:val="24"/>
              </w:rPr>
            </w:pPr>
            <w:r>
              <w:rPr>
                <w:spacing w:val="-2"/>
                <w:sz w:val="24"/>
              </w:rPr>
              <w:t>$21.29</w:t>
            </w:r>
          </w:p>
        </w:tc>
        <w:tc>
          <w:tcPr>
            <w:tcW w:w="1370" w:type="dxa"/>
          </w:tcPr>
          <w:p>
            <w:pPr>
              <w:pStyle w:val="TableParagraph"/>
              <w:spacing w:before="7"/>
              <w:rPr>
                <w:sz w:val="24"/>
              </w:rPr>
            </w:pPr>
          </w:p>
          <w:p>
            <w:pPr>
              <w:pStyle w:val="TableParagraph"/>
              <w:ind w:left="13" w:right="14"/>
              <w:jc w:val="center"/>
              <w:rPr>
                <w:sz w:val="24"/>
              </w:rPr>
            </w:pPr>
            <w:r>
              <w:rPr>
                <w:spacing w:val="-2"/>
                <w:sz w:val="24"/>
              </w:rPr>
              <w:t>$21.29</w:t>
            </w:r>
          </w:p>
        </w:tc>
        <w:tc>
          <w:tcPr>
            <w:tcW w:w="1293" w:type="dxa"/>
          </w:tcPr>
          <w:p>
            <w:pPr>
              <w:pStyle w:val="TableParagraph"/>
              <w:spacing w:before="7"/>
              <w:rPr>
                <w:sz w:val="24"/>
              </w:rPr>
            </w:pPr>
          </w:p>
          <w:p>
            <w:pPr>
              <w:pStyle w:val="TableParagraph"/>
              <w:ind w:left="24" w:right="21"/>
              <w:jc w:val="center"/>
              <w:rPr>
                <w:sz w:val="24"/>
              </w:rPr>
            </w:pPr>
            <w:r>
              <w:rPr>
                <w:spacing w:val="-2"/>
                <w:sz w:val="24"/>
              </w:rPr>
              <w:t>$42.58</w:t>
            </w:r>
          </w:p>
        </w:tc>
      </w:tr>
      <w:tr>
        <w:tblPrEx>
          <w:tblW w:w="0" w:type="auto"/>
          <w:jc w:val="left"/>
          <w:tblInd w:w="670" w:type="dxa"/>
          <w:tblLayout w:type="fixed"/>
          <w:tblCellMar>
            <w:top w:w="0" w:type="dxa"/>
            <w:left w:w="0" w:type="dxa"/>
            <w:bottom w:w="0" w:type="dxa"/>
            <w:right w:w="0" w:type="dxa"/>
          </w:tblCellMar>
          <w:tblLook w:val="01E0"/>
        </w:tblPrEx>
        <w:trPr>
          <w:trHeight w:val="279"/>
          <w:jc w:val="left"/>
        </w:trPr>
        <w:tc>
          <w:tcPr>
            <w:tcW w:w="3701" w:type="dxa"/>
          </w:tcPr>
          <w:p>
            <w:pPr>
              <w:pStyle w:val="TableParagraph"/>
              <w:spacing w:line="259" w:lineRule="exact"/>
              <w:ind w:left="2"/>
              <w:rPr>
                <w:sz w:val="24"/>
              </w:rPr>
            </w:pPr>
            <w:r>
              <w:rPr>
                <w:sz w:val="24"/>
              </w:rPr>
              <w:t>Operations</w:t>
            </w:r>
            <w:r>
              <w:rPr>
                <w:spacing w:val="-8"/>
                <w:sz w:val="24"/>
              </w:rPr>
              <w:t xml:space="preserve"> </w:t>
            </w:r>
            <w:r>
              <w:rPr>
                <w:spacing w:val="-2"/>
                <w:sz w:val="24"/>
              </w:rPr>
              <w:t>Manager</w:t>
            </w:r>
          </w:p>
        </w:tc>
        <w:tc>
          <w:tcPr>
            <w:tcW w:w="1703" w:type="dxa"/>
          </w:tcPr>
          <w:p>
            <w:pPr>
              <w:pStyle w:val="TableParagraph"/>
              <w:spacing w:line="259" w:lineRule="exact"/>
              <w:ind w:right="1"/>
              <w:jc w:val="center"/>
              <w:rPr>
                <w:sz w:val="24"/>
              </w:rPr>
            </w:pPr>
            <w:r>
              <w:rPr>
                <w:spacing w:val="-2"/>
                <w:sz w:val="24"/>
              </w:rPr>
              <w:t>11-</w:t>
            </w:r>
            <w:r>
              <w:rPr>
                <w:spacing w:val="-4"/>
                <w:sz w:val="24"/>
              </w:rPr>
              <w:t>1021</w:t>
            </w:r>
          </w:p>
        </w:tc>
        <w:tc>
          <w:tcPr>
            <w:tcW w:w="1286" w:type="dxa"/>
          </w:tcPr>
          <w:p>
            <w:pPr>
              <w:pStyle w:val="TableParagraph"/>
              <w:spacing w:line="259" w:lineRule="exact"/>
              <w:ind w:right="1"/>
              <w:jc w:val="center"/>
              <w:rPr>
                <w:sz w:val="24"/>
              </w:rPr>
            </w:pPr>
            <w:r>
              <w:rPr>
                <w:spacing w:val="-2"/>
                <w:sz w:val="24"/>
              </w:rPr>
              <w:t>$48.69</w:t>
            </w:r>
          </w:p>
        </w:tc>
        <w:tc>
          <w:tcPr>
            <w:tcW w:w="1370" w:type="dxa"/>
          </w:tcPr>
          <w:p>
            <w:pPr>
              <w:pStyle w:val="TableParagraph"/>
              <w:spacing w:line="259" w:lineRule="exact"/>
              <w:ind w:left="13" w:right="14"/>
              <w:jc w:val="center"/>
              <w:rPr>
                <w:sz w:val="24"/>
              </w:rPr>
            </w:pPr>
            <w:r>
              <w:rPr>
                <w:spacing w:val="-2"/>
                <w:sz w:val="24"/>
              </w:rPr>
              <w:t>$48.69</w:t>
            </w:r>
          </w:p>
        </w:tc>
        <w:tc>
          <w:tcPr>
            <w:tcW w:w="1293" w:type="dxa"/>
          </w:tcPr>
          <w:p>
            <w:pPr>
              <w:pStyle w:val="TableParagraph"/>
              <w:spacing w:line="259" w:lineRule="exact"/>
              <w:ind w:left="24" w:right="21"/>
              <w:jc w:val="center"/>
              <w:rPr>
                <w:sz w:val="24"/>
              </w:rPr>
            </w:pPr>
            <w:r>
              <w:rPr>
                <w:spacing w:val="-2"/>
                <w:sz w:val="24"/>
              </w:rPr>
              <w:t>$97.38</w:t>
            </w:r>
          </w:p>
        </w:tc>
      </w:tr>
      <w:tr>
        <w:tblPrEx>
          <w:tblW w:w="0" w:type="auto"/>
          <w:jc w:val="left"/>
          <w:tblInd w:w="670" w:type="dxa"/>
          <w:tblLayout w:type="fixed"/>
          <w:tblCellMar>
            <w:top w:w="0" w:type="dxa"/>
            <w:left w:w="0" w:type="dxa"/>
            <w:bottom w:w="0" w:type="dxa"/>
            <w:right w:w="0" w:type="dxa"/>
          </w:tblCellMar>
          <w:tblLook w:val="01E0"/>
        </w:tblPrEx>
        <w:trPr>
          <w:trHeight w:val="272"/>
          <w:jc w:val="left"/>
        </w:trPr>
        <w:tc>
          <w:tcPr>
            <w:tcW w:w="3701" w:type="dxa"/>
          </w:tcPr>
          <w:p>
            <w:pPr>
              <w:pStyle w:val="TableParagraph"/>
              <w:spacing w:line="252" w:lineRule="exact"/>
              <w:ind w:left="2"/>
              <w:rPr>
                <w:sz w:val="24"/>
              </w:rPr>
            </w:pPr>
            <w:r>
              <w:rPr>
                <w:sz w:val="24"/>
              </w:rPr>
              <w:t>Computer</w:t>
            </w:r>
            <w:r>
              <w:rPr>
                <w:spacing w:val="-7"/>
                <w:sz w:val="24"/>
              </w:rPr>
              <w:t xml:space="preserve"> </w:t>
            </w:r>
            <w:r>
              <w:rPr>
                <w:spacing w:val="-2"/>
                <w:sz w:val="24"/>
              </w:rPr>
              <w:t>Programmer</w:t>
            </w:r>
          </w:p>
        </w:tc>
        <w:tc>
          <w:tcPr>
            <w:tcW w:w="1703" w:type="dxa"/>
          </w:tcPr>
          <w:p>
            <w:pPr>
              <w:pStyle w:val="TableParagraph"/>
              <w:spacing w:line="252" w:lineRule="exact"/>
              <w:ind w:right="1"/>
              <w:jc w:val="center"/>
              <w:rPr>
                <w:sz w:val="24"/>
              </w:rPr>
            </w:pPr>
            <w:r>
              <w:rPr>
                <w:spacing w:val="-2"/>
                <w:sz w:val="24"/>
              </w:rPr>
              <w:t>15-</w:t>
            </w:r>
            <w:r>
              <w:rPr>
                <w:spacing w:val="-4"/>
                <w:sz w:val="24"/>
              </w:rPr>
              <w:t>1251</w:t>
            </w:r>
          </w:p>
        </w:tc>
        <w:tc>
          <w:tcPr>
            <w:tcW w:w="1286" w:type="dxa"/>
          </w:tcPr>
          <w:p>
            <w:pPr>
              <w:pStyle w:val="TableParagraph"/>
              <w:spacing w:line="252" w:lineRule="exact"/>
              <w:ind w:right="1"/>
              <w:jc w:val="center"/>
              <w:rPr>
                <w:sz w:val="24"/>
              </w:rPr>
            </w:pPr>
            <w:r>
              <w:rPr>
                <w:spacing w:val="-2"/>
                <w:sz w:val="24"/>
              </w:rPr>
              <w:t>$47.94</w:t>
            </w:r>
          </w:p>
        </w:tc>
        <w:tc>
          <w:tcPr>
            <w:tcW w:w="1370" w:type="dxa"/>
          </w:tcPr>
          <w:p>
            <w:pPr>
              <w:pStyle w:val="TableParagraph"/>
              <w:spacing w:line="252" w:lineRule="exact"/>
              <w:ind w:left="13" w:right="14"/>
              <w:jc w:val="center"/>
              <w:rPr>
                <w:sz w:val="24"/>
              </w:rPr>
            </w:pPr>
            <w:r>
              <w:rPr>
                <w:spacing w:val="-2"/>
                <w:sz w:val="24"/>
              </w:rPr>
              <w:t>$47.94</w:t>
            </w:r>
          </w:p>
        </w:tc>
        <w:tc>
          <w:tcPr>
            <w:tcW w:w="1293" w:type="dxa"/>
          </w:tcPr>
          <w:p>
            <w:pPr>
              <w:pStyle w:val="TableParagraph"/>
              <w:spacing w:line="252" w:lineRule="exact"/>
              <w:ind w:left="24" w:right="21"/>
              <w:jc w:val="center"/>
              <w:rPr>
                <w:sz w:val="24"/>
              </w:rPr>
            </w:pPr>
            <w:r>
              <w:rPr>
                <w:spacing w:val="-2"/>
                <w:sz w:val="24"/>
              </w:rPr>
              <w:t>$95.88</w:t>
            </w:r>
          </w:p>
        </w:tc>
      </w:tr>
    </w:tbl>
    <w:p>
      <w:pPr>
        <w:pStyle w:val="BodyText"/>
        <w:spacing w:before="7"/>
      </w:pPr>
    </w:p>
    <w:p>
      <w:pPr>
        <w:pStyle w:val="BodyText"/>
        <w:spacing w:line="276" w:lineRule="exact"/>
        <w:ind w:left="1190"/>
      </w:pPr>
      <w:r>
        <w:rPr>
          <w:u w:val="single"/>
        </w:rPr>
        <w:t>Annual</w:t>
      </w:r>
      <w:r>
        <w:rPr>
          <w:spacing w:val="-10"/>
          <w:u w:val="single"/>
        </w:rPr>
        <w:t xml:space="preserve"> </w:t>
      </w:r>
      <w:r>
        <w:rPr>
          <w:u w:val="single"/>
        </w:rPr>
        <w:t>Redetermination</w:t>
      </w:r>
      <w:r>
        <w:rPr>
          <w:spacing w:val="-9"/>
          <w:u w:val="single"/>
        </w:rPr>
        <w:t xml:space="preserve"> </w:t>
      </w:r>
      <w:r>
        <w:rPr>
          <w:spacing w:val="-2"/>
          <w:u w:val="single"/>
        </w:rPr>
        <w:t>Notices</w:t>
      </w:r>
    </w:p>
    <w:p>
      <w:pPr>
        <w:pStyle w:val="BodyText"/>
        <w:ind w:left="1190" w:right="857"/>
      </w:pPr>
      <w:r>
        <w:t>The</w:t>
      </w:r>
      <w:r>
        <w:rPr>
          <w:spacing w:val="-2"/>
        </w:rPr>
        <w:t xml:space="preserve"> </w:t>
      </w:r>
      <w:r>
        <w:t>2014</w:t>
      </w:r>
      <w:r>
        <w:rPr>
          <w:spacing w:val="-1"/>
        </w:rPr>
        <w:t xml:space="preserve"> </w:t>
      </w:r>
      <w:r>
        <w:t>final</w:t>
      </w:r>
      <w:r>
        <w:rPr>
          <w:spacing w:val="-6"/>
        </w:rPr>
        <w:t xml:space="preserve"> </w:t>
      </w:r>
      <w:r>
        <w:t>rule</w:t>
      </w:r>
      <w:r>
        <w:rPr>
          <w:spacing w:val="-3"/>
        </w:rPr>
        <w:t xml:space="preserve"> </w:t>
      </w:r>
      <w:r>
        <w:t>provides</w:t>
      </w:r>
      <w:r>
        <w:rPr>
          <w:spacing w:val="-4"/>
        </w:rPr>
        <w:t xml:space="preserve"> </w:t>
      </w:r>
      <w:r>
        <w:t>that</w:t>
      </w:r>
      <w:r>
        <w:rPr>
          <w:spacing w:val="-5"/>
        </w:rPr>
        <w:t xml:space="preserve"> </w:t>
      </w:r>
      <w:r>
        <w:t>an</w:t>
      </w:r>
      <w:r>
        <w:rPr>
          <w:spacing w:val="-2"/>
        </w:rPr>
        <w:t xml:space="preserve"> </w:t>
      </w:r>
      <w:r>
        <w:t>Exchange</w:t>
      </w:r>
      <w:r>
        <w:rPr>
          <w:spacing w:val="-1"/>
        </w:rPr>
        <w:t xml:space="preserve"> </w:t>
      </w:r>
      <w:r>
        <w:t>has</w:t>
      </w:r>
      <w:r>
        <w:rPr>
          <w:spacing w:val="-4"/>
        </w:rPr>
        <w:t xml:space="preserve"> </w:t>
      </w:r>
      <w:r>
        <w:t>three</w:t>
      </w:r>
      <w:r>
        <w:rPr>
          <w:spacing w:val="-4"/>
        </w:rPr>
        <w:t xml:space="preserve"> </w:t>
      </w:r>
      <w:r>
        <w:t>options</w:t>
      </w:r>
      <w:r>
        <w:rPr>
          <w:spacing w:val="-2"/>
        </w:rPr>
        <w:t xml:space="preserve"> </w:t>
      </w:r>
      <w:r>
        <w:t>when</w:t>
      </w:r>
      <w:r>
        <w:rPr>
          <w:spacing w:val="-3"/>
        </w:rPr>
        <w:t xml:space="preserve"> </w:t>
      </w:r>
      <w:r>
        <w:t>conducting</w:t>
      </w:r>
      <w:r>
        <w:rPr>
          <w:spacing w:val="-2"/>
        </w:rPr>
        <w:t xml:space="preserve"> </w:t>
      </w:r>
      <w:r>
        <w:t>the annual redetermination process for a plan year. The first option is to use existing procedures. The second option is to use the procedures described in the guidance</w:t>
      </w:r>
    </w:p>
    <w:p>
      <w:pPr>
        <w:pStyle w:val="BodyText"/>
        <w:spacing w:before="5" w:line="242" w:lineRule="auto"/>
        <w:ind w:left="1190" w:right="705"/>
      </w:pPr>
      <w:r>
        <w:t>document “Guidance on Annual Eligibility Redetermination and Re-enrollment for Marketplace</w:t>
      </w:r>
      <w:r>
        <w:rPr>
          <w:spacing w:val="-3"/>
        </w:rPr>
        <w:t xml:space="preserve"> </w:t>
      </w:r>
      <w:r>
        <w:t>Coverage</w:t>
      </w:r>
      <w:r>
        <w:rPr>
          <w:spacing w:val="-4"/>
        </w:rPr>
        <w:t xml:space="preserve"> </w:t>
      </w:r>
      <w:r>
        <w:t>for</w:t>
      </w:r>
      <w:r>
        <w:rPr>
          <w:spacing w:val="-4"/>
        </w:rPr>
        <w:t xml:space="preserve"> </w:t>
      </w:r>
      <w:r>
        <w:t>2024</w:t>
      </w:r>
      <w:r>
        <w:rPr>
          <w:spacing w:val="-2"/>
        </w:rPr>
        <w:t xml:space="preserve"> </w:t>
      </w:r>
      <w:r>
        <w:t>and</w:t>
      </w:r>
      <w:r>
        <w:rPr>
          <w:spacing w:val="-3"/>
        </w:rPr>
        <w:t xml:space="preserve"> </w:t>
      </w:r>
      <w:r>
        <w:t>Later</w:t>
      </w:r>
      <w:r>
        <w:rPr>
          <w:spacing w:val="-5"/>
        </w:rPr>
        <w:t xml:space="preserve"> </w:t>
      </w:r>
      <w:r>
        <w:t>Years”, and</w:t>
      </w:r>
      <w:r>
        <w:rPr>
          <w:spacing w:val="-3"/>
        </w:rPr>
        <w:t xml:space="preserve"> </w:t>
      </w:r>
      <w:r>
        <w:t>adopted</w:t>
      </w:r>
      <w:r>
        <w:rPr>
          <w:spacing w:val="-3"/>
        </w:rPr>
        <w:t xml:space="preserve"> </w:t>
      </w:r>
      <w:r>
        <w:t>by</w:t>
      </w:r>
      <w:r>
        <w:rPr>
          <w:spacing w:val="-9"/>
        </w:rPr>
        <w:t xml:space="preserve"> </w:t>
      </w:r>
      <w:r>
        <w:t>the</w:t>
      </w:r>
      <w:r>
        <w:rPr>
          <w:spacing w:val="-8"/>
        </w:rPr>
        <w:t xml:space="preserve"> </w:t>
      </w:r>
      <w:r>
        <w:t>Federally-facilitated Exchange. The</w:t>
      </w:r>
      <w:r>
        <w:rPr>
          <w:spacing w:val="-4"/>
        </w:rPr>
        <w:t xml:space="preserve"> </w:t>
      </w:r>
      <w:r>
        <w:t>third option for a State-based Exchange is to utilize alternative procedures approved</w:t>
      </w:r>
      <w:r>
        <w:rPr>
          <w:spacing w:val="-2"/>
        </w:rPr>
        <w:t xml:space="preserve"> </w:t>
      </w:r>
      <w:r>
        <w:t>by</w:t>
      </w:r>
      <w:r>
        <w:rPr>
          <w:spacing w:val="-1"/>
        </w:rPr>
        <w:t xml:space="preserve"> </w:t>
      </w:r>
      <w:r>
        <w:t>the</w:t>
      </w:r>
      <w:r>
        <w:rPr>
          <w:spacing w:val="-2"/>
        </w:rPr>
        <w:t xml:space="preserve"> </w:t>
      </w:r>
      <w:r>
        <w:t>Secretary</w:t>
      </w:r>
      <w:r>
        <w:rPr>
          <w:spacing w:val="-1"/>
        </w:rPr>
        <w:t xml:space="preserve"> </w:t>
      </w:r>
      <w:r>
        <w:t>based</w:t>
      </w:r>
      <w:r>
        <w:rPr>
          <w:spacing w:val="-2"/>
        </w:rPr>
        <w:t xml:space="preserve"> </w:t>
      </w:r>
      <w:r>
        <w:t>on</w:t>
      </w:r>
      <w:r>
        <w:rPr>
          <w:spacing w:val="-1"/>
        </w:rPr>
        <w:t xml:space="preserve"> </w:t>
      </w:r>
      <w:r>
        <w:t>a</w:t>
      </w:r>
      <w:r>
        <w:rPr>
          <w:spacing w:val="-2"/>
        </w:rPr>
        <w:t xml:space="preserve"> </w:t>
      </w:r>
      <w:r>
        <w:t>showing</w:t>
      </w:r>
      <w:r>
        <w:rPr>
          <w:spacing w:val="-1"/>
        </w:rPr>
        <w:t xml:space="preserve"> </w:t>
      </w:r>
      <w:r>
        <w:t>by</w:t>
      </w:r>
      <w:r>
        <w:rPr>
          <w:spacing w:val="-1"/>
        </w:rPr>
        <w:t xml:space="preserve"> </w:t>
      </w:r>
      <w:r>
        <w:t>the Exchange</w:t>
      </w:r>
      <w:r>
        <w:rPr>
          <w:spacing w:val="-6"/>
        </w:rPr>
        <w:t xml:space="preserve"> </w:t>
      </w:r>
      <w:r>
        <w:t>that</w:t>
      </w:r>
      <w:r>
        <w:rPr>
          <w:spacing w:val="-4"/>
        </w:rPr>
        <w:t xml:space="preserve"> </w:t>
      </w:r>
      <w:r>
        <w:t>such</w:t>
      </w:r>
      <w:r>
        <w:rPr>
          <w:spacing w:val="-2"/>
        </w:rPr>
        <w:t xml:space="preserve"> </w:t>
      </w:r>
      <w:r>
        <w:t>procedures</w:t>
      </w:r>
      <w:r>
        <w:rPr>
          <w:spacing w:val="-3"/>
        </w:rPr>
        <w:t xml:space="preserve"> </w:t>
      </w:r>
      <w:r>
        <w:t>meet specified criteria. We anticipate that fewer than 10 State-based Exchanges will opt for the second and third options. Under 5 CFR 1320.3(c)(4), information collections associated with these two options are not subject to the PRA as they would affect fewer than 10 entities in a 12-month period.</w:t>
      </w:r>
    </w:p>
    <w:p>
      <w:pPr>
        <w:pStyle w:val="BodyText"/>
        <w:spacing w:before="270"/>
        <w:ind w:left="1190"/>
      </w:pPr>
      <w:r>
        <w:rPr>
          <w:u w:val="single"/>
        </w:rPr>
        <w:t>Renewal</w:t>
      </w:r>
      <w:r>
        <w:rPr>
          <w:spacing w:val="2"/>
          <w:u w:val="single"/>
        </w:rPr>
        <w:t xml:space="preserve"> </w:t>
      </w:r>
      <w:r>
        <w:rPr>
          <w:spacing w:val="-2"/>
          <w:u w:val="single"/>
        </w:rPr>
        <w:t>Notices</w:t>
      </w:r>
    </w:p>
    <w:p>
      <w:pPr>
        <w:pStyle w:val="BodyText"/>
        <w:spacing w:line="242" w:lineRule="auto"/>
        <w:ind w:left="1190" w:right="948"/>
      </w:pPr>
      <w:r>
        <w:t>Health insurance issuers that are renewing coverage under a product in the small group or individual market, through or outside of the Exchanges, are required to send a notice to</w:t>
      </w:r>
      <w:r>
        <w:rPr>
          <w:spacing w:val="-5"/>
        </w:rPr>
        <w:t xml:space="preserve"> </w:t>
      </w:r>
      <w:r>
        <w:t>plan</w:t>
      </w:r>
      <w:r>
        <w:rPr>
          <w:spacing w:val="-12"/>
        </w:rPr>
        <w:t xml:space="preserve"> </w:t>
      </w:r>
      <w:r>
        <w:t>sponsors</w:t>
      </w:r>
      <w:r>
        <w:rPr>
          <w:spacing w:val="-13"/>
        </w:rPr>
        <w:t xml:space="preserve"> </w:t>
      </w:r>
      <w:r>
        <w:t>or</w:t>
      </w:r>
      <w:r>
        <w:rPr>
          <w:spacing w:val="-12"/>
        </w:rPr>
        <w:t xml:space="preserve"> </w:t>
      </w:r>
      <w:r>
        <w:t>individuals,</w:t>
      </w:r>
      <w:r>
        <w:rPr>
          <w:spacing w:val="-3"/>
        </w:rPr>
        <w:t xml:space="preserve"> </w:t>
      </w:r>
      <w:r>
        <w:t>as</w:t>
      </w:r>
      <w:r>
        <w:rPr>
          <w:spacing w:val="-7"/>
        </w:rPr>
        <w:t xml:space="preserve"> </w:t>
      </w:r>
      <w:r>
        <w:t>applicable.</w:t>
      </w:r>
      <w:r>
        <w:rPr>
          <w:spacing w:val="-2"/>
        </w:rPr>
        <w:t xml:space="preserve"> </w:t>
      </w:r>
      <w:r>
        <w:t>The</w:t>
      </w:r>
      <w:r>
        <w:rPr>
          <w:spacing w:val="-6"/>
        </w:rPr>
        <w:t xml:space="preserve"> </w:t>
      </w:r>
      <w:r>
        <w:t>following</w:t>
      </w:r>
      <w:r>
        <w:rPr>
          <w:spacing w:val="-5"/>
        </w:rPr>
        <w:t xml:space="preserve"> </w:t>
      </w:r>
      <w:r>
        <w:t>standard</w:t>
      </w:r>
      <w:r>
        <w:rPr>
          <w:spacing w:val="-5"/>
        </w:rPr>
        <w:t xml:space="preserve"> </w:t>
      </w:r>
      <w:r>
        <w:t>renewal</w:t>
      </w:r>
      <w:r>
        <w:rPr>
          <w:spacing w:val="-12"/>
        </w:rPr>
        <w:t xml:space="preserve"> </w:t>
      </w:r>
      <w:r>
        <w:t>notices</w:t>
      </w:r>
      <w:r>
        <w:rPr>
          <w:spacing w:val="-6"/>
        </w:rPr>
        <w:t xml:space="preserve"> </w:t>
      </w:r>
      <w:r>
        <w:t xml:space="preserve">are to be sent by issuers of individual market QHPs and other issuers in the individual </w:t>
      </w:r>
      <w:r>
        <w:rPr>
          <w:spacing w:val="-2"/>
        </w:rPr>
        <w:t>market:</w:t>
      </w:r>
    </w:p>
    <w:p>
      <w:pPr>
        <w:pStyle w:val="ListParagraph"/>
        <w:numPr>
          <w:ilvl w:val="0"/>
          <w:numId w:val="1"/>
        </w:numPr>
        <w:tabs>
          <w:tab w:val="left" w:pos="2200"/>
        </w:tabs>
        <w:spacing w:before="1" w:after="0" w:line="240" w:lineRule="auto"/>
        <w:ind w:left="2200" w:right="1287" w:hanging="361"/>
        <w:jc w:val="left"/>
        <w:rPr>
          <w:sz w:val="24"/>
        </w:rPr>
      </w:pPr>
      <w:r>
        <w:rPr>
          <w:sz w:val="24"/>
        </w:rPr>
        <w:t>Renewal</w:t>
      </w:r>
      <w:r>
        <w:rPr>
          <w:spacing w:val="-7"/>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where</w:t>
      </w:r>
      <w:r>
        <w:rPr>
          <w:spacing w:val="-4"/>
          <w:sz w:val="24"/>
        </w:rPr>
        <w:t xml:space="preserve"> </w:t>
      </w:r>
      <w:r>
        <w:rPr>
          <w:sz w:val="24"/>
        </w:rPr>
        <w:t>coverage</w:t>
      </w:r>
      <w:r>
        <w:rPr>
          <w:spacing w:val="-5"/>
          <w:sz w:val="24"/>
        </w:rPr>
        <w:t xml:space="preserve"> </w:t>
      </w:r>
      <w:r>
        <w:rPr>
          <w:sz w:val="24"/>
        </w:rPr>
        <w:t>is</w:t>
      </w:r>
      <w:r>
        <w:rPr>
          <w:spacing w:val="-5"/>
          <w:sz w:val="24"/>
        </w:rPr>
        <w:t xml:space="preserve"> </w:t>
      </w:r>
      <w:r>
        <w:rPr>
          <w:sz w:val="24"/>
        </w:rPr>
        <w:t>being</w:t>
      </w:r>
      <w:r>
        <w:rPr>
          <w:spacing w:val="-3"/>
          <w:sz w:val="24"/>
        </w:rPr>
        <w:t xml:space="preserve"> </w:t>
      </w:r>
      <w:r>
        <w:rPr>
          <w:sz w:val="24"/>
        </w:rPr>
        <w:t>renewed outside the Exchange; and</w:t>
      </w:r>
    </w:p>
    <w:p>
      <w:pPr>
        <w:pStyle w:val="ListParagraph"/>
        <w:numPr>
          <w:ilvl w:val="0"/>
          <w:numId w:val="1"/>
        </w:numPr>
        <w:tabs>
          <w:tab w:val="left" w:pos="2200"/>
        </w:tabs>
        <w:spacing w:before="9" w:after="0" w:line="240" w:lineRule="auto"/>
        <w:ind w:left="2200" w:right="1287" w:hanging="361"/>
        <w:jc w:val="left"/>
        <w:rPr>
          <w:sz w:val="24"/>
        </w:rPr>
      </w:pPr>
      <w:r>
        <w:rPr>
          <w:sz w:val="24"/>
        </w:rPr>
        <w:t>Renewal</w:t>
      </w:r>
      <w:r>
        <w:rPr>
          <w:spacing w:val="-7"/>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where</w:t>
      </w:r>
      <w:r>
        <w:rPr>
          <w:spacing w:val="-4"/>
          <w:sz w:val="24"/>
        </w:rPr>
        <w:t xml:space="preserve"> </w:t>
      </w:r>
      <w:r>
        <w:rPr>
          <w:sz w:val="24"/>
        </w:rPr>
        <w:t>coverage</w:t>
      </w:r>
      <w:r>
        <w:rPr>
          <w:spacing w:val="-5"/>
          <w:sz w:val="24"/>
        </w:rPr>
        <w:t xml:space="preserve"> </w:t>
      </w:r>
      <w:r>
        <w:rPr>
          <w:sz w:val="24"/>
        </w:rPr>
        <w:t>is</w:t>
      </w:r>
      <w:r>
        <w:rPr>
          <w:spacing w:val="-5"/>
          <w:sz w:val="24"/>
        </w:rPr>
        <w:t xml:space="preserve"> </w:t>
      </w:r>
      <w:r>
        <w:rPr>
          <w:sz w:val="24"/>
        </w:rPr>
        <w:t>being</w:t>
      </w:r>
      <w:r>
        <w:rPr>
          <w:spacing w:val="-3"/>
          <w:sz w:val="24"/>
        </w:rPr>
        <w:t xml:space="preserve"> </w:t>
      </w:r>
      <w:r>
        <w:rPr>
          <w:sz w:val="24"/>
        </w:rPr>
        <w:t>renewed in a QHP offered under the same product through the Exchange.</w:t>
      </w:r>
    </w:p>
    <w:p>
      <w:pPr>
        <w:pStyle w:val="BodyText"/>
        <w:spacing w:before="5"/>
      </w:pPr>
    </w:p>
    <w:p>
      <w:pPr>
        <w:pStyle w:val="BodyText"/>
        <w:spacing w:line="242" w:lineRule="auto"/>
        <w:ind w:left="1190" w:right="811"/>
      </w:pPr>
      <w:r>
        <w:t>Issuers in the small group market may use the draft Federal standard small group notices released in the June 26, 2014 bulletin, or any forms of the notice otherwise permitted by applicable laws and regulations. Small group market issuers not using the form and manner of the draft Federal standard notices released in the June 26, 2014 bulletin are expected to include the content described in the September 2, 2014 bulletin “Form and Manner</w:t>
      </w:r>
      <w:r>
        <w:rPr>
          <w:spacing w:val="-11"/>
        </w:rPr>
        <w:t xml:space="preserve"> </w:t>
      </w:r>
      <w:r>
        <w:t>of</w:t>
      </w:r>
      <w:r>
        <w:rPr>
          <w:spacing w:val="-5"/>
        </w:rPr>
        <w:t xml:space="preserve"> </w:t>
      </w:r>
      <w:r>
        <w:t>Notices</w:t>
      </w:r>
      <w:r>
        <w:rPr>
          <w:spacing w:val="-5"/>
        </w:rPr>
        <w:t xml:space="preserve"> </w:t>
      </w:r>
      <w:r>
        <w:t>When</w:t>
      </w:r>
      <w:r>
        <w:rPr>
          <w:spacing w:val="-3"/>
        </w:rPr>
        <w:t xml:space="preserve"> </w:t>
      </w:r>
      <w:r>
        <w:t>Discontinuing</w:t>
      </w:r>
      <w:r>
        <w:rPr>
          <w:spacing w:val="-3"/>
        </w:rPr>
        <w:t xml:space="preserve"> </w:t>
      </w:r>
      <w:r>
        <w:t>or</w:t>
      </w:r>
      <w:r>
        <w:rPr>
          <w:spacing w:val="-5"/>
        </w:rPr>
        <w:t xml:space="preserve"> </w:t>
      </w:r>
      <w:r>
        <w:t>Renewing</w:t>
      </w:r>
      <w:r>
        <w:rPr>
          <w:spacing w:val="-3"/>
        </w:rPr>
        <w:t xml:space="preserve"> </w:t>
      </w:r>
      <w:r>
        <w:t>a</w:t>
      </w:r>
      <w:r>
        <w:rPr>
          <w:spacing w:val="-4"/>
        </w:rPr>
        <w:t xml:space="preserve"> </w:t>
      </w:r>
      <w:r>
        <w:t>Product</w:t>
      </w:r>
      <w:r>
        <w:rPr>
          <w:spacing w:val="-7"/>
        </w:rPr>
        <w:t xml:space="preserve"> </w:t>
      </w:r>
      <w:r>
        <w:t>in</w:t>
      </w:r>
      <w:r>
        <w:rPr>
          <w:spacing w:val="-3"/>
        </w:rPr>
        <w:t xml:space="preserve"> </w:t>
      </w:r>
      <w:r>
        <w:t>the</w:t>
      </w:r>
      <w:r>
        <w:rPr>
          <w:spacing w:val="-4"/>
        </w:rPr>
        <w:t xml:space="preserve"> </w:t>
      </w:r>
      <w:r>
        <w:t>Group</w:t>
      </w:r>
      <w:r>
        <w:rPr>
          <w:spacing w:val="-3"/>
        </w:rPr>
        <w:t xml:space="preserve"> </w:t>
      </w:r>
      <w:r>
        <w:t>or</w:t>
      </w:r>
      <w:r>
        <w:rPr>
          <w:spacing w:val="-5"/>
        </w:rPr>
        <w:t xml:space="preserve"> </w:t>
      </w:r>
      <w:r>
        <w:t xml:space="preserve">Individual </w:t>
      </w:r>
      <w:r>
        <w:rPr>
          <w:spacing w:val="-2"/>
        </w:rPr>
        <w:t>Market.”</w:t>
      </w:r>
    </w:p>
    <w:p>
      <w:pPr>
        <w:spacing w:after="0" w:line="242" w:lineRule="auto"/>
        <w:sectPr>
          <w:pgSz w:w="12240" w:h="15840"/>
          <w:pgMar w:top="1020" w:right="780" w:bottom="960" w:left="780" w:header="0" w:footer="772"/>
          <w:cols w:space="720"/>
        </w:sectPr>
      </w:pPr>
    </w:p>
    <w:p>
      <w:pPr>
        <w:pStyle w:val="BodyText"/>
        <w:spacing w:before="62" w:line="242" w:lineRule="auto"/>
        <w:ind w:left="1190" w:right="857"/>
      </w:pPr>
      <w:r>
        <w:t>States that</w:t>
      </w:r>
      <w:r>
        <w:rPr>
          <w:spacing w:val="-1"/>
        </w:rPr>
        <w:t xml:space="preserve"> </w:t>
      </w:r>
      <w:r>
        <w:t>are enforcing the guaranteed renewability provisions of the Affordable Care Act</w:t>
      </w:r>
      <w:r>
        <w:rPr>
          <w:spacing w:val="-6"/>
        </w:rPr>
        <w:t xml:space="preserve"> </w:t>
      </w:r>
      <w:r>
        <w:t>may</w:t>
      </w:r>
      <w:r>
        <w:rPr>
          <w:spacing w:val="-3"/>
        </w:rPr>
        <w:t xml:space="preserve"> </w:t>
      </w:r>
      <w:r>
        <w:t>develop</w:t>
      </w:r>
      <w:r>
        <w:rPr>
          <w:spacing w:val="-2"/>
        </w:rPr>
        <w:t xml:space="preserve"> </w:t>
      </w:r>
      <w:r>
        <w:t>their</w:t>
      </w:r>
      <w:r>
        <w:rPr>
          <w:spacing w:val="-4"/>
        </w:rPr>
        <w:t xml:space="preserve"> </w:t>
      </w:r>
      <w:r>
        <w:t>own</w:t>
      </w:r>
      <w:r>
        <w:rPr>
          <w:spacing w:val="-2"/>
        </w:rPr>
        <w:t xml:space="preserve"> </w:t>
      </w:r>
      <w:r>
        <w:t>standard</w:t>
      </w:r>
      <w:r>
        <w:rPr>
          <w:spacing w:val="-5"/>
        </w:rPr>
        <w:t xml:space="preserve"> </w:t>
      </w:r>
      <w:r>
        <w:t>notices. However, we</w:t>
      </w:r>
      <w:r>
        <w:rPr>
          <w:spacing w:val="-10"/>
        </w:rPr>
        <w:t xml:space="preserve"> </w:t>
      </w:r>
      <w:r>
        <w:t>anticipate</w:t>
      </w:r>
      <w:r>
        <w:rPr>
          <w:spacing w:val="-3"/>
        </w:rPr>
        <w:t xml:space="preserve"> </w:t>
      </w:r>
      <w:r>
        <w:t>that</w:t>
      </w:r>
      <w:r>
        <w:rPr>
          <w:spacing w:val="-5"/>
        </w:rPr>
        <w:t xml:space="preserve"> </w:t>
      </w:r>
      <w:r>
        <w:t>fewer</w:t>
      </w:r>
      <w:r>
        <w:rPr>
          <w:spacing w:val="-5"/>
        </w:rPr>
        <w:t xml:space="preserve"> </w:t>
      </w:r>
      <w:r>
        <w:t>than</w:t>
      </w:r>
      <w:r>
        <w:rPr>
          <w:spacing w:val="-3"/>
        </w:rPr>
        <w:t xml:space="preserve"> </w:t>
      </w:r>
      <w:r>
        <w:t>10 States will opt for this alternative. Under 5</w:t>
      </w:r>
      <w:r>
        <w:rPr>
          <w:spacing w:val="-1"/>
        </w:rPr>
        <w:t xml:space="preserve"> </w:t>
      </w:r>
      <w:r>
        <w:t>CFR 1320.3(c)(4), this requirement is not subject to the PRA as it would affect fewer than 10 entities in a 12-month period.</w:t>
      </w:r>
    </w:p>
    <w:p>
      <w:pPr>
        <w:pStyle w:val="BodyText"/>
      </w:pPr>
    </w:p>
    <w:p>
      <w:pPr>
        <w:pStyle w:val="BodyText"/>
        <w:ind w:left="1204" w:right="948"/>
      </w:pPr>
      <w:r>
        <w:t>We estimate that there are 1,087 issuers in the individual market, including 344 QHP issuers, and</w:t>
      </w:r>
      <w:r>
        <w:rPr>
          <w:spacing w:val="-1"/>
        </w:rPr>
        <w:t xml:space="preserve"> </w:t>
      </w:r>
      <w:r>
        <w:t>552</w:t>
      </w:r>
      <w:hyperlink w:anchor="_bookmark6" w:history="1">
        <w:r>
          <w:rPr>
            <w:vertAlign w:val="superscript"/>
          </w:rPr>
          <w:t>7</w:t>
        </w:r>
      </w:hyperlink>
      <w:r>
        <w:rPr>
          <w:vertAlign w:val="baseline"/>
        </w:rPr>
        <w:t xml:space="preserve"> issuers</w:t>
      </w:r>
      <w:r>
        <w:rPr>
          <w:spacing w:val="-4"/>
          <w:vertAlign w:val="baseline"/>
        </w:rPr>
        <w:t xml:space="preserve"> </w:t>
      </w:r>
      <w:r>
        <w:rPr>
          <w:vertAlign w:val="baseline"/>
        </w:rPr>
        <w:t>in</w:t>
      </w:r>
      <w:r>
        <w:rPr>
          <w:spacing w:val="-2"/>
          <w:vertAlign w:val="baseline"/>
        </w:rPr>
        <w:t xml:space="preserve"> </w:t>
      </w:r>
      <w:r>
        <w:rPr>
          <w:vertAlign w:val="baseline"/>
        </w:rPr>
        <w:t>the</w:t>
      </w:r>
      <w:r>
        <w:rPr>
          <w:spacing w:val="-3"/>
          <w:vertAlign w:val="baseline"/>
        </w:rPr>
        <w:t xml:space="preserve"> </w:t>
      </w:r>
      <w:r>
        <w:rPr>
          <w:vertAlign w:val="baseline"/>
        </w:rPr>
        <w:t>small</w:t>
      </w:r>
      <w:r>
        <w:rPr>
          <w:spacing w:val="-5"/>
          <w:vertAlign w:val="baseline"/>
        </w:rPr>
        <w:t xml:space="preserve"> </w:t>
      </w:r>
      <w:r>
        <w:rPr>
          <w:vertAlign w:val="baseline"/>
        </w:rPr>
        <w:t>group</w:t>
      </w:r>
      <w:r>
        <w:rPr>
          <w:spacing w:val="-2"/>
          <w:vertAlign w:val="baseline"/>
        </w:rPr>
        <w:t xml:space="preserve"> </w:t>
      </w:r>
      <w:r>
        <w:rPr>
          <w:vertAlign w:val="baseline"/>
        </w:rPr>
        <w:t>market</w:t>
      </w:r>
      <w:r>
        <w:rPr>
          <w:spacing w:val="-6"/>
          <w:vertAlign w:val="baseline"/>
        </w:rPr>
        <w:t xml:space="preserve"> </w:t>
      </w:r>
      <w:r>
        <w:rPr>
          <w:vertAlign w:val="baseline"/>
        </w:rPr>
        <w:t>that</w:t>
      </w:r>
      <w:r>
        <w:rPr>
          <w:spacing w:val="-5"/>
          <w:vertAlign w:val="baseline"/>
        </w:rPr>
        <w:t xml:space="preserve"> </w:t>
      </w:r>
      <w:r>
        <w:rPr>
          <w:vertAlign w:val="baseline"/>
        </w:rPr>
        <w:t>will</w:t>
      </w:r>
      <w:r>
        <w:rPr>
          <w:spacing w:val="-5"/>
          <w:vertAlign w:val="baseline"/>
        </w:rPr>
        <w:t xml:space="preserve"> </w:t>
      </w:r>
      <w:r>
        <w:rPr>
          <w:vertAlign w:val="baseline"/>
        </w:rPr>
        <w:t>need</w:t>
      </w:r>
      <w:r>
        <w:rPr>
          <w:spacing w:val="-2"/>
          <w:vertAlign w:val="baseline"/>
        </w:rPr>
        <w:t xml:space="preserve"> </w:t>
      </w:r>
      <w:r>
        <w:rPr>
          <w:vertAlign w:val="baseline"/>
        </w:rPr>
        <w:t>to prepare the</w:t>
      </w:r>
      <w:r>
        <w:rPr>
          <w:spacing w:val="-3"/>
          <w:vertAlign w:val="baseline"/>
        </w:rPr>
        <w:t xml:space="preserve"> </w:t>
      </w:r>
      <w:r>
        <w:rPr>
          <w:vertAlign w:val="baseline"/>
        </w:rPr>
        <w:t>renewal notices</w:t>
      </w:r>
      <w:r>
        <w:rPr>
          <w:spacing w:val="-8"/>
          <w:vertAlign w:val="baseline"/>
        </w:rPr>
        <w:t xml:space="preserve"> </w:t>
      </w:r>
      <w:r>
        <w:rPr>
          <w:vertAlign w:val="baseline"/>
        </w:rPr>
        <w:t>to comply with the</w:t>
      </w:r>
      <w:r>
        <w:rPr>
          <w:spacing w:val="-1"/>
          <w:vertAlign w:val="baseline"/>
        </w:rPr>
        <w:t xml:space="preserve"> </w:t>
      </w:r>
      <w:r>
        <w:rPr>
          <w:vertAlign w:val="baseline"/>
        </w:rPr>
        <w:t>requirements</w:t>
      </w:r>
      <w:r>
        <w:rPr>
          <w:spacing w:val="-2"/>
          <w:vertAlign w:val="baseline"/>
        </w:rPr>
        <w:t xml:space="preserve"> </w:t>
      </w:r>
      <w:r>
        <w:rPr>
          <w:vertAlign w:val="baseline"/>
        </w:rPr>
        <w:t>in the</w:t>
      </w:r>
      <w:r>
        <w:rPr>
          <w:spacing w:val="-1"/>
          <w:vertAlign w:val="baseline"/>
        </w:rPr>
        <w:t xml:space="preserve"> </w:t>
      </w:r>
      <w:r>
        <w:rPr>
          <w:vertAlign w:val="baseline"/>
        </w:rPr>
        <w:t>guidance, with a</w:t>
      </w:r>
      <w:r>
        <w:rPr>
          <w:spacing w:val="-1"/>
          <w:vertAlign w:val="baseline"/>
        </w:rPr>
        <w:t xml:space="preserve"> </w:t>
      </w:r>
      <w:r>
        <w:rPr>
          <w:vertAlign w:val="baseline"/>
        </w:rPr>
        <w:t>total</w:t>
      </w:r>
      <w:r>
        <w:rPr>
          <w:spacing w:val="-4"/>
          <w:vertAlign w:val="baseline"/>
        </w:rPr>
        <w:t xml:space="preserve"> </w:t>
      </w:r>
      <w:r>
        <w:rPr>
          <w:vertAlign w:val="baseline"/>
        </w:rPr>
        <w:t>of 1,206 issuers</w:t>
      </w:r>
      <w:r>
        <w:rPr>
          <w:spacing w:val="-2"/>
          <w:vertAlign w:val="baseline"/>
        </w:rPr>
        <w:t xml:space="preserve"> </w:t>
      </w:r>
      <w:r>
        <w:rPr>
          <w:vertAlign w:val="baseline"/>
        </w:rPr>
        <w:t>in both</w:t>
      </w:r>
      <w:r>
        <w:rPr>
          <w:spacing w:val="-2"/>
          <w:vertAlign w:val="baseline"/>
        </w:rPr>
        <w:t xml:space="preserve"> </w:t>
      </w:r>
      <w:r>
        <w:rPr>
          <w:vertAlign w:val="baseline"/>
        </w:rPr>
        <w:t>markets. Since there are existing requirements for issuers to send renewal notices, we only estimate the burden to prepare and automate the notices.</w:t>
      </w:r>
    </w:p>
    <w:p>
      <w:pPr>
        <w:pStyle w:val="BodyText"/>
        <w:spacing w:before="11"/>
      </w:pPr>
    </w:p>
    <w:p>
      <w:pPr>
        <w:pStyle w:val="BodyText"/>
        <w:spacing w:line="242" w:lineRule="auto"/>
        <w:ind w:left="1204" w:right="1130"/>
      </w:pPr>
      <w:r>
        <w:t>For issuers in the individual market outside the Exchange and small group market, we estimate that it will require 3 hours for an administrative assistant (at a cost of $42.58 per hour) to prepare the notice using the Federal standard notice (or a standard notice provided by their State) and 1 hour for an operations manager (at a cost of $97.38 per hour) to review the notice. We also estimate that it will take a computer programmer 16 hours (at a cost of $97.38 per hour) to write and test a program to automate the notices. The total annual burden for each issuer to prepare the notice will be 20 hours with</w:t>
      </w:r>
      <w:r>
        <w:rPr>
          <w:spacing w:val="-2"/>
        </w:rPr>
        <w:t xml:space="preserve"> </w:t>
      </w:r>
      <w:r>
        <w:t>an</w:t>
      </w:r>
      <w:r>
        <w:rPr>
          <w:spacing w:val="-3"/>
        </w:rPr>
        <w:t xml:space="preserve"> </w:t>
      </w:r>
      <w:r>
        <w:t>equivalent</w:t>
      </w:r>
      <w:r>
        <w:rPr>
          <w:spacing w:val="-6"/>
        </w:rPr>
        <w:t xml:space="preserve"> </w:t>
      </w:r>
      <w:r>
        <w:t>cost</w:t>
      </w:r>
      <w:r>
        <w:rPr>
          <w:spacing w:val="-5"/>
        </w:rPr>
        <w:t xml:space="preserve"> </w:t>
      </w:r>
      <w:r>
        <w:t>of</w:t>
      </w:r>
      <w:r>
        <w:rPr>
          <w:spacing w:val="-4"/>
        </w:rPr>
        <w:t xml:space="preserve"> </w:t>
      </w:r>
      <w:r>
        <w:t>approximately</w:t>
      </w:r>
      <w:r>
        <w:rPr>
          <w:spacing w:val="-2"/>
        </w:rPr>
        <w:t xml:space="preserve"> </w:t>
      </w:r>
      <w:r>
        <w:t>$1,759. For</w:t>
      </w:r>
      <w:r>
        <w:rPr>
          <w:spacing w:val="-10"/>
        </w:rPr>
        <w:t xml:space="preserve"> </w:t>
      </w:r>
      <w:r>
        <w:t>all</w:t>
      </w:r>
      <w:r>
        <w:rPr>
          <w:spacing w:val="-5"/>
        </w:rPr>
        <w:t xml:space="preserve"> </w:t>
      </w:r>
      <w:r>
        <w:t>1,087</w:t>
      </w:r>
      <w:r>
        <w:rPr>
          <w:spacing w:val="-1"/>
        </w:rPr>
        <w:t xml:space="preserve"> </w:t>
      </w:r>
      <w:r>
        <w:t>issuers</w:t>
      </w:r>
      <w:r>
        <w:rPr>
          <w:spacing w:val="-4"/>
        </w:rPr>
        <w:t xml:space="preserve"> </w:t>
      </w:r>
      <w:r>
        <w:t>in</w:t>
      </w:r>
      <w:r>
        <w:rPr>
          <w:spacing w:val="-2"/>
        </w:rPr>
        <w:t xml:space="preserve"> </w:t>
      </w:r>
      <w:r>
        <w:t>the</w:t>
      </w:r>
      <w:r>
        <w:rPr>
          <w:spacing w:val="-3"/>
        </w:rPr>
        <w:t xml:space="preserve"> </w:t>
      </w:r>
      <w:r>
        <w:t>individual market, the total annual burden will be 21,740 hours with an equivalent cost of approximately $1.9 million. For all 552 issuers in the small group market, the total annual burden will be 11,040 hours with an equivalent cost of $971,078.</w:t>
      </w:r>
    </w:p>
    <w:p>
      <w:pPr>
        <w:pStyle w:val="BodyText"/>
        <w:spacing w:before="274"/>
        <w:ind w:left="1190" w:right="857"/>
      </w:pPr>
      <w:r>
        <w:rPr>
          <w:u w:val="single"/>
        </w:rPr>
        <w:t>Table</w:t>
      </w:r>
      <w:r>
        <w:rPr>
          <w:spacing w:val="-4"/>
          <w:u w:val="single"/>
        </w:rPr>
        <w:t xml:space="preserve"> </w:t>
      </w:r>
      <w:r>
        <w:rPr>
          <w:u w:val="single"/>
        </w:rPr>
        <w:t>12.2</w:t>
      </w:r>
      <w:r>
        <w:rPr>
          <w:spacing w:val="-2"/>
          <w:u w:val="single"/>
        </w:rPr>
        <w:t xml:space="preserve"> </w:t>
      </w:r>
      <w:r>
        <w:rPr>
          <w:u w:val="single"/>
        </w:rPr>
        <w:t>Estimated</w:t>
      </w:r>
      <w:r>
        <w:rPr>
          <w:spacing w:val="-4"/>
          <w:u w:val="single"/>
        </w:rPr>
        <w:t xml:space="preserve"> </w:t>
      </w:r>
      <w:r>
        <w:rPr>
          <w:u w:val="single"/>
        </w:rPr>
        <w:t>Annualized</w:t>
      </w:r>
      <w:r>
        <w:rPr>
          <w:spacing w:val="-3"/>
          <w:u w:val="single"/>
        </w:rPr>
        <w:t xml:space="preserve"> </w:t>
      </w:r>
      <w:r>
        <w:rPr>
          <w:u w:val="single"/>
        </w:rPr>
        <w:t>Burden</w:t>
      </w:r>
      <w:r>
        <w:rPr>
          <w:spacing w:val="-4"/>
          <w:u w:val="single"/>
        </w:rPr>
        <w:t xml:space="preserve"> </w:t>
      </w:r>
      <w:r>
        <w:rPr>
          <w:u w:val="single"/>
        </w:rPr>
        <w:t>for</w:t>
      </w:r>
      <w:r>
        <w:rPr>
          <w:spacing w:val="-5"/>
          <w:u w:val="single"/>
        </w:rPr>
        <w:t xml:space="preserve"> </w:t>
      </w:r>
      <w:r>
        <w:rPr>
          <w:u w:val="single"/>
        </w:rPr>
        <w:t>Renewal</w:t>
      </w:r>
      <w:r>
        <w:rPr>
          <w:spacing w:val="-7"/>
          <w:u w:val="single"/>
        </w:rPr>
        <w:t xml:space="preserve"> </w:t>
      </w:r>
      <w:r>
        <w:rPr>
          <w:u w:val="single"/>
        </w:rPr>
        <w:t>Notices</w:t>
      </w:r>
      <w:r>
        <w:rPr>
          <w:spacing w:val="-5"/>
          <w:u w:val="single"/>
        </w:rPr>
        <w:t xml:space="preserve"> </w:t>
      </w:r>
      <w:r>
        <w:rPr>
          <w:u w:val="single"/>
        </w:rPr>
        <w:t>for Issuers</w:t>
      </w:r>
      <w:r>
        <w:rPr>
          <w:spacing w:val="-4"/>
          <w:u w:val="single"/>
        </w:rPr>
        <w:t xml:space="preserve"> </w:t>
      </w:r>
      <w:r>
        <w:rPr>
          <w:u w:val="single"/>
        </w:rPr>
        <w:t>Outside</w:t>
      </w:r>
      <w:r>
        <w:rPr>
          <w:spacing w:val="-3"/>
          <w:u w:val="single"/>
        </w:rPr>
        <w:t xml:space="preserve"> </w:t>
      </w:r>
      <w:r>
        <w:rPr>
          <w:u w:val="single"/>
        </w:rPr>
        <w:t>the</w:t>
      </w:r>
      <w:r>
        <w:rPr>
          <w:spacing w:val="-4"/>
          <w:u w:val="single"/>
        </w:rPr>
        <w:t xml:space="preserve"> </w:t>
      </w:r>
      <w:r>
        <w:rPr>
          <w:spacing w:val="-4"/>
          <w:u w:val="none"/>
        </w:rPr>
        <w:t xml:space="preserve"> </w:t>
      </w:r>
      <w:r>
        <w:rPr>
          <w:spacing w:val="-2"/>
          <w:u w:val="single"/>
        </w:rPr>
        <w:t>Exchange</w:t>
      </w:r>
    </w:p>
    <w:p>
      <w:pPr>
        <w:pStyle w:val="BodyText"/>
        <w:spacing w:before="6"/>
        <w:rPr>
          <w:sz w:val="14"/>
        </w:rPr>
      </w:pPr>
    </w:p>
    <w:tbl>
      <w:tblPr>
        <w:tblStyle w:val="TableNormal"/>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3"/>
        <w:gridCol w:w="1384"/>
        <w:gridCol w:w="1370"/>
        <w:gridCol w:w="1271"/>
        <w:gridCol w:w="1362"/>
        <w:gridCol w:w="1546"/>
        <w:gridCol w:w="1821"/>
      </w:tblGrid>
      <w:tr>
        <w:tblPrEx>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9"/>
          <w:jc w:val="left"/>
        </w:trPr>
        <w:tc>
          <w:tcPr>
            <w:tcW w:w="1363" w:type="dxa"/>
          </w:tcPr>
          <w:p>
            <w:pPr>
              <w:pStyle w:val="TableParagraph"/>
              <w:rPr>
                <w:sz w:val="19"/>
              </w:rPr>
            </w:pPr>
          </w:p>
          <w:p>
            <w:pPr>
              <w:pStyle w:val="TableParagraph"/>
              <w:spacing w:before="19"/>
              <w:rPr>
                <w:sz w:val="19"/>
              </w:rPr>
            </w:pPr>
          </w:p>
          <w:p>
            <w:pPr>
              <w:pStyle w:val="TableParagraph"/>
              <w:ind w:left="228"/>
              <w:rPr>
                <w:b/>
                <w:sz w:val="19"/>
              </w:rPr>
            </w:pPr>
            <w:r>
              <w:rPr>
                <w:b/>
                <w:spacing w:val="-2"/>
                <w:w w:val="105"/>
                <w:sz w:val="19"/>
              </w:rPr>
              <w:t>Respondent</w:t>
            </w:r>
          </w:p>
        </w:tc>
        <w:tc>
          <w:tcPr>
            <w:tcW w:w="1384" w:type="dxa"/>
          </w:tcPr>
          <w:p>
            <w:pPr>
              <w:pStyle w:val="TableParagraph"/>
              <w:spacing w:before="124"/>
              <w:rPr>
                <w:sz w:val="19"/>
              </w:rPr>
            </w:pPr>
          </w:p>
          <w:p>
            <w:pPr>
              <w:pStyle w:val="TableParagraph"/>
              <w:spacing w:before="1" w:line="256" w:lineRule="auto"/>
              <w:ind w:left="143" w:firstLine="106"/>
              <w:rPr>
                <w:b/>
                <w:sz w:val="19"/>
              </w:rPr>
            </w:pPr>
            <w:r>
              <w:rPr>
                <w:b/>
                <w:w w:val="105"/>
                <w:sz w:val="19"/>
              </w:rPr>
              <w:t xml:space="preserve">Number of </w:t>
            </w:r>
            <w:r>
              <w:rPr>
                <w:b/>
                <w:spacing w:val="-2"/>
                <w:sz w:val="19"/>
              </w:rPr>
              <w:t>Respondents</w:t>
            </w:r>
          </w:p>
        </w:tc>
        <w:tc>
          <w:tcPr>
            <w:tcW w:w="1370" w:type="dxa"/>
          </w:tcPr>
          <w:p>
            <w:pPr>
              <w:pStyle w:val="TableParagraph"/>
              <w:spacing w:before="4"/>
              <w:rPr>
                <w:sz w:val="19"/>
              </w:rPr>
            </w:pPr>
          </w:p>
          <w:p>
            <w:pPr>
              <w:pStyle w:val="TableParagraph"/>
              <w:spacing w:before="1" w:line="256" w:lineRule="auto"/>
              <w:ind w:left="179" w:right="175" w:firstLine="49"/>
              <w:jc w:val="both"/>
              <w:rPr>
                <w:b/>
                <w:sz w:val="19"/>
              </w:rPr>
            </w:pPr>
            <w:r>
              <w:rPr>
                <w:b/>
                <w:w w:val="105"/>
                <w:sz w:val="19"/>
              </w:rPr>
              <w:t>Number</w:t>
            </w:r>
            <w:r>
              <w:rPr>
                <w:b/>
                <w:spacing w:val="-9"/>
                <w:w w:val="105"/>
                <w:sz w:val="19"/>
              </w:rPr>
              <w:t xml:space="preserve"> </w:t>
            </w:r>
            <w:r>
              <w:rPr>
                <w:b/>
                <w:w w:val="105"/>
                <w:sz w:val="19"/>
              </w:rPr>
              <w:t xml:space="preserve">of Notices per </w:t>
            </w:r>
            <w:r>
              <w:rPr>
                <w:b/>
                <w:spacing w:val="-2"/>
                <w:sz w:val="19"/>
              </w:rPr>
              <w:t>Respondent</w:t>
            </w:r>
          </w:p>
        </w:tc>
        <w:tc>
          <w:tcPr>
            <w:tcW w:w="1271" w:type="dxa"/>
          </w:tcPr>
          <w:p>
            <w:pPr>
              <w:pStyle w:val="TableParagraph"/>
              <w:spacing w:before="4"/>
              <w:rPr>
                <w:sz w:val="19"/>
              </w:rPr>
            </w:pPr>
          </w:p>
          <w:p>
            <w:pPr>
              <w:pStyle w:val="TableParagraph"/>
              <w:spacing w:before="1" w:line="256" w:lineRule="auto"/>
              <w:ind w:left="193" w:right="187" w:firstLine="1"/>
              <w:jc w:val="center"/>
              <w:rPr>
                <w:b/>
                <w:sz w:val="19"/>
              </w:rPr>
            </w:pPr>
            <w:r>
              <w:rPr>
                <w:b/>
                <w:spacing w:val="-2"/>
                <w:w w:val="105"/>
                <w:sz w:val="19"/>
              </w:rPr>
              <w:t xml:space="preserve">Burden </w:t>
            </w:r>
            <w:r>
              <w:rPr>
                <w:b/>
                <w:w w:val="105"/>
                <w:sz w:val="19"/>
              </w:rPr>
              <w:t>per</w:t>
            </w:r>
            <w:r>
              <w:rPr>
                <w:b/>
                <w:spacing w:val="-13"/>
                <w:w w:val="105"/>
                <w:sz w:val="19"/>
              </w:rPr>
              <w:t xml:space="preserve"> </w:t>
            </w:r>
            <w:r>
              <w:rPr>
                <w:b/>
                <w:w w:val="105"/>
                <w:sz w:val="19"/>
              </w:rPr>
              <w:t xml:space="preserve">Notice </w:t>
            </w:r>
            <w:r>
              <w:rPr>
                <w:b/>
                <w:spacing w:val="-2"/>
                <w:w w:val="105"/>
                <w:sz w:val="19"/>
              </w:rPr>
              <w:t>(Hours)</w:t>
            </w:r>
          </w:p>
        </w:tc>
        <w:tc>
          <w:tcPr>
            <w:tcW w:w="1362" w:type="dxa"/>
          </w:tcPr>
          <w:p>
            <w:pPr>
              <w:pStyle w:val="TableParagraph"/>
              <w:spacing w:before="124"/>
              <w:rPr>
                <w:sz w:val="19"/>
              </w:rPr>
            </w:pPr>
          </w:p>
          <w:p>
            <w:pPr>
              <w:pStyle w:val="TableParagraph"/>
              <w:spacing w:before="1" w:line="256" w:lineRule="auto"/>
              <w:ind w:left="250" w:right="182" w:hanging="57"/>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46" w:type="dxa"/>
          </w:tcPr>
          <w:p>
            <w:pPr>
              <w:pStyle w:val="TableParagraph"/>
              <w:spacing w:before="110" w:line="256" w:lineRule="auto"/>
              <w:ind w:left="115" w:right="9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821" w:type="dxa"/>
          </w:tcPr>
          <w:p>
            <w:pPr>
              <w:pStyle w:val="TableParagraph"/>
              <w:spacing w:before="124"/>
              <w:rPr>
                <w:sz w:val="19"/>
              </w:rPr>
            </w:pPr>
          </w:p>
          <w:p>
            <w:pPr>
              <w:pStyle w:val="TableParagraph"/>
              <w:spacing w:before="1" w:line="256" w:lineRule="auto"/>
              <w:ind w:left="237" w:right="229" w:firstLine="120"/>
              <w:rPr>
                <w:b/>
                <w:sz w:val="19"/>
              </w:rPr>
            </w:pPr>
            <w:r>
              <w:rPr>
                <w:b/>
                <w:w w:val="105"/>
                <w:sz w:val="19"/>
              </w:rPr>
              <w:t>Total</w:t>
            </w:r>
            <w:r>
              <w:rPr>
                <w:b/>
                <w:spacing w:val="-6"/>
                <w:w w:val="105"/>
                <w:sz w:val="19"/>
              </w:rPr>
              <w:t xml:space="preserve"> </w:t>
            </w:r>
            <w:r>
              <w:rPr>
                <w:b/>
                <w:w w:val="105"/>
                <w:sz w:val="19"/>
              </w:rPr>
              <w:t>Cost</w:t>
            </w:r>
            <w:r>
              <w:rPr>
                <w:b/>
                <w:spacing w:val="-9"/>
                <w:w w:val="105"/>
                <w:sz w:val="19"/>
              </w:rPr>
              <w:t xml:space="preserve"> </w:t>
            </w:r>
            <w:r>
              <w:rPr>
                <w:b/>
                <w:w w:val="105"/>
                <w:sz w:val="19"/>
              </w:rPr>
              <w:t xml:space="preserve">for all </w:t>
            </w:r>
            <w:r>
              <w:rPr>
                <w:b/>
                <w:spacing w:val="-2"/>
                <w:w w:val="105"/>
                <w:sz w:val="19"/>
              </w:rPr>
              <w:t>Respondents</w:t>
            </w:r>
          </w:p>
        </w:tc>
      </w:tr>
      <w:tr>
        <w:tblPrEx>
          <w:tblW w:w="0" w:type="auto"/>
          <w:jc w:val="left"/>
          <w:tblInd w:w="289" w:type="dxa"/>
          <w:tblLayout w:type="fixed"/>
          <w:tblCellMar>
            <w:top w:w="0" w:type="dxa"/>
            <w:left w:w="0" w:type="dxa"/>
            <w:bottom w:w="0" w:type="dxa"/>
            <w:right w:w="0" w:type="dxa"/>
          </w:tblCellMar>
          <w:tblLook w:val="01E0"/>
        </w:tblPrEx>
        <w:trPr>
          <w:trHeight w:val="907"/>
          <w:jc w:val="left"/>
        </w:trPr>
        <w:tc>
          <w:tcPr>
            <w:tcW w:w="1363" w:type="dxa"/>
          </w:tcPr>
          <w:p>
            <w:pPr>
              <w:pStyle w:val="TableParagraph"/>
              <w:spacing w:before="42"/>
              <w:ind w:left="107"/>
              <w:rPr>
                <w:sz w:val="24"/>
              </w:rPr>
            </w:pPr>
            <w:r>
              <w:rPr>
                <w:sz w:val="24"/>
              </w:rPr>
              <w:t xml:space="preserve">Issuer in </w:t>
            </w:r>
            <w:r>
              <w:rPr>
                <w:spacing w:val="-2"/>
                <w:sz w:val="24"/>
              </w:rPr>
              <w:t>Individual Market</w:t>
            </w:r>
          </w:p>
        </w:tc>
        <w:tc>
          <w:tcPr>
            <w:tcW w:w="1384" w:type="dxa"/>
          </w:tcPr>
          <w:p>
            <w:pPr>
              <w:pStyle w:val="TableParagraph"/>
              <w:spacing w:before="42"/>
              <w:rPr>
                <w:sz w:val="24"/>
              </w:rPr>
            </w:pPr>
          </w:p>
          <w:p>
            <w:pPr>
              <w:pStyle w:val="TableParagraph"/>
              <w:ind w:left="7"/>
              <w:jc w:val="center"/>
              <w:rPr>
                <w:sz w:val="24"/>
              </w:rPr>
            </w:pPr>
            <w:r>
              <w:rPr>
                <w:spacing w:val="-4"/>
                <w:sz w:val="24"/>
              </w:rPr>
              <w:t>1,087</w:t>
            </w:r>
          </w:p>
        </w:tc>
        <w:tc>
          <w:tcPr>
            <w:tcW w:w="1370" w:type="dxa"/>
          </w:tcPr>
          <w:p>
            <w:pPr>
              <w:pStyle w:val="TableParagraph"/>
              <w:spacing w:before="42"/>
              <w:rPr>
                <w:sz w:val="24"/>
              </w:rPr>
            </w:pPr>
          </w:p>
          <w:p>
            <w:pPr>
              <w:pStyle w:val="TableParagraph"/>
              <w:ind w:left="574"/>
              <w:rPr>
                <w:sz w:val="24"/>
              </w:rPr>
            </w:pPr>
            <w:r>
              <w:rPr>
                <w:spacing w:val="-10"/>
                <w:sz w:val="24"/>
              </w:rPr>
              <w:t>1</w:t>
            </w:r>
          </w:p>
        </w:tc>
        <w:tc>
          <w:tcPr>
            <w:tcW w:w="1271" w:type="dxa"/>
          </w:tcPr>
          <w:p>
            <w:pPr>
              <w:pStyle w:val="TableParagraph"/>
              <w:spacing w:before="42"/>
              <w:rPr>
                <w:sz w:val="24"/>
              </w:rPr>
            </w:pPr>
          </w:p>
          <w:p>
            <w:pPr>
              <w:pStyle w:val="TableParagraph"/>
              <w:ind w:right="95"/>
              <w:jc w:val="center"/>
              <w:rPr>
                <w:sz w:val="24"/>
              </w:rPr>
            </w:pPr>
            <w:r>
              <w:rPr>
                <w:spacing w:val="-5"/>
                <w:sz w:val="24"/>
              </w:rPr>
              <w:t>20</w:t>
            </w:r>
          </w:p>
        </w:tc>
        <w:tc>
          <w:tcPr>
            <w:tcW w:w="1362" w:type="dxa"/>
          </w:tcPr>
          <w:p>
            <w:pPr>
              <w:pStyle w:val="TableParagraph"/>
              <w:spacing w:before="42"/>
              <w:rPr>
                <w:sz w:val="24"/>
              </w:rPr>
            </w:pPr>
          </w:p>
          <w:p>
            <w:pPr>
              <w:pStyle w:val="TableParagraph"/>
              <w:ind w:left="16"/>
              <w:jc w:val="center"/>
              <w:rPr>
                <w:sz w:val="24"/>
              </w:rPr>
            </w:pPr>
            <w:r>
              <w:rPr>
                <w:spacing w:val="-2"/>
                <w:sz w:val="24"/>
              </w:rPr>
              <w:t>$1,759.20</w:t>
            </w:r>
          </w:p>
        </w:tc>
        <w:tc>
          <w:tcPr>
            <w:tcW w:w="1546" w:type="dxa"/>
          </w:tcPr>
          <w:p>
            <w:pPr>
              <w:pStyle w:val="TableParagraph"/>
              <w:spacing w:before="42"/>
              <w:rPr>
                <w:sz w:val="24"/>
              </w:rPr>
            </w:pPr>
          </w:p>
          <w:p>
            <w:pPr>
              <w:pStyle w:val="TableParagraph"/>
              <w:ind w:left="115" w:right="90"/>
              <w:jc w:val="center"/>
              <w:rPr>
                <w:sz w:val="24"/>
              </w:rPr>
            </w:pPr>
            <w:r>
              <w:rPr>
                <w:spacing w:val="-2"/>
                <w:sz w:val="24"/>
              </w:rPr>
              <w:t>21,740</w:t>
            </w:r>
          </w:p>
        </w:tc>
        <w:tc>
          <w:tcPr>
            <w:tcW w:w="1821" w:type="dxa"/>
          </w:tcPr>
          <w:p>
            <w:pPr>
              <w:pStyle w:val="TableParagraph"/>
              <w:spacing w:before="42"/>
              <w:rPr>
                <w:sz w:val="24"/>
              </w:rPr>
            </w:pPr>
          </w:p>
          <w:p>
            <w:pPr>
              <w:pStyle w:val="TableParagraph"/>
              <w:ind w:left="26"/>
              <w:jc w:val="center"/>
              <w:rPr>
                <w:sz w:val="24"/>
              </w:rPr>
            </w:pPr>
            <w:r>
              <w:rPr>
                <w:spacing w:val="-2"/>
                <w:sz w:val="24"/>
              </w:rPr>
              <w:t>$1,912,250.40</w:t>
            </w:r>
          </w:p>
        </w:tc>
      </w:tr>
      <w:tr>
        <w:tblPrEx>
          <w:tblW w:w="0" w:type="auto"/>
          <w:jc w:val="left"/>
          <w:tblInd w:w="289" w:type="dxa"/>
          <w:tblLayout w:type="fixed"/>
          <w:tblCellMar>
            <w:top w:w="0" w:type="dxa"/>
            <w:left w:w="0" w:type="dxa"/>
            <w:bottom w:w="0" w:type="dxa"/>
            <w:right w:w="0" w:type="dxa"/>
          </w:tblCellMar>
          <w:tblLook w:val="01E0"/>
        </w:tblPrEx>
        <w:trPr>
          <w:trHeight w:val="1120"/>
          <w:jc w:val="left"/>
        </w:trPr>
        <w:tc>
          <w:tcPr>
            <w:tcW w:w="1363" w:type="dxa"/>
          </w:tcPr>
          <w:p>
            <w:pPr>
              <w:pStyle w:val="TableParagraph"/>
              <w:spacing w:before="8"/>
              <w:ind w:left="107" w:right="421"/>
              <w:rPr>
                <w:sz w:val="24"/>
              </w:rPr>
            </w:pPr>
            <w:r>
              <w:rPr>
                <w:sz w:val="24"/>
              </w:rPr>
              <w:t>Issuer</w:t>
            </w:r>
            <w:r>
              <w:rPr>
                <w:spacing w:val="-15"/>
                <w:sz w:val="24"/>
              </w:rPr>
              <w:t xml:space="preserve"> </w:t>
            </w:r>
            <w:r>
              <w:rPr>
                <w:sz w:val="24"/>
              </w:rPr>
              <w:t xml:space="preserve">in </w:t>
            </w:r>
            <w:r>
              <w:rPr>
                <w:spacing w:val="-2"/>
                <w:sz w:val="24"/>
              </w:rPr>
              <w:t>Small</w:t>
            </w:r>
          </w:p>
          <w:p>
            <w:pPr>
              <w:pStyle w:val="TableParagraph"/>
              <w:spacing w:line="276" w:lineRule="exact"/>
              <w:ind w:left="107" w:right="544"/>
              <w:rPr>
                <w:sz w:val="24"/>
              </w:rPr>
            </w:pPr>
            <w:r>
              <w:rPr>
                <w:spacing w:val="-4"/>
                <w:sz w:val="24"/>
              </w:rPr>
              <w:t xml:space="preserve">Group </w:t>
            </w:r>
            <w:r>
              <w:rPr>
                <w:spacing w:val="-2"/>
                <w:sz w:val="24"/>
              </w:rPr>
              <w:t>Market</w:t>
            </w:r>
          </w:p>
        </w:tc>
        <w:tc>
          <w:tcPr>
            <w:tcW w:w="1384" w:type="dxa"/>
          </w:tcPr>
          <w:p>
            <w:pPr>
              <w:pStyle w:val="TableParagraph"/>
              <w:spacing w:before="148"/>
              <w:rPr>
                <w:sz w:val="24"/>
              </w:rPr>
            </w:pPr>
          </w:p>
          <w:p>
            <w:pPr>
              <w:pStyle w:val="TableParagraph"/>
              <w:ind w:left="7"/>
              <w:jc w:val="center"/>
              <w:rPr>
                <w:sz w:val="24"/>
              </w:rPr>
            </w:pPr>
            <w:r>
              <w:rPr>
                <w:spacing w:val="-5"/>
                <w:sz w:val="24"/>
              </w:rPr>
              <w:t>552</w:t>
            </w:r>
          </w:p>
        </w:tc>
        <w:tc>
          <w:tcPr>
            <w:tcW w:w="1370" w:type="dxa"/>
          </w:tcPr>
          <w:p>
            <w:pPr>
              <w:pStyle w:val="TableParagraph"/>
              <w:spacing w:before="148"/>
              <w:rPr>
                <w:sz w:val="24"/>
              </w:rPr>
            </w:pPr>
          </w:p>
          <w:p>
            <w:pPr>
              <w:pStyle w:val="TableParagraph"/>
              <w:ind w:left="574"/>
              <w:rPr>
                <w:sz w:val="24"/>
              </w:rPr>
            </w:pPr>
            <w:r>
              <w:rPr>
                <w:spacing w:val="-10"/>
                <w:sz w:val="24"/>
              </w:rPr>
              <w:t>1</w:t>
            </w:r>
          </w:p>
        </w:tc>
        <w:tc>
          <w:tcPr>
            <w:tcW w:w="1271" w:type="dxa"/>
          </w:tcPr>
          <w:p>
            <w:pPr>
              <w:pStyle w:val="TableParagraph"/>
              <w:spacing w:before="148"/>
              <w:rPr>
                <w:sz w:val="24"/>
              </w:rPr>
            </w:pPr>
          </w:p>
          <w:p>
            <w:pPr>
              <w:pStyle w:val="TableParagraph"/>
              <w:ind w:right="95"/>
              <w:jc w:val="center"/>
              <w:rPr>
                <w:sz w:val="24"/>
              </w:rPr>
            </w:pPr>
            <w:r>
              <w:rPr>
                <w:spacing w:val="-5"/>
                <w:sz w:val="24"/>
              </w:rPr>
              <w:t>20</w:t>
            </w:r>
          </w:p>
        </w:tc>
        <w:tc>
          <w:tcPr>
            <w:tcW w:w="1362" w:type="dxa"/>
          </w:tcPr>
          <w:p>
            <w:pPr>
              <w:pStyle w:val="TableParagraph"/>
              <w:spacing w:before="148"/>
              <w:rPr>
                <w:sz w:val="24"/>
              </w:rPr>
            </w:pPr>
          </w:p>
          <w:p>
            <w:pPr>
              <w:pStyle w:val="TableParagraph"/>
              <w:ind w:left="16"/>
              <w:jc w:val="center"/>
              <w:rPr>
                <w:sz w:val="24"/>
              </w:rPr>
            </w:pPr>
            <w:r>
              <w:rPr>
                <w:spacing w:val="-2"/>
                <w:sz w:val="24"/>
              </w:rPr>
              <w:t>$1,759.20</w:t>
            </w:r>
          </w:p>
        </w:tc>
        <w:tc>
          <w:tcPr>
            <w:tcW w:w="1546" w:type="dxa"/>
          </w:tcPr>
          <w:p>
            <w:pPr>
              <w:pStyle w:val="TableParagraph"/>
              <w:spacing w:before="148"/>
              <w:rPr>
                <w:sz w:val="24"/>
              </w:rPr>
            </w:pPr>
          </w:p>
          <w:p>
            <w:pPr>
              <w:pStyle w:val="TableParagraph"/>
              <w:ind w:left="115" w:right="90"/>
              <w:jc w:val="center"/>
              <w:rPr>
                <w:sz w:val="24"/>
              </w:rPr>
            </w:pPr>
            <w:r>
              <w:rPr>
                <w:spacing w:val="-2"/>
                <w:sz w:val="24"/>
              </w:rPr>
              <w:t>11,040</w:t>
            </w:r>
          </w:p>
        </w:tc>
        <w:tc>
          <w:tcPr>
            <w:tcW w:w="1821" w:type="dxa"/>
          </w:tcPr>
          <w:p>
            <w:pPr>
              <w:pStyle w:val="TableParagraph"/>
              <w:spacing w:before="148"/>
              <w:rPr>
                <w:sz w:val="24"/>
              </w:rPr>
            </w:pPr>
          </w:p>
          <w:p>
            <w:pPr>
              <w:pStyle w:val="TableParagraph"/>
              <w:ind w:left="26"/>
              <w:jc w:val="center"/>
              <w:rPr>
                <w:sz w:val="24"/>
              </w:rPr>
            </w:pPr>
            <w:r>
              <w:rPr>
                <w:spacing w:val="-2"/>
                <w:sz w:val="24"/>
              </w:rPr>
              <w:t>$971,078.40</w:t>
            </w:r>
          </w:p>
        </w:tc>
      </w:tr>
      <w:tr>
        <w:tblPrEx>
          <w:tblW w:w="0" w:type="auto"/>
          <w:jc w:val="left"/>
          <w:tblInd w:w="289" w:type="dxa"/>
          <w:tblLayout w:type="fixed"/>
          <w:tblCellMar>
            <w:top w:w="0" w:type="dxa"/>
            <w:left w:w="0" w:type="dxa"/>
            <w:bottom w:w="0" w:type="dxa"/>
            <w:right w:w="0" w:type="dxa"/>
          </w:tblCellMar>
          <w:tblLook w:val="01E0"/>
        </w:tblPrEx>
        <w:trPr>
          <w:trHeight w:val="724"/>
          <w:jc w:val="left"/>
        </w:trPr>
        <w:tc>
          <w:tcPr>
            <w:tcW w:w="1363" w:type="dxa"/>
          </w:tcPr>
          <w:p>
            <w:pPr>
              <w:pStyle w:val="TableParagraph"/>
              <w:spacing w:before="226"/>
              <w:ind w:left="107"/>
              <w:rPr>
                <w:b/>
                <w:sz w:val="24"/>
              </w:rPr>
            </w:pPr>
            <w:r>
              <w:rPr>
                <w:b/>
                <w:spacing w:val="-2"/>
                <w:sz w:val="24"/>
              </w:rPr>
              <w:t>Total</w:t>
            </w:r>
          </w:p>
        </w:tc>
        <w:tc>
          <w:tcPr>
            <w:tcW w:w="1384" w:type="dxa"/>
          </w:tcPr>
          <w:p>
            <w:pPr>
              <w:pStyle w:val="TableParagraph"/>
              <w:spacing w:before="226"/>
              <w:ind w:left="7"/>
              <w:jc w:val="center"/>
              <w:rPr>
                <w:b/>
                <w:sz w:val="24"/>
              </w:rPr>
            </w:pPr>
            <w:r>
              <w:rPr>
                <w:b/>
                <w:spacing w:val="-4"/>
                <w:sz w:val="24"/>
              </w:rPr>
              <w:t>1,206</w:t>
            </w:r>
          </w:p>
        </w:tc>
        <w:tc>
          <w:tcPr>
            <w:tcW w:w="1370" w:type="dxa"/>
          </w:tcPr>
          <w:p>
            <w:pPr>
              <w:pStyle w:val="TableParagraph"/>
              <w:rPr>
                <w:sz w:val="22"/>
              </w:rPr>
            </w:pPr>
          </w:p>
        </w:tc>
        <w:tc>
          <w:tcPr>
            <w:tcW w:w="1271" w:type="dxa"/>
          </w:tcPr>
          <w:p>
            <w:pPr>
              <w:pStyle w:val="TableParagraph"/>
              <w:rPr>
                <w:sz w:val="22"/>
              </w:rPr>
            </w:pPr>
          </w:p>
        </w:tc>
        <w:tc>
          <w:tcPr>
            <w:tcW w:w="1362" w:type="dxa"/>
          </w:tcPr>
          <w:p>
            <w:pPr>
              <w:pStyle w:val="TableParagraph"/>
              <w:rPr>
                <w:sz w:val="22"/>
              </w:rPr>
            </w:pPr>
          </w:p>
        </w:tc>
        <w:tc>
          <w:tcPr>
            <w:tcW w:w="1546" w:type="dxa"/>
          </w:tcPr>
          <w:p>
            <w:pPr>
              <w:pStyle w:val="TableParagraph"/>
              <w:spacing w:before="226"/>
              <w:ind w:left="115" w:right="90"/>
              <w:jc w:val="center"/>
              <w:rPr>
                <w:b/>
                <w:sz w:val="24"/>
              </w:rPr>
            </w:pPr>
            <w:r>
              <w:rPr>
                <w:b/>
                <w:spacing w:val="-2"/>
                <w:sz w:val="24"/>
              </w:rPr>
              <w:t>32,780</w:t>
            </w:r>
          </w:p>
        </w:tc>
        <w:tc>
          <w:tcPr>
            <w:tcW w:w="1821" w:type="dxa"/>
          </w:tcPr>
          <w:p>
            <w:pPr>
              <w:pStyle w:val="TableParagraph"/>
              <w:spacing w:before="226"/>
              <w:ind w:left="26"/>
              <w:jc w:val="center"/>
              <w:rPr>
                <w:b/>
                <w:sz w:val="24"/>
              </w:rPr>
            </w:pPr>
            <w:r>
              <w:rPr>
                <w:b/>
                <w:spacing w:val="-2"/>
                <w:sz w:val="24"/>
              </w:rPr>
              <w:t>$2,883,328.80</w:t>
            </w:r>
          </w:p>
        </w:tc>
      </w:tr>
    </w:tbl>
    <w:p>
      <w:pPr>
        <w:pStyle w:val="BodyText"/>
        <w:spacing w:before="212"/>
      </w:pPr>
    </w:p>
    <w:p>
      <w:pPr>
        <w:pStyle w:val="BodyText"/>
        <w:spacing w:line="242" w:lineRule="auto"/>
        <w:ind w:left="1204" w:right="1130"/>
      </w:pPr>
      <w:r>
        <w:t>Individual Market QHP issuers will need to include some additional information in their</w:t>
      </w:r>
      <w:r>
        <w:rPr>
          <w:spacing w:val="-3"/>
        </w:rPr>
        <w:t xml:space="preserve"> </w:t>
      </w:r>
      <w:r>
        <w:t>notices</w:t>
      </w:r>
      <w:r>
        <w:rPr>
          <w:spacing w:val="-3"/>
        </w:rPr>
        <w:t xml:space="preserve"> </w:t>
      </w:r>
      <w:r>
        <w:t>and</w:t>
      </w:r>
      <w:r>
        <w:rPr>
          <w:spacing w:val="-3"/>
        </w:rPr>
        <w:t xml:space="preserve"> </w:t>
      </w:r>
      <w:r>
        <w:t>therefore</w:t>
      </w:r>
      <w:r>
        <w:rPr>
          <w:spacing w:val="-3"/>
        </w:rPr>
        <w:t xml:space="preserve"> </w:t>
      </w:r>
      <w:r>
        <w:t>will</w:t>
      </w:r>
      <w:r>
        <w:rPr>
          <w:spacing w:val="-4"/>
        </w:rPr>
        <w:t xml:space="preserve"> </w:t>
      </w:r>
      <w:r>
        <w:t>incur</w:t>
      </w:r>
      <w:r>
        <w:rPr>
          <w:spacing w:val="-3"/>
        </w:rPr>
        <w:t xml:space="preserve"> </w:t>
      </w:r>
      <w:r>
        <w:t>a</w:t>
      </w:r>
      <w:r>
        <w:rPr>
          <w:spacing w:val="-3"/>
        </w:rPr>
        <w:t xml:space="preserve"> </w:t>
      </w:r>
      <w:r>
        <w:t>higher</w:t>
      </w:r>
      <w:r>
        <w:rPr>
          <w:spacing w:val="-4"/>
        </w:rPr>
        <w:t xml:space="preserve"> </w:t>
      </w:r>
      <w:r>
        <w:t>burden. We</w:t>
      </w:r>
      <w:r>
        <w:rPr>
          <w:spacing w:val="-3"/>
        </w:rPr>
        <w:t xml:space="preserve"> </w:t>
      </w:r>
      <w:r>
        <w:t>estimate</w:t>
      </w:r>
      <w:r>
        <w:rPr>
          <w:spacing w:val="-3"/>
        </w:rPr>
        <w:t xml:space="preserve"> </w:t>
      </w:r>
      <w:r>
        <w:t>that</w:t>
      </w:r>
      <w:r>
        <w:rPr>
          <w:spacing w:val="-5"/>
        </w:rPr>
        <w:t xml:space="preserve"> </w:t>
      </w:r>
      <w:r>
        <w:t>it</w:t>
      </w:r>
      <w:r>
        <w:rPr>
          <w:spacing w:val="-4"/>
        </w:rPr>
        <w:t xml:space="preserve"> </w:t>
      </w:r>
      <w:r>
        <w:t>will</w:t>
      </w:r>
      <w:r>
        <w:rPr>
          <w:spacing w:val="-4"/>
        </w:rPr>
        <w:t xml:space="preserve"> </w:t>
      </w:r>
      <w:r>
        <w:t>require 3 hours</w:t>
      </w:r>
      <w:r>
        <w:rPr>
          <w:spacing w:val="-8"/>
        </w:rPr>
        <w:t xml:space="preserve"> </w:t>
      </w:r>
      <w:r>
        <w:t>for</w:t>
      </w:r>
      <w:r>
        <w:rPr>
          <w:spacing w:val="-2"/>
        </w:rPr>
        <w:t xml:space="preserve"> </w:t>
      </w:r>
      <w:r>
        <w:t>an</w:t>
      </w:r>
      <w:r>
        <w:rPr>
          <w:spacing w:val="-1"/>
        </w:rPr>
        <w:t xml:space="preserve"> </w:t>
      </w:r>
      <w:r>
        <w:t>administrative</w:t>
      </w:r>
      <w:r>
        <w:rPr>
          <w:spacing w:val="-1"/>
        </w:rPr>
        <w:t xml:space="preserve"> </w:t>
      </w:r>
      <w:r>
        <w:t>assistant</w:t>
      </w:r>
      <w:r>
        <w:rPr>
          <w:spacing w:val="-1"/>
        </w:rPr>
        <w:t xml:space="preserve"> </w:t>
      </w:r>
      <w:r>
        <w:t>(at</w:t>
      </w:r>
      <w:r>
        <w:rPr>
          <w:spacing w:val="-4"/>
        </w:rPr>
        <w:t xml:space="preserve"> </w:t>
      </w:r>
      <w:r>
        <w:t>a</w:t>
      </w:r>
      <w:r>
        <w:rPr>
          <w:spacing w:val="-1"/>
        </w:rPr>
        <w:t xml:space="preserve"> </w:t>
      </w:r>
      <w:r>
        <w:t>cost</w:t>
      </w:r>
      <w:r>
        <w:rPr>
          <w:spacing w:val="-3"/>
        </w:rPr>
        <w:t xml:space="preserve"> </w:t>
      </w:r>
      <w:r>
        <w:t>of</w:t>
      </w:r>
      <w:r>
        <w:rPr>
          <w:spacing w:val="-2"/>
        </w:rPr>
        <w:t xml:space="preserve"> </w:t>
      </w:r>
      <w:r>
        <w:t>$42.58</w:t>
      </w:r>
      <w:r>
        <w:rPr>
          <w:spacing w:val="1"/>
        </w:rPr>
        <w:t xml:space="preserve"> </w:t>
      </w:r>
      <w:r>
        <w:t>per</w:t>
      </w:r>
      <w:r>
        <w:rPr>
          <w:spacing w:val="-3"/>
        </w:rPr>
        <w:t xml:space="preserve"> </w:t>
      </w:r>
      <w:r>
        <w:t>hour)</w:t>
      </w:r>
      <w:r>
        <w:rPr>
          <w:spacing w:val="-2"/>
        </w:rPr>
        <w:t xml:space="preserve"> </w:t>
      </w:r>
      <w:r>
        <w:t>to prepare</w:t>
      </w:r>
      <w:r>
        <w:rPr>
          <w:spacing w:val="-1"/>
        </w:rPr>
        <w:t xml:space="preserve"> </w:t>
      </w:r>
      <w:r>
        <w:t>the</w:t>
      </w:r>
      <w:r>
        <w:rPr>
          <w:spacing w:val="-1"/>
        </w:rPr>
        <w:t xml:space="preserve"> </w:t>
      </w:r>
      <w:r>
        <w:rPr>
          <w:spacing w:val="-2"/>
        </w:rPr>
        <w:t>notice</w:t>
      </w:r>
    </w:p>
    <w:p>
      <w:pPr>
        <w:pStyle w:val="BodyText"/>
        <w:spacing w:before="7"/>
        <w:rPr>
          <w:sz w:val="11"/>
        </w:rPr>
      </w:pPr>
      <w: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100047</wp:posOffset>
                </wp:positionV>
                <wp:extent cx="1830070" cy="9525"/>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144.07pt;height:0.71pt;margin-top:7.88pt;margin-left:72.05pt;mso-position-horizontal-relative:page;mso-wrap-distance-left:0;mso-wrap-distance-right:0;position:absolute;z-index:-251649024" filled="t" fillcolor="black" stroked="f">
                <v:fill type="solid"/>
                <w10:wrap type="topAndBottom"/>
              </v:rect>
            </w:pict>
          </mc:Fallback>
        </mc:AlternateContent>
      </w:r>
    </w:p>
    <w:p>
      <w:pPr>
        <w:spacing w:before="112" w:line="252" w:lineRule="auto"/>
        <w:ind w:left="660" w:right="1242" w:firstLine="0"/>
        <w:jc w:val="left"/>
        <w:rPr>
          <w:sz w:val="19"/>
        </w:rPr>
      </w:pPr>
      <w:bookmarkStart w:id="6" w:name="_bookmark6"/>
      <w:bookmarkEnd w:id="6"/>
      <w:r>
        <w:rPr>
          <w:w w:val="105"/>
          <w:sz w:val="19"/>
          <w:vertAlign w:val="superscript"/>
        </w:rPr>
        <w:t>7</w:t>
      </w:r>
      <w:r>
        <w:rPr>
          <w:w w:val="105"/>
          <w:sz w:val="19"/>
          <w:vertAlign w:val="baseline"/>
        </w:rPr>
        <w:t xml:space="preserve"> Data obtained from the 2024 Rate Review Data. Available at: https://</w:t>
      </w:r>
      <w:hyperlink r:id="rId10">
        <w:r>
          <w:rPr>
            <w:w w:val="105"/>
            <w:sz w:val="19"/>
            <w:vertAlign w:val="baseline"/>
          </w:rPr>
          <w:t>www.cms.gov/marketplace/resources/data/rate-review-data</w:t>
        </w:r>
      </w:hyperlink>
      <w:r>
        <w:rPr>
          <w:w w:val="105"/>
          <w:sz w:val="19"/>
          <w:vertAlign w:val="baseline"/>
        </w:rPr>
        <w:t xml:space="preserve"> and</w:t>
      </w:r>
      <w:r>
        <w:rPr>
          <w:spacing w:val="-4"/>
          <w:w w:val="105"/>
          <w:sz w:val="19"/>
          <w:vertAlign w:val="baseline"/>
        </w:rPr>
        <w:t xml:space="preserve"> </w:t>
      </w:r>
      <w:r>
        <w:rPr>
          <w:w w:val="105"/>
          <w:sz w:val="19"/>
          <w:vertAlign w:val="baseline"/>
        </w:rPr>
        <w:t>the</w:t>
      </w:r>
      <w:r>
        <w:rPr>
          <w:spacing w:val="-7"/>
          <w:w w:val="105"/>
          <w:sz w:val="19"/>
          <w:vertAlign w:val="baseline"/>
        </w:rPr>
        <w:t xml:space="preserve"> </w:t>
      </w:r>
      <w:r>
        <w:rPr>
          <w:w w:val="105"/>
          <w:sz w:val="19"/>
          <w:vertAlign w:val="baseline"/>
        </w:rPr>
        <w:t>2023</w:t>
      </w:r>
      <w:r>
        <w:rPr>
          <w:spacing w:val="-4"/>
          <w:w w:val="105"/>
          <w:sz w:val="19"/>
          <w:vertAlign w:val="baseline"/>
        </w:rPr>
        <w:t xml:space="preserve"> </w:t>
      </w:r>
      <w:r>
        <w:rPr>
          <w:w w:val="105"/>
          <w:sz w:val="19"/>
          <w:vertAlign w:val="baseline"/>
        </w:rPr>
        <w:t>Medical Loss</w:t>
      </w:r>
      <w:r>
        <w:rPr>
          <w:spacing w:val="-3"/>
          <w:w w:val="105"/>
          <w:sz w:val="19"/>
          <w:vertAlign w:val="baseline"/>
        </w:rPr>
        <w:t xml:space="preserve"> </w:t>
      </w:r>
      <w:r>
        <w:rPr>
          <w:w w:val="105"/>
          <w:sz w:val="19"/>
          <w:vertAlign w:val="baseline"/>
        </w:rPr>
        <w:t>Ratio Data</w:t>
      </w:r>
      <w:r>
        <w:rPr>
          <w:spacing w:val="-7"/>
          <w:w w:val="105"/>
          <w:sz w:val="19"/>
          <w:vertAlign w:val="baseline"/>
        </w:rPr>
        <w:t xml:space="preserve"> </w:t>
      </w:r>
      <w:r>
        <w:rPr>
          <w:w w:val="105"/>
          <w:sz w:val="19"/>
          <w:vertAlign w:val="baseline"/>
        </w:rPr>
        <w:t>and System Resources. https://</w:t>
      </w:r>
      <w:hyperlink r:id="rId11">
        <w:r>
          <w:rPr>
            <w:w w:val="105"/>
            <w:sz w:val="19"/>
            <w:vertAlign w:val="baseline"/>
          </w:rPr>
          <w:t>www.cms.gov/CCIIO/Resources/Data-Resources/mlr.html,</w:t>
        </w:r>
      </w:hyperlink>
      <w:r>
        <w:rPr>
          <w:w w:val="105"/>
          <w:sz w:val="19"/>
          <w:vertAlign w:val="baseline"/>
        </w:rPr>
        <w:t xml:space="preserve"> respectively.</w:t>
      </w:r>
    </w:p>
    <w:p>
      <w:pPr>
        <w:spacing w:after="0" w:line="252" w:lineRule="auto"/>
        <w:jc w:val="left"/>
        <w:rPr>
          <w:sz w:val="19"/>
        </w:rPr>
        <w:sectPr>
          <w:pgSz w:w="12240" w:h="15840"/>
          <w:pgMar w:top="1020" w:right="780" w:bottom="960" w:left="780" w:header="0" w:footer="772"/>
          <w:cols w:space="720"/>
        </w:sectPr>
      </w:pPr>
    </w:p>
    <w:p>
      <w:pPr>
        <w:pStyle w:val="BodyText"/>
        <w:spacing w:before="62" w:line="242" w:lineRule="auto"/>
        <w:ind w:left="1204" w:right="1242"/>
      </w:pPr>
      <w:r>
        <w:t>using the Federal standard notice (or a standard notice provided by their State) and 1 hour for a manager (at a cost of $97.38 per hour) to review the notice. We also estimate that it will take a computer programmer 20 hours (at a cost of $95.88 per hour) to write and test</w:t>
      </w:r>
      <w:r>
        <w:rPr>
          <w:spacing w:val="-1"/>
        </w:rPr>
        <w:t xml:space="preserve"> </w:t>
      </w:r>
      <w:r>
        <w:t>a program</w:t>
      </w:r>
      <w:r>
        <w:rPr>
          <w:spacing w:val="-1"/>
        </w:rPr>
        <w:t xml:space="preserve"> </w:t>
      </w:r>
      <w:r>
        <w:t>to</w:t>
      </w:r>
      <w:r>
        <w:rPr>
          <w:spacing w:val="-2"/>
        </w:rPr>
        <w:t xml:space="preserve"> </w:t>
      </w:r>
      <w:r>
        <w:t>automate the notices. The total</w:t>
      </w:r>
      <w:r>
        <w:rPr>
          <w:spacing w:val="-2"/>
        </w:rPr>
        <w:t xml:space="preserve"> </w:t>
      </w:r>
      <w:r>
        <w:t>annual burden for each issuer to prepare the notice will be 24 hours with an equivalent cost of approximately</w:t>
      </w:r>
      <w:r>
        <w:rPr>
          <w:spacing w:val="-1"/>
        </w:rPr>
        <w:t xml:space="preserve"> </w:t>
      </w:r>
      <w:r>
        <w:t>$2,143.</w:t>
      </w:r>
      <w:r>
        <w:rPr>
          <w:spacing w:val="40"/>
        </w:rPr>
        <w:t xml:space="preserve"> </w:t>
      </w:r>
      <w:r>
        <w:t>For</w:t>
      </w:r>
      <w:r>
        <w:rPr>
          <w:spacing w:val="-3"/>
        </w:rPr>
        <w:t xml:space="preserve"> </w:t>
      </w:r>
      <w:r>
        <w:t>all</w:t>
      </w:r>
      <w:r>
        <w:rPr>
          <w:spacing w:val="-3"/>
        </w:rPr>
        <w:t xml:space="preserve"> </w:t>
      </w:r>
      <w:r>
        <w:t>344</w:t>
      </w:r>
      <w:r>
        <w:rPr>
          <w:spacing w:val="-8"/>
        </w:rPr>
        <w:t xml:space="preserve"> </w:t>
      </w:r>
      <w:r>
        <w:t>QHP</w:t>
      </w:r>
      <w:r>
        <w:rPr>
          <w:spacing w:val="-8"/>
        </w:rPr>
        <w:t xml:space="preserve"> </w:t>
      </w:r>
      <w:r>
        <w:t>issuers, the</w:t>
      </w:r>
      <w:r>
        <w:rPr>
          <w:spacing w:val="-2"/>
        </w:rPr>
        <w:t xml:space="preserve"> </w:t>
      </w:r>
      <w:r>
        <w:t>total</w:t>
      </w:r>
      <w:r>
        <w:rPr>
          <w:spacing w:val="-9"/>
        </w:rPr>
        <w:t xml:space="preserve"> </w:t>
      </w:r>
      <w:r>
        <w:t>annual</w:t>
      </w:r>
      <w:r>
        <w:rPr>
          <w:spacing w:val="-4"/>
        </w:rPr>
        <w:t xml:space="preserve"> </w:t>
      </w:r>
      <w:r>
        <w:t>burden</w:t>
      </w:r>
      <w:r>
        <w:rPr>
          <w:spacing w:val="-2"/>
        </w:rPr>
        <w:t xml:space="preserve"> </w:t>
      </w:r>
      <w:r>
        <w:t>will</w:t>
      </w:r>
      <w:r>
        <w:rPr>
          <w:spacing w:val="-4"/>
        </w:rPr>
        <w:t xml:space="preserve"> </w:t>
      </w:r>
      <w:r>
        <w:t>be 8,256 hours with an equivalent cost of approximately $737,096.</w:t>
      </w:r>
    </w:p>
    <w:p>
      <w:pPr>
        <w:pStyle w:val="BodyText"/>
        <w:spacing w:before="273"/>
        <w:ind w:left="1204" w:right="705"/>
      </w:pPr>
      <w:r>
        <w:rPr>
          <w:u w:val="single"/>
        </w:rPr>
        <w:t>Table</w:t>
      </w:r>
      <w:r>
        <w:rPr>
          <w:spacing w:val="-3"/>
          <w:u w:val="single"/>
        </w:rPr>
        <w:t xml:space="preserve"> </w:t>
      </w:r>
      <w:r>
        <w:rPr>
          <w:u w:val="single"/>
        </w:rPr>
        <w:t>12.3</w:t>
      </w:r>
      <w:r>
        <w:rPr>
          <w:spacing w:val="-1"/>
          <w:u w:val="single"/>
        </w:rPr>
        <w:t xml:space="preserve"> </w:t>
      </w:r>
      <w:r>
        <w:rPr>
          <w:u w:val="single"/>
        </w:rPr>
        <w:t>Estimated</w:t>
      </w:r>
      <w:r>
        <w:rPr>
          <w:spacing w:val="-3"/>
          <w:u w:val="single"/>
        </w:rPr>
        <w:t xml:space="preserve"> </w:t>
      </w:r>
      <w:r>
        <w:rPr>
          <w:u w:val="single"/>
        </w:rPr>
        <w:t>Annualized</w:t>
      </w:r>
      <w:r>
        <w:rPr>
          <w:spacing w:val="-2"/>
          <w:u w:val="single"/>
        </w:rPr>
        <w:t xml:space="preserve"> </w:t>
      </w:r>
      <w:r>
        <w:rPr>
          <w:u w:val="single"/>
        </w:rPr>
        <w:t>Burden</w:t>
      </w:r>
      <w:r>
        <w:rPr>
          <w:spacing w:val="-3"/>
          <w:u w:val="single"/>
        </w:rPr>
        <w:t xml:space="preserve"> </w:t>
      </w:r>
      <w:r>
        <w:rPr>
          <w:u w:val="single"/>
        </w:rPr>
        <w:t>for</w:t>
      </w:r>
      <w:r>
        <w:rPr>
          <w:spacing w:val="-4"/>
          <w:u w:val="single"/>
        </w:rPr>
        <w:t xml:space="preserve"> </w:t>
      </w:r>
      <w:r>
        <w:rPr>
          <w:u w:val="single"/>
        </w:rPr>
        <w:t>Renewal</w:t>
      </w:r>
      <w:r>
        <w:rPr>
          <w:spacing w:val="-5"/>
          <w:u w:val="single"/>
        </w:rPr>
        <w:t xml:space="preserve"> </w:t>
      </w:r>
      <w:r>
        <w:rPr>
          <w:u w:val="single"/>
        </w:rPr>
        <w:t>Notices</w:t>
      </w:r>
      <w:r>
        <w:rPr>
          <w:spacing w:val="-4"/>
          <w:u w:val="single"/>
        </w:rPr>
        <w:t xml:space="preserve"> </w:t>
      </w:r>
      <w:r>
        <w:rPr>
          <w:u w:val="single"/>
        </w:rPr>
        <w:t>for</w:t>
      </w:r>
      <w:r>
        <w:rPr>
          <w:spacing w:val="-4"/>
          <w:u w:val="single"/>
        </w:rPr>
        <w:t xml:space="preserve"> </w:t>
      </w:r>
      <w:r>
        <w:rPr>
          <w:u w:val="single"/>
        </w:rPr>
        <w:t>Individual</w:t>
      </w:r>
      <w:r>
        <w:rPr>
          <w:spacing w:val="-5"/>
          <w:u w:val="single"/>
        </w:rPr>
        <w:t xml:space="preserve"> </w:t>
      </w:r>
      <w:r>
        <w:rPr>
          <w:u w:val="single"/>
        </w:rPr>
        <w:t>Market</w:t>
      </w:r>
      <w:r>
        <w:rPr>
          <w:spacing w:val="-12"/>
          <w:u w:val="single"/>
        </w:rPr>
        <w:t xml:space="preserve"> </w:t>
      </w:r>
      <w:r>
        <w:rPr>
          <w:u w:val="single"/>
        </w:rPr>
        <w:t>QHP</w:t>
      </w:r>
      <w:r>
        <w:rPr>
          <w:u w:val="none"/>
        </w:rPr>
        <w:t xml:space="preserve"> </w:t>
      </w:r>
      <w:r>
        <w:rPr>
          <w:spacing w:val="-2"/>
          <w:u w:val="single"/>
        </w:rPr>
        <w:t>Issuers</w:t>
      </w:r>
    </w:p>
    <w:p>
      <w:pPr>
        <w:pStyle w:val="BodyText"/>
        <w:spacing w:before="50"/>
        <w:rPr>
          <w:sz w:val="20"/>
        </w:rPr>
      </w:pPr>
    </w:p>
    <w:tbl>
      <w:tblPr>
        <w:tblStyle w:val="TableNormal"/>
        <w:tblW w:w="0" w:type="auto"/>
        <w:jc w:val="left"/>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7"/>
        <w:gridCol w:w="1362"/>
        <w:gridCol w:w="1115"/>
        <w:gridCol w:w="1397"/>
        <w:gridCol w:w="1560"/>
        <w:gridCol w:w="1842"/>
      </w:tblGrid>
      <w:tr>
        <w:tblPrEx>
          <w:tblW w:w="0" w:type="auto"/>
          <w:jc w:val="left"/>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19"/>
          <w:jc w:val="left"/>
        </w:trPr>
        <w:tc>
          <w:tcPr>
            <w:tcW w:w="1377" w:type="dxa"/>
          </w:tcPr>
          <w:p>
            <w:pPr>
              <w:pStyle w:val="TableParagraph"/>
              <w:spacing w:before="125"/>
              <w:rPr>
                <w:sz w:val="19"/>
              </w:rPr>
            </w:pPr>
          </w:p>
          <w:p>
            <w:pPr>
              <w:pStyle w:val="TableParagraph"/>
              <w:spacing w:line="249" w:lineRule="auto"/>
              <w:ind w:left="136" w:firstLine="113"/>
              <w:rPr>
                <w:b/>
                <w:sz w:val="19"/>
              </w:rPr>
            </w:pPr>
            <w:r>
              <w:rPr>
                <w:b/>
                <w:w w:val="105"/>
                <w:sz w:val="19"/>
              </w:rPr>
              <w:t xml:space="preserve">Number of </w:t>
            </w:r>
            <w:r>
              <w:rPr>
                <w:b/>
                <w:spacing w:val="-2"/>
                <w:sz w:val="19"/>
              </w:rPr>
              <w:t>Respondents</w:t>
            </w:r>
          </w:p>
        </w:tc>
        <w:tc>
          <w:tcPr>
            <w:tcW w:w="1362" w:type="dxa"/>
          </w:tcPr>
          <w:p>
            <w:pPr>
              <w:pStyle w:val="TableParagraph"/>
              <w:spacing w:before="5"/>
              <w:rPr>
                <w:sz w:val="19"/>
              </w:rPr>
            </w:pPr>
          </w:p>
          <w:p>
            <w:pPr>
              <w:pStyle w:val="TableParagraph"/>
              <w:spacing w:line="256" w:lineRule="auto"/>
              <w:ind w:left="171" w:right="174" w:firstLine="42"/>
              <w:jc w:val="both"/>
              <w:rPr>
                <w:b/>
                <w:sz w:val="19"/>
              </w:rPr>
            </w:pPr>
            <w:r>
              <w:rPr>
                <w:b/>
                <w:w w:val="105"/>
                <w:sz w:val="19"/>
              </w:rPr>
              <w:t>Number</w:t>
            </w:r>
            <w:r>
              <w:rPr>
                <w:b/>
                <w:spacing w:val="-1"/>
                <w:w w:val="105"/>
                <w:sz w:val="19"/>
              </w:rPr>
              <w:t xml:space="preserve"> </w:t>
            </w:r>
            <w:r>
              <w:rPr>
                <w:b/>
                <w:w w:val="105"/>
                <w:sz w:val="19"/>
              </w:rPr>
              <w:t xml:space="preserve">of Notices per </w:t>
            </w:r>
            <w:r>
              <w:rPr>
                <w:b/>
                <w:spacing w:val="-2"/>
                <w:sz w:val="19"/>
              </w:rPr>
              <w:t>Respondent</w:t>
            </w:r>
          </w:p>
        </w:tc>
        <w:tc>
          <w:tcPr>
            <w:tcW w:w="1115" w:type="dxa"/>
          </w:tcPr>
          <w:p>
            <w:pPr>
              <w:pStyle w:val="TableParagraph"/>
              <w:spacing w:before="110" w:line="254" w:lineRule="auto"/>
              <w:ind w:left="222" w:right="222" w:firstLine="9"/>
              <w:jc w:val="center"/>
              <w:rPr>
                <w:b/>
                <w:sz w:val="19"/>
              </w:rPr>
            </w:pPr>
            <w:r>
              <w:rPr>
                <w:b/>
                <w:spacing w:val="-2"/>
                <w:w w:val="105"/>
                <w:sz w:val="19"/>
              </w:rPr>
              <w:t xml:space="preserve">Burden </w:t>
            </w:r>
            <w:r>
              <w:rPr>
                <w:b/>
                <w:spacing w:val="-4"/>
                <w:w w:val="105"/>
                <w:sz w:val="19"/>
              </w:rPr>
              <w:t xml:space="preserve">per </w:t>
            </w:r>
            <w:r>
              <w:rPr>
                <w:b/>
                <w:spacing w:val="-2"/>
                <w:w w:val="105"/>
                <w:sz w:val="19"/>
              </w:rPr>
              <w:t xml:space="preserve">Notice </w:t>
            </w:r>
            <w:r>
              <w:rPr>
                <w:b/>
                <w:spacing w:val="-2"/>
                <w:sz w:val="19"/>
              </w:rPr>
              <w:t>(Hours)</w:t>
            </w:r>
          </w:p>
        </w:tc>
        <w:tc>
          <w:tcPr>
            <w:tcW w:w="1397" w:type="dxa"/>
          </w:tcPr>
          <w:p>
            <w:pPr>
              <w:pStyle w:val="TableParagraph"/>
              <w:spacing w:before="125"/>
              <w:rPr>
                <w:sz w:val="19"/>
              </w:rPr>
            </w:pPr>
          </w:p>
          <w:p>
            <w:pPr>
              <w:pStyle w:val="TableParagraph"/>
              <w:spacing w:line="249" w:lineRule="auto"/>
              <w:ind w:left="272" w:right="195" w:hanging="57"/>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60" w:type="dxa"/>
          </w:tcPr>
          <w:p>
            <w:pPr>
              <w:pStyle w:val="TableParagraph"/>
              <w:spacing w:before="110" w:line="254" w:lineRule="auto"/>
              <w:ind w:left="109" w:right="11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842" w:type="dxa"/>
          </w:tcPr>
          <w:p>
            <w:pPr>
              <w:pStyle w:val="TableParagraph"/>
              <w:spacing w:before="125"/>
              <w:rPr>
                <w:sz w:val="19"/>
              </w:rPr>
            </w:pPr>
          </w:p>
          <w:p>
            <w:pPr>
              <w:pStyle w:val="TableParagraph"/>
              <w:spacing w:line="249" w:lineRule="auto"/>
              <w:ind w:left="494" w:hanging="297"/>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for</w:t>
            </w:r>
            <w:r>
              <w:rPr>
                <w:b/>
                <w:spacing w:val="-13"/>
                <w:w w:val="105"/>
                <w:sz w:val="19"/>
              </w:rPr>
              <w:t xml:space="preserve"> </w:t>
            </w:r>
            <w:r>
              <w:rPr>
                <w:b/>
                <w:w w:val="105"/>
                <w:sz w:val="19"/>
              </w:rPr>
              <w:t xml:space="preserve">all </w:t>
            </w:r>
            <w:r>
              <w:rPr>
                <w:b/>
                <w:spacing w:val="-2"/>
                <w:w w:val="105"/>
                <w:sz w:val="19"/>
              </w:rPr>
              <w:t>Respondents</w:t>
            </w:r>
          </w:p>
        </w:tc>
      </w:tr>
      <w:tr>
        <w:tblPrEx>
          <w:tblW w:w="0" w:type="auto"/>
          <w:jc w:val="left"/>
          <w:tblInd w:w="1016" w:type="dxa"/>
          <w:tblLayout w:type="fixed"/>
          <w:tblCellMar>
            <w:top w:w="0" w:type="dxa"/>
            <w:left w:w="0" w:type="dxa"/>
            <w:bottom w:w="0" w:type="dxa"/>
            <w:right w:w="0" w:type="dxa"/>
          </w:tblCellMar>
          <w:tblLook w:val="01E0"/>
        </w:tblPrEx>
        <w:trPr>
          <w:trHeight w:val="590"/>
          <w:jc w:val="left"/>
        </w:trPr>
        <w:tc>
          <w:tcPr>
            <w:tcW w:w="1377" w:type="dxa"/>
          </w:tcPr>
          <w:p>
            <w:pPr>
              <w:pStyle w:val="TableParagraph"/>
              <w:spacing w:before="188"/>
              <w:ind w:left="91" w:right="95"/>
              <w:jc w:val="center"/>
              <w:rPr>
                <w:sz w:val="19"/>
              </w:rPr>
            </w:pPr>
            <w:r>
              <w:rPr>
                <w:spacing w:val="-5"/>
                <w:w w:val="105"/>
                <w:sz w:val="19"/>
              </w:rPr>
              <w:t>344</w:t>
            </w:r>
          </w:p>
        </w:tc>
        <w:tc>
          <w:tcPr>
            <w:tcW w:w="1362" w:type="dxa"/>
          </w:tcPr>
          <w:p>
            <w:pPr>
              <w:pStyle w:val="TableParagraph"/>
              <w:spacing w:before="188"/>
              <w:ind w:left="16" w:right="7"/>
              <w:jc w:val="center"/>
              <w:rPr>
                <w:sz w:val="19"/>
              </w:rPr>
            </w:pPr>
            <w:r>
              <w:rPr>
                <w:spacing w:val="-10"/>
                <w:w w:val="105"/>
                <w:sz w:val="19"/>
              </w:rPr>
              <w:t>1</w:t>
            </w:r>
          </w:p>
        </w:tc>
        <w:tc>
          <w:tcPr>
            <w:tcW w:w="1115" w:type="dxa"/>
          </w:tcPr>
          <w:p>
            <w:pPr>
              <w:pStyle w:val="TableParagraph"/>
              <w:spacing w:before="188"/>
              <w:ind w:left="3"/>
              <w:jc w:val="center"/>
              <w:rPr>
                <w:sz w:val="19"/>
              </w:rPr>
            </w:pPr>
            <w:r>
              <w:rPr>
                <w:spacing w:val="-5"/>
                <w:w w:val="105"/>
                <w:sz w:val="19"/>
              </w:rPr>
              <w:t>24</w:t>
            </w:r>
          </w:p>
        </w:tc>
        <w:tc>
          <w:tcPr>
            <w:tcW w:w="1397" w:type="dxa"/>
          </w:tcPr>
          <w:p>
            <w:pPr>
              <w:pStyle w:val="TableParagraph"/>
              <w:spacing w:before="188"/>
              <w:ind w:left="300"/>
              <w:rPr>
                <w:sz w:val="19"/>
              </w:rPr>
            </w:pPr>
            <w:r>
              <w:rPr>
                <w:spacing w:val="-2"/>
                <w:w w:val="105"/>
                <w:sz w:val="19"/>
              </w:rPr>
              <w:t>$2,142.72</w:t>
            </w:r>
          </w:p>
        </w:tc>
        <w:tc>
          <w:tcPr>
            <w:tcW w:w="1560" w:type="dxa"/>
          </w:tcPr>
          <w:p>
            <w:pPr>
              <w:pStyle w:val="TableParagraph"/>
              <w:spacing w:before="188"/>
              <w:ind w:left="109" w:right="113"/>
              <w:jc w:val="center"/>
              <w:rPr>
                <w:sz w:val="19"/>
              </w:rPr>
            </w:pPr>
            <w:r>
              <w:rPr>
                <w:spacing w:val="-2"/>
                <w:w w:val="105"/>
                <w:sz w:val="19"/>
              </w:rPr>
              <w:t>8,256</w:t>
            </w:r>
          </w:p>
        </w:tc>
        <w:tc>
          <w:tcPr>
            <w:tcW w:w="1842" w:type="dxa"/>
          </w:tcPr>
          <w:p>
            <w:pPr>
              <w:pStyle w:val="TableParagraph"/>
              <w:spacing w:before="188"/>
              <w:ind w:left="423"/>
              <w:rPr>
                <w:sz w:val="19"/>
              </w:rPr>
            </w:pPr>
            <w:r>
              <w:rPr>
                <w:spacing w:val="-2"/>
                <w:w w:val="105"/>
                <w:sz w:val="19"/>
              </w:rPr>
              <w:t>$737,095.68</w:t>
            </w:r>
          </w:p>
        </w:tc>
      </w:tr>
    </w:tbl>
    <w:p>
      <w:pPr>
        <w:pStyle w:val="BodyText"/>
        <w:spacing w:before="205" w:line="276" w:lineRule="exact"/>
        <w:ind w:left="1204"/>
      </w:pPr>
      <w:r>
        <w:rPr>
          <w:u w:val="single"/>
        </w:rPr>
        <w:t>Discontinuation</w:t>
      </w:r>
      <w:r>
        <w:rPr>
          <w:spacing w:val="-4"/>
          <w:u w:val="single"/>
        </w:rPr>
        <w:t xml:space="preserve"> </w:t>
      </w:r>
      <w:r>
        <w:rPr>
          <w:u w:val="single"/>
        </w:rPr>
        <w:t>(or</w:t>
      </w:r>
      <w:r>
        <w:rPr>
          <w:spacing w:val="-4"/>
          <w:u w:val="single"/>
        </w:rPr>
        <w:t xml:space="preserve"> </w:t>
      </w:r>
      <w:r>
        <w:rPr>
          <w:u w:val="single"/>
        </w:rPr>
        <w:t>Re-enrollment)</w:t>
      </w:r>
      <w:r>
        <w:rPr>
          <w:spacing w:val="-10"/>
          <w:u w:val="single"/>
        </w:rPr>
        <w:t xml:space="preserve"> </w:t>
      </w:r>
      <w:r>
        <w:rPr>
          <w:spacing w:val="-2"/>
          <w:u w:val="single"/>
        </w:rPr>
        <w:t>Notices</w:t>
      </w:r>
    </w:p>
    <w:p>
      <w:pPr>
        <w:pStyle w:val="BodyText"/>
        <w:spacing w:line="242" w:lineRule="auto"/>
        <w:ind w:left="1204" w:right="834"/>
      </w:pPr>
      <w:r>
        <w:t>A health insurance issuer that is discontinuing coverage under a product in the small group or individual market, or a QHP issuer that is discontinuing a product offered through</w:t>
      </w:r>
      <w:r>
        <w:rPr>
          <w:spacing w:val="-9"/>
        </w:rPr>
        <w:t xml:space="preserve"> </w:t>
      </w:r>
      <w:r>
        <w:t>the</w:t>
      </w:r>
      <w:r>
        <w:rPr>
          <w:spacing w:val="-3"/>
        </w:rPr>
        <w:t xml:space="preserve"> </w:t>
      </w:r>
      <w:r>
        <w:t>individual</w:t>
      </w:r>
      <w:r>
        <w:rPr>
          <w:spacing w:val="-5"/>
        </w:rPr>
        <w:t xml:space="preserve"> </w:t>
      </w:r>
      <w:r>
        <w:t>market</w:t>
      </w:r>
      <w:r>
        <w:rPr>
          <w:spacing w:val="-3"/>
        </w:rPr>
        <w:t xml:space="preserve"> </w:t>
      </w:r>
      <w:r>
        <w:t>Exchange</w:t>
      </w:r>
      <w:r>
        <w:rPr>
          <w:spacing w:val="-2"/>
        </w:rPr>
        <w:t xml:space="preserve"> </w:t>
      </w:r>
      <w:r>
        <w:t>and</w:t>
      </w:r>
      <w:r>
        <w:rPr>
          <w:spacing w:val="-3"/>
        </w:rPr>
        <w:t xml:space="preserve"> </w:t>
      </w:r>
      <w:r>
        <w:t>automatically</w:t>
      </w:r>
      <w:r>
        <w:rPr>
          <w:spacing w:val="-2"/>
        </w:rPr>
        <w:t xml:space="preserve"> </w:t>
      </w:r>
      <w:r>
        <w:t>enrolling</w:t>
      </w:r>
      <w:r>
        <w:rPr>
          <w:spacing w:val="-2"/>
        </w:rPr>
        <w:t xml:space="preserve"> </w:t>
      </w:r>
      <w:r>
        <w:t>an</w:t>
      </w:r>
      <w:r>
        <w:rPr>
          <w:spacing w:val="-3"/>
        </w:rPr>
        <w:t xml:space="preserve"> </w:t>
      </w:r>
      <w:r>
        <w:t>enrollee</w:t>
      </w:r>
      <w:r>
        <w:rPr>
          <w:spacing w:val="-4"/>
        </w:rPr>
        <w:t xml:space="preserve"> </w:t>
      </w:r>
      <w:r>
        <w:t>in</w:t>
      </w:r>
      <w:r>
        <w:rPr>
          <w:spacing w:val="-2"/>
        </w:rPr>
        <w:t xml:space="preserve"> </w:t>
      </w:r>
      <w:r>
        <w:t>a</w:t>
      </w:r>
      <w:r>
        <w:rPr>
          <w:spacing w:val="-3"/>
        </w:rPr>
        <w:t xml:space="preserve"> </w:t>
      </w:r>
      <w:r>
        <w:t>QHP under a different product offered by the same QHP issuer through the Exchange, is required to send a notice to enrollees.</w:t>
      </w:r>
    </w:p>
    <w:p>
      <w:pPr>
        <w:pStyle w:val="BodyText"/>
        <w:spacing w:before="3"/>
      </w:pPr>
    </w:p>
    <w:p>
      <w:pPr>
        <w:pStyle w:val="BodyText"/>
        <w:spacing w:before="1" w:line="242" w:lineRule="auto"/>
        <w:ind w:left="1204" w:right="857"/>
      </w:pPr>
      <w:r>
        <w:t>Issuers in the individual market will send one</w:t>
      </w:r>
      <w:r>
        <w:rPr>
          <w:spacing w:val="-2"/>
        </w:rPr>
        <w:t xml:space="preserve"> </w:t>
      </w:r>
      <w:r>
        <w:t>of two types of discontinuation notices depending</w:t>
      </w:r>
      <w:r>
        <w:rPr>
          <w:spacing w:val="-3"/>
        </w:rPr>
        <w:t xml:space="preserve"> </w:t>
      </w:r>
      <w:r>
        <w:t>on</w:t>
      </w:r>
      <w:r>
        <w:rPr>
          <w:spacing w:val="-3"/>
        </w:rPr>
        <w:t xml:space="preserve"> </w:t>
      </w:r>
      <w:r>
        <w:t>whether</w:t>
      </w:r>
      <w:r>
        <w:rPr>
          <w:spacing w:val="-6"/>
        </w:rPr>
        <w:t xml:space="preserve"> </w:t>
      </w:r>
      <w:r>
        <w:t>the</w:t>
      </w:r>
      <w:r>
        <w:rPr>
          <w:spacing w:val="-4"/>
        </w:rPr>
        <w:t xml:space="preserve"> </w:t>
      </w:r>
      <w:r>
        <w:t>issuer</w:t>
      </w:r>
      <w:r>
        <w:rPr>
          <w:spacing w:val="-6"/>
        </w:rPr>
        <w:t xml:space="preserve"> </w:t>
      </w:r>
      <w:r>
        <w:t>is</w:t>
      </w:r>
      <w:r>
        <w:rPr>
          <w:spacing w:val="-1"/>
        </w:rPr>
        <w:t xml:space="preserve"> </w:t>
      </w:r>
      <w:r>
        <w:t>automatically</w:t>
      </w:r>
      <w:r>
        <w:rPr>
          <w:spacing w:val="-3"/>
        </w:rPr>
        <w:t xml:space="preserve"> </w:t>
      </w:r>
      <w:r>
        <w:t>enrolling</w:t>
      </w:r>
      <w:r>
        <w:rPr>
          <w:spacing w:val="-3"/>
        </w:rPr>
        <w:t xml:space="preserve"> </w:t>
      </w:r>
      <w:r>
        <w:t>an</w:t>
      </w:r>
      <w:r>
        <w:rPr>
          <w:spacing w:val="-4"/>
        </w:rPr>
        <w:t xml:space="preserve"> </w:t>
      </w:r>
      <w:r>
        <w:t>enrollee</w:t>
      </w:r>
      <w:r>
        <w:rPr>
          <w:spacing w:val="-5"/>
        </w:rPr>
        <w:t xml:space="preserve"> </w:t>
      </w:r>
      <w:r>
        <w:t>in</w:t>
      </w:r>
      <w:r>
        <w:rPr>
          <w:spacing w:val="-3"/>
        </w:rPr>
        <w:t xml:space="preserve"> </w:t>
      </w:r>
      <w:r>
        <w:t>a</w:t>
      </w:r>
      <w:r>
        <w:rPr>
          <w:spacing w:val="-4"/>
        </w:rPr>
        <w:t xml:space="preserve"> </w:t>
      </w:r>
      <w:r>
        <w:t>plan</w:t>
      </w:r>
      <w:r>
        <w:rPr>
          <w:spacing w:val="-4"/>
        </w:rPr>
        <w:t xml:space="preserve"> </w:t>
      </w:r>
      <w:r>
        <w:t xml:space="preserve">under another product offered by the issuer. Issuers will send the following notices as </w:t>
      </w:r>
      <w:r>
        <w:rPr>
          <w:spacing w:val="-2"/>
        </w:rPr>
        <w:t>appropriate:</w:t>
      </w:r>
    </w:p>
    <w:p>
      <w:pPr>
        <w:pStyle w:val="BodyText"/>
        <w:spacing w:before="4"/>
      </w:pPr>
    </w:p>
    <w:p>
      <w:pPr>
        <w:pStyle w:val="ListParagraph"/>
        <w:numPr>
          <w:ilvl w:val="2"/>
          <w:numId w:val="2"/>
        </w:numPr>
        <w:tabs>
          <w:tab w:val="left" w:pos="1818"/>
        </w:tabs>
        <w:spacing w:before="0" w:after="0" w:line="240" w:lineRule="auto"/>
        <w:ind w:left="1818" w:right="1357" w:hanging="360"/>
        <w:jc w:val="left"/>
        <w:rPr>
          <w:sz w:val="24"/>
        </w:rPr>
      </w:pPr>
      <w:r>
        <w:rPr>
          <w:sz w:val="24"/>
        </w:rPr>
        <w:t>Discontinuation</w:t>
      </w:r>
      <w:r>
        <w:rPr>
          <w:spacing w:val="-3"/>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outside</w:t>
      </w:r>
      <w:r>
        <w:rPr>
          <w:spacing w:val="-4"/>
          <w:sz w:val="24"/>
        </w:rPr>
        <w:t xml:space="preserve"> </w:t>
      </w:r>
      <w:r>
        <w:rPr>
          <w:sz w:val="24"/>
        </w:rPr>
        <w:t>the</w:t>
      </w:r>
      <w:r>
        <w:rPr>
          <w:spacing w:val="-4"/>
          <w:sz w:val="24"/>
        </w:rPr>
        <w:t xml:space="preserve"> </w:t>
      </w:r>
      <w:r>
        <w:rPr>
          <w:sz w:val="24"/>
        </w:rPr>
        <w:t>Exchange</w:t>
      </w:r>
      <w:r>
        <w:rPr>
          <w:spacing w:val="-4"/>
          <w:sz w:val="24"/>
        </w:rPr>
        <w:t xml:space="preserve"> </w:t>
      </w:r>
      <w:r>
        <w:rPr>
          <w:sz w:val="24"/>
        </w:rPr>
        <w:t>and</w:t>
      </w:r>
      <w:r>
        <w:rPr>
          <w:spacing w:val="-3"/>
          <w:sz w:val="24"/>
        </w:rPr>
        <w:t xml:space="preserve"> </w:t>
      </w:r>
      <w:r>
        <w:rPr>
          <w:sz w:val="24"/>
        </w:rPr>
        <w:t>the issuer is automatically enrolling the enrollee in a different plan;</w:t>
      </w:r>
    </w:p>
    <w:p>
      <w:pPr>
        <w:pStyle w:val="ListParagraph"/>
        <w:numPr>
          <w:ilvl w:val="2"/>
          <w:numId w:val="2"/>
        </w:numPr>
        <w:tabs>
          <w:tab w:val="left" w:pos="1818"/>
        </w:tabs>
        <w:spacing w:before="2" w:after="0" w:line="240" w:lineRule="auto"/>
        <w:ind w:left="1818" w:right="905" w:hanging="360"/>
        <w:jc w:val="left"/>
        <w:rPr>
          <w:sz w:val="24"/>
        </w:rPr>
      </w:pPr>
      <w:r>
        <w:rPr>
          <w:sz w:val="24"/>
        </w:rPr>
        <w:t>Notice</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individual</w:t>
      </w:r>
      <w:r>
        <w:rPr>
          <w:spacing w:val="-6"/>
          <w:sz w:val="24"/>
        </w:rPr>
        <w:t xml:space="preserve"> </w:t>
      </w:r>
      <w:r>
        <w:rPr>
          <w:sz w:val="24"/>
        </w:rPr>
        <w:t>market</w:t>
      </w:r>
      <w:r>
        <w:rPr>
          <w:spacing w:val="-6"/>
          <w:sz w:val="24"/>
        </w:rPr>
        <w:t xml:space="preserve"> </w:t>
      </w:r>
      <w:r>
        <w:rPr>
          <w:sz w:val="24"/>
        </w:rPr>
        <w:t>where</w:t>
      </w:r>
      <w:r>
        <w:rPr>
          <w:spacing w:val="-3"/>
          <w:sz w:val="24"/>
        </w:rPr>
        <w:t xml:space="preserve"> </w:t>
      </w:r>
      <w:r>
        <w:rPr>
          <w:sz w:val="24"/>
        </w:rPr>
        <w:t>coverage</w:t>
      </w:r>
      <w:r>
        <w:rPr>
          <w:spacing w:val="-4"/>
          <w:sz w:val="24"/>
        </w:rPr>
        <w:t xml:space="preserve"> </w:t>
      </w:r>
      <w:r>
        <w:rPr>
          <w:sz w:val="24"/>
        </w:rPr>
        <w:t>was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QHP</w:t>
      </w:r>
      <w:r>
        <w:rPr>
          <w:spacing w:val="-1"/>
          <w:sz w:val="24"/>
        </w:rPr>
        <w:t xml:space="preserve"> </w:t>
      </w:r>
      <w:r>
        <w:rPr>
          <w:sz w:val="24"/>
        </w:rPr>
        <w:t>offered</w:t>
      </w:r>
      <w:r>
        <w:rPr>
          <w:spacing w:val="-3"/>
          <w:sz w:val="24"/>
        </w:rPr>
        <w:t xml:space="preserve"> </w:t>
      </w:r>
      <w:r>
        <w:rPr>
          <w:sz w:val="24"/>
        </w:rPr>
        <w:t>through</w:t>
      </w:r>
      <w:r>
        <w:rPr>
          <w:spacing w:val="-9"/>
          <w:sz w:val="24"/>
        </w:rPr>
        <w:t xml:space="preserve"> </w:t>
      </w:r>
      <w:r>
        <w:rPr>
          <w:sz w:val="24"/>
        </w:rPr>
        <w:t xml:space="preserve">the Exchange and the issuer is automatically enrolling the enrollee in a different </w:t>
      </w:r>
      <w:r>
        <w:rPr>
          <w:spacing w:val="-2"/>
          <w:sz w:val="24"/>
        </w:rPr>
        <w:t>product;</w:t>
      </w:r>
    </w:p>
    <w:p>
      <w:pPr>
        <w:pStyle w:val="ListParagraph"/>
        <w:numPr>
          <w:ilvl w:val="2"/>
          <w:numId w:val="2"/>
        </w:numPr>
        <w:tabs>
          <w:tab w:val="left" w:pos="1818"/>
        </w:tabs>
        <w:spacing w:before="8" w:after="0" w:line="240" w:lineRule="auto"/>
        <w:ind w:left="1818" w:right="1357" w:hanging="360"/>
        <w:jc w:val="left"/>
        <w:rPr>
          <w:sz w:val="24"/>
        </w:rPr>
      </w:pPr>
      <w:r>
        <w:rPr>
          <w:sz w:val="24"/>
        </w:rPr>
        <w:t>Discontinuation</w:t>
      </w:r>
      <w:r>
        <w:rPr>
          <w:spacing w:val="-3"/>
          <w:sz w:val="24"/>
        </w:rPr>
        <w:t xml:space="preserve"> </w:t>
      </w:r>
      <w:r>
        <w:rPr>
          <w:sz w:val="24"/>
        </w:rPr>
        <w:t>notice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individual</w:t>
      </w:r>
      <w:r>
        <w:rPr>
          <w:spacing w:val="-7"/>
          <w:sz w:val="24"/>
        </w:rPr>
        <w:t xml:space="preserve"> </w:t>
      </w:r>
      <w:r>
        <w:rPr>
          <w:sz w:val="24"/>
        </w:rPr>
        <w:t>market</w:t>
      </w:r>
      <w:r>
        <w:rPr>
          <w:spacing w:val="-7"/>
          <w:sz w:val="24"/>
        </w:rPr>
        <w:t xml:space="preserve"> </w:t>
      </w:r>
      <w:r>
        <w:rPr>
          <w:sz w:val="24"/>
        </w:rPr>
        <w:t>outside</w:t>
      </w:r>
      <w:r>
        <w:rPr>
          <w:spacing w:val="-4"/>
          <w:sz w:val="24"/>
        </w:rPr>
        <w:t xml:space="preserve"> </w:t>
      </w:r>
      <w:r>
        <w:rPr>
          <w:sz w:val="24"/>
        </w:rPr>
        <w:t>the</w:t>
      </w:r>
      <w:r>
        <w:rPr>
          <w:spacing w:val="-4"/>
          <w:sz w:val="24"/>
        </w:rPr>
        <w:t xml:space="preserve"> </w:t>
      </w:r>
      <w:r>
        <w:rPr>
          <w:sz w:val="24"/>
        </w:rPr>
        <w:t>Exchange</w:t>
      </w:r>
      <w:r>
        <w:rPr>
          <w:spacing w:val="-4"/>
          <w:sz w:val="24"/>
        </w:rPr>
        <w:t xml:space="preserve"> </w:t>
      </w:r>
      <w:r>
        <w:rPr>
          <w:sz w:val="24"/>
        </w:rPr>
        <w:t>and</w:t>
      </w:r>
      <w:r>
        <w:rPr>
          <w:spacing w:val="-3"/>
          <w:sz w:val="24"/>
        </w:rPr>
        <w:t xml:space="preserve"> </w:t>
      </w:r>
      <w:r>
        <w:rPr>
          <w:sz w:val="24"/>
        </w:rPr>
        <w:t>the issuer is not automatically enrolling the enrollee in a different plan; and</w:t>
      </w:r>
    </w:p>
    <w:p>
      <w:pPr>
        <w:pStyle w:val="ListParagraph"/>
        <w:numPr>
          <w:ilvl w:val="2"/>
          <w:numId w:val="2"/>
        </w:numPr>
        <w:tabs>
          <w:tab w:val="left" w:pos="1818"/>
        </w:tabs>
        <w:spacing w:before="2" w:after="0" w:line="240" w:lineRule="auto"/>
        <w:ind w:left="1818" w:right="1362" w:hanging="360"/>
        <w:jc w:val="left"/>
        <w:rPr>
          <w:sz w:val="24"/>
        </w:rPr>
      </w:pPr>
      <w:r>
        <w:rPr>
          <w:sz w:val="24"/>
        </w:rPr>
        <w:t>Discontinuation notice for the individual market where coverage being discontinued</w:t>
      </w:r>
      <w:r>
        <w:rPr>
          <w:spacing w:val="-4"/>
          <w:sz w:val="24"/>
        </w:rPr>
        <w:t xml:space="preserve"> </w:t>
      </w:r>
      <w:r>
        <w:rPr>
          <w:sz w:val="24"/>
        </w:rPr>
        <w:t>was</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QHP</w:t>
      </w:r>
      <w:r>
        <w:rPr>
          <w:spacing w:val="-2"/>
          <w:sz w:val="24"/>
        </w:rPr>
        <w:t xml:space="preserve"> </w:t>
      </w:r>
      <w:r>
        <w:rPr>
          <w:sz w:val="24"/>
        </w:rPr>
        <w:t>offered</w:t>
      </w:r>
      <w:r>
        <w:rPr>
          <w:spacing w:val="-4"/>
          <w:sz w:val="24"/>
        </w:rPr>
        <w:t xml:space="preserve"> </w:t>
      </w:r>
      <w:r>
        <w:rPr>
          <w:sz w:val="24"/>
        </w:rPr>
        <w:t>through</w:t>
      </w:r>
      <w:r>
        <w:rPr>
          <w:spacing w:val="-3"/>
          <w:sz w:val="24"/>
        </w:rPr>
        <w:t xml:space="preserve"> </w:t>
      </w:r>
      <w:r>
        <w:rPr>
          <w:sz w:val="24"/>
        </w:rPr>
        <w:t>the</w:t>
      </w:r>
      <w:r>
        <w:rPr>
          <w:spacing w:val="-4"/>
          <w:sz w:val="24"/>
        </w:rPr>
        <w:t xml:space="preserve"> </w:t>
      </w:r>
      <w:r>
        <w:rPr>
          <w:sz w:val="24"/>
        </w:rPr>
        <w:t>Exchange</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issuer is</w:t>
      </w:r>
      <w:r>
        <w:rPr>
          <w:spacing w:val="-10"/>
          <w:sz w:val="24"/>
        </w:rPr>
        <w:t xml:space="preserve"> </w:t>
      </w:r>
      <w:r>
        <w:rPr>
          <w:sz w:val="24"/>
        </w:rPr>
        <w:t>not automatically enrolling the enrollee in a different plan.</w:t>
      </w:r>
    </w:p>
    <w:p>
      <w:pPr>
        <w:pStyle w:val="BodyText"/>
        <w:spacing w:before="4"/>
      </w:pPr>
    </w:p>
    <w:p>
      <w:pPr>
        <w:pStyle w:val="BodyText"/>
        <w:spacing w:line="242" w:lineRule="auto"/>
        <w:ind w:left="1204" w:right="857"/>
      </w:pPr>
      <w:r>
        <w:t>Issuers</w:t>
      </w:r>
      <w:r>
        <w:rPr>
          <w:spacing w:val="-5"/>
        </w:rPr>
        <w:t xml:space="preserve"> </w:t>
      </w:r>
      <w:r>
        <w:t>in</w:t>
      </w:r>
      <w:r>
        <w:rPr>
          <w:spacing w:val="-3"/>
        </w:rPr>
        <w:t xml:space="preserve"> </w:t>
      </w:r>
      <w:r>
        <w:t>the</w:t>
      </w:r>
      <w:r>
        <w:rPr>
          <w:spacing w:val="-4"/>
        </w:rPr>
        <w:t xml:space="preserve"> </w:t>
      </w:r>
      <w:r>
        <w:t>small</w:t>
      </w:r>
      <w:r>
        <w:rPr>
          <w:spacing w:val="-5"/>
        </w:rPr>
        <w:t xml:space="preserve"> </w:t>
      </w:r>
      <w:r>
        <w:t>group</w:t>
      </w:r>
      <w:r>
        <w:rPr>
          <w:spacing w:val="-3"/>
        </w:rPr>
        <w:t xml:space="preserve"> </w:t>
      </w:r>
      <w:r>
        <w:t>market</w:t>
      </w:r>
      <w:r>
        <w:rPr>
          <w:spacing w:val="-6"/>
        </w:rPr>
        <w:t xml:space="preserve"> </w:t>
      </w:r>
      <w:r>
        <w:t>may</w:t>
      </w:r>
      <w:r>
        <w:rPr>
          <w:spacing w:val="-4"/>
        </w:rPr>
        <w:t xml:space="preserve"> </w:t>
      </w:r>
      <w:r>
        <w:t>use</w:t>
      </w:r>
      <w:r>
        <w:rPr>
          <w:spacing w:val="-4"/>
        </w:rPr>
        <w:t xml:space="preserve"> </w:t>
      </w:r>
      <w:r>
        <w:t>the</w:t>
      </w:r>
      <w:r>
        <w:rPr>
          <w:spacing w:val="-4"/>
        </w:rPr>
        <w:t xml:space="preserve"> </w:t>
      </w:r>
      <w:r>
        <w:t>draft</w:t>
      </w:r>
      <w:r>
        <w:rPr>
          <w:spacing w:val="-5"/>
        </w:rPr>
        <w:t xml:space="preserve"> </w:t>
      </w:r>
      <w:r>
        <w:t>Federal</w:t>
      </w:r>
      <w:r>
        <w:rPr>
          <w:spacing w:val="-5"/>
        </w:rPr>
        <w:t xml:space="preserve"> </w:t>
      </w:r>
      <w:r>
        <w:t>standard</w:t>
      </w:r>
      <w:r>
        <w:rPr>
          <w:spacing w:val="-3"/>
        </w:rPr>
        <w:t xml:space="preserve"> </w:t>
      </w:r>
      <w:r>
        <w:t>small group</w:t>
      </w:r>
      <w:r>
        <w:rPr>
          <w:spacing w:val="-2"/>
        </w:rPr>
        <w:t xml:space="preserve"> </w:t>
      </w:r>
      <w:r>
        <w:t>notices released</w:t>
      </w:r>
      <w:r>
        <w:rPr>
          <w:spacing w:val="-1"/>
        </w:rPr>
        <w:t xml:space="preserve"> </w:t>
      </w:r>
      <w:r>
        <w:t>in the June</w:t>
      </w:r>
      <w:r>
        <w:rPr>
          <w:spacing w:val="-1"/>
        </w:rPr>
        <w:t xml:space="preserve"> </w:t>
      </w:r>
      <w:r>
        <w:t>26, 2014 bulletin, or</w:t>
      </w:r>
      <w:r>
        <w:rPr>
          <w:spacing w:val="-2"/>
        </w:rPr>
        <w:t xml:space="preserve"> </w:t>
      </w:r>
      <w:r>
        <w:t>any</w:t>
      </w:r>
      <w:r>
        <w:rPr>
          <w:spacing w:val="-1"/>
        </w:rPr>
        <w:t xml:space="preserve"> </w:t>
      </w:r>
      <w:r>
        <w:t>forms</w:t>
      </w:r>
      <w:r>
        <w:rPr>
          <w:spacing w:val="-2"/>
        </w:rPr>
        <w:t xml:space="preserve"> </w:t>
      </w:r>
      <w:r>
        <w:t>of</w:t>
      </w:r>
      <w:r>
        <w:rPr>
          <w:spacing w:val="-2"/>
        </w:rPr>
        <w:t xml:space="preserve"> </w:t>
      </w:r>
      <w:r>
        <w:t>the</w:t>
      </w:r>
      <w:r>
        <w:rPr>
          <w:spacing w:val="-1"/>
        </w:rPr>
        <w:t xml:space="preserve"> </w:t>
      </w:r>
      <w:r>
        <w:t>notice</w:t>
      </w:r>
      <w:r>
        <w:rPr>
          <w:spacing w:val="-2"/>
        </w:rPr>
        <w:t xml:space="preserve"> </w:t>
      </w:r>
      <w:r>
        <w:t>otherwise permitted</w:t>
      </w:r>
      <w:r>
        <w:rPr>
          <w:spacing w:val="-3"/>
        </w:rPr>
        <w:t xml:space="preserve"> </w:t>
      </w:r>
      <w:r>
        <w:t>by applicable laws and regulations. Small group market issuers not using the form and manner of the draft Federal standard notices released in the June 26, 2014 bulletin are expected to include the content described in the September 2, 2014 bulletin.</w:t>
      </w:r>
    </w:p>
    <w:p>
      <w:pPr>
        <w:spacing w:after="0" w:line="242" w:lineRule="auto"/>
        <w:sectPr>
          <w:pgSz w:w="12240" w:h="15840"/>
          <w:pgMar w:top="1020" w:right="780" w:bottom="960" w:left="780" w:header="0" w:footer="772"/>
          <w:cols w:space="720"/>
        </w:sectPr>
      </w:pPr>
    </w:p>
    <w:p>
      <w:pPr>
        <w:pStyle w:val="BodyText"/>
        <w:spacing w:before="62"/>
        <w:ind w:left="1204" w:right="857"/>
      </w:pPr>
      <w:r>
        <w:t>States that</w:t>
      </w:r>
      <w:r>
        <w:rPr>
          <w:spacing w:val="-1"/>
        </w:rPr>
        <w:t xml:space="preserve"> </w:t>
      </w:r>
      <w:r>
        <w:t>are enforcing the guaranteed renewability provisions of the Affordable Care Act</w:t>
      </w:r>
      <w:r>
        <w:rPr>
          <w:spacing w:val="-6"/>
        </w:rPr>
        <w:t xml:space="preserve"> </w:t>
      </w:r>
      <w:r>
        <w:t>may</w:t>
      </w:r>
      <w:r>
        <w:rPr>
          <w:spacing w:val="-3"/>
        </w:rPr>
        <w:t xml:space="preserve"> </w:t>
      </w:r>
      <w:r>
        <w:t>develop</w:t>
      </w:r>
      <w:r>
        <w:rPr>
          <w:spacing w:val="-2"/>
        </w:rPr>
        <w:t xml:space="preserve"> </w:t>
      </w:r>
      <w:r>
        <w:t>their</w:t>
      </w:r>
      <w:r>
        <w:rPr>
          <w:spacing w:val="-4"/>
        </w:rPr>
        <w:t xml:space="preserve"> </w:t>
      </w:r>
      <w:r>
        <w:t>own</w:t>
      </w:r>
      <w:r>
        <w:rPr>
          <w:spacing w:val="-2"/>
        </w:rPr>
        <w:t xml:space="preserve"> </w:t>
      </w:r>
      <w:r>
        <w:t>standard</w:t>
      </w:r>
      <w:r>
        <w:rPr>
          <w:spacing w:val="-5"/>
        </w:rPr>
        <w:t xml:space="preserve"> </w:t>
      </w:r>
      <w:r>
        <w:t>notices. However, we</w:t>
      </w:r>
      <w:r>
        <w:rPr>
          <w:spacing w:val="-10"/>
        </w:rPr>
        <w:t xml:space="preserve"> </w:t>
      </w:r>
      <w:r>
        <w:t>anticipate</w:t>
      </w:r>
      <w:r>
        <w:rPr>
          <w:spacing w:val="-3"/>
        </w:rPr>
        <w:t xml:space="preserve"> </w:t>
      </w:r>
      <w:r>
        <w:t>that</w:t>
      </w:r>
      <w:r>
        <w:rPr>
          <w:spacing w:val="-5"/>
        </w:rPr>
        <w:t xml:space="preserve"> </w:t>
      </w:r>
      <w:r>
        <w:t>fewer</w:t>
      </w:r>
      <w:r>
        <w:rPr>
          <w:spacing w:val="-5"/>
        </w:rPr>
        <w:t xml:space="preserve"> </w:t>
      </w:r>
      <w:r>
        <w:t>than</w:t>
      </w:r>
      <w:r>
        <w:rPr>
          <w:spacing w:val="-3"/>
        </w:rPr>
        <w:t xml:space="preserve"> </w:t>
      </w:r>
      <w:r>
        <w:t>10 states would opt for this alternative. Under 5</w:t>
      </w:r>
      <w:r>
        <w:rPr>
          <w:spacing w:val="-4"/>
        </w:rPr>
        <w:t xml:space="preserve"> </w:t>
      </w:r>
      <w:r>
        <w:t>CFR 1320.3(c)(4), this requirement is not subject to the PRA as it would affect fewer than 10 entities in a 12-month period.</w:t>
      </w:r>
    </w:p>
    <w:p>
      <w:pPr>
        <w:pStyle w:val="BodyText"/>
        <w:spacing w:before="273" w:line="242" w:lineRule="auto"/>
        <w:ind w:left="1204" w:right="823"/>
      </w:pPr>
      <w:r>
        <w:t>We estimate that there are 1,087 issuers in the individual market, and 552 issuers in the small group market that will need to prepare the discontinuance notices to comply with the</w:t>
      </w:r>
      <w:r>
        <w:rPr>
          <w:spacing w:val="-4"/>
        </w:rPr>
        <w:t xml:space="preserve"> </w:t>
      </w:r>
      <w:r>
        <w:t>requirements</w:t>
      </w:r>
      <w:r>
        <w:rPr>
          <w:spacing w:val="-5"/>
        </w:rPr>
        <w:t xml:space="preserve"> </w:t>
      </w:r>
      <w:r>
        <w:t>in</w:t>
      </w:r>
      <w:r>
        <w:rPr>
          <w:spacing w:val="-3"/>
        </w:rPr>
        <w:t xml:space="preserve"> </w:t>
      </w:r>
      <w:r>
        <w:t>the</w:t>
      </w:r>
      <w:r>
        <w:rPr>
          <w:spacing w:val="-4"/>
        </w:rPr>
        <w:t xml:space="preserve"> </w:t>
      </w:r>
      <w:r>
        <w:t>guidance, with</w:t>
      </w:r>
      <w:r>
        <w:rPr>
          <w:spacing w:val="-3"/>
        </w:rPr>
        <w:t xml:space="preserve"> </w:t>
      </w:r>
      <w:r>
        <w:t>a</w:t>
      </w:r>
      <w:r>
        <w:rPr>
          <w:spacing w:val="-4"/>
        </w:rPr>
        <w:t xml:space="preserve"> </w:t>
      </w:r>
      <w:r>
        <w:t>total</w:t>
      </w:r>
      <w:r>
        <w:rPr>
          <w:spacing w:val="-7"/>
        </w:rPr>
        <w:t xml:space="preserve"> </w:t>
      </w:r>
      <w:r>
        <w:t>of 1,206</w:t>
      </w:r>
      <w:r>
        <w:rPr>
          <w:spacing w:val="-2"/>
        </w:rPr>
        <w:t xml:space="preserve"> </w:t>
      </w:r>
      <w:r>
        <w:t>issuers</w:t>
      </w:r>
      <w:r>
        <w:rPr>
          <w:spacing w:val="-5"/>
        </w:rPr>
        <w:t xml:space="preserve"> </w:t>
      </w:r>
      <w:r>
        <w:t>in</w:t>
      </w:r>
      <w:r>
        <w:rPr>
          <w:spacing w:val="-3"/>
        </w:rPr>
        <w:t xml:space="preserve"> </w:t>
      </w:r>
      <w:r>
        <w:t>both</w:t>
      </w:r>
      <w:r>
        <w:rPr>
          <w:spacing w:val="-3"/>
        </w:rPr>
        <w:t xml:space="preserve"> </w:t>
      </w:r>
      <w:r>
        <w:t>markets. Since</w:t>
      </w:r>
      <w:r>
        <w:rPr>
          <w:spacing w:val="-5"/>
        </w:rPr>
        <w:t xml:space="preserve"> </w:t>
      </w:r>
      <w:r>
        <w:t>there are existing requirements for issuers to send product discontinuance notices, we only estimate the burden to prepare and automate the notices.</w:t>
      </w:r>
    </w:p>
    <w:p>
      <w:pPr>
        <w:pStyle w:val="BodyText"/>
        <w:spacing w:before="4"/>
      </w:pPr>
    </w:p>
    <w:p>
      <w:pPr>
        <w:pStyle w:val="BodyText"/>
        <w:spacing w:line="242" w:lineRule="auto"/>
        <w:ind w:left="1204" w:right="802"/>
      </w:pPr>
      <w:r>
        <w:t>For issuers in the individual market outside the Exchange, we estimate that, for the notice when the issuer is automatically reenrolling the enrollee in another plan, it will require 2 hours for an administrative assistant (at a cost of $42.58 per hour) to prepare the notice using the Federal</w:t>
      </w:r>
      <w:r>
        <w:rPr>
          <w:spacing w:val="-1"/>
        </w:rPr>
        <w:t xml:space="preserve"> </w:t>
      </w:r>
      <w:r>
        <w:t>standard notice (or a standard notice provided by their State) and 1 hour for a manager (at a cost of $97.38 per hour) to review the notice template.</w:t>
      </w:r>
      <w:r>
        <w:rPr>
          <w:spacing w:val="40"/>
        </w:rPr>
        <w:t xml:space="preserve"> </w:t>
      </w:r>
      <w:r>
        <w:t>We also estimate that it will take a computer programmer 5 hours (at a cost of $95.88 per hour) to write and test a program to automate the notices. The total annual burden for each issuer</w:t>
      </w:r>
      <w:r>
        <w:rPr>
          <w:spacing w:val="40"/>
        </w:rPr>
        <w:t xml:space="preserve"> </w:t>
      </w:r>
      <w:r>
        <w:t>to</w:t>
      </w:r>
      <w:r>
        <w:rPr>
          <w:spacing w:val="-2"/>
        </w:rPr>
        <w:t xml:space="preserve"> </w:t>
      </w:r>
      <w:r>
        <w:t>prepare</w:t>
      </w:r>
      <w:r>
        <w:rPr>
          <w:spacing w:val="-3"/>
        </w:rPr>
        <w:t xml:space="preserve"> </w:t>
      </w:r>
      <w:r>
        <w:t>the</w:t>
      </w:r>
      <w:r>
        <w:rPr>
          <w:spacing w:val="-3"/>
        </w:rPr>
        <w:t xml:space="preserve"> </w:t>
      </w:r>
      <w:r>
        <w:t>template</w:t>
      </w:r>
      <w:r>
        <w:rPr>
          <w:spacing w:val="-3"/>
        </w:rPr>
        <w:t xml:space="preserve"> </w:t>
      </w:r>
      <w:r>
        <w:t>will</w:t>
      </w:r>
      <w:r>
        <w:rPr>
          <w:spacing w:val="-4"/>
        </w:rPr>
        <w:t xml:space="preserve"> </w:t>
      </w:r>
      <w:r>
        <w:t>be</w:t>
      </w:r>
      <w:r>
        <w:rPr>
          <w:spacing w:val="-5"/>
        </w:rPr>
        <w:t xml:space="preserve"> </w:t>
      </w:r>
      <w:r>
        <w:t>8</w:t>
      </w:r>
      <w:r>
        <w:rPr>
          <w:spacing w:val="-2"/>
        </w:rPr>
        <w:t xml:space="preserve"> </w:t>
      </w:r>
      <w:r>
        <w:t>hours</w:t>
      </w:r>
      <w:r>
        <w:rPr>
          <w:spacing w:val="-3"/>
        </w:rPr>
        <w:t xml:space="preserve"> </w:t>
      </w:r>
      <w:r>
        <w:t>with</w:t>
      </w:r>
      <w:r>
        <w:rPr>
          <w:spacing w:val="-2"/>
        </w:rPr>
        <w:t xml:space="preserve"> </w:t>
      </w:r>
      <w:r>
        <w:t>an</w:t>
      </w:r>
      <w:r>
        <w:rPr>
          <w:spacing w:val="-3"/>
        </w:rPr>
        <w:t xml:space="preserve"> </w:t>
      </w:r>
      <w:r>
        <w:t>equivalent</w:t>
      </w:r>
      <w:r>
        <w:rPr>
          <w:spacing w:val="-5"/>
        </w:rPr>
        <w:t xml:space="preserve"> </w:t>
      </w:r>
      <w:r>
        <w:t>cost</w:t>
      </w:r>
      <w:r>
        <w:rPr>
          <w:spacing w:val="-4"/>
        </w:rPr>
        <w:t xml:space="preserve"> </w:t>
      </w:r>
      <w:r>
        <w:t>of</w:t>
      </w:r>
      <w:r>
        <w:rPr>
          <w:spacing w:val="-3"/>
        </w:rPr>
        <w:t xml:space="preserve"> </w:t>
      </w:r>
      <w:r>
        <w:t>approximately</w:t>
      </w:r>
      <w:r>
        <w:rPr>
          <w:spacing w:val="-2"/>
        </w:rPr>
        <w:t xml:space="preserve"> </w:t>
      </w:r>
      <w:r>
        <w:t>$662. For all</w:t>
      </w:r>
      <w:r>
        <w:rPr>
          <w:spacing w:val="-2"/>
        </w:rPr>
        <w:t xml:space="preserve"> </w:t>
      </w:r>
      <w:r>
        <w:t>1,087 issuers</w:t>
      </w:r>
      <w:r>
        <w:rPr>
          <w:spacing w:val="-1"/>
        </w:rPr>
        <w:t xml:space="preserve"> </w:t>
      </w:r>
      <w:r>
        <w:t>in the</w:t>
      </w:r>
      <w:r>
        <w:rPr>
          <w:spacing w:val="-5"/>
        </w:rPr>
        <w:t xml:space="preserve"> </w:t>
      </w:r>
      <w:r>
        <w:t>individual</w:t>
      </w:r>
      <w:r>
        <w:rPr>
          <w:spacing w:val="-2"/>
        </w:rPr>
        <w:t xml:space="preserve"> </w:t>
      </w:r>
      <w:r>
        <w:t>market, the total</w:t>
      </w:r>
      <w:r>
        <w:rPr>
          <w:spacing w:val="-3"/>
        </w:rPr>
        <w:t xml:space="preserve"> </w:t>
      </w:r>
      <w:r>
        <w:t>annual</w:t>
      </w:r>
      <w:r>
        <w:rPr>
          <w:spacing w:val="-2"/>
        </w:rPr>
        <w:t xml:space="preserve"> </w:t>
      </w:r>
      <w:r>
        <w:t>burden will</w:t>
      </w:r>
      <w:r>
        <w:rPr>
          <w:spacing w:val="-2"/>
        </w:rPr>
        <w:t xml:space="preserve"> </w:t>
      </w:r>
      <w:r>
        <w:t>be 8,696 hours</w:t>
      </w:r>
      <w:r>
        <w:rPr>
          <w:spacing w:val="-1"/>
        </w:rPr>
        <w:t xml:space="preserve"> </w:t>
      </w:r>
      <w:r>
        <w:t>with an equivalent cost of approximately $719,529.</w:t>
      </w:r>
    </w:p>
    <w:p>
      <w:pPr>
        <w:pStyle w:val="BodyText"/>
        <w:spacing w:before="271"/>
        <w:ind w:left="1204" w:right="857"/>
      </w:pPr>
      <w:r>
        <w:t>We estimate that, for the notice when the issuer is not automatically reenrolling the enrollee</w:t>
      </w:r>
      <w:r>
        <w:rPr>
          <w:spacing w:val="-2"/>
        </w:rPr>
        <w:t xml:space="preserve"> </w:t>
      </w:r>
      <w:r>
        <w:t>in</w:t>
      </w:r>
      <w:r>
        <w:rPr>
          <w:spacing w:val="-1"/>
        </w:rPr>
        <w:t xml:space="preserve"> </w:t>
      </w:r>
      <w:r>
        <w:t>another</w:t>
      </w:r>
      <w:r>
        <w:rPr>
          <w:spacing w:val="-4"/>
        </w:rPr>
        <w:t xml:space="preserve"> </w:t>
      </w:r>
      <w:r>
        <w:t>plan, it</w:t>
      </w:r>
      <w:r>
        <w:rPr>
          <w:spacing w:val="-4"/>
        </w:rPr>
        <w:t xml:space="preserve"> </w:t>
      </w:r>
      <w:r>
        <w:t>will</w:t>
      </w:r>
      <w:r>
        <w:rPr>
          <w:spacing w:val="-4"/>
        </w:rPr>
        <w:t xml:space="preserve"> </w:t>
      </w:r>
      <w:r>
        <w:t>require</w:t>
      </w:r>
      <w:r>
        <w:rPr>
          <w:spacing w:val="-2"/>
        </w:rPr>
        <w:t xml:space="preserve"> </w:t>
      </w:r>
      <w:r>
        <w:t>1</w:t>
      </w:r>
      <w:r>
        <w:rPr>
          <w:spacing w:val="-1"/>
        </w:rPr>
        <w:t xml:space="preserve"> </w:t>
      </w:r>
      <w:r>
        <w:t>hour for</w:t>
      </w:r>
      <w:r>
        <w:rPr>
          <w:spacing w:val="-3"/>
        </w:rPr>
        <w:t xml:space="preserve"> </w:t>
      </w:r>
      <w:r>
        <w:t>an</w:t>
      </w:r>
      <w:r>
        <w:rPr>
          <w:spacing w:val="-2"/>
        </w:rPr>
        <w:t xml:space="preserve"> </w:t>
      </w:r>
      <w:r>
        <w:t>administrative</w:t>
      </w:r>
      <w:r>
        <w:rPr>
          <w:spacing w:val="-2"/>
        </w:rPr>
        <w:t xml:space="preserve"> </w:t>
      </w:r>
      <w:r>
        <w:t>assistant</w:t>
      </w:r>
      <w:r>
        <w:rPr>
          <w:spacing w:val="-2"/>
        </w:rPr>
        <w:t xml:space="preserve"> </w:t>
      </w:r>
      <w:r>
        <w:t>(at</w:t>
      </w:r>
      <w:r>
        <w:rPr>
          <w:spacing w:val="-5"/>
        </w:rPr>
        <w:t xml:space="preserve"> </w:t>
      </w:r>
      <w:r>
        <w:t>a</w:t>
      </w:r>
      <w:r>
        <w:rPr>
          <w:spacing w:val="-2"/>
        </w:rPr>
        <w:t xml:space="preserve"> </w:t>
      </w:r>
      <w:r>
        <w:t>cost</w:t>
      </w:r>
      <w:r>
        <w:rPr>
          <w:spacing w:val="-4"/>
        </w:rPr>
        <w:t xml:space="preserve"> </w:t>
      </w:r>
      <w:r>
        <w:t>of</w:t>
      </w:r>
    </w:p>
    <w:p>
      <w:pPr>
        <w:pStyle w:val="BodyText"/>
        <w:spacing w:before="6" w:line="242" w:lineRule="auto"/>
        <w:ind w:left="1204" w:right="857"/>
      </w:pPr>
      <w:r>
        <w:t>$42.58 per hour) to prepare the notice using the Federal standard notice (or a standard notice</w:t>
      </w:r>
      <w:r>
        <w:rPr>
          <w:spacing w:val="-2"/>
        </w:rPr>
        <w:t xml:space="preserve"> </w:t>
      </w:r>
      <w:r>
        <w:t>provided</w:t>
      </w:r>
      <w:r>
        <w:rPr>
          <w:spacing w:val="-1"/>
        </w:rPr>
        <w:t xml:space="preserve"> </w:t>
      </w:r>
      <w:r>
        <w:t>by their</w:t>
      </w:r>
      <w:r>
        <w:rPr>
          <w:spacing w:val="-2"/>
        </w:rPr>
        <w:t xml:space="preserve"> </w:t>
      </w:r>
      <w:r>
        <w:t>State) and</w:t>
      </w:r>
      <w:r>
        <w:rPr>
          <w:spacing w:val="-1"/>
        </w:rPr>
        <w:t xml:space="preserve"> </w:t>
      </w:r>
      <w:r>
        <w:t>0.5</w:t>
      </w:r>
      <w:r>
        <w:rPr>
          <w:spacing w:val="-6"/>
        </w:rPr>
        <w:t xml:space="preserve"> </w:t>
      </w:r>
      <w:r>
        <w:t>hours</w:t>
      </w:r>
      <w:r>
        <w:rPr>
          <w:spacing w:val="-2"/>
        </w:rPr>
        <w:t xml:space="preserve"> </w:t>
      </w:r>
      <w:r>
        <w:t>for</w:t>
      </w:r>
      <w:r>
        <w:rPr>
          <w:spacing w:val="-2"/>
        </w:rPr>
        <w:t xml:space="preserve"> </w:t>
      </w:r>
      <w:r>
        <w:t>a</w:t>
      </w:r>
      <w:r>
        <w:rPr>
          <w:spacing w:val="-1"/>
        </w:rPr>
        <w:t xml:space="preserve"> </w:t>
      </w:r>
      <w:r>
        <w:t>manager</w:t>
      </w:r>
      <w:r>
        <w:rPr>
          <w:spacing w:val="-3"/>
        </w:rPr>
        <w:t xml:space="preserve"> </w:t>
      </w:r>
      <w:r>
        <w:t>(at</w:t>
      </w:r>
      <w:r>
        <w:rPr>
          <w:spacing w:val="-3"/>
        </w:rPr>
        <w:t xml:space="preserve"> </w:t>
      </w:r>
      <w:r>
        <w:t>a</w:t>
      </w:r>
      <w:r>
        <w:rPr>
          <w:spacing w:val="-1"/>
        </w:rPr>
        <w:t xml:space="preserve"> </w:t>
      </w:r>
      <w:r>
        <w:t>cost</w:t>
      </w:r>
      <w:r>
        <w:rPr>
          <w:spacing w:val="-3"/>
        </w:rPr>
        <w:t xml:space="preserve"> </w:t>
      </w:r>
      <w:r>
        <w:t>of $97.38</w:t>
      </w:r>
      <w:r>
        <w:rPr>
          <w:spacing w:val="40"/>
        </w:rPr>
        <w:t xml:space="preserve"> </w:t>
      </w:r>
      <w:r>
        <w:t>per</w:t>
      </w:r>
      <w:r>
        <w:rPr>
          <w:spacing w:val="-9"/>
        </w:rPr>
        <w:t xml:space="preserve"> </w:t>
      </w:r>
      <w:r>
        <w:t>hour) to</w:t>
      </w:r>
      <w:r>
        <w:rPr>
          <w:spacing w:val="-3"/>
        </w:rPr>
        <w:t xml:space="preserve"> </w:t>
      </w:r>
      <w:r>
        <w:t>review</w:t>
      </w:r>
      <w:r>
        <w:rPr>
          <w:spacing w:val="-1"/>
        </w:rPr>
        <w:t xml:space="preserve"> </w:t>
      </w:r>
      <w:r>
        <w:t>the</w:t>
      </w:r>
      <w:r>
        <w:rPr>
          <w:spacing w:val="-3"/>
        </w:rPr>
        <w:t xml:space="preserve"> </w:t>
      </w:r>
      <w:r>
        <w:t>notice</w:t>
      </w:r>
      <w:r>
        <w:rPr>
          <w:spacing w:val="-8"/>
        </w:rPr>
        <w:t xml:space="preserve"> </w:t>
      </w:r>
      <w:r>
        <w:t>template. We</w:t>
      </w:r>
      <w:r>
        <w:rPr>
          <w:spacing w:val="-4"/>
        </w:rPr>
        <w:t xml:space="preserve"> </w:t>
      </w:r>
      <w:r>
        <w:t>also</w:t>
      </w:r>
      <w:r>
        <w:rPr>
          <w:spacing w:val="-3"/>
        </w:rPr>
        <w:t xml:space="preserve"> </w:t>
      </w:r>
      <w:r>
        <w:t>estimate</w:t>
      </w:r>
      <w:r>
        <w:rPr>
          <w:spacing w:val="-3"/>
        </w:rPr>
        <w:t xml:space="preserve"> </w:t>
      </w:r>
      <w:r>
        <w:t>that</w:t>
      </w:r>
      <w:r>
        <w:rPr>
          <w:spacing w:val="-5"/>
        </w:rPr>
        <w:t xml:space="preserve"> </w:t>
      </w:r>
      <w:r>
        <w:t>it</w:t>
      </w:r>
      <w:r>
        <w:rPr>
          <w:spacing w:val="-5"/>
        </w:rPr>
        <w:t xml:space="preserve"> </w:t>
      </w:r>
      <w:r>
        <w:t>will</w:t>
      </w:r>
      <w:r>
        <w:rPr>
          <w:spacing w:val="-5"/>
        </w:rPr>
        <w:t xml:space="preserve"> </w:t>
      </w:r>
      <w:r>
        <w:t>take</w:t>
      </w:r>
      <w:r>
        <w:rPr>
          <w:spacing w:val="-4"/>
        </w:rPr>
        <w:t xml:space="preserve"> </w:t>
      </w:r>
      <w:r>
        <w:t>a</w:t>
      </w:r>
      <w:r>
        <w:rPr>
          <w:spacing w:val="-3"/>
        </w:rPr>
        <w:t xml:space="preserve"> </w:t>
      </w:r>
      <w:r>
        <w:t>computer programmer</w:t>
      </w:r>
      <w:r>
        <w:rPr>
          <w:spacing w:val="-4"/>
        </w:rPr>
        <w:t xml:space="preserve"> </w:t>
      </w:r>
      <w:r>
        <w:t>3 hours (at a cost of $95.88 per hour) to write and test a program to automate the notices.</w:t>
      </w:r>
    </w:p>
    <w:p>
      <w:pPr>
        <w:pStyle w:val="BodyText"/>
        <w:ind w:left="1204" w:right="857"/>
      </w:pPr>
      <w:r>
        <w:t>The total</w:t>
      </w:r>
      <w:r>
        <w:rPr>
          <w:spacing w:val="-1"/>
        </w:rPr>
        <w:t xml:space="preserve"> </w:t>
      </w:r>
      <w:r>
        <w:t>annual burden for</w:t>
      </w:r>
      <w:r>
        <w:rPr>
          <w:spacing w:val="-4"/>
        </w:rPr>
        <w:t xml:space="preserve"> </w:t>
      </w:r>
      <w:r>
        <w:t>each issuer to prepare the template will be 4.5</w:t>
      </w:r>
      <w:r>
        <w:rPr>
          <w:spacing w:val="-4"/>
        </w:rPr>
        <w:t xml:space="preserve"> </w:t>
      </w:r>
      <w:r>
        <w:t>hours with an equivalent</w:t>
      </w:r>
      <w:r>
        <w:rPr>
          <w:spacing w:val="-5"/>
        </w:rPr>
        <w:t xml:space="preserve"> </w:t>
      </w:r>
      <w:r>
        <w:t>cost</w:t>
      </w:r>
      <w:r>
        <w:rPr>
          <w:spacing w:val="-5"/>
        </w:rPr>
        <w:t xml:space="preserve"> </w:t>
      </w:r>
      <w:r>
        <w:t>of</w:t>
      </w:r>
      <w:r>
        <w:rPr>
          <w:spacing w:val="-10"/>
        </w:rPr>
        <w:t xml:space="preserve"> </w:t>
      </w:r>
      <w:r>
        <w:t>approximately</w:t>
      </w:r>
      <w:r>
        <w:rPr>
          <w:spacing w:val="-2"/>
        </w:rPr>
        <w:t xml:space="preserve"> </w:t>
      </w:r>
      <w:r>
        <w:t>$379. For</w:t>
      </w:r>
      <w:r>
        <w:rPr>
          <w:spacing w:val="-4"/>
        </w:rPr>
        <w:t xml:space="preserve"> </w:t>
      </w:r>
      <w:r>
        <w:t>all</w:t>
      </w:r>
      <w:r>
        <w:rPr>
          <w:spacing w:val="-4"/>
        </w:rPr>
        <w:t xml:space="preserve"> </w:t>
      </w:r>
      <w:r>
        <w:t>1,087</w:t>
      </w:r>
      <w:r>
        <w:rPr>
          <w:spacing w:val="-9"/>
        </w:rPr>
        <w:t xml:space="preserve"> </w:t>
      </w:r>
      <w:r>
        <w:t>issuers</w:t>
      </w:r>
      <w:r>
        <w:rPr>
          <w:spacing w:val="-4"/>
        </w:rPr>
        <w:t xml:space="preserve"> </w:t>
      </w:r>
      <w:r>
        <w:t>in</w:t>
      </w:r>
      <w:r>
        <w:rPr>
          <w:spacing w:val="-2"/>
        </w:rPr>
        <w:t xml:space="preserve"> </w:t>
      </w:r>
      <w:r>
        <w:t>the</w:t>
      </w:r>
      <w:r>
        <w:rPr>
          <w:spacing w:val="-3"/>
        </w:rPr>
        <w:t xml:space="preserve"> </w:t>
      </w:r>
      <w:r>
        <w:t>individual</w:t>
      </w:r>
      <w:r>
        <w:rPr>
          <w:spacing w:val="-6"/>
        </w:rPr>
        <w:t xml:space="preserve"> </w:t>
      </w:r>
      <w:r>
        <w:t>market, the total annual burden will be 4,892</w:t>
      </w:r>
      <w:r>
        <w:rPr>
          <w:spacing w:val="-3"/>
        </w:rPr>
        <w:t xml:space="preserve"> </w:t>
      </w:r>
      <w:r>
        <w:t>hours with an equivalent cost of approximately</w:t>
      </w:r>
    </w:p>
    <w:p>
      <w:pPr>
        <w:pStyle w:val="BodyText"/>
        <w:spacing w:before="6"/>
        <w:ind w:left="1204"/>
      </w:pPr>
      <w:r>
        <w:rPr>
          <w:spacing w:val="-2"/>
        </w:rPr>
        <w:t>$411,875.</w:t>
      </w:r>
    </w:p>
    <w:p>
      <w:pPr>
        <w:pStyle w:val="BodyText"/>
        <w:spacing w:before="6"/>
      </w:pPr>
    </w:p>
    <w:p>
      <w:pPr>
        <w:pStyle w:val="BodyText"/>
        <w:spacing w:line="242" w:lineRule="auto"/>
        <w:ind w:left="1204" w:right="741"/>
      </w:pPr>
      <w:r>
        <w:t>For issuers in the small group market, we estimate that it will require 3 hours for an administrative assistant (at a cost of $42.58 per hour) to prepare the notice using the draft Federal</w:t>
      </w:r>
      <w:r>
        <w:rPr>
          <w:spacing w:val="-5"/>
        </w:rPr>
        <w:t xml:space="preserve"> </w:t>
      </w:r>
      <w:r>
        <w:t>standard</w:t>
      </w:r>
      <w:r>
        <w:rPr>
          <w:spacing w:val="-1"/>
        </w:rPr>
        <w:t xml:space="preserve"> </w:t>
      </w:r>
      <w:r>
        <w:t>notice</w:t>
      </w:r>
      <w:r>
        <w:rPr>
          <w:spacing w:val="-3"/>
        </w:rPr>
        <w:t xml:space="preserve"> </w:t>
      </w:r>
      <w:r>
        <w:t>(or</w:t>
      </w:r>
      <w:r>
        <w:rPr>
          <w:spacing w:val="-1"/>
        </w:rPr>
        <w:t xml:space="preserve"> </w:t>
      </w:r>
      <w:r>
        <w:t>any</w:t>
      </w:r>
      <w:r>
        <w:rPr>
          <w:spacing w:val="-2"/>
        </w:rPr>
        <w:t xml:space="preserve"> </w:t>
      </w:r>
      <w:r>
        <w:t>forms</w:t>
      </w:r>
      <w:r>
        <w:rPr>
          <w:spacing w:val="-3"/>
        </w:rPr>
        <w:t xml:space="preserve"> </w:t>
      </w:r>
      <w:r>
        <w:t>of</w:t>
      </w:r>
      <w:r>
        <w:rPr>
          <w:spacing w:val="-3"/>
        </w:rPr>
        <w:t xml:space="preserve"> </w:t>
      </w:r>
      <w:r>
        <w:t>the</w:t>
      </w:r>
      <w:r>
        <w:rPr>
          <w:spacing w:val="-2"/>
        </w:rPr>
        <w:t xml:space="preserve"> </w:t>
      </w:r>
      <w:r>
        <w:t>notice</w:t>
      </w:r>
      <w:r>
        <w:rPr>
          <w:spacing w:val="-3"/>
        </w:rPr>
        <w:t xml:space="preserve"> </w:t>
      </w:r>
      <w:r>
        <w:t>otherwise</w:t>
      </w:r>
      <w:r>
        <w:rPr>
          <w:spacing w:val="-2"/>
        </w:rPr>
        <w:t xml:space="preserve"> </w:t>
      </w:r>
      <w:r>
        <w:t>permitted</w:t>
      </w:r>
      <w:r>
        <w:rPr>
          <w:spacing w:val="-2"/>
        </w:rPr>
        <w:t xml:space="preserve"> </w:t>
      </w:r>
      <w:r>
        <w:t>by</w:t>
      </w:r>
      <w:r>
        <w:rPr>
          <w:spacing w:val="-1"/>
        </w:rPr>
        <w:t xml:space="preserve"> </w:t>
      </w:r>
      <w:r>
        <w:t>applicable</w:t>
      </w:r>
      <w:r>
        <w:rPr>
          <w:spacing w:val="-2"/>
        </w:rPr>
        <w:t xml:space="preserve"> </w:t>
      </w:r>
      <w:r>
        <w:t>laws and regulations) and 1 hour for a manager (at a cost of $97.38 per hour) to review the notice template. We also</w:t>
      </w:r>
      <w:r>
        <w:rPr>
          <w:spacing w:val="-2"/>
        </w:rPr>
        <w:t xml:space="preserve"> </w:t>
      </w:r>
      <w:r>
        <w:t>estimate that it will take a computer programmer 8 hours (at a cost of $95.88 per hour) to write and test a program to automate the notices. The total annual burden for each issuer to prepare the template will be 12 hours with an equivalent cost</w:t>
      </w:r>
      <w:r>
        <w:rPr>
          <w:spacing w:val="-5"/>
        </w:rPr>
        <w:t xml:space="preserve"> </w:t>
      </w:r>
      <w:r>
        <w:t>of</w:t>
      </w:r>
      <w:r>
        <w:rPr>
          <w:spacing w:val="-4"/>
        </w:rPr>
        <w:t xml:space="preserve"> </w:t>
      </w:r>
      <w:r>
        <w:t>approximately</w:t>
      </w:r>
      <w:r>
        <w:rPr>
          <w:spacing w:val="-2"/>
        </w:rPr>
        <w:t xml:space="preserve"> </w:t>
      </w:r>
      <w:r>
        <w:t>$992.</w:t>
      </w:r>
      <w:r>
        <w:rPr>
          <w:spacing w:val="40"/>
        </w:rPr>
        <w:t xml:space="preserve"> </w:t>
      </w:r>
      <w:r>
        <w:t>For</w:t>
      </w:r>
      <w:r>
        <w:rPr>
          <w:spacing w:val="-4"/>
        </w:rPr>
        <w:t xml:space="preserve"> </w:t>
      </w:r>
      <w:r>
        <w:t>all</w:t>
      </w:r>
      <w:r>
        <w:rPr>
          <w:spacing w:val="-4"/>
        </w:rPr>
        <w:t xml:space="preserve"> </w:t>
      </w:r>
      <w:r>
        <w:t>552</w:t>
      </w:r>
      <w:r>
        <w:rPr>
          <w:spacing w:val="-2"/>
        </w:rPr>
        <w:t xml:space="preserve"> </w:t>
      </w:r>
      <w:r>
        <w:t>issuers</w:t>
      </w:r>
      <w:r>
        <w:rPr>
          <w:spacing w:val="-4"/>
        </w:rPr>
        <w:t xml:space="preserve"> </w:t>
      </w:r>
      <w:r>
        <w:t>in</w:t>
      </w:r>
      <w:r>
        <w:rPr>
          <w:spacing w:val="-2"/>
        </w:rPr>
        <w:t xml:space="preserve"> </w:t>
      </w:r>
      <w:r>
        <w:t>the</w:t>
      </w:r>
      <w:r>
        <w:rPr>
          <w:spacing w:val="-3"/>
        </w:rPr>
        <w:t xml:space="preserve"> </w:t>
      </w:r>
      <w:r>
        <w:t>small</w:t>
      </w:r>
      <w:r>
        <w:rPr>
          <w:spacing w:val="-5"/>
        </w:rPr>
        <w:t xml:space="preserve"> </w:t>
      </w:r>
      <w:r>
        <w:t>group</w:t>
      </w:r>
      <w:r>
        <w:rPr>
          <w:spacing w:val="-2"/>
        </w:rPr>
        <w:t xml:space="preserve"> </w:t>
      </w:r>
      <w:r>
        <w:t>market, the</w:t>
      </w:r>
      <w:r>
        <w:rPr>
          <w:spacing w:val="-3"/>
        </w:rPr>
        <w:t xml:space="preserve"> </w:t>
      </w:r>
      <w:r>
        <w:t>total</w:t>
      </w:r>
      <w:r>
        <w:rPr>
          <w:spacing w:val="-6"/>
        </w:rPr>
        <w:t xml:space="preserve"> </w:t>
      </w:r>
      <w:r>
        <w:t>annual burden will be 6,624 hours with an equivalent cost of approximately $547,672.</w:t>
      </w:r>
    </w:p>
    <w:p>
      <w:pPr>
        <w:spacing w:after="0" w:line="242" w:lineRule="auto"/>
        <w:sectPr>
          <w:pgSz w:w="12240" w:h="15840"/>
          <w:pgMar w:top="1020" w:right="780" w:bottom="960" w:left="780" w:header="0" w:footer="772"/>
          <w:cols w:space="720"/>
        </w:sectPr>
      </w:pPr>
    </w:p>
    <w:p>
      <w:pPr>
        <w:pStyle w:val="BodyText"/>
        <w:spacing w:before="62"/>
        <w:ind w:left="1204" w:right="1130"/>
      </w:pPr>
      <w:r>
        <w:rPr>
          <w:u w:val="single"/>
        </w:rPr>
        <w:t>Table</w:t>
      </w:r>
      <w:r>
        <w:rPr>
          <w:spacing w:val="-5"/>
          <w:u w:val="single"/>
        </w:rPr>
        <w:t xml:space="preserve"> </w:t>
      </w:r>
      <w:r>
        <w:rPr>
          <w:u w:val="single"/>
        </w:rPr>
        <w:t>12.4</w:t>
      </w:r>
      <w:r>
        <w:rPr>
          <w:spacing w:val="-3"/>
          <w:u w:val="single"/>
        </w:rPr>
        <w:t xml:space="preserve"> </w:t>
      </w:r>
      <w:r>
        <w:rPr>
          <w:u w:val="single"/>
        </w:rPr>
        <w:t>Estimated</w:t>
      </w:r>
      <w:r>
        <w:rPr>
          <w:spacing w:val="-5"/>
          <w:u w:val="single"/>
        </w:rPr>
        <w:t xml:space="preserve"> </w:t>
      </w:r>
      <w:r>
        <w:rPr>
          <w:u w:val="single"/>
        </w:rPr>
        <w:t>Annualized</w:t>
      </w:r>
      <w:r>
        <w:rPr>
          <w:spacing w:val="-4"/>
          <w:u w:val="single"/>
        </w:rPr>
        <w:t xml:space="preserve"> </w:t>
      </w:r>
      <w:r>
        <w:rPr>
          <w:u w:val="single"/>
        </w:rPr>
        <w:t>Burden</w:t>
      </w:r>
      <w:r>
        <w:rPr>
          <w:spacing w:val="-5"/>
          <w:u w:val="single"/>
        </w:rPr>
        <w:t xml:space="preserve"> </w:t>
      </w:r>
      <w:r>
        <w:rPr>
          <w:u w:val="single"/>
        </w:rPr>
        <w:t>for</w:t>
      </w:r>
      <w:r>
        <w:rPr>
          <w:spacing w:val="-6"/>
          <w:u w:val="single"/>
        </w:rPr>
        <w:t xml:space="preserve"> </w:t>
      </w:r>
      <w:r>
        <w:rPr>
          <w:u w:val="single"/>
        </w:rPr>
        <w:t>Discontinuance</w:t>
      </w:r>
      <w:r>
        <w:rPr>
          <w:spacing w:val="-5"/>
          <w:u w:val="single"/>
        </w:rPr>
        <w:t xml:space="preserve"> </w:t>
      </w:r>
      <w:r>
        <w:rPr>
          <w:u w:val="single"/>
        </w:rPr>
        <w:t>Notices</w:t>
      </w:r>
      <w:r>
        <w:rPr>
          <w:spacing w:val="-6"/>
          <w:u w:val="single"/>
        </w:rPr>
        <w:t xml:space="preserve"> </w:t>
      </w:r>
      <w:r>
        <w:rPr>
          <w:u w:val="single"/>
        </w:rPr>
        <w:t>for</w:t>
      </w:r>
      <w:r>
        <w:rPr>
          <w:spacing w:val="-6"/>
          <w:u w:val="single"/>
        </w:rPr>
        <w:t xml:space="preserve"> </w:t>
      </w:r>
      <w:r>
        <w:rPr>
          <w:u w:val="single"/>
        </w:rPr>
        <w:t xml:space="preserve">Issuers </w:t>
      </w:r>
      <w:r>
        <w:rPr>
          <w:u w:val="none"/>
        </w:rPr>
        <w:t xml:space="preserve"> </w:t>
      </w:r>
      <w:r>
        <w:rPr>
          <w:u w:val="single"/>
        </w:rPr>
        <w:t>Outside the Exchange</w:t>
      </w:r>
    </w:p>
    <w:p>
      <w:pPr>
        <w:pStyle w:val="BodyText"/>
        <w:spacing w:before="50"/>
        <w:rPr>
          <w:sz w:val="20"/>
        </w:rPr>
      </w:pPr>
    </w:p>
    <w:tbl>
      <w:tblPr>
        <w:tblStyle w:val="TableNormal"/>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617"/>
        <w:gridCol w:w="1348"/>
        <w:gridCol w:w="1377"/>
        <w:gridCol w:w="967"/>
        <w:gridCol w:w="896"/>
        <w:gridCol w:w="1461"/>
        <w:gridCol w:w="1418"/>
      </w:tblGrid>
      <w:tr>
        <w:tblPrEx>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14"/>
          <w:jc w:val="left"/>
        </w:trPr>
        <w:tc>
          <w:tcPr>
            <w:tcW w:w="1349" w:type="dxa"/>
          </w:tcPr>
          <w:p>
            <w:pPr>
              <w:pStyle w:val="TableParagraph"/>
              <w:spacing w:before="188"/>
              <w:rPr>
                <w:sz w:val="19"/>
              </w:rPr>
            </w:pPr>
          </w:p>
          <w:p>
            <w:pPr>
              <w:pStyle w:val="TableParagraph"/>
              <w:ind w:left="171"/>
              <w:rPr>
                <w:b/>
                <w:sz w:val="19"/>
              </w:rPr>
            </w:pPr>
            <w:r>
              <w:rPr>
                <w:b/>
                <w:spacing w:val="-2"/>
                <w:w w:val="105"/>
                <w:sz w:val="19"/>
              </w:rPr>
              <w:t>Respondent</w:t>
            </w:r>
          </w:p>
        </w:tc>
        <w:tc>
          <w:tcPr>
            <w:tcW w:w="1617" w:type="dxa"/>
          </w:tcPr>
          <w:p>
            <w:pPr>
              <w:pStyle w:val="TableParagraph"/>
              <w:spacing w:before="188"/>
              <w:rPr>
                <w:sz w:val="19"/>
              </w:rPr>
            </w:pPr>
          </w:p>
          <w:p>
            <w:pPr>
              <w:pStyle w:val="TableParagraph"/>
              <w:ind w:left="192"/>
              <w:rPr>
                <w:b/>
                <w:sz w:val="19"/>
              </w:rPr>
            </w:pPr>
            <w:r>
              <w:rPr>
                <w:b/>
                <w:w w:val="105"/>
                <w:sz w:val="19"/>
              </w:rPr>
              <w:t>Type</w:t>
            </w:r>
            <w:r>
              <w:rPr>
                <w:b/>
                <w:spacing w:val="-6"/>
                <w:w w:val="105"/>
                <w:sz w:val="19"/>
              </w:rPr>
              <w:t xml:space="preserve"> </w:t>
            </w:r>
            <w:r>
              <w:rPr>
                <w:b/>
                <w:w w:val="105"/>
                <w:sz w:val="19"/>
              </w:rPr>
              <w:t>of</w:t>
            </w:r>
            <w:r>
              <w:rPr>
                <w:b/>
                <w:spacing w:val="-3"/>
                <w:w w:val="105"/>
                <w:sz w:val="19"/>
              </w:rPr>
              <w:t xml:space="preserve"> </w:t>
            </w:r>
            <w:r>
              <w:rPr>
                <w:b/>
                <w:spacing w:val="-2"/>
                <w:w w:val="105"/>
                <w:sz w:val="19"/>
              </w:rPr>
              <w:t>Notice</w:t>
            </w:r>
          </w:p>
        </w:tc>
        <w:tc>
          <w:tcPr>
            <w:tcW w:w="1348" w:type="dxa"/>
          </w:tcPr>
          <w:p>
            <w:pPr>
              <w:pStyle w:val="TableParagraph"/>
              <w:spacing w:before="174" w:line="252" w:lineRule="auto"/>
              <w:ind w:left="129" w:right="202" w:firstLine="1"/>
              <w:jc w:val="center"/>
              <w:rPr>
                <w:b/>
                <w:sz w:val="19"/>
              </w:rPr>
            </w:pPr>
            <w:r>
              <w:rPr>
                <w:b/>
                <w:w w:val="105"/>
                <w:sz w:val="19"/>
              </w:rPr>
              <w:t xml:space="preserve">Number of </w:t>
            </w:r>
            <w:r>
              <w:rPr>
                <w:b/>
                <w:spacing w:val="-2"/>
                <w:sz w:val="19"/>
              </w:rPr>
              <w:t xml:space="preserve">Respondent </w:t>
            </w:r>
            <w:r>
              <w:rPr>
                <w:b/>
                <w:spacing w:val="-10"/>
                <w:w w:val="105"/>
                <w:sz w:val="19"/>
              </w:rPr>
              <w:t>s</w:t>
            </w:r>
          </w:p>
        </w:tc>
        <w:tc>
          <w:tcPr>
            <w:tcW w:w="1377" w:type="dxa"/>
          </w:tcPr>
          <w:p>
            <w:pPr>
              <w:pStyle w:val="TableParagraph"/>
              <w:spacing w:before="174" w:line="252" w:lineRule="auto"/>
              <w:ind w:left="144" w:right="216" w:firstLine="42"/>
              <w:jc w:val="both"/>
              <w:rPr>
                <w:b/>
                <w:sz w:val="19"/>
              </w:rPr>
            </w:pPr>
            <w:r>
              <w:rPr>
                <w:b/>
                <w:w w:val="105"/>
                <w:sz w:val="19"/>
              </w:rPr>
              <w:t>Number</w:t>
            </w:r>
            <w:r>
              <w:rPr>
                <w:b/>
                <w:spacing w:val="-10"/>
                <w:w w:val="105"/>
                <w:sz w:val="19"/>
              </w:rPr>
              <w:t xml:space="preserve"> </w:t>
            </w:r>
            <w:r>
              <w:rPr>
                <w:b/>
                <w:w w:val="105"/>
                <w:sz w:val="19"/>
              </w:rPr>
              <w:t xml:space="preserve">of Notices per </w:t>
            </w:r>
            <w:r>
              <w:rPr>
                <w:b/>
                <w:spacing w:val="-2"/>
                <w:sz w:val="19"/>
              </w:rPr>
              <w:t>Respondent</w:t>
            </w:r>
          </w:p>
        </w:tc>
        <w:tc>
          <w:tcPr>
            <w:tcW w:w="967" w:type="dxa"/>
          </w:tcPr>
          <w:p>
            <w:pPr>
              <w:pStyle w:val="TableParagraph"/>
              <w:spacing w:before="61" w:line="254" w:lineRule="auto"/>
              <w:ind w:left="123" w:right="172" w:firstLine="8"/>
              <w:jc w:val="center"/>
              <w:rPr>
                <w:b/>
                <w:sz w:val="19"/>
              </w:rPr>
            </w:pPr>
            <w:r>
              <w:rPr>
                <w:b/>
                <w:spacing w:val="-2"/>
                <w:w w:val="105"/>
                <w:sz w:val="19"/>
              </w:rPr>
              <w:t xml:space="preserve">Burden </w:t>
            </w:r>
            <w:r>
              <w:rPr>
                <w:b/>
                <w:spacing w:val="-4"/>
                <w:w w:val="105"/>
                <w:sz w:val="19"/>
              </w:rPr>
              <w:t xml:space="preserve">per </w:t>
            </w:r>
            <w:r>
              <w:rPr>
                <w:b/>
                <w:spacing w:val="-2"/>
                <w:w w:val="105"/>
                <w:sz w:val="19"/>
              </w:rPr>
              <w:t>Notice (Hours)</w:t>
            </w:r>
          </w:p>
        </w:tc>
        <w:tc>
          <w:tcPr>
            <w:tcW w:w="896" w:type="dxa"/>
          </w:tcPr>
          <w:p>
            <w:pPr>
              <w:pStyle w:val="TableParagraph"/>
              <w:spacing w:before="174" w:line="252" w:lineRule="auto"/>
              <w:ind w:left="119" w:right="159"/>
              <w:jc w:val="center"/>
              <w:rPr>
                <w:b/>
                <w:sz w:val="19"/>
              </w:rPr>
            </w:pPr>
            <w:r>
              <w:rPr>
                <w:b/>
                <w:spacing w:val="-4"/>
                <w:w w:val="105"/>
                <w:sz w:val="19"/>
              </w:rPr>
              <w:t xml:space="preserve">Cost per </w:t>
            </w:r>
            <w:r>
              <w:rPr>
                <w:b/>
                <w:spacing w:val="-2"/>
                <w:sz w:val="19"/>
              </w:rPr>
              <w:t>Notice</w:t>
            </w:r>
          </w:p>
        </w:tc>
        <w:tc>
          <w:tcPr>
            <w:tcW w:w="1461" w:type="dxa"/>
          </w:tcPr>
          <w:p>
            <w:pPr>
              <w:pStyle w:val="TableParagraph"/>
              <w:spacing w:before="174" w:line="252" w:lineRule="auto"/>
              <w:ind w:left="74" w:right="47"/>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w:t>
            </w:r>
          </w:p>
        </w:tc>
        <w:tc>
          <w:tcPr>
            <w:tcW w:w="1418" w:type="dxa"/>
          </w:tcPr>
          <w:p>
            <w:pPr>
              <w:pStyle w:val="TableParagraph"/>
              <w:spacing w:before="174" w:line="252" w:lineRule="auto"/>
              <w:ind w:left="154" w:right="173" w:firstLine="11"/>
              <w:jc w:val="center"/>
              <w:rPr>
                <w:b/>
                <w:sz w:val="19"/>
              </w:rPr>
            </w:pPr>
            <w:r>
              <w:rPr>
                <w:b/>
                <w:w w:val="105"/>
                <w:sz w:val="19"/>
              </w:rPr>
              <w:t>Total Cost for</w:t>
            </w:r>
            <w:r>
              <w:rPr>
                <w:b/>
                <w:spacing w:val="-12"/>
                <w:w w:val="105"/>
                <w:sz w:val="19"/>
              </w:rPr>
              <w:t xml:space="preserve"> </w:t>
            </w:r>
            <w:r>
              <w:rPr>
                <w:b/>
                <w:w w:val="105"/>
                <w:sz w:val="19"/>
              </w:rPr>
              <w:t xml:space="preserve">all </w:t>
            </w:r>
            <w:r>
              <w:rPr>
                <w:b/>
                <w:spacing w:val="-2"/>
                <w:sz w:val="19"/>
              </w:rPr>
              <w:t>Respondents</w:t>
            </w:r>
          </w:p>
        </w:tc>
      </w:tr>
      <w:tr>
        <w:tblPrEx>
          <w:tblW w:w="0" w:type="auto"/>
          <w:jc w:val="left"/>
          <w:tblInd w:w="126" w:type="dxa"/>
          <w:tblLayout w:type="fixed"/>
          <w:tblCellMar>
            <w:top w:w="0" w:type="dxa"/>
            <w:left w:w="0" w:type="dxa"/>
            <w:bottom w:w="0" w:type="dxa"/>
            <w:right w:w="0" w:type="dxa"/>
          </w:tblCellMar>
          <w:tblLook w:val="01E0"/>
        </w:tblPrEx>
        <w:trPr>
          <w:trHeight w:val="900"/>
          <w:jc w:val="left"/>
        </w:trPr>
        <w:tc>
          <w:tcPr>
            <w:tcW w:w="1349" w:type="dxa"/>
          </w:tcPr>
          <w:p>
            <w:pPr>
              <w:pStyle w:val="TableParagraph"/>
              <w:spacing w:before="117" w:line="252" w:lineRule="auto"/>
              <w:ind w:left="114"/>
              <w:rPr>
                <w:sz w:val="19"/>
              </w:rPr>
            </w:pPr>
            <w:r>
              <w:rPr>
                <w:w w:val="105"/>
                <w:sz w:val="19"/>
              </w:rPr>
              <w:t xml:space="preserve">Issuer in </w:t>
            </w:r>
            <w:r>
              <w:rPr>
                <w:spacing w:val="-2"/>
                <w:sz w:val="19"/>
              </w:rPr>
              <w:t xml:space="preserve">Individual </w:t>
            </w:r>
            <w:r>
              <w:rPr>
                <w:spacing w:val="-2"/>
                <w:w w:val="105"/>
                <w:sz w:val="19"/>
              </w:rPr>
              <w:t>Market</w:t>
            </w:r>
          </w:p>
        </w:tc>
        <w:tc>
          <w:tcPr>
            <w:tcW w:w="1617" w:type="dxa"/>
          </w:tcPr>
          <w:p>
            <w:pPr>
              <w:pStyle w:val="TableParagraph"/>
              <w:spacing w:before="117" w:line="256" w:lineRule="auto"/>
              <w:ind w:left="115"/>
              <w:rPr>
                <w:sz w:val="19"/>
              </w:rPr>
            </w:pPr>
            <w:r>
              <w:rPr>
                <w:spacing w:val="-2"/>
                <w:sz w:val="19"/>
              </w:rPr>
              <w:t xml:space="preserve">Discontinuance </w:t>
            </w:r>
            <w:r>
              <w:rPr>
                <w:w w:val="105"/>
                <w:sz w:val="19"/>
              </w:rPr>
              <w:t>notice with</w:t>
            </w:r>
          </w:p>
          <w:p>
            <w:pPr>
              <w:pStyle w:val="TableParagraph"/>
              <w:spacing w:line="210" w:lineRule="exact"/>
              <w:ind w:left="115"/>
              <w:rPr>
                <w:sz w:val="19"/>
              </w:rPr>
            </w:pPr>
            <w:r>
              <w:rPr>
                <w:sz w:val="19"/>
              </w:rPr>
              <w:t>re-</w:t>
            </w:r>
            <w:r>
              <w:rPr>
                <w:spacing w:val="-2"/>
                <w:sz w:val="19"/>
              </w:rPr>
              <w:t>enrollment</w:t>
            </w:r>
          </w:p>
        </w:tc>
        <w:tc>
          <w:tcPr>
            <w:tcW w:w="1348" w:type="dxa"/>
          </w:tcPr>
          <w:p>
            <w:pPr>
              <w:pStyle w:val="TableParagraph"/>
              <w:spacing w:before="132"/>
              <w:rPr>
                <w:sz w:val="19"/>
              </w:rPr>
            </w:pPr>
          </w:p>
          <w:p>
            <w:pPr>
              <w:pStyle w:val="TableParagraph"/>
              <w:ind w:left="15"/>
              <w:jc w:val="center"/>
              <w:rPr>
                <w:sz w:val="19"/>
              </w:rPr>
            </w:pPr>
            <w:r>
              <w:rPr>
                <w:spacing w:val="-2"/>
                <w:w w:val="105"/>
                <w:sz w:val="19"/>
              </w:rPr>
              <w:t>1,087</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7" w:right="112"/>
              <w:jc w:val="center"/>
              <w:rPr>
                <w:sz w:val="19"/>
              </w:rPr>
            </w:pPr>
            <w:r>
              <w:rPr>
                <w:spacing w:val="-10"/>
                <w:sz w:val="19"/>
              </w:rPr>
              <w:t>8</w:t>
            </w:r>
          </w:p>
        </w:tc>
        <w:tc>
          <w:tcPr>
            <w:tcW w:w="896" w:type="dxa"/>
          </w:tcPr>
          <w:p>
            <w:pPr>
              <w:pStyle w:val="TableParagraph"/>
              <w:spacing w:before="132"/>
              <w:rPr>
                <w:sz w:val="19"/>
              </w:rPr>
            </w:pPr>
          </w:p>
          <w:p>
            <w:pPr>
              <w:pStyle w:val="TableParagraph"/>
              <w:ind w:left="4"/>
              <w:jc w:val="center"/>
              <w:rPr>
                <w:sz w:val="19"/>
              </w:rPr>
            </w:pPr>
            <w:r>
              <w:rPr>
                <w:spacing w:val="-2"/>
                <w:w w:val="105"/>
                <w:sz w:val="19"/>
              </w:rPr>
              <w:t>$661.94</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8,696</w:t>
            </w:r>
          </w:p>
        </w:tc>
        <w:tc>
          <w:tcPr>
            <w:tcW w:w="1418" w:type="dxa"/>
          </w:tcPr>
          <w:p>
            <w:pPr>
              <w:pStyle w:val="TableParagraph"/>
              <w:spacing w:before="132"/>
              <w:rPr>
                <w:sz w:val="19"/>
              </w:rPr>
            </w:pPr>
          </w:p>
          <w:p>
            <w:pPr>
              <w:pStyle w:val="TableParagraph"/>
              <w:ind w:left="9"/>
              <w:jc w:val="center"/>
              <w:rPr>
                <w:sz w:val="19"/>
              </w:rPr>
            </w:pPr>
            <w:r>
              <w:rPr>
                <w:spacing w:val="-2"/>
                <w:w w:val="105"/>
                <w:sz w:val="19"/>
              </w:rPr>
              <w:t>$719,528.78</w:t>
            </w:r>
          </w:p>
        </w:tc>
      </w:tr>
      <w:tr>
        <w:tblPrEx>
          <w:tblW w:w="0" w:type="auto"/>
          <w:jc w:val="left"/>
          <w:tblInd w:w="126" w:type="dxa"/>
          <w:tblLayout w:type="fixed"/>
          <w:tblCellMar>
            <w:top w:w="0" w:type="dxa"/>
            <w:left w:w="0" w:type="dxa"/>
            <w:bottom w:w="0" w:type="dxa"/>
            <w:right w:w="0" w:type="dxa"/>
          </w:tblCellMar>
          <w:tblLook w:val="01E0"/>
        </w:tblPrEx>
        <w:trPr>
          <w:trHeight w:val="900"/>
          <w:jc w:val="left"/>
        </w:trPr>
        <w:tc>
          <w:tcPr>
            <w:tcW w:w="1349" w:type="dxa"/>
          </w:tcPr>
          <w:p>
            <w:pPr>
              <w:pStyle w:val="TableParagraph"/>
              <w:spacing w:before="117" w:line="252" w:lineRule="auto"/>
              <w:ind w:left="114"/>
              <w:rPr>
                <w:sz w:val="19"/>
              </w:rPr>
            </w:pPr>
            <w:r>
              <w:rPr>
                <w:w w:val="105"/>
                <w:sz w:val="19"/>
              </w:rPr>
              <w:t xml:space="preserve">Issuer in </w:t>
            </w:r>
            <w:r>
              <w:rPr>
                <w:spacing w:val="-2"/>
                <w:sz w:val="19"/>
              </w:rPr>
              <w:t xml:space="preserve">Individual </w:t>
            </w:r>
            <w:r>
              <w:rPr>
                <w:spacing w:val="-2"/>
                <w:w w:val="105"/>
                <w:sz w:val="19"/>
              </w:rPr>
              <w:t>Market</w:t>
            </w:r>
          </w:p>
        </w:tc>
        <w:tc>
          <w:tcPr>
            <w:tcW w:w="1617" w:type="dxa"/>
          </w:tcPr>
          <w:p>
            <w:pPr>
              <w:pStyle w:val="TableParagraph"/>
              <w:spacing w:before="117" w:line="252" w:lineRule="auto"/>
              <w:ind w:left="115" w:right="252"/>
              <w:rPr>
                <w:sz w:val="19"/>
              </w:rPr>
            </w:pPr>
            <w:r>
              <w:rPr>
                <w:spacing w:val="-2"/>
                <w:sz w:val="19"/>
              </w:rPr>
              <w:t xml:space="preserve">Discontinuance </w:t>
            </w:r>
            <w:r>
              <w:rPr>
                <w:w w:val="105"/>
                <w:sz w:val="19"/>
              </w:rPr>
              <w:t xml:space="preserve">notice without </w:t>
            </w:r>
            <w:r>
              <w:rPr>
                <w:spacing w:val="-2"/>
                <w:w w:val="105"/>
                <w:sz w:val="19"/>
              </w:rPr>
              <w:t>re-enrollment</w:t>
            </w:r>
          </w:p>
        </w:tc>
        <w:tc>
          <w:tcPr>
            <w:tcW w:w="1348" w:type="dxa"/>
          </w:tcPr>
          <w:p>
            <w:pPr>
              <w:pStyle w:val="TableParagraph"/>
              <w:spacing w:before="132"/>
              <w:rPr>
                <w:sz w:val="19"/>
              </w:rPr>
            </w:pPr>
          </w:p>
          <w:p>
            <w:pPr>
              <w:pStyle w:val="TableParagraph"/>
              <w:ind w:left="15"/>
              <w:jc w:val="center"/>
              <w:rPr>
                <w:sz w:val="19"/>
              </w:rPr>
            </w:pPr>
            <w:r>
              <w:rPr>
                <w:spacing w:val="-2"/>
                <w:w w:val="105"/>
                <w:sz w:val="19"/>
              </w:rPr>
              <w:t>1,087</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12" w:right="95"/>
              <w:jc w:val="center"/>
              <w:rPr>
                <w:sz w:val="19"/>
              </w:rPr>
            </w:pPr>
            <w:r>
              <w:rPr>
                <w:spacing w:val="-5"/>
                <w:w w:val="105"/>
                <w:sz w:val="19"/>
              </w:rPr>
              <w:t>4.5</w:t>
            </w:r>
          </w:p>
        </w:tc>
        <w:tc>
          <w:tcPr>
            <w:tcW w:w="896" w:type="dxa"/>
          </w:tcPr>
          <w:p>
            <w:pPr>
              <w:pStyle w:val="TableParagraph"/>
              <w:spacing w:before="132"/>
              <w:rPr>
                <w:sz w:val="19"/>
              </w:rPr>
            </w:pPr>
          </w:p>
          <w:p>
            <w:pPr>
              <w:pStyle w:val="TableParagraph"/>
              <w:ind w:left="4"/>
              <w:jc w:val="center"/>
              <w:rPr>
                <w:sz w:val="19"/>
              </w:rPr>
            </w:pPr>
            <w:r>
              <w:rPr>
                <w:spacing w:val="-2"/>
                <w:w w:val="105"/>
                <w:sz w:val="19"/>
              </w:rPr>
              <w:t>$378.91</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4,892</w:t>
            </w:r>
          </w:p>
        </w:tc>
        <w:tc>
          <w:tcPr>
            <w:tcW w:w="1418" w:type="dxa"/>
          </w:tcPr>
          <w:p>
            <w:pPr>
              <w:pStyle w:val="TableParagraph"/>
              <w:spacing w:before="132"/>
              <w:rPr>
                <w:sz w:val="19"/>
              </w:rPr>
            </w:pPr>
          </w:p>
          <w:p>
            <w:pPr>
              <w:pStyle w:val="TableParagraph"/>
              <w:ind w:left="9"/>
              <w:jc w:val="center"/>
              <w:rPr>
                <w:sz w:val="19"/>
              </w:rPr>
            </w:pPr>
            <w:r>
              <w:rPr>
                <w:spacing w:val="-2"/>
                <w:w w:val="105"/>
                <w:sz w:val="19"/>
              </w:rPr>
              <w:t>$411,875.17</w:t>
            </w:r>
          </w:p>
        </w:tc>
      </w:tr>
      <w:tr>
        <w:tblPrEx>
          <w:tblW w:w="0" w:type="auto"/>
          <w:jc w:val="left"/>
          <w:tblInd w:w="126" w:type="dxa"/>
          <w:tblLayout w:type="fixed"/>
          <w:tblCellMar>
            <w:top w:w="0" w:type="dxa"/>
            <w:left w:w="0" w:type="dxa"/>
            <w:bottom w:w="0" w:type="dxa"/>
            <w:right w:w="0" w:type="dxa"/>
          </w:tblCellMar>
          <w:tblLook w:val="01E0"/>
        </w:tblPrEx>
        <w:trPr>
          <w:trHeight w:val="901"/>
          <w:jc w:val="left"/>
        </w:trPr>
        <w:tc>
          <w:tcPr>
            <w:tcW w:w="1349" w:type="dxa"/>
          </w:tcPr>
          <w:p>
            <w:pPr>
              <w:pStyle w:val="TableParagraph"/>
              <w:spacing w:before="118" w:line="252" w:lineRule="auto"/>
              <w:ind w:left="114" w:right="107"/>
              <w:rPr>
                <w:sz w:val="19"/>
              </w:rPr>
            </w:pPr>
            <w:r>
              <w:rPr>
                <w:w w:val="105"/>
                <w:sz w:val="19"/>
              </w:rPr>
              <w:t xml:space="preserve">Issuer in </w:t>
            </w:r>
            <w:r>
              <w:rPr>
                <w:spacing w:val="-2"/>
                <w:w w:val="105"/>
                <w:sz w:val="19"/>
              </w:rPr>
              <w:t>Small</w:t>
            </w:r>
            <w:r>
              <w:rPr>
                <w:spacing w:val="-11"/>
                <w:w w:val="105"/>
                <w:sz w:val="19"/>
              </w:rPr>
              <w:t xml:space="preserve"> </w:t>
            </w:r>
            <w:r>
              <w:rPr>
                <w:spacing w:val="-2"/>
                <w:w w:val="105"/>
                <w:sz w:val="19"/>
              </w:rPr>
              <w:t>Group Market</w:t>
            </w:r>
          </w:p>
        </w:tc>
        <w:tc>
          <w:tcPr>
            <w:tcW w:w="1617" w:type="dxa"/>
          </w:tcPr>
          <w:p>
            <w:pPr>
              <w:pStyle w:val="TableParagraph"/>
              <w:spacing w:before="12"/>
              <w:rPr>
                <w:sz w:val="19"/>
              </w:rPr>
            </w:pPr>
          </w:p>
          <w:p>
            <w:pPr>
              <w:pStyle w:val="TableParagraph"/>
              <w:spacing w:line="256" w:lineRule="auto"/>
              <w:ind w:left="115"/>
              <w:rPr>
                <w:sz w:val="19"/>
              </w:rPr>
            </w:pPr>
            <w:r>
              <w:rPr>
                <w:spacing w:val="-2"/>
                <w:sz w:val="19"/>
              </w:rPr>
              <w:t xml:space="preserve">Discontinuance </w:t>
            </w:r>
            <w:r>
              <w:rPr>
                <w:spacing w:val="-2"/>
                <w:w w:val="105"/>
                <w:sz w:val="19"/>
              </w:rPr>
              <w:t>Notice</w:t>
            </w:r>
          </w:p>
        </w:tc>
        <w:tc>
          <w:tcPr>
            <w:tcW w:w="1348" w:type="dxa"/>
          </w:tcPr>
          <w:p>
            <w:pPr>
              <w:pStyle w:val="TableParagraph"/>
              <w:spacing w:before="132"/>
              <w:rPr>
                <w:sz w:val="19"/>
              </w:rPr>
            </w:pPr>
          </w:p>
          <w:p>
            <w:pPr>
              <w:pStyle w:val="TableParagraph"/>
              <w:ind w:left="15" w:right="7"/>
              <w:jc w:val="center"/>
              <w:rPr>
                <w:sz w:val="19"/>
              </w:rPr>
            </w:pPr>
            <w:r>
              <w:rPr>
                <w:spacing w:val="-5"/>
                <w:w w:val="105"/>
                <w:sz w:val="19"/>
              </w:rPr>
              <w:t>552</w:t>
            </w:r>
          </w:p>
        </w:tc>
        <w:tc>
          <w:tcPr>
            <w:tcW w:w="1377" w:type="dxa"/>
          </w:tcPr>
          <w:p>
            <w:pPr>
              <w:pStyle w:val="TableParagraph"/>
              <w:spacing w:before="132"/>
              <w:rPr>
                <w:sz w:val="19"/>
              </w:rPr>
            </w:pPr>
          </w:p>
          <w:p>
            <w:pPr>
              <w:pStyle w:val="TableParagraph"/>
              <w:ind w:right="95"/>
              <w:jc w:val="center"/>
              <w:rPr>
                <w:sz w:val="19"/>
              </w:rPr>
            </w:pPr>
            <w:r>
              <w:rPr>
                <w:spacing w:val="-10"/>
                <w:sz w:val="19"/>
              </w:rPr>
              <w:t>1</w:t>
            </w:r>
          </w:p>
        </w:tc>
        <w:tc>
          <w:tcPr>
            <w:tcW w:w="967" w:type="dxa"/>
          </w:tcPr>
          <w:p>
            <w:pPr>
              <w:pStyle w:val="TableParagraph"/>
              <w:spacing w:before="132"/>
              <w:rPr>
                <w:sz w:val="19"/>
              </w:rPr>
            </w:pPr>
          </w:p>
          <w:p>
            <w:pPr>
              <w:pStyle w:val="TableParagraph"/>
              <w:ind w:left="105" w:right="95"/>
              <w:jc w:val="center"/>
              <w:rPr>
                <w:sz w:val="19"/>
              </w:rPr>
            </w:pPr>
            <w:r>
              <w:rPr>
                <w:spacing w:val="-5"/>
                <w:w w:val="105"/>
                <w:sz w:val="19"/>
              </w:rPr>
              <w:t>12</w:t>
            </w:r>
          </w:p>
        </w:tc>
        <w:tc>
          <w:tcPr>
            <w:tcW w:w="896" w:type="dxa"/>
          </w:tcPr>
          <w:p>
            <w:pPr>
              <w:pStyle w:val="TableParagraph"/>
              <w:spacing w:before="132"/>
              <w:rPr>
                <w:sz w:val="19"/>
              </w:rPr>
            </w:pPr>
          </w:p>
          <w:p>
            <w:pPr>
              <w:pStyle w:val="TableParagraph"/>
              <w:ind w:left="4"/>
              <w:jc w:val="center"/>
              <w:rPr>
                <w:sz w:val="19"/>
              </w:rPr>
            </w:pPr>
            <w:r>
              <w:rPr>
                <w:spacing w:val="-2"/>
                <w:w w:val="105"/>
                <w:sz w:val="19"/>
              </w:rPr>
              <w:t>$992.16</w:t>
            </w:r>
          </w:p>
        </w:tc>
        <w:tc>
          <w:tcPr>
            <w:tcW w:w="1461" w:type="dxa"/>
          </w:tcPr>
          <w:p>
            <w:pPr>
              <w:pStyle w:val="TableParagraph"/>
              <w:spacing w:before="132"/>
              <w:rPr>
                <w:sz w:val="19"/>
              </w:rPr>
            </w:pPr>
          </w:p>
          <w:p>
            <w:pPr>
              <w:pStyle w:val="TableParagraph"/>
              <w:ind w:left="74" w:right="53"/>
              <w:jc w:val="center"/>
              <w:rPr>
                <w:sz w:val="19"/>
              </w:rPr>
            </w:pPr>
            <w:r>
              <w:rPr>
                <w:spacing w:val="-2"/>
                <w:w w:val="105"/>
                <w:sz w:val="19"/>
              </w:rPr>
              <w:t>6,624</w:t>
            </w:r>
          </w:p>
        </w:tc>
        <w:tc>
          <w:tcPr>
            <w:tcW w:w="1418" w:type="dxa"/>
          </w:tcPr>
          <w:p>
            <w:pPr>
              <w:pStyle w:val="TableParagraph"/>
              <w:spacing w:before="132"/>
              <w:rPr>
                <w:sz w:val="19"/>
              </w:rPr>
            </w:pPr>
          </w:p>
          <w:p>
            <w:pPr>
              <w:pStyle w:val="TableParagraph"/>
              <w:ind w:left="9"/>
              <w:jc w:val="center"/>
              <w:rPr>
                <w:sz w:val="19"/>
              </w:rPr>
            </w:pPr>
            <w:r>
              <w:rPr>
                <w:spacing w:val="-2"/>
                <w:w w:val="105"/>
                <w:sz w:val="19"/>
              </w:rPr>
              <w:t>$547,672.31</w:t>
            </w:r>
          </w:p>
        </w:tc>
      </w:tr>
      <w:tr>
        <w:tblPrEx>
          <w:tblW w:w="0" w:type="auto"/>
          <w:jc w:val="left"/>
          <w:tblInd w:w="126" w:type="dxa"/>
          <w:tblLayout w:type="fixed"/>
          <w:tblCellMar>
            <w:top w:w="0" w:type="dxa"/>
            <w:left w:w="0" w:type="dxa"/>
            <w:bottom w:w="0" w:type="dxa"/>
            <w:right w:w="0" w:type="dxa"/>
          </w:tblCellMar>
          <w:tblLook w:val="01E0"/>
        </w:tblPrEx>
        <w:trPr>
          <w:trHeight w:val="689"/>
          <w:jc w:val="left"/>
        </w:trPr>
        <w:tc>
          <w:tcPr>
            <w:tcW w:w="1349" w:type="dxa"/>
          </w:tcPr>
          <w:p>
            <w:pPr>
              <w:pStyle w:val="TableParagraph"/>
              <w:spacing w:before="26"/>
              <w:rPr>
                <w:sz w:val="19"/>
              </w:rPr>
            </w:pPr>
          </w:p>
          <w:p>
            <w:pPr>
              <w:pStyle w:val="TableParagraph"/>
              <w:ind w:left="114"/>
              <w:rPr>
                <w:b/>
                <w:sz w:val="19"/>
              </w:rPr>
            </w:pPr>
            <w:r>
              <w:rPr>
                <w:b/>
                <w:spacing w:val="-2"/>
                <w:w w:val="105"/>
                <w:sz w:val="19"/>
              </w:rPr>
              <w:t>Total</w:t>
            </w:r>
          </w:p>
        </w:tc>
        <w:tc>
          <w:tcPr>
            <w:tcW w:w="1617" w:type="dxa"/>
          </w:tcPr>
          <w:p>
            <w:pPr>
              <w:pStyle w:val="TableParagraph"/>
              <w:rPr>
                <w:sz w:val="22"/>
              </w:rPr>
            </w:pPr>
          </w:p>
        </w:tc>
        <w:tc>
          <w:tcPr>
            <w:tcW w:w="1348" w:type="dxa"/>
          </w:tcPr>
          <w:p>
            <w:pPr>
              <w:pStyle w:val="TableParagraph"/>
              <w:spacing w:before="26"/>
              <w:rPr>
                <w:sz w:val="19"/>
              </w:rPr>
            </w:pPr>
          </w:p>
          <w:p>
            <w:pPr>
              <w:pStyle w:val="TableParagraph"/>
              <w:ind w:left="15"/>
              <w:jc w:val="center"/>
              <w:rPr>
                <w:b/>
                <w:sz w:val="19"/>
              </w:rPr>
            </w:pPr>
            <w:r>
              <w:rPr>
                <w:b/>
                <w:spacing w:val="-2"/>
                <w:w w:val="105"/>
                <w:sz w:val="19"/>
              </w:rPr>
              <w:t>1,206</w:t>
            </w:r>
          </w:p>
        </w:tc>
        <w:tc>
          <w:tcPr>
            <w:tcW w:w="1377" w:type="dxa"/>
          </w:tcPr>
          <w:p>
            <w:pPr>
              <w:pStyle w:val="TableParagraph"/>
              <w:rPr>
                <w:sz w:val="22"/>
              </w:rPr>
            </w:pPr>
          </w:p>
        </w:tc>
        <w:tc>
          <w:tcPr>
            <w:tcW w:w="967" w:type="dxa"/>
          </w:tcPr>
          <w:p>
            <w:pPr>
              <w:pStyle w:val="TableParagraph"/>
              <w:rPr>
                <w:sz w:val="22"/>
              </w:rPr>
            </w:pPr>
          </w:p>
        </w:tc>
        <w:tc>
          <w:tcPr>
            <w:tcW w:w="896" w:type="dxa"/>
          </w:tcPr>
          <w:p>
            <w:pPr>
              <w:pStyle w:val="TableParagraph"/>
              <w:rPr>
                <w:sz w:val="22"/>
              </w:rPr>
            </w:pPr>
          </w:p>
        </w:tc>
        <w:tc>
          <w:tcPr>
            <w:tcW w:w="1461" w:type="dxa"/>
          </w:tcPr>
          <w:p>
            <w:pPr>
              <w:pStyle w:val="TableParagraph"/>
              <w:spacing w:before="26"/>
              <w:rPr>
                <w:sz w:val="19"/>
              </w:rPr>
            </w:pPr>
          </w:p>
          <w:p>
            <w:pPr>
              <w:pStyle w:val="TableParagraph"/>
              <w:ind w:left="74" w:right="53"/>
              <w:jc w:val="center"/>
              <w:rPr>
                <w:b/>
                <w:sz w:val="19"/>
              </w:rPr>
            </w:pPr>
            <w:r>
              <w:rPr>
                <w:b/>
                <w:spacing w:val="-2"/>
                <w:w w:val="105"/>
                <w:sz w:val="19"/>
              </w:rPr>
              <w:t>20,212</w:t>
            </w:r>
          </w:p>
        </w:tc>
        <w:tc>
          <w:tcPr>
            <w:tcW w:w="1418" w:type="dxa"/>
          </w:tcPr>
          <w:p>
            <w:pPr>
              <w:pStyle w:val="TableParagraph"/>
              <w:spacing w:before="26"/>
              <w:rPr>
                <w:sz w:val="19"/>
              </w:rPr>
            </w:pPr>
          </w:p>
          <w:p>
            <w:pPr>
              <w:pStyle w:val="TableParagraph"/>
              <w:ind w:left="9"/>
              <w:jc w:val="center"/>
              <w:rPr>
                <w:b/>
                <w:sz w:val="19"/>
              </w:rPr>
            </w:pPr>
            <w:r>
              <w:rPr>
                <w:b/>
                <w:spacing w:val="-2"/>
                <w:w w:val="105"/>
                <w:sz w:val="19"/>
              </w:rPr>
              <w:t>$1,679076.27</w:t>
            </w:r>
          </w:p>
        </w:tc>
      </w:tr>
    </w:tbl>
    <w:p>
      <w:pPr>
        <w:pStyle w:val="BodyText"/>
        <w:spacing w:before="212" w:line="242" w:lineRule="auto"/>
        <w:ind w:left="1282" w:right="1307"/>
      </w:pPr>
      <w:r>
        <w:t>Individual market QHP issuers, including issuers that are discontinuing a product offered through the Exchange and automatically enrolling an enrollee in a QHP under a different product offered by the same QHP issuer through the Exchange, will need to include some additional information in their notices and therefore will incur a higher burden. We estimate that, for the notice when the issuer is automatically reenrolling the enrollee in another plan, it will require 2 hours for an administrative</w:t>
      </w:r>
      <w:r>
        <w:rPr>
          <w:spacing w:val="-3"/>
        </w:rPr>
        <w:t xml:space="preserve"> </w:t>
      </w:r>
      <w:r>
        <w:t>assistant</w:t>
      </w:r>
      <w:r>
        <w:rPr>
          <w:spacing w:val="-3"/>
        </w:rPr>
        <w:t xml:space="preserve"> </w:t>
      </w:r>
      <w:r>
        <w:t>(at</w:t>
      </w:r>
      <w:r>
        <w:rPr>
          <w:spacing w:val="-5"/>
        </w:rPr>
        <w:t xml:space="preserve"> </w:t>
      </w:r>
      <w:r>
        <w:t>a</w:t>
      </w:r>
      <w:r>
        <w:rPr>
          <w:spacing w:val="-3"/>
        </w:rPr>
        <w:t xml:space="preserve"> </w:t>
      </w:r>
      <w:r>
        <w:t>cost</w:t>
      </w:r>
      <w:r>
        <w:rPr>
          <w:spacing w:val="-5"/>
        </w:rPr>
        <w:t xml:space="preserve"> </w:t>
      </w:r>
      <w:r>
        <w:t>of</w:t>
      </w:r>
      <w:r>
        <w:rPr>
          <w:spacing w:val="-4"/>
        </w:rPr>
        <w:t xml:space="preserve"> </w:t>
      </w:r>
      <w:r>
        <w:t>$42.58</w:t>
      </w:r>
      <w:r>
        <w:rPr>
          <w:spacing w:val="-2"/>
        </w:rPr>
        <w:t xml:space="preserve"> </w:t>
      </w:r>
      <w:r>
        <w:t>per</w:t>
      </w:r>
      <w:r>
        <w:rPr>
          <w:spacing w:val="-4"/>
        </w:rPr>
        <w:t xml:space="preserve"> </w:t>
      </w:r>
      <w:r>
        <w:t>hour)</w:t>
      </w:r>
      <w:r>
        <w:rPr>
          <w:spacing w:val="-4"/>
        </w:rPr>
        <w:t xml:space="preserve"> </w:t>
      </w:r>
      <w:r>
        <w:t>to</w:t>
      </w:r>
      <w:r>
        <w:rPr>
          <w:spacing w:val="-2"/>
        </w:rPr>
        <w:t xml:space="preserve"> </w:t>
      </w:r>
      <w:r>
        <w:t>prepare</w:t>
      </w:r>
      <w:r>
        <w:rPr>
          <w:spacing w:val="-3"/>
        </w:rPr>
        <w:t xml:space="preserve"> </w:t>
      </w:r>
      <w:r>
        <w:t>the</w:t>
      </w:r>
      <w:r>
        <w:rPr>
          <w:spacing w:val="-3"/>
        </w:rPr>
        <w:t xml:space="preserve"> </w:t>
      </w:r>
      <w:r>
        <w:t>notice</w:t>
      </w:r>
      <w:r>
        <w:rPr>
          <w:spacing w:val="-4"/>
        </w:rPr>
        <w:t xml:space="preserve"> </w:t>
      </w:r>
      <w:r>
        <w:t>using</w:t>
      </w:r>
      <w:r>
        <w:rPr>
          <w:spacing w:val="-2"/>
        </w:rPr>
        <w:t xml:space="preserve"> </w:t>
      </w:r>
      <w:r>
        <w:t>the Federal</w:t>
      </w:r>
      <w:r>
        <w:rPr>
          <w:spacing w:val="-3"/>
        </w:rPr>
        <w:t xml:space="preserve"> </w:t>
      </w:r>
      <w:r>
        <w:t>standard notice</w:t>
      </w:r>
      <w:r>
        <w:rPr>
          <w:spacing w:val="-1"/>
        </w:rPr>
        <w:t xml:space="preserve"> </w:t>
      </w:r>
      <w:r>
        <w:t>(or</w:t>
      </w:r>
      <w:r>
        <w:rPr>
          <w:spacing w:val="-1"/>
        </w:rPr>
        <w:t xml:space="preserve"> </w:t>
      </w:r>
      <w:r>
        <w:t>a standard notice</w:t>
      </w:r>
      <w:r>
        <w:rPr>
          <w:spacing w:val="-1"/>
        </w:rPr>
        <w:t xml:space="preserve"> </w:t>
      </w:r>
      <w:r>
        <w:t>provided by their</w:t>
      </w:r>
      <w:r>
        <w:rPr>
          <w:spacing w:val="-1"/>
        </w:rPr>
        <w:t xml:space="preserve"> </w:t>
      </w:r>
      <w:r>
        <w:t>State)</w:t>
      </w:r>
      <w:r>
        <w:rPr>
          <w:spacing w:val="-2"/>
        </w:rPr>
        <w:t xml:space="preserve"> </w:t>
      </w:r>
      <w:r>
        <w:t>and 1 hour</w:t>
      </w:r>
      <w:r>
        <w:rPr>
          <w:spacing w:val="-1"/>
        </w:rPr>
        <w:t xml:space="preserve"> </w:t>
      </w:r>
      <w:r>
        <w:t>for a manager (at</w:t>
      </w:r>
      <w:r>
        <w:rPr>
          <w:spacing w:val="-1"/>
        </w:rPr>
        <w:t xml:space="preserve"> </w:t>
      </w:r>
      <w:r>
        <w:t>a cost of $97.38 per hour) to review the notice template. We also estimate that it will take a computer programmer 6 hours (at a cost of $95.88 per hour) to write and test a program to automate the notices. The total annual burden for each issuer to prepare the template will be 9 hours with an equivalent cost of approximately $758. For all 344 QHP</w:t>
      </w:r>
      <w:r>
        <w:rPr>
          <w:spacing w:val="-4"/>
        </w:rPr>
        <w:t xml:space="preserve"> </w:t>
      </w:r>
      <w:r>
        <w:t>issuers, the total</w:t>
      </w:r>
      <w:r>
        <w:rPr>
          <w:spacing w:val="-5"/>
        </w:rPr>
        <w:t xml:space="preserve"> </w:t>
      </w:r>
      <w:r>
        <w:t>annual burden will be 3,096 hours with an equivalent cost of approximately $260,690.</w:t>
      </w:r>
    </w:p>
    <w:p>
      <w:pPr>
        <w:pStyle w:val="BodyText"/>
        <w:spacing w:before="272" w:line="242" w:lineRule="auto"/>
        <w:ind w:left="1282" w:right="1401"/>
      </w:pPr>
      <w:r>
        <w:t>We</w:t>
      </w:r>
      <w:r>
        <w:rPr>
          <w:spacing w:val="-5"/>
        </w:rPr>
        <w:t xml:space="preserve"> </w:t>
      </w:r>
      <w:r>
        <w:t>estimate</w:t>
      </w:r>
      <w:r>
        <w:rPr>
          <w:spacing w:val="-4"/>
        </w:rPr>
        <w:t xml:space="preserve"> </w:t>
      </w:r>
      <w:r>
        <w:t>that, for</w:t>
      </w:r>
      <w:r>
        <w:rPr>
          <w:spacing w:val="-5"/>
        </w:rPr>
        <w:t xml:space="preserve"> </w:t>
      </w:r>
      <w:r>
        <w:t>the</w:t>
      </w:r>
      <w:r>
        <w:rPr>
          <w:spacing w:val="-4"/>
        </w:rPr>
        <w:t xml:space="preserve"> </w:t>
      </w:r>
      <w:r>
        <w:t>notice</w:t>
      </w:r>
      <w:r>
        <w:rPr>
          <w:spacing w:val="-5"/>
        </w:rPr>
        <w:t xml:space="preserve"> </w:t>
      </w:r>
      <w:r>
        <w:t>when</w:t>
      </w:r>
      <w:r>
        <w:rPr>
          <w:spacing w:val="-4"/>
        </w:rPr>
        <w:t xml:space="preserve"> </w:t>
      </w:r>
      <w:r>
        <w:t>the</w:t>
      </w:r>
      <w:r>
        <w:rPr>
          <w:spacing w:val="-4"/>
        </w:rPr>
        <w:t xml:space="preserve"> </w:t>
      </w:r>
      <w:r>
        <w:t>issuer</w:t>
      </w:r>
      <w:r>
        <w:rPr>
          <w:spacing w:val="-6"/>
        </w:rPr>
        <w:t xml:space="preserve"> </w:t>
      </w:r>
      <w:r>
        <w:t>is</w:t>
      </w:r>
      <w:r>
        <w:rPr>
          <w:spacing w:val="-5"/>
        </w:rPr>
        <w:t xml:space="preserve"> </w:t>
      </w:r>
      <w:r>
        <w:t>not</w:t>
      </w:r>
      <w:r>
        <w:rPr>
          <w:spacing w:val="-6"/>
        </w:rPr>
        <w:t xml:space="preserve"> </w:t>
      </w:r>
      <w:r>
        <w:t>automatically</w:t>
      </w:r>
      <w:r>
        <w:rPr>
          <w:spacing w:val="-3"/>
        </w:rPr>
        <w:t xml:space="preserve"> </w:t>
      </w:r>
      <w:r>
        <w:t>reenrolling</w:t>
      </w:r>
      <w:r>
        <w:rPr>
          <w:spacing w:val="-3"/>
        </w:rPr>
        <w:t xml:space="preserve"> </w:t>
      </w:r>
      <w:r>
        <w:t>the enrollee in another plan, it will require 1 hour for an administrative assistant (at a cost of $42.58 per hour) to prepare the notice using the Federal</w:t>
      </w:r>
      <w:r>
        <w:rPr>
          <w:spacing w:val="-1"/>
        </w:rPr>
        <w:t xml:space="preserve"> </w:t>
      </w:r>
      <w:r>
        <w:t>standard notice (or a standard notice provided by their State) and 0.5 hours for a manager (at</w:t>
      </w:r>
      <w:r>
        <w:rPr>
          <w:spacing w:val="-1"/>
        </w:rPr>
        <w:t xml:space="preserve"> </w:t>
      </w:r>
      <w:r>
        <w:t>a cost of</w:t>
      </w:r>
    </w:p>
    <w:p>
      <w:pPr>
        <w:pStyle w:val="BodyText"/>
        <w:spacing w:line="242" w:lineRule="auto"/>
        <w:ind w:left="1282" w:right="1401"/>
      </w:pPr>
      <w:r>
        <w:t>$97.38 per hour) to review the notice template. We also estimate that it will take a computer programmer 4 hours (at a cost of $95.88 per hour) to</w:t>
      </w:r>
      <w:r>
        <w:rPr>
          <w:spacing w:val="-4"/>
        </w:rPr>
        <w:t xml:space="preserve"> </w:t>
      </w:r>
      <w:r>
        <w:t>write and test a program</w:t>
      </w:r>
      <w:r>
        <w:rPr>
          <w:spacing w:val="-6"/>
        </w:rPr>
        <w:t xml:space="preserve"> </w:t>
      </w:r>
      <w:r>
        <w:t>to</w:t>
      </w:r>
      <w:r>
        <w:rPr>
          <w:spacing w:val="-2"/>
        </w:rPr>
        <w:t xml:space="preserve"> </w:t>
      </w:r>
      <w:r>
        <w:t>automate</w:t>
      </w:r>
      <w:r>
        <w:rPr>
          <w:spacing w:val="-3"/>
        </w:rPr>
        <w:t xml:space="preserve"> </w:t>
      </w:r>
      <w:r>
        <w:t>the</w:t>
      </w:r>
      <w:r>
        <w:rPr>
          <w:spacing w:val="-3"/>
        </w:rPr>
        <w:t xml:space="preserve"> </w:t>
      </w:r>
      <w:r>
        <w:t>notices. The</w:t>
      </w:r>
      <w:r>
        <w:rPr>
          <w:spacing w:val="-3"/>
        </w:rPr>
        <w:t xml:space="preserve"> </w:t>
      </w:r>
      <w:r>
        <w:t>total</w:t>
      </w:r>
      <w:r>
        <w:rPr>
          <w:spacing w:val="-6"/>
        </w:rPr>
        <w:t xml:space="preserve"> </w:t>
      </w:r>
      <w:r>
        <w:t>annual</w:t>
      </w:r>
      <w:r>
        <w:rPr>
          <w:spacing w:val="-5"/>
        </w:rPr>
        <w:t xml:space="preserve"> </w:t>
      </w:r>
      <w:r>
        <w:t>burden</w:t>
      </w:r>
      <w:r>
        <w:rPr>
          <w:spacing w:val="-3"/>
        </w:rPr>
        <w:t xml:space="preserve"> </w:t>
      </w:r>
      <w:r>
        <w:t>for</w:t>
      </w:r>
      <w:r>
        <w:rPr>
          <w:spacing w:val="-4"/>
        </w:rPr>
        <w:t xml:space="preserve"> </w:t>
      </w:r>
      <w:r>
        <w:t>each</w:t>
      </w:r>
      <w:r>
        <w:rPr>
          <w:spacing w:val="-3"/>
        </w:rPr>
        <w:t xml:space="preserve"> </w:t>
      </w:r>
      <w:r>
        <w:t>issuer</w:t>
      </w:r>
      <w:r>
        <w:rPr>
          <w:spacing w:val="-5"/>
        </w:rPr>
        <w:t xml:space="preserve"> </w:t>
      </w:r>
      <w:r>
        <w:t>to prepare the template will be 5.5 hours with an equivalent cost of approximately $475. For all</w:t>
      </w:r>
      <w:r>
        <w:rPr>
          <w:spacing w:val="-5"/>
        </w:rPr>
        <w:t xml:space="preserve"> </w:t>
      </w:r>
      <w:r>
        <w:t>344</w:t>
      </w:r>
      <w:r>
        <w:rPr>
          <w:spacing w:val="-2"/>
        </w:rPr>
        <w:t xml:space="preserve"> </w:t>
      </w:r>
      <w:r>
        <w:t>QHP</w:t>
      </w:r>
      <w:r>
        <w:rPr>
          <w:spacing w:val="-1"/>
        </w:rPr>
        <w:t xml:space="preserve"> </w:t>
      </w:r>
      <w:r>
        <w:t>issuers, the</w:t>
      </w:r>
      <w:r>
        <w:rPr>
          <w:spacing w:val="-3"/>
        </w:rPr>
        <w:t xml:space="preserve"> </w:t>
      </w:r>
      <w:r>
        <w:t>total</w:t>
      </w:r>
      <w:r>
        <w:rPr>
          <w:spacing w:val="-6"/>
        </w:rPr>
        <w:t xml:space="preserve"> </w:t>
      </w:r>
      <w:r>
        <w:t>annual</w:t>
      </w:r>
      <w:r>
        <w:rPr>
          <w:spacing w:val="-5"/>
        </w:rPr>
        <w:t xml:space="preserve"> </w:t>
      </w:r>
      <w:r>
        <w:t>burden</w:t>
      </w:r>
      <w:r>
        <w:rPr>
          <w:spacing w:val="-3"/>
        </w:rPr>
        <w:t xml:space="preserve"> </w:t>
      </w:r>
      <w:r>
        <w:t>will</w:t>
      </w:r>
      <w:r>
        <w:rPr>
          <w:spacing w:val="-5"/>
        </w:rPr>
        <w:t xml:space="preserve"> </w:t>
      </w:r>
      <w:r>
        <w:t>be 1,892</w:t>
      </w:r>
      <w:r>
        <w:rPr>
          <w:spacing w:val="-1"/>
        </w:rPr>
        <w:t xml:space="preserve"> </w:t>
      </w:r>
      <w:r>
        <w:t>hours</w:t>
      </w:r>
      <w:r>
        <w:rPr>
          <w:spacing w:val="-4"/>
        </w:rPr>
        <w:t xml:space="preserve"> </w:t>
      </w:r>
      <w:r>
        <w:t>with</w:t>
      </w:r>
      <w:r>
        <w:rPr>
          <w:spacing w:val="-2"/>
        </w:rPr>
        <w:t xml:space="preserve"> </w:t>
      </w:r>
      <w:r>
        <w:t>an</w:t>
      </w:r>
      <w:r>
        <w:rPr>
          <w:spacing w:val="-3"/>
        </w:rPr>
        <w:t xml:space="preserve"> </w:t>
      </w:r>
      <w:r>
        <w:t>equivalent cost of approximately $163,328.</w:t>
      </w:r>
    </w:p>
    <w:p>
      <w:pPr>
        <w:spacing w:after="0" w:line="242" w:lineRule="auto"/>
        <w:sectPr>
          <w:pgSz w:w="12240" w:h="15840"/>
          <w:pgMar w:top="1020" w:right="780" w:bottom="960" w:left="780" w:header="0" w:footer="772"/>
          <w:cols w:space="720"/>
        </w:sectPr>
      </w:pPr>
    </w:p>
    <w:p>
      <w:pPr>
        <w:pStyle w:val="BodyText"/>
        <w:spacing w:before="62"/>
        <w:ind w:left="1282" w:right="1130"/>
      </w:pPr>
      <w:r>
        <w:rPr>
          <w:u w:val="single"/>
        </w:rPr>
        <w:t>Table</w:t>
      </w:r>
      <w:r>
        <w:rPr>
          <w:spacing w:val="-5"/>
          <w:u w:val="single"/>
        </w:rPr>
        <w:t xml:space="preserve"> </w:t>
      </w:r>
      <w:r>
        <w:rPr>
          <w:u w:val="single"/>
        </w:rPr>
        <w:t>12.5</w:t>
      </w:r>
      <w:r>
        <w:rPr>
          <w:spacing w:val="-4"/>
          <w:u w:val="single"/>
        </w:rPr>
        <w:t xml:space="preserve"> </w:t>
      </w:r>
      <w:r>
        <w:rPr>
          <w:u w:val="single"/>
        </w:rPr>
        <w:t>Estimated</w:t>
      </w:r>
      <w:r>
        <w:rPr>
          <w:spacing w:val="-5"/>
          <w:u w:val="single"/>
        </w:rPr>
        <w:t xml:space="preserve"> </w:t>
      </w:r>
      <w:r>
        <w:rPr>
          <w:u w:val="single"/>
        </w:rPr>
        <w:t>Annualized</w:t>
      </w:r>
      <w:r>
        <w:rPr>
          <w:spacing w:val="-4"/>
          <w:u w:val="single"/>
        </w:rPr>
        <w:t xml:space="preserve"> </w:t>
      </w:r>
      <w:r>
        <w:rPr>
          <w:u w:val="single"/>
        </w:rPr>
        <w:t>Burden</w:t>
      </w:r>
      <w:r>
        <w:rPr>
          <w:spacing w:val="-5"/>
          <w:u w:val="single"/>
        </w:rPr>
        <w:t xml:space="preserve"> </w:t>
      </w:r>
      <w:r>
        <w:rPr>
          <w:u w:val="single"/>
        </w:rPr>
        <w:t>for</w:t>
      </w:r>
      <w:r>
        <w:rPr>
          <w:spacing w:val="-6"/>
          <w:u w:val="single"/>
        </w:rPr>
        <w:t xml:space="preserve"> </w:t>
      </w:r>
      <w:r>
        <w:rPr>
          <w:u w:val="single"/>
        </w:rPr>
        <w:t>Discontinuance</w:t>
      </w:r>
      <w:r>
        <w:rPr>
          <w:spacing w:val="-5"/>
          <w:u w:val="single"/>
        </w:rPr>
        <w:t xml:space="preserve"> </w:t>
      </w:r>
      <w:r>
        <w:rPr>
          <w:u w:val="single"/>
        </w:rPr>
        <w:t>(or</w:t>
      </w:r>
      <w:r>
        <w:rPr>
          <w:spacing w:val="-6"/>
          <w:u w:val="single"/>
        </w:rPr>
        <w:t xml:space="preserve"> </w:t>
      </w:r>
      <w:r>
        <w:rPr>
          <w:u w:val="single"/>
        </w:rPr>
        <w:t xml:space="preserve">Re-enrollment) </w:t>
      </w:r>
      <w:r>
        <w:rPr>
          <w:u w:val="none"/>
        </w:rPr>
        <w:t xml:space="preserve"> </w:t>
      </w:r>
      <w:r>
        <w:rPr>
          <w:u w:val="single"/>
        </w:rPr>
        <w:t>Notices for Individual Market QHP Issuers</w:t>
      </w:r>
    </w:p>
    <w:p>
      <w:pPr>
        <w:pStyle w:val="BodyText"/>
        <w:spacing w:before="42" w:after="1"/>
        <w:rPr>
          <w:sz w:val="20"/>
        </w:rPr>
      </w:pPr>
    </w:p>
    <w:tbl>
      <w:tblPr>
        <w:tblStyle w:val="TableNormal"/>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3"/>
        <w:gridCol w:w="1441"/>
        <w:gridCol w:w="1624"/>
        <w:gridCol w:w="1080"/>
        <w:gridCol w:w="1257"/>
        <w:gridCol w:w="1532"/>
        <w:gridCol w:w="1652"/>
      </w:tblGrid>
      <w:tr>
        <w:tblPrEx>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91"/>
          <w:jc w:val="left"/>
        </w:trPr>
        <w:tc>
          <w:tcPr>
            <w:tcW w:w="1773" w:type="dxa"/>
          </w:tcPr>
          <w:p>
            <w:pPr>
              <w:pStyle w:val="TableParagraph"/>
              <w:rPr>
                <w:sz w:val="19"/>
              </w:rPr>
            </w:pPr>
          </w:p>
          <w:p>
            <w:pPr>
              <w:pStyle w:val="TableParagraph"/>
              <w:spacing w:before="5"/>
              <w:rPr>
                <w:sz w:val="19"/>
              </w:rPr>
            </w:pPr>
          </w:p>
          <w:p>
            <w:pPr>
              <w:pStyle w:val="TableParagraph"/>
              <w:ind w:left="8" w:right="7"/>
              <w:jc w:val="center"/>
              <w:rPr>
                <w:b/>
                <w:sz w:val="19"/>
              </w:rPr>
            </w:pPr>
            <w:r>
              <w:rPr>
                <w:b/>
                <w:w w:val="105"/>
                <w:sz w:val="19"/>
              </w:rPr>
              <w:t>Type</w:t>
            </w:r>
            <w:r>
              <w:rPr>
                <w:b/>
                <w:spacing w:val="-6"/>
                <w:w w:val="105"/>
                <w:sz w:val="19"/>
              </w:rPr>
              <w:t xml:space="preserve"> </w:t>
            </w:r>
            <w:r>
              <w:rPr>
                <w:b/>
                <w:w w:val="105"/>
                <w:sz w:val="19"/>
              </w:rPr>
              <w:t>of</w:t>
            </w:r>
            <w:r>
              <w:rPr>
                <w:b/>
                <w:spacing w:val="4"/>
                <w:w w:val="105"/>
                <w:sz w:val="19"/>
              </w:rPr>
              <w:t xml:space="preserve"> </w:t>
            </w:r>
            <w:r>
              <w:rPr>
                <w:b/>
                <w:spacing w:val="-2"/>
                <w:w w:val="105"/>
                <w:sz w:val="19"/>
              </w:rPr>
              <w:t>Notice</w:t>
            </w:r>
          </w:p>
        </w:tc>
        <w:tc>
          <w:tcPr>
            <w:tcW w:w="1441" w:type="dxa"/>
          </w:tcPr>
          <w:p>
            <w:pPr>
              <w:pStyle w:val="TableParagraph"/>
              <w:spacing w:before="111"/>
              <w:rPr>
                <w:sz w:val="19"/>
              </w:rPr>
            </w:pPr>
          </w:p>
          <w:p>
            <w:pPr>
              <w:pStyle w:val="TableParagraph"/>
              <w:spacing w:line="256" w:lineRule="auto"/>
              <w:ind w:left="107" w:firstLine="77"/>
              <w:rPr>
                <w:b/>
                <w:sz w:val="19"/>
              </w:rPr>
            </w:pPr>
            <w:r>
              <w:rPr>
                <w:b/>
                <w:w w:val="105"/>
                <w:sz w:val="19"/>
              </w:rPr>
              <w:t xml:space="preserve">Number of </w:t>
            </w:r>
            <w:r>
              <w:rPr>
                <w:b/>
                <w:spacing w:val="-2"/>
                <w:sz w:val="19"/>
              </w:rPr>
              <w:t>Respondents</w:t>
            </w:r>
          </w:p>
        </w:tc>
        <w:tc>
          <w:tcPr>
            <w:tcW w:w="1624" w:type="dxa"/>
          </w:tcPr>
          <w:p>
            <w:pPr>
              <w:pStyle w:val="TableParagraph"/>
              <w:spacing w:before="209" w:line="256" w:lineRule="auto"/>
              <w:ind w:left="255" w:right="352" w:firstLine="42"/>
              <w:jc w:val="both"/>
              <w:rPr>
                <w:b/>
                <w:sz w:val="19"/>
              </w:rPr>
            </w:pPr>
            <w:r>
              <w:rPr>
                <w:b/>
                <w:w w:val="105"/>
                <w:sz w:val="19"/>
              </w:rPr>
              <w:t>Number</w:t>
            </w:r>
            <w:r>
              <w:rPr>
                <w:b/>
                <w:spacing w:val="-1"/>
                <w:w w:val="105"/>
                <w:sz w:val="19"/>
              </w:rPr>
              <w:t xml:space="preserve"> </w:t>
            </w:r>
            <w:r>
              <w:rPr>
                <w:b/>
                <w:w w:val="105"/>
                <w:sz w:val="19"/>
              </w:rPr>
              <w:t xml:space="preserve">of Notices per </w:t>
            </w:r>
            <w:r>
              <w:rPr>
                <w:b/>
                <w:spacing w:val="-2"/>
                <w:sz w:val="19"/>
              </w:rPr>
              <w:t>Respondent</w:t>
            </w:r>
          </w:p>
        </w:tc>
        <w:tc>
          <w:tcPr>
            <w:tcW w:w="1080" w:type="dxa"/>
          </w:tcPr>
          <w:p>
            <w:pPr>
              <w:pStyle w:val="TableParagraph"/>
              <w:spacing w:before="96" w:line="256" w:lineRule="auto"/>
              <w:ind w:left="206" w:right="202" w:hanging="6"/>
              <w:jc w:val="center"/>
              <w:rPr>
                <w:b/>
                <w:sz w:val="19"/>
              </w:rPr>
            </w:pPr>
            <w:r>
              <w:rPr>
                <w:b/>
                <w:spacing w:val="-2"/>
                <w:w w:val="105"/>
                <w:sz w:val="19"/>
              </w:rPr>
              <w:t xml:space="preserve">Burden </w:t>
            </w:r>
            <w:r>
              <w:rPr>
                <w:b/>
                <w:spacing w:val="-4"/>
                <w:w w:val="105"/>
                <w:sz w:val="19"/>
              </w:rPr>
              <w:t xml:space="preserve">per </w:t>
            </w:r>
            <w:r>
              <w:rPr>
                <w:b/>
                <w:spacing w:val="-2"/>
                <w:w w:val="105"/>
                <w:sz w:val="19"/>
              </w:rPr>
              <w:t>Notice (Hours)</w:t>
            </w:r>
          </w:p>
        </w:tc>
        <w:tc>
          <w:tcPr>
            <w:tcW w:w="1257" w:type="dxa"/>
          </w:tcPr>
          <w:p>
            <w:pPr>
              <w:pStyle w:val="TableParagraph"/>
              <w:spacing w:before="111"/>
              <w:rPr>
                <w:sz w:val="19"/>
              </w:rPr>
            </w:pPr>
          </w:p>
          <w:p>
            <w:pPr>
              <w:pStyle w:val="TableParagraph"/>
              <w:spacing w:line="256" w:lineRule="auto"/>
              <w:ind w:left="94" w:right="219" w:hanging="43"/>
              <w:rPr>
                <w:b/>
                <w:sz w:val="19"/>
              </w:rPr>
            </w:pPr>
            <w:r>
              <w:rPr>
                <w:b/>
                <w:w w:val="105"/>
                <w:sz w:val="19"/>
              </w:rPr>
              <w:t>Labor</w:t>
            </w:r>
            <w:r>
              <w:rPr>
                <w:b/>
                <w:spacing w:val="-13"/>
                <w:w w:val="105"/>
                <w:sz w:val="19"/>
              </w:rPr>
              <w:t xml:space="preserve"> </w:t>
            </w:r>
            <w:r>
              <w:rPr>
                <w:b/>
                <w:w w:val="105"/>
                <w:sz w:val="19"/>
              </w:rPr>
              <w:t>Cost per</w:t>
            </w:r>
            <w:r>
              <w:rPr>
                <w:b/>
                <w:spacing w:val="-8"/>
                <w:w w:val="105"/>
                <w:sz w:val="19"/>
              </w:rPr>
              <w:t xml:space="preserve"> </w:t>
            </w:r>
            <w:r>
              <w:rPr>
                <w:b/>
                <w:spacing w:val="-2"/>
                <w:w w:val="105"/>
                <w:sz w:val="19"/>
              </w:rPr>
              <w:t>Notice</w:t>
            </w:r>
          </w:p>
        </w:tc>
        <w:tc>
          <w:tcPr>
            <w:tcW w:w="1532" w:type="dxa"/>
          </w:tcPr>
          <w:p>
            <w:pPr>
              <w:pStyle w:val="TableParagraph"/>
              <w:spacing w:before="96" w:line="256" w:lineRule="auto"/>
              <w:ind w:left="22" w:right="170"/>
              <w:jc w:val="center"/>
              <w:rPr>
                <w:b/>
                <w:sz w:val="19"/>
              </w:rPr>
            </w:pPr>
            <w:r>
              <w:rPr>
                <w:b/>
                <w:spacing w:val="-2"/>
                <w:w w:val="105"/>
                <w:sz w:val="19"/>
              </w:rPr>
              <w:t>Total</w:t>
            </w:r>
            <w:r>
              <w:rPr>
                <w:b/>
                <w:spacing w:val="-11"/>
                <w:w w:val="105"/>
                <w:sz w:val="19"/>
              </w:rPr>
              <w:t xml:space="preserve"> </w:t>
            </w:r>
            <w:r>
              <w:rPr>
                <w:b/>
                <w:spacing w:val="-2"/>
                <w:w w:val="105"/>
                <w:sz w:val="19"/>
              </w:rPr>
              <w:t xml:space="preserve">Burden </w:t>
            </w:r>
            <w:r>
              <w:rPr>
                <w:b/>
                <w:w w:val="105"/>
                <w:sz w:val="19"/>
              </w:rPr>
              <w:t xml:space="preserve">for all </w:t>
            </w:r>
            <w:r>
              <w:rPr>
                <w:b/>
                <w:spacing w:val="-2"/>
                <w:w w:val="105"/>
                <w:sz w:val="19"/>
              </w:rPr>
              <w:t>Respondents (Hours)</w:t>
            </w:r>
          </w:p>
        </w:tc>
        <w:tc>
          <w:tcPr>
            <w:tcW w:w="1652" w:type="dxa"/>
          </w:tcPr>
          <w:p>
            <w:pPr>
              <w:pStyle w:val="TableParagraph"/>
              <w:spacing w:before="111"/>
              <w:rPr>
                <w:sz w:val="19"/>
              </w:rPr>
            </w:pPr>
          </w:p>
          <w:p>
            <w:pPr>
              <w:pStyle w:val="TableParagraph"/>
              <w:spacing w:line="256" w:lineRule="auto"/>
              <w:ind w:left="222" w:right="148" w:hanging="184"/>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for</w:t>
            </w:r>
            <w:r>
              <w:rPr>
                <w:b/>
                <w:spacing w:val="-13"/>
                <w:w w:val="105"/>
                <w:sz w:val="19"/>
              </w:rPr>
              <w:t xml:space="preserve"> </w:t>
            </w:r>
            <w:r>
              <w:rPr>
                <w:b/>
                <w:w w:val="105"/>
                <w:sz w:val="19"/>
              </w:rPr>
              <w:t xml:space="preserve">all </w:t>
            </w:r>
            <w:r>
              <w:rPr>
                <w:b/>
                <w:spacing w:val="-2"/>
                <w:w w:val="105"/>
                <w:sz w:val="19"/>
              </w:rPr>
              <w:t>Respondents</w:t>
            </w:r>
          </w:p>
        </w:tc>
      </w:tr>
      <w:tr>
        <w:tblPrEx>
          <w:tblW w:w="0" w:type="auto"/>
          <w:jc w:val="left"/>
          <w:tblInd w:w="169" w:type="dxa"/>
          <w:tblLayout w:type="fixed"/>
          <w:tblCellMar>
            <w:top w:w="0" w:type="dxa"/>
            <w:left w:w="0" w:type="dxa"/>
            <w:bottom w:w="0" w:type="dxa"/>
            <w:right w:w="0" w:type="dxa"/>
          </w:tblCellMar>
          <w:tblLook w:val="01E0"/>
        </w:tblPrEx>
        <w:trPr>
          <w:trHeight w:val="837"/>
          <w:jc w:val="left"/>
        </w:trPr>
        <w:tc>
          <w:tcPr>
            <w:tcW w:w="1773" w:type="dxa"/>
          </w:tcPr>
          <w:p>
            <w:pPr>
              <w:pStyle w:val="TableParagraph"/>
              <w:spacing w:before="82" w:line="256" w:lineRule="auto"/>
              <w:ind w:left="107" w:right="34"/>
              <w:rPr>
                <w:sz w:val="19"/>
              </w:rPr>
            </w:pPr>
            <w:r>
              <w:rPr>
                <w:spacing w:val="-2"/>
                <w:sz w:val="19"/>
              </w:rPr>
              <w:t xml:space="preserve">Discontinuance </w:t>
            </w:r>
            <w:r>
              <w:rPr>
                <w:w w:val="105"/>
                <w:sz w:val="19"/>
              </w:rPr>
              <w:t xml:space="preserve">notice with re- </w:t>
            </w:r>
            <w:r>
              <w:rPr>
                <w:spacing w:val="-2"/>
                <w:w w:val="105"/>
                <w:sz w:val="19"/>
              </w:rPr>
              <w:t>enrollment</w:t>
            </w:r>
          </w:p>
        </w:tc>
        <w:tc>
          <w:tcPr>
            <w:tcW w:w="1441" w:type="dxa"/>
          </w:tcPr>
          <w:p>
            <w:pPr>
              <w:pStyle w:val="TableParagraph"/>
              <w:spacing w:before="96"/>
              <w:rPr>
                <w:sz w:val="19"/>
              </w:rPr>
            </w:pPr>
          </w:p>
          <w:p>
            <w:pPr>
              <w:pStyle w:val="TableParagraph"/>
              <w:ind w:left="15" w:right="2"/>
              <w:jc w:val="center"/>
              <w:rPr>
                <w:sz w:val="19"/>
              </w:rPr>
            </w:pPr>
            <w:r>
              <w:rPr>
                <w:spacing w:val="-5"/>
                <w:w w:val="105"/>
                <w:sz w:val="19"/>
              </w:rPr>
              <w:t>344</w:t>
            </w:r>
          </w:p>
        </w:tc>
        <w:tc>
          <w:tcPr>
            <w:tcW w:w="1624" w:type="dxa"/>
          </w:tcPr>
          <w:p>
            <w:pPr>
              <w:pStyle w:val="TableParagraph"/>
              <w:spacing w:before="96"/>
              <w:rPr>
                <w:sz w:val="19"/>
              </w:rPr>
            </w:pPr>
          </w:p>
          <w:p>
            <w:pPr>
              <w:pStyle w:val="TableParagraph"/>
              <w:ind w:left="13"/>
              <w:jc w:val="center"/>
              <w:rPr>
                <w:sz w:val="19"/>
              </w:rPr>
            </w:pPr>
            <w:r>
              <w:rPr>
                <w:spacing w:val="-10"/>
                <w:w w:val="105"/>
                <w:sz w:val="19"/>
              </w:rPr>
              <w:t>1</w:t>
            </w:r>
          </w:p>
        </w:tc>
        <w:tc>
          <w:tcPr>
            <w:tcW w:w="1080" w:type="dxa"/>
          </w:tcPr>
          <w:p>
            <w:pPr>
              <w:pStyle w:val="TableParagraph"/>
              <w:spacing w:before="96"/>
              <w:rPr>
                <w:sz w:val="19"/>
              </w:rPr>
            </w:pPr>
          </w:p>
          <w:p>
            <w:pPr>
              <w:pStyle w:val="TableParagraph"/>
              <w:ind w:left="7"/>
              <w:jc w:val="center"/>
              <w:rPr>
                <w:sz w:val="19"/>
              </w:rPr>
            </w:pPr>
            <w:r>
              <w:rPr>
                <w:spacing w:val="-10"/>
                <w:w w:val="105"/>
                <w:sz w:val="19"/>
              </w:rPr>
              <w:t>9</w:t>
            </w:r>
          </w:p>
        </w:tc>
        <w:tc>
          <w:tcPr>
            <w:tcW w:w="1257" w:type="dxa"/>
          </w:tcPr>
          <w:p>
            <w:pPr>
              <w:pStyle w:val="TableParagraph"/>
              <w:spacing w:before="96"/>
              <w:rPr>
                <w:sz w:val="19"/>
              </w:rPr>
            </w:pPr>
          </w:p>
          <w:p>
            <w:pPr>
              <w:pStyle w:val="TableParagraph"/>
              <w:ind w:left="8"/>
              <w:jc w:val="center"/>
              <w:rPr>
                <w:sz w:val="19"/>
              </w:rPr>
            </w:pPr>
            <w:r>
              <w:rPr>
                <w:spacing w:val="-2"/>
                <w:w w:val="105"/>
                <w:sz w:val="19"/>
              </w:rPr>
              <w:t>$757.82</w:t>
            </w:r>
          </w:p>
        </w:tc>
        <w:tc>
          <w:tcPr>
            <w:tcW w:w="1532" w:type="dxa"/>
          </w:tcPr>
          <w:p>
            <w:pPr>
              <w:pStyle w:val="TableParagraph"/>
              <w:spacing w:before="96"/>
              <w:rPr>
                <w:sz w:val="19"/>
              </w:rPr>
            </w:pPr>
          </w:p>
          <w:p>
            <w:pPr>
              <w:pStyle w:val="TableParagraph"/>
              <w:ind w:right="52"/>
              <w:jc w:val="center"/>
              <w:rPr>
                <w:sz w:val="19"/>
              </w:rPr>
            </w:pPr>
            <w:r>
              <w:rPr>
                <w:spacing w:val="-2"/>
                <w:w w:val="105"/>
                <w:sz w:val="19"/>
              </w:rPr>
              <w:t>3,096</w:t>
            </w:r>
          </w:p>
        </w:tc>
        <w:tc>
          <w:tcPr>
            <w:tcW w:w="1652" w:type="dxa"/>
          </w:tcPr>
          <w:p>
            <w:pPr>
              <w:pStyle w:val="TableParagraph"/>
              <w:spacing w:before="96"/>
              <w:rPr>
                <w:sz w:val="19"/>
              </w:rPr>
            </w:pPr>
          </w:p>
          <w:p>
            <w:pPr>
              <w:pStyle w:val="TableParagraph"/>
              <w:ind w:left="10"/>
              <w:jc w:val="center"/>
              <w:rPr>
                <w:sz w:val="19"/>
              </w:rPr>
            </w:pPr>
            <w:r>
              <w:rPr>
                <w:spacing w:val="-2"/>
                <w:w w:val="105"/>
                <w:sz w:val="19"/>
              </w:rPr>
              <w:t>$260,690.08</w:t>
            </w:r>
          </w:p>
        </w:tc>
      </w:tr>
      <w:tr>
        <w:tblPrEx>
          <w:tblW w:w="0" w:type="auto"/>
          <w:jc w:val="left"/>
          <w:tblInd w:w="169" w:type="dxa"/>
          <w:tblLayout w:type="fixed"/>
          <w:tblCellMar>
            <w:top w:w="0" w:type="dxa"/>
            <w:left w:w="0" w:type="dxa"/>
            <w:bottom w:w="0" w:type="dxa"/>
            <w:right w:w="0" w:type="dxa"/>
          </w:tblCellMar>
          <w:tblLook w:val="01E0"/>
        </w:tblPrEx>
        <w:trPr>
          <w:trHeight w:val="942"/>
          <w:jc w:val="left"/>
        </w:trPr>
        <w:tc>
          <w:tcPr>
            <w:tcW w:w="1773" w:type="dxa"/>
          </w:tcPr>
          <w:p>
            <w:pPr>
              <w:pStyle w:val="TableParagraph"/>
              <w:spacing w:before="139" w:line="256" w:lineRule="auto"/>
              <w:ind w:left="107" w:right="34"/>
              <w:rPr>
                <w:sz w:val="19"/>
              </w:rPr>
            </w:pPr>
            <w:r>
              <w:rPr>
                <w:spacing w:val="-2"/>
                <w:w w:val="105"/>
                <w:sz w:val="19"/>
              </w:rPr>
              <w:t xml:space="preserve">Discontinuance </w:t>
            </w:r>
            <w:r>
              <w:rPr>
                <w:w w:val="105"/>
                <w:sz w:val="19"/>
              </w:rPr>
              <w:t>notice</w:t>
            </w:r>
            <w:r>
              <w:rPr>
                <w:spacing w:val="-13"/>
                <w:w w:val="105"/>
                <w:sz w:val="19"/>
              </w:rPr>
              <w:t xml:space="preserve"> </w:t>
            </w:r>
            <w:r>
              <w:rPr>
                <w:w w:val="105"/>
                <w:sz w:val="19"/>
              </w:rPr>
              <w:t>without</w:t>
            </w:r>
            <w:r>
              <w:rPr>
                <w:spacing w:val="-12"/>
                <w:w w:val="105"/>
                <w:sz w:val="19"/>
              </w:rPr>
              <w:t xml:space="preserve"> </w:t>
            </w:r>
            <w:r>
              <w:rPr>
                <w:w w:val="105"/>
                <w:sz w:val="19"/>
              </w:rPr>
              <w:t xml:space="preserve">re- </w:t>
            </w:r>
            <w:r>
              <w:rPr>
                <w:spacing w:val="-2"/>
                <w:w w:val="105"/>
                <w:sz w:val="19"/>
              </w:rPr>
              <w:t>enrollment</w:t>
            </w:r>
          </w:p>
        </w:tc>
        <w:tc>
          <w:tcPr>
            <w:tcW w:w="1441" w:type="dxa"/>
          </w:tcPr>
          <w:p>
            <w:pPr>
              <w:pStyle w:val="TableParagraph"/>
              <w:spacing w:before="153"/>
              <w:rPr>
                <w:sz w:val="19"/>
              </w:rPr>
            </w:pPr>
          </w:p>
          <w:p>
            <w:pPr>
              <w:pStyle w:val="TableParagraph"/>
              <w:ind w:left="15" w:right="2"/>
              <w:jc w:val="center"/>
              <w:rPr>
                <w:sz w:val="19"/>
              </w:rPr>
            </w:pPr>
            <w:r>
              <w:rPr>
                <w:spacing w:val="-5"/>
                <w:w w:val="105"/>
                <w:sz w:val="19"/>
              </w:rPr>
              <w:t>344</w:t>
            </w:r>
          </w:p>
        </w:tc>
        <w:tc>
          <w:tcPr>
            <w:tcW w:w="1624" w:type="dxa"/>
          </w:tcPr>
          <w:p>
            <w:pPr>
              <w:pStyle w:val="TableParagraph"/>
              <w:spacing w:before="153"/>
              <w:rPr>
                <w:sz w:val="19"/>
              </w:rPr>
            </w:pPr>
          </w:p>
          <w:p>
            <w:pPr>
              <w:pStyle w:val="TableParagraph"/>
              <w:ind w:left="13"/>
              <w:jc w:val="center"/>
              <w:rPr>
                <w:sz w:val="19"/>
              </w:rPr>
            </w:pPr>
            <w:r>
              <w:rPr>
                <w:spacing w:val="-10"/>
                <w:w w:val="105"/>
                <w:sz w:val="19"/>
              </w:rPr>
              <w:t>1</w:t>
            </w:r>
          </w:p>
        </w:tc>
        <w:tc>
          <w:tcPr>
            <w:tcW w:w="1080" w:type="dxa"/>
          </w:tcPr>
          <w:p>
            <w:pPr>
              <w:pStyle w:val="TableParagraph"/>
              <w:spacing w:before="153"/>
              <w:rPr>
                <w:sz w:val="19"/>
              </w:rPr>
            </w:pPr>
          </w:p>
          <w:p>
            <w:pPr>
              <w:pStyle w:val="TableParagraph"/>
              <w:ind w:left="7" w:right="7"/>
              <w:jc w:val="center"/>
              <w:rPr>
                <w:sz w:val="19"/>
              </w:rPr>
            </w:pPr>
            <w:r>
              <w:rPr>
                <w:spacing w:val="-5"/>
                <w:w w:val="105"/>
                <w:sz w:val="19"/>
              </w:rPr>
              <w:t>5.5</w:t>
            </w:r>
          </w:p>
        </w:tc>
        <w:tc>
          <w:tcPr>
            <w:tcW w:w="1257" w:type="dxa"/>
          </w:tcPr>
          <w:p>
            <w:pPr>
              <w:pStyle w:val="TableParagraph"/>
              <w:spacing w:before="153"/>
              <w:rPr>
                <w:sz w:val="19"/>
              </w:rPr>
            </w:pPr>
          </w:p>
          <w:p>
            <w:pPr>
              <w:pStyle w:val="TableParagraph"/>
              <w:ind w:left="8"/>
              <w:jc w:val="center"/>
              <w:rPr>
                <w:sz w:val="19"/>
              </w:rPr>
            </w:pPr>
            <w:r>
              <w:rPr>
                <w:spacing w:val="-2"/>
                <w:w w:val="105"/>
                <w:sz w:val="19"/>
              </w:rPr>
              <w:t>$474.79</w:t>
            </w:r>
          </w:p>
        </w:tc>
        <w:tc>
          <w:tcPr>
            <w:tcW w:w="1532" w:type="dxa"/>
          </w:tcPr>
          <w:p>
            <w:pPr>
              <w:pStyle w:val="TableParagraph"/>
              <w:spacing w:before="153"/>
              <w:rPr>
                <w:sz w:val="19"/>
              </w:rPr>
            </w:pPr>
          </w:p>
          <w:p>
            <w:pPr>
              <w:pStyle w:val="TableParagraph"/>
              <w:ind w:left="426"/>
              <w:rPr>
                <w:sz w:val="19"/>
              </w:rPr>
            </w:pPr>
            <w:r>
              <w:rPr>
                <w:spacing w:val="-2"/>
                <w:w w:val="105"/>
                <w:sz w:val="19"/>
              </w:rPr>
              <w:t>1,892</w:t>
            </w:r>
          </w:p>
        </w:tc>
        <w:tc>
          <w:tcPr>
            <w:tcW w:w="1652" w:type="dxa"/>
          </w:tcPr>
          <w:p>
            <w:pPr>
              <w:pStyle w:val="TableParagraph"/>
              <w:spacing w:before="153"/>
              <w:rPr>
                <w:sz w:val="19"/>
              </w:rPr>
            </w:pPr>
          </w:p>
          <w:p>
            <w:pPr>
              <w:pStyle w:val="TableParagraph"/>
              <w:ind w:left="10"/>
              <w:jc w:val="center"/>
              <w:rPr>
                <w:sz w:val="19"/>
              </w:rPr>
            </w:pPr>
            <w:r>
              <w:rPr>
                <w:spacing w:val="-2"/>
                <w:w w:val="105"/>
                <w:sz w:val="19"/>
              </w:rPr>
              <w:t>$163,327.76</w:t>
            </w:r>
          </w:p>
        </w:tc>
      </w:tr>
      <w:tr>
        <w:tblPrEx>
          <w:tblW w:w="0" w:type="auto"/>
          <w:jc w:val="left"/>
          <w:tblInd w:w="169" w:type="dxa"/>
          <w:tblLayout w:type="fixed"/>
          <w:tblCellMar>
            <w:top w:w="0" w:type="dxa"/>
            <w:left w:w="0" w:type="dxa"/>
            <w:bottom w:w="0" w:type="dxa"/>
            <w:right w:w="0" w:type="dxa"/>
          </w:tblCellMar>
          <w:tblLook w:val="01E0"/>
        </w:tblPrEx>
        <w:trPr>
          <w:trHeight w:val="618"/>
          <w:jc w:val="left"/>
        </w:trPr>
        <w:tc>
          <w:tcPr>
            <w:tcW w:w="1773" w:type="dxa"/>
          </w:tcPr>
          <w:p>
            <w:pPr>
              <w:pStyle w:val="TableParagraph"/>
              <w:spacing w:before="12"/>
              <w:ind w:left="1" w:right="8"/>
              <w:jc w:val="center"/>
              <w:rPr>
                <w:b/>
                <w:sz w:val="19"/>
              </w:rPr>
            </w:pPr>
            <w:r>
              <w:rPr>
                <w:b/>
                <w:spacing w:val="-2"/>
                <w:w w:val="105"/>
                <w:sz w:val="19"/>
              </w:rPr>
              <w:t>Total</w:t>
            </w:r>
          </w:p>
        </w:tc>
        <w:tc>
          <w:tcPr>
            <w:tcW w:w="1441" w:type="dxa"/>
          </w:tcPr>
          <w:p>
            <w:pPr>
              <w:pStyle w:val="TableParagraph"/>
              <w:spacing w:before="210"/>
              <w:ind w:left="15" w:right="2"/>
              <w:jc w:val="center"/>
              <w:rPr>
                <w:b/>
                <w:sz w:val="19"/>
              </w:rPr>
            </w:pPr>
            <w:r>
              <w:rPr>
                <w:b/>
                <w:spacing w:val="-5"/>
                <w:w w:val="105"/>
                <w:sz w:val="19"/>
              </w:rPr>
              <w:t>344</w:t>
            </w:r>
          </w:p>
        </w:tc>
        <w:tc>
          <w:tcPr>
            <w:tcW w:w="1624" w:type="dxa"/>
          </w:tcPr>
          <w:p>
            <w:pPr>
              <w:pStyle w:val="TableParagraph"/>
              <w:rPr>
                <w:sz w:val="22"/>
              </w:rPr>
            </w:pPr>
          </w:p>
        </w:tc>
        <w:tc>
          <w:tcPr>
            <w:tcW w:w="1080" w:type="dxa"/>
          </w:tcPr>
          <w:p>
            <w:pPr>
              <w:pStyle w:val="TableParagraph"/>
              <w:rPr>
                <w:sz w:val="22"/>
              </w:rPr>
            </w:pPr>
          </w:p>
        </w:tc>
        <w:tc>
          <w:tcPr>
            <w:tcW w:w="1257" w:type="dxa"/>
          </w:tcPr>
          <w:p>
            <w:pPr>
              <w:pStyle w:val="TableParagraph"/>
              <w:rPr>
                <w:sz w:val="22"/>
              </w:rPr>
            </w:pPr>
          </w:p>
        </w:tc>
        <w:tc>
          <w:tcPr>
            <w:tcW w:w="1532" w:type="dxa"/>
          </w:tcPr>
          <w:p>
            <w:pPr>
              <w:pStyle w:val="TableParagraph"/>
              <w:spacing w:before="210"/>
              <w:ind w:left="426"/>
              <w:rPr>
                <w:b/>
                <w:sz w:val="19"/>
              </w:rPr>
            </w:pPr>
            <w:r>
              <w:rPr>
                <w:b/>
                <w:spacing w:val="-2"/>
                <w:w w:val="105"/>
                <w:sz w:val="19"/>
              </w:rPr>
              <w:t>4,988</w:t>
            </w:r>
          </w:p>
        </w:tc>
        <w:tc>
          <w:tcPr>
            <w:tcW w:w="1652" w:type="dxa"/>
          </w:tcPr>
          <w:p>
            <w:pPr>
              <w:pStyle w:val="TableParagraph"/>
              <w:spacing w:before="210"/>
              <w:ind w:left="10"/>
              <w:jc w:val="center"/>
              <w:rPr>
                <w:b/>
                <w:sz w:val="19"/>
              </w:rPr>
            </w:pPr>
            <w:r>
              <w:rPr>
                <w:b/>
                <w:spacing w:val="-2"/>
                <w:w w:val="105"/>
                <w:sz w:val="19"/>
              </w:rPr>
              <w:t>$424,017.84</w:t>
            </w:r>
          </w:p>
        </w:tc>
      </w:tr>
    </w:tbl>
    <w:p>
      <w:pPr>
        <w:pStyle w:val="BodyText"/>
        <w:spacing w:before="213"/>
        <w:ind w:left="1190"/>
      </w:pPr>
      <w:r>
        <w:rPr>
          <w:u w:val="single"/>
        </w:rPr>
        <w:t>Student</w:t>
      </w:r>
      <w:r>
        <w:rPr>
          <w:spacing w:val="-5"/>
          <w:u w:val="single"/>
        </w:rPr>
        <w:t xml:space="preserve"> </w:t>
      </w:r>
      <w:r>
        <w:rPr>
          <w:u w:val="single"/>
        </w:rPr>
        <w:t>Health</w:t>
      </w:r>
      <w:r>
        <w:rPr>
          <w:spacing w:val="-2"/>
          <w:u w:val="single"/>
        </w:rPr>
        <w:t xml:space="preserve"> </w:t>
      </w:r>
      <w:r>
        <w:rPr>
          <w:u w:val="single"/>
        </w:rPr>
        <w:t>Insurance</w:t>
      </w:r>
      <w:r>
        <w:rPr>
          <w:spacing w:val="-2"/>
          <w:u w:val="single"/>
        </w:rPr>
        <w:t xml:space="preserve"> Coverage</w:t>
      </w:r>
    </w:p>
    <w:p>
      <w:pPr>
        <w:pStyle w:val="BodyText"/>
        <w:spacing w:line="242" w:lineRule="auto"/>
        <w:ind w:left="1190" w:right="1281"/>
      </w:pPr>
      <w:r>
        <w:t>With respect to notices that are required to be provided for student health insurance coverage in connection with a renewal or product discontinuation effective after January</w:t>
      </w:r>
      <w:r>
        <w:rPr>
          <w:spacing w:val="-4"/>
        </w:rPr>
        <w:t xml:space="preserve"> </w:t>
      </w:r>
      <w:r>
        <w:t>1,</w:t>
      </w:r>
      <w:r>
        <w:rPr>
          <w:spacing w:val="-1"/>
        </w:rPr>
        <w:t xml:space="preserve"> </w:t>
      </w:r>
      <w:r>
        <w:t>2018</w:t>
      </w:r>
      <w:r>
        <w:rPr>
          <w:spacing w:val="-4"/>
        </w:rPr>
        <w:t xml:space="preserve"> </w:t>
      </w:r>
      <w:r>
        <w:t>(that</w:t>
      </w:r>
      <w:r>
        <w:rPr>
          <w:spacing w:val="-8"/>
        </w:rPr>
        <w:t xml:space="preserve"> </w:t>
      </w:r>
      <w:r>
        <w:t>is,</w:t>
      </w:r>
      <w:r>
        <w:rPr>
          <w:spacing w:val="-1"/>
        </w:rPr>
        <w:t xml:space="preserve"> </w:t>
      </w:r>
      <w:r>
        <w:t>beginning</w:t>
      </w:r>
      <w:r>
        <w:rPr>
          <w:spacing w:val="-4"/>
        </w:rPr>
        <w:t xml:space="preserve"> </w:t>
      </w:r>
      <w:r>
        <w:t>with</w:t>
      </w:r>
      <w:r>
        <w:rPr>
          <w:spacing w:val="-4"/>
        </w:rPr>
        <w:t xml:space="preserve"> </w:t>
      </w:r>
      <w:r>
        <w:t>notices</w:t>
      </w:r>
      <w:r>
        <w:rPr>
          <w:spacing w:val="-6"/>
        </w:rPr>
        <w:t xml:space="preserve"> </w:t>
      </w:r>
      <w:r>
        <w:t>required</w:t>
      </w:r>
      <w:r>
        <w:rPr>
          <w:spacing w:val="-5"/>
        </w:rPr>
        <w:t xml:space="preserve"> </w:t>
      </w:r>
      <w:r>
        <w:t>to</w:t>
      </w:r>
      <w:r>
        <w:rPr>
          <w:spacing w:val="-4"/>
        </w:rPr>
        <w:t xml:space="preserve"> </w:t>
      </w:r>
      <w:r>
        <w:t>be</w:t>
      </w:r>
      <w:r>
        <w:rPr>
          <w:spacing w:val="-5"/>
        </w:rPr>
        <w:t xml:space="preserve"> </w:t>
      </w:r>
      <w:r>
        <w:t>provided</w:t>
      </w:r>
      <w:r>
        <w:rPr>
          <w:spacing w:val="-5"/>
        </w:rPr>
        <w:t xml:space="preserve"> </w:t>
      </w:r>
      <w:r>
        <w:t>in</w:t>
      </w:r>
      <w:r>
        <w:rPr>
          <w:spacing w:val="-4"/>
        </w:rPr>
        <w:t xml:space="preserve"> </w:t>
      </w:r>
      <w:r>
        <w:t>connection with the 2018-2019 academic year), the issuer’s requirement to provide the notice to student enrollees and their covered dependents generally will be considered satisfied if it ensures that another party (e.g., the institution of higher education) provides a timely and complete notice to the student. We believe that issuers will make arrangements with the institutions of higher education to notify students and their covered</w:t>
      </w:r>
      <w:r>
        <w:rPr>
          <w:spacing w:val="-1"/>
        </w:rPr>
        <w:t xml:space="preserve"> </w:t>
      </w:r>
      <w:r>
        <w:t>dependents</w:t>
      </w:r>
      <w:r>
        <w:rPr>
          <w:spacing w:val="-2"/>
        </w:rPr>
        <w:t xml:space="preserve"> </w:t>
      </w:r>
      <w:r>
        <w:t>of</w:t>
      </w:r>
      <w:r>
        <w:rPr>
          <w:spacing w:val="-2"/>
        </w:rPr>
        <w:t xml:space="preserve"> </w:t>
      </w:r>
      <w:r>
        <w:t>these</w:t>
      </w:r>
      <w:r>
        <w:rPr>
          <w:spacing w:val="-1"/>
        </w:rPr>
        <w:t xml:space="preserve"> </w:t>
      </w:r>
      <w:r>
        <w:t>changes. Since</w:t>
      </w:r>
      <w:r>
        <w:rPr>
          <w:spacing w:val="-2"/>
        </w:rPr>
        <w:t xml:space="preserve"> </w:t>
      </w:r>
      <w:r>
        <w:t>institutions</w:t>
      </w:r>
      <w:r>
        <w:rPr>
          <w:spacing w:val="-2"/>
        </w:rPr>
        <w:t xml:space="preserve"> </w:t>
      </w:r>
      <w:r>
        <w:t>of</w:t>
      </w:r>
      <w:r>
        <w:rPr>
          <w:spacing w:val="-2"/>
        </w:rPr>
        <w:t xml:space="preserve"> </w:t>
      </w:r>
      <w:r>
        <w:t>higher</w:t>
      </w:r>
      <w:r>
        <w:rPr>
          <w:spacing w:val="-3"/>
        </w:rPr>
        <w:t xml:space="preserve"> </w:t>
      </w:r>
      <w:r>
        <w:t>education routinely communicate with students about their health coverage options, it is expected that any additional burden will be negligible.</w:t>
      </w:r>
    </w:p>
    <w:p>
      <w:pPr>
        <w:pStyle w:val="BodyText"/>
        <w:spacing w:before="274"/>
        <w:ind w:left="1190"/>
      </w:pPr>
      <w:r>
        <w:rPr>
          <w:u w:val="single"/>
        </w:rPr>
        <w:t>Transfer</w:t>
      </w:r>
      <w:r>
        <w:rPr>
          <w:spacing w:val="-4"/>
          <w:u w:val="single"/>
        </w:rPr>
        <w:t xml:space="preserve"> </w:t>
      </w:r>
      <w:r>
        <w:rPr>
          <w:u w:val="single"/>
        </w:rPr>
        <w:t>of</w:t>
      </w:r>
      <w:r>
        <w:rPr>
          <w:spacing w:val="-2"/>
          <w:u w:val="single"/>
        </w:rPr>
        <w:t xml:space="preserve"> </w:t>
      </w:r>
      <w:r>
        <w:rPr>
          <w:u w:val="single"/>
        </w:rPr>
        <w:t>Products</w:t>
      </w:r>
      <w:r>
        <w:rPr>
          <w:spacing w:val="-2"/>
          <w:u w:val="single"/>
        </w:rPr>
        <w:t xml:space="preserve"> </w:t>
      </w:r>
      <w:r>
        <w:rPr>
          <w:u w:val="single"/>
        </w:rPr>
        <w:t>to a</w:t>
      </w:r>
      <w:r>
        <w:rPr>
          <w:spacing w:val="-1"/>
          <w:u w:val="single"/>
        </w:rPr>
        <w:t xml:space="preserve"> </w:t>
      </w:r>
      <w:r>
        <w:rPr>
          <w:u w:val="single"/>
        </w:rPr>
        <w:t>Related</w:t>
      </w:r>
      <w:r>
        <w:rPr>
          <w:spacing w:val="-1"/>
          <w:u w:val="single"/>
        </w:rPr>
        <w:t xml:space="preserve"> </w:t>
      </w:r>
      <w:r>
        <w:rPr>
          <w:spacing w:val="-2"/>
          <w:u w:val="single"/>
        </w:rPr>
        <w:t>Issuer</w:t>
      </w:r>
    </w:p>
    <w:p>
      <w:pPr>
        <w:pStyle w:val="BodyText"/>
        <w:spacing w:before="7" w:line="242" w:lineRule="auto"/>
        <w:ind w:left="1190" w:right="1279"/>
      </w:pPr>
      <w:r>
        <w:t>In the HHS Notice of Benefit and Payment Parameters for 2018 final rule, CMS required that a product will be considered to be the same product under CMS regulations when offered by a different issuer within the issuer’s controlled group, provided any changes to the product otherwise meet the standards for uniform modification of coverage. This interpretation considers the product offered by the acquiring issuer in the controlled group to be the same as the product previously offered by the current issuer, thus the issuer of the coverage at the time notice must be provided (whether the current issuer or the acquiring issuer) will be required to provide a renewal notice using the applicable Federal standard renewal notice. This can</w:t>
      </w:r>
      <w:r>
        <w:rPr>
          <w:spacing w:val="-3"/>
        </w:rPr>
        <w:t xml:space="preserve"> </w:t>
      </w:r>
      <w:r>
        <w:t>result</w:t>
      </w:r>
      <w:r>
        <w:rPr>
          <w:spacing w:val="-7"/>
        </w:rPr>
        <w:t xml:space="preserve"> </w:t>
      </w:r>
      <w:r>
        <w:t>in</w:t>
      </w:r>
      <w:r>
        <w:rPr>
          <w:spacing w:val="-4"/>
        </w:rPr>
        <w:t xml:space="preserve"> </w:t>
      </w:r>
      <w:r>
        <w:t>the</w:t>
      </w:r>
      <w:r>
        <w:rPr>
          <w:spacing w:val="-5"/>
        </w:rPr>
        <w:t xml:space="preserve"> </w:t>
      </w:r>
      <w:r>
        <w:t>burden</w:t>
      </w:r>
      <w:r>
        <w:rPr>
          <w:spacing w:val="-5"/>
        </w:rPr>
        <w:t xml:space="preserve"> </w:t>
      </w:r>
      <w:r>
        <w:t>associated</w:t>
      </w:r>
      <w:r>
        <w:rPr>
          <w:spacing w:val="-5"/>
        </w:rPr>
        <w:t xml:space="preserve"> </w:t>
      </w:r>
      <w:r>
        <w:t>with</w:t>
      </w:r>
      <w:r>
        <w:rPr>
          <w:spacing w:val="-4"/>
        </w:rPr>
        <w:t xml:space="preserve"> </w:t>
      </w:r>
      <w:r>
        <w:t>the</w:t>
      </w:r>
      <w:r>
        <w:rPr>
          <w:spacing w:val="-5"/>
        </w:rPr>
        <w:t xml:space="preserve"> </w:t>
      </w:r>
      <w:r>
        <w:t>notification</w:t>
      </w:r>
      <w:r>
        <w:rPr>
          <w:spacing w:val="-4"/>
        </w:rPr>
        <w:t xml:space="preserve"> </w:t>
      </w:r>
      <w:r>
        <w:t>requirement</w:t>
      </w:r>
      <w:r>
        <w:rPr>
          <w:spacing w:val="-2"/>
        </w:rPr>
        <w:t xml:space="preserve"> </w:t>
      </w:r>
      <w:r>
        <w:t>being</w:t>
      </w:r>
      <w:r>
        <w:rPr>
          <w:spacing w:val="-3"/>
        </w:rPr>
        <w:t xml:space="preserve"> </w:t>
      </w:r>
      <w:r>
        <w:t>transferred to the acquiring issuer, but is not expected to result in new burden.</w:t>
      </w:r>
    </w:p>
    <w:p>
      <w:pPr>
        <w:spacing w:after="0" w:line="242" w:lineRule="auto"/>
        <w:sectPr>
          <w:pgSz w:w="12240" w:h="15840"/>
          <w:pgMar w:top="1020" w:right="780" w:bottom="960" w:left="780" w:header="0" w:footer="772"/>
          <w:cols w:space="720"/>
        </w:sectPr>
      </w:pPr>
    </w:p>
    <w:p>
      <w:pPr>
        <w:pStyle w:val="BodyText"/>
        <w:spacing w:before="62" w:line="242" w:lineRule="auto"/>
        <w:ind w:left="1190" w:right="948"/>
      </w:pPr>
      <w:r>
        <w:rPr>
          <w:u w:val="single"/>
        </w:rPr>
        <w:t xml:space="preserve">Table 12.6 Total Estimated Annualized Burden to Provide Required Notices by </w:t>
      </w:r>
      <w:r>
        <w:rPr>
          <w:u w:val="none"/>
        </w:rPr>
        <w:t xml:space="preserve"> </w:t>
      </w:r>
      <w:r>
        <w:rPr>
          <w:u w:val="single"/>
        </w:rPr>
        <w:t>Individual</w:t>
      </w:r>
      <w:r>
        <w:rPr>
          <w:spacing w:val="-6"/>
          <w:u w:val="single"/>
        </w:rPr>
        <w:t xml:space="preserve"> </w:t>
      </w:r>
      <w:r>
        <w:rPr>
          <w:u w:val="single"/>
        </w:rPr>
        <w:t>Market</w:t>
      </w:r>
      <w:r>
        <w:rPr>
          <w:spacing w:val="-6"/>
          <w:u w:val="single"/>
        </w:rPr>
        <w:t xml:space="preserve"> </w:t>
      </w:r>
      <w:r>
        <w:rPr>
          <w:u w:val="single"/>
        </w:rPr>
        <w:t>Issuers</w:t>
      </w:r>
      <w:r>
        <w:rPr>
          <w:spacing w:val="-4"/>
          <w:u w:val="single"/>
        </w:rPr>
        <w:t xml:space="preserve"> </w:t>
      </w:r>
      <w:r>
        <w:rPr>
          <w:u w:val="single"/>
        </w:rPr>
        <w:t>Outside</w:t>
      </w:r>
      <w:r>
        <w:rPr>
          <w:spacing w:val="-4"/>
          <w:u w:val="single"/>
        </w:rPr>
        <w:t xml:space="preserve"> </w:t>
      </w:r>
      <w:r>
        <w:rPr>
          <w:u w:val="single"/>
        </w:rPr>
        <w:t>the</w:t>
      </w:r>
      <w:r>
        <w:rPr>
          <w:spacing w:val="-4"/>
          <w:u w:val="single"/>
        </w:rPr>
        <w:t xml:space="preserve"> </w:t>
      </w:r>
      <w:r>
        <w:rPr>
          <w:u w:val="single"/>
        </w:rPr>
        <w:t>Exchange, Individual</w:t>
      </w:r>
      <w:r>
        <w:rPr>
          <w:spacing w:val="-7"/>
          <w:u w:val="single"/>
        </w:rPr>
        <w:t xml:space="preserve"> </w:t>
      </w:r>
      <w:r>
        <w:rPr>
          <w:u w:val="single"/>
        </w:rPr>
        <w:t>Market</w:t>
      </w:r>
      <w:r>
        <w:rPr>
          <w:spacing w:val="-5"/>
          <w:u w:val="single"/>
        </w:rPr>
        <w:t xml:space="preserve"> </w:t>
      </w:r>
      <w:r>
        <w:rPr>
          <w:u w:val="single"/>
        </w:rPr>
        <w:t>QHP</w:t>
      </w:r>
      <w:r>
        <w:rPr>
          <w:spacing w:val="-2"/>
          <w:u w:val="single"/>
        </w:rPr>
        <w:t xml:space="preserve"> </w:t>
      </w:r>
      <w:r>
        <w:rPr>
          <w:u w:val="single"/>
        </w:rPr>
        <w:t>Issuers,</w:t>
      </w:r>
      <w:r>
        <w:rPr>
          <w:spacing w:val="-1"/>
          <w:u w:val="single"/>
        </w:rPr>
        <w:t xml:space="preserve"> </w:t>
      </w:r>
      <w:r>
        <w:rPr>
          <w:u w:val="single"/>
        </w:rPr>
        <w:t>and</w:t>
      </w:r>
      <w:r>
        <w:rPr>
          <w:u w:val="none"/>
        </w:rPr>
        <w:t xml:space="preserve"> </w:t>
      </w:r>
      <w:r>
        <w:rPr>
          <w:u w:val="single"/>
        </w:rPr>
        <w:t>Small Group Market Issuers.</w:t>
      </w:r>
      <w:r>
        <w:rPr>
          <w:spacing w:val="40"/>
          <w:u w:val="single"/>
        </w:rPr>
        <w:t xml:space="preserve"> </w:t>
      </w:r>
    </w:p>
    <w:p>
      <w:pPr>
        <w:pStyle w:val="BodyText"/>
        <w:spacing w:before="55"/>
        <w:rPr>
          <w:sz w:val="20"/>
        </w:rPr>
      </w:pPr>
    </w:p>
    <w:tbl>
      <w:tblPr>
        <w:tblStyle w:val="TableNormal"/>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4"/>
        <w:gridCol w:w="1441"/>
        <w:gridCol w:w="1349"/>
        <w:gridCol w:w="904"/>
        <w:gridCol w:w="989"/>
        <w:gridCol w:w="990"/>
        <w:gridCol w:w="1265"/>
        <w:gridCol w:w="1442"/>
      </w:tblGrid>
      <w:tr>
        <w:tblPrEx>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29"/>
          <w:jc w:val="left"/>
        </w:trPr>
        <w:tc>
          <w:tcPr>
            <w:tcW w:w="1434" w:type="dxa"/>
          </w:tcPr>
          <w:p>
            <w:pPr>
              <w:pStyle w:val="TableParagraph"/>
              <w:rPr>
                <w:sz w:val="19"/>
              </w:rPr>
            </w:pPr>
          </w:p>
          <w:p>
            <w:pPr>
              <w:pStyle w:val="TableParagraph"/>
              <w:rPr>
                <w:sz w:val="19"/>
              </w:rPr>
            </w:pPr>
          </w:p>
          <w:p>
            <w:pPr>
              <w:pStyle w:val="TableParagraph"/>
              <w:spacing w:before="6"/>
              <w:rPr>
                <w:sz w:val="19"/>
              </w:rPr>
            </w:pPr>
          </w:p>
          <w:p>
            <w:pPr>
              <w:pStyle w:val="TableParagraph"/>
              <w:ind w:left="51" w:right="55"/>
              <w:jc w:val="center"/>
              <w:rPr>
                <w:b/>
                <w:sz w:val="19"/>
              </w:rPr>
            </w:pPr>
            <w:r>
              <w:rPr>
                <w:b/>
                <w:spacing w:val="-2"/>
                <w:w w:val="105"/>
                <w:sz w:val="19"/>
              </w:rPr>
              <w:t>Respondent</w:t>
            </w:r>
          </w:p>
        </w:tc>
        <w:tc>
          <w:tcPr>
            <w:tcW w:w="1441" w:type="dxa"/>
          </w:tcPr>
          <w:p>
            <w:pPr>
              <w:pStyle w:val="TableParagraph"/>
              <w:rPr>
                <w:sz w:val="19"/>
              </w:rPr>
            </w:pPr>
          </w:p>
          <w:p>
            <w:pPr>
              <w:pStyle w:val="TableParagraph"/>
              <w:rPr>
                <w:sz w:val="19"/>
              </w:rPr>
            </w:pPr>
          </w:p>
          <w:p>
            <w:pPr>
              <w:pStyle w:val="TableParagraph"/>
              <w:spacing w:before="6"/>
              <w:rPr>
                <w:sz w:val="19"/>
              </w:rPr>
            </w:pPr>
          </w:p>
          <w:p>
            <w:pPr>
              <w:pStyle w:val="TableParagraph"/>
              <w:ind w:right="153"/>
              <w:jc w:val="right"/>
              <w:rPr>
                <w:b/>
                <w:sz w:val="19"/>
              </w:rPr>
            </w:pPr>
            <w:r>
              <w:rPr>
                <w:b/>
                <w:w w:val="105"/>
                <w:sz w:val="19"/>
              </w:rPr>
              <w:t>Type</w:t>
            </w:r>
            <w:r>
              <w:rPr>
                <w:b/>
                <w:spacing w:val="-6"/>
                <w:w w:val="105"/>
                <w:sz w:val="19"/>
              </w:rPr>
              <w:t xml:space="preserve"> </w:t>
            </w:r>
            <w:r>
              <w:rPr>
                <w:b/>
                <w:w w:val="105"/>
                <w:sz w:val="19"/>
              </w:rPr>
              <w:t>of</w:t>
            </w:r>
            <w:r>
              <w:rPr>
                <w:b/>
                <w:spacing w:val="-3"/>
                <w:w w:val="105"/>
                <w:sz w:val="19"/>
              </w:rPr>
              <w:t xml:space="preserve"> </w:t>
            </w:r>
            <w:r>
              <w:rPr>
                <w:b/>
                <w:spacing w:val="-2"/>
                <w:w w:val="105"/>
                <w:sz w:val="19"/>
              </w:rPr>
              <w:t>Notice</w:t>
            </w:r>
          </w:p>
        </w:tc>
        <w:tc>
          <w:tcPr>
            <w:tcW w:w="1349" w:type="dxa"/>
          </w:tcPr>
          <w:p>
            <w:pPr>
              <w:pStyle w:val="TableParagraph"/>
              <w:rPr>
                <w:sz w:val="19"/>
              </w:rPr>
            </w:pPr>
          </w:p>
          <w:p>
            <w:pPr>
              <w:pStyle w:val="TableParagraph"/>
              <w:spacing w:before="111"/>
              <w:rPr>
                <w:sz w:val="19"/>
              </w:rPr>
            </w:pPr>
          </w:p>
          <w:p>
            <w:pPr>
              <w:pStyle w:val="TableParagraph"/>
              <w:spacing w:line="256" w:lineRule="auto"/>
              <w:ind w:left="72" w:firstLine="84"/>
              <w:rPr>
                <w:b/>
                <w:sz w:val="19"/>
              </w:rPr>
            </w:pPr>
            <w:r>
              <w:rPr>
                <w:b/>
                <w:w w:val="105"/>
                <w:sz w:val="19"/>
              </w:rPr>
              <w:t xml:space="preserve">Number of </w:t>
            </w:r>
            <w:r>
              <w:rPr>
                <w:b/>
                <w:spacing w:val="-2"/>
                <w:sz w:val="19"/>
              </w:rPr>
              <w:t>Respondents</w:t>
            </w:r>
          </w:p>
        </w:tc>
        <w:tc>
          <w:tcPr>
            <w:tcW w:w="904" w:type="dxa"/>
          </w:tcPr>
          <w:p>
            <w:pPr>
              <w:pStyle w:val="TableParagraph"/>
              <w:spacing w:before="82" w:line="254" w:lineRule="auto"/>
              <w:ind w:left="1" w:right="152" w:firstLine="13"/>
              <w:jc w:val="center"/>
              <w:rPr>
                <w:b/>
                <w:sz w:val="19"/>
              </w:rPr>
            </w:pPr>
            <w:r>
              <w:rPr>
                <w:b/>
                <w:spacing w:val="-2"/>
                <w:w w:val="105"/>
                <w:sz w:val="19"/>
              </w:rPr>
              <w:t xml:space="preserve">Number </w:t>
            </w:r>
            <w:r>
              <w:rPr>
                <w:b/>
                <w:spacing w:val="-6"/>
                <w:w w:val="105"/>
                <w:sz w:val="19"/>
              </w:rPr>
              <w:t xml:space="preserve">of </w:t>
            </w:r>
            <w:r>
              <w:rPr>
                <w:b/>
                <w:spacing w:val="-2"/>
                <w:w w:val="105"/>
                <w:sz w:val="19"/>
              </w:rPr>
              <w:t xml:space="preserve">Notices </w:t>
            </w:r>
            <w:r>
              <w:rPr>
                <w:b/>
                <w:spacing w:val="-4"/>
                <w:w w:val="105"/>
                <w:sz w:val="19"/>
              </w:rPr>
              <w:t xml:space="preserve">per </w:t>
            </w:r>
            <w:r>
              <w:rPr>
                <w:b/>
                <w:spacing w:val="-2"/>
                <w:sz w:val="19"/>
              </w:rPr>
              <w:t xml:space="preserve">Respond </w:t>
            </w:r>
            <w:r>
              <w:rPr>
                <w:b/>
                <w:spacing w:val="-4"/>
                <w:w w:val="105"/>
                <w:sz w:val="19"/>
              </w:rPr>
              <w:t>ent</w:t>
            </w:r>
          </w:p>
        </w:tc>
        <w:tc>
          <w:tcPr>
            <w:tcW w:w="989" w:type="dxa"/>
          </w:tcPr>
          <w:p>
            <w:pPr>
              <w:pStyle w:val="TableParagraph"/>
              <w:spacing w:before="97"/>
              <w:rPr>
                <w:sz w:val="19"/>
              </w:rPr>
            </w:pPr>
          </w:p>
          <w:p>
            <w:pPr>
              <w:pStyle w:val="TableParagraph"/>
              <w:spacing w:line="256" w:lineRule="auto"/>
              <w:ind w:left="86" w:right="232" w:hanging="5"/>
              <w:jc w:val="center"/>
              <w:rPr>
                <w:b/>
                <w:sz w:val="19"/>
              </w:rPr>
            </w:pPr>
            <w:r>
              <w:rPr>
                <w:b/>
                <w:spacing w:val="-2"/>
                <w:w w:val="105"/>
                <w:sz w:val="19"/>
              </w:rPr>
              <w:t xml:space="preserve">Burden </w:t>
            </w:r>
            <w:r>
              <w:rPr>
                <w:b/>
                <w:spacing w:val="-4"/>
                <w:w w:val="105"/>
                <w:sz w:val="19"/>
              </w:rPr>
              <w:t xml:space="preserve">per </w:t>
            </w:r>
            <w:r>
              <w:rPr>
                <w:b/>
                <w:spacing w:val="-2"/>
                <w:w w:val="105"/>
                <w:sz w:val="19"/>
              </w:rPr>
              <w:t xml:space="preserve">Notice </w:t>
            </w:r>
            <w:r>
              <w:rPr>
                <w:b/>
                <w:spacing w:val="-2"/>
                <w:sz w:val="19"/>
              </w:rPr>
              <w:t>(Hours)</w:t>
            </w:r>
          </w:p>
        </w:tc>
        <w:tc>
          <w:tcPr>
            <w:tcW w:w="990" w:type="dxa"/>
          </w:tcPr>
          <w:p>
            <w:pPr>
              <w:pStyle w:val="TableParagraph"/>
              <w:spacing w:before="217"/>
              <w:rPr>
                <w:sz w:val="19"/>
              </w:rPr>
            </w:pPr>
          </w:p>
          <w:p>
            <w:pPr>
              <w:pStyle w:val="TableParagraph"/>
              <w:spacing w:line="252" w:lineRule="auto"/>
              <w:ind w:left="51" w:right="204" w:hanging="7"/>
              <w:jc w:val="center"/>
              <w:rPr>
                <w:b/>
                <w:sz w:val="19"/>
              </w:rPr>
            </w:pPr>
            <w:r>
              <w:rPr>
                <w:b/>
                <w:spacing w:val="-2"/>
                <w:w w:val="105"/>
                <w:sz w:val="19"/>
              </w:rPr>
              <w:t xml:space="preserve">Labor </w:t>
            </w:r>
            <w:r>
              <w:rPr>
                <w:b/>
                <w:w w:val="105"/>
                <w:sz w:val="19"/>
              </w:rPr>
              <w:t>Cost</w:t>
            </w:r>
            <w:r>
              <w:rPr>
                <w:b/>
                <w:spacing w:val="-13"/>
                <w:w w:val="105"/>
                <w:sz w:val="19"/>
              </w:rPr>
              <w:t xml:space="preserve"> </w:t>
            </w:r>
            <w:r>
              <w:rPr>
                <w:b/>
                <w:w w:val="105"/>
                <w:sz w:val="19"/>
              </w:rPr>
              <w:t xml:space="preserve">per </w:t>
            </w:r>
            <w:r>
              <w:rPr>
                <w:b/>
                <w:spacing w:val="-2"/>
                <w:w w:val="105"/>
                <w:sz w:val="19"/>
              </w:rPr>
              <w:t>Notice</w:t>
            </w:r>
          </w:p>
        </w:tc>
        <w:tc>
          <w:tcPr>
            <w:tcW w:w="1265" w:type="dxa"/>
          </w:tcPr>
          <w:p>
            <w:pPr>
              <w:pStyle w:val="TableParagraph"/>
              <w:spacing w:before="202" w:line="254" w:lineRule="auto"/>
              <w:ind w:left="14" w:right="160" w:hanging="7"/>
              <w:jc w:val="center"/>
              <w:rPr>
                <w:b/>
                <w:sz w:val="19"/>
              </w:rPr>
            </w:pPr>
            <w:r>
              <w:rPr>
                <w:b/>
                <w:spacing w:val="-2"/>
                <w:w w:val="105"/>
                <w:sz w:val="19"/>
              </w:rPr>
              <w:t xml:space="preserve">Total </w:t>
            </w:r>
            <w:r>
              <w:rPr>
                <w:b/>
                <w:w w:val="105"/>
                <w:sz w:val="19"/>
              </w:rPr>
              <w:t xml:space="preserve">Burden for </w:t>
            </w:r>
            <w:r>
              <w:rPr>
                <w:b/>
                <w:spacing w:val="-4"/>
                <w:w w:val="105"/>
                <w:sz w:val="19"/>
              </w:rPr>
              <w:t xml:space="preserve">all </w:t>
            </w:r>
            <w:r>
              <w:rPr>
                <w:b/>
                <w:spacing w:val="-2"/>
                <w:sz w:val="19"/>
              </w:rPr>
              <w:t xml:space="preserve">Respondents </w:t>
            </w:r>
            <w:r>
              <w:rPr>
                <w:b/>
                <w:spacing w:val="-2"/>
                <w:w w:val="105"/>
                <w:sz w:val="19"/>
              </w:rPr>
              <w:t>(Hours)</w:t>
            </w:r>
          </w:p>
        </w:tc>
        <w:tc>
          <w:tcPr>
            <w:tcW w:w="1442" w:type="dxa"/>
          </w:tcPr>
          <w:p>
            <w:pPr>
              <w:pStyle w:val="TableParagraph"/>
              <w:spacing w:before="217"/>
              <w:rPr>
                <w:sz w:val="19"/>
              </w:rPr>
            </w:pPr>
          </w:p>
          <w:p>
            <w:pPr>
              <w:pStyle w:val="TableParagraph"/>
              <w:spacing w:line="252" w:lineRule="auto"/>
              <w:ind w:left="21" w:right="186"/>
              <w:jc w:val="center"/>
              <w:rPr>
                <w:b/>
                <w:sz w:val="19"/>
              </w:rPr>
            </w:pPr>
            <w:r>
              <w:rPr>
                <w:b/>
                <w:w w:val="105"/>
                <w:sz w:val="19"/>
              </w:rPr>
              <w:t>Total</w:t>
            </w:r>
            <w:r>
              <w:rPr>
                <w:b/>
                <w:spacing w:val="-13"/>
                <w:w w:val="105"/>
                <w:sz w:val="19"/>
              </w:rPr>
              <w:t xml:space="preserve"> </w:t>
            </w:r>
            <w:r>
              <w:rPr>
                <w:b/>
                <w:w w:val="105"/>
                <w:sz w:val="19"/>
              </w:rPr>
              <w:t>Cost</w:t>
            </w:r>
            <w:r>
              <w:rPr>
                <w:b/>
                <w:spacing w:val="-12"/>
                <w:w w:val="105"/>
                <w:sz w:val="19"/>
              </w:rPr>
              <w:t xml:space="preserve"> </w:t>
            </w:r>
            <w:r>
              <w:rPr>
                <w:b/>
                <w:w w:val="105"/>
                <w:sz w:val="19"/>
              </w:rPr>
              <w:t xml:space="preserve">for </w:t>
            </w:r>
            <w:r>
              <w:rPr>
                <w:b/>
                <w:spacing w:val="-4"/>
                <w:w w:val="105"/>
                <w:sz w:val="19"/>
              </w:rPr>
              <w:t xml:space="preserve">all </w:t>
            </w:r>
            <w:r>
              <w:rPr>
                <w:b/>
                <w:spacing w:val="-2"/>
                <w:w w:val="105"/>
                <w:sz w:val="19"/>
              </w:rPr>
              <w:t>Respondents</w:t>
            </w:r>
          </w:p>
        </w:tc>
      </w:tr>
      <w:tr>
        <w:tblPrEx>
          <w:tblW w:w="0" w:type="auto"/>
          <w:jc w:val="left"/>
          <w:tblInd w:w="253" w:type="dxa"/>
          <w:tblLayout w:type="fixed"/>
          <w:tblCellMar>
            <w:top w:w="0" w:type="dxa"/>
            <w:left w:w="0" w:type="dxa"/>
            <w:bottom w:w="0" w:type="dxa"/>
            <w:right w:w="0" w:type="dxa"/>
          </w:tblCellMar>
          <w:tblLook w:val="01E0"/>
        </w:tblPrEx>
        <w:trPr>
          <w:trHeight w:val="1254"/>
          <w:jc w:val="left"/>
        </w:trPr>
        <w:tc>
          <w:tcPr>
            <w:tcW w:w="1434" w:type="dxa"/>
          </w:tcPr>
          <w:p>
            <w:pPr>
              <w:pStyle w:val="TableParagraph"/>
              <w:spacing w:before="61" w:line="254" w:lineRule="auto"/>
              <w:ind w:left="136" w:right="372" w:hanging="10"/>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rPr>
                <w:sz w:val="18"/>
              </w:rPr>
            </w:pPr>
          </w:p>
          <w:p>
            <w:pPr>
              <w:pStyle w:val="TableParagraph"/>
              <w:spacing w:before="115"/>
              <w:rPr>
                <w:sz w:val="18"/>
              </w:rPr>
            </w:pPr>
          </w:p>
          <w:p>
            <w:pPr>
              <w:pStyle w:val="TableParagraph"/>
              <w:spacing w:before="1"/>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rPr>
                <w:sz w:val="19"/>
              </w:rPr>
            </w:pPr>
          </w:p>
          <w:p>
            <w:pPr>
              <w:pStyle w:val="TableParagraph"/>
              <w:spacing w:before="90"/>
              <w:rPr>
                <w:sz w:val="19"/>
              </w:rPr>
            </w:pPr>
          </w:p>
          <w:p>
            <w:pPr>
              <w:pStyle w:val="TableParagraph"/>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90"/>
              <w:rPr>
                <w:sz w:val="19"/>
              </w:rPr>
            </w:pPr>
          </w:p>
          <w:p>
            <w:pPr>
              <w:pStyle w:val="TableParagraph"/>
              <w:ind w:left="348"/>
              <w:rPr>
                <w:sz w:val="19"/>
              </w:rPr>
            </w:pPr>
            <w:r>
              <w:rPr>
                <w:spacing w:val="-10"/>
                <w:w w:val="105"/>
                <w:sz w:val="19"/>
              </w:rPr>
              <w:t>1</w:t>
            </w:r>
          </w:p>
        </w:tc>
        <w:tc>
          <w:tcPr>
            <w:tcW w:w="989" w:type="dxa"/>
          </w:tcPr>
          <w:p>
            <w:pPr>
              <w:pStyle w:val="TableParagraph"/>
              <w:rPr>
                <w:sz w:val="19"/>
              </w:rPr>
            </w:pPr>
          </w:p>
          <w:p>
            <w:pPr>
              <w:pStyle w:val="TableParagraph"/>
              <w:spacing w:before="90"/>
              <w:rPr>
                <w:sz w:val="19"/>
              </w:rPr>
            </w:pPr>
          </w:p>
          <w:p>
            <w:pPr>
              <w:pStyle w:val="TableParagraph"/>
              <w:ind w:left="340"/>
              <w:rPr>
                <w:sz w:val="19"/>
              </w:rPr>
            </w:pPr>
            <w:r>
              <w:rPr>
                <w:spacing w:val="-5"/>
                <w:w w:val="105"/>
                <w:sz w:val="19"/>
              </w:rPr>
              <w:t>20</w:t>
            </w:r>
          </w:p>
        </w:tc>
        <w:tc>
          <w:tcPr>
            <w:tcW w:w="990" w:type="dxa"/>
          </w:tcPr>
          <w:p>
            <w:pPr>
              <w:pStyle w:val="TableParagraph"/>
              <w:rPr>
                <w:sz w:val="19"/>
              </w:rPr>
            </w:pPr>
          </w:p>
          <w:p>
            <w:pPr>
              <w:pStyle w:val="TableParagraph"/>
              <w:spacing w:before="90"/>
              <w:rPr>
                <w:sz w:val="19"/>
              </w:rPr>
            </w:pPr>
          </w:p>
          <w:p>
            <w:pPr>
              <w:pStyle w:val="TableParagraph"/>
              <w:ind w:left="7" w:right="7"/>
              <w:jc w:val="center"/>
              <w:rPr>
                <w:sz w:val="19"/>
              </w:rPr>
            </w:pPr>
            <w:r>
              <w:rPr>
                <w:spacing w:val="-2"/>
                <w:w w:val="105"/>
                <w:sz w:val="19"/>
              </w:rPr>
              <w:t>$1,759.20</w:t>
            </w:r>
          </w:p>
        </w:tc>
        <w:tc>
          <w:tcPr>
            <w:tcW w:w="1265" w:type="dxa"/>
          </w:tcPr>
          <w:p>
            <w:pPr>
              <w:pStyle w:val="TableParagraph"/>
              <w:rPr>
                <w:sz w:val="19"/>
              </w:rPr>
            </w:pPr>
          </w:p>
          <w:p>
            <w:pPr>
              <w:pStyle w:val="TableParagraph"/>
              <w:spacing w:before="90"/>
              <w:rPr>
                <w:sz w:val="19"/>
              </w:rPr>
            </w:pPr>
          </w:p>
          <w:p>
            <w:pPr>
              <w:pStyle w:val="TableParagraph"/>
              <w:ind w:right="16"/>
              <w:jc w:val="center"/>
              <w:rPr>
                <w:sz w:val="19"/>
              </w:rPr>
            </w:pPr>
            <w:r>
              <w:rPr>
                <w:spacing w:val="-2"/>
                <w:w w:val="105"/>
                <w:sz w:val="19"/>
              </w:rPr>
              <w:t>21,740</w:t>
            </w:r>
          </w:p>
        </w:tc>
        <w:tc>
          <w:tcPr>
            <w:tcW w:w="1442" w:type="dxa"/>
          </w:tcPr>
          <w:p>
            <w:pPr>
              <w:pStyle w:val="TableParagraph"/>
              <w:rPr>
                <w:sz w:val="19"/>
              </w:rPr>
            </w:pPr>
          </w:p>
          <w:p>
            <w:pPr>
              <w:pStyle w:val="TableParagraph"/>
              <w:spacing w:before="90"/>
              <w:rPr>
                <w:sz w:val="19"/>
              </w:rPr>
            </w:pPr>
          </w:p>
          <w:p>
            <w:pPr>
              <w:pStyle w:val="TableParagraph"/>
              <w:ind w:left="21" w:right="26"/>
              <w:jc w:val="center"/>
              <w:rPr>
                <w:sz w:val="19"/>
              </w:rPr>
            </w:pPr>
            <w:r>
              <w:rPr>
                <w:spacing w:val="-2"/>
                <w:w w:val="105"/>
                <w:sz w:val="19"/>
              </w:rPr>
              <w:t>$1,912,250.40</w:t>
            </w:r>
          </w:p>
        </w:tc>
      </w:tr>
      <w:tr>
        <w:tblPrEx>
          <w:tblW w:w="0" w:type="auto"/>
          <w:jc w:val="left"/>
          <w:tblInd w:w="253" w:type="dxa"/>
          <w:tblLayout w:type="fixed"/>
          <w:tblCellMar>
            <w:top w:w="0" w:type="dxa"/>
            <w:left w:w="0" w:type="dxa"/>
            <w:bottom w:w="0" w:type="dxa"/>
            <w:right w:w="0" w:type="dxa"/>
          </w:tblCellMar>
          <w:tblLook w:val="01E0"/>
        </w:tblPrEx>
        <w:trPr>
          <w:trHeight w:val="1077"/>
          <w:jc w:val="left"/>
        </w:trPr>
        <w:tc>
          <w:tcPr>
            <w:tcW w:w="1434" w:type="dxa"/>
          </w:tcPr>
          <w:p>
            <w:pPr>
              <w:pStyle w:val="TableParagraph"/>
              <w:spacing w:before="89" w:line="254" w:lineRule="auto"/>
              <w:ind w:left="51" w:right="467"/>
              <w:jc w:val="center"/>
              <w:rPr>
                <w:sz w:val="19"/>
              </w:rPr>
            </w:pPr>
            <w:r>
              <w:rPr>
                <w:w w:val="105"/>
                <w:sz w:val="19"/>
              </w:rPr>
              <w:t>Issuer</w:t>
            </w:r>
            <w:r>
              <w:rPr>
                <w:spacing w:val="-13"/>
                <w:w w:val="105"/>
                <w:sz w:val="19"/>
              </w:rPr>
              <w:t xml:space="preserve"> </w:t>
            </w:r>
            <w:r>
              <w:rPr>
                <w:w w:val="105"/>
                <w:sz w:val="19"/>
              </w:rPr>
              <w:t xml:space="preserve">in </w:t>
            </w:r>
            <w:r>
              <w:rPr>
                <w:spacing w:val="-2"/>
                <w:w w:val="105"/>
                <w:sz w:val="19"/>
              </w:rPr>
              <w:t xml:space="preserve">Small </w:t>
            </w:r>
            <w:r>
              <w:rPr>
                <w:spacing w:val="-4"/>
                <w:w w:val="105"/>
                <w:sz w:val="19"/>
              </w:rPr>
              <w:t xml:space="preserve">Group </w:t>
            </w:r>
            <w:r>
              <w:rPr>
                <w:spacing w:val="-2"/>
                <w:w w:val="105"/>
                <w:sz w:val="19"/>
              </w:rPr>
              <w:t>Market</w:t>
            </w:r>
          </w:p>
        </w:tc>
        <w:tc>
          <w:tcPr>
            <w:tcW w:w="1441" w:type="dxa"/>
          </w:tcPr>
          <w:p>
            <w:pPr>
              <w:pStyle w:val="TableParagraph"/>
              <w:rPr>
                <w:sz w:val="18"/>
              </w:rPr>
            </w:pPr>
          </w:p>
          <w:p>
            <w:pPr>
              <w:pStyle w:val="TableParagraph"/>
              <w:spacing w:before="23"/>
              <w:rPr>
                <w:sz w:val="18"/>
              </w:rPr>
            </w:pPr>
          </w:p>
          <w:p>
            <w:pPr>
              <w:pStyle w:val="TableParagraph"/>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spacing w:before="216"/>
              <w:rPr>
                <w:sz w:val="19"/>
              </w:rPr>
            </w:pPr>
          </w:p>
          <w:p>
            <w:pPr>
              <w:pStyle w:val="TableParagraph"/>
              <w:ind w:right="6"/>
              <w:jc w:val="center"/>
              <w:rPr>
                <w:sz w:val="19"/>
              </w:rPr>
            </w:pPr>
            <w:r>
              <w:rPr>
                <w:spacing w:val="-5"/>
                <w:w w:val="105"/>
                <w:sz w:val="19"/>
              </w:rPr>
              <w:t>552</w:t>
            </w:r>
          </w:p>
        </w:tc>
        <w:tc>
          <w:tcPr>
            <w:tcW w:w="904" w:type="dxa"/>
          </w:tcPr>
          <w:p>
            <w:pPr>
              <w:pStyle w:val="TableParagraph"/>
              <w:spacing w:before="216"/>
              <w:rPr>
                <w:sz w:val="19"/>
              </w:rPr>
            </w:pPr>
          </w:p>
          <w:p>
            <w:pPr>
              <w:pStyle w:val="TableParagraph"/>
              <w:ind w:left="348"/>
              <w:rPr>
                <w:sz w:val="19"/>
              </w:rPr>
            </w:pPr>
            <w:r>
              <w:rPr>
                <w:spacing w:val="-10"/>
                <w:w w:val="105"/>
                <w:sz w:val="19"/>
              </w:rPr>
              <w:t>1</w:t>
            </w:r>
          </w:p>
        </w:tc>
        <w:tc>
          <w:tcPr>
            <w:tcW w:w="989" w:type="dxa"/>
          </w:tcPr>
          <w:p>
            <w:pPr>
              <w:pStyle w:val="TableParagraph"/>
              <w:spacing w:before="216"/>
              <w:rPr>
                <w:sz w:val="19"/>
              </w:rPr>
            </w:pPr>
          </w:p>
          <w:p>
            <w:pPr>
              <w:pStyle w:val="TableParagraph"/>
              <w:ind w:left="340"/>
              <w:rPr>
                <w:sz w:val="19"/>
              </w:rPr>
            </w:pPr>
            <w:r>
              <w:rPr>
                <w:spacing w:val="-5"/>
                <w:w w:val="105"/>
                <w:sz w:val="19"/>
              </w:rPr>
              <w:t>20</w:t>
            </w:r>
          </w:p>
        </w:tc>
        <w:tc>
          <w:tcPr>
            <w:tcW w:w="990" w:type="dxa"/>
          </w:tcPr>
          <w:p>
            <w:pPr>
              <w:pStyle w:val="TableParagraph"/>
              <w:spacing w:before="216"/>
              <w:rPr>
                <w:sz w:val="19"/>
              </w:rPr>
            </w:pPr>
          </w:p>
          <w:p>
            <w:pPr>
              <w:pStyle w:val="TableParagraph"/>
              <w:ind w:left="7" w:right="7"/>
              <w:jc w:val="center"/>
              <w:rPr>
                <w:sz w:val="19"/>
              </w:rPr>
            </w:pPr>
            <w:r>
              <w:rPr>
                <w:spacing w:val="-2"/>
                <w:w w:val="105"/>
                <w:sz w:val="19"/>
              </w:rPr>
              <w:t>$1,759.20</w:t>
            </w:r>
          </w:p>
        </w:tc>
        <w:tc>
          <w:tcPr>
            <w:tcW w:w="1265" w:type="dxa"/>
          </w:tcPr>
          <w:p>
            <w:pPr>
              <w:pStyle w:val="TableParagraph"/>
              <w:spacing w:before="216"/>
              <w:rPr>
                <w:sz w:val="19"/>
              </w:rPr>
            </w:pPr>
          </w:p>
          <w:p>
            <w:pPr>
              <w:pStyle w:val="TableParagraph"/>
              <w:ind w:right="16"/>
              <w:jc w:val="center"/>
              <w:rPr>
                <w:sz w:val="19"/>
              </w:rPr>
            </w:pPr>
            <w:r>
              <w:rPr>
                <w:spacing w:val="-2"/>
                <w:w w:val="105"/>
                <w:sz w:val="19"/>
              </w:rPr>
              <w:t>11,040</w:t>
            </w:r>
          </w:p>
        </w:tc>
        <w:tc>
          <w:tcPr>
            <w:tcW w:w="1442" w:type="dxa"/>
          </w:tcPr>
          <w:p>
            <w:pPr>
              <w:pStyle w:val="TableParagraph"/>
              <w:spacing w:before="216"/>
              <w:rPr>
                <w:sz w:val="19"/>
              </w:rPr>
            </w:pPr>
          </w:p>
          <w:p>
            <w:pPr>
              <w:pStyle w:val="TableParagraph"/>
              <w:ind w:right="12"/>
              <w:jc w:val="center"/>
              <w:rPr>
                <w:sz w:val="19"/>
              </w:rPr>
            </w:pPr>
            <w:r>
              <w:rPr>
                <w:spacing w:val="-2"/>
                <w:w w:val="105"/>
                <w:sz w:val="19"/>
              </w:rPr>
              <w:t>$971,078.40</w:t>
            </w:r>
          </w:p>
        </w:tc>
      </w:tr>
      <w:tr>
        <w:tblPrEx>
          <w:tblW w:w="0" w:type="auto"/>
          <w:jc w:val="left"/>
          <w:tblInd w:w="253" w:type="dxa"/>
          <w:tblLayout w:type="fixed"/>
          <w:tblCellMar>
            <w:top w:w="0" w:type="dxa"/>
            <w:left w:w="0" w:type="dxa"/>
            <w:bottom w:w="0" w:type="dxa"/>
            <w:right w:w="0" w:type="dxa"/>
          </w:tblCellMar>
          <w:tblLook w:val="01E0"/>
        </w:tblPrEx>
        <w:trPr>
          <w:trHeight w:val="900"/>
          <w:jc w:val="left"/>
        </w:trPr>
        <w:tc>
          <w:tcPr>
            <w:tcW w:w="1434" w:type="dxa"/>
          </w:tcPr>
          <w:p>
            <w:pPr>
              <w:pStyle w:val="TableParagraph"/>
              <w:spacing w:before="117" w:line="252" w:lineRule="auto"/>
              <w:ind w:left="199" w:right="202" w:firstLine="9"/>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Issuers</w:t>
            </w:r>
          </w:p>
        </w:tc>
        <w:tc>
          <w:tcPr>
            <w:tcW w:w="1441" w:type="dxa"/>
          </w:tcPr>
          <w:p>
            <w:pPr>
              <w:pStyle w:val="TableParagraph"/>
              <w:spacing w:before="138"/>
              <w:rPr>
                <w:sz w:val="18"/>
              </w:rPr>
            </w:pPr>
          </w:p>
          <w:p>
            <w:pPr>
              <w:pStyle w:val="TableParagraph"/>
              <w:spacing w:before="1"/>
              <w:ind w:right="113"/>
              <w:jc w:val="right"/>
              <w:rPr>
                <w:sz w:val="18"/>
              </w:rPr>
            </w:pPr>
            <w:r>
              <w:rPr>
                <w:sz w:val="18"/>
              </w:rPr>
              <w:t>Renewal</w:t>
            </w:r>
            <w:r>
              <w:rPr>
                <w:spacing w:val="-5"/>
                <w:sz w:val="18"/>
              </w:rPr>
              <w:t xml:space="preserve"> </w:t>
            </w:r>
            <w:r>
              <w:rPr>
                <w:spacing w:val="-2"/>
                <w:sz w:val="18"/>
              </w:rPr>
              <w:t>notices</w:t>
            </w:r>
          </w:p>
        </w:tc>
        <w:tc>
          <w:tcPr>
            <w:tcW w:w="1349" w:type="dxa"/>
          </w:tcPr>
          <w:p>
            <w:pPr>
              <w:pStyle w:val="TableParagraph"/>
              <w:spacing w:before="125"/>
              <w:rPr>
                <w:sz w:val="19"/>
              </w:rPr>
            </w:pPr>
          </w:p>
          <w:p>
            <w:pPr>
              <w:pStyle w:val="TableParagraph"/>
              <w:ind w:right="6"/>
              <w:jc w:val="center"/>
              <w:rPr>
                <w:sz w:val="19"/>
              </w:rPr>
            </w:pPr>
            <w:r>
              <w:rPr>
                <w:spacing w:val="-5"/>
                <w:w w:val="105"/>
                <w:sz w:val="19"/>
              </w:rPr>
              <w:t>344</w:t>
            </w:r>
          </w:p>
        </w:tc>
        <w:tc>
          <w:tcPr>
            <w:tcW w:w="904" w:type="dxa"/>
          </w:tcPr>
          <w:p>
            <w:pPr>
              <w:pStyle w:val="TableParagraph"/>
              <w:spacing w:before="125"/>
              <w:rPr>
                <w:sz w:val="19"/>
              </w:rPr>
            </w:pPr>
          </w:p>
          <w:p>
            <w:pPr>
              <w:pStyle w:val="TableParagraph"/>
              <w:ind w:left="397"/>
              <w:rPr>
                <w:sz w:val="19"/>
              </w:rPr>
            </w:pPr>
            <w:r>
              <w:rPr>
                <w:spacing w:val="-10"/>
                <w:w w:val="105"/>
                <w:sz w:val="19"/>
              </w:rPr>
              <w:t>1</w:t>
            </w:r>
          </w:p>
        </w:tc>
        <w:tc>
          <w:tcPr>
            <w:tcW w:w="989" w:type="dxa"/>
          </w:tcPr>
          <w:p>
            <w:pPr>
              <w:pStyle w:val="TableParagraph"/>
              <w:spacing w:before="125"/>
              <w:rPr>
                <w:sz w:val="19"/>
              </w:rPr>
            </w:pPr>
          </w:p>
          <w:p>
            <w:pPr>
              <w:pStyle w:val="TableParagraph"/>
              <w:ind w:left="390"/>
              <w:rPr>
                <w:sz w:val="19"/>
              </w:rPr>
            </w:pPr>
            <w:r>
              <w:rPr>
                <w:spacing w:val="-5"/>
                <w:w w:val="105"/>
                <w:sz w:val="19"/>
              </w:rPr>
              <w:t>24</w:t>
            </w:r>
          </w:p>
        </w:tc>
        <w:tc>
          <w:tcPr>
            <w:tcW w:w="990" w:type="dxa"/>
          </w:tcPr>
          <w:p>
            <w:pPr>
              <w:pStyle w:val="TableParagraph"/>
              <w:spacing w:before="125"/>
              <w:rPr>
                <w:sz w:val="19"/>
              </w:rPr>
            </w:pPr>
          </w:p>
          <w:p>
            <w:pPr>
              <w:pStyle w:val="TableParagraph"/>
              <w:ind w:left="7" w:right="7"/>
              <w:jc w:val="center"/>
              <w:rPr>
                <w:sz w:val="19"/>
              </w:rPr>
            </w:pPr>
            <w:r>
              <w:rPr>
                <w:spacing w:val="-2"/>
                <w:w w:val="105"/>
                <w:sz w:val="19"/>
              </w:rPr>
              <w:t>$2,142.72</w:t>
            </w:r>
          </w:p>
        </w:tc>
        <w:tc>
          <w:tcPr>
            <w:tcW w:w="1265" w:type="dxa"/>
          </w:tcPr>
          <w:p>
            <w:pPr>
              <w:pStyle w:val="TableParagraph"/>
              <w:spacing w:before="125"/>
              <w:rPr>
                <w:sz w:val="19"/>
              </w:rPr>
            </w:pPr>
          </w:p>
          <w:p>
            <w:pPr>
              <w:pStyle w:val="TableParagraph"/>
              <w:ind w:right="16"/>
              <w:jc w:val="center"/>
              <w:rPr>
                <w:sz w:val="19"/>
              </w:rPr>
            </w:pPr>
            <w:r>
              <w:rPr>
                <w:spacing w:val="-2"/>
                <w:w w:val="105"/>
                <w:sz w:val="19"/>
              </w:rPr>
              <w:t>8,256</w:t>
            </w:r>
          </w:p>
        </w:tc>
        <w:tc>
          <w:tcPr>
            <w:tcW w:w="1442" w:type="dxa"/>
          </w:tcPr>
          <w:p>
            <w:pPr>
              <w:pStyle w:val="TableParagraph"/>
              <w:spacing w:before="125"/>
              <w:rPr>
                <w:sz w:val="19"/>
              </w:rPr>
            </w:pPr>
          </w:p>
          <w:p>
            <w:pPr>
              <w:pStyle w:val="TableParagraph"/>
              <w:ind w:right="12"/>
              <w:jc w:val="center"/>
              <w:rPr>
                <w:sz w:val="19"/>
              </w:rPr>
            </w:pPr>
            <w:r>
              <w:rPr>
                <w:spacing w:val="-2"/>
                <w:w w:val="105"/>
                <w:sz w:val="19"/>
              </w:rPr>
              <w:t>$737,095.68</w:t>
            </w:r>
          </w:p>
        </w:tc>
      </w:tr>
      <w:tr>
        <w:tblPrEx>
          <w:tblW w:w="0" w:type="auto"/>
          <w:jc w:val="left"/>
          <w:tblInd w:w="253" w:type="dxa"/>
          <w:tblLayout w:type="fixed"/>
          <w:tblCellMar>
            <w:top w:w="0" w:type="dxa"/>
            <w:left w:w="0" w:type="dxa"/>
            <w:bottom w:w="0" w:type="dxa"/>
            <w:right w:w="0" w:type="dxa"/>
          </w:tblCellMar>
          <w:tblLook w:val="01E0"/>
        </w:tblPrEx>
        <w:trPr>
          <w:trHeight w:val="1226"/>
          <w:jc w:val="left"/>
        </w:trPr>
        <w:tc>
          <w:tcPr>
            <w:tcW w:w="1434" w:type="dxa"/>
          </w:tcPr>
          <w:p>
            <w:pPr>
              <w:pStyle w:val="TableParagraph"/>
              <w:spacing w:before="47" w:line="252" w:lineRule="auto"/>
              <w:ind w:left="93" w:right="415" w:hanging="8"/>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spacing w:before="98"/>
              <w:rPr>
                <w:sz w:val="18"/>
              </w:rPr>
            </w:pPr>
          </w:p>
          <w:p>
            <w:pPr>
              <w:pStyle w:val="TableParagraph"/>
              <w:spacing w:line="237" w:lineRule="auto"/>
              <w:ind w:left="13" w:right="15"/>
              <w:jc w:val="center"/>
              <w:rPr>
                <w:sz w:val="18"/>
              </w:rPr>
            </w:pPr>
            <w:r>
              <w:rPr>
                <w:spacing w:val="-2"/>
                <w:sz w:val="18"/>
              </w:rPr>
              <w:t xml:space="preserve">Discontinuance </w:t>
            </w:r>
            <w:r>
              <w:rPr>
                <w:sz w:val="18"/>
              </w:rPr>
              <w:t xml:space="preserve">notice with re- </w:t>
            </w:r>
            <w:r>
              <w:rPr>
                <w:spacing w:val="-2"/>
                <w:sz w:val="18"/>
              </w:rPr>
              <w:t>enrollment</w:t>
            </w:r>
          </w:p>
        </w:tc>
        <w:tc>
          <w:tcPr>
            <w:tcW w:w="1349" w:type="dxa"/>
          </w:tcPr>
          <w:p>
            <w:pPr>
              <w:pStyle w:val="TableParagraph"/>
              <w:rPr>
                <w:sz w:val="19"/>
              </w:rPr>
            </w:pPr>
          </w:p>
          <w:p>
            <w:pPr>
              <w:pStyle w:val="TableParagraph"/>
              <w:spacing w:before="69"/>
              <w:rPr>
                <w:sz w:val="19"/>
              </w:rPr>
            </w:pPr>
          </w:p>
          <w:p>
            <w:pPr>
              <w:pStyle w:val="TableParagraph"/>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69"/>
              <w:rPr>
                <w:sz w:val="19"/>
              </w:rPr>
            </w:pPr>
          </w:p>
          <w:p>
            <w:pPr>
              <w:pStyle w:val="TableParagraph"/>
              <w:ind w:left="348"/>
              <w:rPr>
                <w:sz w:val="19"/>
              </w:rPr>
            </w:pPr>
            <w:r>
              <w:rPr>
                <w:spacing w:val="-10"/>
                <w:sz w:val="19"/>
              </w:rPr>
              <w:t>1</w:t>
            </w:r>
          </w:p>
        </w:tc>
        <w:tc>
          <w:tcPr>
            <w:tcW w:w="989" w:type="dxa"/>
          </w:tcPr>
          <w:p>
            <w:pPr>
              <w:pStyle w:val="TableParagraph"/>
              <w:rPr>
                <w:sz w:val="19"/>
              </w:rPr>
            </w:pPr>
          </w:p>
          <w:p>
            <w:pPr>
              <w:pStyle w:val="TableParagraph"/>
              <w:spacing w:before="69"/>
              <w:rPr>
                <w:sz w:val="19"/>
              </w:rPr>
            </w:pPr>
          </w:p>
          <w:p>
            <w:pPr>
              <w:pStyle w:val="TableParagraph"/>
              <w:ind w:left="390"/>
              <w:rPr>
                <w:sz w:val="19"/>
              </w:rPr>
            </w:pPr>
            <w:r>
              <w:rPr>
                <w:spacing w:val="-10"/>
                <w:sz w:val="19"/>
              </w:rPr>
              <w:t>8</w:t>
            </w:r>
          </w:p>
        </w:tc>
        <w:tc>
          <w:tcPr>
            <w:tcW w:w="990" w:type="dxa"/>
          </w:tcPr>
          <w:p>
            <w:pPr>
              <w:pStyle w:val="TableParagraph"/>
              <w:rPr>
                <w:sz w:val="19"/>
              </w:rPr>
            </w:pPr>
          </w:p>
          <w:p>
            <w:pPr>
              <w:pStyle w:val="TableParagraph"/>
              <w:spacing w:before="69"/>
              <w:rPr>
                <w:sz w:val="19"/>
              </w:rPr>
            </w:pPr>
          </w:p>
          <w:p>
            <w:pPr>
              <w:pStyle w:val="TableParagraph"/>
              <w:ind w:right="7"/>
              <w:jc w:val="center"/>
              <w:rPr>
                <w:sz w:val="19"/>
              </w:rPr>
            </w:pPr>
            <w:r>
              <w:rPr>
                <w:spacing w:val="-2"/>
                <w:w w:val="105"/>
                <w:sz w:val="19"/>
              </w:rPr>
              <w:t>$661.94</w:t>
            </w:r>
          </w:p>
        </w:tc>
        <w:tc>
          <w:tcPr>
            <w:tcW w:w="1265" w:type="dxa"/>
          </w:tcPr>
          <w:p>
            <w:pPr>
              <w:pStyle w:val="TableParagraph"/>
              <w:rPr>
                <w:sz w:val="19"/>
              </w:rPr>
            </w:pPr>
          </w:p>
          <w:p>
            <w:pPr>
              <w:pStyle w:val="TableParagraph"/>
              <w:spacing w:before="69"/>
              <w:rPr>
                <w:sz w:val="19"/>
              </w:rPr>
            </w:pPr>
          </w:p>
          <w:p>
            <w:pPr>
              <w:pStyle w:val="TableParagraph"/>
              <w:ind w:right="16"/>
              <w:jc w:val="center"/>
              <w:rPr>
                <w:sz w:val="19"/>
              </w:rPr>
            </w:pPr>
            <w:r>
              <w:rPr>
                <w:spacing w:val="-2"/>
                <w:w w:val="105"/>
                <w:sz w:val="19"/>
              </w:rPr>
              <w:t>8,696</w:t>
            </w:r>
          </w:p>
        </w:tc>
        <w:tc>
          <w:tcPr>
            <w:tcW w:w="1442" w:type="dxa"/>
          </w:tcPr>
          <w:p>
            <w:pPr>
              <w:pStyle w:val="TableParagraph"/>
              <w:rPr>
                <w:sz w:val="19"/>
              </w:rPr>
            </w:pPr>
          </w:p>
          <w:p>
            <w:pPr>
              <w:pStyle w:val="TableParagraph"/>
              <w:spacing w:before="69"/>
              <w:rPr>
                <w:sz w:val="19"/>
              </w:rPr>
            </w:pPr>
          </w:p>
          <w:p>
            <w:pPr>
              <w:pStyle w:val="TableParagraph"/>
              <w:ind w:right="12"/>
              <w:jc w:val="center"/>
              <w:rPr>
                <w:sz w:val="19"/>
              </w:rPr>
            </w:pPr>
            <w:r>
              <w:rPr>
                <w:spacing w:val="-2"/>
                <w:w w:val="105"/>
                <w:sz w:val="19"/>
              </w:rPr>
              <w:t>$719,528.78</w:t>
            </w:r>
          </w:p>
        </w:tc>
      </w:tr>
      <w:tr>
        <w:tblPrEx>
          <w:tblW w:w="0" w:type="auto"/>
          <w:jc w:val="left"/>
          <w:tblInd w:w="253" w:type="dxa"/>
          <w:tblLayout w:type="fixed"/>
          <w:tblCellMar>
            <w:top w:w="0" w:type="dxa"/>
            <w:left w:w="0" w:type="dxa"/>
            <w:bottom w:w="0" w:type="dxa"/>
            <w:right w:w="0" w:type="dxa"/>
          </w:tblCellMar>
          <w:tblLook w:val="01E0"/>
        </w:tblPrEx>
        <w:trPr>
          <w:trHeight w:val="1253"/>
          <w:jc w:val="left"/>
        </w:trPr>
        <w:tc>
          <w:tcPr>
            <w:tcW w:w="1434" w:type="dxa"/>
          </w:tcPr>
          <w:p>
            <w:pPr>
              <w:pStyle w:val="TableParagraph"/>
              <w:spacing w:before="61" w:line="252" w:lineRule="auto"/>
              <w:ind w:left="93" w:right="415" w:hanging="8"/>
              <w:jc w:val="center"/>
              <w:rPr>
                <w:sz w:val="19"/>
              </w:rPr>
            </w:pPr>
            <w:r>
              <w:rPr>
                <w:w w:val="105"/>
                <w:sz w:val="19"/>
              </w:rPr>
              <w:t xml:space="preserve">Issuer in </w:t>
            </w:r>
            <w:r>
              <w:rPr>
                <w:spacing w:val="-2"/>
                <w:w w:val="105"/>
                <w:sz w:val="19"/>
              </w:rPr>
              <w:t xml:space="preserve">Individual Market </w:t>
            </w:r>
            <w:r>
              <w:rPr>
                <w:w w:val="105"/>
                <w:sz w:val="19"/>
              </w:rPr>
              <w:t>Outside</w:t>
            </w:r>
            <w:r>
              <w:rPr>
                <w:spacing w:val="-13"/>
                <w:w w:val="105"/>
                <w:sz w:val="19"/>
              </w:rPr>
              <w:t xml:space="preserve"> </w:t>
            </w:r>
            <w:r>
              <w:rPr>
                <w:w w:val="105"/>
                <w:sz w:val="19"/>
              </w:rPr>
              <w:t xml:space="preserve">the </w:t>
            </w:r>
            <w:r>
              <w:rPr>
                <w:spacing w:val="-2"/>
                <w:w w:val="105"/>
                <w:sz w:val="19"/>
              </w:rPr>
              <w:t>Exchange</w:t>
            </w:r>
          </w:p>
        </w:tc>
        <w:tc>
          <w:tcPr>
            <w:tcW w:w="1441" w:type="dxa"/>
          </w:tcPr>
          <w:p>
            <w:pPr>
              <w:pStyle w:val="TableParagraph"/>
              <w:spacing w:before="110"/>
              <w:rPr>
                <w:sz w:val="18"/>
              </w:rPr>
            </w:pPr>
          </w:p>
          <w:p>
            <w:pPr>
              <w:pStyle w:val="TableParagraph"/>
              <w:spacing w:line="242" w:lineRule="auto"/>
              <w:ind w:left="86" w:right="265" w:hanging="50"/>
              <w:jc w:val="both"/>
              <w:rPr>
                <w:sz w:val="18"/>
              </w:rPr>
            </w:pPr>
            <w:r>
              <w:rPr>
                <w:spacing w:val="-2"/>
                <w:sz w:val="18"/>
              </w:rPr>
              <w:t xml:space="preserve">Discontinuance </w:t>
            </w:r>
            <w:r>
              <w:rPr>
                <w:sz w:val="18"/>
              </w:rPr>
              <w:t xml:space="preserve">notice without </w:t>
            </w:r>
            <w:r>
              <w:rPr>
                <w:spacing w:val="-2"/>
                <w:sz w:val="18"/>
              </w:rPr>
              <w:t>re-enrollment</w:t>
            </w:r>
          </w:p>
        </w:tc>
        <w:tc>
          <w:tcPr>
            <w:tcW w:w="1349" w:type="dxa"/>
          </w:tcPr>
          <w:p>
            <w:pPr>
              <w:pStyle w:val="TableParagraph"/>
              <w:rPr>
                <w:sz w:val="19"/>
              </w:rPr>
            </w:pPr>
          </w:p>
          <w:p>
            <w:pPr>
              <w:pStyle w:val="TableParagraph"/>
              <w:spacing w:before="82"/>
              <w:rPr>
                <w:sz w:val="19"/>
              </w:rPr>
            </w:pPr>
          </w:p>
          <w:p>
            <w:pPr>
              <w:pStyle w:val="TableParagraph"/>
              <w:spacing w:before="1"/>
              <w:ind w:left="5" w:right="6"/>
              <w:jc w:val="center"/>
              <w:rPr>
                <w:sz w:val="19"/>
              </w:rPr>
            </w:pPr>
            <w:r>
              <w:rPr>
                <w:spacing w:val="-2"/>
                <w:w w:val="105"/>
                <w:sz w:val="19"/>
              </w:rPr>
              <w:t>1,087</w:t>
            </w:r>
          </w:p>
        </w:tc>
        <w:tc>
          <w:tcPr>
            <w:tcW w:w="904" w:type="dxa"/>
          </w:tcPr>
          <w:p>
            <w:pPr>
              <w:pStyle w:val="TableParagraph"/>
              <w:rPr>
                <w:sz w:val="19"/>
              </w:rPr>
            </w:pPr>
          </w:p>
          <w:p>
            <w:pPr>
              <w:pStyle w:val="TableParagraph"/>
              <w:spacing w:before="82"/>
              <w:rPr>
                <w:sz w:val="19"/>
              </w:rPr>
            </w:pPr>
          </w:p>
          <w:p>
            <w:pPr>
              <w:pStyle w:val="TableParagraph"/>
              <w:spacing w:before="1"/>
              <w:ind w:left="348"/>
              <w:rPr>
                <w:sz w:val="19"/>
              </w:rPr>
            </w:pPr>
            <w:r>
              <w:rPr>
                <w:spacing w:val="-10"/>
                <w:sz w:val="19"/>
              </w:rPr>
              <w:t>1</w:t>
            </w:r>
          </w:p>
        </w:tc>
        <w:tc>
          <w:tcPr>
            <w:tcW w:w="989" w:type="dxa"/>
          </w:tcPr>
          <w:p>
            <w:pPr>
              <w:pStyle w:val="TableParagraph"/>
              <w:rPr>
                <w:sz w:val="19"/>
              </w:rPr>
            </w:pPr>
          </w:p>
          <w:p>
            <w:pPr>
              <w:pStyle w:val="TableParagraph"/>
              <w:spacing w:before="82"/>
              <w:rPr>
                <w:sz w:val="19"/>
              </w:rPr>
            </w:pPr>
          </w:p>
          <w:p>
            <w:pPr>
              <w:pStyle w:val="TableParagraph"/>
              <w:spacing w:before="1"/>
              <w:ind w:left="369"/>
              <w:rPr>
                <w:sz w:val="19"/>
              </w:rPr>
            </w:pPr>
            <w:r>
              <w:rPr>
                <w:spacing w:val="-5"/>
                <w:w w:val="105"/>
                <w:sz w:val="19"/>
              </w:rPr>
              <w:t>4.5</w:t>
            </w:r>
          </w:p>
        </w:tc>
        <w:tc>
          <w:tcPr>
            <w:tcW w:w="990" w:type="dxa"/>
          </w:tcPr>
          <w:p>
            <w:pPr>
              <w:pStyle w:val="TableParagraph"/>
              <w:rPr>
                <w:sz w:val="19"/>
              </w:rPr>
            </w:pPr>
          </w:p>
          <w:p>
            <w:pPr>
              <w:pStyle w:val="TableParagraph"/>
              <w:spacing w:before="82"/>
              <w:rPr>
                <w:sz w:val="19"/>
              </w:rPr>
            </w:pPr>
          </w:p>
          <w:p>
            <w:pPr>
              <w:pStyle w:val="TableParagraph"/>
              <w:spacing w:before="1"/>
              <w:ind w:right="7"/>
              <w:jc w:val="center"/>
              <w:rPr>
                <w:sz w:val="19"/>
              </w:rPr>
            </w:pPr>
            <w:r>
              <w:rPr>
                <w:spacing w:val="-2"/>
                <w:w w:val="105"/>
                <w:sz w:val="19"/>
              </w:rPr>
              <w:t>$378.91</w:t>
            </w:r>
          </w:p>
        </w:tc>
        <w:tc>
          <w:tcPr>
            <w:tcW w:w="1265" w:type="dxa"/>
          </w:tcPr>
          <w:p>
            <w:pPr>
              <w:pStyle w:val="TableParagraph"/>
              <w:rPr>
                <w:sz w:val="19"/>
              </w:rPr>
            </w:pPr>
          </w:p>
          <w:p>
            <w:pPr>
              <w:pStyle w:val="TableParagraph"/>
              <w:spacing w:before="82"/>
              <w:rPr>
                <w:sz w:val="19"/>
              </w:rPr>
            </w:pPr>
          </w:p>
          <w:p>
            <w:pPr>
              <w:pStyle w:val="TableParagraph"/>
              <w:spacing w:before="1"/>
              <w:ind w:right="16"/>
              <w:jc w:val="center"/>
              <w:rPr>
                <w:sz w:val="19"/>
              </w:rPr>
            </w:pPr>
            <w:r>
              <w:rPr>
                <w:spacing w:val="-2"/>
                <w:w w:val="105"/>
                <w:sz w:val="19"/>
              </w:rPr>
              <w:t>4,892</w:t>
            </w:r>
          </w:p>
        </w:tc>
        <w:tc>
          <w:tcPr>
            <w:tcW w:w="1442" w:type="dxa"/>
          </w:tcPr>
          <w:p>
            <w:pPr>
              <w:pStyle w:val="TableParagraph"/>
              <w:rPr>
                <w:sz w:val="19"/>
              </w:rPr>
            </w:pPr>
          </w:p>
          <w:p>
            <w:pPr>
              <w:pStyle w:val="TableParagraph"/>
              <w:spacing w:before="82"/>
              <w:rPr>
                <w:sz w:val="19"/>
              </w:rPr>
            </w:pPr>
          </w:p>
          <w:p>
            <w:pPr>
              <w:pStyle w:val="TableParagraph"/>
              <w:spacing w:before="1"/>
              <w:ind w:right="12"/>
              <w:jc w:val="center"/>
              <w:rPr>
                <w:sz w:val="19"/>
              </w:rPr>
            </w:pPr>
            <w:r>
              <w:rPr>
                <w:spacing w:val="-2"/>
                <w:w w:val="105"/>
                <w:sz w:val="19"/>
              </w:rPr>
              <w:t>$411,875.17</w:t>
            </w:r>
          </w:p>
        </w:tc>
      </w:tr>
      <w:tr>
        <w:tblPrEx>
          <w:tblW w:w="0" w:type="auto"/>
          <w:jc w:val="left"/>
          <w:tblInd w:w="253" w:type="dxa"/>
          <w:tblLayout w:type="fixed"/>
          <w:tblCellMar>
            <w:top w:w="0" w:type="dxa"/>
            <w:left w:w="0" w:type="dxa"/>
            <w:bottom w:w="0" w:type="dxa"/>
            <w:right w:w="0" w:type="dxa"/>
          </w:tblCellMar>
          <w:tblLook w:val="01E0"/>
        </w:tblPrEx>
        <w:trPr>
          <w:trHeight w:val="929"/>
          <w:jc w:val="left"/>
        </w:trPr>
        <w:tc>
          <w:tcPr>
            <w:tcW w:w="1434" w:type="dxa"/>
          </w:tcPr>
          <w:p>
            <w:pPr>
              <w:pStyle w:val="TableParagraph"/>
              <w:spacing w:before="26"/>
              <w:rPr>
                <w:sz w:val="19"/>
              </w:rPr>
            </w:pPr>
          </w:p>
          <w:p>
            <w:pPr>
              <w:pStyle w:val="TableParagraph"/>
              <w:spacing w:line="247" w:lineRule="auto"/>
              <w:ind w:left="93" w:hanging="29"/>
              <w:rPr>
                <w:sz w:val="19"/>
              </w:rPr>
            </w:pPr>
            <w:r>
              <w:rPr>
                <w:w w:val="105"/>
                <w:sz w:val="19"/>
              </w:rPr>
              <w:t>Issuer</w:t>
            </w:r>
            <w:r>
              <w:rPr>
                <w:spacing w:val="-13"/>
                <w:w w:val="105"/>
                <w:sz w:val="19"/>
              </w:rPr>
              <w:t xml:space="preserve"> </w:t>
            </w:r>
            <w:r>
              <w:rPr>
                <w:w w:val="105"/>
                <w:sz w:val="19"/>
              </w:rPr>
              <w:t>in</w:t>
            </w:r>
            <w:r>
              <w:rPr>
                <w:spacing w:val="-12"/>
                <w:w w:val="105"/>
                <w:sz w:val="19"/>
              </w:rPr>
              <w:t xml:space="preserve"> </w:t>
            </w:r>
            <w:r>
              <w:rPr>
                <w:w w:val="105"/>
                <w:sz w:val="19"/>
              </w:rPr>
              <w:t>Small Group</w:t>
            </w:r>
            <w:r>
              <w:rPr>
                <w:spacing w:val="-4"/>
                <w:w w:val="105"/>
                <w:sz w:val="19"/>
              </w:rPr>
              <w:t xml:space="preserve"> </w:t>
            </w:r>
            <w:r>
              <w:rPr>
                <w:spacing w:val="-2"/>
                <w:w w:val="105"/>
                <w:sz w:val="19"/>
              </w:rPr>
              <w:t>Market</w:t>
            </w:r>
          </w:p>
        </w:tc>
        <w:tc>
          <w:tcPr>
            <w:tcW w:w="1441" w:type="dxa"/>
          </w:tcPr>
          <w:p>
            <w:pPr>
              <w:pStyle w:val="TableParagraph"/>
              <w:spacing w:before="55"/>
              <w:rPr>
                <w:sz w:val="18"/>
              </w:rPr>
            </w:pPr>
          </w:p>
          <w:p>
            <w:pPr>
              <w:pStyle w:val="TableParagraph"/>
              <w:spacing w:line="237" w:lineRule="auto"/>
              <w:ind w:left="383" w:hanging="346"/>
              <w:rPr>
                <w:sz w:val="18"/>
              </w:rPr>
            </w:pPr>
            <w:r>
              <w:rPr>
                <w:spacing w:val="-2"/>
                <w:sz w:val="18"/>
              </w:rPr>
              <w:t>Discontinuance notice</w:t>
            </w:r>
          </w:p>
        </w:tc>
        <w:tc>
          <w:tcPr>
            <w:tcW w:w="1349" w:type="dxa"/>
          </w:tcPr>
          <w:p>
            <w:pPr>
              <w:pStyle w:val="TableParagraph"/>
              <w:spacing w:before="139"/>
              <w:rPr>
                <w:sz w:val="19"/>
              </w:rPr>
            </w:pPr>
          </w:p>
          <w:p>
            <w:pPr>
              <w:pStyle w:val="TableParagraph"/>
              <w:ind w:right="6"/>
              <w:jc w:val="center"/>
              <w:rPr>
                <w:sz w:val="19"/>
              </w:rPr>
            </w:pPr>
            <w:r>
              <w:rPr>
                <w:spacing w:val="-5"/>
                <w:w w:val="105"/>
                <w:sz w:val="19"/>
              </w:rPr>
              <w:t>552</w:t>
            </w:r>
          </w:p>
        </w:tc>
        <w:tc>
          <w:tcPr>
            <w:tcW w:w="904" w:type="dxa"/>
          </w:tcPr>
          <w:p>
            <w:pPr>
              <w:pStyle w:val="TableParagraph"/>
              <w:spacing w:before="139"/>
              <w:rPr>
                <w:sz w:val="19"/>
              </w:rPr>
            </w:pPr>
          </w:p>
          <w:p>
            <w:pPr>
              <w:pStyle w:val="TableParagraph"/>
              <w:ind w:left="348"/>
              <w:rPr>
                <w:sz w:val="19"/>
              </w:rPr>
            </w:pPr>
            <w:r>
              <w:rPr>
                <w:spacing w:val="-10"/>
                <w:sz w:val="19"/>
              </w:rPr>
              <w:t>1</w:t>
            </w:r>
          </w:p>
        </w:tc>
        <w:tc>
          <w:tcPr>
            <w:tcW w:w="989" w:type="dxa"/>
          </w:tcPr>
          <w:p>
            <w:pPr>
              <w:pStyle w:val="TableParagraph"/>
              <w:spacing w:before="139"/>
              <w:rPr>
                <w:sz w:val="19"/>
              </w:rPr>
            </w:pPr>
          </w:p>
          <w:p>
            <w:pPr>
              <w:pStyle w:val="TableParagraph"/>
              <w:ind w:left="390"/>
              <w:rPr>
                <w:sz w:val="19"/>
              </w:rPr>
            </w:pPr>
            <w:r>
              <w:rPr>
                <w:spacing w:val="-5"/>
                <w:w w:val="105"/>
                <w:sz w:val="19"/>
              </w:rPr>
              <w:t>12</w:t>
            </w:r>
          </w:p>
        </w:tc>
        <w:tc>
          <w:tcPr>
            <w:tcW w:w="990" w:type="dxa"/>
          </w:tcPr>
          <w:p>
            <w:pPr>
              <w:pStyle w:val="TableParagraph"/>
              <w:spacing w:before="139"/>
              <w:rPr>
                <w:sz w:val="19"/>
              </w:rPr>
            </w:pPr>
          </w:p>
          <w:p>
            <w:pPr>
              <w:pStyle w:val="TableParagraph"/>
              <w:ind w:right="7"/>
              <w:jc w:val="center"/>
              <w:rPr>
                <w:sz w:val="19"/>
              </w:rPr>
            </w:pPr>
            <w:r>
              <w:rPr>
                <w:spacing w:val="-2"/>
                <w:w w:val="105"/>
                <w:sz w:val="19"/>
              </w:rPr>
              <w:t>$992.16</w:t>
            </w:r>
          </w:p>
        </w:tc>
        <w:tc>
          <w:tcPr>
            <w:tcW w:w="1265" w:type="dxa"/>
          </w:tcPr>
          <w:p>
            <w:pPr>
              <w:pStyle w:val="TableParagraph"/>
              <w:spacing w:before="139"/>
              <w:rPr>
                <w:sz w:val="19"/>
              </w:rPr>
            </w:pPr>
          </w:p>
          <w:p>
            <w:pPr>
              <w:pStyle w:val="TableParagraph"/>
              <w:ind w:right="16"/>
              <w:jc w:val="center"/>
              <w:rPr>
                <w:sz w:val="19"/>
              </w:rPr>
            </w:pPr>
            <w:r>
              <w:rPr>
                <w:spacing w:val="-2"/>
                <w:w w:val="105"/>
                <w:sz w:val="19"/>
              </w:rPr>
              <w:t>6,624</w:t>
            </w:r>
          </w:p>
        </w:tc>
        <w:tc>
          <w:tcPr>
            <w:tcW w:w="1442" w:type="dxa"/>
          </w:tcPr>
          <w:p>
            <w:pPr>
              <w:pStyle w:val="TableParagraph"/>
              <w:spacing w:before="139"/>
              <w:rPr>
                <w:sz w:val="19"/>
              </w:rPr>
            </w:pPr>
          </w:p>
          <w:p>
            <w:pPr>
              <w:pStyle w:val="TableParagraph"/>
              <w:ind w:right="12"/>
              <w:jc w:val="center"/>
              <w:rPr>
                <w:sz w:val="19"/>
              </w:rPr>
            </w:pPr>
            <w:r>
              <w:rPr>
                <w:spacing w:val="-2"/>
                <w:w w:val="105"/>
                <w:sz w:val="19"/>
              </w:rPr>
              <w:t>$547,672.31</w:t>
            </w:r>
          </w:p>
        </w:tc>
      </w:tr>
      <w:tr>
        <w:tblPrEx>
          <w:tblW w:w="0" w:type="auto"/>
          <w:jc w:val="left"/>
          <w:tblInd w:w="253" w:type="dxa"/>
          <w:tblLayout w:type="fixed"/>
          <w:tblCellMar>
            <w:top w:w="0" w:type="dxa"/>
            <w:left w:w="0" w:type="dxa"/>
            <w:bottom w:w="0" w:type="dxa"/>
            <w:right w:w="0" w:type="dxa"/>
          </w:tblCellMar>
          <w:tblLook w:val="01E0"/>
        </w:tblPrEx>
        <w:trPr>
          <w:trHeight w:val="957"/>
          <w:jc w:val="left"/>
        </w:trPr>
        <w:tc>
          <w:tcPr>
            <w:tcW w:w="1434" w:type="dxa"/>
          </w:tcPr>
          <w:p>
            <w:pPr>
              <w:pStyle w:val="TableParagraph"/>
              <w:spacing w:before="145" w:line="252" w:lineRule="auto"/>
              <w:ind w:left="150" w:right="251" w:hanging="5"/>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w:t>
            </w:r>
          </w:p>
        </w:tc>
        <w:tc>
          <w:tcPr>
            <w:tcW w:w="1441" w:type="dxa"/>
          </w:tcPr>
          <w:p>
            <w:pPr>
              <w:pStyle w:val="TableParagraph"/>
              <w:spacing w:before="162" w:line="242" w:lineRule="auto"/>
              <w:ind w:left="13" w:right="213"/>
              <w:jc w:val="center"/>
              <w:rPr>
                <w:sz w:val="18"/>
              </w:rPr>
            </w:pPr>
            <w:r>
              <w:rPr>
                <w:spacing w:val="-2"/>
                <w:sz w:val="18"/>
              </w:rPr>
              <w:t xml:space="preserve">Discontinuance </w:t>
            </w:r>
            <w:r>
              <w:rPr>
                <w:sz w:val="18"/>
              </w:rPr>
              <w:t xml:space="preserve">notice with re- </w:t>
            </w:r>
            <w:r>
              <w:rPr>
                <w:spacing w:val="-2"/>
                <w:sz w:val="18"/>
              </w:rPr>
              <w:t>enrollment</w:t>
            </w:r>
          </w:p>
        </w:tc>
        <w:tc>
          <w:tcPr>
            <w:tcW w:w="1349" w:type="dxa"/>
          </w:tcPr>
          <w:p>
            <w:pPr>
              <w:pStyle w:val="TableParagraph"/>
              <w:spacing w:before="153"/>
              <w:rPr>
                <w:sz w:val="19"/>
              </w:rPr>
            </w:pPr>
          </w:p>
          <w:p>
            <w:pPr>
              <w:pStyle w:val="TableParagraph"/>
              <w:ind w:right="6"/>
              <w:jc w:val="center"/>
              <w:rPr>
                <w:sz w:val="19"/>
              </w:rPr>
            </w:pPr>
            <w:r>
              <w:rPr>
                <w:spacing w:val="-5"/>
                <w:w w:val="105"/>
                <w:sz w:val="19"/>
              </w:rPr>
              <w:t>344</w:t>
            </w:r>
          </w:p>
        </w:tc>
        <w:tc>
          <w:tcPr>
            <w:tcW w:w="904" w:type="dxa"/>
          </w:tcPr>
          <w:p>
            <w:pPr>
              <w:pStyle w:val="TableParagraph"/>
              <w:spacing w:before="153"/>
              <w:rPr>
                <w:sz w:val="19"/>
              </w:rPr>
            </w:pPr>
          </w:p>
          <w:p>
            <w:pPr>
              <w:pStyle w:val="TableParagraph"/>
              <w:ind w:left="397"/>
              <w:rPr>
                <w:sz w:val="19"/>
              </w:rPr>
            </w:pPr>
            <w:r>
              <w:rPr>
                <w:spacing w:val="-10"/>
                <w:w w:val="105"/>
                <w:sz w:val="19"/>
              </w:rPr>
              <w:t>1</w:t>
            </w:r>
          </w:p>
        </w:tc>
        <w:tc>
          <w:tcPr>
            <w:tcW w:w="989" w:type="dxa"/>
          </w:tcPr>
          <w:p>
            <w:pPr>
              <w:pStyle w:val="TableParagraph"/>
              <w:spacing w:before="153"/>
              <w:rPr>
                <w:sz w:val="19"/>
              </w:rPr>
            </w:pPr>
          </w:p>
          <w:p>
            <w:pPr>
              <w:pStyle w:val="TableParagraph"/>
              <w:jc w:val="center"/>
              <w:rPr>
                <w:sz w:val="19"/>
              </w:rPr>
            </w:pPr>
            <w:r>
              <w:rPr>
                <w:spacing w:val="-10"/>
                <w:w w:val="105"/>
                <w:sz w:val="19"/>
              </w:rPr>
              <w:t>9</w:t>
            </w:r>
          </w:p>
        </w:tc>
        <w:tc>
          <w:tcPr>
            <w:tcW w:w="990" w:type="dxa"/>
          </w:tcPr>
          <w:p>
            <w:pPr>
              <w:pStyle w:val="TableParagraph"/>
              <w:spacing w:before="153"/>
              <w:rPr>
                <w:sz w:val="19"/>
              </w:rPr>
            </w:pPr>
          </w:p>
          <w:p>
            <w:pPr>
              <w:pStyle w:val="TableParagraph"/>
              <w:ind w:right="7"/>
              <w:jc w:val="center"/>
              <w:rPr>
                <w:sz w:val="19"/>
              </w:rPr>
            </w:pPr>
            <w:r>
              <w:rPr>
                <w:spacing w:val="-2"/>
                <w:w w:val="105"/>
                <w:sz w:val="19"/>
              </w:rPr>
              <w:t>$757.82</w:t>
            </w:r>
          </w:p>
        </w:tc>
        <w:tc>
          <w:tcPr>
            <w:tcW w:w="1265" w:type="dxa"/>
          </w:tcPr>
          <w:p>
            <w:pPr>
              <w:pStyle w:val="TableParagraph"/>
              <w:spacing w:before="153"/>
              <w:rPr>
                <w:sz w:val="19"/>
              </w:rPr>
            </w:pPr>
          </w:p>
          <w:p>
            <w:pPr>
              <w:pStyle w:val="TableParagraph"/>
              <w:ind w:right="16"/>
              <w:jc w:val="center"/>
              <w:rPr>
                <w:sz w:val="19"/>
              </w:rPr>
            </w:pPr>
            <w:r>
              <w:rPr>
                <w:spacing w:val="-2"/>
                <w:w w:val="105"/>
                <w:sz w:val="19"/>
              </w:rPr>
              <w:t>3,096</w:t>
            </w:r>
          </w:p>
        </w:tc>
        <w:tc>
          <w:tcPr>
            <w:tcW w:w="1442" w:type="dxa"/>
          </w:tcPr>
          <w:p>
            <w:pPr>
              <w:pStyle w:val="TableParagraph"/>
              <w:spacing w:before="153"/>
              <w:rPr>
                <w:sz w:val="19"/>
              </w:rPr>
            </w:pPr>
          </w:p>
          <w:p>
            <w:pPr>
              <w:pStyle w:val="TableParagraph"/>
              <w:ind w:right="12"/>
              <w:jc w:val="center"/>
              <w:rPr>
                <w:sz w:val="19"/>
              </w:rPr>
            </w:pPr>
            <w:r>
              <w:rPr>
                <w:spacing w:val="-2"/>
                <w:w w:val="105"/>
                <w:sz w:val="19"/>
              </w:rPr>
              <w:t>$260,690.08</w:t>
            </w:r>
          </w:p>
        </w:tc>
      </w:tr>
      <w:tr>
        <w:tblPrEx>
          <w:tblW w:w="0" w:type="auto"/>
          <w:jc w:val="left"/>
          <w:tblInd w:w="253" w:type="dxa"/>
          <w:tblLayout w:type="fixed"/>
          <w:tblCellMar>
            <w:top w:w="0" w:type="dxa"/>
            <w:left w:w="0" w:type="dxa"/>
            <w:bottom w:w="0" w:type="dxa"/>
            <w:right w:w="0" w:type="dxa"/>
          </w:tblCellMar>
          <w:tblLook w:val="01E0"/>
        </w:tblPrEx>
        <w:trPr>
          <w:trHeight w:val="978"/>
          <w:jc w:val="left"/>
        </w:trPr>
        <w:tc>
          <w:tcPr>
            <w:tcW w:w="1434" w:type="dxa"/>
          </w:tcPr>
          <w:p>
            <w:pPr>
              <w:pStyle w:val="TableParagraph"/>
              <w:spacing w:before="153" w:line="256" w:lineRule="auto"/>
              <w:ind w:left="150" w:right="251" w:hanging="5"/>
              <w:jc w:val="center"/>
              <w:rPr>
                <w:sz w:val="19"/>
              </w:rPr>
            </w:pPr>
            <w:r>
              <w:rPr>
                <w:spacing w:val="-2"/>
                <w:w w:val="105"/>
                <w:sz w:val="19"/>
              </w:rPr>
              <w:t xml:space="preserve">Individual </w:t>
            </w:r>
            <w:r>
              <w:rPr>
                <w:w w:val="105"/>
                <w:sz w:val="19"/>
              </w:rPr>
              <w:t>Market</w:t>
            </w:r>
            <w:r>
              <w:rPr>
                <w:spacing w:val="-13"/>
                <w:w w:val="105"/>
                <w:sz w:val="19"/>
              </w:rPr>
              <w:t xml:space="preserve"> </w:t>
            </w:r>
            <w:r>
              <w:rPr>
                <w:w w:val="105"/>
                <w:sz w:val="19"/>
              </w:rPr>
              <w:t xml:space="preserve">QHP </w:t>
            </w:r>
            <w:r>
              <w:rPr>
                <w:spacing w:val="-2"/>
                <w:w w:val="105"/>
                <w:sz w:val="19"/>
              </w:rPr>
              <w:t>Issuer</w:t>
            </w:r>
          </w:p>
        </w:tc>
        <w:tc>
          <w:tcPr>
            <w:tcW w:w="1441" w:type="dxa"/>
          </w:tcPr>
          <w:p>
            <w:pPr>
              <w:pStyle w:val="TableParagraph"/>
              <w:spacing w:before="177" w:line="242" w:lineRule="auto"/>
              <w:ind w:left="93" w:right="251" w:hanging="43"/>
              <w:jc w:val="both"/>
              <w:rPr>
                <w:sz w:val="18"/>
              </w:rPr>
            </w:pPr>
            <w:r>
              <w:rPr>
                <w:spacing w:val="-2"/>
                <w:sz w:val="18"/>
              </w:rPr>
              <w:t xml:space="preserve">Discontinuance </w:t>
            </w:r>
            <w:r>
              <w:rPr>
                <w:sz w:val="18"/>
              </w:rPr>
              <w:t xml:space="preserve">notice without </w:t>
            </w:r>
            <w:r>
              <w:rPr>
                <w:spacing w:val="-2"/>
                <w:sz w:val="18"/>
              </w:rPr>
              <w:t>re-enrollment</w:t>
            </w:r>
          </w:p>
        </w:tc>
        <w:tc>
          <w:tcPr>
            <w:tcW w:w="1349" w:type="dxa"/>
          </w:tcPr>
          <w:p>
            <w:pPr>
              <w:pStyle w:val="TableParagraph"/>
              <w:spacing w:before="167"/>
              <w:rPr>
                <w:sz w:val="19"/>
              </w:rPr>
            </w:pPr>
          </w:p>
          <w:p>
            <w:pPr>
              <w:pStyle w:val="TableParagraph"/>
              <w:spacing w:before="1"/>
              <w:ind w:right="6"/>
              <w:jc w:val="center"/>
              <w:rPr>
                <w:sz w:val="19"/>
              </w:rPr>
            </w:pPr>
            <w:r>
              <w:rPr>
                <w:spacing w:val="-5"/>
                <w:w w:val="105"/>
                <w:sz w:val="19"/>
              </w:rPr>
              <w:t>344</w:t>
            </w:r>
          </w:p>
        </w:tc>
        <w:tc>
          <w:tcPr>
            <w:tcW w:w="904" w:type="dxa"/>
          </w:tcPr>
          <w:p>
            <w:pPr>
              <w:pStyle w:val="TableParagraph"/>
              <w:spacing w:before="167"/>
              <w:rPr>
                <w:sz w:val="19"/>
              </w:rPr>
            </w:pPr>
          </w:p>
          <w:p>
            <w:pPr>
              <w:pStyle w:val="TableParagraph"/>
              <w:spacing w:before="1"/>
              <w:ind w:left="397"/>
              <w:rPr>
                <w:sz w:val="19"/>
              </w:rPr>
            </w:pPr>
            <w:r>
              <w:rPr>
                <w:spacing w:val="-10"/>
                <w:w w:val="105"/>
                <w:sz w:val="19"/>
              </w:rPr>
              <w:t>1</w:t>
            </w:r>
          </w:p>
        </w:tc>
        <w:tc>
          <w:tcPr>
            <w:tcW w:w="989" w:type="dxa"/>
          </w:tcPr>
          <w:p>
            <w:pPr>
              <w:pStyle w:val="TableParagraph"/>
              <w:spacing w:before="167"/>
              <w:rPr>
                <w:sz w:val="19"/>
              </w:rPr>
            </w:pPr>
          </w:p>
          <w:p>
            <w:pPr>
              <w:pStyle w:val="TableParagraph"/>
              <w:spacing w:before="1"/>
              <w:ind w:left="369"/>
              <w:rPr>
                <w:sz w:val="19"/>
              </w:rPr>
            </w:pPr>
            <w:r>
              <w:rPr>
                <w:spacing w:val="-5"/>
                <w:w w:val="105"/>
                <w:sz w:val="19"/>
              </w:rPr>
              <w:t>5.5</w:t>
            </w:r>
          </w:p>
        </w:tc>
        <w:tc>
          <w:tcPr>
            <w:tcW w:w="990" w:type="dxa"/>
          </w:tcPr>
          <w:p>
            <w:pPr>
              <w:pStyle w:val="TableParagraph"/>
              <w:spacing w:before="167"/>
              <w:rPr>
                <w:sz w:val="19"/>
              </w:rPr>
            </w:pPr>
          </w:p>
          <w:p>
            <w:pPr>
              <w:pStyle w:val="TableParagraph"/>
              <w:spacing w:before="1"/>
              <w:ind w:right="7"/>
              <w:jc w:val="center"/>
              <w:rPr>
                <w:sz w:val="19"/>
              </w:rPr>
            </w:pPr>
            <w:r>
              <w:rPr>
                <w:spacing w:val="-2"/>
                <w:w w:val="105"/>
                <w:sz w:val="19"/>
              </w:rPr>
              <w:t>$474.79</w:t>
            </w:r>
          </w:p>
        </w:tc>
        <w:tc>
          <w:tcPr>
            <w:tcW w:w="1265" w:type="dxa"/>
          </w:tcPr>
          <w:p>
            <w:pPr>
              <w:pStyle w:val="TableParagraph"/>
              <w:spacing w:before="167"/>
              <w:rPr>
                <w:sz w:val="19"/>
              </w:rPr>
            </w:pPr>
          </w:p>
          <w:p>
            <w:pPr>
              <w:pStyle w:val="TableParagraph"/>
              <w:spacing w:before="1"/>
              <w:ind w:right="16"/>
              <w:jc w:val="center"/>
              <w:rPr>
                <w:sz w:val="19"/>
              </w:rPr>
            </w:pPr>
            <w:r>
              <w:rPr>
                <w:spacing w:val="-2"/>
                <w:w w:val="105"/>
                <w:sz w:val="19"/>
              </w:rPr>
              <w:t>1,892</w:t>
            </w:r>
          </w:p>
        </w:tc>
        <w:tc>
          <w:tcPr>
            <w:tcW w:w="1442" w:type="dxa"/>
          </w:tcPr>
          <w:p>
            <w:pPr>
              <w:pStyle w:val="TableParagraph"/>
              <w:spacing w:before="167"/>
              <w:rPr>
                <w:sz w:val="19"/>
              </w:rPr>
            </w:pPr>
          </w:p>
          <w:p>
            <w:pPr>
              <w:pStyle w:val="TableParagraph"/>
              <w:spacing w:before="1"/>
              <w:ind w:right="12"/>
              <w:jc w:val="center"/>
              <w:rPr>
                <w:sz w:val="19"/>
              </w:rPr>
            </w:pPr>
            <w:r>
              <w:rPr>
                <w:spacing w:val="-2"/>
                <w:w w:val="105"/>
                <w:sz w:val="19"/>
              </w:rPr>
              <w:t>$163,327.76</w:t>
            </w:r>
          </w:p>
        </w:tc>
      </w:tr>
      <w:tr>
        <w:tblPrEx>
          <w:tblW w:w="0" w:type="auto"/>
          <w:jc w:val="left"/>
          <w:tblInd w:w="253" w:type="dxa"/>
          <w:tblLayout w:type="fixed"/>
          <w:tblCellMar>
            <w:top w:w="0" w:type="dxa"/>
            <w:left w:w="0" w:type="dxa"/>
            <w:bottom w:w="0" w:type="dxa"/>
            <w:right w:w="0" w:type="dxa"/>
          </w:tblCellMar>
          <w:tblLook w:val="01E0"/>
        </w:tblPrEx>
        <w:trPr>
          <w:trHeight w:val="731"/>
          <w:jc w:val="left"/>
        </w:trPr>
        <w:tc>
          <w:tcPr>
            <w:tcW w:w="1434" w:type="dxa"/>
          </w:tcPr>
          <w:p>
            <w:pPr>
              <w:pStyle w:val="TableParagraph"/>
              <w:spacing w:before="40"/>
              <w:rPr>
                <w:sz w:val="19"/>
              </w:rPr>
            </w:pPr>
          </w:p>
          <w:p>
            <w:pPr>
              <w:pStyle w:val="TableParagraph"/>
              <w:ind w:left="51" w:right="57"/>
              <w:jc w:val="center"/>
              <w:rPr>
                <w:b/>
                <w:sz w:val="19"/>
              </w:rPr>
            </w:pPr>
            <w:r>
              <w:rPr>
                <w:b/>
                <w:spacing w:val="-2"/>
                <w:w w:val="105"/>
                <w:sz w:val="19"/>
              </w:rPr>
              <w:t>Total</w:t>
            </w:r>
          </w:p>
        </w:tc>
        <w:tc>
          <w:tcPr>
            <w:tcW w:w="1441" w:type="dxa"/>
          </w:tcPr>
          <w:p>
            <w:pPr>
              <w:pStyle w:val="TableParagraph"/>
              <w:rPr>
                <w:sz w:val="20"/>
              </w:rPr>
            </w:pPr>
          </w:p>
        </w:tc>
        <w:tc>
          <w:tcPr>
            <w:tcW w:w="1349" w:type="dxa"/>
          </w:tcPr>
          <w:p>
            <w:pPr>
              <w:pStyle w:val="TableParagraph"/>
              <w:spacing w:before="40"/>
              <w:rPr>
                <w:sz w:val="19"/>
              </w:rPr>
            </w:pPr>
          </w:p>
          <w:p>
            <w:pPr>
              <w:pStyle w:val="TableParagraph"/>
              <w:ind w:left="6" w:right="6"/>
              <w:jc w:val="center"/>
              <w:rPr>
                <w:b/>
                <w:sz w:val="19"/>
              </w:rPr>
            </w:pPr>
            <w:r>
              <w:rPr>
                <w:b/>
                <w:spacing w:val="-2"/>
                <w:w w:val="105"/>
                <w:sz w:val="19"/>
              </w:rPr>
              <w:t>1,206*</w:t>
            </w:r>
          </w:p>
        </w:tc>
        <w:tc>
          <w:tcPr>
            <w:tcW w:w="904" w:type="dxa"/>
          </w:tcPr>
          <w:p>
            <w:pPr>
              <w:pStyle w:val="TableParagraph"/>
              <w:rPr>
                <w:sz w:val="20"/>
              </w:rPr>
            </w:pPr>
          </w:p>
        </w:tc>
        <w:tc>
          <w:tcPr>
            <w:tcW w:w="989" w:type="dxa"/>
          </w:tcPr>
          <w:p>
            <w:pPr>
              <w:pStyle w:val="TableParagraph"/>
              <w:rPr>
                <w:sz w:val="20"/>
              </w:rPr>
            </w:pPr>
          </w:p>
        </w:tc>
        <w:tc>
          <w:tcPr>
            <w:tcW w:w="990" w:type="dxa"/>
          </w:tcPr>
          <w:p>
            <w:pPr>
              <w:pStyle w:val="TableParagraph"/>
              <w:rPr>
                <w:sz w:val="20"/>
              </w:rPr>
            </w:pPr>
          </w:p>
        </w:tc>
        <w:tc>
          <w:tcPr>
            <w:tcW w:w="1265" w:type="dxa"/>
          </w:tcPr>
          <w:p>
            <w:pPr>
              <w:pStyle w:val="TableParagraph"/>
              <w:spacing w:before="40"/>
              <w:rPr>
                <w:sz w:val="19"/>
              </w:rPr>
            </w:pPr>
          </w:p>
          <w:p>
            <w:pPr>
              <w:pStyle w:val="TableParagraph"/>
              <w:ind w:right="16"/>
              <w:jc w:val="center"/>
              <w:rPr>
                <w:b/>
                <w:sz w:val="19"/>
              </w:rPr>
            </w:pPr>
            <w:r>
              <w:rPr>
                <w:b/>
                <w:spacing w:val="-2"/>
                <w:w w:val="105"/>
                <w:sz w:val="19"/>
              </w:rPr>
              <w:t>66,23</w:t>
            </w:r>
          </w:p>
        </w:tc>
        <w:tc>
          <w:tcPr>
            <w:tcW w:w="1442" w:type="dxa"/>
          </w:tcPr>
          <w:p>
            <w:pPr>
              <w:pStyle w:val="TableParagraph"/>
              <w:spacing w:before="40"/>
              <w:rPr>
                <w:sz w:val="19"/>
              </w:rPr>
            </w:pPr>
          </w:p>
          <w:p>
            <w:pPr>
              <w:pStyle w:val="TableParagraph"/>
              <w:ind w:left="21" w:right="26"/>
              <w:jc w:val="center"/>
              <w:rPr>
                <w:b/>
                <w:sz w:val="19"/>
              </w:rPr>
            </w:pPr>
            <w:r>
              <w:rPr>
                <w:b/>
                <w:spacing w:val="-2"/>
                <w:w w:val="105"/>
                <w:sz w:val="19"/>
              </w:rPr>
              <w:t>$5,723,518.59</w:t>
            </w:r>
          </w:p>
        </w:tc>
      </w:tr>
    </w:tbl>
    <w:p>
      <w:pPr>
        <w:spacing w:before="15" w:line="256" w:lineRule="auto"/>
        <w:ind w:left="660" w:right="857" w:firstLine="0"/>
        <w:jc w:val="left"/>
        <w:rPr>
          <w:sz w:val="19"/>
        </w:rPr>
      </w:pPr>
      <w:r>
        <w:rPr>
          <w:w w:val="105"/>
          <w:sz w:val="19"/>
        </w:rPr>
        <w:t>*</w:t>
      </w:r>
      <w:r>
        <w:rPr>
          <w:spacing w:val="-5"/>
          <w:w w:val="105"/>
          <w:sz w:val="19"/>
        </w:rPr>
        <w:t xml:space="preserve"> </w:t>
      </w:r>
      <w:r>
        <w:rPr>
          <w:w w:val="105"/>
          <w:sz w:val="19"/>
        </w:rPr>
        <w:t>Total</w:t>
      </w:r>
      <w:r>
        <w:rPr>
          <w:spacing w:val="-3"/>
          <w:w w:val="105"/>
          <w:sz w:val="19"/>
        </w:rPr>
        <w:t xml:space="preserve"> </w:t>
      </w:r>
      <w:r>
        <w:rPr>
          <w:w w:val="105"/>
          <w:sz w:val="19"/>
        </w:rPr>
        <w:t>number</w:t>
      </w:r>
      <w:r>
        <w:rPr>
          <w:spacing w:val="-7"/>
          <w:w w:val="105"/>
          <w:sz w:val="19"/>
        </w:rPr>
        <w:t xml:space="preserve"> </w:t>
      </w:r>
      <w:r>
        <w:rPr>
          <w:w w:val="105"/>
          <w:sz w:val="19"/>
        </w:rPr>
        <w:t>of respondent’s accounts</w:t>
      </w:r>
      <w:r>
        <w:rPr>
          <w:spacing w:val="-4"/>
          <w:w w:val="105"/>
          <w:sz w:val="19"/>
        </w:rPr>
        <w:t xml:space="preserve"> </w:t>
      </w:r>
      <w:r>
        <w:rPr>
          <w:w w:val="105"/>
          <w:sz w:val="19"/>
        </w:rPr>
        <w:t>for</w:t>
      </w:r>
      <w:r>
        <w:rPr>
          <w:spacing w:val="-7"/>
          <w:w w:val="105"/>
          <w:sz w:val="19"/>
        </w:rPr>
        <w:t xml:space="preserve"> </w:t>
      </w:r>
      <w:r>
        <w:rPr>
          <w:w w:val="105"/>
          <w:sz w:val="19"/>
        </w:rPr>
        <w:t>the</w:t>
      </w:r>
      <w:r>
        <w:rPr>
          <w:spacing w:val="-1"/>
          <w:w w:val="105"/>
          <w:sz w:val="19"/>
        </w:rPr>
        <w:t xml:space="preserve"> </w:t>
      </w:r>
      <w:r>
        <w:rPr>
          <w:w w:val="105"/>
          <w:sz w:val="19"/>
        </w:rPr>
        <w:t>overlap in</w:t>
      </w:r>
      <w:r>
        <w:rPr>
          <w:spacing w:val="-5"/>
          <w:w w:val="105"/>
          <w:sz w:val="19"/>
        </w:rPr>
        <w:t xml:space="preserve"> </w:t>
      </w:r>
      <w:r>
        <w:rPr>
          <w:w w:val="105"/>
          <w:sz w:val="19"/>
        </w:rPr>
        <w:t>individual</w:t>
      </w:r>
      <w:r>
        <w:rPr>
          <w:spacing w:val="-3"/>
          <w:w w:val="105"/>
          <w:sz w:val="19"/>
        </w:rPr>
        <w:t xml:space="preserve"> </w:t>
      </w:r>
      <w:r>
        <w:rPr>
          <w:w w:val="105"/>
          <w:sz w:val="19"/>
        </w:rPr>
        <w:t>market QHP</w:t>
      </w:r>
      <w:r>
        <w:rPr>
          <w:spacing w:val="-1"/>
          <w:w w:val="105"/>
          <w:sz w:val="19"/>
        </w:rPr>
        <w:t xml:space="preserve"> </w:t>
      </w:r>
      <w:r>
        <w:rPr>
          <w:w w:val="105"/>
          <w:sz w:val="19"/>
        </w:rPr>
        <w:t>issuers,</w:t>
      </w:r>
      <w:r>
        <w:rPr>
          <w:spacing w:val="-5"/>
          <w:w w:val="105"/>
          <w:sz w:val="19"/>
        </w:rPr>
        <w:t xml:space="preserve"> </w:t>
      </w:r>
      <w:r>
        <w:rPr>
          <w:w w:val="105"/>
          <w:sz w:val="19"/>
        </w:rPr>
        <w:t>individual</w:t>
      </w:r>
      <w:r>
        <w:rPr>
          <w:spacing w:val="-2"/>
          <w:w w:val="105"/>
          <w:sz w:val="19"/>
        </w:rPr>
        <w:t xml:space="preserve"> </w:t>
      </w:r>
      <w:r>
        <w:rPr>
          <w:w w:val="105"/>
          <w:sz w:val="19"/>
        </w:rPr>
        <w:t>market issuers outside the Exchange, and small group market issuers.</w:t>
      </w:r>
    </w:p>
    <w:p>
      <w:pPr>
        <w:spacing w:after="0" w:line="256" w:lineRule="auto"/>
        <w:jc w:val="left"/>
        <w:rPr>
          <w:sz w:val="19"/>
        </w:rPr>
        <w:sectPr>
          <w:pgSz w:w="12240" w:h="15840"/>
          <w:pgMar w:top="1020" w:right="780" w:bottom="960" w:left="780" w:header="0" w:footer="772"/>
          <w:cols w:space="720"/>
        </w:sectPr>
      </w:pPr>
    </w:p>
    <w:p>
      <w:pPr>
        <w:pStyle w:val="ListParagraph"/>
        <w:numPr>
          <w:ilvl w:val="1"/>
          <w:numId w:val="2"/>
        </w:numPr>
        <w:tabs>
          <w:tab w:val="left" w:pos="1189"/>
        </w:tabs>
        <w:spacing w:before="62" w:after="0" w:line="240" w:lineRule="auto"/>
        <w:ind w:left="1189" w:right="0" w:hanging="430"/>
        <w:jc w:val="left"/>
        <w:rPr>
          <w:sz w:val="24"/>
        </w:rPr>
      </w:pPr>
      <w:r>
        <w:rPr>
          <w:sz w:val="24"/>
          <w:u w:val="single"/>
        </w:rPr>
        <w:t>Capital</w:t>
      </w:r>
      <w:r>
        <w:rPr>
          <w:spacing w:val="-1"/>
          <w:sz w:val="24"/>
          <w:u w:val="single"/>
        </w:rPr>
        <w:t xml:space="preserve"> </w:t>
      </w:r>
      <w:r>
        <w:rPr>
          <w:spacing w:val="-2"/>
          <w:sz w:val="24"/>
          <w:u w:val="single"/>
        </w:rPr>
        <w:t>Costs</w:t>
      </w:r>
    </w:p>
    <w:p>
      <w:pPr>
        <w:pStyle w:val="BodyText"/>
        <w:spacing w:before="70" w:line="300" w:lineRule="auto"/>
        <w:ind w:left="1190" w:right="1130"/>
      </w:pPr>
      <w:r>
        <w:t>Exchanges and health insurance issuers are expected to maintain copies of notices on file. The</w:t>
      </w:r>
      <w:r>
        <w:rPr>
          <w:spacing w:val="-1"/>
        </w:rPr>
        <w:t xml:space="preserve"> </w:t>
      </w:r>
      <w:r>
        <w:t>retention of</w:t>
      </w:r>
      <w:r>
        <w:rPr>
          <w:spacing w:val="-2"/>
        </w:rPr>
        <w:t xml:space="preserve"> </w:t>
      </w:r>
      <w:r>
        <w:t>copies</w:t>
      </w:r>
      <w:r>
        <w:rPr>
          <w:spacing w:val="-2"/>
        </w:rPr>
        <w:t xml:space="preserve"> </w:t>
      </w:r>
      <w:r>
        <w:t>would fall</w:t>
      </w:r>
      <w:r>
        <w:rPr>
          <w:spacing w:val="-3"/>
        </w:rPr>
        <w:t xml:space="preserve"> </w:t>
      </w:r>
      <w:r>
        <w:t>under</w:t>
      </w:r>
      <w:r>
        <w:rPr>
          <w:spacing w:val="-3"/>
        </w:rPr>
        <w:t xml:space="preserve"> </w:t>
      </w:r>
      <w:r>
        <w:t>normal</w:t>
      </w:r>
      <w:r>
        <w:rPr>
          <w:spacing w:val="-3"/>
        </w:rPr>
        <w:t xml:space="preserve"> </w:t>
      </w:r>
      <w:r>
        <w:t>record retention practices</w:t>
      </w:r>
      <w:r>
        <w:rPr>
          <w:spacing w:val="-2"/>
        </w:rPr>
        <w:t xml:space="preserve"> </w:t>
      </w:r>
      <w:r>
        <w:t>as</w:t>
      </w:r>
      <w:r>
        <w:rPr>
          <w:spacing w:val="-2"/>
        </w:rPr>
        <w:t xml:space="preserve"> </w:t>
      </w:r>
      <w:r>
        <w:t>part of customary and usual business and therefore would have a marginal annual cost.</w:t>
      </w:r>
    </w:p>
    <w:p>
      <w:pPr>
        <w:pStyle w:val="ListParagraph"/>
        <w:numPr>
          <w:ilvl w:val="1"/>
          <w:numId w:val="2"/>
        </w:numPr>
        <w:tabs>
          <w:tab w:val="left" w:pos="1189"/>
        </w:tabs>
        <w:spacing w:before="215" w:after="0" w:line="240" w:lineRule="auto"/>
        <w:ind w:left="1189" w:right="0" w:hanging="430"/>
        <w:jc w:val="left"/>
        <w:rPr>
          <w:sz w:val="24"/>
        </w:rPr>
      </w:pPr>
      <w:r>
        <w:rPr>
          <w:sz w:val="24"/>
          <w:u w:val="single"/>
        </w:rPr>
        <w:t>Cost to</w:t>
      </w:r>
      <w:r>
        <w:rPr>
          <w:spacing w:val="3"/>
          <w:sz w:val="24"/>
          <w:u w:val="single"/>
        </w:rPr>
        <w:t xml:space="preserve"> </w:t>
      </w:r>
      <w:r>
        <w:rPr>
          <w:sz w:val="24"/>
          <w:u w:val="single"/>
        </w:rPr>
        <w:t>Federal</w:t>
      </w:r>
      <w:r>
        <w:rPr>
          <w:spacing w:val="1"/>
          <w:sz w:val="24"/>
          <w:u w:val="single"/>
        </w:rPr>
        <w:t xml:space="preserve"> </w:t>
      </w:r>
      <w:r>
        <w:rPr>
          <w:spacing w:val="-2"/>
          <w:sz w:val="24"/>
          <w:u w:val="single"/>
        </w:rPr>
        <w:t>Government</w:t>
      </w:r>
    </w:p>
    <w:p>
      <w:pPr>
        <w:pStyle w:val="BodyText"/>
        <w:spacing w:before="204"/>
        <w:ind w:left="1190"/>
      </w:pPr>
      <w:r>
        <w:t>There</w:t>
      </w:r>
      <w:r>
        <w:rPr>
          <w:spacing w:val="2"/>
        </w:rPr>
        <w:t xml:space="preserve"> </w:t>
      </w:r>
      <w:r>
        <w:t>is</w:t>
      </w:r>
      <w:r>
        <w:rPr>
          <w:spacing w:val="1"/>
        </w:rPr>
        <w:t xml:space="preserve"> </w:t>
      </w:r>
      <w:r>
        <w:t>no</w:t>
      </w:r>
      <w:r>
        <w:rPr>
          <w:spacing w:val="3"/>
        </w:rPr>
        <w:t xml:space="preserve"> </w:t>
      </w:r>
      <w:r>
        <w:t>cost to</w:t>
      </w:r>
      <w:r>
        <w:rPr>
          <w:spacing w:val="3"/>
        </w:rPr>
        <w:t xml:space="preserve"> </w:t>
      </w:r>
      <w:r>
        <w:t>the</w:t>
      </w:r>
      <w:r>
        <w:rPr>
          <w:spacing w:val="2"/>
        </w:rPr>
        <w:t xml:space="preserve"> </w:t>
      </w:r>
      <w:r>
        <w:t>Federal</w:t>
      </w:r>
      <w:r>
        <w:rPr>
          <w:spacing w:val="-1"/>
        </w:rPr>
        <w:t xml:space="preserve"> </w:t>
      </w:r>
      <w:r>
        <w:rPr>
          <w:spacing w:val="-2"/>
        </w:rPr>
        <w:t>government.</w:t>
      </w:r>
    </w:p>
    <w:p>
      <w:pPr>
        <w:pStyle w:val="ListParagraph"/>
        <w:numPr>
          <w:ilvl w:val="1"/>
          <w:numId w:val="2"/>
        </w:numPr>
        <w:tabs>
          <w:tab w:val="left" w:pos="1189"/>
        </w:tabs>
        <w:spacing w:before="275" w:after="0" w:line="240" w:lineRule="auto"/>
        <w:ind w:left="1189" w:right="0" w:hanging="430"/>
        <w:jc w:val="left"/>
        <w:rPr>
          <w:sz w:val="24"/>
        </w:rPr>
      </w:pPr>
      <w:r>
        <w:rPr>
          <w:sz w:val="24"/>
          <w:u w:val="single"/>
        </w:rPr>
        <w:t>Changes</w:t>
      </w:r>
      <w:r>
        <w:rPr>
          <w:spacing w:val="1"/>
          <w:sz w:val="24"/>
          <w:u w:val="single"/>
        </w:rPr>
        <w:t xml:space="preserve"> </w:t>
      </w:r>
      <w:r>
        <w:rPr>
          <w:sz w:val="24"/>
          <w:u w:val="single"/>
        </w:rPr>
        <w:t>to</w:t>
      </w:r>
      <w:r>
        <w:rPr>
          <w:spacing w:val="5"/>
          <w:sz w:val="24"/>
          <w:u w:val="single"/>
        </w:rPr>
        <w:t xml:space="preserve"> </w:t>
      </w:r>
      <w:r>
        <w:rPr>
          <w:spacing w:val="-2"/>
          <w:sz w:val="24"/>
          <w:u w:val="single"/>
        </w:rPr>
        <w:t>Burden</w:t>
      </w:r>
    </w:p>
    <w:p>
      <w:pPr>
        <w:pStyle w:val="BodyText"/>
        <w:spacing w:before="70"/>
      </w:pPr>
    </w:p>
    <w:p>
      <w:pPr>
        <w:pStyle w:val="BodyText"/>
        <w:spacing w:line="271" w:lineRule="auto"/>
        <w:ind w:left="1190" w:right="598"/>
      </w:pPr>
      <w:r>
        <w:t>The burden for individual market QHP issuers has increased by approximately 423 hours (from 12,821 to 13,244) due to an increase in the estimated number of QHP issuers (from 333 to 344). The burden for issuers in the individual market outside the Exchange and issuers</w:t>
      </w:r>
      <w:r>
        <w:rPr>
          <w:spacing w:val="-4"/>
        </w:rPr>
        <w:t xml:space="preserve"> </w:t>
      </w:r>
      <w:r>
        <w:t>in</w:t>
      </w:r>
      <w:r>
        <w:rPr>
          <w:spacing w:val="-3"/>
        </w:rPr>
        <w:t xml:space="preserve"> </w:t>
      </w:r>
      <w:r>
        <w:t>the</w:t>
      </w:r>
      <w:r>
        <w:rPr>
          <w:spacing w:val="-3"/>
        </w:rPr>
        <w:t xml:space="preserve"> </w:t>
      </w:r>
      <w:r>
        <w:t>small</w:t>
      </w:r>
      <w:r>
        <w:rPr>
          <w:spacing w:val="-3"/>
        </w:rPr>
        <w:t xml:space="preserve"> </w:t>
      </w:r>
      <w:r>
        <w:t>group</w:t>
      </w:r>
      <w:r>
        <w:rPr>
          <w:spacing w:val="-3"/>
        </w:rPr>
        <w:t xml:space="preserve"> </w:t>
      </w:r>
      <w:r>
        <w:t>market</w:t>
      </w:r>
      <w:r>
        <w:rPr>
          <w:spacing w:val="-3"/>
        </w:rPr>
        <w:t xml:space="preserve"> </w:t>
      </w:r>
      <w:r>
        <w:t>has</w:t>
      </w:r>
      <w:r>
        <w:rPr>
          <w:spacing w:val="-4"/>
        </w:rPr>
        <w:t xml:space="preserve"> </w:t>
      </w:r>
      <w:r>
        <w:t>decreased</w:t>
      </w:r>
      <w:r>
        <w:rPr>
          <w:spacing w:val="-3"/>
        </w:rPr>
        <w:t xml:space="preserve"> </w:t>
      </w:r>
      <w:r>
        <w:t>by</w:t>
      </w:r>
      <w:r>
        <w:rPr>
          <w:spacing w:val="-3"/>
        </w:rPr>
        <w:t xml:space="preserve"> </w:t>
      </w:r>
      <w:r>
        <w:t>6,335</w:t>
      </w:r>
      <w:r>
        <w:rPr>
          <w:spacing w:val="-3"/>
        </w:rPr>
        <w:t xml:space="preserve"> </w:t>
      </w:r>
      <w:r>
        <w:t>hours</w:t>
      </w:r>
      <w:r>
        <w:rPr>
          <w:spacing w:val="-4"/>
        </w:rPr>
        <w:t xml:space="preserve"> </w:t>
      </w:r>
      <w:r>
        <w:t>(from</w:t>
      </w:r>
      <w:r>
        <w:rPr>
          <w:spacing w:val="-3"/>
        </w:rPr>
        <w:t xml:space="preserve"> </w:t>
      </w:r>
      <w:r>
        <w:t>59,326</w:t>
      </w:r>
      <w:r>
        <w:rPr>
          <w:spacing w:val="-3"/>
        </w:rPr>
        <w:t xml:space="preserve"> </w:t>
      </w:r>
      <w:r>
        <w:t>to</w:t>
      </w:r>
      <w:r>
        <w:rPr>
          <w:spacing w:val="-3"/>
        </w:rPr>
        <w:t xml:space="preserve"> </w:t>
      </w:r>
      <w:r>
        <w:t>52,992)</w:t>
      </w:r>
      <w:r>
        <w:rPr>
          <w:spacing w:val="-3"/>
        </w:rPr>
        <w:t xml:space="preserve"> </w:t>
      </w:r>
      <w:r>
        <w:t xml:space="preserve">due to a decrease in the estimated number of issuers in those markets (from 1,340 to 1,206). In total, there is a reduction in burden by approximately 5,786 hours. (from 72,002 to 66,236 </w:t>
      </w:r>
      <w:r>
        <w:rPr>
          <w:spacing w:val="-2"/>
        </w:rPr>
        <w:t>hours),</w:t>
      </w:r>
    </w:p>
    <w:p>
      <w:pPr>
        <w:pStyle w:val="ListParagraph"/>
        <w:numPr>
          <w:ilvl w:val="1"/>
          <w:numId w:val="2"/>
        </w:numPr>
        <w:tabs>
          <w:tab w:val="left" w:pos="1189"/>
        </w:tabs>
        <w:spacing w:before="232" w:after="0" w:line="240" w:lineRule="auto"/>
        <w:ind w:left="1189" w:right="0" w:hanging="430"/>
        <w:jc w:val="left"/>
        <w:rPr>
          <w:sz w:val="24"/>
        </w:rPr>
      </w:pPr>
      <w:r>
        <w:rPr>
          <w:sz w:val="24"/>
          <w:u w:val="single"/>
        </w:rPr>
        <w:t>Publication/Tabulation</w:t>
      </w:r>
      <w:r>
        <w:rPr>
          <w:spacing w:val="4"/>
          <w:sz w:val="24"/>
          <w:u w:val="single"/>
        </w:rPr>
        <w:t xml:space="preserve"> </w:t>
      </w:r>
      <w:r>
        <w:rPr>
          <w:spacing w:val="-2"/>
          <w:sz w:val="24"/>
          <w:u w:val="single"/>
        </w:rPr>
        <w:t>Dates</w:t>
      </w:r>
    </w:p>
    <w:p>
      <w:pPr>
        <w:pStyle w:val="BodyText"/>
        <w:spacing w:before="211"/>
        <w:ind w:left="1190"/>
      </w:pPr>
      <w:r>
        <w:t>There</w:t>
      </w:r>
      <w:r>
        <w:rPr>
          <w:spacing w:val="2"/>
        </w:rPr>
        <w:t xml:space="preserve"> </w:t>
      </w:r>
      <w:r>
        <w:t>are</w:t>
      </w:r>
      <w:r>
        <w:rPr>
          <w:spacing w:val="2"/>
        </w:rPr>
        <w:t xml:space="preserve"> </w:t>
      </w:r>
      <w:r>
        <w:t>no</w:t>
      </w:r>
      <w:r>
        <w:rPr>
          <w:spacing w:val="3"/>
        </w:rPr>
        <w:t xml:space="preserve"> </w:t>
      </w:r>
      <w:r>
        <w:t>plans</w:t>
      </w:r>
      <w:r>
        <w:rPr>
          <w:spacing w:val="1"/>
        </w:rPr>
        <w:t xml:space="preserve"> </w:t>
      </w:r>
      <w:r>
        <w:t>to</w:t>
      </w:r>
      <w:r>
        <w:rPr>
          <w:spacing w:val="3"/>
        </w:rPr>
        <w:t xml:space="preserve"> </w:t>
      </w:r>
      <w:r>
        <w:t>publish</w:t>
      </w:r>
      <w:r>
        <w:rPr>
          <w:spacing w:val="3"/>
        </w:rPr>
        <w:t xml:space="preserve"> </w:t>
      </w:r>
      <w:r>
        <w:t>the</w:t>
      </w:r>
      <w:r>
        <w:rPr>
          <w:spacing w:val="2"/>
        </w:rPr>
        <w:t xml:space="preserve"> </w:t>
      </w:r>
      <w:r>
        <w:t>outcome</w:t>
      </w:r>
      <w:r>
        <w:rPr>
          <w:spacing w:val="2"/>
        </w:rPr>
        <w:t xml:space="preserve"> </w:t>
      </w:r>
      <w:r>
        <w:t>of</w:t>
      </w:r>
      <w:r>
        <w:rPr>
          <w:spacing w:val="1"/>
        </w:rPr>
        <w:t xml:space="preserve"> </w:t>
      </w:r>
      <w:r>
        <w:t>the</w:t>
      </w:r>
      <w:r>
        <w:rPr>
          <w:spacing w:val="2"/>
        </w:rPr>
        <w:t xml:space="preserve"> </w:t>
      </w:r>
      <w:r>
        <w:t>data</w:t>
      </w:r>
      <w:r>
        <w:rPr>
          <w:spacing w:val="2"/>
        </w:rPr>
        <w:t xml:space="preserve"> </w:t>
      </w:r>
      <w:r>
        <w:rPr>
          <w:spacing w:val="-2"/>
        </w:rPr>
        <w:t>collection.</w:t>
      </w:r>
    </w:p>
    <w:p>
      <w:pPr>
        <w:pStyle w:val="ListParagraph"/>
        <w:numPr>
          <w:ilvl w:val="1"/>
          <w:numId w:val="2"/>
        </w:numPr>
        <w:tabs>
          <w:tab w:val="left" w:pos="1189"/>
        </w:tabs>
        <w:spacing w:before="275" w:after="0" w:line="240" w:lineRule="auto"/>
        <w:ind w:left="1189" w:right="0" w:hanging="430"/>
        <w:jc w:val="left"/>
        <w:rPr>
          <w:sz w:val="24"/>
        </w:rPr>
      </w:pPr>
      <w:r>
        <w:rPr>
          <w:sz w:val="24"/>
          <w:u w:val="single"/>
        </w:rPr>
        <w:t>Expiration</w:t>
      </w:r>
      <w:r>
        <w:rPr>
          <w:spacing w:val="3"/>
          <w:sz w:val="24"/>
          <w:u w:val="single"/>
        </w:rPr>
        <w:t xml:space="preserve"> </w:t>
      </w:r>
      <w:r>
        <w:rPr>
          <w:spacing w:val="-4"/>
          <w:sz w:val="24"/>
          <w:u w:val="single"/>
        </w:rPr>
        <w:t>Date</w:t>
      </w:r>
    </w:p>
    <w:p>
      <w:pPr>
        <w:pStyle w:val="BodyText"/>
        <w:spacing w:before="105" w:line="331" w:lineRule="auto"/>
        <w:ind w:left="1190" w:right="857"/>
      </w:pPr>
      <w:r>
        <w:t>The</w:t>
      </w:r>
      <w:r>
        <w:rPr>
          <w:spacing w:val="-1"/>
        </w:rPr>
        <w:t xml:space="preserve"> </w:t>
      </w:r>
      <w:r>
        <w:t>expiration date</w:t>
      </w:r>
      <w:r>
        <w:rPr>
          <w:spacing w:val="-1"/>
        </w:rPr>
        <w:t xml:space="preserve"> </w:t>
      </w:r>
      <w:r>
        <w:t>will</w:t>
      </w:r>
      <w:r>
        <w:rPr>
          <w:spacing w:val="-3"/>
        </w:rPr>
        <w:t xml:space="preserve"> </w:t>
      </w:r>
      <w:r>
        <w:t>be</w:t>
      </w:r>
      <w:r>
        <w:rPr>
          <w:spacing w:val="-1"/>
        </w:rPr>
        <w:t xml:space="preserve"> </w:t>
      </w:r>
      <w:r>
        <w:t>displayed on the</w:t>
      </w:r>
      <w:r>
        <w:rPr>
          <w:spacing w:val="-1"/>
        </w:rPr>
        <w:t xml:space="preserve"> </w:t>
      </w:r>
      <w:r>
        <w:t>first</w:t>
      </w:r>
      <w:r>
        <w:rPr>
          <w:spacing w:val="-3"/>
        </w:rPr>
        <w:t xml:space="preserve"> </w:t>
      </w:r>
      <w:r>
        <w:t>page</w:t>
      </w:r>
      <w:r>
        <w:rPr>
          <w:spacing w:val="-2"/>
        </w:rPr>
        <w:t xml:space="preserve"> </w:t>
      </w:r>
      <w:r>
        <w:t>of</w:t>
      </w:r>
      <w:r>
        <w:rPr>
          <w:spacing w:val="-2"/>
        </w:rPr>
        <w:t xml:space="preserve"> </w:t>
      </w:r>
      <w:r>
        <w:t>each</w:t>
      </w:r>
      <w:r>
        <w:rPr>
          <w:spacing w:val="-1"/>
        </w:rPr>
        <w:t xml:space="preserve"> </w:t>
      </w:r>
      <w:r>
        <w:t>instrument (top, right-</w:t>
      </w:r>
      <w:r>
        <w:t xml:space="preserve">hand </w:t>
      </w:r>
      <w:r>
        <w:rPr>
          <w:spacing w:val="-2"/>
        </w:rPr>
        <w:t>corner).</w:t>
      </w:r>
    </w:p>
    <w:p>
      <w:pPr>
        <w:pStyle w:val="ListParagraph"/>
        <w:numPr>
          <w:ilvl w:val="1"/>
          <w:numId w:val="2"/>
        </w:numPr>
        <w:tabs>
          <w:tab w:val="left" w:pos="1190"/>
        </w:tabs>
        <w:spacing w:before="171" w:after="0" w:line="331" w:lineRule="auto"/>
        <w:ind w:left="1190" w:right="7128" w:hanging="431"/>
        <w:jc w:val="left"/>
        <w:rPr>
          <w:sz w:val="24"/>
        </w:rPr>
      </w:pPr>
      <w:r>
        <w:rPr>
          <w:sz w:val="24"/>
          <w:u w:val="single"/>
        </w:rPr>
        <w:t>Certification Statement</w:t>
      </w:r>
      <w:r>
        <w:rPr>
          <w:sz w:val="24"/>
          <w:u w:val="none"/>
        </w:rPr>
        <w:t xml:space="preserve"> There are no </w:t>
      </w:r>
      <w:r>
        <w:rPr>
          <w:spacing w:val="-2"/>
          <w:sz w:val="24"/>
          <w:u w:val="none"/>
        </w:rPr>
        <w:t>exceptions.</w:t>
      </w:r>
    </w:p>
    <w:p>
      <w:pPr>
        <w:spacing w:after="0" w:line="331" w:lineRule="auto"/>
        <w:jc w:val="left"/>
        <w:rPr>
          <w:sz w:val="24"/>
        </w:rPr>
        <w:sectPr>
          <w:pgSz w:w="12240" w:h="15840"/>
          <w:pgMar w:top="1020" w:right="780" w:bottom="960" w:left="780" w:header="0" w:footer="772"/>
          <w:cols w:space="720"/>
        </w:sectPr>
      </w:pPr>
    </w:p>
    <w:p>
      <w:pPr>
        <w:spacing w:before="74"/>
        <w:ind w:left="660" w:right="0" w:firstLine="0"/>
        <w:jc w:val="left"/>
        <w:rPr>
          <w:b/>
          <w:sz w:val="24"/>
        </w:rPr>
      </w:pPr>
      <w:r>
        <w:rPr>
          <w:b/>
          <w:spacing w:val="-2"/>
          <w:sz w:val="24"/>
        </w:rPr>
        <w:t>ATTACHMENTS:</w:t>
      </w:r>
    </w:p>
    <w:p>
      <w:pPr>
        <w:pStyle w:val="BodyText"/>
        <w:spacing w:before="275"/>
        <w:ind w:left="2150" w:right="1493" w:hanging="1589"/>
      </w:pPr>
      <w:r>
        <w:t>Attachment</w:t>
      </w:r>
      <w:r>
        <w:rPr>
          <w:spacing w:val="-5"/>
        </w:rPr>
        <w:t xml:space="preserve"> </w:t>
      </w:r>
      <w:r>
        <w:t>1:</w:t>
      </w:r>
      <w:r>
        <w:rPr>
          <w:spacing w:val="-5"/>
        </w:rPr>
        <w:t xml:space="preserve"> </w:t>
      </w:r>
      <w:r>
        <w:t>Renewal</w:t>
      </w:r>
      <w:r>
        <w:rPr>
          <w:spacing w:val="-6"/>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where</w:t>
      </w:r>
      <w:r>
        <w:rPr>
          <w:spacing w:val="-3"/>
        </w:rPr>
        <w:t xml:space="preserve"> </w:t>
      </w:r>
      <w:r>
        <w:t>coverage</w:t>
      </w:r>
      <w:r>
        <w:rPr>
          <w:spacing w:val="-4"/>
        </w:rPr>
        <w:t xml:space="preserve"> </w:t>
      </w:r>
      <w:r>
        <w:t>is being</w:t>
      </w:r>
      <w:r>
        <w:rPr>
          <w:spacing w:val="-2"/>
        </w:rPr>
        <w:t xml:space="preserve"> </w:t>
      </w:r>
      <w:r>
        <w:t>renewed outside the Exchange</w:t>
      </w:r>
    </w:p>
    <w:p>
      <w:pPr>
        <w:pStyle w:val="BodyText"/>
        <w:spacing w:before="253"/>
        <w:ind w:left="2186" w:right="857" w:hanging="1625"/>
      </w:pPr>
      <w:r>
        <w:t>Attachment</w:t>
      </w:r>
      <w:r>
        <w:rPr>
          <w:spacing w:val="-4"/>
        </w:rPr>
        <w:t xml:space="preserve"> </w:t>
      </w:r>
      <w:r>
        <w:t>2:</w:t>
      </w:r>
      <w:r>
        <w:rPr>
          <w:spacing w:val="-4"/>
        </w:rPr>
        <w:t xml:space="preserve"> </w:t>
      </w:r>
      <w:r>
        <w:t>Renewal</w:t>
      </w:r>
      <w:r>
        <w:rPr>
          <w:spacing w:val="-5"/>
        </w:rPr>
        <w:t xml:space="preserve"> </w:t>
      </w:r>
      <w:r>
        <w:t>notice</w:t>
      </w:r>
      <w:r>
        <w:rPr>
          <w:spacing w:val="-3"/>
        </w:rPr>
        <w:t xml:space="preserve"> </w:t>
      </w:r>
      <w:r>
        <w:t>for</w:t>
      </w:r>
      <w:r>
        <w:rPr>
          <w:spacing w:val="-3"/>
        </w:rPr>
        <w:t xml:space="preserve"> </w:t>
      </w:r>
      <w:r>
        <w:t>the</w:t>
      </w:r>
      <w:r>
        <w:rPr>
          <w:spacing w:val="-2"/>
        </w:rPr>
        <w:t xml:space="preserve"> </w:t>
      </w:r>
      <w:r>
        <w:t>individual</w:t>
      </w:r>
      <w:r>
        <w:rPr>
          <w:spacing w:val="-5"/>
        </w:rPr>
        <w:t xml:space="preserve"> </w:t>
      </w:r>
      <w:r>
        <w:t>market</w:t>
      </w:r>
      <w:r>
        <w:rPr>
          <w:spacing w:val="-5"/>
        </w:rPr>
        <w:t xml:space="preserve"> </w:t>
      </w:r>
      <w:r>
        <w:t>where</w:t>
      </w:r>
      <w:r>
        <w:rPr>
          <w:spacing w:val="-2"/>
        </w:rPr>
        <w:t xml:space="preserve"> </w:t>
      </w:r>
      <w:r>
        <w:t>coverage</w:t>
      </w:r>
      <w:r>
        <w:rPr>
          <w:spacing w:val="-3"/>
        </w:rPr>
        <w:t xml:space="preserve"> </w:t>
      </w:r>
      <w:r>
        <w:t>is being</w:t>
      </w:r>
      <w:r>
        <w:rPr>
          <w:spacing w:val="-2"/>
        </w:rPr>
        <w:t xml:space="preserve"> </w:t>
      </w:r>
      <w:r>
        <w:t>renewed</w:t>
      </w:r>
      <w:r>
        <w:rPr>
          <w:spacing w:val="-2"/>
        </w:rPr>
        <w:t xml:space="preserve"> </w:t>
      </w:r>
      <w:r>
        <w:t>in</w:t>
      </w:r>
      <w:r>
        <w:rPr>
          <w:spacing w:val="-2"/>
        </w:rPr>
        <w:t xml:space="preserve"> </w:t>
      </w:r>
      <w:r>
        <w:t>a QHP offered under the same product through the Exchange</w:t>
      </w:r>
    </w:p>
    <w:p>
      <w:pPr>
        <w:pStyle w:val="BodyText"/>
        <w:spacing w:before="275"/>
        <w:ind w:left="2186" w:right="857" w:hanging="1625"/>
      </w:pPr>
      <w:r>
        <w:t>Attachment</w:t>
      </w:r>
      <w:r>
        <w:rPr>
          <w:spacing w:val="-5"/>
        </w:rPr>
        <w:t xml:space="preserve"> </w:t>
      </w:r>
      <w:r>
        <w:t>3:</w:t>
      </w:r>
      <w:r>
        <w:rPr>
          <w:spacing w:val="-5"/>
        </w:rPr>
        <w:t xml:space="preserve"> </w:t>
      </w:r>
      <w:r>
        <w:t>Discontinuation</w:t>
      </w:r>
      <w:r>
        <w:rPr>
          <w:spacing w:val="-2"/>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5"/>
        </w:rPr>
        <w:t xml:space="preserve"> </w:t>
      </w:r>
      <w:r>
        <w:t>market</w:t>
      </w:r>
      <w:r>
        <w:rPr>
          <w:spacing w:val="-6"/>
        </w:rPr>
        <w:t xml:space="preserve"> </w:t>
      </w:r>
      <w:r>
        <w:t>outside</w:t>
      </w:r>
      <w:r>
        <w:rPr>
          <w:spacing w:val="-3"/>
        </w:rPr>
        <w:t xml:space="preserve"> </w:t>
      </w:r>
      <w:r>
        <w:t>the Exchange</w:t>
      </w:r>
      <w:r>
        <w:rPr>
          <w:spacing w:val="-3"/>
        </w:rPr>
        <w:t xml:space="preserve"> </w:t>
      </w:r>
      <w:r>
        <w:t>and</w:t>
      </w:r>
      <w:r>
        <w:rPr>
          <w:spacing w:val="-3"/>
        </w:rPr>
        <w:t xml:space="preserve"> </w:t>
      </w:r>
      <w:r>
        <w:t xml:space="preserve">the issuer is automatically enrolling the enrollee in a different plan outside the </w:t>
      </w:r>
      <w:r>
        <w:rPr>
          <w:spacing w:val="-2"/>
        </w:rPr>
        <w:t>Exchange</w:t>
      </w:r>
    </w:p>
    <w:p>
      <w:pPr>
        <w:pStyle w:val="BodyText"/>
        <w:spacing w:before="252" w:line="242" w:lineRule="auto"/>
        <w:ind w:left="2094" w:right="948" w:hanging="1533"/>
      </w:pPr>
      <w:r>
        <w:t>Attachment</w:t>
      </w:r>
      <w:r>
        <w:rPr>
          <w:spacing w:val="-5"/>
        </w:rPr>
        <w:t xml:space="preserve"> </w:t>
      </w:r>
      <w:r>
        <w:t>4:</w:t>
      </w:r>
      <w:r>
        <w:rPr>
          <w:spacing w:val="-4"/>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where</w:t>
      </w:r>
      <w:r>
        <w:rPr>
          <w:spacing w:val="-3"/>
        </w:rPr>
        <w:t xml:space="preserve"> </w:t>
      </w:r>
      <w:r>
        <w:t>coverage</w:t>
      </w:r>
      <w:r>
        <w:rPr>
          <w:spacing w:val="-4"/>
        </w:rPr>
        <w:t xml:space="preserve"> </w:t>
      </w:r>
      <w:r>
        <w:t>was</w:t>
      </w:r>
      <w:r>
        <w:rPr>
          <w:spacing w:val="-4"/>
        </w:rPr>
        <w:t xml:space="preserve"> </w:t>
      </w:r>
      <w:r>
        <w:t>in</w:t>
      </w:r>
      <w:r>
        <w:rPr>
          <w:spacing w:val="-2"/>
        </w:rPr>
        <w:t xml:space="preserve"> </w:t>
      </w:r>
      <w:r>
        <w:t>a</w:t>
      </w:r>
      <w:r>
        <w:rPr>
          <w:spacing w:val="-3"/>
        </w:rPr>
        <w:t xml:space="preserve"> </w:t>
      </w:r>
      <w:r>
        <w:t>QHP</w:t>
      </w:r>
      <w:r>
        <w:rPr>
          <w:spacing w:val="-1"/>
        </w:rPr>
        <w:t xml:space="preserve"> </w:t>
      </w:r>
      <w:r>
        <w:t>offered</w:t>
      </w:r>
      <w:r>
        <w:rPr>
          <w:spacing w:val="-3"/>
        </w:rPr>
        <w:t xml:space="preserve"> </w:t>
      </w:r>
      <w:r>
        <w:t>through the Exchange and the issuer is automatically enrolling the enrollee in a plan under a different product offered through the Exchange</w:t>
      </w:r>
    </w:p>
    <w:p>
      <w:pPr>
        <w:pStyle w:val="BodyText"/>
        <w:spacing w:before="244" w:line="244" w:lineRule="auto"/>
        <w:ind w:left="2094" w:right="857" w:hanging="1533"/>
      </w:pPr>
      <w:r>
        <w:t>Attachment</w:t>
      </w:r>
      <w:r>
        <w:rPr>
          <w:spacing w:val="-5"/>
        </w:rPr>
        <w:t xml:space="preserve"> </w:t>
      </w:r>
      <w:r>
        <w:t>5:</w:t>
      </w:r>
      <w:r>
        <w:rPr>
          <w:spacing w:val="-5"/>
        </w:rPr>
        <w:t xml:space="preserve"> </w:t>
      </w:r>
      <w:r>
        <w:t>Discontinuation</w:t>
      </w:r>
      <w:r>
        <w:rPr>
          <w:spacing w:val="-2"/>
        </w:rPr>
        <w:t xml:space="preserve"> </w:t>
      </w:r>
      <w:r>
        <w:t>notice</w:t>
      </w:r>
      <w:r>
        <w:rPr>
          <w:spacing w:val="-4"/>
        </w:rPr>
        <w:t xml:space="preserve"> </w:t>
      </w:r>
      <w:r>
        <w:t>for</w:t>
      </w:r>
      <w:r>
        <w:rPr>
          <w:spacing w:val="-4"/>
        </w:rPr>
        <w:t xml:space="preserve"> </w:t>
      </w:r>
      <w:r>
        <w:t>the</w:t>
      </w:r>
      <w:r>
        <w:rPr>
          <w:spacing w:val="-3"/>
        </w:rPr>
        <w:t xml:space="preserve"> </w:t>
      </w:r>
      <w:r>
        <w:t>individual</w:t>
      </w:r>
      <w:r>
        <w:rPr>
          <w:spacing w:val="-5"/>
        </w:rPr>
        <w:t xml:space="preserve"> </w:t>
      </w:r>
      <w:r>
        <w:t>market</w:t>
      </w:r>
      <w:r>
        <w:rPr>
          <w:spacing w:val="-6"/>
        </w:rPr>
        <w:t xml:space="preserve"> </w:t>
      </w:r>
      <w:r>
        <w:t>outside</w:t>
      </w:r>
      <w:r>
        <w:rPr>
          <w:spacing w:val="-3"/>
        </w:rPr>
        <w:t xml:space="preserve"> </w:t>
      </w:r>
      <w:r>
        <w:t>the Exchange</w:t>
      </w:r>
      <w:r>
        <w:rPr>
          <w:spacing w:val="-3"/>
        </w:rPr>
        <w:t xml:space="preserve"> </w:t>
      </w:r>
      <w:r>
        <w:t>and</w:t>
      </w:r>
      <w:r>
        <w:rPr>
          <w:spacing w:val="-3"/>
        </w:rPr>
        <w:t xml:space="preserve"> </w:t>
      </w:r>
      <w:r>
        <w:t>the issuer is not automatically enrolling the enrollee in a different plan</w:t>
      </w:r>
    </w:p>
    <w:p>
      <w:pPr>
        <w:pStyle w:val="BodyText"/>
        <w:spacing w:before="270"/>
        <w:ind w:left="2094" w:right="857" w:hanging="1533"/>
      </w:pPr>
      <w:r>
        <w:t>Attachment 6: Discontinuation notice for the individual market where coverage being discontinued</w:t>
      </w:r>
      <w:r>
        <w:rPr>
          <w:spacing w:val="-4"/>
        </w:rPr>
        <w:t xml:space="preserve"> </w:t>
      </w:r>
      <w:r>
        <w:t>was</w:t>
      </w:r>
      <w:r>
        <w:rPr>
          <w:spacing w:val="-4"/>
        </w:rPr>
        <w:t xml:space="preserve"> </w:t>
      </w:r>
      <w:r>
        <w:t>in</w:t>
      </w:r>
      <w:r>
        <w:rPr>
          <w:spacing w:val="-3"/>
        </w:rPr>
        <w:t xml:space="preserve"> </w:t>
      </w:r>
      <w:r>
        <w:t>a</w:t>
      </w:r>
      <w:r>
        <w:rPr>
          <w:spacing w:val="-4"/>
        </w:rPr>
        <w:t xml:space="preserve"> </w:t>
      </w:r>
      <w:r>
        <w:t>QHP</w:t>
      </w:r>
      <w:r>
        <w:rPr>
          <w:spacing w:val="-2"/>
        </w:rPr>
        <w:t xml:space="preserve"> </w:t>
      </w:r>
      <w:r>
        <w:t>offered</w:t>
      </w:r>
      <w:r>
        <w:rPr>
          <w:spacing w:val="-4"/>
        </w:rPr>
        <w:t xml:space="preserve"> </w:t>
      </w:r>
      <w:r>
        <w:t>through</w:t>
      </w:r>
      <w:r>
        <w:rPr>
          <w:spacing w:val="-3"/>
        </w:rPr>
        <w:t xml:space="preserve"> </w:t>
      </w:r>
      <w:r>
        <w:t>the</w:t>
      </w:r>
      <w:r>
        <w:rPr>
          <w:spacing w:val="-4"/>
        </w:rPr>
        <w:t xml:space="preserve"> </w:t>
      </w:r>
      <w:r>
        <w:t>Exchange</w:t>
      </w:r>
      <w:r>
        <w:rPr>
          <w:spacing w:val="-4"/>
        </w:rPr>
        <w:t xml:space="preserve"> </w:t>
      </w:r>
      <w:r>
        <w:t>and</w:t>
      </w:r>
      <w:r>
        <w:rPr>
          <w:spacing w:val="-4"/>
        </w:rPr>
        <w:t xml:space="preserve"> </w:t>
      </w:r>
      <w:r>
        <w:t>the</w:t>
      </w:r>
      <w:r>
        <w:rPr>
          <w:spacing w:val="-4"/>
        </w:rPr>
        <w:t xml:space="preserve"> </w:t>
      </w:r>
      <w:r>
        <w:t>issuer</w:t>
      </w:r>
      <w:r>
        <w:rPr>
          <w:spacing w:val="-5"/>
        </w:rPr>
        <w:t xml:space="preserve"> </w:t>
      </w:r>
      <w:r>
        <w:t>is</w:t>
      </w:r>
      <w:r>
        <w:rPr>
          <w:spacing w:val="-4"/>
        </w:rPr>
        <w:t xml:space="preserve"> </w:t>
      </w:r>
      <w:r>
        <w:t>not automatically enrolling the enrollee in a different plan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5"/>
        <w:rPr>
          <w:sz w:val="22"/>
        </w:rPr>
      </w:pPr>
    </w:p>
    <w:p>
      <w:pPr>
        <w:spacing w:before="0"/>
        <w:ind w:left="0" w:right="358" w:firstLine="0"/>
        <w:jc w:val="center"/>
        <w:rPr>
          <w:sz w:val="22"/>
        </w:rPr>
      </w:pPr>
      <w:r>
        <w:rPr>
          <w:spacing w:val="-5"/>
          <w:sz w:val="22"/>
        </w:rPr>
        <w:t>13</w:t>
      </w:r>
    </w:p>
    <w:sectPr>
      <w:footerReference w:type="default" r:id="rId12"/>
      <w:pgSz w:w="12240" w:h="15840"/>
      <w:pgMar w:top="1580" w:right="780" w:bottom="280" w:left="78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3803903</wp:posOffset>
              </wp:positionH>
              <wp:positionV relativeFrom="page">
                <wp:posOffset>9428522</wp:posOffset>
              </wp:positionV>
              <wp:extent cx="168910" cy="1797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179705"/>
                      </a:xfrm>
                      <a:prstGeom prst="rect">
                        <a:avLst/>
                      </a:prstGeom>
                    </wps:spPr>
                    <wps:txbx>
                      <w:txbxContent>
                        <w:p>
                          <w:pPr>
                            <w:spacing w:before="9"/>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3pt;height:14.15pt;margin-top:742.4pt;margin-left:299.52pt;mso-position-horizontal-relative:page;mso-position-vertical-relative:page;position:absolute;z-index:-251657216" filled="f" stroked="f">
              <v:textbox inset="0,0,0,0">
                <w:txbxContent>
                  <w:p>
                    <w:pPr>
                      <w:spacing w:before="9"/>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55180B"/>
    <w:multiLevelType w:val="hybridMultilevel"/>
    <w:tmpl w:val="00000000"/>
    <w:lvl w:ilvl="0">
      <w:start w:val="0"/>
      <w:numFmt w:val="bullet"/>
      <w:lvlText w:val=""/>
      <w:lvlJc w:val="left"/>
      <w:pPr>
        <w:ind w:left="2200"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48" w:hanging="361"/>
      </w:pPr>
      <w:rPr>
        <w:rFonts w:hint="default"/>
        <w:lang w:val="en-US" w:eastAsia="en-US" w:bidi="ar-SA"/>
      </w:rPr>
    </w:lvl>
    <w:lvl w:ilvl="2">
      <w:start w:val="0"/>
      <w:numFmt w:val="bullet"/>
      <w:lvlText w:val="•"/>
      <w:lvlJc w:val="left"/>
      <w:pPr>
        <w:ind w:left="3896" w:hanging="361"/>
      </w:pPr>
      <w:rPr>
        <w:rFonts w:hint="default"/>
        <w:lang w:val="en-US" w:eastAsia="en-US" w:bidi="ar-SA"/>
      </w:rPr>
    </w:lvl>
    <w:lvl w:ilvl="3">
      <w:start w:val="0"/>
      <w:numFmt w:val="bullet"/>
      <w:lvlText w:val="•"/>
      <w:lvlJc w:val="left"/>
      <w:pPr>
        <w:ind w:left="4744" w:hanging="361"/>
      </w:pPr>
      <w:rPr>
        <w:rFonts w:hint="default"/>
        <w:lang w:val="en-US" w:eastAsia="en-US" w:bidi="ar-SA"/>
      </w:rPr>
    </w:lvl>
    <w:lvl w:ilvl="4">
      <w:start w:val="0"/>
      <w:numFmt w:val="bullet"/>
      <w:lvlText w:val="•"/>
      <w:lvlJc w:val="left"/>
      <w:pPr>
        <w:ind w:left="5592" w:hanging="361"/>
      </w:pPr>
      <w:rPr>
        <w:rFonts w:hint="default"/>
        <w:lang w:val="en-US" w:eastAsia="en-US" w:bidi="ar-SA"/>
      </w:rPr>
    </w:lvl>
    <w:lvl w:ilvl="5">
      <w:start w:val="0"/>
      <w:numFmt w:val="bullet"/>
      <w:lvlText w:val="•"/>
      <w:lvlJc w:val="left"/>
      <w:pPr>
        <w:ind w:left="6440" w:hanging="361"/>
      </w:pPr>
      <w:rPr>
        <w:rFonts w:hint="default"/>
        <w:lang w:val="en-US" w:eastAsia="en-US" w:bidi="ar-SA"/>
      </w:rPr>
    </w:lvl>
    <w:lvl w:ilvl="6">
      <w:start w:val="0"/>
      <w:numFmt w:val="bullet"/>
      <w:lvlText w:val="•"/>
      <w:lvlJc w:val="left"/>
      <w:pPr>
        <w:ind w:left="728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8984" w:hanging="361"/>
      </w:pPr>
      <w:rPr>
        <w:rFonts w:hint="default"/>
        <w:lang w:val="en-US" w:eastAsia="en-US" w:bidi="ar-SA"/>
      </w:rPr>
    </w:lvl>
  </w:abstractNum>
  <w:abstractNum w:abstractNumId="1">
    <w:nsid w:val="5FEF4741"/>
    <w:multiLevelType w:val="hybridMultilevel"/>
    <w:tmpl w:val="00000000"/>
    <w:lvl w:ilvl="0">
      <w:start w:val="1"/>
      <w:numFmt w:val="upperLetter"/>
      <w:lvlText w:val="%1."/>
      <w:lvlJc w:val="left"/>
      <w:pPr>
        <w:ind w:left="1211" w:hanging="4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38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9"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927" w:hanging="360"/>
      </w:pPr>
      <w:rPr>
        <w:rFonts w:hint="default"/>
        <w:lang w:val="en-US" w:eastAsia="en-US" w:bidi="ar-SA"/>
      </w:rPr>
    </w:lvl>
    <w:lvl w:ilvl="4">
      <w:start w:val="0"/>
      <w:numFmt w:val="bullet"/>
      <w:lvlText w:val="•"/>
      <w:lvlJc w:val="left"/>
      <w:pPr>
        <w:ind w:left="4035" w:hanging="360"/>
      </w:pPr>
      <w:rPr>
        <w:rFonts w:hint="default"/>
        <w:lang w:val="en-US" w:eastAsia="en-US" w:bidi="ar-SA"/>
      </w:rPr>
    </w:lvl>
    <w:lvl w:ilvl="5">
      <w:start w:val="0"/>
      <w:numFmt w:val="bullet"/>
      <w:lvlText w:val="•"/>
      <w:lvlJc w:val="left"/>
      <w:pPr>
        <w:ind w:left="5142" w:hanging="360"/>
      </w:pPr>
      <w:rPr>
        <w:rFonts w:hint="default"/>
        <w:lang w:val="en-US" w:eastAsia="en-US" w:bidi="ar-SA"/>
      </w:rPr>
    </w:lvl>
    <w:lvl w:ilvl="6">
      <w:start w:val="0"/>
      <w:numFmt w:val="bullet"/>
      <w:lvlText w:val="•"/>
      <w:lvlJc w:val="left"/>
      <w:pPr>
        <w:ind w:left="6250" w:hanging="360"/>
      </w:pPr>
      <w:rPr>
        <w:rFonts w:hint="default"/>
        <w:lang w:val="en-US" w:eastAsia="en-US" w:bidi="ar-SA"/>
      </w:rPr>
    </w:lvl>
    <w:lvl w:ilvl="7">
      <w:start w:val="0"/>
      <w:numFmt w:val="bullet"/>
      <w:lvlText w:val="•"/>
      <w:lvlJc w:val="left"/>
      <w:pPr>
        <w:ind w:left="7357" w:hanging="360"/>
      </w:pPr>
      <w:rPr>
        <w:rFonts w:hint="default"/>
        <w:lang w:val="en-US" w:eastAsia="en-US" w:bidi="ar-SA"/>
      </w:rPr>
    </w:lvl>
    <w:lvl w:ilvl="8">
      <w:start w:val="0"/>
      <w:numFmt w:val="bullet"/>
      <w:lvlText w:val="•"/>
      <w:lvlJc w:val="left"/>
      <w:pPr>
        <w:ind w:left="846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1190" w:hanging="43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arketplace/resources/data/rate-review-data" TargetMode="External" /><Relationship Id="rId11" Type="http://schemas.openxmlformats.org/officeDocument/2006/relationships/hyperlink" Target="http://www.cms.gov/CCIIO/Resources/Data-Resources/mlr.html"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files/document/guidance-annual-redetermination-and-" TargetMode="External" /><Relationship Id="rId6" Type="http://schemas.openxmlformats.org/officeDocument/2006/relationships/hyperlink" Target="http://www.cms.gov/files/document/updated-federal-" TargetMode="External" /><Relationship Id="rId7" Type="http://schemas.openxmlformats.org/officeDocument/2006/relationships/hyperlink" Target="http://www.cms.gov/CCIIO/Resources/Regulations-and-Guidance/Downloads/Bulletin-on-Renewal-" TargetMode="External" /><Relationship Id="rId8" Type="http://schemas.openxmlformats.org/officeDocument/2006/relationships/hyperlink" Target="http://www.cms.gov/cciio/resources/regulations-and-guidance/downloads/renewal-notices-9-3-14-"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Annual Eligibility Redetermination, Product Discontinuation and Renewal Notices</dc:title>
  <dc:subject>Eligibility Redetermination, Product Discontinuation and Renewal Notices</dc:subject>
  <dc:creator>CMS/CCIIO</dc:creator>
  <cp:keywords>Eligibility RedeterminationProduct Discontinuation Renewal Notices QHPOff Exchnage</cp:keywords>
  <cp:revision>0</cp:revision>
  <dcterms:created xsi:type="dcterms:W3CDTF">2025-04-10T23:18:01Z</dcterms:created>
  <dcterms:modified xsi:type="dcterms:W3CDTF">2025-04-10T23:18:01Z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2025-04-10T00:00:00Z</vt:filetime>
  </property>
  <property fmtid="{D5CDD505-2E9C-101B-9397-08002B2CF9AE}" pid="5" name="Producer">
    <vt:lpwstr>Microsoft® Word for Microsoft 365</vt:lpwstr>
  </property>
</Properties>
</file>