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454018" w:rsidRPr="00B13297" w:rsidP="00454018" w14:paraId="79D6BD6F" w14:textId="223DDF47">
      <w:pPr>
        <w:pStyle w:val="ReportCover-Title"/>
        <w:jc w:val="center"/>
        <w:rPr>
          <w:rFonts w:ascii="Arial" w:hAnsi="Arial" w:cs="Arial"/>
          <w:color w:val="auto"/>
        </w:rPr>
      </w:pPr>
      <w:r>
        <w:rPr>
          <w:rFonts w:ascii="Arial" w:eastAsia="Arial Unicode MS" w:hAnsi="Arial" w:cs="Arial"/>
          <w:noProof/>
          <w:color w:val="auto"/>
        </w:rPr>
        <w:t>Sexual Risk Avoidance Education National Evaluat</w:t>
      </w:r>
      <w:r w:rsidR="00752525">
        <w:rPr>
          <w:rFonts w:ascii="Arial" w:eastAsia="Arial Unicode MS" w:hAnsi="Arial" w:cs="Arial"/>
          <w:noProof/>
          <w:color w:val="auto"/>
        </w:rPr>
        <w:t>i</w:t>
      </w:r>
      <w:r>
        <w:rPr>
          <w:rFonts w:ascii="Arial" w:eastAsia="Arial Unicode MS" w:hAnsi="Arial" w:cs="Arial"/>
          <w:noProof/>
          <w:color w:val="auto"/>
        </w:rPr>
        <w:t>on: Co-regulation Guidance Pilot Study</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B3652D" w:rsidRPr="002C4F75" w:rsidP="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6ED17A24">
      <w:pPr>
        <w:pStyle w:val="ReportCover-Date"/>
        <w:jc w:val="center"/>
        <w:rPr>
          <w:rFonts w:ascii="Arial" w:hAnsi="Arial" w:cs="Arial"/>
          <w:color w:val="auto"/>
        </w:rPr>
      </w:pPr>
      <w:r>
        <w:rPr>
          <w:rFonts w:ascii="Arial" w:hAnsi="Arial" w:cs="Arial"/>
          <w:color w:val="auto"/>
        </w:rPr>
        <w:t>January 2025</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8D25B7" w:rsidP="008D25B7" w14:paraId="538E5F27" w14:textId="77777777">
      <w:pPr>
        <w:spacing w:after="0" w:line="240" w:lineRule="auto"/>
        <w:jc w:val="center"/>
        <w:rPr>
          <w:rFonts w:ascii="Arial" w:hAnsi="Arial" w:cs="Arial"/>
        </w:rPr>
      </w:pPr>
      <w:r w:rsidRPr="00B13297">
        <w:rPr>
          <w:rFonts w:ascii="Arial" w:hAnsi="Arial" w:cs="Arial"/>
        </w:rPr>
        <w:t>Project Officers:</w:t>
      </w:r>
    </w:p>
    <w:p w:rsidR="008D25B7" w:rsidP="008D25B7" w14:paraId="17E5498A" w14:textId="77777777">
      <w:pPr>
        <w:spacing w:after="0" w:line="240" w:lineRule="auto"/>
        <w:jc w:val="center"/>
        <w:rPr>
          <w:rFonts w:ascii="Arial" w:hAnsi="Arial" w:cs="Arial"/>
        </w:rPr>
      </w:pPr>
      <w:r>
        <w:rPr>
          <w:rFonts w:ascii="Arial" w:hAnsi="Arial" w:cs="Arial"/>
        </w:rPr>
        <w:t>Calonie Gray</w:t>
      </w:r>
    </w:p>
    <w:p w:rsidR="008D25B7" w:rsidP="008D25B7" w14:paraId="5242FBF6" w14:textId="77777777">
      <w:pPr>
        <w:spacing w:after="0" w:line="240" w:lineRule="auto"/>
        <w:jc w:val="center"/>
        <w:rPr>
          <w:rFonts w:ascii="Arial" w:hAnsi="Arial" w:cs="Arial"/>
        </w:rPr>
      </w:pPr>
      <w:r>
        <w:rPr>
          <w:rFonts w:ascii="Arial" w:hAnsi="Arial" w:cs="Arial"/>
        </w:rPr>
        <w:t>Tia Brown</w:t>
      </w:r>
    </w:p>
    <w:p w:rsidR="008D25B7" w:rsidP="008D25B7" w14:paraId="6EC8FB7C" w14:textId="77777777">
      <w:pPr>
        <w:spacing w:after="0" w:line="240" w:lineRule="auto"/>
        <w:jc w:val="center"/>
        <w:rPr>
          <w:rFonts w:ascii="Arial" w:hAnsi="Arial" w:cs="Arial"/>
        </w:rPr>
      </w:pPr>
      <w:r>
        <w:rPr>
          <w:rFonts w:ascii="Arial" w:hAnsi="Arial" w:cs="Arial"/>
        </w:rPr>
        <w:t>Kathleen McCoy</w:t>
      </w:r>
    </w:p>
    <w:p w:rsidR="008D25B7" w:rsidP="008D25B7" w14:paraId="2F64AC33" w14:textId="77777777">
      <w:pPr>
        <w:spacing w:after="0" w:line="240" w:lineRule="auto"/>
        <w:jc w:val="center"/>
        <w:rPr>
          <w:rFonts w:ascii="Arial" w:hAnsi="Arial" w:cs="Arial"/>
        </w:rPr>
      </w:pPr>
      <w:r>
        <w:rPr>
          <w:rFonts w:ascii="Arial" w:hAnsi="Arial" w:cs="Arial"/>
        </w:rPr>
        <w:t>MeGan Hill</w:t>
      </w:r>
    </w:p>
    <w:p w:rsidR="008D25B7" w:rsidP="008D25B7" w14:paraId="442EE696" w14:textId="77777777">
      <w:pPr>
        <w:spacing w:after="0" w:line="240" w:lineRule="auto"/>
        <w:jc w:val="center"/>
        <w:rPr>
          <w:rFonts w:ascii="Arial" w:hAnsi="Arial" w:cs="Arial"/>
        </w:rPr>
      </w:pPr>
      <w:r>
        <w:rPr>
          <w:rFonts w:ascii="Arial" w:hAnsi="Arial" w:cs="Arial"/>
        </w:rPr>
        <w:t>Nakia Martin-Wright</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FA5B1A" w14:paraId="1CC8C27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906F6A" w14:paraId="00321FF0" w14:textId="0CC4DA94">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A5B1A">
        <w:t xml:space="preserve">Formative Data Collections for </w:t>
      </w:r>
      <w:r w:rsidR="00E84305">
        <w:t xml:space="preserve">the Administration </w:t>
      </w:r>
      <w:r w:rsidR="0043240F">
        <w:t>for</w:t>
      </w:r>
      <w:r w:rsidR="00E84305">
        <w:t xml:space="preserve"> Children and Families (</w:t>
      </w:r>
      <w:r w:rsidRPr="00B3652D" w:rsidR="00FA5B1A">
        <w:t>ACF</w:t>
      </w:r>
      <w:r w:rsidR="00E84305">
        <w:t>)</w:t>
      </w:r>
      <w:r w:rsidRPr="00B3652D" w:rsidR="00FA5B1A">
        <w:t xml:space="preserve"> Research</w:t>
      </w:r>
      <w:r w:rsidR="00FA5B1A">
        <w:t xml:space="preserve"> (0970-0356).</w:t>
      </w:r>
    </w:p>
    <w:p w:rsidR="00EA405B" w:rsidP="00906F6A" w14:paraId="1FD514C1" w14:textId="78D17F26">
      <w:pPr>
        <w:spacing w:after="0" w:line="240" w:lineRule="auto"/>
      </w:pPr>
    </w:p>
    <w:p w:rsidR="009F2A60" w:rsidRPr="00906F6A" w:rsidP="009F2A60" w14:paraId="1C4C80A1" w14:textId="7A358746">
      <w:pPr>
        <w:pStyle w:val="ListParagraph"/>
        <w:numPr>
          <w:ilvl w:val="0"/>
          <w:numId w:val="28"/>
        </w:numPr>
        <w:spacing w:after="0" w:line="240" w:lineRule="auto"/>
      </w:pPr>
      <w:r w:rsidRPr="00906F6A">
        <w:rPr>
          <w:b/>
        </w:rPr>
        <w:t xml:space="preserve">Progress to Date: </w:t>
      </w:r>
      <w:r w:rsidR="002D42FC">
        <w:rPr>
          <w:bCs/>
        </w:rPr>
        <w:t xml:space="preserve">The </w:t>
      </w:r>
      <w:r w:rsidR="00297589">
        <w:rPr>
          <w:bCs/>
        </w:rPr>
        <w:t>Sexual Risk Avoidance Education National Evaluation (</w:t>
      </w:r>
      <w:r w:rsidR="002D42FC">
        <w:rPr>
          <w:bCs/>
        </w:rPr>
        <w:t>SRAENE</w:t>
      </w:r>
      <w:r w:rsidR="00297589">
        <w:rPr>
          <w:bCs/>
        </w:rPr>
        <w:t>)</w:t>
      </w:r>
      <w:r w:rsidR="002D42FC">
        <w:rPr>
          <w:bCs/>
        </w:rPr>
        <w:t xml:space="preserve"> provide</w:t>
      </w:r>
      <w:r w:rsidR="007A72F7">
        <w:rPr>
          <w:bCs/>
        </w:rPr>
        <w:t>s</w:t>
      </w:r>
      <w:r w:rsidR="002D42FC">
        <w:rPr>
          <w:bCs/>
        </w:rPr>
        <w:t xml:space="preserve"> information on the implementation of Sexual Risk Avoidance Education (SRAE) programs, the effectiveness of selected program components, and the ways grant recipients can use data and evidence to improve SRAE programming</w:t>
      </w:r>
      <w:r w:rsidR="00ED4E7B">
        <w:rPr>
          <w:bCs/>
        </w:rPr>
        <w:t xml:space="preserve">. </w:t>
      </w:r>
      <w:r w:rsidR="00D6116D">
        <w:rPr>
          <w:bCs/>
        </w:rPr>
        <w:t>As a first step in understanding the effectiveness of progra</w:t>
      </w:r>
      <w:r w:rsidR="00526E00">
        <w:rPr>
          <w:bCs/>
        </w:rPr>
        <w:t>m</w:t>
      </w:r>
      <w:r w:rsidR="00D6116D">
        <w:rPr>
          <w:bCs/>
        </w:rPr>
        <w:t xml:space="preserve"> components</w:t>
      </w:r>
      <w:r w:rsidR="00DD6CA2">
        <w:rPr>
          <w:bCs/>
        </w:rPr>
        <w:t xml:space="preserve">, </w:t>
      </w:r>
      <w:r w:rsidR="000C0A3E">
        <w:rPr>
          <w:bCs/>
        </w:rPr>
        <w:t xml:space="preserve">ACF conducted the </w:t>
      </w:r>
      <w:r w:rsidR="00DD6CA2">
        <w:rPr>
          <w:bCs/>
        </w:rPr>
        <w:t xml:space="preserve">program components impact study (CIS) </w:t>
      </w:r>
      <w:r w:rsidR="00C370A6">
        <w:rPr>
          <w:bCs/>
        </w:rPr>
        <w:t xml:space="preserve">proof of concept pilot study </w:t>
      </w:r>
      <w:r w:rsidR="008D39FB">
        <w:rPr>
          <w:bCs/>
        </w:rPr>
        <w:t xml:space="preserve">that explored the use of three </w:t>
      </w:r>
      <w:r w:rsidR="006506DE">
        <w:rPr>
          <w:bCs/>
        </w:rPr>
        <w:t xml:space="preserve">co-regulation </w:t>
      </w:r>
      <w:r w:rsidR="008D39FB">
        <w:rPr>
          <w:bCs/>
        </w:rPr>
        <w:t>strategies with three SRAE programs</w:t>
      </w:r>
      <w:r w:rsidR="000101E3">
        <w:rPr>
          <w:bCs/>
        </w:rPr>
        <w:t xml:space="preserve"> (OMB #: 0970-0531).</w:t>
      </w:r>
      <w:r w:rsidR="008D39FB">
        <w:rPr>
          <w:bCs/>
        </w:rPr>
        <w:t xml:space="preserve"> </w:t>
      </w:r>
      <w:r w:rsidR="00DD6CA2">
        <w:rPr>
          <w:bCs/>
        </w:rPr>
        <w:t xml:space="preserve">Next, from August 2022 through May 2023, ACF conducted a formative evaluation of an in-depth implementation study that assessed the use of co-regulation strategies with nine SRAE programs (OMB #0970-0356). </w:t>
      </w:r>
      <w:r w:rsidR="008D39FB">
        <w:rPr>
          <w:bCs/>
        </w:rPr>
        <w:t xml:space="preserve">Through this work, </w:t>
      </w:r>
      <w:r w:rsidR="000101E3">
        <w:rPr>
          <w:bCs/>
        </w:rPr>
        <w:t xml:space="preserve">ACF </w:t>
      </w:r>
      <w:r w:rsidR="008D39FB">
        <w:rPr>
          <w:bCs/>
        </w:rPr>
        <w:t xml:space="preserve">learned that facilitators </w:t>
      </w:r>
      <w:r w:rsidR="000101E3">
        <w:rPr>
          <w:bCs/>
        </w:rPr>
        <w:t xml:space="preserve">were </w:t>
      </w:r>
      <w:r w:rsidR="008D39FB">
        <w:rPr>
          <w:bCs/>
        </w:rPr>
        <w:t xml:space="preserve">able to be trained on and implement </w:t>
      </w:r>
      <w:r w:rsidR="00DD6CA2">
        <w:rPr>
          <w:bCs/>
        </w:rPr>
        <w:t>co-regulation</w:t>
      </w:r>
      <w:r w:rsidR="008D39FB">
        <w:rPr>
          <w:bCs/>
        </w:rPr>
        <w:t xml:space="preserve"> strategies in SRAE classrooms, but facilitators varied widely in the frequency and quality with which they adopted and used the strategies.</w:t>
      </w:r>
      <w:r w:rsidR="005E7780">
        <w:rPr>
          <w:bCs/>
        </w:rPr>
        <w:t xml:space="preserve"> </w:t>
      </w:r>
      <w:r w:rsidR="00136907">
        <w:rPr>
          <w:bCs/>
        </w:rPr>
        <w:t xml:space="preserve"> </w:t>
      </w:r>
    </w:p>
    <w:p w:rsidR="00B04785" w:rsidRPr="00906F6A" w:rsidP="00CC290E" w14:paraId="1807DC5A" w14:textId="3DEF5D68">
      <w:pPr>
        <w:pStyle w:val="ListParagraph"/>
        <w:spacing w:after="0" w:line="240" w:lineRule="auto"/>
      </w:pPr>
    </w:p>
    <w:p w:rsidR="00CC290E" w:rsidP="00CC290E" w14:paraId="401029BD" w14:textId="0BB76D3E">
      <w:pPr>
        <w:pStyle w:val="ListParagraph"/>
        <w:spacing w:after="0" w:line="240" w:lineRule="auto"/>
        <w:rPr>
          <w:rFonts w:cs="Calibri"/>
        </w:rPr>
      </w:pPr>
      <w:r w:rsidRPr="00906F6A">
        <w:rPr>
          <w:b/>
        </w:rPr>
        <w:t xml:space="preserve">Description of Request: </w:t>
      </w:r>
      <w:r w:rsidR="00332B00">
        <w:rPr>
          <w:bCs/>
        </w:rPr>
        <w:t>As part of SRAENE, ACF seeks to test the implement</w:t>
      </w:r>
      <w:r w:rsidR="00CB2A6A">
        <w:rPr>
          <w:bCs/>
        </w:rPr>
        <w:t>ation of</w:t>
      </w:r>
      <w:r w:rsidR="00332B00">
        <w:rPr>
          <w:bCs/>
        </w:rPr>
        <w:t xml:space="preserve"> six co-regulation strategies to improve facilitation and to promote youth self-regulation during SRAE classes. </w:t>
      </w:r>
      <w:r w:rsidR="007E6638">
        <w:rPr>
          <w:bCs/>
        </w:rPr>
        <w:t xml:space="preserve">This </w:t>
      </w:r>
      <w:r w:rsidR="009E11D1">
        <w:rPr>
          <w:bCs/>
        </w:rPr>
        <w:t xml:space="preserve">information collection </w:t>
      </w:r>
      <w:r w:rsidR="007E6638">
        <w:rPr>
          <w:bCs/>
        </w:rPr>
        <w:t xml:space="preserve">request </w:t>
      </w:r>
      <w:r w:rsidR="0027696A">
        <w:rPr>
          <w:bCs/>
        </w:rPr>
        <w:t>builds on the</w:t>
      </w:r>
      <w:r w:rsidR="002446A5">
        <w:rPr>
          <w:bCs/>
        </w:rPr>
        <w:t xml:space="preserve"> proof of concept pilot and</w:t>
      </w:r>
      <w:r w:rsidR="0027696A">
        <w:rPr>
          <w:bCs/>
        </w:rPr>
        <w:t xml:space="preserve"> </w:t>
      </w:r>
      <w:r w:rsidR="0075637D">
        <w:rPr>
          <w:bCs/>
        </w:rPr>
        <w:t>formative evaluation</w:t>
      </w:r>
      <w:r w:rsidR="00CD7FEE">
        <w:rPr>
          <w:bCs/>
        </w:rPr>
        <w:t xml:space="preserve"> </w:t>
      </w:r>
      <w:r w:rsidR="00C10111">
        <w:rPr>
          <w:bCs/>
        </w:rPr>
        <w:t xml:space="preserve">by collecting data </w:t>
      </w:r>
      <w:r w:rsidR="00CB48EF">
        <w:rPr>
          <w:bCs/>
        </w:rPr>
        <w:t>from f</w:t>
      </w:r>
      <w:r w:rsidR="00A3153A">
        <w:rPr>
          <w:bCs/>
        </w:rPr>
        <w:t>a</w:t>
      </w:r>
      <w:r w:rsidR="00CB48EF">
        <w:rPr>
          <w:bCs/>
        </w:rPr>
        <w:t xml:space="preserve">cilitators to understand the feasibility </w:t>
      </w:r>
      <w:r w:rsidR="007E6638">
        <w:rPr>
          <w:bCs/>
        </w:rPr>
        <w:t xml:space="preserve">of using </w:t>
      </w:r>
      <w:r w:rsidRPr="000E3891" w:rsidR="001027C3">
        <w:rPr>
          <w:bCs/>
        </w:rPr>
        <w:t>newly</w:t>
      </w:r>
      <w:r w:rsidR="007E6638">
        <w:rPr>
          <w:bCs/>
        </w:rPr>
        <w:t xml:space="preserve"> developed guidance</w:t>
      </w:r>
      <w:r w:rsidR="00DD6CA2">
        <w:rPr>
          <w:bCs/>
        </w:rPr>
        <w:t xml:space="preserve"> to assist </w:t>
      </w:r>
      <w:r w:rsidR="002446A5">
        <w:rPr>
          <w:bCs/>
        </w:rPr>
        <w:t xml:space="preserve">facilitators </w:t>
      </w:r>
      <w:r w:rsidR="00DD6CA2">
        <w:rPr>
          <w:bCs/>
        </w:rPr>
        <w:t>with understanding where and how to integrate co-regulation strategies into a SRAE curriculum</w:t>
      </w:r>
      <w:r w:rsidRPr="000E3891" w:rsidR="00A3153A">
        <w:rPr>
          <w:bCs/>
        </w:rPr>
        <w:t xml:space="preserve">. </w:t>
      </w:r>
      <w:r w:rsidRPr="000E3891" w:rsidR="007F111A">
        <w:rPr>
          <w:bCs/>
        </w:rPr>
        <w:t>Data will be collected through</w:t>
      </w:r>
      <w:r w:rsidRPr="00E17F86" w:rsidR="000E3891">
        <w:rPr>
          <w:bCs/>
        </w:rPr>
        <w:t xml:space="preserve"> a </w:t>
      </w:r>
      <w:r w:rsidRPr="000E3891" w:rsidR="000E3891">
        <w:rPr>
          <w:bCs/>
        </w:rPr>
        <w:t xml:space="preserve">facilitator log, a post-training pulse check survey, a post-coaching pulse check survey, and facilitator </w:t>
      </w:r>
      <w:r w:rsidR="00EF4219">
        <w:rPr>
          <w:bCs/>
        </w:rPr>
        <w:t>mini-</w:t>
      </w:r>
      <w:r w:rsidRPr="000E3891" w:rsidR="000E3891">
        <w:rPr>
          <w:bCs/>
        </w:rPr>
        <w:t>interviews.</w:t>
      </w:r>
      <w:r w:rsidR="007E6638">
        <w:rPr>
          <w:bCs/>
        </w:rPr>
        <w:t xml:space="preserve"> Data collection will occur with facilitators</w:t>
      </w:r>
      <w:r w:rsidR="00DD6CA2">
        <w:rPr>
          <w:bCs/>
        </w:rPr>
        <w:t xml:space="preserve"> at two sites</w:t>
      </w:r>
      <w:r w:rsidRPr="000E3891" w:rsidR="007E6638">
        <w:rPr>
          <w:bCs/>
        </w:rPr>
        <w:t xml:space="preserve">. </w:t>
      </w:r>
      <w:r>
        <w:t>Data collected under this generic information collection request will inform key areas outlined in ACF’s co-regulation learning agenda</w:t>
      </w:r>
      <w:r>
        <w:rPr>
          <w:rStyle w:val="FootnoteReference"/>
        </w:rPr>
        <w:footnoteReference w:id="3"/>
      </w:r>
      <w:r w:rsidR="00DD6CA2">
        <w:t>,</w:t>
      </w:r>
      <w:r>
        <w:t xml:space="preserve"> a potential large-scale impact study to test the effectiveness</w:t>
      </w:r>
      <w:r w:rsidR="009E786E">
        <w:t xml:space="preserve"> </w:t>
      </w:r>
      <w:r w:rsidR="000E3891">
        <w:t>of the strategies on facilitation and youth outcomes,</w:t>
      </w:r>
      <w:r w:rsidR="00DD6CA2">
        <w:t xml:space="preserve"> </w:t>
      </w:r>
      <w:r>
        <w:t xml:space="preserve">and the provision of technical assistance planning and resources. </w:t>
      </w: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624DDC" w14:paraId="0D5E5383" w14:textId="49CE9CF8">
      <w:pPr>
        <w:rPr>
          <w:b/>
        </w:rPr>
      </w:pPr>
      <w:r>
        <w:rPr>
          <w:b/>
        </w:rPr>
        <w:br w:type="page"/>
      </w:r>
    </w:p>
    <w:p w:rsidR="00624DDC" w:rsidP="00624DDC" w14:paraId="1668B33C" w14:textId="77777777">
      <w:pPr>
        <w:spacing w:after="0" w:line="240" w:lineRule="auto"/>
        <w:rPr>
          <w:b/>
        </w:rPr>
      </w:pPr>
    </w:p>
    <w:p w:rsidR="004328A4" w:rsidP="007D0F6E" w14:paraId="5CB85B8F" w14:textId="0CFC2CF7">
      <w:pPr>
        <w:spacing w:after="120" w:line="240" w:lineRule="auto"/>
      </w:pPr>
      <w:r w:rsidRPr="00624DDC">
        <w:rPr>
          <w:b/>
        </w:rPr>
        <w:t>A1</w:t>
      </w:r>
      <w:r>
        <w:t>.</w:t>
      </w:r>
      <w:r>
        <w:tab/>
      </w:r>
      <w:r w:rsidRPr="004328A4" w:rsidR="004E5778">
        <w:rPr>
          <w:b/>
        </w:rPr>
        <w:t>Necessity for Collection</w:t>
      </w:r>
      <w:r w:rsidR="004E5778">
        <w:t xml:space="preserve"> </w:t>
      </w:r>
      <w:r w:rsidR="00ED0A9E">
        <w:t xml:space="preserve"> </w:t>
      </w:r>
    </w:p>
    <w:p w:rsidR="00FC71BA" w:rsidP="00FC71BA" w14:paraId="4FBF2094" w14:textId="69B3F6EE">
      <w:r w:rsidRPr="008813EA">
        <w:t>In February 2018, Congress reauthorized Title V, Section 510 of the Social Security Act to fund the Sexual Risk Avoidance Education (SRAE) grant program. SRAE grants fund programs that teach adolescents to refrain from sexual activity. The Family and Youth Services Bureau (FYSB), Administration for Children and Families (ACF) of the U.S. Department of Health and Human Services (HHS), administers the program. SRAE programs also provide education on personal responsibility, self-regulation, goal setting, healthy relationships, a focus on the future, and preventing drug and alcohol use. The reauthorization included a requirement to evaluate the SRAE grant program. ACF awarded a</w:t>
      </w:r>
      <w:r>
        <w:t>n initial</w:t>
      </w:r>
      <w:r w:rsidRPr="008813EA">
        <w:t xml:space="preserve"> contract for the SRAE National Evaluation (SRAENE) in 2018</w:t>
      </w:r>
      <w:r>
        <w:t xml:space="preserve"> and a subsequent contract (SRAENE 2.0) in 2023. </w:t>
      </w:r>
    </w:p>
    <w:p w:rsidR="00FC71BA" w:rsidP="00FC71BA" w14:paraId="3FD46B49" w14:textId="72937D8A">
      <w:pPr>
        <w:rPr>
          <w:bCs/>
        </w:rPr>
      </w:pPr>
      <w:r>
        <w:t xml:space="preserve">This request pertains to continuing one of SRAENE’s required activities – a core components </w:t>
      </w:r>
      <w:r w:rsidR="002446A5">
        <w:t xml:space="preserve">impact study </w:t>
      </w:r>
      <w:r w:rsidR="002215F8">
        <w:t>(CIS)</w:t>
      </w:r>
      <w:r>
        <w:t xml:space="preserve">, which seeks to refine and test improvements to one or more components of programs to ultimately improve youth outcomes. </w:t>
      </w:r>
      <w:r w:rsidR="00DC6232">
        <w:t>Core</w:t>
      </w:r>
      <w:r w:rsidRPr="008813EA" w:rsidR="00DC6232">
        <w:t xml:space="preserve"> </w:t>
      </w:r>
      <w:r w:rsidRPr="008813EA">
        <w:t xml:space="preserve">components can include any part of a program, including curriculum content, supplementary activities, delivery, facilitation, setting, and dosage. </w:t>
      </w:r>
      <w:r w:rsidR="002215F8">
        <w:t xml:space="preserve">Initial work for the CIS began under SRAENE 1.0 </w:t>
      </w:r>
      <w:r w:rsidR="002446A5">
        <w:t>and</w:t>
      </w:r>
      <w:r w:rsidR="002215F8">
        <w:t xml:space="preserve"> included a </w:t>
      </w:r>
      <w:r w:rsidRPr="008813EA">
        <w:t xml:space="preserve">CIS </w:t>
      </w:r>
      <w:r w:rsidR="00CF6DB3">
        <w:t>p</w:t>
      </w:r>
      <w:r w:rsidRPr="008813EA">
        <w:t xml:space="preserve">roof of </w:t>
      </w:r>
      <w:r w:rsidR="00CF6DB3">
        <w:t>c</w:t>
      </w:r>
      <w:r w:rsidRPr="008813EA">
        <w:t xml:space="preserve">oncept </w:t>
      </w:r>
      <w:r w:rsidR="00CF6DB3">
        <w:t>p</w:t>
      </w:r>
      <w:r w:rsidRPr="008813EA">
        <w:t xml:space="preserve">ilot </w:t>
      </w:r>
      <w:r w:rsidR="002215F8">
        <w:t>(</w:t>
      </w:r>
      <w:r w:rsidRPr="008813EA">
        <w:t xml:space="preserve">approved under the umbrella generic for Formative Data Collections for ACF Program Support OMB #: 0970-0531). </w:t>
      </w:r>
      <w:r w:rsidR="002215F8">
        <w:t>This initial proof of concept work</w:t>
      </w:r>
      <w:r w:rsidR="000D12A0">
        <w:t xml:space="preserve"> </w:t>
      </w:r>
      <w:r w:rsidRPr="008813EA">
        <w:t>identified and pilot tested two facilitation strategies</w:t>
      </w:r>
      <w:r w:rsidR="002446A5">
        <w:t xml:space="preserve">, one of which, </w:t>
      </w:r>
      <w:r w:rsidRPr="008813EA">
        <w:t>a set of co-regulation strategies to support facilitators with building youth’s self-regulation skills (referred to as co-regulation)</w:t>
      </w:r>
      <w:r w:rsidR="002446A5">
        <w:t>,</w:t>
      </w:r>
      <w:r>
        <w:rPr>
          <w:vertAlign w:val="superscript"/>
        </w:rPr>
        <w:footnoteReference w:id="4"/>
      </w:r>
      <w:r w:rsidR="002446A5">
        <w:t xml:space="preserve"> was deemed viable for continued exploration. </w:t>
      </w:r>
      <w:r w:rsidRPr="00985CD2">
        <w:rPr>
          <w:vertAlign w:val="superscript"/>
        </w:rPr>
        <w:t xml:space="preserve"> </w:t>
      </w:r>
      <w:r w:rsidRPr="008813EA">
        <w:rPr>
          <w:rFonts w:eastAsia="Times New Roman"/>
        </w:rPr>
        <w:t xml:space="preserve">Based on the results of the </w:t>
      </w:r>
      <w:r w:rsidR="00502704">
        <w:rPr>
          <w:rFonts w:eastAsia="Times New Roman"/>
        </w:rPr>
        <w:t>p</w:t>
      </w:r>
      <w:r w:rsidRPr="008813EA">
        <w:rPr>
          <w:rFonts w:eastAsia="Times New Roman"/>
        </w:rPr>
        <w:t xml:space="preserve">roof of </w:t>
      </w:r>
      <w:r w:rsidR="00502704">
        <w:rPr>
          <w:rFonts w:eastAsia="Times New Roman"/>
        </w:rPr>
        <w:t>c</w:t>
      </w:r>
      <w:r w:rsidRPr="008813EA">
        <w:rPr>
          <w:rFonts w:eastAsia="Times New Roman"/>
        </w:rPr>
        <w:t xml:space="preserve">oncept </w:t>
      </w:r>
      <w:r w:rsidR="00502704">
        <w:rPr>
          <w:rFonts w:eastAsia="Times New Roman"/>
        </w:rPr>
        <w:t>p</w:t>
      </w:r>
      <w:r w:rsidRPr="008813EA">
        <w:rPr>
          <w:rFonts w:eastAsia="Times New Roman"/>
        </w:rPr>
        <w:t xml:space="preserve">ilot, ACF </w:t>
      </w:r>
      <w:r w:rsidR="00A7021E">
        <w:rPr>
          <w:rFonts w:eastAsia="Times New Roman"/>
        </w:rPr>
        <w:t xml:space="preserve">focused on </w:t>
      </w:r>
      <w:r w:rsidR="00317EA7">
        <w:rPr>
          <w:rFonts w:eastAsia="Times New Roman"/>
        </w:rPr>
        <w:t xml:space="preserve">gathering further information </w:t>
      </w:r>
      <w:r w:rsidR="002215F8">
        <w:rPr>
          <w:rFonts w:eastAsia="Times New Roman"/>
        </w:rPr>
        <w:t xml:space="preserve">related to </w:t>
      </w:r>
      <w:r w:rsidRPr="008813EA">
        <w:rPr>
          <w:rFonts w:eastAsia="Times New Roman"/>
        </w:rPr>
        <w:t>the co-regulation strategy</w:t>
      </w:r>
      <w:r w:rsidR="002215F8">
        <w:rPr>
          <w:rFonts w:eastAsia="Times New Roman"/>
        </w:rPr>
        <w:t xml:space="preserve"> (</w:t>
      </w:r>
      <w:r>
        <w:rPr>
          <w:bCs/>
        </w:rPr>
        <w:t>approved under the umbrella generic for Formative Data Collections for ACF Research</w:t>
      </w:r>
      <w:r w:rsidR="002215F8">
        <w:rPr>
          <w:bCs/>
        </w:rPr>
        <w:t>,</w:t>
      </w:r>
      <w:r>
        <w:rPr>
          <w:bCs/>
        </w:rPr>
        <w:t xml:space="preserve"> OMB#: 0970-0531). The </w:t>
      </w:r>
      <w:r w:rsidR="00141D24">
        <w:rPr>
          <w:bCs/>
        </w:rPr>
        <w:t>data collection focused on</w:t>
      </w:r>
      <w:r>
        <w:rPr>
          <w:bCs/>
        </w:rPr>
        <w:t xml:space="preserve"> (1) </w:t>
      </w:r>
      <w:r w:rsidR="00E95D3C">
        <w:rPr>
          <w:bCs/>
        </w:rPr>
        <w:t>gathering evidence to inform direction of the future large-scale evaluation of the effectiveness of using co-regulation strategies</w:t>
      </w:r>
      <w:r w:rsidR="009B0506">
        <w:rPr>
          <w:bCs/>
        </w:rPr>
        <w:t>,</w:t>
      </w:r>
      <w:r w:rsidR="00E95D3C">
        <w:rPr>
          <w:bCs/>
        </w:rPr>
        <w:t xml:space="preserve"> (2) inform</w:t>
      </w:r>
      <w:r w:rsidR="009B0506">
        <w:rPr>
          <w:bCs/>
        </w:rPr>
        <w:t>ing</w:t>
      </w:r>
      <w:r w:rsidR="00E95D3C">
        <w:rPr>
          <w:bCs/>
        </w:rPr>
        <w:t xml:space="preserve"> </w:t>
      </w:r>
      <w:r w:rsidR="00F15752">
        <w:rPr>
          <w:bCs/>
        </w:rPr>
        <w:t xml:space="preserve">guidance and </w:t>
      </w:r>
      <w:r w:rsidR="009B0506">
        <w:rPr>
          <w:bCs/>
        </w:rPr>
        <w:t xml:space="preserve">products </w:t>
      </w:r>
      <w:r w:rsidR="00F15752">
        <w:rPr>
          <w:bCs/>
        </w:rPr>
        <w:t xml:space="preserve">to support successful replication of co-regulation strategies by additional programs if rigorously evaluated, and (3) </w:t>
      </w:r>
      <w:r w:rsidR="009B0506">
        <w:rPr>
          <w:bCs/>
        </w:rPr>
        <w:t>helping further ACF’s co-regulation learning agenda</w:t>
      </w:r>
      <w:r>
        <w:rPr>
          <w:bCs/>
        </w:rPr>
        <w:t xml:space="preserve">. </w:t>
      </w:r>
    </w:p>
    <w:p w:rsidR="004328A4" w:rsidP="003D5F41" w14:paraId="55E13569" w14:textId="26FA5CF7">
      <w:r>
        <w:rPr>
          <w:bCs/>
        </w:rPr>
        <w:t>Ultimately,</w:t>
      </w:r>
      <w:r w:rsidR="00FC71BA">
        <w:rPr>
          <w:bCs/>
        </w:rPr>
        <w:t xml:space="preserve"> we learned that </w:t>
      </w:r>
      <w:r w:rsidR="00BC7D56">
        <w:rPr>
          <w:bCs/>
        </w:rPr>
        <w:t xml:space="preserve">it is feasible to train </w:t>
      </w:r>
      <w:r w:rsidR="00FC71BA">
        <w:rPr>
          <w:bCs/>
        </w:rPr>
        <w:t xml:space="preserve">facilitators to use the </w:t>
      </w:r>
      <w:r w:rsidR="00BC7D56">
        <w:rPr>
          <w:bCs/>
        </w:rPr>
        <w:t xml:space="preserve">co-regulation </w:t>
      </w:r>
      <w:r w:rsidR="00FC71BA">
        <w:rPr>
          <w:bCs/>
        </w:rPr>
        <w:t>strategies and implement them within SRAE programs in high school</w:t>
      </w:r>
      <w:r w:rsidR="00BC7D56">
        <w:rPr>
          <w:bCs/>
        </w:rPr>
        <w:t>s</w:t>
      </w:r>
      <w:r w:rsidR="00FC71BA">
        <w:rPr>
          <w:bCs/>
        </w:rPr>
        <w:t xml:space="preserve">, </w:t>
      </w:r>
      <w:r w:rsidR="00BC7D56">
        <w:rPr>
          <w:bCs/>
        </w:rPr>
        <w:t xml:space="preserve">but </w:t>
      </w:r>
      <w:r w:rsidR="00966101">
        <w:rPr>
          <w:bCs/>
        </w:rPr>
        <w:t xml:space="preserve">facilitators varied widely in the </w:t>
      </w:r>
      <w:r w:rsidR="00FC71BA">
        <w:rPr>
          <w:bCs/>
        </w:rPr>
        <w:t xml:space="preserve">frequency and quality of their use of the strategies. In response to these findings, we developed </w:t>
      </w:r>
      <w:r w:rsidR="00D108A6">
        <w:rPr>
          <w:bCs/>
        </w:rPr>
        <w:t xml:space="preserve">explicit </w:t>
      </w:r>
      <w:r w:rsidR="00FC71BA">
        <w:rPr>
          <w:bCs/>
        </w:rPr>
        <w:t xml:space="preserve">guidance for facilitators </w:t>
      </w:r>
      <w:r w:rsidR="00D108A6">
        <w:rPr>
          <w:bCs/>
        </w:rPr>
        <w:t xml:space="preserve">on how to </w:t>
      </w:r>
      <w:r w:rsidR="00FC71BA">
        <w:rPr>
          <w:bCs/>
        </w:rPr>
        <w:t>integrate</w:t>
      </w:r>
      <w:r w:rsidR="00D108A6">
        <w:rPr>
          <w:bCs/>
        </w:rPr>
        <w:t xml:space="preserve"> the co-regulation strategies</w:t>
      </w:r>
      <w:r w:rsidR="00FC71BA">
        <w:rPr>
          <w:bCs/>
        </w:rPr>
        <w:t xml:space="preserve"> into an existing </w:t>
      </w:r>
      <w:r>
        <w:rPr>
          <w:bCs/>
        </w:rPr>
        <w:t xml:space="preserve">SRAE </w:t>
      </w:r>
      <w:r w:rsidR="00FC71BA">
        <w:rPr>
          <w:bCs/>
        </w:rPr>
        <w:t xml:space="preserve">curriculum. </w:t>
      </w:r>
      <w:r w:rsidR="00B73608">
        <w:rPr>
          <w:bCs/>
        </w:rPr>
        <w:t>To support the next formative evaluation phase, w</w:t>
      </w:r>
      <w:r w:rsidR="00FC71BA">
        <w:rPr>
          <w:bCs/>
        </w:rPr>
        <w:t xml:space="preserve">e now propose to collect data on the feasibility and use of this integrated guidance from up to two sites. This proposed data collection will (1) gather evidence to inform the direction of a future large-scale evaluation of the effectiveness of using co-regulation strategies, (2) assess the feasibility of </w:t>
      </w:r>
      <w:r w:rsidR="00732C74">
        <w:rPr>
          <w:bCs/>
        </w:rPr>
        <w:t xml:space="preserve">facilitators consistently </w:t>
      </w:r>
      <w:r w:rsidR="00FC71BA">
        <w:rPr>
          <w:bCs/>
        </w:rPr>
        <w:t>implementing the co-regulation strategies, and (3) help to further ACF’s co-regulation learning agenda</w:t>
      </w:r>
      <w:r w:rsidRPr="008813EA" w:rsidR="00FC71BA">
        <w:rPr>
          <w:rFonts w:eastAsia="Times New Roman"/>
        </w:rPr>
        <w:t xml:space="preserve">. </w:t>
      </w:r>
      <w:r w:rsidRPr="008813EA" w:rsidR="00FC71BA">
        <w:t xml:space="preserve">There are no legal or administrative </w:t>
      </w:r>
      <w:r w:rsidRPr="008813EA" w:rsidR="00FC71BA">
        <w:t>requirements that necessitate this collection. ACF is undertaking the collection at the discretion of the agency.</w:t>
      </w:r>
    </w:p>
    <w:p w:rsidR="004328A4" w:rsidP="00DF1291" w14:paraId="778B15CC"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P="00AE685D" w14:paraId="6DDDCEC8" w14:textId="2DD3EE30">
      <w:pPr>
        <w:spacing w:after="60" w:line="240" w:lineRule="auto"/>
        <w:rPr>
          <w:i/>
        </w:rPr>
      </w:pPr>
      <w:r w:rsidRPr="004328A4">
        <w:rPr>
          <w:i/>
        </w:rPr>
        <w:t xml:space="preserve">Purpose and Use </w:t>
      </w:r>
    </w:p>
    <w:p w:rsidR="006A5EB7" w:rsidRPr="008813EA" w:rsidP="006A5EB7" w14:paraId="793F235D" w14:textId="1B47272F">
      <w:pPr>
        <w:tabs>
          <w:tab w:val="left" w:pos="-720"/>
        </w:tabs>
        <w:suppressAutoHyphens/>
        <w:spacing w:after="240"/>
        <w:rPr>
          <w:iCs/>
        </w:rPr>
      </w:pPr>
      <w:bookmarkStart w:id="0" w:name="_Hlk110439716"/>
      <w:bookmarkStart w:id="1" w:name="_Hlk105773397"/>
      <w:r w:rsidRPr="008813EA">
        <w:rPr>
          <w:iCs/>
        </w:rPr>
        <w:t xml:space="preserve">The goal </w:t>
      </w:r>
      <w:r w:rsidR="002834DF">
        <w:rPr>
          <w:iCs/>
        </w:rPr>
        <w:t xml:space="preserve">of </w:t>
      </w:r>
      <w:r w:rsidRPr="008813EA">
        <w:rPr>
          <w:iCs/>
        </w:rPr>
        <w:t xml:space="preserve">this proposed data collection is to inform the development of ACF research, specifically related to integrating co-regulation strategies into the SRAE grant program improvement efforts. This </w:t>
      </w:r>
      <w:r w:rsidR="00AE7179">
        <w:rPr>
          <w:iCs/>
        </w:rPr>
        <w:t>c</w:t>
      </w:r>
      <w:r>
        <w:rPr>
          <w:iCs/>
        </w:rPr>
        <w:t xml:space="preserve">o-regulation </w:t>
      </w:r>
      <w:r w:rsidR="00AE7179">
        <w:rPr>
          <w:iCs/>
        </w:rPr>
        <w:t>g</w:t>
      </w:r>
      <w:r>
        <w:rPr>
          <w:iCs/>
        </w:rPr>
        <w:t xml:space="preserve">uidance </w:t>
      </w:r>
      <w:r w:rsidR="00AE7179">
        <w:rPr>
          <w:iCs/>
        </w:rPr>
        <w:t>p</w:t>
      </w:r>
      <w:r>
        <w:rPr>
          <w:iCs/>
        </w:rPr>
        <w:t xml:space="preserve">ilot </w:t>
      </w:r>
      <w:r w:rsidR="00AE7179">
        <w:rPr>
          <w:iCs/>
        </w:rPr>
        <w:t>s</w:t>
      </w:r>
      <w:r>
        <w:rPr>
          <w:iCs/>
        </w:rPr>
        <w:t xml:space="preserve">tudy </w:t>
      </w:r>
      <w:r w:rsidRPr="008813EA">
        <w:rPr>
          <w:iCs/>
        </w:rPr>
        <w:t xml:space="preserve">will contribute </w:t>
      </w:r>
      <w:r w:rsidRPr="008813EA">
        <w:rPr>
          <w:rFonts w:cstheme="minorHAnsi"/>
        </w:rPr>
        <w:t>new knowledge and will build preliminary evidence to support several key questions outlined by ACF’s co-regulation learning agenda</w:t>
      </w:r>
      <w:r>
        <w:rPr>
          <w:rStyle w:val="FootnoteReference"/>
          <w:rFonts w:cstheme="minorHAnsi"/>
        </w:rPr>
        <w:footnoteReference w:id="5"/>
      </w:r>
      <w:r w:rsidRPr="008813EA">
        <w:rPr>
          <w:rFonts w:cstheme="minorHAnsi"/>
        </w:rPr>
        <w:t xml:space="preserve">, such as: </w:t>
      </w:r>
      <w:r>
        <w:rPr>
          <w:rFonts w:cstheme="minorHAnsi"/>
        </w:rPr>
        <w:t xml:space="preserve">What is the feasibility of implementing co-regulation strategies? </w:t>
      </w:r>
      <w:r w:rsidRPr="008813EA">
        <w:rPr>
          <w:rFonts w:cstheme="minorHAnsi"/>
        </w:rPr>
        <w:t>What practice-based supports are needed? How are co-regulation strategies implemented in different contexts and among different subpopulations?</w:t>
      </w:r>
      <w:r>
        <w:rPr>
          <w:rFonts w:cstheme="minorHAnsi"/>
        </w:rPr>
        <w:t xml:space="preserve"> </w:t>
      </w:r>
    </w:p>
    <w:p w:rsidR="006A5EB7" w:rsidRPr="006A5EB7" w:rsidP="006A5EB7" w14:paraId="2018FA18" w14:textId="03383D27">
      <w:pPr>
        <w:tabs>
          <w:tab w:val="left" w:pos="-720"/>
        </w:tabs>
        <w:suppressAutoHyphens/>
        <w:spacing w:after="240"/>
        <w:rPr>
          <w:rFonts w:cstheme="minorHAnsi"/>
        </w:rPr>
      </w:pPr>
      <w:r w:rsidRPr="008813EA">
        <w:rPr>
          <w:iCs/>
        </w:rPr>
        <w:t xml:space="preserve">This </w:t>
      </w:r>
      <w:r>
        <w:rPr>
          <w:iCs/>
        </w:rPr>
        <w:t xml:space="preserve">pilot </w:t>
      </w:r>
      <w:r w:rsidRPr="008813EA">
        <w:rPr>
          <w:iCs/>
        </w:rPr>
        <w:t xml:space="preserve">study seeks to document </w:t>
      </w:r>
      <w:bookmarkStart w:id="2" w:name="_Hlk110440560"/>
      <w:r w:rsidRPr="008813EA">
        <w:rPr>
          <w:iCs/>
        </w:rPr>
        <w:t xml:space="preserve">the </w:t>
      </w:r>
      <w:r>
        <w:rPr>
          <w:iCs/>
        </w:rPr>
        <w:t xml:space="preserve">feasibility of using </w:t>
      </w:r>
      <w:r w:rsidR="00AF1D4F">
        <w:rPr>
          <w:iCs/>
        </w:rPr>
        <w:t xml:space="preserve">the </w:t>
      </w:r>
      <w:r>
        <w:rPr>
          <w:iCs/>
        </w:rPr>
        <w:t>integrat</w:t>
      </w:r>
      <w:r w:rsidR="00291E70">
        <w:rPr>
          <w:iCs/>
        </w:rPr>
        <w:t>ion</w:t>
      </w:r>
      <w:r>
        <w:rPr>
          <w:iCs/>
        </w:rPr>
        <w:t xml:space="preserve"> guidance while facilitating SRAE classes and the extent to which the guidance results in more consistent implementation of the strategies. </w:t>
      </w:r>
      <w:bookmarkStart w:id="3" w:name="_Hlk105773607"/>
      <w:bookmarkEnd w:id="2"/>
      <w:r>
        <w:rPr>
          <w:iCs/>
        </w:rPr>
        <w:t>T</w:t>
      </w:r>
      <w:r w:rsidRPr="008813EA">
        <w:rPr>
          <w:iCs/>
        </w:rPr>
        <w:t xml:space="preserve">he information collected through this study will be used to inform future research </w:t>
      </w:r>
      <w:r>
        <w:rPr>
          <w:iCs/>
        </w:rPr>
        <w:t xml:space="preserve">and a potential impact study </w:t>
      </w:r>
      <w:r w:rsidRPr="008813EA">
        <w:rPr>
          <w:iCs/>
        </w:rPr>
        <w:t>on the effectiveness of using co-regulation strategies on youth well-being and other program impacts</w:t>
      </w:r>
      <w:r>
        <w:rPr>
          <w:rStyle w:val="FootnoteReference"/>
          <w:iCs/>
        </w:rPr>
        <w:footnoteReference w:id="6"/>
      </w:r>
      <w:r w:rsidRPr="008813EA">
        <w:rPr>
          <w:iCs/>
        </w:rPr>
        <w:t xml:space="preserve">. </w:t>
      </w:r>
      <w:bookmarkEnd w:id="0"/>
      <w:r w:rsidRPr="008813EA">
        <w:rPr>
          <w:iCs/>
        </w:rPr>
        <w:t xml:space="preserve">This specific request is related to the collection of qualitative and survey data that will be used to describe how the facilitators </w:t>
      </w:r>
      <w:r>
        <w:rPr>
          <w:iCs/>
        </w:rPr>
        <w:t>use the integration guidance and implement</w:t>
      </w:r>
      <w:r w:rsidRPr="008813EA">
        <w:rPr>
          <w:iCs/>
        </w:rPr>
        <w:t xml:space="preserve"> the co-regulation strategies </w:t>
      </w:r>
      <w:r>
        <w:rPr>
          <w:iCs/>
        </w:rPr>
        <w:t>during</w:t>
      </w:r>
      <w:r w:rsidRPr="008813EA">
        <w:rPr>
          <w:iCs/>
        </w:rPr>
        <w:t xml:space="preserve"> their classroom instruction, which ACF could use to inform the planning for a possible future effectiveness evaluation of the co-regulation strategies. </w:t>
      </w:r>
      <w:bookmarkEnd w:id="1"/>
      <w:bookmarkEnd w:id="3"/>
    </w:p>
    <w:p w:rsidR="00014EDC" w:rsidRPr="00FA5B1A" w:rsidP="00AE685D" w14:paraId="6A82FB48" w14:textId="3FD0BB3A">
      <w:pPr>
        <w:spacing w:after="120"/>
        <w:rPr>
          <w:rFonts w:cstheme="minorHAnsi"/>
          <w:b/>
        </w:rPr>
      </w:pPr>
      <w:r w:rsidRPr="00FA5B1A">
        <w:rPr>
          <w:rFonts w:cstheme="minorHAnsi"/>
        </w:rPr>
        <w:t>This proposed information collection meets the following goals of ACF’s generic clearance for formative data collections for research and evaluation (0970-0356):</w:t>
      </w:r>
    </w:p>
    <w:p w:rsidR="00014EDC" w:rsidRPr="00FA5B1A" w:rsidP="00014EDC" w14:paraId="3DEEECC5" w14:textId="77777777">
      <w:pPr>
        <w:numPr>
          <w:ilvl w:val="0"/>
          <w:numId w:val="43"/>
        </w:numPr>
        <w:spacing w:after="0" w:line="240" w:lineRule="auto"/>
        <w:rPr>
          <w:rFonts w:cstheme="minorHAnsi"/>
        </w:rPr>
      </w:pPr>
      <w:r w:rsidRPr="00FA5B1A">
        <w:rPr>
          <w:rFonts w:cstheme="minorHAnsi"/>
        </w:rPr>
        <w:t>inform the development of ACF research</w:t>
      </w:r>
    </w:p>
    <w:p w:rsidR="00014EDC" w:rsidRPr="00FA5B1A" w:rsidP="00014EDC" w14:paraId="11FE25D3" w14:textId="55DB2FDB">
      <w:pPr>
        <w:numPr>
          <w:ilvl w:val="0"/>
          <w:numId w:val="43"/>
        </w:numPr>
        <w:spacing w:after="0" w:line="240" w:lineRule="auto"/>
        <w:rPr>
          <w:rFonts w:cstheme="minorHAnsi"/>
        </w:rPr>
      </w:pPr>
      <w:r w:rsidRPr="00FA5B1A">
        <w:rPr>
          <w:rFonts w:cstheme="minorHAnsi"/>
        </w:rPr>
        <w:t>maintain a research agenda that is rigorous and relevant</w:t>
      </w:r>
      <w:r w:rsidR="001D3589">
        <w:rPr>
          <w:rFonts w:cstheme="minorHAnsi"/>
        </w:rPr>
        <w:t>, and</w:t>
      </w:r>
    </w:p>
    <w:p w:rsidR="00014EDC" w:rsidRPr="00FA5B1A" w:rsidP="00014EDC" w14:paraId="6B675854" w14:textId="007D63DE">
      <w:pPr>
        <w:numPr>
          <w:ilvl w:val="0"/>
          <w:numId w:val="43"/>
        </w:numPr>
        <w:spacing w:after="0" w:line="240" w:lineRule="auto"/>
        <w:rPr>
          <w:rFonts w:cstheme="minorHAnsi"/>
        </w:rPr>
      </w:pPr>
      <w:r w:rsidRPr="00FA5B1A">
        <w:rPr>
          <w:rFonts w:cstheme="minorHAnsi"/>
        </w:rPr>
        <w:t>inform the provision of technical assistance.</w:t>
      </w:r>
    </w:p>
    <w:p w:rsidR="004328A4" w:rsidRPr="00014EDC" w:rsidP="00DF1291" w14:paraId="36656807" w14:textId="1CC7EE16">
      <w:pPr>
        <w:spacing w:after="0" w:line="240" w:lineRule="auto"/>
        <w:rPr>
          <w:rFonts w:cstheme="minorHAnsi"/>
          <w:i/>
        </w:rPr>
      </w:pPr>
    </w:p>
    <w:p w:rsidR="00A36134" w:rsidRPr="00014EDC" w:rsidP="00A36134" w14:paraId="12840CC4" w14:textId="656CF3B1">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7D0F6E" w:rsidRPr="004328A4" w:rsidP="00DF1291" w14:paraId="3D05813B" w14:textId="77777777">
      <w:pPr>
        <w:spacing w:after="0" w:line="240" w:lineRule="auto"/>
        <w:rPr>
          <w:i/>
        </w:rPr>
      </w:pPr>
    </w:p>
    <w:p w:rsidR="00C123BF" w:rsidP="00AE685D" w14:paraId="1BDAA131" w14:textId="77777777">
      <w:pPr>
        <w:spacing w:after="60" w:line="240" w:lineRule="auto"/>
        <w:rPr>
          <w:i/>
        </w:rPr>
      </w:pPr>
      <w:r>
        <w:rPr>
          <w:i/>
        </w:rPr>
        <w:t xml:space="preserve">Research Questions </w:t>
      </w:r>
    </w:p>
    <w:p w:rsidR="00543F6E" w:rsidRPr="008813EA" w:rsidP="00543F6E" w14:paraId="081ACA24" w14:textId="29A74DEF">
      <w:pPr>
        <w:spacing w:after="0" w:line="240" w:lineRule="auto"/>
        <w:rPr>
          <w:iCs/>
        </w:rPr>
      </w:pPr>
      <w:r w:rsidRPr="008813EA">
        <w:rPr>
          <w:iCs/>
        </w:rPr>
        <w:t xml:space="preserve">This </w:t>
      </w:r>
      <w:r>
        <w:rPr>
          <w:iCs/>
        </w:rPr>
        <w:t xml:space="preserve">pilot study </w:t>
      </w:r>
      <w:r w:rsidRPr="008813EA">
        <w:rPr>
          <w:iCs/>
        </w:rPr>
        <w:t xml:space="preserve">will address </w:t>
      </w:r>
      <w:r w:rsidR="00EB1CBF">
        <w:rPr>
          <w:iCs/>
        </w:rPr>
        <w:t xml:space="preserve">one </w:t>
      </w:r>
      <w:r w:rsidRPr="008813EA">
        <w:rPr>
          <w:iCs/>
        </w:rPr>
        <w:t xml:space="preserve">primary research question, with </w:t>
      </w:r>
      <w:r w:rsidR="00EB1CBF">
        <w:rPr>
          <w:iCs/>
        </w:rPr>
        <w:t xml:space="preserve">several </w:t>
      </w:r>
      <w:r w:rsidRPr="008813EA">
        <w:rPr>
          <w:iCs/>
        </w:rPr>
        <w:t xml:space="preserve">secondary questions. As noted above, </w:t>
      </w:r>
      <w:r w:rsidR="00EB1CBF">
        <w:rPr>
          <w:iCs/>
        </w:rPr>
        <w:t xml:space="preserve">this </w:t>
      </w:r>
      <w:r w:rsidRPr="008813EA">
        <w:rPr>
          <w:iCs/>
        </w:rPr>
        <w:t>question reflect</w:t>
      </w:r>
      <w:r w:rsidR="00EB1CBF">
        <w:rPr>
          <w:iCs/>
        </w:rPr>
        <w:t>s</w:t>
      </w:r>
      <w:r w:rsidRPr="008813EA">
        <w:rPr>
          <w:iCs/>
        </w:rPr>
        <w:t xml:space="preserve"> the information needs for ACF’s co-regulation learning agenda and </w:t>
      </w:r>
      <w:r w:rsidR="0023340B">
        <w:rPr>
          <w:iCs/>
        </w:rPr>
        <w:t xml:space="preserve">continues </w:t>
      </w:r>
      <w:r w:rsidRPr="008813EA">
        <w:rPr>
          <w:iCs/>
        </w:rPr>
        <w:t xml:space="preserve">to explore whether integrating co-regulation strategies can improve youth learning through improved facilitation. </w:t>
      </w:r>
    </w:p>
    <w:p w:rsidR="00543F6E" w:rsidRPr="00543F6E" w:rsidP="00BD0FBE" w14:paraId="209821C1" w14:textId="77777777">
      <w:pPr>
        <w:spacing w:after="0" w:line="240" w:lineRule="auto"/>
        <w:rPr>
          <w:iCs/>
        </w:rPr>
      </w:pPr>
    </w:p>
    <w:p w:rsidR="00C123BF" w:rsidP="00C123BF" w14:paraId="2D669C95" w14:textId="0A08EF94">
      <w:pPr>
        <w:pStyle w:val="ListParagraph"/>
        <w:numPr>
          <w:ilvl w:val="0"/>
          <w:numId w:val="47"/>
        </w:numPr>
        <w:spacing w:after="0" w:line="240" w:lineRule="auto"/>
        <w:rPr>
          <w:iCs/>
        </w:rPr>
      </w:pPr>
      <w:r>
        <w:rPr>
          <w:iCs/>
        </w:rPr>
        <w:t xml:space="preserve">Does use of the co-regulation integration guidance appear to support the </w:t>
      </w:r>
      <w:r w:rsidR="0023340B">
        <w:rPr>
          <w:iCs/>
        </w:rPr>
        <w:t xml:space="preserve">consistent </w:t>
      </w:r>
      <w:r w:rsidR="003F4A99">
        <w:rPr>
          <w:iCs/>
        </w:rPr>
        <w:t xml:space="preserve">inclusion </w:t>
      </w:r>
      <w:r>
        <w:rPr>
          <w:iCs/>
        </w:rPr>
        <w:t>of the co-regulation strategies</w:t>
      </w:r>
      <w:r w:rsidR="003F4A99">
        <w:rPr>
          <w:iCs/>
        </w:rPr>
        <w:t xml:space="preserve"> when implementing a SRAE program</w:t>
      </w:r>
      <w:r>
        <w:rPr>
          <w:iCs/>
        </w:rPr>
        <w:t xml:space="preserve">? </w:t>
      </w:r>
    </w:p>
    <w:p w:rsidR="00C123BF" w:rsidP="00C123BF" w14:paraId="5491DA6B" w14:textId="36884C95">
      <w:pPr>
        <w:pStyle w:val="ListParagraph"/>
        <w:numPr>
          <w:ilvl w:val="1"/>
          <w:numId w:val="47"/>
        </w:numPr>
        <w:spacing w:after="0" w:line="240" w:lineRule="auto"/>
        <w:rPr>
          <w:iCs/>
        </w:rPr>
      </w:pPr>
      <w:r>
        <w:rPr>
          <w:iCs/>
        </w:rPr>
        <w:t xml:space="preserve">How easy is it for </w:t>
      </w:r>
      <w:r>
        <w:rPr>
          <w:iCs/>
        </w:rPr>
        <w:t xml:space="preserve">facilitators </w:t>
      </w:r>
      <w:r>
        <w:rPr>
          <w:iCs/>
        </w:rPr>
        <w:t xml:space="preserve">to </w:t>
      </w:r>
      <w:r>
        <w:rPr>
          <w:iCs/>
        </w:rPr>
        <w:t xml:space="preserve">use the </w:t>
      </w:r>
      <w:r w:rsidR="003F4A99">
        <w:rPr>
          <w:iCs/>
        </w:rPr>
        <w:t xml:space="preserve">co-regulation integration </w:t>
      </w:r>
      <w:r>
        <w:rPr>
          <w:iCs/>
        </w:rPr>
        <w:t xml:space="preserve">guidance? </w:t>
      </w:r>
    </w:p>
    <w:p w:rsidR="00C123BF" w:rsidP="00C123BF" w14:paraId="7A750FFD" w14:textId="2D8E0229">
      <w:pPr>
        <w:pStyle w:val="ListParagraph"/>
        <w:numPr>
          <w:ilvl w:val="1"/>
          <w:numId w:val="47"/>
        </w:numPr>
        <w:spacing w:after="0" w:line="240" w:lineRule="auto"/>
        <w:rPr>
          <w:iCs/>
        </w:rPr>
      </w:pPr>
      <w:r>
        <w:rPr>
          <w:iCs/>
        </w:rPr>
        <w:t>How does the guidance support facilitators</w:t>
      </w:r>
      <w:r w:rsidR="00A02FA5">
        <w:rPr>
          <w:iCs/>
        </w:rPr>
        <w:t>’</w:t>
      </w:r>
      <w:r>
        <w:rPr>
          <w:iCs/>
        </w:rPr>
        <w:t xml:space="preserve"> implementation of the co-regulation strategies? </w:t>
      </w:r>
    </w:p>
    <w:p w:rsidR="00C123BF" w:rsidP="00C123BF" w14:paraId="77F343EF" w14:textId="77777777">
      <w:pPr>
        <w:pStyle w:val="ListParagraph"/>
        <w:numPr>
          <w:ilvl w:val="1"/>
          <w:numId w:val="47"/>
        </w:numPr>
        <w:spacing w:after="0" w:line="240" w:lineRule="auto"/>
        <w:rPr>
          <w:iCs/>
        </w:rPr>
      </w:pPr>
      <w:r>
        <w:rPr>
          <w:iCs/>
        </w:rPr>
        <w:t xml:space="preserve">What successes and challenges are associated with use of the guidance and implementation of the co-regulation strategies? </w:t>
      </w:r>
    </w:p>
    <w:p w:rsidR="004328A4" w:rsidP="00DF1291" w14:paraId="5B5CEC90" w14:textId="1EED0E56">
      <w:pPr>
        <w:spacing w:after="0" w:line="240" w:lineRule="auto"/>
        <w:rPr>
          <w:i/>
        </w:rPr>
      </w:pPr>
    </w:p>
    <w:p w:rsidR="004328A4" w:rsidP="00AE685D" w14:paraId="5C99A251" w14:textId="06F137D6">
      <w:pPr>
        <w:spacing w:after="60" w:line="240" w:lineRule="auto"/>
        <w:rPr>
          <w:i/>
        </w:rPr>
      </w:pPr>
      <w:r>
        <w:rPr>
          <w:i/>
        </w:rPr>
        <w:t>Study Design</w:t>
      </w:r>
    </w:p>
    <w:p w:rsidR="000A65DB" w:rsidP="00AE685D" w14:paraId="64A35BE6" w14:textId="41669ACD">
      <w:pPr>
        <w:spacing w:after="240" w:line="240" w:lineRule="auto"/>
        <w:rPr>
          <w:iCs/>
        </w:rPr>
      </w:pPr>
      <w:r>
        <w:rPr>
          <w:iCs/>
        </w:rPr>
        <w:t xml:space="preserve">To conduct the </w:t>
      </w:r>
      <w:r w:rsidR="00404293">
        <w:rPr>
          <w:iCs/>
        </w:rPr>
        <w:t>c</w:t>
      </w:r>
      <w:r>
        <w:rPr>
          <w:iCs/>
        </w:rPr>
        <w:t xml:space="preserve">o-regulation </w:t>
      </w:r>
      <w:r w:rsidR="00404293">
        <w:rPr>
          <w:iCs/>
        </w:rPr>
        <w:t>g</w:t>
      </w:r>
      <w:r>
        <w:rPr>
          <w:iCs/>
        </w:rPr>
        <w:t xml:space="preserve">uidance </w:t>
      </w:r>
      <w:r w:rsidR="00404293">
        <w:rPr>
          <w:iCs/>
        </w:rPr>
        <w:t>p</w:t>
      </w:r>
      <w:r>
        <w:rPr>
          <w:iCs/>
        </w:rPr>
        <w:t>ilot study, the team will recruit up to two sites to receive training o</w:t>
      </w:r>
      <w:r w:rsidR="000D0A26">
        <w:rPr>
          <w:iCs/>
        </w:rPr>
        <w:t>n</w:t>
      </w:r>
      <w:r>
        <w:rPr>
          <w:iCs/>
        </w:rPr>
        <w:t xml:space="preserve"> the six SRAE co-regulation strategies and associated integration guidance. For information about the sites to be recruited, see Supporting Statement B, Section B2. Data will be collected from all facilitators in each site (estimated at five facilitators per site). </w:t>
      </w:r>
      <w:r>
        <w:rPr>
          <w:i/>
        </w:rPr>
        <w:t xml:space="preserve"> </w:t>
      </w:r>
      <w:r>
        <w:rPr>
          <w:iCs/>
        </w:rPr>
        <w:t xml:space="preserve">We estimate the data collection period will take </w:t>
      </w:r>
      <w:r w:rsidR="00FC3308">
        <w:rPr>
          <w:iCs/>
        </w:rPr>
        <w:t>up to 1</w:t>
      </w:r>
      <w:r>
        <w:rPr>
          <w:iCs/>
        </w:rPr>
        <w:t xml:space="preserve">2 weeks, accounting for training the facilitators and collecting data. </w:t>
      </w:r>
    </w:p>
    <w:p w:rsidR="000A65DB" w:rsidP="00AE685D" w14:paraId="6A096AE2" w14:textId="6BA34AC4">
      <w:pPr>
        <w:spacing w:after="240" w:line="240" w:lineRule="auto"/>
        <w:rPr>
          <w:iCs/>
        </w:rPr>
      </w:pPr>
      <w:r>
        <w:rPr>
          <w:iCs/>
        </w:rPr>
        <w:t xml:space="preserve">Program facilitators working in the two selected sites will be asked to complete several brief surveys: a daily facilitator log (Instrument 1. </w:t>
      </w:r>
      <w:r w:rsidR="003D5F41">
        <w:rPr>
          <w:iCs/>
        </w:rPr>
        <w:t>Facilitator log</w:t>
      </w:r>
      <w:r>
        <w:rPr>
          <w:iCs/>
        </w:rPr>
        <w:t>) to occur after facilitating each class over a 6-week period</w:t>
      </w:r>
      <w:r w:rsidR="00A31C11">
        <w:rPr>
          <w:iCs/>
        </w:rPr>
        <w:t xml:space="preserve">; </w:t>
      </w:r>
      <w:r>
        <w:rPr>
          <w:iCs/>
        </w:rPr>
        <w:t xml:space="preserve">a brief post-training </w:t>
      </w:r>
      <w:r w:rsidR="00366373">
        <w:rPr>
          <w:iCs/>
        </w:rPr>
        <w:t>pulse check</w:t>
      </w:r>
      <w:r>
        <w:rPr>
          <w:iCs/>
        </w:rPr>
        <w:t xml:space="preserve"> (Instrument 2</w:t>
      </w:r>
      <w:r w:rsidR="003D5F41">
        <w:rPr>
          <w:iCs/>
        </w:rPr>
        <w:t>. Facilitator post-training pulse check</w:t>
      </w:r>
      <w:r>
        <w:rPr>
          <w:iCs/>
        </w:rPr>
        <w:t xml:space="preserve">) immediately following the last training session; and a brief post-coaching </w:t>
      </w:r>
      <w:r w:rsidR="00366373">
        <w:rPr>
          <w:iCs/>
        </w:rPr>
        <w:t>pulse check</w:t>
      </w:r>
      <w:r>
        <w:rPr>
          <w:iCs/>
        </w:rPr>
        <w:t xml:space="preserve"> (Instrument 3</w:t>
      </w:r>
      <w:r w:rsidR="003D5F41">
        <w:rPr>
          <w:iCs/>
        </w:rPr>
        <w:t>. Facilitator post-coaching pulse check</w:t>
      </w:r>
      <w:r>
        <w:rPr>
          <w:iCs/>
        </w:rPr>
        <w:t>) that they will complete immediately following the last coaching support call. For the facilitator log, facilitators will be asked to indicate what strategies they used during each class they facilitated and a</w:t>
      </w:r>
      <w:r w:rsidR="007762A9">
        <w:rPr>
          <w:iCs/>
        </w:rPr>
        <w:t>n</w:t>
      </w:r>
      <w:r>
        <w:rPr>
          <w:iCs/>
        </w:rPr>
        <w:t xml:space="preserve"> </w:t>
      </w:r>
      <w:r w:rsidR="007762A9">
        <w:rPr>
          <w:iCs/>
        </w:rPr>
        <w:t xml:space="preserve">overall </w:t>
      </w:r>
      <w:r>
        <w:rPr>
          <w:iCs/>
        </w:rPr>
        <w:t>rating of how they felt it went. The post-training and post-coaching surveys will capture facilitators</w:t>
      </w:r>
      <w:r w:rsidR="00AF65ED">
        <w:rPr>
          <w:iCs/>
        </w:rPr>
        <w:t>’</w:t>
      </w:r>
      <w:r>
        <w:rPr>
          <w:iCs/>
        </w:rPr>
        <w:t xml:space="preserve"> satisfaction with training and coaching and identify areas for improvement. </w:t>
      </w:r>
    </w:p>
    <w:p w:rsidR="000A65DB" w:rsidP="00AE685D" w14:paraId="06564243" w14:textId="56454B52">
      <w:pPr>
        <w:spacing w:after="240" w:line="240" w:lineRule="auto"/>
        <w:rPr>
          <w:iCs/>
        </w:rPr>
      </w:pPr>
      <w:r>
        <w:rPr>
          <w:iCs/>
        </w:rPr>
        <w:t xml:space="preserve">Facilitators will also be asked to participate in six weekly, 15-minute interviews (Instrument 4. Facilitator </w:t>
      </w:r>
      <w:r w:rsidR="003D5F41">
        <w:rPr>
          <w:iCs/>
        </w:rPr>
        <w:t>mini-</w:t>
      </w:r>
      <w:r>
        <w:rPr>
          <w:iCs/>
        </w:rPr>
        <w:t xml:space="preserve">interview </w:t>
      </w:r>
      <w:r w:rsidR="003D5F41">
        <w:rPr>
          <w:iCs/>
        </w:rPr>
        <w:t>guide</w:t>
      </w:r>
      <w:r>
        <w:rPr>
          <w:iCs/>
        </w:rPr>
        <w:t xml:space="preserve">) to discuss their perceptions of how the strategies are working, examples of why they thought certain strategies went well or why they went poorly, and their reactions to the usefulness of the integration guidance. </w:t>
      </w:r>
    </w:p>
    <w:p w:rsidR="000A65DB" w:rsidRPr="0071277F" w:rsidP="00AE685D" w14:paraId="3638B5DE" w14:textId="77777777">
      <w:pPr>
        <w:spacing w:after="240" w:line="240" w:lineRule="auto"/>
        <w:rPr>
          <w:iCs/>
        </w:rPr>
      </w:pPr>
      <w:r>
        <w:rPr>
          <w:iCs/>
        </w:rPr>
        <w:t xml:space="preserve">Table A.1 includes data collection by instrument, participant, content, purpose, and mode and duration of the data collection. To understand the feasibility of using the guidance, we are focusing data collection on the facilitators who interact directly with youth. </w:t>
      </w:r>
    </w:p>
    <w:p w:rsidR="00732592" w14:paraId="05368A68" w14:textId="77777777">
      <w:pPr>
        <w:rPr>
          <w:b/>
          <w:bCs/>
          <w:iCs/>
        </w:rPr>
      </w:pPr>
      <w:r>
        <w:rPr>
          <w:b/>
          <w:bCs/>
          <w:iCs/>
        </w:rPr>
        <w:br w:type="page"/>
      </w:r>
    </w:p>
    <w:p w:rsidR="000A65DB" w:rsidRPr="002A38CA" w:rsidP="007D0F6E" w14:paraId="74F7E1EE" w14:textId="066C5647">
      <w:pPr>
        <w:spacing w:after="120" w:line="240" w:lineRule="auto"/>
        <w:rPr>
          <w:b/>
          <w:bCs/>
          <w:iCs/>
        </w:rPr>
      </w:pPr>
      <w:r w:rsidRPr="002A38CA">
        <w:rPr>
          <w:b/>
          <w:bCs/>
          <w:iCs/>
        </w:rPr>
        <w:t>Table A.1.</w:t>
      </w:r>
      <w:r>
        <w:rPr>
          <w:b/>
          <w:bCs/>
          <w:iCs/>
        </w:rPr>
        <w:t xml:space="preserve"> Study design summary</w:t>
      </w:r>
    </w:p>
    <w:tbl>
      <w:tblPr>
        <w:tblStyle w:val="TableGrid"/>
        <w:tblW w:w="9445" w:type="dxa"/>
        <w:tblInd w:w="0" w:type="dxa"/>
        <w:tblLook w:val="04A0"/>
      </w:tblPr>
      <w:tblGrid>
        <w:gridCol w:w="1705"/>
        <w:gridCol w:w="1440"/>
        <w:gridCol w:w="4609"/>
        <w:gridCol w:w="1691"/>
      </w:tblGrid>
      <w:tr w14:paraId="51FF2E50" w14:textId="77777777" w:rsidTr="00B422A8">
        <w:tblPrEx>
          <w:tblW w:w="9445" w:type="dxa"/>
          <w:tblInd w:w="0" w:type="dxa"/>
          <w:tblLook w:val="04A0"/>
        </w:tblPrEx>
        <w:trPr>
          <w:tblHeader/>
        </w:trPr>
        <w:tc>
          <w:tcPr>
            <w:tcW w:w="1705" w:type="dxa"/>
            <w:shd w:val="clear" w:color="auto" w:fill="D9D9D9" w:themeFill="background1" w:themeFillShade="D9"/>
          </w:tcPr>
          <w:p w:rsidR="00A36134" w:rsidRPr="00BC3401" w:rsidP="00E501D2"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440" w:type="dxa"/>
            <w:shd w:val="clear" w:color="auto" w:fill="D9D9D9" w:themeFill="background1" w:themeFillShade="D9"/>
          </w:tcPr>
          <w:p w:rsidR="00A36134" w:rsidRPr="00BC3401" w:rsidP="00E501D2" w14:paraId="750C64CA" w14:textId="77777777">
            <w:pPr>
              <w:rPr>
                <w:rFonts w:asciiTheme="minorHAnsi" w:hAnsiTheme="minorHAnsi" w:cstheme="minorHAnsi"/>
                <w:i/>
              </w:rPr>
            </w:pPr>
            <w:r w:rsidRPr="00BC3401">
              <w:rPr>
                <w:rFonts w:asciiTheme="minorHAnsi" w:hAnsiTheme="minorHAnsi" w:cstheme="minorHAnsi"/>
                <w:i/>
              </w:rPr>
              <w:t>Instrument(s)</w:t>
            </w:r>
          </w:p>
        </w:tc>
        <w:tc>
          <w:tcPr>
            <w:tcW w:w="4609" w:type="dxa"/>
            <w:shd w:val="clear" w:color="auto" w:fill="D9D9D9" w:themeFill="background1" w:themeFillShade="D9"/>
          </w:tcPr>
          <w:p w:rsidR="00A36134" w:rsidRPr="00BC3401" w:rsidP="00E501D2"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691" w:type="dxa"/>
            <w:shd w:val="clear" w:color="auto" w:fill="D9D9D9" w:themeFill="background1" w:themeFillShade="D9"/>
          </w:tcPr>
          <w:p w:rsidR="00A36134" w:rsidRPr="00BC3401" w:rsidP="00E501D2"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7460439D" w14:textId="77777777" w:rsidTr="00B422A8">
        <w:tblPrEx>
          <w:tblW w:w="9445" w:type="dxa"/>
          <w:tblInd w:w="0" w:type="dxa"/>
          <w:tblLook w:val="04A0"/>
        </w:tblPrEx>
        <w:tc>
          <w:tcPr>
            <w:tcW w:w="1705" w:type="dxa"/>
          </w:tcPr>
          <w:p w:rsidR="0006086B" w:rsidRPr="00BC3401" w:rsidP="0006086B" w14:paraId="45A0A4CE" w14:textId="26E647CD">
            <w:pPr>
              <w:rPr>
                <w:rFonts w:asciiTheme="minorHAnsi" w:hAnsiTheme="minorHAnsi" w:cstheme="minorHAnsi"/>
              </w:rPr>
            </w:pPr>
            <w:r w:rsidRPr="00871EE9">
              <w:rPr>
                <w:rFonts w:asciiTheme="minorHAnsi" w:hAnsiTheme="minorHAnsi" w:cstheme="minorHAnsi"/>
              </w:rPr>
              <w:t>Facilitator log</w:t>
            </w:r>
          </w:p>
        </w:tc>
        <w:tc>
          <w:tcPr>
            <w:tcW w:w="1440" w:type="dxa"/>
          </w:tcPr>
          <w:p w:rsidR="0006086B" w:rsidRPr="00BC3401" w:rsidP="0006086B" w14:paraId="3EDF4256" w14:textId="6EE43B9E">
            <w:pPr>
              <w:rPr>
                <w:rFonts w:asciiTheme="minorHAnsi" w:hAnsiTheme="minorHAnsi" w:cstheme="minorHAnsi"/>
              </w:rPr>
            </w:pPr>
            <w:r w:rsidRPr="00871EE9">
              <w:rPr>
                <w:rFonts w:asciiTheme="minorHAnsi" w:hAnsiTheme="minorHAnsi" w:cstheme="minorHAnsi"/>
              </w:rPr>
              <w:t>Instrument 1</w:t>
            </w:r>
            <w:r w:rsidR="00657FB1">
              <w:rPr>
                <w:rFonts w:asciiTheme="minorHAnsi" w:hAnsiTheme="minorHAnsi" w:cstheme="minorHAnsi"/>
              </w:rPr>
              <w:t>. Facilitator log</w:t>
            </w:r>
          </w:p>
        </w:tc>
        <w:tc>
          <w:tcPr>
            <w:tcW w:w="4609" w:type="dxa"/>
          </w:tcPr>
          <w:p w:rsidR="0006086B" w:rsidRPr="00871EE9" w:rsidP="0006086B" w14:paraId="3D0E36D6" w14:textId="566B440D">
            <w:pPr>
              <w:rPr>
                <w:rFonts w:asciiTheme="minorHAnsi" w:hAnsiTheme="minorHAnsi" w:cstheme="minorHAnsi"/>
              </w:rPr>
            </w:pPr>
            <w:r w:rsidRPr="00871EE9">
              <w:rPr>
                <w:rFonts w:asciiTheme="minorHAnsi" w:hAnsiTheme="minorHAnsi" w:cstheme="minorHAnsi"/>
                <w:b/>
              </w:rPr>
              <w:t>Respondents</w:t>
            </w:r>
            <w:r w:rsidRPr="00871EE9">
              <w:rPr>
                <w:rFonts w:asciiTheme="minorHAnsi" w:hAnsiTheme="minorHAnsi" w:cstheme="minorHAnsi"/>
              </w:rPr>
              <w:t xml:space="preserve">: </w:t>
            </w:r>
            <w:r w:rsidR="00E350DF">
              <w:rPr>
                <w:rFonts w:asciiTheme="minorHAnsi" w:hAnsiTheme="minorHAnsi" w:cstheme="minorHAnsi"/>
              </w:rPr>
              <w:t>Program</w:t>
            </w:r>
            <w:r w:rsidRPr="00871EE9" w:rsidR="00E350DF">
              <w:rPr>
                <w:rFonts w:asciiTheme="minorHAnsi" w:hAnsiTheme="minorHAnsi" w:cstheme="minorHAnsi"/>
              </w:rPr>
              <w:t xml:space="preserve"> </w:t>
            </w:r>
            <w:r w:rsidRPr="00871EE9">
              <w:rPr>
                <w:rFonts w:asciiTheme="minorHAnsi" w:hAnsiTheme="minorHAnsi" w:cstheme="minorHAnsi"/>
              </w:rPr>
              <w:t>facilitators</w:t>
            </w:r>
          </w:p>
          <w:p w:rsidR="0006086B" w:rsidRPr="00871EE9" w:rsidP="0006086B" w14:paraId="655A8C94" w14:textId="77777777">
            <w:pPr>
              <w:rPr>
                <w:rFonts w:asciiTheme="minorHAnsi" w:hAnsiTheme="minorHAnsi" w:cstheme="minorHAnsi"/>
              </w:rPr>
            </w:pPr>
          </w:p>
          <w:p w:rsidR="0006086B" w:rsidRPr="00871EE9" w:rsidP="0006086B" w14:paraId="5DCFE5A0" w14:textId="77777777">
            <w:pPr>
              <w:rPr>
                <w:rFonts w:asciiTheme="minorHAnsi" w:hAnsiTheme="minorHAnsi" w:cstheme="minorHAnsi"/>
              </w:rPr>
            </w:pPr>
            <w:r w:rsidRPr="00871EE9">
              <w:rPr>
                <w:rFonts w:asciiTheme="minorHAnsi" w:hAnsiTheme="minorHAnsi" w:cstheme="minorHAnsi"/>
                <w:b/>
              </w:rPr>
              <w:t>Content</w:t>
            </w:r>
            <w:r w:rsidRPr="00871EE9">
              <w:rPr>
                <w:rFonts w:asciiTheme="minorHAnsi" w:hAnsiTheme="minorHAnsi" w:cstheme="minorHAnsi"/>
              </w:rPr>
              <w:t xml:space="preserve">: Use of the strategies, reactions to how implementation went </w:t>
            </w:r>
          </w:p>
          <w:p w:rsidR="0006086B" w:rsidRPr="00871EE9" w:rsidP="0006086B" w14:paraId="0BA91F7E" w14:textId="77777777">
            <w:pPr>
              <w:rPr>
                <w:rFonts w:asciiTheme="minorHAnsi" w:hAnsiTheme="minorHAnsi" w:cstheme="minorHAnsi"/>
              </w:rPr>
            </w:pPr>
          </w:p>
          <w:p w:rsidR="0006086B" w:rsidRPr="00BC3401" w:rsidP="0006086B" w14:paraId="11DAEC14" w14:textId="7229DB9E">
            <w:pPr>
              <w:rPr>
                <w:rFonts w:asciiTheme="minorHAnsi" w:hAnsiTheme="minorHAnsi" w:cstheme="minorHAnsi"/>
              </w:rPr>
            </w:pPr>
            <w:r w:rsidRPr="00871EE9">
              <w:rPr>
                <w:rFonts w:asciiTheme="minorHAnsi" w:hAnsiTheme="minorHAnsi" w:cstheme="minorHAnsi"/>
                <w:b/>
              </w:rPr>
              <w:t>Purpose</w:t>
            </w:r>
            <w:r w:rsidRPr="00871EE9">
              <w:rPr>
                <w:rFonts w:asciiTheme="minorHAnsi" w:hAnsiTheme="minorHAnsi" w:cstheme="minorHAnsi"/>
              </w:rPr>
              <w:t xml:space="preserve">: To determine the frequency with which facilitators use the co-regulation strategies and their perceptions of how implementing the strategies went </w:t>
            </w:r>
          </w:p>
        </w:tc>
        <w:tc>
          <w:tcPr>
            <w:tcW w:w="1691" w:type="dxa"/>
          </w:tcPr>
          <w:p w:rsidR="0006086B" w:rsidRPr="00871EE9" w:rsidP="0006086B" w14:paraId="57773447" w14:textId="23EA7534">
            <w:pPr>
              <w:rPr>
                <w:rFonts w:asciiTheme="minorHAnsi" w:hAnsiTheme="minorHAnsi" w:cstheme="minorHAnsi"/>
              </w:rPr>
            </w:pPr>
            <w:r w:rsidRPr="00871EE9">
              <w:rPr>
                <w:rFonts w:asciiTheme="minorHAnsi" w:hAnsiTheme="minorHAnsi" w:cstheme="minorHAnsi"/>
                <w:b/>
              </w:rPr>
              <w:t>Mode</w:t>
            </w:r>
            <w:r w:rsidRPr="00871EE9">
              <w:rPr>
                <w:rFonts w:asciiTheme="minorHAnsi" w:hAnsiTheme="minorHAnsi" w:cstheme="minorHAnsi"/>
              </w:rPr>
              <w:t xml:space="preserve">: </w:t>
            </w:r>
            <w:r w:rsidR="001D6D35">
              <w:rPr>
                <w:rFonts w:asciiTheme="minorHAnsi" w:hAnsiTheme="minorHAnsi" w:cstheme="minorHAnsi"/>
              </w:rPr>
              <w:t>Paper, w</w:t>
            </w:r>
            <w:r w:rsidRPr="00871EE9">
              <w:rPr>
                <w:rFonts w:asciiTheme="minorHAnsi" w:hAnsiTheme="minorHAnsi" w:cstheme="minorHAnsi"/>
              </w:rPr>
              <w:t xml:space="preserve">eb </w:t>
            </w:r>
          </w:p>
          <w:p w:rsidR="0006086B" w:rsidRPr="00871EE9" w:rsidP="0006086B" w14:paraId="131D6DD9" w14:textId="77777777">
            <w:pPr>
              <w:rPr>
                <w:rFonts w:asciiTheme="minorHAnsi" w:hAnsiTheme="minorHAnsi" w:cstheme="minorHAnsi"/>
              </w:rPr>
            </w:pPr>
          </w:p>
          <w:p w:rsidR="0006086B" w:rsidRPr="00BC3401" w:rsidP="0006086B" w14:paraId="5A3D1520" w14:textId="3B90F376">
            <w:pPr>
              <w:rPr>
                <w:rFonts w:asciiTheme="minorHAnsi" w:hAnsiTheme="minorHAnsi" w:cstheme="minorHAnsi"/>
              </w:rPr>
            </w:pPr>
            <w:r w:rsidRPr="00871EE9">
              <w:rPr>
                <w:rFonts w:asciiTheme="minorHAnsi" w:hAnsiTheme="minorHAnsi" w:cstheme="minorHAnsi"/>
                <w:b/>
              </w:rPr>
              <w:t>Duration</w:t>
            </w:r>
            <w:r w:rsidRPr="00871EE9">
              <w:rPr>
                <w:rFonts w:asciiTheme="minorHAnsi" w:hAnsiTheme="minorHAnsi" w:cstheme="minorHAnsi"/>
              </w:rPr>
              <w:t>: Daily input during selected weeks</w:t>
            </w:r>
            <w:r w:rsidR="00AF6B19">
              <w:rPr>
                <w:rFonts w:asciiTheme="minorHAnsi" w:hAnsiTheme="minorHAnsi" w:cstheme="minorHAnsi"/>
              </w:rPr>
              <w:t>, 2 minutes per completed log</w:t>
            </w:r>
          </w:p>
        </w:tc>
      </w:tr>
      <w:tr w14:paraId="1073E5DB" w14:textId="77777777" w:rsidTr="00B422A8">
        <w:tblPrEx>
          <w:tblW w:w="9445" w:type="dxa"/>
          <w:tblInd w:w="0" w:type="dxa"/>
          <w:tblLook w:val="04A0"/>
        </w:tblPrEx>
        <w:tc>
          <w:tcPr>
            <w:tcW w:w="1705" w:type="dxa"/>
          </w:tcPr>
          <w:p w:rsidR="0006086B" w:rsidRPr="00BC3401" w:rsidP="0006086B" w14:paraId="2C0ED9D1" w14:textId="497D26D5">
            <w:pPr>
              <w:rPr>
                <w:rFonts w:asciiTheme="minorHAnsi" w:hAnsiTheme="minorHAnsi" w:cstheme="minorHAnsi"/>
              </w:rPr>
            </w:pPr>
            <w:r w:rsidRPr="00871EE9">
              <w:rPr>
                <w:rFonts w:asciiTheme="minorHAnsi" w:hAnsiTheme="minorHAnsi" w:cstheme="minorHAnsi"/>
              </w:rPr>
              <w:t xml:space="preserve">Facilitator </w:t>
            </w:r>
            <w:r w:rsidRPr="009E22E3">
              <w:rPr>
                <w:rFonts w:asciiTheme="minorHAnsi" w:hAnsiTheme="minorHAnsi" w:cstheme="minorHAnsi"/>
              </w:rPr>
              <w:t>survey</w:t>
            </w:r>
          </w:p>
        </w:tc>
        <w:tc>
          <w:tcPr>
            <w:tcW w:w="1440" w:type="dxa"/>
          </w:tcPr>
          <w:p w:rsidR="00657FB1" w:rsidP="0020264E" w14:paraId="579644C9" w14:textId="20AB71B0">
            <w:pPr>
              <w:rPr>
                <w:rFonts w:asciiTheme="minorHAnsi" w:hAnsiTheme="minorHAnsi" w:cstheme="minorHAnsi"/>
              </w:rPr>
            </w:pPr>
            <w:r w:rsidRPr="00871EE9">
              <w:rPr>
                <w:rFonts w:asciiTheme="minorHAnsi" w:hAnsiTheme="minorHAnsi" w:cstheme="minorHAnsi"/>
              </w:rPr>
              <w:t>Instrument 2</w:t>
            </w:r>
            <w:r>
              <w:rPr>
                <w:rFonts w:asciiTheme="minorHAnsi" w:hAnsiTheme="minorHAnsi" w:cstheme="minorHAnsi"/>
              </w:rPr>
              <w:t>. Facilitator post-training pulse check</w:t>
            </w:r>
          </w:p>
          <w:p w:rsidR="0006086B" w:rsidRPr="00657FB1" w:rsidP="0020264E" w14:paraId="50C70376" w14:textId="2D48908C">
            <w:pPr>
              <w:rPr>
                <w:rFonts w:asciiTheme="minorHAnsi" w:hAnsiTheme="minorHAnsi" w:cstheme="minorHAnsi"/>
              </w:rPr>
            </w:pPr>
          </w:p>
        </w:tc>
        <w:tc>
          <w:tcPr>
            <w:tcW w:w="4609" w:type="dxa"/>
          </w:tcPr>
          <w:p w:rsidR="0006086B" w:rsidRPr="00871EE9" w:rsidP="0006086B" w14:paraId="0A782809" w14:textId="53F7C7A8">
            <w:pPr>
              <w:rPr>
                <w:rFonts w:asciiTheme="minorHAnsi" w:hAnsiTheme="minorHAnsi" w:cstheme="minorHAnsi"/>
              </w:rPr>
            </w:pPr>
            <w:r w:rsidRPr="00871EE9">
              <w:rPr>
                <w:rFonts w:asciiTheme="minorHAnsi" w:hAnsiTheme="minorHAnsi" w:cstheme="minorHAnsi"/>
                <w:b/>
              </w:rPr>
              <w:t>Respondents</w:t>
            </w:r>
            <w:r w:rsidRPr="00871EE9">
              <w:rPr>
                <w:rFonts w:asciiTheme="minorHAnsi" w:hAnsiTheme="minorHAnsi" w:cstheme="minorHAnsi"/>
              </w:rPr>
              <w:t xml:space="preserve">: </w:t>
            </w:r>
            <w:r w:rsidR="00E350DF">
              <w:rPr>
                <w:rFonts w:asciiTheme="minorHAnsi" w:hAnsiTheme="minorHAnsi" w:cstheme="minorHAnsi"/>
              </w:rPr>
              <w:t>Program</w:t>
            </w:r>
            <w:r w:rsidRPr="00871EE9" w:rsidR="00E350DF">
              <w:rPr>
                <w:rFonts w:asciiTheme="minorHAnsi" w:hAnsiTheme="minorHAnsi" w:cstheme="minorHAnsi"/>
              </w:rPr>
              <w:t xml:space="preserve"> </w:t>
            </w:r>
            <w:r w:rsidRPr="00871EE9">
              <w:rPr>
                <w:rFonts w:asciiTheme="minorHAnsi" w:hAnsiTheme="minorHAnsi" w:cstheme="minorHAnsi"/>
              </w:rPr>
              <w:t xml:space="preserve">facilitators </w:t>
            </w:r>
          </w:p>
          <w:p w:rsidR="0006086B" w:rsidRPr="00871EE9" w:rsidP="0006086B" w14:paraId="3EA4963F" w14:textId="77777777">
            <w:pPr>
              <w:rPr>
                <w:rFonts w:asciiTheme="minorHAnsi" w:hAnsiTheme="minorHAnsi" w:cstheme="minorHAnsi"/>
              </w:rPr>
            </w:pPr>
          </w:p>
          <w:p w:rsidR="0006086B" w:rsidRPr="00871EE9" w:rsidP="0006086B" w14:paraId="4B24B279" w14:textId="212B3104">
            <w:pPr>
              <w:rPr>
                <w:rFonts w:asciiTheme="minorHAnsi" w:hAnsiTheme="minorHAnsi" w:cstheme="minorHAnsi"/>
              </w:rPr>
            </w:pPr>
            <w:r w:rsidRPr="00871EE9">
              <w:rPr>
                <w:rFonts w:asciiTheme="minorHAnsi" w:hAnsiTheme="minorHAnsi" w:cstheme="minorHAnsi"/>
                <w:b/>
              </w:rPr>
              <w:t>Content</w:t>
            </w:r>
            <w:r w:rsidRPr="00871EE9">
              <w:rPr>
                <w:rFonts w:asciiTheme="minorHAnsi" w:hAnsiTheme="minorHAnsi" w:cstheme="minorHAnsi"/>
              </w:rPr>
              <w:t>: Feedback on training</w:t>
            </w:r>
            <w:r>
              <w:rPr>
                <w:rFonts w:asciiTheme="minorHAnsi" w:hAnsiTheme="minorHAnsi" w:cstheme="minorHAnsi"/>
              </w:rPr>
              <w:t xml:space="preserve">; satisfaction; recommendations for improvement </w:t>
            </w:r>
          </w:p>
          <w:p w:rsidR="0006086B" w:rsidRPr="00871EE9" w:rsidP="0006086B" w14:paraId="59DF9FA7" w14:textId="77777777">
            <w:pPr>
              <w:rPr>
                <w:rFonts w:asciiTheme="minorHAnsi" w:hAnsiTheme="minorHAnsi" w:cstheme="minorHAnsi"/>
              </w:rPr>
            </w:pPr>
          </w:p>
          <w:p w:rsidR="0006086B" w:rsidRPr="00BC3401" w:rsidP="0006086B" w14:paraId="30076CFB" w14:textId="57F79D61">
            <w:pPr>
              <w:rPr>
                <w:rFonts w:asciiTheme="minorHAnsi" w:hAnsiTheme="minorHAnsi" w:cstheme="minorHAnsi"/>
              </w:rPr>
            </w:pPr>
            <w:r w:rsidRPr="00871EE9">
              <w:rPr>
                <w:rFonts w:asciiTheme="minorHAnsi" w:hAnsiTheme="minorHAnsi" w:cstheme="minorHAnsi"/>
                <w:b/>
              </w:rPr>
              <w:t>Purpose</w:t>
            </w:r>
            <w:r w:rsidRPr="00871EE9">
              <w:rPr>
                <w:rFonts w:asciiTheme="minorHAnsi" w:hAnsiTheme="minorHAnsi" w:cstheme="minorHAnsi"/>
              </w:rPr>
              <w:t xml:space="preserve">: To </w:t>
            </w:r>
            <w:r>
              <w:rPr>
                <w:rFonts w:asciiTheme="minorHAnsi" w:hAnsiTheme="minorHAnsi" w:cstheme="minorHAnsi"/>
              </w:rPr>
              <w:t xml:space="preserve">capture facilitator satisfaction with the training and recommendations for how </w:t>
            </w:r>
            <w:r w:rsidR="009E22E3">
              <w:rPr>
                <w:rFonts w:asciiTheme="minorHAnsi" w:hAnsiTheme="minorHAnsi" w:cstheme="minorHAnsi"/>
              </w:rPr>
              <w:t>this</w:t>
            </w:r>
            <w:r>
              <w:rPr>
                <w:rFonts w:asciiTheme="minorHAnsi" w:hAnsiTheme="minorHAnsi" w:cstheme="minorHAnsi"/>
              </w:rPr>
              <w:t xml:space="preserve"> could be improved in the future </w:t>
            </w:r>
          </w:p>
        </w:tc>
        <w:tc>
          <w:tcPr>
            <w:tcW w:w="1691" w:type="dxa"/>
          </w:tcPr>
          <w:p w:rsidR="0006086B" w:rsidRPr="00871EE9" w:rsidP="0006086B" w14:paraId="79C52808" w14:textId="77777777">
            <w:pPr>
              <w:rPr>
                <w:rFonts w:asciiTheme="minorHAnsi" w:hAnsiTheme="minorHAnsi" w:cstheme="minorHAnsi"/>
              </w:rPr>
            </w:pPr>
            <w:r w:rsidRPr="00871EE9">
              <w:rPr>
                <w:rFonts w:asciiTheme="minorHAnsi" w:hAnsiTheme="minorHAnsi" w:cstheme="minorHAnsi"/>
                <w:b/>
              </w:rPr>
              <w:t>Mode</w:t>
            </w:r>
            <w:r w:rsidRPr="00871EE9">
              <w:rPr>
                <w:rFonts w:asciiTheme="minorHAnsi" w:hAnsiTheme="minorHAnsi" w:cstheme="minorHAnsi"/>
              </w:rPr>
              <w:t>: Web</w:t>
            </w:r>
          </w:p>
          <w:p w:rsidR="0006086B" w:rsidRPr="00871EE9" w:rsidP="0006086B" w14:paraId="1B9DA1DC" w14:textId="77777777">
            <w:pPr>
              <w:rPr>
                <w:rFonts w:asciiTheme="minorHAnsi" w:hAnsiTheme="minorHAnsi" w:cstheme="minorHAnsi"/>
              </w:rPr>
            </w:pPr>
          </w:p>
          <w:p w:rsidR="0006086B" w:rsidRPr="00BC3401" w:rsidP="0006086B" w14:paraId="47B89D35" w14:textId="08DEAE70">
            <w:pPr>
              <w:rPr>
                <w:rFonts w:asciiTheme="minorHAnsi" w:hAnsiTheme="minorHAnsi" w:cstheme="minorHAnsi"/>
              </w:rPr>
            </w:pPr>
            <w:r w:rsidRPr="00871EE9">
              <w:rPr>
                <w:rFonts w:asciiTheme="minorHAnsi" w:hAnsiTheme="minorHAnsi" w:cstheme="minorHAnsi"/>
                <w:b/>
              </w:rPr>
              <w:t>Duration</w:t>
            </w:r>
            <w:r w:rsidRPr="00871EE9">
              <w:rPr>
                <w:rFonts w:asciiTheme="minorHAnsi" w:hAnsiTheme="minorHAnsi" w:cstheme="minorHAnsi"/>
              </w:rPr>
              <w:t xml:space="preserve">: 5 minutes per survey </w:t>
            </w:r>
          </w:p>
        </w:tc>
      </w:tr>
      <w:tr w14:paraId="052F884A" w14:textId="77777777" w:rsidTr="00B422A8">
        <w:tblPrEx>
          <w:tblW w:w="9445" w:type="dxa"/>
          <w:tblInd w:w="0" w:type="dxa"/>
          <w:tblLook w:val="04A0"/>
        </w:tblPrEx>
        <w:tc>
          <w:tcPr>
            <w:tcW w:w="1705" w:type="dxa"/>
          </w:tcPr>
          <w:p w:rsidR="001D4F74" w:rsidRPr="009E22E3" w14:paraId="0E181857" w14:textId="61478820">
            <w:pPr>
              <w:rPr>
                <w:rFonts w:asciiTheme="minorHAnsi" w:hAnsiTheme="minorHAnsi" w:cstheme="minorHAnsi"/>
              </w:rPr>
            </w:pPr>
            <w:r w:rsidRPr="009E22E3">
              <w:rPr>
                <w:rFonts w:asciiTheme="minorHAnsi" w:hAnsiTheme="minorHAnsi" w:cstheme="minorHAnsi"/>
              </w:rPr>
              <w:t>Facilitator survey</w:t>
            </w:r>
          </w:p>
        </w:tc>
        <w:tc>
          <w:tcPr>
            <w:tcW w:w="1440" w:type="dxa"/>
          </w:tcPr>
          <w:p w:rsidR="001D4F74" w:rsidRPr="009E22E3" w:rsidP="0020264E" w14:paraId="09A166B7" w14:textId="77777777">
            <w:pPr>
              <w:rPr>
                <w:rFonts w:asciiTheme="minorHAnsi" w:hAnsiTheme="minorHAnsi" w:cstheme="minorHAnsi"/>
              </w:rPr>
            </w:pPr>
            <w:r w:rsidRPr="009E22E3">
              <w:rPr>
                <w:rFonts w:asciiTheme="minorHAnsi" w:hAnsiTheme="minorHAnsi" w:cstheme="minorHAnsi"/>
              </w:rPr>
              <w:t>Instrument 3. Facilitator post-coaching pulse check</w:t>
            </w:r>
          </w:p>
        </w:tc>
        <w:tc>
          <w:tcPr>
            <w:tcW w:w="4609" w:type="dxa"/>
          </w:tcPr>
          <w:p w:rsidR="001D4F74" w:rsidRPr="00871EE9" w14:paraId="0FEE3C7F" w14:textId="77777777">
            <w:pPr>
              <w:rPr>
                <w:rFonts w:asciiTheme="minorHAnsi" w:hAnsiTheme="minorHAnsi" w:cstheme="minorHAnsi"/>
              </w:rPr>
            </w:pPr>
            <w:r w:rsidRPr="00871EE9">
              <w:rPr>
                <w:rFonts w:asciiTheme="minorHAnsi" w:hAnsiTheme="minorHAnsi" w:cstheme="minorHAnsi"/>
                <w:b/>
              </w:rPr>
              <w:t>Respondents</w:t>
            </w:r>
            <w:r w:rsidRPr="00871EE9">
              <w:rPr>
                <w:rFonts w:asciiTheme="minorHAnsi" w:hAnsiTheme="minorHAnsi" w:cstheme="minorHAnsi"/>
              </w:rPr>
              <w:t xml:space="preserve">: </w:t>
            </w:r>
            <w:r>
              <w:rPr>
                <w:rFonts w:asciiTheme="minorHAnsi" w:hAnsiTheme="minorHAnsi" w:cstheme="minorHAnsi"/>
              </w:rPr>
              <w:t>Program</w:t>
            </w:r>
            <w:r w:rsidRPr="00871EE9">
              <w:rPr>
                <w:rFonts w:asciiTheme="minorHAnsi" w:hAnsiTheme="minorHAnsi" w:cstheme="minorHAnsi"/>
              </w:rPr>
              <w:t xml:space="preserve"> facilitators </w:t>
            </w:r>
          </w:p>
          <w:p w:rsidR="001D4F74" w:rsidRPr="00871EE9" w14:paraId="41938896" w14:textId="77777777">
            <w:pPr>
              <w:rPr>
                <w:rFonts w:asciiTheme="minorHAnsi" w:hAnsiTheme="minorHAnsi" w:cstheme="minorHAnsi"/>
              </w:rPr>
            </w:pPr>
          </w:p>
          <w:p w:rsidR="001D4F74" w:rsidRPr="00871EE9" w14:paraId="53EBC206" w14:textId="515D688E">
            <w:pPr>
              <w:rPr>
                <w:rFonts w:asciiTheme="minorHAnsi" w:hAnsiTheme="minorHAnsi" w:cstheme="minorHAnsi"/>
              </w:rPr>
            </w:pPr>
            <w:r w:rsidRPr="00871EE9">
              <w:rPr>
                <w:rFonts w:asciiTheme="minorHAnsi" w:hAnsiTheme="minorHAnsi" w:cstheme="minorHAnsi"/>
                <w:b/>
              </w:rPr>
              <w:t>Content</w:t>
            </w:r>
            <w:r w:rsidRPr="00871EE9">
              <w:rPr>
                <w:rFonts w:asciiTheme="minorHAnsi" w:hAnsiTheme="minorHAnsi" w:cstheme="minorHAnsi"/>
              </w:rPr>
              <w:t>: Feedback on coaching sessions</w:t>
            </w:r>
            <w:r>
              <w:rPr>
                <w:rFonts w:asciiTheme="minorHAnsi" w:hAnsiTheme="minorHAnsi" w:cstheme="minorHAnsi"/>
              </w:rPr>
              <w:t xml:space="preserve">; satisfaction; recommendations for improvement </w:t>
            </w:r>
          </w:p>
          <w:p w:rsidR="001D4F74" w:rsidRPr="00871EE9" w14:paraId="167F50BA" w14:textId="77777777">
            <w:pPr>
              <w:rPr>
                <w:rFonts w:asciiTheme="minorHAnsi" w:hAnsiTheme="minorHAnsi" w:cstheme="minorHAnsi"/>
              </w:rPr>
            </w:pPr>
          </w:p>
          <w:p w:rsidR="001D4F74" w:rsidRPr="00BC3401" w14:paraId="2D489C4E" w14:textId="0780F305">
            <w:pPr>
              <w:rPr>
                <w:rFonts w:asciiTheme="minorHAnsi" w:hAnsiTheme="minorHAnsi" w:cstheme="minorHAnsi"/>
              </w:rPr>
            </w:pPr>
            <w:r w:rsidRPr="00871EE9">
              <w:rPr>
                <w:rFonts w:asciiTheme="minorHAnsi" w:hAnsiTheme="minorHAnsi" w:cstheme="minorHAnsi"/>
                <w:b/>
              </w:rPr>
              <w:t>Purpose</w:t>
            </w:r>
            <w:r w:rsidRPr="00871EE9">
              <w:rPr>
                <w:rFonts w:asciiTheme="minorHAnsi" w:hAnsiTheme="minorHAnsi" w:cstheme="minorHAnsi"/>
              </w:rPr>
              <w:t xml:space="preserve">: To </w:t>
            </w:r>
            <w:r>
              <w:rPr>
                <w:rFonts w:asciiTheme="minorHAnsi" w:hAnsiTheme="minorHAnsi" w:cstheme="minorHAnsi"/>
              </w:rPr>
              <w:t xml:space="preserve">capture facilitator satisfaction with coaching sessions and recommendations for how these could be improved in the future </w:t>
            </w:r>
          </w:p>
        </w:tc>
        <w:tc>
          <w:tcPr>
            <w:tcW w:w="1691" w:type="dxa"/>
          </w:tcPr>
          <w:p w:rsidR="001D4F74" w:rsidRPr="00871EE9" w14:paraId="55A120AB" w14:textId="77777777">
            <w:pPr>
              <w:rPr>
                <w:rFonts w:asciiTheme="minorHAnsi" w:hAnsiTheme="minorHAnsi" w:cstheme="minorHAnsi"/>
              </w:rPr>
            </w:pPr>
            <w:r w:rsidRPr="00871EE9">
              <w:rPr>
                <w:rFonts w:asciiTheme="minorHAnsi" w:hAnsiTheme="minorHAnsi" w:cstheme="minorHAnsi"/>
                <w:b/>
              </w:rPr>
              <w:t>Mode</w:t>
            </w:r>
            <w:r w:rsidRPr="00871EE9">
              <w:rPr>
                <w:rFonts w:asciiTheme="minorHAnsi" w:hAnsiTheme="minorHAnsi" w:cstheme="minorHAnsi"/>
              </w:rPr>
              <w:t>: Web</w:t>
            </w:r>
          </w:p>
          <w:p w:rsidR="001D4F74" w:rsidRPr="00871EE9" w14:paraId="216F3323" w14:textId="77777777">
            <w:pPr>
              <w:rPr>
                <w:rFonts w:asciiTheme="minorHAnsi" w:hAnsiTheme="minorHAnsi" w:cstheme="minorHAnsi"/>
              </w:rPr>
            </w:pPr>
          </w:p>
          <w:p w:rsidR="001D4F74" w:rsidRPr="00BC3401" w14:paraId="42099896" w14:textId="61D6B65C">
            <w:pPr>
              <w:rPr>
                <w:rFonts w:asciiTheme="minorHAnsi" w:hAnsiTheme="minorHAnsi" w:cstheme="minorHAnsi"/>
              </w:rPr>
            </w:pPr>
            <w:r w:rsidRPr="00871EE9">
              <w:rPr>
                <w:rFonts w:asciiTheme="minorHAnsi" w:hAnsiTheme="minorHAnsi" w:cstheme="minorHAnsi"/>
                <w:b/>
              </w:rPr>
              <w:t>Duration</w:t>
            </w:r>
            <w:r w:rsidRPr="00871EE9">
              <w:rPr>
                <w:rFonts w:asciiTheme="minorHAnsi" w:hAnsiTheme="minorHAnsi" w:cstheme="minorHAnsi"/>
              </w:rPr>
              <w:t xml:space="preserve">: 5 minutes per survey </w:t>
            </w:r>
          </w:p>
        </w:tc>
      </w:tr>
      <w:tr w14:paraId="4AC5F9C0" w14:textId="77777777" w:rsidTr="00B422A8">
        <w:tblPrEx>
          <w:tblW w:w="9445" w:type="dxa"/>
          <w:tblInd w:w="0" w:type="dxa"/>
          <w:tblLook w:val="04A0"/>
        </w:tblPrEx>
        <w:tc>
          <w:tcPr>
            <w:tcW w:w="1705" w:type="dxa"/>
          </w:tcPr>
          <w:p w:rsidR="0006086B" w:rsidRPr="00B422A8" w:rsidP="0006086B" w14:paraId="4945AFBD" w14:textId="5645DCD8">
            <w:pPr>
              <w:rPr>
                <w:rFonts w:asciiTheme="minorHAnsi" w:hAnsiTheme="minorHAnsi" w:cstheme="minorHAnsi"/>
              </w:rPr>
            </w:pPr>
            <w:r w:rsidRPr="00871EE9">
              <w:rPr>
                <w:rFonts w:asciiTheme="minorHAnsi" w:hAnsiTheme="minorHAnsi" w:cstheme="minorHAnsi"/>
              </w:rPr>
              <w:t>Facilitator</w:t>
            </w:r>
            <w:r w:rsidR="00657FB1">
              <w:rPr>
                <w:rFonts w:asciiTheme="minorHAnsi" w:hAnsiTheme="minorHAnsi" w:cstheme="minorHAnsi"/>
              </w:rPr>
              <w:t xml:space="preserve"> mini</w:t>
            </w:r>
            <w:r w:rsidRPr="00B422A8" w:rsidR="00657FB1">
              <w:rPr>
                <w:rFonts w:asciiTheme="minorHAnsi" w:hAnsiTheme="minorHAnsi" w:cstheme="minorHAnsi"/>
              </w:rPr>
              <w:t>-interview</w:t>
            </w:r>
          </w:p>
        </w:tc>
        <w:tc>
          <w:tcPr>
            <w:tcW w:w="1440" w:type="dxa"/>
          </w:tcPr>
          <w:p w:rsidR="0006086B" w:rsidRPr="00B422A8" w:rsidP="0006086B" w14:paraId="1173D3CF" w14:textId="4A725547">
            <w:pPr>
              <w:rPr>
                <w:rFonts w:asciiTheme="minorHAnsi" w:hAnsiTheme="minorHAnsi" w:cstheme="minorHAnsi"/>
              </w:rPr>
            </w:pPr>
            <w:r w:rsidRPr="00871EE9">
              <w:rPr>
                <w:rFonts w:asciiTheme="minorHAnsi" w:hAnsiTheme="minorHAnsi" w:cstheme="minorHAnsi"/>
              </w:rPr>
              <w:t>Instrument 4</w:t>
            </w:r>
            <w:r w:rsidR="00657FB1">
              <w:rPr>
                <w:rFonts w:asciiTheme="minorHAnsi" w:hAnsiTheme="minorHAnsi" w:cstheme="minorHAnsi"/>
              </w:rPr>
              <w:t>. Facilitator mini-interview guide</w:t>
            </w:r>
          </w:p>
        </w:tc>
        <w:tc>
          <w:tcPr>
            <w:tcW w:w="4609" w:type="dxa"/>
          </w:tcPr>
          <w:p w:rsidR="0006086B" w:rsidRPr="00871EE9" w:rsidP="0006086B" w14:paraId="4B793910" w14:textId="0F2F1396">
            <w:pPr>
              <w:rPr>
                <w:rFonts w:asciiTheme="minorHAnsi" w:hAnsiTheme="minorHAnsi" w:cstheme="minorHAnsi"/>
              </w:rPr>
            </w:pPr>
            <w:r w:rsidRPr="00871EE9">
              <w:rPr>
                <w:rFonts w:asciiTheme="minorHAnsi" w:hAnsiTheme="minorHAnsi" w:cstheme="minorHAnsi"/>
                <w:b/>
              </w:rPr>
              <w:t>Respondents</w:t>
            </w:r>
            <w:r w:rsidRPr="00871EE9">
              <w:rPr>
                <w:rFonts w:asciiTheme="minorHAnsi" w:hAnsiTheme="minorHAnsi" w:cstheme="minorHAnsi"/>
              </w:rPr>
              <w:t xml:space="preserve">: </w:t>
            </w:r>
            <w:r w:rsidR="00E350DF">
              <w:rPr>
                <w:rFonts w:asciiTheme="minorHAnsi" w:hAnsiTheme="minorHAnsi" w:cstheme="minorHAnsi"/>
              </w:rPr>
              <w:t>Program</w:t>
            </w:r>
            <w:r w:rsidRPr="00871EE9" w:rsidR="00E350DF">
              <w:rPr>
                <w:rFonts w:asciiTheme="minorHAnsi" w:hAnsiTheme="minorHAnsi" w:cstheme="minorHAnsi"/>
              </w:rPr>
              <w:t xml:space="preserve"> </w:t>
            </w:r>
            <w:r w:rsidRPr="00871EE9">
              <w:rPr>
                <w:rFonts w:asciiTheme="minorHAnsi" w:hAnsiTheme="minorHAnsi" w:cstheme="minorHAnsi"/>
              </w:rPr>
              <w:t>facilitators</w:t>
            </w:r>
          </w:p>
          <w:p w:rsidR="0006086B" w:rsidRPr="00871EE9" w:rsidP="0006086B" w14:paraId="048F09A3" w14:textId="77777777">
            <w:pPr>
              <w:rPr>
                <w:rFonts w:asciiTheme="minorHAnsi" w:hAnsiTheme="minorHAnsi" w:cstheme="minorHAnsi"/>
              </w:rPr>
            </w:pPr>
          </w:p>
          <w:p w:rsidR="0006086B" w:rsidRPr="00871EE9" w:rsidP="0006086B" w14:paraId="7E716397" w14:textId="35A7CA23">
            <w:pPr>
              <w:rPr>
                <w:rFonts w:asciiTheme="minorHAnsi" w:hAnsiTheme="minorHAnsi" w:cstheme="minorHAnsi"/>
              </w:rPr>
            </w:pPr>
            <w:r w:rsidRPr="00871EE9">
              <w:rPr>
                <w:rFonts w:asciiTheme="minorHAnsi" w:hAnsiTheme="minorHAnsi" w:cstheme="minorHAnsi"/>
                <w:b/>
              </w:rPr>
              <w:t>Content</w:t>
            </w:r>
            <w:r w:rsidRPr="00871EE9">
              <w:rPr>
                <w:rFonts w:asciiTheme="minorHAnsi" w:hAnsiTheme="minorHAnsi" w:cstheme="minorHAnsi"/>
              </w:rPr>
              <w:t xml:space="preserve">: </w:t>
            </w:r>
            <w:r>
              <w:rPr>
                <w:rFonts w:asciiTheme="minorHAnsi" w:hAnsiTheme="minorHAnsi" w:cstheme="minorHAnsi"/>
              </w:rPr>
              <w:t xml:space="preserve">Use of strategy; </w:t>
            </w:r>
            <w:r w:rsidR="00756B2D">
              <w:rPr>
                <w:rFonts w:asciiTheme="minorHAnsi" w:hAnsiTheme="minorHAnsi" w:cstheme="minorHAnsi"/>
              </w:rPr>
              <w:t xml:space="preserve">success or challenges in </w:t>
            </w:r>
            <w:r>
              <w:rPr>
                <w:rFonts w:asciiTheme="minorHAnsi" w:hAnsiTheme="minorHAnsi" w:cstheme="minorHAnsi"/>
              </w:rPr>
              <w:t xml:space="preserve">implementation; suggestions for improvement </w:t>
            </w:r>
          </w:p>
          <w:p w:rsidR="0006086B" w:rsidRPr="00871EE9" w:rsidP="0006086B" w14:paraId="5F068C98" w14:textId="77777777">
            <w:pPr>
              <w:rPr>
                <w:rFonts w:asciiTheme="minorHAnsi" w:hAnsiTheme="minorHAnsi" w:cstheme="minorHAnsi"/>
              </w:rPr>
            </w:pPr>
          </w:p>
          <w:p w:rsidR="0006086B" w:rsidRPr="00BC3401" w:rsidP="0006086B" w14:paraId="5367124D" w14:textId="194C7D0F">
            <w:pPr>
              <w:rPr>
                <w:rFonts w:cstheme="minorHAnsi"/>
                <w:b/>
              </w:rPr>
            </w:pPr>
            <w:r w:rsidRPr="00871EE9">
              <w:rPr>
                <w:rFonts w:asciiTheme="minorHAnsi" w:hAnsiTheme="minorHAnsi" w:cstheme="minorHAnsi"/>
                <w:b/>
              </w:rPr>
              <w:t>Purpose</w:t>
            </w:r>
            <w:r w:rsidRPr="00871EE9">
              <w:rPr>
                <w:rFonts w:asciiTheme="minorHAnsi" w:hAnsiTheme="minorHAnsi" w:cstheme="minorHAnsi"/>
              </w:rPr>
              <w:t>:</w:t>
            </w:r>
            <w:r>
              <w:rPr>
                <w:rFonts w:asciiTheme="minorHAnsi" w:hAnsiTheme="minorHAnsi" w:cstheme="minorHAnsi"/>
              </w:rPr>
              <w:t xml:space="preserve"> To determine how the strategy is being used and facilitators’ perceptions and experiences with using the strategy </w:t>
            </w:r>
          </w:p>
        </w:tc>
        <w:tc>
          <w:tcPr>
            <w:tcW w:w="1691" w:type="dxa"/>
          </w:tcPr>
          <w:p w:rsidR="0006086B" w:rsidRPr="00871EE9" w:rsidP="0006086B" w14:paraId="4467D0A7" w14:textId="15C78D32">
            <w:pPr>
              <w:rPr>
                <w:rFonts w:asciiTheme="minorHAnsi" w:hAnsiTheme="minorHAnsi" w:cstheme="minorHAnsi"/>
              </w:rPr>
            </w:pPr>
            <w:r w:rsidRPr="00871EE9">
              <w:rPr>
                <w:rFonts w:asciiTheme="minorHAnsi" w:hAnsiTheme="minorHAnsi" w:cstheme="minorHAnsi"/>
                <w:b/>
              </w:rPr>
              <w:t>Mode</w:t>
            </w:r>
            <w:r w:rsidRPr="00871EE9">
              <w:rPr>
                <w:rFonts w:asciiTheme="minorHAnsi" w:hAnsiTheme="minorHAnsi" w:cstheme="minorHAnsi"/>
              </w:rPr>
              <w:t>:</w:t>
            </w:r>
            <w:r>
              <w:rPr>
                <w:rFonts w:asciiTheme="minorHAnsi" w:hAnsiTheme="minorHAnsi" w:cstheme="minorHAnsi"/>
              </w:rPr>
              <w:t xml:space="preserve"> </w:t>
            </w:r>
            <w:r w:rsidR="00CE2060">
              <w:rPr>
                <w:rFonts w:asciiTheme="minorHAnsi" w:hAnsiTheme="minorHAnsi" w:cstheme="minorHAnsi"/>
              </w:rPr>
              <w:t>Video conference</w:t>
            </w:r>
            <w:r w:rsidRPr="00871EE9">
              <w:rPr>
                <w:rFonts w:asciiTheme="minorHAnsi" w:hAnsiTheme="minorHAnsi" w:cstheme="minorHAnsi"/>
              </w:rPr>
              <w:t xml:space="preserve"> </w:t>
            </w:r>
          </w:p>
          <w:p w:rsidR="0006086B" w:rsidRPr="00871EE9" w:rsidP="0006086B" w14:paraId="5DBC64E4" w14:textId="77777777">
            <w:pPr>
              <w:rPr>
                <w:rFonts w:asciiTheme="minorHAnsi" w:hAnsiTheme="minorHAnsi" w:cstheme="minorHAnsi"/>
              </w:rPr>
            </w:pPr>
          </w:p>
          <w:p w:rsidR="0006086B" w:rsidRPr="00BC3401" w:rsidP="0006086B" w14:paraId="75DA178A" w14:textId="1F7770F2">
            <w:pPr>
              <w:rPr>
                <w:rFonts w:cstheme="minorHAnsi"/>
                <w:b/>
              </w:rPr>
            </w:pPr>
            <w:r w:rsidRPr="00871EE9">
              <w:rPr>
                <w:rFonts w:asciiTheme="minorHAnsi" w:hAnsiTheme="minorHAnsi" w:cstheme="minorHAnsi"/>
                <w:b/>
              </w:rPr>
              <w:t>Duration</w:t>
            </w:r>
            <w:r w:rsidRPr="00871EE9">
              <w:rPr>
                <w:rFonts w:asciiTheme="minorHAnsi" w:hAnsiTheme="minorHAnsi" w:cstheme="minorHAnsi"/>
              </w:rPr>
              <w:t>:</w:t>
            </w:r>
            <w:r>
              <w:rPr>
                <w:rFonts w:asciiTheme="minorHAnsi" w:hAnsiTheme="minorHAnsi" w:cstheme="minorHAnsi"/>
              </w:rPr>
              <w:t xml:space="preserve"> 15-minutes weekly during selected weeks</w:t>
            </w:r>
          </w:p>
        </w:tc>
      </w:tr>
    </w:tbl>
    <w:p w:rsidR="004328A4" w:rsidP="00DF1291" w14:paraId="6EF7AE4F" w14:textId="27A95D57">
      <w:pPr>
        <w:spacing w:after="0" w:line="240" w:lineRule="auto"/>
        <w:rPr>
          <w:i/>
        </w:rPr>
      </w:pPr>
    </w:p>
    <w:p w:rsidR="004328A4" w:rsidRPr="004328A4" w:rsidP="007D0F6E" w14:paraId="6B7E22CE" w14:textId="14554C6B">
      <w:pPr>
        <w:spacing w:after="120" w:line="240" w:lineRule="auto"/>
        <w:rPr>
          <w:i/>
        </w:rPr>
      </w:pPr>
      <w:r>
        <w:rPr>
          <w:i/>
        </w:rPr>
        <w:t>Other Data Sources and Uses of Information</w:t>
      </w:r>
    </w:p>
    <w:p w:rsidR="000D7D44" w:rsidP="007D0F6E" w14:paraId="37B1551D" w14:textId="0102802D">
      <w:pPr>
        <w:spacing w:after="0" w:line="240" w:lineRule="auto"/>
      </w:pPr>
      <w:r w:rsidRPr="00AE685D">
        <w:t>This information collection builds on previous information collections in support of this project (as described previously). For this next formative stage, no other data sources are planned.</w:t>
      </w:r>
    </w:p>
    <w:p w:rsidR="007D0F6E" w:rsidP="007D0F6E" w14:paraId="6B426E89" w14:textId="5857DAD9">
      <w:pPr>
        <w:spacing w:after="0" w:line="240" w:lineRule="auto"/>
      </w:pPr>
    </w:p>
    <w:p w:rsidR="00CB1F9B" w:rsidP="007D0F6E" w14:paraId="3D73964B"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5B5FCC" w:rsidP="00B942F5" w14:paraId="3BD5DB6D" w14:textId="04D50C52">
      <w:pPr>
        <w:autoSpaceDE w:val="0"/>
        <w:autoSpaceDN w:val="0"/>
        <w:adjustRightInd w:val="0"/>
        <w:spacing w:after="240" w:line="240" w:lineRule="atLeast"/>
      </w:pPr>
      <w:r w:rsidRPr="00493DF4">
        <w:t>The study team plans to use information technology wherever possible</w:t>
      </w:r>
      <w:r w:rsidR="00C224D9">
        <w:t xml:space="preserve"> to reduce burden</w:t>
      </w:r>
      <w:r w:rsidRPr="00493DF4">
        <w:t xml:space="preserve">. </w:t>
      </w:r>
      <w:r>
        <w:t>T</w:t>
      </w:r>
      <w:r w:rsidRPr="00493DF4">
        <w:t>he</w:t>
      </w:r>
      <w:r>
        <w:t xml:space="preserve"> facilitator </w:t>
      </w:r>
      <w:r w:rsidR="00CE2060">
        <w:t>mini-</w:t>
      </w:r>
      <w:r>
        <w:t>interview</w:t>
      </w:r>
      <w:r w:rsidR="0044781C">
        <w:t xml:space="preserve">s will be conducted </w:t>
      </w:r>
      <w:r>
        <w:t>remotely</w:t>
      </w:r>
      <w:r w:rsidR="0044781C">
        <w:t xml:space="preserve"> </w:t>
      </w:r>
      <w:r>
        <w:t xml:space="preserve">via videoconference. </w:t>
      </w:r>
      <w:r w:rsidRPr="00732592">
        <w:t xml:space="preserve">With participant permission, the study team plans to record interviews to help reduce respondent burden by reducing the time needed </w:t>
      </w:r>
      <w:r w:rsidRPr="00732592" w:rsidR="007D70DA">
        <w:t xml:space="preserve">to take notes during </w:t>
      </w:r>
      <w:r w:rsidRPr="00732592">
        <w:t>data collection.</w:t>
      </w:r>
      <w:r>
        <w:t xml:space="preserve"> </w:t>
      </w:r>
      <w:r w:rsidR="007D70DA">
        <w:t>T</w:t>
      </w:r>
      <w:r>
        <w:t xml:space="preserve">he facilitator </w:t>
      </w:r>
      <w:r w:rsidR="007D70DA">
        <w:t xml:space="preserve">log and </w:t>
      </w:r>
      <w:r w:rsidR="000F0955">
        <w:t xml:space="preserve">pulse check </w:t>
      </w:r>
      <w:r>
        <w:t xml:space="preserve">surveys </w:t>
      </w:r>
      <w:r w:rsidRPr="00675A8F">
        <w:t xml:space="preserve">will be available as </w:t>
      </w:r>
      <w:r w:rsidR="007D70DA">
        <w:t xml:space="preserve">web-based </w:t>
      </w:r>
      <w:r w:rsidR="000F0955">
        <w:t>instruments</w:t>
      </w:r>
      <w:r w:rsidRPr="00675A8F">
        <w:t>. We will provide link</w:t>
      </w:r>
      <w:r w:rsidR="009D55B4">
        <w:t>s</w:t>
      </w:r>
      <w:r w:rsidRPr="00675A8F">
        <w:t xml:space="preserve"> via email that </w:t>
      </w:r>
      <w:r>
        <w:t>facilitators</w:t>
      </w:r>
      <w:r w:rsidRPr="00675A8F">
        <w:t xml:space="preserve"> can use to access and complete the </w:t>
      </w:r>
      <w:r w:rsidR="007D70DA">
        <w:t xml:space="preserve">web-based </w:t>
      </w:r>
      <w:r w:rsidR="009D55B4">
        <w:t xml:space="preserve">instruments </w:t>
      </w:r>
      <w:r w:rsidRPr="00675A8F">
        <w:t>using a tablet, smartphone, or laptop</w:t>
      </w:r>
      <w:r>
        <w:t>.</w:t>
      </w: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FC0F70" w:rsidP="00FC0F70" w14:paraId="3AAF5DA6" w14:textId="77777777">
      <w:pPr>
        <w:spacing w:after="0" w:line="240" w:lineRule="auto"/>
        <w:ind w:left="720" w:hanging="720"/>
      </w:pPr>
      <w:r>
        <w:t xml:space="preserve">None of the instruments ask for information that can be reliably obtained through other sources. </w:t>
      </w:r>
    </w:p>
    <w:p w:rsidR="00CB1F9B" w:rsidP="00DF1291" w14:paraId="3000107E" w14:textId="77777777">
      <w:pPr>
        <w:spacing w:after="0" w:line="240" w:lineRule="auto"/>
      </w:pPr>
    </w:p>
    <w:p w:rsidR="00477457" w:rsidP="00DF1291" w14:paraId="17FD674F"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EF71CD" w:rsidP="00EF71CD" w14:paraId="54803BA8" w14:textId="77777777">
      <w:pPr>
        <w:autoSpaceDE w:val="0"/>
        <w:autoSpaceDN w:val="0"/>
        <w:adjustRightInd w:val="0"/>
        <w:spacing w:after="240" w:line="240" w:lineRule="atLeast"/>
      </w:pPr>
      <w:r>
        <w:t xml:space="preserve">The </w:t>
      </w:r>
      <w:r w:rsidRPr="00493DF4">
        <w:t>programs</w:t>
      </w:r>
      <w:r>
        <w:t xml:space="preserve"> participating</w:t>
      </w:r>
      <w:r w:rsidRPr="00493DF4">
        <w:t xml:space="preserve"> in the study will be small, non-profit organizations. </w:t>
      </w:r>
      <w:r w:rsidRPr="00BE403E">
        <w:t xml:space="preserve">The </w:t>
      </w:r>
      <w:r>
        <w:t xml:space="preserve">SRAENE </w:t>
      </w:r>
      <w:r w:rsidRPr="00BE403E">
        <w:t>team will request information required</w:t>
      </w:r>
      <w:r>
        <w:t xml:space="preserve"> only</w:t>
      </w:r>
      <w:r w:rsidRPr="00BE403E">
        <w:t xml:space="preserve"> for the intended use.</w:t>
      </w:r>
      <w:r>
        <w:t xml:space="preserve"> </w:t>
      </w:r>
      <w:r w:rsidRPr="00493DF4">
        <w:t>The burden for respondents will be minimized by restricting the interview</w:t>
      </w:r>
      <w:r>
        <w:t xml:space="preserve"> and survey</w:t>
      </w:r>
      <w:r w:rsidRPr="00493DF4">
        <w:t xml:space="preserve"> length to the </w:t>
      </w:r>
      <w:r>
        <w:t xml:space="preserve">required </w:t>
      </w:r>
      <w:r w:rsidRPr="00493DF4">
        <w:t>minimum</w:t>
      </w:r>
      <w:r>
        <w:t>,</w:t>
      </w:r>
      <w:r w:rsidRPr="00493DF4">
        <w:t xml:space="preserve"> conducting </w:t>
      </w:r>
      <w:r>
        <w:t xml:space="preserve">interviews </w:t>
      </w:r>
      <w:r w:rsidRPr="00493DF4">
        <w:t>at times convenient for the respondents</w:t>
      </w:r>
      <w:r>
        <w:t>,</w:t>
      </w:r>
      <w:r w:rsidRPr="00493DF4">
        <w:t xml:space="preserve"> and not requiring </w:t>
      </w:r>
      <w:r>
        <w:t xml:space="preserve">additional </w:t>
      </w:r>
      <w:r w:rsidRPr="00493DF4">
        <w:t>record</w:t>
      </w:r>
      <w:r>
        <w:t>-</w:t>
      </w:r>
      <w:r w:rsidRPr="00493DF4">
        <w:t>keeping on the part of the programs</w:t>
      </w:r>
      <w:r>
        <w:t>.</w:t>
      </w:r>
    </w:p>
    <w:p w:rsidR="00477457" w:rsidP="005B0234" w14:paraId="38186471" w14:textId="77777777">
      <w:pPr>
        <w:autoSpaceDE w:val="0"/>
        <w:autoSpaceDN w:val="0"/>
        <w:adjustRightInd w:val="0"/>
        <w:spacing w:after="0" w:line="240" w:lineRule="atLeast"/>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14:paraId="2F68FCB2" w14:textId="5AD952AB">
      <w:pPr>
        <w:spacing w:after="0"/>
      </w:pPr>
      <w:r>
        <w:t xml:space="preserve">This is a one-time data collection. </w:t>
      </w: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060B30" w14:paraId="2F3836D2" w14:textId="77777777">
      <w:pPr>
        <w:spacing w:after="120"/>
        <w:rPr>
          <w:i/>
        </w:rPr>
      </w:pPr>
      <w:r w:rsidRPr="00060B30">
        <w:rPr>
          <w:i/>
        </w:rPr>
        <w:t>Federal Register Notice and Comments</w:t>
      </w:r>
    </w:p>
    <w:p w:rsidR="00014EDC" w:rsidP="00453A86" w14:paraId="59ED9214" w14:textId="410A196E">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0077222B">
        <w:t>August 11, 2023 (88 FR 54614)</w:t>
      </w:r>
      <w:r w:rsidRPr="00453A86">
        <w:t xml:space="preserve"> and provided a sixty-day period for public comment. </w:t>
      </w:r>
      <w:r w:rsidRPr="00453A86" w:rsidR="00405075">
        <w:t xml:space="preserve">The second notice published on </w:t>
      </w:r>
      <w:r w:rsidR="0077222B">
        <w:t>December 14, 2023 (88 FR 86656)</w:t>
      </w:r>
      <w:r w:rsidRPr="00453A86" w:rsidR="00405075">
        <w:t xml:space="preserve"> and provided a thirty-day period for public comment. ACF did not receive any substantive comments</w:t>
      </w:r>
      <w:r w:rsidRPr="00453A86">
        <w:t>.</w:t>
      </w:r>
      <w:r>
        <w:t xml:space="preserve"> </w:t>
      </w:r>
    </w:p>
    <w:p w:rsidR="00453A86" w:rsidP="00453A86" w14:paraId="4014F733" w14:textId="77777777">
      <w:pPr>
        <w:spacing w:after="0"/>
      </w:pPr>
    </w:p>
    <w:p w:rsidR="00060B30" w:rsidRPr="00AE685D" w:rsidP="00AE685D" w14:paraId="678F3F3E" w14:textId="00F9C0DA">
      <w:pPr>
        <w:pStyle w:val="Heading4"/>
        <w:spacing w:before="0"/>
        <w:rPr>
          <w:rFonts w:asciiTheme="minorHAnsi" w:hAnsiTheme="minorHAnsi" w:cstheme="minorHAnsi"/>
          <w:b w:val="0"/>
          <w:i/>
          <w:sz w:val="22"/>
          <w:szCs w:val="22"/>
        </w:rPr>
      </w:pPr>
      <w:r w:rsidRPr="00AE685D">
        <w:rPr>
          <w:rFonts w:asciiTheme="minorHAnsi" w:hAnsiTheme="minorHAnsi" w:cstheme="minorHAnsi"/>
          <w:b w:val="0"/>
          <w:i/>
          <w:sz w:val="22"/>
          <w:szCs w:val="22"/>
        </w:rPr>
        <w:t>Consultation with Experts Outside of the Study</w:t>
      </w:r>
    </w:p>
    <w:p w:rsidR="002560D7" w:rsidP="004D342B" w14:paraId="4F415BD5" w14:textId="6A34BDB5">
      <w:pPr>
        <w:spacing w:after="0"/>
      </w:pPr>
      <w:r w:rsidRPr="001A2C29">
        <w:t>The SRAENE 2.0 team consulted with an external expert in co-regulation</w:t>
      </w:r>
      <w:r w:rsidR="00756B2D">
        <w:t xml:space="preserve">, Aly Frei, </w:t>
      </w:r>
      <w:r w:rsidR="00AE685D">
        <w:t>who provided feedback that</w:t>
      </w:r>
      <w:r w:rsidRPr="001A2C29" w:rsidR="00AE685D">
        <w:t xml:space="preserve"> clarified the purpose and usefulness of this next proposed phase of the study. </w:t>
      </w:r>
      <w:r w:rsidR="004D342B">
        <w:t xml:space="preserve">At the end of the pilot study, the SRAENE 2.0 team plans </w:t>
      </w:r>
      <w:r w:rsidR="00AC53E8">
        <w:t>to consult with an</w:t>
      </w:r>
      <w:r w:rsidRPr="001A2C29" w:rsidR="00AC53E8">
        <w:t xml:space="preserve"> </w:t>
      </w:r>
      <w:r w:rsidRPr="001A2C29">
        <w:t>SRAE curriculum developer</w:t>
      </w:r>
      <w:r w:rsidR="00756B2D">
        <w:t>, the Dibble Institute</w:t>
      </w:r>
      <w:r w:rsidR="004D342B">
        <w:t xml:space="preserve">, to finalize </w:t>
      </w:r>
      <w:r w:rsidRPr="001A2C29">
        <w:t xml:space="preserve">the integrated guidance. </w:t>
      </w:r>
    </w:p>
    <w:p w:rsidR="003B0F3A" w:rsidP="004D342B" w14:paraId="6AAE17B4" w14:textId="77777777">
      <w:pPr>
        <w:spacing w:after="0"/>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2560D7" w:rsidP="002560D7" w14:paraId="144C58E3" w14:textId="74187175">
      <w:pPr>
        <w:spacing w:after="0"/>
      </w:pPr>
      <w:r>
        <w:t xml:space="preserve">No tokens of appreciation are planned for this data collection. </w:t>
      </w:r>
    </w:p>
    <w:p w:rsidR="002560D7" w:rsidP="002560D7" w14:paraId="081C54E2"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14:paraId="6433E3BC" w14:textId="584A6F56">
      <w:pPr>
        <w:spacing w:after="120" w:line="240" w:lineRule="auto"/>
        <w:rPr>
          <w:i/>
        </w:rPr>
      </w:pPr>
      <w:r>
        <w:rPr>
          <w:i/>
        </w:rPr>
        <w:t>Personally Identifiable Information</w:t>
      </w:r>
    </w:p>
    <w:p w:rsidR="00A35E13" w:rsidRPr="00A35E13" w:rsidP="00A35E13" w14:paraId="2F907970" w14:textId="4C5D699D">
      <w:r w:rsidRPr="008813EA">
        <w:t>This data collection effort will collect personally identifiable information (PII) from facilitators (names, work email addresses, and telephone numbers) to obtain consent to participate in data collection activities and arrange data collection (including scheduling and sending invitations/reminders for data collections).</w:t>
      </w:r>
    </w:p>
    <w:p w:rsidR="008267B4" w:rsidRPr="009139B3" w:rsidP="008267B4" w14:paraId="6E09F31B" w14:textId="0868298A">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2560D7" w:rsidP="002560D7" w14:paraId="3A9E2882" w14:textId="4963E902">
      <w:pPr>
        <w:spacing w:after="0" w:line="240" w:lineRule="auto"/>
        <w:rPr>
          <w:i/>
        </w:rPr>
      </w:pPr>
    </w:p>
    <w:p w:rsidR="002560D7" w:rsidP="00CB57CE" w14:paraId="28D37A40" w14:textId="7557B9D2">
      <w:pPr>
        <w:spacing w:after="120" w:line="240" w:lineRule="auto"/>
        <w:rPr>
          <w:i/>
        </w:rPr>
      </w:pPr>
      <w:r>
        <w:rPr>
          <w:i/>
        </w:rPr>
        <w:t>Assurances of Privacy</w:t>
      </w:r>
    </w:p>
    <w:p w:rsidR="00E802A8" w:rsidRPr="00E802A8" w:rsidP="004D342B" w14:paraId="79E1B452" w14:textId="1733BD29">
      <w:pPr>
        <w:spacing w:after="0" w:line="240" w:lineRule="auto"/>
      </w:pPr>
      <w:r w:rsidRPr="008813EA">
        <w:t>All study participants will be informed of the planned uses of data, that their participation is voluntary, and that the study team will keep their information private to the extent permitted by law. The study team will discuss issues of privacy during training sessions with staff who work on the project. The contractor, Mathematica, requires that staff complete online security awareness training when they are hired and then participate in annual refresher training thereafter. Training topics include the security policies and procedures outlined in the Mathematica Corporate Security Manual. All records containing data will be transferred using a secure file transfer protocol site, in case the files contain PII such as facilitator name or, in the case of the youth focus groups, the youth and parent names. As specified in the contract, Mathematica will protect respondents’ privacy to the extent permitted by law and will comply with all federal and departmental regulations for private information. In addition, the study leaders at Mathematica will conduct project-specific trainings of all staff who work on the study to communicate the expectations on privacy, informed consent, and data security procedures.</w:t>
      </w:r>
    </w:p>
    <w:p w:rsidR="00993FDE" w:rsidP="00993FDE" w14:paraId="336A031A" w14:textId="694D4A80">
      <w:pPr>
        <w:spacing w:after="0" w:line="240" w:lineRule="auto"/>
      </w:pPr>
    </w:p>
    <w:p w:rsidR="002560D7" w:rsidP="004D342B" w14:paraId="2490F478" w14:textId="76955B10">
      <w:pPr>
        <w:spacing w:after="60" w:line="240" w:lineRule="auto"/>
        <w:rPr>
          <w:i/>
        </w:rPr>
      </w:pPr>
      <w:r>
        <w:rPr>
          <w:i/>
        </w:rPr>
        <w:t>Data Security and Monitoring</w:t>
      </w:r>
    </w:p>
    <w:p w:rsidR="00AB541D" w:rsidRPr="008813EA" w:rsidP="004D342B" w14:paraId="1D34D966" w14:textId="77777777">
      <w:pPr>
        <w:spacing w:after="240"/>
      </w:pPr>
      <w:r w:rsidRPr="008813EA">
        <w:t>As specified in the contract, the contractor shall protect respondent</w:t>
      </w:r>
      <w:r>
        <w:t>s’</w:t>
      </w:r>
      <w:r w:rsidRPr="008813EA">
        <w:t xml:space="preserve"> privacy to the extent permitted by law and will comply with all federal and departmental regulations for private information. The contractor has developed a Data Security Plan that assesses all protections of respondents’ PII. The contractor will ensure that all of its employees, subcontractors (at all tiers), and employees of each subcontractor who perform work under this contract and subcontract receive training on data privacy issues and comply with the above requirements. All Mathematica staff must sign an agreement to (1) maintain the privacy of any information from individuals, businesses, organizations, or families participating in any projects conducted by Mathematica; (2) complete online security awareness training when they are hired; and (3) participate in a refresher training annually.</w:t>
      </w:r>
    </w:p>
    <w:p w:rsidR="00AB541D" w:rsidRPr="008813EA" w:rsidP="004D342B" w14:paraId="0F84CFF6" w14:textId="77777777">
      <w:pPr>
        <w:spacing w:after="240"/>
      </w:pPr>
      <w:r w:rsidRPr="008813EA">
        <w:t xml:space="preserve">As specified in the evaluator’s contract, the contractor will use encryption compliant with the Federal Information Processing Standard (Security Requirements for Cryptographic Module, as amended) to protect all sensitive information during storage and transmission. The contractor will securely generate and manage encryption keys to prevent unauthorized decryption of information, in accordance with the Federal Information Processing Standard. The contractor will incorporate this standard into its property management and control system and establish a procedure to account for all laptop and desktop computers and other mobile devices and portable media that store or process sensitive information. The contractor will secure any data stored electronically in accordance with the most current National Institute of Standards and Technology requirements and other applicable federal and departmental regulations. In addition, the contractor’s data safety and monitoring plan includes strategies for minimizing to the extent possible including sensitive information on paper records and for protecting </w:t>
      </w:r>
      <w:r w:rsidRPr="008813EA">
        <w:t>any paper records, field notes, or other documents that contain sensitive information to ensure secure storage and limits on access.</w:t>
      </w:r>
    </w:p>
    <w:p w:rsidR="00AB541D" w:rsidRPr="008813EA" w:rsidP="004D342B" w14:paraId="752AC2CA" w14:textId="03E63FB5">
      <w:pPr>
        <w:spacing w:after="240"/>
      </w:pPr>
      <w:r w:rsidRPr="008813EA">
        <w:t xml:space="preserve">No information will be given to anyone outside the SRAENE study team and ACF. All PII, typed notes, and audio recordings of interviews and focus groups will be stored </w:t>
      </w:r>
      <w:r>
        <w:t>i</w:t>
      </w:r>
      <w:r w:rsidRPr="008813EA">
        <w:t xml:space="preserve">n restricted, encrypted folders on Mathematica’s </w:t>
      </w:r>
      <w:r w:rsidR="00B86EC4">
        <w:t xml:space="preserve">secure </w:t>
      </w:r>
      <w:r w:rsidRPr="008813EA">
        <w:t>network, which is accessible only to the study team.</w:t>
      </w:r>
    </w:p>
    <w:p w:rsidR="002560D7" w:rsidP="002560D7" w14:paraId="249BE1A4" w14:textId="77777777">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7"/>
      </w:r>
    </w:p>
    <w:p w:rsidR="00B40D50" w:rsidRPr="008813EA" w:rsidP="004D342B" w14:paraId="707B703C" w14:textId="28CB0368">
      <w:pPr>
        <w:spacing w:after="240"/>
      </w:pPr>
      <w:r w:rsidRPr="008813EA">
        <w:t xml:space="preserve">There are no sensitive questions </w:t>
      </w:r>
      <w:r w:rsidR="00610361">
        <w:t xml:space="preserve">proposed in the instruments. </w:t>
      </w: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4D342B" w14:paraId="5972B4E8" w14:textId="19743EC4">
      <w:pPr>
        <w:spacing w:after="60" w:line="240" w:lineRule="auto"/>
        <w:rPr>
          <w:i/>
        </w:rPr>
      </w:pPr>
      <w:r>
        <w:rPr>
          <w:i/>
        </w:rPr>
        <w:t>Explanation of Burden Estimates</w:t>
      </w:r>
    </w:p>
    <w:p w:rsidR="00622DB1" w:rsidP="00622DB1" w14:paraId="2BB6C125" w14:textId="2F1F64B6">
      <w:pPr>
        <w:spacing w:after="0" w:line="240" w:lineRule="auto"/>
        <w:rPr>
          <w:iCs/>
        </w:rPr>
      </w:pPr>
      <w:r>
        <w:rPr>
          <w:iCs/>
        </w:rPr>
        <w:t>Table A.2. summarize</w:t>
      </w:r>
      <w:r w:rsidR="00651AF1">
        <w:rPr>
          <w:iCs/>
        </w:rPr>
        <w:t>s</w:t>
      </w:r>
      <w:r>
        <w:rPr>
          <w:iCs/>
        </w:rPr>
        <w:t xml:space="preserve"> the estimated reporting burden and costs for each instrument. The estimates </w:t>
      </w:r>
      <w:r w:rsidR="00732592">
        <w:rPr>
          <w:iCs/>
        </w:rPr>
        <w:t xml:space="preserve">for </w:t>
      </w:r>
      <w:r w:rsidR="00610361">
        <w:rPr>
          <w:iCs/>
        </w:rPr>
        <w:t xml:space="preserve">Instruments 1-3 </w:t>
      </w:r>
      <w:r>
        <w:rPr>
          <w:iCs/>
        </w:rPr>
        <w:t>include</w:t>
      </w:r>
      <w:r w:rsidR="00610361">
        <w:rPr>
          <w:iCs/>
        </w:rPr>
        <w:t xml:space="preserve"> the</w:t>
      </w:r>
      <w:r>
        <w:rPr>
          <w:iCs/>
        </w:rPr>
        <w:t xml:space="preserve"> time for respondents to review the instructions, complete</w:t>
      </w:r>
      <w:r w:rsidR="00880548">
        <w:rPr>
          <w:iCs/>
        </w:rPr>
        <w:t>,</w:t>
      </w:r>
      <w:r>
        <w:rPr>
          <w:iCs/>
        </w:rPr>
        <w:t xml:space="preserve"> review</w:t>
      </w:r>
      <w:r w:rsidR="00880548">
        <w:rPr>
          <w:iCs/>
        </w:rPr>
        <w:t xml:space="preserve">, </w:t>
      </w:r>
      <w:r>
        <w:rPr>
          <w:iCs/>
        </w:rPr>
        <w:t xml:space="preserve">and transmit their responses. </w:t>
      </w:r>
      <w:r w:rsidR="00923845">
        <w:rPr>
          <w:iCs/>
        </w:rPr>
        <w:t>The time estimate for Instrument 4, t</w:t>
      </w:r>
      <w:r>
        <w:rPr>
          <w:iCs/>
        </w:rPr>
        <w:t>he interview</w:t>
      </w:r>
      <w:r w:rsidR="00923845">
        <w:rPr>
          <w:iCs/>
        </w:rPr>
        <w:t xml:space="preserve">, </w:t>
      </w:r>
      <w:r>
        <w:rPr>
          <w:iCs/>
        </w:rPr>
        <w:t xml:space="preserve">includes time for participants to review the instructions and participate in a virtual interview. Figures are estimated as follows: </w:t>
      </w:r>
    </w:p>
    <w:p w:rsidR="00622DB1" w:rsidRPr="006B1340" w:rsidP="00622DB1" w14:paraId="1D1C8248" w14:textId="60CBA391">
      <w:pPr>
        <w:pStyle w:val="ListParagraph"/>
        <w:numPr>
          <w:ilvl w:val="0"/>
          <w:numId w:val="49"/>
        </w:numPr>
        <w:spacing w:after="0" w:line="240" w:lineRule="auto"/>
        <w:rPr>
          <w:iCs/>
        </w:rPr>
      </w:pPr>
      <w:r>
        <w:rPr>
          <w:b/>
          <w:bCs/>
          <w:iCs/>
        </w:rPr>
        <w:t xml:space="preserve">Facilitator log. </w:t>
      </w:r>
      <w:r>
        <w:rPr>
          <w:iCs/>
        </w:rPr>
        <w:t xml:space="preserve">Implementation logs will be web-based. All facilitators in the study </w:t>
      </w:r>
      <w:r w:rsidR="007E0C84">
        <w:rPr>
          <w:iCs/>
        </w:rPr>
        <w:t xml:space="preserve">(N = 10) </w:t>
      </w:r>
      <w:r w:rsidR="008576A7">
        <w:rPr>
          <w:iCs/>
        </w:rPr>
        <w:t>w</w:t>
      </w:r>
      <w:r>
        <w:rPr>
          <w:iCs/>
        </w:rPr>
        <w:t xml:space="preserve">ill complete the implementation log </w:t>
      </w:r>
      <w:r w:rsidR="00710392">
        <w:rPr>
          <w:iCs/>
        </w:rPr>
        <w:t>each time they deliver the SRAE program</w:t>
      </w:r>
      <w:r>
        <w:rPr>
          <w:iCs/>
        </w:rPr>
        <w:t xml:space="preserve"> </w:t>
      </w:r>
      <w:r w:rsidR="007B73A6">
        <w:rPr>
          <w:iCs/>
        </w:rPr>
        <w:t xml:space="preserve">for </w:t>
      </w:r>
      <w:r>
        <w:rPr>
          <w:iCs/>
        </w:rPr>
        <w:t>6</w:t>
      </w:r>
      <w:r w:rsidR="007B73A6">
        <w:rPr>
          <w:iCs/>
        </w:rPr>
        <w:t xml:space="preserve"> </w:t>
      </w:r>
      <w:r>
        <w:rPr>
          <w:iCs/>
        </w:rPr>
        <w:t>week</w:t>
      </w:r>
      <w:r w:rsidR="007B73A6">
        <w:rPr>
          <w:iCs/>
        </w:rPr>
        <w:t>s</w:t>
      </w:r>
      <w:r w:rsidR="007B789C">
        <w:rPr>
          <w:iCs/>
        </w:rPr>
        <w:t xml:space="preserve"> </w:t>
      </w:r>
      <w:r w:rsidR="007B73A6">
        <w:rPr>
          <w:iCs/>
        </w:rPr>
        <w:t xml:space="preserve">in </w:t>
      </w:r>
      <w:r>
        <w:rPr>
          <w:iCs/>
        </w:rPr>
        <w:t xml:space="preserve">the spring 2025 semester. </w:t>
      </w:r>
      <w:r w:rsidR="00D637A3">
        <w:rPr>
          <w:iCs/>
        </w:rPr>
        <w:t xml:space="preserve">We estimate that facilitators will </w:t>
      </w:r>
      <w:r w:rsidR="00B70301">
        <w:rPr>
          <w:iCs/>
        </w:rPr>
        <w:t>teach 3 classes per day 5 days per week over the 6</w:t>
      </w:r>
      <w:r w:rsidR="00D33D1C">
        <w:rPr>
          <w:iCs/>
        </w:rPr>
        <w:t>-</w:t>
      </w:r>
      <w:r w:rsidR="00B70301">
        <w:rPr>
          <w:iCs/>
        </w:rPr>
        <w:t xml:space="preserve">week period </w:t>
      </w:r>
      <w:r w:rsidR="00BA34DD">
        <w:rPr>
          <w:iCs/>
        </w:rPr>
        <w:t>[</w:t>
      </w:r>
      <w:r w:rsidR="00B70301">
        <w:rPr>
          <w:iCs/>
        </w:rPr>
        <w:t>(5 days per week * 6 weeks</w:t>
      </w:r>
      <w:r w:rsidR="007F55B9">
        <w:rPr>
          <w:iCs/>
        </w:rPr>
        <w:t xml:space="preserve"> = 30 days)</w:t>
      </w:r>
      <w:r w:rsidR="00D33D1C">
        <w:rPr>
          <w:iCs/>
        </w:rPr>
        <w:t xml:space="preserve"> </w:t>
      </w:r>
      <w:r w:rsidR="007F55B9">
        <w:rPr>
          <w:iCs/>
        </w:rPr>
        <w:t>* 3 classes per day = 90 completions</w:t>
      </w:r>
      <w:r w:rsidR="00BA34DD">
        <w:rPr>
          <w:iCs/>
        </w:rPr>
        <w:t>]</w:t>
      </w:r>
      <w:r w:rsidR="007F55B9">
        <w:rPr>
          <w:iCs/>
        </w:rPr>
        <w:t xml:space="preserve">. </w:t>
      </w:r>
      <w:r>
        <w:rPr>
          <w:iCs/>
        </w:rPr>
        <w:t xml:space="preserve"> </w:t>
      </w:r>
      <w:r w:rsidR="00094FE7">
        <w:rPr>
          <w:iCs/>
        </w:rPr>
        <w:t xml:space="preserve">We anticipate that all facilitators will respond to the log and will monitor their completion to obtain logs for at least 80 percent of their completed sessions. </w:t>
      </w:r>
      <w:r>
        <w:rPr>
          <w:iCs/>
        </w:rPr>
        <w:t xml:space="preserve">The log is estimated to take </w:t>
      </w:r>
      <w:r w:rsidR="00BD0FBE">
        <w:rPr>
          <w:iCs/>
        </w:rPr>
        <w:t>2</w:t>
      </w:r>
      <w:r>
        <w:rPr>
          <w:iCs/>
        </w:rPr>
        <w:t xml:space="preserve"> minutes to complete each time. </w:t>
      </w:r>
    </w:p>
    <w:p w:rsidR="00622DB1" w:rsidRPr="006B1340" w:rsidP="00622DB1" w14:paraId="69BED5D3" w14:textId="0BFB8185">
      <w:pPr>
        <w:pStyle w:val="ListParagraph"/>
        <w:numPr>
          <w:ilvl w:val="0"/>
          <w:numId w:val="49"/>
        </w:numPr>
        <w:spacing w:after="0" w:line="240" w:lineRule="auto"/>
        <w:rPr>
          <w:iCs/>
        </w:rPr>
      </w:pPr>
      <w:r>
        <w:rPr>
          <w:b/>
          <w:bCs/>
          <w:iCs/>
        </w:rPr>
        <w:t>Facilitator post-training</w:t>
      </w:r>
      <w:r w:rsidR="00657FB1">
        <w:rPr>
          <w:b/>
          <w:bCs/>
          <w:iCs/>
        </w:rPr>
        <w:t xml:space="preserve"> pulse check</w:t>
      </w:r>
      <w:r>
        <w:rPr>
          <w:b/>
          <w:bCs/>
          <w:iCs/>
        </w:rPr>
        <w:t xml:space="preserve">. </w:t>
      </w:r>
      <w:r>
        <w:rPr>
          <w:iCs/>
        </w:rPr>
        <w:t xml:space="preserve">The survey will be administered to all program facilitators in the study (N = 10) immediately following the last session of the co-regulation training. Because the survey will be administered during the training session, we anticipate a 100 percent </w:t>
      </w:r>
      <w:r w:rsidR="00C818BC">
        <w:rPr>
          <w:iCs/>
        </w:rPr>
        <w:t xml:space="preserve">response </w:t>
      </w:r>
      <w:r>
        <w:rPr>
          <w:iCs/>
        </w:rPr>
        <w:t xml:space="preserve">rate. The facilitator post-training survey is estimated to take 5 minutes to complete via the web. </w:t>
      </w:r>
    </w:p>
    <w:p w:rsidR="00622DB1" w:rsidRPr="006B1340" w:rsidP="00622DB1" w14:paraId="591DFF67" w14:textId="239CBBE5">
      <w:pPr>
        <w:pStyle w:val="ListParagraph"/>
        <w:numPr>
          <w:ilvl w:val="0"/>
          <w:numId w:val="49"/>
        </w:numPr>
        <w:spacing w:after="0" w:line="240" w:lineRule="auto"/>
        <w:rPr>
          <w:iCs/>
        </w:rPr>
      </w:pPr>
      <w:r>
        <w:rPr>
          <w:b/>
          <w:bCs/>
          <w:iCs/>
        </w:rPr>
        <w:t xml:space="preserve">Facilitator post-coaching </w:t>
      </w:r>
      <w:r w:rsidR="00657FB1">
        <w:rPr>
          <w:b/>
          <w:bCs/>
          <w:iCs/>
        </w:rPr>
        <w:t>pulse check</w:t>
      </w:r>
      <w:r>
        <w:rPr>
          <w:b/>
          <w:bCs/>
          <w:iCs/>
        </w:rPr>
        <w:t xml:space="preserve">. </w:t>
      </w:r>
      <w:r>
        <w:rPr>
          <w:iCs/>
        </w:rPr>
        <w:t xml:space="preserve">The survey will be administered to all program facilitators in the study (N= 10) immediately following the last coaching session. Because the survey will be administered during the coaching session, we anticipate a 100 percent </w:t>
      </w:r>
      <w:r w:rsidR="00EF4049">
        <w:rPr>
          <w:iCs/>
        </w:rPr>
        <w:t xml:space="preserve">response </w:t>
      </w:r>
      <w:r>
        <w:rPr>
          <w:iCs/>
        </w:rPr>
        <w:t xml:space="preserve">rate. The facilitator post-coaching survey is estimated to take 5 minutes to complete via the web. </w:t>
      </w:r>
    </w:p>
    <w:p w:rsidR="00622DB1" w:rsidRPr="006B1340" w:rsidP="00622DB1" w14:paraId="6EDC0701" w14:textId="1D2C0188">
      <w:pPr>
        <w:pStyle w:val="ListParagraph"/>
        <w:numPr>
          <w:ilvl w:val="0"/>
          <w:numId w:val="49"/>
        </w:numPr>
        <w:spacing w:after="0" w:line="240" w:lineRule="auto"/>
        <w:rPr>
          <w:iCs/>
        </w:rPr>
      </w:pPr>
      <w:r>
        <w:rPr>
          <w:b/>
          <w:bCs/>
          <w:iCs/>
        </w:rPr>
        <w:t xml:space="preserve">Facilitator </w:t>
      </w:r>
      <w:r w:rsidR="00657FB1">
        <w:rPr>
          <w:b/>
          <w:bCs/>
          <w:iCs/>
        </w:rPr>
        <w:t>mini-interviews</w:t>
      </w:r>
      <w:r>
        <w:rPr>
          <w:b/>
          <w:bCs/>
          <w:iCs/>
        </w:rPr>
        <w:t xml:space="preserve">. </w:t>
      </w:r>
      <w:r>
        <w:rPr>
          <w:iCs/>
        </w:rPr>
        <w:t>The interviews will be completed with all program facilitators in the study (N= 10). Facilitators will participate in six weekly interviews</w:t>
      </w:r>
      <w:r w:rsidR="009B3B4E">
        <w:rPr>
          <w:iCs/>
        </w:rPr>
        <w:t xml:space="preserve">. We anticipate a 100 percent </w:t>
      </w:r>
      <w:r w:rsidR="009B3B4E">
        <w:rPr>
          <w:iCs/>
        </w:rPr>
        <w:t xml:space="preserve">response rate. The interviews will be completed via a </w:t>
      </w:r>
      <w:r w:rsidR="00BE4291">
        <w:rPr>
          <w:iCs/>
        </w:rPr>
        <w:t>web conference call</w:t>
      </w:r>
      <w:r w:rsidR="00DB4407">
        <w:rPr>
          <w:iCs/>
        </w:rPr>
        <w:t>,</w:t>
      </w:r>
      <w:r w:rsidR="009B3B4E">
        <w:rPr>
          <w:iCs/>
        </w:rPr>
        <w:t xml:space="preserve"> with</w:t>
      </w:r>
      <w:r w:rsidR="00DB4407">
        <w:rPr>
          <w:iCs/>
        </w:rPr>
        <w:t xml:space="preserve"> each interview will last </w:t>
      </w:r>
      <w:r w:rsidR="007D2E71">
        <w:rPr>
          <w:iCs/>
        </w:rPr>
        <w:t xml:space="preserve">approximately 15 minutes. </w:t>
      </w:r>
    </w:p>
    <w:p w:rsidR="001F0446" w:rsidP="00230CAA" w14:paraId="24B69DBB" w14:textId="77777777">
      <w:pPr>
        <w:spacing w:after="0" w:line="240" w:lineRule="auto"/>
        <w:rPr>
          <w:i/>
        </w:rPr>
      </w:pPr>
    </w:p>
    <w:p w:rsidR="001F0446" w:rsidP="001F0446" w14:paraId="2DFBEA9F" w14:textId="1258D740">
      <w:pPr>
        <w:spacing w:after="120" w:line="240" w:lineRule="auto"/>
        <w:rPr>
          <w:i/>
        </w:rPr>
      </w:pPr>
      <w:r>
        <w:rPr>
          <w:i/>
        </w:rPr>
        <w:t>Estimated Annualized Cost to Respondents</w:t>
      </w:r>
    </w:p>
    <w:p w:rsidR="00657FB1" w:rsidP="008E5D5D" w14:paraId="4E9148B8" w14:textId="5533742B">
      <w:pPr>
        <w:tabs>
          <w:tab w:val="left" w:pos="-720"/>
        </w:tabs>
        <w:suppressAutoHyphens/>
        <w:spacing w:after="60"/>
        <w:rPr>
          <w:iCs/>
        </w:rPr>
      </w:pPr>
      <w:r>
        <w:rPr>
          <w:iCs/>
        </w:rPr>
        <w:t xml:space="preserve">The study team expects the total annual cost to be $1,662.46 for all instruments in the current </w:t>
      </w:r>
      <w:r w:rsidR="00E31185">
        <w:rPr>
          <w:iCs/>
        </w:rPr>
        <w:t xml:space="preserve">information collection request. </w:t>
      </w:r>
      <w:r w:rsidRPr="008813EA" w:rsidR="00A77B77">
        <w:rPr>
          <w:iCs/>
        </w:rPr>
        <w:t>The Occupational Employment Statistics (202</w:t>
      </w:r>
      <w:r w:rsidR="002A01A7">
        <w:rPr>
          <w:iCs/>
        </w:rPr>
        <w:t>3</w:t>
      </w:r>
      <w:r w:rsidRPr="008813EA" w:rsidR="00A77B77">
        <w:rPr>
          <w:iCs/>
        </w:rPr>
        <w:t>)</w:t>
      </w:r>
      <w:r>
        <w:rPr>
          <w:rStyle w:val="FootnoteReference"/>
          <w:iCs/>
        </w:rPr>
        <w:footnoteReference w:id="8"/>
      </w:r>
      <w:r w:rsidRPr="008813EA" w:rsidR="00A77B77">
        <w:rPr>
          <w:iCs/>
        </w:rPr>
        <w:t xml:space="preserve"> from the Bureau of Labor Statistics have been used to estimate the average hourly wage for the </w:t>
      </w:r>
      <w:r w:rsidRPr="008813EA" w:rsidR="00A77B77">
        <w:t>participants</w:t>
      </w:r>
      <w:r w:rsidRPr="008813EA" w:rsidR="00A77B77">
        <w:rPr>
          <w:iCs/>
        </w:rPr>
        <w:t xml:space="preserve"> of this study and derive total annual costs. </w:t>
      </w:r>
    </w:p>
    <w:p w:rsidR="00657FB1" w:rsidRPr="00657FB1" w:rsidP="00657FB1" w14:paraId="55831986" w14:textId="77777777">
      <w:pPr>
        <w:pStyle w:val="ListParagraph"/>
        <w:spacing w:after="0"/>
        <w:rPr>
          <w:iCs/>
        </w:rPr>
      </w:pPr>
    </w:p>
    <w:p w:rsidR="0099118C" w:rsidRPr="002A38CA" w:rsidP="001F0446" w14:paraId="0B479640" w14:textId="0E58758A">
      <w:pPr>
        <w:spacing w:after="120" w:line="240" w:lineRule="auto"/>
        <w:rPr>
          <w:b/>
          <w:bCs/>
          <w:iCs/>
        </w:rPr>
      </w:pPr>
      <w:r w:rsidRPr="002A38CA">
        <w:rPr>
          <w:b/>
          <w:bCs/>
          <w:iCs/>
        </w:rPr>
        <w:t>Table A.2. Total burden requested under this information collection request</w:t>
      </w:r>
    </w:p>
    <w:tbl>
      <w:tblPr>
        <w:tblStyle w:val="TableGrid"/>
        <w:tblW w:w="9067" w:type="dxa"/>
        <w:tblInd w:w="108" w:type="dxa"/>
        <w:tblLayout w:type="fixed"/>
        <w:tblLook w:val="01E0"/>
      </w:tblPr>
      <w:tblGrid>
        <w:gridCol w:w="1687"/>
        <w:gridCol w:w="1350"/>
        <w:gridCol w:w="1530"/>
        <w:gridCol w:w="1350"/>
        <w:gridCol w:w="990"/>
        <w:gridCol w:w="900"/>
        <w:gridCol w:w="1260"/>
      </w:tblGrid>
      <w:tr w14:paraId="0150D646" w14:textId="77777777" w:rsidTr="00374E5A">
        <w:tblPrEx>
          <w:tblW w:w="906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hideMark/>
          </w:tcPr>
          <w:p w:rsidR="004B430D" w:rsidRPr="006E16FC" w:rsidP="00E501D2" w14:paraId="5DC7AD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6E16FC">
              <w:rPr>
                <w:rFonts w:asciiTheme="minorHAnsi" w:hAnsiTheme="minorHAnsi" w:cstheme="minorHAnsi"/>
                <w:b/>
              </w:rPr>
              <w:t xml:space="preserve">Instrument </w:t>
            </w:r>
          </w:p>
        </w:tc>
        <w:tc>
          <w:tcPr>
            <w:tcW w:w="1350" w:type="dxa"/>
            <w:tcBorders>
              <w:top w:val="single" w:sz="4" w:space="0" w:color="auto"/>
              <w:left w:val="single" w:sz="4" w:space="0" w:color="auto"/>
              <w:bottom w:val="single" w:sz="4" w:space="0" w:color="auto"/>
              <w:right w:val="single" w:sz="4" w:space="0" w:color="auto"/>
            </w:tcBorders>
            <w:hideMark/>
          </w:tcPr>
          <w:p w:rsidR="004B430D" w:rsidRPr="006E16FC" w:rsidP="00E501D2" w14:paraId="5053EE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6E16FC">
              <w:rPr>
                <w:rFonts w:asciiTheme="minorHAnsi" w:hAnsiTheme="minorHAnsi" w:cstheme="minorHAnsi"/>
                <w:b/>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hideMark/>
          </w:tcPr>
          <w:p w:rsidR="004B430D" w:rsidRPr="006E16FC" w:rsidP="00E501D2" w14:paraId="3EF688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6E16FC">
              <w:rPr>
                <w:rFonts w:asciiTheme="minorHAnsi" w:hAnsiTheme="minorHAnsi" w:cstheme="minorHAnsi"/>
                <w:b/>
              </w:rPr>
              <w:t>No. of Responses per Respondent (total over request period)</w:t>
            </w:r>
          </w:p>
        </w:tc>
        <w:tc>
          <w:tcPr>
            <w:tcW w:w="1350" w:type="dxa"/>
            <w:tcBorders>
              <w:top w:val="single" w:sz="4" w:space="0" w:color="auto"/>
              <w:left w:val="single" w:sz="4" w:space="0" w:color="auto"/>
              <w:bottom w:val="single" w:sz="4" w:space="0" w:color="auto"/>
              <w:right w:val="single" w:sz="4" w:space="0" w:color="auto"/>
            </w:tcBorders>
            <w:hideMark/>
          </w:tcPr>
          <w:p w:rsidR="004B430D" w:rsidRPr="006E16FC" w:rsidP="00E501D2" w14:paraId="12E92E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6E16FC">
              <w:rPr>
                <w:rFonts w:asciiTheme="minorHAnsi" w:hAnsiTheme="minorHAnsi" w:cstheme="minorHAnsi"/>
                <w:b/>
              </w:rPr>
              <w:t>Avg. Burden per Response (in hours)</w:t>
            </w:r>
          </w:p>
        </w:tc>
        <w:tc>
          <w:tcPr>
            <w:tcW w:w="990" w:type="dxa"/>
            <w:tcBorders>
              <w:top w:val="single" w:sz="4" w:space="0" w:color="auto"/>
              <w:left w:val="single" w:sz="4" w:space="0" w:color="auto"/>
              <w:bottom w:val="single" w:sz="4" w:space="0" w:color="auto"/>
              <w:right w:val="single" w:sz="4" w:space="0" w:color="auto"/>
            </w:tcBorders>
          </w:tcPr>
          <w:p w:rsidR="004B430D" w:rsidRPr="006E16FC" w:rsidP="00E501D2" w14:paraId="16979B30" w14:textId="4218C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6E16FC">
              <w:rPr>
                <w:rFonts w:asciiTheme="minorHAnsi" w:hAnsiTheme="minorHAnsi" w:cstheme="minorHAnsi"/>
                <w:b/>
              </w:rPr>
              <w:t>Total/</w:t>
            </w:r>
            <w:r w:rsidR="00374E5A">
              <w:rPr>
                <w:rFonts w:asciiTheme="minorHAnsi" w:hAnsiTheme="minorHAnsi" w:cstheme="minorHAnsi"/>
                <w:b/>
              </w:rPr>
              <w:t xml:space="preserve"> </w:t>
            </w:r>
            <w:r w:rsidRPr="006E16FC">
              <w:rPr>
                <w:rFonts w:asciiTheme="minorHAnsi" w:hAnsiTheme="minorHAnsi" w:cstheme="minorHAnsi"/>
                <w:b/>
              </w:rPr>
              <w:t>annual Burden (in hours)</w:t>
            </w:r>
          </w:p>
        </w:tc>
        <w:tc>
          <w:tcPr>
            <w:tcW w:w="900" w:type="dxa"/>
            <w:tcBorders>
              <w:top w:val="single" w:sz="4" w:space="0" w:color="auto"/>
              <w:left w:val="single" w:sz="4" w:space="0" w:color="auto"/>
              <w:bottom w:val="single" w:sz="4" w:space="0" w:color="auto"/>
              <w:right w:val="single" w:sz="4" w:space="0" w:color="auto"/>
            </w:tcBorders>
            <w:hideMark/>
          </w:tcPr>
          <w:p w:rsidR="004B430D" w:rsidRPr="006E16FC" w:rsidP="00E501D2" w14:paraId="51292F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6E16FC">
              <w:rPr>
                <w:rFonts w:asciiTheme="minorHAnsi" w:hAnsiTheme="minorHAnsi" w:cstheme="minorHAnsi"/>
                <w:b/>
              </w:rPr>
              <w:t>Average Hourly Wage Rate</w:t>
            </w:r>
          </w:p>
        </w:tc>
        <w:tc>
          <w:tcPr>
            <w:tcW w:w="1260" w:type="dxa"/>
            <w:tcBorders>
              <w:top w:val="single" w:sz="4" w:space="0" w:color="auto"/>
              <w:left w:val="single" w:sz="4" w:space="0" w:color="auto"/>
              <w:bottom w:val="single" w:sz="4" w:space="0" w:color="auto"/>
              <w:right w:val="single" w:sz="4" w:space="0" w:color="auto"/>
            </w:tcBorders>
            <w:hideMark/>
          </w:tcPr>
          <w:p w:rsidR="004B430D" w:rsidRPr="006E16FC" w:rsidP="00E501D2" w14:paraId="340A11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6E16FC">
              <w:rPr>
                <w:rFonts w:asciiTheme="minorHAnsi" w:hAnsiTheme="minorHAnsi" w:cstheme="minorHAnsi"/>
                <w:b/>
              </w:rPr>
              <w:t>Total Annual Respondent Cost</w:t>
            </w:r>
          </w:p>
        </w:tc>
      </w:tr>
      <w:tr w14:paraId="71260842" w14:textId="77777777" w:rsidTr="00374E5A">
        <w:tblPrEx>
          <w:tblW w:w="906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C41E01" w:rsidRPr="001F0446" w:rsidP="00C41E01" w14:paraId="1538F2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1: Facilitator log</w:t>
            </w:r>
          </w:p>
        </w:tc>
        <w:tc>
          <w:tcPr>
            <w:tcW w:w="1350" w:type="dxa"/>
            <w:tcBorders>
              <w:top w:val="single" w:sz="4" w:space="0" w:color="auto"/>
              <w:left w:val="single" w:sz="4" w:space="0" w:color="auto"/>
              <w:bottom w:val="single" w:sz="4" w:space="0" w:color="auto"/>
              <w:right w:val="single" w:sz="4" w:space="0" w:color="auto"/>
            </w:tcBorders>
            <w:vAlign w:val="center"/>
          </w:tcPr>
          <w:p w:rsidR="00C41E01" w:rsidRPr="001F0446" w:rsidP="00C41E01" w14:paraId="44C785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p>
        </w:tc>
        <w:tc>
          <w:tcPr>
            <w:tcW w:w="1530" w:type="dxa"/>
            <w:tcBorders>
              <w:top w:val="single" w:sz="4" w:space="0" w:color="auto"/>
              <w:left w:val="single" w:sz="4" w:space="0" w:color="auto"/>
              <w:bottom w:val="single" w:sz="4" w:space="0" w:color="auto"/>
              <w:right w:val="single" w:sz="4" w:space="0" w:color="auto"/>
            </w:tcBorders>
            <w:vAlign w:val="center"/>
          </w:tcPr>
          <w:p w:rsidR="00C41E01" w:rsidRPr="001F0446" w:rsidP="00C41E01" w14:paraId="354EF6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90</w:t>
            </w:r>
          </w:p>
        </w:tc>
        <w:tc>
          <w:tcPr>
            <w:tcW w:w="1350" w:type="dxa"/>
            <w:tcBorders>
              <w:top w:val="single" w:sz="4" w:space="0" w:color="auto"/>
              <w:left w:val="single" w:sz="4" w:space="0" w:color="auto"/>
              <w:bottom w:val="single" w:sz="4" w:space="0" w:color="auto"/>
              <w:right w:val="single" w:sz="4" w:space="0" w:color="auto"/>
            </w:tcBorders>
            <w:vAlign w:val="center"/>
          </w:tcPr>
          <w:p w:rsidR="00C41E01" w:rsidRPr="001F0446" w:rsidP="00C41E01" w14:paraId="3160ACDD" w14:textId="2CC6F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0.03</w:t>
            </w:r>
            <w:r w:rsidR="00923845">
              <w:rPr>
                <w:rFonts w:asciiTheme="minorHAnsi" w:hAnsiTheme="minorHAnsi" w:cstheme="minorHAnsi"/>
                <w:bCs/>
              </w:rPr>
              <w:t>3</w:t>
            </w:r>
            <w:r>
              <w:rPr>
                <w:rFonts w:asciiTheme="minorHAnsi" w:hAnsiTheme="minorHAnsi" w:cstheme="minorHAnsi"/>
                <w:bCs/>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C41E01" w:rsidRPr="001F0446" w:rsidP="00C41E01" w14:paraId="64D45F71" w14:textId="49955E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rsidR="00C41E01" w:rsidRPr="001F0446" w:rsidP="00C41E01" w14:paraId="425E64FE" w14:textId="416D1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$26.40</w:t>
            </w:r>
          </w:p>
        </w:tc>
        <w:tc>
          <w:tcPr>
            <w:tcW w:w="1260" w:type="dxa"/>
            <w:tcBorders>
              <w:top w:val="nil"/>
              <w:left w:val="nil"/>
              <w:bottom w:val="single" w:sz="8" w:space="0" w:color="auto"/>
              <w:right w:val="single" w:sz="8" w:space="0" w:color="auto"/>
            </w:tcBorders>
            <w:shd w:val="clear" w:color="auto" w:fill="auto"/>
            <w:vAlign w:val="center"/>
            <w:hideMark/>
          </w:tcPr>
          <w:p w:rsidR="00C41E01" w:rsidRPr="001F0446" w:rsidP="00C41E01" w14:paraId="3A55302D" w14:textId="23FF1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w:t>
            </w:r>
            <w:r w:rsidR="008A4A46">
              <w:rPr>
                <w:rFonts w:ascii="Calibri" w:hAnsi="Calibri" w:cs="Calibri"/>
                <w:color w:val="000000"/>
              </w:rPr>
              <w:t>792.00</w:t>
            </w:r>
            <w:r>
              <w:rPr>
                <w:rFonts w:ascii="Calibri" w:hAnsi="Calibri" w:cs="Calibri"/>
                <w:color w:val="000000"/>
              </w:rPr>
              <w:t xml:space="preserve"> </w:t>
            </w:r>
          </w:p>
        </w:tc>
      </w:tr>
      <w:tr w14:paraId="6A001090" w14:textId="77777777" w:rsidTr="00374E5A">
        <w:tblPrEx>
          <w:tblW w:w="906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C41E01" w:rsidP="00C41E01" w14:paraId="5B17CA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6E16FC">
              <w:rPr>
                <w:rFonts w:asciiTheme="minorHAnsi" w:hAnsiTheme="minorHAnsi" w:cstheme="minorHAnsi"/>
                <w:bCs/>
              </w:rPr>
              <w:t xml:space="preserve">Instrument </w:t>
            </w:r>
            <w:r>
              <w:rPr>
                <w:rFonts w:asciiTheme="minorHAnsi" w:hAnsiTheme="minorHAnsi" w:cstheme="minorHAnsi"/>
                <w:bCs/>
              </w:rPr>
              <w:t>2</w:t>
            </w:r>
            <w:r w:rsidRPr="006E16FC">
              <w:rPr>
                <w:rFonts w:asciiTheme="minorHAnsi" w:hAnsiTheme="minorHAnsi" w:cstheme="minorHAnsi"/>
                <w:bCs/>
              </w:rPr>
              <w:t>: Post-training pulse check</w:t>
            </w:r>
          </w:p>
        </w:tc>
        <w:tc>
          <w:tcPr>
            <w:tcW w:w="1350" w:type="dxa"/>
            <w:tcBorders>
              <w:top w:val="single" w:sz="4" w:space="0" w:color="auto"/>
              <w:left w:val="single" w:sz="4" w:space="0" w:color="auto"/>
              <w:bottom w:val="single" w:sz="4" w:space="0" w:color="auto"/>
              <w:right w:val="single" w:sz="4" w:space="0" w:color="auto"/>
            </w:tcBorders>
            <w:vAlign w:val="center"/>
          </w:tcPr>
          <w:p w:rsidR="00C41E01" w:rsidP="00C41E01" w14:paraId="3AD2D4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E16FC">
              <w:rPr>
                <w:rFonts w:asciiTheme="minorHAnsi" w:hAnsiTheme="minorHAnsi" w:cstheme="minorHAnsi"/>
                <w:bCs/>
              </w:rPr>
              <w:t>10</w:t>
            </w:r>
          </w:p>
        </w:tc>
        <w:tc>
          <w:tcPr>
            <w:tcW w:w="1530" w:type="dxa"/>
            <w:tcBorders>
              <w:top w:val="single" w:sz="4" w:space="0" w:color="auto"/>
              <w:left w:val="single" w:sz="4" w:space="0" w:color="auto"/>
              <w:bottom w:val="single" w:sz="4" w:space="0" w:color="auto"/>
              <w:right w:val="single" w:sz="4" w:space="0" w:color="auto"/>
            </w:tcBorders>
            <w:vAlign w:val="center"/>
          </w:tcPr>
          <w:p w:rsidR="00C41E01" w:rsidP="00C41E01" w14:paraId="453014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E16FC">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C41E01" w:rsidP="00C41E01" w14:paraId="60938F25" w14:textId="7F57A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E16FC">
              <w:rPr>
                <w:rFonts w:asciiTheme="minorHAnsi" w:hAnsiTheme="minorHAnsi" w:cstheme="minorHAnsi"/>
                <w:bCs/>
              </w:rPr>
              <w:t>0.08</w:t>
            </w:r>
            <w:r w:rsidR="00923845">
              <w:rPr>
                <w:rFonts w:asciiTheme="minorHAnsi" w:hAnsiTheme="minorHAnsi" w:cstheme="minorHAnsi"/>
                <w:bCs/>
              </w:rPr>
              <w:t>3</w:t>
            </w:r>
            <w:r w:rsidRPr="006E16FC">
              <w:rPr>
                <w:rFonts w:asciiTheme="minorHAnsi" w:hAnsiTheme="minorHAnsi" w:cstheme="minorHAnsi"/>
                <w:bCs/>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C41E01" w:rsidP="00C41E01" w14:paraId="17E75C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E16FC">
              <w:rPr>
                <w:rFonts w:asciiTheme="minorHAnsi" w:hAnsiTheme="minorHAnsi" w:cstheme="minorHAnsi"/>
                <w:bCs/>
              </w:rPr>
              <w:t>0.8</w:t>
            </w:r>
          </w:p>
        </w:tc>
        <w:tc>
          <w:tcPr>
            <w:tcW w:w="900" w:type="dxa"/>
            <w:tcBorders>
              <w:top w:val="single" w:sz="4" w:space="0" w:color="auto"/>
              <w:left w:val="single" w:sz="4" w:space="0" w:color="auto"/>
              <w:bottom w:val="single" w:sz="4" w:space="0" w:color="auto"/>
              <w:right w:val="single" w:sz="4" w:space="0" w:color="auto"/>
            </w:tcBorders>
            <w:vAlign w:val="center"/>
          </w:tcPr>
          <w:p w:rsidR="00C41E01" w:rsidP="00C41E01" w14:paraId="21D66C75" w14:textId="7F423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E16FC">
              <w:rPr>
                <w:rFonts w:asciiTheme="minorHAnsi" w:hAnsiTheme="minorHAnsi" w:cstheme="minorHAnsi"/>
                <w:bCs/>
              </w:rPr>
              <w:t>$</w:t>
            </w:r>
            <w:r>
              <w:rPr>
                <w:rFonts w:asciiTheme="minorHAnsi" w:hAnsiTheme="minorHAnsi" w:cstheme="minorHAnsi"/>
                <w:bCs/>
              </w:rPr>
              <w:t>26.40</w:t>
            </w:r>
          </w:p>
        </w:tc>
        <w:tc>
          <w:tcPr>
            <w:tcW w:w="1260" w:type="dxa"/>
            <w:tcBorders>
              <w:top w:val="nil"/>
              <w:left w:val="nil"/>
              <w:bottom w:val="single" w:sz="8" w:space="0" w:color="auto"/>
              <w:right w:val="single" w:sz="8" w:space="0" w:color="auto"/>
            </w:tcBorders>
            <w:shd w:val="clear" w:color="auto" w:fill="auto"/>
            <w:vAlign w:val="center"/>
          </w:tcPr>
          <w:p w:rsidR="00C41E01" w:rsidRPr="001F0446" w:rsidP="00C41E01" w14:paraId="3A0B992C" w14:textId="7D734D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Calibri" w:hAnsi="Calibri" w:cs="Calibri"/>
                <w:color w:val="000000"/>
              </w:rPr>
              <w:t xml:space="preserve">$21.12 </w:t>
            </w:r>
          </w:p>
        </w:tc>
      </w:tr>
      <w:tr w14:paraId="695BA8B6" w14:textId="77777777" w:rsidTr="00374E5A">
        <w:tblPrEx>
          <w:tblW w:w="906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C41E01" w:rsidP="00C41E01" w14:paraId="1F884D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6E16FC">
              <w:rPr>
                <w:rFonts w:asciiTheme="minorHAnsi" w:hAnsiTheme="minorHAnsi" w:cstheme="minorHAnsi"/>
                <w:bCs/>
              </w:rPr>
              <w:t xml:space="preserve">Instrument </w:t>
            </w:r>
            <w:r>
              <w:rPr>
                <w:rFonts w:asciiTheme="minorHAnsi" w:hAnsiTheme="minorHAnsi" w:cstheme="minorHAnsi"/>
                <w:bCs/>
              </w:rPr>
              <w:t>3</w:t>
            </w:r>
            <w:r w:rsidRPr="006E16FC">
              <w:rPr>
                <w:rFonts w:asciiTheme="minorHAnsi" w:hAnsiTheme="minorHAnsi" w:cstheme="minorHAnsi"/>
                <w:bCs/>
              </w:rPr>
              <w:t>: Post-coaching pulse check</w:t>
            </w:r>
          </w:p>
        </w:tc>
        <w:tc>
          <w:tcPr>
            <w:tcW w:w="1350" w:type="dxa"/>
            <w:tcBorders>
              <w:top w:val="single" w:sz="4" w:space="0" w:color="auto"/>
              <w:left w:val="single" w:sz="4" w:space="0" w:color="auto"/>
              <w:bottom w:val="single" w:sz="4" w:space="0" w:color="auto"/>
              <w:right w:val="single" w:sz="4" w:space="0" w:color="auto"/>
            </w:tcBorders>
            <w:vAlign w:val="center"/>
          </w:tcPr>
          <w:p w:rsidR="00C41E01" w:rsidP="00C41E01" w14:paraId="4B1275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E16FC">
              <w:rPr>
                <w:rFonts w:asciiTheme="minorHAnsi" w:hAnsiTheme="minorHAnsi" w:cstheme="minorHAnsi"/>
                <w:bCs/>
              </w:rPr>
              <w:t>10</w:t>
            </w:r>
          </w:p>
        </w:tc>
        <w:tc>
          <w:tcPr>
            <w:tcW w:w="1530" w:type="dxa"/>
            <w:tcBorders>
              <w:top w:val="single" w:sz="4" w:space="0" w:color="auto"/>
              <w:left w:val="single" w:sz="4" w:space="0" w:color="auto"/>
              <w:bottom w:val="single" w:sz="4" w:space="0" w:color="auto"/>
              <w:right w:val="single" w:sz="4" w:space="0" w:color="auto"/>
            </w:tcBorders>
            <w:vAlign w:val="center"/>
          </w:tcPr>
          <w:p w:rsidR="00C41E01" w:rsidP="00C41E01" w14:paraId="1E2BF0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E16FC">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C41E01" w:rsidP="00C41E01" w14:paraId="16A623EF" w14:textId="024C7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E16FC">
              <w:rPr>
                <w:rFonts w:asciiTheme="minorHAnsi" w:hAnsiTheme="minorHAnsi" w:cstheme="minorHAnsi"/>
                <w:bCs/>
              </w:rPr>
              <w:t>0.08</w:t>
            </w:r>
            <w:r w:rsidR="00923845">
              <w:rPr>
                <w:rFonts w:asciiTheme="minorHAnsi" w:hAnsiTheme="minorHAnsi" w:cstheme="minorHAnsi"/>
                <w:bCs/>
              </w:rPr>
              <w:t>3</w:t>
            </w:r>
          </w:p>
        </w:tc>
        <w:tc>
          <w:tcPr>
            <w:tcW w:w="990" w:type="dxa"/>
            <w:tcBorders>
              <w:top w:val="single" w:sz="4" w:space="0" w:color="auto"/>
              <w:left w:val="single" w:sz="4" w:space="0" w:color="auto"/>
              <w:bottom w:val="single" w:sz="4" w:space="0" w:color="auto"/>
              <w:right w:val="single" w:sz="4" w:space="0" w:color="auto"/>
            </w:tcBorders>
            <w:vAlign w:val="center"/>
          </w:tcPr>
          <w:p w:rsidR="00C41E01" w:rsidP="00C41E01" w14:paraId="7EBD3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E16FC">
              <w:rPr>
                <w:rFonts w:asciiTheme="minorHAnsi" w:hAnsiTheme="minorHAnsi" w:cstheme="minorHAnsi"/>
                <w:bCs/>
              </w:rPr>
              <w:t>0.8</w:t>
            </w:r>
          </w:p>
        </w:tc>
        <w:tc>
          <w:tcPr>
            <w:tcW w:w="900" w:type="dxa"/>
            <w:tcBorders>
              <w:top w:val="single" w:sz="4" w:space="0" w:color="auto"/>
              <w:left w:val="single" w:sz="4" w:space="0" w:color="auto"/>
              <w:bottom w:val="single" w:sz="4" w:space="0" w:color="auto"/>
              <w:right w:val="single" w:sz="4" w:space="0" w:color="auto"/>
            </w:tcBorders>
            <w:vAlign w:val="center"/>
          </w:tcPr>
          <w:p w:rsidR="00C41E01" w:rsidP="00C41E01" w14:paraId="3B87B6EE" w14:textId="14A05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E16FC">
              <w:rPr>
                <w:rFonts w:asciiTheme="minorHAnsi" w:hAnsiTheme="minorHAnsi" w:cstheme="minorHAnsi"/>
                <w:bCs/>
              </w:rPr>
              <w:t>$</w:t>
            </w:r>
            <w:r>
              <w:rPr>
                <w:rFonts w:asciiTheme="minorHAnsi" w:hAnsiTheme="minorHAnsi" w:cstheme="minorHAnsi"/>
                <w:bCs/>
              </w:rPr>
              <w:t>26.40</w:t>
            </w:r>
          </w:p>
        </w:tc>
        <w:tc>
          <w:tcPr>
            <w:tcW w:w="1260" w:type="dxa"/>
            <w:tcBorders>
              <w:top w:val="nil"/>
              <w:left w:val="nil"/>
              <w:bottom w:val="single" w:sz="8" w:space="0" w:color="auto"/>
              <w:right w:val="single" w:sz="8" w:space="0" w:color="auto"/>
            </w:tcBorders>
            <w:shd w:val="clear" w:color="auto" w:fill="auto"/>
            <w:vAlign w:val="center"/>
          </w:tcPr>
          <w:p w:rsidR="00C41E01" w:rsidRPr="001F0446" w:rsidP="00C41E01" w14:paraId="6081A9CB" w14:textId="7F8DB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Calibri" w:hAnsi="Calibri" w:cs="Calibri"/>
                <w:color w:val="000000"/>
              </w:rPr>
              <w:t xml:space="preserve">$21.12 </w:t>
            </w:r>
          </w:p>
        </w:tc>
      </w:tr>
      <w:tr w14:paraId="1FB32BD1" w14:textId="77777777" w:rsidTr="00374E5A">
        <w:tblPrEx>
          <w:tblW w:w="9067"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C41E01" w:rsidRPr="006E16FC" w:rsidP="00C41E01" w14:paraId="7C6431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16FC">
              <w:rPr>
                <w:rFonts w:asciiTheme="minorHAnsi" w:hAnsiTheme="minorHAnsi" w:cstheme="minorHAnsi"/>
                <w:bCs/>
              </w:rPr>
              <w:t xml:space="preserve">Instrument </w:t>
            </w:r>
            <w:r>
              <w:rPr>
                <w:rFonts w:asciiTheme="minorHAnsi" w:hAnsiTheme="minorHAnsi" w:cstheme="minorHAnsi"/>
                <w:bCs/>
              </w:rPr>
              <w:t>4</w:t>
            </w:r>
            <w:r w:rsidRPr="006E16FC">
              <w:rPr>
                <w:rFonts w:asciiTheme="minorHAnsi" w:hAnsiTheme="minorHAnsi" w:cstheme="minorHAnsi"/>
                <w:bCs/>
              </w:rPr>
              <w:t>: Facilitator mini-interview</w:t>
            </w:r>
          </w:p>
        </w:tc>
        <w:tc>
          <w:tcPr>
            <w:tcW w:w="1350" w:type="dxa"/>
            <w:tcBorders>
              <w:top w:val="single" w:sz="4" w:space="0" w:color="auto"/>
              <w:left w:val="single" w:sz="4" w:space="0" w:color="auto"/>
              <w:bottom w:val="single" w:sz="4" w:space="0" w:color="auto"/>
              <w:right w:val="single" w:sz="4" w:space="0" w:color="auto"/>
            </w:tcBorders>
            <w:vAlign w:val="center"/>
          </w:tcPr>
          <w:p w:rsidR="00C41E01" w:rsidRPr="006E16FC" w:rsidP="00C41E01" w14:paraId="2AC7E3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16FC">
              <w:rPr>
                <w:rFonts w:asciiTheme="minorHAnsi" w:hAnsiTheme="minorHAnsi" w:cstheme="minorHAnsi"/>
                <w:bCs/>
              </w:rPr>
              <w:t>10</w:t>
            </w:r>
          </w:p>
        </w:tc>
        <w:tc>
          <w:tcPr>
            <w:tcW w:w="1530" w:type="dxa"/>
            <w:tcBorders>
              <w:top w:val="single" w:sz="4" w:space="0" w:color="auto"/>
              <w:left w:val="single" w:sz="4" w:space="0" w:color="auto"/>
              <w:bottom w:val="single" w:sz="4" w:space="0" w:color="auto"/>
              <w:right w:val="single" w:sz="4" w:space="0" w:color="auto"/>
            </w:tcBorders>
            <w:vAlign w:val="center"/>
          </w:tcPr>
          <w:p w:rsidR="00C41E01" w:rsidRPr="006E16FC" w:rsidP="00C41E01" w14:paraId="516AEB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16FC">
              <w:rPr>
                <w:rFonts w:asciiTheme="minorHAnsi" w:hAnsiTheme="minorHAnsi" w:cstheme="minorHAnsi"/>
                <w:bCs/>
              </w:rPr>
              <w:t>6</w:t>
            </w:r>
          </w:p>
        </w:tc>
        <w:tc>
          <w:tcPr>
            <w:tcW w:w="1350" w:type="dxa"/>
            <w:tcBorders>
              <w:top w:val="single" w:sz="4" w:space="0" w:color="auto"/>
              <w:left w:val="single" w:sz="4" w:space="0" w:color="auto"/>
              <w:bottom w:val="single" w:sz="4" w:space="0" w:color="auto"/>
              <w:right w:val="single" w:sz="4" w:space="0" w:color="auto"/>
            </w:tcBorders>
            <w:vAlign w:val="center"/>
          </w:tcPr>
          <w:p w:rsidR="00C41E01" w:rsidRPr="006E16FC" w:rsidP="00C41E01" w14:paraId="0DD7E4F0" w14:textId="5F137A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6E16FC">
              <w:rPr>
                <w:rFonts w:asciiTheme="minorHAnsi" w:hAnsiTheme="minorHAnsi" w:cstheme="minorHAnsi"/>
                <w:bCs/>
              </w:rPr>
              <w:t>.25</w:t>
            </w:r>
          </w:p>
        </w:tc>
        <w:tc>
          <w:tcPr>
            <w:tcW w:w="990" w:type="dxa"/>
            <w:tcBorders>
              <w:top w:val="single" w:sz="4" w:space="0" w:color="auto"/>
              <w:left w:val="single" w:sz="4" w:space="0" w:color="auto"/>
              <w:bottom w:val="single" w:sz="4" w:space="0" w:color="auto"/>
              <w:right w:val="single" w:sz="4" w:space="0" w:color="auto"/>
            </w:tcBorders>
            <w:vAlign w:val="center"/>
          </w:tcPr>
          <w:p w:rsidR="00C41E01" w:rsidRPr="006E16FC" w:rsidP="00C41E01" w14:paraId="2E7681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16FC">
              <w:rPr>
                <w:rFonts w:asciiTheme="minorHAnsi" w:hAnsiTheme="minorHAnsi" w:cstheme="minorHAnsi"/>
                <w:bCs/>
              </w:rPr>
              <w:t>15</w:t>
            </w:r>
          </w:p>
        </w:tc>
        <w:tc>
          <w:tcPr>
            <w:tcW w:w="900" w:type="dxa"/>
            <w:tcBorders>
              <w:top w:val="single" w:sz="4" w:space="0" w:color="auto"/>
              <w:left w:val="single" w:sz="4" w:space="0" w:color="auto"/>
              <w:bottom w:val="single" w:sz="4" w:space="0" w:color="auto"/>
              <w:right w:val="single" w:sz="4" w:space="0" w:color="auto"/>
            </w:tcBorders>
            <w:vAlign w:val="center"/>
          </w:tcPr>
          <w:p w:rsidR="00C41E01" w:rsidRPr="006E16FC" w:rsidP="00C41E01" w14:paraId="1347CD09" w14:textId="50B30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16FC">
              <w:rPr>
                <w:rFonts w:asciiTheme="minorHAnsi" w:hAnsiTheme="minorHAnsi" w:cstheme="minorHAnsi"/>
                <w:bCs/>
              </w:rPr>
              <w:t>$</w:t>
            </w:r>
            <w:r>
              <w:rPr>
                <w:rFonts w:asciiTheme="minorHAnsi" w:hAnsiTheme="minorHAnsi" w:cstheme="minorHAnsi"/>
                <w:bCs/>
              </w:rPr>
              <w:t>26.40</w:t>
            </w:r>
          </w:p>
        </w:tc>
        <w:tc>
          <w:tcPr>
            <w:tcW w:w="1260" w:type="dxa"/>
            <w:tcBorders>
              <w:top w:val="nil"/>
              <w:left w:val="nil"/>
              <w:bottom w:val="single" w:sz="8" w:space="0" w:color="auto"/>
              <w:right w:val="single" w:sz="8" w:space="0" w:color="auto"/>
            </w:tcBorders>
            <w:shd w:val="clear" w:color="auto" w:fill="auto"/>
            <w:vAlign w:val="center"/>
          </w:tcPr>
          <w:p w:rsidR="00C41E01" w:rsidRPr="006E16FC" w:rsidP="00C41E01" w14:paraId="449192A2" w14:textId="60A9E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 xml:space="preserve">$396.00 </w:t>
            </w:r>
          </w:p>
        </w:tc>
      </w:tr>
      <w:tr w14:paraId="3DB86CB5" w14:textId="77777777" w:rsidTr="008A4A46">
        <w:tblPrEx>
          <w:tblW w:w="9067" w:type="dxa"/>
          <w:tblInd w:w="108" w:type="dxa"/>
          <w:tblLayout w:type="fixed"/>
          <w:tblLook w:val="01E0"/>
        </w:tblPrEx>
        <w:trPr>
          <w:trHeight w:val="97"/>
        </w:trPr>
        <w:tc>
          <w:tcPr>
            <w:tcW w:w="1687" w:type="dxa"/>
            <w:tcBorders>
              <w:top w:val="single" w:sz="4" w:space="0" w:color="auto"/>
              <w:left w:val="single" w:sz="4" w:space="0" w:color="auto"/>
              <w:bottom w:val="single" w:sz="4" w:space="0" w:color="auto"/>
              <w:right w:val="single" w:sz="4" w:space="0" w:color="auto"/>
            </w:tcBorders>
            <w:hideMark/>
          </w:tcPr>
          <w:p w:rsidR="00C41E01" w:rsidRPr="006E16FC" w:rsidP="00C41E01" w14:paraId="37A4B8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6E16FC">
              <w:rPr>
                <w:rFonts w:asciiTheme="minorHAnsi" w:hAnsiTheme="minorHAnsi" w:cstheme="minorHAnsi"/>
                <w:b/>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C41E01" w:rsidRPr="006E16FC" w:rsidP="00C41E01" w14:paraId="4534F335" w14:textId="4A9D4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10</w:t>
            </w:r>
          </w:p>
        </w:tc>
        <w:tc>
          <w:tcPr>
            <w:tcW w:w="1530" w:type="dxa"/>
            <w:tcBorders>
              <w:top w:val="single" w:sz="4" w:space="0" w:color="auto"/>
              <w:left w:val="single" w:sz="4" w:space="0" w:color="auto"/>
              <w:bottom w:val="single" w:sz="4" w:space="0" w:color="auto"/>
              <w:right w:val="single" w:sz="4" w:space="0" w:color="auto"/>
            </w:tcBorders>
            <w:vAlign w:val="center"/>
          </w:tcPr>
          <w:p w:rsidR="00C41E01" w:rsidRPr="006E16FC" w:rsidP="00C41E01" w14:paraId="1B630C1A" w14:textId="36E4F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98</w:t>
            </w:r>
          </w:p>
        </w:tc>
        <w:tc>
          <w:tcPr>
            <w:tcW w:w="1350" w:type="dxa"/>
            <w:tcBorders>
              <w:top w:val="single" w:sz="4" w:space="0" w:color="auto"/>
              <w:left w:val="single" w:sz="4" w:space="0" w:color="auto"/>
              <w:bottom w:val="single" w:sz="4" w:space="0" w:color="auto"/>
              <w:right w:val="single" w:sz="4" w:space="0" w:color="auto"/>
            </w:tcBorders>
            <w:vAlign w:val="center"/>
          </w:tcPr>
          <w:p w:rsidR="00C41E01" w:rsidRPr="006E16FC" w:rsidP="00C41E01" w14:paraId="41D3FEBD" w14:textId="23BA4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Avg: 0.048</w:t>
            </w:r>
          </w:p>
        </w:tc>
        <w:tc>
          <w:tcPr>
            <w:tcW w:w="990" w:type="dxa"/>
            <w:tcBorders>
              <w:top w:val="single" w:sz="4" w:space="0" w:color="auto"/>
              <w:left w:val="single" w:sz="4" w:space="0" w:color="auto"/>
              <w:bottom w:val="single" w:sz="4" w:space="0" w:color="auto"/>
              <w:right w:val="single" w:sz="4" w:space="0" w:color="auto"/>
            </w:tcBorders>
          </w:tcPr>
          <w:p w:rsidR="00C41E01" w:rsidRPr="006E16FC" w:rsidP="00C41E01" w14:paraId="7CE06276" w14:textId="0FE74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47</w:t>
            </w:r>
          </w:p>
        </w:tc>
        <w:tc>
          <w:tcPr>
            <w:tcW w:w="900" w:type="dxa"/>
            <w:tcBorders>
              <w:top w:val="single" w:sz="4" w:space="0" w:color="auto"/>
              <w:left w:val="single" w:sz="4" w:space="0" w:color="auto"/>
              <w:bottom w:val="single" w:sz="4" w:space="0" w:color="auto"/>
              <w:right w:val="single" w:sz="4" w:space="0" w:color="auto"/>
            </w:tcBorders>
            <w:vAlign w:val="center"/>
            <w:hideMark/>
          </w:tcPr>
          <w:p w:rsidR="00C41E01" w:rsidRPr="006E16FC" w:rsidP="00C41E01" w14:paraId="472E45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260" w:type="dxa"/>
            <w:tcBorders>
              <w:top w:val="nil"/>
              <w:left w:val="nil"/>
              <w:bottom w:val="single" w:sz="8" w:space="0" w:color="auto"/>
              <w:right w:val="single" w:sz="8" w:space="0" w:color="auto"/>
            </w:tcBorders>
            <w:shd w:val="clear" w:color="auto" w:fill="auto"/>
            <w:vAlign w:val="center"/>
            <w:hideMark/>
          </w:tcPr>
          <w:p w:rsidR="00C41E01" w:rsidRPr="006E16FC" w:rsidP="00C41E01" w14:paraId="553A6EC5" w14:textId="0B5D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Calibri" w:hAnsi="Calibri" w:cs="Calibri"/>
                <w:b/>
                <w:bCs/>
                <w:color w:val="000000"/>
              </w:rPr>
              <w:t>$1,</w:t>
            </w:r>
            <w:r w:rsidR="008A4A46">
              <w:rPr>
                <w:rFonts w:ascii="Calibri" w:hAnsi="Calibri" w:cs="Calibri"/>
                <w:b/>
                <w:bCs/>
                <w:color w:val="000000"/>
              </w:rPr>
              <w:t>230.24</w:t>
            </w:r>
            <w:r>
              <w:rPr>
                <w:rFonts w:ascii="Calibri" w:hAnsi="Calibri" w:cs="Calibri"/>
                <w:b/>
                <w:bCs/>
                <w:color w:val="000000"/>
              </w:rPr>
              <w:t xml:space="preserve"> </w:t>
            </w:r>
          </w:p>
        </w:tc>
      </w:tr>
    </w:tbl>
    <w:p w:rsidR="004B430D" w:rsidRPr="00230CAA" w:rsidP="001F0446" w14:paraId="1BF9EB61" w14:textId="77777777">
      <w:pPr>
        <w:spacing w:after="120" w:line="240" w:lineRule="auto"/>
        <w:rPr>
          <w:i/>
        </w:rPr>
      </w:pPr>
    </w:p>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14:paraId="0FF19BD8" w14:textId="5096334F">
      <w:pPr>
        <w:autoSpaceDE w:val="0"/>
        <w:autoSpaceDN w:val="0"/>
        <w:adjustRightInd w:val="0"/>
        <w:spacing w:after="0" w:line="240" w:lineRule="auto"/>
        <w:rPr>
          <w:rFonts w:cstheme="minorHAnsi"/>
        </w:rPr>
      </w:pPr>
      <w:r>
        <w:rPr>
          <w:rFonts w:cstheme="minorHAnsi"/>
        </w:rPr>
        <w:t xml:space="preserve">There are no additional costs to respondents. </w:t>
      </w:r>
    </w:p>
    <w:p w:rsidR="00577243" w:rsidP="00577243" w14:paraId="262B006D" w14:textId="77CB1835">
      <w:pPr>
        <w:autoSpaceDE w:val="0"/>
        <w:autoSpaceDN w:val="0"/>
        <w:adjustRightInd w:val="0"/>
        <w:spacing w:after="0" w:line="240" w:lineRule="auto"/>
        <w:rPr>
          <w:rFonts w:cstheme="minorHAnsi"/>
        </w:rPr>
      </w:pPr>
    </w:p>
    <w:p w:rsidR="00577243" w:rsidRPr="000D4E9A" w:rsidP="00577243" w14:paraId="456CA4E3" w14:textId="77777777">
      <w:pPr>
        <w:autoSpaceDE w:val="0"/>
        <w:autoSpaceDN w:val="0"/>
        <w:adjustRightInd w:val="0"/>
        <w:spacing w:after="0" w:line="240" w:lineRule="auto"/>
        <w:rPr>
          <w:rFonts w:cstheme="minorHAnsi"/>
        </w:rPr>
      </w:pPr>
    </w:p>
    <w:p w:rsidR="00373D2F" w:rsidRPr="00DF1291" w:rsidP="00577243"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73D2F" w:rsidP="00373D2F" w14:paraId="6BC921C3" w14:textId="2F0A3E56">
      <w:pPr>
        <w:spacing w:after="0" w:line="240" w:lineRule="auto"/>
        <w:rPr>
          <w:rFonts w:cstheme="minorHAnsi"/>
        </w:rPr>
      </w:pPr>
      <w:r>
        <w:rPr>
          <w:rFonts w:cstheme="minorHAnsi"/>
        </w:rPr>
        <w:t>The estimated total cost to the federal government for this study is $</w:t>
      </w:r>
      <w:r w:rsidR="002570F2">
        <w:rPr>
          <w:rFonts w:cstheme="minorHAnsi"/>
        </w:rPr>
        <w:t>108,605</w:t>
      </w:r>
      <w:r>
        <w:rPr>
          <w:rFonts w:cstheme="minorHAnsi"/>
        </w:rPr>
        <w:t xml:space="preserve"> (Table A.3). This includes costs for collection and processing the data, conducting analysis, and preparing internal reports. </w:t>
      </w:r>
    </w:p>
    <w:p w:rsidR="00657FB1" w:rsidP="00657FB1" w14:paraId="466E8994" w14:textId="01EAD6D3">
      <w:pPr>
        <w:spacing w:after="0"/>
      </w:pPr>
    </w:p>
    <w:p w:rsidR="00657FB1" w:rsidRPr="00657FB1" w:rsidP="00657FB1" w14:paraId="16EEB3BD" w14:textId="4915433B">
      <w:pPr>
        <w:spacing w:after="0"/>
        <w:rPr>
          <w:b/>
          <w:bCs/>
        </w:rPr>
      </w:pPr>
      <w:r w:rsidRPr="00657FB1">
        <w:rPr>
          <w:b/>
          <w:bCs/>
        </w:rPr>
        <w:t xml:space="preserve">Table A.3. Estimated total cost by category </w:t>
      </w:r>
    </w:p>
    <w:tbl>
      <w:tblPr>
        <w:tblW w:w="0" w:type="auto"/>
        <w:tblCellMar>
          <w:left w:w="0" w:type="dxa"/>
          <w:right w:w="0" w:type="dxa"/>
        </w:tblCellMar>
        <w:tblLook w:val="04A0"/>
      </w:tblPr>
      <w:tblGrid>
        <w:gridCol w:w="4878"/>
        <w:gridCol w:w="2250"/>
      </w:tblGrid>
      <w:tr w14:paraId="799745E2" w14:textId="77777777" w:rsidTr="00BD0FBE">
        <w:tblPrEx>
          <w:tblW w:w="0" w:type="auto"/>
          <w:tblCellMar>
            <w:left w:w="0" w:type="dxa"/>
            <w:right w:w="0" w:type="dxa"/>
          </w:tblCellMar>
          <w:tblLook w:val="04A0"/>
        </w:tblPrEx>
        <w:trPr>
          <w:trHeight w:val="295"/>
        </w:trPr>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E501D2" w14:paraId="4E01E280" w14:textId="77777777">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E501D2" w14:paraId="395B2B42" w14:textId="77777777">
            <w:pPr>
              <w:jc w:val="center"/>
              <w:rPr>
                <w:b/>
                <w:bCs/>
                <w:sz w:val="20"/>
              </w:rPr>
            </w:pPr>
            <w:r w:rsidRPr="00B13297">
              <w:rPr>
                <w:b/>
                <w:bCs/>
                <w:sz w:val="20"/>
              </w:rPr>
              <w:t>Estimated Costs</w:t>
            </w:r>
          </w:p>
        </w:tc>
      </w:tr>
      <w:tr w14:paraId="2CCC3965"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799DBD69" w14:textId="77777777">
            <w:pPr>
              <w:spacing w:after="0"/>
              <w:rPr>
                <w:rFonts w:ascii="Calibri" w:eastAsia="Calibri" w:hAnsi="Calibri" w:cs="Calibri"/>
                <w:sz w:val="20"/>
              </w:rPr>
            </w:pPr>
            <w:r w:rsidRPr="00B13297">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33786520" w14:textId="18D1DB73">
            <w:pPr>
              <w:spacing w:after="0"/>
              <w:jc w:val="center"/>
              <w:rPr>
                <w:sz w:val="20"/>
              </w:rPr>
            </w:pPr>
            <w:r w:rsidRPr="00B13297">
              <w:rPr>
                <w:sz w:val="20"/>
              </w:rPr>
              <w:t>$</w:t>
            </w:r>
            <w:r w:rsidR="00C315C9">
              <w:rPr>
                <w:sz w:val="20"/>
              </w:rPr>
              <w:t>79,260</w:t>
            </w:r>
          </w:p>
        </w:tc>
      </w:tr>
      <w:tr w14:paraId="32235541" w14:textId="77777777" w:rsidTr="00CB4358">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4358" w:rsidRPr="00B13297" w:rsidP="00CB4358" w14:paraId="31C29715" w14:textId="77777777">
            <w:pPr>
              <w:spacing w:after="0"/>
              <w:rPr>
                <w:rFonts w:ascii="Calibri" w:eastAsia="Calibri" w:hAnsi="Calibri" w:cs="Calibri"/>
                <w:sz w:val="20"/>
              </w:rPr>
            </w:pPr>
            <w:r w:rsidRPr="00B13297">
              <w:rPr>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B4358" w:rsidRPr="00B13297" w:rsidP="00CB4358" w14:paraId="112ACDBC" w14:textId="1CABA55F">
            <w:pPr>
              <w:spacing w:after="0"/>
              <w:jc w:val="center"/>
              <w:rPr>
                <w:sz w:val="20"/>
              </w:rPr>
            </w:pPr>
            <w:r w:rsidRPr="00B13297">
              <w:rPr>
                <w:sz w:val="20"/>
              </w:rPr>
              <w:t>$</w:t>
            </w:r>
            <w:r w:rsidR="00C315C9">
              <w:rPr>
                <w:sz w:val="20"/>
              </w:rPr>
              <w:t>29,</w:t>
            </w:r>
            <w:r w:rsidR="00EC7FE2">
              <w:rPr>
                <w:sz w:val="20"/>
              </w:rPr>
              <w:t>345</w:t>
            </w:r>
          </w:p>
        </w:tc>
      </w:tr>
      <w:tr w14:paraId="4667EDF0"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108A5BAF" w14:textId="74624A89">
            <w:pPr>
              <w:spacing w:after="0"/>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26EBFD7A" w14:textId="5B0E3542">
            <w:pPr>
              <w:spacing w:after="0"/>
              <w:jc w:val="center"/>
              <w:rPr>
                <w:b/>
                <w:bCs/>
                <w:sz w:val="20"/>
              </w:rPr>
            </w:pPr>
            <w:r w:rsidRPr="00B13297">
              <w:rPr>
                <w:sz w:val="20"/>
              </w:rPr>
              <w:t>$</w:t>
            </w:r>
            <w:r w:rsidR="002570F2">
              <w:rPr>
                <w:sz w:val="20"/>
              </w:rPr>
              <w:t>108,605</w:t>
            </w:r>
          </w:p>
        </w:tc>
      </w:tr>
    </w:tbl>
    <w:p w:rsidR="00B13DC4" w:rsidP="00923845" w14:paraId="1C1FE802" w14:textId="3E0D7DD8">
      <w:pPr>
        <w:spacing w:after="240"/>
        <w:rPr>
          <w:rFonts w:ascii="Calibri" w:eastAsia="Calibri" w:hAnsi="Calibri" w:cs="Calibri"/>
        </w:rPr>
      </w:pPr>
    </w:p>
    <w:p w:rsidR="00923845" w:rsidP="008A4A46" w14:paraId="6EB911CA" w14:textId="77777777">
      <w:pPr>
        <w:spacing w:after="0"/>
        <w:rPr>
          <w:rFonts w:ascii="Calibri" w:eastAsia="Calibri" w:hAnsi="Calibri" w:cs="Calibri"/>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8A4A46" w14:paraId="538B9986" w14:textId="26FF4B72">
      <w:pPr>
        <w:spacing w:after="240"/>
      </w:pPr>
      <w:r w:rsidRPr="00CB2ED6">
        <w:t xml:space="preserve">This is for an individual information collection </w:t>
      </w:r>
      <w:r w:rsidRPr="00453A86">
        <w:t>under the umbrella formative generic clearance for ACF research (0970-0356)</w:t>
      </w:r>
      <w:r w:rsidRPr="00453A86" w:rsidR="00453A86">
        <w:t>.</w:t>
      </w:r>
    </w:p>
    <w:p w:rsidR="00CB4358" w:rsidRPr="00CB4358" w:rsidP="00CB4358" w14:paraId="08700A1E" w14:textId="77777777">
      <w:pPr>
        <w:spacing w:after="0" w:line="240" w:lineRule="auto"/>
        <w:rPr>
          <w:rFonts w:cstheme="minorHAnsi"/>
        </w:rPr>
      </w:pPr>
    </w:p>
    <w:p w:rsidR="000D4E9A" w:rsidP="00CB4358" w14:paraId="2FB760D1" w14:textId="50337F9C">
      <w:pPr>
        <w:spacing w:after="120" w:line="240" w:lineRule="auto"/>
        <w:rPr>
          <w:rFonts w:cstheme="minorHAnsi"/>
          <w:b/>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657FB1" w:rsidP="00CB4358" w14:paraId="65BB82F0" w14:textId="22FA2B3E">
      <w:pPr>
        <w:spacing w:after="120" w:line="240" w:lineRule="auto"/>
        <w:rPr>
          <w:rFonts w:cstheme="minorHAnsi"/>
          <w:bCs/>
        </w:rPr>
      </w:pPr>
      <w:r>
        <w:rPr>
          <w:rFonts w:cstheme="minorHAnsi"/>
          <w:bCs/>
        </w:rPr>
        <w:t>Table A.4. contains the timeline for data collection, analysis, and reporting activities. The study team expects to collect data in</w:t>
      </w:r>
      <w:r w:rsidR="0027480F">
        <w:rPr>
          <w:rFonts w:cstheme="minorHAnsi"/>
          <w:bCs/>
        </w:rPr>
        <w:t xml:space="preserve"> winter and</w:t>
      </w:r>
      <w:r>
        <w:rPr>
          <w:rFonts w:cstheme="minorHAnsi"/>
          <w:bCs/>
        </w:rPr>
        <w:t xml:space="preserve"> spring 2025, followed by analysis and reporting in late spring and summer 2025. </w:t>
      </w:r>
    </w:p>
    <w:p w:rsidR="00657FB1" w:rsidP="00CB4358" w14:paraId="3ECB8FA8" w14:textId="297FAE5A">
      <w:pPr>
        <w:spacing w:after="120" w:line="240" w:lineRule="auto"/>
        <w:rPr>
          <w:rFonts w:cstheme="minorHAnsi"/>
          <w:b/>
        </w:rPr>
      </w:pPr>
      <w:r>
        <w:rPr>
          <w:rFonts w:cstheme="minorHAnsi"/>
          <w:b/>
        </w:rPr>
        <w:t xml:space="preserve">Table A.4. Schedule for the co-regulation guidance pilot study data collection and reporting </w:t>
      </w:r>
    </w:p>
    <w:tbl>
      <w:tblPr>
        <w:tblStyle w:val="TableGrid"/>
        <w:tblW w:w="0" w:type="auto"/>
        <w:tblInd w:w="0" w:type="dxa"/>
        <w:tblLook w:val="04A0"/>
      </w:tblPr>
      <w:tblGrid>
        <w:gridCol w:w="3415"/>
        <w:gridCol w:w="5935"/>
      </w:tblGrid>
      <w:tr w14:paraId="3AA3259F" w14:textId="77777777" w:rsidTr="003D5F41">
        <w:tblPrEx>
          <w:tblW w:w="0" w:type="auto"/>
          <w:tblInd w:w="0" w:type="dxa"/>
          <w:tblLook w:val="04A0"/>
        </w:tblPrEx>
        <w:tc>
          <w:tcPr>
            <w:tcW w:w="3415" w:type="dxa"/>
            <w:shd w:val="clear" w:color="auto" w:fill="D9D9D9" w:themeFill="background1" w:themeFillShade="D9"/>
          </w:tcPr>
          <w:p w:rsidR="00657FB1" w:rsidRPr="00657FB1" w:rsidP="00CB4358" w14:paraId="4D870331" w14:textId="34D25DA1">
            <w:pPr>
              <w:spacing w:after="120"/>
              <w:rPr>
                <w:rFonts w:asciiTheme="minorHAnsi" w:eastAsiaTheme="minorHAnsi" w:hAnsiTheme="minorHAnsi" w:cstheme="minorHAnsi"/>
                <w:b/>
                <w:sz w:val="22"/>
                <w:szCs w:val="22"/>
              </w:rPr>
            </w:pPr>
            <w:r w:rsidRPr="00657FB1">
              <w:rPr>
                <w:rFonts w:asciiTheme="minorHAnsi" w:eastAsiaTheme="minorHAnsi" w:hAnsiTheme="minorHAnsi" w:cstheme="minorHAnsi"/>
                <w:b/>
                <w:sz w:val="22"/>
                <w:szCs w:val="22"/>
              </w:rPr>
              <w:t>Activity</w:t>
            </w:r>
          </w:p>
        </w:tc>
        <w:tc>
          <w:tcPr>
            <w:tcW w:w="5935" w:type="dxa"/>
            <w:shd w:val="clear" w:color="auto" w:fill="D9D9D9" w:themeFill="background1" w:themeFillShade="D9"/>
          </w:tcPr>
          <w:p w:rsidR="00657FB1" w:rsidRPr="00657FB1" w:rsidP="00CB4358" w14:paraId="4F924D0F" w14:textId="0ECC695D">
            <w:pPr>
              <w:spacing w:after="120"/>
              <w:rPr>
                <w:rFonts w:asciiTheme="minorHAnsi" w:eastAsiaTheme="minorHAnsi" w:hAnsiTheme="minorHAnsi" w:cstheme="minorHAnsi"/>
                <w:b/>
                <w:sz w:val="22"/>
                <w:szCs w:val="22"/>
              </w:rPr>
            </w:pPr>
            <w:r w:rsidRPr="00657FB1">
              <w:rPr>
                <w:rFonts w:asciiTheme="minorHAnsi" w:eastAsiaTheme="minorHAnsi" w:hAnsiTheme="minorHAnsi" w:cstheme="minorHAnsi"/>
                <w:b/>
                <w:sz w:val="22"/>
                <w:szCs w:val="22"/>
              </w:rPr>
              <w:t xml:space="preserve">Timing </w:t>
            </w:r>
          </w:p>
        </w:tc>
      </w:tr>
      <w:tr w14:paraId="3B4234F6" w14:textId="77777777" w:rsidTr="00657FB1">
        <w:tblPrEx>
          <w:tblW w:w="0" w:type="auto"/>
          <w:tblInd w:w="0" w:type="dxa"/>
          <w:tblLook w:val="04A0"/>
        </w:tblPrEx>
        <w:tc>
          <w:tcPr>
            <w:tcW w:w="3415" w:type="dxa"/>
          </w:tcPr>
          <w:p w:rsidR="002078F0" w:rsidRPr="002078F0" w:rsidP="00CB4358" w14:paraId="7F5BBE80" w14:textId="10004928">
            <w:pPr>
              <w:spacing w:after="120"/>
              <w:rPr>
                <w:rFonts w:asciiTheme="minorHAnsi" w:hAnsiTheme="minorHAnsi" w:cstheme="minorHAnsi"/>
                <w:b/>
              </w:rPr>
            </w:pPr>
            <w:r w:rsidRPr="002078F0">
              <w:rPr>
                <w:rFonts w:asciiTheme="minorHAnsi" w:hAnsiTheme="minorHAnsi" w:cstheme="minorHAnsi"/>
                <w:b/>
              </w:rPr>
              <w:t>Data collection</w:t>
            </w:r>
            <w:r w:rsidRPr="002078F0">
              <w:rPr>
                <w:rFonts w:asciiTheme="minorHAnsi" w:hAnsiTheme="minorHAnsi" w:cstheme="minorHAnsi"/>
                <w:b/>
                <w:vertAlign w:val="superscript"/>
              </w:rPr>
              <w:t>a</w:t>
            </w:r>
          </w:p>
        </w:tc>
        <w:tc>
          <w:tcPr>
            <w:tcW w:w="5935" w:type="dxa"/>
          </w:tcPr>
          <w:p w:rsidR="002078F0" w:rsidRPr="002078F0" w:rsidP="00CB4358" w14:paraId="7DA843E9" w14:textId="77777777">
            <w:pPr>
              <w:spacing w:after="120"/>
              <w:rPr>
                <w:rFonts w:asciiTheme="minorHAnsi" w:hAnsiTheme="minorHAnsi" w:cstheme="minorHAnsi"/>
                <w:bCs/>
              </w:rPr>
            </w:pPr>
          </w:p>
        </w:tc>
      </w:tr>
      <w:tr w14:paraId="3F8D3B5C" w14:textId="77777777" w:rsidTr="00657FB1">
        <w:tblPrEx>
          <w:tblW w:w="0" w:type="auto"/>
          <w:tblInd w:w="0" w:type="dxa"/>
          <w:tblLook w:val="04A0"/>
        </w:tblPrEx>
        <w:tc>
          <w:tcPr>
            <w:tcW w:w="3415" w:type="dxa"/>
          </w:tcPr>
          <w:p w:rsidR="00657FB1" w:rsidRPr="002078F0" w:rsidP="00CB4358" w14:paraId="1FE71131" w14:textId="78AD030C">
            <w:pPr>
              <w:spacing w:after="120"/>
              <w:rPr>
                <w:rFonts w:asciiTheme="minorHAnsi" w:hAnsiTheme="minorHAnsi" w:cstheme="minorHAnsi"/>
                <w:bCs/>
              </w:rPr>
            </w:pPr>
            <w:r w:rsidRPr="002078F0">
              <w:rPr>
                <w:rFonts w:asciiTheme="minorHAnsi" w:hAnsiTheme="minorHAnsi" w:cstheme="minorHAnsi"/>
                <w:bCs/>
              </w:rPr>
              <w:t>Facilitator</w:t>
            </w:r>
            <w:r w:rsidRPr="002078F0" w:rsidR="00AD7736">
              <w:rPr>
                <w:rFonts w:asciiTheme="minorHAnsi" w:hAnsiTheme="minorHAnsi" w:cstheme="minorHAnsi"/>
                <w:bCs/>
              </w:rPr>
              <w:t xml:space="preserve"> post-training pulse check</w:t>
            </w:r>
          </w:p>
        </w:tc>
        <w:tc>
          <w:tcPr>
            <w:tcW w:w="5935" w:type="dxa"/>
          </w:tcPr>
          <w:p w:rsidR="00657FB1" w:rsidRPr="002078F0" w:rsidP="00CB4358" w14:paraId="7E8B42C3" w14:textId="18BDA2B3">
            <w:pPr>
              <w:spacing w:after="120"/>
              <w:rPr>
                <w:rFonts w:asciiTheme="minorHAnsi" w:hAnsiTheme="minorHAnsi" w:cstheme="minorHAnsi"/>
                <w:bCs/>
              </w:rPr>
            </w:pPr>
            <w:r>
              <w:rPr>
                <w:rFonts w:asciiTheme="minorHAnsi" w:hAnsiTheme="minorHAnsi" w:cstheme="minorHAnsi"/>
                <w:bCs/>
              </w:rPr>
              <w:t>Within one month following OMB approval</w:t>
            </w:r>
          </w:p>
        </w:tc>
      </w:tr>
      <w:tr w14:paraId="44846D1A" w14:textId="77777777" w:rsidTr="00657FB1">
        <w:tblPrEx>
          <w:tblW w:w="0" w:type="auto"/>
          <w:tblInd w:w="0" w:type="dxa"/>
          <w:tblLook w:val="04A0"/>
        </w:tblPrEx>
        <w:tc>
          <w:tcPr>
            <w:tcW w:w="3415" w:type="dxa"/>
          </w:tcPr>
          <w:p w:rsidR="00657FB1" w:rsidRPr="002078F0" w:rsidP="00CB4358" w14:paraId="282B1077" w14:textId="74B69A3A">
            <w:pPr>
              <w:spacing w:after="120"/>
              <w:rPr>
                <w:rFonts w:asciiTheme="minorHAnsi" w:hAnsiTheme="minorHAnsi" w:cstheme="minorHAnsi"/>
                <w:bCs/>
              </w:rPr>
            </w:pPr>
            <w:r w:rsidRPr="002078F0">
              <w:rPr>
                <w:rFonts w:asciiTheme="minorHAnsi" w:hAnsiTheme="minorHAnsi" w:cstheme="minorHAnsi"/>
                <w:bCs/>
              </w:rPr>
              <w:t>Facilitator mini-interviews</w:t>
            </w:r>
          </w:p>
        </w:tc>
        <w:tc>
          <w:tcPr>
            <w:tcW w:w="5935" w:type="dxa"/>
          </w:tcPr>
          <w:p w:rsidR="00AD7736" w:rsidRPr="002078F0" w:rsidP="00CB4358" w14:paraId="1723691E" w14:textId="25649DEE">
            <w:pPr>
              <w:spacing w:after="120"/>
              <w:rPr>
                <w:rFonts w:asciiTheme="minorHAnsi" w:hAnsiTheme="minorHAnsi" w:cstheme="minorHAnsi"/>
                <w:bCs/>
              </w:rPr>
            </w:pPr>
            <w:r>
              <w:rPr>
                <w:rFonts w:asciiTheme="minorHAnsi" w:hAnsiTheme="minorHAnsi" w:cstheme="minorHAnsi"/>
                <w:bCs/>
              </w:rPr>
              <w:t>Within two months following OMB approval</w:t>
            </w:r>
          </w:p>
        </w:tc>
      </w:tr>
      <w:tr w14:paraId="7E24446C" w14:textId="77777777" w:rsidTr="00657FB1">
        <w:tblPrEx>
          <w:tblW w:w="0" w:type="auto"/>
          <w:tblInd w:w="0" w:type="dxa"/>
          <w:tblLook w:val="04A0"/>
        </w:tblPrEx>
        <w:tc>
          <w:tcPr>
            <w:tcW w:w="3415" w:type="dxa"/>
          </w:tcPr>
          <w:p w:rsidR="00AD7736" w:rsidRPr="002078F0" w:rsidP="00CB4358" w14:paraId="1F7CDF6A" w14:textId="78C05B74">
            <w:pPr>
              <w:spacing w:after="120"/>
              <w:rPr>
                <w:rFonts w:asciiTheme="minorHAnsi" w:hAnsiTheme="minorHAnsi" w:cstheme="minorHAnsi"/>
                <w:bCs/>
              </w:rPr>
            </w:pPr>
            <w:r w:rsidRPr="002078F0">
              <w:rPr>
                <w:rFonts w:asciiTheme="minorHAnsi" w:hAnsiTheme="minorHAnsi" w:cstheme="minorHAnsi"/>
                <w:bCs/>
              </w:rPr>
              <w:t>Facilitator logs</w:t>
            </w:r>
          </w:p>
        </w:tc>
        <w:tc>
          <w:tcPr>
            <w:tcW w:w="5935" w:type="dxa"/>
          </w:tcPr>
          <w:p w:rsidR="00AD7736" w:rsidRPr="002078F0" w:rsidP="00CB4358" w14:paraId="14939E15" w14:textId="200B70D4">
            <w:pPr>
              <w:spacing w:after="120"/>
              <w:rPr>
                <w:rFonts w:asciiTheme="minorHAnsi" w:hAnsiTheme="minorHAnsi" w:cstheme="minorHAnsi"/>
                <w:bCs/>
              </w:rPr>
            </w:pPr>
            <w:r>
              <w:rPr>
                <w:rFonts w:asciiTheme="minorHAnsi" w:hAnsiTheme="minorHAnsi" w:cstheme="minorHAnsi"/>
                <w:bCs/>
              </w:rPr>
              <w:t>Within two months following OMB approval</w:t>
            </w:r>
          </w:p>
        </w:tc>
      </w:tr>
      <w:tr w14:paraId="5198CB47" w14:textId="77777777" w:rsidTr="00657FB1">
        <w:tblPrEx>
          <w:tblW w:w="0" w:type="auto"/>
          <w:tblInd w:w="0" w:type="dxa"/>
          <w:tblLook w:val="04A0"/>
        </w:tblPrEx>
        <w:tc>
          <w:tcPr>
            <w:tcW w:w="3415" w:type="dxa"/>
          </w:tcPr>
          <w:p w:rsidR="00657FB1" w:rsidRPr="002078F0" w:rsidP="00CB4358" w14:paraId="275A6A0B" w14:textId="6C705332">
            <w:pPr>
              <w:spacing w:after="120"/>
              <w:rPr>
                <w:rFonts w:asciiTheme="minorHAnsi" w:hAnsiTheme="minorHAnsi" w:cstheme="minorHAnsi"/>
                <w:bCs/>
              </w:rPr>
            </w:pPr>
            <w:r w:rsidRPr="002078F0">
              <w:rPr>
                <w:rFonts w:asciiTheme="minorHAnsi" w:hAnsiTheme="minorHAnsi" w:cstheme="minorHAnsi"/>
                <w:bCs/>
              </w:rPr>
              <w:t>Facilitator post-coaching pulse check</w:t>
            </w:r>
          </w:p>
        </w:tc>
        <w:tc>
          <w:tcPr>
            <w:tcW w:w="5935" w:type="dxa"/>
          </w:tcPr>
          <w:p w:rsidR="00657FB1" w:rsidRPr="002078F0" w:rsidP="00CB4358" w14:paraId="52A2FB8A" w14:textId="71F445C9">
            <w:pPr>
              <w:spacing w:after="120"/>
              <w:rPr>
                <w:rFonts w:asciiTheme="minorHAnsi" w:hAnsiTheme="minorHAnsi" w:cstheme="minorHAnsi"/>
                <w:bCs/>
              </w:rPr>
            </w:pPr>
            <w:r>
              <w:rPr>
                <w:rFonts w:asciiTheme="minorHAnsi" w:hAnsiTheme="minorHAnsi" w:cstheme="minorHAnsi"/>
                <w:bCs/>
              </w:rPr>
              <w:t>Within the final week of facilitator coaching (~two months following OMB approval)</w:t>
            </w:r>
          </w:p>
        </w:tc>
      </w:tr>
      <w:tr w14:paraId="361F3D6A" w14:textId="77777777" w:rsidTr="00657FB1">
        <w:tblPrEx>
          <w:tblW w:w="0" w:type="auto"/>
          <w:tblInd w:w="0" w:type="dxa"/>
          <w:tblLook w:val="04A0"/>
        </w:tblPrEx>
        <w:tc>
          <w:tcPr>
            <w:tcW w:w="3415" w:type="dxa"/>
          </w:tcPr>
          <w:p w:rsidR="00657FB1" w:rsidRPr="002078F0" w:rsidP="00CB4358" w14:paraId="6DBB3D14" w14:textId="32FCF6F8">
            <w:pPr>
              <w:spacing w:after="120"/>
              <w:rPr>
                <w:rFonts w:asciiTheme="minorHAnsi" w:hAnsiTheme="minorHAnsi" w:cstheme="minorHAnsi"/>
                <w:bCs/>
              </w:rPr>
            </w:pPr>
            <w:r w:rsidRPr="002078F0">
              <w:rPr>
                <w:rFonts w:asciiTheme="minorHAnsi" w:hAnsiTheme="minorHAnsi" w:cstheme="minorHAnsi"/>
                <w:bCs/>
              </w:rPr>
              <w:t>Data analysis</w:t>
            </w:r>
          </w:p>
        </w:tc>
        <w:tc>
          <w:tcPr>
            <w:tcW w:w="5935" w:type="dxa"/>
          </w:tcPr>
          <w:p w:rsidR="00657FB1" w:rsidRPr="002078F0" w:rsidP="00CB4358" w14:paraId="432323BF" w14:textId="432628E1">
            <w:pPr>
              <w:spacing w:after="120"/>
              <w:rPr>
                <w:rFonts w:asciiTheme="minorHAnsi" w:hAnsiTheme="minorHAnsi" w:cstheme="minorHAnsi"/>
                <w:bCs/>
              </w:rPr>
            </w:pPr>
            <w:r>
              <w:rPr>
                <w:rFonts w:asciiTheme="minorHAnsi" w:hAnsiTheme="minorHAnsi" w:cstheme="minorHAnsi"/>
                <w:bCs/>
              </w:rPr>
              <w:t>One month following the collection of all data</w:t>
            </w:r>
          </w:p>
        </w:tc>
      </w:tr>
      <w:tr w14:paraId="031ABCAF" w14:textId="77777777" w:rsidTr="00657FB1">
        <w:tblPrEx>
          <w:tblW w:w="0" w:type="auto"/>
          <w:tblInd w:w="0" w:type="dxa"/>
          <w:tblLook w:val="04A0"/>
        </w:tblPrEx>
        <w:tc>
          <w:tcPr>
            <w:tcW w:w="3415" w:type="dxa"/>
          </w:tcPr>
          <w:p w:rsidR="002078F0" w:rsidRPr="002078F0" w:rsidP="00CB4358" w14:paraId="5562EA43" w14:textId="011107E0">
            <w:pPr>
              <w:spacing w:after="120"/>
              <w:rPr>
                <w:rFonts w:asciiTheme="minorHAnsi" w:hAnsiTheme="minorHAnsi" w:cstheme="minorHAnsi"/>
                <w:bCs/>
              </w:rPr>
            </w:pPr>
            <w:r w:rsidRPr="002078F0">
              <w:rPr>
                <w:rFonts w:asciiTheme="minorHAnsi" w:hAnsiTheme="minorHAnsi" w:cstheme="minorHAnsi"/>
                <w:bCs/>
              </w:rPr>
              <w:t>Reporting</w:t>
            </w:r>
          </w:p>
        </w:tc>
        <w:tc>
          <w:tcPr>
            <w:tcW w:w="5935" w:type="dxa"/>
          </w:tcPr>
          <w:p w:rsidR="002078F0" w:rsidRPr="002078F0" w:rsidP="00CB4358" w14:paraId="4EC1FD2E" w14:textId="29FB1921">
            <w:pPr>
              <w:spacing w:after="120"/>
              <w:rPr>
                <w:rFonts w:asciiTheme="minorHAnsi" w:hAnsiTheme="minorHAnsi" w:cstheme="minorHAnsi"/>
                <w:bCs/>
              </w:rPr>
            </w:pPr>
            <w:r>
              <w:rPr>
                <w:rFonts w:asciiTheme="minorHAnsi" w:hAnsiTheme="minorHAnsi" w:cstheme="minorHAnsi"/>
                <w:bCs/>
              </w:rPr>
              <w:t>Two months following the completion of data analysis</w:t>
            </w:r>
          </w:p>
        </w:tc>
      </w:tr>
    </w:tbl>
    <w:p w:rsidR="00657FB1" w:rsidRPr="002078F0" w:rsidP="008A4A46" w14:paraId="03D67BDB" w14:textId="2CEAD082">
      <w:pPr>
        <w:spacing w:after="0" w:line="240" w:lineRule="auto"/>
        <w:rPr>
          <w:rFonts w:cstheme="minorHAnsi"/>
          <w:bCs/>
        </w:rPr>
      </w:pPr>
      <w:r w:rsidRPr="002078F0">
        <w:rPr>
          <w:rFonts w:cstheme="minorHAnsi"/>
          <w:bCs/>
          <w:vertAlign w:val="superscript"/>
        </w:rPr>
        <w:t>a</w:t>
      </w:r>
      <w:r>
        <w:rPr>
          <w:rFonts w:cstheme="minorHAnsi"/>
          <w:bCs/>
          <w:vertAlign w:val="superscript"/>
        </w:rPr>
        <w:t xml:space="preserve"> </w:t>
      </w:r>
      <w:r>
        <w:rPr>
          <w:rFonts w:cstheme="minorHAnsi"/>
          <w:bCs/>
        </w:rPr>
        <w:t xml:space="preserve">After obtaining OMB approval </w:t>
      </w:r>
    </w:p>
    <w:p w:rsidR="000D4E9A" w:rsidP="00CB4358" w14:paraId="48FD0E51" w14:textId="56C26FFE">
      <w:pPr>
        <w:spacing w:after="0" w:line="240" w:lineRule="auto"/>
        <w:rPr>
          <w:rFonts w:cstheme="minorHAnsi"/>
        </w:rPr>
      </w:pPr>
    </w:p>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306028" w:rsidP="008A4A46" w14:paraId="503603E8" w14:textId="78132FB9">
      <w:pPr>
        <w:spacing w:after="120" w:line="240" w:lineRule="auto"/>
        <w:rPr>
          <w:b/>
        </w:rPr>
      </w:pPr>
      <w:r>
        <w:rPr>
          <w:b/>
        </w:rPr>
        <w:t>Attachments</w:t>
      </w:r>
    </w:p>
    <w:p w:rsidR="00902679" w:rsidP="008A4A46" w14:paraId="23191A56" w14:textId="77777777">
      <w:pPr>
        <w:spacing w:after="60" w:line="240" w:lineRule="auto"/>
        <w:rPr>
          <w:b/>
        </w:rPr>
      </w:pPr>
      <w:r>
        <w:rPr>
          <w:rFonts w:eastAsia="Times New Roman" w:cstheme="minorHAnsi"/>
          <w:color w:val="000000"/>
        </w:rPr>
        <w:t xml:space="preserve">Appendix A. </w:t>
      </w:r>
      <w:r>
        <w:rPr>
          <w:rFonts w:eastAsia="Times New Roman" w:cstheme="minorHAnsi"/>
          <w:bCs/>
          <w:iCs/>
          <w:color w:val="000000"/>
        </w:rPr>
        <w:t>Study Notification and Reminder Materials</w:t>
      </w:r>
    </w:p>
    <w:p w:rsidR="006435C7" w:rsidP="008A4A46" w14:paraId="3E0A3AC9" w14:textId="2760CB13">
      <w:pPr>
        <w:spacing w:after="60"/>
      </w:pPr>
      <w:r>
        <w:t>Instrument 1. Facilitator log</w:t>
      </w:r>
    </w:p>
    <w:p w:rsidR="006435C7" w:rsidP="008A4A46" w14:paraId="183BCDD0" w14:textId="24F87F46">
      <w:pPr>
        <w:spacing w:after="60"/>
      </w:pPr>
      <w:r>
        <w:t>Instrument 2. Facilitator post-training pulse check</w:t>
      </w:r>
    </w:p>
    <w:p w:rsidR="006435C7" w:rsidP="008A4A46" w14:paraId="26D9208F" w14:textId="05497D15">
      <w:pPr>
        <w:spacing w:after="60"/>
      </w:pPr>
      <w:r>
        <w:t>Instrument 3. Facilitator post-coaching pulse check</w:t>
      </w:r>
    </w:p>
    <w:p w:rsidR="006435C7" w:rsidRPr="006435C7" w:rsidP="008A4A46" w14:paraId="723917AE" w14:textId="5A863392">
      <w:pPr>
        <w:spacing w:after="60"/>
      </w:pPr>
      <w:r>
        <w:t xml:space="preserve">Instrument 4. Facilitator mini-interview guide </w:t>
      </w:r>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5229" w:rsidP="0004063C" w14:paraId="3E3C439F" w14:textId="77777777">
      <w:pPr>
        <w:spacing w:after="0" w:line="240" w:lineRule="auto"/>
      </w:pPr>
      <w:r>
        <w:separator/>
      </w:r>
    </w:p>
  </w:footnote>
  <w:footnote w:type="continuationSeparator" w:id="1">
    <w:p w:rsidR="00AA5229" w:rsidP="0004063C" w14:paraId="3F9C08C0" w14:textId="77777777">
      <w:pPr>
        <w:spacing w:after="0" w:line="240" w:lineRule="auto"/>
      </w:pPr>
      <w:r>
        <w:continuationSeparator/>
      </w:r>
    </w:p>
  </w:footnote>
  <w:footnote w:type="continuationNotice" w:id="2">
    <w:p w:rsidR="00AA5229" w14:paraId="3FB9FAE2" w14:textId="77777777">
      <w:pPr>
        <w:spacing w:after="0" w:line="240" w:lineRule="auto"/>
      </w:pPr>
    </w:p>
  </w:footnote>
  <w:footnote w:id="3">
    <w:p w:rsidR="00CC290E" w:rsidP="00CC290E" w14:paraId="68D13ED1" w14:textId="77777777">
      <w:pPr>
        <w:pStyle w:val="FootnoteText"/>
      </w:pPr>
      <w:r>
        <w:rPr>
          <w:rStyle w:val="FootnoteReference"/>
        </w:rPr>
        <w:footnoteRef/>
      </w:r>
      <w:r>
        <w:t xml:space="preserve"> https://www.acf.hhs.gov/opre/blog/2022/03/co-regulation-connection-human-services-developing-learning-agenda</w:t>
      </w:r>
    </w:p>
  </w:footnote>
  <w:footnote w:id="4">
    <w:p w:rsidR="00FC71BA" w:rsidP="00FC71BA" w14:paraId="3FAD49AA" w14:textId="00CED635">
      <w:pPr>
        <w:pStyle w:val="FootnoteText"/>
        <w:rPr>
          <w:iCs/>
        </w:rPr>
      </w:pPr>
      <w:r>
        <w:rPr>
          <w:rStyle w:val="FootnoteReference"/>
        </w:rPr>
        <w:footnoteRef/>
      </w:r>
      <w:r>
        <w:t xml:space="preserve"> </w:t>
      </w:r>
      <w:r>
        <w:rPr>
          <w:iCs/>
        </w:rPr>
        <w:t>A prior formative evaluation completed as part of the Self-Regulation Training Approaches and Resources to Improve Staff Capacity for Implementing Healthy Marriage Programs for Youth (SARHM, OMB Control Number 0970-0355) guided the development of the co-regulation strategies and suggested they can be integrated into youth-serving programs, such as SRAE.</w:t>
      </w:r>
      <w:r w:rsidR="00787AF7">
        <w:rPr>
          <w:iCs/>
        </w:rPr>
        <w:t xml:space="preserve"> </w:t>
      </w:r>
    </w:p>
    <w:p w:rsidR="00787AF7" w:rsidP="00FC71BA" w14:paraId="35C68E8C" w14:textId="2B314EC2">
      <w:pPr>
        <w:pStyle w:val="FootnoteText"/>
      </w:pPr>
      <w:r>
        <w:rPr>
          <w:iCs/>
        </w:rPr>
        <w:t xml:space="preserve">The other facilitation strategy that was not ready for further exploration teaches facilitators how to assess youth’s attitudes and beliefs on the delay of sexual initiation. </w:t>
      </w:r>
    </w:p>
  </w:footnote>
  <w:footnote w:id="5">
    <w:p w:rsidR="006A5EB7" w:rsidP="006A5EB7" w14:paraId="5BF6B6A9" w14:textId="77777777">
      <w:pPr>
        <w:pStyle w:val="FootnoteText"/>
      </w:pPr>
      <w:r>
        <w:rPr>
          <w:rStyle w:val="FootnoteReference"/>
        </w:rPr>
        <w:footnoteRef/>
      </w:r>
      <w:r>
        <w:t xml:space="preserve"> https://www.acf.hhs.gov/opre/blog/2022/03/co-regulation-connection-human-services-developing-learning-agenda</w:t>
      </w:r>
    </w:p>
  </w:footnote>
  <w:footnote w:id="6">
    <w:p w:rsidR="00B73608" w14:paraId="0FAF7EE0" w14:textId="1AFD8F76">
      <w:pPr>
        <w:pStyle w:val="FootnoteText"/>
      </w:pPr>
      <w:r>
        <w:rPr>
          <w:rStyle w:val="FootnoteReference"/>
        </w:rPr>
        <w:footnoteRef/>
      </w:r>
      <w:r>
        <w:t xml:space="preserve"> Related information collections that are subject to the Paperwork Reduction Act will be submitted for review and approval under an appropriate mechanism (generic or full approval) as needed.</w:t>
      </w:r>
    </w:p>
  </w:footnote>
  <w:footnote w:id="7">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 w:id="8">
    <w:p w:rsidR="00A77B77" w:rsidP="00A77B77" w14:paraId="2ED11E08" w14:textId="3C815906">
      <w:pPr>
        <w:pStyle w:val="FootnoteText"/>
      </w:pPr>
      <w:r>
        <w:rPr>
          <w:rStyle w:val="FootnoteReference"/>
        </w:rPr>
        <w:footnoteRef/>
      </w:r>
      <w:r>
        <w:t xml:space="preserve"> U.S. Bureau of Labor Statistics. “May 202</w:t>
      </w:r>
      <w:r w:rsidR="002A01A7">
        <w:t>3</w:t>
      </w:r>
      <w:r>
        <w:t xml:space="preserve"> National Occupational Employment and Wage Estimates.” Available at </w:t>
      </w:r>
      <w:hyperlink r:id="rId1" w:history="1">
        <w:r>
          <w:rPr>
            <w:rStyle w:val="Hyperlink"/>
          </w:rPr>
          <w:t>https://www.bls.gov/oes/current/oes_nat.htm</w:t>
        </w:r>
      </w:hyperlink>
      <w:r>
        <w:rPr>
          <w:rStyle w:val="Hyperlink"/>
          <w:u w:val="none"/>
        </w:rPr>
        <w:t>.</w:t>
      </w:r>
      <w:r w:rsidR="007F55B9">
        <w:rPr>
          <w:rStyle w:val="Hyperlink"/>
          <w:u w:val="none"/>
        </w:rPr>
        <w:t xml:space="preserve"> </w:t>
      </w:r>
      <w:r w:rsidRPr="008813EA" w:rsidR="007F55B9">
        <w:rPr>
          <w:iCs/>
        </w:rPr>
        <w:t>The mean hourly wage for educational instruction and library workers (Occupational Code 25-9099) of $</w:t>
      </w:r>
      <w:r w:rsidR="007F55B9">
        <w:rPr>
          <w:iCs/>
        </w:rPr>
        <w:t>26.40</w:t>
      </w:r>
      <w:r w:rsidRPr="008813EA" w:rsidR="007F55B9">
        <w:rPr>
          <w:rStyle w:val="FootnoteReference"/>
          <w:iCs/>
        </w:rPr>
        <w:footnoteRef/>
      </w:r>
      <w:r w:rsidRPr="008813EA" w:rsidR="007F55B9">
        <w:rPr>
          <w:iCs/>
        </w:rPr>
        <w:t xml:space="preserve"> was used for the program facilitators who complete the facilitator </w:t>
      </w:r>
      <w:r w:rsidR="007F55B9">
        <w:rPr>
          <w:iCs/>
        </w:rPr>
        <w:t>log, facilitator post-training and post-coaching pulse checks, and the facilitator mini-interviews</w:t>
      </w:r>
      <w:r w:rsidR="008E5D5D">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7E80657"/>
    <w:multiLevelType w:val="hybridMultilevel"/>
    <w:tmpl w:val="916C61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5721BE"/>
    <w:multiLevelType w:val="hybridMultilevel"/>
    <w:tmpl w:val="039E2E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1C3E5B"/>
    <w:multiLevelType w:val="hybridMultilevel"/>
    <w:tmpl w:val="E6E8DD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2DE56C7"/>
    <w:multiLevelType w:val="hybridMultilevel"/>
    <w:tmpl w:val="ECBEF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6">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4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4">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5018381">
    <w:abstractNumId w:val="8"/>
  </w:num>
  <w:num w:numId="2" w16cid:durableId="2068799938">
    <w:abstractNumId w:val="31"/>
  </w:num>
  <w:num w:numId="3" w16cid:durableId="782117417">
    <w:abstractNumId w:val="6"/>
  </w:num>
  <w:num w:numId="4" w16cid:durableId="1491405155">
    <w:abstractNumId w:val="35"/>
  </w:num>
  <w:num w:numId="5" w16cid:durableId="639729174">
    <w:abstractNumId w:val="25"/>
  </w:num>
  <w:num w:numId="6" w16cid:durableId="876042262">
    <w:abstractNumId w:val="46"/>
  </w:num>
  <w:num w:numId="7" w16cid:durableId="54594196">
    <w:abstractNumId w:val="5"/>
  </w:num>
  <w:num w:numId="8" w16cid:durableId="642539856">
    <w:abstractNumId w:val="16"/>
  </w:num>
  <w:num w:numId="9" w16cid:durableId="1583948539">
    <w:abstractNumId w:val="24"/>
  </w:num>
  <w:num w:numId="10" w16cid:durableId="810052733">
    <w:abstractNumId w:val="44"/>
  </w:num>
  <w:num w:numId="11" w16cid:durableId="1931771330">
    <w:abstractNumId w:val="49"/>
  </w:num>
  <w:num w:numId="12" w16cid:durableId="1080638360">
    <w:abstractNumId w:val="40"/>
  </w:num>
  <w:num w:numId="13" w16cid:durableId="522986343">
    <w:abstractNumId w:val="34"/>
  </w:num>
  <w:num w:numId="14" w16cid:durableId="1606569512">
    <w:abstractNumId w:val="42"/>
  </w:num>
  <w:num w:numId="15" w16cid:durableId="1714381729">
    <w:abstractNumId w:val="27"/>
  </w:num>
  <w:num w:numId="16" w16cid:durableId="1419670801">
    <w:abstractNumId w:val="33"/>
  </w:num>
  <w:num w:numId="17" w16cid:durableId="1987322067">
    <w:abstractNumId w:val="23"/>
  </w:num>
  <w:num w:numId="18" w16cid:durableId="633213967">
    <w:abstractNumId w:val="13"/>
  </w:num>
  <w:num w:numId="19" w16cid:durableId="1796943316">
    <w:abstractNumId w:val="12"/>
  </w:num>
  <w:num w:numId="20" w16cid:durableId="1879051999">
    <w:abstractNumId w:val="32"/>
  </w:num>
  <w:num w:numId="21" w16cid:durableId="1830824886">
    <w:abstractNumId w:val="0"/>
  </w:num>
  <w:num w:numId="22" w16cid:durableId="2009089475">
    <w:abstractNumId w:val="2"/>
  </w:num>
  <w:num w:numId="23" w16cid:durableId="1391808019">
    <w:abstractNumId w:val="28"/>
  </w:num>
  <w:num w:numId="24" w16cid:durableId="872620386">
    <w:abstractNumId w:val="3"/>
  </w:num>
  <w:num w:numId="25" w16cid:durableId="136268373">
    <w:abstractNumId w:val="19"/>
  </w:num>
  <w:num w:numId="26" w16cid:durableId="278687440">
    <w:abstractNumId w:val="48"/>
  </w:num>
  <w:num w:numId="27" w16cid:durableId="1673334896">
    <w:abstractNumId w:val="41"/>
  </w:num>
  <w:num w:numId="28" w16cid:durableId="425151030">
    <w:abstractNumId w:val="21"/>
  </w:num>
  <w:num w:numId="29" w16cid:durableId="1281646916">
    <w:abstractNumId w:val="20"/>
  </w:num>
  <w:num w:numId="30" w16cid:durableId="1367175706">
    <w:abstractNumId w:val="4"/>
  </w:num>
  <w:num w:numId="31" w16cid:durableId="1167744439">
    <w:abstractNumId w:val="14"/>
  </w:num>
  <w:num w:numId="32" w16cid:durableId="1047069046">
    <w:abstractNumId w:val="29"/>
  </w:num>
  <w:num w:numId="33" w16cid:durableId="366610229">
    <w:abstractNumId w:val="36"/>
  </w:num>
  <w:num w:numId="34" w16cid:durableId="1613779948">
    <w:abstractNumId w:val="18"/>
  </w:num>
  <w:num w:numId="35" w16cid:durableId="1647078426">
    <w:abstractNumId w:val="26"/>
  </w:num>
  <w:num w:numId="36" w16cid:durableId="1910842977">
    <w:abstractNumId w:val="22"/>
  </w:num>
  <w:num w:numId="37" w16cid:durableId="504370575">
    <w:abstractNumId w:val="37"/>
  </w:num>
  <w:num w:numId="38" w16cid:durableId="1134443059">
    <w:abstractNumId w:val="30"/>
  </w:num>
  <w:num w:numId="39" w16cid:durableId="1711030590">
    <w:abstractNumId w:val="11"/>
  </w:num>
  <w:num w:numId="40" w16cid:durableId="1163856828">
    <w:abstractNumId w:val="45"/>
  </w:num>
  <w:num w:numId="41" w16cid:durableId="264191712">
    <w:abstractNumId w:val="38"/>
  </w:num>
  <w:num w:numId="42" w16cid:durableId="158621063">
    <w:abstractNumId w:val="9"/>
  </w:num>
  <w:num w:numId="43" w16cid:durableId="1746369166">
    <w:abstractNumId w:val="47"/>
  </w:num>
  <w:num w:numId="44" w16cid:durableId="1289241834">
    <w:abstractNumId w:val="39"/>
  </w:num>
  <w:num w:numId="45" w16cid:durableId="1661541683">
    <w:abstractNumId w:val="15"/>
  </w:num>
  <w:num w:numId="46" w16cid:durableId="1576478700">
    <w:abstractNumId w:val="43"/>
  </w:num>
  <w:num w:numId="47" w16cid:durableId="779450599">
    <w:abstractNumId w:val="7"/>
  </w:num>
  <w:num w:numId="48" w16cid:durableId="943196377">
    <w:abstractNumId w:val="10"/>
  </w:num>
  <w:num w:numId="49" w16cid:durableId="15471358">
    <w:abstractNumId w:val="1"/>
  </w:num>
  <w:num w:numId="50" w16cid:durableId="151630775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01E3"/>
    <w:rsid w:val="0001255D"/>
    <w:rsid w:val="00014EDC"/>
    <w:rsid w:val="000171E0"/>
    <w:rsid w:val="00022469"/>
    <w:rsid w:val="00026192"/>
    <w:rsid w:val="00027E79"/>
    <w:rsid w:val="000340DA"/>
    <w:rsid w:val="00035421"/>
    <w:rsid w:val="0004063C"/>
    <w:rsid w:val="0004247F"/>
    <w:rsid w:val="0004524B"/>
    <w:rsid w:val="0006086B"/>
    <w:rsid w:val="00060B30"/>
    <w:rsid w:val="00060C59"/>
    <w:rsid w:val="00062AFB"/>
    <w:rsid w:val="000655DD"/>
    <w:rsid w:val="00071F79"/>
    <w:rsid w:val="0007251B"/>
    <w:rsid w:val="000733A5"/>
    <w:rsid w:val="00082C5B"/>
    <w:rsid w:val="00083227"/>
    <w:rsid w:val="000846D5"/>
    <w:rsid w:val="00086CBE"/>
    <w:rsid w:val="00090812"/>
    <w:rsid w:val="000921F0"/>
    <w:rsid w:val="00094754"/>
    <w:rsid w:val="00094FE7"/>
    <w:rsid w:val="000A012A"/>
    <w:rsid w:val="000A37AE"/>
    <w:rsid w:val="000A65DB"/>
    <w:rsid w:val="000B3E80"/>
    <w:rsid w:val="000B4942"/>
    <w:rsid w:val="000C0A3E"/>
    <w:rsid w:val="000C2CF7"/>
    <w:rsid w:val="000D0A26"/>
    <w:rsid w:val="000D12A0"/>
    <w:rsid w:val="000D434A"/>
    <w:rsid w:val="000D4E9A"/>
    <w:rsid w:val="000D65C6"/>
    <w:rsid w:val="000D7D44"/>
    <w:rsid w:val="000E096C"/>
    <w:rsid w:val="000E3891"/>
    <w:rsid w:val="000E488A"/>
    <w:rsid w:val="000F0955"/>
    <w:rsid w:val="000F0F35"/>
    <w:rsid w:val="000F1E4A"/>
    <w:rsid w:val="000F5ABA"/>
    <w:rsid w:val="00100D34"/>
    <w:rsid w:val="001027C3"/>
    <w:rsid w:val="00103EFD"/>
    <w:rsid w:val="00107D87"/>
    <w:rsid w:val="00115818"/>
    <w:rsid w:val="001253F4"/>
    <w:rsid w:val="00136907"/>
    <w:rsid w:val="00140E3A"/>
    <w:rsid w:val="00141D24"/>
    <w:rsid w:val="0014750C"/>
    <w:rsid w:val="001506EA"/>
    <w:rsid w:val="00157482"/>
    <w:rsid w:val="001645C6"/>
    <w:rsid w:val="001707D8"/>
    <w:rsid w:val="0018153D"/>
    <w:rsid w:val="00194501"/>
    <w:rsid w:val="00197FAE"/>
    <w:rsid w:val="001A2C29"/>
    <w:rsid w:val="001A38FD"/>
    <w:rsid w:val="001B0A76"/>
    <w:rsid w:val="001B6D37"/>
    <w:rsid w:val="001B6E1A"/>
    <w:rsid w:val="001D1C05"/>
    <w:rsid w:val="001D3589"/>
    <w:rsid w:val="001D4F74"/>
    <w:rsid w:val="001D6D35"/>
    <w:rsid w:val="001D7761"/>
    <w:rsid w:val="001E1086"/>
    <w:rsid w:val="001E6C2A"/>
    <w:rsid w:val="001F0446"/>
    <w:rsid w:val="001F57F5"/>
    <w:rsid w:val="0020264E"/>
    <w:rsid w:val="0020401C"/>
    <w:rsid w:val="0020629A"/>
    <w:rsid w:val="00206E11"/>
    <w:rsid w:val="00206FE3"/>
    <w:rsid w:val="00207554"/>
    <w:rsid w:val="002078F0"/>
    <w:rsid w:val="00211261"/>
    <w:rsid w:val="002215F8"/>
    <w:rsid w:val="00230CAA"/>
    <w:rsid w:val="0023340B"/>
    <w:rsid w:val="00237796"/>
    <w:rsid w:val="00240692"/>
    <w:rsid w:val="002446A5"/>
    <w:rsid w:val="0024576B"/>
    <w:rsid w:val="00247699"/>
    <w:rsid w:val="002517BB"/>
    <w:rsid w:val="002560D7"/>
    <w:rsid w:val="00256E24"/>
    <w:rsid w:val="002570F2"/>
    <w:rsid w:val="00265491"/>
    <w:rsid w:val="0027480F"/>
    <w:rsid w:val="0027696A"/>
    <w:rsid w:val="00276CE2"/>
    <w:rsid w:val="00277025"/>
    <w:rsid w:val="002834DF"/>
    <w:rsid w:val="0028785A"/>
    <w:rsid w:val="00287AF1"/>
    <w:rsid w:val="00287EB5"/>
    <w:rsid w:val="00291E70"/>
    <w:rsid w:val="00297589"/>
    <w:rsid w:val="002A01A7"/>
    <w:rsid w:val="002A38CA"/>
    <w:rsid w:val="002A41C6"/>
    <w:rsid w:val="002A5539"/>
    <w:rsid w:val="002A73EE"/>
    <w:rsid w:val="002B3EC3"/>
    <w:rsid w:val="002B5037"/>
    <w:rsid w:val="002B5DBE"/>
    <w:rsid w:val="002B785B"/>
    <w:rsid w:val="002C4F75"/>
    <w:rsid w:val="002D42FC"/>
    <w:rsid w:val="002D5F4C"/>
    <w:rsid w:val="002E1946"/>
    <w:rsid w:val="002E6CCF"/>
    <w:rsid w:val="002F203B"/>
    <w:rsid w:val="002F33D0"/>
    <w:rsid w:val="00300722"/>
    <w:rsid w:val="0030316D"/>
    <w:rsid w:val="00306028"/>
    <w:rsid w:val="00307FDE"/>
    <w:rsid w:val="003144CB"/>
    <w:rsid w:val="00317EA7"/>
    <w:rsid w:val="00321B6B"/>
    <w:rsid w:val="0032724E"/>
    <w:rsid w:val="00332B00"/>
    <w:rsid w:val="00334DB5"/>
    <w:rsid w:val="00341567"/>
    <w:rsid w:val="00355670"/>
    <w:rsid w:val="00356EFE"/>
    <w:rsid w:val="00360C6B"/>
    <w:rsid w:val="00366373"/>
    <w:rsid w:val="003664F6"/>
    <w:rsid w:val="00373D2F"/>
    <w:rsid w:val="00374E5A"/>
    <w:rsid w:val="0038585C"/>
    <w:rsid w:val="0039078D"/>
    <w:rsid w:val="0039250A"/>
    <w:rsid w:val="003A1C3E"/>
    <w:rsid w:val="003A7774"/>
    <w:rsid w:val="003B0F3A"/>
    <w:rsid w:val="003B1F2D"/>
    <w:rsid w:val="003C11E2"/>
    <w:rsid w:val="003C7358"/>
    <w:rsid w:val="003D4249"/>
    <w:rsid w:val="003D5E68"/>
    <w:rsid w:val="003D5F41"/>
    <w:rsid w:val="003E61F6"/>
    <w:rsid w:val="003E6374"/>
    <w:rsid w:val="003F07AF"/>
    <w:rsid w:val="003F4A99"/>
    <w:rsid w:val="003F73B6"/>
    <w:rsid w:val="00401D0C"/>
    <w:rsid w:val="00404293"/>
    <w:rsid w:val="00405075"/>
    <w:rsid w:val="00405D23"/>
    <w:rsid w:val="00407537"/>
    <w:rsid w:val="004165BD"/>
    <w:rsid w:val="0042220D"/>
    <w:rsid w:val="0043240F"/>
    <w:rsid w:val="004328A4"/>
    <w:rsid w:val="0043377A"/>
    <w:rsid w:val="004338E5"/>
    <w:rsid w:val="004379B6"/>
    <w:rsid w:val="0044428E"/>
    <w:rsid w:val="00446465"/>
    <w:rsid w:val="00447299"/>
    <w:rsid w:val="0044781C"/>
    <w:rsid w:val="00453A86"/>
    <w:rsid w:val="00454018"/>
    <w:rsid w:val="00460D54"/>
    <w:rsid w:val="00461D3E"/>
    <w:rsid w:val="00470662"/>
    <w:rsid w:val="004706CC"/>
    <w:rsid w:val="00477457"/>
    <w:rsid w:val="00484406"/>
    <w:rsid w:val="00493270"/>
    <w:rsid w:val="00493DF4"/>
    <w:rsid w:val="004966ED"/>
    <w:rsid w:val="004B13E0"/>
    <w:rsid w:val="004B1D58"/>
    <w:rsid w:val="004B430D"/>
    <w:rsid w:val="004B4839"/>
    <w:rsid w:val="004B75AC"/>
    <w:rsid w:val="004C3644"/>
    <w:rsid w:val="004D12DD"/>
    <w:rsid w:val="004D342B"/>
    <w:rsid w:val="004D500F"/>
    <w:rsid w:val="004D55D2"/>
    <w:rsid w:val="004D5608"/>
    <w:rsid w:val="004E1E3A"/>
    <w:rsid w:val="004E2607"/>
    <w:rsid w:val="004E5778"/>
    <w:rsid w:val="004E7ED8"/>
    <w:rsid w:val="00502704"/>
    <w:rsid w:val="0050376D"/>
    <w:rsid w:val="00511E88"/>
    <w:rsid w:val="00512026"/>
    <w:rsid w:val="00512C25"/>
    <w:rsid w:val="00526E00"/>
    <w:rsid w:val="00527C31"/>
    <w:rsid w:val="005302CB"/>
    <w:rsid w:val="00532661"/>
    <w:rsid w:val="0054255A"/>
    <w:rsid w:val="00543F6E"/>
    <w:rsid w:val="0055434C"/>
    <w:rsid w:val="00573755"/>
    <w:rsid w:val="00577243"/>
    <w:rsid w:val="00582D58"/>
    <w:rsid w:val="00586918"/>
    <w:rsid w:val="005877B2"/>
    <w:rsid w:val="00591283"/>
    <w:rsid w:val="00593A67"/>
    <w:rsid w:val="005A61CE"/>
    <w:rsid w:val="005A7E5A"/>
    <w:rsid w:val="005B0234"/>
    <w:rsid w:val="005B1285"/>
    <w:rsid w:val="005B1410"/>
    <w:rsid w:val="005B45C2"/>
    <w:rsid w:val="005B5FCC"/>
    <w:rsid w:val="005C205F"/>
    <w:rsid w:val="005C2769"/>
    <w:rsid w:val="005C3D33"/>
    <w:rsid w:val="005C514E"/>
    <w:rsid w:val="005C5C57"/>
    <w:rsid w:val="005C6E50"/>
    <w:rsid w:val="005D4A40"/>
    <w:rsid w:val="005E3F36"/>
    <w:rsid w:val="005E493B"/>
    <w:rsid w:val="005E7780"/>
    <w:rsid w:val="005F2951"/>
    <w:rsid w:val="0060197C"/>
    <w:rsid w:val="00610361"/>
    <w:rsid w:val="00611565"/>
    <w:rsid w:val="00621C34"/>
    <w:rsid w:val="00622DB1"/>
    <w:rsid w:val="00624DDC"/>
    <w:rsid w:val="006253B6"/>
    <w:rsid w:val="006257ED"/>
    <w:rsid w:val="0062686E"/>
    <w:rsid w:val="00630B30"/>
    <w:rsid w:val="006367E3"/>
    <w:rsid w:val="006435C7"/>
    <w:rsid w:val="006506DE"/>
    <w:rsid w:val="00651AF1"/>
    <w:rsid w:val="00651FF6"/>
    <w:rsid w:val="00657FB1"/>
    <w:rsid w:val="00675A8F"/>
    <w:rsid w:val="0068086C"/>
    <w:rsid w:val="0068303E"/>
    <w:rsid w:val="0068383E"/>
    <w:rsid w:val="00685EFE"/>
    <w:rsid w:val="00692149"/>
    <w:rsid w:val="006926E7"/>
    <w:rsid w:val="00693B3F"/>
    <w:rsid w:val="00695E09"/>
    <w:rsid w:val="006A2B00"/>
    <w:rsid w:val="006A4D02"/>
    <w:rsid w:val="006A5EB7"/>
    <w:rsid w:val="006B1340"/>
    <w:rsid w:val="006B1BF9"/>
    <w:rsid w:val="006B31DA"/>
    <w:rsid w:val="006B53F1"/>
    <w:rsid w:val="006B6037"/>
    <w:rsid w:val="006C0E56"/>
    <w:rsid w:val="006D2893"/>
    <w:rsid w:val="006E16FC"/>
    <w:rsid w:val="006E4F82"/>
    <w:rsid w:val="006E65E7"/>
    <w:rsid w:val="0070438D"/>
    <w:rsid w:val="0070556F"/>
    <w:rsid w:val="00710392"/>
    <w:rsid w:val="00711670"/>
    <w:rsid w:val="00711C4D"/>
    <w:rsid w:val="0071277F"/>
    <w:rsid w:val="00714DA4"/>
    <w:rsid w:val="00717BDC"/>
    <w:rsid w:val="00721395"/>
    <w:rsid w:val="00723A28"/>
    <w:rsid w:val="00732592"/>
    <w:rsid w:val="00732C74"/>
    <w:rsid w:val="00736B62"/>
    <w:rsid w:val="00750808"/>
    <w:rsid w:val="00752525"/>
    <w:rsid w:val="0075637D"/>
    <w:rsid w:val="00756B2D"/>
    <w:rsid w:val="007648E6"/>
    <w:rsid w:val="00764C85"/>
    <w:rsid w:val="0077222B"/>
    <w:rsid w:val="00772717"/>
    <w:rsid w:val="007762A9"/>
    <w:rsid w:val="00776F9B"/>
    <w:rsid w:val="00782D0D"/>
    <w:rsid w:val="00787AF7"/>
    <w:rsid w:val="00791C12"/>
    <w:rsid w:val="007935F4"/>
    <w:rsid w:val="00793E3E"/>
    <w:rsid w:val="007A29C5"/>
    <w:rsid w:val="007A72F7"/>
    <w:rsid w:val="007B73A6"/>
    <w:rsid w:val="007B789C"/>
    <w:rsid w:val="007C5434"/>
    <w:rsid w:val="007C7B4B"/>
    <w:rsid w:val="007D0F6E"/>
    <w:rsid w:val="007D2E71"/>
    <w:rsid w:val="007D61A7"/>
    <w:rsid w:val="007D70DA"/>
    <w:rsid w:val="007E0C84"/>
    <w:rsid w:val="007E18CE"/>
    <w:rsid w:val="007E6638"/>
    <w:rsid w:val="007F111A"/>
    <w:rsid w:val="007F55B9"/>
    <w:rsid w:val="00812DF3"/>
    <w:rsid w:val="008213C8"/>
    <w:rsid w:val="00823428"/>
    <w:rsid w:val="008267B4"/>
    <w:rsid w:val="008271E1"/>
    <w:rsid w:val="00834C54"/>
    <w:rsid w:val="008369BA"/>
    <w:rsid w:val="00840D32"/>
    <w:rsid w:val="00843933"/>
    <w:rsid w:val="008502D9"/>
    <w:rsid w:val="00850F4C"/>
    <w:rsid w:val="00856A56"/>
    <w:rsid w:val="008576A7"/>
    <w:rsid w:val="00863D68"/>
    <w:rsid w:val="00864C1F"/>
    <w:rsid w:val="00865690"/>
    <w:rsid w:val="00870FA1"/>
    <w:rsid w:val="00871EE9"/>
    <w:rsid w:val="00875220"/>
    <w:rsid w:val="00880548"/>
    <w:rsid w:val="008813EA"/>
    <w:rsid w:val="00884DA3"/>
    <w:rsid w:val="008908D9"/>
    <w:rsid w:val="00891CD9"/>
    <w:rsid w:val="008A36D4"/>
    <w:rsid w:val="008A4A46"/>
    <w:rsid w:val="008B2966"/>
    <w:rsid w:val="008C61DF"/>
    <w:rsid w:val="008C7CA9"/>
    <w:rsid w:val="008D25B7"/>
    <w:rsid w:val="008D39FB"/>
    <w:rsid w:val="008E0239"/>
    <w:rsid w:val="008E4718"/>
    <w:rsid w:val="008E5D5D"/>
    <w:rsid w:val="008F2446"/>
    <w:rsid w:val="008F4B8C"/>
    <w:rsid w:val="00901040"/>
    <w:rsid w:val="00902679"/>
    <w:rsid w:val="00906F6A"/>
    <w:rsid w:val="0091005A"/>
    <w:rsid w:val="009139B3"/>
    <w:rsid w:val="00915CFF"/>
    <w:rsid w:val="00916D14"/>
    <w:rsid w:val="009233EF"/>
    <w:rsid w:val="00923845"/>
    <w:rsid w:val="00923F25"/>
    <w:rsid w:val="00935517"/>
    <w:rsid w:val="00947150"/>
    <w:rsid w:val="0096015A"/>
    <w:rsid w:val="00963503"/>
    <w:rsid w:val="00965DBD"/>
    <w:rsid w:val="00966101"/>
    <w:rsid w:val="00971944"/>
    <w:rsid w:val="009815C6"/>
    <w:rsid w:val="00985CD2"/>
    <w:rsid w:val="0099118C"/>
    <w:rsid w:val="00993FDE"/>
    <w:rsid w:val="00996201"/>
    <w:rsid w:val="009A39E1"/>
    <w:rsid w:val="009A3AD8"/>
    <w:rsid w:val="009A5263"/>
    <w:rsid w:val="009A6EE8"/>
    <w:rsid w:val="009B0506"/>
    <w:rsid w:val="009B0F58"/>
    <w:rsid w:val="009B3B4E"/>
    <w:rsid w:val="009C3380"/>
    <w:rsid w:val="009C3B6E"/>
    <w:rsid w:val="009D02CD"/>
    <w:rsid w:val="009D4C29"/>
    <w:rsid w:val="009D55B4"/>
    <w:rsid w:val="009E0750"/>
    <w:rsid w:val="009E11D1"/>
    <w:rsid w:val="009E22E3"/>
    <w:rsid w:val="009E786E"/>
    <w:rsid w:val="009E7E38"/>
    <w:rsid w:val="009F265B"/>
    <w:rsid w:val="009F2A60"/>
    <w:rsid w:val="009F482C"/>
    <w:rsid w:val="009F68DB"/>
    <w:rsid w:val="00A02E32"/>
    <w:rsid w:val="00A02FA5"/>
    <w:rsid w:val="00A03E3F"/>
    <w:rsid w:val="00A1108E"/>
    <w:rsid w:val="00A22031"/>
    <w:rsid w:val="00A270EB"/>
    <w:rsid w:val="00A27CD0"/>
    <w:rsid w:val="00A3153A"/>
    <w:rsid w:val="00A31C11"/>
    <w:rsid w:val="00A35E13"/>
    <w:rsid w:val="00A36134"/>
    <w:rsid w:val="00A362B6"/>
    <w:rsid w:val="00A43F1D"/>
    <w:rsid w:val="00A67DFF"/>
    <w:rsid w:val="00A7021E"/>
    <w:rsid w:val="00A71475"/>
    <w:rsid w:val="00A714DC"/>
    <w:rsid w:val="00A7179C"/>
    <w:rsid w:val="00A71D77"/>
    <w:rsid w:val="00A761CB"/>
    <w:rsid w:val="00A77B77"/>
    <w:rsid w:val="00A85267"/>
    <w:rsid w:val="00A85701"/>
    <w:rsid w:val="00AA5229"/>
    <w:rsid w:val="00AA6709"/>
    <w:rsid w:val="00AB1370"/>
    <w:rsid w:val="00AB1E21"/>
    <w:rsid w:val="00AB541D"/>
    <w:rsid w:val="00AB7050"/>
    <w:rsid w:val="00AB7D5A"/>
    <w:rsid w:val="00AC3E2A"/>
    <w:rsid w:val="00AC53E8"/>
    <w:rsid w:val="00AD0344"/>
    <w:rsid w:val="00AD3261"/>
    <w:rsid w:val="00AD4355"/>
    <w:rsid w:val="00AD7736"/>
    <w:rsid w:val="00AE0A37"/>
    <w:rsid w:val="00AE3F5F"/>
    <w:rsid w:val="00AE685D"/>
    <w:rsid w:val="00AE7179"/>
    <w:rsid w:val="00AF1D4F"/>
    <w:rsid w:val="00AF65ED"/>
    <w:rsid w:val="00AF6B19"/>
    <w:rsid w:val="00B026D1"/>
    <w:rsid w:val="00B04785"/>
    <w:rsid w:val="00B13297"/>
    <w:rsid w:val="00B13DC4"/>
    <w:rsid w:val="00B17B7C"/>
    <w:rsid w:val="00B23277"/>
    <w:rsid w:val="00B24193"/>
    <w:rsid w:val="00B245AD"/>
    <w:rsid w:val="00B24E0A"/>
    <w:rsid w:val="00B25A10"/>
    <w:rsid w:val="00B35910"/>
    <w:rsid w:val="00B3652D"/>
    <w:rsid w:val="00B40D50"/>
    <w:rsid w:val="00B41706"/>
    <w:rsid w:val="00B4182B"/>
    <w:rsid w:val="00B422A8"/>
    <w:rsid w:val="00B55E54"/>
    <w:rsid w:val="00B56589"/>
    <w:rsid w:val="00B64D05"/>
    <w:rsid w:val="00B661B1"/>
    <w:rsid w:val="00B70301"/>
    <w:rsid w:val="00B70460"/>
    <w:rsid w:val="00B73608"/>
    <w:rsid w:val="00B75FC0"/>
    <w:rsid w:val="00B77ABE"/>
    <w:rsid w:val="00B86EC4"/>
    <w:rsid w:val="00B87DA9"/>
    <w:rsid w:val="00B942F5"/>
    <w:rsid w:val="00B9441B"/>
    <w:rsid w:val="00BA34DD"/>
    <w:rsid w:val="00BB4BF8"/>
    <w:rsid w:val="00BC3401"/>
    <w:rsid w:val="00BC7D56"/>
    <w:rsid w:val="00BD0FBE"/>
    <w:rsid w:val="00BD702B"/>
    <w:rsid w:val="00BD7963"/>
    <w:rsid w:val="00BD7B78"/>
    <w:rsid w:val="00BE371B"/>
    <w:rsid w:val="00BE403E"/>
    <w:rsid w:val="00BE41B3"/>
    <w:rsid w:val="00BE4291"/>
    <w:rsid w:val="00BE773B"/>
    <w:rsid w:val="00BF05D6"/>
    <w:rsid w:val="00BF10FD"/>
    <w:rsid w:val="00BF7850"/>
    <w:rsid w:val="00C05352"/>
    <w:rsid w:val="00C10111"/>
    <w:rsid w:val="00C109D1"/>
    <w:rsid w:val="00C123BF"/>
    <w:rsid w:val="00C16EDD"/>
    <w:rsid w:val="00C174E5"/>
    <w:rsid w:val="00C2047B"/>
    <w:rsid w:val="00C2062C"/>
    <w:rsid w:val="00C224D9"/>
    <w:rsid w:val="00C315C9"/>
    <w:rsid w:val="00C32404"/>
    <w:rsid w:val="00C370A6"/>
    <w:rsid w:val="00C41E01"/>
    <w:rsid w:val="00C4656C"/>
    <w:rsid w:val="00C53AEC"/>
    <w:rsid w:val="00C547B5"/>
    <w:rsid w:val="00C5621D"/>
    <w:rsid w:val="00C56C3A"/>
    <w:rsid w:val="00C624AA"/>
    <w:rsid w:val="00C7152E"/>
    <w:rsid w:val="00C73360"/>
    <w:rsid w:val="00C818BC"/>
    <w:rsid w:val="00C86CB2"/>
    <w:rsid w:val="00C91C71"/>
    <w:rsid w:val="00C95126"/>
    <w:rsid w:val="00CA72A5"/>
    <w:rsid w:val="00CB1383"/>
    <w:rsid w:val="00CB1F9B"/>
    <w:rsid w:val="00CB2A6A"/>
    <w:rsid w:val="00CB2ED6"/>
    <w:rsid w:val="00CB4358"/>
    <w:rsid w:val="00CB4465"/>
    <w:rsid w:val="00CB48EF"/>
    <w:rsid w:val="00CB57CE"/>
    <w:rsid w:val="00CB59AB"/>
    <w:rsid w:val="00CB5C90"/>
    <w:rsid w:val="00CC07BF"/>
    <w:rsid w:val="00CC290E"/>
    <w:rsid w:val="00CC3A0A"/>
    <w:rsid w:val="00CC4651"/>
    <w:rsid w:val="00CC6F76"/>
    <w:rsid w:val="00CD7FEE"/>
    <w:rsid w:val="00CE018E"/>
    <w:rsid w:val="00CE2060"/>
    <w:rsid w:val="00CE7A4A"/>
    <w:rsid w:val="00CF315D"/>
    <w:rsid w:val="00CF6D3B"/>
    <w:rsid w:val="00CF6DB3"/>
    <w:rsid w:val="00D00E52"/>
    <w:rsid w:val="00D108A6"/>
    <w:rsid w:val="00D1343F"/>
    <w:rsid w:val="00D13AA8"/>
    <w:rsid w:val="00D17F79"/>
    <w:rsid w:val="00D239B5"/>
    <w:rsid w:val="00D30B6F"/>
    <w:rsid w:val="00D32213"/>
    <w:rsid w:val="00D32B72"/>
    <w:rsid w:val="00D32E6D"/>
    <w:rsid w:val="00D33D1C"/>
    <w:rsid w:val="00D4033C"/>
    <w:rsid w:val="00D412F8"/>
    <w:rsid w:val="00D44EA5"/>
    <w:rsid w:val="00D45504"/>
    <w:rsid w:val="00D50014"/>
    <w:rsid w:val="00D509AE"/>
    <w:rsid w:val="00D5346A"/>
    <w:rsid w:val="00D55767"/>
    <w:rsid w:val="00D6116D"/>
    <w:rsid w:val="00D626C0"/>
    <w:rsid w:val="00D637A3"/>
    <w:rsid w:val="00D648ED"/>
    <w:rsid w:val="00D70A12"/>
    <w:rsid w:val="00D71BA0"/>
    <w:rsid w:val="00D749DF"/>
    <w:rsid w:val="00D81855"/>
    <w:rsid w:val="00D82755"/>
    <w:rsid w:val="00D82E67"/>
    <w:rsid w:val="00D831AC"/>
    <w:rsid w:val="00D864D5"/>
    <w:rsid w:val="00D87B09"/>
    <w:rsid w:val="00D97840"/>
    <w:rsid w:val="00D97926"/>
    <w:rsid w:val="00D97F86"/>
    <w:rsid w:val="00DA00D0"/>
    <w:rsid w:val="00DA032B"/>
    <w:rsid w:val="00DA1DA7"/>
    <w:rsid w:val="00DA3557"/>
    <w:rsid w:val="00DA4701"/>
    <w:rsid w:val="00DB4407"/>
    <w:rsid w:val="00DB59D9"/>
    <w:rsid w:val="00DC6232"/>
    <w:rsid w:val="00DC65F2"/>
    <w:rsid w:val="00DC7876"/>
    <w:rsid w:val="00DC7DD5"/>
    <w:rsid w:val="00DD6CA2"/>
    <w:rsid w:val="00DE3ED7"/>
    <w:rsid w:val="00DE6B04"/>
    <w:rsid w:val="00DF1291"/>
    <w:rsid w:val="00E05804"/>
    <w:rsid w:val="00E10DF2"/>
    <w:rsid w:val="00E1392C"/>
    <w:rsid w:val="00E17F86"/>
    <w:rsid w:val="00E218C4"/>
    <w:rsid w:val="00E22AC6"/>
    <w:rsid w:val="00E24830"/>
    <w:rsid w:val="00E271B3"/>
    <w:rsid w:val="00E31185"/>
    <w:rsid w:val="00E318A6"/>
    <w:rsid w:val="00E33A90"/>
    <w:rsid w:val="00E350DF"/>
    <w:rsid w:val="00E41C62"/>
    <w:rsid w:val="00E41EE9"/>
    <w:rsid w:val="00E44AB6"/>
    <w:rsid w:val="00E461D4"/>
    <w:rsid w:val="00E501D2"/>
    <w:rsid w:val="00E62285"/>
    <w:rsid w:val="00E62819"/>
    <w:rsid w:val="00E71E25"/>
    <w:rsid w:val="00E7215E"/>
    <w:rsid w:val="00E802A8"/>
    <w:rsid w:val="00E837E1"/>
    <w:rsid w:val="00E84305"/>
    <w:rsid w:val="00E9045F"/>
    <w:rsid w:val="00E950EE"/>
    <w:rsid w:val="00E95D3C"/>
    <w:rsid w:val="00EA0D4F"/>
    <w:rsid w:val="00EA405B"/>
    <w:rsid w:val="00EB1CBF"/>
    <w:rsid w:val="00EB31A6"/>
    <w:rsid w:val="00EB4C26"/>
    <w:rsid w:val="00EB6134"/>
    <w:rsid w:val="00EB69B2"/>
    <w:rsid w:val="00EC0D36"/>
    <w:rsid w:val="00EC1A6C"/>
    <w:rsid w:val="00EC1FB2"/>
    <w:rsid w:val="00EC282C"/>
    <w:rsid w:val="00EC46E1"/>
    <w:rsid w:val="00EC7FE2"/>
    <w:rsid w:val="00ED0A9E"/>
    <w:rsid w:val="00ED4E7B"/>
    <w:rsid w:val="00ED7509"/>
    <w:rsid w:val="00ED7B8A"/>
    <w:rsid w:val="00EE022F"/>
    <w:rsid w:val="00EE38AF"/>
    <w:rsid w:val="00EF033D"/>
    <w:rsid w:val="00EF1760"/>
    <w:rsid w:val="00EF254B"/>
    <w:rsid w:val="00EF4049"/>
    <w:rsid w:val="00EF4219"/>
    <w:rsid w:val="00EF4FF2"/>
    <w:rsid w:val="00EF71CD"/>
    <w:rsid w:val="00F04A1B"/>
    <w:rsid w:val="00F071DE"/>
    <w:rsid w:val="00F15752"/>
    <w:rsid w:val="00F4057A"/>
    <w:rsid w:val="00F42246"/>
    <w:rsid w:val="00F42F44"/>
    <w:rsid w:val="00F4724D"/>
    <w:rsid w:val="00F4788E"/>
    <w:rsid w:val="00F66DEA"/>
    <w:rsid w:val="00F6704F"/>
    <w:rsid w:val="00F74630"/>
    <w:rsid w:val="00F75061"/>
    <w:rsid w:val="00F77017"/>
    <w:rsid w:val="00F80A93"/>
    <w:rsid w:val="00F82AEE"/>
    <w:rsid w:val="00F83139"/>
    <w:rsid w:val="00F87CA1"/>
    <w:rsid w:val="00F9122A"/>
    <w:rsid w:val="00F927BA"/>
    <w:rsid w:val="00FA172D"/>
    <w:rsid w:val="00FA547F"/>
    <w:rsid w:val="00FA5B1A"/>
    <w:rsid w:val="00FA6D2C"/>
    <w:rsid w:val="00FB5BF6"/>
    <w:rsid w:val="00FC0F70"/>
    <w:rsid w:val="00FC3308"/>
    <w:rsid w:val="00FC71BA"/>
    <w:rsid w:val="00FC779A"/>
    <w:rsid w:val="00FF5C51"/>
    <w:rsid w:val="1241AD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43A651"/>
  <w15:docId w15:val="{6185641C-23B4-4397-B01D-A5DAC923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commentcontentpara">
    <w:name w:val="commentcontentpara"/>
    <w:basedOn w:val="Normal"/>
    <w:rsid w:val="00993FD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5804"/>
    <w:rPr>
      <w:color w:val="800080" w:themeColor="followedHyperlink"/>
      <w:u w:val="single"/>
    </w:rPr>
  </w:style>
  <w:style w:type="character" w:styleId="UnresolvedMention">
    <w:name w:val="Unresolved Mention"/>
    <w:basedOn w:val="DefaultParagraphFont"/>
    <w:uiPriority w:val="99"/>
    <w:semiHidden/>
    <w:unhideWhenUsed/>
    <w:rsid w:val="006D2893"/>
    <w:rPr>
      <w:color w:val="605E5C"/>
      <w:shd w:val="clear" w:color="auto" w:fill="E1DFDD"/>
    </w:rPr>
  </w:style>
  <w:style w:type="character" w:customStyle="1" w:styleId="cf01">
    <w:name w:val="cf01"/>
    <w:basedOn w:val="DefaultParagraphFont"/>
    <w:rsid w:val="00AE68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0a928d53-0c09-471c-9372-05038f070e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11" ma:contentTypeDescription="Create a new document." ma:contentTypeScope="" ma:versionID="a1ab13e65550153e33d47bc0babb5318">
  <xsd:schema xmlns:xsd="http://www.w3.org/2001/XMLSchema" xmlns:xs="http://www.w3.org/2001/XMLSchema" xmlns:p="http://schemas.microsoft.com/office/2006/metadata/properties" xmlns:ns2="0a928d53-0c09-471c-9372-05038f070e8e" xmlns:ns3="6ac211c8-505f-43cc-a715-0585d00e0edf" targetNamespace="http://schemas.microsoft.com/office/2006/metadata/properties" ma:root="true" ma:fieldsID="11586a66911e3b036c23d491536dff59" ns2:_="" ns3:_="">
    <xsd:import namespace="0a928d53-0c09-471c-9372-05038f070e8e"/>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6ac211c8-505f-43cc-a715-0585d00e0edf"/>
    <ds:schemaRef ds:uri="0a928d53-0c09-471c-9372-05038f070e8e"/>
  </ds:schemaRefs>
</ds:datastoreItem>
</file>

<file path=customXml/itemProps4.xml><?xml version="1.0" encoding="utf-8"?>
<ds:datastoreItem xmlns:ds="http://schemas.openxmlformats.org/officeDocument/2006/customXml" ds:itemID="{090A3FEF-7AE2-4C37-9858-28B7AB88F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Hennigar</dc:creator>
  <cp:lastModifiedBy>De Frias, Anayma (ACF)</cp:lastModifiedBy>
  <cp:revision>5</cp:revision>
  <dcterms:created xsi:type="dcterms:W3CDTF">2025-01-22T19:23:00Z</dcterms:created>
  <dcterms:modified xsi:type="dcterms:W3CDTF">2025-01-22T19:29:00Z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GrammarlyDocumentId">
    <vt:lpwstr>34fae1ec941021c7f7d3b7a18d642ef97607311e8d1f1611b8a46e4111360d77</vt:lpwstr>
  </property>
  <property fmtid="{D5CDD505-2E9C-101B-9397-08002B2CF9AE}" pid="4" name="MediaServiceImageTags">
    <vt:lpwstr/>
  </property>
</Properties>
</file>