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RPr="001E3C2E" w:rsidP="00B56589" w14:paraId="18028DD1" w14:textId="77777777">
      <w:pPr>
        <w:rPr>
          <w:rFonts w:cs="Arial"/>
          <w:b/>
        </w:rPr>
      </w:pPr>
    </w:p>
    <w:p w:rsidR="008E3FFA" w:rsidRPr="008E3FFA" w:rsidP="008E3FFA" w14:paraId="4D8F4929" w14:textId="77777777">
      <w:pPr>
        <w:spacing w:line="420" w:lineRule="exact"/>
        <w:jc w:val="center"/>
        <w:rPr>
          <w:rFonts w:eastAsia="Times New Roman" w:cs="Arial"/>
          <w:b/>
          <w:sz w:val="32"/>
          <w:szCs w:val="32"/>
        </w:rPr>
      </w:pPr>
      <w:bookmarkStart w:id="0" w:name="_Hlk158818764"/>
      <w:r w:rsidRPr="008E3FFA">
        <w:rPr>
          <w:rFonts w:eastAsia="Times New Roman" w:cs="Arial"/>
          <w:b/>
          <w:sz w:val="32"/>
          <w:szCs w:val="32"/>
        </w:rPr>
        <w:t>Youth and Parent Voices for Research</w:t>
      </w:r>
    </w:p>
    <w:p w:rsidR="008E3FFA" w:rsidRPr="008E3FFA" w:rsidP="008E3FFA" w14:paraId="0CF68BE7" w14:textId="77777777">
      <w:pPr>
        <w:spacing w:line="420" w:lineRule="exact"/>
        <w:jc w:val="center"/>
        <w:rPr>
          <w:rFonts w:eastAsia="Times New Roman" w:cs="Arial"/>
          <w:b/>
          <w:sz w:val="32"/>
          <w:szCs w:val="32"/>
        </w:rPr>
      </w:pPr>
    </w:p>
    <w:bookmarkEnd w:id="0"/>
    <w:p w:rsidR="008E3FFA" w:rsidRPr="008E3FFA" w:rsidP="008E3FFA" w14:paraId="6961E6DF" w14:textId="77777777">
      <w:pPr>
        <w:spacing w:line="420" w:lineRule="exact"/>
        <w:jc w:val="center"/>
        <w:rPr>
          <w:rFonts w:eastAsia="Times New Roman" w:cs="Arial"/>
          <w:b/>
          <w:sz w:val="32"/>
          <w:szCs w:val="32"/>
        </w:rPr>
      </w:pPr>
      <w:r w:rsidRPr="008E3FFA">
        <w:rPr>
          <w:rFonts w:eastAsia="Times New Roman" w:cs="Arial"/>
          <w:b/>
          <w:sz w:val="32"/>
          <w:szCs w:val="32"/>
        </w:rPr>
        <w:t>Formative Data Collections for ACF Research</w:t>
      </w:r>
    </w:p>
    <w:p w:rsidR="008E3FFA" w:rsidRPr="008E3FFA" w:rsidP="008E3FFA" w14:paraId="6BE2DD90" w14:textId="77777777">
      <w:pPr>
        <w:spacing w:line="420" w:lineRule="exact"/>
        <w:jc w:val="center"/>
        <w:rPr>
          <w:rFonts w:eastAsia="Times New Roman" w:cs="Arial"/>
          <w:b/>
          <w:sz w:val="32"/>
          <w:szCs w:val="32"/>
        </w:rPr>
      </w:pPr>
    </w:p>
    <w:p w:rsidR="008E3FFA" w:rsidRPr="008E3FFA" w:rsidP="008E3FFA" w14:paraId="795AD45F" w14:textId="77777777">
      <w:pPr>
        <w:spacing w:line="420" w:lineRule="exact"/>
        <w:jc w:val="center"/>
        <w:rPr>
          <w:rFonts w:eastAsia="Times New Roman" w:cs="Arial"/>
          <w:b/>
          <w:sz w:val="32"/>
          <w:szCs w:val="32"/>
        </w:rPr>
      </w:pPr>
      <w:r w:rsidRPr="008E3FFA">
        <w:rPr>
          <w:rFonts w:eastAsia="Times New Roman" w:cs="Arial"/>
          <w:b/>
          <w:sz w:val="32"/>
          <w:szCs w:val="32"/>
        </w:rPr>
        <w:t>0970 – 0356</w:t>
      </w:r>
    </w:p>
    <w:p w:rsidR="008E3FFA" w:rsidRPr="008E3FFA" w:rsidP="008E3FFA" w14:paraId="2C92327B" w14:textId="77777777">
      <w:pPr>
        <w:rPr>
          <w:rFonts w:cs="Arial"/>
        </w:rPr>
      </w:pPr>
    </w:p>
    <w:p w:rsidR="008E3FFA" w:rsidRPr="008E3FFA" w:rsidP="008E3FFA" w14:paraId="7FA756CC" w14:textId="77777777">
      <w:pPr>
        <w:spacing w:after="840" w:line="260" w:lineRule="exact"/>
        <w:jc w:val="center"/>
        <w:rPr>
          <w:rFonts w:eastAsia="Times New Roman" w:cs="Arial"/>
          <w:b/>
          <w:sz w:val="24"/>
          <w:szCs w:val="20"/>
        </w:rPr>
      </w:pPr>
    </w:p>
    <w:p w:rsidR="008E3FFA" w:rsidRPr="008E3FFA" w:rsidP="008E3FFA" w14:paraId="51B9C034" w14:textId="77777777">
      <w:pPr>
        <w:spacing w:after="360" w:line="240" w:lineRule="auto"/>
        <w:jc w:val="center"/>
        <w:rPr>
          <w:rFonts w:eastAsia="Times New Roman" w:cs="Arial"/>
          <w:b/>
          <w:sz w:val="48"/>
          <w:szCs w:val="48"/>
        </w:rPr>
      </w:pPr>
      <w:r w:rsidRPr="008E3FFA">
        <w:rPr>
          <w:rFonts w:eastAsia="Times New Roman" w:cs="Arial"/>
          <w:b/>
          <w:sz w:val="48"/>
          <w:szCs w:val="48"/>
        </w:rPr>
        <w:t>Supporting Statement</w:t>
      </w:r>
    </w:p>
    <w:p w:rsidR="008E3FFA" w:rsidRPr="008E3FFA" w:rsidP="008E3FFA" w14:paraId="5E0F5A8A" w14:textId="1616A294">
      <w:pPr>
        <w:spacing w:after="360" w:line="240" w:lineRule="auto"/>
        <w:jc w:val="center"/>
        <w:rPr>
          <w:rFonts w:eastAsia="Times New Roman" w:cs="Arial"/>
          <w:b/>
          <w:sz w:val="48"/>
          <w:szCs w:val="48"/>
        </w:rPr>
      </w:pPr>
      <w:r w:rsidRPr="008E3FFA">
        <w:rPr>
          <w:rFonts w:eastAsia="Times New Roman" w:cs="Arial"/>
          <w:b/>
          <w:sz w:val="48"/>
          <w:szCs w:val="48"/>
        </w:rPr>
        <w:t xml:space="preserve">Part </w:t>
      </w:r>
      <w:r>
        <w:rPr>
          <w:rFonts w:eastAsia="Times New Roman" w:cs="Arial"/>
          <w:b/>
          <w:sz w:val="48"/>
          <w:szCs w:val="48"/>
        </w:rPr>
        <w:t>B</w:t>
      </w:r>
    </w:p>
    <w:p w:rsidR="008E3FFA" w:rsidRPr="008E3FFA" w:rsidP="008E3FFA" w14:paraId="0E113D32" w14:textId="14FF6095">
      <w:pPr>
        <w:spacing w:after="840" w:line="260" w:lineRule="exact"/>
        <w:jc w:val="center"/>
        <w:rPr>
          <w:rFonts w:eastAsia="Times New Roman" w:cs="Arial"/>
          <w:b/>
          <w:sz w:val="24"/>
          <w:szCs w:val="20"/>
        </w:rPr>
      </w:pPr>
      <w:r w:rsidRPr="005A159A">
        <w:rPr>
          <w:rFonts w:eastAsia="Times New Roman" w:cs="Arial"/>
          <w:b/>
          <w:sz w:val="24"/>
          <w:szCs w:val="20"/>
        </w:rPr>
        <w:t>June</w:t>
      </w:r>
      <w:r w:rsidRPr="008E3FFA">
        <w:rPr>
          <w:rFonts w:eastAsia="Times New Roman" w:cs="Arial"/>
          <w:b/>
          <w:sz w:val="24"/>
          <w:szCs w:val="20"/>
        </w:rPr>
        <w:t xml:space="preserve"> </w:t>
      </w:r>
      <w:r w:rsidRPr="008E3FFA">
        <w:rPr>
          <w:rFonts w:eastAsia="Times New Roman" w:cs="Arial"/>
          <w:b/>
          <w:sz w:val="24"/>
          <w:szCs w:val="20"/>
        </w:rPr>
        <w:t>2024</w:t>
      </w:r>
    </w:p>
    <w:p w:rsidR="008E3FFA" w:rsidRPr="008E3FFA" w:rsidP="008E3FFA" w14:paraId="46657191" w14:textId="77777777">
      <w:pPr>
        <w:spacing w:line="240" w:lineRule="auto"/>
        <w:jc w:val="center"/>
        <w:rPr>
          <w:rFonts w:cs="Arial"/>
        </w:rPr>
      </w:pPr>
    </w:p>
    <w:p w:rsidR="008E3FFA" w:rsidRPr="008E3FFA" w:rsidP="008E3FFA" w14:paraId="3CC2AFAD" w14:textId="77777777">
      <w:pPr>
        <w:spacing w:line="240" w:lineRule="auto"/>
        <w:jc w:val="center"/>
        <w:rPr>
          <w:rFonts w:cs="Arial"/>
        </w:rPr>
      </w:pPr>
      <w:r w:rsidRPr="008E3FFA">
        <w:rPr>
          <w:rFonts w:cs="Arial"/>
        </w:rPr>
        <w:t>Submitted By:</w:t>
      </w:r>
    </w:p>
    <w:p w:rsidR="008E3FFA" w:rsidRPr="008E3FFA" w:rsidP="008E3FFA" w14:paraId="13DA5E2F" w14:textId="77777777">
      <w:pPr>
        <w:spacing w:line="240" w:lineRule="auto"/>
        <w:jc w:val="center"/>
        <w:rPr>
          <w:rFonts w:cs="Arial"/>
        </w:rPr>
      </w:pPr>
      <w:r w:rsidRPr="008E3FFA">
        <w:rPr>
          <w:rFonts w:cs="Arial"/>
        </w:rPr>
        <w:t>Office of Planning, Research, and Evaluation</w:t>
      </w:r>
    </w:p>
    <w:p w:rsidR="008E3FFA" w:rsidRPr="008E3FFA" w:rsidP="008E3FFA" w14:paraId="3B5BFEDA" w14:textId="77777777">
      <w:pPr>
        <w:spacing w:line="240" w:lineRule="auto"/>
        <w:jc w:val="center"/>
        <w:rPr>
          <w:rFonts w:cs="Arial"/>
        </w:rPr>
      </w:pPr>
      <w:r w:rsidRPr="008E3FFA">
        <w:rPr>
          <w:rFonts w:cs="Arial"/>
        </w:rPr>
        <w:t xml:space="preserve">Administration for Children and Families </w:t>
      </w:r>
    </w:p>
    <w:p w:rsidR="008E3FFA" w:rsidRPr="008E3FFA" w:rsidP="008E3FFA" w14:paraId="534CB980" w14:textId="77777777">
      <w:pPr>
        <w:spacing w:line="240" w:lineRule="auto"/>
        <w:jc w:val="center"/>
        <w:rPr>
          <w:rFonts w:cs="Arial"/>
        </w:rPr>
      </w:pPr>
      <w:r w:rsidRPr="008E3FFA">
        <w:rPr>
          <w:rFonts w:cs="Arial"/>
        </w:rPr>
        <w:t>U.S. Department of Health and Human Services</w:t>
      </w:r>
    </w:p>
    <w:p w:rsidR="008E3FFA" w:rsidRPr="008E3FFA" w:rsidP="008E3FFA" w14:paraId="41754834" w14:textId="77777777">
      <w:pPr>
        <w:spacing w:line="240" w:lineRule="auto"/>
        <w:jc w:val="center"/>
        <w:rPr>
          <w:rFonts w:cs="Arial"/>
        </w:rPr>
      </w:pPr>
    </w:p>
    <w:p w:rsidR="008E3FFA" w:rsidRPr="008E3FFA" w:rsidP="008E3FFA" w14:paraId="4B5FD186" w14:textId="77777777">
      <w:pPr>
        <w:spacing w:line="240" w:lineRule="auto"/>
        <w:jc w:val="center"/>
        <w:rPr>
          <w:rFonts w:cs="Arial"/>
        </w:rPr>
      </w:pPr>
      <w:r w:rsidRPr="008E3FFA">
        <w:rPr>
          <w:rFonts w:cs="Arial"/>
        </w:rPr>
        <w:t>4</w:t>
      </w:r>
      <w:r w:rsidRPr="008E3FFA">
        <w:rPr>
          <w:rFonts w:cs="Arial"/>
          <w:vertAlign w:val="superscript"/>
        </w:rPr>
        <w:t>th</w:t>
      </w:r>
      <w:r w:rsidRPr="008E3FFA">
        <w:rPr>
          <w:rFonts w:cs="Arial"/>
        </w:rPr>
        <w:t xml:space="preserve"> Floor, Mary E. Switzer Building</w:t>
      </w:r>
    </w:p>
    <w:p w:rsidR="008E3FFA" w:rsidRPr="008E3FFA" w:rsidP="008E3FFA" w14:paraId="35F5EB54" w14:textId="77777777">
      <w:pPr>
        <w:spacing w:line="240" w:lineRule="auto"/>
        <w:jc w:val="center"/>
        <w:rPr>
          <w:rFonts w:cs="Arial"/>
        </w:rPr>
      </w:pPr>
      <w:r w:rsidRPr="008E3FFA">
        <w:rPr>
          <w:rFonts w:cs="Arial"/>
        </w:rPr>
        <w:t>330 C Street, SW</w:t>
      </w:r>
    </w:p>
    <w:p w:rsidR="008E3FFA" w:rsidRPr="008E3FFA" w:rsidP="008E3FFA" w14:paraId="3651D3B4" w14:textId="77777777">
      <w:pPr>
        <w:spacing w:line="240" w:lineRule="auto"/>
        <w:jc w:val="center"/>
        <w:rPr>
          <w:rFonts w:cs="Arial"/>
        </w:rPr>
      </w:pPr>
      <w:r w:rsidRPr="008E3FFA">
        <w:rPr>
          <w:rFonts w:cs="Arial"/>
        </w:rPr>
        <w:t>Washington, D.C. 20201</w:t>
      </w:r>
    </w:p>
    <w:p w:rsidR="008E3FFA" w:rsidRPr="008E3FFA" w:rsidP="008E3FFA" w14:paraId="7C33603A" w14:textId="77777777">
      <w:pPr>
        <w:spacing w:line="240" w:lineRule="auto"/>
        <w:jc w:val="center"/>
        <w:rPr>
          <w:rFonts w:cs="Arial"/>
        </w:rPr>
      </w:pPr>
    </w:p>
    <w:p w:rsidR="008E3FFA" w:rsidRPr="008E3FFA" w:rsidP="008E3FFA" w14:paraId="59FF87FB" w14:textId="77777777">
      <w:pPr>
        <w:spacing w:line="240" w:lineRule="auto"/>
        <w:jc w:val="center"/>
        <w:rPr>
          <w:rFonts w:cs="Arial"/>
        </w:rPr>
      </w:pPr>
      <w:r w:rsidRPr="008E3FFA">
        <w:rPr>
          <w:rFonts w:cs="Arial"/>
        </w:rPr>
        <w:t>Project Officers:</w:t>
      </w:r>
    </w:p>
    <w:p w:rsidR="008E3FFA" w:rsidRPr="008E3FFA" w:rsidP="008E3FFA" w14:paraId="3B108C37" w14:textId="77777777">
      <w:pPr>
        <w:spacing w:line="240" w:lineRule="auto"/>
        <w:jc w:val="center"/>
        <w:textAlignment w:val="baseline"/>
        <w:rPr>
          <w:rFonts w:eastAsia="Times New Roman" w:cs="Arial"/>
          <w:color w:val="000000"/>
          <w:shd w:val="clear" w:color="auto" w:fill="FFFFFF"/>
        </w:rPr>
      </w:pPr>
      <w:r w:rsidRPr="008E3FFA">
        <w:rPr>
          <w:rFonts w:eastAsia="Times New Roman" w:cs="Arial"/>
          <w:color w:val="000000"/>
          <w:shd w:val="clear" w:color="auto" w:fill="FFFFFF"/>
        </w:rPr>
        <w:t>Christine Fortunato and Laura Hoard</w:t>
      </w:r>
    </w:p>
    <w:p w:rsidR="008E3FFA" w:rsidRPr="008E3FFA" w:rsidP="008E3FFA" w14:paraId="04DFE044" w14:textId="77777777">
      <w:pPr>
        <w:spacing w:line="240" w:lineRule="auto"/>
        <w:jc w:val="center"/>
        <w:textAlignment w:val="baseline"/>
        <w:rPr>
          <w:rFonts w:eastAsia="Times New Roman" w:cs="Arial"/>
        </w:rPr>
      </w:pPr>
      <w:r w:rsidRPr="008E3FFA">
        <w:rPr>
          <w:rFonts w:eastAsia="Times New Roman" w:cs="Arial"/>
          <w:color w:val="000000"/>
          <w:shd w:val="clear" w:color="auto" w:fill="FFFFFF"/>
        </w:rPr>
        <w:t>Office of Planning, Research, and Evaluation</w:t>
      </w:r>
    </w:p>
    <w:p w:rsidR="008E3FFA" w:rsidRPr="008E3FFA" w:rsidP="008E3FFA" w14:paraId="1BAB52B8" w14:textId="77777777">
      <w:pPr>
        <w:spacing w:line="240" w:lineRule="auto"/>
        <w:jc w:val="center"/>
        <w:rPr>
          <w:rFonts w:cs="Arial"/>
          <w:b/>
        </w:rPr>
      </w:pPr>
    </w:p>
    <w:p w:rsidR="008E3FFA" w:rsidRPr="008E3FFA" w:rsidP="008E3FFA" w14:paraId="1691114C" w14:textId="77777777">
      <w:pPr>
        <w:spacing w:line="240" w:lineRule="auto"/>
        <w:jc w:val="center"/>
        <w:rPr>
          <w:rFonts w:cs="Arial"/>
          <w:b/>
        </w:rPr>
      </w:pPr>
    </w:p>
    <w:p w:rsidR="006C64D9" w:rsidRPr="001E3C2E" w:rsidP="006C64D9" w14:paraId="2C41F4D9" w14:textId="246B9065">
      <w:pPr>
        <w:pStyle w:val="paragraph"/>
        <w:spacing w:before="0" w:beforeAutospacing="0" w:after="0" w:afterAutospacing="0"/>
        <w:jc w:val="center"/>
        <w:textAlignment w:val="baseline"/>
        <w:rPr>
          <w:rFonts w:ascii="Arial" w:hAnsi="Arial" w:cs="Arial"/>
          <w:sz w:val="22"/>
          <w:szCs w:val="22"/>
        </w:rPr>
      </w:pPr>
    </w:p>
    <w:p w:rsidR="00D51337" w:rsidRPr="001E3C2E" w:rsidP="00D51337" w14:paraId="27872D1C" w14:textId="77777777">
      <w:pPr>
        <w:spacing w:line="240" w:lineRule="auto"/>
        <w:jc w:val="center"/>
        <w:rPr>
          <w:rFonts w:cs="Arial"/>
          <w:b/>
        </w:rPr>
      </w:pPr>
    </w:p>
    <w:p w:rsidR="00EE38AF" w:rsidRPr="00E8285E" w:rsidP="00E8285E" w14:paraId="66C05F3B" w14:textId="6B2D21E8">
      <w:pPr>
        <w:spacing w:after="200"/>
        <w:jc w:val="center"/>
        <w:rPr>
          <w:rFonts w:cs="Arial"/>
          <w:b/>
          <w:sz w:val="24"/>
          <w:szCs w:val="24"/>
        </w:rPr>
      </w:pPr>
      <w:r w:rsidRPr="001E3C2E">
        <w:rPr>
          <w:rFonts w:cs="Arial"/>
        </w:rPr>
        <w:br w:type="page"/>
      </w:r>
      <w:r w:rsidRPr="00E8285E" w:rsidR="001253F4">
        <w:rPr>
          <w:rFonts w:cs="Arial"/>
          <w:b/>
          <w:sz w:val="24"/>
          <w:szCs w:val="24"/>
        </w:rPr>
        <w:t>Part B</w:t>
      </w:r>
    </w:p>
    <w:p w:rsidR="0072072F" w:rsidRPr="001E3C2E" w:rsidP="00E8285E" w14:paraId="23F27413" w14:textId="33345C07">
      <w:pPr>
        <w:pStyle w:val="Heading1"/>
      </w:pPr>
      <w:r w:rsidRPr="001E3C2E">
        <w:t>B1.</w:t>
      </w:r>
      <w:r w:rsidRPr="001E3C2E">
        <w:tab/>
      </w:r>
      <w:r w:rsidRPr="001E3C2E" w:rsidR="0020629A">
        <w:t>O</w:t>
      </w:r>
      <w:r w:rsidRPr="001E3C2E" w:rsidR="008369BA">
        <w:t>bjectives</w:t>
      </w:r>
    </w:p>
    <w:p w:rsidR="0072072F" w:rsidRPr="001E3C2E" w:rsidP="00E8285E" w14:paraId="40621335" w14:textId="77777777">
      <w:pPr>
        <w:pStyle w:val="Heading2"/>
      </w:pPr>
      <w:r w:rsidRPr="001E3C2E">
        <w:t>Study Objectives</w:t>
      </w:r>
    </w:p>
    <w:p w:rsidR="00F70820" w:rsidRPr="001E3C2E" w:rsidP="006D0967" w14:paraId="6214B05B" w14:textId="43C429F2">
      <w:pPr>
        <w:rPr>
          <w:rFonts w:cs="Arial"/>
        </w:rPr>
      </w:pPr>
      <w:r w:rsidRPr="001E3C2E">
        <w:t xml:space="preserve">The objectives of this information collection for </w:t>
      </w:r>
      <w:r w:rsidRPr="001E3C2E" w:rsidR="004677F9">
        <w:t>the Preliminary Activities to Support Future Data Collection for the National Survey of Child and Adolescent Well</w:t>
      </w:r>
      <w:r w:rsidRPr="001E3C2E" w:rsidR="004677F9">
        <w:rPr>
          <w:rFonts w:ascii="Cambria Math" w:hAnsi="Cambria Math" w:cs="Cambria Math"/>
        </w:rPr>
        <w:t>‐</w:t>
      </w:r>
      <w:r w:rsidRPr="001E3C2E" w:rsidR="004677F9">
        <w:t>Being (</w:t>
      </w:r>
      <w:r w:rsidR="00E8285E">
        <w:t>“</w:t>
      </w:r>
      <w:r w:rsidRPr="009F6C26" w:rsidR="00E8285E">
        <w:rPr>
          <w:i/>
          <w:iCs/>
        </w:rPr>
        <w:t xml:space="preserve">Reimagining </w:t>
      </w:r>
      <w:r w:rsidRPr="009F6C26" w:rsidR="004677F9">
        <w:rPr>
          <w:i/>
          <w:iCs/>
        </w:rPr>
        <w:t>NSCAW</w:t>
      </w:r>
      <w:r w:rsidR="00E8285E">
        <w:t>”</w:t>
      </w:r>
      <w:r w:rsidRPr="001E3C2E" w:rsidR="004677F9">
        <w:t>)</w:t>
      </w:r>
      <w:r w:rsidR="00E8285E">
        <w:t xml:space="preserve"> are to:</w:t>
      </w:r>
    </w:p>
    <w:p w:rsidR="00F70820" w:rsidRPr="001E3C2E" w:rsidP="00F70820" w14:paraId="7C500F1C" w14:textId="434499C6">
      <w:pPr>
        <w:pStyle w:val="ListParagraph"/>
        <w:numPr>
          <w:ilvl w:val="0"/>
          <w:numId w:val="31"/>
        </w:numPr>
        <w:spacing w:line="240" w:lineRule="auto"/>
        <w:rPr>
          <w:rFonts w:cs="Arial"/>
        </w:rPr>
      </w:pPr>
      <w:bookmarkStart w:id="1" w:name="_Hlk165305954"/>
      <w:r w:rsidRPr="001E3C2E">
        <w:rPr>
          <w:rFonts w:cs="Arial"/>
        </w:rPr>
        <w:t xml:space="preserve">Gather </w:t>
      </w:r>
      <w:r w:rsidRPr="001E3C2E" w:rsidR="00E76576">
        <w:rPr>
          <w:rFonts w:cs="Arial"/>
        </w:rPr>
        <w:t xml:space="preserve">feedback </w:t>
      </w:r>
      <w:r w:rsidR="00F13A8D">
        <w:rPr>
          <w:rFonts w:cs="Arial"/>
        </w:rPr>
        <w:t>from</w:t>
      </w:r>
      <w:r w:rsidR="00EB3680">
        <w:rPr>
          <w:rFonts w:cs="Arial"/>
        </w:rPr>
        <w:t xml:space="preserve"> parents and youth with lived child welfare experience </w:t>
      </w:r>
      <w:r w:rsidRPr="001E3C2E" w:rsidR="00E76576">
        <w:rPr>
          <w:rFonts w:cs="Arial"/>
        </w:rPr>
        <w:t>on constructs and measures</w:t>
      </w:r>
      <w:r w:rsidRPr="001E3C2E" w:rsidR="00E76576">
        <w:rPr>
          <w:rFonts w:cs="Arial"/>
        </w:rPr>
        <w:t xml:space="preserve"> </w:t>
      </w:r>
      <w:r w:rsidRPr="001E3C2E" w:rsidR="00E76576">
        <w:rPr>
          <w:rFonts w:cs="Arial"/>
        </w:rPr>
        <w:t xml:space="preserve">proposed </w:t>
      </w:r>
      <w:r w:rsidR="00DE284D">
        <w:rPr>
          <w:rFonts w:cs="Arial"/>
        </w:rPr>
        <w:t>for a future NSCAW study design</w:t>
      </w:r>
      <w:r w:rsidRPr="001E3C2E" w:rsidR="00E76576">
        <w:rPr>
          <w:rFonts w:cs="Arial"/>
        </w:rPr>
        <w:t>;</w:t>
      </w:r>
    </w:p>
    <w:p w:rsidR="00E76576" w:rsidRPr="001E3C2E" w:rsidP="00F70820" w14:paraId="2B772715" w14:textId="56A23AA5">
      <w:pPr>
        <w:pStyle w:val="ListParagraph"/>
        <w:numPr>
          <w:ilvl w:val="0"/>
          <w:numId w:val="31"/>
        </w:numPr>
        <w:spacing w:line="240" w:lineRule="auto"/>
        <w:rPr>
          <w:rFonts w:cs="Arial"/>
        </w:rPr>
      </w:pPr>
      <w:r w:rsidRPr="001E3C2E">
        <w:rPr>
          <w:rFonts w:cs="Arial"/>
        </w:rPr>
        <w:t xml:space="preserve">Gather </w:t>
      </w:r>
      <w:r w:rsidR="00EB3680">
        <w:rPr>
          <w:rFonts w:cs="Arial"/>
        </w:rPr>
        <w:t>feedback</w:t>
      </w:r>
      <w:r w:rsidRPr="001E3C2E">
        <w:rPr>
          <w:rFonts w:cs="Arial"/>
        </w:rPr>
        <w:t xml:space="preserve"> </w:t>
      </w:r>
      <w:r w:rsidR="005D0B20">
        <w:rPr>
          <w:rFonts w:cs="Arial"/>
        </w:rPr>
        <w:t>from</w:t>
      </w:r>
      <w:r w:rsidR="00EB3680">
        <w:rPr>
          <w:rFonts w:cs="Arial"/>
        </w:rPr>
        <w:t xml:space="preserve"> parents and youth with lived child welfare experience </w:t>
      </w:r>
      <w:r w:rsidRPr="001E3C2E">
        <w:rPr>
          <w:rFonts w:cs="Arial"/>
        </w:rPr>
        <w:t xml:space="preserve">on recruitment strategies and </w:t>
      </w:r>
      <w:r w:rsidR="000331D2">
        <w:rPr>
          <w:rFonts w:cs="Arial"/>
        </w:rPr>
        <w:t xml:space="preserve">other study </w:t>
      </w:r>
      <w:r w:rsidRPr="001E3C2E">
        <w:rPr>
          <w:rFonts w:cs="Arial"/>
        </w:rPr>
        <w:t>components proposed</w:t>
      </w:r>
      <w:r w:rsidR="005D0B20">
        <w:rPr>
          <w:rFonts w:cs="Arial"/>
        </w:rPr>
        <w:t xml:space="preserve"> for a future NSCAW study design</w:t>
      </w:r>
      <w:r w:rsidRPr="001E3C2E">
        <w:rPr>
          <w:rFonts w:cs="Arial"/>
        </w:rPr>
        <w:t xml:space="preserve">. </w:t>
      </w:r>
    </w:p>
    <w:bookmarkEnd w:id="1"/>
    <w:p w:rsidR="00AE7306" w:rsidRPr="001E3C2E" w:rsidP="00AE7306" w14:paraId="00A55BDE" w14:textId="77777777">
      <w:pPr>
        <w:pStyle w:val="ListParagraph"/>
        <w:spacing w:line="240" w:lineRule="auto"/>
        <w:rPr>
          <w:rFonts w:cs="Arial"/>
        </w:rPr>
      </w:pPr>
    </w:p>
    <w:p w:rsidR="00BB2925" w:rsidRPr="001E3C2E" w:rsidP="00E8285E" w14:paraId="13F28F66" w14:textId="2E2EEE6D">
      <w:pPr>
        <w:rPr>
          <w:rFonts w:cs="Arial"/>
        </w:rPr>
      </w:pPr>
      <w:r w:rsidRPr="001E3C2E">
        <w:t xml:space="preserve">The purpose of this information </w:t>
      </w:r>
      <w:r w:rsidRPr="001E3C2E" w:rsidR="009815C2">
        <w:t xml:space="preserve">collection </w:t>
      </w:r>
      <w:r w:rsidRPr="001E3C2E" w:rsidR="009815C2">
        <w:rPr>
          <w:iCs/>
        </w:rPr>
        <w:t xml:space="preserve">is </w:t>
      </w:r>
      <w:r w:rsidRPr="001E3C2E" w:rsidR="009815C2">
        <w:t xml:space="preserve">to </w:t>
      </w:r>
      <w:r w:rsidR="00B4613C">
        <w:t xml:space="preserve">conduct interviews and focus groups to </w:t>
      </w:r>
      <w:r w:rsidR="00E8285E">
        <w:t>collect feedback</w:t>
      </w:r>
      <w:r w:rsidR="00B4613C">
        <w:t xml:space="preserve"> from</w:t>
      </w:r>
      <w:r w:rsidR="00E8285E">
        <w:t xml:space="preserve"> participants </w:t>
      </w:r>
      <w:r w:rsidR="00B4613C">
        <w:t>about possible</w:t>
      </w:r>
      <w:r w:rsidRPr="001E3C2E" w:rsidR="009815C2">
        <w:t xml:space="preserve"> future NSCAW design components and data collections. </w:t>
      </w:r>
      <w:r w:rsidRPr="001E3C2E" w:rsidR="005327EB">
        <w:t xml:space="preserve">This feedback will inform a more nuanced and comprehensive understanding of feasible and effective approaches to study design </w:t>
      </w:r>
      <w:r w:rsidR="00FB2F67">
        <w:t xml:space="preserve">(e.g., instrumentation, </w:t>
      </w:r>
      <w:r w:rsidR="002368B8">
        <w:t xml:space="preserve">administration </w:t>
      </w:r>
      <w:r w:rsidR="00FB2F67">
        <w:t xml:space="preserve">mode) </w:t>
      </w:r>
      <w:r w:rsidRPr="001E3C2E" w:rsidR="005327EB">
        <w:t xml:space="preserve">that are relevant to and resonate with future NSCAW respondents. This </w:t>
      </w:r>
      <w:r w:rsidR="00757757">
        <w:t>is intended to promote</w:t>
      </w:r>
      <w:r w:rsidRPr="001E3C2E" w:rsidR="005327EB">
        <w:t xml:space="preserve"> a greater level of </w:t>
      </w:r>
      <w:r w:rsidR="00E64C3E">
        <w:t xml:space="preserve">future NSCAW </w:t>
      </w:r>
      <w:r w:rsidRPr="001E3C2E" w:rsidR="005327EB">
        <w:t>respondent engagement and participation over time by increasing trust and confidence in study activities</w:t>
      </w:r>
      <w:r w:rsidR="00FB2F67">
        <w:t xml:space="preserve"> (which may then increase response rates)</w:t>
      </w:r>
      <w:r w:rsidR="00E8285E">
        <w:t>.</w:t>
      </w:r>
      <w:r w:rsidR="00FB2F67">
        <w:t xml:space="preserve"> </w:t>
      </w:r>
    </w:p>
    <w:p w:rsidR="005F2951" w:rsidRPr="001E3C2E" w:rsidP="009F6C26" w14:paraId="75A4A02E" w14:textId="2AD675A1">
      <w:pPr>
        <w:pStyle w:val="Heading2"/>
      </w:pPr>
      <w:r w:rsidRPr="001E3C2E">
        <w:t xml:space="preserve">Generalizability of Results </w:t>
      </w:r>
    </w:p>
    <w:p w:rsidR="00BB2925" w:rsidRPr="001E3C2E" w:rsidP="009F6C26" w14:paraId="39A69560" w14:textId="555154B8">
      <w:pPr>
        <w:rPr>
          <w:rFonts w:eastAsia="Times New Roman" w:cs="Arial"/>
          <w:color w:val="000000"/>
        </w:rPr>
      </w:pPr>
      <w:r w:rsidRPr="001E3C2E">
        <w:rPr>
          <w:rFonts w:eastAsia="Times New Roman"/>
          <w:color w:val="000000"/>
        </w:rPr>
        <w:t>These activities are intended to</w:t>
      </w:r>
      <w:r w:rsidRPr="001E3C2E" w:rsidR="00B541E2">
        <w:rPr>
          <w:rFonts w:eastAsia="Times New Roman"/>
          <w:color w:val="000000"/>
        </w:rPr>
        <w:t xml:space="preserve"> </w:t>
      </w:r>
      <w:r w:rsidRPr="001E3C2E" w:rsidR="00F25FC1">
        <w:rPr>
          <w:rFonts w:eastAsia="Times New Roman"/>
          <w:color w:val="000000"/>
        </w:rPr>
        <w:t xml:space="preserve">assess </w:t>
      </w:r>
      <w:r w:rsidRPr="001E3C2E" w:rsidR="00B541E2">
        <w:t xml:space="preserve">how specific constructs, measures, </w:t>
      </w:r>
      <w:r w:rsidR="007E0203">
        <w:t xml:space="preserve">and </w:t>
      </w:r>
      <w:r w:rsidRPr="001E3C2E" w:rsidR="00B541E2">
        <w:t>recruitment</w:t>
      </w:r>
      <w:r w:rsidR="00073F20">
        <w:t xml:space="preserve">, engagement, and data collection strategies </w:t>
      </w:r>
      <w:r w:rsidRPr="001E3C2E" w:rsidR="00B541E2">
        <w:t xml:space="preserve">are perceived and experienced by </w:t>
      </w:r>
      <w:r w:rsidR="0079129E">
        <w:t xml:space="preserve">a sample of </w:t>
      </w:r>
      <w:r w:rsidR="00073F20">
        <w:t>youth and families</w:t>
      </w:r>
      <w:r w:rsidRPr="001E3C2E" w:rsidR="00073F20">
        <w:t xml:space="preserve"> </w:t>
      </w:r>
      <w:r w:rsidRPr="001E3C2E" w:rsidR="00B541E2">
        <w:t>who have lived experience with the child welfare system (CWS</w:t>
      </w:r>
      <w:r w:rsidR="00073F20">
        <w:t xml:space="preserve"> LE</w:t>
      </w:r>
      <w:r w:rsidRPr="001E3C2E" w:rsidR="00B541E2">
        <w:t>)</w:t>
      </w:r>
      <w:r w:rsidR="00FB2F67">
        <w:t>. This information collection is not intended to</w:t>
      </w:r>
      <w:r w:rsidRPr="001E3C2E" w:rsidR="006E0439">
        <w:t xml:space="preserve"> promote statistical </w:t>
      </w:r>
      <w:r w:rsidRPr="00FB2F67" w:rsidR="006E0439">
        <w:t xml:space="preserve">generalization to other </w:t>
      </w:r>
      <w:r w:rsidR="007D151D">
        <w:t>youth and families or populations</w:t>
      </w:r>
      <w:r w:rsidRPr="00FB2F67" w:rsidR="006E0439">
        <w:t>.</w:t>
      </w:r>
      <w:r w:rsidRPr="001E3C2E" w:rsidR="006E0439">
        <w:t xml:space="preserve"> </w:t>
      </w:r>
    </w:p>
    <w:p w:rsidR="00E41EE9" w:rsidRPr="001E3C2E" w:rsidP="009F6C26" w14:paraId="210DC9F0" w14:textId="067842D5">
      <w:pPr>
        <w:pStyle w:val="Heading2"/>
        <w:rPr>
          <w:rFonts w:eastAsia="Times New Roman"/>
        </w:rPr>
      </w:pPr>
      <w:r w:rsidRPr="001E3C2E">
        <w:rPr>
          <w:rFonts w:eastAsia="Times New Roman"/>
        </w:rPr>
        <w:t xml:space="preserve">Appropriateness of Study Design and Methods for Planned Uses </w:t>
      </w:r>
    </w:p>
    <w:p w:rsidR="00405CFB" w:rsidP="00E8285E" w14:paraId="4AF9E193" w14:textId="5F027461">
      <w:r w:rsidRPr="001E3C2E">
        <w:t xml:space="preserve">The </w:t>
      </w:r>
      <w:r w:rsidR="007F0C44">
        <w:t>activities</w:t>
      </w:r>
      <w:r w:rsidRPr="001E3C2E">
        <w:t xml:space="preserve"> </w:t>
      </w:r>
      <w:r w:rsidR="007F0C44">
        <w:t>described in this package were</w:t>
      </w:r>
      <w:r w:rsidRPr="001E3C2E">
        <w:t xml:space="preserve"> designed to inform planning and preparations for future NSCAW data collections by </w:t>
      </w:r>
      <w:r w:rsidRPr="001E3C2E" w:rsidR="001544EB">
        <w:t xml:space="preserve">partnering with parents and youth </w:t>
      </w:r>
      <w:r w:rsidR="007F0C44">
        <w:t>who have CWS LE</w:t>
      </w:r>
      <w:r w:rsidRPr="001E3C2E" w:rsidR="00B003A7">
        <w:t xml:space="preserve">. </w:t>
      </w:r>
      <w:r w:rsidR="00B4613C">
        <w:t>The Youth and Parent Voices for Research S</w:t>
      </w:r>
      <w:r w:rsidRPr="001E3C2E" w:rsidR="00AA71EE">
        <w:t xml:space="preserve">tudy activities were designed to </w:t>
      </w:r>
      <w:r w:rsidR="007F0C44">
        <w:t xml:space="preserve">collaborate with these </w:t>
      </w:r>
      <w:r w:rsidR="00B4613C">
        <w:t xml:space="preserve">individuals </w:t>
      </w:r>
      <w:r w:rsidR="007F0C44">
        <w:t xml:space="preserve">to </w:t>
      </w:r>
      <w:r w:rsidRPr="001E3C2E" w:rsidR="00AA71EE">
        <w:t xml:space="preserve">explore </w:t>
      </w:r>
      <w:r w:rsidR="007F0C44">
        <w:t xml:space="preserve">select </w:t>
      </w:r>
      <w:r w:rsidRPr="001E3C2E" w:rsidR="00AA71EE">
        <w:t xml:space="preserve">measures, constructs, </w:t>
      </w:r>
      <w:r w:rsidRPr="001E3C2E" w:rsidR="00CA04A6">
        <w:t xml:space="preserve">and </w:t>
      </w:r>
      <w:r w:rsidRPr="001E3C2E" w:rsidR="00E03E6C">
        <w:t>data collection strategies and components</w:t>
      </w:r>
      <w:r w:rsidR="007F0C44">
        <w:t xml:space="preserve"> proposed in one or more of the design</w:t>
      </w:r>
      <w:r w:rsidR="00B4613C">
        <w:t xml:space="preserve"> options developed under </w:t>
      </w:r>
      <w:r w:rsidR="00B4613C">
        <w:rPr>
          <w:i/>
          <w:iCs/>
        </w:rPr>
        <w:t>Reimagining NSCAW</w:t>
      </w:r>
      <w:r w:rsidRPr="001E3C2E" w:rsidR="001E6F0C">
        <w:t xml:space="preserve">. </w:t>
      </w:r>
      <w:r w:rsidRPr="001E3C2E">
        <w:t xml:space="preserve">These activities align with </w:t>
      </w:r>
      <w:r w:rsidRPr="009F6C26">
        <w:rPr>
          <w:i/>
          <w:iCs/>
        </w:rPr>
        <w:t>Reimagining NSCAW’s</w:t>
      </w:r>
      <w:r w:rsidRPr="001E3C2E">
        <w:t xml:space="preserve"> goals of providing </w:t>
      </w:r>
      <w:r w:rsidR="007F0C44">
        <w:t>individuals</w:t>
      </w:r>
      <w:r w:rsidRPr="001E3C2E" w:rsidR="007F0C44">
        <w:t xml:space="preserve"> </w:t>
      </w:r>
      <w:r w:rsidRPr="001E3C2E">
        <w:t xml:space="preserve">with </w:t>
      </w:r>
      <w:r w:rsidR="007F0C44">
        <w:t xml:space="preserve">CWS LE </w:t>
      </w:r>
      <w:r w:rsidRPr="001E3C2E">
        <w:t xml:space="preserve">the opportunity for meaningful and appropriate </w:t>
      </w:r>
      <w:r w:rsidR="002A5FC3">
        <w:t>engagement</w:t>
      </w:r>
      <w:r w:rsidRPr="001E3C2E" w:rsidR="002A5FC3">
        <w:t xml:space="preserve"> </w:t>
      </w:r>
      <w:r w:rsidRPr="001E3C2E">
        <w:t>throughout the project. Information gathered through this effort</w:t>
      </w:r>
      <w:r w:rsidR="007F0C44">
        <w:t xml:space="preserve">, intended to serve as a proxy for the perspective and views of a likely future NSCAW respondent, </w:t>
      </w:r>
      <w:r w:rsidRPr="001E3C2E">
        <w:t>will be used to inform future NSCAW data collections</w:t>
      </w:r>
      <w:r w:rsidR="007F0C44">
        <w:t xml:space="preserve"> and is not intended to be representative of a specific group or population</w:t>
      </w:r>
      <w:r w:rsidRPr="001E3C2E">
        <w:t>.</w:t>
      </w:r>
      <w:r w:rsidR="00EB3680">
        <w:t xml:space="preserve"> Key limitations will be included in </w:t>
      </w:r>
      <w:r w:rsidR="00B4613C">
        <w:t xml:space="preserve">any </w:t>
      </w:r>
      <w:r w:rsidR="00EB3680">
        <w:t xml:space="preserve">written products associated with </w:t>
      </w:r>
      <w:r w:rsidR="00B4613C">
        <w:t>the Youth and Parent Voices for Research Study</w:t>
      </w:r>
      <w:r w:rsidR="00EB3680">
        <w:t>.</w:t>
      </w:r>
    </w:p>
    <w:p w:rsidR="00AD5649" w:rsidP="000B09EF" w14:paraId="2580BE8D" w14:textId="77777777">
      <w:pPr>
        <w:spacing w:line="240" w:lineRule="auto"/>
      </w:pPr>
    </w:p>
    <w:p w:rsidR="00AD5649" w:rsidRPr="001E3C2E" w:rsidP="00AD5649" w14:paraId="69C6399A" w14:textId="7C3787AC">
      <w:pPr>
        <w:pStyle w:val="ListParagraph"/>
        <w:ind w:left="0"/>
        <w:rPr>
          <w:rFonts w:cs="Arial"/>
        </w:rPr>
      </w:pPr>
      <w:r>
        <w:t>Parent participants will not be representative of all family mentors</w:t>
      </w:r>
      <w:r>
        <w:rPr>
          <w:rStyle w:val="FootnoteReference"/>
        </w:rPr>
        <w:footnoteReference w:id="2"/>
      </w:r>
      <w:r>
        <w:t>, and they and their eligible child will not be representative of all youth</w:t>
      </w:r>
      <w:r w:rsidRPr="001E3C2E">
        <w:t xml:space="preserve"> </w:t>
      </w:r>
      <w:r>
        <w:t xml:space="preserve">and families currently involved with the CWS, and as such, results will not be generalizable. </w:t>
      </w:r>
      <w:r w:rsidRPr="001E3C2E">
        <w:t xml:space="preserve">Instead, </w:t>
      </w:r>
      <w:r>
        <w:t>the goal is to</w:t>
      </w:r>
      <w:r w:rsidRPr="001E3C2E">
        <w:t xml:space="preserve"> gather</w:t>
      </w:r>
      <w:r>
        <w:t xml:space="preserve"> feedback </w:t>
      </w:r>
      <w:r w:rsidRPr="001E3C2E">
        <w:t xml:space="preserve">on </w:t>
      </w:r>
      <w:r>
        <w:t>proposed constructs,</w:t>
      </w:r>
      <w:r w:rsidRPr="001E3C2E">
        <w:t xml:space="preserve"> measures</w:t>
      </w:r>
      <w:r>
        <w:t>,</w:t>
      </w:r>
      <w:r w:rsidRPr="001E3C2E">
        <w:t xml:space="preserve"> and </w:t>
      </w:r>
      <w:r>
        <w:t xml:space="preserve">other study design </w:t>
      </w:r>
      <w:r w:rsidR="00B4613C">
        <w:t>components</w:t>
      </w:r>
      <w:r>
        <w:t xml:space="preserve"> from individuals who closely represent a likely future NSCAW respondent. This will be accomplished using qualitative data collection methods, specifically, focus groups and semi-structured interviews.  </w:t>
      </w:r>
    </w:p>
    <w:p w:rsidR="000323A1" w:rsidP="009F6C26" w14:paraId="5BD0C290" w14:textId="77777777"/>
    <w:p w:rsidR="00BB2925" w:rsidP="009F6C26" w14:paraId="0C4F0DEF" w14:textId="2EA0AAB3">
      <w:r w:rsidRPr="001E3C2E">
        <w:t>As noted in Supporting Statement A, this information is not intended to be used as the principal basis for public policy decisions and is not expected to meet the threshold of influential or highly influential scientific information.</w:t>
      </w:r>
    </w:p>
    <w:p w:rsidR="000323A1" w:rsidRPr="001E3C2E" w:rsidP="009F6C26" w14:paraId="2A1B4DBE" w14:textId="77777777"/>
    <w:p w:rsidR="005F2951" w:rsidRPr="001E3C2E" w:rsidP="009F6C26" w14:paraId="2E3CD75A" w14:textId="14B2DD89">
      <w:pPr>
        <w:pStyle w:val="Heading1"/>
        <w:rPr>
          <w:rFonts w:eastAsia="Times New Roman"/>
        </w:rPr>
      </w:pPr>
      <w:r w:rsidRPr="001E3C2E">
        <w:t>B2.</w:t>
      </w:r>
      <w:r w:rsidRPr="001E3C2E">
        <w:tab/>
      </w:r>
      <w:r w:rsidRPr="001E3C2E" w:rsidR="007C2EE0">
        <w:rPr>
          <w:rFonts w:eastAsia="Times New Roman"/>
        </w:rPr>
        <w:t>Methods and Design</w:t>
      </w:r>
    </w:p>
    <w:p w:rsidR="000D7942" w:rsidRPr="001E3C2E" w:rsidP="009F6C26" w14:paraId="40412C3B" w14:textId="75E20DF6">
      <w:pPr>
        <w:pStyle w:val="Heading2"/>
        <w:rPr>
          <w:rFonts w:eastAsia="Times New Roman"/>
        </w:rPr>
      </w:pPr>
      <w:r w:rsidRPr="001E3C2E">
        <w:rPr>
          <w:rFonts w:eastAsia="Times New Roman"/>
        </w:rPr>
        <w:t>Target Population</w:t>
      </w:r>
    </w:p>
    <w:p w:rsidR="00A34FD7" w:rsidP="009F6C26" w14:paraId="27F5ABEF" w14:textId="13DBFA66">
      <w:r w:rsidRPr="001E3C2E">
        <w:t xml:space="preserve">The target population will be comprised of </w:t>
      </w:r>
      <w:r w:rsidRPr="001E3C2E" w:rsidR="006B707D">
        <w:t xml:space="preserve">parents </w:t>
      </w:r>
      <w:r w:rsidRPr="001E3C2E" w:rsidR="002B3AB6">
        <w:t xml:space="preserve">and </w:t>
      </w:r>
      <w:r w:rsidRPr="001E3C2E" w:rsidR="002A6332">
        <w:t>youth</w:t>
      </w:r>
      <w:r w:rsidRPr="001E3C2E" w:rsidR="002B3AB6">
        <w:t xml:space="preserve"> </w:t>
      </w:r>
      <w:r w:rsidRPr="001E3C2E" w:rsidR="006B707D">
        <w:t xml:space="preserve">with CWS LE (i.e., involvement with the CWS) whose CWS cases are currently closed. </w:t>
      </w:r>
      <w:r w:rsidRPr="001E3C2E" w:rsidR="003954CB">
        <w:t>The sample of parents to be recruited currently serve as professional family mentors to other families entering the CWS.</w:t>
      </w:r>
      <w:r w:rsidR="003954CB">
        <w:t xml:space="preserve"> </w:t>
      </w:r>
      <w:r w:rsidRPr="001E3C2E" w:rsidR="006B707D">
        <w:t xml:space="preserve">In addition, </w:t>
      </w:r>
      <w:r w:rsidR="003954CB">
        <w:t>parent</w:t>
      </w:r>
      <w:r w:rsidRPr="001E3C2E" w:rsidR="003954CB">
        <w:t xml:space="preserve"> </w:t>
      </w:r>
      <w:r w:rsidRPr="001E3C2E" w:rsidR="002B3AB6">
        <w:t>participants must have a child aged 11-17 living in the home.</w:t>
      </w:r>
      <w:r>
        <w:t xml:space="preserve"> </w:t>
      </w:r>
      <w:r w:rsidR="003954CB">
        <w:t xml:space="preserve">These youth </w:t>
      </w:r>
      <w:r w:rsidR="00B4613C">
        <w:t xml:space="preserve">will </w:t>
      </w:r>
      <w:r w:rsidRPr="001E3C2E" w:rsidR="005D2343">
        <w:t xml:space="preserve">constitute the eligible sample for the </w:t>
      </w:r>
      <w:r w:rsidR="003954CB">
        <w:t>youth</w:t>
      </w:r>
      <w:r w:rsidRPr="001E3C2E" w:rsidR="003954CB">
        <w:t xml:space="preserve"> </w:t>
      </w:r>
      <w:r w:rsidRPr="001E3C2E" w:rsidR="005D2343">
        <w:t>target population.</w:t>
      </w:r>
      <w:r w:rsidR="003954CB">
        <w:t xml:space="preserve"> </w:t>
      </w:r>
      <w:r>
        <w:t>The screening questionnaire (</w:t>
      </w:r>
      <w:r w:rsidRPr="00D77DB9">
        <w:rPr>
          <w:b/>
          <w:bCs/>
        </w:rPr>
        <w:t>Instrument 1</w:t>
      </w:r>
      <w:r>
        <w:t>) will also ask parents about how many years ago their CWS case closed; the study team will use this information to select participants with the most recent CWS experience.</w:t>
      </w:r>
    </w:p>
    <w:p w:rsidR="00A34FD7" w:rsidP="009F6C26" w14:paraId="6D7F2C5D" w14:textId="77777777"/>
    <w:p w:rsidR="00BD38B4" w:rsidRPr="003B009E" w:rsidP="009F6C26" w14:paraId="158360A3" w14:textId="41CC625F">
      <w:r w:rsidRPr="001E3C2E">
        <w:t xml:space="preserve">Because </w:t>
      </w:r>
      <w:r w:rsidR="00A34FD7">
        <w:t xml:space="preserve">this study is recruiting 32 youth and only 16 parents, </w:t>
      </w:r>
      <w:r w:rsidRPr="001E3C2E">
        <w:t xml:space="preserve">there will ultimately be more youth than parents who participate in </w:t>
      </w:r>
      <w:r>
        <w:t xml:space="preserve">these </w:t>
      </w:r>
      <w:r w:rsidRPr="001E3C2E">
        <w:t>activities</w:t>
      </w:r>
      <w:r w:rsidR="00A34FD7">
        <w:t xml:space="preserve"> and therefore</w:t>
      </w:r>
      <w:r w:rsidRPr="001E3C2E">
        <w:t xml:space="preserve"> not every youth will have a corresponding parent</w:t>
      </w:r>
      <w:r w:rsidR="00A34FD7">
        <w:t xml:space="preserve"> participate</w:t>
      </w:r>
      <w:r w:rsidRPr="001E3C2E">
        <w:t>. However, there are no research questions intended for dyadic comparisons across parent and youth participants.</w:t>
      </w:r>
      <w:r w:rsidR="00A34FD7">
        <w:t xml:space="preserve"> Using the screening questionnaire (</w:t>
      </w:r>
      <w:r w:rsidRPr="003B009E" w:rsidR="00A34FD7">
        <w:rPr>
          <w:b/>
          <w:bCs/>
        </w:rPr>
        <w:t>Instrument 1</w:t>
      </w:r>
      <w:r w:rsidR="00A34FD7">
        <w:t>), the study team will determine which screened and eligible sample members to select and invite to participate based on the study’s need (i.e., if the study has met the maximum number of parent participants (n=16) but still needs youth participa</w:t>
      </w:r>
      <w:r w:rsidR="00F21B87">
        <w:t>nts</w:t>
      </w:r>
      <w:r w:rsidR="00A34FD7">
        <w:t>, parents may be contacted about their child’s participation in the study).</w:t>
      </w:r>
      <w:r w:rsidRPr="001E3C2E">
        <w:t xml:space="preserve"> </w:t>
      </w:r>
    </w:p>
    <w:p w:rsidR="00BD38B4" w:rsidRPr="001E3C2E" w:rsidP="009F6C26" w14:paraId="7C31CEC4" w14:textId="6FE3567F">
      <w:pPr>
        <w:pStyle w:val="Heading2"/>
        <w:rPr>
          <w:rFonts w:eastAsia="Times New Roman"/>
        </w:rPr>
      </w:pPr>
      <w:r>
        <w:rPr>
          <w:rFonts w:eastAsia="Times New Roman"/>
        </w:rPr>
        <w:t>Respondent Recruitment</w:t>
      </w:r>
    </w:p>
    <w:p w:rsidR="00467F0F" w:rsidP="00467F0F" w14:paraId="03CF97CC" w14:textId="4A7C6172">
      <w:r w:rsidRPr="001E3C2E">
        <w:t xml:space="preserve">To identify potential respondents, </w:t>
      </w:r>
      <w:r w:rsidR="00B4613C">
        <w:t xml:space="preserve">a </w:t>
      </w:r>
      <w:r w:rsidR="00AD5649">
        <w:t>targeted selection</w:t>
      </w:r>
      <w:r w:rsidR="00B4613C">
        <w:t xml:space="preserve"> process</w:t>
      </w:r>
      <w:r w:rsidRPr="001E3C2E">
        <w:t xml:space="preserve"> will be used to recruit 16 parents who meet the eligibility </w:t>
      </w:r>
      <w:r w:rsidR="00EC4A40">
        <w:t>(i.e., closed case with the CWS</w:t>
      </w:r>
      <w:r w:rsidR="0094195D">
        <w:t>, and a child between the ages of 11-17 living at hom</w:t>
      </w:r>
      <w:r w:rsidR="002B37E6">
        <w:t xml:space="preserve">e) </w:t>
      </w:r>
      <w:r w:rsidR="00FB5ADF">
        <w:t xml:space="preserve">and inclusion (willing and able to consent to the study; able to read or speak English proficiently; able to access internet or smartphone with cellular service; and willing to participate in </w:t>
      </w:r>
      <w:r w:rsidR="00162B90">
        <w:t xml:space="preserve">a </w:t>
      </w:r>
      <w:r w:rsidR="00FB5ADF">
        <w:t>focus group)</w:t>
      </w:r>
      <w:r w:rsidRPr="001F66DF" w:rsidR="00FB5ADF">
        <w:t xml:space="preserve">. </w:t>
      </w:r>
      <w:r>
        <w:t xml:space="preserve">This </w:t>
      </w:r>
      <w:r w:rsidR="00B4613C">
        <w:t xml:space="preserve">targeted </w:t>
      </w:r>
      <w:r>
        <w:t xml:space="preserve">selection will be </w:t>
      </w:r>
      <w:r w:rsidR="00B4613C">
        <w:t>accom</w:t>
      </w:r>
      <w:r w:rsidR="000A460C">
        <w:t>plished</w:t>
      </w:r>
      <w:r>
        <w:t xml:space="preserve"> using the </w:t>
      </w:r>
      <w:r w:rsidR="00B4613C">
        <w:t>Parent Screener</w:t>
      </w:r>
      <w:r>
        <w:t xml:space="preserve"> (</w:t>
      </w:r>
      <w:r w:rsidRPr="00434020">
        <w:rPr>
          <w:b/>
          <w:bCs/>
        </w:rPr>
        <w:t>Instrument 1</w:t>
      </w:r>
      <w:r>
        <w:t>).</w:t>
      </w:r>
    </w:p>
    <w:p w:rsidR="00467F0F" w:rsidP="00434020" w14:paraId="7A1AE415" w14:textId="77777777">
      <w:pPr>
        <w:spacing w:line="240" w:lineRule="auto"/>
      </w:pPr>
    </w:p>
    <w:p w:rsidR="00467F0F" w:rsidRPr="00467F0F" w:rsidP="00467F0F" w14:paraId="505FD44E" w14:textId="041D180C">
      <w:r>
        <w:t xml:space="preserve">In addition to meeting those eligibility criteria, the </w:t>
      </w:r>
      <w:r w:rsidR="003E1C0F">
        <w:t>parent screener</w:t>
      </w:r>
      <w:r>
        <w:t xml:space="preserve"> will also ask parents </w:t>
      </w:r>
      <w:r w:rsidRPr="00467F0F">
        <w:t xml:space="preserve">about </w:t>
      </w:r>
      <w:r w:rsidR="000A460C">
        <w:t>their</w:t>
      </w:r>
      <w:r w:rsidRPr="00467F0F">
        <w:t xml:space="preserve"> race, ethnicity, and sexual orientation and gender identity (SOGI) [including that of their eligible child], so that </w:t>
      </w:r>
      <w:r w:rsidR="00DD2BCF">
        <w:t>recruitment</w:t>
      </w:r>
      <w:r w:rsidRPr="00467F0F">
        <w:t xml:space="preserve"> could prioritize and reflect the composition of families involved </w:t>
      </w:r>
      <w:r w:rsidRPr="00467F0F">
        <w:t>with the CWS.</w:t>
      </w:r>
      <w:r>
        <w:t xml:space="preserve"> </w:t>
      </w:r>
      <w:r w:rsidRPr="00467F0F">
        <w:t xml:space="preserve">The goal of asking about parent and youth SOGI as part of the screener is to assist with collecting data from a diverse sample of participants. Any participant's SOGI will not be disclosed in the focus groups or interviews, nor will it be included in analyses. While the reliability and validity </w:t>
      </w:r>
      <w:r w:rsidR="000A460C">
        <w:t>of</w:t>
      </w:r>
      <w:r w:rsidRPr="00467F0F">
        <w:t xml:space="preserve"> parent-reported information about their child’s SOGI is limited, this </w:t>
      </w:r>
      <w:r w:rsidR="000A460C">
        <w:t>information</w:t>
      </w:r>
      <w:r w:rsidRPr="00467F0F">
        <w:t xml:space="preserve"> collection effort is </w:t>
      </w:r>
      <w:r w:rsidR="000A460C">
        <w:t>intended to explore</w:t>
      </w:r>
      <w:r w:rsidRPr="00467F0F">
        <w:t xml:space="preserve"> the extent to which asking this </w:t>
      </w:r>
      <w:r w:rsidR="000A460C">
        <w:t>item</w:t>
      </w:r>
      <w:r w:rsidRPr="00467F0F">
        <w:t xml:space="preserve"> as part of a screener will assist with capturing a diverse sample of youth</w:t>
      </w:r>
      <w:r w:rsidR="00DD2BCF">
        <w:t>.</w:t>
      </w:r>
    </w:p>
    <w:p w:rsidR="00467F0F" w:rsidP="00434020" w14:paraId="1353D416" w14:textId="0760A4F5">
      <w:pPr>
        <w:spacing w:line="240" w:lineRule="auto"/>
      </w:pPr>
    </w:p>
    <w:p w:rsidR="000A460C" w:rsidP="000057E5" w14:paraId="0A7924E4" w14:textId="07B7E120">
      <w:r w:rsidRPr="001F66DF">
        <w:t>Parents who</w:t>
      </w:r>
      <w:r w:rsidR="00467F0F">
        <w:t xml:space="preserve"> complete the screener</w:t>
      </w:r>
      <w:r w:rsidR="00357CE3">
        <w:t xml:space="preserve">, </w:t>
      </w:r>
      <w:r w:rsidRPr="001F66DF">
        <w:t>meet the</w:t>
      </w:r>
      <w:r>
        <w:t xml:space="preserve">se </w:t>
      </w:r>
      <w:r w:rsidRPr="001F66DF">
        <w:t>criteria</w:t>
      </w:r>
      <w:r w:rsidR="00357CE3">
        <w:t>, and had a case closed with the CWS less than five years ago will be automatically recruited</w:t>
      </w:r>
      <w:r w:rsidR="003E1C0F">
        <w:t>. P</w:t>
      </w:r>
      <w:r w:rsidR="00357CE3">
        <w:t xml:space="preserve">arents who had a case closed with the CWS </w:t>
      </w:r>
      <w:r w:rsidRPr="00434020" w:rsidR="00357CE3">
        <w:rPr>
          <w:i/>
          <w:iCs/>
        </w:rPr>
        <w:t>more</w:t>
      </w:r>
      <w:r w:rsidR="00357CE3">
        <w:t xml:space="preserve"> than five years ago will have their screener data reviewed by the </w:t>
      </w:r>
      <w:r w:rsidR="00762950">
        <w:t>project team</w:t>
      </w:r>
      <w:r>
        <w:t xml:space="preserve"> prior to recruitment. This will be done </w:t>
      </w:r>
      <w:r w:rsidR="003E1C0F">
        <w:t>to</w:t>
      </w:r>
      <w:r>
        <w:t xml:space="preserve"> ensure that the number of years since their case was closed does not result in their child, currently aged 11-17, having been extremely young at the time of their involvement with the CWS, and as such, unable to remember</w:t>
      </w:r>
      <w:r w:rsidR="00357CE3">
        <w:t>. This recruitment method is used to increase the selection pool while carefully selecting parents and youth who have more recent CWS experience.</w:t>
      </w:r>
      <w:r w:rsidRPr="001F66DF">
        <w:t xml:space="preserve"> </w:t>
      </w:r>
    </w:p>
    <w:p w:rsidR="000A460C" w:rsidP="00434020" w14:paraId="66E0CF5C" w14:textId="77777777">
      <w:pPr>
        <w:spacing w:line="240" w:lineRule="auto"/>
      </w:pPr>
    </w:p>
    <w:p w:rsidR="000057E5" w:rsidP="000057E5" w14:paraId="2B4B7764" w14:textId="5CEB9F80">
      <w:r>
        <w:t xml:space="preserve">Eligible children of the parent respondents will comprise the sampling frame for the youth population, from which up to </w:t>
      </w:r>
      <w:r w:rsidRPr="001E3C2E">
        <w:t xml:space="preserve">12 youth who are 11-14 and </w:t>
      </w:r>
      <w:r>
        <w:t xml:space="preserve">up to </w:t>
      </w:r>
      <w:r w:rsidRPr="001E3C2E">
        <w:t xml:space="preserve">20 youth </w:t>
      </w:r>
      <w:r>
        <w:t xml:space="preserve">who are </w:t>
      </w:r>
      <w:r w:rsidRPr="001E3C2E">
        <w:t>15-17 years old</w:t>
      </w:r>
      <w:r>
        <w:t xml:space="preserve"> will participate.</w:t>
      </w:r>
    </w:p>
    <w:p w:rsidR="000323A1" w:rsidP="000057E5" w14:paraId="45EC59C4" w14:textId="77777777"/>
    <w:p w:rsidR="00E75D57" w:rsidRPr="001E3C2E" w:rsidP="009F6C26" w14:paraId="37839294" w14:textId="5B9EAD75">
      <w:pPr>
        <w:pStyle w:val="Heading1"/>
        <w:rPr>
          <w:rFonts w:eastAsia="Times New Roman"/>
        </w:rPr>
      </w:pPr>
      <w:r w:rsidRPr="001E3C2E">
        <w:rPr>
          <w:rFonts w:eastAsia="Times New Roman"/>
        </w:rPr>
        <w:t>B3.</w:t>
      </w:r>
      <w:r w:rsidRPr="001E3C2E">
        <w:rPr>
          <w:rFonts w:eastAsia="Times New Roman"/>
        </w:rPr>
        <w:tab/>
        <w:t>Design of Data Collection Instruments</w:t>
      </w:r>
    </w:p>
    <w:p w:rsidR="00E75D57" w:rsidRPr="001E3C2E" w:rsidP="009F6C26" w14:paraId="799139A7" w14:textId="51F643B6">
      <w:pPr>
        <w:pStyle w:val="Heading2"/>
        <w:rPr>
          <w:rFonts w:eastAsia="Times New Roman"/>
        </w:rPr>
      </w:pPr>
      <w:r w:rsidRPr="001E3C2E">
        <w:rPr>
          <w:rFonts w:eastAsia="Times New Roman"/>
        </w:rPr>
        <w:t>Development of Data Collection Instruments</w:t>
      </w:r>
    </w:p>
    <w:p w:rsidR="00EC6814" w:rsidP="002B37E6" w14:paraId="5BC6842C" w14:textId="3CF9B6E1">
      <w:pPr>
        <w:spacing w:after="160"/>
      </w:pPr>
      <w:r>
        <w:t>Instruments</w:t>
      </w:r>
      <w:r w:rsidR="00C1108D">
        <w:t xml:space="preserve"> </w:t>
      </w:r>
      <w:r w:rsidR="00047248">
        <w:t xml:space="preserve">were developed </w:t>
      </w:r>
      <w:r w:rsidR="000203DB">
        <w:t>in collaboration with a Technical Workgroup (TWG)</w:t>
      </w:r>
      <w:r w:rsidR="00DD6EC5">
        <w:t xml:space="preserve"> - </w:t>
      </w:r>
      <w:r w:rsidR="000203DB">
        <w:t xml:space="preserve">comprised of </w:t>
      </w:r>
      <w:r w:rsidRPr="001E3C2E" w:rsidR="000203DB">
        <w:t>research experts</w:t>
      </w:r>
      <w:r w:rsidR="000203DB">
        <w:t xml:space="preserve"> and</w:t>
      </w:r>
      <w:r w:rsidRPr="001E3C2E" w:rsidR="000203DB">
        <w:t xml:space="preserve"> individuals with </w:t>
      </w:r>
      <w:r w:rsidR="000203DB">
        <w:t xml:space="preserve">CWS </w:t>
      </w:r>
      <w:r w:rsidRPr="001E3C2E" w:rsidR="000203DB">
        <w:t>LE</w:t>
      </w:r>
      <w:r w:rsidR="00DD6EC5">
        <w:t xml:space="preserve"> - </w:t>
      </w:r>
      <w:r w:rsidR="00047248">
        <w:t xml:space="preserve">for use </w:t>
      </w:r>
      <w:r w:rsidR="00C1108D">
        <w:t xml:space="preserve">with parents and youth </w:t>
      </w:r>
      <w:r w:rsidR="000203DB">
        <w:t xml:space="preserve">aged 11-17 who had prior experience with the CWS. </w:t>
      </w:r>
      <w:r>
        <w:t>T</w:t>
      </w:r>
      <w:r w:rsidR="000203DB">
        <w:t>he TWG</w:t>
      </w:r>
      <w:r w:rsidR="00C1108D">
        <w:t xml:space="preserve"> recommended priority topics and interview questions </w:t>
      </w:r>
      <w:r w:rsidR="000203DB">
        <w:t xml:space="preserve">related to </w:t>
      </w:r>
      <w:r w:rsidR="00AD1AF7">
        <w:t>constructs</w:t>
      </w:r>
      <w:r w:rsidR="002B37E6">
        <w:rPr>
          <w:vertAlign w:val="superscript"/>
        </w:rPr>
        <w:t xml:space="preserve"> </w:t>
      </w:r>
      <w:r w:rsidR="00AD1AF7">
        <w:t xml:space="preserve">and/or measures deemed </w:t>
      </w:r>
      <w:r w:rsidR="00381F9D">
        <w:t xml:space="preserve">potentially </w:t>
      </w:r>
      <w:r w:rsidR="00AD1AF7">
        <w:t>problematic</w:t>
      </w:r>
      <w:r w:rsidR="00381F9D">
        <w:t xml:space="preserve"> for a future NSCAW</w:t>
      </w:r>
      <w:r w:rsidR="00AD1AF7">
        <w:t xml:space="preserve"> (e.g., outdated, not inclusive, triggering)</w:t>
      </w:r>
      <w:r w:rsidR="000203DB">
        <w:t xml:space="preserve">, </w:t>
      </w:r>
      <w:r w:rsidR="00FF4B27">
        <w:t xml:space="preserve">in order to elicit </w:t>
      </w:r>
      <w:r w:rsidRPr="001E3C2E" w:rsidR="00E43100">
        <w:t xml:space="preserve">reactions and </w:t>
      </w:r>
      <w:r w:rsidR="00FF4B27">
        <w:t>gather</w:t>
      </w:r>
      <w:r w:rsidRPr="001E3C2E" w:rsidR="00FF4B27">
        <w:t xml:space="preserve"> </w:t>
      </w:r>
      <w:r w:rsidRPr="001E3C2E" w:rsidR="00E43100">
        <w:t>feedback</w:t>
      </w:r>
      <w:r w:rsidR="00FF4B27">
        <w:t xml:space="preserve"> that could then be used to inform</w:t>
      </w:r>
      <w:r w:rsidR="000203DB">
        <w:t xml:space="preserve"> a future NSCAW</w:t>
      </w:r>
      <w:r w:rsidR="00FF4B27">
        <w:t xml:space="preserve"> design</w:t>
      </w:r>
      <w:r w:rsidRPr="001E3C2E" w:rsidR="00E43100">
        <w:t>.</w:t>
      </w:r>
      <w:r w:rsidRPr="001E3C2E" w:rsidR="005E4373">
        <w:t xml:space="preserve"> </w:t>
      </w:r>
      <w:r w:rsidR="00FF4B27">
        <w:t>In addit</w:t>
      </w:r>
      <w:r w:rsidR="000203DB">
        <w:t>ion</w:t>
      </w:r>
      <w:r w:rsidR="00FF4B27">
        <w:t xml:space="preserve">, the TWG recommended </w:t>
      </w:r>
      <w:r w:rsidR="000203DB">
        <w:t>asking questions around g</w:t>
      </w:r>
      <w:r w:rsidRPr="001E3C2E" w:rsidR="00C366F0">
        <w:t xml:space="preserve">eneral constructs or concepts (e.g., well-being, system experiences) </w:t>
      </w:r>
      <w:r w:rsidR="00FF4B27">
        <w:t xml:space="preserve">to </w:t>
      </w:r>
      <w:r w:rsidRPr="001E3C2E" w:rsidR="00926D2F">
        <w:t xml:space="preserve">learn how </w:t>
      </w:r>
      <w:r w:rsidR="00FF4B27">
        <w:t>these individuals with CWS LE</w:t>
      </w:r>
      <w:r w:rsidRPr="001E3C2E" w:rsidR="00FF4B27">
        <w:t xml:space="preserve"> </w:t>
      </w:r>
      <w:r w:rsidRPr="001E3C2E" w:rsidR="004B3B85">
        <w:t>think about and define those concepts and experiences in their own words.</w:t>
      </w:r>
      <w:r w:rsidRPr="001E3C2E" w:rsidR="005E4373">
        <w:t xml:space="preserve"> </w:t>
      </w:r>
      <w:r w:rsidR="000203DB">
        <w:t xml:space="preserve">As a means of understanding issues related to respondent engagement and burden, the </w:t>
      </w:r>
      <w:r w:rsidR="00762950">
        <w:t>project team</w:t>
      </w:r>
      <w:r w:rsidRPr="001E3C2E" w:rsidR="004B46AC">
        <w:t xml:space="preserve"> </w:t>
      </w:r>
      <w:r w:rsidRPr="001E3C2E" w:rsidR="000D6BCD">
        <w:t xml:space="preserve">also </w:t>
      </w:r>
      <w:r>
        <w:t xml:space="preserve">developed </w:t>
      </w:r>
      <w:r w:rsidR="000203DB">
        <w:t xml:space="preserve">questions </w:t>
      </w:r>
      <w:r w:rsidR="005B7C6E">
        <w:t xml:space="preserve">focused on </w:t>
      </w:r>
      <w:r w:rsidR="00094E6C">
        <w:t>data collection strategies</w:t>
      </w:r>
      <w:r w:rsidRPr="001E3C2E" w:rsidR="000D6BCD">
        <w:t xml:space="preserve"> and </w:t>
      </w:r>
      <w:r w:rsidR="005B7C6E">
        <w:t xml:space="preserve">study design </w:t>
      </w:r>
      <w:r w:rsidRPr="001E3C2E" w:rsidR="000D6BCD">
        <w:t>implementation (e.g., mode</w:t>
      </w:r>
      <w:r w:rsidR="00094E6C">
        <w:t xml:space="preserve"> preferences</w:t>
      </w:r>
      <w:r w:rsidRPr="001E3C2E" w:rsidR="000D6BCD">
        <w:t xml:space="preserve">, </w:t>
      </w:r>
      <w:r w:rsidR="00094E6C">
        <w:t>tokens of appreciation</w:t>
      </w:r>
      <w:r w:rsidRPr="001E3C2E" w:rsidR="000D6BCD">
        <w:t>).</w:t>
      </w:r>
      <w:r w:rsidR="00A34FD7">
        <w:t xml:space="preserve"> </w:t>
      </w:r>
      <w:r w:rsidR="00094E6C">
        <w:t xml:space="preserve">Draft instruments underwent several iterations of review by the </w:t>
      </w:r>
      <w:r w:rsidR="00762950">
        <w:t>project team</w:t>
      </w:r>
      <w:r w:rsidR="00094E6C">
        <w:t xml:space="preserve"> and members of the TWG </w:t>
      </w:r>
      <w:r w:rsidR="00D20C7F">
        <w:t>to</w:t>
      </w:r>
      <w:r w:rsidR="00333059">
        <w:t xml:space="preserve"> refine instruments as a means of minimizing error</w:t>
      </w:r>
      <w:r w:rsidR="00094E6C">
        <w:t xml:space="preserve">. </w:t>
      </w:r>
      <w:r w:rsidRPr="006379E5" w:rsidR="00094E6C">
        <w:rPr>
          <w:b/>
          <w:bCs/>
        </w:rPr>
        <w:t>Instruments 2, 3, 4, 5</w:t>
      </w:r>
      <w:r w:rsidRPr="006379E5">
        <w:rPr>
          <w:b/>
          <w:bCs/>
        </w:rPr>
        <w:t>, and 6</w:t>
      </w:r>
      <w:r>
        <w:t xml:space="preserve"> contain the following: </w:t>
      </w:r>
    </w:p>
    <w:p w:rsidR="00DD6EC5" w:rsidP="006379E5" w14:paraId="6059D3B0" w14:textId="77777777">
      <w:pPr>
        <w:pStyle w:val="ListParagraph"/>
        <w:numPr>
          <w:ilvl w:val="0"/>
          <w:numId w:val="50"/>
        </w:numPr>
        <w:spacing w:line="240" w:lineRule="auto"/>
      </w:pPr>
      <w:r w:rsidRPr="006379E5">
        <w:rPr>
          <w:b/>
          <w:bCs/>
        </w:rPr>
        <w:t>Instrument 2</w:t>
      </w:r>
      <w:r>
        <w:t xml:space="preserve">: </w:t>
      </w:r>
      <w:r w:rsidRPr="00DD6EC5">
        <w:t>Interview Guide for Youth Ages 11-14 – Topic Set 1</w:t>
      </w:r>
    </w:p>
    <w:p w:rsidR="00DD6EC5" w:rsidP="006379E5" w14:paraId="3413E462" w14:textId="45380DC4">
      <w:pPr>
        <w:pStyle w:val="ListParagraph"/>
        <w:numPr>
          <w:ilvl w:val="0"/>
          <w:numId w:val="50"/>
        </w:numPr>
        <w:spacing w:line="240" w:lineRule="auto"/>
      </w:pPr>
      <w:r w:rsidRPr="006379E5">
        <w:rPr>
          <w:b/>
          <w:bCs/>
        </w:rPr>
        <w:t>Instrument 3</w:t>
      </w:r>
      <w:r>
        <w:t xml:space="preserve">: </w:t>
      </w:r>
      <w:r w:rsidRPr="00DD6EC5">
        <w:t>Focus Group Guide for Youth Ages 15-17 – Topic Set 1</w:t>
      </w:r>
    </w:p>
    <w:p w:rsidR="00DD6EC5" w:rsidRPr="00DD6EC5" w:rsidP="006379E5" w14:paraId="449F9D5E" w14:textId="5975E1E7">
      <w:pPr>
        <w:pStyle w:val="ListParagraph"/>
        <w:numPr>
          <w:ilvl w:val="0"/>
          <w:numId w:val="50"/>
        </w:numPr>
        <w:spacing w:line="240" w:lineRule="auto"/>
      </w:pPr>
      <w:r w:rsidRPr="006379E5">
        <w:rPr>
          <w:b/>
          <w:bCs/>
        </w:rPr>
        <w:t>Instrument 4</w:t>
      </w:r>
      <w:r>
        <w:t xml:space="preserve">: </w:t>
      </w:r>
      <w:r w:rsidRPr="00DD6EC5">
        <w:t xml:space="preserve">Interview Guide for Youth Ages 11-14 – Topic Set </w:t>
      </w:r>
      <w:r>
        <w:t>2</w:t>
      </w:r>
    </w:p>
    <w:p w:rsidR="00EC6814" w:rsidP="006379E5" w14:paraId="4AD3DD73" w14:textId="65C4C1DB">
      <w:pPr>
        <w:pStyle w:val="ListParagraph"/>
        <w:numPr>
          <w:ilvl w:val="0"/>
          <w:numId w:val="50"/>
        </w:numPr>
        <w:spacing w:line="240" w:lineRule="auto"/>
      </w:pPr>
      <w:r w:rsidRPr="006379E5">
        <w:rPr>
          <w:b/>
          <w:bCs/>
        </w:rPr>
        <w:t xml:space="preserve">Instrument </w:t>
      </w:r>
      <w:r w:rsidRPr="00DD6EC5" w:rsidR="00762950">
        <w:rPr>
          <w:b/>
          <w:bCs/>
        </w:rPr>
        <w:t>5</w:t>
      </w:r>
      <w:r w:rsidRPr="006379E5">
        <w:rPr>
          <w:b/>
          <w:bCs/>
        </w:rPr>
        <w:t>:</w:t>
      </w:r>
      <w:r>
        <w:t xml:space="preserve"> </w:t>
      </w:r>
      <w:r w:rsidRPr="00DD6EC5" w:rsidR="00DD6EC5">
        <w:t xml:space="preserve">Focus Group Guide for Youth Ages 15-17 – Topic Set </w:t>
      </w:r>
      <w:r w:rsidR="00DD6EC5">
        <w:t>2</w:t>
      </w:r>
    </w:p>
    <w:p w:rsidR="00094E6C" w:rsidP="00DD6EC5" w14:paraId="316DBDAF" w14:textId="1B4114E9">
      <w:pPr>
        <w:pStyle w:val="ListParagraph"/>
        <w:numPr>
          <w:ilvl w:val="0"/>
          <w:numId w:val="50"/>
        </w:numPr>
        <w:spacing w:line="240" w:lineRule="auto"/>
      </w:pPr>
      <w:r w:rsidRPr="006379E5">
        <w:rPr>
          <w:b/>
          <w:bCs/>
        </w:rPr>
        <w:t xml:space="preserve">Instrument </w:t>
      </w:r>
      <w:r w:rsidR="00762950">
        <w:rPr>
          <w:b/>
          <w:bCs/>
        </w:rPr>
        <w:t>6</w:t>
      </w:r>
      <w:r w:rsidRPr="006379E5">
        <w:rPr>
          <w:b/>
          <w:bCs/>
        </w:rPr>
        <w:t>:</w:t>
      </w:r>
      <w:r>
        <w:t xml:space="preserve"> Focus Group Guide</w:t>
      </w:r>
      <w:r w:rsidR="00DD6EC5">
        <w:t xml:space="preserve"> for Parents</w:t>
      </w:r>
    </w:p>
    <w:p w:rsidR="00DD6EC5" w:rsidP="006379E5" w14:paraId="6930045A" w14:textId="77777777">
      <w:pPr>
        <w:pStyle w:val="ListParagraph"/>
        <w:spacing w:line="240" w:lineRule="auto"/>
        <w:ind w:left="432"/>
      </w:pPr>
    </w:p>
    <w:p w:rsidR="007F596B" w:rsidP="002B37E6" w14:paraId="7A32AEC1" w14:textId="563A6F9B">
      <w:pPr>
        <w:spacing w:after="160"/>
      </w:pPr>
      <w:r>
        <w:t>Participants</w:t>
      </w:r>
      <w:r w:rsidRPr="007F596B">
        <w:t xml:space="preserve"> will not be asked to read materials or prepare information prior to the </w:t>
      </w:r>
      <w:r>
        <w:t>focus groups or interviews.</w:t>
      </w:r>
    </w:p>
    <w:p w:rsidR="00FE655A" w:rsidP="00FE655A" w14:paraId="6F78719E" w14:textId="271646B4">
      <w:pPr>
        <w:spacing w:after="160"/>
      </w:pPr>
      <w:r w:rsidRPr="006379E5">
        <w:rPr>
          <w:b/>
          <w:bCs/>
          <w:color w:val="365F91" w:themeColor="accent1" w:themeShade="BF"/>
        </w:rPr>
        <w:t>Exhibit 1</w:t>
      </w:r>
      <w:r w:rsidRPr="006379E5">
        <w:rPr>
          <w:color w:val="365F91" w:themeColor="accent1" w:themeShade="BF"/>
        </w:rPr>
        <w:t xml:space="preserve"> </w:t>
      </w:r>
      <w:r w:rsidRPr="00546B21" w:rsidR="00546B21">
        <w:t xml:space="preserve">presents each </w:t>
      </w:r>
      <w:r w:rsidR="00333059">
        <w:t>instrument</w:t>
      </w:r>
      <w:r w:rsidR="00D20C7F">
        <w:t xml:space="preserve"> along with the </w:t>
      </w:r>
      <w:r w:rsidRPr="00546B21" w:rsidR="00546B21">
        <w:t xml:space="preserve">corresponding </w:t>
      </w:r>
      <w:r w:rsidR="00007D28">
        <w:t>guiding questions</w:t>
      </w:r>
      <w:r w:rsidR="007F596B">
        <w:t xml:space="preserve"> and </w:t>
      </w:r>
      <w:r w:rsidRPr="00546B21" w:rsidR="007F596B">
        <w:t>study objective</w:t>
      </w:r>
      <w:r w:rsidR="007F596B">
        <w:t>s</w:t>
      </w:r>
      <w:r w:rsidRPr="00546B21" w:rsidR="00546B21">
        <w:t>.</w:t>
      </w:r>
      <w:r w:rsidR="00546B21">
        <w:t xml:space="preserve"> </w:t>
      </w:r>
      <w:r w:rsidR="00FF4B27">
        <w:t>While not</w:t>
      </w:r>
      <w:r w:rsidRPr="001E3C2E" w:rsidR="00B67B80">
        <w:t xml:space="preserve"> all participants will </w:t>
      </w:r>
      <w:r w:rsidR="007F596B">
        <w:t xml:space="preserve">be </w:t>
      </w:r>
      <w:r w:rsidR="00FF4B27">
        <w:t>discussing</w:t>
      </w:r>
      <w:r w:rsidR="007F596B">
        <w:t xml:space="preserve">, </w:t>
      </w:r>
      <w:r w:rsidR="00FF4B27">
        <w:t>answering questions</w:t>
      </w:r>
      <w:r w:rsidR="007F596B">
        <w:t>,</w:t>
      </w:r>
      <w:r w:rsidR="00D20C7F">
        <w:t xml:space="preserve"> or reacting to prompts</w:t>
      </w:r>
      <w:r w:rsidR="00FF4B27">
        <w:t xml:space="preserve"> about the same topics</w:t>
      </w:r>
      <w:r w:rsidR="00D20C7F">
        <w:t xml:space="preserve"> (i.e., </w:t>
      </w:r>
      <w:r w:rsidR="00DD6EC5">
        <w:t>Topic Set 1, Topic Set 2</w:t>
      </w:r>
      <w:r w:rsidR="00D20C7F">
        <w:t>)</w:t>
      </w:r>
      <w:r w:rsidR="00FF4B27">
        <w:t xml:space="preserve">, each </w:t>
      </w:r>
      <w:r w:rsidR="006D4D30">
        <w:t xml:space="preserve">instrument </w:t>
      </w:r>
      <w:r w:rsidR="00FF4B27">
        <w:t>will address</w:t>
      </w:r>
      <w:r w:rsidR="006D4D30">
        <w:t xml:space="preserve"> both study objectives</w:t>
      </w:r>
      <w:r w:rsidR="00FF4B27">
        <w:t xml:space="preserve"> </w:t>
      </w:r>
      <w:r w:rsidR="00007D28">
        <w:t>in</w:t>
      </w:r>
      <w:r w:rsidR="00FF4B27">
        <w:t xml:space="preserve"> </w:t>
      </w:r>
      <w:r w:rsidRPr="006379E5" w:rsidR="00333059">
        <w:rPr>
          <w:b/>
          <w:bCs/>
        </w:rPr>
        <w:t xml:space="preserve">Section </w:t>
      </w:r>
      <w:r w:rsidRPr="006379E5" w:rsidR="00FF4B27">
        <w:rPr>
          <w:b/>
          <w:bCs/>
        </w:rPr>
        <w:t>B.1</w:t>
      </w:r>
      <w:r w:rsidR="00007D28">
        <w:t xml:space="preserve"> and all three guiding questions in </w:t>
      </w:r>
      <w:r w:rsidRPr="006379E5" w:rsidR="00007D28">
        <w:rPr>
          <w:b/>
          <w:bCs/>
        </w:rPr>
        <w:t>Section A.2</w:t>
      </w:r>
      <w:r w:rsidR="00007D28">
        <w:t>.</w:t>
      </w:r>
    </w:p>
    <w:p w:rsidR="00546B21" w:rsidRPr="00546B21" w:rsidP="00546B21" w14:paraId="225D49A5" w14:textId="73DF664F">
      <w:pPr>
        <w:autoSpaceDE w:val="0"/>
        <w:autoSpaceDN w:val="0"/>
        <w:adjustRightInd w:val="0"/>
        <w:spacing w:after="120" w:line="240" w:lineRule="atLeast"/>
        <w:rPr>
          <w:rFonts w:cs="Arial"/>
          <w:b/>
        </w:rPr>
      </w:pPr>
      <w:r w:rsidRPr="00546B21">
        <w:rPr>
          <w:rFonts w:cs="Arial"/>
          <w:b/>
          <w:color w:val="365F91" w:themeColor="accent1" w:themeShade="BF"/>
        </w:rPr>
        <w:t>Exhibit 1</w:t>
      </w:r>
      <w:r w:rsidRPr="00546B21">
        <w:rPr>
          <w:rFonts w:cs="Arial"/>
          <w:b/>
          <w:color w:val="17365D" w:themeColor="text2" w:themeShade="BF"/>
        </w:rPr>
        <w:t xml:space="preserve">: </w:t>
      </w:r>
      <w:r w:rsidRPr="00546B21">
        <w:rPr>
          <w:rFonts w:cs="Arial"/>
          <w:b/>
        </w:rPr>
        <w:t>Data Collection Instruments</w:t>
      </w:r>
      <w:r w:rsidR="00BC480B">
        <w:rPr>
          <w:rFonts w:cs="Arial"/>
          <w:b/>
        </w:rPr>
        <w:t>, Related Guiding Questions</w:t>
      </w:r>
      <w:r w:rsidR="007F596B">
        <w:rPr>
          <w:rFonts w:cs="Arial"/>
          <w:b/>
        </w:rPr>
        <w:t xml:space="preserve"> and</w:t>
      </w:r>
      <w:r w:rsidR="00BC480B">
        <w:rPr>
          <w:rFonts w:cs="Arial"/>
          <w:b/>
        </w:rPr>
        <w:t xml:space="preserve"> Study Objectives</w:t>
      </w:r>
    </w:p>
    <w:tbl>
      <w:tblPr>
        <w:tblW w:w="1116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050"/>
        <w:gridCol w:w="3780"/>
        <w:gridCol w:w="3330"/>
      </w:tblGrid>
      <w:tr w14:paraId="016E659E" w14:textId="77777777" w:rsidTr="006379E5">
        <w:tblPrEx>
          <w:tblW w:w="1116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287"/>
        </w:trPr>
        <w:tc>
          <w:tcPr>
            <w:tcW w:w="4050" w:type="dxa"/>
            <w:shd w:val="clear" w:color="auto" w:fill="D9D9D9" w:themeFill="background1" w:themeFillShade="D9"/>
            <w:tcMar>
              <w:top w:w="0" w:type="dxa"/>
              <w:left w:w="108" w:type="dxa"/>
              <w:bottom w:w="0" w:type="dxa"/>
              <w:right w:w="108" w:type="dxa"/>
            </w:tcMar>
            <w:vAlign w:val="center"/>
            <w:hideMark/>
          </w:tcPr>
          <w:p w:rsidR="00BC480B" w:rsidRPr="00BC480B" w:rsidP="00007D28" w14:paraId="6FDF06A5" w14:textId="08588678">
            <w:pPr>
              <w:spacing w:line="240" w:lineRule="auto"/>
              <w:jc w:val="center"/>
              <w:rPr>
                <w:rFonts w:cs="Arial"/>
                <w:b/>
                <w:sz w:val="20"/>
                <w:szCs w:val="20"/>
              </w:rPr>
            </w:pPr>
            <w:bookmarkStart w:id="2" w:name="_Hlk167807254"/>
            <w:r w:rsidRPr="00BC480B">
              <w:rPr>
                <w:rFonts w:cs="Arial"/>
                <w:b/>
                <w:sz w:val="20"/>
                <w:szCs w:val="20"/>
              </w:rPr>
              <w:t>Data Collection Instruments</w:t>
            </w:r>
          </w:p>
        </w:tc>
        <w:tc>
          <w:tcPr>
            <w:tcW w:w="3780" w:type="dxa"/>
            <w:shd w:val="clear" w:color="auto" w:fill="D9D9D9" w:themeFill="background1" w:themeFillShade="D9"/>
            <w:vAlign w:val="center"/>
          </w:tcPr>
          <w:p w:rsidR="00BC480B" w:rsidRPr="00BC480B" w:rsidP="00007D28" w14:paraId="5F6B0FF7" w14:textId="22B7638F">
            <w:pPr>
              <w:spacing w:line="240" w:lineRule="auto"/>
              <w:jc w:val="center"/>
              <w:rPr>
                <w:rFonts w:cs="Arial"/>
                <w:b/>
                <w:sz w:val="20"/>
                <w:szCs w:val="20"/>
              </w:rPr>
            </w:pPr>
            <w:r>
              <w:rPr>
                <w:rFonts w:cs="Arial"/>
                <w:b/>
                <w:sz w:val="20"/>
                <w:szCs w:val="20"/>
              </w:rPr>
              <w:t>Related Guiding Questions</w:t>
            </w:r>
            <w:r w:rsidR="00007D28">
              <w:rPr>
                <w:rFonts w:cs="Arial"/>
                <w:b/>
                <w:sz w:val="20"/>
                <w:szCs w:val="20"/>
              </w:rPr>
              <w:t xml:space="preserve"> (A.2)</w:t>
            </w:r>
          </w:p>
        </w:tc>
        <w:tc>
          <w:tcPr>
            <w:tcW w:w="3330" w:type="dxa"/>
            <w:shd w:val="clear" w:color="auto" w:fill="D9D9D9" w:themeFill="background1" w:themeFillShade="D9"/>
            <w:vAlign w:val="center"/>
          </w:tcPr>
          <w:p w:rsidR="00BC480B" w:rsidRPr="00BC480B" w:rsidP="00007D28" w14:paraId="5A0EE1A0" w14:textId="5D227246">
            <w:pPr>
              <w:spacing w:line="240" w:lineRule="auto"/>
              <w:jc w:val="center"/>
              <w:rPr>
                <w:rFonts w:cs="Arial"/>
                <w:b/>
                <w:sz w:val="20"/>
                <w:szCs w:val="20"/>
              </w:rPr>
            </w:pPr>
            <w:r w:rsidRPr="00BC480B">
              <w:rPr>
                <w:rFonts w:cs="Arial"/>
                <w:b/>
                <w:sz w:val="20"/>
                <w:szCs w:val="20"/>
              </w:rPr>
              <w:t>Related Study Objectives</w:t>
            </w:r>
            <w:r w:rsidR="00007D28">
              <w:rPr>
                <w:rFonts w:cs="Arial"/>
                <w:b/>
                <w:sz w:val="20"/>
                <w:szCs w:val="20"/>
              </w:rPr>
              <w:t xml:space="preserve"> (B.1)</w:t>
            </w:r>
          </w:p>
        </w:tc>
      </w:tr>
      <w:tr w14:paraId="745D86E0" w14:textId="77777777" w:rsidTr="006379E5">
        <w:tblPrEx>
          <w:tblW w:w="11160" w:type="dxa"/>
          <w:tblInd w:w="-635" w:type="dxa"/>
          <w:tblLayout w:type="fixed"/>
          <w:tblCellMar>
            <w:left w:w="0" w:type="dxa"/>
            <w:right w:w="0" w:type="dxa"/>
          </w:tblCellMar>
          <w:tblLook w:val="04A0"/>
        </w:tblPrEx>
        <w:trPr>
          <w:trHeight w:val="774"/>
        </w:trPr>
        <w:tc>
          <w:tcPr>
            <w:tcW w:w="4050" w:type="dxa"/>
            <w:tcBorders>
              <w:bottom w:val="single" w:sz="4" w:space="0" w:color="auto"/>
            </w:tcBorders>
            <w:shd w:val="clear" w:color="auto" w:fill="auto"/>
            <w:tcMar>
              <w:top w:w="0" w:type="dxa"/>
              <w:left w:w="108" w:type="dxa"/>
              <w:bottom w:w="0" w:type="dxa"/>
              <w:right w:w="108" w:type="dxa"/>
            </w:tcMar>
            <w:vAlign w:val="center"/>
          </w:tcPr>
          <w:p w:rsidR="007F596B" w:rsidP="006379E5" w14:paraId="521DF43B" w14:textId="388E7434">
            <w:pPr>
              <w:spacing w:line="240" w:lineRule="auto"/>
              <w:jc w:val="center"/>
              <w:rPr>
                <w:rFonts w:cs="Arial"/>
                <w:sz w:val="20"/>
                <w:szCs w:val="20"/>
              </w:rPr>
            </w:pPr>
            <w:r w:rsidRPr="006379E5">
              <w:rPr>
                <w:rFonts w:cs="Arial"/>
                <w:b/>
                <w:bCs/>
                <w:sz w:val="20"/>
                <w:szCs w:val="20"/>
              </w:rPr>
              <w:t>Instrument 2</w:t>
            </w:r>
            <w:r w:rsidRPr="006379E5">
              <w:rPr>
                <w:rFonts w:cs="Arial"/>
                <w:sz w:val="20"/>
                <w:szCs w:val="20"/>
              </w:rPr>
              <w:t>:</w:t>
            </w:r>
          </w:p>
          <w:p w:rsidR="00007D28" w:rsidRPr="00BC480B" w:rsidP="006379E5" w14:paraId="7F99266F" w14:textId="63B05DE1">
            <w:pPr>
              <w:spacing w:line="240" w:lineRule="auto"/>
              <w:jc w:val="center"/>
              <w:rPr>
                <w:rFonts w:cs="Arial"/>
                <w:sz w:val="20"/>
                <w:szCs w:val="20"/>
              </w:rPr>
            </w:pPr>
            <w:r>
              <w:rPr>
                <w:rFonts w:cs="Arial"/>
                <w:sz w:val="20"/>
                <w:szCs w:val="20"/>
              </w:rPr>
              <w:t>Interview Guide for Youth Ages 11-14 – Topic Set 1</w:t>
            </w:r>
          </w:p>
        </w:tc>
        <w:tc>
          <w:tcPr>
            <w:tcW w:w="3780" w:type="dxa"/>
            <w:vMerge w:val="restart"/>
            <w:vAlign w:val="center"/>
          </w:tcPr>
          <w:p w:rsidR="00007D28" w:rsidP="00007D28" w14:paraId="335956E4" w14:textId="11957EA0">
            <w:pPr>
              <w:spacing w:line="240" w:lineRule="auto"/>
              <w:rPr>
                <w:rFonts w:cs="Arial"/>
                <w:iCs/>
                <w:sz w:val="20"/>
                <w:szCs w:val="20"/>
              </w:rPr>
            </w:pPr>
            <w:r w:rsidRPr="00007D28">
              <w:rPr>
                <w:rFonts w:cs="Arial"/>
                <w:iCs/>
                <w:sz w:val="20"/>
                <w:szCs w:val="20"/>
              </w:rPr>
              <w:t>•</w:t>
            </w:r>
            <w:r>
              <w:rPr>
                <w:rFonts w:cs="Arial"/>
                <w:iCs/>
                <w:sz w:val="20"/>
                <w:szCs w:val="20"/>
              </w:rPr>
              <w:t xml:space="preserve"> </w:t>
            </w:r>
            <w:r w:rsidRPr="00007D28">
              <w:rPr>
                <w:rFonts w:cs="Arial"/>
                <w:iCs/>
                <w:sz w:val="20"/>
                <w:szCs w:val="20"/>
              </w:rPr>
              <w:t>How do parents and youth (ages 11-17 years old) with CWS LE understand certain constructs and react to specific measures considered for one or more NSCAW design options?</w:t>
            </w:r>
          </w:p>
          <w:p w:rsidR="00007D28" w:rsidRPr="00007D28" w:rsidP="00007D28" w14:paraId="2857F70F" w14:textId="77777777">
            <w:pPr>
              <w:spacing w:line="240" w:lineRule="auto"/>
              <w:rPr>
                <w:rFonts w:cs="Arial"/>
                <w:iCs/>
                <w:sz w:val="20"/>
                <w:szCs w:val="20"/>
              </w:rPr>
            </w:pPr>
          </w:p>
          <w:p w:rsidR="00007D28" w:rsidP="00007D28" w14:paraId="05672B25" w14:textId="5D56CD8E">
            <w:pPr>
              <w:spacing w:line="240" w:lineRule="auto"/>
              <w:rPr>
                <w:rFonts w:cs="Arial"/>
                <w:iCs/>
                <w:sz w:val="20"/>
                <w:szCs w:val="20"/>
              </w:rPr>
            </w:pPr>
            <w:r w:rsidRPr="00007D28">
              <w:rPr>
                <w:rFonts w:cs="Arial"/>
                <w:iCs/>
                <w:sz w:val="20"/>
                <w:szCs w:val="20"/>
              </w:rPr>
              <w:t>•</w:t>
            </w:r>
            <w:r>
              <w:rPr>
                <w:rFonts w:cs="Arial"/>
                <w:iCs/>
                <w:sz w:val="20"/>
                <w:szCs w:val="20"/>
              </w:rPr>
              <w:t xml:space="preserve"> </w:t>
            </w:r>
            <w:r w:rsidRPr="00007D28">
              <w:rPr>
                <w:rFonts w:cs="Arial"/>
                <w:iCs/>
                <w:sz w:val="20"/>
                <w:szCs w:val="20"/>
              </w:rPr>
              <w:t>From the perspective of parents and youth (ages 11-17) with CWS LE, what factors may support continued engagement in a longitudinal data collection effort</w:t>
            </w:r>
            <w:r>
              <w:rPr>
                <w:rFonts w:cs="Arial"/>
                <w:iCs/>
                <w:sz w:val="20"/>
                <w:szCs w:val="20"/>
              </w:rPr>
              <w:t>?</w:t>
            </w:r>
          </w:p>
          <w:p w:rsidR="00007D28" w:rsidRPr="00007D28" w:rsidP="00007D28" w14:paraId="735FCCE1" w14:textId="77777777">
            <w:pPr>
              <w:spacing w:line="240" w:lineRule="auto"/>
              <w:rPr>
                <w:rFonts w:cs="Arial"/>
                <w:iCs/>
                <w:sz w:val="20"/>
                <w:szCs w:val="20"/>
              </w:rPr>
            </w:pPr>
          </w:p>
          <w:p w:rsidR="00007D28" w:rsidRPr="00BC480B" w:rsidP="00007D28" w14:paraId="0BE1A3AD" w14:textId="0EC994D5">
            <w:pPr>
              <w:spacing w:line="240" w:lineRule="auto"/>
              <w:rPr>
                <w:rFonts w:cs="Arial"/>
                <w:iCs/>
                <w:sz w:val="20"/>
                <w:szCs w:val="20"/>
              </w:rPr>
            </w:pPr>
            <w:r w:rsidRPr="00007D28">
              <w:rPr>
                <w:rFonts w:cs="Arial"/>
                <w:iCs/>
                <w:sz w:val="20"/>
                <w:szCs w:val="20"/>
              </w:rPr>
              <w:t>•</w:t>
            </w:r>
            <w:r>
              <w:rPr>
                <w:rFonts w:cs="Arial"/>
                <w:iCs/>
                <w:sz w:val="20"/>
                <w:szCs w:val="20"/>
              </w:rPr>
              <w:t xml:space="preserve"> </w:t>
            </w:r>
            <w:r w:rsidRPr="00007D28">
              <w:rPr>
                <w:rFonts w:cs="Arial"/>
                <w:iCs/>
                <w:sz w:val="20"/>
                <w:szCs w:val="20"/>
              </w:rPr>
              <w:t>From the perspective of parents and youth (ages 11-17) with CWS LE, what factors may support participant’s authentic engagement when responding to survey items?</w:t>
            </w:r>
          </w:p>
        </w:tc>
        <w:tc>
          <w:tcPr>
            <w:tcW w:w="3330" w:type="dxa"/>
            <w:vMerge w:val="restart"/>
            <w:shd w:val="clear" w:color="auto" w:fill="auto"/>
            <w:vAlign w:val="center"/>
          </w:tcPr>
          <w:p w:rsidR="00007D28" w:rsidRPr="00BC480B" w:rsidP="00007D28" w14:paraId="1DF6FA0B" w14:textId="2950628E">
            <w:pPr>
              <w:spacing w:line="240" w:lineRule="auto"/>
              <w:rPr>
                <w:rFonts w:cs="Arial"/>
                <w:iCs/>
                <w:sz w:val="20"/>
                <w:szCs w:val="20"/>
              </w:rPr>
            </w:pPr>
            <w:r w:rsidRPr="006379E5">
              <w:rPr>
                <w:rFonts w:cs="Arial"/>
                <w:iCs/>
                <w:sz w:val="20"/>
                <w:szCs w:val="20"/>
              </w:rPr>
              <w:t>Gather fee</w:t>
            </w:r>
            <w:r w:rsidRPr="00BC480B">
              <w:rPr>
                <w:rFonts w:cs="Arial"/>
                <w:iCs/>
                <w:sz w:val="20"/>
                <w:szCs w:val="20"/>
              </w:rPr>
              <w:t>db</w:t>
            </w:r>
            <w:r w:rsidRPr="006379E5">
              <w:rPr>
                <w:rFonts w:cs="Arial"/>
                <w:iCs/>
                <w:sz w:val="20"/>
                <w:szCs w:val="20"/>
              </w:rPr>
              <w:t>ack from parents and youth with lived child welfare experience on constructs and measures proposed for a future NSCAW study design;</w:t>
            </w:r>
          </w:p>
          <w:p w:rsidR="00007D28" w:rsidP="00007D28" w14:paraId="6331A035" w14:textId="77777777">
            <w:pPr>
              <w:spacing w:line="240" w:lineRule="auto"/>
              <w:rPr>
                <w:rFonts w:cs="Arial"/>
                <w:iCs/>
                <w:sz w:val="20"/>
                <w:szCs w:val="20"/>
              </w:rPr>
            </w:pPr>
          </w:p>
          <w:p w:rsidR="00007D28" w:rsidRPr="00BC480B" w:rsidP="00007D28" w14:paraId="69AE0385" w14:textId="77777777">
            <w:pPr>
              <w:spacing w:line="240" w:lineRule="auto"/>
              <w:rPr>
                <w:rFonts w:cs="Arial"/>
                <w:iCs/>
                <w:sz w:val="20"/>
                <w:szCs w:val="20"/>
              </w:rPr>
            </w:pPr>
          </w:p>
          <w:p w:rsidR="00007D28" w:rsidRPr="00BC480B" w:rsidP="00007D28" w14:paraId="31646AAF" w14:textId="259747B2">
            <w:pPr>
              <w:spacing w:line="240" w:lineRule="auto"/>
              <w:rPr>
                <w:rFonts w:cs="Arial"/>
                <w:sz w:val="20"/>
                <w:szCs w:val="20"/>
              </w:rPr>
            </w:pPr>
            <w:r w:rsidRPr="006379E5">
              <w:rPr>
                <w:rFonts w:cs="Arial"/>
                <w:iCs/>
                <w:sz w:val="20"/>
                <w:szCs w:val="20"/>
              </w:rPr>
              <w:t>Gather feedback from parents and youth with lived child welfare experience on recruitment strategies and other study components proposed for a future NSCAW study design.</w:t>
            </w:r>
          </w:p>
        </w:tc>
      </w:tr>
      <w:tr w14:paraId="674AAF18" w14:textId="77777777" w:rsidTr="006379E5">
        <w:tblPrEx>
          <w:tblW w:w="11160" w:type="dxa"/>
          <w:tblInd w:w="-635" w:type="dxa"/>
          <w:tblLayout w:type="fixed"/>
          <w:tblCellMar>
            <w:left w:w="0" w:type="dxa"/>
            <w:right w:w="0" w:type="dxa"/>
          </w:tblCellMar>
          <w:tblLook w:val="04A0"/>
        </w:tblPrEx>
        <w:trPr>
          <w:trHeight w:val="774"/>
        </w:trPr>
        <w:tc>
          <w:tcPr>
            <w:tcW w:w="4050" w:type="dxa"/>
            <w:tcBorders>
              <w:bottom w:val="single" w:sz="4" w:space="0" w:color="auto"/>
            </w:tcBorders>
            <w:shd w:val="clear" w:color="auto" w:fill="auto"/>
            <w:tcMar>
              <w:top w:w="0" w:type="dxa"/>
              <w:left w:w="108" w:type="dxa"/>
              <w:bottom w:w="0" w:type="dxa"/>
              <w:right w:w="108" w:type="dxa"/>
            </w:tcMar>
            <w:vAlign w:val="center"/>
          </w:tcPr>
          <w:p w:rsidR="007F596B" w:rsidP="006379E5" w14:paraId="4B948E1E" w14:textId="4C0CAE81">
            <w:pPr>
              <w:spacing w:line="240" w:lineRule="auto"/>
              <w:jc w:val="center"/>
              <w:rPr>
                <w:rFonts w:cs="Arial"/>
                <w:sz w:val="20"/>
                <w:szCs w:val="20"/>
              </w:rPr>
            </w:pPr>
            <w:r w:rsidRPr="006379E5">
              <w:rPr>
                <w:rFonts w:cs="Arial"/>
                <w:b/>
                <w:bCs/>
                <w:sz w:val="20"/>
                <w:szCs w:val="20"/>
              </w:rPr>
              <w:t>Instrument 3</w:t>
            </w:r>
            <w:r w:rsidRPr="006379E5">
              <w:rPr>
                <w:rFonts w:cs="Arial"/>
                <w:sz w:val="20"/>
                <w:szCs w:val="20"/>
              </w:rPr>
              <w:t>:</w:t>
            </w:r>
          </w:p>
          <w:p w:rsidR="00007D28" w:rsidRPr="00BC480B" w:rsidP="006379E5" w14:paraId="13D81A19" w14:textId="0C655E8A">
            <w:pPr>
              <w:spacing w:line="240" w:lineRule="auto"/>
              <w:jc w:val="center"/>
              <w:rPr>
                <w:rFonts w:cs="Arial"/>
                <w:sz w:val="20"/>
                <w:szCs w:val="20"/>
              </w:rPr>
            </w:pPr>
            <w:r>
              <w:rPr>
                <w:rFonts w:cs="Arial"/>
                <w:sz w:val="20"/>
                <w:szCs w:val="20"/>
              </w:rPr>
              <w:t>Focus Group Guide for Youth Ages 15-17 – Topic Set 1</w:t>
            </w:r>
          </w:p>
        </w:tc>
        <w:tc>
          <w:tcPr>
            <w:tcW w:w="3780" w:type="dxa"/>
            <w:vMerge/>
            <w:vAlign w:val="center"/>
          </w:tcPr>
          <w:p w:rsidR="00007D28" w:rsidRPr="00BC480B" w:rsidP="00007D28" w14:paraId="3B920F1E" w14:textId="77777777">
            <w:pPr>
              <w:spacing w:line="240" w:lineRule="auto"/>
              <w:rPr>
                <w:rFonts w:cs="Arial"/>
                <w:sz w:val="20"/>
                <w:szCs w:val="20"/>
              </w:rPr>
            </w:pPr>
          </w:p>
        </w:tc>
        <w:tc>
          <w:tcPr>
            <w:tcW w:w="3330" w:type="dxa"/>
            <w:vMerge/>
            <w:shd w:val="clear" w:color="auto" w:fill="auto"/>
            <w:vAlign w:val="center"/>
          </w:tcPr>
          <w:p w:rsidR="00007D28" w:rsidRPr="00BC480B" w:rsidP="00007D28" w14:paraId="646DE72E" w14:textId="6A50DF43">
            <w:pPr>
              <w:spacing w:line="240" w:lineRule="auto"/>
              <w:rPr>
                <w:rFonts w:cs="Arial"/>
                <w:sz w:val="20"/>
                <w:szCs w:val="20"/>
              </w:rPr>
            </w:pPr>
          </w:p>
        </w:tc>
      </w:tr>
      <w:tr w14:paraId="72239250" w14:textId="77777777" w:rsidTr="006379E5">
        <w:tblPrEx>
          <w:tblW w:w="11160" w:type="dxa"/>
          <w:tblInd w:w="-635" w:type="dxa"/>
          <w:tblLayout w:type="fixed"/>
          <w:tblCellMar>
            <w:left w:w="0" w:type="dxa"/>
            <w:right w:w="0" w:type="dxa"/>
          </w:tblCellMar>
          <w:tblLook w:val="04A0"/>
        </w:tblPrEx>
        <w:trPr>
          <w:trHeight w:val="774"/>
        </w:trPr>
        <w:tc>
          <w:tcPr>
            <w:tcW w:w="4050" w:type="dxa"/>
            <w:shd w:val="clear" w:color="auto" w:fill="auto"/>
            <w:tcMar>
              <w:top w:w="0" w:type="dxa"/>
              <w:left w:w="108" w:type="dxa"/>
              <w:bottom w:w="0" w:type="dxa"/>
              <w:right w:w="108" w:type="dxa"/>
            </w:tcMar>
            <w:vAlign w:val="center"/>
            <w:hideMark/>
          </w:tcPr>
          <w:p w:rsidR="007F596B" w:rsidP="006379E5" w14:paraId="4107F172" w14:textId="1D8F6CDF">
            <w:pPr>
              <w:jc w:val="center"/>
              <w:rPr>
                <w:sz w:val="20"/>
                <w:szCs w:val="20"/>
              </w:rPr>
            </w:pPr>
            <w:r w:rsidRPr="006379E5">
              <w:rPr>
                <w:b/>
                <w:bCs/>
                <w:sz w:val="20"/>
                <w:szCs w:val="20"/>
              </w:rPr>
              <w:t>Instrument 4:</w:t>
            </w:r>
          </w:p>
          <w:p w:rsidR="00007D28" w:rsidRPr="006379E5" w:rsidP="006379E5" w14:paraId="191EB71F" w14:textId="6B060D8E">
            <w:pPr>
              <w:jc w:val="center"/>
              <w:rPr>
                <w:rFonts w:cs="Arial"/>
                <w:sz w:val="20"/>
                <w:szCs w:val="20"/>
              </w:rPr>
            </w:pPr>
            <w:r>
              <w:rPr>
                <w:rFonts w:cs="Arial"/>
                <w:sz w:val="20"/>
                <w:szCs w:val="20"/>
              </w:rPr>
              <w:t>Interview Guide for Youth Ages 11-14 – Topic Set 2</w:t>
            </w:r>
          </w:p>
        </w:tc>
        <w:tc>
          <w:tcPr>
            <w:tcW w:w="3780" w:type="dxa"/>
            <w:vMerge/>
            <w:vAlign w:val="center"/>
          </w:tcPr>
          <w:p w:rsidR="00007D28" w:rsidRPr="00BC480B" w:rsidP="00007D28" w14:paraId="4CFC7DB7" w14:textId="77777777">
            <w:pPr>
              <w:spacing w:line="240" w:lineRule="auto"/>
              <w:rPr>
                <w:rFonts w:cs="Arial"/>
                <w:sz w:val="20"/>
                <w:szCs w:val="20"/>
              </w:rPr>
            </w:pPr>
          </w:p>
        </w:tc>
        <w:tc>
          <w:tcPr>
            <w:tcW w:w="3330" w:type="dxa"/>
            <w:vMerge/>
            <w:shd w:val="clear" w:color="auto" w:fill="auto"/>
            <w:vAlign w:val="center"/>
          </w:tcPr>
          <w:p w:rsidR="00007D28" w:rsidRPr="00BC480B" w:rsidP="00007D28" w14:paraId="4A63CFB1" w14:textId="6D5ABC73">
            <w:pPr>
              <w:spacing w:line="240" w:lineRule="auto"/>
              <w:rPr>
                <w:rFonts w:cs="Arial"/>
                <w:sz w:val="20"/>
                <w:szCs w:val="20"/>
              </w:rPr>
            </w:pPr>
          </w:p>
        </w:tc>
      </w:tr>
      <w:tr w14:paraId="2E3AA8F2" w14:textId="77777777" w:rsidTr="006379E5">
        <w:tblPrEx>
          <w:tblW w:w="11160" w:type="dxa"/>
          <w:tblInd w:w="-635" w:type="dxa"/>
          <w:tblLayout w:type="fixed"/>
          <w:tblCellMar>
            <w:left w:w="0" w:type="dxa"/>
            <w:right w:w="0" w:type="dxa"/>
          </w:tblCellMar>
          <w:tblLook w:val="04A0"/>
        </w:tblPrEx>
        <w:trPr>
          <w:trHeight w:val="774"/>
        </w:trPr>
        <w:tc>
          <w:tcPr>
            <w:tcW w:w="4050" w:type="dxa"/>
            <w:shd w:val="clear" w:color="auto" w:fill="auto"/>
            <w:tcMar>
              <w:top w:w="0" w:type="dxa"/>
              <w:left w:w="108" w:type="dxa"/>
              <w:bottom w:w="0" w:type="dxa"/>
              <w:right w:w="108" w:type="dxa"/>
            </w:tcMar>
            <w:vAlign w:val="center"/>
          </w:tcPr>
          <w:p w:rsidR="007F596B" w:rsidP="006379E5" w14:paraId="75D02DB3" w14:textId="225070F8">
            <w:pPr>
              <w:spacing w:line="240" w:lineRule="auto"/>
              <w:jc w:val="center"/>
              <w:rPr>
                <w:rFonts w:cs="Arial"/>
                <w:sz w:val="20"/>
                <w:szCs w:val="20"/>
              </w:rPr>
            </w:pPr>
            <w:r w:rsidRPr="006379E5">
              <w:rPr>
                <w:rFonts w:cs="Arial"/>
                <w:b/>
                <w:bCs/>
                <w:sz w:val="20"/>
                <w:szCs w:val="20"/>
              </w:rPr>
              <w:t>Instrument 5</w:t>
            </w:r>
            <w:r>
              <w:rPr>
                <w:rFonts w:cs="Arial"/>
                <w:sz w:val="20"/>
                <w:szCs w:val="20"/>
              </w:rPr>
              <w:t>:</w:t>
            </w:r>
          </w:p>
          <w:p w:rsidR="00007D28" w:rsidRPr="006379E5" w:rsidP="006379E5" w14:paraId="59B0FF2C" w14:textId="4F0679EF">
            <w:pPr>
              <w:spacing w:line="240" w:lineRule="auto"/>
              <w:jc w:val="center"/>
              <w:rPr>
                <w:rFonts w:cs="Arial"/>
                <w:sz w:val="20"/>
                <w:szCs w:val="20"/>
              </w:rPr>
            </w:pPr>
            <w:r>
              <w:rPr>
                <w:rFonts w:cs="Arial"/>
                <w:sz w:val="20"/>
                <w:szCs w:val="20"/>
              </w:rPr>
              <w:t>Focus Group Guide for Youth Ages 15-17 – Topic Set 2</w:t>
            </w:r>
          </w:p>
        </w:tc>
        <w:tc>
          <w:tcPr>
            <w:tcW w:w="3780" w:type="dxa"/>
            <w:vMerge/>
            <w:vAlign w:val="center"/>
          </w:tcPr>
          <w:p w:rsidR="00007D28" w:rsidRPr="00BC480B" w:rsidP="00007D28" w14:paraId="101BB4AC" w14:textId="77777777">
            <w:pPr>
              <w:spacing w:line="240" w:lineRule="auto"/>
              <w:rPr>
                <w:rFonts w:cs="Arial"/>
                <w:b/>
                <w:sz w:val="20"/>
                <w:szCs w:val="20"/>
              </w:rPr>
            </w:pPr>
          </w:p>
        </w:tc>
        <w:tc>
          <w:tcPr>
            <w:tcW w:w="3330" w:type="dxa"/>
            <w:vMerge/>
            <w:shd w:val="clear" w:color="auto" w:fill="auto"/>
            <w:vAlign w:val="center"/>
          </w:tcPr>
          <w:p w:rsidR="00007D28" w:rsidRPr="00BC480B" w:rsidP="00007D28" w14:paraId="763A1B6A" w14:textId="0D6FABBA">
            <w:pPr>
              <w:spacing w:line="240" w:lineRule="auto"/>
              <w:rPr>
                <w:rFonts w:cs="Arial"/>
                <w:b/>
                <w:sz w:val="20"/>
                <w:szCs w:val="20"/>
              </w:rPr>
            </w:pPr>
          </w:p>
        </w:tc>
      </w:tr>
      <w:tr w14:paraId="14A78B8C" w14:textId="77777777" w:rsidTr="006379E5">
        <w:tblPrEx>
          <w:tblW w:w="11160" w:type="dxa"/>
          <w:tblInd w:w="-635" w:type="dxa"/>
          <w:tblLayout w:type="fixed"/>
          <w:tblCellMar>
            <w:left w:w="0" w:type="dxa"/>
            <w:right w:w="0" w:type="dxa"/>
          </w:tblCellMar>
          <w:tblLook w:val="04A0"/>
        </w:tblPrEx>
        <w:trPr>
          <w:trHeight w:val="774"/>
        </w:trPr>
        <w:tc>
          <w:tcPr>
            <w:tcW w:w="4050" w:type="dxa"/>
            <w:shd w:val="clear" w:color="auto" w:fill="auto"/>
            <w:tcMar>
              <w:top w:w="0" w:type="dxa"/>
              <w:left w:w="108" w:type="dxa"/>
              <w:bottom w:w="0" w:type="dxa"/>
              <w:right w:w="108" w:type="dxa"/>
            </w:tcMar>
            <w:vAlign w:val="center"/>
          </w:tcPr>
          <w:p w:rsidR="007F596B" w:rsidP="006379E5" w14:paraId="2A8B68A0" w14:textId="030A984A">
            <w:pPr>
              <w:spacing w:line="240" w:lineRule="auto"/>
              <w:jc w:val="center"/>
              <w:rPr>
                <w:rFonts w:cs="Arial"/>
                <w:sz w:val="20"/>
                <w:szCs w:val="20"/>
              </w:rPr>
            </w:pPr>
            <w:r w:rsidRPr="006379E5">
              <w:rPr>
                <w:rFonts w:cs="Arial"/>
                <w:b/>
                <w:bCs/>
                <w:sz w:val="20"/>
                <w:szCs w:val="20"/>
              </w:rPr>
              <w:t>Instrument 6</w:t>
            </w:r>
            <w:r>
              <w:rPr>
                <w:rFonts w:cs="Arial"/>
                <w:sz w:val="20"/>
                <w:szCs w:val="20"/>
              </w:rPr>
              <w:t>:</w:t>
            </w:r>
          </w:p>
          <w:p w:rsidR="00007D28" w:rsidRPr="00BC480B" w:rsidP="006379E5" w14:paraId="33A39E87" w14:textId="515C5A0C">
            <w:pPr>
              <w:spacing w:line="240" w:lineRule="auto"/>
              <w:jc w:val="center"/>
              <w:rPr>
                <w:b/>
                <w:bCs/>
                <w:sz w:val="20"/>
                <w:szCs w:val="20"/>
              </w:rPr>
            </w:pPr>
            <w:r w:rsidRPr="006379E5">
              <w:rPr>
                <w:rFonts w:cs="Arial"/>
                <w:sz w:val="20"/>
                <w:szCs w:val="20"/>
              </w:rPr>
              <w:t>Focus Group Guide</w:t>
            </w:r>
            <w:r w:rsidR="00DD6EC5">
              <w:rPr>
                <w:rFonts w:cs="Arial"/>
                <w:sz w:val="20"/>
                <w:szCs w:val="20"/>
              </w:rPr>
              <w:t xml:space="preserve"> for Parents</w:t>
            </w:r>
          </w:p>
        </w:tc>
        <w:tc>
          <w:tcPr>
            <w:tcW w:w="3780" w:type="dxa"/>
            <w:vMerge/>
            <w:vAlign w:val="center"/>
          </w:tcPr>
          <w:p w:rsidR="00007D28" w:rsidRPr="00BC480B" w:rsidP="00007D28" w14:paraId="149AAE79" w14:textId="77777777">
            <w:pPr>
              <w:spacing w:line="240" w:lineRule="auto"/>
              <w:rPr>
                <w:rFonts w:cs="Arial"/>
                <w:b/>
                <w:sz w:val="20"/>
                <w:szCs w:val="20"/>
              </w:rPr>
            </w:pPr>
          </w:p>
        </w:tc>
        <w:tc>
          <w:tcPr>
            <w:tcW w:w="3330" w:type="dxa"/>
            <w:vMerge/>
            <w:shd w:val="clear" w:color="auto" w:fill="auto"/>
            <w:vAlign w:val="center"/>
          </w:tcPr>
          <w:p w:rsidR="00007D28" w:rsidRPr="00BC480B" w:rsidP="00007D28" w14:paraId="270562AF" w14:textId="11EEE382">
            <w:pPr>
              <w:spacing w:line="240" w:lineRule="auto"/>
              <w:rPr>
                <w:rFonts w:cs="Arial"/>
                <w:b/>
                <w:sz w:val="20"/>
                <w:szCs w:val="20"/>
              </w:rPr>
            </w:pPr>
          </w:p>
        </w:tc>
      </w:tr>
    </w:tbl>
    <w:bookmarkEnd w:id="2"/>
    <w:p w:rsidR="00DD6EC5" w:rsidP="006379E5" w14:paraId="1B1B32B1" w14:textId="120075C9">
      <w:pPr>
        <w:pStyle w:val="Heading3"/>
        <w:spacing w:before="240"/>
        <w:rPr>
          <w:rFonts w:eastAsia="Times New Roman"/>
          <w:bCs/>
          <w:iCs/>
        </w:rPr>
      </w:pPr>
      <w:r w:rsidRPr="006379E5">
        <w:rPr>
          <w:rFonts w:eastAsia="Times New Roman"/>
          <w:bCs/>
          <w:iCs/>
        </w:rPr>
        <w:t>Sources used to Develop Instruments</w:t>
      </w:r>
      <w:r w:rsidR="001C5D77">
        <w:rPr>
          <w:rFonts w:eastAsia="Times New Roman"/>
          <w:bCs/>
          <w:iCs/>
        </w:rPr>
        <w:t xml:space="preserve"> </w:t>
      </w:r>
    </w:p>
    <w:p w:rsidR="001C5D77" w:rsidRPr="006379E5" w:rsidP="00DD6EC5" w14:paraId="71180ABA" w14:textId="35AEB9E7">
      <w:pPr>
        <w:spacing w:before="120"/>
        <w:rPr>
          <w:color w:val="365F91" w:themeColor="accent1" w:themeShade="BF"/>
        </w:rPr>
      </w:pPr>
      <w:r>
        <w:t>Youth Interviews (</w:t>
      </w:r>
      <w:r w:rsidRPr="001E71AA">
        <w:rPr>
          <w:b/>
          <w:bCs/>
        </w:rPr>
        <w:t>Instruments 2, 4</w:t>
      </w:r>
      <w:r>
        <w:t xml:space="preserve">) and Focus Groups </w:t>
      </w:r>
      <w:r w:rsidRPr="001E71AA">
        <w:rPr>
          <w:b/>
          <w:bCs/>
        </w:rPr>
        <w:t>(Instruments 3, 5</w:t>
      </w:r>
      <w:r>
        <w:t xml:space="preserve">) are divided by Topic </w:t>
      </w:r>
      <w:r w:rsidR="00DD6EC5">
        <w:t>Sets 1 and 2</w:t>
      </w:r>
      <w:r>
        <w:t xml:space="preserve">. Prompts and questions comprising each </w:t>
      </w:r>
      <w:r w:rsidR="00C60046">
        <w:t>T</w:t>
      </w:r>
      <w:r>
        <w:t xml:space="preserve">opic </w:t>
      </w:r>
      <w:r w:rsidR="00DD6EC5">
        <w:t>Set</w:t>
      </w:r>
      <w:r>
        <w:t xml:space="preserve"> were developed using various sources, an overview of which, along with</w:t>
      </w:r>
      <w:r w:rsidR="00A116BB">
        <w:t xml:space="preserve"> sources of</w:t>
      </w:r>
      <w:r>
        <w:t xml:space="preserve"> </w:t>
      </w:r>
      <w:r w:rsidRPr="006379E5">
        <w:rPr>
          <w:b/>
          <w:bCs/>
        </w:rPr>
        <w:t>Instrument</w:t>
      </w:r>
      <w:r w:rsidR="00DD6EC5">
        <w:rPr>
          <w:b/>
          <w:bCs/>
        </w:rPr>
        <w:t xml:space="preserve"> </w:t>
      </w:r>
      <w:r w:rsidRPr="006379E5">
        <w:rPr>
          <w:b/>
          <w:bCs/>
        </w:rPr>
        <w:t>6</w:t>
      </w:r>
      <w:r>
        <w:t xml:space="preserve">, are provided in </w:t>
      </w:r>
      <w:r w:rsidRPr="006379E5">
        <w:rPr>
          <w:b/>
          <w:bCs/>
          <w:color w:val="365F91" w:themeColor="accent1" w:themeShade="BF"/>
        </w:rPr>
        <w:t>Exhibit 2</w:t>
      </w:r>
      <w:r w:rsidRPr="006379E5">
        <w:rPr>
          <w:color w:val="365F91" w:themeColor="accent1" w:themeShade="BF"/>
        </w:rPr>
        <w:t>.</w:t>
      </w:r>
    </w:p>
    <w:p w:rsidR="00A116BB" w:rsidRPr="00BB09EC" w:rsidP="00BB09EC" w14:paraId="261D0902" w14:textId="3243DB85"/>
    <w:p w:rsidR="00A116BB" w:rsidP="00A116BB" w14:paraId="5EBE8BFD" w14:textId="77777777">
      <w:pPr>
        <w:spacing w:after="120"/>
        <w:rPr>
          <w:b/>
          <w:bCs/>
          <w:color w:val="244061" w:themeColor="accent1" w:themeShade="80"/>
        </w:rPr>
        <w:sectPr w:rsidSect="00EE6A68">
          <w:headerReference w:type="default" r:id="rId9"/>
          <w:footerReference w:type="default" r:id="rId10"/>
          <w:pgSz w:w="12240" w:h="15840"/>
          <w:pgMar w:top="1440" w:right="1440" w:bottom="1440" w:left="1440" w:header="720" w:footer="720" w:gutter="0"/>
          <w:cols w:space="720"/>
          <w:docGrid w:linePitch="360"/>
        </w:sectPr>
      </w:pPr>
    </w:p>
    <w:p w:rsidR="00E960CA" w:rsidRPr="006379E5" w:rsidP="006379E5" w14:paraId="50DE6183" w14:textId="36B35FEF">
      <w:pPr>
        <w:spacing w:after="40"/>
        <w:rPr>
          <w:b/>
        </w:rPr>
      </w:pPr>
      <w:r w:rsidRPr="006379E5">
        <w:rPr>
          <w:b/>
          <w:bCs/>
          <w:color w:val="365F91" w:themeColor="accent1" w:themeShade="BF"/>
          <w:sz w:val="20"/>
          <w:szCs w:val="20"/>
        </w:rPr>
        <w:t>Exhibit 2</w:t>
      </w:r>
      <w:r w:rsidRPr="006379E5">
        <w:rPr>
          <w:b/>
          <w:bCs/>
          <w:color w:val="244061" w:themeColor="accent1" w:themeShade="80"/>
          <w:sz w:val="20"/>
          <w:szCs w:val="20"/>
        </w:rPr>
        <w:t xml:space="preserve">: </w:t>
      </w:r>
      <w:r w:rsidRPr="006379E5">
        <w:rPr>
          <w:b/>
          <w:bCs/>
          <w:sz w:val="20"/>
          <w:szCs w:val="20"/>
        </w:rPr>
        <w:t>Sources Used to Develop Instruments</w:t>
      </w:r>
    </w:p>
    <w:tbl>
      <w:tblPr>
        <w:tblW w:w="144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60"/>
        <w:gridCol w:w="11430"/>
      </w:tblGrid>
      <w:tr w14:paraId="59475796" w14:textId="77777777" w:rsidTr="006379E5">
        <w:tblPrEx>
          <w:tblW w:w="144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287"/>
        </w:trPr>
        <w:tc>
          <w:tcPr>
            <w:tcW w:w="3060" w:type="dxa"/>
            <w:shd w:val="clear" w:color="auto" w:fill="D9D9D9" w:themeFill="background1" w:themeFillShade="D9"/>
            <w:tcMar>
              <w:top w:w="0" w:type="dxa"/>
              <w:left w:w="108" w:type="dxa"/>
              <w:bottom w:w="0" w:type="dxa"/>
              <w:right w:w="108" w:type="dxa"/>
            </w:tcMar>
            <w:vAlign w:val="center"/>
            <w:hideMark/>
          </w:tcPr>
          <w:p w:rsidR="00BC558C" w:rsidRPr="00A116BB" w:rsidP="001E71AA" w14:paraId="6652DB6E" w14:textId="77777777">
            <w:pPr>
              <w:spacing w:line="240" w:lineRule="auto"/>
              <w:jc w:val="center"/>
              <w:rPr>
                <w:rFonts w:cs="Arial"/>
                <w:b/>
                <w:sz w:val="20"/>
                <w:szCs w:val="20"/>
              </w:rPr>
            </w:pPr>
            <w:r w:rsidRPr="00A116BB">
              <w:rPr>
                <w:rFonts w:cs="Arial"/>
                <w:b/>
                <w:sz w:val="20"/>
                <w:szCs w:val="20"/>
              </w:rPr>
              <w:t>Data Collection Instruments</w:t>
            </w:r>
          </w:p>
        </w:tc>
        <w:tc>
          <w:tcPr>
            <w:tcW w:w="11430" w:type="dxa"/>
            <w:shd w:val="clear" w:color="auto" w:fill="D9D9D9" w:themeFill="background1" w:themeFillShade="D9"/>
            <w:vAlign w:val="center"/>
          </w:tcPr>
          <w:p w:rsidR="00BC558C" w:rsidRPr="00A116BB" w:rsidP="001E71AA" w14:paraId="39284762" w14:textId="6DB9456B">
            <w:pPr>
              <w:spacing w:line="240" w:lineRule="auto"/>
              <w:jc w:val="center"/>
              <w:rPr>
                <w:rFonts w:cs="Arial"/>
                <w:b/>
                <w:sz w:val="20"/>
                <w:szCs w:val="20"/>
              </w:rPr>
            </w:pPr>
            <w:r w:rsidRPr="00A116BB">
              <w:rPr>
                <w:rFonts w:cs="Arial"/>
                <w:b/>
                <w:sz w:val="20"/>
                <w:szCs w:val="20"/>
              </w:rPr>
              <w:t>Source(s) used to Develop Instruments</w:t>
            </w:r>
          </w:p>
        </w:tc>
      </w:tr>
      <w:tr w14:paraId="4F7468AC" w14:textId="77777777" w:rsidTr="006379E5">
        <w:tblPrEx>
          <w:tblW w:w="14490" w:type="dxa"/>
          <w:tblInd w:w="-635" w:type="dxa"/>
          <w:tblLayout w:type="fixed"/>
          <w:tblCellMar>
            <w:left w:w="0" w:type="dxa"/>
            <w:right w:w="0" w:type="dxa"/>
          </w:tblCellMar>
          <w:tblLook w:val="04A0"/>
        </w:tblPrEx>
        <w:trPr>
          <w:trHeight w:val="260"/>
        </w:trPr>
        <w:tc>
          <w:tcPr>
            <w:tcW w:w="3060" w:type="dxa"/>
            <w:tcBorders>
              <w:bottom w:val="single" w:sz="4" w:space="0" w:color="auto"/>
            </w:tcBorders>
            <w:shd w:val="clear" w:color="auto" w:fill="auto"/>
            <w:tcMar>
              <w:top w:w="0" w:type="dxa"/>
              <w:left w:w="108" w:type="dxa"/>
              <w:bottom w:w="0" w:type="dxa"/>
              <w:right w:w="108" w:type="dxa"/>
            </w:tcMar>
            <w:vAlign w:val="center"/>
          </w:tcPr>
          <w:p w:rsidR="0079540E" w:rsidRPr="00A116BB" w:rsidP="00E5340F" w14:paraId="6509A601" w14:textId="553F924C">
            <w:pPr>
              <w:spacing w:line="240" w:lineRule="auto"/>
              <w:jc w:val="center"/>
              <w:rPr>
                <w:rFonts w:cs="Arial"/>
                <w:b/>
                <w:bCs/>
                <w:sz w:val="20"/>
                <w:szCs w:val="20"/>
              </w:rPr>
            </w:pPr>
            <w:r w:rsidRPr="00A116BB">
              <w:rPr>
                <w:rFonts w:cs="Arial"/>
                <w:b/>
                <w:bCs/>
                <w:sz w:val="20"/>
                <w:szCs w:val="20"/>
              </w:rPr>
              <w:t>Instrument 1</w:t>
            </w:r>
            <w:r w:rsidRPr="00A116BB">
              <w:rPr>
                <w:rFonts w:cs="Arial"/>
                <w:sz w:val="20"/>
                <w:szCs w:val="20"/>
              </w:rPr>
              <w:t>:</w:t>
            </w:r>
            <w:r w:rsidR="00E5340F">
              <w:rPr>
                <w:rFonts w:cs="Arial"/>
                <w:sz w:val="20"/>
                <w:szCs w:val="20"/>
              </w:rPr>
              <w:t xml:space="preserve"> </w:t>
            </w:r>
            <w:r w:rsidRPr="00A116BB">
              <w:rPr>
                <w:rFonts w:cs="Arial"/>
                <w:sz w:val="20"/>
                <w:szCs w:val="20"/>
              </w:rPr>
              <w:t>Parent Screener</w:t>
            </w:r>
          </w:p>
        </w:tc>
        <w:tc>
          <w:tcPr>
            <w:tcW w:w="11430" w:type="dxa"/>
            <w:tcBorders>
              <w:bottom w:val="single" w:sz="4" w:space="0" w:color="auto"/>
            </w:tcBorders>
            <w:vAlign w:val="center"/>
          </w:tcPr>
          <w:p w:rsidR="0079540E" w:rsidRPr="00A116BB" w:rsidP="006379E5" w14:paraId="3E325253" w14:textId="4FB4AE62">
            <w:pPr>
              <w:pStyle w:val="FootnoteText"/>
            </w:pPr>
            <w:r w:rsidRPr="00A116BB">
              <w:t xml:space="preserve">Most recent OMB guidance; </w:t>
            </w:r>
            <w:r w:rsidR="00B657E6">
              <w:t xml:space="preserve">on asking about </w:t>
            </w:r>
            <w:r w:rsidR="007E68EC">
              <w:t>SOGI (OMB,</w:t>
            </w:r>
            <w:r w:rsidR="00A244CD">
              <w:t xml:space="preserve"> 2024</w:t>
            </w:r>
            <w:r w:rsidR="00D03CBD">
              <w:t>a</w:t>
            </w:r>
            <w:r w:rsidR="007E68EC">
              <w:t xml:space="preserve">) and </w:t>
            </w:r>
            <w:r w:rsidR="00B657E6">
              <w:t xml:space="preserve">race/ethnicity </w:t>
            </w:r>
            <w:r w:rsidR="007E68EC">
              <w:t>(OMB,</w:t>
            </w:r>
            <w:r w:rsidR="00A244CD">
              <w:t xml:space="preserve"> 2024b</w:t>
            </w:r>
            <w:r w:rsidR="007E68EC">
              <w:t>)</w:t>
            </w:r>
            <w:r w:rsidR="00D03CBD">
              <w:t>.</w:t>
            </w:r>
          </w:p>
        </w:tc>
      </w:tr>
      <w:tr w14:paraId="415EB9CA" w14:textId="77777777" w:rsidTr="006379E5">
        <w:tblPrEx>
          <w:tblW w:w="14490" w:type="dxa"/>
          <w:tblInd w:w="-635" w:type="dxa"/>
          <w:tblLayout w:type="fixed"/>
          <w:tblCellMar>
            <w:left w:w="0" w:type="dxa"/>
            <w:right w:w="0" w:type="dxa"/>
          </w:tblCellMar>
          <w:tblLook w:val="04A0"/>
        </w:tblPrEx>
        <w:trPr>
          <w:trHeight w:val="530"/>
        </w:trPr>
        <w:tc>
          <w:tcPr>
            <w:tcW w:w="3060" w:type="dxa"/>
            <w:tcBorders>
              <w:bottom w:val="single" w:sz="4" w:space="0" w:color="auto"/>
            </w:tcBorders>
            <w:shd w:val="clear" w:color="auto" w:fill="auto"/>
            <w:tcMar>
              <w:top w:w="0" w:type="dxa"/>
              <w:left w:w="108" w:type="dxa"/>
              <w:bottom w:w="0" w:type="dxa"/>
              <w:right w:w="108" w:type="dxa"/>
            </w:tcMar>
            <w:vAlign w:val="center"/>
          </w:tcPr>
          <w:p w:rsidR="001C5D77" w:rsidRPr="00A116BB" w:rsidP="001E71AA" w14:paraId="5CFD17B0" w14:textId="77777777">
            <w:pPr>
              <w:spacing w:line="240" w:lineRule="auto"/>
              <w:jc w:val="center"/>
              <w:rPr>
                <w:rFonts w:cs="Arial"/>
                <w:sz w:val="20"/>
                <w:szCs w:val="20"/>
              </w:rPr>
            </w:pPr>
            <w:r w:rsidRPr="00A116BB">
              <w:rPr>
                <w:rFonts w:cs="Arial"/>
                <w:b/>
                <w:bCs/>
                <w:sz w:val="20"/>
                <w:szCs w:val="20"/>
              </w:rPr>
              <w:t>Instrument 2</w:t>
            </w:r>
            <w:r w:rsidRPr="00A116BB">
              <w:rPr>
                <w:rFonts w:cs="Arial"/>
                <w:sz w:val="20"/>
                <w:szCs w:val="20"/>
              </w:rPr>
              <w:t>:</w:t>
            </w:r>
          </w:p>
          <w:p w:rsidR="001C5D77" w:rsidRPr="00A116BB" w:rsidP="001E71AA" w14:paraId="74829DC4" w14:textId="58A8E636">
            <w:pPr>
              <w:spacing w:line="240" w:lineRule="auto"/>
              <w:jc w:val="center"/>
              <w:rPr>
                <w:rFonts w:cs="Arial"/>
                <w:sz w:val="20"/>
                <w:szCs w:val="20"/>
              </w:rPr>
            </w:pPr>
            <w:r w:rsidRPr="00E5340F">
              <w:rPr>
                <w:rFonts w:cs="Arial"/>
                <w:sz w:val="20"/>
                <w:szCs w:val="20"/>
              </w:rPr>
              <w:t>Interview Guide for Youth Ages 11-14 – Topic Set 1</w:t>
            </w:r>
          </w:p>
        </w:tc>
        <w:tc>
          <w:tcPr>
            <w:tcW w:w="11430" w:type="dxa"/>
            <w:vMerge w:val="restart"/>
            <w:vAlign w:val="center"/>
          </w:tcPr>
          <w:p w:rsidR="001C5D77" w:rsidRPr="006379E5" w:rsidP="006379E5" w14:paraId="55255B77" w14:textId="77777777">
            <w:pPr>
              <w:pStyle w:val="ListParagraph"/>
              <w:numPr>
                <w:ilvl w:val="0"/>
                <w:numId w:val="52"/>
              </w:numPr>
              <w:spacing w:line="240" w:lineRule="auto"/>
              <w:rPr>
                <w:rFonts w:cs="Arial"/>
                <w:sz w:val="20"/>
                <w:szCs w:val="20"/>
              </w:rPr>
            </w:pPr>
            <w:r w:rsidRPr="006379E5">
              <w:rPr>
                <w:rFonts w:cs="Arial"/>
                <w:sz w:val="20"/>
                <w:szCs w:val="20"/>
              </w:rPr>
              <w:t>Recommendations from the TWG and individuals with CWS LE.</w:t>
            </w:r>
          </w:p>
          <w:p w:rsidR="005310DD" w:rsidRPr="00A116BB" w:rsidP="005310DD" w14:paraId="01A4736B" w14:textId="7D28BBE7">
            <w:pPr>
              <w:pStyle w:val="ListParagraph"/>
              <w:numPr>
                <w:ilvl w:val="0"/>
                <w:numId w:val="50"/>
              </w:numPr>
              <w:spacing w:line="240" w:lineRule="auto"/>
              <w:rPr>
                <w:rFonts w:cs="Arial"/>
                <w:sz w:val="20"/>
                <w:szCs w:val="20"/>
              </w:rPr>
            </w:pPr>
            <w:r>
              <w:rPr>
                <w:rFonts w:cs="Arial"/>
                <w:sz w:val="20"/>
                <w:szCs w:val="20"/>
                <w:u w:val="single"/>
              </w:rPr>
              <w:t xml:space="preserve">Well-being: </w:t>
            </w:r>
            <w:r w:rsidR="00C5258C">
              <w:rPr>
                <w:rFonts w:cs="Arial"/>
                <w:sz w:val="20"/>
                <w:szCs w:val="20"/>
              </w:rPr>
              <w:t>Project-developed items around w</w:t>
            </w:r>
            <w:r w:rsidRPr="00A116BB">
              <w:rPr>
                <w:rFonts w:cs="Arial"/>
                <w:sz w:val="20"/>
                <w:szCs w:val="20"/>
              </w:rPr>
              <w:t>hat the concept of well-being means to youth.</w:t>
            </w:r>
          </w:p>
          <w:p w:rsidR="005310DD" w:rsidRPr="0097198F" w:rsidP="00D756F8" w14:paraId="2FDCABAD" w14:textId="459EF902">
            <w:pPr>
              <w:pStyle w:val="ListParagraph"/>
              <w:numPr>
                <w:ilvl w:val="0"/>
                <w:numId w:val="50"/>
              </w:numPr>
              <w:spacing w:line="240" w:lineRule="auto"/>
              <w:rPr>
                <w:rFonts w:cs="Arial"/>
                <w:sz w:val="20"/>
                <w:szCs w:val="20"/>
              </w:rPr>
            </w:pPr>
            <w:r w:rsidRPr="0097198F">
              <w:rPr>
                <w:rFonts w:cs="Arial"/>
                <w:sz w:val="20"/>
                <w:szCs w:val="20"/>
                <w:u w:val="single"/>
              </w:rPr>
              <w:t>Identity:</w:t>
            </w:r>
            <w:r w:rsidRPr="0097198F">
              <w:rPr>
                <w:rFonts w:cs="Arial"/>
                <w:sz w:val="20"/>
                <w:szCs w:val="20"/>
              </w:rPr>
              <w:t xml:space="preserve"> </w:t>
            </w:r>
            <w:r w:rsidR="00C5258C">
              <w:rPr>
                <w:rFonts w:cs="Arial"/>
                <w:sz w:val="20"/>
                <w:szCs w:val="20"/>
              </w:rPr>
              <w:t>Project developed items intended to g</w:t>
            </w:r>
            <w:r w:rsidRPr="0097198F">
              <w:rPr>
                <w:rFonts w:cs="Arial"/>
                <w:sz w:val="20"/>
                <w:szCs w:val="20"/>
              </w:rPr>
              <w:t xml:space="preserve">ather information on ways to assess perceptions and experiences of identity, including intersectional identities, with a focus on </w:t>
            </w:r>
            <w:r w:rsidRPr="0097198F" w:rsidR="00BF54CF">
              <w:rPr>
                <w:rFonts w:cs="Arial"/>
                <w:sz w:val="20"/>
                <w:szCs w:val="20"/>
              </w:rPr>
              <w:t>those</w:t>
            </w:r>
            <w:r w:rsidRPr="0097198F">
              <w:rPr>
                <w:rFonts w:cs="Arial"/>
                <w:sz w:val="20"/>
                <w:szCs w:val="20"/>
              </w:rPr>
              <w:t xml:space="preserve"> related to race/ethnicity and SOGI (due to time limitations).</w:t>
            </w:r>
            <w:r w:rsidR="0097198F">
              <w:rPr>
                <w:rFonts w:cs="Arial"/>
                <w:sz w:val="20"/>
                <w:szCs w:val="20"/>
              </w:rPr>
              <w:t xml:space="preserve"> </w:t>
            </w:r>
          </w:p>
          <w:p w:rsidR="00AA06FD" w:rsidRPr="006379E5" w:rsidP="00AA06FD" w14:paraId="2CEFE136" w14:textId="56BA6D63">
            <w:pPr>
              <w:pStyle w:val="ListParagraph"/>
              <w:numPr>
                <w:ilvl w:val="0"/>
                <w:numId w:val="50"/>
              </w:numPr>
              <w:spacing w:line="240" w:lineRule="auto"/>
              <w:rPr>
                <w:rFonts w:cs="Arial"/>
                <w:sz w:val="20"/>
                <w:szCs w:val="20"/>
              </w:rPr>
            </w:pPr>
            <w:r>
              <w:rPr>
                <w:rFonts w:cs="Arial"/>
                <w:sz w:val="20"/>
                <w:szCs w:val="20"/>
                <w:u w:val="single"/>
              </w:rPr>
              <w:t>Multiple system involvement:</w:t>
            </w:r>
            <w:r>
              <w:rPr>
                <w:rFonts w:cs="Arial"/>
                <w:sz w:val="20"/>
                <w:szCs w:val="20"/>
              </w:rPr>
              <w:t xml:space="preserve"> </w:t>
            </w:r>
            <w:r w:rsidR="00C5258C">
              <w:rPr>
                <w:rFonts w:cs="Arial"/>
                <w:sz w:val="20"/>
                <w:szCs w:val="20"/>
              </w:rPr>
              <w:t>Project-developed items intended to gather information on youth p</w:t>
            </w:r>
            <w:r w:rsidRPr="00A116BB">
              <w:rPr>
                <w:rFonts w:cs="Arial"/>
                <w:sz w:val="20"/>
                <w:szCs w:val="20"/>
              </w:rPr>
              <w:t>erceptions and experiences related to involvement in multiple systems</w:t>
            </w:r>
            <w:r w:rsidR="003F61E3">
              <w:rPr>
                <w:rFonts w:cs="Arial"/>
                <w:sz w:val="20"/>
                <w:szCs w:val="20"/>
              </w:rPr>
              <w:t>.</w:t>
            </w:r>
          </w:p>
          <w:p w:rsidR="00BB09EC" w:rsidRPr="00A116BB" w:rsidP="00BB09EC" w14:paraId="3D7B6D14" w14:textId="78FC2678">
            <w:pPr>
              <w:pStyle w:val="ListParagraph"/>
              <w:numPr>
                <w:ilvl w:val="0"/>
                <w:numId w:val="53"/>
              </w:numPr>
              <w:spacing w:line="240" w:lineRule="auto"/>
              <w:rPr>
                <w:rFonts w:cs="Arial"/>
                <w:sz w:val="20"/>
                <w:szCs w:val="20"/>
              </w:rPr>
            </w:pPr>
            <w:r w:rsidRPr="006379E5">
              <w:rPr>
                <w:rFonts w:cs="Arial"/>
                <w:sz w:val="20"/>
                <w:szCs w:val="20"/>
              </w:rPr>
              <w:t>Race/ethnicity items sourced from OMB guidance</w:t>
            </w:r>
            <w:r w:rsidR="00E5340F">
              <w:rPr>
                <w:rFonts w:cs="Arial"/>
                <w:sz w:val="20"/>
                <w:szCs w:val="20"/>
              </w:rPr>
              <w:t xml:space="preserve"> (OMB, 2024a)</w:t>
            </w:r>
            <w:r w:rsidRPr="006379E5">
              <w:rPr>
                <w:rFonts w:cs="Arial"/>
                <w:sz w:val="20"/>
                <w:szCs w:val="20"/>
              </w:rPr>
              <w:t xml:space="preserve">. </w:t>
            </w:r>
          </w:p>
          <w:p w:rsidR="00AA06FD" w:rsidRPr="00A116BB" w:rsidP="00AA06FD" w14:paraId="3BD019DF" w14:textId="1A742B58">
            <w:pPr>
              <w:pStyle w:val="ListParagraph"/>
              <w:numPr>
                <w:ilvl w:val="0"/>
                <w:numId w:val="53"/>
              </w:numPr>
              <w:spacing w:line="240" w:lineRule="auto"/>
              <w:rPr>
                <w:rFonts w:cs="Arial"/>
                <w:sz w:val="20"/>
                <w:szCs w:val="20"/>
              </w:rPr>
            </w:pPr>
            <w:r w:rsidRPr="006379E5">
              <w:rPr>
                <w:rFonts w:cs="Arial"/>
                <w:sz w:val="20"/>
                <w:szCs w:val="20"/>
              </w:rPr>
              <w:t xml:space="preserve">Two alternative project-developed approaches to SOGI based on items from </w:t>
            </w:r>
            <w:r w:rsidR="003F61E3">
              <w:rPr>
                <w:rFonts w:cs="Arial"/>
                <w:sz w:val="20"/>
                <w:szCs w:val="20"/>
              </w:rPr>
              <w:t xml:space="preserve">the </w:t>
            </w:r>
            <w:r w:rsidRPr="006379E5">
              <w:rPr>
                <w:rFonts w:cs="Arial"/>
                <w:sz w:val="20"/>
                <w:szCs w:val="20"/>
              </w:rPr>
              <w:t xml:space="preserve">Gay, Lesbian, and Straight Education Network-funded National School Climate Survey, thereby ensuring terms and phrases align with those currently </w:t>
            </w:r>
            <w:r w:rsidRPr="006379E5" w:rsidR="00BB09EC">
              <w:rPr>
                <w:rFonts w:cs="Arial"/>
                <w:sz w:val="20"/>
                <w:szCs w:val="20"/>
              </w:rPr>
              <w:t>used</w:t>
            </w:r>
            <w:r w:rsidRPr="006379E5">
              <w:rPr>
                <w:rFonts w:cs="Arial"/>
                <w:sz w:val="20"/>
                <w:szCs w:val="20"/>
              </w:rPr>
              <w:t xml:space="preserve"> in the LGBTQIA+ youth community. </w:t>
            </w:r>
            <w:r w:rsidRPr="0097198F" w:rsidR="00AD54EE">
              <w:rPr>
                <w:rFonts w:cs="Arial"/>
                <w:sz w:val="20"/>
                <w:szCs w:val="20"/>
              </w:rPr>
              <w:t>(</w:t>
            </w:r>
            <w:bookmarkStart w:id="3" w:name="_Hlk167887970"/>
            <w:r w:rsidRPr="0097198F" w:rsidR="00AD54EE">
              <w:rPr>
                <w:rFonts w:cs="Arial"/>
                <w:sz w:val="20"/>
                <w:szCs w:val="20"/>
              </w:rPr>
              <w:t>Clark &amp; Kosciw, 2022; Kosciw et al., 2022</w:t>
            </w:r>
            <w:bookmarkEnd w:id="3"/>
            <w:r w:rsidRPr="0097198F" w:rsidR="00AD54EE">
              <w:rPr>
                <w:rFonts w:cs="Arial"/>
                <w:sz w:val="20"/>
                <w:szCs w:val="20"/>
              </w:rPr>
              <w:t>)</w:t>
            </w:r>
            <w:r w:rsidR="00AD54EE">
              <w:rPr>
                <w:rFonts w:cs="Arial"/>
                <w:sz w:val="20"/>
                <w:szCs w:val="20"/>
              </w:rPr>
              <w:t>.</w:t>
            </w:r>
          </w:p>
          <w:p w:rsidR="00AA06FD" w:rsidRPr="00A116BB" w:rsidP="00BB09EC" w14:paraId="1A668FF2" w14:textId="28E4D689">
            <w:pPr>
              <w:pStyle w:val="ListParagraph"/>
              <w:numPr>
                <w:ilvl w:val="0"/>
                <w:numId w:val="53"/>
              </w:numPr>
              <w:spacing w:line="240" w:lineRule="auto"/>
              <w:rPr>
                <w:rFonts w:cs="Arial"/>
                <w:sz w:val="20"/>
                <w:szCs w:val="20"/>
              </w:rPr>
            </w:pPr>
            <w:r w:rsidRPr="006379E5">
              <w:rPr>
                <w:rFonts w:cs="Arial"/>
                <w:sz w:val="20"/>
                <w:szCs w:val="20"/>
              </w:rPr>
              <w:t>Items adapted from the Multigroup Ethnic Identity Measure-Revised (MEIM-R)</w:t>
            </w:r>
            <w:r w:rsidRPr="006379E5">
              <w:rPr>
                <w:rFonts w:cs="Arial"/>
                <w:sz w:val="20"/>
                <w:szCs w:val="20"/>
                <w:vertAlign w:val="superscript"/>
              </w:rPr>
              <w:t>,</w:t>
            </w:r>
            <w:r w:rsidR="003F61E3">
              <w:rPr>
                <w:rFonts w:cs="Arial"/>
                <w:sz w:val="20"/>
                <w:szCs w:val="20"/>
                <w:vertAlign w:val="superscript"/>
              </w:rPr>
              <w:t xml:space="preserve"> </w:t>
            </w:r>
            <w:r w:rsidRPr="006379E5" w:rsidR="00BB09EC">
              <w:rPr>
                <w:rFonts w:cs="Arial"/>
                <w:sz w:val="20"/>
                <w:szCs w:val="20"/>
              </w:rPr>
              <w:t>to</w:t>
            </w:r>
            <w:r w:rsidRPr="006379E5">
              <w:rPr>
                <w:rFonts w:cs="Arial"/>
                <w:sz w:val="20"/>
                <w:szCs w:val="20"/>
              </w:rPr>
              <w:t xml:space="preserve"> assess youths’ relationships with their </w:t>
            </w:r>
            <w:r w:rsidRPr="006379E5" w:rsidR="00BB09EC">
              <w:rPr>
                <w:rFonts w:cs="Arial"/>
                <w:sz w:val="20"/>
                <w:szCs w:val="20"/>
              </w:rPr>
              <w:t xml:space="preserve">respective </w:t>
            </w:r>
            <w:r w:rsidRPr="006379E5">
              <w:rPr>
                <w:rFonts w:cs="Arial"/>
                <w:sz w:val="20"/>
                <w:szCs w:val="20"/>
              </w:rPr>
              <w:t>identity(ies)</w:t>
            </w:r>
            <w:r w:rsidRPr="00A116BB">
              <w:rPr>
                <w:rFonts w:cs="Arial"/>
                <w:sz w:val="20"/>
                <w:szCs w:val="20"/>
              </w:rPr>
              <w:t xml:space="preserve"> </w:t>
            </w:r>
            <w:r w:rsidRPr="0097198F" w:rsidR="00AD54EE">
              <w:rPr>
                <w:rFonts w:cs="Arial"/>
                <w:sz w:val="20"/>
                <w:szCs w:val="20"/>
              </w:rPr>
              <w:t>(Phinney, 1992; Phinney &amp; Ong, 2007</w:t>
            </w:r>
            <w:r w:rsidR="00AD54EE">
              <w:rPr>
                <w:rFonts w:cs="Arial"/>
                <w:sz w:val="20"/>
                <w:szCs w:val="20"/>
              </w:rPr>
              <w:t>)</w:t>
            </w:r>
          </w:p>
          <w:p w:rsidR="00BB09EC" w:rsidRPr="006379E5" w:rsidP="006379E5" w14:paraId="482B54BD" w14:textId="5E5C6A4A">
            <w:pPr>
              <w:pStyle w:val="ListParagraph"/>
              <w:numPr>
                <w:ilvl w:val="0"/>
                <w:numId w:val="53"/>
              </w:numPr>
              <w:spacing w:line="240" w:lineRule="auto"/>
              <w:rPr>
                <w:rFonts w:cs="Arial"/>
                <w:sz w:val="20"/>
                <w:szCs w:val="20"/>
              </w:rPr>
            </w:pPr>
            <w:r w:rsidRPr="006379E5">
              <w:rPr>
                <w:rFonts w:cs="Arial"/>
                <w:sz w:val="20"/>
                <w:szCs w:val="20"/>
              </w:rPr>
              <w:t xml:space="preserve">Project-developed items asking youth to provide feedback on factors that may influence response rates, e.g., </w:t>
            </w:r>
            <w:r w:rsidRPr="006379E5">
              <w:rPr>
                <w:sz w:val="20"/>
                <w:szCs w:val="20"/>
              </w:rPr>
              <w:t xml:space="preserve">interview mode and length, form of tokens of appreciation. </w:t>
            </w:r>
          </w:p>
        </w:tc>
      </w:tr>
      <w:tr w14:paraId="742BC3E7" w14:textId="77777777" w:rsidTr="006379E5">
        <w:tblPrEx>
          <w:tblW w:w="14490" w:type="dxa"/>
          <w:tblInd w:w="-635" w:type="dxa"/>
          <w:tblLayout w:type="fixed"/>
          <w:tblCellMar>
            <w:left w:w="0" w:type="dxa"/>
            <w:right w:w="0" w:type="dxa"/>
          </w:tblCellMar>
          <w:tblLook w:val="04A0"/>
        </w:tblPrEx>
        <w:trPr>
          <w:trHeight w:val="774"/>
        </w:trPr>
        <w:tc>
          <w:tcPr>
            <w:tcW w:w="3060" w:type="dxa"/>
            <w:tcBorders>
              <w:bottom w:val="single" w:sz="4" w:space="0" w:color="auto"/>
            </w:tcBorders>
            <w:shd w:val="clear" w:color="auto" w:fill="auto"/>
            <w:tcMar>
              <w:top w:w="0" w:type="dxa"/>
              <w:left w:w="108" w:type="dxa"/>
              <w:bottom w:w="0" w:type="dxa"/>
              <w:right w:w="108" w:type="dxa"/>
            </w:tcMar>
            <w:vAlign w:val="center"/>
          </w:tcPr>
          <w:p w:rsidR="001C5D77" w:rsidRPr="00A116BB" w:rsidP="001E71AA" w14:paraId="6A0A6022" w14:textId="77777777">
            <w:pPr>
              <w:spacing w:line="240" w:lineRule="auto"/>
              <w:jc w:val="center"/>
              <w:rPr>
                <w:rFonts w:cs="Arial"/>
                <w:sz w:val="20"/>
                <w:szCs w:val="20"/>
              </w:rPr>
            </w:pPr>
            <w:r w:rsidRPr="00A116BB">
              <w:rPr>
                <w:rFonts w:cs="Arial"/>
                <w:b/>
                <w:bCs/>
                <w:sz w:val="20"/>
                <w:szCs w:val="20"/>
              </w:rPr>
              <w:t>Instrument 3</w:t>
            </w:r>
            <w:r w:rsidRPr="00A116BB">
              <w:rPr>
                <w:rFonts w:cs="Arial"/>
                <w:sz w:val="20"/>
                <w:szCs w:val="20"/>
              </w:rPr>
              <w:t>:</w:t>
            </w:r>
          </w:p>
          <w:p w:rsidR="001C5D77" w:rsidRPr="00A116BB" w:rsidP="001E71AA" w14:paraId="2B16EBD1" w14:textId="6EFB32E6">
            <w:pPr>
              <w:spacing w:line="240" w:lineRule="auto"/>
              <w:jc w:val="center"/>
              <w:rPr>
                <w:rFonts w:cs="Arial"/>
                <w:sz w:val="20"/>
                <w:szCs w:val="20"/>
              </w:rPr>
            </w:pPr>
            <w:r w:rsidRPr="00E5340F">
              <w:rPr>
                <w:rFonts w:cs="Arial"/>
                <w:sz w:val="20"/>
                <w:szCs w:val="20"/>
              </w:rPr>
              <w:t xml:space="preserve">Focus Group Guide for Youth Ages 15-17 – Topic Set </w:t>
            </w:r>
            <w:r>
              <w:rPr>
                <w:rFonts w:cs="Arial"/>
                <w:sz w:val="20"/>
                <w:szCs w:val="20"/>
              </w:rPr>
              <w:t>1</w:t>
            </w:r>
          </w:p>
        </w:tc>
        <w:tc>
          <w:tcPr>
            <w:tcW w:w="11430" w:type="dxa"/>
            <w:vMerge/>
            <w:vAlign w:val="center"/>
          </w:tcPr>
          <w:p w:rsidR="001C5D77" w:rsidRPr="00A116BB" w:rsidP="001E71AA" w14:paraId="1D8E38F5" w14:textId="77777777">
            <w:pPr>
              <w:spacing w:line="240" w:lineRule="auto"/>
              <w:rPr>
                <w:rFonts w:cs="Arial"/>
                <w:sz w:val="20"/>
                <w:szCs w:val="20"/>
              </w:rPr>
            </w:pPr>
          </w:p>
        </w:tc>
      </w:tr>
      <w:tr w14:paraId="307C60C2" w14:textId="77777777" w:rsidTr="006379E5">
        <w:tblPrEx>
          <w:tblW w:w="14490" w:type="dxa"/>
          <w:tblInd w:w="-635" w:type="dxa"/>
          <w:tblLayout w:type="fixed"/>
          <w:tblCellMar>
            <w:left w:w="0" w:type="dxa"/>
            <w:right w:w="0" w:type="dxa"/>
          </w:tblCellMar>
          <w:tblLook w:val="04A0"/>
        </w:tblPrEx>
        <w:trPr>
          <w:trHeight w:val="260"/>
        </w:trPr>
        <w:tc>
          <w:tcPr>
            <w:tcW w:w="3060" w:type="dxa"/>
            <w:shd w:val="clear" w:color="auto" w:fill="auto"/>
            <w:tcMar>
              <w:top w:w="0" w:type="dxa"/>
              <w:left w:w="108" w:type="dxa"/>
              <w:bottom w:w="0" w:type="dxa"/>
              <w:right w:w="108" w:type="dxa"/>
            </w:tcMar>
            <w:vAlign w:val="center"/>
            <w:hideMark/>
          </w:tcPr>
          <w:p w:rsidR="00EA42AC" w:rsidRPr="00A116BB" w:rsidP="001E71AA" w14:paraId="4E0757E6" w14:textId="77777777">
            <w:pPr>
              <w:jc w:val="center"/>
              <w:rPr>
                <w:sz w:val="20"/>
                <w:szCs w:val="20"/>
              </w:rPr>
            </w:pPr>
            <w:r w:rsidRPr="00A116BB">
              <w:rPr>
                <w:b/>
                <w:bCs/>
                <w:sz w:val="20"/>
                <w:szCs w:val="20"/>
              </w:rPr>
              <w:t>Instrument 4:</w:t>
            </w:r>
          </w:p>
          <w:p w:rsidR="00EA42AC" w:rsidRPr="00A116BB" w:rsidP="001E71AA" w14:paraId="0AC3EA73" w14:textId="3820466C">
            <w:pPr>
              <w:jc w:val="center"/>
              <w:rPr>
                <w:rFonts w:cs="Arial"/>
                <w:sz w:val="20"/>
                <w:szCs w:val="20"/>
              </w:rPr>
            </w:pPr>
            <w:r w:rsidRPr="00E5340F">
              <w:rPr>
                <w:rFonts w:cs="Arial"/>
                <w:sz w:val="20"/>
                <w:szCs w:val="20"/>
              </w:rPr>
              <w:t xml:space="preserve">Interview Guide for Youth Ages 11-14 – Topic Set </w:t>
            </w:r>
            <w:r>
              <w:rPr>
                <w:rFonts w:cs="Arial"/>
                <w:sz w:val="20"/>
                <w:szCs w:val="20"/>
              </w:rPr>
              <w:t>2</w:t>
            </w:r>
          </w:p>
        </w:tc>
        <w:tc>
          <w:tcPr>
            <w:tcW w:w="11430" w:type="dxa"/>
            <w:vMerge w:val="restart"/>
            <w:vAlign w:val="center"/>
          </w:tcPr>
          <w:p w:rsidR="00EA42AC" w:rsidRPr="00A116BB" w:rsidP="00AA06FD" w14:paraId="7E7EC995" w14:textId="77777777">
            <w:pPr>
              <w:pStyle w:val="ListParagraph"/>
              <w:numPr>
                <w:ilvl w:val="0"/>
                <w:numId w:val="54"/>
              </w:numPr>
              <w:spacing w:line="240" w:lineRule="auto"/>
              <w:rPr>
                <w:rFonts w:cs="Arial"/>
                <w:sz w:val="20"/>
                <w:szCs w:val="20"/>
              </w:rPr>
            </w:pPr>
            <w:r w:rsidRPr="00A116BB">
              <w:rPr>
                <w:rFonts w:cs="Arial"/>
                <w:sz w:val="20"/>
                <w:szCs w:val="20"/>
              </w:rPr>
              <w:t>Recommendations from the TWG and individuals with CWS LE.</w:t>
            </w:r>
          </w:p>
          <w:p w:rsidR="00EA42AC" w:rsidRPr="00A116BB" w:rsidP="00AA06FD" w14:paraId="3A0D637E" w14:textId="75AF8870">
            <w:pPr>
              <w:pStyle w:val="ListParagraph"/>
              <w:numPr>
                <w:ilvl w:val="0"/>
                <w:numId w:val="50"/>
              </w:numPr>
              <w:spacing w:line="240" w:lineRule="auto"/>
              <w:rPr>
                <w:rFonts w:cs="Arial"/>
                <w:sz w:val="20"/>
                <w:szCs w:val="20"/>
              </w:rPr>
            </w:pPr>
            <w:r w:rsidRPr="006379E5">
              <w:rPr>
                <w:rFonts w:cs="Arial"/>
                <w:sz w:val="20"/>
                <w:szCs w:val="20"/>
                <w:u w:val="single"/>
              </w:rPr>
              <w:t>Happiness across life stages</w:t>
            </w:r>
            <w:r w:rsidRPr="00A116BB">
              <w:rPr>
                <w:rFonts w:cs="Arial"/>
                <w:sz w:val="20"/>
                <w:szCs w:val="20"/>
              </w:rPr>
              <w:t>: I</w:t>
            </w:r>
            <w:r w:rsidRPr="006379E5">
              <w:rPr>
                <w:rFonts w:cs="Arial"/>
                <w:sz w:val="20"/>
                <w:szCs w:val="20"/>
              </w:rPr>
              <w:t xml:space="preserve">tems adapted from the Good Childhood Index asking youth to indicate how they believe the items will be perceived by others their age. Youth will be asked to provide feedback on their perceptions of </w:t>
            </w:r>
            <w:r w:rsidR="003F61E3">
              <w:rPr>
                <w:rFonts w:cs="Arial"/>
                <w:sz w:val="20"/>
                <w:szCs w:val="20"/>
              </w:rPr>
              <w:t>the</w:t>
            </w:r>
            <w:r w:rsidRPr="006379E5">
              <w:rPr>
                <w:rFonts w:cs="Arial"/>
                <w:sz w:val="20"/>
                <w:szCs w:val="20"/>
              </w:rPr>
              <w:t xml:space="preserve"> concept</w:t>
            </w:r>
            <w:r w:rsidR="003F61E3">
              <w:rPr>
                <w:rFonts w:cs="Arial"/>
                <w:sz w:val="20"/>
                <w:szCs w:val="20"/>
              </w:rPr>
              <w:t xml:space="preserve">s </w:t>
            </w:r>
            <w:r w:rsidRPr="006379E5">
              <w:rPr>
                <w:rFonts w:cs="Arial"/>
                <w:sz w:val="20"/>
                <w:szCs w:val="20"/>
              </w:rPr>
              <w:t>of happiness</w:t>
            </w:r>
            <w:r w:rsidR="003F61E3">
              <w:rPr>
                <w:rFonts w:cs="Arial"/>
                <w:sz w:val="20"/>
                <w:szCs w:val="20"/>
              </w:rPr>
              <w:t xml:space="preserve">, </w:t>
            </w:r>
            <w:r w:rsidRPr="006379E5">
              <w:rPr>
                <w:rFonts w:cs="Arial"/>
                <w:sz w:val="20"/>
                <w:szCs w:val="20"/>
              </w:rPr>
              <w:t>life satisfaction;</w:t>
            </w:r>
            <w:r w:rsidR="003F61E3">
              <w:rPr>
                <w:rFonts w:cs="Arial"/>
                <w:sz w:val="20"/>
                <w:szCs w:val="20"/>
              </w:rPr>
              <w:t xml:space="preserve"> </w:t>
            </w:r>
            <w:r w:rsidRPr="006379E5">
              <w:rPr>
                <w:rFonts w:cs="Arial"/>
                <w:sz w:val="20"/>
                <w:szCs w:val="20"/>
              </w:rPr>
              <w:t>safety, family,</w:t>
            </w:r>
            <w:r w:rsidR="003F61E3">
              <w:rPr>
                <w:rFonts w:cs="Arial"/>
                <w:sz w:val="20"/>
                <w:szCs w:val="20"/>
              </w:rPr>
              <w:t xml:space="preserve"> </w:t>
            </w:r>
            <w:r w:rsidRPr="006379E5">
              <w:rPr>
                <w:rFonts w:cs="Arial"/>
                <w:sz w:val="20"/>
                <w:szCs w:val="20"/>
              </w:rPr>
              <w:t>home</w:t>
            </w:r>
            <w:r w:rsidR="00E5340F">
              <w:rPr>
                <w:rFonts w:cs="Arial"/>
                <w:sz w:val="20"/>
                <w:szCs w:val="20"/>
              </w:rPr>
              <w:t xml:space="preserve"> </w:t>
            </w:r>
            <w:r w:rsidRPr="00AD54EE" w:rsidR="00AD54EE">
              <w:rPr>
                <w:rFonts w:cs="Arial"/>
                <w:sz w:val="20"/>
                <w:szCs w:val="20"/>
              </w:rPr>
              <w:t>(Selwyn et al., 2022)</w:t>
            </w:r>
          </w:p>
          <w:p w:rsidR="00EA42AC" w:rsidRPr="006379E5" w:rsidP="00AA06FD" w14:paraId="6739BF01" w14:textId="026940CE">
            <w:pPr>
              <w:pStyle w:val="ListParagraph"/>
              <w:numPr>
                <w:ilvl w:val="0"/>
                <w:numId w:val="50"/>
              </w:numPr>
              <w:spacing w:line="240" w:lineRule="auto"/>
              <w:rPr>
                <w:rFonts w:cs="Arial"/>
                <w:sz w:val="20"/>
                <w:szCs w:val="20"/>
              </w:rPr>
            </w:pPr>
            <w:r w:rsidRPr="006379E5">
              <w:rPr>
                <w:rFonts w:cs="Arial"/>
                <w:sz w:val="20"/>
                <w:szCs w:val="20"/>
                <w:u w:val="single"/>
              </w:rPr>
              <w:t>Belongingness</w:t>
            </w:r>
            <w:r w:rsidRPr="00A116BB">
              <w:rPr>
                <w:rFonts w:cs="Arial"/>
                <w:sz w:val="20"/>
                <w:szCs w:val="20"/>
              </w:rPr>
              <w:t xml:space="preserve">: Items from the </w:t>
            </w:r>
            <w:r w:rsidRPr="006379E5">
              <w:rPr>
                <w:sz w:val="20"/>
                <w:szCs w:val="20"/>
              </w:rPr>
              <w:t>Milwaukee Youth Belongingness Scale</w:t>
            </w:r>
            <w:r w:rsidR="00AD54EE">
              <w:rPr>
                <w:sz w:val="20"/>
                <w:szCs w:val="20"/>
              </w:rPr>
              <w:t xml:space="preserve"> </w:t>
            </w:r>
            <w:r w:rsidRPr="00AD54EE" w:rsidR="00AD54EE">
              <w:rPr>
                <w:sz w:val="20"/>
                <w:szCs w:val="20"/>
              </w:rPr>
              <w:t>(Slaten et al., 2018)</w:t>
            </w:r>
            <w:r w:rsidRPr="006379E5">
              <w:rPr>
                <w:sz w:val="20"/>
                <w:szCs w:val="20"/>
              </w:rPr>
              <w:t xml:space="preserve">, as well as parallel project-developed items relevant for youth in out-of-home care.  </w:t>
            </w:r>
          </w:p>
          <w:p w:rsidR="00EA42AC" w:rsidRPr="006379E5" w:rsidP="00AA06FD" w14:paraId="14730E33" w14:textId="39CB0287">
            <w:pPr>
              <w:pStyle w:val="ListParagraph"/>
              <w:numPr>
                <w:ilvl w:val="0"/>
                <w:numId w:val="50"/>
              </w:numPr>
              <w:spacing w:line="240" w:lineRule="auto"/>
              <w:rPr>
                <w:rFonts w:cs="Arial"/>
                <w:sz w:val="20"/>
                <w:szCs w:val="20"/>
              </w:rPr>
            </w:pPr>
            <w:r w:rsidRPr="006379E5">
              <w:rPr>
                <w:sz w:val="20"/>
                <w:szCs w:val="20"/>
                <w:u w:val="single"/>
              </w:rPr>
              <w:t>Resilience</w:t>
            </w:r>
            <w:r w:rsidRPr="006379E5">
              <w:rPr>
                <w:sz w:val="20"/>
                <w:szCs w:val="20"/>
              </w:rPr>
              <w:t>: Youth will be asked to provide feedback on all items in the Connor-Davidson Resilience Scale</w:t>
            </w:r>
            <w:r w:rsidR="00AD54EE">
              <w:rPr>
                <w:sz w:val="20"/>
                <w:szCs w:val="20"/>
              </w:rPr>
              <w:t xml:space="preserve"> </w:t>
            </w:r>
            <w:r w:rsidRPr="00AD54EE" w:rsidR="00AD54EE">
              <w:rPr>
                <w:sz w:val="20"/>
                <w:szCs w:val="20"/>
              </w:rPr>
              <w:t>(CD-RISC) (Connor &amp; Davidson, 2003)</w:t>
            </w:r>
            <w:r w:rsidRPr="006379E5">
              <w:rPr>
                <w:sz w:val="20"/>
                <w:szCs w:val="20"/>
              </w:rPr>
              <w:t>.</w:t>
            </w:r>
          </w:p>
          <w:p w:rsidR="00EA42AC" w:rsidRPr="006379E5" w:rsidP="00DB2C10" w14:paraId="1C4C75A0" w14:textId="2CCCD278">
            <w:pPr>
              <w:pStyle w:val="ListParagraph"/>
              <w:numPr>
                <w:ilvl w:val="0"/>
                <w:numId w:val="50"/>
              </w:numPr>
              <w:spacing w:line="240" w:lineRule="auto"/>
              <w:rPr>
                <w:rFonts w:cs="Arial"/>
                <w:sz w:val="20"/>
                <w:szCs w:val="20"/>
              </w:rPr>
            </w:pPr>
            <w:r w:rsidRPr="006379E5">
              <w:rPr>
                <w:sz w:val="20"/>
                <w:szCs w:val="20"/>
                <w:u w:val="single"/>
              </w:rPr>
              <w:t>Substance use</w:t>
            </w:r>
            <w:r w:rsidRPr="006379E5">
              <w:rPr>
                <w:rFonts w:cs="Arial"/>
                <w:sz w:val="20"/>
                <w:szCs w:val="20"/>
              </w:rPr>
              <w:t>:</w:t>
            </w:r>
            <w:r w:rsidRPr="006379E5">
              <w:rPr>
                <w:sz w:val="20"/>
                <w:szCs w:val="20"/>
              </w:rPr>
              <w:t xml:space="preserve"> Youth will be asked to provide feedback on all items comprising the Global Appraisal of Individual Needs-Substance Problem Scale </w:t>
            </w:r>
            <w:r w:rsidRPr="00AD54EE" w:rsidR="00AD54EE">
              <w:rPr>
                <w:sz w:val="20"/>
                <w:szCs w:val="20"/>
              </w:rPr>
              <w:t xml:space="preserve">(GAIN-Q3; Titus et al., 2013) </w:t>
            </w:r>
            <w:r w:rsidRPr="006379E5">
              <w:rPr>
                <w:sz w:val="20"/>
                <w:szCs w:val="20"/>
              </w:rPr>
              <w:t xml:space="preserve">as well as the California Healthy Kids Survey and </w:t>
            </w:r>
            <w:r w:rsidRPr="00AD54EE" w:rsidR="00AD54EE">
              <w:rPr>
                <w:sz w:val="20"/>
                <w:szCs w:val="20"/>
              </w:rPr>
              <w:t>(CHKS; Ferguson &amp; Xie, 2012)</w:t>
            </w:r>
            <w:r w:rsidR="00AD54EE">
              <w:rPr>
                <w:sz w:val="20"/>
                <w:szCs w:val="20"/>
              </w:rPr>
              <w:t xml:space="preserve"> </w:t>
            </w:r>
            <w:r w:rsidRPr="006379E5">
              <w:rPr>
                <w:sz w:val="20"/>
                <w:szCs w:val="20"/>
              </w:rPr>
              <w:t>share their perspectives on factors that may affect the likelihood of truthful responses.</w:t>
            </w:r>
          </w:p>
          <w:p w:rsidR="003F61E3" w:rsidRPr="006379E5" w:rsidP="006379E5" w14:paraId="1463F805" w14:textId="567F5AA3">
            <w:pPr>
              <w:pStyle w:val="ListParagraph"/>
              <w:numPr>
                <w:ilvl w:val="0"/>
                <w:numId w:val="50"/>
              </w:numPr>
              <w:spacing w:line="240" w:lineRule="auto"/>
              <w:rPr>
                <w:rFonts w:cs="Arial"/>
                <w:sz w:val="20"/>
                <w:szCs w:val="20"/>
              </w:rPr>
            </w:pPr>
            <w:r w:rsidRPr="006379E5">
              <w:rPr>
                <w:sz w:val="20"/>
                <w:szCs w:val="20"/>
                <w:u w:val="single"/>
              </w:rPr>
              <w:t>Needs assessment</w:t>
            </w:r>
            <w:r w:rsidRPr="006379E5">
              <w:rPr>
                <w:sz w:val="20"/>
                <w:szCs w:val="20"/>
              </w:rPr>
              <w:t xml:space="preserve"> </w:t>
            </w:r>
            <w:r w:rsidRPr="006379E5">
              <w:rPr>
                <w:i/>
                <w:iCs/>
                <w:sz w:val="20"/>
                <w:szCs w:val="20"/>
              </w:rPr>
              <w:t>(time permitting):</w:t>
            </w:r>
            <w:r w:rsidR="00C60046">
              <w:rPr>
                <w:sz w:val="20"/>
                <w:szCs w:val="20"/>
              </w:rPr>
              <w:t xml:space="preserve"> T</w:t>
            </w:r>
            <w:r w:rsidRPr="006379E5">
              <w:rPr>
                <w:sz w:val="20"/>
                <w:szCs w:val="20"/>
              </w:rPr>
              <w:t>WG and project-developed items around potential service needs.</w:t>
            </w:r>
          </w:p>
        </w:tc>
      </w:tr>
      <w:tr w14:paraId="642BB141" w14:textId="77777777" w:rsidTr="006379E5">
        <w:tblPrEx>
          <w:tblW w:w="14490" w:type="dxa"/>
          <w:tblInd w:w="-635" w:type="dxa"/>
          <w:tblLayout w:type="fixed"/>
          <w:tblCellMar>
            <w:left w:w="0" w:type="dxa"/>
            <w:right w:w="0" w:type="dxa"/>
          </w:tblCellMar>
          <w:tblLook w:val="04A0"/>
        </w:tblPrEx>
        <w:trPr>
          <w:trHeight w:val="774"/>
        </w:trPr>
        <w:tc>
          <w:tcPr>
            <w:tcW w:w="3060" w:type="dxa"/>
            <w:shd w:val="clear" w:color="auto" w:fill="auto"/>
            <w:tcMar>
              <w:top w:w="0" w:type="dxa"/>
              <w:left w:w="108" w:type="dxa"/>
              <w:bottom w:w="0" w:type="dxa"/>
              <w:right w:w="108" w:type="dxa"/>
            </w:tcMar>
            <w:vAlign w:val="center"/>
          </w:tcPr>
          <w:p w:rsidR="00EA42AC" w:rsidRPr="00A116BB" w:rsidP="001E71AA" w14:paraId="492F1090" w14:textId="77777777">
            <w:pPr>
              <w:spacing w:line="240" w:lineRule="auto"/>
              <w:jc w:val="center"/>
              <w:rPr>
                <w:rFonts w:cs="Arial"/>
                <w:sz w:val="20"/>
                <w:szCs w:val="20"/>
              </w:rPr>
            </w:pPr>
            <w:r w:rsidRPr="00A116BB">
              <w:rPr>
                <w:rFonts w:cs="Arial"/>
                <w:b/>
                <w:bCs/>
                <w:sz w:val="20"/>
                <w:szCs w:val="20"/>
              </w:rPr>
              <w:t>Instrument 5</w:t>
            </w:r>
            <w:r w:rsidRPr="00A116BB">
              <w:rPr>
                <w:rFonts w:cs="Arial"/>
                <w:sz w:val="20"/>
                <w:szCs w:val="20"/>
              </w:rPr>
              <w:t>:</w:t>
            </w:r>
          </w:p>
          <w:p w:rsidR="00EA42AC" w:rsidRPr="00A116BB" w:rsidP="001E71AA" w14:paraId="2D9B2EF1" w14:textId="371D09EA">
            <w:pPr>
              <w:spacing w:line="240" w:lineRule="auto"/>
              <w:jc w:val="center"/>
              <w:rPr>
                <w:rFonts w:cs="Arial"/>
                <w:sz w:val="20"/>
                <w:szCs w:val="20"/>
              </w:rPr>
            </w:pPr>
            <w:r w:rsidRPr="00E5340F">
              <w:rPr>
                <w:rFonts w:cs="Arial"/>
                <w:sz w:val="20"/>
                <w:szCs w:val="20"/>
              </w:rPr>
              <w:t xml:space="preserve">Focus Group Guide for Youth Ages 15-17 – Topic Set </w:t>
            </w:r>
            <w:r>
              <w:rPr>
                <w:rFonts w:cs="Arial"/>
                <w:sz w:val="20"/>
                <w:szCs w:val="20"/>
              </w:rPr>
              <w:t>2</w:t>
            </w:r>
          </w:p>
        </w:tc>
        <w:tc>
          <w:tcPr>
            <w:tcW w:w="11430" w:type="dxa"/>
            <w:vMerge/>
            <w:vAlign w:val="center"/>
          </w:tcPr>
          <w:p w:rsidR="00EA42AC" w:rsidRPr="00A116BB" w:rsidP="001E71AA" w14:paraId="71DE2CB0" w14:textId="77777777">
            <w:pPr>
              <w:spacing w:line="240" w:lineRule="auto"/>
              <w:rPr>
                <w:rFonts w:cs="Arial"/>
                <w:b/>
                <w:sz w:val="20"/>
                <w:szCs w:val="20"/>
              </w:rPr>
            </w:pPr>
          </w:p>
        </w:tc>
      </w:tr>
      <w:tr w14:paraId="485433B7" w14:textId="77777777" w:rsidTr="006379E5">
        <w:tblPrEx>
          <w:tblW w:w="14490" w:type="dxa"/>
          <w:tblInd w:w="-635" w:type="dxa"/>
          <w:tblLayout w:type="fixed"/>
          <w:tblCellMar>
            <w:left w:w="0" w:type="dxa"/>
            <w:right w:w="0" w:type="dxa"/>
          </w:tblCellMar>
          <w:tblLook w:val="04A0"/>
        </w:tblPrEx>
        <w:trPr>
          <w:trHeight w:val="350"/>
        </w:trPr>
        <w:tc>
          <w:tcPr>
            <w:tcW w:w="3060" w:type="dxa"/>
            <w:shd w:val="clear" w:color="auto" w:fill="auto"/>
            <w:tcMar>
              <w:top w:w="0" w:type="dxa"/>
              <w:left w:w="108" w:type="dxa"/>
              <w:bottom w:w="0" w:type="dxa"/>
              <w:right w:w="108" w:type="dxa"/>
            </w:tcMar>
            <w:vAlign w:val="center"/>
          </w:tcPr>
          <w:p w:rsidR="00BB09EC" w:rsidRPr="00A116BB" w:rsidP="001E71AA" w14:paraId="10E8F5B6" w14:textId="77777777">
            <w:pPr>
              <w:spacing w:line="240" w:lineRule="auto"/>
              <w:jc w:val="center"/>
              <w:rPr>
                <w:rFonts w:cs="Arial"/>
                <w:sz w:val="20"/>
                <w:szCs w:val="20"/>
              </w:rPr>
            </w:pPr>
            <w:r w:rsidRPr="00A116BB">
              <w:rPr>
                <w:rFonts w:cs="Arial"/>
                <w:b/>
                <w:bCs/>
                <w:sz w:val="20"/>
                <w:szCs w:val="20"/>
              </w:rPr>
              <w:t>Instrument 6</w:t>
            </w:r>
            <w:r w:rsidRPr="00A116BB">
              <w:rPr>
                <w:rFonts w:cs="Arial"/>
                <w:sz w:val="20"/>
                <w:szCs w:val="20"/>
              </w:rPr>
              <w:t>:</w:t>
            </w:r>
          </w:p>
          <w:p w:rsidR="00BB09EC" w:rsidRPr="00A116BB" w:rsidP="001E71AA" w14:paraId="5426F50C" w14:textId="181A926C">
            <w:pPr>
              <w:spacing w:line="240" w:lineRule="auto"/>
              <w:jc w:val="center"/>
              <w:rPr>
                <w:b/>
                <w:bCs/>
                <w:sz w:val="20"/>
                <w:szCs w:val="20"/>
              </w:rPr>
            </w:pPr>
            <w:r w:rsidRPr="00A116BB">
              <w:rPr>
                <w:rFonts w:cs="Arial"/>
                <w:sz w:val="20"/>
                <w:szCs w:val="20"/>
              </w:rPr>
              <w:t>Focus Group Guide</w:t>
            </w:r>
            <w:r w:rsidR="00E5340F">
              <w:rPr>
                <w:rFonts w:cs="Arial"/>
                <w:sz w:val="20"/>
                <w:szCs w:val="20"/>
              </w:rPr>
              <w:t xml:space="preserve"> for Parents</w:t>
            </w:r>
          </w:p>
        </w:tc>
        <w:tc>
          <w:tcPr>
            <w:tcW w:w="11430" w:type="dxa"/>
            <w:vAlign w:val="center"/>
          </w:tcPr>
          <w:p w:rsidR="00BB09EC" w:rsidRPr="006379E5" w:rsidP="00EA42AC" w14:paraId="430B9C95" w14:textId="77777777">
            <w:pPr>
              <w:pStyle w:val="ListParagraph"/>
              <w:numPr>
                <w:ilvl w:val="0"/>
                <w:numId w:val="55"/>
              </w:numPr>
              <w:spacing w:line="240" w:lineRule="auto"/>
              <w:rPr>
                <w:rFonts w:cs="Arial"/>
                <w:b/>
                <w:sz w:val="20"/>
                <w:szCs w:val="20"/>
              </w:rPr>
            </w:pPr>
            <w:r w:rsidRPr="00A116BB">
              <w:rPr>
                <w:rFonts w:cs="Arial"/>
                <w:bCs/>
                <w:sz w:val="20"/>
                <w:szCs w:val="20"/>
              </w:rPr>
              <w:t>Recommendations from the TWG and individuals with CWS LE.</w:t>
            </w:r>
          </w:p>
          <w:p w:rsidR="00EA42AC" w:rsidRPr="006379E5" w:rsidP="00EA42AC" w14:paraId="2E1CBE7C" w14:textId="06A4C73B">
            <w:pPr>
              <w:pStyle w:val="ListParagraph"/>
              <w:numPr>
                <w:ilvl w:val="0"/>
                <w:numId w:val="50"/>
              </w:numPr>
              <w:spacing w:line="240" w:lineRule="auto"/>
              <w:rPr>
                <w:rFonts w:cs="Arial"/>
                <w:b/>
                <w:sz w:val="20"/>
                <w:szCs w:val="20"/>
              </w:rPr>
            </w:pPr>
            <w:r w:rsidRPr="00A116BB">
              <w:rPr>
                <w:rFonts w:cs="Arial"/>
                <w:bCs/>
                <w:sz w:val="20"/>
                <w:szCs w:val="20"/>
                <w:u w:val="single"/>
              </w:rPr>
              <w:t>Participants will be asked to react to m</w:t>
            </w:r>
            <w:r w:rsidRPr="00A116BB">
              <w:rPr>
                <w:rFonts w:cs="Arial"/>
                <w:bCs/>
                <w:sz w:val="20"/>
                <w:szCs w:val="20"/>
                <w:u w:val="single"/>
              </w:rPr>
              <w:t xml:space="preserve">easures of: </w:t>
            </w:r>
          </w:p>
          <w:p w:rsidR="00C60046" w:rsidP="00C60046" w14:paraId="7E3A484A" w14:textId="77777777">
            <w:pPr>
              <w:pStyle w:val="ListParagraph"/>
              <w:numPr>
                <w:ilvl w:val="0"/>
                <w:numId w:val="56"/>
              </w:numPr>
              <w:spacing w:line="240" w:lineRule="auto"/>
              <w:rPr>
                <w:rFonts w:cs="Arial"/>
                <w:bCs/>
                <w:sz w:val="20"/>
                <w:szCs w:val="20"/>
              </w:rPr>
            </w:pPr>
            <w:r w:rsidRPr="006379E5">
              <w:rPr>
                <w:rFonts w:cs="Arial"/>
                <w:bCs/>
                <w:sz w:val="20"/>
                <w:szCs w:val="20"/>
              </w:rPr>
              <w:t xml:space="preserve">Positive parenting: </w:t>
            </w:r>
            <w:r w:rsidRPr="00A116BB" w:rsidR="00A116BB">
              <w:rPr>
                <w:rFonts w:cs="Arial"/>
                <w:bCs/>
                <w:sz w:val="20"/>
                <w:szCs w:val="20"/>
              </w:rPr>
              <w:t>All items comprising the “resilience” subscale from the Parents’</w:t>
            </w:r>
            <w:r>
              <w:rPr>
                <w:rFonts w:cs="Arial"/>
                <w:bCs/>
                <w:sz w:val="20"/>
                <w:szCs w:val="20"/>
              </w:rPr>
              <w:t xml:space="preserve"> </w:t>
            </w:r>
            <w:r w:rsidRPr="006379E5" w:rsidR="00A116BB">
              <w:rPr>
                <w:rFonts w:cs="Arial"/>
                <w:bCs/>
                <w:sz w:val="20"/>
                <w:szCs w:val="20"/>
              </w:rPr>
              <w:t xml:space="preserve">Assessment of </w:t>
            </w:r>
          </w:p>
          <w:p w:rsidR="00A116BB" w:rsidRPr="006379E5" w:rsidP="006379E5" w14:paraId="44851513" w14:textId="35CF075F">
            <w:pPr>
              <w:pStyle w:val="ListParagraph"/>
              <w:spacing w:line="240" w:lineRule="auto"/>
              <w:ind w:left="576"/>
              <w:rPr>
                <w:rFonts w:cs="Arial"/>
                <w:bCs/>
                <w:sz w:val="20"/>
                <w:szCs w:val="20"/>
              </w:rPr>
            </w:pPr>
            <w:r>
              <w:rPr>
                <w:rFonts w:cs="Arial"/>
                <w:bCs/>
                <w:sz w:val="20"/>
                <w:szCs w:val="20"/>
              </w:rPr>
              <w:t xml:space="preserve">   </w:t>
            </w:r>
            <w:r w:rsidRPr="006379E5">
              <w:rPr>
                <w:rFonts w:cs="Arial"/>
                <w:bCs/>
                <w:sz w:val="20"/>
                <w:szCs w:val="20"/>
              </w:rPr>
              <w:t>Protective Factors (PAPF)</w:t>
            </w:r>
            <w:r w:rsidR="00AD54EE">
              <w:rPr>
                <w:rFonts w:cs="Arial"/>
                <w:bCs/>
                <w:sz w:val="20"/>
                <w:szCs w:val="20"/>
              </w:rPr>
              <w:t xml:space="preserve"> </w:t>
            </w:r>
            <w:r w:rsidRPr="00AD54EE" w:rsidR="00AD54EE">
              <w:rPr>
                <w:rFonts w:cs="Arial"/>
                <w:bCs/>
                <w:sz w:val="20"/>
                <w:szCs w:val="20"/>
              </w:rPr>
              <w:t>(Kiplinger &amp; Browne, 2014</w:t>
            </w:r>
            <w:r w:rsidR="00AD54EE">
              <w:rPr>
                <w:rFonts w:cs="Arial"/>
                <w:bCs/>
                <w:sz w:val="20"/>
                <w:szCs w:val="20"/>
              </w:rPr>
              <w:t>)</w:t>
            </w:r>
            <w:r w:rsidRPr="006379E5">
              <w:rPr>
                <w:rFonts w:cs="Arial"/>
                <w:bCs/>
                <w:sz w:val="20"/>
                <w:szCs w:val="20"/>
              </w:rPr>
              <w:t>.</w:t>
            </w:r>
            <w:r w:rsidR="00AD54EE">
              <w:rPr>
                <w:rFonts w:cs="Arial"/>
                <w:bCs/>
                <w:sz w:val="20"/>
                <w:szCs w:val="20"/>
              </w:rPr>
              <w:t xml:space="preserve"> </w:t>
            </w:r>
          </w:p>
          <w:p w:rsidR="00C60046" w:rsidRPr="00C60046" w:rsidP="00A116BB" w14:paraId="39BB5247" w14:textId="77777777">
            <w:pPr>
              <w:pStyle w:val="ListParagraph"/>
              <w:numPr>
                <w:ilvl w:val="0"/>
                <w:numId w:val="56"/>
              </w:numPr>
              <w:spacing w:line="240" w:lineRule="auto"/>
              <w:rPr>
                <w:rFonts w:cs="Arial"/>
                <w:bCs/>
                <w:sz w:val="20"/>
                <w:szCs w:val="20"/>
              </w:rPr>
            </w:pPr>
            <w:r w:rsidRPr="006379E5">
              <w:rPr>
                <w:rFonts w:cs="Arial"/>
                <w:bCs/>
                <w:sz w:val="20"/>
                <w:szCs w:val="20"/>
              </w:rPr>
              <w:t>Material hardship</w:t>
            </w:r>
            <w:r w:rsidRPr="00A116BB" w:rsidR="00A116BB">
              <w:rPr>
                <w:rFonts w:cs="Arial"/>
                <w:bCs/>
                <w:sz w:val="20"/>
                <w:szCs w:val="20"/>
              </w:rPr>
              <w:t xml:space="preserve"> and economic strain</w:t>
            </w:r>
            <w:r w:rsidRPr="006379E5">
              <w:rPr>
                <w:rFonts w:cs="Arial"/>
                <w:bCs/>
                <w:sz w:val="20"/>
                <w:szCs w:val="20"/>
              </w:rPr>
              <w:t>:</w:t>
            </w:r>
            <w:r w:rsidRPr="00A116BB" w:rsidR="00A116BB">
              <w:rPr>
                <w:rFonts w:cs="Arial"/>
                <w:bCs/>
                <w:sz w:val="20"/>
                <w:szCs w:val="20"/>
              </w:rPr>
              <w:t xml:space="preserve"> Two project-developed approaches </w:t>
            </w:r>
            <w:r w:rsidRPr="006379E5" w:rsidR="00A116BB">
              <w:rPr>
                <w:sz w:val="20"/>
                <w:szCs w:val="20"/>
              </w:rPr>
              <w:t>to measuring financial or</w:t>
            </w:r>
          </w:p>
          <w:p w:rsidR="00A116BB" w:rsidRPr="006379E5" w:rsidP="006379E5" w14:paraId="224F2543" w14:textId="11E1FDF1">
            <w:pPr>
              <w:pStyle w:val="ListParagraph"/>
              <w:spacing w:line="240" w:lineRule="auto"/>
              <w:ind w:left="576"/>
              <w:rPr>
                <w:rFonts w:cs="Arial"/>
                <w:bCs/>
                <w:sz w:val="20"/>
                <w:szCs w:val="20"/>
              </w:rPr>
            </w:pPr>
            <w:r>
              <w:rPr>
                <w:sz w:val="20"/>
                <w:szCs w:val="20"/>
              </w:rPr>
              <w:t xml:space="preserve">   </w:t>
            </w:r>
            <w:r w:rsidRPr="006379E5">
              <w:rPr>
                <w:sz w:val="20"/>
                <w:szCs w:val="20"/>
              </w:rPr>
              <w:t>economic strain adapted from an accounting of material hardships and on stress related to</w:t>
            </w:r>
            <w:r>
              <w:rPr>
                <w:sz w:val="20"/>
                <w:szCs w:val="20"/>
              </w:rPr>
              <w:t xml:space="preserve"> finances.   </w:t>
            </w:r>
          </w:p>
          <w:p w:rsidR="00EA42AC" w:rsidRPr="006379E5" w:rsidP="006379E5" w14:paraId="7346A01E" w14:textId="148C4368">
            <w:pPr>
              <w:pStyle w:val="ListParagraph"/>
              <w:numPr>
                <w:ilvl w:val="0"/>
                <w:numId w:val="56"/>
              </w:numPr>
              <w:spacing w:line="240" w:lineRule="auto"/>
              <w:rPr>
                <w:rFonts w:cs="Arial"/>
                <w:bCs/>
                <w:sz w:val="20"/>
                <w:szCs w:val="20"/>
              </w:rPr>
            </w:pPr>
            <w:r w:rsidRPr="006379E5">
              <w:rPr>
                <w:rFonts w:cs="Arial"/>
                <w:bCs/>
                <w:sz w:val="20"/>
                <w:szCs w:val="20"/>
              </w:rPr>
              <w:t xml:space="preserve">Substance use: </w:t>
            </w:r>
            <w:r w:rsidRPr="00A116BB" w:rsidR="00A116BB">
              <w:rPr>
                <w:rFonts w:cs="Arial"/>
                <w:bCs/>
                <w:sz w:val="20"/>
                <w:szCs w:val="20"/>
              </w:rPr>
              <w:t>GAIN-Q3</w:t>
            </w:r>
            <w:r w:rsidR="00AD54EE">
              <w:rPr>
                <w:rFonts w:cs="Arial"/>
                <w:bCs/>
                <w:sz w:val="20"/>
                <w:szCs w:val="20"/>
              </w:rPr>
              <w:t xml:space="preserve"> (</w:t>
            </w:r>
            <w:r w:rsidRPr="00AD54EE" w:rsidR="00AD54EE">
              <w:rPr>
                <w:rFonts w:cs="Arial"/>
                <w:bCs/>
                <w:sz w:val="20"/>
                <w:szCs w:val="20"/>
              </w:rPr>
              <w:t>Titus et al., 2013)</w:t>
            </w:r>
          </w:p>
          <w:p w:rsidR="00EA42AC" w:rsidRPr="006379E5" w:rsidP="00EA42AC" w14:paraId="5850EFFE" w14:textId="77777777">
            <w:pPr>
              <w:pStyle w:val="ListParagraph"/>
              <w:numPr>
                <w:ilvl w:val="0"/>
                <w:numId w:val="50"/>
              </w:numPr>
              <w:spacing w:line="240" w:lineRule="auto"/>
              <w:rPr>
                <w:rFonts w:cs="Arial"/>
                <w:b/>
                <w:sz w:val="20"/>
                <w:szCs w:val="20"/>
              </w:rPr>
            </w:pPr>
            <w:r w:rsidRPr="00A116BB">
              <w:rPr>
                <w:rFonts w:cs="Arial"/>
                <w:bCs/>
                <w:sz w:val="20"/>
                <w:szCs w:val="20"/>
                <w:u w:val="single"/>
              </w:rPr>
              <w:t>CWS involvement</w:t>
            </w:r>
            <w:r w:rsidRPr="00A116BB" w:rsidR="00A116BB">
              <w:rPr>
                <w:rFonts w:cs="Arial"/>
                <w:bCs/>
                <w:sz w:val="20"/>
                <w:szCs w:val="20"/>
                <w:u w:val="single"/>
              </w:rPr>
              <w:t xml:space="preserve">: </w:t>
            </w:r>
            <w:r w:rsidRPr="006379E5" w:rsidR="00A116BB">
              <w:rPr>
                <w:sz w:val="20"/>
                <w:szCs w:val="20"/>
              </w:rPr>
              <w:t>project developed items around perceptions of and experiences with the CWS.</w:t>
            </w:r>
          </w:p>
          <w:p w:rsidR="00A116BB" w:rsidRPr="006379E5" w:rsidP="006379E5" w14:paraId="3E7EEA4F" w14:textId="57288EA6">
            <w:pPr>
              <w:pStyle w:val="ListParagraph"/>
              <w:numPr>
                <w:ilvl w:val="0"/>
                <w:numId w:val="50"/>
              </w:numPr>
              <w:spacing w:line="240" w:lineRule="auto"/>
              <w:rPr>
                <w:rFonts w:cs="Arial"/>
                <w:b/>
                <w:sz w:val="20"/>
                <w:szCs w:val="20"/>
              </w:rPr>
            </w:pPr>
            <w:r w:rsidRPr="00A116BB">
              <w:rPr>
                <w:rFonts w:cs="Arial"/>
                <w:bCs/>
                <w:sz w:val="20"/>
                <w:szCs w:val="20"/>
                <w:u w:val="single"/>
              </w:rPr>
              <w:t>Survey participation concerns:</w:t>
            </w:r>
            <w:r w:rsidRPr="00A116BB">
              <w:rPr>
                <w:rFonts w:cs="Arial"/>
                <w:b/>
                <w:sz w:val="20"/>
                <w:szCs w:val="20"/>
                <w:u w:val="single"/>
              </w:rPr>
              <w:t xml:space="preserve"> </w:t>
            </w:r>
            <w:r w:rsidRPr="006379E5">
              <w:rPr>
                <w:rFonts w:cs="Arial"/>
                <w:bCs/>
                <w:sz w:val="20"/>
                <w:szCs w:val="20"/>
              </w:rPr>
              <w:t>project-developed items asking parents t</w:t>
            </w:r>
            <w:r w:rsidRPr="00A116BB">
              <w:rPr>
                <w:rFonts w:cs="Arial"/>
                <w:bCs/>
                <w:sz w:val="20"/>
                <w:szCs w:val="20"/>
              </w:rPr>
              <w:t>o reflect on the likelihood a future NSCAW respondent may answer questions about these topics truthfully.</w:t>
            </w:r>
          </w:p>
        </w:tc>
      </w:tr>
    </w:tbl>
    <w:p w:rsidR="00A116BB" w14:paraId="4F0D5E9F" w14:textId="5AC129A2">
      <w:pPr>
        <w:spacing w:line="240" w:lineRule="auto"/>
        <w:rPr>
          <w:b/>
          <w:i/>
        </w:rPr>
        <w:sectPr w:rsidSect="006379E5">
          <w:pgSz w:w="15840" w:h="12240" w:orient="landscape"/>
          <w:pgMar w:top="1440" w:right="1440" w:bottom="1440" w:left="1440" w:header="720" w:footer="720" w:gutter="0"/>
          <w:cols w:space="720"/>
          <w:docGrid w:linePitch="360"/>
        </w:sectPr>
      </w:pPr>
    </w:p>
    <w:p w:rsidR="00EB6134" w:rsidRPr="001E3C2E" w:rsidP="009F6C26" w14:paraId="6079F68E" w14:textId="4D7E392A">
      <w:pPr>
        <w:pStyle w:val="Heading1"/>
        <w:spacing w:before="240"/>
        <w:rPr>
          <w:rFonts w:eastAsia="Times New Roman"/>
        </w:rPr>
      </w:pPr>
      <w:bookmarkStart w:id="4" w:name="_Material_hardship_and"/>
      <w:bookmarkEnd w:id="4"/>
      <w:r w:rsidRPr="001E3C2E">
        <w:rPr>
          <w:rFonts w:eastAsia="Times New Roman"/>
        </w:rPr>
        <w:t xml:space="preserve">B4. </w:t>
      </w:r>
      <w:r w:rsidRPr="001E3C2E" w:rsidR="00DF1291">
        <w:rPr>
          <w:rFonts w:eastAsia="Times New Roman"/>
        </w:rPr>
        <w:tab/>
      </w:r>
      <w:r w:rsidRPr="001E3C2E">
        <w:rPr>
          <w:rFonts w:eastAsia="Times New Roman"/>
        </w:rPr>
        <w:t>Collection of Data</w:t>
      </w:r>
      <w:r w:rsidRPr="001E3C2E">
        <w:rPr>
          <w:rFonts w:eastAsia="Times New Roman"/>
        </w:rPr>
        <w:t xml:space="preserve"> and </w:t>
      </w:r>
      <w:r w:rsidRPr="0081172E">
        <w:t>Quality</w:t>
      </w:r>
      <w:r w:rsidRPr="001E3C2E">
        <w:rPr>
          <w:rFonts w:eastAsia="Times New Roman"/>
        </w:rPr>
        <w:t xml:space="preserve"> Control</w:t>
      </w:r>
    </w:p>
    <w:p w:rsidR="00CE6965" w:rsidRPr="001E3C2E" w:rsidP="009F6C26" w14:paraId="159E0334" w14:textId="7EC73D24">
      <w:pPr>
        <w:rPr>
          <w:rFonts w:eastAsia="Times New Roman" w:cs="Arial"/>
          <w:color w:val="000000"/>
        </w:rPr>
      </w:pPr>
      <w:r w:rsidRPr="001E3C2E">
        <w:t xml:space="preserve">The </w:t>
      </w:r>
      <w:r w:rsidR="00762950">
        <w:t>project team</w:t>
      </w:r>
      <w:r w:rsidRPr="001E3C2E">
        <w:t xml:space="preserve"> will collect</w:t>
      </w:r>
      <w:r w:rsidR="0081172E">
        <w:t xml:space="preserve"> and audio-record</w:t>
      </w:r>
      <w:r w:rsidRPr="001E3C2E">
        <w:t xml:space="preserve"> all </w:t>
      </w:r>
      <w:r w:rsidR="0081172E">
        <w:t xml:space="preserve">information collections through a virtual </w:t>
      </w:r>
      <w:r w:rsidR="00901A11">
        <w:t xml:space="preserve">(online) </w:t>
      </w:r>
      <w:r w:rsidR="0081172E">
        <w:t xml:space="preserve">meeting platform.  </w:t>
      </w:r>
      <w:r w:rsidRPr="001E3C2E" w:rsidR="008512A6">
        <w:t xml:space="preserve"> </w:t>
      </w:r>
    </w:p>
    <w:p w:rsidR="00CE6965" w:rsidRPr="001E3C2E" w:rsidP="009F6C26" w14:paraId="7CB11345" w14:textId="67A9773E">
      <w:pPr>
        <w:pStyle w:val="Heading2"/>
        <w:rPr>
          <w:rFonts w:eastAsia="Times New Roman"/>
        </w:rPr>
      </w:pPr>
      <w:r w:rsidRPr="001E3C2E">
        <w:rPr>
          <w:rFonts w:eastAsia="Times New Roman"/>
        </w:rPr>
        <w:t>Respondent Recruitment</w:t>
      </w:r>
    </w:p>
    <w:p w:rsidR="009F785A" w:rsidRPr="001E3C2E" w:rsidP="009F6C26" w14:paraId="22A999F3" w14:textId="19368E45">
      <w:pPr>
        <w:rPr>
          <w:rFonts w:eastAsia="Times New Roman" w:cs="Arial"/>
          <w:color w:val="000000"/>
        </w:rPr>
      </w:pPr>
      <w:r w:rsidRPr="001E3C2E">
        <w:t xml:space="preserve">To recruit this sample of 16 parents and </w:t>
      </w:r>
      <w:r w:rsidRPr="001E3C2E" w:rsidR="00DE596E">
        <w:t xml:space="preserve">32 youth aged 11-17, </w:t>
      </w:r>
      <w:r w:rsidR="00981BFD">
        <w:t xml:space="preserve">the </w:t>
      </w:r>
      <w:r w:rsidR="00762950">
        <w:t>project team</w:t>
      </w:r>
      <w:r w:rsidRPr="001E3C2E" w:rsidR="00981BFD">
        <w:t xml:space="preserve"> </w:t>
      </w:r>
      <w:r w:rsidRPr="001E3C2E" w:rsidR="00DE596E">
        <w:t>will collaborate with up to three entities</w:t>
      </w:r>
      <w:r>
        <w:rPr>
          <w:rStyle w:val="FootnoteReference"/>
        </w:rPr>
        <w:footnoteReference w:id="3"/>
      </w:r>
      <w:r w:rsidRPr="001E3C2E" w:rsidR="00DE596E">
        <w:t xml:space="preserve">, the first </w:t>
      </w:r>
      <w:r w:rsidRPr="001E3C2E" w:rsidR="00357596">
        <w:t xml:space="preserve">of </w:t>
      </w:r>
      <w:r w:rsidR="00003340">
        <w:t>which</w:t>
      </w:r>
      <w:r w:rsidRPr="001E3C2E" w:rsidR="00003340">
        <w:t xml:space="preserve"> </w:t>
      </w:r>
      <w:r w:rsidRPr="001E3C2E" w:rsidR="00357596">
        <w:t>work</w:t>
      </w:r>
      <w:r w:rsidR="0081172E">
        <w:t>s directly</w:t>
      </w:r>
      <w:r w:rsidRPr="001E3C2E" w:rsidR="00357596">
        <w:t xml:space="preserve"> with family mentor organizations:</w:t>
      </w:r>
    </w:p>
    <w:p w:rsidR="00AB30E0" w:rsidRPr="001E3C2E" w:rsidP="002833C5" w14:paraId="49317EE3" w14:textId="4EA34149">
      <w:pPr>
        <w:pStyle w:val="ListParagraph"/>
        <w:numPr>
          <w:ilvl w:val="0"/>
          <w:numId w:val="35"/>
        </w:numPr>
        <w:autoSpaceDE w:val="0"/>
        <w:autoSpaceDN w:val="0"/>
        <w:adjustRightInd w:val="0"/>
        <w:spacing w:line="240" w:lineRule="atLeast"/>
        <w:rPr>
          <w:rFonts w:eastAsia="Times New Roman" w:cs="Arial"/>
          <w:color w:val="000000"/>
        </w:rPr>
      </w:pPr>
      <w:r w:rsidRPr="001E3C2E">
        <w:rPr>
          <w:rFonts w:eastAsia="Times New Roman" w:cs="Arial"/>
          <w:color w:val="000000"/>
        </w:rPr>
        <w:t xml:space="preserve">The Kent School of Social Work, the evaluator for Kentucky (KY) and other states’ Sobriety and Recovery Teams (STARTs) </w:t>
      </w:r>
    </w:p>
    <w:p w:rsidR="009F785A" w:rsidP="00814396" w14:paraId="5D6CE541" w14:textId="282DF058">
      <w:pPr>
        <w:pStyle w:val="ListParagraph"/>
        <w:numPr>
          <w:ilvl w:val="1"/>
          <w:numId w:val="35"/>
        </w:numPr>
        <w:autoSpaceDE w:val="0"/>
        <w:autoSpaceDN w:val="0"/>
        <w:adjustRightInd w:val="0"/>
        <w:spacing w:line="240" w:lineRule="atLeast"/>
        <w:rPr>
          <w:rFonts w:eastAsia="Times New Roman" w:cs="Arial"/>
          <w:color w:val="000000"/>
        </w:rPr>
      </w:pPr>
      <w:r w:rsidRPr="001E3C2E">
        <w:rPr>
          <w:rFonts w:eastAsia="Times New Roman" w:cs="Arial"/>
          <w:color w:val="000000"/>
        </w:rPr>
        <w:t xml:space="preserve">Among their staff, START organizations usually have family mentors embedded within child welfare agencies. </w:t>
      </w:r>
    </w:p>
    <w:p w:rsidR="009F785A" w:rsidRPr="003B009E" w:rsidP="004E701E" w14:paraId="69112782" w14:textId="6713CD6F">
      <w:pPr>
        <w:pStyle w:val="ListParagraph"/>
        <w:numPr>
          <w:ilvl w:val="0"/>
          <w:numId w:val="35"/>
        </w:numPr>
        <w:autoSpaceDE w:val="0"/>
        <w:autoSpaceDN w:val="0"/>
        <w:adjustRightInd w:val="0"/>
        <w:spacing w:line="240" w:lineRule="atLeast"/>
        <w:rPr>
          <w:rFonts w:eastAsia="Times New Roman" w:cs="Arial"/>
          <w:color w:val="000000"/>
        </w:rPr>
      </w:pPr>
      <w:r w:rsidRPr="003B009E">
        <w:rPr>
          <w:rFonts w:eastAsia="Times New Roman" w:cs="Arial"/>
          <w:color w:val="000000"/>
        </w:rPr>
        <w:t xml:space="preserve">The Healing Place (KY), an addiction recovery center network whose nationally recognized program provides the opportunity for clients who successfully complete the program to serve as peer mentors to individuals who are newer to the program. </w:t>
      </w:r>
    </w:p>
    <w:p w:rsidR="00357596" w:rsidRPr="001E3C2E" w:rsidP="002833C5" w14:paraId="1EFD43F6" w14:textId="5AB582C2">
      <w:pPr>
        <w:pStyle w:val="ListParagraph"/>
        <w:numPr>
          <w:ilvl w:val="0"/>
          <w:numId w:val="35"/>
        </w:numPr>
        <w:autoSpaceDE w:val="0"/>
        <w:autoSpaceDN w:val="0"/>
        <w:adjustRightInd w:val="0"/>
        <w:spacing w:line="240" w:lineRule="atLeast"/>
      </w:pPr>
      <w:r w:rsidRPr="001E3C2E">
        <w:t>The Birth Parent National Network</w:t>
      </w:r>
      <w:r w:rsidR="0081172E">
        <w:t xml:space="preserve"> (BPNN)</w:t>
      </w:r>
      <w:r w:rsidRPr="001E3C2E">
        <w:t>, a</w:t>
      </w:r>
      <w:r w:rsidRPr="001E3C2E" w:rsidR="008A54EF">
        <w:t xml:space="preserve"> network of birth parents and organizations to support families, communities, and systems</w:t>
      </w:r>
      <w:r w:rsidR="004E701E">
        <w:t>.</w:t>
      </w:r>
    </w:p>
    <w:p w:rsidR="0012774D" w:rsidRPr="001E3C2E" w:rsidP="002833C5" w14:paraId="6FEFA43D" w14:textId="77777777">
      <w:pPr>
        <w:spacing w:line="240" w:lineRule="auto"/>
      </w:pPr>
    </w:p>
    <w:p w:rsidR="00901A11" w:rsidRPr="001E3C2E" w:rsidP="009F6C26" w14:paraId="495BB5F9" w14:textId="561FDD9D">
      <w:r w:rsidRPr="001E3C2E">
        <w:t xml:space="preserve">These organizations will be sent an email and fact sheet to introduce </w:t>
      </w:r>
      <w:r>
        <w:t>the study goals and to explain the request being made of them (</w:t>
      </w:r>
      <w:r w:rsidRPr="009F6C26">
        <w:rPr>
          <w:b/>
          <w:bCs/>
        </w:rPr>
        <w:t>Appendix A</w:t>
      </w:r>
      <w:r>
        <w:t xml:space="preserve">), </w:t>
      </w:r>
      <w:r w:rsidR="001C4F38">
        <w:t xml:space="preserve">which is to send </w:t>
      </w:r>
      <w:r>
        <w:t>an e-mail to their staff of family/peer mentors introducing study activities</w:t>
      </w:r>
      <w:r w:rsidR="00E5340F">
        <w:t xml:space="preserve"> (</w:t>
      </w:r>
      <w:r w:rsidR="00E5340F">
        <w:rPr>
          <w:b/>
          <w:bCs/>
        </w:rPr>
        <w:t>Appendix B</w:t>
      </w:r>
      <w:r w:rsidR="00E5340F">
        <w:t>)</w:t>
      </w:r>
      <w:r w:rsidRPr="001E3C2E">
        <w:t xml:space="preserve">. Interested family/peer mentors can then </w:t>
      </w:r>
      <w:r w:rsidRPr="001E3C2E" w:rsidR="00976289">
        <w:t xml:space="preserve">opt-in to the study via a secure website link where they will be asked to complete </w:t>
      </w:r>
      <w:r w:rsidR="00296CB7">
        <w:t xml:space="preserve">a </w:t>
      </w:r>
      <w:r w:rsidR="00D4576C">
        <w:t>screener</w:t>
      </w:r>
      <w:r>
        <w:t xml:space="preserve"> </w:t>
      </w:r>
      <w:r w:rsidRPr="002B37E6">
        <w:rPr>
          <w:b/>
          <w:bCs/>
        </w:rPr>
        <w:t>(</w:t>
      </w:r>
      <w:r w:rsidR="002B37E6">
        <w:rPr>
          <w:b/>
          <w:bCs/>
        </w:rPr>
        <w:t>Instrument 1</w:t>
      </w:r>
      <w:r>
        <w:rPr>
          <w:b/>
          <w:bCs/>
        </w:rPr>
        <w:t>)</w:t>
      </w:r>
      <w:r w:rsidRPr="001E3C2E" w:rsidR="00976289">
        <w:t>.</w:t>
      </w:r>
      <w:r w:rsidRPr="001E3C2E" w:rsidR="00DA510B">
        <w:t xml:space="preserve"> </w:t>
      </w:r>
      <w:r w:rsidRPr="001E3C2E" w:rsidR="00810896">
        <w:t xml:space="preserve">If </w:t>
      </w:r>
      <w:r w:rsidR="00003340">
        <w:t xml:space="preserve">they are </w:t>
      </w:r>
      <w:r w:rsidR="00296CB7">
        <w:t xml:space="preserve">automatically </w:t>
      </w:r>
      <w:r w:rsidR="00003340">
        <w:t>determined to be</w:t>
      </w:r>
      <w:r w:rsidRPr="001E3C2E" w:rsidR="00810896">
        <w:t xml:space="preserve"> eligible to participate in the study</w:t>
      </w:r>
      <w:r w:rsidR="00296CB7">
        <w:t xml:space="preserve"> (i.e., CWS involvement less than 5 years ago)</w:t>
      </w:r>
      <w:r w:rsidRPr="001E3C2E" w:rsidR="00810896">
        <w:t>, they will be formally invited to do so. Upon agreement, they will be prompted to complete the consent process for themselves, provide permission for their child</w:t>
      </w:r>
      <w:r w:rsidR="00D559E8">
        <w:t>(ren)</w:t>
      </w:r>
      <w:r w:rsidRPr="001E3C2E" w:rsidR="00810896">
        <w:t xml:space="preserve"> to participate, and have </w:t>
      </w:r>
      <w:r w:rsidR="00D559E8">
        <w:t>all eligible and willing</w:t>
      </w:r>
      <w:r w:rsidRPr="001E3C2E" w:rsidR="00D559E8">
        <w:t xml:space="preserve"> </w:t>
      </w:r>
      <w:r w:rsidRPr="001E3C2E" w:rsidR="00810896">
        <w:t>child</w:t>
      </w:r>
      <w:r w:rsidR="00D559E8">
        <w:t>ren</w:t>
      </w:r>
      <w:r w:rsidRPr="001E3C2E" w:rsidR="00810896">
        <w:t xml:space="preserve"> complete the </w:t>
      </w:r>
      <w:r w:rsidR="00F61365">
        <w:t>agreement to participate</w:t>
      </w:r>
      <w:r w:rsidRPr="001E3C2E" w:rsidR="00F61365">
        <w:t xml:space="preserve"> </w:t>
      </w:r>
      <w:r w:rsidR="00D559E8">
        <w:t>form</w:t>
      </w:r>
      <w:r w:rsidRPr="001E3C2E" w:rsidR="00D559E8">
        <w:t xml:space="preserve"> </w:t>
      </w:r>
      <w:r w:rsidRPr="001E3C2E" w:rsidR="00810896">
        <w:t>to participate in a focus group or semi-structured interview</w:t>
      </w:r>
      <w:r>
        <w:t xml:space="preserve"> (</w:t>
      </w:r>
      <w:r>
        <w:rPr>
          <w:b/>
          <w:bCs/>
        </w:rPr>
        <w:t xml:space="preserve">Appendix </w:t>
      </w:r>
      <w:r w:rsidR="00E5340F">
        <w:rPr>
          <w:b/>
          <w:bCs/>
        </w:rPr>
        <w:t>C</w:t>
      </w:r>
      <w:r>
        <w:rPr>
          <w:b/>
          <w:bCs/>
        </w:rPr>
        <w:t>)</w:t>
      </w:r>
      <w:r w:rsidRPr="001E3C2E" w:rsidR="00810896">
        <w:t xml:space="preserve">. </w:t>
      </w:r>
      <w:r w:rsidR="00296CB7">
        <w:t xml:space="preserve">Should their involvement with the CWS have been more than five years ago, the project team will assess their circumstances to determine the likelihood that their eligible child would remember his or her involvement with the CWS. If so, they will contact the parent to complete the consent, permission, and </w:t>
      </w:r>
      <w:r w:rsidR="00814396">
        <w:t xml:space="preserve">youth </w:t>
      </w:r>
      <w:r w:rsidR="00F61365">
        <w:t xml:space="preserve">agreement to participate </w:t>
      </w:r>
      <w:r w:rsidR="00296CB7">
        <w:t>process.</w:t>
      </w:r>
      <w:r w:rsidR="00D559E8">
        <w:t xml:space="preserve"> </w:t>
      </w:r>
      <w:bookmarkStart w:id="5" w:name="_Hlk169608704"/>
      <w:r w:rsidR="00D559E8">
        <w:t xml:space="preserve">If a parent has multiple children who are eligible, they will be given the option to allow all eligible and willing children to complete the youth agreement to participate form. This does not mean all eligible and willing children will be selected to participate, rather, it will allow the study team to determine who will be invited to participate. </w:t>
      </w:r>
      <w:bookmarkEnd w:id="5"/>
    </w:p>
    <w:p w:rsidR="00810896" w:rsidRPr="001E3C2E" w:rsidP="00D80BC0" w14:paraId="65327BE4" w14:textId="77777777">
      <w:pPr>
        <w:spacing w:line="240" w:lineRule="auto"/>
        <w:rPr>
          <w:rFonts w:eastAsia="Times New Roman" w:cs="Arial"/>
          <w:color w:val="000000"/>
        </w:rPr>
      </w:pPr>
    </w:p>
    <w:p w:rsidR="00810896" w:rsidRPr="001E3C2E" w:rsidP="009F6C26" w14:paraId="5CC7D1A4" w14:textId="37B8A977">
      <w:r w:rsidRPr="001E3C2E">
        <w:t xml:space="preserve">Consent, permission, and </w:t>
      </w:r>
      <w:r w:rsidR="00814396">
        <w:t xml:space="preserve">youth </w:t>
      </w:r>
      <w:r w:rsidR="00F61365">
        <w:t xml:space="preserve">agreement to participate </w:t>
      </w:r>
      <w:r w:rsidRPr="001E3C2E">
        <w:t xml:space="preserve">forms </w:t>
      </w:r>
      <w:r w:rsidR="00901A11">
        <w:t>have been</w:t>
      </w:r>
      <w:r w:rsidRPr="001E3C2E">
        <w:t xml:space="preserve"> scored using a readability algorithm to ensure an appropriate reading level for parents and youth. </w:t>
      </w:r>
      <w:r w:rsidRPr="001E3C2E" w:rsidR="00B9564D">
        <w:t xml:space="preserve"> </w:t>
      </w:r>
    </w:p>
    <w:p w:rsidR="00CE6965" w:rsidRPr="001E3C2E" w:rsidP="009F6C26" w14:paraId="037D7A39" w14:textId="11F56064">
      <w:pPr>
        <w:pStyle w:val="Heading2"/>
        <w:rPr>
          <w:rFonts w:eastAsia="Times New Roman"/>
        </w:rPr>
      </w:pPr>
      <w:r w:rsidRPr="001E3C2E">
        <w:rPr>
          <w:rFonts w:eastAsia="Times New Roman"/>
        </w:rPr>
        <w:t>Data Collection Activities</w:t>
      </w:r>
      <w:r w:rsidRPr="001E3C2E" w:rsidR="00E73329">
        <w:rPr>
          <w:rFonts w:eastAsia="Times New Roman"/>
        </w:rPr>
        <w:t xml:space="preserve"> and Monitoring for Quality and Consistency</w:t>
      </w:r>
    </w:p>
    <w:p w:rsidR="00585BEF" w:rsidRPr="001E3C2E" w:rsidP="009F6C26" w14:paraId="7B2A8CC1" w14:textId="750FAFA2">
      <w:r>
        <w:t>Participants must complete a screener (</w:t>
      </w:r>
      <w:r w:rsidRPr="00D80BC0">
        <w:rPr>
          <w:b/>
          <w:bCs/>
        </w:rPr>
        <w:t>Instrument 1</w:t>
      </w:r>
      <w:r>
        <w:t xml:space="preserve">) </w:t>
      </w:r>
      <w:r w:rsidR="009344CB">
        <w:t>to determine eligibility</w:t>
      </w:r>
      <w:r>
        <w:t xml:space="preserve">. </w:t>
      </w:r>
      <w:r w:rsidRPr="001E3C2E" w:rsidR="00B8668E">
        <w:t>Par</w:t>
      </w:r>
      <w:r w:rsidRPr="001E3C2E" w:rsidR="0024786E">
        <w:t>ticipating parents will complete a 2-hour focus group</w:t>
      </w:r>
      <w:r w:rsidRPr="001E3C2E" w:rsidR="00270D34">
        <w:t xml:space="preserve">; </w:t>
      </w:r>
      <w:r w:rsidR="00296CB7">
        <w:t xml:space="preserve">as will </w:t>
      </w:r>
      <w:r w:rsidRPr="001E3C2E" w:rsidR="00270D34">
        <w:t>participating youth 15-17 years old</w:t>
      </w:r>
      <w:r w:rsidR="00296CB7">
        <w:t>. P</w:t>
      </w:r>
      <w:r w:rsidRPr="001E3C2E" w:rsidR="00270D34">
        <w:t xml:space="preserve">articipating youth 11-14 years old will </w:t>
      </w:r>
      <w:r w:rsidRPr="001E3C2E" w:rsidR="004545F0">
        <w:t xml:space="preserve">complete an interview that will last up to 1 hour and </w:t>
      </w:r>
      <w:r w:rsidR="00901A11">
        <w:t>30</w:t>
      </w:r>
      <w:r w:rsidRPr="001E3C2E" w:rsidR="00901A11">
        <w:t xml:space="preserve"> </w:t>
      </w:r>
      <w:r w:rsidRPr="001E3C2E" w:rsidR="004545F0">
        <w:t>minutes. Facilitators</w:t>
      </w:r>
      <w:r w:rsidR="00296CB7">
        <w:t xml:space="preserve"> and </w:t>
      </w:r>
      <w:r w:rsidRPr="001E3C2E" w:rsidR="004545F0">
        <w:t xml:space="preserve">interviewers will </w:t>
      </w:r>
      <w:r w:rsidRPr="001E3C2E" w:rsidR="00735BB9">
        <w:t xml:space="preserve">use a semi-structured </w:t>
      </w:r>
      <w:r w:rsidR="00901A11">
        <w:t xml:space="preserve">focus group/interview </w:t>
      </w:r>
      <w:r w:rsidRPr="001E3C2E" w:rsidR="00735BB9">
        <w:t>guide</w:t>
      </w:r>
      <w:r w:rsidR="00901A11">
        <w:t xml:space="preserve"> to </w:t>
      </w:r>
      <w:r w:rsidR="009344CB">
        <w:t xml:space="preserve">structure this information collection </w:t>
      </w:r>
      <w:r w:rsidR="00901A11">
        <w:rPr>
          <w:b/>
          <w:bCs/>
        </w:rPr>
        <w:t xml:space="preserve">(Instruments </w:t>
      </w:r>
      <w:r w:rsidR="002B37E6">
        <w:rPr>
          <w:b/>
          <w:bCs/>
        </w:rPr>
        <w:t>2</w:t>
      </w:r>
      <w:r w:rsidR="00901A11">
        <w:rPr>
          <w:b/>
          <w:bCs/>
        </w:rPr>
        <w:t xml:space="preserve">, </w:t>
      </w:r>
      <w:r w:rsidR="002B37E6">
        <w:rPr>
          <w:b/>
          <w:bCs/>
        </w:rPr>
        <w:t>3</w:t>
      </w:r>
      <w:r w:rsidR="00901A11">
        <w:rPr>
          <w:b/>
          <w:bCs/>
        </w:rPr>
        <w:t xml:space="preserve">, </w:t>
      </w:r>
      <w:r w:rsidR="002B37E6">
        <w:rPr>
          <w:b/>
          <w:bCs/>
        </w:rPr>
        <w:t>4</w:t>
      </w:r>
      <w:r w:rsidR="00296CB7">
        <w:rPr>
          <w:b/>
          <w:bCs/>
        </w:rPr>
        <w:t>, 5, and 6</w:t>
      </w:r>
      <w:r w:rsidR="00901A11">
        <w:rPr>
          <w:b/>
          <w:bCs/>
        </w:rPr>
        <w:t>).</w:t>
      </w:r>
    </w:p>
    <w:p w:rsidR="004156AD" w:rsidRPr="009F6C26" w:rsidP="00DF1291" w14:paraId="3F1F6EC4" w14:textId="1F810FFF">
      <w:pPr>
        <w:autoSpaceDE w:val="0"/>
        <w:autoSpaceDN w:val="0"/>
        <w:adjustRightInd w:val="0"/>
        <w:spacing w:line="240" w:lineRule="atLeast"/>
        <w:rPr>
          <w:rFonts w:eastAsia="Times New Roman" w:cs="Arial"/>
          <w:b/>
          <w:bCs/>
          <w:color w:val="000000"/>
        </w:rPr>
      </w:pPr>
    </w:p>
    <w:p w:rsidR="009933F0" w:rsidRPr="002B37E6" w:rsidP="009F6C26" w14:paraId="799131E7" w14:textId="424A1305">
      <w:r w:rsidRPr="001E3C2E">
        <w:t xml:space="preserve">Each focus group will be led by two co-facilitators </w:t>
      </w:r>
      <w:r w:rsidR="002B37E6">
        <w:t xml:space="preserve">from the </w:t>
      </w:r>
      <w:r w:rsidR="00296CB7">
        <w:t>project</w:t>
      </w:r>
      <w:r w:rsidR="00C1108D">
        <w:t xml:space="preserve"> team</w:t>
      </w:r>
      <w:r w:rsidR="002B37E6">
        <w:t xml:space="preserve"> </w:t>
      </w:r>
      <w:r w:rsidRPr="001E3C2E">
        <w:t xml:space="preserve">(at least one of </w:t>
      </w:r>
      <w:r w:rsidR="002B37E6">
        <w:t>whom</w:t>
      </w:r>
      <w:r w:rsidRPr="001E3C2E">
        <w:t xml:space="preserve"> </w:t>
      </w:r>
      <w:r w:rsidR="002B37E6">
        <w:t>has</w:t>
      </w:r>
      <w:r w:rsidR="00901A11">
        <w:t xml:space="preserve"> CWS</w:t>
      </w:r>
      <w:r w:rsidRPr="001E3C2E">
        <w:t xml:space="preserve"> LE or extensive research experience</w:t>
      </w:r>
      <w:r w:rsidR="002B37E6">
        <w:t xml:space="preserve"> </w:t>
      </w:r>
      <w:r w:rsidRPr="001E3C2E">
        <w:t xml:space="preserve">with individuals </w:t>
      </w:r>
      <w:r w:rsidR="002B37E6">
        <w:t>who have</w:t>
      </w:r>
      <w:r w:rsidRPr="001E3C2E">
        <w:t xml:space="preserve"> </w:t>
      </w:r>
      <w:r w:rsidR="00901A11">
        <w:t xml:space="preserve">CWS </w:t>
      </w:r>
      <w:r w:rsidRPr="001E3C2E">
        <w:t>LE</w:t>
      </w:r>
      <w:r w:rsidR="002B37E6">
        <w:t>)</w:t>
      </w:r>
      <w:r w:rsidRPr="001E3C2E">
        <w:t xml:space="preserve">. One </w:t>
      </w:r>
      <w:r w:rsidR="00901A11">
        <w:t>individual</w:t>
      </w:r>
      <w:r w:rsidRPr="001E3C2E" w:rsidR="00901A11">
        <w:t xml:space="preserve"> </w:t>
      </w:r>
      <w:r w:rsidRPr="001E3C2E">
        <w:t xml:space="preserve">will serve as the moderator and primary facilitator. The other will be responsible for logistics (e.g., opening the session, monitoring the chat) and note taking. </w:t>
      </w:r>
      <w:r w:rsidR="00901A11">
        <w:t>In addition to these focus groups, e</w:t>
      </w:r>
      <w:r w:rsidRPr="001E3C2E">
        <w:t xml:space="preserve">ach semi-structured interview will be conducted by an </w:t>
      </w:r>
      <w:r w:rsidR="002B37E6">
        <w:t>individual</w:t>
      </w:r>
      <w:r w:rsidRPr="001E3C2E">
        <w:t xml:space="preserve"> who has expertise </w:t>
      </w:r>
      <w:r w:rsidR="00901A11">
        <w:t>interviewing</w:t>
      </w:r>
      <w:r w:rsidR="00501792">
        <w:t xml:space="preserve"> </w:t>
      </w:r>
      <w:r w:rsidRPr="001E3C2E">
        <w:t>11-</w:t>
      </w:r>
      <w:r w:rsidRPr="001E3C2E" w:rsidR="002B37E6">
        <w:t>14-year-olds</w:t>
      </w:r>
      <w:r w:rsidRPr="001E3C2E" w:rsidR="0034245F">
        <w:t xml:space="preserve">. </w:t>
      </w:r>
      <w:r w:rsidR="00B9564D">
        <w:t xml:space="preserve">Prior to the start of data collection, </w:t>
      </w:r>
      <w:r w:rsidR="0080515E">
        <w:t xml:space="preserve">the </w:t>
      </w:r>
      <w:r w:rsidR="00296CB7">
        <w:t>project</w:t>
      </w:r>
      <w:r w:rsidR="00C1108D">
        <w:t xml:space="preserve"> team</w:t>
      </w:r>
      <w:r w:rsidR="0080515E">
        <w:t xml:space="preserve"> </w:t>
      </w:r>
      <w:r w:rsidR="00B9564D">
        <w:t xml:space="preserve">will </w:t>
      </w:r>
      <w:r w:rsidR="0080515E">
        <w:t>train</w:t>
      </w:r>
      <w:r w:rsidR="00B9564D">
        <w:t xml:space="preserve"> interviewers on protocols</w:t>
      </w:r>
      <w:r w:rsidR="00DA1C10">
        <w:t xml:space="preserve"> and </w:t>
      </w:r>
      <w:r w:rsidR="00B9564D">
        <w:t>procedures</w:t>
      </w:r>
      <w:r w:rsidR="00DA1C10">
        <w:t xml:space="preserve"> to ensure consistency across the study. </w:t>
      </w:r>
      <w:r w:rsidR="009344CB">
        <w:t>In addition, a</w:t>
      </w:r>
      <w:r w:rsidR="00DA1C10">
        <w:t>ll interviewers have received human-subject research training</w:t>
      </w:r>
      <w:r w:rsidR="00B9564D">
        <w:t xml:space="preserve"> </w:t>
      </w:r>
      <w:r w:rsidR="00DA1C10">
        <w:t xml:space="preserve">and are experienced in conducting interviews and/or focus groups, respectively. </w:t>
      </w:r>
      <w:r w:rsidR="0097544B">
        <w:t>Focus groups and interviews will be a</w:t>
      </w:r>
      <w:r w:rsidRPr="001E3C2E" w:rsidR="0034245F">
        <w:t>udio-record</w:t>
      </w:r>
      <w:r w:rsidR="0097544B">
        <w:t>ed and transcribed</w:t>
      </w:r>
      <w:r>
        <w:t>, as agreed upon by respondents</w:t>
      </w:r>
      <w:r w:rsidR="00E5340F">
        <w:t xml:space="preserve">.  </w:t>
      </w:r>
    </w:p>
    <w:p w:rsidR="007C2EE0" w:rsidRPr="001E3C2E" w:rsidP="009F6C26" w14:paraId="44A6DC32" w14:textId="79DEC88E">
      <w:pPr>
        <w:pStyle w:val="Heading1"/>
        <w:rPr>
          <w:rFonts w:eastAsia="Times New Roman"/>
        </w:rPr>
      </w:pPr>
      <w:r w:rsidRPr="001E3C2E">
        <w:rPr>
          <w:rFonts w:eastAsia="Times New Roman"/>
        </w:rPr>
        <w:t>B5.</w:t>
      </w:r>
      <w:r w:rsidRPr="001E3C2E">
        <w:rPr>
          <w:rFonts w:eastAsia="Times New Roman"/>
        </w:rPr>
        <w:tab/>
      </w:r>
      <w:r w:rsidRPr="001E3C2E" w:rsidR="00901040">
        <w:rPr>
          <w:rFonts w:eastAsia="Times New Roman"/>
        </w:rPr>
        <w:t xml:space="preserve">Response </w:t>
      </w:r>
      <w:r w:rsidRPr="001E3C2E" w:rsidR="00165818">
        <w:rPr>
          <w:rFonts w:eastAsia="Times New Roman"/>
        </w:rPr>
        <w:t>R</w:t>
      </w:r>
      <w:r w:rsidRPr="001E3C2E" w:rsidR="00901040">
        <w:rPr>
          <w:rFonts w:eastAsia="Times New Roman"/>
        </w:rPr>
        <w:t xml:space="preserve">ates and </w:t>
      </w:r>
      <w:r w:rsidRPr="001E3C2E" w:rsidR="00165818">
        <w:rPr>
          <w:rFonts w:eastAsia="Times New Roman"/>
        </w:rPr>
        <w:t>P</w:t>
      </w:r>
      <w:r w:rsidRPr="001E3C2E" w:rsidR="00901040">
        <w:rPr>
          <w:rFonts w:eastAsia="Times New Roman"/>
        </w:rPr>
        <w:t xml:space="preserve">otential </w:t>
      </w:r>
      <w:r w:rsidRPr="001E3C2E" w:rsidR="00165818">
        <w:rPr>
          <w:rFonts w:eastAsia="Times New Roman"/>
        </w:rPr>
        <w:t>N</w:t>
      </w:r>
      <w:r w:rsidRPr="001E3C2E" w:rsidR="00901040">
        <w:rPr>
          <w:rFonts w:eastAsia="Times New Roman"/>
        </w:rPr>
        <w:t xml:space="preserve">onresponse </w:t>
      </w:r>
      <w:r w:rsidRPr="001E3C2E" w:rsidR="00165818">
        <w:rPr>
          <w:rFonts w:eastAsia="Times New Roman"/>
        </w:rPr>
        <w:t>B</w:t>
      </w:r>
      <w:r w:rsidRPr="001E3C2E" w:rsidR="00901040">
        <w:rPr>
          <w:rFonts w:eastAsia="Times New Roman"/>
        </w:rPr>
        <w:t>ias</w:t>
      </w:r>
    </w:p>
    <w:p w:rsidR="007C2EE0" w:rsidRPr="001E3C2E" w:rsidP="009F6C26" w14:paraId="4C6D8F66" w14:textId="48A3918C">
      <w:pPr>
        <w:pStyle w:val="Heading2"/>
        <w:rPr>
          <w:rFonts w:eastAsia="Times New Roman"/>
        </w:rPr>
      </w:pPr>
      <w:bookmarkStart w:id="6" w:name="_Hlk165638819"/>
      <w:r w:rsidRPr="001E3C2E">
        <w:rPr>
          <w:rFonts w:eastAsia="Times New Roman"/>
        </w:rPr>
        <w:t xml:space="preserve">Response </w:t>
      </w:r>
      <w:r w:rsidRPr="00E8285E">
        <w:t>Rates</w:t>
      </w:r>
    </w:p>
    <w:p w:rsidR="00F917E5" w:rsidRPr="001E3C2E" w:rsidP="009F6C26" w14:paraId="32AF85FE" w14:textId="409FEC01">
      <w:pPr>
        <w:rPr>
          <w:i/>
        </w:rPr>
      </w:pPr>
      <w:r w:rsidRPr="001E3C2E">
        <w:t>The focus groups and interviews are not designed to produce statistically generalizable findings. Additionally, participation is at the respondent’s discretion. Response rates will not be calculated or reported</w:t>
      </w:r>
      <w:r w:rsidR="00BB0720">
        <w:t>, although information comparing the intended sample with the actual sample may be included in reports and dissemination products.</w:t>
      </w:r>
    </w:p>
    <w:p w:rsidR="00F917E5" w:rsidRPr="001E3C2E" w:rsidP="009F6C26" w14:paraId="14F6FBDC" w14:textId="05AEAFE4">
      <w:pPr>
        <w:pStyle w:val="Heading2"/>
        <w:rPr>
          <w:rFonts w:eastAsia="Times New Roman"/>
        </w:rPr>
      </w:pPr>
      <w:r w:rsidRPr="001E3C2E">
        <w:rPr>
          <w:rFonts w:eastAsia="Times New Roman"/>
        </w:rPr>
        <w:t>Non</w:t>
      </w:r>
      <w:r w:rsidR="00E8285E">
        <w:rPr>
          <w:rFonts w:eastAsia="Times New Roman"/>
        </w:rPr>
        <w:t>-</w:t>
      </w:r>
      <w:r w:rsidRPr="001E3C2E">
        <w:rPr>
          <w:rFonts w:eastAsia="Times New Roman"/>
        </w:rPr>
        <w:t>Response</w:t>
      </w:r>
    </w:p>
    <w:p w:rsidR="00BB2925" w:rsidRPr="001E3C2E" w:rsidP="009F6C26" w14:paraId="0FC57B4D" w14:textId="06CD14C1">
      <w:pPr>
        <w:rPr>
          <w:b/>
          <w:bCs/>
        </w:rPr>
      </w:pPr>
      <w:r w:rsidRPr="001E3C2E">
        <w:t xml:space="preserve">As participants will not be randomly sampled and findings are not intended to be representative, non-response bias will not be calculated. </w:t>
      </w:r>
      <w:bookmarkStart w:id="7" w:name="_Hlk167806927"/>
      <w:r w:rsidRPr="001E3C2E">
        <w:t>Respondent demographics will not be used in any reports or dissemination products</w:t>
      </w:r>
      <w:r w:rsidR="00BB0720">
        <w:t xml:space="preserve"> except in aggregate form (i.e., not identifiable)</w:t>
      </w:r>
      <w:r w:rsidRPr="001E3C2E">
        <w:t>.</w:t>
      </w:r>
      <w:r w:rsidR="00BB0720">
        <w:t xml:space="preserve"> </w:t>
      </w:r>
      <w:bookmarkEnd w:id="7"/>
      <w:r w:rsidR="00296CB7">
        <w:t xml:space="preserve">However, given that activities are delineated by child age (i.e., interviews for </w:t>
      </w:r>
      <w:r w:rsidR="00762950">
        <w:t>11–14-year-olds</w:t>
      </w:r>
      <w:r w:rsidR="00296CB7">
        <w:t xml:space="preserve">; focus groups for </w:t>
      </w:r>
      <w:r w:rsidR="00E5340F">
        <w:t>15–17-year-olds</w:t>
      </w:r>
      <w:r w:rsidR="00296CB7">
        <w:t xml:space="preserve">), it may be possible to </w:t>
      </w:r>
      <w:r w:rsidR="00434020">
        <w:t>contextual</w:t>
      </w:r>
      <w:r w:rsidR="00E5340F">
        <w:t>ize</w:t>
      </w:r>
      <w:r w:rsidR="00434020">
        <w:t xml:space="preserve"> findings in reports or dissemination products by age groups. </w:t>
      </w:r>
    </w:p>
    <w:bookmarkEnd w:id="6"/>
    <w:p w:rsidR="00901040" w:rsidRPr="001E3C2E" w:rsidP="009F6C26" w14:paraId="36E8E8E3" w14:textId="5165B083">
      <w:pPr>
        <w:pStyle w:val="Heading1"/>
        <w:rPr>
          <w:rFonts w:eastAsia="Times New Roman"/>
        </w:rPr>
      </w:pPr>
      <w:r w:rsidRPr="001E3C2E">
        <w:rPr>
          <w:rFonts w:eastAsia="Times New Roman"/>
        </w:rPr>
        <w:t>B6</w:t>
      </w:r>
      <w:r w:rsidRPr="001E3C2E">
        <w:rPr>
          <w:rFonts w:eastAsia="Times New Roman"/>
        </w:rPr>
        <w:t xml:space="preserve">.   Production of Estimates and Projections </w:t>
      </w:r>
    </w:p>
    <w:p w:rsidR="00501792" w:rsidP="00501792" w14:paraId="5EFE6727" w14:textId="60C81B35">
      <w:pPr>
        <w:rPr>
          <w:b/>
        </w:rPr>
      </w:pPr>
      <w:r w:rsidRPr="005A159A">
        <w:rPr>
          <w:bCs/>
        </w:rPr>
        <w:t>T</w:t>
      </w:r>
      <w:r w:rsidRPr="00501792">
        <w:t>he data will not be used to generate population estimates, either for internal use or dissemination.</w:t>
      </w:r>
    </w:p>
    <w:p w:rsidR="007B6CA2" w:rsidRPr="001E3C2E" w:rsidP="009F6C26" w14:paraId="47D35F1B" w14:textId="321B5E53">
      <w:pPr>
        <w:pStyle w:val="Heading1"/>
        <w:rPr>
          <w:rFonts w:eastAsia="Times New Roman"/>
        </w:rPr>
      </w:pPr>
      <w:r w:rsidRPr="001E3C2E">
        <w:rPr>
          <w:rFonts w:eastAsia="Times New Roman"/>
        </w:rPr>
        <w:t xml:space="preserve">B7.  Data </w:t>
      </w:r>
      <w:r w:rsidRPr="001E3C2E" w:rsidR="00EB6134">
        <w:rPr>
          <w:rFonts w:eastAsia="Times New Roman"/>
        </w:rPr>
        <w:t xml:space="preserve">Handling and </w:t>
      </w:r>
      <w:r w:rsidRPr="001E3C2E">
        <w:rPr>
          <w:rFonts w:eastAsia="Times New Roman"/>
        </w:rPr>
        <w:t>Analysis</w:t>
      </w:r>
    </w:p>
    <w:p w:rsidR="007B6CA2" w:rsidRPr="001E3C2E" w:rsidP="009F6C26" w14:paraId="0FB9DBDE" w14:textId="04F8F6DD">
      <w:pPr>
        <w:pStyle w:val="Heading2"/>
        <w:rPr>
          <w:rFonts w:eastAsia="Times New Roman"/>
        </w:rPr>
      </w:pPr>
      <w:r w:rsidRPr="001E3C2E">
        <w:rPr>
          <w:rFonts w:eastAsia="Times New Roman"/>
        </w:rPr>
        <w:t xml:space="preserve">Data </w:t>
      </w:r>
      <w:r w:rsidRPr="00E8285E">
        <w:t>Handling</w:t>
      </w:r>
    </w:p>
    <w:p w:rsidR="00BB2925" w:rsidRPr="001E3C2E" w:rsidP="009F6C26" w14:paraId="334FB80F" w14:textId="2EC88A06">
      <w:pPr>
        <w:rPr>
          <w:rFonts w:eastAsia="Times New Roman" w:cs="Arial"/>
          <w:bCs/>
          <w:i/>
          <w:color w:val="000000"/>
        </w:rPr>
      </w:pPr>
      <w:r w:rsidRPr="001E3C2E">
        <w:t xml:space="preserve">Data will be collected through </w:t>
      </w:r>
      <w:r w:rsidRPr="001E3C2E" w:rsidR="005F4B3B">
        <w:t xml:space="preserve">the </w:t>
      </w:r>
      <w:r w:rsidR="00983088">
        <w:t>Parent</w:t>
      </w:r>
      <w:r w:rsidRPr="001E3C2E" w:rsidR="00983088">
        <w:t xml:space="preserve"> </w:t>
      </w:r>
      <w:r w:rsidR="00983088">
        <w:t>S</w:t>
      </w:r>
      <w:r w:rsidRPr="001E3C2E" w:rsidR="005F4B3B">
        <w:t>creener</w:t>
      </w:r>
      <w:r w:rsidR="00732242">
        <w:t xml:space="preserve"> (</w:t>
      </w:r>
      <w:r w:rsidR="002B37E6">
        <w:rPr>
          <w:b/>
          <w:bCs/>
        </w:rPr>
        <w:t>Instrument 1</w:t>
      </w:r>
      <w:r w:rsidR="00732242">
        <w:t xml:space="preserve">), administered through </w:t>
      </w:r>
      <w:r w:rsidR="00A34FD7">
        <w:t>Blaise 5</w:t>
      </w:r>
      <w:r w:rsidR="00732242">
        <w:t>,</w:t>
      </w:r>
      <w:r w:rsidRPr="001E3C2E" w:rsidR="001D0AD8">
        <w:t xml:space="preserve"> </w:t>
      </w:r>
      <w:r w:rsidR="00983088">
        <w:t xml:space="preserve">an online data management system, </w:t>
      </w:r>
      <w:r w:rsidRPr="001E3C2E" w:rsidR="005F4B3B">
        <w:t>and through audio-recordings of the focus groups and interviews</w:t>
      </w:r>
      <w:r w:rsidR="004722A8">
        <w:t xml:space="preserve">, the latter of which will be sent to Rev.com for transcription. </w:t>
      </w:r>
      <w:r w:rsidRPr="004722A8" w:rsidR="004722A8">
        <w:t xml:space="preserve">After </w:t>
      </w:r>
      <w:r w:rsidR="004722A8">
        <w:t>transcripts</w:t>
      </w:r>
      <w:r w:rsidRPr="004722A8" w:rsidR="004722A8">
        <w:t xml:space="preserve"> are received from Rev</w:t>
      </w:r>
      <w:r w:rsidR="004722A8">
        <w:t>.com</w:t>
      </w:r>
      <w:r w:rsidRPr="004722A8" w:rsidR="004722A8">
        <w:t xml:space="preserve">, </w:t>
      </w:r>
      <w:r w:rsidR="004722A8">
        <w:t xml:space="preserve">a quality check will be completed </w:t>
      </w:r>
      <w:r w:rsidRPr="004722A8" w:rsidR="004722A8">
        <w:t xml:space="preserve">to remove any identifiable information </w:t>
      </w:r>
      <w:r w:rsidR="004722A8">
        <w:t>and to</w:t>
      </w:r>
      <w:r w:rsidRPr="004722A8" w:rsidR="004722A8">
        <w:t xml:space="preserve"> ensure that data in the transcripts align with the </w:t>
      </w:r>
      <w:r w:rsidR="004722A8">
        <w:t>audio-</w:t>
      </w:r>
      <w:r w:rsidRPr="004722A8" w:rsidR="004722A8">
        <w:t xml:space="preserve">recording. Where </w:t>
      </w:r>
      <w:r w:rsidR="004722A8">
        <w:t>transcripts</w:t>
      </w:r>
      <w:r w:rsidRPr="004722A8" w:rsidR="004722A8">
        <w:t xml:space="preserve"> are marked inaudible, </w:t>
      </w:r>
      <w:r w:rsidR="004722A8">
        <w:t xml:space="preserve">the </w:t>
      </w:r>
      <w:r w:rsidRPr="004722A8" w:rsidR="004722A8">
        <w:t>audio</w:t>
      </w:r>
      <w:r w:rsidR="004722A8">
        <w:t xml:space="preserve">-recording will be reviewed and </w:t>
      </w:r>
      <w:r w:rsidR="00762950">
        <w:t xml:space="preserve">the </w:t>
      </w:r>
      <w:r w:rsidR="004722A8">
        <w:t>manuscript refined.</w:t>
      </w:r>
      <w:r w:rsidRPr="004722A8" w:rsidR="004722A8">
        <w:t xml:space="preserve"> Only cleaned transcripts will be used for analysis.</w:t>
      </w:r>
      <w:r w:rsidR="004722A8">
        <w:t xml:space="preserve"> Audio-recordings and transcripts will be destroyed upon completion of the study</w:t>
      </w:r>
      <w:r w:rsidRPr="001E3C2E" w:rsidR="004722A8">
        <w:t xml:space="preserve">. </w:t>
      </w:r>
      <w:r w:rsidR="004722A8">
        <w:t xml:space="preserve"> </w:t>
      </w:r>
    </w:p>
    <w:p w:rsidR="007B6CA2" w:rsidRPr="001E3C2E" w:rsidP="009F6C26" w14:paraId="4B58405D" w14:textId="784AF053">
      <w:pPr>
        <w:pStyle w:val="Heading2"/>
        <w:rPr>
          <w:rFonts w:eastAsia="Times New Roman"/>
        </w:rPr>
      </w:pPr>
      <w:r w:rsidRPr="001E3C2E">
        <w:rPr>
          <w:rFonts w:eastAsia="Times New Roman"/>
        </w:rPr>
        <w:t xml:space="preserve">Data </w:t>
      </w:r>
      <w:r w:rsidRPr="00E8285E">
        <w:t>Analysis</w:t>
      </w:r>
    </w:p>
    <w:p w:rsidR="003F5AC1" w:rsidP="009F6C26" w14:paraId="33C9F7F8" w14:textId="5E63CE89">
      <w:r w:rsidRPr="001E3C2E">
        <w:t xml:space="preserve">The </w:t>
      </w:r>
      <w:r w:rsidR="00762950">
        <w:t>project team</w:t>
      </w:r>
      <w:r w:rsidRPr="001E3C2E">
        <w:t xml:space="preserve"> will employ </w:t>
      </w:r>
      <w:r w:rsidRPr="001E3C2E" w:rsidR="00FC6AAA">
        <w:t>rapid turnaround analysis (RTA)</w:t>
      </w:r>
      <w:r w:rsidR="00732242">
        <w:t xml:space="preserve">, </w:t>
      </w:r>
      <w:r w:rsidRPr="001E3C2E" w:rsidR="00FC6AAA">
        <w:t xml:space="preserve">ideally suited for research projects from which team </w:t>
      </w:r>
      <w:r w:rsidRPr="007823BA" w:rsidR="00FC6AAA">
        <w:t xml:space="preserve">members must </w:t>
      </w:r>
      <w:r w:rsidRPr="007823BA" w:rsidR="00732242">
        <w:t xml:space="preserve">rapidly </w:t>
      </w:r>
      <w:r w:rsidRPr="007823BA" w:rsidR="00FC6AAA">
        <w:t>obtain insights to make timely decisions regarding strategy and practice</w:t>
      </w:r>
      <w:r>
        <w:rPr>
          <w:rStyle w:val="FootnoteReference"/>
        </w:rPr>
        <w:footnoteReference w:id="4"/>
      </w:r>
      <w:r w:rsidRPr="007823BA" w:rsidR="00FC6AAA">
        <w:t>.</w:t>
      </w:r>
      <w:r w:rsidRPr="001E3C2E" w:rsidR="00FC6AAA">
        <w:t xml:space="preserve"> The RTA process will entail several steps using de</w:t>
      </w:r>
      <w:r w:rsidR="004722A8">
        <w:t>-</w:t>
      </w:r>
      <w:r w:rsidRPr="001E3C2E" w:rsidR="00FC6AAA">
        <w:t xml:space="preserve">identified interview and focus group transcripts, including the development of a template to condense and categorize the </w:t>
      </w:r>
      <w:r w:rsidR="00732242">
        <w:t>information</w:t>
      </w:r>
      <w:r w:rsidRPr="001E3C2E" w:rsidR="00732242">
        <w:t xml:space="preserve"> </w:t>
      </w:r>
      <w:r w:rsidRPr="001E3C2E" w:rsidR="00FC6AAA">
        <w:t xml:space="preserve">into specific </w:t>
      </w:r>
      <w:r w:rsidR="00732242">
        <w:t>themes</w:t>
      </w:r>
      <w:r w:rsidRPr="001E3C2E" w:rsidR="00732242">
        <w:t xml:space="preserve"> </w:t>
      </w:r>
      <w:r w:rsidRPr="001E3C2E" w:rsidR="00FC6AAA">
        <w:t xml:space="preserve">that align with concepts and measures being tested. Once data are categorized in the template, </w:t>
      </w:r>
      <w:r w:rsidR="004722A8">
        <w:t xml:space="preserve">they will be abstracted </w:t>
      </w:r>
      <w:r w:rsidRPr="001E3C2E" w:rsidR="00FC6AAA">
        <w:t xml:space="preserve">into Excel matrices to draw conclusions and distill emergent themes. </w:t>
      </w:r>
      <w:r w:rsidR="004722A8">
        <w:t xml:space="preserve">The </w:t>
      </w:r>
      <w:r w:rsidR="00762950">
        <w:t>project team</w:t>
      </w:r>
      <w:r w:rsidR="004722A8">
        <w:t xml:space="preserve"> will engage the TWG and individuals with CWS LE to develop coding strategies and identify emergent themes, </w:t>
      </w:r>
      <w:r>
        <w:t xml:space="preserve">after which study staff will </w:t>
      </w:r>
      <w:r w:rsidRPr="004722A8" w:rsidR="004722A8">
        <w:t xml:space="preserve">use transcripts from interviews and focus groups to </w:t>
      </w:r>
      <w:r>
        <w:t>apply</w:t>
      </w:r>
      <w:r w:rsidRPr="004722A8" w:rsidR="004722A8">
        <w:t xml:space="preserve"> inductive thematic analyses</w:t>
      </w:r>
      <w:r>
        <w:t xml:space="preserve"> - </w:t>
      </w:r>
      <w:r w:rsidRPr="004722A8">
        <w:t>well-suited for exploratory work where there is little existing research</w:t>
      </w:r>
      <w:r>
        <w:t xml:space="preserve"> -</w:t>
      </w:r>
      <w:r w:rsidRPr="004722A8" w:rsidR="004722A8">
        <w:t xml:space="preserve"> for each of the </w:t>
      </w:r>
      <w:r>
        <w:t>guiding questions.</w:t>
      </w:r>
      <w:r w:rsidRPr="004722A8" w:rsidR="004722A8">
        <w:t xml:space="preserve"> </w:t>
      </w:r>
      <w:r>
        <w:t>As part of the analytic process</w:t>
      </w:r>
      <w:r w:rsidRPr="004722A8" w:rsidR="004722A8">
        <w:t xml:space="preserve">, </w:t>
      </w:r>
      <w:r>
        <w:t>emergent</w:t>
      </w:r>
      <w:r w:rsidRPr="004722A8" w:rsidR="004722A8">
        <w:t xml:space="preserve"> themes (e.g., frequently used words or phrases, thoughts, patterns) </w:t>
      </w:r>
      <w:r>
        <w:t xml:space="preserve">specific to each guiding question </w:t>
      </w:r>
      <w:r w:rsidRPr="004722A8" w:rsidR="004722A8">
        <w:t>are identified</w:t>
      </w:r>
      <w:r>
        <w:t xml:space="preserve">, </w:t>
      </w:r>
      <w:r w:rsidRPr="004722A8" w:rsidR="004722A8">
        <w:t>recorded</w:t>
      </w:r>
      <w:r>
        <w:t>,</w:t>
      </w:r>
      <w:r w:rsidRPr="004722A8" w:rsidR="004722A8">
        <w:t xml:space="preserve"> and added as a “code”. This approach, also known as reflexive analysis, is flexible and will allow for </w:t>
      </w:r>
      <w:r>
        <w:t>code adjustments</w:t>
      </w:r>
      <w:r w:rsidRPr="004722A8" w:rsidR="004722A8">
        <w:t xml:space="preserve"> </w:t>
      </w:r>
      <w:r>
        <w:t xml:space="preserve">analyses progress. The proposed analyses </w:t>
      </w:r>
      <w:r w:rsidRPr="004722A8" w:rsidR="004722A8">
        <w:t xml:space="preserve">support </w:t>
      </w:r>
      <w:r>
        <w:t>the identification of</w:t>
      </w:r>
      <w:r w:rsidRPr="004722A8" w:rsidR="004722A8">
        <w:t xml:space="preserve"> the most prominent</w:t>
      </w:r>
      <w:r>
        <w:t xml:space="preserve"> and relevant</w:t>
      </w:r>
      <w:r w:rsidRPr="004722A8" w:rsidR="004722A8">
        <w:t xml:space="preserve"> codes</w:t>
      </w:r>
      <w:r>
        <w:t xml:space="preserve"> (i.e., emergent themes)</w:t>
      </w:r>
      <w:r w:rsidRPr="004722A8" w:rsidR="004722A8">
        <w:t xml:space="preserve"> for each </w:t>
      </w:r>
      <w:r>
        <w:t>guiding</w:t>
      </w:r>
      <w:r w:rsidRPr="004722A8" w:rsidR="004722A8">
        <w:t xml:space="preserve"> question</w:t>
      </w:r>
      <w:r>
        <w:t xml:space="preserve">, which then leads to a contextually sensitive and nuanced understanding of information </w:t>
      </w:r>
      <w:r w:rsidR="00814396">
        <w:t>collected</w:t>
      </w:r>
      <w:r>
        <w:t>.</w:t>
      </w:r>
      <w:r w:rsidRPr="004722A8" w:rsidR="004722A8">
        <w:t xml:space="preserve"> </w:t>
      </w:r>
    </w:p>
    <w:p w:rsidR="007B6CA2" w:rsidRPr="001E3C2E" w:rsidP="009F6C26" w14:paraId="6115EDAE" w14:textId="3AD922A4">
      <w:pPr>
        <w:pStyle w:val="Heading2"/>
        <w:rPr>
          <w:rFonts w:eastAsia="Times New Roman"/>
        </w:rPr>
      </w:pPr>
      <w:r w:rsidRPr="001E3C2E">
        <w:rPr>
          <w:rFonts w:eastAsia="Times New Roman"/>
        </w:rPr>
        <w:t>Data Use</w:t>
      </w:r>
    </w:p>
    <w:p w:rsidR="009933F0" w:rsidRPr="001E3C2E" w:rsidP="00501792" w14:paraId="6A9EFB9D" w14:textId="35F74D1D">
      <w:pPr>
        <w:rPr>
          <w:rFonts w:eastAsia="Times New Roman" w:cs="Arial"/>
        </w:rPr>
      </w:pPr>
      <w:r w:rsidRPr="001E3C2E">
        <w:t xml:space="preserve">Findings from these activities will be prepared for internal use by ACF </w:t>
      </w:r>
      <w:r w:rsidRPr="001E3C2E" w:rsidR="002E76FD">
        <w:t>as a means of informing future NSCAW data collection efforts.</w:t>
      </w:r>
      <w:r w:rsidRPr="001E3C2E" w:rsidR="00A122D6">
        <w:t xml:space="preserve"> Any external release by ACF will be in the form of presentations, reports, briefs, and/or manuscripts</w:t>
      </w:r>
      <w:r w:rsidR="00E92AAE">
        <w:t xml:space="preserve"> and</w:t>
      </w:r>
      <w:r w:rsidRPr="001E3C2E" w:rsidR="00A122D6">
        <w:t xml:space="preserve"> will not include any generalizable information, but will rather present</w:t>
      </w:r>
      <w:r w:rsidR="007823BA">
        <w:t xml:space="preserve"> derived</w:t>
      </w:r>
      <w:r w:rsidRPr="001E3C2E" w:rsidR="00A122D6">
        <w:t xml:space="preserve"> findings, themes, and recommendations that will be beneficial to the public (researchers, federal agencies, other interest-holders)</w:t>
      </w:r>
      <w:r w:rsidR="00995279">
        <w:t>.</w:t>
      </w:r>
      <w:r w:rsidRPr="001E3C2E" w:rsidR="00A122D6">
        <w:t xml:space="preserve"> </w:t>
      </w:r>
      <w:r w:rsidR="00995279">
        <w:t>The dissemination of these findings will inform an understanding of</w:t>
      </w:r>
      <w:r w:rsidRPr="001E3C2E" w:rsidR="007823BA">
        <w:t xml:space="preserve"> </w:t>
      </w:r>
      <w:r w:rsidRPr="001E3C2E" w:rsidR="004D74FE">
        <w:t xml:space="preserve">feasible and effective approaches to study design and implementation that are </w:t>
      </w:r>
      <w:r w:rsidRPr="001E3C2E" w:rsidR="00F82427">
        <w:t xml:space="preserve">relevant to and resonate with future NSCAW respondents. </w:t>
      </w:r>
      <w:r w:rsidRPr="001E3C2E" w:rsidR="00E20413">
        <w:t xml:space="preserve">The </w:t>
      </w:r>
      <w:r w:rsidR="00762950">
        <w:t>project team</w:t>
      </w:r>
      <w:r w:rsidRPr="001E3C2E" w:rsidR="00E20413">
        <w:t xml:space="preserve"> and ACF will make it clear within these dissemination products that the information is not generalizable.</w:t>
      </w:r>
    </w:p>
    <w:p w:rsidR="00901040" w:rsidRPr="001E3C2E" w:rsidP="009F6C26" w14:paraId="69EFFF84" w14:textId="141687D8">
      <w:pPr>
        <w:pStyle w:val="Heading1"/>
        <w:rPr>
          <w:rFonts w:eastAsia="Times New Roman"/>
        </w:rPr>
      </w:pPr>
      <w:r w:rsidRPr="001E3C2E">
        <w:rPr>
          <w:rFonts w:eastAsia="Times New Roman"/>
        </w:rPr>
        <w:t>B8.  Contact Persons</w:t>
      </w:r>
      <w:r w:rsidRPr="001E3C2E">
        <w:rPr>
          <w:rFonts w:eastAsia="Times New Roman"/>
        </w:rPr>
        <w:t xml:space="preserve">  </w:t>
      </w:r>
    </w:p>
    <w:tbl>
      <w:tblPr>
        <w:tblStyle w:val="GridTable4Accent5"/>
        <w:tblW w:w="108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5310"/>
        <w:gridCol w:w="3330"/>
      </w:tblGrid>
      <w:tr w14:paraId="4FFDD328" w14:textId="77777777" w:rsidTr="00E81685">
        <w:tblPrEx>
          <w:tblW w:w="108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60" w:type="dxa"/>
            <w:shd w:val="clear" w:color="auto" w:fill="4F81BD" w:themeFill="accent1"/>
            <w:vAlign w:val="center"/>
          </w:tcPr>
          <w:p w:rsidR="008A1184" w:rsidRPr="006379E5" w:rsidP="00AB554E" w14:paraId="33FAE891" w14:textId="77777777">
            <w:pPr>
              <w:pStyle w:val="ExhibitRowHeader"/>
              <w:spacing w:before="0" w:after="0" w:line="264" w:lineRule="auto"/>
              <w:rPr>
                <w:b/>
                <w:bCs w:val="0"/>
                <w:color w:val="FFFFFF" w:themeColor="background1"/>
              </w:rPr>
            </w:pPr>
            <w:r w:rsidRPr="006379E5">
              <w:rPr>
                <w:color w:val="FFFFFF" w:themeColor="background1"/>
              </w:rPr>
              <w:t>Name</w:t>
            </w:r>
          </w:p>
        </w:tc>
        <w:tc>
          <w:tcPr>
            <w:tcW w:w="5310" w:type="dxa"/>
            <w:shd w:val="clear" w:color="auto" w:fill="4F81BD" w:themeFill="accent1"/>
            <w:vAlign w:val="center"/>
          </w:tcPr>
          <w:p w:rsidR="008A1184" w:rsidRPr="006379E5" w:rsidP="00AB554E" w14:paraId="3BB8BF4B" w14:textId="77777777">
            <w:pPr>
              <w:pStyle w:val="ExhibitRowHeader"/>
              <w:spacing w:before="0" w:after="0" w:line="264" w:lineRule="auto"/>
              <w:rPr>
                <w:b/>
                <w:bCs w:val="0"/>
                <w:color w:val="FFFFFF" w:themeColor="background1"/>
              </w:rPr>
            </w:pPr>
            <w:r w:rsidRPr="006379E5">
              <w:rPr>
                <w:color w:val="FFFFFF" w:themeColor="background1"/>
              </w:rPr>
              <w:t>Title/Affiliation</w:t>
            </w:r>
          </w:p>
        </w:tc>
        <w:tc>
          <w:tcPr>
            <w:tcW w:w="3330" w:type="dxa"/>
            <w:shd w:val="clear" w:color="auto" w:fill="4F81BD" w:themeFill="accent1"/>
          </w:tcPr>
          <w:p w:rsidR="008A1184" w:rsidRPr="006379E5" w:rsidP="00AB554E" w14:paraId="398F7810" w14:textId="77777777">
            <w:pPr>
              <w:pStyle w:val="ExhibitColumnHeader"/>
              <w:spacing w:before="0" w:after="0" w:line="264" w:lineRule="auto"/>
              <w:rPr>
                <w:b/>
                <w:bCs w:val="0"/>
                <w:color w:val="FFFFFF" w:themeColor="background1"/>
              </w:rPr>
            </w:pPr>
            <w:r w:rsidRPr="006379E5">
              <w:rPr>
                <w:color w:val="FFFFFF" w:themeColor="background1"/>
              </w:rPr>
              <w:t>Email</w:t>
            </w:r>
          </w:p>
        </w:tc>
      </w:tr>
      <w:tr w14:paraId="730314E5" w14:textId="77777777" w:rsidTr="009F6C26">
        <w:tblPrEx>
          <w:tblW w:w="10800" w:type="dxa"/>
          <w:tblInd w:w="-365" w:type="dxa"/>
          <w:tblLayout w:type="fixed"/>
          <w:tblLook w:val="04A0"/>
        </w:tblPrEx>
        <w:tc>
          <w:tcPr>
            <w:tcW w:w="2160" w:type="dxa"/>
            <w:shd w:val="clear" w:color="auto" w:fill="E7E6E6"/>
          </w:tcPr>
          <w:p w:rsidR="008A1184" w:rsidRPr="006379E5" w:rsidP="00AB554E" w14:paraId="579A7B19" w14:textId="77777777">
            <w:pPr>
              <w:pStyle w:val="ExhibitRowHeader"/>
              <w:spacing w:before="0" w:after="0" w:line="264" w:lineRule="auto"/>
              <w:jc w:val="left"/>
              <w:rPr>
                <w:color w:val="auto"/>
              </w:rPr>
            </w:pPr>
            <w:r w:rsidRPr="006379E5">
              <w:rPr>
                <w:color w:val="auto"/>
              </w:rPr>
              <w:t xml:space="preserve">Melissa Dolan  </w:t>
            </w:r>
          </w:p>
        </w:tc>
        <w:tc>
          <w:tcPr>
            <w:tcW w:w="5310" w:type="dxa"/>
            <w:shd w:val="clear" w:color="auto" w:fill="E7E6E6"/>
          </w:tcPr>
          <w:p w:rsidR="008A1184" w:rsidRPr="006379E5" w:rsidP="00AB554E" w14:paraId="5C71588E" w14:textId="77777777">
            <w:pPr>
              <w:pStyle w:val="ExhibitRowHeader"/>
              <w:spacing w:before="0" w:after="0" w:line="264" w:lineRule="auto"/>
              <w:jc w:val="left"/>
              <w:rPr>
                <w:b w:val="0"/>
                <w:color w:val="auto"/>
              </w:rPr>
            </w:pPr>
            <w:r w:rsidRPr="006379E5">
              <w:rPr>
                <w:b w:val="0"/>
                <w:color w:val="auto"/>
              </w:rPr>
              <w:t xml:space="preserve">Project Director RTI International </w:t>
            </w:r>
          </w:p>
        </w:tc>
        <w:tc>
          <w:tcPr>
            <w:tcW w:w="1" w:type="dxa"/>
            <w:shd w:val="clear" w:color="auto" w:fill="E7E6E6"/>
          </w:tcPr>
          <w:p w:rsidR="008A1184" w:rsidRPr="006379E5" w:rsidP="00AB554E" w14:paraId="035F1DB3" w14:textId="77777777">
            <w:pPr>
              <w:pStyle w:val="ExhibitColumnHeader"/>
              <w:spacing w:before="0" w:after="0" w:line="264" w:lineRule="auto"/>
              <w:jc w:val="left"/>
              <w:rPr>
                <w:b w:val="0"/>
                <w:bCs/>
              </w:rPr>
            </w:pPr>
            <w:r w:rsidRPr="006379E5">
              <w:rPr>
                <w:b w:val="0"/>
                <w:bCs/>
              </w:rPr>
              <w:t>mdolan@rti.org</w:t>
            </w:r>
          </w:p>
        </w:tc>
      </w:tr>
      <w:tr w14:paraId="437A4483" w14:textId="77777777" w:rsidTr="009F6C26">
        <w:tblPrEx>
          <w:tblW w:w="10800" w:type="dxa"/>
          <w:tblInd w:w="-365" w:type="dxa"/>
          <w:tblLayout w:type="fixed"/>
          <w:tblLook w:val="04A0"/>
        </w:tblPrEx>
        <w:tc>
          <w:tcPr>
            <w:tcW w:w="2160" w:type="dxa"/>
          </w:tcPr>
          <w:p w:rsidR="008A1184" w:rsidRPr="006379E5" w:rsidP="00AB554E" w14:paraId="58459039" w14:textId="77777777">
            <w:pPr>
              <w:pStyle w:val="ExhibitRowHeader"/>
              <w:spacing w:before="0" w:after="0" w:line="264" w:lineRule="auto"/>
              <w:jc w:val="left"/>
              <w:rPr>
                <w:bCs w:val="0"/>
                <w:color w:val="auto"/>
              </w:rPr>
            </w:pPr>
            <w:r w:rsidRPr="006379E5">
              <w:rPr>
                <w:color w:val="auto"/>
              </w:rPr>
              <w:t>Dalia Khoury</w:t>
            </w:r>
          </w:p>
        </w:tc>
        <w:tc>
          <w:tcPr>
            <w:tcW w:w="5310" w:type="dxa"/>
          </w:tcPr>
          <w:p w:rsidR="008A1184" w:rsidRPr="006379E5" w:rsidP="00AB554E" w14:paraId="7FBABE6F" w14:textId="77777777">
            <w:pPr>
              <w:pStyle w:val="ExhibitRowHeader"/>
              <w:spacing w:before="0" w:after="0" w:line="264" w:lineRule="auto"/>
              <w:jc w:val="left"/>
              <w:rPr>
                <w:b w:val="0"/>
                <w:color w:val="auto"/>
              </w:rPr>
            </w:pPr>
            <w:r w:rsidRPr="006379E5">
              <w:rPr>
                <w:b w:val="0"/>
                <w:color w:val="auto"/>
              </w:rPr>
              <w:t xml:space="preserve">Associate Project Director, RTI International </w:t>
            </w:r>
          </w:p>
        </w:tc>
        <w:tc>
          <w:tcPr>
            <w:tcW w:w="1" w:type="dxa"/>
          </w:tcPr>
          <w:p w:rsidR="008A1184" w:rsidRPr="006379E5" w:rsidP="00AB554E" w14:paraId="3A289F76" w14:textId="77777777">
            <w:pPr>
              <w:pStyle w:val="ExhibitColumnHeader"/>
              <w:spacing w:before="0" w:after="0" w:line="264" w:lineRule="auto"/>
              <w:jc w:val="left"/>
              <w:rPr>
                <w:b w:val="0"/>
                <w:bCs/>
              </w:rPr>
            </w:pPr>
            <w:r w:rsidRPr="006379E5">
              <w:rPr>
                <w:b w:val="0"/>
                <w:bCs/>
              </w:rPr>
              <w:t>dkhoury@rti.org</w:t>
            </w:r>
          </w:p>
        </w:tc>
      </w:tr>
      <w:tr w14:paraId="38712D0B" w14:textId="77777777" w:rsidTr="009F6C26">
        <w:tblPrEx>
          <w:tblW w:w="10800" w:type="dxa"/>
          <w:tblInd w:w="-365" w:type="dxa"/>
          <w:tblLayout w:type="fixed"/>
          <w:tblLook w:val="04A0"/>
        </w:tblPrEx>
        <w:tc>
          <w:tcPr>
            <w:tcW w:w="2160" w:type="dxa"/>
            <w:shd w:val="clear" w:color="auto" w:fill="E7E6E6"/>
          </w:tcPr>
          <w:p w:rsidR="008A1184" w:rsidRPr="006379E5" w:rsidP="00AB554E" w14:paraId="44A33CD7" w14:textId="77777777">
            <w:pPr>
              <w:pStyle w:val="ExhibitRowHeader"/>
              <w:spacing w:before="0" w:after="0" w:line="264" w:lineRule="auto"/>
              <w:jc w:val="left"/>
              <w:rPr>
                <w:color w:val="auto"/>
              </w:rPr>
            </w:pPr>
            <w:r w:rsidRPr="006379E5">
              <w:rPr>
                <w:color w:val="auto"/>
              </w:rPr>
              <w:t xml:space="preserve">Heather Ringeisen </w:t>
            </w:r>
          </w:p>
        </w:tc>
        <w:tc>
          <w:tcPr>
            <w:tcW w:w="5310" w:type="dxa"/>
            <w:shd w:val="clear" w:color="auto" w:fill="E7E6E6"/>
          </w:tcPr>
          <w:p w:rsidR="008A1184" w:rsidRPr="006379E5" w:rsidP="00AB554E" w14:paraId="4561E97C" w14:textId="77777777">
            <w:pPr>
              <w:pStyle w:val="ExhibitRowHeader"/>
              <w:spacing w:before="0" w:after="0" w:line="264" w:lineRule="auto"/>
              <w:jc w:val="left"/>
              <w:rPr>
                <w:b w:val="0"/>
                <w:color w:val="auto"/>
              </w:rPr>
            </w:pPr>
            <w:r w:rsidRPr="006379E5">
              <w:rPr>
                <w:b w:val="0"/>
                <w:color w:val="auto"/>
              </w:rPr>
              <w:t xml:space="preserve">Design Options Task Lead, RTI International </w:t>
            </w:r>
          </w:p>
        </w:tc>
        <w:tc>
          <w:tcPr>
            <w:tcW w:w="1" w:type="dxa"/>
            <w:shd w:val="clear" w:color="auto" w:fill="E7E6E6"/>
          </w:tcPr>
          <w:p w:rsidR="008A1184" w:rsidRPr="006379E5" w:rsidP="00AB554E" w14:paraId="58470AAB" w14:textId="77777777">
            <w:pPr>
              <w:pStyle w:val="ExhibitColumnHeader"/>
              <w:spacing w:before="0" w:after="0" w:line="264" w:lineRule="auto"/>
              <w:jc w:val="left"/>
              <w:rPr>
                <w:b w:val="0"/>
                <w:bCs/>
              </w:rPr>
            </w:pPr>
            <w:r w:rsidRPr="006379E5">
              <w:rPr>
                <w:b w:val="0"/>
                <w:bCs/>
              </w:rPr>
              <w:t>hringeisen@rti.org</w:t>
            </w:r>
          </w:p>
        </w:tc>
      </w:tr>
      <w:tr w14:paraId="27EBECAB" w14:textId="77777777" w:rsidTr="009F6C26">
        <w:tblPrEx>
          <w:tblW w:w="10800" w:type="dxa"/>
          <w:tblInd w:w="-365" w:type="dxa"/>
          <w:tblLayout w:type="fixed"/>
          <w:tblLook w:val="04A0"/>
        </w:tblPrEx>
        <w:tc>
          <w:tcPr>
            <w:tcW w:w="2160" w:type="dxa"/>
            <w:shd w:val="clear" w:color="auto" w:fill="auto"/>
          </w:tcPr>
          <w:p w:rsidR="008A1184" w:rsidRPr="006379E5" w:rsidP="00AB554E" w14:paraId="68D9E08D" w14:textId="77777777">
            <w:pPr>
              <w:pStyle w:val="ExhibitRowHeader"/>
              <w:spacing w:before="0" w:after="0" w:line="264" w:lineRule="auto"/>
              <w:jc w:val="left"/>
              <w:rPr>
                <w:color w:val="auto"/>
              </w:rPr>
            </w:pPr>
            <w:r w:rsidRPr="006379E5">
              <w:rPr>
                <w:color w:val="auto"/>
              </w:rPr>
              <w:t>Christine Fortunato</w:t>
            </w:r>
          </w:p>
        </w:tc>
        <w:tc>
          <w:tcPr>
            <w:tcW w:w="5310" w:type="dxa"/>
            <w:shd w:val="clear" w:color="auto" w:fill="auto"/>
          </w:tcPr>
          <w:p w:rsidR="008A1184" w:rsidRPr="006379E5" w:rsidP="00AB554E" w14:paraId="09886E19" w14:textId="77777777">
            <w:pPr>
              <w:pStyle w:val="ExhibitRowHeader"/>
              <w:spacing w:before="0" w:after="0" w:line="264" w:lineRule="auto"/>
              <w:jc w:val="left"/>
              <w:rPr>
                <w:b w:val="0"/>
                <w:color w:val="auto"/>
              </w:rPr>
            </w:pPr>
            <w:r w:rsidRPr="006379E5">
              <w:rPr>
                <w:b w:val="0"/>
                <w:color w:val="auto"/>
              </w:rPr>
              <w:t>Contracting Officer’s Representative, ACF</w:t>
            </w:r>
          </w:p>
        </w:tc>
        <w:tc>
          <w:tcPr>
            <w:tcW w:w="3330" w:type="dxa"/>
            <w:shd w:val="clear" w:color="auto" w:fill="auto"/>
          </w:tcPr>
          <w:p w:rsidR="008A1184" w:rsidRPr="006379E5" w:rsidP="00AB554E" w14:paraId="51F465A3" w14:textId="77777777">
            <w:pPr>
              <w:pStyle w:val="ExhibitColumnHeader"/>
              <w:spacing w:before="0" w:after="0" w:line="264" w:lineRule="auto"/>
              <w:jc w:val="left"/>
              <w:rPr>
                <w:b w:val="0"/>
                <w:bCs/>
              </w:rPr>
            </w:pPr>
            <w:r w:rsidRPr="006379E5">
              <w:rPr>
                <w:b w:val="0"/>
                <w:bCs/>
              </w:rPr>
              <w:t>christine.fortunato@acf.hhs.gov</w:t>
            </w:r>
          </w:p>
        </w:tc>
      </w:tr>
      <w:tr w14:paraId="1207940B" w14:textId="77777777" w:rsidTr="009F6C26">
        <w:tblPrEx>
          <w:tblW w:w="10800" w:type="dxa"/>
          <w:tblInd w:w="-365" w:type="dxa"/>
          <w:tblLayout w:type="fixed"/>
          <w:tblLook w:val="04A0"/>
        </w:tblPrEx>
        <w:tc>
          <w:tcPr>
            <w:tcW w:w="2160" w:type="dxa"/>
            <w:shd w:val="clear" w:color="auto" w:fill="E7E6E6"/>
          </w:tcPr>
          <w:p w:rsidR="008A1184" w:rsidRPr="006379E5" w:rsidP="00AB554E" w14:paraId="20E3166B" w14:textId="77777777">
            <w:pPr>
              <w:pStyle w:val="ExhibitRowHeader"/>
              <w:spacing w:before="0" w:after="0" w:line="264" w:lineRule="auto"/>
              <w:jc w:val="left"/>
              <w:rPr>
                <w:color w:val="auto"/>
              </w:rPr>
            </w:pPr>
            <w:r w:rsidRPr="006379E5">
              <w:rPr>
                <w:color w:val="auto"/>
              </w:rPr>
              <w:t>Laura Hoard</w:t>
            </w:r>
          </w:p>
        </w:tc>
        <w:tc>
          <w:tcPr>
            <w:tcW w:w="5310" w:type="dxa"/>
            <w:shd w:val="clear" w:color="auto" w:fill="E7E6E6"/>
          </w:tcPr>
          <w:p w:rsidR="008A1184" w:rsidRPr="006379E5" w:rsidP="00AB554E" w14:paraId="42DFC67C" w14:textId="77777777">
            <w:pPr>
              <w:pStyle w:val="ExhibitRowHeader"/>
              <w:spacing w:before="0" w:after="0" w:line="264" w:lineRule="auto"/>
              <w:jc w:val="left"/>
              <w:rPr>
                <w:b w:val="0"/>
                <w:color w:val="auto"/>
              </w:rPr>
            </w:pPr>
            <w:r w:rsidRPr="006379E5">
              <w:rPr>
                <w:b w:val="0"/>
                <w:color w:val="auto"/>
              </w:rPr>
              <w:t>Alternate Contracting Officer’s Representative, ACF</w:t>
            </w:r>
          </w:p>
        </w:tc>
        <w:tc>
          <w:tcPr>
            <w:tcW w:w="1" w:type="dxa"/>
            <w:shd w:val="clear" w:color="auto" w:fill="E7E6E6"/>
          </w:tcPr>
          <w:p w:rsidR="008A1184" w:rsidRPr="006379E5" w:rsidP="00AB554E" w14:paraId="1DCE650E" w14:textId="77777777">
            <w:pPr>
              <w:pStyle w:val="ExhibitColumnHeader"/>
              <w:spacing w:before="0" w:after="0" w:line="264" w:lineRule="auto"/>
              <w:jc w:val="left"/>
              <w:rPr>
                <w:b w:val="0"/>
                <w:bCs/>
              </w:rPr>
            </w:pPr>
            <w:r w:rsidRPr="006379E5">
              <w:rPr>
                <w:b w:val="0"/>
                <w:bCs/>
              </w:rPr>
              <w:t>laura.hoard@acf.hhs.gov</w:t>
            </w:r>
          </w:p>
        </w:tc>
      </w:tr>
    </w:tbl>
    <w:p w:rsidR="00BB2925" w:rsidRPr="001E3C2E" w:rsidP="008369BA" w14:paraId="06674544" w14:textId="20C5F490">
      <w:pPr>
        <w:pStyle w:val="ListParagraph"/>
        <w:spacing w:line="240" w:lineRule="auto"/>
        <w:ind w:left="0"/>
        <w:rPr>
          <w:rFonts w:cs="Arial"/>
          <w:b/>
        </w:rPr>
      </w:pPr>
    </w:p>
    <w:p w:rsidR="00762950" w:rsidRPr="007A34C7" w:rsidP="00762950" w14:paraId="52BB7681" w14:textId="77777777">
      <w:pPr>
        <w:pStyle w:val="Heading1"/>
        <w:rPr>
          <w:b w:val="0"/>
          <w:i/>
          <w:iCs/>
          <w:u w:val="single"/>
        </w:rPr>
      </w:pPr>
      <w:r w:rsidRPr="007A34C7">
        <w:rPr>
          <w:i/>
          <w:iCs/>
          <w:u w:val="single"/>
        </w:rPr>
        <w:t>Attachments</w:t>
      </w:r>
    </w:p>
    <w:p w:rsidR="00762950" w:rsidRPr="00433397" w:rsidP="00762950" w14:paraId="7CBE0176" w14:textId="77777777">
      <w:pPr>
        <w:pStyle w:val="Heading2"/>
        <w:spacing w:before="0" w:after="0"/>
      </w:pPr>
      <w:r w:rsidRPr="00433397">
        <w:t>Instrument</w:t>
      </w:r>
      <w:r w:rsidRPr="00C36CB6">
        <w:t>s</w:t>
      </w:r>
    </w:p>
    <w:p w:rsidR="00762950" w:rsidRPr="00C36CB6" w:rsidP="00762950" w14:paraId="204AFA77" w14:textId="77777777">
      <w:pPr>
        <w:rPr>
          <w:rFonts w:cs="Arial"/>
        </w:rPr>
      </w:pPr>
      <w:r>
        <w:rPr>
          <w:rFonts w:cs="Arial"/>
        </w:rPr>
        <w:t xml:space="preserve">Instrument 1 – Parent Screener </w:t>
      </w:r>
    </w:p>
    <w:p w:rsidR="00762950" w:rsidRPr="00C36CB6" w:rsidP="00762950" w14:paraId="77775E99" w14:textId="08F0CEFE">
      <w:pPr>
        <w:rPr>
          <w:rFonts w:cs="Arial"/>
        </w:rPr>
      </w:pPr>
      <w:r w:rsidRPr="00C36CB6">
        <w:rPr>
          <w:rFonts w:cs="Arial"/>
        </w:rPr>
        <w:t xml:space="preserve">Instrument </w:t>
      </w:r>
      <w:r>
        <w:rPr>
          <w:rFonts w:cs="Arial"/>
        </w:rPr>
        <w:t>2</w:t>
      </w:r>
      <w:r w:rsidRPr="00C36CB6">
        <w:rPr>
          <w:rFonts w:cs="Arial"/>
        </w:rPr>
        <w:t xml:space="preserve"> – </w:t>
      </w:r>
      <w:r w:rsidR="00D03CBD">
        <w:rPr>
          <w:rFonts w:cs="Arial"/>
        </w:rPr>
        <w:t>Interview Guide for Youth Ages 11-14 – Topic Set 1</w:t>
      </w:r>
    </w:p>
    <w:p w:rsidR="00762950" w:rsidP="00762950" w14:paraId="39751CB4" w14:textId="1C26CC44">
      <w:pPr>
        <w:rPr>
          <w:rFonts w:cs="Arial"/>
        </w:rPr>
      </w:pPr>
      <w:r w:rsidRPr="00C36CB6">
        <w:rPr>
          <w:rFonts w:cs="Arial"/>
        </w:rPr>
        <w:t xml:space="preserve">Instrument </w:t>
      </w:r>
      <w:r>
        <w:rPr>
          <w:rFonts w:cs="Arial"/>
        </w:rPr>
        <w:t>3</w:t>
      </w:r>
      <w:r w:rsidRPr="00C36CB6">
        <w:rPr>
          <w:rFonts w:cs="Arial"/>
        </w:rPr>
        <w:t xml:space="preserve"> – </w:t>
      </w:r>
      <w:r w:rsidR="00D03CBD">
        <w:rPr>
          <w:rFonts w:cs="Arial"/>
        </w:rPr>
        <w:t>Focus Group Guide for Youth Ages 15-17 – Topic Set 1</w:t>
      </w:r>
    </w:p>
    <w:p w:rsidR="00762950" w:rsidP="00762950" w14:paraId="5CDAE873" w14:textId="052ADFA7">
      <w:pPr>
        <w:rPr>
          <w:rFonts w:cs="Arial"/>
        </w:rPr>
      </w:pPr>
      <w:r>
        <w:rPr>
          <w:rFonts w:cs="Arial"/>
        </w:rPr>
        <w:t xml:space="preserve">Instrument 4 – </w:t>
      </w:r>
      <w:r w:rsidR="00D03CBD">
        <w:rPr>
          <w:rFonts w:cs="Arial"/>
        </w:rPr>
        <w:t>Interview Guide for Youth Ages 11-14 – Topic Set 2</w:t>
      </w:r>
    </w:p>
    <w:p w:rsidR="00762950" w:rsidRPr="00C36CB6" w:rsidP="00762950" w14:paraId="5514736B" w14:textId="5A85A58C">
      <w:pPr>
        <w:rPr>
          <w:rFonts w:cs="Arial"/>
        </w:rPr>
      </w:pPr>
      <w:r>
        <w:rPr>
          <w:rFonts w:cs="Arial"/>
        </w:rPr>
        <w:t xml:space="preserve">Instrument 5 – </w:t>
      </w:r>
      <w:r w:rsidR="00D03CBD">
        <w:rPr>
          <w:rFonts w:cs="Arial"/>
        </w:rPr>
        <w:t>Focus Group Guide for Youth Ages 15-17 – Topic Set 2</w:t>
      </w:r>
    </w:p>
    <w:p w:rsidR="00762950" w:rsidP="00762950" w14:paraId="0C9CC271" w14:textId="383ABD0E">
      <w:pPr>
        <w:rPr>
          <w:rFonts w:cs="Arial"/>
        </w:rPr>
      </w:pPr>
      <w:r w:rsidRPr="00C36CB6">
        <w:rPr>
          <w:rFonts w:cs="Arial"/>
        </w:rPr>
        <w:t xml:space="preserve">Instrument </w:t>
      </w:r>
      <w:r>
        <w:rPr>
          <w:rFonts w:cs="Arial"/>
        </w:rPr>
        <w:t>6</w:t>
      </w:r>
      <w:r w:rsidRPr="00C36CB6">
        <w:rPr>
          <w:rFonts w:cs="Arial"/>
        </w:rPr>
        <w:t xml:space="preserve"> –</w:t>
      </w:r>
      <w:r w:rsidR="003E1C0F">
        <w:rPr>
          <w:rFonts w:cs="Arial"/>
        </w:rPr>
        <w:t xml:space="preserve"> </w:t>
      </w:r>
      <w:r w:rsidRPr="00C36CB6">
        <w:rPr>
          <w:rFonts w:cs="Arial"/>
        </w:rPr>
        <w:t>Focus Group Guide</w:t>
      </w:r>
      <w:r w:rsidR="00D03CBD">
        <w:rPr>
          <w:rFonts w:cs="Arial"/>
        </w:rPr>
        <w:t xml:space="preserve"> for Parents</w:t>
      </w:r>
    </w:p>
    <w:p w:rsidR="00762950" w:rsidP="00762950" w14:paraId="74DC121C" w14:textId="77777777">
      <w:pPr>
        <w:rPr>
          <w:rFonts w:cs="Arial"/>
        </w:rPr>
      </w:pPr>
    </w:p>
    <w:p w:rsidR="00762950" w:rsidRPr="00C36CB6" w:rsidP="00762950" w14:paraId="39AFAAB1" w14:textId="77777777">
      <w:pPr>
        <w:pStyle w:val="Heading2"/>
        <w:spacing w:before="0" w:after="0"/>
      </w:pPr>
      <w:r w:rsidRPr="00C36CB6">
        <w:t>Appendices</w:t>
      </w:r>
    </w:p>
    <w:p w:rsidR="00762950" w:rsidP="00762950" w14:paraId="23341F25" w14:textId="77777777">
      <w:pPr>
        <w:rPr>
          <w:rFonts w:cs="Arial"/>
        </w:rPr>
      </w:pPr>
      <w:r w:rsidRPr="00C36CB6">
        <w:rPr>
          <w:rFonts w:cs="Arial"/>
        </w:rPr>
        <w:t xml:space="preserve">Appendix A: </w:t>
      </w:r>
      <w:r>
        <w:rPr>
          <w:rFonts w:cs="Arial"/>
        </w:rPr>
        <w:t>Outreach to Family Mentor Organization(s)</w:t>
      </w:r>
    </w:p>
    <w:p w:rsidR="00762950" w:rsidRPr="00C36CB6" w:rsidP="00762950" w14:paraId="219B95ED" w14:textId="77777777">
      <w:pPr>
        <w:rPr>
          <w:rFonts w:cs="Arial"/>
        </w:rPr>
      </w:pPr>
      <w:r>
        <w:rPr>
          <w:rFonts w:cs="Arial"/>
        </w:rPr>
        <w:t xml:space="preserve">Appendix B: </w:t>
      </w:r>
      <w:r w:rsidRPr="00C36CB6">
        <w:rPr>
          <w:rFonts w:cs="Arial"/>
        </w:rPr>
        <w:t>Outreach Materials for Family Mentors</w:t>
      </w:r>
    </w:p>
    <w:p w:rsidR="00E5340F" w:rsidP="003B009E" w14:paraId="6B8507D8" w14:textId="7659EBF5">
      <w:pPr>
        <w:rPr>
          <w:rFonts w:eastAsiaTheme="majorEastAsia" w:cstheme="majorBidi"/>
          <w:b/>
          <w:sz w:val="24"/>
          <w:szCs w:val="32"/>
        </w:rPr>
      </w:pPr>
      <w:r>
        <w:rPr>
          <w:rFonts w:cs="Arial"/>
        </w:rPr>
        <w:t xml:space="preserve">Appendix C: Consent, Permission, </w:t>
      </w:r>
      <w:r w:rsidR="00F61365">
        <w:rPr>
          <w:rFonts w:cs="Arial"/>
        </w:rPr>
        <w:t xml:space="preserve">Agreement to Participate </w:t>
      </w:r>
      <w:r>
        <w:rPr>
          <w:rFonts w:cs="Arial"/>
        </w:rPr>
        <w:t>Forms</w:t>
      </w:r>
    </w:p>
    <w:p w:rsidR="00A244CD" w:rsidRPr="00E5340F" w:rsidP="006379E5" w14:paraId="2827861D" w14:textId="1E46D709">
      <w:pPr>
        <w:pStyle w:val="Heading1"/>
      </w:pPr>
      <w:r w:rsidRPr="00E5340F">
        <w:t>References</w:t>
      </w:r>
    </w:p>
    <w:p w:rsidR="00A1325D" w:rsidRPr="006379E5" w:rsidP="00A1325D" w14:paraId="46738E26" w14:textId="65696AC0">
      <w:pPr>
        <w:pStyle w:val="ListParagraph"/>
        <w:numPr>
          <w:ilvl w:val="0"/>
          <w:numId w:val="60"/>
        </w:numPr>
        <w:rPr>
          <w:rFonts w:cs="Arial"/>
          <w:sz w:val="20"/>
          <w:szCs w:val="20"/>
        </w:rPr>
      </w:pPr>
      <w:r w:rsidRPr="006379E5">
        <w:rPr>
          <w:rFonts w:cs="Arial"/>
          <w:sz w:val="20"/>
          <w:szCs w:val="20"/>
        </w:rPr>
        <w:t xml:space="preserve">Clark, C.M., Kosciw, J.G. (2022) Considerations for Measuring Sexual Orientation and Gender Identity in Surveys of Secondary School Students (Research Brief). New York: GLSEN. https://www.glsen.org/sites/default/files/2022-05/GLSEN_LGBTQ_Data_Inclusion_Research_Brief.pdf </w:t>
      </w:r>
    </w:p>
    <w:p w:rsidR="00A1325D" w:rsidRPr="006379E5" w:rsidP="00A1325D" w14:paraId="5A211B6C" w14:textId="77777777">
      <w:pPr>
        <w:pStyle w:val="ListParagraph"/>
        <w:numPr>
          <w:ilvl w:val="0"/>
          <w:numId w:val="60"/>
        </w:numPr>
        <w:rPr>
          <w:rFonts w:cs="Arial"/>
          <w:sz w:val="20"/>
          <w:szCs w:val="20"/>
        </w:rPr>
      </w:pPr>
      <w:r w:rsidRPr="006379E5">
        <w:rPr>
          <w:rFonts w:cs="Arial"/>
          <w:sz w:val="20"/>
          <w:szCs w:val="20"/>
        </w:rPr>
        <w:t>Connor, K. M., &amp; Davidson, J. R. (2003). Development of a new resilience scale: The Connor</w:t>
      </w:r>
      <w:r w:rsidRPr="006379E5">
        <w:rPr>
          <w:rFonts w:ascii="Cambria Math" w:hAnsi="Cambria Math" w:cs="Cambria Math"/>
          <w:sz w:val="20"/>
          <w:szCs w:val="20"/>
        </w:rPr>
        <w:t>‐</w:t>
      </w:r>
      <w:r w:rsidRPr="006379E5">
        <w:rPr>
          <w:rFonts w:cs="Arial"/>
          <w:sz w:val="20"/>
          <w:szCs w:val="20"/>
        </w:rPr>
        <w:t>Davidson resilience scale (CD</w:t>
      </w:r>
      <w:r w:rsidRPr="006379E5">
        <w:rPr>
          <w:rFonts w:ascii="Cambria Math" w:hAnsi="Cambria Math" w:cs="Cambria Math"/>
          <w:sz w:val="20"/>
          <w:szCs w:val="20"/>
        </w:rPr>
        <w:t>‐</w:t>
      </w:r>
      <w:r w:rsidRPr="006379E5">
        <w:rPr>
          <w:rFonts w:cs="Arial"/>
          <w:sz w:val="20"/>
          <w:szCs w:val="20"/>
        </w:rPr>
        <w:t xml:space="preserve">RISC). Depression and anxiety, 18(2), 76-82. </w:t>
      </w:r>
    </w:p>
    <w:p w:rsidR="00A1325D" w:rsidRPr="006379E5" w:rsidP="00A1325D" w14:paraId="4325F359" w14:textId="77777777">
      <w:pPr>
        <w:pStyle w:val="ListParagraph"/>
        <w:numPr>
          <w:ilvl w:val="0"/>
          <w:numId w:val="60"/>
        </w:numPr>
        <w:rPr>
          <w:rFonts w:cs="Arial"/>
          <w:sz w:val="20"/>
          <w:szCs w:val="20"/>
        </w:rPr>
      </w:pPr>
      <w:r w:rsidRPr="006379E5">
        <w:rPr>
          <w:rFonts w:cs="Arial"/>
          <w:sz w:val="20"/>
          <w:szCs w:val="20"/>
        </w:rPr>
        <w:t xml:space="preserve">Ferguson, K. M., &amp; Xie, B. (2012). Adult support and substance use among homeless youths who attend high school. </w:t>
      </w:r>
      <w:r w:rsidRPr="006379E5">
        <w:rPr>
          <w:rFonts w:cs="Arial"/>
          <w:i/>
          <w:sz w:val="20"/>
          <w:szCs w:val="20"/>
        </w:rPr>
        <w:t>Child &amp; Youth Care Forum</w:t>
      </w:r>
      <w:r w:rsidRPr="006379E5">
        <w:rPr>
          <w:rFonts w:cs="Arial"/>
          <w:sz w:val="20"/>
          <w:szCs w:val="20"/>
        </w:rPr>
        <w:t xml:space="preserve"> (Vol. 41, pp. 427-445). Springer, U.S.</w:t>
      </w:r>
    </w:p>
    <w:p w:rsidR="000434F4" w:rsidRPr="006379E5" w:rsidP="000434F4" w14:paraId="6001A55C" w14:textId="4A8AFFBF">
      <w:pPr>
        <w:pStyle w:val="ListParagraph"/>
        <w:numPr>
          <w:ilvl w:val="0"/>
          <w:numId w:val="60"/>
        </w:numPr>
        <w:rPr>
          <w:rFonts w:cs="Arial"/>
          <w:sz w:val="20"/>
          <w:szCs w:val="20"/>
        </w:rPr>
      </w:pPr>
      <w:r w:rsidRPr="006379E5">
        <w:rPr>
          <w:rFonts w:cs="Arial"/>
          <w:sz w:val="20"/>
          <w:szCs w:val="20"/>
        </w:rPr>
        <w:t xml:space="preserve">Hamilton, A. (2020). </w:t>
      </w:r>
      <w:r w:rsidRPr="006379E5">
        <w:rPr>
          <w:rFonts w:cs="Arial"/>
          <w:i/>
          <w:sz w:val="20"/>
          <w:szCs w:val="20"/>
        </w:rPr>
        <w:t>Rapid turnaround qualitative research</w:t>
      </w:r>
      <w:r w:rsidRPr="006379E5">
        <w:rPr>
          <w:rFonts w:cs="Arial"/>
          <w:sz w:val="20"/>
          <w:szCs w:val="20"/>
        </w:rPr>
        <w:t>. 17th Annual Research Talk, Qualitative Research Summer Intensive. Research Talks: Cary, North Carolina.</w:t>
      </w:r>
    </w:p>
    <w:p w:rsidR="00A1325D" w:rsidRPr="006379E5" w:rsidP="00A1325D" w14:paraId="21F57380" w14:textId="77777777">
      <w:pPr>
        <w:pStyle w:val="ListParagraph"/>
        <w:numPr>
          <w:ilvl w:val="0"/>
          <w:numId w:val="60"/>
        </w:numPr>
        <w:rPr>
          <w:rFonts w:cs="Arial"/>
          <w:sz w:val="20"/>
          <w:szCs w:val="20"/>
        </w:rPr>
      </w:pPr>
      <w:r w:rsidRPr="006379E5">
        <w:rPr>
          <w:rFonts w:cs="Arial"/>
          <w:sz w:val="20"/>
          <w:szCs w:val="20"/>
        </w:rPr>
        <w:t xml:space="preserve">Kiplinger, V. L., &amp; Browne, C. H. (2014). Parents’ assessment of protective factors: User’s guide and technical report. </w:t>
      </w:r>
      <w:r w:rsidRPr="006379E5">
        <w:rPr>
          <w:rFonts w:cs="Arial"/>
          <w:i/>
          <w:sz w:val="20"/>
          <w:szCs w:val="20"/>
        </w:rPr>
        <w:t>Washington, DC: Center for the Study of Social Policy</w:t>
      </w:r>
      <w:r w:rsidRPr="006379E5">
        <w:rPr>
          <w:rFonts w:cs="Arial"/>
          <w:sz w:val="20"/>
          <w:szCs w:val="20"/>
        </w:rPr>
        <w:t xml:space="preserve">. </w:t>
      </w:r>
    </w:p>
    <w:p w:rsidR="00A1325D" w:rsidRPr="006379E5" w:rsidP="00A1325D" w14:paraId="605CCAFE" w14:textId="77777777">
      <w:pPr>
        <w:pStyle w:val="ListParagraph"/>
        <w:numPr>
          <w:ilvl w:val="0"/>
          <w:numId w:val="60"/>
        </w:numPr>
        <w:rPr>
          <w:rFonts w:cs="Arial"/>
          <w:sz w:val="20"/>
          <w:szCs w:val="20"/>
        </w:rPr>
      </w:pPr>
      <w:r w:rsidRPr="006379E5">
        <w:rPr>
          <w:rFonts w:cs="Arial"/>
          <w:sz w:val="20"/>
          <w:szCs w:val="20"/>
        </w:rPr>
        <w:t>Kosciw, J. G., Clark, C. M., &amp; Menard, L. (2022). The 2021 National School Climate Survey: The experiences of LGBTQ+ youth in our nation’s schools. New York: GLSEN.</w:t>
      </w:r>
    </w:p>
    <w:p w:rsidR="00A1325D" w:rsidRPr="006379E5" w:rsidP="00A1325D" w14:paraId="051AF6A6" w14:textId="58A12B5D">
      <w:pPr>
        <w:pStyle w:val="ListParagraph"/>
        <w:numPr>
          <w:ilvl w:val="0"/>
          <w:numId w:val="60"/>
        </w:numPr>
        <w:rPr>
          <w:rFonts w:cs="Arial"/>
          <w:sz w:val="20"/>
          <w:szCs w:val="20"/>
        </w:rPr>
      </w:pPr>
      <w:bookmarkStart w:id="8" w:name="_Hlk167894937"/>
      <w:r w:rsidRPr="006379E5">
        <w:rPr>
          <w:rFonts w:cs="Arial"/>
          <w:sz w:val="20"/>
          <w:szCs w:val="20"/>
        </w:rPr>
        <w:t>Office of Management and Budget (OMB)</w:t>
      </w:r>
      <w:r w:rsidRPr="006379E5" w:rsidR="00A244CD">
        <w:rPr>
          <w:rFonts w:cs="Arial"/>
          <w:sz w:val="20"/>
          <w:szCs w:val="20"/>
          <w:vertAlign w:val="superscript"/>
        </w:rPr>
        <w:t xml:space="preserve"> </w:t>
      </w:r>
      <w:r w:rsidRPr="006379E5" w:rsidR="00A244CD">
        <w:rPr>
          <w:rFonts w:cs="Arial"/>
          <w:sz w:val="20"/>
          <w:szCs w:val="20"/>
        </w:rPr>
        <w:t>(a)</w:t>
      </w:r>
      <w:r w:rsidRPr="006379E5">
        <w:rPr>
          <w:rFonts w:cs="Arial"/>
          <w:sz w:val="20"/>
          <w:szCs w:val="20"/>
        </w:rPr>
        <w:t>: Recommendations on the best practices for the collection of sexual orientation and gender identity data on federal statistical surveys, Information Collection Request, 2024.</w:t>
      </w:r>
    </w:p>
    <w:p w:rsidR="00A1325D" w:rsidRPr="006379E5" w:rsidP="00A1325D" w14:paraId="0229B7C7" w14:textId="630C9027">
      <w:pPr>
        <w:pStyle w:val="ListParagraph"/>
        <w:numPr>
          <w:ilvl w:val="0"/>
          <w:numId w:val="60"/>
        </w:numPr>
        <w:rPr>
          <w:rFonts w:cs="Arial"/>
          <w:i/>
          <w:iCs/>
          <w:sz w:val="20"/>
          <w:szCs w:val="20"/>
        </w:rPr>
      </w:pPr>
      <w:bookmarkStart w:id="9" w:name="_Hlk167895255"/>
      <w:bookmarkEnd w:id="8"/>
      <w:r w:rsidRPr="006379E5">
        <w:rPr>
          <w:rFonts w:cs="Arial"/>
          <w:sz w:val="20"/>
          <w:szCs w:val="20"/>
        </w:rPr>
        <w:t>Office of Management and Budget (OMB)</w:t>
      </w:r>
      <w:r w:rsidRPr="006379E5" w:rsidR="00A244CD">
        <w:rPr>
          <w:rFonts w:cs="Arial"/>
          <w:sz w:val="20"/>
          <w:szCs w:val="20"/>
          <w:vertAlign w:val="superscript"/>
        </w:rPr>
        <w:t xml:space="preserve"> </w:t>
      </w:r>
      <w:r w:rsidRPr="006379E5" w:rsidR="00A244CD">
        <w:rPr>
          <w:rFonts w:cs="Arial"/>
          <w:sz w:val="20"/>
          <w:szCs w:val="20"/>
        </w:rPr>
        <w:t>(2024b)</w:t>
      </w:r>
      <w:r w:rsidRPr="006379E5">
        <w:rPr>
          <w:rFonts w:cs="Arial"/>
          <w:sz w:val="20"/>
          <w:szCs w:val="20"/>
        </w:rPr>
        <w:t xml:space="preserve">: Revisions to OMB's Statistical Policy Directive No. 15: Standards for Maintaining, Collecting, and Presenting Federal Data on Race and Ethnicity, 89 FR 22182 (Mar 28, 2024), </w:t>
      </w:r>
      <w:r w:rsidRPr="006379E5">
        <w:rPr>
          <w:rFonts w:cs="Arial"/>
          <w:i/>
          <w:iCs/>
          <w:sz w:val="20"/>
          <w:szCs w:val="20"/>
        </w:rPr>
        <w:t>Available at: https://www.federalregister.gov/documents/2024/03/29/2024-06469/revisions-to-ombs-statistical-policy-directive-no-15-standards-for-maintaining-collecting-and</w:t>
      </w:r>
    </w:p>
    <w:bookmarkEnd w:id="9"/>
    <w:p w:rsidR="00A1325D" w:rsidRPr="006379E5" w:rsidP="00A1325D" w14:paraId="62E455C7" w14:textId="5837E700">
      <w:pPr>
        <w:pStyle w:val="ListParagraph"/>
        <w:numPr>
          <w:ilvl w:val="0"/>
          <w:numId w:val="60"/>
        </w:numPr>
        <w:rPr>
          <w:rFonts w:cs="Arial"/>
          <w:sz w:val="20"/>
          <w:szCs w:val="20"/>
        </w:rPr>
      </w:pPr>
      <w:r w:rsidRPr="006379E5">
        <w:rPr>
          <w:rFonts w:cs="Arial"/>
          <w:sz w:val="20"/>
          <w:szCs w:val="20"/>
        </w:rPr>
        <w:t xml:space="preserve">Phinney, J. (1992). The Multigroup Ethnic Identity Measure: A new scale for use with adolescents and young adults from diverse groups. </w:t>
      </w:r>
      <w:r w:rsidRPr="006379E5">
        <w:rPr>
          <w:rFonts w:cs="Arial"/>
          <w:i/>
          <w:iCs/>
          <w:sz w:val="20"/>
          <w:szCs w:val="20"/>
        </w:rPr>
        <w:t>Journal of Adolescent Research, 7,</w:t>
      </w:r>
      <w:r w:rsidRPr="006379E5">
        <w:rPr>
          <w:rFonts w:cs="Arial"/>
          <w:sz w:val="20"/>
          <w:szCs w:val="20"/>
        </w:rPr>
        <w:t xml:space="preserve"> 156-176.</w:t>
      </w:r>
    </w:p>
    <w:p w:rsidR="00A1325D" w:rsidRPr="006379E5" w:rsidP="00A1325D" w14:paraId="6CBB9586" w14:textId="77777777">
      <w:pPr>
        <w:pStyle w:val="ListParagraph"/>
        <w:numPr>
          <w:ilvl w:val="0"/>
          <w:numId w:val="60"/>
        </w:numPr>
        <w:rPr>
          <w:rFonts w:cs="Arial"/>
          <w:sz w:val="20"/>
          <w:szCs w:val="20"/>
        </w:rPr>
      </w:pPr>
      <w:r w:rsidRPr="006379E5">
        <w:rPr>
          <w:rFonts w:cs="Arial"/>
          <w:sz w:val="20"/>
          <w:szCs w:val="20"/>
        </w:rPr>
        <w:t xml:space="preserve">Phinney, J. S., &amp; Ong, A. D. (2007). Conceptualization and measurement of ethnic identity: Current status and future directions. </w:t>
      </w:r>
      <w:r w:rsidRPr="006379E5">
        <w:rPr>
          <w:rFonts w:cs="Arial"/>
          <w:i/>
          <w:sz w:val="20"/>
          <w:szCs w:val="20"/>
        </w:rPr>
        <w:t>Journal of counseling Psychology, 54</w:t>
      </w:r>
      <w:r w:rsidRPr="006379E5">
        <w:rPr>
          <w:rFonts w:cs="Arial"/>
          <w:sz w:val="20"/>
          <w:szCs w:val="20"/>
        </w:rPr>
        <w:t>(3), 271.</w:t>
      </w:r>
    </w:p>
    <w:p w:rsidR="00A1325D" w:rsidRPr="006379E5" w:rsidP="00A1325D" w14:paraId="73641489" w14:textId="77777777">
      <w:pPr>
        <w:pStyle w:val="ListParagraph"/>
        <w:numPr>
          <w:ilvl w:val="0"/>
          <w:numId w:val="60"/>
        </w:numPr>
        <w:rPr>
          <w:rFonts w:cs="Arial"/>
          <w:sz w:val="20"/>
          <w:szCs w:val="20"/>
        </w:rPr>
      </w:pPr>
      <w:r w:rsidRPr="006379E5">
        <w:rPr>
          <w:rFonts w:cs="Arial"/>
          <w:sz w:val="20"/>
          <w:szCs w:val="20"/>
        </w:rPr>
        <w:t xml:space="preserve">Selwyn, J., Briheim-Crookall , L., &amp; Bright Spots Team. (2022). </w:t>
      </w:r>
      <w:r w:rsidRPr="006379E5">
        <w:rPr>
          <w:rFonts w:cs="Arial"/>
          <w:i/>
          <w:sz w:val="20"/>
          <w:szCs w:val="20"/>
        </w:rPr>
        <w:t>10,000 voices</w:t>
      </w:r>
      <w:r w:rsidRPr="006379E5">
        <w:rPr>
          <w:rFonts w:cs="Arial"/>
          <w:sz w:val="20"/>
          <w:szCs w:val="20"/>
        </w:rPr>
        <w:t xml:space="preserve">. Te Rees Centre, Department of Education, University of Oxford. </w:t>
      </w:r>
      <w:hyperlink r:id="rId11" w:history="1">
        <w:r w:rsidRPr="006379E5">
          <w:rPr>
            <w:rStyle w:val="Hyperlink"/>
            <w:rFonts w:cs="Arial"/>
            <w:sz w:val="20"/>
            <w:szCs w:val="20"/>
          </w:rPr>
          <w:t>https://coramvoice.org.uk/wp-content/uploads/2022/11/2410-CV-YLYC-2021-Report-new3-lo-10.10.10.pdf</w:t>
        </w:r>
      </w:hyperlink>
    </w:p>
    <w:p w:rsidR="00A1325D" w:rsidRPr="006379E5" w:rsidP="00A1325D" w14:paraId="6174CA79" w14:textId="77777777">
      <w:pPr>
        <w:pStyle w:val="ListParagraph"/>
        <w:numPr>
          <w:ilvl w:val="0"/>
          <w:numId w:val="60"/>
        </w:numPr>
        <w:rPr>
          <w:rFonts w:cs="Arial"/>
          <w:sz w:val="20"/>
          <w:szCs w:val="20"/>
        </w:rPr>
      </w:pPr>
      <w:r w:rsidRPr="006379E5">
        <w:rPr>
          <w:rFonts w:cs="Arial"/>
          <w:sz w:val="20"/>
          <w:szCs w:val="20"/>
        </w:rPr>
        <w:t xml:space="preserve">Slaten, C., Rose, C., Bonifay, W., &amp; Ferguson, J. (2018). Milwaukee youth belongingness scale: item response theory analysis. </w:t>
      </w:r>
      <w:r w:rsidRPr="006379E5">
        <w:rPr>
          <w:rFonts w:cs="Arial"/>
          <w:i/>
          <w:sz w:val="20"/>
          <w:szCs w:val="20"/>
        </w:rPr>
        <w:t>School Psychology Quarterly</w:t>
      </w:r>
      <w:r w:rsidRPr="006379E5">
        <w:rPr>
          <w:rFonts w:cs="Arial"/>
          <w:sz w:val="20"/>
          <w:szCs w:val="20"/>
        </w:rPr>
        <w:t xml:space="preserve">. </w:t>
      </w:r>
    </w:p>
    <w:p w:rsidR="001241BE" w:rsidRPr="006379E5" w:rsidP="006379E5" w14:paraId="400BBEE3" w14:textId="78CC6A57">
      <w:pPr>
        <w:pStyle w:val="ListParagraph"/>
        <w:numPr>
          <w:ilvl w:val="0"/>
          <w:numId w:val="60"/>
        </w:numPr>
        <w:rPr>
          <w:rFonts w:cs="Arial"/>
          <w:sz w:val="20"/>
          <w:szCs w:val="20"/>
        </w:rPr>
      </w:pPr>
      <w:r w:rsidRPr="006379E5">
        <w:rPr>
          <w:rFonts w:cs="Arial"/>
          <w:sz w:val="20"/>
          <w:szCs w:val="20"/>
        </w:rPr>
        <w:t xml:space="preserve">Titus, J., Feeney, T., Smith, D., Rivers, T., Kelly, L., &amp; Dennis, M. (2013). </w:t>
      </w:r>
      <w:r w:rsidRPr="006379E5">
        <w:rPr>
          <w:rFonts w:cs="Arial"/>
          <w:i/>
          <w:sz w:val="20"/>
          <w:szCs w:val="20"/>
        </w:rPr>
        <w:t>GAIN-Q3 3.2: Administration, clinical interpretation, and brief intervention</w:t>
      </w:r>
      <w:r w:rsidRPr="006379E5">
        <w:rPr>
          <w:rFonts w:cs="Arial"/>
          <w:sz w:val="20"/>
          <w:szCs w:val="20"/>
        </w:rPr>
        <w:t xml:space="preserve">. GAIN Coordinating Center, Chestnut Health Systems. </w:t>
      </w:r>
      <w:hyperlink r:id="rId12" w:history="1">
        <w:r w:rsidRPr="006379E5">
          <w:rPr>
            <w:rStyle w:val="Hyperlink"/>
            <w:rFonts w:cs="Arial"/>
            <w:sz w:val="20"/>
            <w:szCs w:val="20"/>
          </w:rPr>
          <w:t>https://gaincc.org/instruments/</w:t>
        </w:r>
      </w:hyperlink>
    </w:p>
    <w:p w:rsidR="008921D7" w:rsidRPr="006379E5" w:rsidP="006379E5" w14:paraId="00743CDA" w14:textId="697F37FA">
      <w:pPr>
        <w:pStyle w:val="pf0"/>
        <w:rPr>
          <w:rFonts w:eastAsiaTheme="minorHAnsi" w:cs="Arial"/>
          <w:i/>
          <w:iCs/>
          <w:sz w:val="20"/>
          <w:szCs w:val="20"/>
        </w:rPr>
      </w:pPr>
    </w:p>
    <w:sectPr w:rsidSect="00EE6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53FD" w:rsidP="0004063C" w14:paraId="5F42D278" w14:textId="77777777">
      <w:pPr>
        <w:spacing w:line="240" w:lineRule="auto"/>
      </w:pPr>
      <w:r>
        <w:separator/>
      </w:r>
    </w:p>
  </w:footnote>
  <w:footnote w:type="continuationSeparator" w:id="1">
    <w:p w:rsidR="001953FD" w:rsidP="0004063C" w14:paraId="5961009F" w14:textId="77777777">
      <w:pPr>
        <w:spacing w:line="240" w:lineRule="auto"/>
      </w:pPr>
      <w:r>
        <w:continuationSeparator/>
      </w:r>
    </w:p>
  </w:footnote>
  <w:footnote w:id="2">
    <w:p w:rsidR="005453BE" w14:paraId="46D8283B" w14:textId="11A74A4E">
      <w:pPr>
        <w:pStyle w:val="FootnoteText"/>
      </w:pPr>
      <w:r w:rsidRPr="00434020">
        <w:rPr>
          <w:rStyle w:val="FootnoteReference"/>
          <w:sz w:val="16"/>
          <w:szCs w:val="16"/>
        </w:rPr>
        <w:footnoteRef/>
      </w:r>
      <w:r w:rsidRPr="00434020">
        <w:rPr>
          <w:sz w:val="16"/>
          <w:szCs w:val="16"/>
        </w:rPr>
        <w:t xml:space="preserve"> Parents will be recruited from family mentor organizations, therefore the term “family mentor” is </w:t>
      </w:r>
      <w:r>
        <w:rPr>
          <w:sz w:val="16"/>
          <w:szCs w:val="16"/>
        </w:rPr>
        <w:t>a</w:t>
      </w:r>
      <w:r w:rsidRPr="00434020">
        <w:rPr>
          <w:sz w:val="16"/>
          <w:szCs w:val="16"/>
        </w:rPr>
        <w:t>ssociated with the parents recruited for this sample.</w:t>
      </w:r>
    </w:p>
  </w:footnote>
  <w:footnote w:id="3">
    <w:p w:rsidR="0081172E" w:rsidRPr="00434020" w14:paraId="7D056950" w14:textId="06207F04">
      <w:pPr>
        <w:pStyle w:val="FootnoteText"/>
        <w:rPr>
          <w:sz w:val="16"/>
          <w:szCs w:val="16"/>
        </w:rPr>
      </w:pPr>
      <w:r w:rsidRPr="00EE6A68">
        <w:rPr>
          <w:rStyle w:val="FootnoteReference"/>
          <w:sz w:val="16"/>
          <w:szCs w:val="16"/>
        </w:rPr>
        <w:footnoteRef/>
      </w:r>
      <w:r w:rsidRPr="00EE6A68">
        <w:rPr>
          <w:sz w:val="16"/>
          <w:szCs w:val="16"/>
        </w:rPr>
        <w:t xml:space="preserve"> Should outreach to the START Teams result in a sufficient sample, the Healing Place and BPNN will not be contacted</w:t>
      </w:r>
      <w:r w:rsidRPr="00EE6A68" w:rsidR="00901A11">
        <w:rPr>
          <w:sz w:val="16"/>
          <w:szCs w:val="16"/>
        </w:rPr>
        <w:t>.</w:t>
      </w:r>
    </w:p>
  </w:footnote>
  <w:footnote w:id="4">
    <w:p w:rsidR="007823BA" w:rsidRPr="00EE6A68" w:rsidP="009F6C26" w14:paraId="505F73C0" w14:textId="1AF357D3">
      <w:pPr>
        <w:pStyle w:val="pf0"/>
        <w:spacing w:before="0" w:beforeAutospacing="0" w:after="0" w:afterAutospacing="0"/>
        <w:rPr>
          <w:rFonts w:cs="Arial"/>
          <w:sz w:val="16"/>
          <w:szCs w:val="16"/>
        </w:rPr>
      </w:pPr>
      <w:r w:rsidRPr="00EE6A68">
        <w:rPr>
          <w:rStyle w:val="FootnoteReference"/>
          <w:rFonts w:ascii="Arial" w:hAnsi="Arial" w:cs="Arial"/>
          <w:sz w:val="16"/>
          <w:szCs w:val="16"/>
        </w:rPr>
        <w:footnoteRef/>
      </w:r>
      <w:r w:rsidRPr="00EE6A68">
        <w:rPr>
          <w:rFonts w:ascii="Arial" w:hAnsi="Arial" w:cs="Arial"/>
          <w:sz w:val="16"/>
          <w:szCs w:val="16"/>
        </w:rPr>
        <w:t xml:space="preserve"> </w:t>
      </w:r>
      <w:r w:rsidRPr="00EE6A68">
        <w:rPr>
          <w:rStyle w:val="cf01"/>
          <w:rFonts w:ascii="Arial" w:hAnsi="Arial" w:cs="Arial"/>
          <w:sz w:val="16"/>
          <w:szCs w:val="16"/>
        </w:rPr>
        <w:t xml:space="preserve">Hamilton, A. (2020). </w:t>
      </w:r>
      <w:r w:rsidRPr="00EE6A68">
        <w:rPr>
          <w:rStyle w:val="cf01"/>
          <w:rFonts w:ascii="Arial" w:hAnsi="Arial" w:cs="Arial"/>
          <w:i/>
          <w:sz w:val="16"/>
          <w:szCs w:val="16"/>
        </w:rPr>
        <w:t>Rapid turnaround qualitative research</w:t>
      </w:r>
      <w:r w:rsidRPr="00EE6A68">
        <w:rPr>
          <w:rStyle w:val="cf01"/>
          <w:rFonts w:ascii="Arial" w:hAnsi="Arial" w:cs="Arial"/>
          <w:sz w:val="16"/>
          <w:szCs w:val="16"/>
        </w:rPr>
        <w:t>. 17th Annual Research Talk, Qualitative Research Summer Intensive. Research Talks: Cary, North Carolina.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FB2F67" w:rsidP="00DF15DA" w14:paraId="26655770" w14:textId="77777777">
    <w:pPr>
      <w:spacing w:line="240" w:lineRule="auto"/>
      <w:jc w:val="center"/>
      <w:rPr>
        <w:rFonts w:cs="Arial"/>
        <w:b/>
      </w:rPr>
    </w:pPr>
    <w:r w:rsidRPr="00FB2F67">
      <w:rPr>
        <w:rFonts w:cs="Arial"/>
        <w:b/>
      </w:rPr>
      <w:t xml:space="preserve">Alternative Supporting Statement for Information Collections Designed for </w:t>
    </w:r>
  </w:p>
  <w:p w:rsidR="00DF15DA" w:rsidRPr="00FB2F67" w:rsidP="00DF15DA" w14:paraId="26590F82" w14:textId="7315F179">
    <w:pPr>
      <w:spacing w:line="240" w:lineRule="auto"/>
      <w:jc w:val="center"/>
      <w:rPr>
        <w:rFonts w:cs="Arial"/>
        <w:b/>
      </w:rPr>
    </w:pPr>
    <w:r w:rsidRPr="00FB2F67">
      <w:rPr>
        <w:rFonts w:cs="Arial"/>
        <w:b/>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237398B"/>
    <w:multiLevelType w:val="hybridMultilevel"/>
    <w:tmpl w:val="759E99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E26420"/>
    <w:multiLevelType w:val="hybridMultilevel"/>
    <w:tmpl w:val="1AD2718C"/>
    <w:lvl w:ilvl="0">
      <w:start w:val="1"/>
      <w:numFmt w:val="bullet"/>
      <w:lvlText w:val=""/>
      <w:lvlJc w:val="left"/>
      <w:pPr>
        <w:ind w:left="216"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5A1FC7"/>
    <w:multiLevelType w:val="hybridMultilevel"/>
    <w:tmpl w:val="04B610F0"/>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3B64A0"/>
    <w:multiLevelType w:val="hybridMultilevel"/>
    <w:tmpl w:val="2FA64B2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8775393"/>
    <w:multiLevelType w:val="multilevel"/>
    <w:tmpl w:val="DBB4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496802"/>
    <w:multiLevelType w:val="hybridMultilevel"/>
    <w:tmpl w:val="9CEA54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22343C"/>
    <w:multiLevelType w:val="hybridMultilevel"/>
    <w:tmpl w:val="A10CD528"/>
    <w:lvl w:ilvl="0">
      <w:start w:val="1"/>
      <w:numFmt w:val="bullet"/>
      <w:lvlText w:val=""/>
      <w:lvlJc w:val="left"/>
      <w:pPr>
        <w:ind w:left="360" w:firstLine="216"/>
      </w:pPr>
      <w:rPr>
        <w:rFonts w:ascii="Wingdings" w:hAnsi="Wingdings" w:hint="default"/>
      </w:rPr>
    </w:lvl>
    <w:lvl w:ilvl="1" w:tentative="1">
      <w:start w:val="1"/>
      <w:numFmt w:val="bullet"/>
      <w:lvlText w:val="o"/>
      <w:lvlJc w:val="left"/>
      <w:pPr>
        <w:ind w:left="2150" w:hanging="360"/>
      </w:pPr>
      <w:rPr>
        <w:rFonts w:ascii="Courier New" w:hAnsi="Courier New" w:cs="Courier New" w:hint="default"/>
      </w:rPr>
    </w:lvl>
    <w:lvl w:ilvl="2" w:tentative="1">
      <w:start w:val="1"/>
      <w:numFmt w:val="bullet"/>
      <w:lvlText w:val=""/>
      <w:lvlJc w:val="left"/>
      <w:pPr>
        <w:ind w:left="2870" w:hanging="360"/>
      </w:pPr>
      <w:rPr>
        <w:rFonts w:ascii="Wingdings" w:hAnsi="Wingdings" w:hint="default"/>
      </w:rPr>
    </w:lvl>
    <w:lvl w:ilvl="3" w:tentative="1">
      <w:start w:val="1"/>
      <w:numFmt w:val="bullet"/>
      <w:lvlText w:val=""/>
      <w:lvlJc w:val="left"/>
      <w:pPr>
        <w:ind w:left="3590" w:hanging="360"/>
      </w:pPr>
      <w:rPr>
        <w:rFonts w:ascii="Symbol" w:hAnsi="Symbol" w:hint="default"/>
      </w:rPr>
    </w:lvl>
    <w:lvl w:ilvl="4" w:tentative="1">
      <w:start w:val="1"/>
      <w:numFmt w:val="bullet"/>
      <w:lvlText w:val="o"/>
      <w:lvlJc w:val="left"/>
      <w:pPr>
        <w:ind w:left="4310" w:hanging="360"/>
      </w:pPr>
      <w:rPr>
        <w:rFonts w:ascii="Courier New" w:hAnsi="Courier New" w:cs="Courier New" w:hint="default"/>
      </w:rPr>
    </w:lvl>
    <w:lvl w:ilvl="5" w:tentative="1">
      <w:start w:val="1"/>
      <w:numFmt w:val="bullet"/>
      <w:lvlText w:val=""/>
      <w:lvlJc w:val="left"/>
      <w:pPr>
        <w:ind w:left="5030" w:hanging="360"/>
      </w:pPr>
      <w:rPr>
        <w:rFonts w:ascii="Wingdings" w:hAnsi="Wingdings" w:hint="default"/>
      </w:rPr>
    </w:lvl>
    <w:lvl w:ilvl="6" w:tentative="1">
      <w:start w:val="1"/>
      <w:numFmt w:val="bullet"/>
      <w:lvlText w:val=""/>
      <w:lvlJc w:val="left"/>
      <w:pPr>
        <w:ind w:left="5750" w:hanging="360"/>
      </w:pPr>
      <w:rPr>
        <w:rFonts w:ascii="Symbol" w:hAnsi="Symbol" w:hint="default"/>
      </w:rPr>
    </w:lvl>
    <w:lvl w:ilvl="7" w:tentative="1">
      <w:start w:val="1"/>
      <w:numFmt w:val="bullet"/>
      <w:lvlText w:val="o"/>
      <w:lvlJc w:val="left"/>
      <w:pPr>
        <w:ind w:left="6470" w:hanging="360"/>
      </w:pPr>
      <w:rPr>
        <w:rFonts w:ascii="Courier New" w:hAnsi="Courier New" w:cs="Courier New" w:hint="default"/>
      </w:rPr>
    </w:lvl>
    <w:lvl w:ilvl="8" w:tentative="1">
      <w:start w:val="1"/>
      <w:numFmt w:val="bullet"/>
      <w:lvlText w:val=""/>
      <w:lvlJc w:val="left"/>
      <w:pPr>
        <w:ind w:left="7190" w:hanging="360"/>
      </w:pPr>
      <w:rPr>
        <w:rFonts w:ascii="Wingdings" w:hAnsi="Wingdings" w:hint="default"/>
      </w:r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2596EA0"/>
    <w:multiLevelType w:val="hybridMultilevel"/>
    <w:tmpl w:val="72B28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4134B7"/>
    <w:multiLevelType w:val="hybridMultilevel"/>
    <w:tmpl w:val="E294DEC8"/>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D618A8"/>
    <w:multiLevelType w:val="hybridMultilevel"/>
    <w:tmpl w:val="21089470"/>
    <w:lvl w:ilvl="0">
      <w:start w:val="1"/>
      <w:numFmt w:val="bullet"/>
      <w:lvlText w:val="-"/>
      <w:lvlJc w:val="left"/>
      <w:pPr>
        <w:ind w:left="432" w:hanging="216"/>
      </w:pPr>
      <w:rPr>
        <w:rFonts w:ascii="Arial" w:hAnsi="Arial" w:eastAsia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5DB4E12"/>
    <w:multiLevelType w:val="hybridMultilevel"/>
    <w:tmpl w:val="917A7B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6687F63"/>
    <w:multiLevelType w:val="hybridMultilevel"/>
    <w:tmpl w:val="994EC3C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3">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C73CDE"/>
    <w:multiLevelType w:val="hybridMultilevel"/>
    <w:tmpl w:val="8A5ECA56"/>
    <w:lvl w:ilvl="0">
      <w:start w:val="1"/>
      <w:numFmt w:val="bullet"/>
      <w:lvlText w:val=""/>
      <w:lvlJc w:val="left"/>
      <w:pPr>
        <w:ind w:left="1495" w:hanging="360"/>
      </w:pPr>
      <w:rPr>
        <w:rFonts w:ascii="Symbol" w:hAnsi="Symbol" w:hint="default"/>
      </w:rPr>
    </w:lvl>
    <w:lvl w:ilvl="1" w:tentative="1">
      <w:start w:val="1"/>
      <w:numFmt w:val="bullet"/>
      <w:lvlText w:val="o"/>
      <w:lvlJc w:val="left"/>
      <w:pPr>
        <w:ind w:left="2215" w:hanging="360"/>
      </w:pPr>
      <w:rPr>
        <w:rFonts w:ascii="Courier New" w:hAnsi="Courier New" w:cs="Courier New" w:hint="default"/>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28">
    <w:nsid w:val="3E83642D"/>
    <w:multiLevelType w:val="hybridMultilevel"/>
    <w:tmpl w:val="BA56FB6A"/>
    <w:lvl w:ilvl="0">
      <w:start w:val="1"/>
      <w:numFmt w:val="bullet"/>
      <w:lvlText w:val=""/>
      <w:lvlJc w:val="left"/>
      <w:pPr>
        <w:ind w:left="1210" w:hanging="360"/>
      </w:pPr>
      <w:rPr>
        <w:rFonts w:ascii="Wingdings" w:hAnsi="Wingdings" w:hint="default"/>
      </w:rPr>
    </w:lvl>
    <w:lvl w:ilvl="1" w:tentative="1">
      <w:start w:val="1"/>
      <w:numFmt w:val="bullet"/>
      <w:lvlText w:val="o"/>
      <w:lvlJc w:val="left"/>
      <w:pPr>
        <w:ind w:left="1930" w:hanging="360"/>
      </w:pPr>
      <w:rPr>
        <w:rFonts w:ascii="Courier New" w:hAnsi="Courier New" w:cs="Courier New" w:hint="default"/>
      </w:rPr>
    </w:lvl>
    <w:lvl w:ilvl="2" w:tentative="1">
      <w:start w:val="1"/>
      <w:numFmt w:val="bullet"/>
      <w:lvlText w:val=""/>
      <w:lvlJc w:val="left"/>
      <w:pPr>
        <w:ind w:left="2650" w:hanging="360"/>
      </w:pPr>
      <w:rPr>
        <w:rFonts w:ascii="Wingdings" w:hAnsi="Wingdings" w:hint="default"/>
      </w:rPr>
    </w:lvl>
    <w:lvl w:ilvl="3" w:tentative="1">
      <w:start w:val="1"/>
      <w:numFmt w:val="bullet"/>
      <w:lvlText w:val=""/>
      <w:lvlJc w:val="left"/>
      <w:pPr>
        <w:ind w:left="3370" w:hanging="360"/>
      </w:pPr>
      <w:rPr>
        <w:rFonts w:ascii="Symbol" w:hAnsi="Symbol" w:hint="default"/>
      </w:rPr>
    </w:lvl>
    <w:lvl w:ilvl="4" w:tentative="1">
      <w:start w:val="1"/>
      <w:numFmt w:val="bullet"/>
      <w:lvlText w:val="o"/>
      <w:lvlJc w:val="left"/>
      <w:pPr>
        <w:ind w:left="4090" w:hanging="360"/>
      </w:pPr>
      <w:rPr>
        <w:rFonts w:ascii="Courier New" w:hAnsi="Courier New" w:cs="Courier New" w:hint="default"/>
      </w:rPr>
    </w:lvl>
    <w:lvl w:ilvl="5" w:tentative="1">
      <w:start w:val="1"/>
      <w:numFmt w:val="bullet"/>
      <w:lvlText w:val=""/>
      <w:lvlJc w:val="left"/>
      <w:pPr>
        <w:ind w:left="4810" w:hanging="360"/>
      </w:pPr>
      <w:rPr>
        <w:rFonts w:ascii="Wingdings" w:hAnsi="Wingdings" w:hint="default"/>
      </w:rPr>
    </w:lvl>
    <w:lvl w:ilvl="6" w:tentative="1">
      <w:start w:val="1"/>
      <w:numFmt w:val="bullet"/>
      <w:lvlText w:val=""/>
      <w:lvlJc w:val="left"/>
      <w:pPr>
        <w:ind w:left="5530" w:hanging="360"/>
      </w:pPr>
      <w:rPr>
        <w:rFonts w:ascii="Symbol" w:hAnsi="Symbol" w:hint="default"/>
      </w:rPr>
    </w:lvl>
    <w:lvl w:ilvl="7" w:tentative="1">
      <w:start w:val="1"/>
      <w:numFmt w:val="bullet"/>
      <w:lvlText w:val="o"/>
      <w:lvlJc w:val="left"/>
      <w:pPr>
        <w:ind w:left="6250" w:hanging="360"/>
      </w:pPr>
      <w:rPr>
        <w:rFonts w:ascii="Courier New" w:hAnsi="Courier New" w:cs="Courier New" w:hint="default"/>
      </w:rPr>
    </w:lvl>
    <w:lvl w:ilvl="8" w:tentative="1">
      <w:start w:val="1"/>
      <w:numFmt w:val="bullet"/>
      <w:lvlText w:val=""/>
      <w:lvlJc w:val="left"/>
      <w:pPr>
        <w:ind w:left="6970" w:hanging="360"/>
      </w:pPr>
      <w:rPr>
        <w:rFonts w:ascii="Wingdings" w:hAnsi="Wingdings" w:hint="default"/>
      </w:rPr>
    </w:lvl>
  </w:abstractNum>
  <w:abstractNum w:abstractNumId="29">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3AB2B0D"/>
    <w:multiLevelType w:val="hybridMultilevel"/>
    <w:tmpl w:val="FD600982"/>
    <w:lvl w:ilvl="0">
      <w:start w:val="1"/>
      <w:numFmt w:val="bullet"/>
      <w:lvlText w:val=""/>
      <w:lvlJc w:val="left"/>
      <w:pPr>
        <w:ind w:left="216"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B401D68"/>
    <w:multiLevelType w:val="hybridMultilevel"/>
    <w:tmpl w:val="95148814"/>
    <w:lvl w:ilvl="0">
      <w:start w:val="1"/>
      <w:numFmt w:val="bullet"/>
      <w:lvlText w:val=""/>
      <w:lvlJc w:val="left"/>
      <w:pPr>
        <w:ind w:left="216"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50853CB"/>
    <w:multiLevelType w:val="hybridMultilevel"/>
    <w:tmpl w:val="B03699A8"/>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36">
    <w:nsid w:val="57261987"/>
    <w:multiLevelType w:val="hybridMultilevel"/>
    <w:tmpl w:val="0B169E56"/>
    <w:lvl w:ilvl="0">
      <w:start w:val="1"/>
      <w:numFmt w:val="bullet"/>
      <w:lvlText w:val=""/>
      <w:lvlJc w:val="left"/>
      <w:pPr>
        <w:ind w:left="1152" w:hanging="360"/>
      </w:pPr>
      <w:rPr>
        <w:rFonts w:ascii="Wingdings" w:hAnsi="Wingdings"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8">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F800C64"/>
    <w:multiLevelType w:val="hybridMultilevel"/>
    <w:tmpl w:val="04D495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F9A74BD"/>
    <w:multiLevelType w:val="hybridMultilevel"/>
    <w:tmpl w:val="6B089FEA"/>
    <w:lvl w:ilvl="0">
      <w:start w:val="1"/>
      <w:numFmt w:val="bullet"/>
      <w:lvlText w:val=""/>
      <w:lvlJc w:val="left"/>
      <w:pPr>
        <w:ind w:left="1495" w:hanging="360"/>
      </w:pPr>
      <w:rPr>
        <w:rFonts w:ascii="Symbol" w:hAnsi="Symbol" w:hint="default"/>
      </w:rPr>
    </w:lvl>
    <w:lvl w:ilvl="1" w:tentative="1">
      <w:start w:val="1"/>
      <w:numFmt w:val="bullet"/>
      <w:lvlText w:val="o"/>
      <w:lvlJc w:val="left"/>
      <w:pPr>
        <w:ind w:left="2215" w:hanging="360"/>
      </w:pPr>
      <w:rPr>
        <w:rFonts w:ascii="Courier New" w:hAnsi="Courier New" w:cs="Courier New" w:hint="default"/>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41">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6459765E"/>
    <w:multiLevelType w:val="hybridMultilevel"/>
    <w:tmpl w:val="7E32EB8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3">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A2F5E08"/>
    <w:multiLevelType w:val="hybridMultilevel"/>
    <w:tmpl w:val="AFAA8474"/>
    <w:lvl w:ilvl="0">
      <w:start w:val="1"/>
      <w:numFmt w:val="bullet"/>
      <w:lvlText w:val=""/>
      <w:lvlJc w:val="left"/>
      <w:pPr>
        <w:ind w:left="216"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54B15BC"/>
    <w:multiLevelType w:val="hybridMultilevel"/>
    <w:tmpl w:val="2236DBD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9">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AF26AA7"/>
    <w:multiLevelType w:val="hybridMultilevel"/>
    <w:tmpl w:val="64C8C29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B1A5FFE"/>
    <w:multiLevelType w:val="hybridMultilevel"/>
    <w:tmpl w:val="B874B87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2">
    <w:nsid w:val="7B831E7F"/>
    <w:multiLevelType w:val="hybridMultilevel"/>
    <w:tmpl w:val="28A82AB2"/>
    <w:lvl w:ilvl="0">
      <w:start w:val="0"/>
      <w:numFmt w:val="decimal"/>
      <w:lvlText w:val="%1-"/>
      <w:lvlJc w:val="left"/>
      <w:pPr>
        <w:ind w:left="1135" w:hanging="360"/>
      </w:pPr>
      <w:rPr>
        <w:rFonts w:hint="default"/>
      </w:rPr>
    </w:lvl>
    <w:lvl w:ilvl="1" w:tentative="1">
      <w:start w:val="1"/>
      <w:numFmt w:val="lowerLetter"/>
      <w:lvlText w:val="%2."/>
      <w:lvlJc w:val="left"/>
      <w:pPr>
        <w:ind w:left="1855" w:hanging="360"/>
      </w:pPr>
    </w:lvl>
    <w:lvl w:ilvl="2" w:tentative="1">
      <w:start w:val="1"/>
      <w:numFmt w:val="lowerRoman"/>
      <w:lvlText w:val="%3."/>
      <w:lvlJc w:val="right"/>
      <w:pPr>
        <w:ind w:left="2575" w:hanging="180"/>
      </w:pPr>
    </w:lvl>
    <w:lvl w:ilvl="3" w:tentative="1">
      <w:start w:val="1"/>
      <w:numFmt w:val="decimal"/>
      <w:lvlText w:val="%4."/>
      <w:lvlJc w:val="left"/>
      <w:pPr>
        <w:ind w:left="3295" w:hanging="360"/>
      </w:pPr>
    </w:lvl>
    <w:lvl w:ilvl="4" w:tentative="1">
      <w:start w:val="1"/>
      <w:numFmt w:val="lowerLetter"/>
      <w:lvlText w:val="%5."/>
      <w:lvlJc w:val="left"/>
      <w:pPr>
        <w:ind w:left="4015" w:hanging="360"/>
      </w:pPr>
    </w:lvl>
    <w:lvl w:ilvl="5" w:tentative="1">
      <w:start w:val="1"/>
      <w:numFmt w:val="lowerRoman"/>
      <w:lvlText w:val="%6."/>
      <w:lvlJc w:val="right"/>
      <w:pPr>
        <w:ind w:left="4735" w:hanging="180"/>
      </w:pPr>
    </w:lvl>
    <w:lvl w:ilvl="6" w:tentative="1">
      <w:start w:val="1"/>
      <w:numFmt w:val="decimal"/>
      <w:lvlText w:val="%7."/>
      <w:lvlJc w:val="left"/>
      <w:pPr>
        <w:ind w:left="5455" w:hanging="360"/>
      </w:pPr>
    </w:lvl>
    <w:lvl w:ilvl="7" w:tentative="1">
      <w:start w:val="1"/>
      <w:numFmt w:val="lowerLetter"/>
      <w:lvlText w:val="%8."/>
      <w:lvlJc w:val="left"/>
      <w:pPr>
        <w:ind w:left="6175" w:hanging="360"/>
      </w:pPr>
    </w:lvl>
    <w:lvl w:ilvl="8" w:tentative="1">
      <w:start w:val="1"/>
      <w:numFmt w:val="lowerRoman"/>
      <w:lvlText w:val="%9."/>
      <w:lvlJc w:val="right"/>
      <w:pPr>
        <w:ind w:left="6895" w:hanging="180"/>
      </w:pPr>
    </w:lvl>
  </w:abstractNum>
  <w:abstractNum w:abstractNumId="53">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C297DFB"/>
    <w:multiLevelType w:val="multilevel"/>
    <w:tmpl w:val="B3985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D127805"/>
    <w:multiLevelType w:val="hybridMultilevel"/>
    <w:tmpl w:val="B562EB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4277047">
    <w:abstractNumId w:val="9"/>
  </w:num>
  <w:num w:numId="2" w16cid:durableId="884410005">
    <w:abstractNumId w:val="31"/>
  </w:num>
  <w:num w:numId="3" w16cid:durableId="1963149555">
    <w:abstractNumId w:val="8"/>
  </w:num>
  <w:num w:numId="4" w16cid:durableId="919410956">
    <w:abstractNumId w:val="41"/>
  </w:num>
  <w:num w:numId="5" w16cid:durableId="1343046768">
    <w:abstractNumId w:val="25"/>
  </w:num>
  <w:num w:numId="6" w16cid:durableId="531459172">
    <w:abstractNumId w:val="49"/>
  </w:num>
  <w:num w:numId="7" w16cid:durableId="230384853">
    <w:abstractNumId w:val="6"/>
  </w:num>
  <w:num w:numId="8" w16cid:durableId="70280723">
    <w:abstractNumId w:val="15"/>
  </w:num>
  <w:num w:numId="9" w16cid:durableId="1887571453">
    <w:abstractNumId w:val="24"/>
  </w:num>
  <w:num w:numId="10" w16cid:durableId="803886887">
    <w:abstractNumId w:val="48"/>
  </w:num>
  <w:num w:numId="11" w16cid:durableId="2099861315">
    <w:abstractNumId w:val="56"/>
  </w:num>
  <w:num w:numId="12" w16cid:durableId="2124230280">
    <w:abstractNumId w:val="45"/>
  </w:num>
  <w:num w:numId="13" w16cid:durableId="1338847420">
    <w:abstractNumId w:val="38"/>
  </w:num>
  <w:num w:numId="14" w16cid:durableId="272399402">
    <w:abstractNumId w:val="47"/>
  </w:num>
  <w:num w:numId="15" w16cid:durableId="1943567701">
    <w:abstractNumId w:val="26"/>
  </w:num>
  <w:num w:numId="16" w16cid:durableId="2038658566">
    <w:abstractNumId w:val="37"/>
  </w:num>
  <w:num w:numId="17" w16cid:durableId="1249389404">
    <w:abstractNumId w:val="20"/>
  </w:num>
  <w:num w:numId="18" w16cid:durableId="2102798000">
    <w:abstractNumId w:val="13"/>
  </w:num>
  <w:num w:numId="19" w16cid:durableId="2013681224">
    <w:abstractNumId w:val="12"/>
  </w:num>
  <w:num w:numId="20" w16cid:durableId="1252354723">
    <w:abstractNumId w:val="34"/>
  </w:num>
  <w:num w:numId="21" w16cid:durableId="842431096">
    <w:abstractNumId w:val="0"/>
  </w:num>
  <w:num w:numId="22" w16cid:durableId="1871146650">
    <w:abstractNumId w:val="4"/>
  </w:num>
  <w:num w:numId="23" w16cid:durableId="1495217100">
    <w:abstractNumId w:val="29"/>
  </w:num>
  <w:num w:numId="24" w16cid:durableId="309754119">
    <w:abstractNumId w:val="5"/>
  </w:num>
  <w:num w:numId="25" w16cid:durableId="1854607600">
    <w:abstractNumId w:val="18"/>
  </w:num>
  <w:num w:numId="26" w16cid:durableId="54083493">
    <w:abstractNumId w:val="33"/>
  </w:num>
  <w:num w:numId="27" w16cid:durableId="2021396929">
    <w:abstractNumId w:val="23"/>
  </w:num>
  <w:num w:numId="28" w16cid:durableId="932006179">
    <w:abstractNumId w:val="53"/>
  </w:num>
  <w:num w:numId="29" w16cid:durableId="1992785791">
    <w:abstractNumId w:val="43"/>
  </w:num>
  <w:num w:numId="30" w16cid:durableId="869606861">
    <w:abstractNumId w:val="39"/>
  </w:num>
  <w:num w:numId="31" w16cid:durableId="1331561296">
    <w:abstractNumId w:val="11"/>
  </w:num>
  <w:num w:numId="32" w16cid:durableId="1298485381">
    <w:abstractNumId w:val="35"/>
  </w:num>
  <w:num w:numId="33" w16cid:durableId="1983148862">
    <w:abstractNumId w:val="40"/>
  </w:num>
  <w:num w:numId="34" w16cid:durableId="146484241">
    <w:abstractNumId w:val="27"/>
  </w:num>
  <w:num w:numId="35" w16cid:durableId="1444955866">
    <w:abstractNumId w:val="55"/>
  </w:num>
  <w:num w:numId="36" w16cid:durableId="269317711">
    <w:abstractNumId w:val="1"/>
  </w:num>
  <w:num w:numId="37" w16cid:durableId="1634747179">
    <w:abstractNumId w:val="10"/>
  </w:num>
  <w:num w:numId="38" w16cid:durableId="1441219465">
    <w:abstractNumId w:val="17"/>
  </w:num>
  <w:num w:numId="39" w16cid:durableId="1432311904">
    <w:abstractNumId w:val="54"/>
  </w:num>
  <w:num w:numId="40" w16cid:durableId="1212495419">
    <w:abstractNumId w:val="54"/>
  </w:num>
  <w:num w:numId="41">
    <w:abstractNumId w:val="54"/>
  </w:num>
  <w:num w:numId="42">
    <w:abstractNumId w:val="54"/>
  </w:num>
  <w:num w:numId="43">
    <w:abstractNumId w:val="54"/>
  </w:num>
  <w:num w:numId="44" w16cid:durableId="1492405915">
    <w:abstractNumId w:val="52"/>
  </w:num>
  <w:num w:numId="45" w16cid:durableId="1301299203">
    <w:abstractNumId w:val="50"/>
  </w:num>
  <w:num w:numId="46" w16cid:durableId="1610696312">
    <w:abstractNumId w:val="51"/>
  </w:num>
  <w:num w:numId="47" w16cid:durableId="1358658676">
    <w:abstractNumId w:val="42"/>
  </w:num>
  <w:num w:numId="48" w16cid:durableId="1315526118">
    <w:abstractNumId w:val="7"/>
  </w:num>
  <w:num w:numId="49" w16cid:durableId="348600780">
    <w:abstractNumId w:val="22"/>
  </w:num>
  <w:num w:numId="50" w16cid:durableId="28652894">
    <w:abstractNumId w:val="19"/>
  </w:num>
  <w:num w:numId="51" w16cid:durableId="2115981005">
    <w:abstractNumId w:val="16"/>
  </w:num>
  <w:num w:numId="52" w16cid:durableId="1672874739">
    <w:abstractNumId w:val="30"/>
  </w:num>
  <w:num w:numId="53" w16cid:durableId="1435326909">
    <w:abstractNumId w:val="44"/>
  </w:num>
  <w:num w:numId="54" w16cid:durableId="586423622">
    <w:abstractNumId w:val="32"/>
  </w:num>
  <w:num w:numId="55" w16cid:durableId="677388686">
    <w:abstractNumId w:val="2"/>
  </w:num>
  <w:num w:numId="56" w16cid:durableId="1544245734">
    <w:abstractNumId w:val="14"/>
  </w:num>
  <w:num w:numId="57" w16cid:durableId="105733557">
    <w:abstractNumId w:val="28"/>
  </w:num>
  <w:num w:numId="58" w16cid:durableId="2120417798">
    <w:abstractNumId w:val="36"/>
  </w:num>
  <w:num w:numId="59" w16cid:durableId="2005281168">
    <w:abstractNumId w:val="21"/>
  </w:num>
  <w:num w:numId="60" w16cid:durableId="599408817">
    <w:abstractNumId w:val="46"/>
  </w:num>
  <w:num w:numId="61" w16cid:durableId="183518564">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17D"/>
    <w:rsid w:val="00003340"/>
    <w:rsid w:val="000048A5"/>
    <w:rsid w:val="000057E5"/>
    <w:rsid w:val="0000687F"/>
    <w:rsid w:val="00007D28"/>
    <w:rsid w:val="0001255D"/>
    <w:rsid w:val="000203DB"/>
    <w:rsid w:val="00027E79"/>
    <w:rsid w:val="000323A1"/>
    <w:rsid w:val="000331D2"/>
    <w:rsid w:val="00035A19"/>
    <w:rsid w:val="0004063C"/>
    <w:rsid w:val="0004247F"/>
    <w:rsid w:val="000434F4"/>
    <w:rsid w:val="00047248"/>
    <w:rsid w:val="00060C59"/>
    <w:rsid w:val="00062AFB"/>
    <w:rsid w:val="000655DD"/>
    <w:rsid w:val="00071F79"/>
    <w:rsid w:val="0007251B"/>
    <w:rsid w:val="000733A5"/>
    <w:rsid w:val="00073F20"/>
    <w:rsid w:val="00080C06"/>
    <w:rsid w:val="00082B23"/>
    <w:rsid w:val="00082C5B"/>
    <w:rsid w:val="00083227"/>
    <w:rsid w:val="00086CBE"/>
    <w:rsid w:val="0008792F"/>
    <w:rsid w:val="00090812"/>
    <w:rsid w:val="000921F0"/>
    <w:rsid w:val="00092334"/>
    <w:rsid w:val="00093FDA"/>
    <w:rsid w:val="00094E6C"/>
    <w:rsid w:val="00096106"/>
    <w:rsid w:val="000A012A"/>
    <w:rsid w:val="000A460C"/>
    <w:rsid w:val="000B09EF"/>
    <w:rsid w:val="000C2D7B"/>
    <w:rsid w:val="000C3579"/>
    <w:rsid w:val="000C77DA"/>
    <w:rsid w:val="000D1313"/>
    <w:rsid w:val="000D2388"/>
    <w:rsid w:val="000D4E9A"/>
    <w:rsid w:val="000D569A"/>
    <w:rsid w:val="000D61D4"/>
    <w:rsid w:val="000D6BCD"/>
    <w:rsid w:val="000D7942"/>
    <w:rsid w:val="000D7D44"/>
    <w:rsid w:val="000E748A"/>
    <w:rsid w:val="000F080C"/>
    <w:rsid w:val="000F1E4A"/>
    <w:rsid w:val="00100D34"/>
    <w:rsid w:val="00103EFD"/>
    <w:rsid w:val="00104EA7"/>
    <w:rsid w:val="00106D89"/>
    <w:rsid w:val="00107D87"/>
    <w:rsid w:val="0011147C"/>
    <w:rsid w:val="0011718F"/>
    <w:rsid w:val="001241BE"/>
    <w:rsid w:val="001253F4"/>
    <w:rsid w:val="0012774D"/>
    <w:rsid w:val="001304B0"/>
    <w:rsid w:val="00133730"/>
    <w:rsid w:val="00147546"/>
    <w:rsid w:val="001543DD"/>
    <w:rsid w:val="001544EB"/>
    <w:rsid w:val="001571A1"/>
    <w:rsid w:val="00157482"/>
    <w:rsid w:val="00162B90"/>
    <w:rsid w:val="00165818"/>
    <w:rsid w:val="001707D8"/>
    <w:rsid w:val="00184B5A"/>
    <w:rsid w:val="001917C9"/>
    <w:rsid w:val="001953FD"/>
    <w:rsid w:val="00197A00"/>
    <w:rsid w:val="001A0F45"/>
    <w:rsid w:val="001B0A76"/>
    <w:rsid w:val="001B1539"/>
    <w:rsid w:val="001B2884"/>
    <w:rsid w:val="001B6E1A"/>
    <w:rsid w:val="001C1AC4"/>
    <w:rsid w:val="001C4F38"/>
    <w:rsid w:val="001C5D77"/>
    <w:rsid w:val="001D0AD8"/>
    <w:rsid w:val="001E3C2E"/>
    <w:rsid w:val="001E6F0C"/>
    <w:rsid w:val="001E71AA"/>
    <w:rsid w:val="001F57F5"/>
    <w:rsid w:val="001F66DF"/>
    <w:rsid w:val="001F7EBD"/>
    <w:rsid w:val="0020401C"/>
    <w:rsid w:val="00204F63"/>
    <w:rsid w:val="0020629A"/>
    <w:rsid w:val="00206E11"/>
    <w:rsid w:val="00206FE3"/>
    <w:rsid w:val="00207554"/>
    <w:rsid w:val="00211261"/>
    <w:rsid w:val="00214759"/>
    <w:rsid w:val="00217524"/>
    <w:rsid w:val="0022082F"/>
    <w:rsid w:val="00222146"/>
    <w:rsid w:val="002224B3"/>
    <w:rsid w:val="002307E4"/>
    <w:rsid w:val="00232404"/>
    <w:rsid w:val="00235B07"/>
    <w:rsid w:val="002368B8"/>
    <w:rsid w:val="0024786E"/>
    <w:rsid w:val="002517BB"/>
    <w:rsid w:val="00256E24"/>
    <w:rsid w:val="00260915"/>
    <w:rsid w:val="00265491"/>
    <w:rsid w:val="002674FC"/>
    <w:rsid w:val="00270D34"/>
    <w:rsid w:val="00274BAB"/>
    <w:rsid w:val="00276CE2"/>
    <w:rsid w:val="002833C5"/>
    <w:rsid w:val="00287AF1"/>
    <w:rsid w:val="00292B26"/>
    <w:rsid w:val="00296CB7"/>
    <w:rsid w:val="002A41C6"/>
    <w:rsid w:val="002A4B22"/>
    <w:rsid w:val="002A5FC3"/>
    <w:rsid w:val="002A6332"/>
    <w:rsid w:val="002B1C1A"/>
    <w:rsid w:val="002B37E6"/>
    <w:rsid w:val="002B3AB6"/>
    <w:rsid w:val="002B785B"/>
    <w:rsid w:val="002C4546"/>
    <w:rsid w:val="002C6899"/>
    <w:rsid w:val="002E4E40"/>
    <w:rsid w:val="002E6CCF"/>
    <w:rsid w:val="002E76FD"/>
    <w:rsid w:val="002F33D0"/>
    <w:rsid w:val="002F7883"/>
    <w:rsid w:val="00300722"/>
    <w:rsid w:val="003020B2"/>
    <w:rsid w:val="0030316D"/>
    <w:rsid w:val="00323385"/>
    <w:rsid w:val="00331FE7"/>
    <w:rsid w:val="00333059"/>
    <w:rsid w:val="0034245F"/>
    <w:rsid w:val="00347FB3"/>
    <w:rsid w:val="00350062"/>
    <w:rsid w:val="003567CD"/>
    <w:rsid w:val="00357596"/>
    <w:rsid w:val="00357CE3"/>
    <w:rsid w:val="00373D2F"/>
    <w:rsid w:val="00381F9D"/>
    <w:rsid w:val="00382109"/>
    <w:rsid w:val="003954CB"/>
    <w:rsid w:val="003A7774"/>
    <w:rsid w:val="003B009E"/>
    <w:rsid w:val="003B0287"/>
    <w:rsid w:val="003B4841"/>
    <w:rsid w:val="003C6168"/>
    <w:rsid w:val="003C7358"/>
    <w:rsid w:val="003E03E1"/>
    <w:rsid w:val="003E1C0F"/>
    <w:rsid w:val="003E61F6"/>
    <w:rsid w:val="003F0D93"/>
    <w:rsid w:val="003F5AC1"/>
    <w:rsid w:val="003F61E3"/>
    <w:rsid w:val="00405CFB"/>
    <w:rsid w:val="00407537"/>
    <w:rsid w:val="00411E51"/>
    <w:rsid w:val="004156AD"/>
    <w:rsid w:val="00416005"/>
    <w:rsid w:val="004165BD"/>
    <w:rsid w:val="0042220D"/>
    <w:rsid w:val="00433397"/>
    <w:rsid w:val="0043377A"/>
    <w:rsid w:val="00433F97"/>
    <w:rsid w:val="00434020"/>
    <w:rsid w:val="004379B6"/>
    <w:rsid w:val="00437FCD"/>
    <w:rsid w:val="004414BC"/>
    <w:rsid w:val="00443CFF"/>
    <w:rsid w:val="0044428E"/>
    <w:rsid w:val="00446465"/>
    <w:rsid w:val="004545F0"/>
    <w:rsid w:val="00460D54"/>
    <w:rsid w:val="00461D3E"/>
    <w:rsid w:val="004677F9"/>
    <w:rsid w:val="00467F0F"/>
    <w:rsid w:val="004706CC"/>
    <w:rsid w:val="004722A8"/>
    <w:rsid w:val="004751C4"/>
    <w:rsid w:val="00484C04"/>
    <w:rsid w:val="00487654"/>
    <w:rsid w:val="004914BB"/>
    <w:rsid w:val="004A4611"/>
    <w:rsid w:val="004A7B6A"/>
    <w:rsid w:val="004B3B85"/>
    <w:rsid w:val="004B46AC"/>
    <w:rsid w:val="004B4BF2"/>
    <w:rsid w:val="004B75AC"/>
    <w:rsid w:val="004C1D25"/>
    <w:rsid w:val="004C273B"/>
    <w:rsid w:val="004C3644"/>
    <w:rsid w:val="004D12DD"/>
    <w:rsid w:val="004D74FE"/>
    <w:rsid w:val="004E5778"/>
    <w:rsid w:val="004E701E"/>
    <w:rsid w:val="004E7B65"/>
    <w:rsid w:val="004E7ED8"/>
    <w:rsid w:val="004F61E8"/>
    <w:rsid w:val="00501792"/>
    <w:rsid w:val="0050376D"/>
    <w:rsid w:val="00512C25"/>
    <w:rsid w:val="00513D0F"/>
    <w:rsid w:val="005302CB"/>
    <w:rsid w:val="005310DD"/>
    <w:rsid w:val="005327EB"/>
    <w:rsid w:val="005453BE"/>
    <w:rsid w:val="00546B21"/>
    <w:rsid w:val="0055434C"/>
    <w:rsid w:val="00566217"/>
    <w:rsid w:val="00570EC0"/>
    <w:rsid w:val="00574455"/>
    <w:rsid w:val="005767AF"/>
    <w:rsid w:val="00585BEF"/>
    <w:rsid w:val="00591052"/>
    <w:rsid w:val="00591283"/>
    <w:rsid w:val="00594B5F"/>
    <w:rsid w:val="005A159A"/>
    <w:rsid w:val="005A61CE"/>
    <w:rsid w:val="005A7E5A"/>
    <w:rsid w:val="005B0DDA"/>
    <w:rsid w:val="005B1285"/>
    <w:rsid w:val="005B1410"/>
    <w:rsid w:val="005B431B"/>
    <w:rsid w:val="005B7ADE"/>
    <w:rsid w:val="005B7C6E"/>
    <w:rsid w:val="005C51AC"/>
    <w:rsid w:val="005C6F16"/>
    <w:rsid w:val="005C7E12"/>
    <w:rsid w:val="005D0B20"/>
    <w:rsid w:val="005D2343"/>
    <w:rsid w:val="005D4A40"/>
    <w:rsid w:val="005D73D4"/>
    <w:rsid w:val="005E39B3"/>
    <w:rsid w:val="005E4373"/>
    <w:rsid w:val="005E493B"/>
    <w:rsid w:val="005F2951"/>
    <w:rsid w:val="005F4B3B"/>
    <w:rsid w:val="006019D9"/>
    <w:rsid w:val="0061385B"/>
    <w:rsid w:val="00624DDC"/>
    <w:rsid w:val="006253B6"/>
    <w:rsid w:val="006257ED"/>
    <w:rsid w:val="0062686E"/>
    <w:rsid w:val="00630B30"/>
    <w:rsid w:val="00631697"/>
    <w:rsid w:val="006345D7"/>
    <w:rsid w:val="006379E5"/>
    <w:rsid w:val="00651FF6"/>
    <w:rsid w:val="0065445A"/>
    <w:rsid w:val="0068303E"/>
    <w:rsid w:val="0068383E"/>
    <w:rsid w:val="006A4D02"/>
    <w:rsid w:val="006B1BF9"/>
    <w:rsid w:val="006B2D7B"/>
    <w:rsid w:val="006B31DA"/>
    <w:rsid w:val="006B53F1"/>
    <w:rsid w:val="006B6037"/>
    <w:rsid w:val="006B707D"/>
    <w:rsid w:val="006C0E56"/>
    <w:rsid w:val="006C4CEF"/>
    <w:rsid w:val="006C6286"/>
    <w:rsid w:val="006C64D9"/>
    <w:rsid w:val="006D0967"/>
    <w:rsid w:val="006D0D6E"/>
    <w:rsid w:val="006D3C83"/>
    <w:rsid w:val="006D4D30"/>
    <w:rsid w:val="006E0439"/>
    <w:rsid w:val="006E4F82"/>
    <w:rsid w:val="006E62AC"/>
    <w:rsid w:val="006F4E69"/>
    <w:rsid w:val="006F7F54"/>
    <w:rsid w:val="00707971"/>
    <w:rsid w:val="00713DF9"/>
    <w:rsid w:val="00717BDC"/>
    <w:rsid w:val="0072072F"/>
    <w:rsid w:val="00723A28"/>
    <w:rsid w:val="00732242"/>
    <w:rsid w:val="00734AA0"/>
    <w:rsid w:val="00735BB9"/>
    <w:rsid w:val="00736B62"/>
    <w:rsid w:val="007443E1"/>
    <w:rsid w:val="00757757"/>
    <w:rsid w:val="00762950"/>
    <w:rsid w:val="00764C85"/>
    <w:rsid w:val="007664AD"/>
    <w:rsid w:val="007823BA"/>
    <w:rsid w:val="0079129E"/>
    <w:rsid w:val="00791B80"/>
    <w:rsid w:val="00793E3E"/>
    <w:rsid w:val="0079540E"/>
    <w:rsid w:val="007A29C5"/>
    <w:rsid w:val="007A34C7"/>
    <w:rsid w:val="007B65E0"/>
    <w:rsid w:val="007B6CA2"/>
    <w:rsid w:val="007B6FFF"/>
    <w:rsid w:val="007C2EE0"/>
    <w:rsid w:val="007C7B4B"/>
    <w:rsid w:val="007D151D"/>
    <w:rsid w:val="007E0203"/>
    <w:rsid w:val="007E0669"/>
    <w:rsid w:val="007E68EC"/>
    <w:rsid w:val="007F079B"/>
    <w:rsid w:val="007F0C44"/>
    <w:rsid w:val="007F2352"/>
    <w:rsid w:val="007F596B"/>
    <w:rsid w:val="00804DAD"/>
    <w:rsid w:val="0080515E"/>
    <w:rsid w:val="00810896"/>
    <w:rsid w:val="0081172E"/>
    <w:rsid w:val="008120FD"/>
    <w:rsid w:val="00814396"/>
    <w:rsid w:val="00822C2F"/>
    <w:rsid w:val="00823428"/>
    <w:rsid w:val="0083578D"/>
    <w:rsid w:val="008369BA"/>
    <w:rsid w:val="00840D32"/>
    <w:rsid w:val="00843933"/>
    <w:rsid w:val="0084593B"/>
    <w:rsid w:val="00850F4C"/>
    <w:rsid w:val="008512A6"/>
    <w:rsid w:val="008536B2"/>
    <w:rsid w:val="00862D35"/>
    <w:rsid w:val="00864C1F"/>
    <w:rsid w:val="00870FA1"/>
    <w:rsid w:val="00875220"/>
    <w:rsid w:val="00891CD9"/>
    <w:rsid w:val="008921D7"/>
    <w:rsid w:val="008A1184"/>
    <w:rsid w:val="008A54EF"/>
    <w:rsid w:val="008B074B"/>
    <w:rsid w:val="008B390E"/>
    <w:rsid w:val="008C1772"/>
    <w:rsid w:val="008C1C5B"/>
    <w:rsid w:val="008C656B"/>
    <w:rsid w:val="008D105A"/>
    <w:rsid w:val="008D25D2"/>
    <w:rsid w:val="008D3E97"/>
    <w:rsid w:val="008D7BB0"/>
    <w:rsid w:val="008E0239"/>
    <w:rsid w:val="008E3AFA"/>
    <w:rsid w:val="008E3FFA"/>
    <w:rsid w:val="008E4718"/>
    <w:rsid w:val="008E65D0"/>
    <w:rsid w:val="008F2446"/>
    <w:rsid w:val="008F393E"/>
    <w:rsid w:val="00901040"/>
    <w:rsid w:val="00901A11"/>
    <w:rsid w:val="00910F3D"/>
    <w:rsid w:val="00911CCA"/>
    <w:rsid w:val="00923F25"/>
    <w:rsid w:val="00926D2F"/>
    <w:rsid w:val="00926E67"/>
    <w:rsid w:val="00934169"/>
    <w:rsid w:val="009344CB"/>
    <w:rsid w:val="00934A0F"/>
    <w:rsid w:val="0094195D"/>
    <w:rsid w:val="009460A4"/>
    <w:rsid w:val="00956BCF"/>
    <w:rsid w:val="00963503"/>
    <w:rsid w:val="00963BE5"/>
    <w:rsid w:val="00965DBD"/>
    <w:rsid w:val="00971944"/>
    <w:rsid w:val="0097198F"/>
    <w:rsid w:val="0097544B"/>
    <w:rsid w:val="009754E3"/>
    <w:rsid w:val="00976289"/>
    <w:rsid w:val="009776BB"/>
    <w:rsid w:val="009815C2"/>
    <w:rsid w:val="009815C6"/>
    <w:rsid w:val="00981BFD"/>
    <w:rsid w:val="00983088"/>
    <w:rsid w:val="00992CA2"/>
    <w:rsid w:val="009933F0"/>
    <w:rsid w:val="00994818"/>
    <w:rsid w:val="00995279"/>
    <w:rsid w:val="00996201"/>
    <w:rsid w:val="00997022"/>
    <w:rsid w:val="009A39E1"/>
    <w:rsid w:val="009A3AD8"/>
    <w:rsid w:val="009A6B6F"/>
    <w:rsid w:val="009A6EE8"/>
    <w:rsid w:val="009B0F58"/>
    <w:rsid w:val="009B3DFB"/>
    <w:rsid w:val="009B4E93"/>
    <w:rsid w:val="009C1246"/>
    <w:rsid w:val="009C20E3"/>
    <w:rsid w:val="009C3380"/>
    <w:rsid w:val="009D1890"/>
    <w:rsid w:val="009D3765"/>
    <w:rsid w:val="009E7E38"/>
    <w:rsid w:val="009F265B"/>
    <w:rsid w:val="009F482C"/>
    <w:rsid w:val="009F68DB"/>
    <w:rsid w:val="009F6C26"/>
    <w:rsid w:val="009F785A"/>
    <w:rsid w:val="00A03E3F"/>
    <w:rsid w:val="00A1108E"/>
    <w:rsid w:val="00A116BB"/>
    <w:rsid w:val="00A122D6"/>
    <w:rsid w:val="00A1325D"/>
    <w:rsid w:val="00A17E97"/>
    <w:rsid w:val="00A244CD"/>
    <w:rsid w:val="00A27022"/>
    <w:rsid w:val="00A27CD0"/>
    <w:rsid w:val="00A3128B"/>
    <w:rsid w:val="00A34FD7"/>
    <w:rsid w:val="00A362B6"/>
    <w:rsid w:val="00A464DD"/>
    <w:rsid w:val="00A47C80"/>
    <w:rsid w:val="00A60AC5"/>
    <w:rsid w:val="00A67DFF"/>
    <w:rsid w:val="00A71475"/>
    <w:rsid w:val="00A714DC"/>
    <w:rsid w:val="00A7179C"/>
    <w:rsid w:val="00A73DD6"/>
    <w:rsid w:val="00A761CB"/>
    <w:rsid w:val="00A85701"/>
    <w:rsid w:val="00AA06FD"/>
    <w:rsid w:val="00AA71EE"/>
    <w:rsid w:val="00AB30E0"/>
    <w:rsid w:val="00AB554E"/>
    <w:rsid w:val="00AB57A8"/>
    <w:rsid w:val="00AC54A6"/>
    <w:rsid w:val="00AC7954"/>
    <w:rsid w:val="00AD0344"/>
    <w:rsid w:val="00AD1AF7"/>
    <w:rsid w:val="00AD3261"/>
    <w:rsid w:val="00AD4355"/>
    <w:rsid w:val="00AD54EE"/>
    <w:rsid w:val="00AD5649"/>
    <w:rsid w:val="00AD5CBA"/>
    <w:rsid w:val="00AD6970"/>
    <w:rsid w:val="00AE3F5F"/>
    <w:rsid w:val="00AE6409"/>
    <w:rsid w:val="00AE7306"/>
    <w:rsid w:val="00AF04E2"/>
    <w:rsid w:val="00AF3F2C"/>
    <w:rsid w:val="00AF4C80"/>
    <w:rsid w:val="00AF5B4C"/>
    <w:rsid w:val="00AF7F8F"/>
    <w:rsid w:val="00B003A7"/>
    <w:rsid w:val="00B02B88"/>
    <w:rsid w:val="00B03818"/>
    <w:rsid w:val="00B05A61"/>
    <w:rsid w:val="00B06D3E"/>
    <w:rsid w:val="00B11AAF"/>
    <w:rsid w:val="00B13DC4"/>
    <w:rsid w:val="00B15440"/>
    <w:rsid w:val="00B17B45"/>
    <w:rsid w:val="00B17B7C"/>
    <w:rsid w:val="00B20DD1"/>
    <w:rsid w:val="00B23277"/>
    <w:rsid w:val="00B245AD"/>
    <w:rsid w:val="00B4182B"/>
    <w:rsid w:val="00B428C6"/>
    <w:rsid w:val="00B4613C"/>
    <w:rsid w:val="00B47934"/>
    <w:rsid w:val="00B541E2"/>
    <w:rsid w:val="00B54896"/>
    <w:rsid w:val="00B55E54"/>
    <w:rsid w:val="00B56589"/>
    <w:rsid w:val="00B64D05"/>
    <w:rsid w:val="00B657E6"/>
    <w:rsid w:val="00B67B80"/>
    <w:rsid w:val="00B70460"/>
    <w:rsid w:val="00B72788"/>
    <w:rsid w:val="00B73EA6"/>
    <w:rsid w:val="00B81B12"/>
    <w:rsid w:val="00B8668E"/>
    <w:rsid w:val="00B9441B"/>
    <w:rsid w:val="00B9564D"/>
    <w:rsid w:val="00B96D1D"/>
    <w:rsid w:val="00B96EE7"/>
    <w:rsid w:val="00BA3311"/>
    <w:rsid w:val="00BA3456"/>
    <w:rsid w:val="00BB0720"/>
    <w:rsid w:val="00BB09EC"/>
    <w:rsid w:val="00BB2925"/>
    <w:rsid w:val="00BB441F"/>
    <w:rsid w:val="00BB4BF8"/>
    <w:rsid w:val="00BB7C91"/>
    <w:rsid w:val="00BC480B"/>
    <w:rsid w:val="00BC558C"/>
    <w:rsid w:val="00BD38B4"/>
    <w:rsid w:val="00BD702B"/>
    <w:rsid w:val="00BD7B78"/>
    <w:rsid w:val="00BE371B"/>
    <w:rsid w:val="00BE773B"/>
    <w:rsid w:val="00BF54CF"/>
    <w:rsid w:val="00C05352"/>
    <w:rsid w:val="00C1108D"/>
    <w:rsid w:val="00C2686E"/>
    <w:rsid w:val="00C32404"/>
    <w:rsid w:val="00C366F0"/>
    <w:rsid w:val="00C36CB6"/>
    <w:rsid w:val="00C458B1"/>
    <w:rsid w:val="00C5258C"/>
    <w:rsid w:val="00C60046"/>
    <w:rsid w:val="00C616DB"/>
    <w:rsid w:val="00C64637"/>
    <w:rsid w:val="00C65EF5"/>
    <w:rsid w:val="00C70F72"/>
    <w:rsid w:val="00C73360"/>
    <w:rsid w:val="00C82C72"/>
    <w:rsid w:val="00C82CDE"/>
    <w:rsid w:val="00C843A2"/>
    <w:rsid w:val="00C86CB2"/>
    <w:rsid w:val="00C87825"/>
    <w:rsid w:val="00C91C71"/>
    <w:rsid w:val="00C95126"/>
    <w:rsid w:val="00CA04A6"/>
    <w:rsid w:val="00CA72A5"/>
    <w:rsid w:val="00CB3BAB"/>
    <w:rsid w:val="00CC07BF"/>
    <w:rsid w:val="00CC4363"/>
    <w:rsid w:val="00CC4651"/>
    <w:rsid w:val="00CD4821"/>
    <w:rsid w:val="00CE018E"/>
    <w:rsid w:val="00CE6965"/>
    <w:rsid w:val="00CE7A4A"/>
    <w:rsid w:val="00CF315D"/>
    <w:rsid w:val="00D03CBD"/>
    <w:rsid w:val="00D1343F"/>
    <w:rsid w:val="00D13AA8"/>
    <w:rsid w:val="00D13EB6"/>
    <w:rsid w:val="00D1712D"/>
    <w:rsid w:val="00D20C7F"/>
    <w:rsid w:val="00D21F7B"/>
    <w:rsid w:val="00D239B5"/>
    <w:rsid w:val="00D27B37"/>
    <w:rsid w:val="00D32B72"/>
    <w:rsid w:val="00D4033C"/>
    <w:rsid w:val="00D45504"/>
    <w:rsid w:val="00D4576C"/>
    <w:rsid w:val="00D51337"/>
    <w:rsid w:val="00D52664"/>
    <w:rsid w:val="00D5346A"/>
    <w:rsid w:val="00D55767"/>
    <w:rsid w:val="00D559E8"/>
    <w:rsid w:val="00D56A96"/>
    <w:rsid w:val="00D71BA0"/>
    <w:rsid w:val="00D725C3"/>
    <w:rsid w:val="00D749DF"/>
    <w:rsid w:val="00D756F8"/>
    <w:rsid w:val="00D77DB9"/>
    <w:rsid w:val="00D8011A"/>
    <w:rsid w:val="00D80BC0"/>
    <w:rsid w:val="00D82755"/>
    <w:rsid w:val="00D82E67"/>
    <w:rsid w:val="00D831AC"/>
    <w:rsid w:val="00D85F41"/>
    <w:rsid w:val="00D97926"/>
    <w:rsid w:val="00DA1C10"/>
    <w:rsid w:val="00DA3557"/>
    <w:rsid w:val="00DA4701"/>
    <w:rsid w:val="00DA510B"/>
    <w:rsid w:val="00DB2C10"/>
    <w:rsid w:val="00DB79CD"/>
    <w:rsid w:val="00DC3C44"/>
    <w:rsid w:val="00DC4238"/>
    <w:rsid w:val="00DC65F2"/>
    <w:rsid w:val="00DC7876"/>
    <w:rsid w:val="00DC7DD5"/>
    <w:rsid w:val="00DD2BCF"/>
    <w:rsid w:val="00DD6EC5"/>
    <w:rsid w:val="00DE284D"/>
    <w:rsid w:val="00DE3ED7"/>
    <w:rsid w:val="00DE596E"/>
    <w:rsid w:val="00DE6E8D"/>
    <w:rsid w:val="00DF0651"/>
    <w:rsid w:val="00DF1291"/>
    <w:rsid w:val="00DF15DA"/>
    <w:rsid w:val="00E000EC"/>
    <w:rsid w:val="00E03E6C"/>
    <w:rsid w:val="00E1392C"/>
    <w:rsid w:val="00E16F04"/>
    <w:rsid w:val="00E20413"/>
    <w:rsid w:val="00E205FE"/>
    <w:rsid w:val="00E22AC6"/>
    <w:rsid w:val="00E23B5D"/>
    <w:rsid w:val="00E24830"/>
    <w:rsid w:val="00E318A6"/>
    <w:rsid w:val="00E32FCC"/>
    <w:rsid w:val="00E33327"/>
    <w:rsid w:val="00E41C62"/>
    <w:rsid w:val="00E41EE9"/>
    <w:rsid w:val="00E42B40"/>
    <w:rsid w:val="00E43100"/>
    <w:rsid w:val="00E461D4"/>
    <w:rsid w:val="00E5340F"/>
    <w:rsid w:val="00E62285"/>
    <w:rsid w:val="00E62819"/>
    <w:rsid w:val="00E64C3E"/>
    <w:rsid w:val="00E71E25"/>
    <w:rsid w:val="00E73329"/>
    <w:rsid w:val="00E75D57"/>
    <w:rsid w:val="00E76576"/>
    <w:rsid w:val="00E77589"/>
    <w:rsid w:val="00E80588"/>
    <w:rsid w:val="00E81685"/>
    <w:rsid w:val="00E8285E"/>
    <w:rsid w:val="00E9045F"/>
    <w:rsid w:val="00E92AAE"/>
    <w:rsid w:val="00E960CA"/>
    <w:rsid w:val="00EA0D4F"/>
    <w:rsid w:val="00EA1DC9"/>
    <w:rsid w:val="00EA30C5"/>
    <w:rsid w:val="00EA405B"/>
    <w:rsid w:val="00EA42A8"/>
    <w:rsid w:val="00EA42AC"/>
    <w:rsid w:val="00EB003D"/>
    <w:rsid w:val="00EB1868"/>
    <w:rsid w:val="00EB3680"/>
    <w:rsid w:val="00EB3D8B"/>
    <w:rsid w:val="00EB4C26"/>
    <w:rsid w:val="00EB6134"/>
    <w:rsid w:val="00EC1280"/>
    <w:rsid w:val="00EC1A6C"/>
    <w:rsid w:val="00EC4A40"/>
    <w:rsid w:val="00EC6814"/>
    <w:rsid w:val="00ED7509"/>
    <w:rsid w:val="00EE14E4"/>
    <w:rsid w:val="00EE3007"/>
    <w:rsid w:val="00EE38AF"/>
    <w:rsid w:val="00EE6A68"/>
    <w:rsid w:val="00EF254B"/>
    <w:rsid w:val="00EF4FF2"/>
    <w:rsid w:val="00EF7F14"/>
    <w:rsid w:val="00F071DE"/>
    <w:rsid w:val="00F12669"/>
    <w:rsid w:val="00F13A8D"/>
    <w:rsid w:val="00F21B87"/>
    <w:rsid w:val="00F25FC1"/>
    <w:rsid w:val="00F33345"/>
    <w:rsid w:val="00F37F6D"/>
    <w:rsid w:val="00F42246"/>
    <w:rsid w:val="00F61365"/>
    <w:rsid w:val="00F65F6F"/>
    <w:rsid w:val="00F70820"/>
    <w:rsid w:val="00F70B7D"/>
    <w:rsid w:val="00F74630"/>
    <w:rsid w:val="00F76E65"/>
    <w:rsid w:val="00F82427"/>
    <w:rsid w:val="00F85D35"/>
    <w:rsid w:val="00F862E6"/>
    <w:rsid w:val="00F9122A"/>
    <w:rsid w:val="00F917E5"/>
    <w:rsid w:val="00F97259"/>
    <w:rsid w:val="00FA457B"/>
    <w:rsid w:val="00FA6D2C"/>
    <w:rsid w:val="00FB2F67"/>
    <w:rsid w:val="00FB5ADF"/>
    <w:rsid w:val="00FB5BF6"/>
    <w:rsid w:val="00FB7604"/>
    <w:rsid w:val="00FC6AAA"/>
    <w:rsid w:val="00FC779A"/>
    <w:rsid w:val="00FD07E0"/>
    <w:rsid w:val="00FD0EEE"/>
    <w:rsid w:val="00FD4F73"/>
    <w:rsid w:val="00FE655A"/>
    <w:rsid w:val="00FF4B27"/>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279BC735-1867-4DAF-93A3-C30644A3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85E"/>
    <w:pPr>
      <w:spacing w:after="0"/>
    </w:pPr>
    <w:rPr>
      <w:rFonts w:ascii="Arial" w:hAnsi="Arial"/>
    </w:rPr>
  </w:style>
  <w:style w:type="paragraph" w:styleId="Heading1">
    <w:name w:val="heading 1"/>
    <w:basedOn w:val="Normal"/>
    <w:next w:val="Normal"/>
    <w:link w:val="Heading1Char"/>
    <w:uiPriority w:val="9"/>
    <w:qFormat/>
    <w:rsid w:val="00E8285E"/>
    <w:pPr>
      <w:keepNext/>
      <w:keepLines/>
      <w:spacing w:before="120" w:after="12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E8285E"/>
    <w:pPr>
      <w:keepNext/>
      <w:keepLines/>
      <w:spacing w:before="120" w:after="120"/>
      <w:outlineLvl w:val="1"/>
    </w:pPr>
    <w:rPr>
      <w:rFonts w:eastAsiaTheme="majorEastAsia" w:cstheme="majorBidi"/>
      <w:i/>
      <w:szCs w:val="26"/>
      <w:u w:val="single"/>
    </w:rPr>
  </w:style>
  <w:style w:type="paragraph" w:styleId="Heading3">
    <w:name w:val="heading 3"/>
    <w:basedOn w:val="Normal"/>
    <w:next w:val="Normal"/>
    <w:link w:val="Heading3Char"/>
    <w:uiPriority w:val="9"/>
    <w:unhideWhenUsed/>
    <w:qFormat/>
    <w:rsid w:val="0079540E"/>
    <w:pPr>
      <w:keepNext/>
      <w:keepLines/>
      <w:spacing w:before="40" w:after="12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1C5D77"/>
    <w:pPr>
      <w:keepNext/>
      <w:keepLines/>
      <w:spacing w:before="120" w:after="120" w:line="259" w:lineRule="auto"/>
      <w:outlineLvl w:val="3"/>
    </w:pPr>
    <w:rPr>
      <w:rFonts w:eastAsiaTheme="majorEastAsia" w:cstheme="majorBidi"/>
      <w:i/>
      <w:iCs/>
      <w:u w:val="single"/>
    </w:rPr>
  </w:style>
  <w:style w:type="paragraph" w:styleId="Heading6">
    <w:name w:val="heading 6"/>
    <w:basedOn w:val="Normal"/>
    <w:next w:val="Normal"/>
    <w:link w:val="Heading6Char"/>
    <w:uiPriority w:val="9"/>
    <w:semiHidden/>
    <w:unhideWhenUsed/>
    <w:qFormat/>
    <w:rsid w:val="005D73D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aliases w:val="Primary Bullet List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rsid w:val="006C64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C64D9"/>
  </w:style>
  <w:style w:type="paragraph" w:customStyle="1" w:styleId="ExhibitRowHeader">
    <w:name w:val="Exhibit Row Header"/>
    <w:basedOn w:val="BodyText"/>
    <w:rsid w:val="008A1184"/>
    <w:pPr>
      <w:spacing w:before="20" w:after="20" w:line="240" w:lineRule="auto"/>
      <w:jc w:val="center"/>
    </w:pPr>
    <w:rPr>
      <w:rFonts w:eastAsia="Times New Roman" w:cs="Arial"/>
      <w:b/>
      <w:color w:val="F8F8F8"/>
      <w:sz w:val="20"/>
      <w:szCs w:val="20"/>
    </w:rPr>
  </w:style>
  <w:style w:type="paragraph" w:customStyle="1" w:styleId="ExhibitColumnHeader">
    <w:name w:val="Exhibit Column Header"/>
    <w:basedOn w:val="ExhibitRowHeader"/>
    <w:qFormat/>
    <w:rsid w:val="008A1184"/>
    <w:rPr>
      <w:color w:val="000000" w:themeColor="text1"/>
    </w:rPr>
  </w:style>
  <w:style w:type="table" w:styleId="GridTable4Accent5">
    <w:name w:val="Grid Table 4 Accent 5"/>
    <w:basedOn w:val="TableNormal"/>
    <w:uiPriority w:val="49"/>
    <w:rsid w:val="008A118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
    <w:name w:val="Body Text"/>
    <w:basedOn w:val="Normal"/>
    <w:link w:val="BodyTextChar"/>
    <w:uiPriority w:val="99"/>
    <w:semiHidden/>
    <w:unhideWhenUsed/>
    <w:rsid w:val="008A1184"/>
    <w:pPr>
      <w:spacing w:after="120"/>
    </w:pPr>
  </w:style>
  <w:style w:type="character" w:customStyle="1" w:styleId="BodyTextChar">
    <w:name w:val="Body Text Char"/>
    <w:basedOn w:val="DefaultParagraphFont"/>
    <w:link w:val="BodyText"/>
    <w:uiPriority w:val="99"/>
    <w:semiHidden/>
    <w:rsid w:val="008A1184"/>
  </w:style>
  <w:style w:type="character" w:customStyle="1" w:styleId="Heading1Char">
    <w:name w:val="Heading 1 Char"/>
    <w:basedOn w:val="DefaultParagraphFont"/>
    <w:link w:val="Heading1"/>
    <w:uiPriority w:val="9"/>
    <w:rsid w:val="00E8285E"/>
    <w:rPr>
      <w:rFonts w:ascii="Arial" w:hAnsi="Arial" w:eastAsiaTheme="majorEastAsia" w:cstheme="majorBidi"/>
      <w:b/>
      <w:sz w:val="24"/>
      <w:szCs w:val="32"/>
    </w:rPr>
  </w:style>
  <w:style w:type="character" w:customStyle="1" w:styleId="Heading2Char">
    <w:name w:val="Heading 2 Char"/>
    <w:basedOn w:val="DefaultParagraphFont"/>
    <w:link w:val="Heading2"/>
    <w:uiPriority w:val="9"/>
    <w:rsid w:val="00E8285E"/>
    <w:rPr>
      <w:rFonts w:ascii="Arial" w:hAnsi="Arial" w:eastAsiaTheme="majorEastAsia" w:cstheme="majorBidi"/>
      <w:i/>
      <w:szCs w:val="26"/>
      <w:u w:val="single"/>
    </w:rPr>
  </w:style>
  <w:style w:type="character" w:customStyle="1" w:styleId="cf01">
    <w:name w:val="cf01"/>
    <w:basedOn w:val="DefaultParagraphFont"/>
    <w:rsid w:val="00FB5ADF"/>
    <w:rPr>
      <w:rFonts w:ascii="Segoe UI" w:hAnsi="Segoe UI" w:cs="Segoe UI" w:hint="default"/>
      <w:sz w:val="18"/>
      <w:szCs w:val="18"/>
    </w:rPr>
  </w:style>
  <w:style w:type="paragraph" w:customStyle="1" w:styleId="pf0">
    <w:name w:val="pf0"/>
    <w:basedOn w:val="Normal"/>
    <w:rsid w:val="00FB5A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rsid w:val="0073224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A47C80"/>
    <w:rPr>
      <w:color w:val="605E5C"/>
      <w:shd w:val="clear" w:color="auto" w:fill="E1DFDD"/>
    </w:rPr>
  </w:style>
  <w:style w:type="character" w:styleId="Mention">
    <w:name w:val="Mention"/>
    <w:basedOn w:val="DefaultParagraphFont"/>
    <w:uiPriority w:val="99"/>
    <w:unhideWhenUsed/>
    <w:rsid w:val="00A47C80"/>
    <w:rPr>
      <w:color w:val="2B579A"/>
      <w:shd w:val="clear" w:color="auto" w:fill="E1DFDD"/>
    </w:rPr>
  </w:style>
  <w:style w:type="table" w:customStyle="1" w:styleId="TableGrid1">
    <w:name w:val="Table Grid1"/>
    <w:basedOn w:val="TableNormal"/>
    <w:next w:val="TableGrid"/>
    <w:uiPriority w:val="39"/>
    <w:rsid w:val="00EE6A68"/>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9540E"/>
    <w:rPr>
      <w:rFonts w:ascii="Arial" w:hAnsi="Arial" w:eastAsiaTheme="majorEastAsia" w:cstheme="majorBidi"/>
      <w:b/>
      <w:i/>
      <w:szCs w:val="24"/>
    </w:rPr>
  </w:style>
  <w:style w:type="character" w:customStyle="1" w:styleId="Heading4Char">
    <w:name w:val="Heading 4 Char"/>
    <w:basedOn w:val="DefaultParagraphFont"/>
    <w:link w:val="Heading4"/>
    <w:uiPriority w:val="9"/>
    <w:rsid w:val="001C5D77"/>
    <w:rPr>
      <w:rFonts w:ascii="Arial" w:hAnsi="Arial" w:eastAsiaTheme="majorEastAsia" w:cstheme="majorBidi"/>
      <w:i/>
      <w:iCs/>
      <w:u w:val="single"/>
    </w:rPr>
  </w:style>
  <w:style w:type="character" w:customStyle="1" w:styleId="Heading6Char">
    <w:name w:val="Heading 6 Char"/>
    <w:basedOn w:val="DefaultParagraphFont"/>
    <w:link w:val="Heading6"/>
    <w:uiPriority w:val="9"/>
    <w:semiHidden/>
    <w:rsid w:val="005D73D4"/>
    <w:rPr>
      <w:rFonts w:asciiTheme="majorHAnsi" w:eastAsiaTheme="majorEastAsia" w:hAnsiTheme="majorHAnsi" w:cstheme="majorBidi"/>
      <w:color w:val="243F60" w:themeColor="accent1" w:themeShade="7F"/>
    </w:rPr>
  </w:style>
  <w:style w:type="paragraph" w:customStyle="1" w:styleId="EndNoteBibliography">
    <w:name w:val="EndNote Bibliography"/>
    <w:basedOn w:val="Normal"/>
    <w:link w:val="EndNoteBibliographyChar"/>
    <w:rsid w:val="00BF54CF"/>
    <w:pPr>
      <w:keepLines/>
      <w:spacing w:after="120" w:line="240" w:lineRule="auto"/>
      <w:ind w:left="720" w:hanging="720"/>
    </w:pPr>
    <w:rPr>
      <w:rFonts w:ascii="Calibri" w:eastAsia="SimSun" w:hAnsi="Calibri" w:cs="Arial"/>
      <w:noProof/>
      <w:szCs w:val="24"/>
      <w:lang w:eastAsia="zh-CN"/>
    </w:rPr>
  </w:style>
  <w:style w:type="character" w:customStyle="1" w:styleId="EndNoteBibliographyChar">
    <w:name w:val="EndNote Bibliography Char"/>
    <w:basedOn w:val="BodyTextChar"/>
    <w:link w:val="EndNoteBibliography"/>
    <w:rsid w:val="00BF54CF"/>
    <w:rPr>
      <w:rFonts w:ascii="Calibri" w:eastAsia="SimSun" w:hAnsi="Calibri" w:cs="Arial"/>
      <w:noProof/>
      <w:szCs w:val="24"/>
      <w:lang w:eastAsia="zh-CN"/>
    </w:rPr>
  </w:style>
  <w:style w:type="character" w:styleId="Emphasis">
    <w:name w:val="Emphasis"/>
    <w:basedOn w:val="DefaultParagraphFont"/>
    <w:uiPriority w:val="20"/>
    <w:qFormat/>
    <w:rsid w:val="00B657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coramvoice.org.uk/wp-content/uploads/2022/11/2410-CV-YLYC-2021-Report-new3-lo-10.10.10.pdf" TargetMode="External" /><Relationship Id="rId12" Type="http://schemas.openxmlformats.org/officeDocument/2006/relationships/hyperlink" Target="https://gaincc.org/instrument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68EDDBDC050943B4259D6FA5D33A89" ma:contentTypeVersion="6" ma:contentTypeDescription="Create a new document." ma:contentTypeScope="" ma:versionID="9028b0b376da8a6520f32ac6de3ac3a2">
  <xsd:schema xmlns:xsd="http://www.w3.org/2001/XMLSchema" xmlns:xs="http://www.w3.org/2001/XMLSchema" xmlns:p="http://schemas.microsoft.com/office/2006/metadata/properties" xmlns:ns2="4d80f1cf-22c0-4e62-9bd5-e35868e47c6a" xmlns:ns3="e79bdf13-7dc6-4ba8-ac1d-34cd719aa756" targetNamespace="http://schemas.microsoft.com/office/2006/metadata/properties" ma:root="true" ma:fieldsID="48519e2f4d9505a62da299b67134ee1c" ns2:_="" ns3:_="">
    <xsd:import namespace="4d80f1cf-22c0-4e62-9bd5-e35868e47c6a"/>
    <xsd:import namespace="e79bdf13-7dc6-4ba8-ac1d-34cd719aa7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0f1cf-22c0-4e62-9bd5-e35868e47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bdf13-7dc6-4ba8-ac1d-34cd719aa7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2.xml><?xml version="1.0" encoding="utf-8"?>
<ds:datastoreItem xmlns:ds="http://schemas.openxmlformats.org/officeDocument/2006/customXml" ds:itemID="{0313BD73-D55A-4010-AB7A-236C7849B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0f1cf-22c0-4e62-9bd5-e35868e47c6a"/>
    <ds:schemaRef ds:uri="e79bdf13-7dc6-4ba8-ac1d-34cd719aa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6A195F67-6CB8-466D-AB52-5F8C165C2C0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80f1cf-22c0-4e62-9bd5-e35868e47c6a"/>
    <ds:schemaRef ds:uri="e79bdf13-7dc6-4ba8-ac1d-34cd719aa756"/>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4068</Words>
  <Characters>23189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Khoury, Dalia</dc:creator>
  <cp:lastModifiedBy>Domanico, Rose</cp:lastModifiedBy>
  <cp:revision>7</cp:revision>
  <dcterms:created xsi:type="dcterms:W3CDTF">2024-06-21T16:16:00Z</dcterms:created>
  <dcterms:modified xsi:type="dcterms:W3CDTF">2024-06-24T21:50:00Z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0x0101003E68EDDBDC050943B4259D6FA5D33A89</vt:lpwstr>
  </property>
</Properties>
</file>