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55A" w14:paraId="46C8F908" w14:textId="35268AA0">
      <w:pPr>
        <w:rPr>
          <w:b/>
        </w:rPr>
      </w:pPr>
    </w:p>
    <w:p w:rsidR="0054255A" w:rsidRPr="00B13297" w:rsidP="00B13297" w14:paraId="62DEA0B8" w14:textId="67EAA3C2">
      <w:pPr>
        <w:pStyle w:val="ReportCover-Title"/>
        <w:jc w:val="center"/>
        <w:rPr>
          <w:rFonts w:ascii="Arial" w:hAnsi="Arial" w:cs="Arial"/>
          <w:color w:val="auto"/>
        </w:rPr>
      </w:pPr>
      <w:r>
        <w:rPr>
          <w:rFonts w:ascii="Arial" w:eastAsia="Arial Unicode MS" w:hAnsi="Arial" w:cs="Arial"/>
          <w:noProof/>
          <w:color w:val="auto"/>
        </w:rPr>
        <w:t xml:space="preserve">Feedback on </w:t>
      </w:r>
      <w:r w:rsidR="00C933D7">
        <w:rPr>
          <w:rFonts w:ascii="Arial" w:eastAsia="Arial Unicode MS" w:hAnsi="Arial" w:cs="Arial"/>
          <w:noProof/>
          <w:color w:val="auto"/>
        </w:rPr>
        <w:t xml:space="preserve">Current </w:t>
      </w:r>
      <w:r w:rsidRPr="00B018D6" w:rsidR="00B018D6">
        <w:rPr>
          <w:rFonts w:ascii="Arial" w:eastAsia="Arial Unicode MS" w:hAnsi="Arial" w:cs="Arial"/>
          <w:bCs/>
          <w:noProof/>
          <w:color w:val="auto"/>
        </w:rPr>
        <w:t xml:space="preserve">Personal Responsibility Education Program </w:t>
      </w:r>
      <w:r w:rsidR="00C933D7">
        <w:rPr>
          <w:rFonts w:ascii="Arial" w:eastAsia="Arial Unicode MS" w:hAnsi="Arial" w:cs="Arial"/>
          <w:bCs/>
          <w:noProof/>
          <w:color w:val="auto"/>
        </w:rPr>
        <w:t>(</w:t>
      </w:r>
      <w:r w:rsidR="00F54D2F">
        <w:rPr>
          <w:rFonts w:ascii="Arial" w:eastAsia="Arial Unicode MS" w:hAnsi="Arial" w:cs="Arial"/>
          <w:noProof/>
          <w:color w:val="auto"/>
        </w:rPr>
        <w:t>PREP</w:t>
      </w:r>
      <w:r w:rsidR="00B018D6">
        <w:rPr>
          <w:rFonts w:ascii="Arial" w:eastAsia="Arial Unicode MS" w:hAnsi="Arial" w:cs="Arial"/>
          <w:noProof/>
          <w:color w:val="auto"/>
        </w:rPr>
        <w:t>)</w:t>
      </w:r>
      <w:r w:rsidR="00C933D7">
        <w:rPr>
          <w:rFonts w:ascii="Arial" w:eastAsia="Arial Unicode MS" w:hAnsi="Arial" w:cs="Arial"/>
          <w:noProof/>
          <w:color w:val="auto"/>
        </w:rPr>
        <w:t xml:space="preserve"> Information Collections</w:t>
      </w:r>
    </w:p>
    <w:p w:rsidR="0054255A" w:rsidRPr="00B13297" w:rsidP="00B13297" w14:paraId="11C893CE" w14:textId="77777777">
      <w:pPr>
        <w:pStyle w:val="ReportCover-Title"/>
        <w:rPr>
          <w:rFonts w:ascii="Arial" w:hAnsi="Arial" w:cs="Arial"/>
          <w:color w:val="auto"/>
        </w:rPr>
      </w:pPr>
    </w:p>
    <w:p w:rsidR="0054255A" w:rsidRPr="00B13297" w:rsidP="00B13297" w14:paraId="56DAFAF6" w14:textId="77777777">
      <w:pPr>
        <w:pStyle w:val="ReportCover-Title"/>
        <w:rPr>
          <w:rFonts w:ascii="Arial" w:hAnsi="Arial" w:cs="Arial"/>
          <w:color w:val="auto"/>
        </w:rPr>
      </w:pPr>
    </w:p>
    <w:p w:rsidR="00B3652D" w:rsidRPr="00FA5B1A" w:rsidP="00B3652D" w14:paraId="025E32B5" w14:textId="77777777">
      <w:pPr>
        <w:pStyle w:val="ReportCover-Title"/>
        <w:jc w:val="center"/>
        <w:rPr>
          <w:rFonts w:ascii="Arial" w:hAnsi="Arial" w:cs="Arial"/>
          <w:color w:val="auto"/>
          <w:sz w:val="32"/>
          <w:szCs w:val="32"/>
        </w:rPr>
      </w:pPr>
      <w:r w:rsidRPr="00FA5B1A">
        <w:rPr>
          <w:rFonts w:ascii="Arial" w:hAnsi="Arial" w:cs="Arial"/>
          <w:color w:val="auto"/>
          <w:sz w:val="32"/>
          <w:szCs w:val="32"/>
        </w:rPr>
        <w:t>Formative Data Collections for ACF Research</w:t>
      </w:r>
    </w:p>
    <w:p w:rsidR="00B3652D" w:rsidRPr="00FA5B1A" w:rsidP="00B3652D" w14:paraId="16F24FC8" w14:textId="77777777">
      <w:pPr>
        <w:pStyle w:val="ReportCover-Title"/>
        <w:jc w:val="center"/>
        <w:rPr>
          <w:rFonts w:ascii="Arial" w:hAnsi="Arial" w:cs="Arial"/>
          <w:color w:val="auto"/>
          <w:sz w:val="32"/>
          <w:szCs w:val="32"/>
        </w:rPr>
      </w:pPr>
    </w:p>
    <w:p w:rsidR="00B3652D" w:rsidRPr="002C4F75" w:rsidP="00B3652D" w14:paraId="68EB784E" w14:textId="7A8BC126">
      <w:pPr>
        <w:pStyle w:val="ReportCover-Title"/>
        <w:jc w:val="center"/>
        <w:rPr>
          <w:rFonts w:ascii="Arial" w:hAnsi="Arial" w:cs="Arial"/>
          <w:color w:val="auto"/>
          <w:sz w:val="32"/>
          <w:szCs w:val="32"/>
        </w:rPr>
      </w:pPr>
      <w:r w:rsidRPr="00FA5B1A">
        <w:rPr>
          <w:rFonts w:ascii="Arial" w:hAnsi="Arial" w:cs="Arial"/>
          <w:color w:val="auto"/>
          <w:sz w:val="32"/>
          <w:szCs w:val="32"/>
        </w:rPr>
        <w:t xml:space="preserve">0970 </w:t>
      </w:r>
      <w:r w:rsidRPr="00FA5B1A" w:rsidR="00F4057A">
        <w:rPr>
          <w:rFonts w:ascii="Arial" w:hAnsi="Arial" w:cs="Arial"/>
          <w:color w:val="auto"/>
          <w:sz w:val="32"/>
          <w:szCs w:val="32"/>
        </w:rPr>
        <w:t>–</w:t>
      </w:r>
      <w:r w:rsidRPr="00FA5B1A">
        <w:rPr>
          <w:rFonts w:ascii="Arial" w:hAnsi="Arial" w:cs="Arial"/>
          <w:color w:val="auto"/>
          <w:sz w:val="32"/>
          <w:szCs w:val="32"/>
        </w:rPr>
        <w:t xml:space="preserve"> 0</w:t>
      </w:r>
      <w:r w:rsidRPr="00FA5B1A" w:rsidR="00FA5B1A">
        <w:rPr>
          <w:rFonts w:ascii="Arial" w:hAnsi="Arial" w:cs="Arial"/>
          <w:color w:val="auto"/>
          <w:sz w:val="32"/>
          <w:szCs w:val="32"/>
        </w:rPr>
        <w:t>356</w:t>
      </w:r>
    </w:p>
    <w:p w:rsidR="0054255A" w:rsidRPr="00B13297" w:rsidP="00B13297" w14:paraId="20B97EA0" w14:textId="77777777">
      <w:pPr>
        <w:rPr>
          <w:rFonts w:ascii="Arial" w:hAnsi="Arial" w:cs="Arial"/>
        </w:rPr>
      </w:pPr>
    </w:p>
    <w:p w:rsidR="0054255A" w:rsidRPr="00B13297" w:rsidP="00B13297" w14:paraId="073B8B22" w14:textId="77777777">
      <w:pPr>
        <w:pStyle w:val="ReportCover-Date"/>
        <w:jc w:val="center"/>
        <w:rPr>
          <w:rFonts w:ascii="Arial" w:hAnsi="Arial" w:cs="Arial"/>
          <w:color w:val="auto"/>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RPr="00B13297" w:rsidP="00B13297" w14:paraId="782F2D46" w14:textId="4F34F63C">
      <w:pPr>
        <w:pStyle w:val="ReportCover-Date"/>
        <w:jc w:val="center"/>
        <w:rPr>
          <w:rFonts w:ascii="Arial" w:hAnsi="Arial" w:cs="Arial"/>
          <w:color w:val="auto"/>
        </w:rPr>
      </w:pPr>
      <w:r>
        <w:rPr>
          <w:rFonts w:ascii="Arial" w:hAnsi="Arial" w:cs="Arial"/>
          <w:color w:val="auto"/>
        </w:rPr>
        <w:t>September 2024</w:t>
      </w:r>
    </w:p>
    <w:p w:rsidR="0054255A" w:rsidRPr="00B13297" w:rsidP="00B13297" w14:paraId="44E8CF70" w14:textId="77777777">
      <w:pPr>
        <w:spacing w:after="0" w:line="240" w:lineRule="auto"/>
        <w:jc w:val="center"/>
        <w:rPr>
          <w:rFonts w:ascii="Arial" w:hAnsi="Arial" w:cs="Arial"/>
        </w:rPr>
      </w:pPr>
    </w:p>
    <w:p w:rsidR="0054255A" w:rsidRPr="00B13297" w:rsidP="00B13297" w14:paraId="326AE304" w14:textId="77777777">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54255A" w:rsidRPr="002C4F75" w:rsidP="00B13297" w14:paraId="594D3C68" w14:textId="2AEA5DAC">
      <w:pPr>
        <w:spacing w:after="0" w:line="240" w:lineRule="auto"/>
        <w:jc w:val="center"/>
        <w:rPr>
          <w:rFonts w:ascii="Arial" w:hAnsi="Arial" w:cs="Arial"/>
        </w:rPr>
      </w:pPr>
      <w:r w:rsidRPr="00B13297">
        <w:rPr>
          <w:rFonts w:ascii="Arial" w:hAnsi="Arial" w:cs="Arial"/>
        </w:rPr>
        <w:t>Project Officers:</w:t>
      </w:r>
      <w:r w:rsidRPr="00E62E7D" w:rsidR="00E62E7D">
        <w:rPr>
          <w:rFonts w:ascii="Arial" w:hAnsi="Arial" w:cs="Arial"/>
        </w:rPr>
        <w:t xml:space="preserve"> </w:t>
      </w:r>
      <w:r w:rsidR="00E62E7D">
        <w:rPr>
          <w:rFonts w:ascii="Arial" w:hAnsi="Arial" w:cs="Arial"/>
        </w:rPr>
        <w:t>Caryn Blitz, Tia Brown</w:t>
      </w:r>
    </w:p>
    <w:p w:rsidR="0054255A" w:rsidP="00B13297" w14:paraId="0313461E" w14:textId="77777777">
      <w:pPr>
        <w:spacing w:after="0" w:line="240" w:lineRule="auto"/>
        <w:jc w:val="center"/>
        <w:rPr>
          <w:b/>
        </w:rPr>
      </w:pPr>
    </w:p>
    <w:p w:rsidR="0054255A" w:rsidP="00B13297" w14:paraId="15758DCB" w14:textId="77777777">
      <w:pPr>
        <w:spacing w:after="0" w:line="240" w:lineRule="auto"/>
        <w:jc w:val="center"/>
        <w:rPr>
          <w:b/>
        </w:rPr>
      </w:pPr>
    </w:p>
    <w:p w:rsidR="0054255A" w:rsidP="00B13297" w14:paraId="59CD749F" w14:textId="77777777">
      <w:pPr>
        <w:jc w:val="center"/>
        <w:rPr>
          <w:b/>
        </w:rPr>
      </w:pPr>
    </w:p>
    <w:p w:rsidR="0054255A" w:rsidP="00B13297" w14:paraId="07833600" w14:textId="2B3D80AE">
      <w:pPr>
        <w:rPr>
          <w:b/>
        </w:rPr>
      </w:pPr>
    </w:p>
    <w:p w:rsidR="0068303E" w14:paraId="49E4A961" w14:textId="5E7DD7B2">
      <w:pPr>
        <w:rPr>
          <w:b/>
        </w:rPr>
      </w:pPr>
    </w:p>
    <w:p w:rsidR="00FA5B1A" w14:paraId="1CC8C279" w14:textId="77777777">
      <w:pPr>
        <w:rPr>
          <w:b/>
        </w:rPr>
      </w:pPr>
    </w:p>
    <w:p w:rsidR="00624DDC" w:rsidP="00624DDC" w14:paraId="36C08276" w14:textId="671DC8EB">
      <w:pPr>
        <w:spacing w:after="0" w:line="240" w:lineRule="auto"/>
        <w:jc w:val="center"/>
        <w:rPr>
          <w:b/>
          <w:sz w:val="32"/>
          <w:szCs w:val="32"/>
        </w:rPr>
      </w:pPr>
      <w:r w:rsidRPr="00624DDC">
        <w:rPr>
          <w:b/>
          <w:sz w:val="32"/>
          <w:szCs w:val="32"/>
        </w:rPr>
        <w:t>Part A</w:t>
      </w:r>
    </w:p>
    <w:p w:rsidR="00624DDC" w:rsidP="00624DDC" w14:paraId="331767F9" w14:textId="77777777">
      <w:pPr>
        <w:spacing w:after="0" w:line="240" w:lineRule="auto"/>
        <w:jc w:val="center"/>
        <w:rPr>
          <w:b/>
        </w:rPr>
      </w:pPr>
    </w:p>
    <w:p w:rsidR="00026192" w:rsidP="000F1E4A" w14:paraId="095FF910" w14:textId="77777777">
      <w:pPr>
        <w:spacing w:after="0" w:line="240" w:lineRule="auto"/>
        <w:rPr>
          <w:b/>
          <w:u w:val="single"/>
        </w:rPr>
      </w:pPr>
    </w:p>
    <w:p w:rsidR="00026192" w:rsidP="000F1E4A" w14:paraId="4CA5E0BD" w14:textId="77777777">
      <w:pPr>
        <w:spacing w:after="0" w:line="240" w:lineRule="auto"/>
        <w:rPr>
          <w:b/>
          <w:u w:val="single"/>
        </w:rPr>
      </w:pPr>
    </w:p>
    <w:p w:rsidR="00840D32" w:rsidRPr="00026192" w:rsidP="000F1E4A" w14:paraId="5E4659ED" w14:textId="4B12C786">
      <w:pPr>
        <w:spacing w:after="0" w:line="240" w:lineRule="auto"/>
        <w:rPr>
          <w:b/>
          <w:sz w:val="28"/>
        </w:rPr>
      </w:pPr>
      <w:r w:rsidRPr="00026192">
        <w:rPr>
          <w:b/>
          <w:sz w:val="28"/>
          <w:u w:val="single"/>
        </w:rPr>
        <w:t>Executive Summary</w:t>
      </w:r>
    </w:p>
    <w:p w:rsidR="00B04785" w:rsidP="000F1E4A" w14:paraId="5D7B325A" w14:textId="6F433416">
      <w:pPr>
        <w:spacing w:after="0" w:line="240" w:lineRule="auto"/>
        <w:rPr>
          <w:b/>
        </w:rPr>
      </w:pPr>
    </w:p>
    <w:p w:rsidR="00B04785" w:rsidRPr="00B04785" w:rsidP="005244F0" w14:paraId="00321FF0" w14:textId="5A1B04E1">
      <w:pPr>
        <w:pStyle w:val="ListParagraph"/>
        <w:numPr>
          <w:ilvl w:val="0"/>
          <w:numId w:val="1"/>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FA5B1A">
        <w:t>Formative Data Collections for ACF Research</w:t>
      </w:r>
      <w:r w:rsidR="00FA5B1A">
        <w:t xml:space="preserve"> (0970-0356).</w:t>
      </w:r>
    </w:p>
    <w:p w:rsidR="00EA405B" w:rsidP="00906F6A" w14:paraId="1FD514C1" w14:textId="78D17F26">
      <w:pPr>
        <w:spacing w:after="0" w:line="240" w:lineRule="auto"/>
      </w:pPr>
    </w:p>
    <w:p w:rsidR="00B04785" w:rsidRPr="00906F6A" w:rsidP="005244F0" w14:paraId="1807DC5A" w14:textId="6DA08535">
      <w:pPr>
        <w:pStyle w:val="ListParagraph"/>
        <w:numPr>
          <w:ilvl w:val="0"/>
          <w:numId w:val="1"/>
        </w:numPr>
        <w:spacing w:after="0" w:line="240" w:lineRule="auto"/>
      </w:pPr>
      <w:r w:rsidRPr="00906F6A">
        <w:rPr>
          <w:b/>
        </w:rPr>
        <w:t>Progress to Date:</w:t>
      </w:r>
      <w:r w:rsidRPr="004D7384" w:rsidR="004D7384">
        <w:rPr>
          <w:rFonts w:eastAsia="Times New Roman" w:cstheme="minorHAnsi"/>
          <w:bCs/>
          <w:color w:val="000000"/>
          <w:szCs w:val="24"/>
        </w:rPr>
        <w:t xml:space="preserve"> </w:t>
      </w:r>
      <w:r w:rsidR="004D7384">
        <w:rPr>
          <w:rFonts w:cs="Times New Roman"/>
        </w:rPr>
        <w:t xml:space="preserve">The </w:t>
      </w:r>
      <w:r w:rsidRPr="000F548B" w:rsidR="004D7384">
        <w:rPr>
          <w:bCs/>
        </w:rPr>
        <w:t>Administration for Children and Families (</w:t>
      </w:r>
      <w:r w:rsidRPr="000F548B" w:rsidR="004D7384">
        <w:rPr>
          <w:rFonts w:eastAsia="Times New Roman" w:cstheme="minorHAnsi"/>
          <w:bCs/>
          <w:color w:val="000000"/>
          <w:szCs w:val="24"/>
        </w:rPr>
        <w:t>ACF</w:t>
      </w:r>
      <w:r w:rsidR="004D7384">
        <w:rPr>
          <w:rFonts w:eastAsia="Times New Roman" w:cstheme="minorHAnsi"/>
          <w:bCs/>
          <w:color w:val="000000"/>
          <w:szCs w:val="24"/>
        </w:rPr>
        <w:t>)</w:t>
      </w:r>
      <w:r w:rsidRPr="000F548B" w:rsidR="004D7384">
        <w:rPr>
          <w:rFonts w:eastAsia="Times New Roman" w:cstheme="minorHAnsi"/>
          <w:bCs/>
          <w:color w:val="000000"/>
          <w:szCs w:val="24"/>
        </w:rPr>
        <w:t xml:space="preserve"> is </w:t>
      </w:r>
      <w:r w:rsidRPr="000F548B" w:rsidR="004D7384">
        <w:rPr>
          <w:rFonts w:eastAsia="Times New Roman" w:cs="Times New Roman"/>
          <w:bCs/>
          <w:szCs w:val="24"/>
        </w:rPr>
        <w:t>currently engaged in efforts to improve</w:t>
      </w:r>
      <w:r w:rsidR="004D7384">
        <w:rPr>
          <w:rFonts w:eastAsia="Times New Roman" w:cs="Times New Roman"/>
          <w:bCs/>
          <w:szCs w:val="24"/>
        </w:rPr>
        <w:t xml:space="preserve"> the information collections that support the</w:t>
      </w:r>
      <w:r w:rsidRPr="000F548B" w:rsidR="004D7384">
        <w:rPr>
          <w:rFonts w:eastAsia="Times New Roman" w:cs="Times New Roman"/>
          <w:bCs/>
          <w:szCs w:val="24"/>
        </w:rPr>
        <w:t xml:space="preserve"> Personal Responsibility Education Program (PREP</w:t>
      </w:r>
      <w:r w:rsidR="004D7384">
        <w:rPr>
          <w:rFonts w:eastAsia="Times New Roman" w:cs="Times New Roman"/>
          <w:szCs w:val="24"/>
        </w:rPr>
        <w:t>) Performance Measures (approved under OMB #: 0970-0497) and surveys approved for the</w:t>
      </w:r>
      <w:r w:rsidRPr="00906F6A">
        <w:rPr>
          <w:b/>
        </w:rPr>
        <w:t xml:space="preserve"> </w:t>
      </w:r>
      <w:r w:rsidRPr="00CB27BF" w:rsidR="004D7384">
        <w:rPr>
          <w:rFonts w:eastAsia="Times New Roman" w:cs="Times New Roman"/>
          <w:szCs w:val="24"/>
        </w:rPr>
        <w:t>Sexual Risk Avoidance Education Program Performance Analysis Study (SRAE PAS)</w:t>
      </w:r>
      <w:r w:rsidR="004D7384">
        <w:rPr>
          <w:rFonts w:eastAsia="Times New Roman" w:cs="Times New Roman"/>
          <w:szCs w:val="24"/>
        </w:rPr>
        <w:t xml:space="preserve"> (OMB #0970-0536).</w:t>
      </w:r>
      <w:r w:rsidRPr="004D7384" w:rsidR="004D7384">
        <w:rPr>
          <w:rFonts w:eastAsia="Times New Roman" w:cs="Times New Roman"/>
          <w:szCs w:val="24"/>
        </w:rPr>
        <w:t xml:space="preserve"> </w:t>
      </w:r>
      <w:r w:rsidR="004D7384">
        <w:rPr>
          <w:rFonts w:eastAsia="Times New Roman" w:cs="Times New Roman"/>
          <w:szCs w:val="24"/>
        </w:rPr>
        <w:t>Additionally, a</w:t>
      </w:r>
      <w:r w:rsidR="00E62E7D">
        <w:rPr>
          <w:rFonts w:cs="Times New Roman"/>
        </w:rPr>
        <w:t xml:space="preserve">s part of an agency-wide initiative to identify </w:t>
      </w:r>
      <w:bookmarkStart w:id="0" w:name="_Hlk177038575"/>
      <w:r w:rsidR="00E62E7D">
        <w:rPr>
          <w:rFonts w:eastAsia="Times New Roman" w:cs="Times New Roman"/>
          <w:szCs w:val="24"/>
        </w:rPr>
        <w:t>sexual orientation and gender identity (</w:t>
      </w:r>
      <w:bookmarkEnd w:id="0"/>
      <w:r w:rsidR="00E62E7D">
        <w:rPr>
          <w:rFonts w:cs="Times New Roman"/>
        </w:rPr>
        <w:t xml:space="preserve">SOGI) items for youth, ACF is beginning a process of </w:t>
      </w:r>
      <w:r w:rsidR="007F7A0D">
        <w:rPr>
          <w:rFonts w:cs="Times New Roman"/>
        </w:rPr>
        <w:t>gathering feedback on</w:t>
      </w:r>
      <w:r w:rsidR="00E62E7D">
        <w:rPr>
          <w:rFonts w:cs="Times New Roman"/>
        </w:rPr>
        <w:t xml:space="preserve"> potential SOGI </w:t>
      </w:r>
      <w:r w:rsidR="00E62E7D">
        <w:rPr>
          <w:rFonts w:eastAsia="Times New Roman" w:cs="Times New Roman"/>
          <w:szCs w:val="24"/>
        </w:rPr>
        <w:t>questions</w:t>
      </w:r>
      <w:r w:rsidR="007F7A0D">
        <w:rPr>
          <w:rFonts w:eastAsia="Times New Roman" w:cs="Times New Roman"/>
          <w:szCs w:val="24"/>
        </w:rPr>
        <w:t xml:space="preserve"> for youth</w:t>
      </w:r>
      <w:r w:rsidR="00E62E7D">
        <w:rPr>
          <w:rFonts w:eastAsia="Times New Roman" w:cs="Times New Roman"/>
          <w:szCs w:val="24"/>
        </w:rPr>
        <w:t>. ACF is in the process of requesting a one-year extension for SRAE PAS while we work to finalize SOGI items in the</w:t>
      </w:r>
      <w:r w:rsidRPr="00DE5F64" w:rsidR="00E62E7D">
        <w:rPr>
          <w:bCs/>
        </w:rPr>
        <w:t xml:space="preserve"> </w:t>
      </w:r>
      <w:r w:rsidR="00E62E7D">
        <w:rPr>
          <w:bCs/>
        </w:rPr>
        <w:t>youth p</w:t>
      </w:r>
      <w:r w:rsidRPr="00847C13" w:rsidR="00E62E7D">
        <w:rPr>
          <w:bCs/>
        </w:rPr>
        <w:t xml:space="preserve">articipant </w:t>
      </w:r>
      <w:r w:rsidR="00E62E7D">
        <w:rPr>
          <w:bCs/>
        </w:rPr>
        <w:t>e</w:t>
      </w:r>
      <w:r w:rsidRPr="00847C13" w:rsidR="00E62E7D">
        <w:rPr>
          <w:bCs/>
        </w:rPr>
        <w:t xml:space="preserve">ntry and </w:t>
      </w:r>
      <w:r w:rsidR="00E62E7D">
        <w:rPr>
          <w:bCs/>
        </w:rPr>
        <w:t>e</w:t>
      </w:r>
      <w:r w:rsidRPr="00847C13" w:rsidR="00E62E7D">
        <w:rPr>
          <w:bCs/>
        </w:rPr>
        <w:t xml:space="preserve">xit </w:t>
      </w:r>
      <w:r w:rsidR="00E62E7D">
        <w:rPr>
          <w:bCs/>
        </w:rPr>
        <w:t>s</w:t>
      </w:r>
      <w:r w:rsidRPr="00847C13" w:rsidR="00E62E7D">
        <w:rPr>
          <w:bCs/>
        </w:rPr>
        <w:t>urveys</w:t>
      </w:r>
      <w:r w:rsidR="00E62E7D">
        <w:rPr>
          <w:bCs/>
        </w:rPr>
        <w:t>.</w:t>
      </w:r>
      <w:r w:rsidR="00E62E7D">
        <w:rPr>
          <w:rFonts w:eastAsia="Times New Roman" w:cs="Times New Roman"/>
          <w:szCs w:val="24"/>
        </w:rPr>
        <w:t xml:space="preserve"> This request </w:t>
      </w:r>
      <w:r w:rsidR="007F7A0D">
        <w:rPr>
          <w:rFonts w:eastAsia="Times New Roman" w:cs="Times New Roman"/>
          <w:szCs w:val="24"/>
        </w:rPr>
        <w:t xml:space="preserve">is an initial step to </w:t>
      </w:r>
      <w:r w:rsidR="00E62E7D">
        <w:rPr>
          <w:rFonts w:eastAsia="Times New Roman" w:cs="Times New Roman"/>
          <w:szCs w:val="24"/>
        </w:rPr>
        <w:t>support the described efforts.</w:t>
      </w:r>
    </w:p>
    <w:p w:rsidR="00906F6A" w:rsidRPr="00BD7963" w:rsidP="00B3652D" w14:paraId="51CAFB20" w14:textId="5981B6B3">
      <w:pPr>
        <w:spacing w:after="0" w:line="240" w:lineRule="auto"/>
      </w:pPr>
    </w:p>
    <w:p w:rsidR="00E62E7D" w:rsidRPr="00E62E7D" w:rsidP="005244F0" w14:paraId="7000E685" w14:textId="1DEEAD63">
      <w:pPr>
        <w:pStyle w:val="ListParagraph"/>
        <w:numPr>
          <w:ilvl w:val="0"/>
          <w:numId w:val="1"/>
        </w:numPr>
        <w:spacing w:after="120" w:line="240" w:lineRule="auto"/>
      </w:pPr>
      <w:r w:rsidRPr="007F7A0D">
        <w:rPr>
          <w:b/>
        </w:rPr>
        <w:t xml:space="preserve">Description of Request: </w:t>
      </w:r>
      <w:r w:rsidRPr="007F7A0D">
        <w:rPr>
          <w:bCs/>
        </w:rPr>
        <w:t xml:space="preserve">This information collection request is to conduct focus groups with grant recipients to garner initial feedback on </w:t>
      </w:r>
      <w:r w:rsidRPr="007F7A0D" w:rsidR="007F7A0D">
        <w:rPr>
          <w:bCs/>
        </w:rPr>
        <w:t>their experiences administering the current PREP participant entry and exit surveys</w:t>
      </w:r>
      <w:r w:rsidR="007F7A0D">
        <w:rPr>
          <w:bCs/>
        </w:rPr>
        <w:t xml:space="preserve"> and identify potential improvements to the surveys, including the SOGI items currently included. </w:t>
      </w:r>
      <w:r w:rsidRPr="007F7A0D" w:rsidR="00DD4F0F">
        <w:rPr>
          <w:bCs/>
        </w:rPr>
        <w:t xml:space="preserve">This effort will </w:t>
      </w:r>
      <w:r w:rsidR="00DD4F0F">
        <w:rPr>
          <w:bCs/>
        </w:rPr>
        <w:t>also be informed by</w:t>
      </w:r>
      <w:r w:rsidRPr="007F7A0D" w:rsidR="00DD4F0F">
        <w:rPr>
          <w:bCs/>
        </w:rPr>
        <w:t xml:space="preserve"> pretesting activities, which will be submitted for review and approval under </w:t>
      </w:r>
      <w:bookmarkStart w:id="1" w:name="_Hlk176953851"/>
      <w:r w:rsidRPr="007F7A0D" w:rsidR="00DD4F0F">
        <w:rPr>
          <w:bCs/>
        </w:rPr>
        <w:t xml:space="preserve">the </w:t>
      </w:r>
      <w:r w:rsidRPr="00B3652D" w:rsidR="00DD4F0F">
        <w:t xml:space="preserve">Pre-testing of </w:t>
      </w:r>
      <w:r w:rsidR="00DD4F0F">
        <w:t>ACF</w:t>
      </w:r>
      <w:r w:rsidRPr="00B3652D" w:rsidR="00DD4F0F">
        <w:t xml:space="preserve"> Data Collection Activities</w:t>
      </w:r>
      <w:r w:rsidR="00DD4F0F">
        <w:t xml:space="preserve"> </w:t>
      </w:r>
      <w:r w:rsidR="00784C11">
        <w:t xml:space="preserve">umbrella generic </w:t>
      </w:r>
      <w:r w:rsidR="00DD4F0F">
        <w:t>(0970-0355).</w:t>
      </w:r>
      <w:bookmarkEnd w:id="1"/>
    </w:p>
    <w:p w:rsidR="00E62E7D" w:rsidRPr="00E62E7D" w:rsidP="00E62E7D" w14:paraId="6D987B05" w14:textId="77777777">
      <w:pPr>
        <w:pStyle w:val="ListParagraph"/>
        <w:rPr>
          <w:bCs/>
        </w:rPr>
      </w:pPr>
    </w:p>
    <w:p w:rsidR="00B3652D" w:rsidP="00B3652D" w14:paraId="6D04E0B1" w14:textId="77777777">
      <w:pPr>
        <w:pStyle w:val="ListParagraph"/>
        <w:rPr>
          <w:rFonts w:cs="Calibri"/>
        </w:rPr>
      </w:pPr>
      <w:r>
        <w:rPr>
          <w:rFonts w:cs="Calibri"/>
        </w:rPr>
        <w:t xml:space="preserve">We do not intend for this information to be used </w:t>
      </w:r>
      <w:r w:rsidRPr="006E65E7">
        <w:rPr>
          <w:rFonts w:cs="Calibri"/>
        </w:rPr>
        <w:t xml:space="preserve">as the </w:t>
      </w:r>
      <w:r>
        <w:rPr>
          <w:rFonts w:cs="Calibri"/>
        </w:rPr>
        <w:t>principal basis for public policy decisions.</w:t>
      </w:r>
    </w:p>
    <w:p w:rsidR="00BD7963" w:rsidP="00BD7963" w14:paraId="0B78AB5D" w14:textId="77777777">
      <w:pPr>
        <w:pStyle w:val="ListParagraph"/>
      </w:pPr>
    </w:p>
    <w:p w:rsidR="00906F6A" w:rsidRPr="00906F6A" w:rsidP="005244F0" w14:paraId="579C578E" w14:textId="5C8E61B3">
      <w:pPr>
        <w:pStyle w:val="ListParagraph"/>
        <w:numPr>
          <w:ilvl w:val="0"/>
          <w:numId w:val="1"/>
        </w:numPr>
        <w:spacing w:after="0" w:line="240" w:lineRule="auto"/>
        <w:rPr>
          <w:b/>
        </w:rPr>
      </w:pPr>
      <w:r w:rsidRPr="00906F6A">
        <w:rPr>
          <w:b/>
        </w:rPr>
        <w:t xml:space="preserve">Time Sensitivity: </w:t>
      </w:r>
      <w:r w:rsidRPr="007F7A0D" w:rsidR="007F7A0D">
        <w:rPr>
          <w:bCs/>
        </w:rPr>
        <w:t xml:space="preserve">The goal is to conduct these focus groups before the end of the month to allow the next steps to support these efforts </w:t>
      </w:r>
      <w:r w:rsidR="00A67CF9">
        <w:rPr>
          <w:bCs/>
        </w:rPr>
        <w:t>to</w:t>
      </w:r>
      <w:r w:rsidRPr="007F7A0D" w:rsidR="007F7A0D">
        <w:rPr>
          <w:bCs/>
        </w:rPr>
        <w:t xml:space="preserve"> move forward.</w:t>
      </w:r>
      <w:r w:rsidR="007F7A0D">
        <w:rPr>
          <w:b/>
        </w:rPr>
        <w:t xml:space="preserve"> </w:t>
      </w:r>
    </w:p>
    <w:p w:rsidR="00624DDC" w:rsidP="00624DDC" w14:paraId="64C8BC8B" w14:textId="6B96A5AA">
      <w:pPr>
        <w:spacing w:after="0" w:line="240" w:lineRule="auto"/>
        <w:rPr>
          <w:b/>
        </w:rPr>
      </w:pPr>
    </w:p>
    <w:p w:rsidR="00624DDC" w:rsidP="00624DDC" w14:paraId="0D5E5383" w14:textId="77777777">
      <w:pPr>
        <w:spacing w:after="0" w:line="240" w:lineRule="auto"/>
        <w:rPr>
          <w:b/>
        </w:rPr>
      </w:pPr>
    </w:p>
    <w:p w:rsidR="001A38FD" w14:paraId="7EEF528A" w14:textId="156BF329">
      <w:r>
        <w:br w:type="page"/>
      </w:r>
    </w:p>
    <w:p w:rsidR="00D5346A" w:rsidP="001A38FD" w14:paraId="695C22E4" w14:textId="77777777">
      <w:pPr>
        <w:spacing w:after="0" w:line="240" w:lineRule="auto"/>
      </w:pPr>
    </w:p>
    <w:p w:rsidR="004328A4" w:rsidP="007D0F6E" w14:paraId="5CB85B8F" w14:textId="77777777">
      <w:pPr>
        <w:spacing w:after="120" w:line="240" w:lineRule="auto"/>
      </w:pPr>
      <w:r w:rsidRPr="00624DDC">
        <w:rPr>
          <w:b/>
        </w:rPr>
        <w:t>A1</w:t>
      </w:r>
      <w:r>
        <w:t>.</w:t>
      </w:r>
      <w:r>
        <w:tab/>
      </w:r>
      <w:r w:rsidRPr="004328A4" w:rsidR="004E5778">
        <w:rPr>
          <w:b/>
        </w:rPr>
        <w:t>Necessity for Collection</w:t>
      </w:r>
      <w:r w:rsidR="004E5778">
        <w:t xml:space="preserve"> </w:t>
      </w:r>
    </w:p>
    <w:p w:rsidR="00A51535" w:rsidP="00084618" w14:paraId="3A0F7489" w14:textId="2F993826">
      <w:pPr>
        <w:spacing w:after="0" w:line="240" w:lineRule="auto"/>
        <w:rPr>
          <w:rFonts w:cs="Times New Roman"/>
        </w:rPr>
      </w:pPr>
      <w:r>
        <w:rPr>
          <w:rFonts w:cs="Times New Roman"/>
        </w:rPr>
        <w:t>As part of the effort to improve performance measures collected by adolescent pregnancy prevention programs, the Administration for Children and Families (ACF) is beginning a pro</w:t>
      </w:r>
      <w:r w:rsidR="0008559A">
        <w:rPr>
          <w:rFonts w:cs="Times New Roman"/>
        </w:rPr>
        <w:t>c</w:t>
      </w:r>
      <w:r>
        <w:rPr>
          <w:rFonts w:cs="Times New Roman"/>
        </w:rPr>
        <w:t>ess to revise the Personal Responsibility Education Program (PREP) youth surveys (approved under OMB #: 0970-0497) and surveys approved for the Sexual Risk Avoidance Education Program Performance Analysis Study (SRAE PAS) (OMB # 0970-0356).</w:t>
      </w:r>
    </w:p>
    <w:p w:rsidR="00A51535" w:rsidP="00084618" w14:paraId="76BB1478" w14:textId="77777777">
      <w:pPr>
        <w:spacing w:after="0" w:line="240" w:lineRule="auto"/>
        <w:rPr>
          <w:rFonts w:cs="Times New Roman"/>
        </w:rPr>
      </w:pPr>
    </w:p>
    <w:p w:rsidR="00AA3DF8" w:rsidP="006B414D" w14:paraId="79837AC2" w14:textId="7DF68E39">
      <w:pPr>
        <w:spacing w:after="60" w:line="240" w:lineRule="auto"/>
        <w:rPr>
          <w:bCs/>
          <w:i/>
          <w:iCs/>
        </w:rPr>
      </w:pPr>
      <w:r>
        <w:rPr>
          <w:bCs/>
          <w:i/>
          <w:iCs/>
        </w:rPr>
        <w:t>Background</w:t>
      </w:r>
    </w:p>
    <w:p w:rsidR="00AA3DF8" w:rsidP="00AA3DF8" w14:paraId="44096C2C" w14:textId="28A3CA07">
      <w:pPr>
        <w:spacing w:after="0" w:line="240" w:lineRule="auto"/>
      </w:pPr>
      <w:r w:rsidRPr="0058602E">
        <w:t xml:space="preserve">In March 2010, Congress authorized PREP as part of the </w:t>
      </w:r>
      <w:bookmarkStart w:id="2" w:name="_Hlk175640053"/>
      <w:r w:rsidRPr="0058602E">
        <w:t>Patient Protection and Affordable Care Act (ACA)</w:t>
      </w:r>
      <w:r>
        <w:t xml:space="preserve">. </w:t>
      </w:r>
      <w:r w:rsidRPr="0058602E">
        <w:t>PREP provides grants to states, tribes and tribal communities</w:t>
      </w:r>
      <w:r>
        <w:t>, and community organizations</w:t>
      </w:r>
      <w:r w:rsidRPr="0058602E">
        <w:t xml:space="preserve"> to support evidence-based programs to reduce teen pregnancy and</w:t>
      </w:r>
      <w:r w:rsidR="00B018D6">
        <w:t xml:space="preserve"> sexually transmitted infections (</w:t>
      </w:r>
      <w:r w:rsidRPr="0058602E">
        <w:t>STI</w:t>
      </w:r>
      <w:r w:rsidR="00B018D6">
        <w:t>)</w:t>
      </w:r>
      <w:r w:rsidRPr="0058602E">
        <w:t>. The programs are required to provide education on both abstinence and contraceptive use. The programs also offer information on adulthood preparation subjects such as healthy relationships, adolescent development, financial literacy, parent–child communication, education and employment skills, and healthy life skills. Grant</w:t>
      </w:r>
      <w:r>
        <w:t xml:space="preserve"> recipient</w:t>
      </w:r>
      <w:r w:rsidRPr="0058602E">
        <w:t xml:space="preserve">s are encouraged to target their programming to high-risk populations—for example, youth in foster care, </w:t>
      </w:r>
      <w:r>
        <w:t xml:space="preserve">homeless youth, youth with HIV/AIDS, pregnant youth who are under age 21, mothers who are under age 21, and </w:t>
      </w:r>
      <w:r w:rsidRPr="0058602E">
        <w:t>youth residing in geographic areas with high teen birth rates</w:t>
      </w:r>
      <w:r w:rsidRPr="00B728AD">
        <w:rPr>
          <w:rFonts w:ascii="Helvetica" w:hAnsi="Helvetica" w:cs="Helvetica"/>
          <w:color w:val="333333"/>
          <w:sz w:val="20"/>
          <w:szCs w:val="20"/>
          <w:lang w:val="en"/>
        </w:rPr>
        <w:t>.</w:t>
      </w:r>
      <w:r>
        <w:rPr>
          <w:rFonts w:ascii="Helvetica" w:hAnsi="Helvetica" w:cs="Helvetica"/>
          <w:color w:val="333333"/>
          <w:sz w:val="20"/>
          <w:szCs w:val="20"/>
          <w:lang w:val="en"/>
        </w:rPr>
        <w:t xml:space="preserve"> </w:t>
      </w:r>
    </w:p>
    <w:bookmarkEnd w:id="2"/>
    <w:p w:rsidR="009319A4" w:rsidP="0021430A" w14:paraId="1CE4AE40" w14:textId="77777777">
      <w:pPr>
        <w:spacing w:after="0" w:line="240" w:lineRule="auto"/>
      </w:pPr>
    </w:p>
    <w:p w:rsidR="00AA3DF8" w:rsidP="00AA3DF8" w14:paraId="3C84C2C2" w14:textId="7FE08EFD">
      <w:pPr>
        <w:spacing w:after="0" w:line="240" w:lineRule="auto"/>
        <w:rPr>
          <w:bCs/>
        </w:rPr>
      </w:pPr>
      <w:r w:rsidRPr="00C77A5B">
        <w:rPr>
          <w:rFonts w:cstheme="minorHAnsi"/>
          <w:iCs/>
        </w:rPr>
        <w:t xml:space="preserve">The Government Performance and Results Act (GPRA) Modernization Act of 2010 (Public Law 111-352) requires federal agencies to report annually on measures of program performance. </w:t>
      </w:r>
      <w:r>
        <w:rPr>
          <w:rFonts w:cs="Times New Roman"/>
        </w:rPr>
        <w:t xml:space="preserve">To inform efforts to improve these measures for youth, </w:t>
      </w:r>
      <w:r>
        <w:rPr>
          <w:rFonts w:cs="Times New Roman"/>
        </w:rPr>
        <w:t xml:space="preserve">ACF is planning a set of focus groups </w:t>
      </w:r>
      <w:r>
        <w:rPr>
          <w:bCs/>
        </w:rPr>
        <w:t>with PREP grant recipients about potential improvements to</w:t>
      </w:r>
      <w:r w:rsidRPr="00730B58">
        <w:rPr>
          <w:bCs/>
        </w:rPr>
        <w:t xml:space="preserve"> the </w:t>
      </w:r>
      <w:r>
        <w:rPr>
          <w:bCs/>
        </w:rPr>
        <w:t>performance measures</w:t>
      </w:r>
      <w:r>
        <w:rPr>
          <w:bCs/>
        </w:rPr>
        <w:t xml:space="preserve"> in the currently approved information collections for PREP referenced previously</w:t>
      </w:r>
      <w:r>
        <w:rPr>
          <w:bCs/>
        </w:rPr>
        <w:t xml:space="preserve">. </w:t>
      </w:r>
    </w:p>
    <w:p w:rsidR="004328A4" w:rsidP="00AA3DF8" w14:paraId="55E13569" w14:textId="7F15848D">
      <w:pPr>
        <w:spacing w:after="0" w:line="240" w:lineRule="auto"/>
      </w:pPr>
    </w:p>
    <w:p w:rsidR="0008559A" w:rsidP="0008559A" w14:paraId="28F970E2" w14:textId="0EEBF357">
      <w:pPr>
        <w:spacing w:after="0" w:line="240" w:lineRule="auto"/>
        <w:rPr>
          <w:bCs/>
        </w:rPr>
      </w:pPr>
      <w:r>
        <w:rPr>
          <w:rFonts w:eastAsia="Times New Roman" w:cs="Times New Roman"/>
          <w:szCs w:val="24"/>
        </w:rPr>
        <w:t>Sexual orientation and gender identity (</w:t>
      </w:r>
      <w:r w:rsidR="009319A4">
        <w:rPr>
          <w:rFonts w:cstheme="minorHAnsi"/>
          <w:iCs/>
        </w:rPr>
        <w:t>SOGI</w:t>
      </w:r>
      <w:r>
        <w:rPr>
          <w:rFonts w:cstheme="minorHAnsi"/>
          <w:iCs/>
        </w:rPr>
        <w:t>)</w:t>
      </w:r>
      <w:r w:rsidR="009319A4">
        <w:rPr>
          <w:rFonts w:cstheme="minorHAnsi"/>
          <w:iCs/>
        </w:rPr>
        <w:t xml:space="preserve"> measures are used in performance measures reporting by multiple ACF programs, including PREP. </w:t>
      </w:r>
      <w:r w:rsidR="009319A4">
        <w:rPr>
          <w:rFonts w:cs="Times New Roman"/>
        </w:rPr>
        <w:t>As part of an agency-wide initiative to select</w:t>
      </w:r>
      <w:r w:rsidRPr="00AA3DF8" w:rsidR="009319A4">
        <w:rPr>
          <w:rFonts w:eastAsia="Times New Roman" w:cs="Times New Roman"/>
          <w:szCs w:val="24"/>
        </w:rPr>
        <w:t xml:space="preserve"> </w:t>
      </w:r>
      <w:r w:rsidR="009319A4">
        <w:rPr>
          <w:rFonts w:cs="Times New Roman"/>
        </w:rPr>
        <w:t>SOGI items for youth, the ACF is beginning a process of gathering feedback to inform efforts to update SOGI measures</w:t>
      </w:r>
      <w:r w:rsidRPr="00AA3DF8" w:rsidR="009319A4">
        <w:rPr>
          <w:rFonts w:cs="Times New Roman"/>
        </w:rPr>
        <w:t xml:space="preserve"> </w:t>
      </w:r>
      <w:r w:rsidRPr="00EE3651" w:rsidR="009319A4">
        <w:rPr>
          <w:rFonts w:cs="Times New Roman"/>
        </w:rPr>
        <w:t xml:space="preserve">to better represent </w:t>
      </w:r>
      <w:r w:rsidR="009319A4">
        <w:rPr>
          <w:rFonts w:cs="Times New Roman"/>
        </w:rPr>
        <w:t xml:space="preserve">how youth self-identify, as well as to align with </w:t>
      </w:r>
      <w:r w:rsidRPr="0089288B" w:rsidR="009319A4">
        <w:rPr>
          <w:rFonts w:eastAsia="Times New Roman" w:cs="Times New Roman"/>
          <w:szCs w:val="24"/>
        </w:rPr>
        <w:t>Executive Order (EO) 14075 (</w:t>
      </w:r>
      <w:r w:rsidRPr="0089288B" w:rsidR="009319A4">
        <w:rPr>
          <w:rFonts w:eastAsia="Times New Roman" w:cs="Times New Roman"/>
          <w:i/>
          <w:iCs/>
          <w:szCs w:val="24"/>
        </w:rPr>
        <w:t>Advancing Equality for Lesbian, Gay, Bisexual, Transgender, Queer, and Intersex Individuals</w:t>
      </w:r>
      <w:r w:rsidR="009319A4">
        <w:rPr>
          <w:rFonts w:cs="Times New Roman"/>
        </w:rPr>
        <w:t xml:space="preserve">. As part of these efforts, ACF </w:t>
      </w:r>
      <w:r>
        <w:rPr>
          <w:rFonts w:cs="Times New Roman"/>
        </w:rPr>
        <w:t xml:space="preserve">will work </w:t>
      </w:r>
      <w:r w:rsidR="009319A4">
        <w:rPr>
          <w:rFonts w:eastAsia="Times New Roman" w:cs="Times New Roman"/>
          <w:szCs w:val="24"/>
        </w:rPr>
        <w:t xml:space="preserve">to improve the SOGI items in the </w:t>
      </w:r>
      <w:r w:rsidRPr="000F548B" w:rsidR="009319A4">
        <w:rPr>
          <w:rFonts w:eastAsia="Times New Roman" w:cs="Times New Roman"/>
          <w:bCs/>
          <w:szCs w:val="24"/>
        </w:rPr>
        <w:t>Personal Responsibility Education Program (PREP</w:t>
      </w:r>
      <w:r w:rsidR="009319A4">
        <w:rPr>
          <w:rFonts w:eastAsia="Times New Roman" w:cs="Times New Roman"/>
          <w:szCs w:val="24"/>
        </w:rPr>
        <w:t>) Performance Measures (approved under OMB #: 0970-0497)</w:t>
      </w:r>
      <w:r w:rsidR="009319A4">
        <w:rPr>
          <w:rFonts w:cs="Times New Roman"/>
        </w:rPr>
        <w:t xml:space="preserve">. </w:t>
      </w:r>
      <w:r>
        <w:rPr>
          <w:rFonts w:cs="Times New Roman"/>
        </w:rPr>
        <w:t xml:space="preserve"> </w:t>
      </w:r>
      <w:r w:rsidRPr="007F7A0D">
        <w:rPr>
          <w:bCs/>
        </w:rPr>
        <w:t>Th</w:t>
      </w:r>
      <w:r>
        <w:rPr>
          <w:bCs/>
        </w:rPr>
        <w:t>ese</w:t>
      </w:r>
      <w:r w:rsidRPr="007F7A0D">
        <w:rPr>
          <w:bCs/>
        </w:rPr>
        <w:t xml:space="preserve"> effort</w:t>
      </w:r>
      <w:r>
        <w:rPr>
          <w:bCs/>
        </w:rPr>
        <w:t>s</w:t>
      </w:r>
      <w:r w:rsidRPr="007F7A0D">
        <w:rPr>
          <w:bCs/>
        </w:rPr>
        <w:t xml:space="preserve"> will </w:t>
      </w:r>
      <w:r>
        <w:rPr>
          <w:bCs/>
        </w:rPr>
        <w:t>be informed by</w:t>
      </w:r>
      <w:r w:rsidRPr="007F7A0D">
        <w:rPr>
          <w:bCs/>
        </w:rPr>
        <w:t xml:space="preserve"> pretesting activities, which will be submitted for review and approval under the </w:t>
      </w:r>
      <w:r w:rsidRPr="00B3652D">
        <w:t xml:space="preserve">Pre-testing of </w:t>
      </w:r>
      <w:r>
        <w:t>ACF</w:t>
      </w:r>
      <w:r w:rsidRPr="00B3652D">
        <w:t xml:space="preserve"> Data Collection Activities</w:t>
      </w:r>
      <w:r>
        <w:t xml:space="preserve"> umbrella generic (0970-0355).</w:t>
      </w:r>
    </w:p>
    <w:p w:rsidR="009319A4" w:rsidP="009319A4" w14:paraId="58A3F239" w14:textId="046C536A">
      <w:pPr>
        <w:spacing w:after="0" w:line="240" w:lineRule="auto"/>
        <w:rPr>
          <w:rFonts w:cs="Times New Roman"/>
        </w:rPr>
      </w:pPr>
    </w:p>
    <w:p w:rsidR="00AA3DF8" w:rsidP="00AA3DF8" w14:paraId="3832F62C" w14:textId="587A1673">
      <w:pPr>
        <w:spacing w:after="0" w:line="240" w:lineRule="auto"/>
      </w:pPr>
      <w:r>
        <w:t xml:space="preserve">ACF has contracted with Mathematica to complete this work and the following </w:t>
      </w:r>
      <w:r w:rsidR="009319A4">
        <w:t xml:space="preserve">focus group </w:t>
      </w:r>
      <w:r>
        <w:t xml:space="preserve">activities. </w:t>
      </w:r>
    </w:p>
    <w:p w:rsidR="004328A4" w:rsidP="00DF1291" w14:paraId="778B15CC" w14:textId="77777777">
      <w:pPr>
        <w:pStyle w:val="ListParagraph"/>
        <w:spacing w:after="0" w:line="240" w:lineRule="auto"/>
        <w:ind w:left="360"/>
      </w:pPr>
    </w:p>
    <w:p w:rsidR="004328A4" w:rsidP="007D0F6E" w14:paraId="77508B66" w14:textId="5FCD8AB6">
      <w:pPr>
        <w:spacing w:after="120" w:line="240" w:lineRule="auto"/>
        <w:rPr>
          <w:b/>
        </w:rPr>
      </w:pPr>
      <w:r w:rsidRPr="00624DDC">
        <w:rPr>
          <w:b/>
        </w:rPr>
        <w:t>A2</w:t>
      </w:r>
      <w:r>
        <w:t>.</w:t>
      </w:r>
      <w:r>
        <w:tab/>
      </w:r>
      <w:r w:rsidRPr="004328A4" w:rsidR="00107D87">
        <w:rPr>
          <w:b/>
        </w:rPr>
        <w:t>Purpose</w:t>
      </w:r>
    </w:p>
    <w:p w:rsidR="004328A4" w:rsidRPr="004328A4" w:rsidP="006B414D" w14:paraId="6DDDCEC8" w14:textId="2DD3EE30">
      <w:pPr>
        <w:spacing w:after="60" w:line="240" w:lineRule="auto"/>
        <w:rPr>
          <w:i/>
        </w:rPr>
      </w:pPr>
      <w:r w:rsidRPr="004328A4">
        <w:rPr>
          <w:i/>
        </w:rPr>
        <w:t xml:space="preserve">Purpose and Use </w:t>
      </w:r>
    </w:p>
    <w:p w:rsidR="00DD4F0F" w:rsidP="00DD4F0F" w14:paraId="56924514" w14:textId="77777777">
      <w:pPr>
        <w:spacing w:after="0" w:line="240" w:lineRule="auto"/>
        <w:rPr>
          <w:szCs w:val="24"/>
        </w:rPr>
      </w:pPr>
      <w:bookmarkStart w:id="3" w:name="_Hlk175640022"/>
      <w:r>
        <w:rPr>
          <w:szCs w:val="24"/>
        </w:rPr>
        <w:t xml:space="preserve">The purpose of this collection is to gather feedback from grant recipients about current SOGI measures and other performance measures included on approved information collections for the PREP program.  </w:t>
      </w:r>
    </w:p>
    <w:p w:rsidR="00DD4F0F" w:rsidP="00DD4F0F" w14:paraId="3BB7D523" w14:textId="77777777">
      <w:pPr>
        <w:spacing w:after="0" w:line="240" w:lineRule="auto"/>
        <w:rPr>
          <w:szCs w:val="24"/>
        </w:rPr>
      </w:pPr>
    </w:p>
    <w:p w:rsidR="00DD4F0F" w:rsidRPr="003E6383" w:rsidP="00B018D6" w14:paraId="6D287AB0" w14:textId="4470F019">
      <w:pPr>
        <w:spacing w:after="0" w:line="240" w:lineRule="auto"/>
        <w:rPr>
          <w:rFonts w:eastAsia="Times New Roman" w:cs="Times New Roman"/>
          <w:szCs w:val="24"/>
          <w:highlight w:val="yellow"/>
        </w:rPr>
      </w:pPr>
      <w:r w:rsidRPr="00E47CCA">
        <w:rPr>
          <w:szCs w:val="24"/>
        </w:rPr>
        <w:t>Th</w:t>
      </w:r>
      <w:r>
        <w:rPr>
          <w:szCs w:val="24"/>
        </w:rPr>
        <w:t>is</w:t>
      </w:r>
      <w:r w:rsidRPr="00E47CCA">
        <w:rPr>
          <w:szCs w:val="24"/>
        </w:rPr>
        <w:t xml:space="preserve"> information </w:t>
      </w:r>
      <w:bookmarkStart w:id="4" w:name="_Hlk175648901"/>
      <w:r w:rsidRPr="00E47CCA">
        <w:rPr>
          <w:szCs w:val="24"/>
        </w:rPr>
        <w:t>collection will</w:t>
      </w:r>
      <w:r>
        <w:rPr>
          <w:szCs w:val="24"/>
        </w:rPr>
        <w:t xml:space="preserve"> be used in conjunction with information from planned pretesting activities to inform revisions to SOGI measures for ACF youth program participants and additional measures for PREP youth participant entry and exit surveys</w:t>
      </w:r>
      <w:r w:rsidRPr="0089288B">
        <w:rPr>
          <w:szCs w:val="24"/>
        </w:rPr>
        <w:t xml:space="preserve">. This effort supports equity and full inclusion for </w:t>
      </w:r>
      <w:r w:rsidRPr="0089288B">
        <w:rPr>
          <w:rFonts w:eastAsia="Times New Roman" w:cs="Times New Roman"/>
          <w:szCs w:val="24"/>
        </w:rPr>
        <w:t>LGBTQI+ individuals as noted in Executive Order (EO) 14075 (</w:t>
      </w:r>
      <w:r w:rsidRPr="0089288B">
        <w:rPr>
          <w:rFonts w:eastAsia="Times New Roman" w:cs="Times New Roman"/>
          <w:i/>
          <w:iCs/>
          <w:szCs w:val="24"/>
        </w:rPr>
        <w:t>Advancing Equality for Lesbian, Gay, Bisexual, Transgender, Queer, and Intersex Individuals</w:t>
      </w:r>
      <w:r w:rsidRPr="0089288B">
        <w:rPr>
          <w:rFonts w:eastAsia="Times New Roman" w:cs="Times New Roman"/>
          <w:szCs w:val="24"/>
        </w:rPr>
        <w:t>) by advancing the responsible and effective collection and use of data on SOGI measures, as discussed in section 11 of the EO.</w:t>
      </w:r>
      <w:r w:rsidRPr="00E47CCA">
        <w:rPr>
          <w:rFonts w:eastAsia="Times New Roman" w:cs="Times New Roman"/>
          <w:szCs w:val="24"/>
        </w:rPr>
        <w:t xml:space="preserve">  </w:t>
      </w:r>
      <w:bookmarkEnd w:id="4"/>
    </w:p>
    <w:bookmarkEnd w:id="3"/>
    <w:p w:rsidR="00DD4F0F" w:rsidP="006B414D" w14:paraId="6CF5EAB1" w14:textId="77777777">
      <w:pPr>
        <w:spacing w:after="0"/>
        <w:rPr>
          <w:rFonts w:cstheme="minorHAnsi"/>
        </w:rPr>
      </w:pPr>
    </w:p>
    <w:p w:rsidR="00014EDC" w:rsidRPr="00FA5B1A" w:rsidP="00AA3DF8" w14:paraId="6A82FB48" w14:textId="326522D4">
      <w:pPr>
        <w:spacing w:after="60"/>
        <w:rPr>
          <w:rFonts w:cstheme="minorHAnsi"/>
          <w:b/>
        </w:rPr>
      </w:pPr>
      <w:r w:rsidRPr="00FA5B1A">
        <w:rPr>
          <w:rFonts w:cstheme="minorHAnsi"/>
        </w:rPr>
        <w:t>This proposed information collection meets the following goals of ACF’s generic clearance for formative data collections for research and evaluation (0970-0356):</w:t>
      </w:r>
    </w:p>
    <w:p w:rsidR="00014EDC" w:rsidRPr="00FA5B1A" w:rsidP="005244F0" w14:paraId="3DEEECC5" w14:textId="77777777">
      <w:pPr>
        <w:numPr>
          <w:ilvl w:val="0"/>
          <w:numId w:val="2"/>
        </w:numPr>
        <w:spacing w:after="0" w:line="240" w:lineRule="auto"/>
        <w:rPr>
          <w:rFonts w:cstheme="minorHAnsi"/>
        </w:rPr>
      </w:pPr>
      <w:r w:rsidRPr="00FA5B1A">
        <w:rPr>
          <w:rFonts w:cstheme="minorHAnsi"/>
        </w:rPr>
        <w:t>inform the development of ACF research</w:t>
      </w:r>
    </w:p>
    <w:p w:rsidR="00014EDC" w:rsidRPr="00FA5B1A" w:rsidP="005244F0" w14:paraId="11FE25D3" w14:textId="77777777">
      <w:pPr>
        <w:numPr>
          <w:ilvl w:val="0"/>
          <w:numId w:val="2"/>
        </w:numPr>
        <w:spacing w:after="0" w:line="240" w:lineRule="auto"/>
        <w:rPr>
          <w:rFonts w:cstheme="minorHAnsi"/>
        </w:rPr>
      </w:pPr>
      <w:r w:rsidRPr="00FA5B1A">
        <w:rPr>
          <w:rFonts w:cstheme="minorHAnsi"/>
        </w:rPr>
        <w:t>maintain a research agenda that is rigorous and relevant</w:t>
      </w:r>
    </w:p>
    <w:p w:rsidR="004328A4" w:rsidRPr="00014EDC" w:rsidP="00DF1291" w14:paraId="36656807" w14:textId="1CC7EE16">
      <w:pPr>
        <w:spacing w:after="0" w:line="240" w:lineRule="auto"/>
        <w:rPr>
          <w:rFonts w:cstheme="minorHAnsi"/>
          <w:i/>
        </w:rPr>
      </w:pPr>
    </w:p>
    <w:p w:rsidR="00A36134" w:rsidRPr="00014EDC" w:rsidP="00A36134" w14:paraId="12840CC4" w14:textId="329FB5CA">
      <w:pPr>
        <w:spacing w:after="0" w:line="240" w:lineRule="auto"/>
        <w:rPr>
          <w:rFonts w:cstheme="minorHAnsi"/>
        </w:rPr>
      </w:pPr>
      <w:r w:rsidRPr="00014EDC">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7D0F6E" w:rsidRPr="004328A4" w:rsidP="00DF1291" w14:paraId="3D05813B" w14:textId="77777777">
      <w:pPr>
        <w:spacing w:after="0" w:line="240" w:lineRule="auto"/>
        <w:rPr>
          <w:i/>
        </w:rPr>
      </w:pPr>
    </w:p>
    <w:p w:rsidR="004328A4" w:rsidP="007D0F6E" w14:paraId="57EB8C37" w14:textId="6980E6FD">
      <w:pPr>
        <w:spacing w:after="120" w:line="240" w:lineRule="auto"/>
        <w:rPr>
          <w:i/>
        </w:rPr>
      </w:pPr>
      <w:r>
        <w:rPr>
          <w:i/>
        </w:rPr>
        <w:t>Guiding</w:t>
      </w:r>
      <w:r w:rsidRPr="004328A4">
        <w:rPr>
          <w:i/>
        </w:rPr>
        <w:t xml:space="preserve"> Questions </w:t>
      </w:r>
    </w:p>
    <w:p w:rsidR="004328A4" w:rsidP="00DD4F0F" w14:paraId="5B5CEC90" w14:textId="16236ABE">
      <w:pPr>
        <w:spacing w:after="60" w:line="240" w:lineRule="auto"/>
        <w:rPr>
          <w:iCs/>
        </w:rPr>
      </w:pPr>
      <w:r w:rsidRPr="00DD4F0F">
        <w:rPr>
          <w:iCs/>
        </w:rPr>
        <w:t xml:space="preserve">Focus groups will </w:t>
      </w:r>
      <w:r>
        <w:rPr>
          <w:iCs/>
        </w:rPr>
        <w:t xml:space="preserve">focus on the following guiding questions: </w:t>
      </w:r>
    </w:p>
    <w:p w:rsidR="00DD4F0F" w:rsidRPr="003B1C38" w:rsidP="006B414D" w14:paraId="47544BD2" w14:textId="77777777">
      <w:pPr>
        <w:pStyle w:val="pf0"/>
        <w:numPr>
          <w:ilvl w:val="0"/>
          <w:numId w:val="3"/>
        </w:numPr>
        <w:spacing w:before="0" w:beforeAutospacing="0" w:after="0" w:afterAutospacing="0"/>
        <w:rPr>
          <w:rStyle w:val="cf01"/>
          <w:rFonts w:asciiTheme="minorHAnsi" w:hAnsiTheme="minorHAnsi" w:cstheme="minorHAnsi"/>
          <w:sz w:val="22"/>
          <w:szCs w:val="22"/>
        </w:rPr>
      </w:pPr>
      <w:r w:rsidRPr="005237B2">
        <w:rPr>
          <w:rStyle w:val="cf01"/>
          <w:rFonts w:asciiTheme="minorHAnsi" w:hAnsiTheme="minorHAnsi" w:cstheme="minorHAnsi"/>
          <w:sz w:val="22"/>
          <w:szCs w:val="22"/>
        </w:rPr>
        <w:t xml:space="preserve">Which entry and exit survey questions have PREP grant recipients found to be difficult for their youth respondents to understand? </w:t>
      </w:r>
    </w:p>
    <w:p w:rsidR="00DD4F0F" w:rsidRPr="005237B2" w:rsidP="00B018D6" w14:paraId="07ED9733" w14:textId="77777777">
      <w:pPr>
        <w:pStyle w:val="pf0"/>
        <w:numPr>
          <w:ilvl w:val="0"/>
          <w:numId w:val="3"/>
        </w:numPr>
        <w:spacing w:before="0" w:beforeAutospacing="0" w:after="0" w:afterAutospacing="0"/>
        <w:rPr>
          <w:rFonts w:asciiTheme="minorHAnsi" w:hAnsiTheme="minorHAnsi" w:cstheme="minorHAnsi"/>
          <w:sz w:val="22"/>
          <w:szCs w:val="22"/>
        </w:rPr>
      </w:pPr>
      <w:r w:rsidRPr="005237B2">
        <w:rPr>
          <w:rStyle w:val="cf01"/>
          <w:rFonts w:asciiTheme="minorHAnsi" w:hAnsiTheme="minorHAnsi" w:cstheme="minorHAnsi"/>
          <w:sz w:val="22"/>
          <w:szCs w:val="22"/>
        </w:rPr>
        <w:t xml:space="preserve">How could these questions be improved? </w:t>
      </w:r>
    </w:p>
    <w:p w:rsidR="007D0F6E" w:rsidP="00DF1291" w14:paraId="074BB4AA" w14:textId="77777777">
      <w:pPr>
        <w:spacing w:after="0" w:line="240" w:lineRule="auto"/>
        <w:rPr>
          <w:i/>
        </w:rPr>
      </w:pPr>
    </w:p>
    <w:p w:rsidR="004328A4" w:rsidP="00B018D6" w14:paraId="5C99A251" w14:textId="06F137D6">
      <w:pPr>
        <w:spacing w:after="120" w:line="240" w:lineRule="auto"/>
        <w:rPr>
          <w:i/>
        </w:rPr>
      </w:pPr>
      <w:r>
        <w:rPr>
          <w:i/>
        </w:rPr>
        <w:t>Study Design</w:t>
      </w:r>
    </w:p>
    <w:tbl>
      <w:tblPr>
        <w:tblStyle w:val="TableGrid"/>
        <w:tblW w:w="9175" w:type="dxa"/>
        <w:tblInd w:w="0" w:type="dxa"/>
        <w:tblLook w:val="04A0"/>
      </w:tblPr>
      <w:tblGrid>
        <w:gridCol w:w="2065"/>
        <w:gridCol w:w="4950"/>
        <w:gridCol w:w="2160"/>
      </w:tblGrid>
      <w:tr w14:paraId="51FF2E50" w14:textId="77777777" w:rsidTr="00DD4F0F">
        <w:tblPrEx>
          <w:tblW w:w="9175" w:type="dxa"/>
          <w:tblInd w:w="0" w:type="dxa"/>
          <w:tblLook w:val="04A0"/>
        </w:tblPrEx>
        <w:tc>
          <w:tcPr>
            <w:tcW w:w="2065" w:type="dxa"/>
            <w:shd w:val="clear" w:color="auto" w:fill="D9D9D9" w:themeFill="background1" w:themeFillShade="D9"/>
          </w:tcPr>
          <w:p w:rsidR="00DD4F0F" w:rsidRPr="00BC3401" w:rsidP="005943ED" w14:paraId="750C64CA" w14:textId="6E9DA2C0">
            <w:pPr>
              <w:rPr>
                <w:rFonts w:asciiTheme="minorHAnsi" w:hAnsiTheme="minorHAnsi" w:cstheme="minorHAnsi"/>
                <w:i/>
              </w:rPr>
            </w:pPr>
            <w:r w:rsidRPr="00BC3401">
              <w:rPr>
                <w:rFonts w:asciiTheme="minorHAnsi" w:hAnsiTheme="minorHAnsi" w:cstheme="minorHAnsi"/>
                <w:i/>
              </w:rPr>
              <w:t>Instrument</w:t>
            </w:r>
          </w:p>
        </w:tc>
        <w:tc>
          <w:tcPr>
            <w:tcW w:w="4950" w:type="dxa"/>
            <w:shd w:val="clear" w:color="auto" w:fill="D9D9D9" w:themeFill="background1" w:themeFillShade="D9"/>
          </w:tcPr>
          <w:p w:rsidR="00DD4F0F" w:rsidRPr="00BC3401" w:rsidP="005943ED"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2160" w:type="dxa"/>
            <w:shd w:val="clear" w:color="auto" w:fill="D9D9D9" w:themeFill="background1" w:themeFillShade="D9"/>
          </w:tcPr>
          <w:p w:rsidR="00DD4F0F" w:rsidRPr="00BC3401" w:rsidP="005943ED" w14:paraId="0C4F1C59" w14:textId="77777777">
            <w:pPr>
              <w:rPr>
                <w:rFonts w:asciiTheme="minorHAnsi" w:hAnsiTheme="minorHAnsi" w:cstheme="minorHAnsi"/>
                <w:i/>
              </w:rPr>
            </w:pPr>
            <w:r w:rsidRPr="00BC3401">
              <w:rPr>
                <w:rFonts w:asciiTheme="minorHAnsi" w:hAnsiTheme="minorHAnsi" w:cstheme="minorHAnsi"/>
                <w:i/>
              </w:rPr>
              <w:t>Mode and Duration</w:t>
            </w:r>
          </w:p>
        </w:tc>
      </w:tr>
      <w:tr w14:paraId="7460439D" w14:textId="77777777" w:rsidTr="00DD4F0F">
        <w:tblPrEx>
          <w:tblW w:w="9175" w:type="dxa"/>
          <w:tblInd w:w="0" w:type="dxa"/>
          <w:tblLook w:val="04A0"/>
        </w:tblPrEx>
        <w:tc>
          <w:tcPr>
            <w:tcW w:w="2065" w:type="dxa"/>
          </w:tcPr>
          <w:p w:rsidR="00DD4F0F" w:rsidRPr="00BC3401" w:rsidP="00DD4F0F" w14:paraId="3EDF4256" w14:textId="5F86564A">
            <w:pPr>
              <w:rPr>
                <w:rFonts w:asciiTheme="minorHAnsi" w:hAnsiTheme="minorHAnsi" w:cstheme="minorHAnsi"/>
              </w:rPr>
            </w:pPr>
            <w:r w:rsidRPr="007D50D4">
              <w:rPr>
                <w:rFonts w:asciiTheme="minorHAnsi" w:hAnsiTheme="minorHAnsi" w:cstheme="minorHAnsi"/>
              </w:rPr>
              <w:t xml:space="preserve">Topic guide for grant recipient focus groups </w:t>
            </w:r>
          </w:p>
        </w:tc>
        <w:tc>
          <w:tcPr>
            <w:tcW w:w="4950" w:type="dxa"/>
          </w:tcPr>
          <w:p w:rsidR="00DD4F0F" w:rsidRPr="00BC3401" w:rsidP="00DD4F0F" w14:paraId="447C9026" w14:textId="77777777">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Pr>
                <w:rFonts w:asciiTheme="minorHAnsi" w:hAnsiTheme="minorHAnsi" w:cstheme="minorHAnsi"/>
              </w:rPr>
              <w:t xml:space="preserve">Up to 60 PREP grant recipients </w:t>
            </w:r>
          </w:p>
          <w:p w:rsidR="00DD4F0F" w:rsidRPr="00BC3401" w:rsidP="00DD4F0F" w14:paraId="79B2DF89" w14:textId="77777777">
            <w:pPr>
              <w:rPr>
                <w:rFonts w:asciiTheme="minorHAnsi" w:hAnsiTheme="minorHAnsi" w:cstheme="minorHAnsi"/>
              </w:rPr>
            </w:pPr>
          </w:p>
          <w:p w:rsidR="00DD4F0F" w:rsidRPr="00BC3401" w:rsidP="00DD4F0F" w14:paraId="5E3693E3" w14:textId="77777777">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Pr>
                <w:rFonts w:asciiTheme="minorHAnsi" w:hAnsiTheme="minorHAnsi" w:cstheme="minorHAnsi"/>
              </w:rPr>
              <w:t xml:space="preserve">Questions around their experiences administering the current PREP participant entry and exit surveys, which items their respondents found difficult to understand or answer, and suggestions for revisions. </w:t>
            </w:r>
          </w:p>
          <w:p w:rsidR="00DD4F0F" w:rsidRPr="00BC3401" w:rsidP="00DD4F0F" w14:paraId="6ED454E3" w14:textId="77777777">
            <w:pPr>
              <w:rPr>
                <w:rFonts w:asciiTheme="minorHAnsi" w:hAnsiTheme="minorHAnsi" w:cstheme="minorHAnsi"/>
              </w:rPr>
            </w:pPr>
          </w:p>
          <w:p w:rsidR="00DD4F0F" w:rsidRPr="00BC3401" w:rsidP="00DD4F0F" w14:paraId="11DAEC14" w14:textId="62C9781B">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Pr>
                <w:rFonts w:asciiTheme="minorHAnsi" w:hAnsiTheme="minorHAnsi" w:cstheme="minorHAnsi"/>
              </w:rPr>
              <w:t xml:space="preserve"> To identify and improve questions that respondents have found unclear</w:t>
            </w:r>
          </w:p>
        </w:tc>
        <w:tc>
          <w:tcPr>
            <w:tcW w:w="2160" w:type="dxa"/>
          </w:tcPr>
          <w:p w:rsidR="00DD4F0F" w:rsidRPr="00BC3401" w:rsidP="00DD4F0F" w14:paraId="4BC8700A" w14:textId="77777777">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Pr>
                <w:rFonts w:asciiTheme="minorHAnsi" w:hAnsiTheme="minorHAnsi" w:cstheme="minorHAnsi"/>
              </w:rPr>
              <w:t xml:space="preserve">Virtual </w:t>
            </w:r>
          </w:p>
          <w:p w:rsidR="00DD4F0F" w:rsidRPr="00BC3401" w:rsidP="00DD4F0F" w14:paraId="637F15E8" w14:textId="77777777">
            <w:pPr>
              <w:rPr>
                <w:rFonts w:asciiTheme="minorHAnsi" w:hAnsiTheme="minorHAnsi" w:cstheme="minorHAnsi"/>
              </w:rPr>
            </w:pPr>
          </w:p>
          <w:p w:rsidR="00DD4F0F" w:rsidRPr="00BC3401" w:rsidP="00DD4F0F" w14:paraId="5A3D1520" w14:textId="1D78632A">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Pr>
                <w:rFonts w:asciiTheme="minorHAnsi" w:hAnsiTheme="minorHAnsi" w:cstheme="minorHAnsi"/>
              </w:rPr>
              <w:t xml:space="preserve"> 1.5 hour </w:t>
            </w:r>
          </w:p>
        </w:tc>
      </w:tr>
    </w:tbl>
    <w:p w:rsidR="007D0F6E" w:rsidP="00DF1291" w14:paraId="276E8AA7" w14:textId="77777777">
      <w:pPr>
        <w:spacing w:after="0" w:line="240" w:lineRule="auto"/>
        <w:rPr>
          <w:i/>
        </w:rPr>
      </w:pPr>
    </w:p>
    <w:p w:rsidR="004328A4" w:rsidRPr="004328A4" w:rsidP="006B414D" w14:paraId="6B7E22CE" w14:textId="14554C6B">
      <w:pPr>
        <w:spacing w:before="120" w:after="60" w:line="240" w:lineRule="auto"/>
        <w:rPr>
          <w:i/>
        </w:rPr>
      </w:pPr>
      <w:r>
        <w:rPr>
          <w:i/>
        </w:rPr>
        <w:t>Other Data Sources and Uses of Information</w:t>
      </w:r>
    </w:p>
    <w:p w:rsidR="000D7D44" w:rsidP="007D0F6E" w14:paraId="37B1551D" w14:textId="4DABED27">
      <w:pPr>
        <w:spacing w:after="0" w:line="240" w:lineRule="auto"/>
      </w:pPr>
      <w:r>
        <w:t xml:space="preserve">Information collected through this effort will be used with planned pretesting activities, </w:t>
      </w:r>
      <w:r w:rsidRPr="007F7A0D">
        <w:rPr>
          <w:bCs/>
        </w:rPr>
        <w:t xml:space="preserve">which will be submitted for review and approval under the </w:t>
      </w:r>
      <w:r w:rsidRPr="00B3652D">
        <w:t xml:space="preserve">Pre-testing of </w:t>
      </w:r>
      <w:r>
        <w:t>ACF</w:t>
      </w:r>
      <w:r w:rsidRPr="00B3652D">
        <w:t xml:space="preserve"> Data Collection Activities</w:t>
      </w:r>
      <w:r w:rsidR="00784C11">
        <w:t xml:space="preserve"> umbrella generic</w:t>
      </w:r>
      <w:r>
        <w:t xml:space="preserve"> (0970-0355).</w:t>
      </w:r>
    </w:p>
    <w:p w:rsidR="007D0F6E" w:rsidP="007D0F6E" w14:paraId="6B426E89" w14:textId="5857DAD9">
      <w:pPr>
        <w:spacing w:after="0" w:line="240" w:lineRule="auto"/>
      </w:pPr>
    </w:p>
    <w:p w:rsidR="007D0F6E" w:rsidP="007D0F6E" w14:paraId="14276DBE" w14:textId="517D48DC">
      <w:pPr>
        <w:spacing w:after="120" w:line="240" w:lineRule="auto"/>
        <w:rPr>
          <w:b/>
        </w:rPr>
      </w:pPr>
      <w:r w:rsidRPr="00624DDC">
        <w:rPr>
          <w:b/>
        </w:rPr>
        <w:t>A3</w:t>
      </w:r>
      <w:r>
        <w:t>.</w:t>
      </w:r>
      <w:r>
        <w:tab/>
      </w:r>
      <w:r w:rsidRPr="007D0F6E" w:rsidR="004E5778">
        <w:rPr>
          <w:b/>
        </w:rPr>
        <w:t>Use of Information Technology to Reduce Burden</w:t>
      </w:r>
    </w:p>
    <w:p w:rsidR="00CB1F9B" w:rsidP="006B414D" w14:paraId="0D4EC89E" w14:textId="78C26E3C">
      <w:pPr>
        <w:spacing w:after="0" w:line="240" w:lineRule="auto"/>
      </w:pPr>
      <w:r>
        <w:t xml:space="preserve">The study team will conduct the focus group discussions with grant recipients via a video conferencing software, such as </w:t>
      </w:r>
      <w:r w:rsidR="00D72963">
        <w:t xml:space="preserve">Webex or </w:t>
      </w:r>
      <w:r>
        <w:t xml:space="preserve">Zoom. </w:t>
      </w:r>
    </w:p>
    <w:p w:rsidR="00B018D6" w:rsidP="00DF1291" w14:paraId="66A8FED3" w14:textId="77777777">
      <w:pPr>
        <w:pStyle w:val="ListParagraph"/>
        <w:spacing w:after="0" w:line="240" w:lineRule="auto"/>
        <w:ind w:left="360"/>
      </w:pPr>
    </w:p>
    <w:p w:rsidR="006B414D" w:rsidP="007D0F6E" w14:paraId="23D3135E" w14:textId="77777777">
      <w:pPr>
        <w:spacing w:after="120" w:line="240" w:lineRule="auto"/>
        <w:ind w:left="720" w:hanging="720"/>
        <w:rPr>
          <w:b/>
        </w:rPr>
      </w:pPr>
    </w:p>
    <w:p w:rsidR="006B414D" w:rsidP="007D0F6E" w14:paraId="123FC73D" w14:textId="77777777">
      <w:pPr>
        <w:spacing w:after="120" w:line="240" w:lineRule="auto"/>
        <w:ind w:left="720" w:hanging="720"/>
        <w:rPr>
          <w:b/>
        </w:rPr>
      </w:pPr>
    </w:p>
    <w:p w:rsidR="006B414D" w:rsidP="007D0F6E" w14:paraId="12785ED7" w14:textId="77777777">
      <w:pPr>
        <w:spacing w:after="120" w:line="240" w:lineRule="auto"/>
        <w:ind w:left="720" w:hanging="720"/>
        <w:rPr>
          <w:b/>
        </w:rPr>
      </w:pPr>
    </w:p>
    <w:p w:rsidR="00891CD9" w:rsidP="007D0F6E" w14:paraId="1F639D74" w14:textId="33CB1F31">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5B5FCC" w:rsidP="000B42C2" w14:paraId="4F2D0E37" w14:textId="5E66CD87">
      <w:pPr>
        <w:spacing w:after="0" w:line="240" w:lineRule="auto"/>
      </w:pPr>
      <w:r>
        <w:t xml:space="preserve">The study team has scanned available SOGI measures and identified a set of items aligned with ACF’s research priorities and the latest recommendations from OMB </w:t>
      </w:r>
      <w:r w:rsidRPr="000B42C2">
        <w:t>and the National Academies of Sciences, Engineering, and Medicine</w:t>
      </w:r>
      <w:r>
        <w:t xml:space="preserve"> (NASEM)</w:t>
      </w:r>
      <w:r>
        <w:rPr>
          <w:rStyle w:val="FootnoteReference"/>
        </w:rPr>
        <w:footnoteReference w:id="2"/>
      </w:r>
      <w:r w:rsidRPr="000B42C2">
        <w:t xml:space="preserve">. </w:t>
      </w:r>
    </w:p>
    <w:p w:rsidR="00CB1F9B" w:rsidP="00DF1291" w14:paraId="3000107E" w14:textId="77777777">
      <w:pPr>
        <w:spacing w:after="0" w:line="240" w:lineRule="auto"/>
      </w:pPr>
    </w:p>
    <w:p w:rsidR="00B9441B" w:rsidP="00060B30"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060B30" w:rsidP="00DF1291" w14:paraId="58C652C0" w14:textId="3CAE22A5">
      <w:pPr>
        <w:spacing w:after="0" w:line="240" w:lineRule="auto"/>
      </w:pPr>
      <w:r w:rsidRPr="00BE403E">
        <w:t xml:space="preserve">The </w:t>
      </w:r>
      <w:r>
        <w:t xml:space="preserve">study </w:t>
      </w:r>
      <w:r w:rsidRPr="00BE403E">
        <w:t xml:space="preserve">team will </w:t>
      </w:r>
      <w:r>
        <w:t xml:space="preserve">work closely with program staff to schedule the data collection activities and request only the information necessary for the activities. </w:t>
      </w:r>
    </w:p>
    <w:p w:rsidR="005B5FCC" w:rsidP="00DF1291" w14:paraId="373D68B1" w14:textId="77777777">
      <w:pPr>
        <w:spacing w:after="0" w:line="240" w:lineRule="auto"/>
      </w:pPr>
    </w:p>
    <w:p w:rsidR="00CC4651" w:rsidP="00060B30"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0B42C2" w:rsidP="000B42C2" w14:paraId="0203E26E" w14:textId="77777777">
      <w:pPr>
        <w:spacing w:after="0"/>
      </w:pPr>
      <w:r>
        <w:t xml:space="preserve">This is a one-time data collection. </w:t>
      </w:r>
    </w:p>
    <w:p w:rsidR="00CB1F9B" w:rsidP="00060B30" w14:paraId="2092E3EA" w14:textId="77777777">
      <w:pPr>
        <w:spacing w:after="0"/>
      </w:pPr>
    </w:p>
    <w:p w:rsidR="00B9441B" w:rsidP="00060B30" w14:paraId="109190DF" w14:textId="24A5C3A1">
      <w:pPr>
        <w:spacing w:after="120" w:line="240" w:lineRule="auto"/>
        <w:rPr>
          <w:b/>
        </w:rPr>
      </w:pPr>
      <w:r w:rsidRPr="00624DDC">
        <w:rPr>
          <w:b/>
        </w:rPr>
        <w:t>A7</w:t>
      </w:r>
      <w:r>
        <w:t>.</w:t>
      </w:r>
      <w:r>
        <w:tab/>
      </w:r>
      <w:r w:rsidRPr="00834C54">
        <w:rPr>
          <w:b/>
        </w:rPr>
        <w:t>Now subsumed under 2(b) above and 10 (below)</w:t>
      </w:r>
    </w:p>
    <w:p w:rsidR="008267B4" w:rsidP="008267B4" w14:paraId="07720509" w14:textId="77777777">
      <w:pPr>
        <w:spacing w:after="0" w:line="240" w:lineRule="auto"/>
        <w:rPr>
          <w:b/>
        </w:rPr>
      </w:pPr>
    </w:p>
    <w:p w:rsidR="00B9441B" w:rsidP="00060B30" w14:paraId="3B6F8604" w14:textId="28A5BD20">
      <w:pPr>
        <w:spacing w:after="120"/>
        <w:rPr>
          <w:b/>
        </w:rPr>
      </w:pPr>
      <w:r w:rsidRPr="00624DDC">
        <w:rPr>
          <w:b/>
        </w:rPr>
        <w:t>A8</w:t>
      </w:r>
      <w:r>
        <w:t>.</w:t>
      </w:r>
      <w:r>
        <w:tab/>
      </w:r>
      <w:r w:rsidRPr="00834C54">
        <w:rPr>
          <w:b/>
        </w:rPr>
        <w:t>Consultation</w:t>
      </w:r>
    </w:p>
    <w:p w:rsidR="00060B30" w:rsidRPr="00060B30" w:rsidP="000B42C2" w14:paraId="2F3836D2" w14:textId="77777777">
      <w:pPr>
        <w:spacing w:after="60"/>
        <w:rPr>
          <w:i/>
        </w:rPr>
      </w:pPr>
      <w:r w:rsidRPr="00060B30">
        <w:rPr>
          <w:i/>
        </w:rPr>
        <w:t>Federal Register Notice and Comments</w:t>
      </w:r>
    </w:p>
    <w:p w:rsidR="00453A86" w:rsidP="00B018D6" w14:paraId="4014F733" w14:textId="75E85B18">
      <w:pPr>
        <w:spacing w:after="0" w:line="240" w:lineRule="auto"/>
      </w:pPr>
      <w:r w:rsidRPr="00F4788E">
        <w:t>In accordance with the Paperwork Reduction Act of 1995 (Pub. L. 104-13</w:t>
      </w:r>
      <w:r>
        <w:t>)</w:t>
      </w:r>
      <w:r w:rsidRPr="00F4788E">
        <w:t xml:space="preserve"> and Office of Management and Budget (OMB) regulations at 5 CFR Part 1320 (60 FR 44978, August 29, 1995), ACF published </w:t>
      </w:r>
      <w:r w:rsidR="00405075">
        <w:t xml:space="preserve">two </w:t>
      </w:r>
      <w:r w:rsidRPr="00F4788E">
        <w:t>notice</w:t>
      </w:r>
      <w:r w:rsidR="00405075">
        <w:t>s</w:t>
      </w:r>
      <w:r w:rsidRPr="00F4788E">
        <w:t xml:space="preserve"> in the Federal Register announcing the agency’s intention to </w:t>
      </w:r>
      <w:r w:rsidRPr="001E1086">
        <w:t xml:space="preserve">request an OMB </w:t>
      </w:r>
      <w:r w:rsidRPr="00D44EA5">
        <w:t xml:space="preserve">review of the overarching generic clearance </w:t>
      </w:r>
      <w:r w:rsidRPr="00453A86">
        <w:t xml:space="preserve">for formative information collection. This </w:t>
      </w:r>
      <w:r w:rsidRPr="00453A86" w:rsidR="00405075">
        <w:t xml:space="preserve">first </w:t>
      </w:r>
      <w:r w:rsidRPr="00453A86">
        <w:t xml:space="preserve">notice was published on </w:t>
      </w:r>
      <w:r w:rsidR="0077222B">
        <w:t>August 11, 2023 (88 FR 54614)</w:t>
      </w:r>
      <w:r w:rsidRPr="00453A86">
        <w:t xml:space="preserve"> and provided a sixty-day period for public comment. </w:t>
      </w:r>
      <w:r w:rsidRPr="00453A86" w:rsidR="00405075">
        <w:t xml:space="preserve">The second notice published on </w:t>
      </w:r>
      <w:r w:rsidR="0077222B">
        <w:t>December 14, 2023 (88 FR 86656)</w:t>
      </w:r>
      <w:r w:rsidRPr="00453A86" w:rsidR="00405075">
        <w:t xml:space="preserve"> and provided a thirty-day period for public comment. ACF did not receive any substantive comments</w:t>
      </w:r>
      <w:r w:rsidRPr="00453A86">
        <w:t>.</w:t>
      </w:r>
      <w:r>
        <w:t xml:space="preserve"> </w:t>
      </w:r>
    </w:p>
    <w:p w:rsidR="00B018D6" w:rsidP="006B414D" w14:paraId="03B310C1" w14:textId="77777777">
      <w:pPr>
        <w:spacing w:after="0" w:line="240" w:lineRule="auto"/>
      </w:pPr>
    </w:p>
    <w:p w:rsidR="00060B30" w:rsidRPr="000B42C2" w:rsidP="006B414D" w14:paraId="678F3F3E" w14:textId="77777777">
      <w:pPr>
        <w:pStyle w:val="Heading4"/>
        <w:spacing w:before="0"/>
        <w:rPr>
          <w:rFonts w:asciiTheme="minorHAnsi" w:hAnsiTheme="minorHAnsi" w:cstheme="minorHAnsi"/>
          <w:b w:val="0"/>
          <w:i/>
          <w:sz w:val="22"/>
          <w:szCs w:val="22"/>
        </w:rPr>
      </w:pPr>
      <w:r w:rsidRPr="000B42C2">
        <w:rPr>
          <w:rFonts w:asciiTheme="minorHAnsi" w:hAnsiTheme="minorHAnsi" w:cstheme="minorHAnsi"/>
          <w:b w:val="0"/>
          <w:i/>
          <w:sz w:val="22"/>
          <w:szCs w:val="22"/>
        </w:rPr>
        <w:t>Consultation with Experts Outside of the Study</w:t>
      </w:r>
    </w:p>
    <w:p w:rsidR="00E77F37" w:rsidP="00B018D6" w14:paraId="32615543" w14:textId="75A00FA1">
      <w:pPr>
        <w:spacing w:after="0" w:line="240" w:lineRule="auto"/>
        <w:rPr>
          <w:rStyle w:val="CommentReference"/>
        </w:rPr>
      </w:pPr>
      <w:r w:rsidRPr="00C40A25">
        <w:rPr>
          <w:rFonts w:cstheme="minorHAnsi"/>
        </w:rPr>
        <w:t xml:space="preserve">To develop the original PREP performance measures (OMB Control #0970-0398), ACF consulted with staff of Mathematica, </w:t>
      </w:r>
      <w:r w:rsidRPr="00072B82">
        <w:t>Child</w:t>
      </w:r>
      <w:r w:rsidRPr="00C40A25">
        <w:rPr>
          <w:rFonts w:cstheme="minorHAnsi"/>
        </w:rPr>
        <w:t xml:space="preserve"> Trends, and RTI International. </w:t>
      </w:r>
      <w:r>
        <w:rPr>
          <w:rFonts w:cstheme="minorHAnsi"/>
        </w:rPr>
        <w:t xml:space="preserve">For revisions to the measures, </w:t>
      </w:r>
      <w:r w:rsidRPr="00C40A25">
        <w:rPr>
          <w:rFonts w:cstheme="minorHAnsi"/>
        </w:rPr>
        <w:t>ACF also consulted internal FYSB and OPRE</w:t>
      </w:r>
      <w:r>
        <w:rPr>
          <w:rFonts w:cstheme="minorHAnsi"/>
        </w:rPr>
        <w:t xml:space="preserve"> staff,</w:t>
      </w:r>
      <w:r w:rsidRPr="00C40A25">
        <w:rPr>
          <w:rFonts w:cstheme="minorHAnsi"/>
        </w:rPr>
        <w:t xml:space="preserve"> select</w:t>
      </w:r>
      <w:r>
        <w:rPr>
          <w:rFonts w:cstheme="minorHAnsi"/>
        </w:rPr>
        <w:t>ed</w:t>
      </w:r>
      <w:r w:rsidRPr="00C40A25">
        <w:rPr>
          <w:rFonts w:cstheme="minorHAnsi"/>
        </w:rPr>
        <w:t xml:space="preserve"> PREP grantees</w:t>
      </w:r>
      <w:r>
        <w:rPr>
          <w:rFonts w:cstheme="minorHAnsi"/>
        </w:rPr>
        <w:t>, and</w:t>
      </w:r>
      <w:r w:rsidRPr="00C40A25">
        <w:rPr>
          <w:rFonts w:cstheme="minorHAnsi"/>
        </w:rPr>
        <w:t xml:space="preserve"> FYSB and ACF leadership.</w:t>
      </w:r>
      <w:r w:rsidRPr="00483B47">
        <w:rPr>
          <w:rStyle w:val="CommentReference"/>
        </w:rPr>
        <w:t xml:space="preserve"> </w:t>
      </w:r>
    </w:p>
    <w:p w:rsidR="00B018D6" w:rsidP="006B414D" w14:paraId="15F8EA33" w14:textId="77777777">
      <w:pPr>
        <w:spacing w:after="0" w:line="240" w:lineRule="auto"/>
        <w:rPr>
          <w:rStyle w:val="CommentReference"/>
        </w:rPr>
      </w:pPr>
    </w:p>
    <w:p w:rsidR="00E77F37" w:rsidP="006B414D" w14:paraId="5D4008E5" w14:textId="44EA6C38">
      <w:pPr>
        <w:pStyle w:val="pf0"/>
        <w:spacing w:before="0" w:beforeAutospacing="0" w:after="60" w:afterAutospacing="0"/>
        <w:rPr>
          <w:rStyle w:val="cf01"/>
          <w:rFonts w:asciiTheme="minorHAnsi" w:eastAsiaTheme="minorHAnsi" w:hAnsiTheme="minorHAnsi" w:cstheme="minorHAnsi"/>
          <w:sz w:val="22"/>
          <w:szCs w:val="22"/>
        </w:rPr>
      </w:pPr>
      <w:r>
        <w:rPr>
          <w:rStyle w:val="cf01"/>
          <w:rFonts w:asciiTheme="minorHAnsi" w:hAnsiTheme="minorHAnsi" w:cstheme="minorHAnsi"/>
          <w:sz w:val="22"/>
          <w:szCs w:val="22"/>
        </w:rPr>
        <w:t xml:space="preserve">For revisions to the SOGI measures specifically, we have received </w:t>
      </w:r>
      <w:r w:rsidRPr="00E77F37">
        <w:rPr>
          <w:rStyle w:val="cf01"/>
          <w:rFonts w:asciiTheme="minorHAnsi" w:hAnsiTheme="minorHAnsi" w:cstheme="minorHAnsi"/>
          <w:sz w:val="22"/>
          <w:szCs w:val="22"/>
        </w:rPr>
        <w:t>feedback from PREP grantees and their FYSB federal project officers</w:t>
      </w:r>
      <w:r w:rsidR="00AF1B3E">
        <w:rPr>
          <w:rStyle w:val="cf01"/>
          <w:rFonts w:asciiTheme="minorHAnsi" w:hAnsiTheme="minorHAnsi" w:cstheme="minorHAnsi"/>
          <w:sz w:val="22"/>
          <w:szCs w:val="22"/>
        </w:rPr>
        <w:t xml:space="preserve"> and consulted with </w:t>
      </w:r>
      <w:r w:rsidRPr="00E77F37">
        <w:rPr>
          <w:rStyle w:val="cf01"/>
          <w:rFonts w:asciiTheme="minorHAnsi" w:hAnsiTheme="minorHAnsi" w:cstheme="minorHAnsi"/>
          <w:sz w:val="22"/>
          <w:szCs w:val="22"/>
        </w:rPr>
        <w:t>the HHS LGBTQ+ Coordinating Committee and Research and Data Subcommittee</w:t>
      </w:r>
      <w:r w:rsidR="00AF1B3E">
        <w:rPr>
          <w:rStyle w:val="cf01"/>
          <w:rFonts w:asciiTheme="minorHAnsi" w:hAnsiTheme="minorHAnsi" w:cstheme="minorHAnsi"/>
          <w:sz w:val="22"/>
          <w:szCs w:val="22"/>
        </w:rPr>
        <w:t xml:space="preserve"> as well as </w:t>
      </w:r>
      <w:r w:rsidRPr="00E77F37">
        <w:rPr>
          <w:rStyle w:val="cf01"/>
          <w:rFonts w:asciiTheme="minorHAnsi" w:hAnsiTheme="minorHAnsi" w:cstheme="minorHAnsi"/>
          <w:sz w:val="22"/>
          <w:szCs w:val="22"/>
        </w:rPr>
        <w:t>the NASEM report and OMB guidance</w:t>
      </w:r>
      <w:r w:rsidR="00AF1B3E">
        <w:rPr>
          <w:rStyle w:val="cf01"/>
          <w:rFonts w:asciiTheme="minorHAnsi" w:hAnsiTheme="minorHAnsi" w:cstheme="minorHAnsi"/>
          <w:sz w:val="22"/>
          <w:szCs w:val="22"/>
        </w:rPr>
        <w:t>:</w:t>
      </w:r>
    </w:p>
    <w:p w:rsidR="00AF1B3E" w:rsidRPr="00AF1B3E" w:rsidP="00B018D6" w14:paraId="5ED50F20" w14:textId="77777777">
      <w:pPr>
        <w:pStyle w:val="pf0"/>
        <w:numPr>
          <w:ilvl w:val="0"/>
          <w:numId w:val="5"/>
        </w:numPr>
        <w:spacing w:before="0" w:beforeAutospacing="0" w:after="0" w:afterAutospacing="0"/>
        <w:rPr>
          <w:rStyle w:val="cf01"/>
          <w:rFonts w:ascii="Times New Roman" w:hAnsi="Times New Roman" w:cs="Times New Roman"/>
          <w:sz w:val="24"/>
          <w:szCs w:val="24"/>
        </w:rPr>
      </w:pPr>
      <w:r w:rsidRPr="00AF1B3E">
        <w:rPr>
          <w:rStyle w:val="cf01"/>
          <w:rFonts w:asciiTheme="minorHAnsi" w:hAnsiTheme="minorHAnsi" w:cstheme="minorHAnsi"/>
          <w:sz w:val="22"/>
          <w:szCs w:val="22"/>
        </w:rPr>
        <w:t xml:space="preserve">National Academies of Sciences, Engineering, and Medicine. 2022. </w:t>
      </w:r>
      <w:r w:rsidRPr="00AF1B3E">
        <w:rPr>
          <w:rStyle w:val="cf11"/>
          <w:rFonts w:asciiTheme="minorHAnsi" w:hAnsiTheme="minorHAnsi" w:cstheme="minorHAnsi"/>
          <w:sz w:val="22"/>
          <w:szCs w:val="22"/>
        </w:rPr>
        <w:t>Measuring Sex, Gender Identity, and Sexual Orientation</w:t>
      </w:r>
      <w:r w:rsidRPr="00AF1B3E">
        <w:rPr>
          <w:rStyle w:val="cf01"/>
          <w:rFonts w:asciiTheme="minorHAnsi" w:hAnsiTheme="minorHAnsi" w:cstheme="minorHAnsi"/>
          <w:sz w:val="22"/>
          <w:szCs w:val="22"/>
        </w:rPr>
        <w:t xml:space="preserve">. Washington, DC: The National Academies Press. </w:t>
      </w:r>
      <w:hyperlink r:id="rId9" w:history="1">
        <w:r w:rsidRPr="00AF1B3E">
          <w:rPr>
            <w:rStyle w:val="cf01"/>
            <w:rFonts w:asciiTheme="minorHAnsi" w:hAnsiTheme="minorHAnsi" w:cstheme="minorHAnsi"/>
            <w:color w:val="0000FF"/>
            <w:sz w:val="22"/>
            <w:szCs w:val="22"/>
            <w:u w:val="single"/>
          </w:rPr>
          <w:t>https://doi.org/10.17226/26424</w:t>
        </w:r>
      </w:hyperlink>
      <w:r w:rsidRPr="00AF1B3E">
        <w:rPr>
          <w:rStyle w:val="cf01"/>
          <w:rFonts w:asciiTheme="minorHAnsi" w:hAnsiTheme="minorHAnsi" w:cstheme="minorHAnsi"/>
          <w:sz w:val="22"/>
          <w:szCs w:val="22"/>
        </w:rPr>
        <w:t>.</w:t>
      </w:r>
    </w:p>
    <w:p w:rsidR="00060B30" w:rsidRPr="00B018D6" w:rsidP="00B018D6" w14:paraId="7D7A0EA1" w14:textId="1C896ADB">
      <w:pPr>
        <w:pStyle w:val="pf0"/>
        <w:numPr>
          <w:ilvl w:val="0"/>
          <w:numId w:val="5"/>
        </w:numPr>
        <w:spacing w:before="0" w:beforeAutospacing="0" w:after="0" w:afterAutospacing="0"/>
        <w:rPr>
          <w:rStyle w:val="cf01"/>
          <w:rFonts w:ascii="Times New Roman" w:hAnsi="Times New Roman" w:cs="Times New Roman"/>
          <w:sz w:val="24"/>
          <w:szCs w:val="24"/>
        </w:rPr>
      </w:pPr>
      <w:r w:rsidRPr="00AF1B3E">
        <w:rPr>
          <w:rStyle w:val="cf01"/>
          <w:rFonts w:asciiTheme="minorHAnsi" w:hAnsiTheme="minorHAnsi" w:cstheme="minorHAnsi"/>
          <w:sz w:val="22"/>
          <w:szCs w:val="22"/>
        </w:rPr>
        <w:t xml:space="preserve">Recommendations on the Best Practices for the Collection of Sexual Orientation and Gender Identity Data on Federal Statistical Surveys (OMB 2023) </w:t>
      </w:r>
    </w:p>
    <w:p w:rsidR="00B018D6" w:rsidRPr="00AF1B3E" w:rsidP="00B018D6" w14:paraId="7238B20D" w14:textId="77777777">
      <w:pPr>
        <w:pStyle w:val="pf0"/>
        <w:spacing w:before="0" w:beforeAutospacing="0" w:after="0" w:afterAutospacing="0"/>
        <w:ind w:left="720"/>
      </w:pPr>
    </w:p>
    <w:p w:rsidR="009A39E1" w:rsidP="002560D7" w14:paraId="4ADF0CCE" w14:textId="50F60419">
      <w:pPr>
        <w:spacing w:after="120" w:line="240" w:lineRule="auto"/>
      </w:pPr>
      <w:r w:rsidRPr="00624DDC">
        <w:rPr>
          <w:b/>
        </w:rPr>
        <w:t>A9</w:t>
      </w:r>
      <w:r>
        <w:t>.</w:t>
      </w:r>
      <w:r>
        <w:tab/>
      </w:r>
      <w:r w:rsidRPr="005B5FCC">
        <w:rPr>
          <w:b/>
        </w:rPr>
        <w:t>Tokens of App</w:t>
      </w:r>
      <w:r w:rsidRPr="005B5FCC" w:rsidR="005B5FCC">
        <w:rPr>
          <w:b/>
        </w:rPr>
        <w:t>reciation</w:t>
      </w:r>
    </w:p>
    <w:p w:rsidR="002560D7" w:rsidP="002560D7" w14:paraId="144C58E3" w14:textId="32257915">
      <w:pPr>
        <w:spacing w:after="0"/>
      </w:pPr>
      <w:r>
        <w:t xml:space="preserve">No tokens of appreciation are proposed. </w:t>
      </w:r>
    </w:p>
    <w:p w:rsidR="002560D7" w:rsidP="002560D7" w14:paraId="081C54E2" w14:textId="77777777">
      <w:pPr>
        <w:spacing w:after="0"/>
      </w:pPr>
    </w:p>
    <w:p w:rsidR="007C7B4B" w:rsidP="00CB57CE"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0B42C2" w:rsidRPr="00FE187F" w:rsidP="000B42C2" w14:paraId="1812A349" w14:textId="77777777">
      <w:pPr>
        <w:spacing w:after="60" w:line="240" w:lineRule="auto"/>
        <w:rPr>
          <w:i/>
        </w:rPr>
      </w:pPr>
      <w:r>
        <w:rPr>
          <w:i/>
        </w:rPr>
        <w:t>Personally Identifiable Information</w:t>
      </w:r>
    </w:p>
    <w:p w:rsidR="000B42C2" w:rsidP="000B42C2" w14:paraId="5BB6E61C" w14:textId="17EC1EAE">
      <w:pPr>
        <w:spacing w:after="0" w:line="240" w:lineRule="auto"/>
      </w:pPr>
      <w:r>
        <w:t>We will recruit participants using an existing mailing list maintained by Mathematica for contacting PREP</w:t>
      </w:r>
      <w:r w:rsidRPr="00E72A72">
        <w:t xml:space="preserve"> </w:t>
      </w:r>
      <w:r>
        <w:t xml:space="preserve">grant recipients. This information is maintained on Mathematica’s secure network. The grant recipient focus groups will </w:t>
      </w:r>
      <w:r w:rsidR="00011741">
        <w:t xml:space="preserve">not </w:t>
      </w:r>
      <w:r>
        <w:t>be audio recorded</w:t>
      </w:r>
      <w:r w:rsidR="00011741">
        <w:t xml:space="preserve">, </w:t>
      </w:r>
      <w:r>
        <w:t xml:space="preserve"> and no </w:t>
      </w:r>
      <w:r w:rsidR="003D527D">
        <w:t xml:space="preserve">staff or grant </w:t>
      </w:r>
      <w:r>
        <w:t xml:space="preserve">names will be included in the reports to ACF.   </w:t>
      </w:r>
    </w:p>
    <w:p w:rsidR="000B42C2" w:rsidP="000B42C2" w14:paraId="12A6B357" w14:textId="77777777">
      <w:pPr>
        <w:spacing w:after="0" w:line="240" w:lineRule="auto"/>
      </w:pPr>
    </w:p>
    <w:p w:rsidR="000B42C2" w:rsidRPr="009139B3" w:rsidP="000B42C2" w14:paraId="203ACB0D" w14:textId="77777777">
      <w:pPr>
        <w:spacing w:after="0" w:line="240" w:lineRule="auto"/>
        <w:rPr>
          <w:i/>
        </w:rPr>
      </w:pPr>
      <w:r w:rsidRPr="009139B3">
        <w:rPr>
          <w:rFonts w:cstheme="minorHAnsi"/>
        </w:rPr>
        <w:t>Information will not be maintained in a paper or electronic system from which data are actually or directly retrieved by an individuals’ personal identifier.</w:t>
      </w:r>
    </w:p>
    <w:p w:rsidR="000B42C2" w:rsidP="000B42C2" w14:paraId="4AFB7A32" w14:textId="77777777">
      <w:pPr>
        <w:spacing w:after="0" w:line="240" w:lineRule="auto"/>
        <w:rPr>
          <w:i/>
        </w:rPr>
      </w:pPr>
    </w:p>
    <w:p w:rsidR="000B42C2" w:rsidP="000B42C2" w14:paraId="2C8B9ADE" w14:textId="77777777">
      <w:pPr>
        <w:spacing w:after="60" w:line="240" w:lineRule="auto"/>
        <w:rPr>
          <w:i/>
        </w:rPr>
      </w:pPr>
      <w:r>
        <w:rPr>
          <w:i/>
        </w:rPr>
        <w:t>Assurances of Privacy</w:t>
      </w:r>
    </w:p>
    <w:p w:rsidR="000B42C2" w:rsidP="000B42C2" w14:paraId="02C1142A" w14:textId="35BA92A7">
      <w:pPr>
        <w:spacing w:after="0" w:line="240" w:lineRule="auto"/>
      </w:pPr>
      <w:r w:rsidRPr="00436F5E">
        <w:t>Information collected will be kept private</w:t>
      </w:r>
      <w:r>
        <w:t xml:space="preserve"> to the extent permitted by law</w:t>
      </w:r>
      <w:r w:rsidRPr="00436F5E">
        <w:t xml:space="preserve">. </w:t>
      </w:r>
      <w:bookmarkStart w:id="5" w:name="_Hlk176961768"/>
      <w:r w:rsidRPr="00436F5E">
        <w:t>Respondents will be informed of all planned uses of data, and that their information will be kept private.</w:t>
      </w:r>
      <w:r w:rsidRPr="002560D7">
        <w:t xml:space="preserve"> </w:t>
      </w:r>
      <w:bookmarkEnd w:id="5"/>
      <w:r w:rsidRPr="00436F5E">
        <w:t>As specified in the contract, the Contractor will comply with all Federal and Departmental regulations for private information.</w:t>
      </w:r>
    </w:p>
    <w:p w:rsidR="000B42C2" w:rsidP="000B42C2" w14:paraId="442F36BF" w14:textId="77777777">
      <w:pPr>
        <w:spacing w:after="0" w:line="240" w:lineRule="auto"/>
        <w:rPr>
          <w:rFonts w:eastAsia="Times New Roman" w:cstheme="minorHAnsi"/>
          <w:color w:val="000000"/>
        </w:rPr>
      </w:pPr>
    </w:p>
    <w:p w:rsidR="000B42C2" w:rsidP="000B42C2" w14:paraId="4D76A6FB" w14:textId="50A7E07C">
      <w:pPr>
        <w:tabs>
          <w:tab w:val="left" w:pos="-720"/>
        </w:tabs>
        <w:suppressAutoHyphens/>
        <w:spacing w:after="0" w:line="240" w:lineRule="auto"/>
      </w:pPr>
      <w:bookmarkStart w:id="6" w:name="_Hlk176961808"/>
      <w:bookmarkStart w:id="7" w:name="_Hlk175649864"/>
      <w:r>
        <w:t>Grant recipients will be inform</w:t>
      </w:r>
      <w:r w:rsidR="00011F42">
        <w:t>ed</w:t>
      </w:r>
      <w:r>
        <w:t xml:space="preserve"> that participation is voluntary and the decision to participate will not affect their grant. Participants will also be informed that nothing they say will be identified as theirs and they can refuse to answer any questions they do not wish to answer.</w:t>
      </w:r>
      <w:bookmarkEnd w:id="6"/>
      <w:r>
        <w:t xml:space="preserve"> </w:t>
      </w:r>
    </w:p>
    <w:p w:rsidR="000B42C2" w:rsidP="000B42C2" w14:paraId="46EA4175" w14:textId="77777777">
      <w:pPr>
        <w:tabs>
          <w:tab w:val="left" w:pos="-720"/>
        </w:tabs>
        <w:suppressAutoHyphens/>
        <w:spacing w:after="0" w:line="240" w:lineRule="auto"/>
      </w:pPr>
    </w:p>
    <w:p w:rsidR="000B42C2" w:rsidP="000B42C2" w14:paraId="5BF0C120" w14:textId="6CDC4757">
      <w:pPr>
        <w:tabs>
          <w:tab w:val="left" w:pos="-720"/>
        </w:tabs>
        <w:suppressAutoHyphens/>
        <w:spacing w:after="0" w:line="240" w:lineRule="auto"/>
      </w:pPr>
      <w:r w:rsidRPr="00B020B1">
        <w:t>All notes will be stored on Mathematica’s secure network. No one outside the study team will have access to the data. Only Mathematica staff working directly on this</w:t>
      </w:r>
      <w:r>
        <w:t xml:space="preserve"> project</w:t>
      </w:r>
      <w:r w:rsidRPr="00B020B1">
        <w:t xml:space="preserve"> have access to the project folder on the network where </w:t>
      </w:r>
      <w:bookmarkStart w:id="8" w:name="_Hlk176964285"/>
      <w:r w:rsidR="00011741">
        <w:t>notes</w:t>
      </w:r>
      <w:r w:rsidRPr="00B020B1">
        <w:t xml:space="preserve"> </w:t>
      </w:r>
      <w:bookmarkEnd w:id="8"/>
      <w:r w:rsidRPr="00B020B1">
        <w:t>will be saved. All notes will be destroyed per contract requirements.</w:t>
      </w:r>
    </w:p>
    <w:bookmarkEnd w:id="7"/>
    <w:p w:rsidR="000B42C2" w:rsidP="000B42C2" w14:paraId="15F00C46" w14:textId="7CFEFAEC">
      <w:pPr>
        <w:tabs>
          <w:tab w:val="left" w:pos="-720"/>
        </w:tabs>
        <w:suppressAutoHyphens/>
        <w:spacing w:after="120" w:line="240" w:lineRule="auto"/>
      </w:pPr>
    </w:p>
    <w:p w:rsidR="000B42C2" w:rsidP="000B42C2" w14:paraId="3C3F7A2D" w14:textId="77777777">
      <w:pPr>
        <w:spacing w:after="60" w:line="240" w:lineRule="auto"/>
        <w:rPr>
          <w:i/>
        </w:rPr>
      </w:pPr>
      <w:bookmarkStart w:id="9" w:name="_Hlk176359706"/>
      <w:r>
        <w:rPr>
          <w:i/>
        </w:rPr>
        <w:t>Data Security and Monitoring</w:t>
      </w:r>
    </w:p>
    <w:p w:rsidR="000B42C2" w:rsidP="000B42C2" w14:paraId="07412C6E" w14:textId="77777777">
      <w:pPr>
        <w:tabs>
          <w:tab w:val="left" w:pos="-720"/>
        </w:tabs>
        <w:suppressAutoHyphens/>
        <w:spacing w:after="0" w:line="240" w:lineRule="auto"/>
      </w:pPr>
      <w:r>
        <w:t>T</w:t>
      </w:r>
      <w:r w:rsidRPr="008813EA">
        <w:t>he contractor shall protect respondent</w:t>
      </w:r>
      <w:r>
        <w:t>s’</w:t>
      </w:r>
      <w:r w:rsidRPr="008813EA">
        <w:t xml:space="preserve"> privacy to the extent permitted by law and will comply with all federal and departmental regulations for private information</w:t>
      </w:r>
      <w:r>
        <w:t xml:space="preserve"> T</w:t>
      </w:r>
      <w:r w:rsidRPr="008813EA">
        <w:t>he contractor will ensure all employees</w:t>
      </w:r>
      <w:r>
        <w:t xml:space="preserve"> </w:t>
      </w:r>
      <w:r w:rsidRPr="008813EA">
        <w:t xml:space="preserve">receive training on data privacy issues and comply with </w:t>
      </w:r>
      <w:r>
        <w:t>all</w:t>
      </w:r>
      <w:r w:rsidRPr="008813EA">
        <w:t xml:space="preserve"> requirements. All Mathematica staff must sign an agreement to (1) maintain the privacy of any information from individuals, businesses, organizations, or families participating in any projects conducted by Mathematica; (2) complete online security awareness training when they are hired; and (3) participate in a refresher training annually.</w:t>
      </w:r>
    </w:p>
    <w:p w:rsidR="000B42C2" w:rsidRPr="008813EA" w:rsidP="000B42C2" w14:paraId="2C34F7D9" w14:textId="77777777">
      <w:pPr>
        <w:tabs>
          <w:tab w:val="left" w:pos="-720"/>
        </w:tabs>
        <w:suppressAutoHyphens/>
        <w:spacing w:after="0" w:line="240" w:lineRule="auto"/>
      </w:pPr>
    </w:p>
    <w:p w:rsidR="000B42C2" w:rsidP="000B42C2" w14:paraId="6A521DCC" w14:textId="77777777">
      <w:pPr>
        <w:tabs>
          <w:tab w:val="left" w:pos="-720"/>
        </w:tabs>
        <w:suppressAutoHyphens/>
        <w:spacing w:after="0" w:line="240" w:lineRule="auto"/>
      </w:pPr>
      <w:r>
        <w:t>T</w:t>
      </w:r>
      <w:r w:rsidRPr="008813EA">
        <w:t xml:space="preserve">he contractor will use encryption compliant with the Federal Information Processing Standard (Security Requirements for Cryptographic Module, as amended) to protect all sensitive information during storage and transmission. The contractor will securely generate and manage encryption keys to prevent unauthorized decryption of information, in accordance with the </w:t>
      </w:r>
      <w:r>
        <w:t>s</w:t>
      </w:r>
      <w:r w:rsidRPr="008813EA">
        <w:t>tandard. The contractor will incorporate th</w:t>
      </w:r>
      <w:r>
        <w:t>e</w:t>
      </w:r>
      <w:r w:rsidRPr="008813EA">
        <w:t xml:space="preserve"> standard into its property management and control system and establish a procedure to account for all laptop and desktop computers and other mobile devices and portable media that store or process sensitive information. The contractor will secure any data stored electronically in accordance with the most current National Institute of Standards and Technology requirements and other applicable federal and departmental regulations. In addition, the contractor’s data safety and monitoring plan includes strategies for minimizing </w:t>
      </w:r>
      <w:r>
        <w:t xml:space="preserve">risk, </w:t>
      </w:r>
      <w:r w:rsidRPr="008813EA">
        <w:t>to the extent possible including sensitive information on paper records and for protecting any paper records, field notes, or other documents that contain sensitive information to ensure secure storage and limits on access.</w:t>
      </w:r>
    </w:p>
    <w:p w:rsidR="000B42C2" w:rsidRPr="008813EA" w:rsidP="000B42C2" w14:paraId="4EBA9656" w14:textId="77777777">
      <w:pPr>
        <w:tabs>
          <w:tab w:val="left" w:pos="-720"/>
        </w:tabs>
        <w:suppressAutoHyphens/>
        <w:spacing w:after="0" w:line="240" w:lineRule="auto"/>
      </w:pPr>
    </w:p>
    <w:p w:rsidR="000B42C2" w:rsidP="000B42C2" w14:paraId="6B4E10E5" w14:textId="77777777">
      <w:pPr>
        <w:spacing w:after="0" w:line="240" w:lineRule="auto"/>
      </w:pPr>
      <w:r w:rsidRPr="008813EA">
        <w:t xml:space="preserve">No information will be given to anyone outside the study team and ACF. </w:t>
      </w:r>
    </w:p>
    <w:p w:rsidR="000B42C2" w:rsidP="000B42C2" w14:paraId="443EDD90" w14:textId="77777777">
      <w:pPr>
        <w:spacing w:after="0" w:line="240" w:lineRule="auto"/>
      </w:pPr>
    </w:p>
    <w:bookmarkEnd w:id="9"/>
    <w:p w:rsidR="00717BDC" w:rsidP="00D32E6D"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Pr>
          <w:rStyle w:val="FootnoteReference"/>
        </w:rPr>
        <w:footnoteReference w:id="3"/>
      </w:r>
    </w:p>
    <w:p w:rsidR="00D32E6D" w:rsidP="00D32E6D" w14:paraId="65524C3D" w14:textId="556A63B0">
      <w:pPr>
        <w:spacing w:after="0" w:line="240" w:lineRule="auto"/>
        <w:rPr>
          <w:rFonts w:cstheme="minorHAnsi"/>
        </w:rPr>
      </w:pPr>
      <w:r>
        <w:rPr>
          <w:rFonts w:cstheme="minorHAnsi"/>
        </w:rPr>
        <w:t xml:space="preserve">The focus groups do not request sensitive information from grant recipients. </w:t>
      </w:r>
    </w:p>
    <w:p w:rsidR="00D32E6D" w:rsidRPr="00D32E6D" w:rsidP="00D32E6D" w14:paraId="0DA926DF" w14:textId="77777777">
      <w:pPr>
        <w:spacing w:after="0" w:line="240" w:lineRule="auto"/>
        <w:rPr>
          <w:rFonts w:cstheme="minorHAnsi"/>
        </w:rPr>
      </w:pPr>
    </w:p>
    <w:p w:rsidR="00230CAA" w:rsidRPr="001F0446" w:rsidP="001F0446" w14:paraId="1316A99D" w14:textId="4C48D95C">
      <w:pPr>
        <w:spacing w:after="120" w:line="240" w:lineRule="auto"/>
        <w:rPr>
          <w:b/>
        </w:rPr>
      </w:pPr>
      <w:r w:rsidRPr="00624DDC">
        <w:rPr>
          <w:b/>
        </w:rPr>
        <w:t>A12</w:t>
      </w:r>
      <w:r>
        <w:t>.</w:t>
      </w:r>
      <w:r>
        <w:tab/>
      </w:r>
      <w:r w:rsidRPr="00D32E6D" w:rsidR="005D4A40">
        <w:rPr>
          <w:b/>
        </w:rPr>
        <w:t>Burden</w:t>
      </w:r>
    </w:p>
    <w:p w:rsidR="00230CAA" w:rsidP="001F0446" w14:paraId="5972B4E8" w14:textId="19743EC4">
      <w:pPr>
        <w:spacing w:after="120" w:line="240" w:lineRule="auto"/>
        <w:rPr>
          <w:i/>
        </w:rPr>
      </w:pPr>
      <w:r>
        <w:rPr>
          <w:i/>
        </w:rPr>
        <w:t>Explanation of Burden Estimates</w:t>
      </w:r>
    </w:p>
    <w:p w:rsidR="000B42C2" w:rsidP="00EF27F7" w14:paraId="2C4D8D6F" w14:textId="07C6CEE7">
      <w:pPr>
        <w:pStyle w:val="ListNumber"/>
        <w:numPr>
          <w:ilvl w:val="0"/>
          <w:numId w:val="0"/>
        </w:numPr>
        <w:spacing w:after="0"/>
      </w:pPr>
      <w:r w:rsidRPr="00EF27F7">
        <w:t>The</w:t>
      </w:r>
      <w:r>
        <w:rPr>
          <w:b/>
          <w:bCs/>
        </w:rPr>
        <w:t xml:space="preserve"> </w:t>
      </w:r>
      <w:r w:rsidRPr="00800283">
        <w:rPr>
          <w:b/>
          <w:bCs/>
        </w:rPr>
        <w:t>Grant Recipient Focus</w:t>
      </w:r>
      <w:r w:rsidRPr="00540946">
        <w:rPr>
          <w:b/>
          <w:bCs/>
        </w:rPr>
        <w:t xml:space="preserve"> Group Discussion </w:t>
      </w:r>
      <w:r w:rsidRPr="00540946">
        <w:rPr>
          <w:b/>
          <w:bCs/>
        </w:rPr>
        <w:t>P</w:t>
      </w:r>
      <w:r w:rsidRPr="00540946">
        <w:rPr>
          <w:b/>
          <w:bCs/>
        </w:rPr>
        <w:t>rotocol</w:t>
      </w:r>
      <w:r>
        <w:t xml:space="preserve"> will be used during the virtual focus group discussions with PREP grant recipient staff. We anticipate conducting four groups with up to </w:t>
      </w:r>
      <w:r w:rsidR="00B03F75">
        <w:t>20</w:t>
      </w:r>
      <w:r>
        <w:t xml:space="preserve"> people in each group. Each focus group discussion will last up to 90 minutes.</w:t>
      </w:r>
    </w:p>
    <w:p w:rsidR="001F0446" w:rsidP="00230CAA" w14:paraId="24B69DBB" w14:textId="77777777">
      <w:pPr>
        <w:spacing w:after="0" w:line="240" w:lineRule="auto"/>
        <w:rPr>
          <w:i/>
        </w:rPr>
      </w:pPr>
    </w:p>
    <w:p w:rsidR="001F0446" w:rsidRPr="00230CAA" w:rsidP="00EF27F7" w14:paraId="2DFBEA9F" w14:textId="1258D740">
      <w:pPr>
        <w:spacing w:after="60" w:line="240" w:lineRule="auto"/>
        <w:rPr>
          <w:i/>
        </w:rPr>
      </w:pPr>
      <w:r>
        <w:rPr>
          <w:i/>
        </w:rPr>
        <w:t>Estimated Annualized Cost to Respondents</w:t>
      </w:r>
    </w:p>
    <w:p w:rsidR="00EF27F7" w:rsidP="00EF27F7" w14:paraId="0AFA4959" w14:textId="24982FED">
      <w:pPr>
        <w:spacing w:after="0" w:line="240" w:lineRule="auto"/>
      </w:pPr>
      <w:r>
        <w:t>T</w:t>
      </w:r>
      <w:r w:rsidRPr="0010265C">
        <w:t>he hourly wage rate represents the mean hourly wage rate for community and social service occupations ($</w:t>
      </w:r>
      <w:r>
        <w:t>28.36</w:t>
      </w:r>
      <w:r w:rsidRPr="0010265C">
        <w:t>) (National Occupational Employment and Wage Estimates, Bureau of Labor Statistics, Department of Labor, May 202</w:t>
      </w:r>
      <w:r>
        <w:t>3</w:t>
      </w:r>
      <w:r w:rsidRPr="0010265C">
        <w:t>).</w:t>
      </w:r>
      <w:r w:rsidR="006B414D">
        <w:t xml:space="preserve"> To account for fringe benefits and overhead, we multiplied this by two</w:t>
      </w:r>
      <w:r w:rsidR="00B03F75">
        <w:t>.</w:t>
      </w:r>
      <w:r w:rsidR="006B414D">
        <w:t xml:space="preserve"> </w:t>
      </w:r>
    </w:p>
    <w:p w:rsidR="001F0446" w:rsidP="001F0446" w14:paraId="380BFA12" w14:textId="7D5641AC">
      <w:pPr>
        <w:spacing w:after="0" w:line="240" w:lineRule="auto"/>
      </w:pPr>
    </w:p>
    <w:tbl>
      <w:tblPr>
        <w:tblStyle w:val="TableGrid"/>
        <w:tblW w:w="8753" w:type="dxa"/>
        <w:tblInd w:w="108" w:type="dxa"/>
        <w:tblLayout w:type="fixed"/>
        <w:tblLook w:val="01E0"/>
      </w:tblPr>
      <w:tblGrid>
        <w:gridCol w:w="1260"/>
        <w:gridCol w:w="1373"/>
        <w:gridCol w:w="1214"/>
        <w:gridCol w:w="1846"/>
        <w:gridCol w:w="900"/>
        <w:gridCol w:w="900"/>
        <w:gridCol w:w="1260"/>
      </w:tblGrid>
      <w:tr w14:paraId="10E15412" w14:textId="77777777" w:rsidTr="006B414D">
        <w:tblPrEx>
          <w:tblW w:w="8753" w:type="dxa"/>
          <w:tblInd w:w="108" w:type="dxa"/>
          <w:tblLayout w:type="fixed"/>
          <w:tblLook w:val="01E0"/>
        </w:tblPrEx>
        <w:tc>
          <w:tcPr>
            <w:tcW w:w="1260" w:type="dxa"/>
            <w:tcBorders>
              <w:top w:val="single" w:sz="4" w:space="0" w:color="auto"/>
              <w:left w:val="single" w:sz="4" w:space="0" w:color="auto"/>
              <w:bottom w:val="single" w:sz="4" w:space="0" w:color="auto"/>
              <w:right w:val="single" w:sz="4" w:space="0" w:color="auto"/>
            </w:tcBorders>
            <w:hideMark/>
          </w:tcPr>
          <w:p w:rsidR="006B414D" w:rsidRPr="00EF27F7" w:rsidP="00373D2F"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EF27F7">
              <w:rPr>
                <w:rFonts w:asciiTheme="minorHAnsi" w:hAnsiTheme="minorHAnsi" w:cstheme="minorHAnsi"/>
                <w:b/>
              </w:rPr>
              <w:t xml:space="preserve">Instrument </w:t>
            </w:r>
          </w:p>
        </w:tc>
        <w:tc>
          <w:tcPr>
            <w:tcW w:w="1373" w:type="dxa"/>
            <w:tcBorders>
              <w:top w:val="single" w:sz="4" w:space="0" w:color="auto"/>
              <w:left w:val="single" w:sz="4" w:space="0" w:color="auto"/>
              <w:bottom w:val="single" w:sz="4" w:space="0" w:color="auto"/>
              <w:right w:val="single" w:sz="4" w:space="0" w:color="auto"/>
            </w:tcBorders>
            <w:hideMark/>
          </w:tcPr>
          <w:p w:rsidR="006B414D" w:rsidRPr="00EF27F7" w:rsidP="00373D2F"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EF27F7">
              <w:rPr>
                <w:rFonts w:asciiTheme="minorHAnsi" w:hAnsiTheme="minorHAnsi" w:cstheme="minorHAnsi"/>
                <w:b/>
              </w:rPr>
              <w:t>No. of Respondents (total over request period)</w:t>
            </w:r>
          </w:p>
        </w:tc>
        <w:tc>
          <w:tcPr>
            <w:tcW w:w="1214" w:type="dxa"/>
            <w:tcBorders>
              <w:top w:val="single" w:sz="4" w:space="0" w:color="auto"/>
              <w:left w:val="single" w:sz="4" w:space="0" w:color="auto"/>
              <w:bottom w:val="single" w:sz="4" w:space="0" w:color="auto"/>
              <w:right w:val="single" w:sz="4" w:space="0" w:color="auto"/>
            </w:tcBorders>
            <w:hideMark/>
          </w:tcPr>
          <w:p w:rsidR="006B414D" w:rsidRPr="00EF27F7" w:rsidP="00373D2F"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EF27F7">
              <w:rPr>
                <w:rFonts w:asciiTheme="minorHAnsi" w:hAnsiTheme="minorHAnsi" w:cstheme="minorHAnsi"/>
                <w:b/>
              </w:rPr>
              <w:t>No. of Responses per Respondent (total over request period)</w:t>
            </w:r>
          </w:p>
        </w:tc>
        <w:tc>
          <w:tcPr>
            <w:tcW w:w="1846" w:type="dxa"/>
            <w:tcBorders>
              <w:top w:val="single" w:sz="4" w:space="0" w:color="auto"/>
              <w:left w:val="single" w:sz="4" w:space="0" w:color="auto"/>
              <w:bottom w:val="single" w:sz="4" w:space="0" w:color="auto"/>
              <w:right w:val="single" w:sz="4" w:space="0" w:color="auto"/>
            </w:tcBorders>
            <w:hideMark/>
          </w:tcPr>
          <w:p w:rsidR="006B414D" w:rsidRPr="00EF27F7" w:rsidP="00373D2F"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EF27F7">
              <w:rPr>
                <w:rFonts w:asciiTheme="minorHAnsi" w:hAnsiTheme="minorHAnsi" w:cstheme="minorHAnsi"/>
                <w:b/>
              </w:rPr>
              <w:t>Avg. Burden per Response (in hours)</w:t>
            </w:r>
          </w:p>
        </w:tc>
        <w:tc>
          <w:tcPr>
            <w:tcW w:w="900" w:type="dxa"/>
            <w:tcBorders>
              <w:top w:val="single" w:sz="4" w:space="0" w:color="auto"/>
              <w:left w:val="single" w:sz="4" w:space="0" w:color="auto"/>
              <w:bottom w:val="single" w:sz="4" w:space="0" w:color="auto"/>
              <w:right w:val="single" w:sz="4" w:space="0" w:color="auto"/>
            </w:tcBorders>
          </w:tcPr>
          <w:p w:rsidR="006B414D" w:rsidRPr="00EF27F7" w:rsidP="00373D2F" w14:paraId="63E93F96" w14:textId="30AE8E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EF27F7">
              <w:rPr>
                <w:rFonts w:asciiTheme="minorHAnsi" w:hAnsiTheme="minorHAnsi" w:cstheme="minorHAnsi"/>
                <w:b/>
              </w:rPr>
              <w:t>Total Burden (in hours)</w:t>
            </w:r>
          </w:p>
        </w:tc>
        <w:tc>
          <w:tcPr>
            <w:tcW w:w="900" w:type="dxa"/>
            <w:tcBorders>
              <w:top w:val="single" w:sz="4" w:space="0" w:color="auto"/>
              <w:left w:val="single" w:sz="4" w:space="0" w:color="auto"/>
              <w:bottom w:val="single" w:sz="4" w:space="0" w:color="auto"/>
              <w:right w:val="single" w:sz="4" w:space="0" w:color="auto"/>
            </w:tcBorders>
            <w:hideMark/>
          </w:tcPr>
          <w:p w:rsidR="006B414D" w:rsidRPr="00EF27F7" w:rsidP="00373D2F"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EF27F7">
              <w:rPr>
                <w:rFonts w:asciiTheme="minorHAnsi" w:hAnsiTheme="minorHAnsi" w:cstheme="minorHAnsi"/>
                <w:b/>
              </w:rPr>
              <w:t>Average Hourly Wage Rate</w:t>
            </w:r>
          </w:p>
        </w:tc>
        <w:tc>
          <w:tcPr>
            <w:tcW w:w="1260" w:type="dxa"/>
            <w:tcBorders>
              <w:top w:val="single" w:sz="4" w:space="0" w:color="auto"/>
              <w:left w:val="single" w:sz="4" w:space="0" w:color="auto"/>
              <w:bottom w:val="single" w:sz="4" w:space="0" w:color="auto"/>
              <w:right w:val="single" w:sz="4" w:space="0" w:color="auto"/>
            </w:tcBorders>
            <w:hideMark/>
          </w:tcPr>
          <w:p w:rsidR="006B414D" w:rsidRPr="00EF27F7" w:rsidP="00373D2F"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EF27F7">
              <w:rPr>
                <w:rFonts w:asciiTheme="minorHAnsi" w:hAnsiTheme="minorHAnsi" w:cstheme="minorHAnsi"/>
                <w:b/>
              </w:rPr>
              <w:t>Total Annual Respondent Cost</w:t>
            </w:r>
          </w:p>
        </w:tc>
      </w:tr>
      <w:tr w14:paraId="6B5B6719" w14:textId="77777777" w:rsidTr="006B414D">
        <w:tblPrEx>
          <w:tblW w:w="8753" w:type="dxa"/>
          <w:tblInd w:w="108" w:type="dxa"/>
          <w:tblLayout w:type="fixed"/>
          <w:tblLook w:val="01E0"/>
        </w:tblPrEx>
        <w:tc>
          <w:tcPr>
            <w:tcW w:w="1260" w:type="dxa"/>
            <w:tcBorders>
              <w:top w:val="single" w:sz="4" w:space="0" w:color="auto"/>
              <w:left w:val="single" w:sz="4" w:space="0" w:color="auto"/>
              <w:bottom w:val="single" w:sz="4" w:space="0" w:color="auto"/>
              <w:right w:val="single" w:sz="4" w:space="0" w:color="auto"/>
            </w:tcBorders>
          </w:tcPr>
          <w:p w:rsidR="006B414D" w:rsidRPr="001F0446" w:rsidP="00EF27F7" w14:paraId="2F62EEA9" w14:textId="60DBEE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rPr>
              <w:t xml:space="preserve">PREP grant recipient focus groups </w:t>
            </w:r>
            <w:r>
              <w:rPr>
                <w:rFonts w:asciiTheme="minorHAnsi" w:hAnsiTheme="minorHAnsi" w:cstheme="minorHAnsi"/>
                <w:bCs/>
              </w:rPr>
              <w:t>p</w:t>
            </w:r>
            <w:r w:rsidRPr="00EF19A9">
              <w:rPr>
                <w:rFonts w:asciiTheme="minorHAnsi" w:hAnsiTheme="minorHAnsi" w:cstheme="minorHAnsi"/>
                <w:bCs/>
              </w:rPr>
              <w:t>rotocol</w:t>
            </w:r>
          </w:p>
        </w:tc>
        <w:tc>
          <w:tcPr>
            <w:tcW w:w="1373" w:type="dxa"/>
            <w:tcBorders>
              <w:top w:val="single" w:sz="4" w:space="0" w:color="auto"/>
              <w:left w:val="single" w:sz="4" w:space="0" w:color="auto"/>
              <w:bottom w:val="single" w:sz="4" w:space="0" w:color="auto"/>
              <w:right w:val="single" w:sz="4" w:space="0" w:color="auto"/>
            </w:tcBorders>
            <w:vAlign w:val="center"/>
          </w:tcPr>
          <w:p w:rsidR="006B414D" w:rsidRPr="001F0446" w:rsidP="00EF27F7" w14:paraId="734CE33C" w14:textId="7D737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8</w:t>
            </w:r>
            <w:r w:rsidRPr="006E4648">
              <w:rPr>
                <w:rFonts w:asciiTheme="minorHAnsi" w:hAnsiTheme="minorHAnsi" w:cstheme="minorHAnsi"/>
                <w:bCs/>
              </w:rPr>
              <w:t>0</w:t>
            </w:r>
          </w:p>
        </w:tc>
        <w:tc>
          <w:tcPr>
            <w:tcW w:w="1214" w:type="dxa"/>
            <w:tcBorders>
              <w:top w:val="single" w:sz="4" w:space="0" w:color="auto"/>
              <w:left w:val="single" w:sz="4" w:space="0" w:color="auto"/>
              <w:bottom w:val="single" w:sz="4" w:space="0" w:color="auto"/>
              <w:right w:val="single" w:sz="4" w:space="0" w:color="auto"/>
            </w:tcBorders>
            <w:vAlign w:val="center"/>
          </w:tcPr>
          <w:p w:rsidR="006B414D" w:rsidRPr="001F0446" w:rsidP="00EF27F7" w14:paraId="67B65A40" w14:textId="638566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E4648">
              <w:rPr>
                <w:rFonts w:asciiTheme="minorHAnsi" w:hAnsiTheme="minorHAnsi" w:cstheme="minorHAnsi"/>
                <w:bCs/>
              </w:rPr>
              <w:t>1</w:t>
            </w:r>
          </w:p>
        </w:tc>
        <w:tc>
          <w:tcPr>
            <w:tcW w:w="1846" w:type="dxa"/>
            <w:tcBorders>
              <w:top w:val="single" w:sz="4" w:space="0" w:color="auto"/>
              <w:left w:val="single" w:sz="4" w:space="0" w:color="auto"/>
              <w:bottom w:val="single" w:sz="4" w:space="0" w:color="auto"/>
              <w:right w:val="single" w:sz="4" w:space="0" w:color="auto"/>
            </w:tcBorders>
            <w:vAlign w:val="center"/>
          </w:tcPr>
          <w:p w:rsidR="006B414D" w:rsidRPr="001F0446" w:rsidP="00EF27F7" w14:paraId="59B12C61" w14:textId="0FAA6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E4648">
              <w:rPr>
                <w:rFonts w:asciiTheme="minorHAnsi" w:hAnsiTheme="minorHAnsi" w:cstheme="minorHAnsi"/>
                <w:bCs/>
              </w:rPr>
              <w:t>1.5</w:t>
            </w:r>
          </w:p>
        </w:tc>
        <w:tc>
          <w:tcPr>
            <w:tcW w:w="900" w:type="dxa"/>
            <w:tcBorders>
              <w:top w:val="single" w:sz="4" w:space="0" w:color="auto"/>
              <w:left w:val="single" w:sz="4" w:space="0" w:color="auto"/>
              <w:bottom w:val="single" w:sz="4" w:space="0" w:color="auto"/>
              <w:right w:val="single" w:sz="4" w:space="0" w:color="auto"/>
            </w:tcBorders>
            <w:vAlign w:val="center"/>
          </w:tcPr>
          <w:p w:rsidR="006B414D" w:rsidRPr="001F0446" w:rsidP="00EF27F7" w14:paraId="5DF8136F" w14:textId="3852E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12</w:t>
            </w:r>
            <w:r w:rsidRPr="006E4648">
              <w:rPr>
                <w:rFonts w:asciiTheme="minorHAnsi" w:hAnsiTheme="minorHAnsi" w:cstheme="minorHAnsi"/>
                <w:bCs/>
              </w:rPr>
              <w:t>0</w:t>
            </w:r>
          </w:p>
        </w:tc>
        <w:tc>
          <w:tcPr>
            <w:tcW w:w="900" w:type="dxa"/>
            <w:tcBorders>
              <w:top w:val="single" w:sz="4" w:space="0" w:color="auto"/>
              <w:left w:val="single" w:sz="4" w:space="0" w:color="auto"/>
              <w:bottom w:val="single" w:sz="4" w:space="0" w:color="auto"/>
              <w:right w:val="single" w:sz="4" w:space="0" w:color="auto"/>
            </w:tcBorders>
            <w:vAlign w:val="center"/>
            <w:hideMark/>
          </w:tcPr>
          <w:p w:rsidR="006B414D" w:rsidRPr="001F0446" w:rsidP="00EF27F7" w14:paraId="14155F61" w14:textId="0279A7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E4648">
              <w:rPr>
                <w:rFonts w:asciiTheme="minorHAnsi" w:hAnsiTheme="minorHAnsi" w:cstheme="minorHAnsi"/>
                <w:bCs/>
              </w:rPr>
              <w:t>$</w:t>
            </w:r>
            <w:r>
              <w:rPr>
                <w:rFonts w:asciiTheme="minorHAnsi" w:hAnsiTheme="minorHAnsi" w:cstheme="minorHAnsi"/>
                <w:bCs/>
              </w:rPr>
              <w:t>56.72</w:t>
            </w:r>
          </w:p>
        </w:tc>
        <w:tc>
          <w:tcPr>
            <w:tcW w:w="1260" w:type="dxa"/>
            <w:tcBorders>
              <w:top w:val="single" w:sz="4" w:space="0" w:color="auto"/>
              <w:left w:val="single" w:sz="4" w:space="0" w:color="auto"/>
              <w:bottom w:val="single" w:sz="4" w:space="0" w:color="auto"/>
              <w:right w:val="single" w:sz="4" w:space="0" w:color="auto"/>
            </w:tcBorders>
            <w:vAlign w:val="center"/>
            <w:hideMark/>
          </w:tcPr>
          <w:p w:rsidR="006B414D" w:rsidRPr="001F0446" w:rsidP="00EF27F7" w14:paraId="12F8BC45" w14:textId="2E6DD3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E4648">
              <w:rPr>
                <w:rFonts w:asciiTheme="minorHAnsi" w:hAnsiTheme="minorHAnsi" w:cstheme="minorHAnsi"/>
                <w:bCs/>
              </w:rPr>
              <w:t>$</w:t>
            </w:r>
            <w:r w:rsidRPr="00B03F75" w:rsidR="00B03F75">
              <w:rPr>
                <w:rFonts w:asciiTheme="minorHAnsi" w:hAnsiTheme="minorHAnsi" w:cstheme="minorHAnsi"/>
                <w:bCs/>
              </w:rPr>
              <w:t>6,806.4</w:t>
            </w:r>
            <w:r w:rsidR="00B03F75">
              <w:rPr>
                <w:rFonts w:asciiTheme="minorHAnsi" w:hAnsiTheme="minorHAnsi" w:cstheme="minorHAnsi"/>
                <w:bCs/>
              </w:rPr>
              <w:t>0</w:t>
            </w:r>
          </w:p>
        </w:tc>
      </w:tr>
    </w:tbl>
    <w:p w:rsidR="001F0446" w:rsidP="00373D2F" w14:paraId="6D094BD5" w14:textId="77777777">
      <w:pPr>
        <w:spacing w:after="0" w:line="240" w:lineRule="auto"/>
      </w:pPr>
    </w:p>
    <w:p w:rsidR="00373D2F" w:rsidP="00577243"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577243" w:rsidRPr="00EF27F7" w:rsidP="00EF27F7" w14:paraId="262B006D" w14:textId="67BBCF45">
      <w:pPr>
        <w:spacing w:after="0" w:line="240" w:lineRule="auto"/>
      </w:pPr>
      <w:r w:rsidRPr="008813EA">
        <w:t>There are no additional costs to respondents.</w:t>
      </w:r>
    </w:p>
    <w:p w:rsidR="00577243" w:rsidP="00577243" w14:paraId="456CA4E3" w14:textId="77777777">
      <w:pPr>
        <w:autoSpaceDE w:val="0"/>
        <w:autoSpaceDN w:val="0"/>
        <w:adjustRightInd w:val="0"/>
        <w:spacing w:after="0" w:line="240" w:lineRule="auto"/>
        <w:rPr>
          <w:rFonts w:cstheme="minorHAnsi"/>
        </w:rPr>
      </w:pPr>
    </w:p>
    <w:p w:rsidR="006B414D" w:rsidP="00577243" w14:paraId="24D6D775" w14:textId="77777777">
      <w:pPr>
        <w:autoSpaceDE w:val="0"/>
        <w:autoSpaceDN w:val="0"/>
        <w:adjustRightInd w:val="0"/>
        <w:spacing w:after="0" w:line="240" w:lineRule="auto"/>
        <w:rPr>
          <w:rFonts w:cstheme="minorHAnsi"/>
        </w:rPr>
      </w:pPr>
    </w:p>
    <w:p w:rsidR="006B414D" w:rsidP="00577243" w14:paraId="6944B435" w14:textId="77777777">
      <w:pPr>
        <w:autoSpaceDE w:val="0"/>
        <w:autoSpaceDN w:val="0"/>
        <w:adjustRightInd w:val="0"/>
        <w:spacing w:after="0" w:line="240" w:lineRule="auto"/>
        <w:rPr>
          <w:rFonts w:cstheme="minorHAnsi"/>
        </w:rPr>
      </w:pPr>
    </w:p>
    <w:p w:rsidR="006B414D" w:rsidP="00577243" w14:paraId="38F93F51" w14:textId="77777777">
      <w:pPr>
        <w:autoSpaceDE w:val="0"/>
        <w:autoSpaceDN w:val="0"/>
        <w:adjustRightInd w:val="0"/>
        <w:spacing w:after="0" w:line="240" w:lineRule="auto"/>
        <w:rPr>
          <w:rFonts w:cstheme="minorHAnsi"/>
        </w:rPr>
      </w:pPr>
    </w:p>
    <w:p w:rsidR="006B414D" w:rsidRPr="000D4E9A" w:rsidP="00577243" w14:paraId="65A14865" w14:textId="77777777">
      <w:pPr>
        <w:autoSpaceDE w:val="0"/>
        <w:autoSpaceDN w:val="0"/>
        <w:adjustRightInd w:val="0"/>
        <w:spacing w:after="0" w:line="240" w:lineRule="auto"/>
        <w:rPr>
          <w:rFonts w:cstheme="minorHAnsi"/>
        </w:rPr>
      </w:pPr>
    </w:p>
    <w:p w:rsidR="00373D2F" w:rsidP="00577243"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EF27F7" w:rsidP="00EF27F7" w14:paraId="35E6584F" w14:textId="540DB3BC">
      <w:pPr>
        <w:tabs>
          <w:tab w:val="left" w:pos="-720"/>
        </w:tabs>
        <w:suppressAutoHyphens/>
        <w:spacing w:after="120" w:line="240" w:lineRule="auto"/>
      </w:pPr>
      <w:r w:rsidRPr="008813EA">
        <w:t xml:space="preserve">The estimated total cost to the federal government </w:t>
      </w:r>
      <w:r>
        <w:t xml:space="preserve">is provided in </w:t>
      </w:r>
      <w:r w:rsidRPr="009C0FDC">
        <w:t>Table</w:t>
      </w:r>
      <w:r w:rsidRPr="002945C4">
        <w:t xml:space="preserve"> A.3. This includes</w:t>
      </w:r>
      <w:r>
        <w:t xml:space="preserve"> direct and indirect costs related to these focus groups. </w:t>
      </w:r>
      <w:r w:rsidRPr="008813EA">
        <w:t xml:space="preserve"> costs for </w:t>
      </w:r>
      <w:r>
        <w:t xml:space="preserve">planning, recruitment, </w:t>
      </w:r>
      <w:r w:rsidRPr="008813EA">
        <w:t>collectin</w:t>
      </w:r>
      <w:r>
        <w:t>g,</w:t>
      </w:r>
      <w:r w:rsidRPr="008813EA">
        <w:t xml:space="preserve"> processing</w:t>
      </w:r>
      <w:r>
        <w:t>, and analyzing</w:t>
      </w:r>
      <w:r w:rsidRPr="008813EA">
        <w:t xml:space="preserve"> the data, and preparing </w:t>
      </w:r>
      <w:r>
        <w:t>memorandums</w:t>
      </w:r>
      <w:r w:rsidRPr="008813EA">
        <w:t>.</w:t>
      </w:r>
    </w:p>
    <w:p w:rsidR="00EF27F7" w:rsidRPr="00E9160A" w:rsidP="00EF27F7" w14:paraId="60D69F8C" w14:textId="77777777">
      <w:pPr>
        <w:keepNext/>
        <w:keepLines/>
        <w:spacing w:before="40" w:after="40"/>
        <w:rPr>
          <w:rFonts w:cstheme="minorHAnsi"/>
          <w:b/>
          <w:color w:val="000000" w:themeColor="text1"/>
        </w:rPr>
      </w:pPr>
      <w:bookmarkStart w:id="10" w:name="_Toc77949003"/>
      <w:r w:rsidRPr="00E9160A">
        <w:rPr>
          <w:rFonts w:cstheme="minorHAnsi"/>
          <w:b/>
          <w:color w:val="000000" w:themeColor="text1"/>
        </w:rPr>
        <w:t>Table A.3. Estimated total cost by category</w:t>
      </w:r>
      <w:bookmarkEnd w:id="10"/>
    </w:p>
    <w:tbl>
      <w:tblPr>
        <w:tblW w:w="0" w:type="auto"/>
        <w:tblCellMar>
          <w:left w:w="0" w:type="dxa"/>
          <w:right w:w="0" w:type="dxa"/>
        </w:tblCellMar>
        <w:tblLook w:val="04A0"/>
      </w:tblPr>
      <w:tblGrid>
        <w:gridCol w:w="4878"/>
        <w:gridCol w:w="2250"/>
      </w:tblGrid>
      <w:tr w14:paraId="2C18073D" w14:textId="77777777" w:rsidTr="0061183B">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EF27F7" w:rsidRPr="00B13297" w:rsidP="0061183B" w14:paraId="24B3A2CA" w14:textId="77777777">
            <w:pPr>
              <w:rPr>
                <w:b/>
                <w:bCs/>
                <w:sz w:val="20"/>
              </w:rPr>
            </w:pPr>
            <w:r w:rsidRPr="00B13297">
              <w:rPr>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EF27F7" w:rsidRPr="00B13297" w:rsidP="0061183B" w14:paraId="1A78EC90" w14:textId="77777777">
            <w:pPr>
              <w:jc w:val="center"/>
              <w:rPr>
                <w:b/>
                <w:bCs/>
                <w:sz w:val="20"/>
              </w:rPr>
            </w:pPr>
            <w:r w:rsidRPr="00B13297">
              <w:rPr>
                <w:b/>
                <w:bCs/>
                <w:sz w:val="20"/>
              </w:rPr>
              <w:t>Estimated Costs</w:t>
            </w:r>
          </w:p>
        </w:tc>
      </w:tr>
      <w:tr w14:paraId="24CF87E0" w14:textId="77777777" w:rsidTr="0061183B">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27F7" w:rsidRPr="00B13297" w:rsidP="0061183B" w14:paraId="30DA681B" w14:textId="47C62E18">
            <w:pPr>
              <w:spacing w:after="0"/>
              <w:rPr>
                <w:rFonts w:ascii="Calibri" w:eastAsia="Calibri" w:hAnsi="Calibri" w:cs="Calibri"/>
                <w:sz w:val="20"/>
              </w:rPr>
            </w:pPr>
            <w:r>
              <w:rPr>
                <w:sz w:val="20"/>
              </w:rPr>
              <w:t>Hosting focus groups and collecting data</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7F7" w:rsidRPr="00B13297" w:rsidP="0061183B" w14:paraId="45D8AF72" w14:textId="2BBBF8A7">
            <w:pPr>
              <w:spacing w:after="0"/>
              <w:jc w:val="center"/>
              <w:rPr>
                <w:sz w:val="20"/>
              </w:rPr>
            </w:pPr>
            <w:r w:rsidRPr="00B13297">
              <w:rPr>
                <w:sz w:val="20"/>
              </w:rPr>
              <w:t>$</w:t>
            </w:r>
            <w:r w:rsidR="00572350">
              <w:rPr>
                <w:sz w:val="20"/>
              </w:rPr>
              <w:t>40,000</w:t>
            </w:r>
          </w:p>
        </w:tc>
      </w:tr>
      <w:tr w14:paraId="0AEC0E15" w14:textId="77777777" w:rsidTr="0061183B">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EF27F7" w:rsidRPr="00B13297" w:rsidP="0061183B" w14:paraId="489C5F96" w14:textId="77777777">
            <w:pPr>
              <w:spacing w:after="0"/>
              <w:rPr>
                <w:rFonts w:ascii="Calibri" w:eastAsia="Calibri" w:hAnsi="Calibri" w:cs="Calibri"/>
                <w:sz w:val="20"/>
              </w:rPr>
            </w:pPr>
            <w:r w:rsidRPr="00B13297">
              <w:rPr>
                <w:sz w:val="20"/>
              </w:rPr>
              <w:t>Publications/Dissemination</w:t>
            </w:r>
            <w:r>
              <w:rPr>
                <w:sz w:val="20"/>
              </w:rPr>
              <w:t xml:space="preserve"> (analysis) </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EF27F7" w:rsidRPr="00B13297" w:rsidP="0061183B" w14:paraId="320BD4B6" w14:textId="3733470F">
            <w:pPr>
              <w:spacing w:after="0"/>
              <w:jc w:val="center"/>
              <w:rPr>
                <w:sz w:val="20"/>
              </w:rPr>
            </w:pPr>
            <w:r w:rsidRPr="00B13297">
              <w:rPr>
                <w:sz w:val="20"/>
              </w:rPr>
              <w:t>$</w:t>
            </w:r>
            <w:r w:rsidR="00572350">
              <w:rPr>
                <w:sz w:val="20"/>
              </w:rPr>
              <w:t>10,000</w:t>
            </w:r>
          </w:p>
        </w:tc>
      </w:tr>
      <w:tr w14:paraId="64C4DC2D" w14:textId="77777777" w:rsidTr="0061183B">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F27F7" w:rsidRPr="00B13297" w:rsidP="0061183B" w14:paraId="1CE4E571" w14:textId="77777777">
            <w:pPr>
              <w:spacing w:after="0"/>
              <w:jc w:val="right"/>
              <w:rPr>
                <w:rFonts w:ascii="Calibri" w:eastAsia="Calibri" w:hAnsi="Calibri" w:cs="Calibri"/>
                <w:b/>
                <w:bCs/>
                <w:sz w:val="20"/>
              </w:rPr>
            </w:pPr>
            <w:r w:rsidRPr="00B13297">
              <w:rPr>
                <w:b/>
                <w:color w:val="000000"/>
                <w:sz w:val="20"/>
              </w:rPr>
              <w:t>Total</w:t>
            </w:r>
            <w:r>
              <w:rPr>
                <w:b/>
                <w:color w:val="000000"/>
                <w:sz w:val="20"/>
              </w:rPr>
              <w:t>/a</w:t>
            </w:r>
            <w:r w:rsidRPr="00B13297">
              <w:rPr>
                <w:b/>
                <w:color w:val="000000"/>
                <w:sz w:val="20"/>
              </w:rPr>
              <w:t xml:space="preserve">nnual costs </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F27F7" w:rsidRPr="00B13297" w:rsidP="0061183B" w14:paraId="1442E12B" w14:textId="0FA65401">
            <w:pPr>
              <w:spacing w:after="0"/>
              <w:jc w:val="center"/>
              <w:rPr>
                <w:b/>
                <w:bCs/>
                <w:sz w:val="20"/>
              </w:rPr>
            </w:pPr>
            <w:r w:rsidRPr="00B13297">
              <w:rPr>
                <w:sz w:val="20"/>
              </w:rPr>
              <w:t>$</w:t>
            </w:r>
            <w:r w:rsidR="00572350">
              <w:rPr>
                <w:sz w:val="20"/>
              </w:rPr>
              <w:t>50,000</w:t>
            </w:r>
          </w:p>
        </w:tc>
      </w:tr>
    </w:tbl>
    <w:p w:rsidR="00B13DC4" w:rsidRPr="001E3F6B" w:rsidP="00EF27F7" w14:paraId="16602EA3" w14:textId="77777777">
      <w:pPr>
        <w:spacing w:after="0"/>
        <w:rPr>
          <w:rFonts w:ascii="Calibri" w:eastAsia="Calibri" w:hAnsi="Calibri" w:cs="Calibri"/>
          <w:color w:val="1F497D"/>
        </w:rPr>
      </w:pPr>
    </w:p>
    <w:p w:rsidR="0068383E" w:rsidP="00CB4358"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014EDC" w:rsidRPr="00CB2ED6" w:rsidP="00EF27F7" w14:paraId="538B9986" w14:textId="26FF4B72">
      <w:pPr>
        <w:spacing w:after="0"/>
      </w:pPr>
      <w:r w:rsidRPr="00CB2ED6">
        <w:t xml:space="preserve">This is for an individual information collection </w:t>
      </w:r>
      <w:r w:rsidRPr="00453A86">
        <w:t>under the umbrella formative generic clearance for ACF research (0970-0356)</w:t>
      </w:r>
      <w:r w:rsidRPr="00453A86" w:rsidR="00453A86">
        <w:t>.</w:t>
      </w:r>
    </w:p>
    <w:p w:rsidR="00CB4358" w:rsidRPr="00CB4358" w:rsidP="00CB4358" w14:paraId="08700A1E" w14:textId="77777777">
      <w:pPr>
        <w:spacing w:after="0" w:line="240" w:lineRule="auto"/>
        <w:rPr>
          <w:rFonts w:cstheme="minorHAnsi"/>
        </w:rPr>
      </w:pPr>
    </w:p>
    <w:p w:rsidR="000D4E9A" w:rsidRPr="00B23277" w:rsidP="00CB4358"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EF27F7" w:rsidP="00EF27F7" w14:paraId="6E64FB9A" w14:textId="09596CEA">
      <w:pPr>
        <w:spacing w:after="0" w:line="240" w:lineRule="auto"/>
      </w:pPr>
      <w:r w:rsidRPr="00886299">
        <w:t xml:space="preserve">The study team expects to </w:t>
      </w:r>
      <w:r>
        <w:rPr>
          <w:iCs/>
        </w:rPr>
        <w:t xml:space="preserve">conduct these initial focus groups in September 2024. This effort will be followed by pretesting activities, to be submitted under OMB #: 0970-0355. The goal is to submit that request to OMB in early October to ensure these efforts can inform updates to ACF information collections as soon as possible. </w:t>
      </w:r>
    </w:p>
    <w:p w:rsidR="00EF27F7" w:rsidP="00EF27F7" w14:paraId="2E0EBE12" w14:textId="046EF09C">
      <w:pPr>
        <w:spacing w:after="0" w:line="240" w:lineRule="auto"/>
        <w:rPr>
          <w:rFonts w:cstheme="minorHAnsi"/>
        </w:rPr>
      </w:pPr>
    </w:p>
    <w:p w:rsidR="00EF27F7" w:rsidRPr="00B23277" w:rsidP="00EF27F7" w14:paraId="0B37725D" w14:textId="77777777">
      <w:pPr>
        <w:spacing w:after="120" w:line="240" w:lineRule="auto"/>
        <w:rPr>
          <w:rFonts w:cstheme="minorHAnsi"/>
        </w:rPr>
      </w:pPr>
      <w:r w:rsidRPr="00624DDC">
        <w:rPr>
          <w:rFonts w:cstheme="minorHAnsi"/>
          <w:b/>
        </w:rPr>
        <w:t>A17</w:t>
      </w:r>
      <w:r>
        <w:rPr>
          <w:rFonts w:cstheme="minorHAnsi"/>
        </w:rPr>
        <w:t>.</w:t>
      </w:r>
      <w:r>
        <w:rPr>
          <w:rFonts w:cstheme="minorHAnsi"/>
        </w:rPr>
        <w:tab/>
      </w:r>
      <w:r w:rsidRPr="00CB4358">
        <w:rPr>
          <w:rFonts w:cstheme="minorHAnsi"/>
          <w:b/>
        </w:rPr>
        <w:t>Exceptions</w:t>
      </w:r>
    </w:p>
    <w:p w:rsidR="00EF27F7" w:rsidP="006B414D" w14:paraId="692B1367" w14:textId="77777777">
      <w:pPr>
        <w:spacing w:after="0"/>
      </w:pPr>
      <w:r w:rsidRPr="00CB1F9B">
        <w:t>No exceptions are necessary for this information collection.</w:t>
      </w:r>
      <w:r w:rsidRPr="00CB1F9B">
        <w:tab/>
      </w:r>
    </w:p>
    <w:p w:rsidR="00EF27F7" w:rsidP="00EF27F7" w14:paraId="34944A68" w14:textId="77777777">
      <w:pPr>
        <w:spacing w:after="0" w:line="240" w:lineRule="auto"/>
        <w:rPr>
          <w:b/>
        </w:rPr>
      </w:pPr>
    </w:p>
    <w:p w:rsidR="00EF27F7" w:rsidP="00EF27F7" w14:paraId="37F75884" w14:textId="77777777">
      <w:pPr>
        <w:spacing w:after="0" w:line="240" w:lineRule="auto"/>
        <w:rPr>
          <w:b/>
        </w:rPr>
      </w:pPr>
      <w:r>
        <w:rPr>
          <w:b/>
        </w:rPr>
        <w:t>Attachments</w:t>
      </w:r>
    </w:p>
    <w:p w:rsidR="00EF27F7" w:rsidP="00EF27F7" w14:paraId="003513A9" w14:textId="7FC8558D">
      <w:pPr>
        <w:spacing w:after="120" w:line="240" w:lineRule="auto"/>
      </w:pPr>
      <w:r>
        <w:t xml:space="preserve">Appendix A: </w:t>
      </w:r>
      <w:r w:rsidR="003D527D">
        <w:t>Email recruitment and reminders</w:t>
      </w:r>
      <w:r>
        <w:t xml:space="preserve"> </w:t>
      </w:r>
    </w:p>
    <w:p w:rsidR="00EF27F7" w:rsidP="00EF27F7" w14:paraId="1CCA9DE1" w14:textId="206A7408">
      <w:pPr>
        <w:spacing w:after="120" w:line="240" w:lineRule="auto"/>
      </w:pPr>
      <w:r>
        <w:t xml:space="preserve">Instrument 1: Grant Recipient Focus Group Discussion Protocol </w:t>
      </w:r>
    </w:p>
    <w:p w:rsidR="00306028" w:rsidRPr="006B53F1" w:rsidP="00B13297" w14:paraId="08BDA7B5" w14:textId="77777777"/>
    <w:sectPr w:rsidSect="00C91C71">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50B85AE">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932C7" w:rsidP="0004063C" w14:paraId="46CE8A34" w14:textId="77777777">
      <w:pPr>
        <w:spacing w:after="0" w:line="240" w:lineRule="auto"/>
      </w:pPr>
      <w:r>
        <w:separator/>
      </w:r>
    </w:p>
  </w:footnote>
  <w:footnote w:type="continuationSeparator" w:id="1">
    <w:p w:rsidR="003932C7" w:rsidP="0004063C" w14:paraId="0E6B4A52" w14:textId="77777777">
      <w:pPr>
        <w:spacing w:after="0" w:line="240" w:lineRule="auto"/>
      </w:pPr>
      <w:r>
        <w:continuationSeparator/>
      </w:r>
    </w:p>
  </w:footnote>
  <w:footnote w:id="2">
    <w:p w:rsidR="000B42C2" w:rsidP="000B42C2" w14:paraId="4FD814B3" w14:textId="29C49B28">
      <w:pPr>
        <w:pStyle w:val="pf0"/>
        <w:rPr>
          <w:rFonts w:ascii="Arial" w:hAnsi="Arial" w:cs="Arial"/>
          <w:sz w:val="20"/>
          <w:szCs w:val="20"/>
        </w:rPr>
      </w:pPr>
      <w:r>
        <w:rPr>
          <w:rStyle w:val="FootnoteReference"/>
        </w:rPr>
        <w:footnoteRef/>
      </w:r>
      <w:r>
        <w:t xml:space="preserve"> </w:t>
      </w:r>
      <w:r>
        <w:rPr>
          <w:rStyle w:val="cf01"/>
        </w:rPr>
        <w:t xml:space="preserve">National Academies of Sciences, Engineering, and Medicine. 2022. </w:t>
      </w:r>
      <w:r>
        <w:rPr>
          <w:rStyle w:val="cf11"/>
        </w:rPr>
        <w:t>Measuring Sex, Gender Identity, and Sexual Orientation</w:t>
      </w:r>
      <w:r>
        <w:rPr>
          <w:rStyle w:val="cf01"/>
        </w:rPr>
        <w:t xml:space="preserve">. Washington, DC: The National Academies Press. </w:t>
      </w:r>
      <w:hyperlink r:id="rId1" w:history="1">
        <w:r>
          <w:rPr>
            <w:rStyle w:val="cf01"/>
            <w:color w:val="0000FF"/>
            <w:u w:val="single"/>
          </w:rPr>
          <w:t>https://doi.org/10.17226/26424</w:t>
        </w:r>
      </w:hyperlink>
      <w:r>
        <w:rPr>
          <w:rStyle w:val="cf01"/>
        </w:rPr>
        <w:t>.</w:t>
      </w:r>
    </w:p>
    <w:p w:rsidR="000B42C2" w14:paraId="4E55D6CD" w14:textId="2F9EEC5F">
      <w:pPr>
        <w:pStyle w:val="FootnoteText"/>
      </w:pPr>
    </w:p>
  </w:footnote>
  <w:footnote w:id="3">
    <w:p w:rsidR="002560D7" w:rsidRPr="00D82755" w:rsidP="002560D7" w14:paraId="4F110D3D" w14:textId="06A3146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Pr="00D30B6F" w:rsidR="00D30B6F">
        <w:rPr>
          <w:rFonts w:cstheme="minorHAnsi"/>
        </w:rPr>
        <w:t>; immigration/citizenship status</w:t>
      </w:r>
      <w:r w:rsidRPr="00D30B6F">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9F76F164"/>
    <w:lvl w:ilvl="0">
      <w:start w:val="1"/>
      <w:numFmt w:val="decimal"/>
      <w:pStyle w:val="ListNumber"/>
      <w:lvlText w:val="%1."/>
      <w:lvlJc w:val="left"/>
      <w:pPr>
        <w:tabs>
          <w:tab w:val="num" w:pos="360"/>
        </w:tabs>
        <w:ind w:left="360" w:hanging="360"/>
      </w:pPr>
    </w:lvl>
  </w:abstractNum>
  <w:abstractNum w:abstractNumId="1">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1057231"/>
    <w:multiLevelType w:val="hybridMultilevel"/>
    <w:tmpl w:val="0D76C9A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
    <w:nsid w:val="619A1228"/>
    <w:multiLevelType w:val="hybridMultilevel"/>
    <w:tmpl w:val="775226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3042073"/>
    <w:multiLevelType w:val="multilevel"/>
    <w:tmpl w:val="1490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25151030">
    <w:abstractNumId w:val="1"/>
  </w:num>
  <w:num w:numId="2" w16cid:durableId="1746369166">
    <w:abstractNumId w:val="5"/>
  </w:num>
  <w:num w:numId="3" w16cid:durableId="1839035415">
    <w:abstractNumId w:val="4"/>
  </w:num>
  <w:num w:numId="4" w16cid:durableId="1961375988">
    <w:abstractNumId w:val="0"/>
  </w:num>
  <w:num w:numId="5" w16cid:durableId="1735198642">
    <w:abstractNumId w:val="3"/>
  </w:num>
  <w:num w:numId="6" w16cid:durableId="121399832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1741"/>
    <w:rsid w:val="00011F42"/>
    <w:rsid w:val="0001255D"/>
    <w:rsid w:val="00014EDC"/>
    <w:rsid w:val="00026192"/>
    <w:rsid w:val="00027E79"/>
    <w:rsid w:val="0003403E"/>
    <w:rsid w:val="0004063C"/>
    <w:rsid w:val="0004247F"/>
    <w:rsid w:val="00060B30"/>
    <w:rsid w:val="00060C59"/>
    <w:rsid w:val="00062AFB"/>
    <w:rsid w:val="000655DD"/>
    <w:rsid w:val="00071F79"/>
    <w:rsid w:val="0007251B"/>
    <w:rsid w:val="00072B82"/>
    <w:rsid w:val="000733A5"/>
    <w:rsid w:val="00081573"/>
    <w:rsid w:val="00082C5B"/>
    <w:rsid w:val="00083227"/>
    <w:rsid w:val="00084618"/>
    <w:rsid w:val="0008559A"/>
    <w:rsid w:val="00086CBE"/>
    <w:rsid w:val="00090812"/>
    <w:rsid w:val="000921F0"/>
    <w:rsid w:val="000A012A"/>
    <w:rsid w:val="000B42C2"/>
    <w:rsid w:val="000D4E9A"/>
    <w:rsid w:val="000D7D44"/>
    <w:rsid w:val="000F1E4A"/>
    <w:rsid w:val="000F548B"/>
    <w:rsid w:val="00100D34"/>
    <w:rsid w:val="0010265C"/>
    <w:rsid w:val="00103EFD"/>
    <w:rsid w:val="00107D87"/>
    <w:rsid w:val="00115818"/>
    <w:rsid w:val="001253F4"/>
    <w:rsid w:val="0015088D"/>
    <w:rsid w:val="00157482"/>
    <w:rsid w:val="001707D8"/>
    <w:rsid w:val="00194C31"/>
    <w:rsid w:val="001A38FD"/>
    <w:rsid w:val="001B0A76"/>
    <w:rsid w:val="001B6E1A"/>
    <w:rsid w:val="001D7761"/>
    <w:rsid w:val="001E1086"/>
    <w:rsid w:val="001E368D"/>
    <w:rsid w:val="001E3F6B"/>
    <w:rsid w:val="001F0446"/>
    <w:rsid w:val="001F57F5"/>
    <w:rsid w:val="0020401C"/>
    <w:rsid w:val="0020629A"/>
    <w:rsid w:val="00206E11"/>
    <w:rsid w:val="00206FE3"/>
    <w:rsid w:val="00207554"/>
    <w:rsid w:val="00211261"/>
    <w:rsid w:val="0021430A"/>
    <w:rsid w:val="00230CAA"/>
    <w:rsid w:val="002517BB"/>
    <w:rsid w:val="002560D7"/>
    <w:rsid w:val="00256E24"/>
    <w:rsid w:val="00265491"/>
    <w:rsid w:val="00276CE2"/>
    <w:rsid w:val="00287AF1"/>
    <w:rsid w:val="002945C4"/>
    <w:rsid w:val="002A41C6"/>
    <w:rsid w:val="002A5539"/>
    <w:rsid w:val="002B5DBE"/>
    <w:rsid w:val="002B785B"/>
    <w:rsid w:val="002C4F75"/>
    <w:rsid w:val="002E6CCF"/>
    <w:rsid w:val="002F33D0"/>
    <w:rsid w:val="00300722"/>
    <w:rsid w:val="0030316D"/>
    <w:rsid w:val="00306028"/>
    <w:rsid w:val="00307E65"/>
    <w:rsid w:val="00332DB8"/>
    <w:rsid w:val="003664F6"/>
    <w:rsid w:val="00373D2F"/>
    <w:rsid w:val="003932C7"/>
    <w:rsid w:val="003A1C3E"/>
    <w:rsid w:val="003A7774"/>
    <w:rsid w:val="003B1C38"/>
    <w:rsid w:val="003C7358"/>
    <w:rsid w:val="003D527D"/>
    <w:rsid w:val="003E61F6"/>
    <w:rsid w:val="003E6383"/>
    <w:rsid w:val="00401D0C"/>
    <w:rsid w:val="00405075"/>
    <w:rsid w:val="00407537"/>
    <w:rsid w:val="004165BD"/>
    <w:rsid w:val="0042220D"/>
    <w:rsid w:val="004328A4"/>
    <w:rsid w:val="00433735"/>
    <w:rsid w:val="0043377A"/>
    <w:rsid w:val="00436F5E"/>
    <w:rsid w:val="004379B6"/>
    <w:rsid w:val="0044428E"/>
    <w:rsid w:val="00446465"/>
    <w:rsid w:val="00453A86"/>
    <w:rsid w:val="00460D54"/>
    <w:rsid w:val="00461D3E"/>
    <w:rsid w:val="004706CC"/>
    <w:rsid w:val="00483B47"/>
    <w:rsid w:val="004B4839"/>
    <w:rsid w:val="004B75AC"/>
    <w:rsid w:val="004C3644"/>
    <w:rsid w:val="004D12DD"/>
    <w:rsid w:val="004D7384"/>
    <w:rsid w:val="004E5778"/>
    <w:rsid w:val="004E7ED8"/>
    <w:rsid w:val="0050376D"/>
    <w:rsid w:val="00512C25"/>
    <w:rsid w:val="005237B2"/>
    <w:rsid w:val="00523AD0"/>
    <w:rsid w:val="005244F0"/>
    <w:rsid w:val="005302CB"/>
    <w:rsid w:val="00540946"/>
    <w:rsid w:val="0054255A"/>
    <w:rsid w:val="0055434C"/>
    <w:rsid w:val="00572350"/>
    <w:rsid w:val="00577243"/>
    <w:rsid w:val="0058602E"/>
    <w:rsid w:val="00591283"/>
    <w:rsid w:val="005943ED"/>
    <w:rsid w:val="005A61CE"/>
    <w:rsid w:val="005A7E5A"/>
    <w:rsid w:val="005B1285"/>
    <w:rsid w:val="005B1410"/>
    <w:rsid w:val="005B5FCC"/>
    <w:rsid w:val="005D4A40"/>
    <w:rsid w:val="005E2278"/>
    <w:rsid w:val="005E3F36"/>
    <w:rsid w:val="005E493B"/>
    <w:rsid w:val="005E72A1"/>
    <w:rsid w:val="005F2951"/>
    <w:rsid w:val="0061183B"/>
    <w:rsid w:val="00624DDC"/>
    <w:rsid w:val="006253B6"/>
    <w:rsid w:val="006257ED"/>
    <w:rsid w:val="0062686E"/>
    <w:rsid w:val="00630B30"/>
    <w:rsid w:val="00651FF6"/>
    <w:rsid w:val="0068303E"/>
    <w:rsid w:val="0068383E"/>
    <w:rsid w:val="00693FD9"/>
    <w:rsid w:val="006A2B00"/>
    <w:rsid w:val="006A4D02"/>
    <w:rsid w:val="006B1BF9"/>
    <w:rsid w:val="006B31DA"/>
    <w:rsid w:val="006B414D"/>
    <w:rsid w:val="006B53F1"/>
    <w:rsid w:val="006B6037"/>
    <w:rsid w:val="006C0E56"/>
    <w:rsid w:val="006E4648"/>
    <w:rsid w:val="006E4F82"/>
    <w:rsid w:val="006E65E7"/>
    <w:rsid w:val="00717BDC"/>
    <w:rsid w:val="00721395"/>
    <w:rsid w:val="00723A28"/>
    <w:rsid w:val="00730B58"/>
    <w:rsid w:val="00731352"/>
    <w:rsid w:val="00736B62"/>
    <w:rsid w:val="00764C85"/>
    <w:rsid w:val="0077222B"/>
    <w:rsid w:val="00782D0D"/>
    <w:rsid w:val="00784C11"/>
    <w:rsid w:val="00793E3E"/>
    <w:rsid w:val="007A29C5"/>
    <w:rsid w:val="007C7B4B"/>
    <w:rsid w:val="007D0F6E"/>
    <w:rsid w:val="007D50D4"/>
    <w:rsid w:val="007F7A0D"/>
    <w:rsid w:val="00800283"/>
    <w:rsid w:val="00823428"/>
    <w:rsid w:val="008267B4"/>
    <w:rsid w:val="00834C54"/>
    <w:rsid w:val="008369BA"/>
    <w:rsid w:val="00840D32"/>
    <w:rsid w:val="00843933"/>
    <w:rsid w:val="00847C13"/>
    <w:rsid w:val="008502D9"/>
    <w:rsid w:val="00850F4C"/>
    <w:rsid w:val="00864C1F"/>
    <w:rsid w:val="00870FA1"/>
    <w:rsid w:val="00875220"/>
    <w:rsid w:val="008813EA"/>
    <w:rsid w:val="00886299"/>
    <w:rsid w:val="00891CD9"/>
    <w:rsid w:val="0089288B"/>
    <w:rsid w:val="008A36D4"/>
    <w:rsid w:val="008C7CA9"/>
    <w:rsid w:val="008E0239"/>
    <w:rsid w:val="008E4718"/>
    <w:rsid w:val="008F2446"/>
    <w:rsid w:val="008F2854"/>
    <w:rsid w:val="00901040"/>
    <w:rsid w:val="00906F6A"/>
    <w:rsid w:val="009139B3"/>
    <w:rsid w:val="00923F25"/>
    <w:rsid w:val="009319A4"/>
    <w:rsid w:val="00963503"/>
    <w:rsid w:val="00965DBD"/>
    <w:rsid w:val="00971944"/>
    <w:rsid w:val="009815C6"/>
    <w:rsid w:val="00993FDE"/>
    <w:rsid w:val="00996201"/>
    <w:rsid w:val="009A39E1"/>
    <w:rsid w:val="009A3AD8"/>
    <w:rsid w:val="009A6EE8"/>
    <w:rsid w:val="009B0F58"/>
    <w:rsid w:val="009B1A4D"/>
    <w:rsid w:val="009B26FE"/>
    <w:rsid w:val="009C0FDC"/>
    <w:rsid w:val="009C3380"/>
    <w:rsid w:val="009E7E38"/>
    <w:rsid w:val="009F265B"/>
    <w:rsid w:val="009F482C"/>
    <w:rsid w:val="009F68DB"/>
    <w:rsid w:val="00A03E3F"/>
    <w:rsid w:val="00A1108E"/>
    <w:rsid w:val="00A27CD0"/>
    <w:rsid w:val="00A35EB7"/>
    <w:rsid w:val="00A36134"/>
    <w:rsid w:val="00A362B6"/>
    <w:rsid w:val="00A45C0B"/>
    <w:rsid w:val="00A51535"/>
    <w:rsid w:val="00A67CF9"/>
    <w:rsid w:val="00A67DFF"/>
    <w:rsid w:val="00A71475"/>
    <w:rsid w:val="00A714DC"/>
    <w:rsid w:val="00A7179C"/>
    <w:rsid w:val="00A71D77"/>
    <w:rsid w:val="00A761CB"/>
    <w:rsid w:val="00A85701"/>
    <w:rsid w:val="00AA3DF8"/>
    <w:rsid w:val="00AD0344"/>
    <w:rsid w:val="00AD3261"/>
    <w:rsid w:val="00AD4355"/>
    <w:rsid w:val="00AE0A37"/>
    <w:rsid w:val="00AE3F5F"/>
    <w:rsid w:val="00AF1B3E"/>
    <w:rsid w:val="00B018D6"/>
    <w:rsid w:val="00B020B1"/>
    <w:rsid w:val="00B026D1"/>
    <w:rsid w:val="00B03F75"/>
    <w:rsid w:val="00B04785"/>
    <w:rsid w:val="00B13297"/>
    <w:rsid w:val="00B13DC4"/>
    <w:rsid w:val="00B17B7C"/>
    <w:rsid w:val="00B23277"/>
    <w:rsid w:val="00B245AD"/>
    <w:rsid w:val="00B3652D"/>
    <w:rsid w:val="00B4182B"/>
    <w:rsid w:val="00B527C6"/>
    <w:rsid w:val="00B55E54"/>
    <w:rsid w:val="00B56589"/>
    <w:rsid w:val="00B64D05"/>
    <w:rsid w:val="00B70460"/>
    <w:rsid w:val="00B728AD"/>
    <w:rsid w:val="00B9441B"/>
    <w:rsid w:val="00B96DA7"/>
    <w:rsid w:val="00BB4BF8"/>
    <w:rsid w:val="00BC3401"/>
    <w:rsid w:val="00BD702B"/>
    <w:rsid w:val="00BD7963"/>
    <w:rsid w:val="00BD7B78"/>
    <w:rsid w:val="00BE371B"/>
    <w:rsid w:val="00BE403E"/>
    <w:rsid w:val="00BE773B"/>
    <w:rsid w:val="00C05352"/>
    <w:rsid w:val="00C32404"/>
    <w:rsid w:val="00C40A25"/>
    <w:rsid w:val="00C53AEC"/>
    <w:rsid w:val="00C624AA"/>
    <w:rsid w:val="00C7152E"/>
    <w:rsid w:val="00C73360"/>
    <w:rsid w:val="00C77A5B"/>
    <w:rsid w:val="00C86CB2"/>
    <w:rsid w:val="00C91C71"/>
    <w:rsid w:val="00C933D7"/>
    <w:rsid w:val="00C95126"/>
    <w:rsid w:val="00CA72A5"/>
    <w:rsid w:val="00CB1F9B"/>
    <w:rsid w:val="00CB27BF"/>
    <w:rsid w:val="00CB2ED6"/>
    <w:rsid w:val="00CB372B"/>
    <w:rsid w:val="00CB4358"/>
    <w:rsid w:val="00CB43DC"/>
    <w:rsid w:val="00CB57CE"/>
    <w:rsid w:val="00CC07BF"/>
    <w:rsid w:val="00CC3A0A"/>
    <w:rsid w:val="00CC4651"/>
    <w:rsid w:val="00CD7339"/>
    <w:rsid w:val="00CE018E"/>
    <w:rsid w:val="00CE7A4A"/>
    <w:rsid w:val="00CF315D"/>
    <w:rsid w:val="00D1343F"/>
    <w:rsid w:val="00D13AA8"/>
    <w:rsid w:val="00D239B5"/>
    <w:rsid w:val="00D30B6F"/>
    <w:rsid w:val="00D32B72"/>
    <w:rsid w:val="00D32E6D"/>
    <w:rsid w:val="00D4033C"/>
    <w:rsid w:val="00D44EA5"/>
    <w:rsid w:val="00D45504"/>
    <w:rsid w:val="00D5346A"/>
    <w:rsid w:val="00D55767"/>
    <w:rsid w:val="00D70A12"/>
    <w:rsid w:val="00D71BA0"/>
    <w:rsid w:val="00D72963"/>
    <w:rsid w:val="00D749DF"/>
    <w:rsid w:val="00D82755"/>
    <w:rsid w:val="00D82E67"/>
    <w:rsid w:val="00D831AC"/>
    <w:rsid w:val="00D87B09"/>
    <w:rsid w:val="00D97926"/>
    <w:rsid w:val="00DA3557"/>
    <w:rsid w:val="00DA4701"/>
    <w:rsid w:val="00DC65F2"/>
    <w:rsid w:val="00DC7876"/>
    <w:rsid w:val="00DC7DD5"/>
    <w:rsid w:val="00DD4F0F"/>
    <w:rsid w:val="00DE3ED7"/>
    <w:rsid w:val="00DE5F64"/>
    <w:rsid w:val="00DF1291"/>
    <w:rsid w:val="00E1392C"/>
    <w:rsid w:val="00E218C4"/>
    <w:rsid w:val="00E22AC6"/>
    <w:rsid w:val="00E24830"/>
    <w:rsid w:val="00E271B3"/>
    <w:rsid w:val="00E318A6"/>
    <w:rsid w:val="00E41C62"/>
    <w:rsid w:val="00E41EE9"/>
    <w:rsid w:val="00E44AB6"/>
    <w:rsid w:val="00E461D4"/>
    <w:rsid w:val="00E47CCA"/>
    <w:rsid w:val="00E62285"/>
    <w:rsid w:val="00E62819"/>
    <w:rsid w:val="00E62E7D"/>
    <w:rsid w:val="00E71E25"/>
    <w:rsid w:val="00E72A72"/>
    <w:rsid w:val="00E77F37"/>
    <w:rsid w:val="00E9045F"/>
    <w:rsid w:val="00E9160A"/>
    <w:rsid w:val="00EA0D4F"/>
    <w:rsid w:val="00EA405B"/>
    <w:rsid w:val="00EB4C26"/>
    <w:rsid w:val="00EB6134"/>
    <w:rsid w:val="00EC1A6C"/>
    <w:rsid w:val="00EC282C"/>
    <w:rsid w:val="00EC46E1"/>
    <w:rsid w:val="00ED7509"/>
    <w:rsid w:val="00EE3651"/>
    <w:rsid w:val="00EE38AF"/>
    <w:rsid w:val="00EF19A9"/>
    <w:rsid w:val="00EF254B"/>
    <w:rsid w:val="00EF27F7"/>
    <w:rsid w:val="00EF4FF2"/>
    <w:rsid w:val="00F071DE"/>
    <w:rsid w:val="00F4057A"/>
    <w:rsid w:val="00F42246"/>
    <w:rsid w:val="00F4788E"/>
    <w:rsid w:val="00F54D2F"/>
    <w:rsid w:val="00F74630"/>
    <w:rsid w:val="00F75061"/>
    <w:rsid w:val="00F86F1F"/>
    <w:rsid w:val="00F87CA1"/>
    <w:rsid w:val="00F9122A"/>
    <w:rsid w:val="00FA5B1A"/>
    <w:rsid w:val="00FA6D2C"/>
    <w:rsid w:val="00FB5BF6"/>
    <w:rsid w:val="00FC779A"/>
    <w:rsid w:val="00FE187F"/>
    <w:rsid w:val="00FF5C51"/>
    <w:rsid w:val="1241AD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43A06FD8-47AD-4AAE-A18B-4118779E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nhideWhenUsed/>
    <w:qFormat/>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commentcontentpara">
    <w:name w:val="commentcontentpara"/>
    <w:basedOn w:val="Normal"/>
    <w:rsid w:val="00993F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F7A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F7A0D"/>
    <w:rPr>
      <w:rFonts w:ascii="Segoe UI" w:hAnsi="Segoe UI" w:cs="Segoe UI" w:hint="default"/>
      <w:sz w:val="18"/>
      <w:szCs w:val="18"/>
    </w:rPr>
  </w:style>
  <w:style w:type="character" w:customStyle="1" w:styleId="cf11">
    <w:name w:val="cf11"/>
    <w:basedOn w:val="DefaultParagraphFont"/>
    <w:rsid w:val="007F7A0D"/>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0B42C2"/>
    <w:rPr>
      <w:color w:val="605E5C"/>
      <w:shd w:val="clear" w:color="auto" w:fill="E1DFDD"/>
    </w:rPr>
  </w:style>
  <w:style w:type="paragraph" w:styleId="ListNumber">
    <w:name w:val="List Number"/>
    <w:basedOn w:val="Normal"/>
    <w:unhideWhenUsed/>
    <w:qFormat/>
    <w:rsid w:val="000B42C2"/>
    <w:pPr>
      <w:numPr>
        <w:numId w:val="4"/>
      </w:numPr>
      <w:adjustRightInd w:val="0"/>
      <w:spacing w:after="80" w:line="264" w:lineRule="auto"/>
    </w:pPr>
  </w:style>
  <w:style w:type="paragraph" w:customStyle="1" w:styleId="TableHeaderCenter">
    <w:name w:val="Table Header Center"/>
    <w:basedOn w:val="Normal"/>
    <w:qFormat/>
    <w:rsid w:val="00EF27F7"/>
    <w:pPr>
      <w:keepNext/>
      <w:spacing w:before="40" w:after="20" w:line="264" w:lineRule="auto"/>
      <w:jc w:val="center"/>
    </w:pPr>
    <w:rPr>
      <w:rFonts w:asciiTheme="majorHAnsi" w:hAnsiTheme="majorHAnsi"/>
      <w:color w:val="FFFFFF" w:themeColor="background1"/>
      <w:sz w:val="20"/>
    </w:rPr>
  </w:style>
  <w:style w:type="table" w:customStyle="1" w:styleId="MathUBaseTable">
    <w:name w:val="MathU Base Table"/>
    <w:basedOn w:val="TableNormal"/>
    <w:uiPriority w:val="99"/>
    <w:rsid w:val="00EF27F7"/>
    <w:pPr>
      <w:spacing w:before="40" w:after="20" w:line="240" w:lineRule="auto"/>
    </w:pPr>
    <w:rPr>
      <w:rFonts w:asciiTheme="majorHAnsi" w:hAnsiTheme="majorHAnsi"/>
      <w:sz w:val="18"/>
    </w:rPr>
    <w:tblPr>
      <w:tblBorders>
        <w:bottom w:val="single" w:sz="4" w:space="0" w:color="1F497D" w:themeColor="text2"/>
        <w:insideH w:val="single" w:sz="4" w:space="0" w:color="9BBB59"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1F497D" w:themeColor="text2"/>
          <w:right w:val="nil"/>
          <w:insideH w:val="nil"/>
          <w:insideV w:val="single" w:sz="4" w:space="0" w:color="FFFFFF" w:themeColor="background1"/>
          <w:tl2br w:val="nil"/>
          <w:tr2bl w:val="nil"/>
        </w:tcBorders>
        <w:shd w:val="clear" w:color="auto" w:fill="1F497D" w:themeFill="text2"/>
      </w:tcPr>
    </w:tblStylePr>
    <w:tblStylePr w:type="lastRow">
      <w:rPr>
        <w:color w:val="000000" w:themeColor="text1"/>
      </w:rPr>
      <w:tblPr/>
      <w:tcPr>
        <w:tcBorders>
          <w:bottom w:val="single" w:sz="4" w:space="0" w:color="1F497D" w:themeColor="text2"/>
        </w:tcBorders>
        <w:shd w:val="clear" w:color="auto" w:fill="FFFFFF" w:themeFill="background1"/>
      </w:tcPr>
    </w:tblStylePr>
    <w:tblStylePr w:type="firstCol">
      <w:tblPr/>
      <w:tcPr>
        <w:tcBorders>
          <w:right w:val="single" w:sz="4" w:space="0" w:color="9BBB59" w:themeColor="accent3"/>
        </w:tcBorders>
        <w:shd w:val="clear" w:color="auto" w:fill="FFFFFF" w:themeFill="background1"/>
      </w:tcPr>
    </w:tblStylePr>
    <w:tblStylePr w:type="lastCol">
      <w:tblPr/>
      <w:tcPr>
        <w:tcBorders>
          <w:top w:val="nil"/>
          <w:left w:val="nil"/>
          <w:bottom w:val="single" w:sz="4" w:space="0" w:color="9BBB59"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F497D" w:themeFill="text2"/>
      </w:tcPr>
    </w:tblStylePr>
  </w:style>
  <w:style w:type="paragraph" w:customStyle="1" w:styleId="TableTextLeft">
    <w:name w:val="Table Text Left"/>
    <w:qFormat/>
    <w:rsid w:val="00EF27F7"/>
    <w:pPr>
      <w:spacing w:before="40" w:after="20" w:line="264" w:lineRule="auto"/>
    </w:pPr>
    <w:rPr>
      <w:rFonts w:asciiTheme="majorHAnsi" w:hAnsiTheme="majorHAnsi"/>
      <w:color w:val="000000" w:themeColor="text1"/>
      <w:sz w:val="18"/>
    </w:rPr>
  </w:style>
  <w:style w:type="paragraph" w:customStyle="1" w:styleId="TableHeaderLeft">
    <w:name w:val="Table Header Left"/>
    <w:basedOn w:val="TableTextLeft"/>
    <w:qFormat/>
    <w:rsid w:val="00EF27F7"/>
    <w:pPr>
      <w:keepNext/>
    </w:pPr>
    <w:rPr>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doi.org/10.17226/26424"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doi.org/10.17226/2642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2C021DCE56A64F805BFA31C3621A54" ma:contentTypeVersion="18" ma:contentTypeDescription="Create a new document." ma:contentTypeScope="" ma:versionID="7bf80492d8cd903737e73e498f6be184">
  <xsd:schema xmlns:xsd="http://www.w3.org/2001/XMLSchema" xmlns:xs="http://www.w3.org/2001/XMLSchema" xmlns:p="http://schemas.microsoft.com/office/2006/metadata/properties" xmlns:ns1="http://schemas.microsoft.com/sharepoint/v3" xmlns:ns3="e301e7ed-3d1a-4b1f-91c2-122a52aaf74c" xmlns:ns4="a8b7cd30-d77e-4993-8fd1-0e48b56894b3" targetNamespace="http://schemas.microsoft.com/office/2006/metadata/properties" ma:root="true" ma:fieldsID="4ced4ba7447b9a737fe39cfcb2a57ea1" ns1:_="" ns3:_="" ns4:_="">
    <xsd:import namespace="http://schemas.microsoft.com/sharepoint/v3"/>
    <xsd:import namespace="e301e7ed-3d1a-4b1f-91c2-122a52aaf74c"/>
    <xsd:import namespace="a8b7cd30-d77e-4993-8fd1-0e48b56894b3"/>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1e7ed-3d1a-4b1f-91c2-122a52aaf7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b7cd30-d77e-4993-8fd1-0e48b56894b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e301e7ed-3d1a-4b1f-91c2-122a52aaf74c"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5308818-2290-454D-9AD8-2E3E64746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01e7ed-3d1a-4b1f-91c2-122a52aaf74c"/>
    <ds:schemaRef ds:uri="a8b7cd30-d77e-4993-8fd1-0e48b5689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customXml/itemProps3.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4.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http://schemas.microsoft.com/sharepoint/v3"/>
    <ds:schemaRef ds:uri="e301e7ed-3d1a-4b1f-91c2-122a52aaf74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2371</Words>
  <Characters>13516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Blitz, Caryn (ACF)</dc:creator>
  <cp:lastModifiedBy>ACF PRA</cp:lastModifiedBy>
  <cp:revision>2</cp:revision>
  <dcterms:created xsi:type="dcterms:W3CDTF">2024-09-16T18:49:00Z</dcterms:created>
  <dcterms:modified xsi:type="dcterms:W3CDTF">2024-09-16T18:49:00Z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0x010100C32C021DCE56A64F805BFA31C3621A54</vt:lpwstr>
  </property>
</Properties>
</file>