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D44" w:rsidP="00B56589" w14:paraId="18028DD1" w14:textId="77777777">
      <w:pPr>
        <w:rPr>
          <w:b/>
        </w:rPr>
      </w:pPr>
    </w:p>
    <w:p w:rsidR="008D1997" w:rsidRPr="00B13297" w:rsidP="008D1997" w14:paraId="55DC89C6" w14:textId="75152F35">
      <w:pPr>
        <w:pStyle w:val="ReportCover-Title"/>
        <w:jc w:val="center"/>
        <w:rPr>
          <w:rFonts w:ascii="Arial" w:hAnsi="Arial" w:cs="Arial"/>
          <w:color w:val="auto"/>
        </w:rPr>
      </w:pPr>
      <w:r>
        <w:rPr>
          <w:rFonts w:ascii="Arial" w:eastAsia="Arial Unicode MS" w:hAnsi="Arial" w:cs="Arial"/>
          <w:noProof/>
          <w:color w:val="auto"/>
        </w:rPr>
        <w:t xml:space="preserve">Feedback on </w:t>
      </w:r>
      <w:r w:rsidR="007C133A">
        <w:rPr>
          <w:rFonts w:ascii="Arial" w:eastAsia="Arial Unicode MS" w:hAnsi="Arial" w:cs="Arial"/>
          <w:noProof/>
          <w:color w:val="auto"/>
        </w:rPr>
        <w:t>Current Personal Responsibility Education Program (</w:t>
      </w:r>
      <w:r w:rsidR="005F0303">
        <w:rPr>
          <w:rFonts w:ascii="Arial" w:eastAsia="Arial Unicode MS" w:hAnsi="Arial" w:cs="Arial"/>
          <w:noProof/>
          <w:color w:val="auto"/>
        </w:rPr>
        <w:t>PREP</w:t>
      </w:r>
      <w:r w:rsidR="007C133A">
        <w:rPr>
          <w:rFonts w:ascii="Arial" w:eastAsia="Arial Unicode MS" w:hAnsi="Arial" w:cs="Arial"/>
          <w:noProof/>
          <w:color w:val="auto"/>
        </w:rPr>
        <w:t>)</w:t>
      </w:r>
      <w:r w:rsidR="005F0303">
        <w:rPr>
          <w:rFonts w:ascii="Arial" w:eastAsia="Arial Unicode MS" w:hAnsi="Arial" w:cs="Arial"/>
          <w:noProof/>
          <w:color w:val="auto"/>
        </w:rPr>
        <w:t xml:space="preserve"> </w:t>
      </w:r>
      <w:r w:rsidR="007C133A">
        <w:rPr>
          <w:rFonts w:ascii="Arial" w:eastAsia="Arial Unicode MS" w:hAnsi="Arial" w:cs="Arial"/>
          <w:noProof/>
          <w:color w:val="auto"/>
        </w:rPr>
        <w:t>Information Collections</w:t>
      </w:r>
    </w:p>
    <w:p w:rsidR="00D51337" w:rsidRPr="00B13297" w:rsidP="00D51337" w14:paraId="6AFF1AEC" w14:textId="77777777">
      <w:pPr>
        <w:pStyle w:val="ReportCover-Title"/>
        <w:rPr>
          <w:rFonts w:ascii="Arial" w:hAnsi="Arial" w:cs="Arial"/>
          <w:color w:val="auto"/>
        </w:rPr>
      </w:pPr>
    </w:p>
    <w:p w:rsidR="00D51337" w:rsidRPr="00B13297" w:rsidP="00D51337" w14:paraId="57B8C8E4" w14:textId="77777777">
      <w:pPr>
        <w:pStyle w:val="ReportCover-Title"/>
        <w:rPr>
          <w:rFonts w:ascii="Arial" w:hAnsi="Arial" w:cs="Arial"/>
          <w:color w:val="auto"/>
        </w:rPr>
      </w:pPr>
    </w:p>
    <w:p w:rsidR="009B3DFB" w:rsidRPr="008D105A" w:rsidP="009B3DFB" w14:paraId="7B3B50B5" w14:textId="5465BE76">
      <w:pPr>
        <w:pStyle w:val="ReportCover-Title"/>
        <w:jc w:val="center"/>
        <w:rPr>
          <w:rFonts w:ascii="Arial" w:hAnsi="Arial" w:cs="Arial"/>
          <w:color w:val="auto"/>
          <w:sz w:val="32"/>
          <w:szCs w:val="32"/>
        </w:rPr>
      </w:pPr>
    </w:p>
    <w:p w:rsidR="009B3DFB" w:rsidRPr="008D105A" w:rsidP="009B3DFB" w14:paraId="2D942086" w14:textId="77777777">
      <w:pPr>
        <w:pStyle w:val="ReportCover-Title"/>
        <w:jc w:val="center"/>
        <w:rPr>
          <w:rFonts w:ascii="Arial" w:hAnsi="Arial" w:cs="Arial"/>
          <w:color w:val="auto"/>
          <w:sz w:val="32"/>
          <w:szCs w:val="32"/>
        </w:rPr>
      </w:pPr>
      <w:r w:rsidRPr="008D105A">
        <w:rPr>
          <w:rFonts w:ascii="Arial" w:hAnsi="Arial" w:cs="Arial"/>
          <w:color w:val="auto"/>
          <w:sz w:val="32"/>
          <w:szCs w:val="32"/>
        </w:rPr>
        <w:t>Formative Data Collections for ACF Research</w:t>
      </w:r>
    </w:p>
    <w:p w:rsidR="009B3DFB" w:rsidRPr="008D105A" w:rsidP="009B3DFB" w14:paraId="5ABABFA1" w14:textId="77777777">
      <w:pPr>
        <w:pStyle w:val="ReportCover-Title"/>
        <w:jc w:val="center"/>
        <w:rPr>
          <w:rFonts w:ascii="Arial" w:hAnsi="Arial" w:cs="Arial"/>
          <w:color w:val="auto"/>
          <w:sz w:val="32"/>
          <w:szCs w:val="32"/>
        </w:rPr>
      </w:pPr>
    </w:p>
    <w:p w:rsidR="009B3DFB" w:rsidRPr="002C4F75" w:rsidP="009B3DFB" w14:paraId="49567381" w14:textId="6DB0C463">
      <w:pPr>
        <w:pStyle w:val="ReportCover-Title"/>
        <w:jc w:val="center"/>
        <w:rPr>
          <w:rFonts w:ascii="Arial" w:hAnsi="Arial" w:cs="Arial"/>
          <w:color w:val="auto"/>
          <w:sz w:val="32"/>
          <w:szCs w:val="32"/>
        </w:rPr>
      </w:pPr>
      <w:r w:rsidRPr="008D105A">
        <w:rPr>
          <w:rFonts w:ascii="Arial" w:hAnsi="Arial" w:cs="Arial"/>
          <w:color w:val="auto"/>
          <w:sz w:val="32"/>
          <w:szCs w:val="32"/>
        </w:rPr>
        <w:t>0970 - 035</w:t>
      </w:r>
      <w:r w:rsidRPr="008D105A" w:rsidR="008D105A">
        <w:rPr>
          <w:rFonts w:ascii="Arial" w:hAnsi="Arial" w:cs="Arial"/>
          <w:color w:val="auto"/>
          <w:sz w:val="32"/>
          <w:szCs w:val="32"/>
        </w:rPr>
        <w:t>6</w:t>
      </w:r>
    </w:p>
    <w:p w:rsidR="00D51337" w:rsidRPr="00B13297" w:rsidP="00D51337" w14:paraId="4A4DC21E" w14:textId="77777777">
      <w:pPr>
        <w:rPr>
          <w:rFonts w:ascii="Arial" w:hAnsi="Arial" w:cs="Arial"/>
        </w:rPr>
      </w:pPr>
    </w:p>
    <w:p w:rsidR="00D51337" w:rsidRPr="00B13297" w:rsidP="00D51337" w14:paraId="241CDD3B" w14:textId="77777777">
      <w:pPr>
        <w:pStyle w:val="ReportCover-Date"/>
        <w:jc w:val="center"/>
        <w:rPr>
          <w:rFonts w:ascii="Arial" w:hAnsi="Arial" w:cs="Arial"/>
          <w:color w:val="auto"/>
        </w:rPr>
      </w:pPr>
    </w:p>
    <w:p w:rsidR="00D51337" w:rsidRPr="00B13297" w:rsidP="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D51337" w:rsidRPr="00B13297" w:rsidP="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008D1997" w:rsidRPr="00B13297" w:rsidP="008D1997" w14:paraId="345511E4" w14:textId="77777777">
      <w:pPr>
        <w:pStyle w:val="ReportCover-Date"/>
        <w:jc w:val="center"/>
        <w:rPr>
          <w:rFonts w:ascii="Arial" w:hAnsi="Arial" w:cs="Arial"/>
          <w:color w:val="auto"/>
        </w:rPr>
      </w:pPr>
      <w:r>
        <w:rPr>
          <w:rFonts w:ascii="Arial" w:hAnsi="Arial" w:cs="Arial"/>
          <w:color w:val="auto"/>
        </w:rPr>
        <w:t>September 2024</w:t>
      </w:r>
    </w:p>
    <w:p w:rsidR="00D51337" w:rsidRPr="00B13297" w:rsidP="00D51337" w14:paraId="42BC44A9" w14:textId="77777777">
      <w:pPr>
        <w:spacing w:after="0" w:line="240" w:lineRule="auto"/>
        <w:jc w:val="center"/>
        <w:rPr>
          <w:rFonts w:ascii="Arial" w:hAnsi="Arial" w:cs="Arial"/>
        </w:rPr>
      </w:pPr>
    </w:p>
    <w:p w:rsidR="00D51337" w:rsidRPr="00B13297" w:rsidP="00D51337" w14:paraId="4BA2E953" w14:textId="77777777">
      <w:pPr>
        <w:spacing w:after="0" w:line="240" w:lineRule="auto"/>
        <w:jc w:val="center"/>
        <w:rPr>
          <w:rFonts w:ascii="Arial" w:hAnsi="Arial" w:cs="Arial"/>
        </w:rPr>
      </w:pPr>
      <w:r w:rsidRPr="00B13297">
        <w:rPr>
          <w:rFonts w:ascii="Arial" w:hAnsi="Arial" w:cs="Arial"/>
        </w:rPr>
        <w:t>Submitted By:</w:t>
      </w:r>
    </w:p>
    <w:p w:rsidR="00D51337" w:rsidRPr="00B13297" w:rsidP="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00D51337" w:rsidRPr="00B13297" w:rsidP="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D51337" w:rsidRPr="00B13297" w:rsidP="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00D51337" w:rsidRPr="00B13297" w:rsidP="00D51337" w14:paraId="1A483089" w14:textId="77777777">
      <w:pPr>
        <w:spacing w:after="0" w:line="240" w:lineRule="auto"/>
        <w:jc w:val="center"/>
        <w:rPr>
          <w:rFonts w:ascii="Arial" w:hAnsi="Arial" w:cs="Arial"/>
        </w:rPr>
      </w:pPr>
    </w:p>
    <w:p w:rsidR="00D51337" w:rsidRPr="00B13297" w:rsidP="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D51337" w:rsidRPr="00B13297" w:rsidP="00D51337" w14:paraId="26A8D7CA" w14:textId="77777777">
      <w:pPr>
        <w:spacing w:after="0" w:line="240" w:lineRule="auto"/>
        <w:jc w:val="center"/>
        <w:rPr>
          <w:rFonts w:ascii="Arial" w:hAnsi="Arial" w:cs="Arial"/>
        </w:rPr>
      </w:pPr>
      <w:r w:rsidRPr="00B13297">
        <w:rPr>
          <w:rFonts w:ascii="Arial" w:hAnsi="Arial" w:cs="Arial"/>
        </w:rPr>
        <w:t>330 C Street, SW</w:t>
      </w:r>
    </w:p>
    <w:p w:rsidR="00D51337" w:rsidRPr="00B13297" w:rsidP="00D51337" w14:paraId="366B1F06" w14:textId="77777777">
      <w:pPr>
        <w:spacing w:after="0" w:line="240" w:lineRule="auto"/>
        <w:jc w:val="center"/>
        <w:rPr>
          <w:rFonts w:ascii="Arial" w:hAnsi="Arial" w:cs="Arial"/>
        </w:rPr>
      </w:pPr>
      <w:r w:rsidRPr="00B13297">
        <w:rPr>
          <w:rFonts w:ascii="Arial" w:hAnsi="Arial" w:cs="Arial"/>
        </w:rPr>
        <w:t>Washington, D.C. 20201</w:t>
      </w:r>
    </w:p>
    <w:p w:rsidR="00D51337" w:rsidRPr="00B13297" w:rsidP="00D51337" w14:paraId="4691FD53" w14:textId="77777777">
      <w:pPr>
        <w:spacing w:after="0" w:line="240" w:lineRule="auto"/>
        <w:jc w:val="center"/>
        <w:rPr>
          <w:rFonts w:ascii="Arial" w:hAnsi="Arial" w:cs="Arial"/>
        </w:rPr>
      </w:pPr>
    </w:p>
    <w:p w:rsidR="00D51337" w:rsidRPr="002C4F75" w:rsidP="00D51337" w14:paraId="69B03251" w14:textId="480EAC5B">
      <w:pPr>
        <w:spacing w:after="0" w:line="240" w:lineRule="auto"/>
        <w:jc w:val="center"/>
        <w:rPr>
          <w:rFonts w:ascii="Arial" w:hAnsi="Arial" w:cs="Arial"/>
        </w:rPr>
      </w:pPr>
      <w:r w:rsidRPr="00B13297">
        <w:rPr>
          <w:rFonts w:ascii="Arial" w:hAnsi="Arial" w:cs="Arial"/>
        </w:rPr>
        <w:t>Project Officers:</w:t>
      </w:r>
      <w:r w:rsidR="00043354">
        <w:rPr>
          <w:rFonts w:ascii="Arial" w:hAnsi="Arial" w:cs="Arial"/>
        </w:rPr>
        <w:t xml:space="preserve"> Caryn Blitz, Tia Brown</w:t>
      </w:r>
    </w:p>
    <w:p w:rsidR="00D51337" w:rsidP="00D51337" w14:paraId="27872D1C" w14:textId="77777777">
      <w:pPr>
        <w:spacing w:after="0" w:line="240" w:lineRule="auto"/>
        <w:jc w:val="center"/>
        <w:rPr>
          <w:b/>
        </w:rPr>
      </w:pPr>
    </w:p>
    <w:p w:rsidR="001253F4" w:rsidP="00624DDC" w14:paraId="71A43DA4" w14:textId="77777777">
      <w:pPr>
        <w:jc w:val="center"/>
        <w:rPr>
          <w:b/>
          <w:sz w:val="32"/>
          <w:szCs w:val="32"/>
        </w:rPr>
      </w:pPr>
      <w:r>
        <w:br w:type="page"/>
      </w:r>
      <w:r w:rsidRPr="00624DDC">
        <w:rPr>
          <w:b/>
          <w:sz w:val="32"/>
          <w:szCs w:val="32"/>
        </w:rPr>
        <w:t>Part B</w:t>
      </w:r>
    </w:p>
    <w:p w:rsidR="003147AF" w:rsidP="003147AF" w14:paraId="3871BCB0" w14:textId="77777777">
      <w:pPr>
        <w:spacing w:after="0" w:line="240" w:lineRule="auto"/>
        <w:rPr>
          <w:rFonts w:cs="Times New Roman"/>
        </w:rPr>
      </w:pPr>
      <w:r>
        <w:rPr>
          <w:rFonts w:cs="Times New Roman"/>
        </w:rPr>
        <w:t xml:space="preserve">As part of the effort to improve performance measures collected by adolescent pregnancy prevention programs, the Administration for Children and Families (ACF) is beginning a process to revise the Personal Responsibility Education Program (PREP) youth surveys (approved under OMB #: 0970-0497) </w:t>
      </w:r>
      <w:bookmarkStart w:id="0" w:name="_Hlk177038479"/>
      <w:r>
        <w:rPr>
          <w:rFonts w:cs="Times New Roman"/>
        </w:rPr>
        <w:t>and surveys approved for the Sexual Risk Avoidance Education Program Performance Analysis Study (SRAE PAS) (OMB # 0970-0356).</w:t>
      </w:r>
    </w:p>
    <w:bookmarkEnd w:id="0"/>
    <w:p w:rsidR="00EE38AF" w:rsidP="008369BA" w14:paraId="66C05F3B" w14:textId="77777777">
      <w:pPr>
        <w:spacing w:after="0" w:line="240" w:lineRule="auto"/>
        <w:rPr>
          <w:b/>
        </w:rPr>
      </w:pPr>
    </w:p>
    <w:p w:rsidR="0072072F" w:rsidP="00F85D35" w14:paraId="23F27413" w14:textId="33345C07">
      <w:pPr>
        <w:spacing w:after="120" w:line="240" w:lineRule="auto"/>
      </w:pPr>
      <w:r>
        <w:rPr>
          <w:b/>
        </w:rPr>
        <w:t>B1.</w:t>
      </w:r>
      <w:r>
        <w:rPr>
          <w:b/>
        </w:rPr>
        <w:tab/>
      </w:r>
      <w:r w:rsidRPr="008369BA" w:rsidR="0020629A">
        <w:rPr>
          <w:b/>
        </w:rPr>
        <w:t>O</w:t>
      </w:r>
      <w:r w:rsidRPr="008369BA" w:rsidR="008369BA">
        <w:rPr>
          <w:b/>
        </w:rPr>
        <w:t>bjectives</w:t>
      </w:r>
    </w:p>
    <w:p w:rsidR="0072072F" w:rsidRPr="0072072F" w:rsidP="00F85D35" w14:paraId="40621335" w14:textId="77777777">
      <w:pPr>
        <w:spacing w:after="60" w:line="240" w:lineRule="auto"/>
        <w:rPr>
          <w:i/>
        </w:rPr>
      </w:pPr>
      <w:r w:rsidRPr="0072072F">
        <w:rPr>
          <w:i/>
        </w:rPr>
        <w:t>Study Objectives</w:t>
      </w:r>
    </w:p>
    <w:p w:rsidR="008D1997" w:rsidRPr="003147AF" w:rsidP="008D1997" w14:paraId="352608B3" w14:textId="6F1B3FE8">
      <w:pPr>
        <w:spacing w:after="0" w:line="240" w:lineRule="auto"/>
        <w:rPr>
          <w:rFonts w:cs="Times New Roman"/>
        </w:rPr>
      </w:pPr>
      <w:r>
        <w:rPr>
          <w:szCs w:val="24"/>
        </w:rPr>
        <w:t xml:space="preserve">The purpose of this collection is to gather feedback from grant recipients about current performance measures included </w:t>
      </w:r>
      <w:r w:rsidR="007B53CC">
        <w:rPr>
          <w:szCs w:val="24"/>
        </w:rPr>
        <w:t>in Personal Responsibility Education Program (PREP) youth surveys (</w:t>
      </w:r>
      <w:r>
        <w:rPr>
          <w:szCs w:val="24"/>
        </w:rPr>
        <w:t xml:space="preserve">approved </w:t>
      </w:r>
      <w:r w:rsidR="007B53CC">
        <w:rPr>
          <w:szCs w:val="24"/>
        </w:rPr>
        <w:t>under OMB #: 0970-0497)</w:t>
      </w:r>
      <w:r w:rsidRPr="003147AF" w:rsidR="003147AF">
        <w:rPr>
          <w:rFonts w:cs="Times New Roman"/>
        </w:rPr>
        <w:t xml:space="preserve"> </w:t>
      </w:r>
      <w:r w:rsidR="003147AF">
        <w:rPr>
          <w:rFonts w:cs="Times New Roman"/>
        </w:rPr>
        <w:t>and surveys approved for the Sexual Risk Avoidance Education Program Performance Analysis Study (SRAE PAS) (OMB # 0970-0356)</w:t>
      </w:r>
      <w:r>
        <w:rPr>
          <w:szCs w:val="24"/>
        </w:rPr>
        <w:t xml:space="preserve">. </w:t>
      </w:r>
      <w:r>
        <w:rPr>
          <w:rFonts w:cs="Times New Roman"/>
        </w:rPr>
        <w:t>The information from these focus groups will</w:t>
      </w:r>
      <w:r w:rsidR="00214150">
        <w:rPr>
          <w:rFonts w:cs="Times New Roman"/>
        </w:rPr>
        <w:t xml:space="preserve"> (1) </w:t>
      </w:r>
      <w:r w:rsidR="007B53CC">
        <w:rPr>
          <w:rFonts w:cs="Times New Roman"/>
        </w:rPr>
        <w:t xml:space="preserve">inform </w:t>
      </w:r>
      <w:r w:rsidR="007B53CC">
        <w:rPr>
          <w:bCs/>
        </w:rPr>
        <w:t>potential improvements to</w:t>
      </w:r>
      <w:r w:rsidRPr="00730B58" w:rsidR="007B53CC">
        <w:rPr>
          <w:bCs/>
        </w:rPr>
        <w:t xml:space="preserve"> the </w:t>
      </w:r>
      <w:r w:rsidR="007B53CC">
        <w:rPr>
          <w:bCs/>
        </w:rPr>
        <w:t xml:space="preserve">performance measures in the PREP </w:t>
      </w:r>
      <w:r w:rsidR="00621A85">
        <w:rPr>
          <w:bCs/>
        </w:rPr>
        <w:t>program</w:t>
      </w:r>
      <w:r w:rsidR="007B53CC">
        <w:rPr>
          <w:bCs/>
        </w:rPr>
        <w:t>, and</w:t>
      </w:r>
      <w:r w:rsidR="007B53CC">
        <w:rPr>
          <w:rFonts w:cs="Times New Roman"/>
        </w:rPr>
        <w:t xml:space="preserve"> </w:t>
      </w:r>
      <w:bookmarkStart w:id="1" w:name="_Hlk176960200"/>
      <w:r w:rsidR="008E1150">
        <w:rPr>
          <w:rFonts w:cs="Times New Roman"/>
        </w:rPr>
        <w:t xml:space="preserve">(2) </w:t>
      </w:r>
      <w:r w:rsidR="008E1150">
        <w:rPr>
          <w:szCs w:val="24"/>
        </w:rPr>
        <w:t xml:space="preserve">contribute to </w:t>
      </w:r>
      <w:r w:rsidR="008E1150">
        <w:rPr>
          <w:rFonts w:cs="Times New Roman"/>
        </w:rPr>
        <w:t>an agency-wide initiative to select</w:t>
      </w:r>
      <w:r w:rsidRPr="00AA3DF8" w:rsidR="008E1150">
        <w:rPr>
          <w:rFonts w:eastAsia="Times New Roman" w:cs="Times New Roman"/>
          <w:szCs w:val="24"/>
        </w:rPr>
        <w:t xml:space="preserve"> </w:t>
      </w:r>
      <w:r w:rsidR="008E1150">
        <w:rPr>
          <w:rFonts w:eastAsia="Times New Roman" w:cs="Times New Roman"/>
          <w:szCs w:val="24"/>
        </w:rPr>
        <w:t>sexual orientation and gender identity (</w:t>
      </w:r>
      <w:r w:rsidR="008E1150">
        <w:rPr>
          <w:rFonts w:cs="Times New Roman"/>
        </w:rPr>
        <w:t xml:space="preserve">SOGI) items </w:t>
      </w:r>
      <w:bookmarkEnd w:id="1"/>
      <w:r w:rsidR="008E1150">
        <w:rPr>
          <w:rFonts w:cs="Times New Roman"/>
        </w:rPr>
        <w:t xml:space="preserve">for </w:t>
      </w:r>
      <w:r w:rsidR="007B53CC">
        <w:rPr>
          <w:rFonts w:cs="Times New Roman"/>
        </w:rPr>
        <w:t xml:space="preserve">use with </w:t>
      </w:r>
      <w:r w:rsidR="008E1150">
        <w:rPr>
          <w:rFonts w:cs="Times New Roman"/>
        </w:rPr>
        <w:t>youth</w:t>
      </w:r>
      <w:r w:rsidR="007B53CC">
        <w:rPr>
          <w:rFonts w:cs="Times New Roman"/>
        </w:rPr>
        <w:t xml:space="preserve"> in </w:t>
      </w:r>
      <w:r w:rsidR="00943BDF">
        <w:rPr>
          <w:rFonts w:cs="Times New Roman"/>
        </w:rPr>
        <w:t>Administration for Children and Families (</w:t>
      </w:r>
      <w:r w:rsidR="007B53CC">
        <w:rPr>
          <w:rFonts w:cs="Times New Roman"/>
        </w:rPr>
        <w:t>ACF</w:t>
      </w:r>
      <w:r w:rsidR="00943BDF">
        <w:rPr>
          <w:rFonts w:cs="Times New Roman"/>
        </w:rPr>
        <w:t>)</w:t>
      </w:r>
      <w:r w:rsidR="007B53CC">
        <w:rPr>
          <w:rFonts w:cs="Times New Roman"/>
        </w:rPr>
        <w:t xml:space="preserve"> programs</w:t>
      </w:r>
      <w:r>
        <w:rPr>
          <w:bCs/>
        </w:rPr>
        <w:t xml:space="preserve">. </w:t>
      </w:r>
      <w:r w:rsidRPr="007F7A0D">
        <w:rPr>
          <w:bCs/>
        </w:rPr>
        <w:t>Th</w:t>
      </w:r>
      <w:r>
        <w:rPr>
          <w:bCs/>
        </w:rPr>
        <w:t>e agency-wide</w:t>
      </w:r>
      <w:r w:rsidRPr="007F7A0D">
        <w:rPr>
          <w:bCs/>
        </w:rPr>
        <w:t xml:space="preserve"> effort will </w:t>
      </w:r>
      <w:r>
        <w:rPr>
          <w:bCs/>
        </w:rPr>
        <w:t>also be informed by</w:t>
      </w:r>
      <w:r w:rsidRPr="007F7A0D">
        <w:rPr>
          <w:bCs/>
        </w:rPr>
        <w:t xml:space="preserve"> pretesting activities, which will be submitted for review and approval under the </w:t>
      </w:r>
      <w:r w:rsidRPr="00B3652D">
        <w:t xml:space="preserve">Pretesting of </w:t>
      </w:r>
      <w:r>
        <w:t>ACF</w:t>
      </w:r>
      <w:r w:rsidRPr="00B3652D">
        <w:t xml:space="preserve"> Data Collection Activities</w:t>
      </w:r>
      <w:r>
        <w:t xml:space="preserve"> </w:t>
      </w:r>
      <w:r w:rsidR="00CC4861">
        <w:t xml:space="preserve">umbrella generic </w:t>
      </w:r>
      <w:r>
        <w:t>(0970-0355).</w:t>
      </w:r>
    </w:p>
    <w:p w:rsidR="00BB2925" w:rsidP="0072072F" w14:paraId="13F28F66" w14:textId="506EF08B">
      <w:pPr>
        <w:spacing w:after="0" w:line="240" w:lineRule="auto"/>
      </w:pPr>
      <w:r>
        <w:rPr>
          <w:szCs w:val="24"/>
        </w:rPr>
        <w:t xml:space="preserve"> </w:t>
      </w:r>
    </w:p>
    <w:p w:rsidR="005F2951" w:rsidP="00F85D35" w14:paraId="75A4A02E" w14:textId="2AD675A1">
      <w:pPr>
        <w:spacing w:after="60" w:line="240" w:lineRule="auto"/>
      </w:pPr>
      <w:r>
        <w:rPr>
          <w:i/>
        </w:rPr>
        <w:t xml:space="preserve">Generalizability of Results </w:t>
      </w:r>
    </w:p>
    <w:p w:rsidR="008D1997" w:rsidP="008D1997" w14:paraId="5A9CB1D2" w14:textId="72813C97">
      <w:pPr>
        <w:tabs>
          <w:tab w:val="left" w:pos="-720"/>
        </w:tabs>
        <w:suppressAutoHyphens/>
        <w:spacing w:after="0" w:line="240" w:lineRule="auto"/>
      </w:pPr>
      <w:r>
        <w:t xml:space="preserve">The proposed grant recipient </w:t>
      </w:r>
      <w:r>
        <w:rPr>
          <w:rFonts w:eastAsia="Times New Roman" w:cstheme="minorHAnsi"/>
          <w:iCs/>
          <w:color w:val="000000"/>
        </w:rPr>
        <w:t>focus groups</w:t>
      </w:r>
      <w:r>
        <w:t xml:space="preserve"> are intended to inform instrument development for ACF data collections (including the PREP participant surveys) by obtaining feedback from PREP grant recipients on some of the currently approved information collections for PREP</w:t>
      </w:r>
      <w:r>
        <w:rPr>
          <w:rStyle w:val="FootnoteReference"/>
        </w:rPr>
        <w:footnoteReference w:id="2"/>
      </w:r>
      <w:r>
        <w:t xml:space="preserve">. It is </w:t>
      </w:r>
      <w:r w:rsidRPr="007733D5">
        <w:t xml:space="preserve">not </w:t>
      </w:r>
      <w:r>
        <w:t xml:space="preserve">designed </w:t>
      </w:r>
      <w:r w:rsidRPr="007733D5">
        <w:t>to promote statistical generalization to other sites or service populations.</w:t>
      </w:r>
    </w:p>
    <w:p w:rsidR="00BB2925" w:rsidP="0072072F" w14:paraId="39A69560" w14:textId="77777777">
      <w:pPr>
        <w:autoSpaceDE w:val="0"/>
        <w:autoSpaceDN w:val="0"/>
        <w:adjustRightInd w:val="0"/>
        <w:spacing w:after="0" w:line="240" w:lineRule="atLeast"/>
        <w:rPr>
          <w:rFonts w:eastAsia="Times New Roman" w:cstheme="minorHAnsi"/>
          <w:color w:val="000000"/>
        </w:rPr>
      </w:pPr>
    </w:p>
    <w:p w:rsidR="00E41EE9" w:rsidRPr="00DF1291" w:rsidP="00F85D35"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008D1997" w:rsidP="008D1997" w14:paraId="1B65CF18" w14:textId="1D377E77">
      <w:pPr>
        <w:suppressAutoHyphens/>
        <w:spacing w:after="0" w:line="240" w:lineRule="auto"/>
        <w:rPr>
          <w:bCs/>
        </w:rPr>
      </w:pPr>
      <w:r w:rsidRPr="008813EA">
        <w:t xml:space="preserve">Data collected under </w:t>
      </w:r>
      <w:r>
        <w:t xml:space="preserve">this generic clearance will </w:t>
      </w:r>
      <w:r w:rsidRPr="008813EA">
        <w:rPr>
          <w:rFonts w:cs="Calibri"/>
        </w:rPr>
        <w:t>be used</w:t>
      </w:r>
      <w:r>
        <w:rPr>
          <w:rFonts w:cs="Calibri"/>
        </w:rPr>
        <w:t xml:space="preserve"> to</w:t>
      </w:r>
      <w:r w:rsidRPr="008813EA">
        <w:rPr>
          <w:rFonts w:cs="Calibri"/>
        </w:rPr>
        <w:t xml:space="preserve"> </w:t>
      </w:r>
      <w:r w:rsidRPr="6453477B">
        <w:rPr>
          <w:rFonts w:eastAsia="Times New Roman"/>
        </w:rPr>
        <w:t xml:space="preserve">inform </w:t>
      </w:r>
      <w:r w:rsidR="008E1150">
        <w:rPr>
          <w:rFonts w:eastAsia="Times New Roman"/>
        </w:rPr>
        <w:t xml:space="preserve">the revision of </w:t>
      </w:r>
      <w:r w:rsidR="008E1150">
        <w:t>PREP participant surveys</w:t>
      </w:r>
      <w:r w:rsidRPr="008E1150" w:rsidR="008E1150">
        <w:rPr>
          <w:rFonts w:eastAsia="Times New Roman"/>
        </w:rPr>
        <w:t xml:space="preserve"> </w:t>
      </w:r>
      <w:r w:rsidR="008E1150">
        <w:rPr>
          <w:rFonts w:eastAsia="Times New Roman"/>
        </w:rPr>
        <w:t>and</w:t>
      </w:r>
      <w:r w:rsidRPr="6453477B" w:rsidR="008E1150">
        <w:rPr>
          <w:rFonts w:eastAsia="Times New Roman"/>
        </w:rPr>
        <w:t xml:space="preserve"> </w:t>
      </w:r>
      <w:r w:rsidRPr="6453477B">
        <w:rPr>
          <w:rFonts w:eastAsia="Times New Roman"/>
        </w:rPr>
        <w:t xml:space="preserve">the </w:t>
      </w:r>
      <w:r>
        <w:rPr>
          <w:rFonts w:eastAsia="Times New Roman"/>
        </w:rPr>
        <w:t xml:space="preserve">selection </w:t>
      </w:r>
      <w:r w:rsidRPr="6453477B">
        <w:rPr>
          <w:rFonts w:eastAsia="Times New Roman"/>
        </w:rPr>
        <w:t xml:space="preserve">of </w:t>
      </w:r>
      <w:r>
        <w:rPr>
          <w:rFonts w:eastAsia="Times New Roman"/>
        </w:rPr>
        <w:t>SOGI measures for youth in ACF programs</w:t>
      </w:r>
      <w:r w:rsidRPr="6453477B">
        <w:rPr>
          <w:rFonts w:eastAsia="Times New Roman"/>
        </w:rPr>
        <w:t>,</w:t>
      </w:r>
      <w:r>
        <w:rPr>
          <w:rFonts w:eastAsia="Times New Roman"/>
        </w:rPr>
        <w:t xml:space="preserve"> which will further ACF’s learning agenda</w:t>
      </w:r>
      <w:r w:rsidRPr="6453477B">
        <w:rPr>
          <w:rFonts w:eastAsia="Times New Roman"/>
        </w:rPr>
        <w:t>.</w:t>
      </w:r>
      <w:r>
        <w:rPr>
          <w:rFonts w:eastAsia="Times New Roman"/>
        </w:rPr>
        <w:t xml:space="preserve"> </w:t>
      </w:r>
      <w:r>
        <w:t xml:space="preserve">The focus groups </w:t>
      </w:r>
      <w:r>
        <w:rPr>
          <w:bCs/>
        </w:rPr>
        <w:t xml:space="preserve">with PREP grant recipients will provide information about their past experiences administering the PREP </w:t>
      </w:r>
      <w:r w:rsidRPr="00730B58">
        <w:rPr>
          <w:bCs/>
        </w:rPr>
        <w:t>entry and exit surveys</w:t>
      </w:r>
      <w:r>
        <w:rPr>
          <w:bCs/>
        </w:rPr>
        <w:t xml:space="preserve"> to youth participants and their suggestions for improvements to the questions.</w:t>
      </w:r>
    </w:p>
    <w:p w:rsidR="008D1997" w:rsidRPr="00770E40" w:rsidP="008D1997" w14:paraId="4DEF4C30" w14:textId="77777777">
      <w:pPr>
        <w:suppressAutoHyphens/>
        <w:spacing w:after="0" w:line="240" w:lineRule="auto"/>
      </w:pPr>
    </w:p>
    <w:p w:rsidR="005C7E12" w:rsidRPr="005C7E12" w:rsidP="008D1997" w14:paraId="611E1659" w14:textId="24724489">
      <w:pPr>
        <w:spacing w:after="0" w:line="240" w:lineRule="auto"/>
        <w:rPr>
          <w:rFonts w:eastAsia="Times New Roman" w:cstheme="minorHAnsi"/>
        </w:rPr>
      </w:pPr>
      <w:r w:rsidRPr="005C7E12">
        <w:rPr>
          <w:rFonts w:eastAsia="Times New Roman"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p>
    <w:p w:rsidR="00BB2925" w:rsidRPr="006C0E56" w:rsidP="008369BA" w14:paraId="0C4F0DEF" w14:textId="77777777">
      <w:pPr>
        <w:pStyle w:val="ListParagraph"/>
        <w:spacing w:after="0" w:line="240" w:lineRule="auto"/>
        <w:ind w:left="0"/>
      </w:pPr>
    </w:p>
    <w:p w:rsidR="005F2951" w:rsidRPr="00DF1291" w:rsidP="00F85D35" w14:paraId="2E3CD75A" w14:textId="14B2DD89">
      <w:pPr>
        <w:pStyle w:val="ListParagraph"/>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RPr="00D963A2" w:rsidP="00D963A2" w14:paraId="542973ED" w14:textId="4BD18752">
      <w:pPr>
        <w:spacing w:after="60"/>
      </w:pPr>
      <w:r>
        <w:rPr>
          <w:rFonts w:eastAsia="Times New Roman" w:cstheme="minorHAnsi"/>
          <w:i/>
          <w:color w:val="000000"/>
        </w:rPr>
        <w:t xml:space="preserve">Target Population </w:t>
      </w:r>
      <w:r w:rsidRPr="00DF1291">
        <w:rPr>
          <w:rFonts w:eastAsia="Times New Roman" w:cstheme="minorHAnsi"/>
          <w:color w:val="000000"/>
        </w:rPr>
        <w:t xml:space="preserve"> </w:t>
      </w:r>
    </w:p>
    <w:p w:rsidR="00D963A2" w:rsidP="00D963A2" w14:paraId="14854A1D" w14:textId="679A0C57">
      <w:pPr>
        <w:autoSpaceDE w:val="0"/>
        <w:autoSpaceDN w:val="0"/>
        <w:adjustRightInd w:val="0"/>
        <w:spacing w:after="0" w:line="240" w:lineRule="atLeast"/>
        <w:contextualSpacing/>
        <w:rPr>
          <w:rFonts w:eastAsia="Times New Roman" w:cstheme="minorHAnsi"/>
          <w:color w:val="000000"/>
        </w:rPr>
      </w:pPr>
      <w:r>
        <w:rPr>
          <w:rFonts w:eastAsia="Times New Roman" w:cstheme="minorHAnsi"/>
          <w:iCs/>
          <w:color w:val="000000"/>
        </w:rPr>
        <w:t>The target populations for this generic information collection request are PREP grant recipient staff for the focus groups. There are currently</w:t>
      </w:r>
      <w:r w:rsidRPr="00D963A2">
        <w:rPr>
          <w:rFonts w:eastAsia="Times New Roman" w:cstheme="minorHAnsi"/>
          <w:color w:val="000000"/>
        </w:rPr>
        <w:t xml:space="preserve"> </w:t>
      </w:r>
      <w:r>
        <w:rPr>
          <w:rFonts w:eastAsia="Times New Roman" w:cstheme="minorHAnsi"/>
          <w:color w:val="000000"/>
        </w:rPr>
        <w:t>four PREP funding streams for a total of</w:t>
      </w:r>
      <w:r>
        <w:rPr>
          <w:rFonts w:eastAsia="Times New Roman" w:cstheme="minorHAnsi"/>
          <w:iCs/>
          <w:color w:val="000000"/>
        </w:rPr>
        <w:t xml:space="preserve"> </w:t>
      </w:r>
      <w:r w:rsidR="007544B6">
        <w:rPr>
          <w:rFonts w:eastAsia="Times New Roman" w:cstheme="minorHAnsi"/>
          <w:iCs/>
          <w:color w:val="000000"/>
        </w:rPr>
        <w:t>97</w:t>
      </w:r>
      <w:r>
        <w:rPr>
          <w:rFonts w:eastAsia="Times New Roman" w:cstheme="minorHAnsi"/>
          <w:iCs/>
          <w:color w:val="000000"/>
        </w:rPr>
        <w:t xml:space="preserve"> PREP grant recipients. </w:t>
      </w:r>
    </w:p>
    <w:p w:rsidR="00D963A2" w:rsidP="00D963A2" w14:paraId="36045016" w14:textId="77777777">
      <w:pPr>
        <w:autoSpaceDE w:val="0"/>
        <w:autoSpaceDN w:val="0"/>
        <w:adjustRightInd w:val="0"/>
        <w:spacing w:after="0" w:line="240" w:lineRule="atLeast"/>
        <w:contextualSpacing/>
        <w:rPr>
          <w:rFonts w:eastAsia="Times New Roman" w:cstheme="minorHAnsi"/>
          <w:color w:val="000000"/>
        </w:rPr>
      </w:pPr>
    </w:p>
    <w:p w:rsidR="007B0165" w:rsidP="00D963A2" w14:paraId="135227EA" w14:textId="77777777">
      <w:pPr>
        <w:spacing w:after="60"/>
        <w:rPr>
          <w:rFonts w:eastAsia="Times New Roman" w:cstheme="minorHAnsi"/>
          <w:i/>
          <w:color w:val="000000"/>
        </w:rPr>
      </w:pPr>
    </w:p>
    <w:p w:rsidR="00D963A2" w:rsidRPr="00D963A2" w:rsidP="00D963A2" w14:paraId="5E812426" w14:textId="34148C2B">
      <w:pPr>
        <w:spacing w:after="60"/>
      </w:pPr>
      <w:r>
        <w:rPr>
          <w:rFonts w:eastAsia="Times New Roman" w:cstheme="minorHAnsi"/>
          <w:i/>
          <w:color w:val="000000"/>
        </w:rPr>
        <w:t>Sampling and Site Selection</w:t>
      </w:r>
    </w:p>
    <w:p w:rsidR="00D963A2" w:rsidP="00D963A2" w14:paraId="42BF96E3" w14:textId="6AE29198">
      <w:pPr>
        <w:tabs>
          <w:tab w:val="left" w:pos="-720"/>
        </w:tabs>
        <w:suppressAutoHyphens/>
        <w:spacing w:after="0" w:line="240" w:lineRule="auto"/>
        <w:rPr>
          <w:rFonts w:eastAsia="Times New Roman" w:cstheme="minorHAnsi"/>
          <w:color w:val="000000"/>
        </w:rPr>
      </w:pPr>
      <w:r>
        <w:rPr>
          <w:rFonts w:eastAsia="Times New Roman" w:cstheme="minorHAnsi"/>
          <w:color w:val="000000"/>
        </w:rPr>
        <w:t>T</w:t>
      </w:r>
      <w:r w:rsidRPr="000A12BB">
        <w:rPr>
          <w:rFonts w:eastAsia="Times New Roman" w:cstheme="minorHAnsi"/>
          <w:color w:val="000000"/>
        </w:rPr>
        <w:t>he study team will</w:t>
      </w:r>
      <w:r>
        <w:rPr>
          <w:rFonts w:eastAsia="Times New Roman" w:cstheme="minorHAnsi"/>
          <w:color w:val="000000"/>
        </w:rPr>
        <w:t xml:space="preserve"> email all grant</w:t>
      </w:r>
      <w:r w:rsidRPr="00422E8B">
        <w:rPr>
          <w:rFonts w:eastAsia="Times New Roman" w:cstheme="minorHAnsi"/>
          <w:iCs/>
          <w:color w:val="000000"/>
        </w:rPr>
        <w:t xml:space="preserve"> </w:t>
      </w:r>
      <w:r>
        <w:rPr>
          <w:rFonts w:eastAsia="Times New Roman" w:cstheme="minorHAnsi"/>
          <w:iCs/>
          <w:color w:val="000000"/>
        </w:rPr>
        <w:t>recipient</w:t>
      </w:r>
      <w:r>
        <w:rPr>
          <w:rFonts w:eastAsia="Times New Roman" w:cstheme="minorHAnsi"/>
          <w:color w:val="000000"/>
        </w:rPr>
        <w:t xml:space="preserve">s from each of the four PREP funding streams inviting them to participate in </w:t>
      </w:r>
      <w:r>
        <w:rPr>
          <w:rFonts w:eastAsia="Times New Roman" w:cstheme="minorHAnsi"/>
          <w:iCs/>
          <w:color w:val="000000"/>
        </w:rPr>
        <w:t>the PREP grant recipient staff focus groups</w:t>
      </w:r>
      <w:r>
        <w:rPr>
          <w:rFonts w:eastAsia="Times New Roman" w:cstheme="minorHAnsi"/>
          <w:color w:val="000000"/>
        </w:rPr>
        <w:t xml:space="preserve">. Participation will be limited to </w:t>
      </w:r>
      <w:r w:rsidR="00B528C0">
        <w:rPr>
          <w:rFonts w:eastAsia="Times New Roman" w:cstheme="minorHAnsi"/>
          <w:color w:val="000000"/>
        </w:rPr>
        <w:t>20</w:t>
      </w:r>
      <w:r>
        <w:rPr>
          <w:rFonts w:eastAsia="Times New Roman" w:cstheme="minorHAnsi"/>
          <w:color w:val="000000"/>
        </w:rPr>
        <w:t xml:space="preserve"> individuals per session, and the first </w:t>
      </w:r>
      <w:r w:rsidR="00B528C0">
        <w:rPr>
          <w:rFonts w:eastAsia="Times New Roman" w:cstheme="minorHAnsi"/>
          <w:color w:val="000000"/>
        </w:rPr>
        <w:t>20</w:t>
      </w:r>
      <w:r>
        <w:rPr>
          <w:rFonts w:eastAsia="Times New Roman" w:cstheme="minorHAnsi"/>
          <w:color w:val="000000"/>
        </w:rPr>
        <w:t xml:space="preserve"> from each funding stream to register will be included.</w:t>
      </w:r>
      <w:r w:rsidRPr="00A517F3">
        <w:rPr>
          <w:rFonts w:eastAsia="Times New Roman" w:cstheme="minorHAnsi"/>
          <w:color w:val="000000"/>
        </w:rPr>
        <w:t xml:space="preserve"> </w:t>
      </w:r>
      <w:r w:rsidRPr="008737FA">
        <w:rPr>
          <w:rFonts w:eastAsia="Times New Roman" w:cstheme="minorHAnsi"/>
          <w:color w:val="000000"/>
        </w:rPr>
        <w:t>Co</w:t>
      </w:r>
      <w:r w:rsidRPr="008737FA">
        <w:rPr>
          <w:rStyle w:val="CommentReference"/>
          <w:sz w:val="22"/>
          <w:szCs w:val="22"/>
        </w:rPr>
        <w:t>n</w:t>
      </w:r>
      <w:r w:rsidRPr="008737FA">
        <w:rPr>
          <w:rFonts w:eastAsia="Times New Roman" w:cstheme="minorHAnsi"/>
          <w:color w:val="000000"/>
        </w:rPr>
        <w:t>seque</w:t>
      </w:r>
      <w:r>
        <w:rPr>
          <w:rFonts w:eastAsia="Times New Roman" w:cstheme="minorHAnsi"/>
          <w:color w:val="000000"/>
        </w:rPr>
        <w:t>ntly,</w:t>
      </w:r>
      <w:r w:rsidRPr="00F6124E">
        <w:rPr>
          <w:rFonts w:eastAsia="Times New Roman" w:cstheme="minorHAnsi"/>
          <w:color w:val="000000"/>
        </w:rPr>
        <w:t xml:space="preserve"> they may not be representative of the </w:t>
      </w:r>
      <w:r>
        <w:rPr>
          <w:rFonts w:eastAsia="Times New Roman" w:cstheme="minorHAnsi"/>
          <w:color w:val="000000"/>
        </w:rPr>
        <w:t>universe of PREP grant recipients</w:t>
      </w:r>
      <w:r w:rsidRPr="00F6124E">
        <w:rPr>
          <w:rFonts w:eastAsia="Times New Roman" w:cstheme="minorHAnsi"/>
          <w:color w:val="000000"/>
        </w:rPr>
        <w:t>.</w:t>
      </w:r>
    </w:p>
    <w:p w:rsidR="00D963A2" w:rsidRPr="006E00D7" w:rsidP="00D963A2" w14:paraId="16DD32E4" w14:textId="77777777">
      <w:pPr>
        <w:tabs>
          <w:tab w:val="left" w:pos="-720"/>
        </w:tabs>
        <w:suppressAutoHyphens/>
        <w:spacing w:after="0" w:line="240" w:lineRule="auto"/>
        <w:rPr>
          <w:rFonts w:eastAsia="Times New Roman" w:cstheme="minorHAnsi"/>
          <w:color w:val="000000"/>
          <w:shd w:val="clear" w:color="auto" w:fill="FFFFFF" w:themeFill="background1"/>
        </w:rPr>
      </w:pPr>
    </w:p>
    <w:p w:rsidR="00E75D57" w:rsidP="00F85D35"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00E75D57" w:rsidP="00F85D35" w14:paraId="799139A7" w14:textId="6CEF3979">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w:t>
      </w:r>
    </w:p>
    <w:p w:rsidR="00F85D35" w:rsidP="00901040" w14:paraId="0AB97A4E" w14:textId="47060FE3">
      <w:pPr>
        <w:autoSpaceDE w:val="0"/>
        <w:autoSpaceDN w:val="0"/>
        <w:adjustRightInd w:val="0"/>
        <w:spacing w:after="0" w:line="240" w:lineRule="atLeast"/>
        <w:rPr>
          <w:rFonts w:eastAsia="Times New Roman" w:cstheme="minorHAnsi"/>
          <w:iCs/>
          <w:color w:val="000000"/>
        </w:rPr>
      </w:pPr>
      <w:r>
        <w:rPr>
          <w:rFonts w:eastAsia="Times New Roman" w:cstheme="minorHAnsi"/>
          <w:iCs/>
          <w:color w:val="000000"/>
        </w:rPr>
        <w:t xml:space="preserve">The focus group protocols were developed to solicit feedback on the current information collections items and focus on grant recipient experience with administering and reporting the data. </w:t>
      </w:r>
      <w:r w:rsidR="007544B6">
        <w:rPr>
          <w:rFonts w:eastAsia="Times New Roman" w:cstheme="minorHAnsi"/>
          <w:iCs/>
          <w:color w:val="000000"/>
        </w:rPr>
        <w:t xml:space="preserve"> The development of the protocol was informed by </w:t>
      </w:r>
      <w:r w:rsidR="007B53CC">
        <w:rPr>
          <w:rFonts w:eastAsia="Times New Roman" w:cstheme="minorHAnsi"/>
          <w:iCs/>
          <w:color w:val="000000"/>
        </w:rPr>
        <w:t xml:space="preserve">information concerning </w:t>
      </w:r>
      <w:r w:rsidR="0076251A">
        <w:rPr>
          <w:rFonts w:eastAsia="Times New Roman" w:cstheme="minorHAnsi"/>
          <w:iCs/>
          <w:color w:val="000000"/>
        </w:rPr>
        <w:t>youth</w:t>
      </w:r>
      <w:r w:rsidR="007F4A77">
        <w:rPr>
          <w:rFonts w:eastAsia="Times New Roman" w:cstheme="minorHAnsi"/>
          <w:iCs/>
          <w:color w:val="000000"/>
        </w:rPr>
        <w:t xml:space="preserve"> </w:t>
      </w:r>
      <w:r w:rsidR="007B53CC">
        <w:rPr>
          <w:rFonts w:eastAsia="Times New Roman" w:cstheme="minorHAnsi"/>
          <w:iCs/>
          <w:color w:val="000000"/>
        </w:rPr>
        <w:t xml:space="preserve">having </w:t>
      </w:r>
      <w:r w:rsidR="0076251A">
        <w:rPr>
          <w:rFonts w:eastAsia="Times New Roman" w:cstheme="minorHAnsi"/>
          <w:iCs/>
          <w:color w:val="000000"/>
        </w:rPr>
        <w:t xml:space="preserve">difficulty answering particular </w:t>
      </w:r>
      <w:r w:rsidR="007B53CC">
        <w:rPr>
          <w:rFonts w:eastAsia="Times New Roman" w:cstheme="minorHAnsi"/>
          <w:iCs/>
          <w:color w:val="000000"/>
        </w:rPr>
        <w:t>survey questions</w:t>
      </w:r>
      <w:r w:rsidR="0076251A">
        <w:rPr>
          <w:rFonts w:eastAsia="Times New Roman" w:cstheme="minorHAnsi"/>
          <w:iCs/>
          <w:color w:val="000000"/>
        </w:rPr>
        <w:t xml:space="preserve"> from</w:t>
      </w:r>
      <w:r w:rsidR="007544B6">
        <w:rPr>
          <w:rFonts w:eastAsia="Times New Roman" w:cstheme="minorHAnsi"/>
          <w:iCs/>
          <w:color w:val="000000"/>
        </w:rPr>
        <w:t xml:space="preserve"> PREP grant recipients, </w:t>
      </w:r>
      <w:r w:rsidR="00943BDF">
        <w:rPr>
          <w:rFonts w:eastAsia="Times New Roman" w:cstheme="minorHAnsi"/>
          <w:iCs/>
          <w:color w:val="000000"/>
        </w:rPr>
        <w:t>Family and Youth Services Bureau (</w:t>
      </w:r>
      <w:r w:rsidR="007B53CC">
        <w:rPr>
          <w:rFonts w:eastAsia="Times New Roman" w:cstheme="minorHAnsi"/>
          <w:iCs/>
          <w:color w:val="000000"/>
        </w:rPr>
        <w:t>FYSB</w:t>
      </w:r>
      <w:r w:rsidR="00943BDF">
        <w:rPr>
          <w:rFonts w:eastAsia="Times New Roman" w:cstheme="minorHAnsi"/>
          <w:iCs/>
          <w:color w:val="000000"/>
        </w:rPr>
        <w:t>)</w:t>
      </w:r>
      <w:r w:rsidR="007544B6">
        <w:rPr>
          <w:rFonts w:eastAsia="Times New Roman" w:cstheme="minorHAnsi"/>
          <w:iCs/>
          <w:color w:val="000000"/>
        </w:rPr>
        <w:t xml:space="preserve"> federal project officers, other FYSB evaluation and research staff, and </w:t>
      </w:r>
      <w:r w:rsidR="00943BDF">
        <w:rPr>
          <w:rFonts w:eastAsia="Times New Roman" w:cstheme="minorHAnsi"/>
          <w:iCs/>
          <w:color w:val="000000"/>
        </w:rPr>
        <w:t>Office of Planning ,Research, and Evaluation (</w:t>
      </w:r>
      <w:r w:rsidR="007544B6">
        <w:rPr>
          <w:rFonts w:eastAsia="Times New Roman" w:cstheme="minorHAnsi"/>
          <w:iCs/>
          <w:color w:val="000000"/>
        </w:rPr>
        <w:t>OPRE</w:t>
      </w:r>
      <w:r w:rsidR="00943BDF">
        <w:rPr>
          <w:rFonts w:eastAsia="Times New Roman" w:cstheme="minorHAnsi"/>
          <w:iCs/>
          <w:color w:val="000000"/>
        </w:rPr>
        <w:t>)</w:t>
      </w:r>
      <w:r w:rsidR="007544B6">
        <w:rPr>
          <w:rFonts w:eastAsia="Times New Roman" w:cstheme="minorHAnsi"/>
          <w:iCs/>
          <w:color w:val="000000"/>
        </w:rPr>
        <w:t xml:space="preserve"> staff.</w:t>
      </w:r>
    </w:p>
    <w:p w:rsidR="00043354" w:rsidRPr="00901040" w:rsidP="00901040" w14:paraId="578FBE10" w14:textId="77777777">
      <w:pPr>
        <w:autoSpaceDE w:val="0"/>
        <w:autoSpaceDN w:val="0"/>
        <w:adjustRightInd w:val="0"/>
        <w:spacing w:after="0" w:line="240" w:lineRule="atLeast"/>
        <w:rPr>
          <w:rFonts w:ascii="Times New Roman" w:eastAsia="Times New Roman" w:hAnsi="Times New Roman" w:cs="Times New Roman"/>
          <w:color w:val="000000"/>
          <w:sz w:val="24"/>
          <w:szCs w:val="24"/>
        </w:rPr>
      </w:pPr>
    </w:p>
    <w:p w:rsidR="00EB6134" w:rsidP="00F85D35" w14:paraId="6079F68E" w14:textId="4D7E392A">
      <w:pPr>
        <w:autoSpaceDE w:val="0"/>
        <w:autoSpaceDN w:val="0"/>
        <w:adjustRightInd w:val="0"/>
        <w:spacing w:after="120" w:line="240" w:lineRule="atLeast"/>
        <w:rPr>
          <w:rFonts w:eastAsia="Times New Roman" w:cstheme="minorHAnsi"/>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Pr>
          <w:rFonts w:eastAsia="Times New Roman" w:cstheme="minorHAnsi"/>
          <w:b/>
          <w:bCs/>
          <w:color w:val="000000"/>
        </w:rPr>
        <w:t xml:space="preserve"> and Quality Control</w:t>
      </w:r>
    </w:p>
    <w:p w:rsidR="00D963A2" w:rsidP="00D963A2" w14:paraId="0DCB7407" w14:textId="2C01AEC8">
      <w:pPr>
        <w:tabs>
          <w:tab w:val="left" w:pos="-720"/>
        </w:tabs>
        <w:suppressAutoHyphens/>
        <w:spacing w:after="0" w:line="240" w:lineRule="auto"/>
        <w:rPr>
          <w:rFonts w:eastAsia="Times New Roman" w:cstheme="minorHAnsi"/>
          <w:iCs/>
          <w:color w:val="000000"/>
          <w:shd w:val="clear" w:color="auto" w:fill="FFFFFF" w:themeFill="background1"/>
        </w:rPr>
      </w:pPr>
      <w:r>
        <w:rPr>
          <w:rFonts w:eastAsia="Times New Roman" w:cstheme="minorHAnsi"/>
          <w:bCs/>
          <w:color w:val="000000"/>
        </w:rPr>
        <w:t xml:space="preserve">ACF is contracting with Mathematica </w:t>
      </w:r>
      <w:r w:rsidRPr="00DA2239">
        <w:rPr>
          <w:rFonts w:eastAsia="Times New Roman" w:cstheme="minorHAnsi"/>
          <w:iCs/>
          <w:color w:val="000000"/>
          <w:shd w:val="clear" w:color="auto" w:fill="FFFFFF" w:themeFill="background1"/>
        </w:rPr>
        <w:t>for</w:t>
      </w:r>
      <w:r>
        <w:rPr>
          <w:rFonts w:eastAsia="Times New Roman" w:cstheme="minorHAnsi"/>
          <w:bCs/>
          <w:color w:val="000000"/>
        </w:rPr>
        <w:t xml:space="preserve"> this data collection and Mathematica will oversee all data </w:t>
      </w:r>
      <w:r w:rsidRPr="00102CF6">
        <w:rPr>
          <w:rFonts w:eastAsia="Times New Roman" w:cstheme="minorHAnsi"/>
          <w:bCs/>
          <w:color w:val="000000"/>
        </w:rPr>
        <w:t xml:space="preserve">collection and ensure quality control measures are in place and followed for </w:t>
      </w:r>
      <w:r w:rsidR="0086040F">
        <w:rPr>
          <w:rFonts w:eastAsia="Times New Roman" w:cstheme="minorHAnsi"/>
          <w:bCs/>
          <w:color w:val="000000"/>
        </w:rPr>
        <w:t xml:space="preserve">the </w:t>
      </w:r>
      <w:r>
        <w:rPr>
          <w:rFonts w:eastAsia="Times New Roman" w:cstheme="minorHAnsi"/>
          <w:bCs/>
          <w:color w:val="000000"/>
        </w:rPr>
        <w:t>data collection activity</w:t>
      </w:r>
      <w:r w:rsidRPr="00102CF6">
        <w:rPr>
          <w:rFonts w:eastAsia="Times New Roman" w:cstheme="minorHAnsi"/>
          <w:bCs/>
          <w:color w:val="000000"/>
        </w:rPr>
        <w:t xml:space="preserve">. </w:t>
      </w:r>
      <w:r w:rsidRPr="00391DBF">
        <w:rPr>
          <w:rFonts w:eastAsia="Times New Roman" w:cstheme="minorHAnsi"/>
          <w:color w:val="000000"/>
          <w:shd w:val="clear" w:color="auto" w:fill="FFFFFF" w:themeFill="background1"/>
        </w:rPr>
        <w:t xml:space="preserve">To ensure an efficient </w:t>
      </w:r>
      <w:r>
        <w:rPr>
          <w:rFonts w:eastAsia="Times New Roman" w:cstheme="minorHAnsi"/>
          <w:iCs/>
          <w:color w:val="000000"/>
          <w:shd w:val="clear" w:color="auto" w:fill="FFFFFF" w:themeFill="background1"/>
        </w:rPr>
        <w:t xml:space="preserve">and standardized </w:t>
      </w:r>
      <w:r w:rsidRPr="00391DBF">
        <w:rPr>
          <w:rFonts w:eastAsia="Times New Roman" w:cstheme="minorHAnsi"/>
          <w:color w:val="000000"/>
          <w:shd w:val="clear" w:color="auto" w:fill="FFFFFF" w:themeFill="background1"/>
        </w:rPr>
        <w:t>data collection process, Mathematica</w:t>
      </w:r>
      <w:r>
        <w:rPr>
          <w:rFonts w:eastAsia="Times New Roman" w:cstheme="minorHAnsi"/>
          <w:iCs/>
          <w:color w:val="000000"/>
          <w:shd w:val="clear" w:color="auto" w:fill="FFFFFF" w:themeFill="background1"/>
        </w:rPr>
        <w:t xml:space="preserve"> study</w:t>
      </w:r>
      <w:r w:rsidRPr="00391DBF">
        <w:rPr>
          <w:rFonts w:eastAsia="Times New Roman" w:cstheme="minorHAnsi"/>
          <w:color w:val="000000"/>
          <w:shd w:val="clear" w:color="auto" w:fill="FFFFFF" w:themeFill="background1"/>
        </w:rPr>
        <w:t xml:space="preserve"> staff will participate in a</w:t>
      </w:r>
      <w:r>
        <w:rPr>
          <w:rFonts w:eastAsia="Times New Roman" w:cstheme="minorHAnsi"/>
          <w:iCs/>
          <w:color w:val="000000"/>
          <w:shd w:val="clear" w:color="auto" w:fill="FFFFFF" w:themeFill="background1"/>
        </w:rPr>
        <w:t xml:space="preserve"> project-specific</w:t>
      </w:r>
      <w:r w:rsidRPr="00391DBF">
        <w:rPr>
          <w:rFonts w:eastAsia="Times New Roman" w:cstheme="minorHAnsi"/>
          <w:color w:val="000000"/>
          <w:shd w:val="clear" w:color="auto" w:fill="FFFFFF" w:themeFill="background1"/>
        </w:rPr>
        <w:t xml:space="preserve"> data collection training. The training will cover the expectations and </w:t>
      </w:r>
      <w:r>
        <w:rPr>
          <w:rFonts w:eastAsia="Times New Roman" w:cstheme="minorHAnsi"/>
          <w:iCs/>
          <w:color w:val="000000"/>
          <w:shd w:val="clear" w:color="auto" w:fill="FFFFFF" w:themeFill="background1"/>
        </w:rPr>
        <w:t>best practices for collecting high-quality data and procedures around data privacy and security.</w:t>
      </w:r>
    </w:p>
    <w:p w:rsidR="0086040F" w:rsidP="00D963A2" w14:paraId="56ABF30A" w14:textId="77777777">
      <w:pPr>
        <w:suppressAutoHyphens/>
        <w:spacing w:after="0" w:line="240" w:lineRule="auto"/>
        <w:rPr>
          <w:rFonts w:eastAsia="Times New Roman"/>
          <w:b/>
          <w:bCs/>
          <w:color w:val="000000"/>
          <w:shd w:val="clear" w:color="auto" w:fill="FFFFFF" w:themeFill="background1"/>
        </w:rPr>
      </w:pPr>
    </w:p>
    <w:p w:rsidR="00D963A2" w:rsidRPr="004410A1" w:rsidP="00D963A2" w14:paraId="312229D0" w14:textId="7566DCD6">
      <w:pPr>
        <w:suppressAutoHyphens/>
        <w:spacing w:after="0" w:line="240" w:lineRule="auto"/>
        <w:rPr>
          <w:rFonts w:eastAsia="Times New Roman"/>
          <w:b/>
          <w:bCs/>
          <w:color w:val="000000"/>
          <w:shd w:val="clear" w:color="auto" w:fill="FFFFFF" w:themeFill="background1"/>
        </w:rPr>
      </w:pPr>
      <w:r w:rsidRPr="5E3EE6FC">
        <w:rPr>
          <w:rFonts w:eastAsia="Times New Roman"/>
          <w:color w:val="000000"/>
          <w:shd w:val="clear" w:color="auto" w:fill="FFFFFF" w:themeFill="background1"/>
        </w:rPr>
        <w:t xml:space="preserve">Mathematica will collect data by moderating all </w:t>
      </w:r>
      <w:r>
        <w:rPr>
          <w:rFonts w:eastAsia="Times New Roman"/>
          <w:color w:val="000000"/>
          <w:shd w:val="clear" w:color="auto" w:fill="FFFFFF" w:themeFill="background1"/>
        </w:rPr>
        <w:t>focus group discussions</w:t>
      </w:r>
      <w:r w:rsidRPr="5E3EE6FC">
        <w:rPr>
          <w:rFonts w:eastAsia="Times New Roman"/>
          <w:color w:val="000000"/>
          <w:shd w:val="clear" w:color="auto" w:fill="FFFFFF" w:themeFill="background1"/>
        </w:rPr>
        <w:t xml:space="preserve">, following </w:t>
      </w:r>
      <w:r w:rsidRPr="5E3EE6FC">
        <w:rPr>
          <w:rFonts w:eastAsia="Times New Roman"/>
          <w:color w:val="000000" w:themeColor="text1"/>
        </w:rPr>
        <w:t xml:space="preserve">a </w:t>
      </w:r>
      <w:r>
        <w:rPr>
          <w:rFonts w:eastAsia="Times New Roman"/>
          <w:color w:val="000000"/>
          <w:shd w:val="clear" w:color="auto" w:fill="FFFFFF" w:themeFill="background1"/>
        </w:rPr>
        <w:t xml:space="preserve">data collection </w:t>
      </w:r>
      <w:r w:rsidRPr="5E3EE6FC">
        <w:rPr>
          <w:rFonts w:eastAsia="Times New Roman"/>
          <w:color w:val="000000"/>
          <w:shd w:val="clear" w:color="auto" w:fill="FFFFFF" w:themeFill="background1"/>
        </w:rPr>
        <w:t>protocol (Instrument</w:t>
      </w:r>
      <w:r>
        <w:rPr>
          <w:rFonts w:eastAsia="Times New Roman"/>
          <w:color w:val="000000"/>
          <w:shd w:val="clear" w:color="auto" w:fill="FFFFFF" w:themeFill="background1"/>
        </w:rPr>
        <w:t xml:space="preserve"> </w:t>
      </w:r>
      <w:r w:rsidR="0086040F">
        <w:rPr>
          <w:rFonts w:eastAsia="Times New Roman"/>
          <w:color w:val="000000"/>
          <w:shd w:val="clear" w:color="auto" w:fill="FFFFFF" w:themeFill="background1"/>
        </w:rPr>
        <w:t>1</w:t>
      </w:r>
      <w:r>
        <w:rPr>
          <w:rFonts w:eastAsia="Times New Roman"/>
          <w:color w:val="000000"/>
          <w:shd w:val="clear" w:color="auto" w:fill="FFFFFF" w:themeFill="background1"/>
        </w:rPr>
        <w:t xml:space="preserve">). Discussions will be </w:t>
      </w:r>
      <w:r w:rsidRPr="5E3EE6FC">
        <w:rPr>
          <w:rFonts w:eastAsia="Times New Roman"/>
          <w:color w:val="000000"/>
          <w:shd w:val="clear" w:color="auto" w:fill="FFFFFF" w:themeFill="background1"/>
        </w:rPr>
        <w:t>held virtually</w:t>
      </w:r>
      <w:r w:rsidRPr="5E3EE6FC">
        <w:rPr>
          <w:rFonts w:eastAsia="Times New Roman"/>
          <w:color w:val="000000" w:themeColor="text1"/>
        </w:rPr>
        <w:t xml:space="preserve"> on a platform such as WebEx or Zoom, and all participants, including the experienced </w:t>
      </w:r>
      <w:r>
        <w:rPr>
          <w:rFonts w:eastAsia="Times New Roman"/>
          <w:color w:val="000000"/>
          <w:shd w:val="clear" w:color="auto" w:fill="FFFFFF" w:themeFill="background1"/>
        </w:rPr>
        <w:t xml:space="preserve">focus group </w:t>
      </w:r>
      <w:r w:rsidRPr="5E3EE6FC">
        <w:rPr>
          <w:rFonts w:eastAsia="Times New Roman"/>
          <w:color w:val="000000" w:themeColor="text1"/>
        </w:rPr>
        <w:t xml:space="preserve">interviewers, will log into the platform. </w:t>
      </w:r>
      <w:r>
        <w:rPr>
          <w:rFonts w:eastAsia="Times New Roman"/>
          <w:color w:val="000000" w:themeColor="text1"/>
        </w:rPr>
        <w:t xml:space="preserve">The </w:t>
      </w:r>
      <w:r w:rsidRPr="5E3EE6FC">
        <w:rPr>
          <w:rFonts w:eastAsia="Times New Roman"/>
          <w:color w:val="000000"/>
          <w:shd w:val="clear" w:color="auto" w:fill="FFFFFF" w:themeFill="background1"/>
        </w:rPr>
        <w:t xml:space="preserve">groups </w:t>
      </w:r>
      <w:r>
        <w:rPr>
          <w:rFonts w:eastAsia="Times New Roman"/>
          <w:color w:val="000000"/>
          <w:shd w:val="clear" w:color="auto" w:fill="FFFFFF" w:themeFill="background1"/>
        </w:rPr>
        <w:t xml:space="preserve">will include up to </w:t>
      </w:r>
      <w:r w:rsidR="00B528C0">
        <w:rPr>
          <w:rFonts w:eastAsia="Times New Roman"/>
          <w:color w:val="000000"/>
          <w:shd w:val="clear" w:color="auto" w:fill="FFFFFF" w:themeFill="background1"/>
        </w:rPr>
        <w:t>20</w:t>
      </w:r>
      <w:r>
        <w:rPr>
          <w:rFonts w:eastAsia="Times New Roman"/>
          <w:color w:val="000000"/>
          <w:shd w:val="clear" w:color="auto" w:fill="FFFFFF" w:themeFill="background1"/>
        </w:rPr>
        <w:t xml:space="preserve"> participants each, for a total of </w:t>
      </w:r>
      <w:r w:rsidRPr="5E3EE6FC">
        <w:rPr>
          <w:rFonts w:eastAsia="Times New Roman"/>
          <w:color w:val="000000"/>
          <w:shd w:val="clear" w:color="auto" w:fill="FFFFFF" w:themeFill="background1"/>
        </w:rPr>
        <w:t xml:space="preserve">up to </w:t>
      </w:r>
      <w:r w:rsidR="00B528C0">
        <w:rPr>
          <w:rFonts w:eastAsia="Times New Roman"/>
          <w:color w:val="000000"/>
          <w:shd w:val="clear" w:color="auto" w:fill="FFFFFF" w:themeFill="background1"/>
        </w:rPr>
        <w:t>8</w:t>
      </w:r>
      <w:r>
        <w:rPr>
          <w:rFonts w:eastAsia="Times New Roman"/>
          <w:color w:val="000000"/>
          <w:shd w:val="clear" w:color="auto" w:fill="FFFFFF" w:themeFill="background1"/>
        </w:rPr>
        <w:t xml:space="preserve">0 </w:t>
      </w:r>
      <w:r w:rsidRPr="5E3EE6FC">
        <w:rPr>
          <w:rFonts w:eastAsia="Times New Roman"/>
          <w:color w:val="000000"/>
          <w:shd w:val="clear" w:color="auto" w:fill="FFFFFF" w:themeFill="background1"/>
        </w:rPr>
        <w:t xml:space="preserve">participants. During </w:t>
      </w:r>
      <w:r>
        <w:rPr>
          <w:rFonts w:eastAsia="Times New Roman"/>
          <w:color w:val="000000"/>
          <w:shd w:val="clear" w:color="auto" w:fill="FFFFFF" w:themeFill="background1"/>
        </w:rPr>
        <w:t xml:space="preserve">the </w:t>
      </w:r>
      <w:r>
        <w:rPr>
          <w:rFonts w:eastAsia="Times New Roman"/>
          <w:color w:val="000000" w:themeColor="text1"/>
        </w:rPr>
        <w:t>focus group</w:t>
      </w:r>
      <w:r w:rsidRPr="5E3EE6FC">
        <w:rPr>
          <w:rFonts w:eastAsia="Times New Roman"/>
          <w:color w:val="000000" w:themeColor="text1"/>
        </w:rPr>
        <w:t xml:space="preserve"> discussion</w:t>
      </w:r>
      <w:r>
        <w:rPr>
          <w:rFonts w:eastAsia="Times New Roman"/>
          <w:color w:val="000000" w:themeColor="text1"/>
        </w:rPr>
        <w:t>s</w:t>
      </w:r>
      <w:r w:rsidRPr="5E3EE6FC">
        <w:rPr>
          <w:rFonts w:eastAsia="Times New Roman"/>
          <w:color w:val="000000"/>
          <w:shd w:val="clear" w:color="auto" w:fill="FFFFFF" w:themeFill="background1"/>
        </w:rPr>
        <w:t xml:space="preserve">, the participants will </w:t>
      </w:r>
      <w:r>
        <w:rPr>
          <w:rFonts w:eastAsia="Times New Roman"/>
          <w:color w:val="000000"/>
          <w:shd w:val="clear" w:color="auto" w:fill="FFFFFF" w:themeFill="background1"/>
        </w:rPr>
        <w:t xml:space="preserve">review each survey question, </w:t>
      </w:r>
      <w:r w:rsidRPr="5E3EE6FC">
        <w:rPr>
          <w:rFonts w:eastAsia="Times New Roman"/>
          <w:color w:val="000000"/>
          <w:shd w:val="clear" w:color="auto" w:fill="FFFFFF" w:themeFill="background1"/>
        </w:rPr>
        <w:t xml:space="preserve">followed by a guided discussion using the </w:t>
      </w:r>
      <w:r>
        <w:rPr>
          <w:rFonts w:eastAsia="Times New Roman"/>
          <w:color w:val="000000"/>
          <w:shd w:val="clear" w:color="auto" w:fill="FFFFFF" w:themeFill="background1"/>
        </w:rPr>
        <w:t xml:space="preserve">relevant </w:t>
      </w:r>
      <w:r w:rsidRPr="5E3EE6FC">
        <w:rPr>
          <w:rFonts w:eastAsia="Times New Roman"/>
          <w:color w:val="000000"/>
          <w:shd w:val="clear" w:color="auto" w:fill="FFFFFF" w:themeFill="background1"/>
        </w:rPr>
        <w:t>protocol. A notetaker from Mathematica will take live notes. Following each</w:t>
      </w:r>
      <w:r w:rsidRPr="5E3EE6FC">
        <w:rPr>
          <w:rFonts w:eastAsia="Times New Roman"/>
          <w:color w:val="000000"/>
          <w:shd w:val="clear" w:color="auto" w:fill="FFFFFF" w:themeFill="background1"/>
        </w:rPr>
        <w:t xml:space="preserve"> </w:t>
      </w:r>
      <w:r w:rsidRPr="5E3EE6FC">
        <w:rPr>
          <w:rFonts w:eastAsia="Times New Roman"/>
          <w:color w:val="000000" w:themeColor="text1"/>
        </w:rPr>
        <w:t xml:space="preserve">discussion </w:t>
      </w:r>
      <w:r w:rsidRPr="5E3EE6FC">
        <w:rPr>
          <w:rFonts w:eastAsia="Times New Roman"/>
          <w:color w:val="000000"/>
          <w:shd w:val="clear" w:color="auto" w:fill="FFFFFF" w:themeFill="background1"/>
        </w:rPr>
        <w:t>group, the moderator and notetaker will debrief on the session together</w:t>
      </w:r>
      <w:r w:rsidR="007F4A77">
        <w:rPr>
          <w:rFonts w:eastAsia="Times New Roman"/>
          <w:color w:val="000000"/>
          <w:shd w:val="clear" w:color="auto" w:fill="FFFFFF" w:themeFill="background1"/>
        </w:rPr>
        <w:t xml:space="preserve"> and review the notes</w:t>
      </w:r>
      <w:r w:rsidRPr="5E3EE6FC">
        <w:rPr>
          <w:rFonts w:eastAsia="Times New Roman"/>
          <w:color w:val="000000"/>
          <w:shd w:val="clear" w:color="auto" w:fill="FFFFFF" w:themeFill="background1"/>
        </w:rPr>
        <w:t>. The notetaker will finalize the notes, which will be reviewed by the moderator to ensure accuracy and completeness.</w:t>
      </w:r>
      <w:r w:rsidRPr="5E3EE6FC">
        <w:rPr>
          <w:rFonts w:eastAsia="Times New Roman"/>
          <w:b/>
          <w:bCs/>
          <w:color w:val="000000"/>
          <w:shd w:val="clear" w:color="auto" w:fill="FFFFFF" w:themeFill="background1"/>
        </w:rPr>
        <w:t xml:space="preserve"> </w:t>
      </w:r>
    </w:p>
    <w:p w:rsidR="00BB2925" w:rsidP="00DF1291" w14:paraId="30F27373" w14:textId="77777777">
      <w:pPr>
        <w:autoSpaceDE w:val="0"/>
        <w:autoSpaceDN w:val="0"/>
        <w:adjustRightInd w:val="0"/>
        <w:spacing w:after="0" w:line="240" w:lineRule="atLeast"/>
        <w:rPr>
          <w:rFonts w:eastAsia="Times New Roman" w:cstheme="minorHAnsi"/>
          <w:b/>
          <w:color w:val="000000"/>
        </w:rPr>
      </w:pPr>
    </w:p>
    <w:p w:rsidR="007C2EE0" w:rsidP="00F85D35"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007C2EE0" w:rsidRPr="0086040F" w:rsidP="00F85D35" w14:paraId="4C6D8F66" w14:textId="48A3918C">
      <w:pPr>
        <w:autoSpaceDE w:val="0"/>
        <w:autoSpaceDN w:val="0"/>
        <w:adjustRightInd w:val="0"/>
        <w:spacing w:after="60" w:line="240" w:lineRule="atLeast"/>
        <w:rPr>
          <w:rFonts w:ascii="Calibri" w:eastAsia="Times New Roman" w:hAnsi="Calibri" w:cs="Calibri"/>
          <w:i/>
          <w:color w:val="000000"/>
        </w:rPr>
      </w:pPr>
      <w:r w:rsidRPr="0086040F">
        <w:rPr>
          <w:rFonts w:ascii="Calibri" w:eastAsia="Times New Roman" w:hAnsi="Calibri" w:cs="Calibri"/>
          <w:i/>
          <w:color w:val="000000"/>
        </w:rPr>
        <w:t>Response Rates</w:t>
      </w:r>
    </w:p>
    <w:p w:rsidR="0086040F" w:rsidRPr="0086040F" w:rsidP="0086040F" w14:paraId="3642F2FE" w14:textId="77777777">
      <w:pPr>
        <w:pStyle w:val="pf0"/>
        <w:spacing w:before="0" w:beforeAutospacing="0" w:after="0" w:afterAutospacing="0"/>
        <w:rPr>
          <w:rFonts w:ascii="Calibri" w:hAnsi="Calibri" w:cs="Calibri"/>
          <w:sz w:val="22"/>
          <w:szCs w:val="22"/>
        </w:rPr>
      </w:pPr>
      <w:r w:rsidRPr="0086040F">
        <w:rPr>
          <w:rStyle w:val="cf01"/>
          <w:rFonts w:ascii="Calibri" w:hAnsi="Calibri" w:cs="Calibri"/>
          <w:sz w:val="22"/>
          <w:szCs w:val="22"/>
        </w:rPr>
        <w:t>Response rates will not be calculated or reported.</w:t>
      </w:r>
    </w:p>
    <w:p w:rsidR="0086040F" w:rsidRPr="0086040F" w:rsidP="0086040F" w14:paraId="493E3308" w14:textId="77777777">
      <w:pPr>
        <w:autoSpaceDE w:val="0"/>
        <w:autoSpaceDN w:val="0"/>
        <w:adjustRightInd w:val="0"/>
        <w:spacing w:after="0" w:line="240" w:lineRule="atLeast"/>
        <w:rPr>
          <w:rFonts w:ascii="Calibri" w:eastAsia="Times New Roman" w:hAnsi="Calibri" w:cs="Calibri"/>
          <w:i/>
          <w:color w:val="000000"/>
        </w:rPr>
      </w:pPr>
    </w:p>
    <w:p w:rsidR="0086040F" w:rsidRPr="0086040F" w:rsidP="0086040F" w14:paraId="7238A87F" w14:textId="77777777">
      <w:pPr>
        <w:autoSpaceDE w:val="0"/>
        <w:autoSpaceDN w:val="0"/>
        <w:adjustRightInd w:val="0"/>
        <w:spacing w:after="60" w:line="240" w:lineRule="atLeast"/>
        <w:rPr>
          <w:rFonts w:ascii="Calibri" w:eastAsia="Times New Roman" w:hAnsi="Calibri" w:cs="Calibri"/>
          <w:i/>
          <w:color w:val="000000"/>
        </w:rPr>
      </w:pPr>
      <w:r w:rsidRPr="0086040F">
        <w:rPr>
          <w:rFonts w:ascii="Calibri" w:eastAsia="Times New Roman" w:hAnsi="Calibri" w:cs="Calibri"/>
          <w:i/>
          <w:color w:val="000000"/>
        </w:rPr>
        <w:t>NonResponse</w:t>
      </w:r>
    </w:p>
    <w:p w:rsidR="0086040F" w:rsidRPr="0086040F" w:rsidP="0086040F" w14:paraId="02A5143D" w14:textId="02BA133F">
      <w:pPr>
        <w:autoSpaceDE w:val="0"/>
        <w:autoSpaceDN w:val="0"/>
        <w:adjustRightInd w:val="0"/>
        <w:spacing w:after="0" w:line="240" w:lineRule="atLeast"/>
        <w:rPr>
          <w:rFonts w:ascii="Calibri" w:eastAsia="Times New Roman" w:hAnsi="Calibri" w:cs="Calibri"/>
          <w:b/>
          <w:bCs/>
          <w:color w:val="000000"/>
        </w:rPr>
      </w:pPr>
      <w:r w:rsidRPr="0086040F">
        <w:rPr>
          <w:rFonts w:ascii="Calibri" w:hAnsi="Calibri" w:cs="Calibri"/>
        </w:rPr>
        <w:t>As participants will not be randomly sampled and findings are not intended to be representative, non-response bias will not be calculated.</w:t>
      </w:r>
    </w:p>
    <w:p w:rsidR="00BB2925" w:rsidRPr="00DF1291" w:rsidP="00901040" w14:paraId="0FC57B4D" w14:textId="77777777">
      <w:pPr>
        <w:autoSpaceDE w:val="0"/>
        <w:autoSpaceDN w:val="0"/>
        <w:adjustRightInd w:val="0"/>
        <w:spacing w:after="0" w:line="240" w:lineRule="atLeast"/>
        <w:rPr>
          <w:rFonts w:ascii="Times New Roman" w:eastAsia="Times New Roman" w:hAnsi="Times New Roman" w:cs="Times New Roman"/>
          <w:b/>
          <w:bCs/>
          <w:color w:val="000000"/>
        </w:rPr>
      </w:pPr>
    </w:p>
    <w:p w:rsidR="00901040" w:rsidRPr="00DF1291" w:rsidP="00F85D35" w14:paraId="36E8E8E3" w14:textId="5165B083">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Pr="00DF1291">
        <w:rPr>
          <w:rFonts w:eastAsia="Times New Roman" w:cstheme="minorHAnsi"/>
          <w:b/>
          <w:bCs/>
        </w:rPr>
        <w:t>.   Production of Estimates and Projections</w:t>
      </w:r>
      <w:r w:rsidRPr="00DF1291">
        <w:rPr>
          <w:rFonts w:eastAsia="Times New Roman" w:cstheme="minorHAnsi"/>
        </w:rPr>
        <w:t xml:space="preserve"> </w:t>
      </w:r>
    </w:p>
    <w:p w:rsidR="0086040F" w:rsidP="0086040F" w14:paraId="779DE530" w14:textId="23C88245">
      <w:pPr>
        <w:suppressAutoHyphens/>
        <w:spacing w:after="0" w:line="240" w:lineRule="auto"/>
        <w:rPr>
          <w:rFonts w:eastAsia="Times New Roman" w:cstheme="minorHAnsi"/>
        </w:rPr>
      </w:pPr>
      <w:r>
        <w:rPr>
          <w:rFonts w:eastAsia="Times New Roman" w:cstheme="minorHAnsi"/>
        </w:rPr>
        <w:t xml:space="preserve">The data will not be used to generate population estimates, either for internal use or for dissemination. Policy decisions will not be made based on the data collected for this formative data collection, as the data are not </w:t>
      </w:r>
      <w:r w:rsidRPr="00DA3377">
        <w:rPr>
          <w:iCs/>
        </w:rPr>
        <w:t>representative</w:t>
      </w:r>
      <w:r>
        <w:rPr>
          <w:rFonts w:eastAsia="Times New Roman" w:cstheme="minorHAnsi"/>
        </w:rPr>
        <w:t>.</w:t>
      </w:r>
    </w:p>
    <w:p w:rsidR="00BB2925" w:rsidRPr="00901040" w:rsidP="00901040" w14:paraId="1BA3B31C" w14:textId="567C501F">
      <w:pPr>
        <w:spacing w:after="0" w:line="240" w:lineRule="auto"/>
        <w:rPr>
          <w:rFonts w:ascii="Times New Roman" w:eastAsia="Times New Roman" w:hAnsi="Times New Roman" w:cs="Times New Roman"/>
          <w:sz w:val="24"/>
          <w:szCs w:val="24"/>
        </w:rPr>
      </w:pPr>
    </w:p>
    <w:p w:rsidR="007B0165" w:rsidP="00F85D35" w14:paraId="7D2821DD" w14:textId="77777777">
      <w:pPr>
        <w:autoSpaceDE w:val="0"/>
        <w:autoSpaceDN w:val="0"/>
        <w:adjustRightInd w:val="0"/>
        <w:spacing w:after="120" w:line="240" w:lineRule="atLeast"/>
        <w:rPr>
          <w:rFonts w:eastAsia="Times New Roman" w:cstheme="minorHAnsi"/>
          <w:b/>
          <w:bCs/>
          <w:color w:val="000000"/>
        </w:rPr>
      </w:pPr>
    </w:p>
    <w:p w:rsidR="007B6CA2" w:rsidRPr="00F85D35" w:rsidP="00F85D35" w14:paraId="47D35F1B" w14:textId="51D1EAC3">
      <w:pPr>
        <w:autoSpaceDE w:val="0"/>
        <w:autoSpaceDN w:val="0"/>
        <w:adjustRightInd w:val="0"/>
        <w:spacing w:after="120" w:line="240" w:lineRule="atLeast"/>
        <w:rPr>
          <w:rFonts w:eastAsia="Times New Roman" w:cstheme="minorHAnsi"/>
          <w:b/>
          <w:bCs/>
          <w:color w:val="000000"/>
        </w:rPr>
      </w:pPr>
      <w:r w:rsidRPr="00DF1291">
        <w:rPr>
          <w:rFonts w:eastAsia="Times New Roman" w:cstheme="minorHAnsi"/>
          <w:b/>
          <w:bCs/>
          <w:color w:val="000000"/>
        </w:rPr>
        <w:t>B7.</w:t>
      </w:r>
      <w:r w:rsidRPr="00DF1291">
        <w:rPr>
          <w:rFonts w:eastAsia="Times New Roman" w:cstheme="minorHAnsi"/>
          <w:color w:val="000000"/>
        </w:rPr>
        <w:t xml:space="preserve">  </w:t>
      </w:r>
      <w:r w:rsidRPr="00DF1291">
        <w:rPr>
          <w:rFonts w:eastAsia="Times New Roman" w:cstheme="minorHAnsi"/>
          <w:b/>
          <w:bCs/>
          <w:color w:val="000000"/>
        </w:rPr>
        <w:t xml:space="preserve">Data </w:t>
      </w:r>
      <w:r w:rsidR="00EB6134">
        <w:rPr>
          <w:rFonts w:eastAsia="Times New Roman" w:cstheme="minorHAnsi"/>
          <w:b/>
          <w:bCs/>
          <w:color w:val="000000"/>
        </w:rPr>
        <w:t xml:space="preserve">Handling and </w:t>
      </w:r>
      <w:r>
        <w:rPr>
          <w:rFonts w:eastAsia="Times New Roman" w:cstheme="minorHAnsi"/>
          <w:b/>
          <w:bCs/>
          <w:color w:val="000000"/>
        </w:rPr>
        <w:t>Analysis</w:t>
      </w:r>
    </w:p>
    <w:p w:rsidR="007B6CA2" w:rsidRPr="007B6CA2" w:rsidP="00F85D35" w14:paraId="0FB9DBDE" w14:textId="04F8F6DD">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Handling</w:t>
      </w:r>
    </w:p>
    <w:p w:rsidR="0086040F" w:rsidP="0086040F" w14:paraId="55835EA7" w14:textId="45E0885C">
      <w:pPr>
        <w:spacing w:after="0" w:line="240" w:lineRule="auto"/>
      </w:pPr>
      <w:r>
        <w:t xml:space="preserve">We will recruit participants using an existing mailing list maintained by </w:t>
      </w:r>
      <w:r w:rsidRPr="00B020B1">
        <w:t xml:space="preserve">Mathematica </w:t>
      </w:r>
      <w:r>
        <w:t>for contacting PREP</w:t>
      </w:r>
      <w:r w:rsidRPr="00E72A72">
        <w:t xml:space="preserve"> </w:t>
      </w:r>
      <w:r>
        <w:t>grant recipients. The grant recipient focus groups will not be audio recorded.</w:t>
      </w:r>
    </w:p>
    <w:p w:rsidR="0086040F" w:rsidRPr="00FA24BB" w:rsidP="00FA24BB" w14:paraId="0607731C" w14:textId="635D8F01">
      <w:pPr>
        <w:tabs>
          <w:tab w:val="left" w:pos="-720"/>
        </w:tabs>
        <w:suppressAutoHyphens/>
        <w:spacing w:before="100" w:beforeAutospacing="1" w:after="100" w:afterAutospacing="1" w:line="240" w:lineRule="auto"/>
      </w:pPr>
      <w:r w:rsidRPr="00B020B1">
        <w:t>All notes will be stored on Mathematica’s secure network. No one outside the study team will have access to the data. Only Mathematica staff working directly on this</w:t>
      </w:r>
      <w:r>
        <w:t xml:space="preserve"> project</w:t>
      </w:r>
      <w:r w:rsidRPr="00B020B1">
        <w:t xml:space="preserve"> have access to the project folder on the network where </w:t>
      </w:r>
      <w:r w:rsidR="00585548">
        <w:t>notes</w:t>
      </w:r>
      <w:r w:rsidRPr="00B020B1" w:rsidR="00585548">
        <w:t xml:space="preserve"> </w:t>
      </w:r>
      <w:r w:rsidRPr="00B020B1">
        <w:t>will be saved. All notes will be destroyed per contract requirements.</w:t>
      </w:r>
    </w:p>
    <w:p w:rsidR="0086040F" w:rsidRPr="004410A1" w:rsidP="0086040F" w14:paraId="59714471" w14:textId="4FDDAB74">
      <w:pPr>
        <w:autoSpaceDE w:val="0"/>
        <w:autoSpaceDN w:val="0"/>
        <w:adjustRightInd w:val="0"/>
        <w:spacing w:after="60" w:line="240" w:lineRule="atLeast"/>
        <w:rPr>
          <w:rFonts w:eastAsia="Times New Roman" w:cstheme="minorHAnsi"/>
          <w:bCs/>
          <w:i/>
          <w:color w:val="000000"/>
        </w:rPr>
      </w:pPr>
      <w:r w:rsidRPr="007B6CA2">
        <w:rPr>
          <w:rFonts w:eastAsia="Times New Roman" w:cstheme="minorHAnsi"/>
          <w:bCs/>
          <w:i/>
          <w:color w:val="000000"/>
        </w:rPr>
        <w:t>Data Analysis</w:t>
      </w:r>
    </w:p>
    <w:p w:rsidR="0086040F" w:rsidP="00CC4861" w14:paraId="74E4733B" w14:textId="5445CAEB">
      <w:pPr>
        <w:tabs>
          <w:tab w:val="left" w:pos="-720"/>
        </w:tabs>
        <w:suppressAutoHyphens/>
        <w:spacing w:after="0" w:line="240" w:lineRule="auto"/>
      </w:pPr>
      <w:r w:rsidRPr="00C308D0">
        <w:t>This project will not employ complex data analytic techniques</w:t>
      </w:r>
      <w:r w:rsidRPr="00795F60">
        <w:t xml:space="preserve">. </w:t>
      </w:r>
      <w:r>
        <w:t>The study team will analyze the focus group discussion data qualitatively</w:t>
      </w:r>
      <w:r w:rsidR="00CC4861">
        <w:t xml:space="preserve"> and will use </w:t>
      </w:r>
      <w:r w:rsidR="007F4A77">
        <w:t xml:space="preserve">the information </w:t>
      </w:r>
      <w:r>
        <w:t xml:space="preserve">to assess and improve the clarity and comprehension of the </w:t>
      </w:r>
      <w:r w:rsidR="000D10F1">
        <w:t xml:space="preserve">participant entry and exit survey </w:t>
      </w:r>
      <w:r>
        <w:t xml:space="preserve">questions and response options. </w:t>
      </w:r>
      <w:r w:rsidR="000D10F1">
        <w:t>Information on SOGI questions will be used in conjunction with feedback received during future pre-testing efforts</w:t>
      </w:r>
      <w:r w:rsidR="0047328C">
        <w:t>.</w:t>
      </w:r>
      <w:r w:rsidR="000D10F1">
        <w:t xml:space="preserve"> </w:t>
      </w:r>
      <w:r w:rsidR="00CC4861">
        <w:t xml:space="preserve">More information about those activities and analysis plans will be provided in a planned submission under </w:t>
      </w:r>
      <w:r w:rsidRPr="007F7A0D" w:rsidR="00CC4861">
        <w:rPr>
          <w:bCs/>
        </w:rPr>
        <w:t xml:space="preserve">the </w:t>
      </w:r>
      <w:r w:rsidRPr="00B3652D" w:rsidR="00CC4861">
        <w:t xml:space="preserve">Pretesting of </w:t>
      </w:r>
      <w:r w:rsidR="00CC4861">
        <w:t>ACF</w:t>
      </w:r>
      <w:r w:rsidRPr="00B3652D" w:rsidR="00CC4861">
        <w:t xml:space="preserve"> Data Collection Activities</w:t>
      </w:r>
      <w:r w:rsidR="00CC4861">
        <w:t xml:space="preserve"> umbrella generic (0970-0355).</w:t>
      </w:r>
    </w:p>
    <w:p w:rsidR="0086040F" w:rsidP="0086040F" w14:paraId="7B259AF6" w14:textId="77777777">
      <w:pPr>
        <w:autoSpaceDE w:val="0"/>
        <w:autoSpaceDN w:val="0"/>
        <w:adjustRightInd w:val="0"/>
        <w:spacing w:after="0" w:line="240" w:lineRule="atLeast"/>
        <w:rPr>
          <w:rFonts w:eastAsia="Times New Roman" w:cstheme="minorHAnsi"/>
          <w:bCs/>
          <w:i/>
          <w:color w:val="000000"/>
        </w:rPr>
      </w:pPr>
    </w:p>
    <w:p w:rsidR="0086040F" w:rsidRPr="004410A1" w:rsidP="0086040F" w14:paraId="6CB6CB5F" w14:textId="77777777">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86040F" w:rsidRPr="004410A1" w:rsidP="00CC4861" w14:paraId="41260693" w14:textId="4CEC3CC1">
      <w:pPr>
        <w:spacing w:after="0" w:line="240" w:lineRule="auto"/>
        <w:rPr>
          <w:rFonts w:eastAsia="Times New Roman" w:cstheme="minorHAnsi"/>
          <w:bCs/>
          <w:i/>
          <w:color w:val="000000"/>
        </w:rPr>
      </w:pPr>
      <w:bookmarkStart w:id="2" w:name="_Hlk118304899"/>
      <w:r>
        <w:rPr>
          <w:rFonts w:eastAsia="Times New Roman" w:cstheme="minorHAnsi"/>
          <w:color w:val="000000"/>
          <w:szCs w:val="24"/>
        </w:rPr>
        <w:t xml:space="preserve">ACF is </w:t>
      </w:r>
      <w:r>
        <w:rPr>
          <w:rFonts w:eastAsia="Times New Roman" w:cs="Times New Roman"/>
          <w:szCs w:val="24"/>
        </w:rPr>
        <w:t xml:space="preserve">currently engaged in efforts to improve the PREP participant entry and exit survey questions, and to select questions on </w:t>
      </w:r>
      <w:r>
        <w:rPr>
          <w:rFonts w:cs="Times New Roman"/>
        </w:rPr>
        <w:t>SOGI for</w:t>
      </w:r>
      <w:r w:rsidRPr="00EE3651">
        <w:rPr>
          <w:rFonts w:cs="Times New Roman"/>
        </w:rPr>
        <w:t xml:space="preserve"> </w:t>
      </w:r>
      <w:r>
        <w:rPr>
          <w:rFonts w:cs="Times New Roman"/>
        </w:rPr>
        <w:t xml:space="preserve">use across ACF youth programs to </w:t>
      </w:r>
      <w:r w:rsidRPr="00EE3651">
        <w:rPr>
          <w:rFonts w:cs="Times New Roman"/>
        </w:rPr>
        <w:t xml:space="preserve">better represent </w:t>
      </w:r>
      <w:r>
        <w:rPr>
          <w:rFonts w:cs="Times New Roman"/>
        </w:rPr>
        <w:t xml:space="preserve">how youth </w:t>
      </w:r>
      <w:r w:rsidRPr="00EE3651">
        <w:rPr>
          <w:rFonts w:cs="Times New Roman"/>
        </w:rPr>
        <w:t>participants</w:t>
      </w:r>
      <w:r>
        <w:rPr>
          <w:rFonts w:cs="Times New Roman"/>
        </w:rPr>
        <w:t xml:space="preserve"> self-identify, as well as to align with EO 14075. </w:t>
      </w:r>
      <w:r>
        <w:rPr>
          <w:iCs/>
        </w:rPr>
        <w:t>F</w:t>
      </w:r>
      <w:r w:rsidRPr="00A83837">
        <w:rPr>
          <w:rFonts w:eastAsia="Times New Roman" w:cstheme="minorHAnsi"/>
        </w:rPr>
        <w:t xml:space="preserve">indings from </w:t>
      </w:r>
      <w:r>
        <w:rPr>
          <w:rFonts w:eastAsia="Times New Roman" w:cstheme="minorHAnsi"/>
        </w:rPr>
        <w:t>th</w:t>
      </w:r>
      <w:r w:rsidR="00CC4861">
        <w:rPr>
          <w:rFonts w:eastAsia="Times New Roman" w:cstheme="minorHAnsi"/>
        </w:rPr>
        <w:t xml:space="preserve">is effort in conjunction with </w:t>
      </w:r>
      <w:r w:rsidRPr="00A83837">
        <w:rPr>
          <w:rFonts w:eastAsia="Times New Roman" w:cstheme="minorHAnsi"/>
        </w:rPr>
        <w:t>p</w:t>
      </w:r>
      <w:r>
        <w:rPr>
          <w:rFonts w:eastAsia="Times New Roman" w:cstheme="minorHAnsi"/>
        </w:rPr>
        <w:t>retests</w:t>
      </w:r>
      <w:r w:rsidR="00CC4861">
        <w:rPr>
          <w:rFonts w:eastAsia="Times New Roman" w:cstheme="minorHAnsi"/>
        </w:rPr>
        <w:t xml:space="preserve"> to be completed</w:t>
      </w:r>
      <w:r>
        <w:rPr>
          <w:rFonts w:eastAsia="Times New Roman" w:cstheme="minorHAnsi"/>
        </w:rPr>
        <w:t xml:space="preserve"> </w:t>
      </w:r>
      <w:r w:rsidRPr="00A83837">
        <w:rPr>
          <w:rFonts w:eastAsia="Times New Roman" w:cstheme="minorHAnsi"/>
        </w:rPr>
        <w:t xml:space="preserve">will inform the development of </w:t>
      </w:r>
      <w:r>
        <w:rPr>
          <w:rFonts w:eastAsia="Times New Roman" w:cstheme="minorHAnsi"/>
        </w:rPr>
        <w:t xml:space="preserve">the final SOGI measures for the PREP youth participant entry and exit surveys and to support the </w:t>
      </w:r>
      <w:r>
        <w:rPr>
          <w:rFonts w:cs="Times New Roman"/>
        </w:rPr>
        <w:t>agency-wide initiative at ACF to select SOGI items for youth</w:t>
      </w:r>
      <w:r>
        <w:rPr>
          <w:rFonts w:eastAsia="Times New Roman" w:cstheme="minorHAnsi"/>
        </w:rPr>
        <w:t>.</w:t>
      </w:r>
      <w:r w:rsidRPr="004F541B">
        <w:rPr>
          <w:iCs/>
        </w:rPr>
        <w:t xml:space="preserve"> </w:t>
      </w:r>
      <w:bookmarkEnd w:id="2"/>
      <w:r w:rsidR="00CC4861">
        <w:rPr>
          <w:iCs/>
        </w:rPr>
        <w:t>A</w:t>
      </w:r>
      <w:r>
        <w:rPr>
          <w:rFonts w:eastAsia="Times New Roman"/>
        </w:rPr>
        <w:t xml:space="preserve">fter conducting the focus group discussions, </w:t>
      </w:r>
      <w:r>
        <w:rPr>
          <w:rFonts w:eastAsia="Times New Roman" w:cstheme="minorHAnsi"/>
        </w:rPr>
        <w:t>t</w:t>
      </w:r>
      <w:r w:rsidRPr="00A83837">
        <w:rPr>
          <w:rFonts w:eastAsia="Times New Roman" w:cstheme="minorHAnsi"/>
        </w:rPr>
        <w:t xml:space="preserve">he study team will </w:t>
      </w:r>
      <w:r>
        <w:rPr>
          <w:rFonts w:eastAsia="Times New Roman" w:cstheme="minorHAnsi"/>
        </w:rPr>
        <w:t>develop an internal ACF memorandum</w:t>
      </w:r>
      <w:r w:rsidRPr="00A83837">
        <w:rPr>
          <w:rFonts w:eastAsia="Times New Roman" w:cstheme="minorHAnsi"/>
        </w:rPr>
        <w:t xml:space="preserve"> describing the</w:t>
      </w:r>
      <w:r>
        <w:rPr>
          <w:rFonts w:eastAsia="Times New Roman" w:cstheme="minorHAnsi"/>
        </w:rPr>
        <w:t xml:space="preserve"> </w:t>
      </w:r>
      <w:r w:rsidRPr="00A83837">
        <w:rPr>
          <w:rFonts w:eastAsia="Times New Roman" w:cstheme="minorHAnsi"/>
        </w:rPr>
        <w:t xml:space="preserve">results, including </w:t>
      </w:r>
      <w:r>
        <w:rPr>
          <w:rFonts w:eastAsia="Times New Roman" w:cstheme="minorHAnsi"/>
        </w:rPr>
        <w:t xml:space="preserve">proposed </w:t>
      </w:r>
      <w:r w:rsidRPr="00A83837">
        <w:rPr>
          <w:rFonts w:eastAsia="Times New Roman" w:cstheme="minorHAnsi"/>
        </w:rPr>
        <w:t>change</w:t>
      </w:r>
      <w:r>
        <w:rPr>
          <w:rFonts w:eastAsia="Times New Roman" w:cstheme="minorHAnsi"/>
        </w:rPr>
        <w:t xml:space="preserve">s </w:t>
      </w:r>
      <w:r w:rsidRPr="00A83837">
        <w:rPr>
          <w:rFonts w:eastAsia="Times New Roman" w:cstheme="minorHAnsi"/>
        </w:rPr>
        <w:t>to the measure</w:t>
      </w:r>
      <w:r>
        <w:rPr>
          <w:rFonts w:eastAsia="Times New Roman" w:cstheme="minorHAnsi"/>
        </w:rPr>
        <w:t>s, and justification for the proposed changes.</w:t>
      </w:r>
      <w:r w:rsidR="00CC4861">
        <w:rPr>
          <w:rFonts w:eastAsia="Times New Roman" w:cstheme="minorHAnsi"/>
        </w:rPr>
        <w:t xml:space="preserve"> These findings will be used with results from </w:t>
      </w:r>
      <w:r w:rsidR="000D10F1">
        <w:rPr>
          <w:rFonts w:eastAsia="Times New Roman" w:cstheme="minorHAnsi"/>
        </w:rPr>
        <w:t xml:space="preserve">SOGI </w:t>
      </w:r>
      <w:r w:rsidR="00CC4861">
        <w:rPr>
          <w:rFonts w:eastAsia="Times New Roman" w:cstheme="minorHAnsi"/>
        </w:rPr>
        <w:t xml:space="preserve">pretesting efforts to propose final updates. </w:t>
      </w:r>
    </w:p>
    <w:p w:rsidR="0086040F" w:rsidRPr="00DF1291" w:rsidP="0086040F" w14:paraId="6AD717DB" w14:textId="77777777">
      <w:pPr>
        <w:spacing w:after="0" w:line="240" w:lineRule="auto"/>
        <w:rPr>
          <w:rFonts w:eastAsia="Times New Roman" w:cstheme="minorHAnsi"/>
        </w:rPr>
      </w:pPr>
    </w:p>
    <w:p w:rsidR="0086040F" w:rsidRPr="00D87E19" w:rsidP="0086040F" w14:paraId="58BB2052" w14:textId="02226B0E">
      <w:pPr>
        <w:spacing w:after="120" w:line="240" w:lineRule="auto"/>
        <w:rPr>
          <w:rFonts w:eastAsia="Times New Roman" w:cstheme="minorHAnsi"/>
        </w:rPr>
      </w:pPr>
      <w:r>
        <w:rPr>
          <w:rFonts w:eastAsia="Times New Roman" w:cstheme="minorHAnsi"/>
          <w:b/>
          <w:bCs/>
        </w:rPr>
        <w:t>B8.  Contact Persons</w:t>
      </w:r>
    </w:p>
    <w:p w:rsidR="0086040F" w:rsidRPr="00CC4861" w:rsidP="00CC4861" w14:paraId="63ADDEFF" w14:textId="37F87453">
      <w:pPr>
        <w:tabs>
          <w:tab w:val="left" w:pos="-720"/>
        </w:tabs>
        <w:suppressAutoHyphens/>
        <w:spacing w:after="0" w:line="240" w:lineRule="auto"/>
        <w:rPr>
          <w:rFonts w:cstheme="minorHAnsi"/>
        </w:rPr>
      </w:pPr>
      <w:r w:rsidRPr="00CC4861">
        <w:rPr>
          <w:rFonts w:cstheme="minorHAnsi"/>
        </w:rPr>
        <w:t>Table B.2 lists the federal and contract staff responsible for the study, including their affiliation and email address.</w:t>
      </w:r>
    </w:p>
    <w:p w:rsidR="00CC4861" w:rsidRPr="00CC4861" w:rsidP="00CC4861" w14:paraId="51DEB39B" w14:textId="77777777">
      <w:pPr>
        <w:tabs>
          <w:tab w:val="left" w:pos="-720"/>
        </w:tabs>
        <w:suppressAutoHyphens/>
        <w:spacing w:after="0" w:line="240" w:lineRule="auto"/>
        <w:rPr>
          <w:rFonts w:cstheme="minorHAnsi"/>
        </w:rPr>
      </w:pPr>
    </w:p>
    <w:p w:rsidR="0086040F" w:rsidRPr="00CC4861" w:rsidP="007B0165" w14:paraId="2050DBA4" w14:textId="77777777">
      <w:pPr>
        <w:pStyle w:val="TableTitle"/>
        <w:spacing w:before="0"/>
        <w:rPr>
          <w:rFonts w:asciiTheme="minorHAnsi" w:hAnsiTheme="minorHAnsi" w:cstheme="minorHAnsi"/>
          <w:sz w:val="22"/>
        </w:rPr>
      </w:pPr>
      <w:r w:rsidRPr="00CC4861">
        <w:rPr>
          <w:rFonts w:asciiTheme="minorHAnsi" w:hAnsiTheme="minorHAnsi" w:cstheme="minorHAnsi"/>
          <w:sz w:val="22"/>
        </w:rPr>
        <w:t xml:space="preserve">Table B.2. Staff responsible for study </w:t>
      </w:r>
    </w:p>
    <w:tbl>
      <w:tblPr>
        <w:tblW w:w="9355" w:type="dxa"/>
        <w:tblLayout w:type="fixed"/>
        <w:tblLook w:val="0400"/>
      </w:tblPr>
      <w:tblGrid>
        <w:gridCol w:w="2066"/>
        <w:gridCol w:w="4232"/>
        <w:gridCol w:w="3057"/>
      </w:tblGrid>
      <w:tr w14:paraId="4F85A552" w14:textId="77777777" w:rsidTr="0061183B">
        <w:tblPrEx>
          <w:tblW w:w="9355" w:type="dxa"/>
          <w:tblLayout w:type="fixed"/>
          <w:tblLook w:val="0400"/>
        </w:tblPrEx>
        <w:tc>
          <w:tcPr>
            <w:tcW w:w="2066" w:type="dxa"/>
            <w:shd w:val="clear" w:color="auto" w:fill="244061" w:themeFill="accent1" w:themeFillShade="80"/>
          </w:tcPr>
          <w:p w:rsidR="0086040F" w:rsidRPr="00CC4861" w:rsidP="0061183B" w14:paraId="5906F7D8" w14:textId="77777777">
            <w:pPr>
              <w:pStyle w:val="TableHeaderCenter"/>
              <w:jc w:val="left"/>
              <w:rPr>
                <w:rFonts w:eastAsia="Times New Roman" w:asciiTheme="minorHAnsi" w:hAnsiTheme="minorHAnsi" w:cstheme="minorHAnsi"/>
                <w:b/>
                <w:bCs/>
                <w:szCs w:val="20"/>
              </w:rPr>
            </w:pPr>
            <w:r w:rsidRPr="00CC4861">
              <w:rPr>
                <w:rFonts w:eastAsia="Times New Roman" w:asciiTheme="minorHAnsi" w:hAnsiTheme="minorHAnsi" w:cstheme="minorHAnsi"/>
                <w:b/>
                <w:bCs/>
                <w:szCs w:val="20"/>
              </w:rPr>
              <w:t>Name</w:t>
            </w:r>
          </w:p>
        </w:tc>
        <w:tc>
          <w:tcPr>
            <w:tcW w:w="4232" w:type="dxa"/>
            <w:shd w:val="clear" w:color="auto" w:fill="244061" w:themeFill="accent1" w:themeFillShade="80"/>
          </w:tcPr>
          <w:p w:rsidR="0086040F" w:rsidRPr="00CC4861" w:rsidP="0061183B" w14:paraId="7B5F0E6E" w14:textId="77777777">
            <w:pPr>
              <w:pStyle w:val="TableHeaderCenter"/>
              <w:rPr>
                <w:rFonts w:eastAsia="Times New Roman" w:asciiTheme="minorHAnsi" w:hAnsiTheme="minorHAnsi" w:cstheme="minorHAnsi"/>
                <w:b/>
                <w:bCs/>
                <w:szCs w:val="20"/>
              </w:rPr>
            </w:pPr>
            <w:r w:rsidRPr="00CC4861">
              <w:rPr>
                <w:rFonts w:eastAsia="Times New Roman" w:asciiTheme="minorHAnsi" w:hAnsiTheme="minorHAnsi" w:cstheme="minorHAnsi"/>
                <w:b/>
                <w:bCs/>
                <w:szCs w:val="20"/>
              </w:rPr>
              <w:t>Affiliation</w:t>
            </w:r>
          </w:p>
        </w:tc>
        <w:tc>
          <w:tcPr>
            <w:tcW w:w="3057" w:type="dxa"/>
            <w:shd w:val="clear" w:color="auto" w:fill="244061" w:themeFill="accent1" w:themeFillShade="80"/>
          </w:tcPr>
          <w:p w:rsidR="0086040F" w:rsidRPr="00CC4861" w:rsidP="0061183B" w14:paraId="08B9808F" w14:textId="77777777">
            <w:pPr>
              <w:pStyle w:val="TableHeaderCenter"/>
              <w:rPr>
                <w:rFonts w:eastAsia="Times New Roman" w:asciiTheme="minorHAnsi" w:hAnsiTheme="minorHAnsi" w:cstheme="minorHAnsi"/>
                <w:b/>
                <w:bCs/>
                <w:szCs w:val="20"/>
              </w:rPr>
            </w:pPr>
            <w:r w:rsidRPr="00CC4861">
              <w:rPr>
                <w:rFonts w:eastAsia="Times New Roman" w:asciiTheme="minorHAnsi" w:hAnsiTheme="minorHAnsi" w:cstheme="minorHAnsi"/>
                <w:b/>
                <w:bCs/>
                <w:szCs w:val="20"/>
              </w:rPr>
              <w:t>Email address</w:t>
            </w:r>
          </w:p>
        </w:tc>
      </w:tr>
      <w:tr w14:paraId="3CE063EC" w14:textId="77777777" w:rsidTr="0061183B">
        <w:tblPrEx>
          <w:tblW w:w="9355" w:type="dxa"/>
          <w:tblLayout w:type="fixed"/>
          <w:tblLook w:val="0400"/>
        </w:tblPrEx>
        <w:trPr>
          <w:trHeight w:val="20"/>
        </w:trPr>
        <w:tc>
          <w:tcPr>
            <w:tcW w:w="2066" w:type="dxa"/>
            <w:tcBorders>
              <w:bottom w:val="single" w:sz="4" w:space="0" w:color="1F497D" w:themeColor="text2"/>
            </w:tcBorders>
            <w:shd w:val="clear" w:color="auto" w:fill="auto"/>
          </w:tcPr>
          <w:p w:rsidR="0086040F" w:rsidRPr="00CC4861" w:rsidP="0061183B" w14:paraId="55241D8B" w14:textId="77777777">
            <w:pPr>
              <w:pStyle w:val="TableTextLeft"/>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Caryn Blitz</w:t>
            </w:r>
          </w:p>
        </w:tc>
        <w:tc>
          <w:tcPr>
            <w:tcW w:w="4232" w:type="dxa"/>
            <w:tcBorders>
              <w:bottom w:val="single" w:sz="4" w:space="0" w:color="1F497D" w:themeColor="text2"/>
            </w:tcBorders>
            <w:shd w:val="clear" w:color="auto" w:fill="auto"/>
          </w:tcPr>
          <w:p w:rsidR="0086040F" w:rsidRPr="00CC4861" w:rsidP="007B0165" w14:paraId="658E46C5" w14:textId="77777777">
            <w:pPr>
              <w:pStyle w:val="TableTextLeft"/>
              <w:spacing w:before="20"/>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Office of Planning, Research, and Evaluation</w:t>
            </w:r>
          </w:p>
          <w:p w:rsidR="0086040F" w:rsidRPr="00CC4861" w:rsidP="007B0165" w14:paraId="1E3DD546" w14:textId="77777777">
            <w:pPr>
              <w:pStyle w:val="TableTextLeft"/>
              <w:spacing w:before="20"/>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Administration for Children and Families</w:t>
            </w:r>
          </w:p>
          <w:p w:rsidR="0086040F" w:rsidRPr="00CC4861" w:rsidP="007B0165" w14:paraId="452BB2E0" w14:textId="77777777">
            <w:pPr>
              <w:pStyle w:val="TableTextLeft"/>
              <w:spacing w:before="20"/>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U.S. Department of Health and Human Services</w:t>
            </w:r>
          </w:p>
        </w:tc>
        <w:tc>
          <w:tcPr>
            <w:tcW w:w="3057" w:type="dxa"/>
            <w:tcBorders>
              <w:bottom w:val="single" w:sz="4" w:space="0" w:color="1F497D" w:themeColor="text2"/>
            </w:tcBorders>
          </w:tcPr>
          <w:p w:rsidR="0086040F" w:rsidRPr="00CC4861" w:rsidP="0061183B" w14:paraId="387A0A0D" w14:textId="77777777">
            <w:pPr>
              <w:pStyle w:val="TableTextLeft"/>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Caryn.Blitz@acf.hhs.gov</w:t>
            </w:r>
          </w:p>
        </w:tc>
      </w:tr>
      <w:tr w14:paraId="3F6D1228" w14:textId="77777777" w:rsidTr="0061183B">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86040F" w:rsidRPr="00CC4861" w:rsidP="0061183B" w14:paraId="07662E5A" w14:textId="77777777">
            <w:pPr>
              <w:pStyle w:val="TableTextLeft"/>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 xml:space="preserve">Tia Brown </w:t>
            </w:r>
          </w:p>
        </w:tc>
        <w:tc>
          <w:tcPr>
            <w:tcW w:w="4232" w:type="dxa"/>
            <w:tcBorders>
              <w:top w:val="single" w:sz="4" w:space="0" w:color="1F497D" w:themeColor="text2"/>
              <w:bottom w:val="single" w:sz="4" w:space="0" w:color="1F497D" w:themeColor="text2"/>
            </w:tcBorders>
            <w:shd w:val="clear" w:color="auto" w:fill="auto"/>
          </w:tcPr>
          <w:p w:rsidR="0086040F" w:rsidRPr="00CC4861" w:rsidP="007B0165" w14:paraId="760CEF76" w14:textId="77777777">
            <w:pPr>
              <w:pStyle w:val="TableTextLeft"/>
              <w:spacing w:before="20"/>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Office of Planning, Research, and Evaluation</w:t>
            </w:r>
          </w:p>
          <w:p w:rsidR="0086040F" w:rsidRPr="00CC4861" w:rsidP="007B0165" w14:paraId="694B679E" w14:textId="77777777">
            <w:pPr>
              <w:pStyle w:val="TableTextLeft"/>
              <w:spacing w:before="20"/>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Administration for Children and Families</w:t>
            </w:r>
          </w:p>
          <w:p w:rsidR="0086040F" w:rsidRPr="00CC4861" w:rsidP="007B0165" w14:paraId="0CD30C04" w14:textId="77777777">
            <w:pPr>
              <w:pStyle w:val="TableTextLeft"/>
              <w:spacing w:before="20"/>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U.S. Department of Health and Human Services</w:t>
            </w:r>
          </w:p>
        </w:tc>
        <w:tc>
          <w:tcPr>
            <w:tcW w:w="3057" w:type="dxa"/>
            <w:tcBorders>
              <w:top w:val="single" w:sz="4" w:space="0" w:color="1F497D" w:themeColor="text2"/>
              <w:bottom w:val="single" w:sz="4" w:space="0" w:color="1F497D" w:themeColor="text2"/>
            </w:tcBorders>
          </w:tcPr>
          <w:p w:rsidR="0086040F" w:rsidRPr="00CC4861" w:rsidP="0061183B" w14:paraId="1780B359" w14:textId="77777777">
            <w:pPr>
              <w:pStyle w:val="TableTextLeft"/>
              <w:rPr>
                <w:rFonts w:eastAsia="Times New Roman" w:asciiTheme="minorHAnsi" w:hAnsiTheme="minorHAnsi" w:cstheme="minorHAnsi"/>
                <w:sz w:val="20"/>
                <w:szCs w:val="20"/>
              </w:rPr>
            </w:pPr>
            <w:hyperlink r:id="rId9" w:history="1">
              <w:r w:rsidRPr="00CC4861">
                <w:rPr>
                  <w:rStyle w:val="Hyperlink"/>
                  <w:rFonts w:eastAsia="Times New Roman" w:asciiTheme="minorHAnsi" w:hAnsiTheme="minorHAnsi" w:cstheme="minorHAnsi"/>
                  <w:color w:val="auto"/>
                  <w:sz w:val="20"/>
                  <w:szCs w:val="20"/>
                  <w:u w:val="none"/>
                </w:rPr>
                <w:t>Tia.Brown@acf.hhs.gov</w:t>
              </w:r>
            </w:hyperlink>
          </w:p>
        </w:tc>
      </w:tr>
      <w:tr w14:paraId="2AD1757D" w14:textId="77777777" w:rsidTr="0061183B">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86040F" w:rsidRPr="00CC4861" w:rsidP="0061183B" w14:paraId="565E648B" w14:textId="77777777">
            <w:pPr>
              <w:pStyle w:val="TableTextLeft"/>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Brian Goesling</w:t>
            </w:r>
          </w:p>
        </w:tc>
        <w:tc>
          <w:tcPr>
            <w:tcW w:w="4232" w:type="dxa"/>
            <w:tcBorders>
              <w:top w:val="single" w:sz="4" w:space="0" w:color="1F497D" w:themeColor="text2"/>
              <w:bottom w:val="single" w:sz="4" w:space="0" w:color="1F497D" w:themeColor="text2"/>
            </w:tcBorders>
            <w:shd w:val="clear" w:color="auto" w:fill="auto"/>
          </w:tcPr>
          <w:p w:rsidR="0086040F" w:rsidRPr="00CC4861" w:rsidP="0061183B" w14:paraId="7E44046E" w14:textId="77777777">
            <w:pPr>
              <w:pStyle w:val="TableTextLeft"/>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Mathematica</w:t>
            </w:r>
          </w:p>
        </w:tc>
        <w:tc>
          <w:tcPr>
            <w:tcW w:w="3057" w:type="dxa"/>
            <w:tcBorders>
              <w:top w:val="single" w:sz="4" w:space="0" w:color="1F497D" w:themeColor="text2"/>
              <w:bottom w:val="single" w:sz="4" w:space="0" w:color="1F497D" w:themeColor="text2"/>
            </w:tcBorders>
          </w:tcPr>
          <w:p w:rsidR="0086040F" w:rsidRPr="00CC4861" w:rsidP="0061183B" w14:paraId="126AEB4C" w14:textId="77777777">
            <w:pPr>
              <w:pStyle w:val="TableTextLeft"/>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bgoesling@mathematica-mpr.com</w:t>
            </w:r>
          </w:p>
        </w:tc>
      </w:tr>
      <w:tr w14:paraId="0491D5B6" w14:textId="77777777" w:rsidTr="0061183B">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86040F" w:rsidRPr="00CC4861" w:rsidP="0061183B" w14:paraId="4094FCB3" w14:textId="77777777">
            <w:pPr>
              <w:pStyle w:val="TableTextLeft"/>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Lara Hulsey</w:t>
            </w:r>
          </w:p>
        </w:tc>
        <w:tc>
          <w:tcPr>
            <w:tcW w:w="4232" w:type="dxa"/>
            <w:tcBorders>
              <w:top w:val="single" w:sz="4" w:space="0" w:color="1F497D" w:themeColor="text2"/>
              <w:bottom w:val="single" w:sz="4" w:space="0" w:color="1F497D" w:themeColor="text2"/>
            </w:tcBorders>
            <w:shd w:val="clear" w:color="auto" w:fill="auto"/>
          </w:tcPr>
          <w:p w:rsidR="0086040F" w:rsidRPr="00CC4861" w:rsidP="0061183B" w14:paraId="2EAF3306" w14:textId="77777777">
            <w:pPr>
              <w:pStyle w:val="TableTextLeft"/>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Mathematica</w:t>
            </w:r>
          </w:p>
        </w:tc>
        <w:tc>
          <w:tcPr>
            <w:tcW w:w="3057" w:type="dxa"/>
            <w:tcBorders>
              <w:top w:val="single" w:sz="4" w:space="0" w:color="1F497D" w:themeColor="text2"/>
              <w:bottom w:val="single" w:sz="4" w:space="0" w:color="1F497D" w:themeColor="text2"/>
            </w:tcBorders>
          </w:tcPr>
          <w:p w:rsidR="0086040F" w:rsidRPr="00CC4861" w:rsidP="0061183B" w14:paraId="12453869" w14:textId="77777777">
            <w:pPr>
              <w:pStyle w:val="TableTextLeft"/>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lhulsey@mathematica-mpr.com</w:t>
            </w:r>
          </w:p>
        </w:tc>
      </w:tr>
      <w:tr w14:paraId="0C2769E2" w14:textId="77777777" w:rsidTr="0061183B">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86040F" w:rsidRPr="00CC4861" w:rsidP="0061183B" w14:paraId="69C0581E" w14:textId="77777777">
            <w:pPr>
              <w:pStyle w:val="TableTextLeft"/>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Melissa Thomas</w:t>
            </w:r>
          </w:p>
        </w:tc>
        <w:tc>
          <w:tcPr>
            <w:tcW w:w="4232" w:type="dxa"/>
            <w:tcBorders>
              <w:top w:val="single" w:sz="4" w:space="0" w:color="1F497D" w:themeColor="text2"/>
              <w:bottom w:val="single" w:sz="4" w:space="0" w:color="1F497D" w:themeColor="text2"/>
            </w:tcBorders>
            <w:shd w:val="clear" w:color="auto" w:fill="auto"/>
          </w:tcPr>
          <w:p w:rsidR="0086040F" w:rsidRPr="00CC4861" w:rsidP="0061183B" w14:paraId="13016F29" w14:textId="77777777">
            <w:pPr>
              <w:pStyle w:val="TableTextLeft"/>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Mathematica</w:t>
            </w:r>
          </w:p>
        </w:tc>
        <w:tc>
          <w:tcPr>
            <w:tcW w:w="3057" w:type="dxa"/>
            <w:tcBorders>
              <w:top w:val="single" w:sz="4" w:space="0" w:color="1F497D" w:themeColor="text2"/>
              <w:bottom w:val="single" w:sz="4" w:space="0" w:color="1F497D" w:themeColor="text2"/>
            </w:tcBorders>
          </w:tcPr>
          <w:p w:rsidR="0086040F" w:rsidRPr="00CC4861" w:rsidP="0061183B" w14:paraId="39123FD4" w14:textId="77777777">
            <w:pPr>
              <w:pStyle w:val="TableTextLeft"/>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mthomas@mathematica-mpr.com</w:t>
            </w:r>
          </w:p>
        </w:tc>
      </w:tr>
      <w:tr w14:paraId="59A73969" w14:textId="77777777" w:rsidTr="0061183B">
        <w:tblPrEx>
          <w:tblW w:w="9355" w:type="dxa"/>
          <w:tblLayout w:type="fixed"/>
          <w:tblLook w:val="0400"/>
        </w:tblPrEx>
        <w:trPr>
          <w:trHeight w:val="20"/>
        </w:trPr>
        <w:tc>
          <w:tcPr>
            <w:tcW w:w="2066" w:type="dxa"/>
            <w:tcBorders>
              <w:top w:val="single" w:sz="4" w:space="0" w:color="1F497D" w:themeColor="text2"/>
              <w:bottom w:val="single" w:sz="4" w:space="0" w:color="1F497D" w:themeColor="text2"/>
            </w:tcBorders>
            <w:shd w:val="clear" w:color="auto" w:fill="auto"/>
          </w:tcPr>
          <w:p w:rsidR="0086040F" w:rsidRPr="00CC4861" w:rsidP="0061183B" w14:paraId="5F15A99D" w14:textId="77777777">
            <w:pPr>
              <w:pStyle w:val="TableTextLeft"/>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Maya Reid</w:t>
            </w:r>
          </w:p>
        </w:tc>
        <w:tc>
          <w:tcPr>
            <w:tcW w:w="4232" w:type="dxa"/>
            <w:tcBorders>
              <w:top w:val="single" w:sz="4" w:space="0" w:color="1F497D" w:themeColor="text2"/>
              <w:bottom w:val="single" w:sz="4" w:space="0" w:color="1F497D" w:themeColor="text2"/>
            </w:tcBorders>
            <w:shd w:val="clear" w:color="auto" w:fill="auto"/>
          </w:tcPr>
          <w:p w:rsidR="0086040F" w:rsidRPr="00CC4861" w:rsidP="0061183B" w14:paraId="5D18D3CF" w14:textId="77777777">
            <w:pPr>
              <w:pStyle w:val="TableTextLeft"/>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Mathematica</w:t>
            </w:r>
          </w:p>
        </w:tc>
        <w:tc>
          <w:tcPr>
            <w:tcW w:w="3057" w:type="dxa"/>
            <w:tcBorders>
              <w:top w:val="single" w:sz="4" w:space="0" w:color="1F497D" w:themeColor="text2"/>
              <w:bottom w:val="single" w:sz="4" w:space="0" w:color="1F497D" w:themeColor="text2"/>
            </w:tcBorders>
          </w:tcPr>
          <w:p w:rsidR="0086040F" w:rsidRPr="00CC4861" w:rsidP="0061183B" w14:paraId="1C829BFF" w14:textId="77777777">
            <w:pPr>
              <w:pStyle w:val="TableTextLeft"/>
              <w:rPr>
                <w:rFonts w:eastAsia="Times New Roman" w:asciiTheme="minorHAnsi" w:hAnsiTheme="minorHAnsi" w:cstheme="minorHAnsi"/>
                <w:sz w:val="20"/>
                <w:szCs w:val="20"/>
              </w:rPr>
            </w:pPr>
            <w:r w:rsidRPr="00CC4861">
              <w:rPr>
                <w:rFonts w:eastAsia="Times New Roman" w:asciiTheme="minorHAnsi" w:hAnsiTheme="minorHAnsi" w:cstheme="minorHAnsi"/>
                <w:sz w:val="20"/>
                <w:szCs w:val="20"/>
              </w:rPr>
              <w:t>mreid@mathematica-mpr.com</w:t>
            </w:r>
          </w:p>
        </w:tc>
      </w:tr>
    </w:tbl>
    <w:p w:rsidR="0086040F" w:rsidRPr="00CC4861" w:rsidP="0086040F" w14:paraId="1E7AD7B9" w14:textId="77777777">
      <w:pPr>
        <w:spacing w:after="0" w:line="240" w:lineRule="auto"/>
        <w:rPr>
          <w:rFonts w:cstheme="minorHAnsi"/>
          <w:b/>
        </w:rPr>
      </w:pPr>
    </w:p>
    <w:p w:rsidR="0086040F" w:rsidRPr="00CC4861" w:rsidP="0086040F" w14:paraId="69B2965E" w14:textId="77777777">
      <w:pPr>
        <w:spacing w:after="120" w:line="240" w:lineRule="auto"/>
        <w:rPr>
          <w:rFonts w:cstheme="minorHAnsi"/>
          <w:b/>
        </w:rPr>
      </w:pPr>
      <w:r w:rsidRPr="00CC4861">
        <w:rPr>
          <w:rFonts w:cstheme="minorHAnsi"/>
          <w:b/>
        </w:rPr>
        <w:t>Attachments</w:t>
      </w:r>
    </w:p>
    <w:p w:rsidR="0086040F" w:rsidRPr="00CC4861" w:rsidP="0086040F" w14:paraId="1D450B26" w14:textId="14868280">
      <w:pPr>
        <w:spacing w:after="120" w:line="240" w:lineRule="auto"/>
        <w:rPr>
          <w:rFonts w:cstheme="minorHAnsi"/>
        </w:rPr>
      </w:pPr>
      <w:r w:rsidRPr="00CC4861">
        <w:rPr>
          <w:rFonts w:cstheme="minorHAnsi"/>
        </w:rPr>
        <w:t xml:space="preserve">Appendix A: </w:t>
      </w:r>
      <w:r w:rsidR="008E1150">
        <w:t>Email recruitment and reminders</w:t>
      </w:r>
    </w:p>
    <w:p w:rsidR="00083227" w:rsidRPr="00CC4861" w:rsidP="00CC4861" w14:paraId="1E574BF6" w14:textId="59290E96">
      <w:pPr>
        <w:spacing w:after="120" w:line="240" w:lineRule="auto"/>
        <w:rPr>
          <w:rFonts w:cstheme="minorHAnsi"/>
        </w:rPr>
      </w:pPr>
      <w:r w:rsidRPr="00CC4861">
        <w:rPr>
          <w:rFonts w:cstheme="minorHAnsi"/>
        </w:rPr>
        <w:t xml:space="preserve">Instrument 1: Grant Recipient Focus Group Discussion Protocol </w:t>
      </w:r>
    </w:p>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5A43A2A8">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6742" w:rsidP="0004063C" w14:paraId="2C984267" w14:textId="77777777">
      <w:pPr>
        <w:spacing w:after="0" w:line="240" w:lineRule="auto"/>
      </w:pPr>
      <w:r>
        <w:separator/>
      </w:r>
    </w:p>
  </w:footnote>
  <w:footnote w:type="continuationSeparator" w:id="1">
    <w:p w:rsidR="00F26742" w:rsidP="0004063C" w14:paraId="502E7B85" w14:textId="77777777">
      <w:pPr>
        <w:spacing w:after="0" w:line="240" w:lineRule="auto"/>
      </w:pPr>
      <w:r>
        <w:continuationSeparator/>
      </w:r>
    </w:p>
  </w:footnote>
  <w:footnote w:id="2">
    <w:p w:rsidR="008D1997" w14:paraId="62FE5E12" w14:textId="1AD2D95E">
      <w:pPr>
        <w:pStyle w:val="FootnoteText"/>
      </w:pPr>
      <w:r>
        <w:rPr>
          <w:rStyle w:val="FootnoteReference"/>
        </w:rPr>
        <w:footnoteRef/>
      </w:r>
      <w:r>
        <w:t xml:space="preserve"> </w:t>
      </w:r>
      <w:r>
        <w:rPr>
          <w:rFonts w:eastAsia="Times New Roman" w:cs="Times New Roman"/>
          <w:bCs/>
          <w:szCs w:val="24"/>
        </w:rPr>
        <w:t xml:space="preserve">The </w:t>
      </w:r>
      <w:r w:rsidRPr="000F548B">
        <w:rPr>
          <w:rFonts w:eastAsia="Times New Roman" w:cs="Times New Roman"/>
          <w:bCs/>
          <w:szCs w:val="24"/>
        </w:rPr>
        <w:t>PREP</w:t>
      </w:r>
      <w:r>
        <w:rPr>
          <w:rFonts w:eastAsia="Times New Roman" w:cs="Times New Roman"/>
          <w:szCs w:val="24"/>
        </w:rPr>
        <w:t xml:space="preserve"> Performance Measures (OMB #: 0970-0497)</w:t>
      </w:r>
      <w:r w:rsidR="003741C6">
        <w:rPr>
          <w:rFonts w:eastAsia="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5DA" w:rsidRPr="000D7D44" w:rsidP="00DF15DA" w14:paraId="26655770" w14:textId="77777777">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rsidR="00DF15DA" w:rsidRPr="00DF15DA" w:rsidP="00DF15DA" w14:paraId="26590F82" w14:textId="7315F179">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3E7B3A"/>
    <w:multiLevelType w:val="hybridMultilevel"/>
    <w:tmpl w:val="69BE1AFA"/>
    <w:lvl w:ilvl="0">
      <w:start w:val="202"/>
      <w:numFmt w:val="bullet"/>
      <w:lvlText w:val="-"/>
      <w:lvlJc w:val="left"/>
      <w:pPr>
        <w:ind w:left="360" w:hanging="360"/>
      </w:pPr>
      <w:rPr>
        <w:rFonts w:ascii="Calibri" w:eastAsia="Times New Roman" w:hAnsi="Calibri" w:cs="Calibri" w:hint="default"/>
        <w:sz w:val="20"/>
      </w:rPr>
    </w:lvl>
    <w:lvl w:ilvl="1">
      <w:start w:val="1"/>
      <w:numFmt w:val="lowerRoman"/>
      <w:lvlText w:val="%2."/>
      <w:lvlJc w:val="righ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05720709">
    <w:abstractNumId w:val="5"/>
  </w:num>
  <w:num w:numId="2" w16cid:durableId="1873031439">
    <w:abstractNumId w:val="16"/>
  </w:num>
  <w:num w:numId="3" w16cid:durableId="2003316694">
    <w:abstractNumId w:val="4"/>
  </w:num>
  <w:num w:numId="4" w16cid:durableId="190000306">
    <w:abstractNumId w:val="21"/>
  </w:num>
  <w:num w:numId="5" w16cid:durableId="778911079">
    <w:abstractNumId w:val="13"/>
  </w:num>
  <w:num w:numId="6" w16cid:durableId="1786192877">
    <w:abstractNumId w:val="26"/>
  </w:num>
  <w:num w:numId="7" w16cid:durableId="1176115779">
    <w:abstractNumId w:val="3"/>
  </w:num>
  <w:num w:numId="8" w16cid:durableId="769816330">
    <w:abstractNumId w:val="8"/>
  </w:num>
  <w:num w:numId="9" w16cid:durableId="1233857812">
    <w:abstractNumId w:val="12"/>
  </w:num>
  <w:num w:numId="10" w16cid:durableId="536548084">
    <w:abstractNumId w:val="25"/>
  </w:num>
  <w:num w:numId="11" w16cid:durableId="189150491">
    <w:abstractNumId w:val="28"/>
  </w:num>
  <w:num w:numId="12" w16cid:durableId="884175677">
    <w:abstractNumId w:val="23"/>
  </w:num>
  <w:num w:numId="13" w16cid:durableId="2135828205">
    <w:abstractNumId w:val="20"/>
  </w:num>
  <w:num w:numId="14" w16cid:durableId="1554199695">
    <w:abstractNumId w:val="24"/>
  </w:num>
  <w:num w:numId="15" w16cid:durableId="365297689">
    <w:abstractNumId w:val="14"/>
  </w:num>
  <w:num w:numId="16" w16cid:durableId="517424439">
    <w:abstractNumId w:val="19"/>
  </w:num>
  <w:num w:numId="17" w16cid:durableId="1737850542">
    <w:abstractNumId w:val="10"/>
  </w:num>
  <w:num w:numId="18" w16cid:durableId="1581527637">
    <w:abstractNumId w:val="7"/>
  </w:num>
  <w:num w:numId="19" w16cid:durableId="1096292184">
    <w:abstractNumId w:val="6"/>
  </w:num>
  <w:num w:numId="20" w16cid:durableId="450251027">
    <w:abstractNumId w:val="18"/>
  </w:num>
  <w:num w:numId="21" w16cid:durableId="1667130209">
    <w:abstractNumId w:val="0"/>
  </w:num>
  <w:num w:numId="22" w16cid:durableId="102923877">
    <w:abstractNumId w:val="1"/>
  </w:num>
  <w:num w:numId="23" w16cid:durableId="1975210353">
    <w:abstractNumId w:val="15"/>
  </w:num>
  <w:num w:numId="24" w16cid:durableId="455804490">
    <w:abstractNumId w:val="2"/>
  </w:num>
  <w:num w:numId="25" w16cid:durableId="432556235">
    <w:abstractNumId w:val="9"/>
  </w:num>
  <w:num w:numId="26" w16cid:durableId="723334253">
    <w:abstractNumId w:val="17"/>
  </w:num>
  <w:num w:numId="27" w16cid:durableId="677344114">
    <w:abstractNumId w:val="11"/>
  </w:num>
  <w:num w:numId="28" w16cid:durableId="391125213">
    <w:abstractNumId w:val="27"/>
  </w:num>
  <w:num w:numId="29" w16cid:durableId="371465937">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DateAndTime/>
  <w:proofState w:spelling="clean" w:grammar="clean"/>
  <w:revisionView w:comments="1" w:formatting="1" w:inkAnnotations="0" w:insDel="1" w:markup="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1A73"/>
    <w:rsid w:val="0001255D"/>
    <w:rsid w:val="00027E79"/>
    <w:rsid w:val="0004063C"/>
    <w:rsid w:val="0004247F"/>
    <w:rsid w:val="00043354"/>
    <w:rsid w:val="00060C59"/>
    <w:rsid w:val="00062AFB"/>
    <w:rsid w:val="000655DD"/>
    <w:rsid w:val="00071F79"/>
    <w:rsid w:val="0007251B"/>
    <w:rsid w:val="000733A5"/>
    <w:rsid w:val="00076276"/>
    <w:rsid w:val="00082C5B"/>
    <w:rsid w:val="00083227"/>
    <w:rsid w:val="00086CBE"/>
    <w:rsid w:val="00090812"/>
    <w:rsid w:val="000921F0"/>
    <w:rsid w:val="000A012A"/>
    <w:rsid w:val="000A12BB"/>
    <w:rsid w:val="000C709B"/>
    <w:rsid w:val="000D10F1"/>
    <w:rsid w:val="000D4E9A"/>
    <w:rsid w:val="000D61D4"/>
    <w:rsid w:val="000D7942"/>
    <w:rsid w:val="000D7D44"/>
    <w:rsid w:val="000F1E4A"/>
    <w:rsid w:val="000F548B"/>
    <w:rsid w:val="00100D34"/>
    <w:rsid w:val="00102CF6"/>
    <w:rsid w:val="00103EFD"/>
    <w:rsid w:val="00107D87"/>
    <w:rsid w:val="001253F4"/>
    <w:rsid w:val="00157482"/>
    <w:rsid w:val="00165818"/>
    <w:rsid w:val="001707D8"/>
    <w:rsid w:val="001B0A76"/>
    <w:rsid w:val="001B6E1A"/>
    <w:rsid w:val="001F57F5"/>
    <w:rsid w:val="0020401C"/>
    <w:rsid w:val="0020629A"/>
    <w:rsid w:val="00206E11"/>
    <w:rsid w:val="00206FE3"/>
    <w:rsid w:val="00207554"/>
    <w:rsid w:val="00211261"/>
    <w:rsid w:val="00214150"/>
    <w:rsid w:val="002517BB"/>
    <w:rsid w:val="00256E24"/>
    <w:rsid w:val="00265491"/>
    <w:rsid w:val="00276CE2"/>
    <w:rsid w:val="00287AF1"/>
    <w:rsid w:val="002947EB"/>
    <w:rsid w:val="002A41C6"/>
    <w:rsid w:val="002B785B"/>
    <w:rsid w:val="002C4F75"/>
    <w:rsid w:val="002E6CCF"/>
    <w:rsid w:val="002F33D0"/>
    <w:rsid w:val="00300722"/>
    <w:rsid w:val="0030316D"/>
    <w:rsid w:val="003147AF"/>
    <w:rsid w:val="00373D2F"/>
    <w:rsid w:val="003741C6"/>
    <w:rsid w:val="00382109"/>
    <w:rsid w:val="00391DBF"/>
    <w:rsid w:val="003A7774"/>
    <w:rsid w:val="003B0287"/>
    <w:rsid w:val="003C7358"/>
    <w:rsid w:val="003E61F6"/>
    <w:rsid w:val="003F0D93"/>
    <w:rsid w:val="00407537"/>
    <w:rsid w:val="004165BD"/>
    <w:rsid w:val="0042220D"/>
    <w:rsid w:val="00422E8B"/>
    <w:rsid w:val="0043377A"/>
    <w:rsid w:val="004379B6"/>
    <w:rsid w:val="004410A1"/>
    <w:rsid w:val="0044428E"/>
    <w:rsid w:val="00446465"/>
    <w:rsid w:val="00460D54"/>
    <w:rsid w:val="00461D3E"/>
    <w:rsid w:val="004706CC"/>
    <w:rsid w:val="0047328C"/>
    <w:rsid w:val="00487654"/>
    <w:rsid w:val="004B75AC"/>
    <w:rsid w:val="004C3644"/>
    <w:rsid w:val="004D12DD"/>
    <w:rsid w:val="004E5778"/>
    <w:rsid w:val="004E7ED8"/>
    <w:rsid w:val="004F541B"/>
    <w:rsid w:val="0050376D"/>
    <w:rsid w:val="00512C25"/>
    <w:rsid w:val="005302CB"/>
    <w:rsid w:val="0055434C"/>
    <w:rsid w:val="00585548"/>
    <w:rsid w:val="00591283"/>
    <w:rsid w:val="005A61CE"/>
    <w:rsid w:val="005A7E5A"/>
    <w:rsid w:val="005B1285"/>
    <w:rsid w:val="005B1410"/>
    <w:rsid w:val="005B431B"/>
    <w:rsid w:val="005C7E12"/>
    <w:rsid w:val="005D4A40"/>
    <w:rsid w:val="005E2CA9"/>
    <w:rsid w:val="005E493B"/>
    <w:rsid w:val="005F0303"/>
    <w:rsid w:val="005F2951"/>
    <w:rsid w:val="005F737A"/>
    <w:rsid w:val="0061183B"/>
    <w:rsid w:val="00621A85"/>
    <w:rsid w:val="00624DDC"/>
    <w:rsid w:val="006253B6"/>
    <w:rsid w:val="006257ED"/>
    <w:rsid w:val="0062686E"/>
    <w:rsid w:val="00630B30"/>
    <w:rsid w:val="006345D7"/>
    <w:rsid w:val="00651FF6"/>
    <w:rsid w:val="0068303E"/>
    <w:rsid w:val="0068383E"/>
    <w:rsid w:val="006A4D02"/>
    <w:rsid w:val="006B1BF9"/>
    <w:rsid w:val="006B31DA"/>
    <w:rsid w:val="006B53F1"/>
    <w:rsid w:val="006B6037"/>
    <w:rsid w:val="006C0E56"/>
    <w:rsid w:val="006D3C83"/>
    <w:rsid w:val="006E00D7"/>
    <w:rsid w:val="006E4F82"/>
    <w:rsid w:val="00717BDC"/>
    <w:rsid w:val="0072072F"/>
    <w:rsid w:val="00723A28"/>
    <w:rsid w:val="00730B58"/>
    <w:rsid w:val="00736B62"/>
    <w:rsid w:val="007544B6"/>
    <w:rsid w:val="0076251A"/>
    <w:rsid w:val="00764C85"/>
    <w:rsid w:val="00770E40"/>
    <w:rsid w:val="007733D5"/>
    <w:rsid w:val="007935A6"/>
    <w:rsid w:val="00793E3E"/>
    <w:rsid w:val="00795F60"/>
    <w:rsid w:val="007A29C5"/>
    <w:rsid w:val="007B0165"/>
    <w:rsid w:val="007B53CC"/>
    <w:rsid w:val="007B6CA2"/>
    <w:rsid w:val="007B6FFF"/>
    <w:rsid w:val="007C133A"/>
    <w:rsid w:val="007C2EE0"/>
    <w:rsid w:val="007C7B4B"/>
    <w:rsid w:val="007F4A77"/>
    <w:rsid w:val="007F7A0D"/>
    <w:rsid w:val="00823428"/>
    <w:rsid w:val="008369BA"/>
    <w:rsid w:val="00840D32"/>
    <w:rsid w:val="00843933"/>
    <w:rsid w:val="00850F4C"/>
    <w:rsid w:val="0086040F"/>
    <w:rsid w:val="00864C1F"/>
    <w:rsid w:val="00870FA1"/>
    <w:rsid w:val="008737FA"/>
    <w:rsid w:val="00875220"/>
    <w:rsid w:val="008813EA"/>
    <w:rsid w:val="00891CD9"/>
    <w:rsid w:val="008B390E"/>
    <w:rsid w:val="008D105A"/>
    <w:rsid w:val="008D1997"/>
    <w:rsid w:val="008D3E97"/>
    <w:rsid w:val="008E0239"/>
    <w:rsid w:val="008E1150"/>
    <w:rsid w:val="008E4718"/>
    <w:rsid w:val="008F2446"/>
    <w:rsid w:val="00901040"/>
    <w:rsid w:val="00923F25"/>
    <w:rsid w:val="00943BDF"/>
    <w:rsid w:val="009460A4"/>
    <w:rsid w:val="00963503"/>
    <w:rsid w:val="00963BE5"/>
    <w:rsid w:val="00965DBD"/>
    <w:rsid w:val="00971944"/>
    <w:rsid w:val="009815C6"/>
    <w:rsid w:val="00996201"/>
    <w:rsid w:val="009A39E1"/>
    <w:rsid w:val="009A3AD8"/>
    <w:rsid w:val="009A6EE8"/>
    <w:rsid w:val="009B0F58"/>
    <w:rsid w:val="009B3DFB"/>
    <w:rsid w:val="009C3380"/>
    <w:rsid w:val="009E7E38"/>
    <w:rsid w:val="009F265B"/>
    <w:rsid w:val="009F482C"/>
    <w:rsid w:val="009F68DB"/>
    <w:rsid w:val="00A03E3F"/>
    <w:rsid w:val="00A1108E"/>
    <w:rsid w:val="00A27CD0"/>
    <w:rsid w:val="00A362B6"/>
    <w:rsid w:val="00A464DD"/>
    <w:rsid w:val="00A517F3"/>
    <w:rsid w:val="00A67DFF"/>
    <w:rsid w:val="00A71475"/>
    <w:rsid w:val="00A714DC"/>
    <w:rsid w:val="00A7179C"/>
    <w:rsid w:val="00A73220"/>
    <w:rsid w:val="00A761CB"/>
    <w:rsid w:val="00A76E32"/>
    <w:rsid w:val="00A83837"/>
    <w:rsid w:val="00A85701"/>
    <w:rsid w:val="00AA3DF8"/>
    <w:rsid w:val="00AD0344"/>
    <w:rsid w:val="00AD3261"/>
    <w:rsid w:val="00AD4355"/>
    <w:rsid w:val="00AE3F5F"/>
    <w:rsid w:val="00AF04E2"/>
    <w:rsid w:val="00B020B1"/>
    <w:rsid w:val="00B13297"/>
    <w:rsid w:val="00B13DC4"/>
    <w:rsid w:val="00B1699B"/>
    <w:rsid w:val="00B17B7C"/>
    <w:rsid w:val="00B20DD1"/>
    <w:rsid w:val="00B23277"/>
    <w:rsid w:val="00B245AD"/>
    <w:rsid w:val="00B3652D"/>
    <w:rsid w:val="00B4182B"/>
    <w:rsid w:val="00B528C0"/>
    <w:rsid w:val="00B55E54"/>
    <w:rsid w:val="00B56589"/>
    <w:rsid w:val="00B64D05"/>
    <w:rsid w:val="00B70460"/>
    <w:rsid w:val="00B73EA6"/>
    <w:rsid w:val="00B9441B"/>
    <w:rsid w:val="00B96EE7"/>
    <w:rsid w:val="00B97F5D"/>
    <w:rsid w:val="00BB2925"/>
    <w:rsid w:val="00BB4BF8"/>
    <w:rsid w:val="00BD702B"/>
    <w:rsid w:val="00BD7B78"/>
    <w:rsid w:val="00BE371B"/>
    <w:rsid w:val="00BE773B"/>
    <w:rsid w:val="00C05352"/>
    <w:rsid w:val="00C308D0"/>
    <w:rsid w:val="00C32404"/>
    <w:rsid w:val="00C73360"/>
    <w:rsid w:val="00C74AAB"/>
    <w:rsid w:val="00C86CB2"/>
    <w:rsid w:val="00C91C71"/>
    <w:rsid w:val="00C95126"/>
    <w:rsid w:val="00CA72A5"/>
    <w:rsid w:val="00CC07BF"/>
    <w:rsid w:val="00CC4651"/>
    <w:rsid w:val="00CC4861"/>
    <w:rsid w:val="00CE018E"/>
    <w:rsid w:val="00CE7A4A"/>
    <w:rsid w:val="00CF315D"/>
    <w:rsid w:val="00D1343F"/>
    <w:rsid w:val="00D13AA8"/>
    <w:rsid w:val="00D13EB6"/>
    <w:rsid w:val="00D239B5"/>
    <w:rsid w:val="00D32B72"/>
    <w:rsid w:val="00D4033C"/>
    <w:rsid w:val="00D45504"/>
    <w:rsid w:val="00D51337"/>
    <w:rsid w:val="00D5346A"/>
    <w:rsid w:val="00D55767"/>
    <w:rsid w:val="00D71BA0"/>
    <w:rsid w:val="00D749DF"/>
    <w:rsid w:val="00D82755"/>
    <w:rsid w:val="00D82E67"/>
    <w:rsid w:val="00D831AC"/>
    <w:rsid w:val="00D87E19"/>
    <w:rsid w:val="00D963A2"/>
    <w:rsid w:val="00D97926"/>
    <w:rsid w:val="00DA2239"/>
    <w:rsid w:val="00DA3377"/>
    <w:rsid w:val="00DA3557"/>
    <w:rsid w:val="00DA4701"/>
    <w:rsid w:val="00DC3C44"/>
    <w:rsid w:val="00DC65F2"/>
    <w:rsid w:val="00DC7876"/>
    <w:rsid w:val="00DC7DD5"/>
    <w:rsid w:val="00DE3ED7"/>
    <w:rsid w:val="00DF0651"/>
    <w:rsid w:val="00DF1291"/>
    <w:rsid w:val="00DF15DA"/>
    <w:rsid w:val="00E000EC"/>
    <w:rsid w:val="00E1392C"/>
    <w:rsid w:val="00E22AC6"/>
    <w:rsid w:val="00E24830"/>
    <w:rsid w:val="00E318A6"/>
    <w:rsid w:val="00E41C62"/>
    <w:rsid w:val="00E41EE9"/>
    <w:rsid w:val="00E461D4"/>
    <w:rsid w:val="00E62285"/>
    <w:rsid w:val="00E62819"/>
    <w:rsid w:val="00E70343"/>
    <w:rsid w:val="00E71E25"/>
    <w:rsid w:val="00E72A72"/>
    <w:rsid w:val="00E75D57"/>
    <w:rsid w:val="00E80588"/>
    <w:rsid w:val="00E9045F"/>
    <w:rsid w:val="00EA0D4F"/>
    <w:rsid w:val="00EA2D80"/>
    <w:rsid w:val="00EA405B"/>
    <w:rsid w:val="00EB4C26"/>
    <w:rsid w:val="00EB6134"/>
    <w:rsid w:val="00EC1A6C"/>
    <w:rsid w:val="00ED7509"/>
    <w:rsid w:val="00EE3651"/>
    <w:rsid w:val="00EE38AF"/>
    <w:rsid w:val="00EF254B"/>
    <w:rsid w:val="00EF4FF2"/>
    <w:rsid w:val="00F071DE"/>
    <w:rsid w:val="00F26742"/>
    <w:rsid w:val="00F42246"/>
    <w:rsid w:val="00F6124E"/>
    <w:rsid w:val="00F74630"/>
    <w:rsid w:val="00F85D35"/>
    <w:rsid w:val="00F862E6"/>
    <w:rsid w:val="00F9122A"/>
    <w:rsid w:val="00F917E5"/>
    <w:rsid w:val="00FA24BB"/>
    <w:rsid w:val="00FA6D2C"/>
    <w:rsid w:val="00FB5BF6"/>
    <w:rsid w:val="00FC779A"/>
    <w:rsid w:val="00FF5C51"/>
    <w:rsid w:val="5E3EE6FC"/>
    <w:rsid w:val="645347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customStyle="1" w:styleId="cf01">
    <w:name w:val="cf01"/>
    <w:basedOn w:val="DefaultParagraphFont"/>
    <w:rsid w:val="00D963A2"/>
    <w:rPr>
      <w:rFonts w:ascii="Segoe UI" w:hAnsi="Segoe UI" w:cs="Segoe UI" w:hint="default"/>
      <w:sz w:val="18"/>
      <w:szCs w:val="18"/>
    </w:rPr>
  </w:style>
  <w:style w:type="paragraph" w:customStyle="1" w:styleId="pf0">
    <w:name w:val="pf0"/>
    <w:basedOn w:val="Normal"/>
    <w:rsid w:val="008604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extLeft">
    <w:name w:val="Table Text Left"/>
    <w:qFormat/>
    <w:rsid w:val="0086040F"/>
    <w:pPr>
      <w:spacing w:before="40" w:after="20" w:line="264" w:lineRule="auto"/>
    </w:pPr>
    <w:rPr>
      <w:rFonts w:asciiTheme="majorHAnsi" w:hAnsiTheme="majorHAnsi"/>
      <w:color w:val="000000" w:themeColor="text1"/>
      <w:sz w:val="18"/>
    </w:rPr>
  </w:style>
  <w:style w:type="paragraph" w:customStyle="1" w:styleId="TableHeaderCenter">
    <w:name w:val="Table Header Center"/>
    <w:basedOn w:val="TableTextLeft"/>
    <w:qFormat/>
    <w:rsid w:val="0086040F"/>
    <w:pPr>
      <w:keepNext/>
      <w:jc w:val="center"/>
    </w:pPr>
    <w:rPr>
      <w:color w:val="FFFFFF" w:themeColor="background1"/>
      <w:sz w:val="20"/>
    </w:rPr>
  </w:style>
  <w:style w:type="paragraph" w:customStyle="1" w:styleId="TableTitle">
    <w:name w:val="Table Title"/>
    <w:basedOn w:val="Normal"/>
    <w:qFormat/>
    <w:rsid w:val="0086040F"/>
    <w:pPr>
      <w:keepNext/>
      <w:keepLines/>
      <w:spacing w:before="40" w:after="40" w:line="264" w:lineRule="auto"/>
    </w:pPr>
    <w:rPr>
      <w:rFonts w:asciiTheme="majorHAnsi" w:hAnsiTheme="majorHAnsi"/>
      <w:b/>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Tia.Brown@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e301e7ed-3d1a-4b1f-91c2-122a52aaf74c"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2C021DCE56A64F805BFA31C3621A54" ma:contentTypeVersion="18" ma:contentTypeDescription="Create a new document." ma:contentTypeScope="" ma:versionID="7bf80492d8cd903737e73e498f6be184">
  <xsd:schema xmlns:xsd="http://www.w3.org/2001/XMLSchema" xmlns:xs="http://www.w3.org/2001/XMLSchema" xmlns:p="http://schemas.microsoft.com/office/2006/metadata/properties" xmlns:ns1="http://schemas.microsoft.com/sharepoint/v3" xmlns:ns3="e301e7ed-3d1a-4b1f-91c2-122a52aaf74c" xmlns:ns4="a8b7cd30-d77e-4993-8fd1-0e48b56894b3" targetNamespace="http://schemas.microsoft.com/office/2006/metadata/properties" ma:root="true" ma:fieldsID="4ced4ba7447b9a737fe39cfcb2a57ea1" ns1:_="" ns3:_="" ns4:_="">
    <xsd:import namespace="http://schemas.microsoft.com/sharepoint/v3"/>
    <xsd:import namespace="e301e7ed-3d1a-4b1f-91c2-122a52aaf74c"/>
    <xsd:import namespace="a8b7cd30-d77e-4993-8fd1-0e48b56894b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1e7ed-3d1a-4b1f-91c2-122a52aaf7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7cd30-d77e-4993-8fd1-0e48b56894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A195F67-6CB8-466D-AB52-5F8C165C2C09}">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e301e7ed-3d1a-4b1f-91c2-122a52aaf74c"/>
    <ds:schemaRef ds:uri="http://schemas.openxmlformats.org/package/2006/metadata/core-properties"/>
    <ds:schemaRef ds:uri="http://purl.org/dc/terms/"/>
    <ds:schemaRef ds:uri="a8b7cd30-d77e-4993-8fd1-0e48b56894b3"/>
    <ds:schemaRef ds:uri="http://www.w3.org/XML/1998/namespace"/>
    <ds:schemaRef ds:uri="http://purl.org/dc/dcmitype/"/>
  </ds:schemaRefs>
</ds:datastoreItem>
</file>

<file path=customXml/itemProps4.xml><?xml version="1.0" encoding="utf-8"?>
<ds:datastoreItem xmlns:ds="http://schemas.openxmlformats.org/officeDocument/2006/customXml" ds:itemID="{5DCFE79F-5FB7-4F58-AC5F-4AFD0CB93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1e7ed-3d1a-4b1f-91c2-122a52aaf74c"/>
    <ds:schemaRef ds:uri="a8b7cd30-d77e-4993-8fd1-0e48b5689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Blitz, Caryn (ACF)</dc:creator>
  <cp:lastModifiedBy>Lara Hulsey</cp:lastModifiedBy>
  <cp:revision>3</cp:revision>
  <dcterms:created xsi:type="dcterms:W3CDTF">2024-09-16T17:39:00Z</dcterms:created>
  <dcterms:modified xsi:type="dcterms:W3CDTF">2024-09-16T17:40:00Z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0x010100C32C021DCE56A64F805BFA31C3621A54</vt:lpwstr>
  </property>
</Properties>
</file>