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5103" w:rsidRPr="00C82916" w14:paraId="33B92451" w14:textId="032958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C82916">
        <w:rPr>
          <w:b/>
          <w:bCs/>
          <w:sz w:val="32"/>
          <w:szCs w:val="32"/>
        </w:rPr>
        <w:t xml:space="preserve">Supporting Statement </w:t>
      </w:r>
      <w:r w:rsidRPr="00C82916" w:rsidR="007851E9">
        <w:rPr>
          <w:b/>
          <w:bCs/>
          <w:sz w:val="32"/>
          <w:szCs w:val="32"/>
        </w:rPr>
        <w:t>A</w:t>
      </w:r>
    </w:p>
    <w:p w:rsidR="009B359F" w:rsidRPr="00C82916" w14:paraId="60B312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Pr="00C82916" w14:paraId="50E68CA9" w14:textId="4788E7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182751">
        <w:rPr>
          <w:b/>
          <w:bCs/>
          <w:sz w:val="32"/>
          <w:szCs w:val="32"/>
        </w:rPr>
        <w:t>Education Contracts under the Johnson-O'Malley Act</w:t>
      </w:r>
      <w:r w:rsidRPr="00C82916" w:rsidR="00791C66">
        <w:rPr>
          <w:b/>
          <w:bCs/>
          <w:sz w:val="32"/>
          <w:szCs w:val="32"/>
        </w:rPr>
        <w:t>, 25 CFR 273</w:t>
      </w:r>
    </w:p>
    <w:p w:rsidR="00295103" w:rsidRPr="00C82916" w14:paraId="37AEFE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Pr="00C82916" w:rsidP="009B359F" w14:paraId="4F784630" w14:textId="56C76A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C82916">
        <w:rPr>
          <w:b/>
          <w:bCs/>
          <w:sz w:val="32"/>
          <w:szCs w:val="32"/>
        </w:rPr>
        <w:t xml:space="preserve">OMB Control Number </w:t>
      </w:r>
      <w:r w:rsidRPr="00C82916" w:rsidR="00F86C76">
        <w:rPr>
          <w:b/>
          <w:bCs/>
          <w:sz w:val="32"/>
          <w:szCs w:val="32"/>
        </w:rPr>
        <w:t>1076-</w:t>
      </w:r>
      <w:r w:rsidRPr="00C82916" w:rsidR="00460006">
        <w:rPr>
          <w:b/>
          <w:bCs/>
          <w:sz w:val="32"/>
          <w:szCs w:val="32"/>
        </w:rPr>
        <w:t>0193</w:t>
      </w:r>
    </w:p>
    <w:p w:rsidR="009B359F" w:rsidRPr="00C82916" w:rsidP="009B359F" w14:paraId="54296D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C82916" w:rsidP="000F3AF1" w14:paraId="546C5D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C82916">
        <w:rPr>
          <w:b/>
          <w:sz w:val="32"/>
          <w:szCs w:val="32"/>
        </w:rPr>
        <w:t>Terms of Clearance:</w:t>
      </w:r>
      <w:r w:rsidRPr="00C82916" w:rsidR="004127B1">
        <w:rPr>
          <w:sz w:val="32"/>
          <w:szCs w:val="32"/>
        </w:rPr>
        <w:t xml:space="preserve"> None.</w:t>
      </w:r>
    </w:p>
    <w:p w:rsidR="009B359F" w:rsidRPr="00C82916" w:rsidP="009B359F" w14:paraId="5C5EBB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Pr="00C82916" w14:paraId="393DC3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b/>
          <w:bCs/>
          <w:sz w:val="24"/>
          <w:szCs w:val="24"/>
        </w:rPr>
        <w:t>General Instructions</w:t>
      </w:r>
      <w:r w:rsidRPr="00C82916">
        <w:rPr>
          <w:sz w:val="24"/>
          <w:szCs w:val="24"/>
        </w:rPr>
        <w:t xml:space="preserve"> </w:t>
      </w:r>
    </w:p>
    <w:p w:rsidR="00295103" w:rsidRPr="00C82916" w14:paraId="117CD9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3756E" w:rsidRPr="00C82916" w:rsidP="00E3756E" w14:paraId="7DC1E8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C82916">
        <w:rPr>
          <w:b/>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w:t>
      </w:r>
      <w:r w:rsidRPr="00C82916">
        <w:rPr>
          <w:b/>
          <w:sz w:val="24"/>
          <w:szCs w:val="24"/>
        </w:rPr>
        <w:t>nal information with respect to any request for approval.</w:t>
      </w:r>
    </w:p>
    <w:p w:rsidR="00295103" w:rsidRPr="00C82916" w14:paraId="130F38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C82916" w14:paraId="4A0509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b/>
          <w:bCs/>
          <w:sz w:val="24"/>
          <w:szCs w:val="24"/>
        </w:rPr>
        <w:t>Specific Instructions</w:t>
      </w:r>
    </w:p>
    <w:p w:rsidR="00295103" w:rsidRPr="00C82916" w14:paraId="3E5D26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C82916" w14:paraId="1694EC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C82916">
        <w:rPr>
          <w:b/>
          <w:bCs/>
          <w:sz w:val="24"/>
          <w:szCs w:val="24"/>
        </w:rPr>
        <w:t>Justification</w:t>
      </w:r>
    </w:p>
    <w:p w:rsidR="00295103" w:rsidRPr="00C82916" w14:paraId="6A3B8E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C82916" w14:paraId="09D427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82916">
        <w:rPr>
          <w:b/>
          <w:sz w:val="24"/>
          <w:szCs w:val="24"/>
        </w:rPr>
        <w:t>1.</w:t>
      </w:r>
      <w:r w:rsidRPr="00C82916">
        <w:rPr>
          <w:b/>
          <w:sz w:val="24"/>
          <w:szCs w:val="24"/>
        </w:rPr>
        <w:tab/>
      </w:r>
      <w:r w:rsidRPr="00C82916">
        <w:rPr>
          <w:b/>
          <w:sz w:val="24"/>
          <w:szCs w:val="24"/>
        </w:rPr>
        <w:t>Explain the circumstances that make the collection of information necessary.  Identify any legal or administrative requirements that necessitate the collection</w:t>
      </w:r>
      <w:r w:rsidRPr="00C82916" w:rsidR="000F3AF1">
        <w:rPr>
          <w:b/>
          <w:sz w:val="24"/>
          <w:szCs w:val="24"/>
        </w:rPr>
        <w:t>.</w:t>
      </w:r>
    </w:p>
    <w:p w:rsidR="00D67323" w:rsidRPr="00C82916" w:rsidP="004127B1" w14:paraId="2AFA0234" w14:textId="77777777">
      <w:pPr>
        <w:rPr>
          <w:sz w:val="24"/>
          <w:szCs w:val="24"/>
        </w:rPr>
      </w:pPr>
    </w:p>
    <w:p w:rsidR="00901386" w:rsidP="00791C66" w14:paraId="63221A36" w14:textId="62D4C289">
      <w:pPr>
        <w:rPr>
          <w:sz w:val="24"/>
          <w:szCs w:val="24"/>
        </w:rPr>
      </w:pPr>
      <w:r w:rsidRPr="00C82916">
        <w:rPr>
          <w:sz w:val="24"/>
          <w:szCs w:val="24"/>
        </w:rPr>
        <w:t>The JOM Act authorizes the Secret</w:t>
      </w:r>
      <w:r w:rsidRPr="00C82916" w:rsidR="00B3403E">
        <w:rPr>
          <w:sz w:val="24"/>
          <w:szCs w:val="24"/>
        </w:rPr>
        <w:t xml:space="preserve">ary of the Interior, through the Bureau of Indian Education (BIE), </w:t>
      </w:r>
      <w:r w:rsidRPr="00C82916">
        <w:rPr>
          <w:sz w:val="24"/>
          <w:szCs w:val="24"/>
        </w:rPr>
        <w:t xml:space="preserve">to enter into contracts with States, schools, and private organizations, and to expend appropriated funds in support of Indian students under those contracts. </w:t>
      </w:r>
      <w:r w:rsidRPr="00C82916">
        <w:rPr>
          <w:i/>
          <w:sz w:val="24"/>
          <w:szCs w:val="24"/>
        </w:rPr>
        <w:t>See</w:t>
      </w:r>
      <w:r w:rsidRPr="00C82916">
        <w:rPr>
          <w:sz w:val="24"/>
          <w:szCs w:val="24"/>
        </w:rPr>
        <w:t xml:space="preserve"> 25 U.S.C. </w:t>
      </w:r>
      <w:r w:rsidRPr="00C82916" w:rsidR="001F4F34">
        <w:rPr>
          <w:sz w:val="24"/>
          <w:szCs w:val="24"/>
        </w:rPr>
        <w:t>5342</w:t>
      </w:r>
      <w:r w:rsidRPr="00C82916">
        <w:rPr>
          <w:sz w:val="24"/>
          <w:szCs w:val="24"/>
        </w:rPr>
        <w:t xml:space="preserve">. Contracts under JOM contain </w:t>
      </w:r>
      <w:r w:rsidR="00AE2B7B">
        <w:rPr>
          <w:sz w:val="24"/>
          <w:szCs w:val="24"/>
        </w:rPr>
        <w:t>an educational plan, which plan</w:t>
      </w:r>
      <w:r w:rsidR="003762BA">
        <w:rPr>
          <w:sz w:val="24"/>
          <w:szCs w:val="24"/>
        </w:rPr>
        <w:t xml:space="preserve">, in the determination of the Secretary, contains </w:t>
      </w:r>
      <w:r w:rsidRPr="00C82916">
        <w:rPr>
          <w:sz w:val="24"/>
          <w:szCs w:val="24"/>
        </w:rPr>
        <w:t xml:space="preserve">educational objectives that adequately address the educational needs of the Indian students who are to be beneficiaries of the contract and assures that the </w:t>
      </w:r>
      <w:r w:rsidRPr="00C82916">
        <w:rPr>
          <w:sz w:val="24"/>
          <w:szCs w:val="24"/>
        </w:rPr>
        <w:t xml:space="preserve">contract is capable of meeting such objectives. </w:t>
      </w:r>
      <w:r w:rsidRPr="00C82916">
        <w:rPr>
          <w:i/>
          <w:sz w:val="24"/>
          <w:szCs w:val="24"/>
        </w:rPr>
        <w:t>See</w:t>
      </w:r>
      <w:r w:rsidRPr="00C82916">
        <w:rPr>
          <w:sz w:val="24"/>
          <w:szCs w:val="24"/>
        </w:rPr>
        <w:t xml:space="preserve"> 25 U.S.C. 5345. The regulations at 25 CFR part 273 implement this authority. The regulations at 25 CFR part 273 became effective in 1975</w:t>
      </w:r>
      <w:r w:rsidR="00467F13">
        <w:rPr>
          <w:sz w:val="24"/>
          <w:szCs w:val="24"/>
        </w:rPr>
        <w:t xml:space="preserve"> without substantial </w:t>
      </w:r>
      <w:r w:rsidR="008D416B">
        <w:rPr>
          <w:sz w:val="24"/>
          <w:szCs w:val="24"/>
        </w:rPr>
        <w:t xml:space="preserve">subsequent </w:t>
      </w:r>
      <w:r w:rsidRPr="00A62234" w:rsidR="00467F13">
        <w:rPr>
          <w:sz w:val="24"/>
          <w:szCs w:val="24"/>
        </w:rPr>
        <w:t xml:space="preserve">change until </w:t>
      </w:r>
      <w:r w:rsidRPr="00A62234" w:rsidR="00BE6DDD">
        <w:rPr>
          <w:sz w:val="24"/>
          <w:szCs w:val="24"/>
        </w:rPr>
        <w:t xml:space="preserve">BIE </w:t>
      </w:r>
      <w:r w:rsidRPr="00A62234" w:rsidR="00343F78">
        <w:rPr>
          <w:sz w:val="24"/>
          <w:szCs w:val="24"/>
        </w:rPr>
        <w:t xml:space="preserve">published revisions to </w:t>
      </w:r>
      <w:r w:rsidRPr="00A62234" w:rsidR="000C1072">
        <w:rPr>
          <w:sz w:val="24"/>
          <w:szCs w:val="24"/>
        </w:rPr>
        <w:t>25 CFR Part 273</w:t>
      </w:r>
      <w:r w:rsidR="00226E38">
        <w:rPr>
          <w:sz w:val="24"/>
          <w:szCs w:val="24"/>
        </w:rPr>
        <w:t xml:space="preserve"> on December 12, 2019</w:t>
      </w:r>
      <w:r w:rsidRPr="00A62234" w:rsidR="00D81E10">
        <w:rPr>
          <w:sz w:val="24"/>
          <w:szCs w:val="24"/>
        </w:rPr>
        <w:t xml:space="preserve"> to implement changes</w:t>
      </w:r>
      <w:r w:rsidR="00C85A85">
        <w:rPr>
          <w:sz w:val="24"/>
          <w:szCs w:val="24"/>
        </w:rPr>
        <w:t xml:space="preserve"> and updates</w:t>
      </w:r>
      <w:r w:rsidRPr="00A62234" w:rsidR="00D81E10">
        <w:rPr>
          <w:sz w:val="24"/>
          <w:szCs w:val="24"/>
        </w:rPr>
        <w:t xml:space="preserve"> required by th</w:t>
      </w:r>
      <w:r w:rsidRPr="00A62234" w:rsidR="00A62234">
        <w:rPr>
          <w:sz w:val="24"/>
          <w:szCs w:val="24"/>
        </w:rPr>
        <w:t>e</w:t>
      </w:r>
      <w:r w:rsidRPr="00C32A0C" w:rsidR="00A62234">
        <w:rPr>
          <w:iCs/>
          <w:color w:val="000000" w:themeColor="text1"/>
          <w:sz w:val="24"/>
          <w:szCs w:val="24"/>
        </w:rPr>
        <w:t xml:space="preserve"> Johnson-O'Malley Supplemental Indian Education Program Modernization Act</w:t>
      </w:r>
      <w:r w:rsidR="00226E38">
        <w:rPr>
          <w:iCs/>
          <w:color w:val="000000" w:themeColor="text1"/>
          <w:sz w:val="24"/>
          <w:szCs w:val="24"/>
        </w:rPr>
        <w:t xml:space="preserve">. </w:t>
      </w:r>
      <w:r w:rsidRPr="00C32A0C" w:rsidR="00935EE5">
        <w:rPr>
          <w:i/>
          <w:color w:val="000000" w:themeColor="text1"/>
          <w:sz w:val="24"/>
          <w:szCs w:val="24"/>
        </w:rPr>
        <w:t>See</w:t>
      </w:r>
      <w:r w:rsidR="00935EE5">
        <w:rPr>
          <w:iCs/>
          <w:color w:val="000000" w:themeColor="text1"/>
          <w:sz w:val="24"/>
          <w:szCs w:val="24"/>
        </w:rPr>
        <w:t xml:space="preserve"> 85 FR 10938. </w:t>
      </w:r>
      <w:r w:rsidRPr="00C82916">
        <w:rPr>
          <w:sz w:val="24"/>
          <w:szCs w:val="24"/>
        </w:rPr>
        <w:t xml:space="preserve">. </w:t>
      </w:r>
    </w:p>
    <w:p w:rsidR="009865A8" w:rsidRPr="00C82916" w:rsidP="00791C66" w14:paraId="2BE41228" w14:textId="77777777">
      <w:pPr>
        <w:rPr>
          <w:sz w:val="24"/>
          <w:szCs w:val="24"/>
        </w:rPr>
      </w:pPr>
    </w:p>
    <w:tbl>
      <w:tblPr>
        <w:tblW w:w="10173" w:type="dxa"/>
        <w:jc w:val="center"/>
        <w:tblLayout w:type="fixed"/>
        <w:tblCellMar>
          <w:left w:w="115" w:type="dxa"/>
          <w:right w:w="115" w:type="dxa"/>
        </w:tblCellMar>
        <w:tblLook w:val="04A0"/>
      </w:tblPr>
      <w:tblGrid>
        <w:gridCol w:w="1095"/>
        <w:gridCol w:w="4570"/>
        <w:gridCol w:w="4500"/>
        <w:gridCol w:w="8"/>
      </w:tblGrid>
      <w:tr w14:paraId="79668F6B" w14:textId="77777777" w:rsidTr="006206D5">
        <w:tblPrEx>
          <w:tblW w:w="10173" w:type="dxa"/>
          <w:jc w:val="center"/>
          <w:tblLayout w:type="fixed"/>
          <w:tblCellMar>
            <w:left w:w="115" w:type="dxa"/>
            <w:right w:w="115" w:type="dxa"/>
          </w:tblCellMar>
          <w:tblLook w:val="04A0"/>
        </w:tblPrEx>
        <w:trPr>
          <w:trHeight w:val="503"/>
          <w:tblHeader/>
          <w:jc w:val="center"/>
        </w:trPr>
        <w:tc>
          <w:tcPr>
            <w:tcW w:w="10173"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901386" w:rsidRPr="00C82916" w:rsidP="00791C66" w14:paraId="2E547704" w14:textId="2790006B">
            <w:pPr>
              <w:jc w:val="center"/>
              <w:rPr>
                <w:b/>
                <w:bCs/>
                <w:sz w:val="22"/>
                <w:szCs w:val="22"/>
              </w:rPr>
            </w:pPr>
            <w:r w:rsidRPr="00C82916">
              <w:rPr>
                <w:b/>
                <w:bCs/>
                <w:sz w:val="22"/>
                <w:szCs w:val="22"/>
              </w:rPr>
              <w:t xml:space="preserve">Table 1 – Information Collections Associated with </w:t>
            </w:r>
            <w:r w:rsidRPr="00C82916" w:rsidR="00791C66">
              <w:rPr>
                <w:b/>
                <w:bCs/>
                <w:sz w:val="22"/>
                <w:szCs w:val="22"/>
              </w:rPr>
              <w:t>Johnson-O’Malley Act Contracts</w:t>
            </w:r>
          </w:p>
        </w:tc>
      </w:tr>
      <w:tr w14:paraId="1BB2A127" w14:textId="77777777" w:rsidTr="006206D5">
        <w:tblPrEx>
          <w:tblW w:w="10173" w:type="dxa"/>
          <w:jc w:val="center"/>
          <w:tblLayout w:type="fixed"/>
          <w:tblCellMar>
            <w:left w:w="115" w:type="dxa"/>
            <w:right w:w="115" w:type="dxa"/>
          </w:tblCellMar>
          <w:tblLook w:val="04A0"/>
        </w:tblPrEx>
        <w:trPr>
          <w:gridAfter w:val="1"/>
          <w:wAfter w:w="8" w:type="dxa"/>
          <w:trHeight w:val="1080"/>
          <w:tblHeader/>
          <w:jc w:val="center"/>
        </w:trPr>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1386" w:rsidRPr="00C82916" w14:paraId="6E98FA33" w14:textId="77777777">
            <w:pPr>
              <w:jc w:val="center"/>
              <w:rPr>
                <w:b/>
                <w:bCs/>
                <w:sz w:val="22"/>
                <w:szCs w:val="22"/>
              </w:rPr>
            </w:pPr>
            <w:r w:rsidRPr="00C82916">
              <w:rPr>
                <w:b/>
                <w:bCs/>
                <w:sz w:val="22"/>
                <w:szCs w:val="22"/>
              </w:rPr>
              <w:t>Citation</w:t>
            </w:r>
          </w:p>
          <w:p w:rsidR="00901386" w:rsidRPr="00C82916" w14:paraId="7DC359F4" w14:textId="3232FEFE">
            <w:pPr>
              <w:jc w:val="center"/>
              <w:rPr>
                <w:b/>
                <w:bCs/>
                <w:sz w:val="22"/>
                <w:szCs w:val="22"/>
              </w:rPr>
            </w:pPr>
            <w:r w:rsidRPr="00C82916">
              <w:rPr>
                <w:b/>
                <w:bCs/>
                <w:sz w:val="22"/>
                <w:szCs w:val="22"/>
              </w:rPr>
              <w:t>25 CFR</w:t>
            </w:r>
          </w:p>
        </w:tc>
        <w:tc>
          <w:tcPr>
            <w:tcW w:w="4570" w:type="dxa"/>
            <w:tcBorders>
              <w:top w:val="single" w:sz="4" w:space="0" w:color="auto"/>
              <w:left w:val="nil"/>
              <w:bottom w:val="single" w:sz="4" w:space="0" w:color="auto"/>
              <w:right w:val="single" w:sz="4" w:space="0" w:color="auto"/>
            </w:tcBorders>
            <w:shd w:val="clear" w:color="auto" w:fill="FFFFFF"/>
            <w:vAlign w:val="center"/>
            <w:hideMark/>
          </w:tcPr>
          <w:p w:rsidR="00901386" w:rsidRPr="00C82916" w14:paraId="4A5EE757" w14:textId="77777777">
            <w:pPr>
              <w:jc w:val="center"/>
              <w:rPr>
                <w:b/>
                <w:bCs/>
                <w:sz w:val="22"/>
                <w:szCs w:val="22"/>
              </w:rPr>
            </w:pPr>
            <w:r w:rsidRPr="00C82916">
              <w:rPr>
                <w:b/>
                <w:bCs/>
                <w:sz w:val="22"/>
                <w:szCs w:val="22"/>
              </w:rPr>
              <w:t>Section Title</w:t>
            </w:r>
          </w:p>
        </w:tc>
        <w:tc>
          <w:tcPr>
            <w:tcW w:w="4500" w:type="dxa"/>
            <w:tcBorders>
              <w:top w:val="single" w:sz="4" w:space="0" w:color="auto"/>
              <w:left w:val="nil"/>
              <w:bottom w:val="single" w:sz="4" w:space="0" w:color="auto"/>
              <w:right w:val="single" w:sz="4" w:space="0" w:color="auto"/>
            </w:tcBorders>
            <w:shd w:val="clear" w:color="auto" w:fill="FFFFFF"/>
            <w:vAlign w:val="center"/>
            <w:hideMark/>
          </w:tcPr>
          <w:p w:rsidR="00901386" w:rsidRPr="00C82916" w14:paraId="35DDDEA1" w14:textId="77777777">
            <w:pPr>
              <w:jc w:val="center"/>
              <w:rPr>
                <w:b/>
                <w:bCs/>
                <w:sz w:val="22"/>
                <w:szCs w:val="22"/>
              </w:rPr>
            </w:pPr>
            <w:r w:rsidRPr="00C82916">
              <w:rPr>
                <w:b/>
                <w:bCs/>
                <w:sz w:val="22"/>
                <w:szCs w:val="22"/>
              </w:rPr>
              <w:t>Information Collection Requirement</w:t>
            </w:r>
          </w:p>
        </w:tc>
      </w:tr>
      <w:tr w14:paraId="30A636D3" w14:textId="77777777" w:rsidTr="00667E14">
        <w:tblPrEx>
          <w:tblW w:w="10173" w:type="dxa"/>
          <w:jc w:val="center"/>
          <w:tblLayout w:type="fixed"/>
          <w:tblCellMar>
            <w:left w:w="115" w:type="dxa"/>
            <w:right w:w="115" w:type="dxa"/>
          </w:tblCellMar>
          <w:tblLook w:val="04A0"/>
        </w:tblPrEx>
        <w:trPr>
          <w:trHeight w:val="1080"/>
          <w:tblHeader/>
          <w:jc w:val="center"/>
        </w:trPr>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3C28B8" w:rsidRPr="00C82916" w14:paraId="474A7C42" w14:textId="6E7C325A">
            <w:pPr>
              <w:jc w:val="center"/>
              <w:rPr>
                <w:b/>
                <w:bCs/>
                <w:sz w:val="22"/>
                <w:szCs w:val="22"/>
              </w:rPr>
            </w:pPr>
            <w:r>
              <w:rPr>
                <w:b/>
                <w:bCs/>
                <w:sz w:val="22"/>
                <w:szCs w:val="22"/>
              </w:rPr>
              <w:t>273.116</w:t>
            </w:r>
          </w:p>
        </w:tc>
        <w:tc>
          <w:tcPr>
            <w:tcW w:w="4570" w:type="dxa"/>
            <w:tcBorders>
              <w:top w:val="single" w:sz="4" w:space="0" w:color="auto"/>
              <w:left w:val="nil"/>
              <w:bottom w:val="single" w:sz="4" w:space="0" w:color="auto"/>
              <w:right w:val="single" w:sz="4" w:space="0" w:color="auto"/>
            </w:tcBorders>
            <w:shd w:val="clear" w:color="auto" w:fill="FFFFFF"/>
            <w:vAlign w:val="center"/>
          </w:tcPr>
          <w:p w:rsidR="003C28B8" w:rsidRPr="00C82916" w14:paraId="0F8DD7AE" w14:textId="00B76EB6">
            <w:pPr>
              <w:rPr>
                <w:b/>
                <w:bCs/>
                <w:sz w:val="22"/>
                <w:szCs w:val="22"/>
              </w:rPr>
            </w:pPr>
            <w:r>
              <w:rPr>
                <w:b/>
                <w:bCs/>
                <w:sz w:val="22"/>
                <w:szCs w:val="22"/>
              </w:rPr>
              <w:t>Does an Indian Education Committee need to establish procedures and report to the BIE Director?</w:t>
            </w:r>
          </w:p>
        </w:tc>
        <w:tc>
          <w:tcPr>
            <w:tcW w:w="4508" w:type="dxa"/>
            <w:gridSpan w:val="2"/>
            <w:tcBorders>
              <w:top w:val="single" w:sz="4" w:space="0" w:color="auto"/>
              <w:left w:val="nil"/>
              <w:bottom w:val="single" w:sz="4" w:space="0" w:color="auto"/>
              <w:right w:val="single" w:sz="4" w:space="0" w:color="auto"/>
            </w:tcBorders>
            <w:shd w:val="clear" w:color="auto" w:fill="FFFFFF"/>
            <w:vAlign w:val="center"/>
          </w:tcPr>
          <w:p w:rsidR="003C28B8" w:rsidRPr="00C82916" w14:paraId="4F97F0AC" w14:textId="43EE4695">
            <w:pPr>
              <w:jc w:val="center"/>
              <w:rPr>
                <w:b/>
                <w:bCs/>
                <w:sz w:val="22"/>
                <w:szCs w:val="22"/>
              </w:rPr>
            </w:pPr>
            <w:r>
              <w:rPr>
                <w:b/>
                <w:bCs/>
                <w:sz w:val="22"/>
                <w:szCs w:val="22"/>
              </w:rPr>
              <w:t xml:space="preserve">Requires each Indian Education Committee to file a copy of its organizational </w:t>
            </w:r>
            <w:r w:rsidR="006E3960">
              <w:rPr>
                <w:b/>
                <w:bCs/>
                <w:sz w:val="22"/>
                <w:szCs w:val="22"/>
              </w:rPr>
              <w:t>documents and by-laws with the BIE Director together with a list of its officers and members.</w:t>
            </w:r>
          </w:p>
        </w:tc>
      </w:tr>
      <w:tr w14:paraId="7524FF9F" w14:textId="77777777" w:rsidTr="006206D5">
        <w:tblPrEx>
          <w:tblW w:w="10173" w:type="dxa"/>
          <w:jc w:val="center"/>
          <w:tblLayout w:type="fixed"/>
          <w:tblCellMar>
            <w:left w:w="115" w:type="dxa"/>
            <w:right w:w="115" w:type="dxa"/>
          </w:tblCellMar>
          <w:tblLook w:val="04A0"/>
        </w:tblPrEx>
        <w:trPr>
          <w:trHeight w:val="440"/>
          <w:jc w:val="center"/>
        </w:trPr>
        <w:tc>
          <w:tcPr>
            <w:tcW w:w="10173" w:type="dxa"/>
            <w:gridSpan w:val="4"/>
            <w:tcBorders>
              <w:top w:val="nil"/>
              <w:left w:val="single" w:sz="4" w:space="0" w:color="auto"/>
              <w:bottom w:val="single" w:sz="4" w:space="0" w:color="auto"/>
              <w:right w:val="single" w:sz="4" w:space="0" w:color="auto"/>
            </w:tcBorders>
            <w:vAlign w:val="center"/>
            <w:hideMark/>
          </w:tcPr>
          <w:p w:rsidR="00901386" w:rsidRPr="00C82916" w:rsidP="00791C66" w14:paraId="2EDD26C4" w14:textId="131467D5">
            <w:pPr>
              <w:jc w:val="center"/>
              <w:rPr>
                <w:sz w:val="22"/>
                <w:szCs w:val="22"/>
              </w:rPr>
            </w:pPr>
            <w:r w:rsidRPr="00C82916">
              <w:rPr>
                <w:b/>
                <w:bCs/>
                <w:sz w:val="22"/>
                <w:szCs w:val="22"/>
              </w:rPr>
              <w:t>Subpart D — Education Plan</w:t>
            </w:r>
          </w:p>
        </w:tc>
      </w:tr>
      <w:tr w14:paraId="76579C2F" w14:textId="77777777" w:rsidTr="006206D5">
        <w:tblPrEx>
          <w:tblW w:w="10173" w:type="dxa"/>
          <w:jc w:val="center"/>
          <w:tblLayout w:type="fixed"/>
          <w:tblCellMar>
            <w:left w:w="115" w:type="dxa"/>
            <w:right w:w="115" w:type="dxa"/>
          </w:tblCellMar>
          <w:tblLook w:val="04A0"/>
        </w:tblPrEx>
        <w:trPr>
          <w:gridAfter w:val="1"/>
          <w:wAfter w:w="8" w:type="dxa"/>
          <w:trHeight w:val="1095"/>
          <w:jc w:val="center"/>
        </w:trPr>
        <w:tc>
          <w:tcPr>
            <w:tcW w:w="1095" w:type="dxa"/>
            <w:tcBorders>
              <w:top w:val="nil"/>
              <w:left w:val="single" w:sz="4" w:space="0" w:color="auto"/>
              <w:bottom w:val="single" w:sz="4" w:space="0" w:color="auto"/>
              <w:right w:val="single" w:sz="4" w:space="0" w:color="auto"/>
            </w:tcBorders>
            <w:vAlign w:val="center"/>
            <w:hideMark/>
          </w:tcPr>
          <w:p w:rsidR="00901386" w:rsidRPr="00C82916" w:rsidP="00791C66" w14:paraId="276F6F79" w14:textId="2C70AFD5">
            <w:pPr>
              <w:jc w:val="center"/>
              <w:rPr>
                <w:sz w:val="22"/>
                <w:szCs w:val="22"/>
              </w:rPr>
            </w:pPr>
            <w:r w:rsidRPr="00C82916">
              <w:rPr>
                <w:sz w:val="22"/>
                <w:szCs w:val="22"/>
              </w:rPr>
              <w:t>273.119 and 273.120</w:t>
            </w:r>
          </w:p>
        </w:tc>
        <w:tc>
          <w:tcPr>
            <w:tcW w:w="4570" w:type="dxa"/>
            <w:tcBorders>
              <w:top w:val="nil"/>
              <w:left w:val="nil"/>
              <w:bottom w:val="single" w:sz="4" w:space="0" w:color="auto"/>
              <w:right w:val="single" w:sz="4" w:space="0" w:color="auto"/>
            </w:tcBorders>
            <w:vAlign w:val="center"/>
            <w:hideMark/>
          </w:tcPr>
          <w:p w:rsidR="006206D5" w:rsidRPr="00C82916" w:rsidP="00791C66" w14:paraId="5971551F" w14:textId="1325AF42">
            <w:pPr>
              <w:rPr>
                <w:sz w:val="22"/>
                <w:szCs w:val="22"/>
              </w:rPr>
            </w:pPr>
            <w:r w:rsidRPr="00C82916">
              <w:rPr>
                <w:sz w:val="22"/>
                <w:szCs w:val="22"/>
              </w:rPr>
              <w:t xml:space="preserve">What </w:t>
            </w:r>
            <w:r w:rsidRPr="00C82916" w:rsidR="00791C66">
              <w:rPr>
                <w:sz w:val="22"/>
                <w:szCs w:val="22"/>
              </w:rPr>
              <w:t xml:space="preserve">is an education plan and what </w:t>
            </w:r>
            <w:r w:rsidRPr="00C82916" w:rsidR="00000DC8">
              <w:rPr>
                <w:sz w:val="22"/>
                <w:szCs w:val="22"/>
              </w:rPr>
              <w:t>must</w:t>
            </w:r>
            <w:r w:rsidRPr="00C82916" w:rsidR="00791C66">
              <w:rPr>
                <w:sz w:val="22"/>
                <w:szCs w:val="22"/>
              </w:rPr>
              <w:t xml:space="preserve"> it include? </w:t>
            </w:r>
          </w:p>
          <w:p w:rsidR="00901386" w:rsidRPr="00C82916" w:rsidP="00000DC8" w14:paraId="79144068" w14:textId="35FBB1E2">
            <w:pPr>
              <w:rPr>
                <w:sz w:val="22"/>
                <w:szCs w:val="22"/>
              </w:rPr>
            </w:pPr>
            <w:r w:rsidRPr="00C82916">
              <w:rPr>
                <w:sz w:val="22"/>
                <w:szCs w:val="22"/>
              </w:rPr>
              <w:t xml:space="preserve">Does an </w:t>
            </w:r>
            <w:r w:rsidRPr="00C82916" w:rsidR="00000DC8">
              <w:rPr>
                <w:sz w:val="22"/>
                <w:szCs w:val="22"/>
              </w:rPr>
              <w:t>e</w:t>
            </w:r>
            <w:r w:rsidRPr="00C82916">
              <w:rPr>
                <w:sz w:val="22"/>
                <w:szCs w:val="22"/>
              </w:rPr>
              <w:t>ducation plan need to</w:t>
            </w:r>
            <w:r w:rsidR="004F46E7">
              <w:rPr>
                <w:sz w:val="22"/>
                <w:szCs w:val="22"/>
              </w:rPr>
              <w:t xml:space="preserve"> </w:t>
            </w:r>
            <w:r w:rsidRPr="00C82916">
              <w:rPr>
                <w:sz w:val="22"/>
                <w:szCs w:val="22"/>
              </w:rPr>
              <w:t xml:space="preserve">be approved by the </w:t>
            </w:r>
            <w:r w:rsidRPr="00C82916" w:rsidR="00000DC8">
              <w:rPr>
                <w:sz w:val="22"/>
                <w:szCs w:val="22"/>
              </w:rPr>
              <w:t>BIE</w:t>
            </w:r>
            <w:r w:rsidRPr="00C82916">
              <w:rPr>
                <w:sz w:val="22"/>
                <w:szCs w:val="22"/>
              </w:rPr>
              <w:t xml:space="preserve"> Director?</w:t>
            </w:r>
          </w:p>
        </w:tc>
        <w:tc>
          <w:tcPr>
            <w:tcW w:w="4500" w:type="dxa"/>
            <w:tcBorders>
              <w:top w:val="nil"/>
              <w:left w:val="nil"/>
              <w:bottom w:val="single" w:sz="4" w:space="0" w:color="auto"/>
              <w:right w:val="single" w:sz="4" w:space="0" w:color="auto"/>
            </w:tcBorders>
            <w:vAlign w:val="center"/>
            <w:hideMark/>
          </w:tcPr>
          <w:p w:rsidR="00791C66" w:rsidRPr="00C82916" w:rsidP="001F4F34" w14:paraId="18F7D29D" w14:textId="3CF458EB">
            <w:pPr>
              <w:rPr>
                <w:sz w:val="22"/>
                <w:szCs w:val="22"/>
              </w:rPr>
            </w:pPr>
            <w:r w:rsidRPr="00C82916">
              <w:rPr>
                <w:sz w:val="22"/>
                <w:szCs w:val="22"/>
              </w:rPr>
              <w:t xml:space="preserve">Implements statutory requirement for </w:t>
            </w:r>
            <w:r w:rsidRPr="00C82916" w:rsidR="006206D5">
              <w:rPr>
                <w:sz w:val="22"/>
                <w:szCs w:val="22"/>
              </w:rPr>
              <w:t>contracting parties to submit an education plan</w:t>
            </w:r>
            <w:r w:rsidRPr="00C82916">
              <w:rPr>
                <w:sz w:val="22"/>
                <w:szCs w:val="22"/>
              </w:rPr>
              <w:t xml:space="preserve"> (25 U.S.C. 5345) and sets out what elements the education plan must contain. </w:t>
            </w:r>
          </w:p>
        </w:tc>
      </w:tr>
      <w:tr w14:paraId="582D69EA" w14:textId="77777777" w:rsidTr="006206D5">
        <w:tblPrEx>
          <w:tblW w:w="10173" w:type="dxa"/>
          <w:jc w:val="center"/>
          <w:tblLayout w:type="fixed"/>
          <w:tblCellMar>
            <w:left w:w="115" w:type="dxa"/>
            <w:right w:w="115" w:type="dxa"/>
          </w:tblCellMar>
          <w:tblLook w:val="04A0"/>
        </w:tblPrEx>
        <w:trPr>
          <w:trHeight w:val="467"/>
          <w:jc w:val="center"/>
        </w:trPr>
        <w:tc>
          <w:tcPr>
            <w:tcW w:w="10173" w:type="dxa"/>
            <w:gridSpan w:val="4"/>
            <w:tcBorders>
              <w:top w:val="nil"/>
              <w:left w:val="single" w:sz="4" w:space="0" w:color="auto"/>
              <w:bottom w:val="single" w:sz="4" w:space="0" w:color="auto"/>
              <w:right w:val="single" w:sz="4" w:space="0" w:color="auto"/>
            </w:tcBorders>
            <w:vAlign w:val="center"/>
          </w:tcPr>
          <w:p w:rsidR="00901386" w:rsidRPr="00C82916" w14:paraId="6BC0A2AB" w14:textId="559A7FD6">
            <w:pPr>
              <w:jc w:val="center"/>
              <w:rPr>
                <w:b/>
                <w:sz w:val="22"/>
                <w:szCs w:val="22"/>
              </w:rPr>
            </w:pPr>
            <w:r w:rsidRPr="00C82916">
              <w:rPr>
                <w:b/>
                <w:sz w:val="22"/>
                <w:szCs w:val="22"/>
              </w:rPr>
              <w:t>Subpart E – Contract Proposal, Review, and Approval</w:t>
            </w:r>
          </w:p>
        </w:tc>
      </w:tr>
      <w:tr w14:paraId="79F453A5" w14:textId="77777777" w:rsidTr="006206D5">
        <w:tblPrEx>
          <w:tblW w:w="10173" w:type="dxa"/>
          <w:jc w:val="center"/>
          <w:tblLayout w:type="fixed"/>
          <w:tblCellMar>
            <w:left w:w="115" w:type="dxa"/>
            <w:right w:w="115" w:type="dxa"/>
          </w:tblCellMar>
          <w:tblLook w:val="04A0"/>
        </w:tblPrEx>
        <w:trPr>
          <w:gridAfter w:val="1"/>
          <w:wAfter w:w="8" w:type="dxa"/>
          <w:trHeight w:val="675"/>
          <w:jc w:val="center"/>
        </w:trPr>
        <w:tc>
          <w:tcPr>
            <w:tcW w:w="1095" w:type="dxa"/>
            <w:tcBorders>
              <w:top w:val="nil"/>
              <w:left w:val="single" w:sz="4" w:space="0" w:color="auto"/>
              <w:bottom w:val="single" w:sz="4" w:space="0" w:color="auto"/>
              <w:right w:val="single" w:sz="4" w:space="0" w:color="auto"/>
            </w:tcBorders>
            <w:vAlign w:val="center"/>
          </w:tcPr>
          <w:p w:rsidR="00901386" w:rsidRPr="00C82916" w14:paraId="30EDB923" w14:textId="77777777">
            <w:pPr>
              <w:jc w:val="center"/>
              <w:rPr>
                <w:sz w:val="22"/>
                <w:szCs w:val="22"/>
              </w:rPr>
            </w:pPr>
            <w:r w:rsidRPr="00C82916">
              <w:rPr>
                <w:sz w:val="22"/>
                <w:szCs w:val="22"/>
              </w:rPr>
              <w:t>273.125; 273.130;</w:t>
            </w:r>
          </w:p>
          <w:p w:rsidR="00994C80" w:rsidRPr="00C82916" w14:paraId="61451025" w14:textId="69EA41F6">
            <w:pPr>
              <w:jc w:val="center"/>
              <w:rPr>
                <w:sz w:val="22"/>
                <w:szCs w:val="22"/>
              </w:rPr>
            </w:pPr>
            <w:r w:rsidRPr="00C82916">
              <w:rPr>
                <w:sz w:val="22"/>
                <w:szCs w:val="22"/>
              </w:rPr>
              <w:t>273.131</w:t>
            </w:r>
          </w:p>
        </w:tc>
        <w:tc>
          <w:tcPr>
            <w:tcW w:w="4570" w:type="dxa"/>
            <w:tcBorders>
              <w:top w:val="nil"/>
              <w:left w:val="nil"/>
              <w:bottom w:val="single" w:sz="4" w:space="0" w:color="auto"/>
              <w:right w:val="single" w:sz="4" w:space="0" w:color="auto"/>
            </w:tcBorders>
            <w:vAlign w:val="center"/>
          </w:tcPr>
          <w:p w:rsidR="00994C80" w:rsidRPr="00C82916" w:rsidP="00FC5B28" w14:paraId="7B293987" w14:textId="77777777">
            <w:pPr>
              <w:rPr>
                <w:sz w:val="22"/>
                <w:szCs w:val="22"/>
              </w:rPr>
            </w:pPr>
            <w:r w:rsidRPr="00C82916">
              <w:rPr>
                <w:sz w:val="22"/>
                <w:szCs w:val="22"/>
              </w:rPr>
              <w:t xml:space="preserve">How may a new contracting party request a contract under the Johnson-O’Malley Act? </w:t>
            </w:r>
          </w:p>
          <w:p w:rsidR="00901386" w:rsidRPr="00C82916" w:rsidP="00FC5B28" w14:paraId="0FFE3FCF" w14:textId="77777777">
            <w:pPr>
              <w:rPr>
                <w:sz w:val="22"/>
                <w:szCs w:val="22"/>
              </w:rPr>
            </w:pPr>
            <w:r w:rsidRPr="00C82916">
              <w:rPr>
                <w:sz w:val="22"/>
                <w:szCs w:val="22"/>
              </w:rPr>
              <w:t>What is required in the contract proposal for funding?</w:t>
            </w:r>
          </w:p>
          <w:p w:rsidR="00994C80" w:rsidRPr="00C82916" w:rsidP="00FC5B28" w14:paraId="318948FD" w14:textId="394C03D0">
            <w:pPr>
              <w:rPr>
                <w:sz w:val="22"/>
                <w:szCs w:val="22"/>
              </w:rPr>
            </w:pPr>
            <w:r w:rsidRPr="00C82916">
              <w:rPr>
                <w:sz w:val="22"/>
                <w:szCs w:val="22"/>
              </w:rPr>
              <w:t xml:space="preserve">What is required for a Tribal request for contract? </w:t>
            </w:r>
          </w:p>
        </w:tc>
        <w:tc>
          <w:tcPr>
            <w:tcW w:w="4500" w:type="dxa"/>
            <w:tcBorders>
              <w:top w:val="nil"/>
              <w:left w:val="nil"/>
              <w:bottom w:val="single" w:sz="4" w:space="0" w:color="auto"/>
              <w:right w:val="single" w:sz="4" w:space="0" w:color="auto"/>
            </w:tcBorders>
            <w:vAlign w:val="center"/>
          </w:tcPr>
          <w:p w:rsidR="009264DE" w:rsidRPr="00C82916" w:rsidP="006206D5" w14:paraId="0561D5BD" w14:textId="02B6EB2C">
            <w:pPr>
              <w:rPr>
                <w:sz w:val="22"/>
                <w:szCs w:val="22"/>
              </w:rPr>
            </w:pPr>
            <w:r w:rsidRPr="00C82916">
              <w:rPr>
                <w:sz w:val="22"/>
                <w:szCs w:val="22"/>
              </w:rPr>
              <w:t>Requires eligible entities that have not previously entered into a JOM contract to submit an initial contract proposal</w:t>
            </w:r>
            <w:r w:rsidR="005A26A0">
              <w:rPr>
                <w:sz w:val="22"/>
                <w:szCs w:val="22"/>
              </w:rPr>
              <w:t xml:space="preserve"> and includes the </w:t>
            </w:r>
            <w:r w:rsidR="00947D48">
              <w:rPr>
                <w:sz w:val="22"/>
                <w:szCs w:val="22"/>
              </w:rPr>
              <w:t>information to include in a contract proposal</w:t>
            </w:r>
            <w:r w:rsidRPr="00C82916">
              <w:rPr>
                <w:sz w:val="22"/>
                <w:szCs w:val="22"/>
              </w:rPr>
              <w:t xml:space="preserve">. </w:t>
            </w:r>
          </w:p>
          <w:p w:rsidR="00901386" w:rsidRPr="00C82916" w:rsidP="00994C80" w14:paraId="7AC1DAD0" w14:textId="4E5AF2F8">
            <w:pPr>
              <w:rPr>
                <w:sz w:val="22"/>
                <w:szCs w:val="22"/>
              </w:rPr>
            </w:pPr>
          </w:p>
        </w:tc>
      </w:tr>
      <w:tr w14:paraId="2206089A" w14:textId="77777777" w:rsidTr="006206D5">
        <w:tblPrEx>
          <w:tblW w:w="10173" w:type="dxa"/>
          <w:jc w:val="center"/>
          <w:tblLayout w:type="fixed"/>
          <w:tblCellMar>
            <w:left w:w="115" w:type="dxa"/>
            <w:right w:w="115" w:type="dxa"/>
          </w:tblCellMar>
          <w:tblLook w:val="04A0"/>
        </w:tblPrEx>
        <w:trPr>
          <w:trHeight w:val="422"/>
          <w:jc w:val="center"/>
        </w:trPr>
        <w:tc>
          <w:tcPr>
            <w:tcW w:w="10173" w:type="dxa"/>
            <w:gridSpan w:val="4"/>
            <w:tcBorders>
              <w:top w:val="nil"/>
              <w:left w:val="single" w:sz="4" w:space="0" w:color="auto"/>
              <w:bottom w:val="single" w:sz="4" w:space="0" w:color="auto"/>
              <w:right w:val="single" w:sz="4" w:space="0" w:color="auto"/>
            </w:tcBorders>
            <w:vAlign w:val="center"/>
          </w:tcPr>
          <w:p w:rsidR="00901386" w:rsidRPr="00C82916" w14:paraId="2D39EB56" w14:textId="79FE057E">
            <w:pPr>
              <w:jc w:val="center"/>
              <w:rPr>
                <w:b/>
                <w:sz w:val="22"/>
                <w:szCs w:val="22"/>
              </w:rPr>
            </w:pPr>
            <w:r w:rsidRPr="00C82916">
              <w:rPr>
                <w:b/>
                <w:sz w:val="22"/>
                <w:szCs w:val="22"/>
              </w:rPr>
              <w:t xml:space="preserve">Subpart G – Annual Reporting Requirements </w:t>
            </w:r>
          </w:p>
        </w:tc>
      </w:tr>
      <w:tr w14:paraId="2662F2E8" w14:textId="77777777" w:rsidTr="006206D5">
        <w:tblPrEx>
          <w:tblW w:w="10173" w:type="dxa"/>
          <w:jc w:val="center"/>
          <w:tblLayout w:type="fixed"/>
          <w:tblCellMar>
            <w:left w:w="115" w:type="dxa"/>
            <w:right w:w="115" w:type="dxa"/>
          </w:tblCellMar>
          <w:tblLook w:val="04A0"/>
        </w:tblPrEx>
        <w:trPr>
          <w:gridAfter w:val="1"/>
          <w:wAfter w:w="8" w:type="dxa"/>
          <w:trHeight w:val="900"/>
          <w:jc w:val="center"/>
        </w:trPr>
        <w:tc>
          <w:tcPr>
            <w:tcW w:w="1095" w:type="dxa"/>
            <w:tcBorders>
              <w:top w:val="nil"/>
              <w:left w:val="single" w:sz="4" w:space="0" w:color="auto"/>
              <w:bottom w:val="single" w:sz="4" w:space="0" w:color="auto"/>
              <w:right w:val="single" w:sz="4" w:space="0" w:color="auto"/>
            </w:tcBorders>
            <w:vAlign w:val="center"/>
          </w:tcPr>
          <w:p w:rsidR="00901386" w:rsidRPr="00C82916" w14:paraId="4803AB68" w14:textId="77777777">
            <w:pPr>
              <w:jc w:val="center"/>
              <w:rPr>
                <w:sz w:val="22"/>
                <w:szCs w:val="22"/>
              </w:rPr>
            </w:pPr>
            <w:r w:rsidRPr="00C82916">
              <w:rPr>
                <w:sz w:val="22"/>
                <w:szCs w:val="22"/>
              </w:rPr>
              <w:t>273.150;</w:t>
            </w:r>
          </w:p>
          <w:p w:rsidR="005505D2" w:rsidP="005505D2" w14:paraId="7184D1BB" w14:textId="20F6ADF5">
            <w:pPr>
              <w:jc w:val="center"/>
              <w:rPr>
                <w:sz w:val="22"/>
                <w:szCs w:val="22"/>
              </w:rPr>
            </w:pPr>
            <w:r w:rsidRPr="00C82916">
              <w:rPr>
                <w:sz w:val="22"/>
                <w:szCs w:val="22"/>
              </w:rPr>
              <w:t>273.151;</w:t>
            </w:r>
            <w:r>
              <w:rPr>
                <w:sz w:val="22"/>
                <w:szCs w:val="22"/>
              </w:rPr>
              <w:t>273.152;</w:t>
            </w:r>
          </w:p>
          <w:p w:rsidR="00994C80" w:rsidRPr="00C82916" w:rsidP="005505D2" w14:paraId="5C84C4ED" w14:textId="566B6815">
            <w:pPr>
              <w:jc w:val="center"/>
              <w:rPr>
                <w:sz w:val="22"/>
                <w:szCs w:val="22"/>
              </w:rPr>
            </w:pPr>
            <w:r w:rsidRPr="00C82916">
              <w:rPr>
                <w:sz w:val="22"/>
                <w:szCs w:val="22"/>
              </w:rPr>
              <w:t>273.153</w:t>
            </w:r>
          </w:p>
        </w:tc>
        <w:tc>
          <w:tcPr>
            <w:tcW w:w="4570" w:type="dxa"/>
            <w:tcBorders>
              <w:top w:val="nil"/>
              <w:left w:val="nil"/>
              <w:bottom w:val="single" w:sz="4" w:space="0" w:color="auto"/>
              <w:right w:val="single" w:sz="4" w:space="0" w:color="auto"/>
            </w:tcBorders>
            <w:vAlign w:val="center"/>
          </w:tcPr>
          <w:p w:rsidR="00901386" w:rsidRPr="00C82916" w:rsidP="00712D00" w14:paraId="20A8AF68" w14:textId="77777777">
            <w:pPr>
              <w:rPr>
                <w:sz w:val="22"/>
                <w:szCs w:val="22"/>
              </w:rPr>
            </w:pPr>
            <w:r w:rsidRPr="00C82916">
              <w:rPr>
                <w:sz w:val="22"/>
                <w:szCs w:val="22"/>
              </w:rPr>
              <w:t>Does an existing contracting party need to submit any reports?</w:t>
            </w:r>
          </w:p>
          <w:p w:rsidR="00994C80" w:rsidP="00712D00" w14:paraId="23BB5BC4" w14:textId="51D19673">
            <w:pPr>
              <w:rPr>
                <w:sz w:val="22"/>
                <w:szCs w:val="22"/>
              </w:rPr>
            </w:pPr>
            <w:r w:rsidRPr="00C82916">
              <w:rPr>
                <w:sz w:val="22"/>
                <w:szCs w:val="22"/>
              </w:rPr>
              <w:t>What information must the existing contracting party provide in the annual report?</w:t>
            </w:r>
          </w:p>
          <w:p w:rsidR="00A6044C" w:rsidRPr="00C82916" w:rsidP="00712D00" w14:paraId="4CF8EC41" w14:textId="388ADBAA">
            <w:pPr>
              <w:rPr>
                <w:sz w:val="22"/>
                <w:szCs w:val="22"/>
              </w:rPr>
            </w:pPr>
            <w:r>
              <w:rPr>
                <w:sz w:val="22"/>
                <w:szCs w:val="22"/>
              </w:rPr>
              <w:t xml:space="preserve">When is the annual </w:t>
            </w:r>
            <w:r w:rsidR="00CA156B">
              <w:rPr>
                <w:sz w:val="22"/>
                <w:szCs w:val="22"/>
              </w:rPr>
              <w:t>report due?</w:t>
            </w:r>
          </w:p>
          <w:p w:rsidR="00994C80" w:rsidRPr="00C82916" w:rsidP="00712D00" w14:paraId="70858B99" w14:textId="23CAD71F">
            <w:pPr>
              <w:rPr>
                <w:sz w:val="22"/>
                <w:szCs w:val="22"/>
              </w:rPr>
            </w:pPr>
            <w:r w:rsidRPr="00C82916">
              <w:rPr>
                <w:sz w:val="22"/>
                <w:szCs w:val="22"/>
              </w:rPr>
              <w:t xml:space="preserve">Who else needs a copy of the annual report? </w:t>
            </w:r>
          </w:p>
          <w:p w:rsidR="00994C80" w:rsidRPr="00C82916" w:rsidP="00712D00" w14:paraId="6C838ECA" w14:textId="5BD8B597">
            <w:pPr>
              <w:rPr>
                <w:sz w:val="22"/>
                <w:szCs w:val="22"/>
              </w:rPr>
            </w:pPr>
          </w:p>
        </w:tc>
        <w:tc>
          <w:tcPr>
            <w:tcW w:w="4500" w:type="dxa"/>
            <w:tcBorders>
              <w:top w:val="nil"/>
              <w:left w:val="nil"/>
              <w:bottom w:val="single" w:sz="4" w:space="0" w:color="auto"/>
              <w:right w:val="single" w:sz="4" w:space="0" w:color="auto"/>
            </w:tcBorders>
            <w:vAlign w:val="center"/>
          </w:tcPr>
          <w:p w:rsidR="00994C80" w:rsidRPr="00C82916" w:rsidP="00994C80" w14:paraId="485D4377" w14:textId="6C1CE766">
            <w:pPr>
              <w:rPr>
                <w:sz w:val="22"/>
                <w:szCs w:val="22"/>
              </w:rPr>
            </w:pPr>
            <w:r w:rsidRPr="00C82916">
              <w:rPr>
                <w:sz w:val="22"/>
                <w:szCs w:val="22"/>
              </w:rPr>
              <w:t>Requires existing contracting parties to submit a report annually containing</w:t>
            </w:r>
            <w:r w:rsidRPr="00C82916" w:rsidR="006206D5">
              <w:rPr>
                <w:sz w:val="22"/>
                <w:szCs w:val="22"/>
              </w:rPr>
              <w:t xml:space="preserve"> certain elements.</w:t>
            </w:r>
          </w:p>
          <w:p w:rsidR="00901386" w:rsidRPr="00C82916" w:rsidP="00994C80" w14:paraId="0E09BB4B" w14:textId="0E2A8155">
            <w:pPr>
              <w:rPr>
                <w:sz w:val="22"/>
                <w:szCs w:val="22"/>
              </w:rPr>
            </w:pPr>
          </w:p>
        </w:tc>
      </w:tr>
      <w:tr w14:paraId="7D1E58D9" w14:textId="77777777" w:rsidTr="006206D5">
        <w:tblPrEx>
          <w:tblW w:w="10173" w:type="dxa"/>
          <w:jc w:val="center"/>
          <w:tblLayout w:type="fixed"/>
          <w:tblCellMar>
            <w:left w:w="115" w:type="dxa"/>
            <w:right w:w="115" w:type="dxa"/>
          </w:tblCellMar>
          <w:tblLook w:val="04A0"/>
        </w:tblPrEx>
        <w:trPr>
          <w:trHeight w:val="458"/>
          <w:jc w:val="center"/>
        </w:trPr>
        <w:tc>
          <w:tcPr>
            <w:tcW w:w="10173" w:type="dxa"/>
            <w:gridSpan w:val="4"/>
            <w:tcBorders>
              <w:top w:val="nil"/>
              <w:left w:val="single" w:sz="4" w:space="0" w:color="auto"/>
              <w:bottom w:val="single" w:sz="4" w:space="0" w:color="auto"/>
              <w:right w:val="single" w:sz="4" w:space="0" w:color="auto"/>
            </w:tcBorders>
            <w:vAlign w:val="center"/>
          </w:tcPr>
          <w:p w:rsidR="00901386" w:rsidRPr="00C82916" w14:paraId="7231D752" w14:textId="4686DEAE">
            <w:pPr>
              <w:jc w:val="center"/>
              <w:rPr>
                <w:b/>
                <w:sz w:val="22"/>
                <w:szCs w:val="22"/>
              </w:rPr>
            </w:pPr>
            <w:r w:rsidRPr="00C82916">
              <w:rPr>
                <w:b/>
                <w:sz w:val="22"/>
                <w:szCs w:val="22"/>
              </w:rPr>
              <w:t>Subpart H – General Contract Requirements</w:t>
            </w:r>
          </w:p>
        </w:tc>
      </w:tr>
      <w:tr w14:paraId="2F516462" w14:textId="77777777" w:rsidTr="006206D5">
        <w:tblPrEx>
          <w:tblW w:w="10173" w:type="dxa"/>
          <w:jc w:val="center"/>
          <w:tblLayout w:type="fixed"/>
          <w:tblCellMar>
            <w:left w:w="115" w:type="dxa"/>
            <w:right w:w="115" w:type="dxa"/>
          </w:tblCellMar>
          <w:tblLook w:val="04A0"/>
        </w:tblPrEx>
        <w:trPr>
          <w:gridAfter w:val="1"/>
          <w:wAfter w:w="8" w:type="dxa"/>
          <w:trHeight w:val="585"/>
          <w:jc w:val="center"/>
        </w:trPr>
        <w:tc>
          <w:tcPr>
            <w:tcW w:w="1095" w:type="dxa"/>
            <w:tcBorders>
              <w:top w:val="nil"/>
              <w:left w:val="single" w:sz="4" w:space="0" w:color="auto"/>
              <w:bottom w:val="single" w:sz="4" w:space="0" w:color="auto"/>
              <w:right w:val="single" w:sz="4" w:space="0" w:color="auto"/>
            </w:tcBorders>
            <w:vAlign w:val="center"/>
          </w:tcPr>
          <w:p w:rsidR="00115332" w:rsidRPr="00C82916" w14:paraId="10438AF9" w14:textId="76065C2E">
            <w:pPr>
              <w:jc w:val="center"/>
              <w:rPr>
                <w:sz w:val="22"/>
                <w:szCs w:val="22"/>
              </w:rPr>
            </w:pPr>
            <w:r w:rsidRPr="00C82916">
              <w:rPr>
                <w:sz w:val="22"/>
                <w:szCs w:val="22"/>
              </w:rPr>
              <w:t>273.178</w:t>
            </w:r>
          </w:p>
        </w:tc>
        <w:tc>
          <w:tcPr>
            <w:tcW w:w="4570" w:type="dxa"/>
            <w:tcBorders>
              <w:top w:val="nil"/>
              <w:left w:val="nil"/>
              <w:bottom w:val="single" w:sz="4" w:space="0" w:color="auto"/>
              <w:right w:val="single" w:sz="4" w:space="0" w:color="auto"/>
            </w:tcBorders>
            <w:vAlign w:val="center"/>
          </w:tcPr>
          <w:p w:rsidR="00814679" w:rsidRPr="00C82916" w:rsidP="006343F6" w14:paraId="0A373BF7" w14:textId="0421F34B">
            <w:pPr>
              <w:rPr>
                <w:sz w:val="22"/>
                <w:szCs w:val="22"/>
              </w:rPr>
            </w:pPr>
            <w:r w:rsidRPr="00C82916">
              <w:rPr>
                <w:sz w:val="22"/>
                <w:szCs w:val="22"/>
              </w:rPr>
              <w:t>Are there contract recordkeeping requirements?</w:t>
            </w:r>
          </w:p>
        </w:tc>
        <w:tc>
          <w:tcPr>
            <w:tcW w:w="4500" w:type="dxa"/>
            <w:tcBorders>
              <w:top w:val="nil"/>
              <w:left w:val="nil"/>
              <w:bottom w:val="single" w:sz="4" w:space="0" w:color="auto"/>
              <w:right w:val="single" w:sz="4" w:space="0" w:color="auto"/>
            </w:tcBorders>
            <w:vAlign w:val="center"/>
          </w:tcPr>
          <w:p w:rsidR="00814679" w:rsidRPr="00C82916" w:rsidP="006206D5" w14:paraId="04042D7A" w14:textId="3A0FC9F2">
            <w:pPr>
              <w:rPr>
                <w:sz w:val="22"/>
                <w:szCs w:val="22"/>
              </w:rPr>
            </w:pPr>
            <w:r w:rsidRPr="00C82916">
              <w:rPr>
                <w:sz w:val="22"/>
                <w:szCs w:val="22"/>
              </w:rPr>
              <w:t xml:space="preserve">Requires the contractor to </w:t>
            </w:r>
            <w:r w:rsidRPr="00C82916" w:rsidR="006206D5">
              <w:rPr>
                <w:sz w:val="22"/>
                <w:szCs w:val="22"/>
              </w:rPr>
              <w:t>maintain a recordkeeping system.</w:t>
            </w:r>
          </w:p>
        </w:tc>
      </w:tr>
      <w:tr w14:paraId="27F8D062" w14:textId="77777777" w:rsidTr="006206D5">
        <w:tblPrEx>
          <w:tblW w:w="10173" w:type="dxa"/>
          <w:jc w:val="center"/>
          <w:tblLayout w:type="fixed"/>
          <w:tblCellMar>
            <w:left w:w="115" w:type="dxa"/>
            <w:right w:w="115" w:type="dxa"/>
          </w:tblCellMar>
          <w:tblLook w:val="04A0"/>
        </w:tblPrEx>
        <w:trPr>
          <w:trHeight w:val="413"/>
          <w:jc w:val="center"/>
        </w:trPr>
        <w:tc>
          <w:tcPr>
            <w:tcW w:w="10173" w:type="dxa"/>
            <w:gridSpan w:val="4"/>
            <w:tcBorders>
              <w:top w:val="nil"/>
              <w:left w:val="single" w:sz="4" w:space="0" w:color="auto"/>
              <w:bottom w:val="single" w:sz="4" w:space="0" w:color="auto"/>
              <w:right w:val="single" w:sz="4" w:space="0" w:color="auto"/>
            </w:tcBorders>
            <w:vAlign w:val="center"/>
          </w:tcPr>
          <w:p w:rsidR="00901386" w:rsidRPr="00C82916" w:rsidP="00A62F16" w14:paraId="462C2E4B" w14:textId="152958D3">
            <w:pPr>
              <w:jc w:val="center"/>
              <w:rPr>
                <w:b/>
                <w:sz w:val="22"/>
                <w:szCs w:val="22"/>
              </w:rPr>
            </w:pPr>
            <w:r w:rsidRPr="00C82916">
              <w:rPr>
                <w:b/>
                <w:sz w:val="22"/>
                <w:szCs w:val="22"/>
              </w:rPr>
              <w:t>Subpart I– Contract Renewal, Revisions, and Cancellations</w:t>
            </w:r>
          </w:p>
        </w:tc>
      </w:tr>
      <w:tr w14:paraId="3E5C9BE5" w14:textId="77777777" w:rsidTr="006206D5">
        <w:tblPrEx>
          <w:tblW w:w="10173" w:type="dxa"/>
          <w:jc w:val="center"/>
          <w:tblLayout w:type="fixed"/>
          <w:tblCellMar>
            <w:left w:w="115" w:type="dxa"/>
            <w:right w:w="115" w:type="dxa"/>
          </w:tblCellMar>
          <w:tblLook w:val="04A0"/>
        </w:tblPrEx>
        <w:trPr>
          <w:gridAfter w:val="1"/>
          <w:wAfter w:w="8" w:type="dxa"/>
          <w:trHeight w:val="870"/>
          <w:jc w:val="center"/>
        </w:trPr>
        <w:tc>
          <w:tcPr>
            <w:tcW w:w="1095" w:type="dxa"/>
            <w:tcBorders>
              <w:top w:val="nil"/>
              <w:left w:val="single" w:sz="4" w:space="0" w:color="auto"/>
              <w:bottom w:val="single" w:sz="4" w:space="0" w:color="auto"/>
              <w:right w:val="single" w:sz="4" w:space="0" w:color="auto"/>
            </w:tcBorders>
            <w:vAlign w:val="center"/>
          </w:tcPr>
          <w:p w:rsidR="00901386" w14:paraId="72627174" w14:textId="77777777">
            <w:pPr>
              <w:jc w:val="center"/>
              <w:rPr>
                <w:sz w:val="22"/>
                <w:szCs w:val="22"/>
              </w:rPr>
            </w:pPr>
            <w:r w:rsidRPr="00C82916">
              <w:rPr>
                <w:sz w:val="22"/>
                <w:szCs w:val="22"/>
              </w:rPr>
              <w:t>273.192</w:t>
            </w:r>
          </w:p>
          <w:p w:rsidR="00115332" w:rsidRPr="00C82916" w14:paraId="0F5F10FA" w14:textId="078AA9FF">
            <w:pPr>
              <w:jc w:val="center"/>
              <w:rPr>
                <w:sz w:val="22"/>
                <w:szCs w:val="22"/>
              </w:rPr>
            </w:pPr>
          </w:p>
        </w:tc>
        <w:tc>
          <w:tcPr>
            <w:tcW w:w="4570" w:type="dxa"/>
            <w:tcBorders>
              <w:top w:val="nil"/>
              <w:left w:val="nil"/>
              <w:bottom w:val="single" w:sz="4" w:space="0" w:color="auto"/>
              <w:right w:val="single" w:sz="4" w:space="0" w:color="auto"/>
            </w:tcBorders>
            <w:vAlign w:val="center"/>
          </w:tcPr>
          <w:p w:rsidR="00901386" w:rsidRPr="00C82916" w14:paraId="4D1B0456" w14:textId="5B82211A">
            <w:pPr>
              <w:rPr>
                <w:sz w:val="22"/>
                <w:szCs w:val="22"/>
              </w:rPr>
            </w:pPr>
            <w:r w:rsidRPr="00C82916">
              <w:rPr>
                <w:sz w:val="22"/>
                <w:szCs w:val="22"/>
              </w:rPr>
              <w:t xml:space="preserve">What is required to renew a contract? </w:t>
            </w:r>
          </w:p>
        </w:tc>
        <w:tc>
          <w:tcPr>
            <w:tcW w:w="4500" w:type="dxa"/>
            <w:tcBorders>
              <w:top w:val="nil"/>
              <w:left w:val="nil"/>
              <w:bottom w:val="single" w:sz="4" w:space="0" w:color="auto"/>
              <w:right w:val="single" w:sz="4" w:space="0" w:color="auto"/>
            </w:tcBorders>
            <w:vAlign w:val="center"/>
          </w:tcPr>
          <w:p w:rsidR="006206D5" w:rsidRPr="00C82916" w:rsidP="006206D5" w14:paraId="6E9D3105" w14:textId="22B502F3">
            <w:pPr>
              <w:rPr>
                <w:sz w:val="22"/>
                <w:szCs w:val="22"/>
              </w:rPr>
            </w:pPr>
            <w:r w:rsidRPr="00C82916">
              <w:rPr>
                <w:sz w:val="22"/>
                <w:szCs w:val="22"/>
              </w:rPr>
              <w:t xml:space="preserve">Requires submission to the awarding official of a </w:t>
            </w:r>
            <w:r w:rsidR="00E93148">
              <w:rPr>
                <w:sz w:val="22"/>
                <w:szCs w:val="22"/>
              </w:rPr>
              <w:t xml:space="preserve">written </w:t>
            </w:r>
            <w:r w:rsidRPr="00C82916">
              <w:rPr>
                <w:sz w:val="22"/>
                <w:szCs w:val="22"/>
              </w:rPr>
              <w:t>request to renew with the education plan</w:t>
            </w:r>
            <w:r w:rsidR="00BF5E07">
              <w:rPr>
                <w:sz w:val="22"/>
                <w:szCs w:val="22"/>
              </w:rPr>
              <w:t>, scope of work,</w:t>
            </w:r>
            <w:r w:rsidRPr="00C82916">
              <w:rPr>
                <w:sz w:val="22"/>
                <w:szCs w:val="22"/>
              </w:rPr>
              <w:t xml:space="preserve"> and budget.</w:t>
            </w:r>
          </w:p>
          <w:p w:rsidR="00901386" w:rsidRPr="00C82916" w:rsidP="00A62F16" w14:paraId="208235F4" w14:textId="33B3C5F6">
            <w:pPr>
              <w:rPr>
                <w:sz w:val="22"/>
                <w:szCs w:val="22"/>
              </w:rPr>
            </w:pPr>
          </w:p>
        </w:tc>
      </w:tr>
      <w:tr w14:paraId="5EC07F16" w14:textId="77777777" w:rsidTr="006206D5">
        <w:tblPrEx>
          <w:tblW w:w="10173" w:type="dxa"/>
          <w:jc w:val="center"/>
          <w:tblLayout w:type="fixed"/>
          <w:tblCellMar>
            <w:left w:w="115" w:type="dxa"/>
            <w:right w:w="115" w:type="dxa"/>
          </w:tblCellMar>
          <w:tblLook w:val="04A0"/>
        </w:tblPrEx>
        <w:trPr>
          <w:gridAfter w:val="1"/>
          <w:wAfter w:w="8" w:type="dxa"/>
          <w:trHeight w:val="870"/>
          <w:jc w:val="center"/>
        </w:trPr>
        <w:tc>
          <w:tcPr>
            <w:tcW w:w="1095" w:type="dxa"/>
            <w:tcBorders>
              <w:top w:val="nil"/>
              <w:left w:val="single" w:sz="4" w:space="0" w:color="auto"/>
              <w:bottom w:val="single" w:sz="4" w:space="0" w:color="auto"/>
              <w:right w:val="single" w:sz="4" w:space="0" w:color="auto"/>
            </w:tcBorders>
            <w:vAlign w:val="center"/>
          </w:tcPr>
          <w:p w:rsidR="00A62F16" w:rsidRPr="00C82916" w14:paraId="317598D6" w14:textId="62CE4A0D">
            <w:pPr>
              <w:jc w:val="center"/>
              <w:rPr>
                <w:sz w:val="22"/>
                <w:szCs w:val="22"/>
              </w:rPr>
            </w:pPr>
            <w:r w:rsidRPr="00C82916">
              <w:rPr>
                <w:sz w:val="22"/>
                <w:szCs w:val="22"/>
              </w:rPr>
              <w:t>273.193</w:t>
            </w:r>
          </w:p>
        </w:tc>
        <w:tc>
          <w:tcPr>
            <w:tcW w:w="4570" w:type="dxa"/>
            <w:tcBorders>
              <w:top w:val="nil"/>
              <w:left w:val="nil"/>
              <w:bottom w:val="single" w:sz="4" w:space="0" w:color="auto"/>
              <w:right w:val="single" w:sz="4" w:space="0" w:color="auto"/>
            </w:tcBorders>
            <w:vAlign w:val="center"/>
          </w:tcPr>
          <w:p w:rsidR="00A62F16" w:rsidRPr="00C82916" w14:paraId="077510EE" w14:textId="10F0A539">
            <w:pPr>
              <w:rPr>
                <w:sz w:val="22"/>
                <w:szCs w:val="22"/>
              </w:rPr>
            </w:pPr>
            <w:r w:rsidRPr="00C82916">
              <w:rPr>
                <w:sz w:val="22"/>
                <w:szCs w:val="22"/>
              </w:rPr>
              <w:t>May a contract be revised or amended?</w:t>
            </w:r>
          </w:p>
        </w:tc>
        <w:tc>
          <w:tcPr>
            <w:tcW w:w="4500" w:type="dxa"/>
            <w:tcBorders>
              <w:top w:val="nil"/>
              <w:left w:val="nil"/>
              <w:bottom w:val="single" w:sz="4" w:space="0" w:color="auto"/>
              <w:right w:val="single" w:sz="4" w:space="0" w:color="auto"/>
            </w:tcBorders>
            <w:vAlign w:val="center"/>
          </w:tcPr>
          <w:p w:rsidR="00A62F16" w:rsidRPr="00C82916" w:rsidP="00A62F16" w14:paraId="31171D01" w14:textId="369F8342">
            <w:pPr>
              <w:rPr>
                <w:sz w:val="22"/>
                <w:szCs w:val="22"/>
              </w:rPr>
            </w:pPr>
            <w:r w:rsidRPr="00C82916">
              <w:rPr>
                <w:sz w:val="22"/>
                <w:szCs w:val="22"/>
              </w:rPr>
              <w:t xml:space="preserve">Requires </w:t>
            </w:r>
            <w:r w:rsidR="00581B55">
              <w:rPr>
                <w:sz w:val="22"/>
                <w:szCs w:val="22"/>
              </w:rPr>
              <w:t xml:space="preserve">contractor to submit a </w:t>
            </w:r>
            <w:r w:rsidRPr="00C82916">
              <w:rPr>
                <w:sz w:val="22"/>
                <w:szCs w:val="22"/>
              </w:rPr>
              <w:t>written request for revision/amendment</w:t>
            </w:r>
            <w:r w:rsidR="00B10C62">
              <w:rPr>
                <w:sz w:val="22"/>
                <w:szCs w:val="22"/>
              </w:rPr>
              <w:t>, and written approval of the Indian Education Committee if the contract revision or amendment will alter a program that has been approved by the Indian Education Committee.</w:t>
            </w:r>
          </w:p>
        </w:tc>
      </w:tr>
    </w:tbl>
    <w:p w:rsidR="008617F4" w:rsidRPr="00C82916" w14:paraId="12306A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C82916" w14:paraId="665F88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82916">
        <w:rPr>
          <w:b/>
          <w:sz w:val="24"/>
          <w:szCs w:val="24"/>
        </w:rPr>
        <w:t>2.</w:t>
      </w:r>
      <w:r w:rsidRPr="00C82916">
        <w:rPr>
          <w:b/>
          <w:sz w:val="24"/>
          <w:szCs w:val="24"/>
        </w:rPr>
        <w:tab/>
      </w:r>
      <w:r w:rsidRPr="00C82916">
        <w:rPr>
          <w:b/>
          <w:sz w:val="24"/>
          <w:szCs w:val="24"/>
        </w:rPr>
        <w:t xml:space="preserve">Indicate how, by whom, and for what purpose the information is to be used.  Except for a new collection, indicate the actual use the agency has made of the information received from the current collection. </w:t>
      </w:r>
      <w:r w:rsidRPr="00C82916" w:rsidR="00DE1FFE">
        <w:rPr>
          <w:b/>
          <w:sz w:val="24"/>
          <w:szCs w:val="24"/>
        </w:rPr>
        <w:t xml:space="preserve"> </w:t>
      </w:r>
      <w:r w:rsidRPr="00C82916">
        <w:rPr>
          <w:b/>
          <w:sz w:val="24"/>
          <w:szCs w:val="24"/>
        </w:rPr>
        <w:t xml:space="preserve">Be specific.  If this collection is a form or a questionnaire, every </w:t>
      </w:r>
      <w:r w:rsidRPr="00C82916" w:rsidR="00DE1FFE">
        <w:rPr>
          <w:b/>
          <w:sz w:val="24"/>
          <w:szCs w:val="24"/>
        </w:rPr>
        <w:t>question needs to be justified.</w:t>
      </w:r>
    </w:p>
    <w:p w:rsidR="00BB6435" w:rsidRPr="00C82916" w:rsidP="004127B1" w14:paraId="79F8D7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01386" w:rsidRPr="00C82916" w:rsidP="00901386" w14:paraId="5A787F11" w14:textId="024551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 xml:space="preserve">The </w:t>
      </w:r>
      <w:r w:rsidRPr="00C82916" w:rsidR="00A62F16">
        <w:rPr>
          <w:sz w:val="24"/>
          <w:szCs w:val="24"/>
        </w:rPr>
        <w:t xml:space="preserve">Bureau of Indian Education (BIE) uses the information required by the regulations to ensure that the funding provided meets the purposes of the </w:t>
      </w:r>
      <w:r w:rsidRPr="00C82916" w:rsidR="00495F8C">
        <w:rPr>
          <w:sz w:val="24"/>
          <w:szCs w:val="24"/>
        </w:rPr>
        <w:t>JOM</w:t>
      </w:r>
      <w:r w:rsidRPr="00C82916" w:rsidR="00A62F16">
        <w:rPr>
          <w:sz w:val="24"/>
          <w:szCs w:val="24"/>
        </w:rPr>
        <w:t xml:space="preserve"> Act, to financially assist those efforts designed to meet the specialized and unique educational needs of eligible Indian students, including supplemental programs and school operational support, where such support is necessary to maintain established State educational standards.</w:t>
      </w:r>
      <w:r w:rsidRPr="00C82916" w:rsidR="00BF5338">
        <w:rPr>
          <w:sz w:val="24"/>
          <w:szCs w:val="24"/>
        </w:rPr>
        <w:t xml:space="preserve"> The information collected provides an accounting of expenditures and data to measure the effectiveness of the education plan and associated educational objectives for Indian students. </w:t>
      </w:r>
    </w:p>
    <w:p w:rsidR="00AE5E80" w:rsidRPr="00C82916" w:rsidP="00901386" w14:paraId="5BAF851E" w14:textId="7F5380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C6A18" w:rsidP="009C6A18" w14:paraId="6F94853D" w14:textId="0D033C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Tribal </w:t>
      </w:r>
      <w:r w:rsidR="00DF3C11">
        <w:rPr>
          <w:sz w:val="24"/>
          <w:szCs w:val="24"/>
        </w:rPr>
        <w:t>o</w:t>
      </w:r>
      <w:r>
        <w:rPr>
          <w:sz w:val="24"/>
          <w:szCs w:val="24"/>
        </w:rPr>
        <w:t>rgan</w:t>
      </w:r>
      <w:r w:rsidR="00C21CB4">
        <w:rPr>
          <w:sz w:val="24"/>
          <w:szCs w:val="24"/>
        </w:rPr>
        <w:t>i</w:t>
      </w:r>
      <w:r>
        <w:rPr>
          <w:sz w:val="24"/>
          <w:szCs w:val="24"/>
        </w:rPr>
        <w:t>zation c</w:t>
      </w:r>
      <w:r w:rsidRPr="00C82916" w:rsidR="004042DC">
        <w:rPr>
          <w:sz w:val="24"/>
          <w:szCs w:val="24"/>
        </w:rPr>
        <w:t xml:space="preserve">ontractors may use one of </w:t>
      </w:r>
      <w:r w:rsidR="00164D58">
        <w:rPr>
          <w:sz w:val="24"/>
          <w:szCs w:val="24"/>
        </w:rPr>
        <w:t>three</w:t>
      </w:r>
      <w:r w:rsidRPr="00C82916" w:rsidR="004042DC">
        <w:rPr>
          <w:sz w:val="24"/>
          <w:szCs w:val="24"/>
        </w:rPr>
        <w:t xml:space="preserve"> vehicles as their JOM contracting vehicle:  a contract under Public Law 93-638 (“638 contract”), under Public Law 102-477 (“477 contract”), </w:t>
      </w:r>
      <w:r w:rsidR="00DF3C11">
        <w:rPr>
          <w:sz w:val="24"/>
          <w:szCs w:val="24"/>
        </w:rPr>
        <w:t xml:space="preserve">or </w:t>
      </w:r>
      <w:r w:rsidRPr="00C82916" w:rsidR="004042DC">
        <w:rPr>
          <w:sz w:val="24"/>
          <w:szCs w:val="24"/>
        </w:rPr>
        <w:t>under the Self-Governance Act, Public Law 103-413 (“self-governance contracts”)</w:t>
      </w:r>
      <w:r w:rsidR="000C0442">
        <w:rPr>
          <w:sz w:val="24"/>
          <w:szCs w:val="24"/>
        </w:rPr>
        <w:t>.</w:t>
      </w:r>
      <w:r w:rsidRPr="00C82916" w:rsidR="004042DC">
        <w:rPr>
          <w:sz w:val="24"/>
          <w:szCs w:val="24"/>
        </w:rPr>
        <w:t xml:space="preserve"> State</w:t>
      </w:r>
      <w:r w:rsidR="000152C3">
        <w:rPr>
          <w:sz w:val="24"/>
          <w:szCs w:val="24"/>
        </w:rPr>
        <w:t xml:space="preserve">s </w:t>
      </w:r>
      <w:r w:rsidR="00535FF7">
        <w:rPr>
          <w:sz w:val="24"/>
          <w:szCs w:val="24"/>
        </w:rPr>
        <w:t xml:space="preserve">and public school districts </w:t>
      </w:r>
      <w:r w:rsidR="00D54619">
        <w:rPr>
          <w:sz w:val="24"/>
          <w:szCs w:val="24"/>
        </w:rPr>
        <w:t>receive a JOM grant issued by BIE’s grants management division</w:t>
      </w:r>
      <w:r w:rsidRPr="00C82916" w:rsidR="004042DC">
        <w:rPr>
          <w:sz w:val="24"/>
          <w:szCs w:val="24"/>
        </w:rPr>
        <w:t xml:space="preserve">.  </w:t>
      </w:r>
    </w:p>
    <w:p w:rsidR="001971F4" w:rsidP="009C6A18" w14:paraId="1694F7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971F4" w:rsidRPr="00C82916" w:rsidP="009C6A18" w14:paraId="789097AD" w14:textId="1006BB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F107B">
        <w:rPr>
          <w:b/>
          <w:bCs/>
          <w:sz w:val="24"/>
          <w:szCs w:val="24"/>
        </w:rPr>
        <w:t>Subpart C</w:t>
      </w:r>
      <w:r>
        <w:rPr>
          <w:sz w:val="24"/>
          <w:szCs w:val="24"/>
        </w:rPr>
        <w:t xml:space="preserve"> requires </w:t>
      </w:r>
      <w:r w:rsidR="00D147ED">
        <w:rPr>
          <w:sz w:val="24"/>
          <w:szCs w:val="24"/>
        </w:rPr>
        <w:t xml:space="preserve">each </w:t>
      </w:r>
      <w:r w:rsidR="00A65E47">
        <w:rPr>
          <w:sz w:val="24"/>
          <w:szCs w:val="24"/>
        </w:rPr>
        <w:t xml:space="preserve">Indian Education Committee to submit a copy of its organizational documents </w:t>
      </w:r>
      <w:r w:rsidR="00A87891">
        <w:rPr>
          <w:sz w:val="24"/>
          <w:szCs w:val="24"/>
        </w:rPr>
        <w:t>and by-laws with the BIE Director, together with a list of its officers and members.</w:t>
      </w:r>
    </w:p>
    <w:p w:rsidR="009C6A18" w:rsidRPr="00C82916" w:rsidP="00901386" w14:paraId="52C521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206D5" w:rsidRPr="00C82916" w:rsidP="006206D5" w14:paraId="5CA915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b/>
          <w:sz w:val="24"/>
          <w:szCs w:val="24"/>
        </w:rPr>
        <w:t>S</w:t>
      </w:r>
      <w:r w:rsidRPr="00C82916" w:rsidR="00A62F16">
        <w:rPr>
          <w:b/>
          <w:sz w:val="24"/>
          <w:szCs w:val="24"/>
        </w:rPr>
        <w:t>ubpart D</w:t>
      </w:r>
      <w:r w:rsidRPr="00C82916" w:rsidR="00901386">
        <w:rPr>
          <w:sz w:val="24"/>
          <w:szCs w:val="24"/>
        </w:rPr>
        <w:t xml:space="preserve"> </w:t>
      </w:r>
      <w:r w:rsidRPr="00C82916" w:rsidR="00A62F16">
        <w:rPr>
          <w:sz w:val="24"/>
          <w:szCs w:val="24"/>
        </w:rPr>
        <w:t xml:space="preserve">requires the contracting party to submit an education plan, which </w:t>
      </w:r>
      <w:r w:rsidRPr="00C82916">
        <w:rPr>
          <w:sz w:val="24"/>
          <w:szCs w:val="24"/>
        </w:rPr>
        <w:t>must include:</w:t>
      </w:r>
    </w:p>
    <w:p w:rsidR="00F51F0F" w:rsidP="00495F8C" w14:paraId="3B2D01A1" w14:textId="77777777">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The education programs developed and approved by the Indian Education Committee(s)</w:t>
      </w:r>
      <w:r w:rsidRPr="00C82916" w:rsidR="00495F8C">
        <w:rPr>
          <w:sz w:val="24"/>
          <w:szCs w:val="24"/>
        </w:rPr>
        <w:t xml:space="preserve"> to ensure that the contract will fund programs that meet the purposes of the JOM Act and</w:t>
      </w:r>
      <w:r>
        <w:rPr>
          <w:sz w:val="24"/>
          <w:szCs w:val="24"/>
        </w:rPr>
        <w:t>;</w:t>
      </w:r>
    </w:p>
    <w:p w:rsidR="006206D5" w:rsidRPr="00C82916" w:rsidP="00495F8C" w14:paraId="7C3F1B76" w14:textId="162A9569">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Educa</w:t>
      </w:r>
      <w:r w:rsidR="009D6BE6">
        <w:rPr>
          <w:sz w:val="24"/>
          <w:szCs w:val="24"/>
        </w:rPr>
        <w:t xml:space="preserve">tional goals and objectives that adequately </w:t>
      </w:r>
      <w:r w:rsidRPr="00C82916" w:rsidR="004042DC">
        <w:rPr>
          <w:sz w:val="24"/>
          <w:szCs w:val="24"/>
        </w:rPr>
        <w:t>address the educational needs of the Indian students to be served by the contract;</w:t>
      </w:r>
    </w:p>
    <w:p w:rsidR="006206D5" w:rsidRPr="00C82916" w:rsidP="006206D5" w14:paraId="1C0D69B1" w14:textId="19EC43BA">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Procedures for addressing hearing grievances</w:t>
      </w:r>
      <w:r w:rsidRPr="00C82916" w:rsidR="00495F8C">
        <w:rPr>
          <w:sz w:val="24"/>
          <w:szCs w:val="24"/>
        </w:rPr>
        <w:t xml:space="preserve"> to ensure a process is in place to address grievances</w:t>
      </w:r>
      <w:r w:rsidRPr="00C82916">
        <w:rPr>
          <w:sz w:val="24"/>
          <w:szCs w:val="24"/>
        </w:rPr>
        <w:t>;</w:t>
      </w:r>
    </w:p>
    <w:p w:rsidR="006206D5" w:rsidRPr="00C82916" w:rsidP="006206D5" w14:paraId="499C6D76" w14:textId="773B498B">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Established State standards and requirements that must be maintained in operating the contracted programs and services</w:t>
      </w:r>
      <w:r w:rsidRPr="00C82916" w:rsidR="00495F8C">
        <w:rPr>
          <w:sz w:val="24"/>
          <w:szCs w:val="24"/>
        </w:rPr>
        <w:t xml:space="preserve"> to ensure that the JOM contract will meet applicable standards; </w:t>
      </w:r>
    </w:p>
    <w:p w:rsidR="006206D5" w:rsidRPr="00C82916" w:rsidP="006206D5" w14:paraId="1120309F" w14:textId="6A7A48CD">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A description of how the State standards and requirements will be maintained</w:t>
      </w:r>
      <w:r w:rsidRPr="00C82916" w:rsidR="00495F8C">
        <w:rPr>
          <w:sz w:val="24"/>
          <w:szCs w:val="24"/>
        </w:rPr>
        <w:t xml:space="preserve"> to ensure that the JOM contract will meet applicable standards;</w:t>
      </w:r>
    </w:p>
    <w:p w:rsidR="006206D5" w:rsidRPr="00C82916" w:rsidP="006206D5" w14:paraId="1AF5F4B1" w14:textId="2A98F3D3">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A requirement that the contractor comply in full with the requirements concerning meaningful participation by the Indian Education Committee</w:t>
      </w:r>
      <w:r w:rsidRPr="00C82916" w:rsidR="00495F8C">
        <w:rPr>
          <w:sz w:val="24"/>
          <w:szCs w:val="24"/>
        </w:rPr>
        <w:t>, to ensure the Indian Education Committee steers the programs funded under the contract</w:t>
      </w:r>
      <w:r w:rsidRPr="00C82916">
        <w:rPr>
          <w:sz w:val="24"/>
          <w:szCs w:val="24"/>
        </w:rPr>
        <w:t>;</w:t>
      </w:r>
    </w:p>
    <w:p w:rsidR="006206D5" w:rsidRPr="00C82916" w:rsidP="006206D5" w14:paraId="68B8F53A" w14:textId="1ED4A783">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A requirement that education facilities receiving funds be open to visits and consultations by the Indian Education Committee(s), Tribal representatives, Indian parents and guardians in the community, and by duly authorized representatives of the Federal and State Governments</w:t>
      </w:r>
      <w:r w:rsidRPr="00C82916" w:rsidR="00495F8C">
        <w:rPr>
          <w:sz w:val="24"/>
          <w:szCs w:val="24"/>
        </w:rPr>
        <w:t>, for transparency</w:t>
      </w:r>
      <w:r w:rsidRPr="00C82916">
        <w:rPr>
          <w:sz w:val="24"/>
          <w:szCs w:val="24"/>
        </w:rPr>
        <w:t>;</w:t>
      </w:r>
    </w:p>
    <w:p w:rsidR="006206D5" w:rsidRPr="00C82916" w:rsidP="006206D5" w14:paraId="1AA4A47D" w14:textId="32E40C56">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An outline of administrative and fiscal management procedures to be used by the contractor</w:t>
      </w:r>
      <w:r w:rsidRPr="00C82916" w:rsidR="00495F8C">
        <w:rPr>
          <w:sz w:val="24"/>
          <w:szCs w:val="24"/>
        </w:rPr>
        <w:t>, to ensure contract abides by accepted commercial practices</w:t>
      </w:r>
      <w:r w:rsidRPr="00C82916">
        <w:rPr>
          <w:sz w:val="24"/>
          <w:szCs w:val="24"/>
        </w:rPr>
        <w:t>;</w:t>
      </w:r>
    </w:p>
    <w:p w:rsidR="006206D5" w:rsidRPr="00C82916" w:rsidP="006206D5" w14:paraId="394710E6" w14:textId="0B66E63F">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w:t>
      </w:r>
    </w:p>
    <w:p w:rsidR="00830684" w:rsidRPr="008910B2" w:rsidP="00495F8C" w14:paraId="2D32B070" w14:textId="77777777">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Budget esti</w:t>
      </w:r>
      <w:r w:rsidRPr="00C82916" w:rsidR="00495F8C">
        <w:rPr>
          <w:sz w:val="24"/>
          <w:szCs w:val="24"/>
        </w:rPr>
        <w:t xml:space="preserve">mates and financial information, </w:t>
      </w:r>
      <w:r w:rsidRPr="00C82916">
        <w:rPr>
          <w:sz w:val="24"/>
          <w:szCs w:val="24"/>
        </w:rPr>
        <w:t>to determine program</w:t>
      </w:r>
      <w:r w:rsidRPr="00C82916" w:rsidR="00495F8C">
        <w:rPr>
          <w:sz w:val="24"/>
          <w:szCs w:val="24"/>
        </w:rPr>
        <w:t xml:space="preserve"> costs to contract for services</w:t>
      </w:r>
      <w:r w:rsidR="00C16055">
        <w:rPr>
          <w:sz w:val="24"/>
          <w:szCs w:val="24"/>
        </w:rPr>
        <w:t xml:space="preserve">.  </w:t>
      </w:r>
      <w:r w:rsidRPr="008910B2" w:rsidR="00C16055">
        <w:rPr>
          <w:sz w:val="24"/>
          <w:szCs w:val="24"/>
        </w:rPr>
        <w:t>This includes, but is not limited to:</w:t>
      </w:r>
    </w:p>
    <w:p w:rsidR="00830684" w:rsidRPr="008910B2" w14:paraId="75AEFB99" w14:textId="77777777">
      <w:pPr>
        <w:pStyle w:val="ListParagraph"/>
        <w:widowControl/>
        <w:numPr>
          <w:ilvl w:val="1"/>
          <w:numId w:val="8"/>
        </w:numPr>
        <w:shd w:val="clear" w:color="auto" w:fill="FFFFFF"/>
        <w:autoSpaceDE/>
        <w:autoSpaceDN/>
        <w:adjustRightInd/>
        <w:textAlignment w:val="baseline"/>
        <w:rPr>
          <w:color w:val="00172E"/>
          <w:sz w:val="24"/>
          <w:szCs w:val="24"/>
        </w:rPr>
      </w:pPr>
      <w:r w:rsidRPr="008910B2">
        <w:rPr>
          <w:color w:val="00172E"/>
          <w:sz w:val="24"/>
          <w:szCs w:val="24"/>
          <w:bdr w:val="none" w:sz="0" w:space="0" w:color="auto" w:frame="1"/>
        </w:rPr>
        <w:t>State and district average operational cost per pupil;</w:t>
      </w:r>
    </w:p>
    <w:p w:rsidR="00830684" w:rsidRPr="008910B2" w14:paraId="54F721F4" w14:textId="34D8594D">
      <w:pPr>
        <w:pStyle w:val="ListParagraph"/>
        <w:widowControl/>
        <w:numPr>
          <w:ilvl w:val="1"/>
          <w:numId w:val="8"/>
        </w:numPr>
        <w:shd w:val="clear" w:color="auto" w:fill="FFFFFF"/>
        <w:autoSpaceDE/>
        <w:autoSpaceDN/>
        <w:adjustRightInd/>
        <w:textAlignment w:val="baseline"/>
        <w:rPr>
          <w:color w:val="00172E"/>
          <w:sz w:val="24"/>
          <w:szCs w:val="24"/>
        </w:rPr>
      </w:pPr>
      <w:r w:rsidRPr="008910B2">
        <w:rPr>
          <w:color w:val="00172E"/>
          <w:sz w:val="24"/>
          <w:szCs w:val="24"/>
          <w:bdr w:val="none" w:sz="0" w:space="0" w:color="auto" w:frame="1"/>
        </w:rPr>
        <w:t>Other sources of Federal funding the applicant is receiving, the amount received from each, the programs being funded, and the number of eligible Indian students served by such funding;</w:t>
      </w:r>
    </w:p>
    <w:p w:rsidR="00830684" w:rsidRPr="008910B2" w14:paraId="27DE73C5" w14:textId="44743FFF">
      <w:pPr>
        <w:pStyle w:val="ListParagraph"/>
        <w:widowControl/>
        <w:numPr>
          <w:ilvl w:val="1"/>
          <w:numId w:val="8"/>
        </w:numPr>
        <w:shd w:val="clear" w:color="auto" w:fill="FFFFFF"/>
        <w:autoSpaceDE/>
        <w:autoSpaceDN/>
        <w:adjustRightInd/>
        <w:textAlignment w:val="baseline"/>
        <w:rPr>
          <w:color w:val="00172E"/>
          <w:sz w:val="24"/>
          <w:szCs w:val="24"/>
        </w:rPr>
      </w:pPr>
      <w:r w:rsidRPr="008910B2">
        <w:rPr>
          <w:color w:val="00172E"/>
          <w:sz w:val="24"/>
          <w:szCs w:val="24"/>
          <w:bdr w:val="none" w:sz="0" w:space="0" w:color="auto" w:frame="1"/>
        </w:rPr>
        <w:t>Administrative costs involved, total number of employees, and total number of Indian employees;</w:t>
      </w:r>
    </w:p>
    <w:p w:rsidR="00830684" w:rsidRPr="008910B2" w14:paraId="1C0C1626" w14:textId="4869301C">
      <w:pPr>
        <w:pStyle w:val="ListParagraph"/>
        <w:widowControl/>
        <w:numPr>
          <w:ilvl w:val="1"/>
          <w:numId w:val="8"/>
        </w:numPr>
        <w:shd w:val="clear" w:color="auto" w:fill="FFFFFF"/>
        <w:autoSpaceDE/>
        <w:autoSpaceDN/>
        <w:adjustRightInd/>
        <w:textAlignment w:val="baseline"/>
        <w:rPr>
          <w:color w:val="00172E"/>
          <w:sz w:val="24"/>
          <w:szCs w:val="24"/>
        </w:rPr>
      </w:pPr>
      <w:r w:rsidRPr="008910B2">
        <w:rPr>
          <w:color w:val="00172E"/>
          <w:sz w:val="24"/>
          <w:szCs w:val="24"/>
          <w:bdr w:val="none" w:sz="0" w:space="0" w:color="auto" w:frame="1"/>
        </w:rPr>
        <w:t>Costs that parents normally are expected to pay for each school;</w:t>
      </w:r>
    </w:p>
    <w:p w:rsidR="00830684" w:rsidRPr="008910B2" w14:paraId="16BA7185" w14:textId="427F3A58">
      <w:pPr>
        <w:pStyle w:val="ListParagraph"/>
        <w:widowControl/>
        <w:numPr>
          <w:ilvl w:val="1"/>
          <w:numId w:val="8"/>
        </w:numPr>
        <w:shd w:val="clear" w:color="auto" w:fill="FFFFFF"/>
        <w:autoSpaceDE/>
        <w:autoSpaceDN/>
        <w:adjustRightInd/>
        <w:textAlignment w:val="baseline"/>
        <w:rPr>
          <w:color w:val="00172E"/>
          <w:sz w:val="24"/>
          <w:szCs w:val="24"/>
        </w:rPr>
      </w:pPr>
      <w:r w:rsidRPr="008910B2">
        <w:rPr>
          <w:color w:val="00172E"/>
          <w:sz w:val="24"/>
          <w:szCs w:val="24"/>
          <w:bdr w:val="none" w:sz="0" w:space="0" w:color="auto" w:frame="1"/>
        </w:rPr>
        <w:t>Supplemental and operational funds outlined in a separate budget, by line item, to facilitate accountability; and</w:t>
      </w:r>
    </w:p>
    <w:p w:rsidR="00830684" w:rsidRPr="008910B2" w14:paraId="09A1BA43" w14:textId="7590308B">
      <w:pPr>
        <w:pStyle w:val="ListParagraph"/>
        <w:widowControl/>
        <w:numPr>
          <w:ilvl w:val="1"/>
          <w:numId w:val="8"/>
        </w:numPr>
        <w:shd w:val="clear" w:color="auto" w:fill="FFFFFF"/>
        <w:autoSpaceDE/>
        <w:autoSpaceDN/>
        <w:adjustRightInd/>
        <w:textAlignment w:val="baseline"/>
        <w:rPr>
          <w:color w:val="00172E"/>
          <w:sz w:val="24"/>
          <w:szCs w:val="24"/>
        </w:rPr>
      </w:pPr>
      <w:r w:rsidRPr="008910B2">
        <w:rPr>
          <w:color w:val="00172E"/>
          <w:sz w:val="24"/>
          <w:szCs w:val="24"/>
          <w:bdr w:val="none" w:sz="0" w:space="0" w:color="auto" w:frame="1"/>
        </w:rPr>
        <w:t>Total number of employees for each special program and number of Indian employees for that program;</w:t>
      </w:r>
    </w:p>
    <w:p w:rsidR="006206D5" w:rsidRPr="00402D63" w14:paraId="179AC7A6" w14:textId="2DF50E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p>
    <w:p w:rsidR="006206D5" w:rsidRPr="00C82916" w:rsidP="006206D5" w14:paraId="27E9F962" w14:textId="0CA13B37">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The total enrollment of school or district, by age and grade level;</w:t>
      </w:r>
    </w:p>
    <w:p w:rsidR="006206D5" w:rsidRPr="00C82916" w:rsidP="006206D5" w14:paraId="5610E26B" w14:textId="704CF659">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The eligible Indian enrollment—total and classification by Tribal affiliation(s) and by age and grade level</w:t>
      </w:r>
      <w:r w:rsidRPr="00C82916" w:rsidR="00495F8C">
        <w:rPr>
          <w:sz w:val="24"/>
          <w:szCs w:val="24"/>
        </w:rPr>
        <w:t>,</w:t>
      </w:r>
      <w:r w:rsidRPr="00C82916">
        <w:rPr>
          <w:sz w:val="24"/>
          <w:szCs w:val="24"/>
        </w:rPr>
        <w:t>;</w:t>
      </w:r>
    </w:p>
    <w:p w:rsidR="006206D5" w:rsidRPr="00C82916" w:rsidP="006206D5" w14:paraId="60CAF717" w14:textId="23481B2C">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The total number of school board members and number of Indian school board members</w:t>
      </w:r>
      <w:r w:rsidRPr="00C82916" w:rsidR="00495F8C">
        <w:rPr>
          <w:sz w:val="24"/>
          <w:szCs w:val="24"/>
        </w:rPr>
        <w:t>, to allow for determination as to wh</w:t>
      </w:r>
      <w:r w:rsidR="00714A7C">
        <w:rPr>
          <w:sz w:val="24"/>
          <w:szCs w:val="24"/>
        </w:rPr>
        <w:t>ether the school board may</w:t>
      </w:r>
      <w:r w:rsidRPr="00C82916" w:rsidR="00495F8C">
        <w:rPr>
          <w:sz w:val="24"/>
          <w:szCs w:val="24"/>
        </w:rPr>
        <w:t xml:space="preserve"> serve as the Indian Education Committee</w:t>
      </w:r>
      <w:r w:rsidRPr="00C82916">
        <w:rPr>
          <w:sz w:val="24"/>
          <w:szCs w:val="24"/>
        </w:rPr>
        <w:t>;</w:t>
      </w:r>
    </w:p>
    <w:p w:rsidR="006206D5" w:rsidRPr="00C82916" w:rsidP="006206D5" w14:paraId="65760D7D" w14:textId="519639E1">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Government equipment needed to carry out the contract</w:t>
      </w:r>
      <w:r w:rsidRPr="00C82916" w:rsidR="00495F8C">
        <w:rPr>
          <w:sz w:val="24"/>
          <w:szCs w:val="24"/>
        </w:rPr>
        <w:t>, to identify any necessary requirement to be provided</w:t>
      </w:r>
      <w:r w:rsidRPr="00C82916">
        <w:rPr>
          <w:sz w:val="24"/>
          <w:szCs w:val="24"/>
        </w:rPr>
        <w:t>;</w:t>
      </w:r>
    </w:p>
    <w:p w:rsidR="006206D5" w:rsidRPr="00C82916" w:rsidP="006206D5" w14:paraId="7CF04FF8" w14:textId="2E1B257D">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The period of contract term requested;</w:t>
      </w:r>
    </w:p>
    <w:p w:rsidR="006206D5" w:rsidRPr="00C82916" w:rsidP="006206D5" w14:paraId="2A38DBF3" w14:textId="68F9364B">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The signature of the authorized representative of applicant; and</w:t>
      </w:r>
    </w:p>
    <w:p w:rsidR="00D564EB" w:rsidRPr="000A0024" w:rsidP="000A0024" w14:paraId="5C68F46D" w14:textId="5E71AD14">
      <w:pPr>
        <w:pStyle w:val="ListParagraph"/>
        <w:widowControl/>
        <w:numPr>
          <w:ilvl w:val="0"/>
          <w:numId w:val="8"/>
        </w:numPr>
        <w:shd w:val="clear" w:color="auto" w:fill="FFFFFF"/>
        <w:autoSpaceDE/>
        <w:autoSpaceDN/>
        <w:adjustRightInd/>
        <w:textAlignment w:val="baseline"/>
        <w:rPr>
          <w:sz w:val="24"/>
          <w:szCs w:val="24"/>
        </w:rPr>
      </w:pPr>
      <w:r w:rsidRPr="000A0024">
        <w:rPr>
          <w:sz w:val="24"/>
          <w:szCs w:val="24"/>
        </w:rPr>
        <w:t>Written information regarding</w:t>
      </w:r>
      <w:r w:rsidRPr="000A0024" w:rsidR="00495F8C">
        <w:rPr>
          <w:sz w:val="24"/>
          <w:szCs w:val="24"/>
        </w:rPr>
        <w:t xml:space="preserve"> </w:t>
      </w:r>
      <w:r w:rsidRPr="000A0024" w:rsidR="00A37872">
        <w:rPr>
          <w:sz w:val="24"/>
          <w:szCs w:val="24"/>
        </w:rPr>
        <w:t xml:space="preserve">(1) </w:t>
      </w:r>
      <w:r w:rsidRPr="000A0024" w:rsidR="00495F8C">
        <w:rPr>
          <w:sz w:val="24"/>
          <w:szCs w:val="24"/>
        </w:rPr>
        <w:t>program goals and objectives</w:t>
      </w:r>
      <w:r w:rsidR="00D6545F">
        <w:rPr>
          <w:sz w:val="24"/>
          <w:szCs w:val="24"/>
        </w:rPr>
        <w:t xml:space="preserve"> related to the learning needs of potential target students</w:t>
      </w:r>
      <w:r w:rsidRPr="000A0024" w:rsidR="00495F8C">
        <w:rPr>
          <w:sz w:val="24"/>
          <w:szCs w:val="24"/>
        </w:rPr>
        <w:t>, to ensure the goals and objectives align with the purposes of funding under the JOM Act</w:t>
      </w:r>
      <w:r w:rsidRPr="000A0024">
        <w:rPr>
          <w:sz w:val="24"/>
          <w:szCs w:val="24"/>
        </w:rPr>
        <w:t>;</w:t>
      </w:r>
      <w:r w:rsidRPr="000A0024">
        <w:rPr>
          <w:color w:val="00172E"/>
          <w:sz w:val="24"/>
          <w:szCs w:val="24"/>
          <w:bdr w:val="none" w:sz="0" w:space="0" w:color="auto" w:frame="1"/>
        </w:rPr>
        <w:t xml:space="preserve"> (2) </w:t>
      </w:r>
      <w:r w:rsidRPr="000A0024">
        <w:rPr>
          <w:sz w:val="24"/>
          <w:szCs w:val="24"/>
          <w:bdr w:val="none" w:sz="0" w:space="0" w:color="auto" w:frame="1"/>
        </w:rPr>
        <w:t>Procedures and methods to be used in achieving program objectives, including ways whereby parents, students and communities have been involved in determining needs and priorities; (3) Overall program implementation including staffing practices, parental and community involvement, evaluation of program results, and dissemina</w:t>
      </w:r>
      <w:r w:rsidRPr="000A0024">
        <w:rPr>
          <w:sz w:val="24"/>
          <w:szCs w:val="24"/>
          <w:bdr w:val="none" w:sz="0" w:space="0" w:color="auto" w:frame="1"/>
        </w:rPr>
        <w:t>tion thereof; and</w:t>
      </w:r>
      <w:r w:rsidRPr="000A0024" w:rsidR="000A0024">
        <w:rPr>
          <w:sz w:val="24"/>
          <w:szCs w:val="24"/>
          <w:bdr w:val="none" w:sz="0" w:space="0" w:color="auto" w:frame="1"/>
        </w:rPr>
        <w:t xml:space="preserve"> (4)</w:t>
      </w:r>
      <w:r w:rsidRPr="000A0024">
        <w:rPr>
          <w:sz w:val="24"/>
          <w:szCs w:val="24"/>
        </w:rPr>
        <w:t> </w:t>
      </w:r>
      <w:r w:rsidRPr="000A0024">
        <w:rPr>
          <w:sz w:val="24"/>
          <w:szCs w:val="24"/>
          <w:bdr w:val="none" w:sz="0" w:space="0" w:color="auto" w:frame="1"/>
        </w:rPr>
        <w:t>Determination of staff and program effectiveness in meeting the stated needs of target students.</w:t>
      </w:r>
    </w:p>
    <w:p w:rsidR="009264DE" w:rsidRPr="00C82916" w:rsidP="009264DE" w14:paraId="3BABFE62" w14:textId="7A136E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58D1">
        <w:rPr>
          <w:b/>
          <w:sz w:val="24"/>
          <w:szCs w:val="24"/>
        </w:rPr>
        <w:t>Subpart E</w:t>
      </w:r>
      <w:r w:rsidRPr="00C82916">
        <w:rPr>
          <w:b/>
          <w:sz w:val="24"/>
          <w:szCs w:val="24"/>
        </w:rPr>
        <w:t xml:space="preserve"> </w:t>
      </w:r>
      <w:r w:rsidRPr="00C82916">
        <w:rPr>
          <w:sz w:val="24"/>
          <w:szCs w:val="24"/>
        </w:rPr>
        <w:t>requires the contracting party to provide information in support of its request for a contract</w:t>
      </w:r>
      <w:r w:rsidR="00EF601F">
        <w:rPr>
          <w:sz w:val="24"/>
          <w:szCs w:val="24"/>
        </w:rPr>
        <w:t xml:space="preserve"> for JOM funding</w:t>
      </w:r>
      <w:r w:rsidRPr="00AB719C">
        <w:rPr>
          <w:sz w:val="24"/>
          <w:szCs w:val="24"/>
        </w:rPr>
        <w:t>.</w:t>
      </w:r>
      <w:r w:rsidRPr="00AB719C" w:rsidR="006206D5">
        <w:rPr>
          <w:sz w:val="24"/>
          <w:szCs w:val="24"/>
        </w:rPr>
        <w:t xml:space="preserve"> </w:t>
      </w:r>
      <w:r w:rsidRPr="00C82916" w:rsidR="006206D5">
        <w:rPr>
          <w:sz w:val="24"/>
          <w:szCs w:val="24"/>
        </w:rPr>
        <w:t xml:space="preserve"> The contract proposal </w:t>
      </w:r>
      <w:r w:rsidRPr="00C82916" w:rsidR="00495F8C">
        <w:rPr>
          <w:sz w:val="24"/>
          <w:szCs w:val="24"/>
        </w:rPr>
        <w:t xml:space="preserve">information will allow BIE to identify clearly </w:t>
      </w:r>
      <w:r w:rsidRPr="00C82916" w:rsidR="006206D5">
        <w:rPr>
          <w:sz w:val="24"/>
          <w:szCs w:val="24"/>
        </w:rPr>
        <w:t xml:space="preserve">what educational needs the </w:t>
      </w:r>
      <w:r w:rsidRPr="00C82916" w:rsidR="00495F8C">
        <w:rPr>
          <w:sz w:val="24"/>
          <w:szCs w:val="24"/>
        </w:rPr>
        <w:t>JOM</w:t>
      </w:r>
      <w:r w:rsidRPr="00C82916" w:rsidR="006206D5">
        <w:rPr>
          <w:sz w:val="24"/>
          <w:szCs w:val="24"/>
        </w:rPr>
        <w:t xml:space="preserve"> funds requested will address</w:t>
      </w:r>
      <w:r w:rsidRPr="00C82916" w:rsidR="00495F8C">
        <w:rPr>
          <w:sz w:val="24"/>
          <w:szCs w:val="24"/>
        </w:rPr>
        <w:t xml:space="preserve"> and ensure they are aligned with the purposes under the JOM Act.</w:t>
      </w:r>
      <w:r w:rsidRPr="00C82916">
        <w:rPr>
          <w:sz w:val="24"/>
          <w:szCs w:val="24"/>
        </w:rPr>
        <w:t xml:space="preserve"> BIE plans to use an application form for </w:t>
      </w:r>
      <w:r w:rsidR="00B253EF">
        <w:rPr>
          <w:sz w:val="24"/>
          <w:szCs w:val="24"/>
        </w:rPr>
        <w:t>both initial and renewal</w:t>
      </w:r>
      <w:r w:rsidRPr="00C82916">
        <w:rPr>
          <w:sz w:val="24"/>
          <w:szCs w:val="24"/>
        </w:rPr>
        <w:t xml:space="preserve"> contract requests. The following describes the information requested by the application form and the purpose for which BIE</w:t>
      </w:r>
      <w:r w:rsidRPr="00C82916" w:rsidR="00D75548">
        <w:rPr>
          <w:sz w:val="24"/>
          <w:szCs w:val="24"/>
        </w:rPr>
        <w:t xml:space="preserve"> is requesting the information on the </w:t>
      </w:r>
      <w:r w:rsidRPr="00C82916">
        <w:rPr>
          <w:sz w:val="24"/>
          <w:szCs w:val="24"/>
        </w:rPr>
        <w:t>Johnson-O’Malley Application for Contract</w:t>
      </w:r>
      <w:r w:rsidRPr="00C82916" w:rsidR="00D75548">
        <w:rPr>
          <w:sz w:val="24"/>
          <w:szCs w:val="24"/>
        </w:rPr>
        <w:t>:</w:t>
      </w:r>
    </w:p>
    <w:p w:rsidR="004C103D" w:rsidRPr="00C82916" w:rsidP="009264DE" w14:paraId="6C742E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64DE" w:rsidRPr="00C82916" w:rsidP="009264DE" w14:paraId="10741007" w14:textId="5B9F03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ab/>
        <w:t>Part I.  Contract Summary</w:t>
      </w:r>
    </w:p>
    <w:p w:rsidR="009264DE" w:rsidRPr="00C82916" w:rsidP="009264DE" w14:paraId="74C77C7C" w14:textId="1E2CAE58">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Requests basic identifying information for the contracting party to allow BIE officials to identify and reach a point of contact, determine the type of contracting party under the regulations, and see the overall eligible student count, proposed budget, and contract term that is detailed in the rest of the application. The second page includes instructions for the applicant as to what parts the application must consist of.</w:t>
      </w:r>
    </w:p>
    <w:p w:rsidR="004C103D" w:rsidRPr="00C82916" w:rsidP="009264DE" w14:paraId="2082FF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64DE" w:rsidRPr="00C82916" w:rsidP="009264DE" w14:paraId="33293133" w14:textId="7E51C2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ab/>
        <w:t>Part II.  Budget Summary</w:t>
      </w:r>
    </w:p>
    <w:p w:rsidR="009264DE" w:rsidRPr="00C82916" w:rsidP="009264DE" w14:paraId="0204F5B0" w14:textId="3EA41ADA">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 xml:space="preserve">This page provides the roll-up of budget categories that are detailed later in the application, so that both BIE and the contracting party know the consolidated costs in each category (e.g., in personnel, travel, supplies). </w:t>
      </w:r>
    </w:p>
    <w:p w:rsidR="004C103D" w:rsidRPr="00C82916" w:rsidP="009264DE" w14:paraId="60E55C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64DE" w:rsidRPr="00C82916" w:rsidP="009264DE" w14:paraId="38A6F084" w14:textId="21A68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ab/>
        <w:t>Part III.  Contract Administration</w:t>
      </w:r>
    </w:p>
    <w:p w:rsidR="00F53D6B" w:rsidRPr="00C82916" w:rsidP="009264DE" w14:paraId="48C69F25"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 xml:space="preserve">This part contains three subparts. </w:t>
      </w:r>
    </w:p>
    <w:p w:rsidR="00F53D6B" w:rsidRPr="00C82916" w:rsidP="00F53D6B" w14:paraId="13ACE8BF" w14:textId="2756513C">
      <w:pPr>
        <w:pStyle w:val="ListParagraph"/>
        <w:numPr>
          <w:ilvl w:val="1"/>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 xml:space="preserve">. </w:t>
      </w:r>
    </w:p>
    <w:p w:rsidR="00F53D6B" w:rsidRPr="00C82916" w:rsidP="00F53D6B" w14:paraId="4DCE5D4D" w14:textId="77777777">
      <w:pPr>
        <w:pStyle w:val="ListParagraph"/>
        <w:numPr>
          <w:ilvl w:val="1"/>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 xml:space="preserve">The second, “B. Services Location Information,” requests a list of each service location that the contracting party is applying to serve, whether the location is a Tribal or school building, whether each has a separate Indian Education Committee, and the contact and address for the location, so that BIE can contact the locations if needed. </w:t>
      </w:r>
    </w:p>
    <w:p w:rsidR="009264DE" w:rsidRPr="00C82916" w:rsidP="00F53D6B" w14:paraId="71DCF623" w14:textId="6B699D8F">
      <w:pPr>
        <w:pStyle w:val="ListParagraph"/>
        <w:numPr>
          <w:ilvl w:val="1"/>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The third, “C. Contract Administration Costs,” lists activities and costs associated with contract administration that are not program costs but for which the contracting party is seeking funding, and requires details on the staffing plan and determination of and need for the amounts, so that BIE can review whether funding for these activities and costs are allowable under the Act.</w:t>
      </w:r>
    </w:p>
    <w:p w:rsidR="004C103D" w:rsidRPr="00C82916" w:rsidP="00F53D6B" w14:paraId="034C03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53D6B" w:rsidRPr="00C82916" w:rsidP="00F53D6B" w14:paraId="7D2AF1BF" w14:textId="663C44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ab/>
        <w:t xml:space="preserve">Part IV. </w:t>
      </w:r>
      <w:r w:rsidR="002723B0">
        <w:rPr>
          <w:sz w:val="24"/>
          <w:szCs w:val="24"/>
        </w:rPr>
        <w:t>Education Plan</w:t>
      </w:r>
    </w:p>
    <w:p w:rsidR="00F53D6B" w:rsidRPr="00C82916" w:rsidP="009264DE" w14:paraId="6721F0F5" w14:textId="77777777">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 xml:space="preserve">This part also contains three subparts.  </w:t>
      </w:r>
    </w:p>
    <w:p w:rsidR="00F53D6B" w:rsidRPr="00C82916" w:rsidP="00F53D6B" w14:paraId="2C6A31AC" w14:textId="4A583408">
      <w:pPr>
        <w:pStyle w:val="ListParagraph"/>
        <w:numPr>
          <w:ilvl w:val="1"/>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 xml:space="preserve">The first, “A. </w:t>
      </w:r>
      <w:r w:rsidR="00EB7E69">
        <w:rPr>
          <w:sz w:val="24"/>
          <w:szCs w:val="24"/>
        </w:rPr>
        <w:t xml:space="preserve">Educational </w:t>
      </w:r>
      <w:r w:rsidRPr="00C82916">
        <w:rPr>
          <w:sz w:val="24"/>
          <w:szCs w:val="24"/>
        </w:rPr>
        <w:t xml:space="preserve">Needs Assessment,” requires the applicant to describe how they carried out the </w:t>
      </w:r>
      <w:r w:rsidR="00CA1966">
        <w:rPr>
          <w:sz w:val="24"/>
          <w:szCs w:val="24"/>
        </w:rPr>
        <w:t xml:space="preserve">educational </w:t>
      </w:r>
      <w:r w:rsidRPr="00C82916">
        <w:rPr>
          <w:sz w:val="24"/>
          <w:szCs w:val="24"/>
        </w:rPr>
        <w:t xml:space="preserve">needs assessment </w:t>
      </w:r>
      <w:r w:rsidR="00265F0E">
        <w:rPr>
          <w:sz w:val="24"/>
          <w:szCs w:val="24"/>
        </w:rPr>
        <w:t xml:space="preserve">of the Indian students who are to be the beneficiaries of the proposed contract </w:t>
      </w:r>
      <w:r w:rsidRPr="00C82916">
        <w:rPr>
          <w:sz w:val="24"/>
          <w:szCs w:val="24"/>
        </w:rPr>
        <w:t>and ranking process</w:t>
      </w:r>
      <w:r w:rsidR="00372A24">
        <w:rPr>
          <w:sz w:val="24"/>
          <w:szCs w:val="24"/>
        </w:rPr>
        <w:t>,</w:t>
      </w:r>
      <w:r w:rsidRPr="00C82916">
        <w:rPr>
          <w:sz w:val="24"/>
          <w:szCs w:val="24"/>
        </w:rPr>
        <w:t xml:space="preserve"> and how they assessed other education program services and involved necessary stakeholders, so that BIE can ensure that the contracting party conducted the necessary background analysis for identifying the education needs for which funding is requested. </w:t>
      </w:r>
    </w:p>
    <w:p w:rsidR="00F53D6B" w:rsidRPr="00C82916" w:rsidP="00F53D6B" w14:paraId="700AB41A" w14:textId="26C38419">
      <w:pPr>
        <w:pStyle w:val="ListParagraph"/>
        <w:numPr>
          <w:ilvl w:val="1"/>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 xml:space="preserve">The second, “B. Public School and Indian Enrollment,” requires the applicant to identify the public school district, community or Tribal organization and the student enrollment, and eligible Indian student enrollment, broken down by age/grade cohort. </w:t>
      </w:r>
    </w:p>
    <w:p w:rsidR="00F53D6B" w:rsidRPr="00C82916" w:rsidP="00F53D6B" w14:paraId="35AF838E" w14:textId="62D59950">
      <w:pPr>
        <w:pStyle w:val="ListParagraph"/>
        <w:numPr>
          <w:ilvl w:val="1"/>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The third, “C.</w:t>
      </w:r>
      <w:r w:rsidR="0047559B">
        <w:rPr>
          <w:sz w:val="24"/>
          <w:szCs w:val="24"/>
        </w:rPr>
        <w:t xml:space="preserve"> Education Programs</w:t>
      </w:r>
      <w:r w:rsidR="007F003D">
        <w:rPr>
          <w:sz w:val="24"/>
          <w:szCs w:val="24"/>
        </w:rPr>
        <w:t>:</w:t>
      </w:r>
      <w:r w:rsidRPr="00C82916">
        <w:rPr>
          <w:sz w:val="24"/>
          <w:szCs w:val="24"/>
        </w:rPr>
        <w:t xml:space="preserve"> breakdown of each program component and measurable objectives that will be used, and a breakdown of the specific program costs for whic</w:t>
      </w:r>
      <w:r w:rsidRPr="00C82916" w:rsidR="004C103D">
        <w:rPr>
          <w:sz w:val="24"/>
          <w:szCs w:val="24"/>
        </w:rPr>
        <w:t>h JOM funds are being requested.</w:t>
      </w:r>
    </w:p>
    <w:p w:rsidR="004C103D" w:rsidRPr="00C82916" w:rsidP="004C103D" w14:paraId="651F0B6E" w14:textId="704EBD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C103D" w:rsidRPr="00C82916" w:rsidP="004C103D" w14:paraId="17CA371E" w14:textId="7F7EB2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ab/>
      </w:r>
      <w:r w:rsidRPr="00C82916">
        <w:rPr>
          <w:sz w:val="24"/>
          <w:szCs w:val="24"/>
        </w:rPr>
        <w:t>Part V. Indian Education Committee</w:t>
      </w:r>
    </w:p>
    <w:p w:rsidR="00A62F16" w:rsidRPr="00C82916" w:rsidP="004C103D" w14:paraId="5EA01407" w14:textId="687E1006">
      <w:pPr>
        <w:pStyle w:val="ListParagraph"/>
        <w:numPr>
          <w:ilvl w:val="0"/>
          <w:numId w:val="1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 xml:space="preserve">This part provides identifying information for the Indian Education Committee that is required by regulation to participate in developing and implementing the program and costs associated with those activities for which JOM funding is being requested. </w:t>
      </w:r>
    </w:p>
    <w:p w:rsidR="00A62F16" w:rsidRPr="00C82916" w:rsidP="00901386" w14:paraId="7BEF83D1" w14:textId="2EA0D0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206D5" w:rsidRPr="00C82916" w:rsidP="006206D5" w14:paraId="31FDE6F3" w14:textId="63678A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b/>
          <w:sz w:val="24"/>
          <w:szCs w:val="24"/>
        </w:rPr>
        <w:t xml:space="preserve">Subpart G </w:t>
      </w:r>
      <w:r w:rsidRPr="00C82916">
        <w:rPr>
          <w:sz w:val="24"/>
          <w:szCs w:val="24"/>
        </w:rPr>
        <w:t xml:space="preserve">requires </w:t>
      </w:r>
      <w:r w:rsidR="00D822ED">
        <w:rPr>
          <w:sz w:val="24"/>
          <w:szCs w:val="24"/>
        </w:rPr>
        <w:t xml:space="preserve">each JOM contractor </w:t>
      </w:r>
      <w:r w:rsidRPr="00C82916" w:rsidR="00495F8C">
        <w:rPr>
          <w:sz w:val="24"/>
          <w:szCs w:val="24"/>
        </w:rPr>
        <w:t xml:space="preserve"> to provide annual reports with general information on the contractor, number and names of schools, number </w:t>
      </w:r>
      <w:r w:rsidRPr="00C82916">
        <w:rPr>
          <w:sz w:val="24"/>
          <w:szCs w:val="24"/>
        </w:rPr>
        <w:t>of eligible Indian students who were served using amounts allocated under the contract d</w:t>
      </w:r>
      <w:r w:rsidRPr="00C82916" w:rsidR="00495F8C">
        <w:rPr>
          <w:sz w:val="24"/>
          <w:szCs w:val="24"/>
        </w:rPr>
        <w:t xml:space="preserve">uring the previous fiscal year, </w:t>
      </w:r>
      <w:r w:rsidR="0086651B">
        <w:rPr>
          <w:sz w:val="24"/>
          <w:szCs w:val="24"/>
        </w:rPr>
        <w:t xml:space="preserve">an accounting of </w:t>
      </w:r>
      <w:r w:rsidRPr="00C82916" w:rsidR="00495F8C">
        <w:rPr>
          <w:sz w:val="24"/>
          <w:szCs w:val="24"/>
        </w:rPr>
        <w:t xml:space="preserve">the </w:t>
      </w:r>
      <w:r w:rsidRPr="00C82916">
        <w:rPr>
          <w:sz w:val="24"/>
          <w:szCs w:val="24"/>
        </w:rPr>
        <w:t>amounts and purposes for which t</w:t>
      </w:r>
      <w:r w:rsidRPr="00C82916" w:rsidR="00495F8C">
        <w:rPr>
          <w:sz w:val="24"/>
          <w:szCs w:val="24"/>
        </w:rPr>
        <w:t xml:space="preserve">he contract funds were expended, </w:t>
      </w:r>
      <w:r w:rsidR="005F3D46">
        <w:rPr>
          <w:sz w:val="24"/>
          <w:szCs w:val="24"/>
        </w:rPr>
        <w:t xml:space="preserve">information on the conduct of the program, a quantitative evaluation of </w:t>
      </w:r>
      <w:r w:rsidRPr="00C82916" w:rsidR="00495F8C">
        <w:rPr>
          <w:sz w:val="24"/>
          <w:szCs w:val="24"/>
        </w:rPr>
        <w:t>the effectiveness of the program</w:t>
      </w:r>
      <w:r w:rsidR="003C66C9">
        <w:rPr>
          <w:sz w:val="24"/>
          <w:szCs w:val="24"/>
        </w:rPr>
        <w:t xml:space="preserve"> in meeting the stated objectives contained in the educational plans</w:t>
      </w:r>
      <w:r w:rsidRPr="00C82916" w:rsidR="00495F8C">
        <w:rPr>
          <w:sz w:val="24"/>
          <w:szCs w:val="24"/>
        </w:rPr>
        <w:t>, and a</w:t>
      </w:r>
      <w:r w:rsidR="0065424E">
        <w:rPr>
          <w:sz w:val="24"/>
          <w:szCs w:val="24"/>
        </w:rPr>
        <w:t xml:space="preserve"> complete </w:t>
      </w:r>
      <w:r w:rsidRPr="00C82916" w:rsidR="00495F8C">
        <w:rPr>
          <w:sz w:val="24"/>
          <w:szCs w:val="24"/>
        </w:rPr>
        <w:t>accounting</w:t>
      </w:r>
      <w:r w:rsidR="0065424E">
        <w:rPr>
          <w:sz w:val="24"/>
          <w:szCs w:val="24"/>
        </w:rPr>
        <w:t xml:space="preserve"> of the actual </w:t>
      </w:r>
      <w:r w:rsidR="0065424E">
        <w:rPr>
          <w:sz w:val="24"/>
          <w:szCs w:val="24"/>
        </w:rPr>
        <w:t>receipts at the en</w:t>
      </w:r>
      <w:r w:rsidR="00F16253">
        <w:rPr>
          <w:sz w:val="24"/>
          <w:szCs w:val="24"/>
        </w:rPr>
        <w:t>d</w:t>
      </w:r>
      <w:r w:rsidR="0065424E">
        <w:rPr>
          <w:sz w:val="24"/>
          <w:szCs w:val="24"/>
        </w:rPr>
        <w:t xml:space="preserve"> of the fiscal year for </w:t>
      </w:r>
      <w:r w:rsidR="00915997">
        <w:rPr>
          <w:sz w:val="24"/>
          <w:szCs w:val="24"/>
        </w:rPr>
        <w:t>which the contract funds were expended</w:t>
      </w:r>
      <w:r w:rsidRPr="00C82916" w:rsidR="00495F8C">
        <w:rPr>
          <w:sz w:val="24"/>
          <w:szCs w:val="24"/>
        </w:rPr>
        <w:t xml:space="preserve">. These reports allow the BIE to report to Congress, in turn, as required under the JOM Act. </w:t>
      </w:r>
    </w:p>
    <w:p w:rsidR="006206D5" w:rsidRPr="00C82916" w:rsidP="006206D5" w14:paraId="2FCF4D74" w14:textId="458F16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206D5" w:rsidRPr="00BA0737" w:rsidP="006206D5" w14:paraId="785D708D" w14:textId="23FFCC20">
      <w:pPr>
        <w:rPr>
          <w:sz w:val="24"/>
          <w:szCs w:val="24"/>
        </w:rPr>
      </w:pPr>
      <w:r w:rsidRPr="00BA0737">
        <w:rPr>
          <w:b/>
          <w:sz w:val="24"/>
          <w:szCs w:val="24"/>
        </w:rPr>
        <w:t xml:space="preserve">Subpart H </w:t>
      </w:r>
      <w:r w:rsidRPr="00BA0737">
        <w:rPr>
          <w:sz w:val="24"/>
          <w:szCs w:val="24"/>
        </w:rPr>
        <w:t>requires the contracting parties to</w:t>
      </w:r>
      <w:r w:rsidRPr="00BA0737" w:rsidR="00495F8C">
        <w:rPr>
          <w:sz w:val="24"/>
          <w:szCs w:val="24"/>
        </w:rPr>
        <w:t xml:space="preserve"> meet recordkeeping requirements that allow BIE</w:t>
      </w:r>
      <w:r w:rsidRPr="00BA0737">
        <w:rPr>
          <w:sz w:val="24"/>
          <w:szCs w:val="24"/>
        </w:rPr>
        <w:t xml:space="preserve"> to meet its legal records program requirements under the Federal Records Act (44 U.S.C. 3101 et seq.). </w:t>
      </w:r>
    </w:p>
    <w:p w:rsidR="006206D5" w:rsidRPr="00C82916" w:rsidP="00901386" w14:paraId="1C329298" w14:textId="5B2EA3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206D5" w:rsidRPr="00C82916" w:rsidP="00B3403E" w14:paraId="274E5CAB" w14:textId="7601CC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b/>
          <w:sz w:val="24"/>
          <w:szCs w:val="24"/>
        </w:rPr>
        <w:t xml:space="preserve">Subpart I </w:t>
      </w:r>
      <w:r w:rsidRPr="00C82916">
        <w:rPr>
          <w:sz w:val="24"/>
          <w:szCs w:val="24"/>
        </w:rPr>
        <w:t>requires certain information for renewal, revision, or amendment of a contract</w:t>
      </w:r>
      <w:r w:rsidRPr="00C82916" w:rsidR="00B3403E">
        <w:rPr>
          <w:sz w:val="24"/>
          <w:szCs w:val="24"/>
        </w:rPr>
        <w:t xml:space="preserve"> to allow BIE the ability to identify the contract and supporting education plan, and maintain accountability for funds. </w:t>
      </w:r>
      <w:r w:rsidRPr="00C82916">
        <w:rPr>
          <w:sz w:val="24"/>
          <w:szCs w:val="24"/>
        </w:rPr>
        <w:t xml:space="preserve"> </w:t>
      </w:r>
    </w:p>
    <w:p w:rsidR="006206D5" w:rsidRPr="00C82916" w:rsidP="00901386" w14:paraId="42916566" w14:textId="5EEBDD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C82916" w14:paraId="68C9D3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82916">
        <w:rPr>
          <w:b/>
          <w:sz w:val="24"/>
          <w:szCs w:val="24"/>
        </w:rPr>
        <w:t>3.</w:t>
      </w:r>
      <w:r w:rsidRPr="00C82916">
        <w:rPr>
          <w:b/>
          <w:sz w:val="24"/>
          <w:szCs w:val="24"/>
        </w:rPr>
        <w:tab/>
      </w:r>
      <w:r w:rsidRPr="00C82916">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B6435" w:rsidRPr="00C82916" w:rsidP="004127B1" w14:paraId="21B2E2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4"/>
        </w:rPr>
      </w:pPr>
    </w:p>
    <w:p w:rsidR="00F86C76" w:rsidRPr="00C82916" w:rsidP="00901386" w14:paraId="66980E3A" w14:textId="5C6D0151">
      <w:pPr>
        <w:rPr>
          <w:sz w:val="24"/>
          <w:szCs w:val="22"/>
        </w:rPr>
      </w:pPr>
      <w:r w:rsidRPr="00C82916">
        <w:rPr>
          <w:sz w:val="24"/>
          <w:szCs w:val="22"/>
        </w:rPr>
        <w:t xml:space="preserve">BIE </w:t>
      </w:r>
      <w:r w:rsidRPr="00C82916" w:rsidR="00AE5E80">
        <w:rPr>
          <w:sz w:val="24"/>
          <w:szCs w:val="22"/>
        </w:rPr>
        <w:t xml:space="preserve">will </w:t>
      </w:r>
      <w:r w:rsidRPr="00C82916">
        <w:rPr>
          <w:sz w:val="24"/>
          <w:szCs w:val="22"/>
        </w:rPr>
        <w:t>accept education plans, contract proposals</w:t>
      </w:r>
      <w:r w:rsidR="00245C98">
        <w:rPr>
          <w:sz w:val="24"/>
          <w:szCs w:val="22"/>
        </w:rPr>
        <w:t xml:space="preserve"> for JOM funding</w:t>
      </w:r>
      <w:r w:rsidRPr="00C82916">
        <w:rPr>
          <w:sz w:val="24"/>
          <w:szCs w:val="22"/>
        </w:rPr>
        <w:t>,</w:t>
      </w:r>
      <w:r w:rsidR="007911EF">
        <w:rPr>
          <w:sz w:val="24"/>
          <w:szCs w:val="22"/>
        </w:rPr>
        <w:t xml:space="preserve"> annual student count reports,</w:t>
      </w:r>
      <w:r w:rsidRPr="00C82916">
        <w:rPr>
          <w:sz w:val="24"/>
          <w:szCs w:val="22"/>
        </w:rPr>
        <w:t xml:space="preserve"> annual reports, </w:t>
      </w:r>
      <w:r w:rsidRPr="00026FDF" w:rsidR="00026FDF">
        <w:rPr>
          <w:sz w:val="24"/>
          <w:szCs w:val="24"/>
        </w:rPr>
        <w:t>I</w:t>
      </w:r>
      <w:r w:rsidR="00026FDF">
        <w:rPr>
          <w:sz w:val="24"/>
          <w:szCs w:val="24"/>
        </w:rPr>
        <w:t>ndian Education Committee</w:t>
      </w:r>
      <w:r w:rsidRPr="00026FDF" w:rsidR="00026FDF">
        <w:rPr>
          <w:sz w:val="24"/>
          <w:szCs w:val="24"/>
        </w:rPr>
        <w:t xml:space="preserve"> </w:t>
      </w:r>
      <w:r w:rsidR="00026FDF">
        <w:rPr>
          <w:sz w:val="24"/>
          <w:szCs w:val="24"/>
        </w:rPr>
        <w:t>o</w:t>
      </w:r>
      <w:r w:rsidRPr="00026FDF" w:rsidR="00026FDF">
        <w:rPr>
          <w:rStyle w:val="cf01"/>
          <w:rFonts w:ascii="Times New Roman" w:hAnsi="Times New Roman" w:cs="Times New Roman"/>
          <w:sz w:val="24"/>
          <w:szCs w:val="24"/>
        </w:rPr>
        <w:t xml:space="preserve">rganizational documents and by-laws </w:t>
      </w:r>
      <w:r w:rsidR="00B71812">
        <w:rPr>
          <w:rStyle w:val="cf01"/>
          <w:rFonts w:ascii="Times New Roman" w:hAnsi="Times New Roman" w:cs="Times New Roman"/>
          <w:sz w:val="24"/>
          <w:szCs w:val="24"/>
        </w:rPr>
        <w:t>and</w:t>
      </w:r>
      <w:r w:rsidRPr="00026FDF" w:rsidR="00026FDF">
        <w:rPr>
          <w:rStyle w:val="cf01"/>
          <w:rFonts w:ascii="Times New Roman" w:hAnsi="Times New Roman" w:cs="Times New Roman"/>
          <w:sz w:val="24"/>
          <w:szCs w:val="24"/>
        </w:rPr>
        <w:t xml:space="preserve"> list of its officers and members</w:t>
      </w:r>
      <w:r w:rsidR="00CA47C7">
        <w:rPr>
          <w:rStyle w:val="cf01"/>
          <w:rFonts w:ascii="Times New Roman" w:hAnsi="Times New Roman" w:cs="Times New Roman"/>
          <w:sz w:val="24"/>
          <w:szCs w:val="24"/>
        </w:rPr>
        <w:t>,</w:t>
      </w:r>
      <w:r w:rsidRPr="00026FDF" w:rsidR="00026FDF">
        <w:rPr>
          <w:sz w:val="24"/>
          <w:szCs w:val="24"/>
        </w:rPr>
        <w:t xml:space="preserve"> </w:t>
      </w:r>
      <w:r w:rsidRPr="00C82916">
        <w:rPr>
          <w:sz w:val="24"/>
          <w:szCs w:val="22"/>
        </w:rPr>
        <w:t>and requests for renewal and amendment/revision by email, fax, and by regular mail.</w:t>
      </w:r>
      <w:r w:rsidRPr="00C82916" w:rsidR="00901386">
        <w:rPr>
          <w:sz w:val="24"/>
          <w:szCs w:val="22"/>
        </w:rPr>
        <w:t xml:space="preserve">  </w:t>
      </w:r>
    </w:p>
    <w:p w:rsidR="00295103" w:rsidRPr="00C82916" w14:paraId="7266B5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C82916" w14:paraId="695418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82916">
        <w:rPr>
          <w:b/>
          <w:sz w:val="24"/>
          <w:szCs w:val="24"/>
        </w:rPr>
        <w:t>4.</w:t>
      </w:r>
      <w:r w:rsidRPr="00C82916">
        <w:rPr>
          <w:b/>
          <w:sz w:val="24"/>
          <w:szCs w:val="24"/>
        </w:rPr>
        <w:tab/>
        <w:t>Describe efforts to identify duplication.  Show specifically why any similar information already available cannot be used or modified for use for the purposes described in Item 2 above.</w:t>
      </w:r>
    </w:p>
    <w:p w:rsidR="00BB6435" w:rsidRPr="00C82916" w:rsidP="004127B1" w14:paraId="5A3C7C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901386" w:rsidRPr="00C82916" w:rsidP="00901386" w14:paraId="5D851030" w14:textId="7DB515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 xml:space="preserve">The information </w:t>
      </w:r>
      <w:r w:rsidR="00C33C1B">
        <w:rPr>
          <w:sz w:val="24"/>
          <w:szCs w:val="24"/>
        </w:rPr>
        <w:t xml:space="preserve">is </w:t>
      </w:r>
      <w:r w:rsidRPr="00C82916">
        <w:rPr>
          <w:sz w:val="24"/>
          <w:szCs w:val="24"/>
        </w:rPr>
        <w:t xml:space="preserve">needed to fulfill the </w:t>
      </w:r>
      <w:r w:rsidRPr="00C82916" w:rsidR="00B3403E">
        <w:rPr>
          <w:sz w:val="24"/>
          <w:szCs w:val="24"/>
        </w:rPr>
        <w:t>JOM Act authorizing contracts with Indian corporations, States, public school districts, and Tribal organizations</w:t>
      </w:r>
      <w:r w:rsidR="0063128A">
        <w:rPr>
          <w:sz w:val="24"/>
          <w:szCs w:val="24"/>
        </w:rPr>
        <w:t>, which</w:t>
      </w:r>
      <w:r w:rsidRPr="00C82916" w:rsidR="00277FBB">
        <w:rPr>
          <w:sz w:val="24"/>
          <w:szCs w:val="24"/>
        </w:rPr>
        <w:t xml:space="preserve"> financially assist those efforts designed to meet the specialized and unique educational needs of eligible Indian students</w:t>
      </w:r>
      <w:r w:rsidRPr="00C82916" w:rsidR="00B3403E">
        <w:rPr>
          <w:sz w:val="24"/>
          <w:szCs w:val="24"/>
        </w:rPr>
        <w:t>. No other law specifically addresses the provisi</w:t>
      </w:r>
      <w:r w:rsidRPr="00C82916" w:rsidR="00BF5338">
        <w:rPr>
          <w:sz w:val="24"/>
          <w:szCs w:val="24"/>
        </w:rPr>
        <w:t xml:space="preserve">on of funding for this purpose and the data is not available from another source. </w:t>
      </w:r>
    </w:p>
    <w:p w:rsidR="00295103" w:rsidRPr="00C82916" w14:paraId="54CADF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C82916" w14:paraId="05DABE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82916">
        <w:rPr>
          <w:b/>
          <w:sz w:val="24"/>
          <w:szCs w:val="24"/>
        </w:rPr>
        <w:t>5.</w:t>
      </w:r>
      <w:r w:rsidRPr="00C82916">
        <w:rPr>
          <w:b/>
          <w:sz w:val="24"/>
          <w:szCs w:val="24"/>
        </w:rPr>
        <w:tab/>
        <w:t>If the collection of information impacts small bus</w:t>
      </w:r>
      <w:r w:rsidRPr="00C82916" w:rsidR="006E339F">
        <w:rPr>
          <w:b/>
          <w:sz w:val="24"/>
          <w:szCs w:val="24"/>
        </w:rPr>
        <w:t>inesses or other small entities</w:t>
      </w:r>
      <w:r w:rsidRPr="00C82916">
        <w:rPr>
          <w:b/>
          <w:sz w:val="24"/>
          <w:szCs w:val="24"/>
        </w:rPr>
        <w:t>, describe any methods used to minimize burden.</w:t>
      </w:r>
    </w:p>
    <w:p w:rsidR="00BB6435" w:rsidRPr="00C82916" w:rsidP="004127B1" w14:paraId="33B7D1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901386" w:rsidRPr="00C82916" w:rsidP="00901386" w14:paraId="2DDFA620" w14:textId="2037D3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Contracting parties that are Indian corporations or public school districts may be considered small entities. (States and Tribes are not small entities).  BIE has done its best to minimize the amount of information requested to only that which is necessary.</w:t>
      </w:r>
    </w:p>
    <w:p w:rsidR="00901386" w:rsidRPr="00C82916" w:rsidP="00F86C76" w14:paraId="77F4F51C" w14:textId="77777777">
      <w:pPr>
        <w:rPr>
          <w:sz w:val="24"/>
          <w:szCs w:val="24"/>
        </w:rPr>
      </w:pPr>
    </w:p>
    <w:p w:rsidR="00295103" w:rsidRPr="00C82916" w14:paraId="0B6C2B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82916">
        <w:rPr>
          <w:b/>
          <w:sz w:val="24"/>
          <w:szCs w:val="24"/>
        </w:rPr>
        <w:t>6.</w:t>
      </w:r>
      <w:r w:rsidRPr="00C82916">
        <w:rPr>
          <w:b/>
          <w:sz w:val="24"/>
          <w:szCs w:val="24"/>
        </w:rPr>
        <w:tab/>
        <w:t>Describe the consequence to Federal program or policy activities if the collection is not conducted or is conducted less frequently, as well as any technical or legal obstacles to reducing burden.</w:t>
      </w:r>
    </w:p>
    <w:p w:rsidR="00BB6435" w:rsidRPr="00C82916" w14:paraId="4FBCA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901386" w:rsidRPr="00C82916" w:rsidP="00B3403E" w14:paraId="13CED963" w14:textId="6B0B3E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 xml:space="preserve">Without the collections </w:t>
      </w:r>
      <w:r w:rsidRPr="00C82916" w:rsidR="00B3403E">
        <w:rPr>
          <w:sz w:val="24"/>
          <w:szCs w:val="24"/>
        </w:rPr>
        <w:t xml:space="preserve">required by 25 CFR 273, BIE would not be able to ensure that JOM funding is being </w:t>
      </w:r>
      <w:r w:rsidRPr="00C82916" w:rsidR="00000DC8">
        <w:rPr>
          <w:sz w:val="24"/>
          <w:szCs w:val="24"/>
        </w:rPr>
        <w:t>supplied</w:t>
      </w:r>
      <w:r w:rsidRPr="00C82916" w:rsidR="00B3403E">
        <w:rPr>
          <w:sz w:val="24"/>
          <w:szCs w:val="24"/>
        </w:rPr>
        <w:t xml:space="preserve"> to provide educational benefits to eligible Indian students in </w:t>
      </w:r>
      <w:r w:rsidRPr="00C82916" w:rsidR="00B3403E">
        <w:rPr>
          <w:sz w:val="24"/>
          <w:szCs w:val="24"/>
        </w:rPr>
        <w:t xml:space="preserve">accordance with the JOM Act. </w:t>
      </w:r>
      <w:r w:rsidRPr="00C82916" w:rsidR="00BF5338">
        <w:rPr>
          <w:sz w:val="24"/>
          <w:szCs w:val="24"/>
        </w:rPr>
        <w:t xml:space="preserve">This would greatly hinder or terminate the continuance of benefits to recipients of this education program. </w:t>
      </w:r>
    </w:p>
    <w:p w:rsidR="004127B1" w:rsidRPr="00C82916" w14:paraId="017675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C82916" w14:paraId="38987E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82916">
        <w:rPr>
          <w:b/>
          <w:sz w:val="24"/>
          <w:szCs w:val="24"/>
        </w:rPr>
        <w:t>7.</w:t>
      </w:r>
      <w:r w:rsidRPr="00C82916">
        <w:rPr>
          <w:b/>
          <w:sz w:val="24"/>
          <w:szCs w:val="24"/>
        </w:rPr>
        <w:tab/>
        <w:t>Explain any special circumstances that would cause an information collection to be conducted in a manner:</w:t>
      </w:r>
    </w:p>
    <w:p w:rsidR="00295103" w:rsidRPr="00C82916" w14:paraId="4D2B02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82916">
        <w:rPr>
          <w:b/>
          <w:sz w:val="24"/>
          <w:szCs w:val="24"/>
        </w:rPr>
        <w:tab/>
        <w:t>*</w:t>
      </w:r>
      <w:r w:rsidRPr="00C82916">
        <w:rPr>
          <w:b/>
          <w:sz w:val="24"/>
          <w:szCs w:val="24"/>
        </w:rPr>
        <w:tab/>
        <w:t>requiring respondents to report information to the agency more often than quarterly;</w:t>
      </w:r>
    </w:p>
    <w:p w:rsidR="00295103" w:rsidRPr="00C82916" w14:paraId="0602C6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82916">
        <w:rPr>
          <w:b/>
          <w:sz w:val="24"/>
          <w:szCs w:val="24"/>
        </w:rPr>
        <w:tab/>
        <w:t>*</w:t>
      </w:r>
      <w:r w:rsidRPr="00C82916">
        <w:rPr>
          <w:b/>
          <w:sz w:val="24"/>
          <w:szCs w:val="24"/>
        </w:rPr>
        <w:tab/>
      </w:r>
      <w:r w:rsidRPr="00C82916">
        <w:rPr>
          <w:b/>
          <w:sz w:val="24"/>
          <w:szCs w:val="24"/>
        </w:rPr>
        <w:t>requiring respondents to prepare a written response to a collection of information in fewer than 30 days after receipt of it;</w:t>
      </w:r>
    </w:p>
    <w:p w:rsidR="00295103" w:rsidRPr="00C82916" w14:paraId="3396D6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82916">
        <w:rPr>
          <w:b/>
          <w:sz w:val="24"/>
          <w:szCs w:val="24"/>
        </w:rPr>
        <w:tab/>
        <w:t>*</w:t>
      </w:r>
      <w:r w:rsidRPr="00C82916">
        <w:rPr>
          <w:b/>
          <w:sz w:val="24"/>
          <w:szCs w:val="24"/>
        </w:rPr>
        <w:tab/>
        <w:t>requiring respondents to submit more than an original and two copies of any document;</w:t>
      </w:r>
      <w:r w:rsidRPr="00C82916" w:rsidR="00646EE4">
        <w:rPr>
          <w:b/>
          <w:sz w:val="24"/>
          <w:szCs w:val="24"/>
        </w:rPr>
        <w:t xml:space="preserve"> </w:t>
      </w:r>
    </w:p>
    <w:p w:rsidR="00295103" w:rsidRPr="00C82916" w14:paraId="3C9DB9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82916">
        <w:rPr>
          <w:b/>
          <w:sz w:val="24"/>
          <w:szCs w:val="24"/>
        </w:rPr>
        <w:tab/>
        <w:t>*</w:t>
      </w:r>
      <w:r w:rsidRPr="00C82916">
        <w:rPr>
          <w:b/>
          <w:sz w:val="24"/>
          <w:szCs w:val="24"/>
        </w:rPr>
        <w:tab/>
        <w:t>requiring respondents to retain records, other than health, medical, government contract, grant-in-aid, or tax records, for more than three years;</w:t>
      </w:r>
    </w:p>
    <w:p w:rsidR="00295103" w:rsidRPr="00C82916" w14:paraId="09E2B0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82916">
        <w:rPr>
          <w:b/>
          <w:sz w:val="24"/>
          <w:szCs w:val="24"/>
        </w:rPr>
        <w:tab/>
        <w:t>*</w:t>
      </w:r>
      <w:r w:rsidRPr="00C82916">
        <w:rPr>
          <w:b/>
          <w:sz w:val="24"/>
          <w:szCs w:val="24"/>
        </w:rPr>
        <w:tab/>
        <w:t>in conne</w:t>
      </w:r>
      <w:r w:rsidRPr="00C82916" w:rsidR="00352210">
        <w:rPr>
          <w:b/>
          <w:sz w:val="24"/>
          <w:szCs w:val="24"/>
        </w:rPr>
        <w:t>ction with a statistical survey</w:t>
      </w:r>
      <w:r w:rsidRPr="00C82916">
        <w:rPr>
          <w:b/>
          <w:sz w:val="24"/>
          <w:szCs w:val="24"/>
        </w:rPr>
        <w:t xml:space="preserve"> that is not designed to produce valid and reliable results that can be generalized to the universe of study;</w:t>
      </w:r>
    </w:p>
    <w:p w:rsidR="00295103" w:rsidRPr="00C82916" w14:paraId="58A59C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82916">
        <w:rPr>
          <w:b/>
          <w:sz w:val="24"/>
          <w:szCs w:val="24"/>
        </w:rPr>
        <w:tab/>
        <w:t>*</w:t>
      </w:r>
      <w:r w:rsidRPr="00C82916">
        <w:rPr>
          <w:b/>
          <w:sz w:val="24"/>
          <w:szCs w:val="24"/>
        </w:rPr>
        <w:tab/>
        <w:t>requiring the use of a statistical data classification that has not been reviewed and approved by OMB;</w:t>
      </w:r>
    </w:p>
    <w:p w:rsidR="00295103" w:rsidRPr="00C82916" w14:paraId="64845A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82916">
        <w:rPr>
          <w:b/>
          <w:sz w:val="24"/>
          <w:szCs w:val="24"/>
        </w:rPr>
        <w:tab/>
        <w:t>*</w:t>
      </w:r>
      <w:r w:rsidRPr="00C82916">
        <w:rPr>
          <w:b/>
          <w:sz w:val="24"/>
          <w:szCs w:val="24"/>
        </w:rPr>
        <w:tab/>
      </w:r>
      <w:r w:rsidRPr="00C82916">
        <w:rPr>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C82916" w14:paraId="44982E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82916">
        <w:rPr>
          <w:b/>
          <w:sz w:val="24"/>
          <w:szCs w:val="24"/>
        </w:rPr>
        <w:tab/>
        <w:t>*</w:t>
      </w:r>
      <w:r w:rsidRPr="00C82916">
        <w:rPr>
          <w:b/>
          <w:sz w:val="24"/>
          <w:szCs w:val="24"/>
        </w:rPr>
        <w:tab/>
        <w:t>requiring respondents to submit proprietary trade secrets, or other confidential information</w:t>
      </w:r>
      <w:r w:rsidRPr="00C82916" w:rsidR="00352210">
        <w:rPr>
          <w:b/>
          <w:sz w:val="24"/>
          <w:szCs w:val="24"/>
        </w:rPr>
        <w:t>,</w:t>
      </w:r>
      <w:r w:rsidRPr="00C82916">
        <w:rPr>
          <w:b/>
          <w:sz w:val="24"/>
          <w:szCs w:val="24"/>
        </w:rPr>
        <w:t xml:space="preserve"> unless the agency can demonstrate that it has instituted procedures to protect the information's confidentiality to the extent permitted by law.</w:t>
      </w:r>
    </w:p>
    <w:p w:rsidR="00D22478" w:rsidRPr="00C82916" w:rsidP="004127B1" w14:paraId="17C91D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295103" w:rsidRPr="00C82916" w:rsidP="001E5926" w14:paraId="408D6160" w14:textId="031027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82916">
        <w:rPr>
          <w:sz w:val="24"/>
          <w:szCs w:val="22"/>
        </w:rPr>
        <w:t>A special circumstance may exist if more than one Tribe is served by a contract.  In that case, the contracting party would need to send an original and more than two copies of the annual report</w:t>
      </w:r>
      <w:r w:rsidRPr="00C82916" w:rsidR="00901386">
        <w:rPr>
          <w:sz w:val="24"/>
          <w:szCs w:val="22"/>
        </w:rPr>
        <w:t>.</w:t>
      </w:r>
      <w:r w:rsidRPr="00C82916">
        <w:rPr>
          <w:sz w:val="24"/>
          <w:szCs w:val="22"/>
        </w:rPr>
        <w:t xml:space="preserve">  Under section 273.153, the contracting party must send the original annual report to the awarding official and send copies to the Indian Education Committee and any Tribes under the contract. </w:t>
      </w:r>
    </w:p>
    <w:p w:rsidR="00901386" w:rsidRPr="00C82916" w14:paraId="0ADD63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C82916" w:rsidP="00D22478" w14:paraId="0C870699" w14:textId="31ED9A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82916">
        <w:rPr>
          <w:b/>
          <w:sz w:val="24"/>
          <w:szCs w:val="24"/>
        </w:rPr>
        <w:t>8.</w:t>
      </w:r>
      <w:r w:rsidRPr="00C82916">
        <w:rPr>
          <w:b/>
          <w:sz w:val="24"/>
          <w:szCs w:val="24"/>
        </w:rPr>
        <w:tab/>
      </w:r>
      <w:r w:rsidRPr="00C82916">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C82916" w:rsidR="00DE1FFE">
        <w:rPr>
          <w:b/>
          <w:sz w:val="24"/>
          <w:szCs w:val="24"/>
        </w:rPr>
        <w:t xml:space="preserve">ved in response to that notice </w:t>
      </w:r>
      <w:r w:rsidRPr="00C82916">
        <w:rPr>
          <w:b/>
          <w:sz w:val="24"/>
          <w:szCs w:val="24"/>
        </w:rPr>
        <w:t>and in response to the PRA statement associated with the collec</w:t>
      </w:r>
      <w:r w:rsidRPr="00C82916" w:rsidR="00DE1FFE">
        <w:rPr>
          <w:b/>
          <w:sz w:val="24"/>
          <w:szCs w:val="24"/>
        </w:rPr>
        <w:t xml:space="preserve">tion over the past three years, </w:t>
      </w:r>
      <w:r w:rsidRPr="00C82916">
        <w:rPr>
          <w:b/>
          <w:sz w:val="24"/>
          <w:szCs w:val="24"/>
        </w:rPr>
        <w:t>and describe actions taken by the agency in response to these comments.  Specifically address comments received on c</w:t>
      </w:r>
      <w:r w:rsidRPr="00C82916">
        <w:rPr>
          <w:b/>
          <w:sz w:val="24"/>
          <w:szCs w:val="24"/>
        </w:rPr>
        <w:t>ost and hour burden.</w:t>
      </w:r>
    </w:p>
    <w:p w:rsidR="002D4009" w:rsidRPr="00C82916" w:rsidP="00585F4E" w14:paraId="712B80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295103" w:rsidRPr="00C82916" w14:paraId="661F73D5" w14:textId="527723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C82916">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C82916" w:rsidR="00352210">
        <w:rPr>
          <w:b/>
          <w:sz w:val="24"/>
          <w:szCs w:val="24"/>
        </w:rPr>
        <w:t>.</w:t>
      </w:r>
    </w:p>
    <w:p w:rsidR="008617F4" w:rsidRPr="00C82916" w14:paraId="5FABAD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C82916" w14:paraId="5839B7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C82916">
        <w:rPr>
          <w:b/>
          <w:sz w:val="24"/>
          <w:szCs w:val="24"/>
        </w:rPr>
        <w:t xml:space="preserve">Consultation with representatives of those from whom information is to be obtained or those who must compile records should occur at least once every </w:t>
      </w:r>
      <w:r w:rsidRPr="00C82916" w:rsidR="00352210">
        <w:rPr>
          <w:b/>
          <w:sz w:val="24"/>
          <w:szCs w:val="24"/>
        </w:rPr>
        <w:t>three</w:t>
      </w:r>
      <w:r w:rsidRPr="00C82916">
        <w:rPr>
          <w:b/>
          <w:sz w:val="24"/>
          <w:szCs w:val="24"/>
        </w:rPr>
        <w:t xml:space="preserve"> years — even if the collection of information activity is the same as in prior periods.  There may be </w:t>
      </w:r>
      <w:r w:rsidRPr="00C82916">
        <w:rPr>
          <w:b/>
          <w:sz w:val="24"/>
          <w:szCs w:val="24"/>
        </w:rPr>
        <w:t>circumstances that may preclude consultation in a specific situation.  These circumstances should be explained.</w:t>
      </w:r>
    </w:p>
    <w:p w:rsidR="00A117DF" w:rsidRPr="00C82916" w:rsidP="00585F4E" w14:paraId="3952B5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250D43" w:rsidP="00A117DF" w14:paraId="4B873D9A" w14:textId="1A1C0C04">
      <w:pPr>
        <w:rPr>
          <w:color w:val="000000"/>
          <w:sz w:val="24"/>
          <w:szCs w:val="24"/>
        </w:rPr>
      </w:pPr>
      <w:r w:rsidRPr="00485FEF">
        <w:rPr>
          <w:color w:val="000000"/>
          <w:sz w:val="24"/>
          <w:szCs w:val="24"/>
        </w:rPr>
        <w:t xml:space="preserve">A 60-day notice for public comments was published in the Federal Register on </w:t>
      </w:r>
      <w:r w:rsidR="00C16AF0">
        <w:rPr>
          <w:color w:val="000000"/>
          <w:sz w:val="24"/>
          <w:szCs w:val="24"/>
        </w:rPr>
        <w:t>January</w:t>
      </w:r>
      <w:r w:rsidR="00361080">
        <w:rPr>
          <w:color w:val="000000"/>
          <w:sz w:val="24"/>
          <w:szCs w:val="24"/>
        </w:rPr>
        <w:t xml:space="preserve"> 22, 2026</w:t>
      </w:r>
      <w:r w:rsidRPr="00485FEF">
        <w:rPr>
          <w:color w:val="000000"/>
          <w:sz w:val="24"/>
          <w:szCs w:val="24"/>
        </w:rPr>
        <w:t xml:space="preserve"> (</w:t>
      </w:r>
      <w:r w:rsidRPr="005E3A97" w:rsidR="005E3A97">
        <w:rPr>
          <w:color w:val="000000"/>
          <w:sz w:val="24"/>
          <w:szCs w:val="24"/>
        </w:rPr>
        <w:t>91 FR 2797</w:t>
      </w:r>
      <w:r w:rsidRPr="00485FEF">
        <w:rPr>
          <w:color w:val="000000"/>
          <w:sz w:val="24"/>
          <w:szCs w:val="24"/>
        </w:rPr>
        <w:t xml:space="preserve">).  </w:t>
      </w:r>
      <w:r>
        <w:rPr>
          <w:color w:val="000000"/>
          <w:sz w:val="24"/>
          <w:szCs w:val="24"/>
        </w:rPr>
        <w:t>No</w:t>
      </w:r>
      <w:r w:rsidRPr="00485FEF">
        <w:rPr>
          <w:color w:val="000000"/>
          <w:sz w:val="24"/>
          <w:szCs w:val="24"/>
        </w:rPr>
        <w:t xml:space="preserve"> comments were received in response to this notice.  </w:t>
      </w:r>
    </w:p>
    <w:p w:rsidR="00485FEF" w:rsidRPr="00C82916" w:rsidP="00A117DF" w14:paraId="0ABBC932" w14:textId="77777777">
      <w:pPr>
        <w:rPr>
          <w:color w:val="000000"/>
          <w:sz w:val="24"/>
          <w:szCs w:val="24"/>
        </w:rPr>
      </w:pPr>
    </w:p>
    <w:p w:rsidR="00295103" w:rsidRPr="00C82916" w14:paraId="299981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82916">
        <w:rPr>
          <w:b/>
          <w:sz w:val="24"/>
          <w:szCs w:val="24"/>
        </w:rPr>
        <w:t>9.</w:t>
      </w:r>
      <w:r w:rsidRPr="00C82916">
        <w:rPr>
          <w:b/>
          <w:sz w:val="24"/>
          <w:szCs w:val="24"/>
        </w:rPr>
        <w:tab/>
        <w:t>Explain any decision to provide any payment or gift to respondents, other than remuneration of contractors or grantees.</w:t>
      </w:r>
    </w:p>
    <w:p w:rsidR="00BB6435" w:rsidRPr="00C82916" w:rsidP="004127B1" w14:paraId="0100B1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4"/>
        </w:rPr>
      </w:pPr>
    </w:p>
    <w:p w:rsidR="00F86C76" w:rsidRPr="00C82916" w:rsidP="00F86C76" w14:paraId="12B84DA4" w14:textId="6E4D9454">
      <w:pPr>
        <w:rPr>
          <w:sz w:val="24"/>
          <w:szCs w:val="22"/>
        </w:rPr>
      </w:pPr>
      <w:r w:rsidRPr="00C82916">
        <w:rPr>
          <w:sz w:val="24"/>
          <w:szCs w:val="22"/>
        </w:rPr>
        <w:t xml:space="preserve">BIE does not provide gifts or payments to respondents other than </w:t>
      </w:r>
      <w:r w:rsidRPr="00C82916" w:rsidR="00D75548">
        <w:rPr>
          <w:sz w:val="24"/>
          <w:szCs w:val="22"/>
        </w:rPr>
        <w:t>remuneration</w:t>
      </w:r>
      <w:r w:rsidRPr="00C82916">
        <w:rPr>
          <w:sz w:val="24"/>
          <w:szCs w:val="22"/>
        </w:rPr>
        <w:t xml:space="preserve"> of contractors.</w:t>
      </w:r>
    </w:p>
    <w:p w:rsidR="00295103" w:rsidRPr="00C82916" w14:paraId="438738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C82916" w14:paraId="358363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82916">
        <w:rPr>
          <w:b/>
          <w:sz w:val="24"/>
          <w:szCs w:val="24"/>
        </w:rPr>
        <w:t>10.</w:t>
      </w:r>
      <w:r w:rsidRPr="00C82916">
        <w:rPr>
          <w:b/>
          <w:sz w:val="24"/>
          <w:szCs w:val="24"/>
        </w:rPr>
        <w:tab/>
        <w:t>Describe any assurance of confidentiality provided to respondents and the basis for the assurance in statute, regulation, or agency policy.</w:t>
      </w:r>
    </w:p>
    <w:p w:rsidR="004A6DFA" w:rsidRPr="00C82916" w:rsidP="00F86C76" w14:paraId="0C99FB89" w14:textId="34AC56B1">
      <w:pPr>
        <w:pStyle w:val="NormalWeb"/>
        <w:rPr>
          <w:szCs w:val="22"/>
        </w:rPr>
      </w:pPr>
      <w:r w:rsidRPr="00C82916">
        <w:rPr>
          <w:szCs w:val="22"/>
        </w:rPr>
        <w:t>BIE</w:t>
      </w:r>
      <w:r w:rsidRPr="00C82916" w:rsidR="00F86C76">
        <w:rPr>
          <w:szCs w:val="22"/>
        </w:rPr>
        <w:t xml:space="preserve"> does not provide any assurance of confidentiality.  The information that </w:t>
      </w:r>
      <w:r w:rsidRPr="00C82916">
        <w:rPr>
          <w:szCs w:val="22"/>
        </w:rPr>
        <w:t>BIE</w:t>
      </w:r>
      <w:r w:rsidRPr="00C82916" w:rsidR="00F86C76">
        <w:rPr>
          <w:szCs w:val="22"/>
        </w:rPr>
        <w:t xml:space="preserve"> collects is subject to the requirements of the Privacy Act and the Freedom of Information Act.</w:t>
      </w:r>
    </w:p>
    <w:p w:rsidR="00295103" w:rsidRPr="00C82916" w14:paraId="0A5374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82916">
        <w:rPr>
          <w:b/>
          <w:sz w:val="24"/>
          <w:szCs w:val="24"/>
        </w:rPr>
        <w:t>11.</w:t>
      </w:r>
      <w:r w:rsidRPr="00C8291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6435" w:rsidRPr="00C82916" w:rsidP="004127B1" w14:paraId="3EB232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4127B1" w:rsidRPr="00C82916" w:rsidP="004127B1" w14:paraId="55466408" w14:textId="76009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82916">
        <w:rPr>
          <w:color w:val="000000"/>
          <w:sz w:val="24"/>
          <w:szCs w:val="24"/>
        </w:rPr>
        <w:t>There are no questions of a sensitive nature</w:t>
      </w:r>
      <w:r w:rsidRPr="00C82916" w:rsidR="00C87D30">
        <w:rPr>
          <w:color w:val="000000"/>
          <w:sz w:val="24"/>
          <w:szCs w:val="24"/>
        </w:rPr>
        <w:t xml:space="preserve"> in this information collection</w:t>
      </w:r>
      <w:r w:rsidRPr="00C82916">
        <w:rPr>
          <w:color w:val="000000"/>
          <w:sz w:val="24"/>
          <w:szCs w:val="24"/>
        </w:rPr>
        <w:t>.</w:t>
      </w:r>
    </w:p>
    <w:p w:rsidR="008617F4" w:rsidRPr="00C82916" w14:paraId="087863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C82916" w14:paraId="0D832C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82916">
        <w:rPr>
          <w:b/>
          <w:sz w:val="24"/>
          <w:szCs w:val="24"/>
        </w:rPr>
        <w:t>12.</w:t>
      </w:r>
      <w:r w:rsidRPr="00C82916">
        <w:rPr>
          <w:b/>
          <w:sz w:val="24"/>
          <w:szCs w:val="24"/>
        </w:rPr>
        <w:tab/>
      </w:r>
      <w:r w:rsidRPr="00C82916">
        <w:rPr>
          <w:b/>
          <w:sz w:val="24"/>
          <w:szCs w:val="24"/>
        </w:rPr>
        <w:t>Provide estimates of the hour burden of the collection of information.  The statement should:</w:t>
      </w:r>
    </w:p>
    <w:p w:rsidR="00295103" w:rsidRPr="00C82916" w14:paraId="7C5A2C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82916">
        <w:rPr>
          <w:b/>
          <w:sz w:val="24"/>
          <w:szCs w:val="24"/>
        </w:rPr>
        <w:tab/>
        <w:t>*</w:t>
      </w:r>
      <w:r w:rsidRPr="00C82916">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C82916">
        <w:rPr>
          <w:b/>
          <w:sz w:val="24"/>
          <w:szCs w:val="24"/>
        </w:rPr>
        <w:t>explain the reasons for the variance.  Generally, estimates should not include burden hours for customary and usual business practices.</w:t>
      </w:r>
    </w:p>
    <w:p w:rsidR="00295103" w:rsidRPr="00C82916" w14:paraId="2A5FAE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82916">
        <w:rPr>
          <w:b/>
          <w:sz w:val="24"/>
          <w:szCs w:val="24"/>
        </w:rPr>
        <w:tab/>
        <w:t>*</w:t>
      </w:r>
      <w:r w:rsidRPr="00C82916">
        <w:rPr>
          <w:b/>
          <w:sz w:val="24"/>
          <w:szCs w:val="24"/>
        </w:rPr>
        <w:tab/>
        <w:t>If this request for approval covers more than one form, provide separate hour burden estimates for each form and aggregate the hour burdens.</w:t>
      </w:r>
    </w:p>
    <w:p w:rsidR="00295103" w:rsidRPr="00C82916" w14:paraId="33A3E6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82916">
        <w:rPr>
          <w:b/>
          <w:sz w:val="24"/>
          <w:szCs w:val="24"/>
        </w:rPr>
        <w:tab/>
        <w:t>*</w:t>
      </w:r>
      <w:r w:rsidRPr="00C82916">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C82916" w:rsidR="00DE7630">
        <w:rPr>
          <w:b/>
          <w:sz w:val="24"/>
          <w:szCs w:val="24"/>
        </w:rPr>
        <w:t>.</w:t>
      </w:r>
    </w:p>
    <w:p w:rsidR="00DF28B0" w:rsidP="00EB032B" w14:paraId="40E63650" w14:textId="77777777">
      <w:pPr>
        <w:rPr>
          <w:color w:val="000000"/>
          <w:sz w:val="24"/>
          <w:szCs w:val="22"/>
        </w:rPr>
      </w:pPr>
    </w:p>
    <w:p w:rsidR="00DF28B0" w:rsidP="00EB032B" w14:paraId="560AE570" w14:textId="3F7B6CA5">
      <w:pPr>
        <w:rPr>
          <w:color w:val="000000"/>
          <w:sz w:val="24"/>
          <w:szCs w:val="22"/>
        </w:rPr>
      </w:pPr>
      <w:r w:rsidRPr="00DF28B0">
        <w:rPr>
          <w:color w:val="000000"/>
          <w:sz w:val="24"/>
          <w:szCs w:val="22"/>
        </w:rPr>
        <w:t xml:space="preserve">We estimated the total annual burden for completing this information to be </w:t>
      </w:r>
      <w:r w:rsidRPr="00DF28B0">
        <w:rPr>
          <w:b/>
          <w:bCs/>
          <w:color w:val="000000"/>
          <w:sz w:val="24"/>
          <w:szCs w:val="22"/>
        </w:rPr>
        <w:t>11,400</w:t>
      </w:r>
      <w:r w:rsidRPr="00DF28B0">
        <w:rPr>
          <w:color w:val="000000"/>
          <w:sz w:val="24"/>
          <w:szCs w:val="22"/>
        </w:rPr>
        <w:t xml:space="preserve"> hours</w:t>
      </w:r>
      <w:r w:rsidR="004042DC">
        <w:rPr>
          <w:color w:val="000000"/>
          <w:sz w:val="24"/>
          <w:szCs w:val="22"/>
        </w:rPr>
        <w:t xml:space="preserve"> and</w:t>
      </w:r>
      <w:r w:rsidRPr="00DF28B0">
        <w:rPr>
          <w:color w:val="000000"/>
          <w:sz w:val="24"/>
          <w:szCs w:val="22"/>
        </w:rPr>
        <w:t xml:space="preserve"> equivalent to </w:t>
      </w:r>
      <w:r w:rsidRPr="00C82916">
        <w:rPr>
          <w:b/>
          <w:color w:val="000000"/>
          <w:sz w:val="24"/>
          <w:szCs w:val="22"/>
        </w:rPr>
        <w:t>$</w:t>
      </w:r>
      <w:r w:rsidRPr="00B10359" w:rsidR="00B10359">
        <w:rPr>
          <w:b/>
          <w:color w:val="000000"/>
          <w:sz w:val="24"/>
          <w:szCs w:val="22"/>
        </w:rPr>
        <w:t>547,770</w:t>
      </w:r>
      <w:r w:rsidRPr="00DF28B0">
        <w:rPr>
          <w:bCs/>
          <w:color w:val="000000"/>
          <w:sz w:val="24"/>
          <w:szCs w:val="22"/>
        </w:rPr>
        <w:t xml:space="preserve">. </w:t>
      </w:r>
      <w:r w:rsidRPr="00C82916">
        <w:rPr>
          <w:color w:val="000000"/>
          <w:sz w:val="24"/>
          <w:szCs w:val="22"/>
        </w:rPr>
        <w:t xml:space="preserve"> </w:t>
      </w:r>
    </w:p>
    <w:p w:rsidR="00EB032B" w:rsidP="00EB032B" w14:paraId="34E6F4D6" w14:textId="77777777">
      <w:pPr>
        <w:rPr>
          <w:color w:val="000000"/>
          <w:sz w:val="24"/>
          <w:szCs w:val="22"/>
        </w:rPr>
      </w:pPr>
    </w:p>
    <w:p w:rsidR="004F4D37" w:rsidRPr="00C82916" w:rsidP="004F4D37" w14:paraId="41722E30" w14:textId="1DC86C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 xml:space="preserve">To obtain the hourly rate for Tribal government employees, we used </w:t>
      </w:r>
      <w:r w:rsidRPr="00C82916">
        <w:rPr>
          <w:b/>
          <w:bCs/>
          <w:sz w:val="24"/>
          <w:szCs w:val="24"/>
        </w:rPr>
        <w:t>$</w:t>
      </w:r>
      <w:r w:rsidR="007E4C44">
        <w:rPr>
          <w:b/>
          <w:bCs/>
          <w:sz w:val="24"/>
          <w:szCs w:val="24"/>
        </w:rPr>
        <w:t>48.05</w:t>
      </w:r>
      <w:r w:rsidRPr="00C82916">
        <w:rPr>
          <w:b/>
          <w:bCs/>
          <w:sz w:val="24"/>
          <w:szCs w:val="24"/>
        </w:rPr>
        <w:t>,</w:t>
      </w:r>
      <w:r w:rsidRPr="00C82916">
        <w:rPr>
          <w:sz w:val="24"/>
          <w:szCs w:val="24"/>
        </w:rPr>
        <w:t xml:space="preserve"> based on the Bureau of Labor Statistics’ </w:t>
      </w:r>
      <w:r w:rsidRPr="00F2208A" w:rsidR="00F2208A">
        <w:rPr>
          <w:sz w:val="24"/>
          <w:szCs w:val="24"/>
        </w:rPr>
        <w:t>USDL-25-1358</w:t>
      </w:r>
      <w:r w:rsidRPr="00C82916">
        <w:rPr>
          <w:sz w:val="24"/>
          <w:szCs w:val="24"/>
        </w:rPr>
        <w:t xml:space="preserve">, </w:t>
      </w:r>
      <w:r w:rsidR="00F123CB">
        <w:rPr>
          <w:sz w:val="24"/>
          <w:szCs w:val="24"/>
        </w:rPr>
        <w:t>June</w:t>
      </w:r>
      <w:r w:rsidR="00283D57">
        <w:rPr>
          <w:sz w:val="24"/>
          <w:szCs w:val="24"/>
        </w:rPr>
        <w:t xml:space="preserve"> 2025 release</w:t>
      </w:r>
      <w:r w:rsidRPr="00C82916">
        <w:rPr>
          <w:sz w:val="24"/>
          <w:szCs w:val="24"/>
        </w:rPr>
        <w:t xml:space="preserve">, Table 1, Employer costs per hour worked for employee compensation and costs as a percent of total compensation: Civilian workers, </w:t>
      </w:r>
      <w:r w:rsidRPr="00C82916">
        <w:rPr>
          <w:i/>
          <w:iCs/>
          <w:sz w:val="24"/>
          <w:szCs w:val="24"/>
        </w:rPr>
        <w:t>see</w:t>
      </w:r>
      <w:r w:rsidRPr="00C82916">
        <w:rPr>
          <w:sz w:val="24"/>
          <w:szCs w:val="24"/>
        </w:rPr>
        <w:t xml:space="preserve"> </w:t>
      </w:r>
      <w:hyperlink r:id="rId8" w:history="1">
        <w:r w:rsidRPr="00C82916">
          <w:rPr>
            <w:rStyle w:val="Hyperlink"/>
            <w:sz w:val="24"/>
            <w:szCs w:val="24"/>
          </w:rPr>
          <w:t>https://www.bls.gov/news.release/pdf/ecec.pdf</w:t>
        </w:r>
      </w:hyperlink>
      <w:r w:rsidRPr="00C82916">
        <w:rPr>
          <w:sz w:val="24"/>
          <w:szCs w:val="24"/>
        </w:rPr>
        <w:t>.</w:t>
      </w:r>
    </w:p>
    <w:p w:rsidR="004F4D37" w:rsidRPr="00C82916" w:rsidP="004F4D37" w14:paraId="24F70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D7148" w:rsidRPr="00C82916" w:rsidP="008D7148" w14:paraId="63B47688" w14:textId="09076328">
      <w:pPr>
        <w:widowControl/>
        <w:rPr>
          <w:sz w:val="24"/>
        </w:rPr>
      </w:pPr>
    </w:p>
    <w:tbl>
      <w:tblPr>
        <w:tblStyle w:val="TableGrid"/>
        <w:tblW w:w="9990" w:type="dxa"/>
        <w:tblInd w:w="-185" w:type="dxa"/>
        <w:tblLayout w:type="fixed"/>
        <w:tblLook w:val="04A0"/>
      </w:tblPr>
      <w:tblGrid>
        <w:gridCol w:w="990"/>
        <w:gridCol w:w="1440"/>
        <w:gridCol w:w="1440"/>
        <w:gridCol w:w="1170"/>
        <w:gridCol w:w="1260"/>
        <w:gridCol w:w="1080"/>
        <w:gridCol w:w="990"/>
        <w:gridCol w:w="1620"/>
      </w:tblGrid>
      <w:tr w14:paraId="23D234F2" w14:textId="77777777" w:rsidTr="00F123CB">
        <w:tblPrEx>
          <w:tblW w:w="9990" w:type="dxa"/>
          <w:tblInd w:w="-185" w:type="dxa"/>
          <w:tblLayout w:type="fixed"/>
          <w:tblLook w:val="04A0"/>
        </w:tblPrEx>
        <w:tc>
          <w:tcPr>
            <w:tcW w:w="990" w:type="dxa"/>
          </w:tcPr>
          <w:p w:rsidR="00F123CB" w:rsidRPr="00C82916" w:rsidP="00292A16" w14:paraId="681E6BB2" w14:textId="77777777">
            <w:pPr>
              <w:rPr>
                <w:b/>
                <w:bCs/>
              </w:rPr>
            </w:pPr>
            <w:r w:rsidRPr="00C82916">
              <w:rPr>
                <w:b/>
                <w:bCs/>
              </w:rPr>
              <w:t>Citation</w:t>
            </w:r>
          </w:p>
          <w:p w:rsidR="00F123CB" w:rsidRPr="00C82916" w:rsidP="00500074" w14:paraId="67421A2E" w14:textId="7216711D">
            <w:pPr>
              <w:widowControl/>
            </w:pPr>
            <w:r w:rsidRPr="00C82916">
              <w:rPr>
                <w:b/>
                <w:bCs/>
              </w:rPr>
              <w:t>25 CFR</w:t>
            </w:r>
          </w:p>
        </w:tc>
        <w:tc>
          <w:tcPr>
            <w:tcW w:w="1440" w:type="dxa"/>
          </w:tcPr>
          <w:p w:rsidR="00F123CB" w:rsidRPr="00C82916" w:rsidP="00500074" w14:paraId="6DF347ED" w14:textId="41BCE419">
            <w:pPr>
              <w:widowControl/>
            </w:pPr>
            <w:r w:rsidRPr="00C82916">
              <w:rPr>
                <w:b/>
                <w:bCs/>
              </w:rPr>
              <w:t>Information Collection Requirement</w:t>
            </w:r>
          </w:p>
        </w:tc>
        <w:tc>
          <w:tcPr>
            <w:tcW w:w="1440" w:type="dxa"/>
          </w:tcPr>
          <w:p w:rsidR="00F123CB" w:rsidRPr="00C82916" w:rsidP="00500074" w14:paraId="291B3A8C" w14:textId="73CDE2DF">
            <w:pPr>
              <w:widowControl/>
            </w:pPr>
            <w:r w:rsidRPr="00C82916">
              <w:rPr>
                <w:b/>
                <w:bCs/>
              </w:rPr>
              <w:t>No. of Respondents</w:t>
            </w:r>
          </w:p>
        </w:tc>
        <w:tc>
          <w:tcPr>
            <w:tcW w:w="1170" w:type="dxa"/>
          </w:tcPr>
          <w:p w:rsidR="00F123CB" w:rsidRPr="00C82916" w:rsidP="00500074" w14:paraId="4ACA7CDC" w14:textId="4CA8B767">
            <w:pPr>
              <w:widowControl/>
              <w:rPr>
                <w:b/>
                <w:bCs/>
              </w:rPr>
            </w:pPr>
            <w:r w:rsidRPr="00C82916">
              <w:rPr>
                <w:b/>
                <w:bCs/>
              </w:rPr>
              <w:t>Average No. of Annual Responses</w:t>
            </w:r>
          </w:p>
        </w:tc>
        <w:tc>
          <w:tcPr>
            <w:tcW w:w="1260" w:type="dxa"/>
          </w:tcPr>
          <w:p w:rsidR="00F123CB" w:rsidRPr="00C82916" w:rsidP="00500074" w14:paraId="14A1D29F" w14:textId="55B38ECD">
            <w:pPr>
              <w:widowControl/>
            </w:pPr>
            <w:r w:rsidRPr="00C82916">
              <w:rPr>
                <w:b/>
                <w:bCs/>
              </w:rPr>
              <w:t>Hour Burden per respondent</w:t>
            </w:r>
          </w:p>
        </w:tc>
        <w:tc>
          <w:tcPr>
            <w:tcW w:w="1080" w:type="dxa"/>
          </w:tcPr>
          <w:p w:rsidR="00F123CB" w:rsidRPr="00C82916" w:rsidP="00500074" w14:paraId="3D1AFBB8" w14:textId="3D919E8A">
            <w:pPr>
              <w:widowControl/>
            </w:pPr>
            <w:r w:rsidRPr="00C82916">
              <w:rPr>
                <w:b/>
                <w:bCs/>
              </w:rPr>
              <w:t xml:space="preserve">Annual Burden Hours </w:t>
            </w:r>
          </w:p>
        </w:tc>
        <w:tc>
          <w:tcPr>
            <w:tcW w:w="990" w:type="dxa"/>
          </w:tcPr>
          <w:p w:rsidR="00F123CB" w:rsidRPr="00C82916" w:rsidP="00500074" w14:paraId="11755868" w14:textId="2BFA7433">
            <w:pPr>
              <w:widowControl/>
              <w:rPr>
                <w:b/>
              </w:rPr>
            </w:pPr>
            <w:r>
              <w:rPr>
                <w:b/>
              </w:rPr>
              <w:t>Rate</w:t>
            </w:r>
          </w:p>
        </w:tc>
        <w:tc>
          <w:tcPr>
            <w:tcW w:w="1620" w:type="dxa"/>
          </w:tcPr>
          <w:p w:rsidR="00F123CB" w:rsidRPr="00C82916" w:rsidP="00500074" w14:paraId="4F379EC1" w14:textId="13D29A47">
            <w:pPr>
              <w:widowControl/>
            </w:pPr>
            <w:r w:rsidRPr="00C82916">
              <w:rPr>
                <w:b/>
              </w:rPr>
              <w:t>Total Annual Cost (salary &amp; benefits^)</w:t>
            </w:r>
          </w:p>
        </w:tc>
      </w:tr>
      <w:tr w14:paraId="0CFA50D3" w14:textId="77777777" w:rsidTr="00772AC6">
        <w:tblPrEx>
          <w:tblW w:w="9990" w:type="dxa"/>
          <w:tblInd w:w="-185" w:type="dxa"/>
          <w:tblLayout w:type="fixed"/>
          <w:tblLook w:val="04A0"/>
        </w:tblPrEx>
        <w:tc>
          <w:tcPr>
            <w:tcW w:w="990" w:type="dxa"/>
          </w:tcPr>
          <w:p w:rsidR="00772AC6" w:rsidRPr="00C82916" w:rsidP="00772AC6" w14:paraId="5245F1CB" w14:textId="2006EB24">
            <w:pPr>
              <w:widowControl/>
            </w:pPr>
            <w:r w:rsidRPr="00C82916">
              <w:t>273.119; 273.120</w:t>
            </w:r>
          </w:p>
        </w:tc>
        <w:tc>
          <w:tcPr>
            <w:tcW w:w="1440" w:type="dxa"/>
          </w:tcPr>
          <w:p w:rsidR="00772AC6" w:rsidRPr="00C82916" w:rsidP="00772AC6" w14:paraId="6059D654" w14:textId="35B0A994">
            <w:pPr>
              <w:widowControl/>
            </w:pPr>
            <w:r w:rsidRPr="00C82916">
              <w:t>Submit education plan – existing contractors</w:t>
            </w:r>
          </w:p>
        </w:tc>
        <w:tc>
          <w:tcPr>
            <w:tcW w:w="1440" w:type="dxa"/>
            <w:vAlign w:val="center"/>
          </w:tcPr>
          <w:p w:rsidR="00772AC6" w:rsidRPr="0014469D" w:rsidP="00772AC6" w14:paraId="71804FB2" w14:textId="2626DEC6">
            <w:pPr>
              <w:widowControl/>
              <w:jc w:val="right"/>
              <w:rPr>
                <w:color w:val="000000" w:themeColor="text1"/>
                <w:sz w:val="22"/>
                <w:szCs w:val="22"/>
              </w:rPr>
            </w:pPr>
            <w:r>
              <w:rPr>
                <w:color w:val="000000" w:themeColor="text1"/>
                <w:sz w:val="22"/>
                <w:szCs w:val="22"/>
              </w:rPr>
              <w:t>4</w:t>
            </w:r>
            <w:r w:rsidRPr="0014469D">
              <w:rPr>
                <w:color w:val="000000" w:themeColor="text1"/>
                <w:sz w:val="22"/>
                <w:szCs w:val="22"/>
              </w:rPr>
              <w:t>60</w:t>
            </w:r>
          </w:p>
        </w:tc>
        <w:tc>
          <w:tcPr>
            <w:tcW w:w="1170" w:type="dxa"/>
            <w:vAlign w:val="center"/>
          </w:tcPr>
          <w:p w:rsidR="00772AC6" w:rsidRPr="0014469D" w:rsidP="00772AC6" w14:paraId="043F3DCA" w14:textId="7F90D377">
            <w:pPr>
              <w:widowControl/>
              <w:jc w:val="center"/>
              <w:rPr>
                <w:color w:val="000000" w:themeColor="text1"/>
                <w:sz w:val="22"/>
                <w:szCs w:val="22"/>
              </w:rPr>
            </w:pPr>
            <w:r w:rsidRPr="0014469D">
              <w:rPr>
                <w:color w:val="000000" w:themeColor="text1"/>
                <w:sz w:val="22"/>
                <w:szCs w:val="22"/>
              </w:rPr>
              <w:t>1</w:t>
            </w:r>
          </w:p>
        </w:tc>
        <w:tc>
          <w:tcPr>
            <w:tcW w:w="1260" w:type="dxa"/>
            <w:vAlign w:val="center"/>
          </w:tcPr>
          <w:p w:rsidR="00772AC6" w:rsidRPr="0014469D" w:rsidP="00772AC6" w14:paraId="627E512E" w14:textId="5CAF5E19">
            <w:pPr>
              <w:widowControl/>
              <w:jc w:val="center"/>
              <w:rPr>
                <w:color w:val="000000" w:themeColor="text1"/>
                <w:sz w:val="22"/>
                <w:szCs w:val="22"/>
              </w:rPr>
            </w:pPr>
            <w:r>
              <w:rPr>
                <w:color w:val="000000" w:themeColor="text1"/>
                <w:sz w:val="22"/>
                <w:szCs w:val="22"/>
              </w:rPr>
              <w:t>3</w:t>
            </w:r>
          </w:p>
        </w:tc>
        <w:tc>
          <w:tcPr>
            <w:tcW w:w="1080" w:type="dxa"/>
            <w:vAlign w:val="center"/>
          </w:tcPr>
          <w:p w:rsidR="00772AC6" w:rsidRPr="0014469D" w:rsidP="00772AC6" w14:paraId="6690857A" w14:textId="493A5131">
            <w:pPr>
              <w:widowControl/>
              <w:jc w:val="center"/>
              <w:rPr>
                <w:color w:val="000000" w:themeColor="text1"/>
                <w:sz w:val="22"/>
                <w:szCs w:val="22"/>
              </w:rPr>
            </w:pPr>
            <w:r w:rsidRPr="0014469D">
              <w:rPr>
                <w:color w:val="000000" w:themeColor="text1"/>
                <w:sz w:val="22"/>
                <w:szCs w:val="22"/>
              </w:rPr>
              <w:t>1,</w:t>
            </w:r>
            <w:r w:rsidR="00E90292">
              <w:rPr>
                <w:color w:val="000000" w:themeColor="text1"/>
                <w:sz w:val="22"/>
                <w:szCs w:val="22"/>
              </w:rPr>
              <w:t>3</w:t>
            </w:r>
            <w:r w:rsidRPr="0014469D">
              <w:rPr>
                <w:color w:val="000000" w:themeColor="text1"/>
                <w:sz w:val="22"/>
                <w:szCs w:val="22"/>
              </w:rPr>
              <w:t>80</w:t>
            </w:r>
          </w:p>
        </w:tc>
        <w:tc>
          <w:tcPr>
            <w:tcW w:w="990" w:type="dxa"/>
            <w:vAlign w:val="center"/>
          </w:tcPr>
          <w:p w:rsidR="00772AC6" w:rsidRPr="0014469D" w:rsidP="00772AC6" w14:paraId="0F99D392" w14:textId="446CEF2D">
            <w:pPr>
              <w:widowControl/>
              <w:jc w:val="center"/>
              <w:rPr>
                <w:color w:val="000000" w:themeColor="text1"/>
                <w:sz w:val="22"/>
                <w:szCs w:val="22"/>
              </w:rPr>
            </w:pPr>
            <w:r>
              <w:rPr>
                <w:color w:val="000000" w:themeColor="text1"/>
                <w:sz w:val="22"/>
                <w:szCs w:val="22"/>
              </w:rPr>
              <w:t>$48.05</w:t>
            </w:r>
          </w:p>
        </w:tc>
        <w:tc>
          <w:tcPr>
            <w:tcW w:w="1620" w:type="dxa"/>
            <w:vAlign w:val="center"/>
          </w:tcPr>
          <w:p w:rsidR="00772AC6" w:rsidRPr="0014469D" w:rsidP="00772AC6" w14:paraId="515D8D15" w14:textId="5D2D102D">
            <w:pPr>
              <w:widowControl/>
              <w:jc w:val="right"/>
              <w:rPr>
                <w:color w:val="000000" w:themeColor="text1"/>
                <w:sz w:val="22"/>
                <w:szCs w:val="22"/>
              </w:rPr>
            </w:pPr>
            <w:r w:rsidRPr="00772AC6">
              <w:rPr>
                <w:color w:val="000000" w:themeColor="text1"/>
                <w:sz w:val="22"/>
                <w:szCs w:val="22"/>
              </w:rPr>
              <w:t xml:space="preserve">$86,490 </w:t>
            </w:r>
          </w:p>
        </w:tc>
      </w:tr>
      <w:tr w14:paraId="7A211A3C" w14:textId="77777777" w:rsidTr="00772AC6">
        <w:tblPrEx>
          <w:tblW w:w="9990" w:type="dxa"/>
          <w:tblInd w:w="-185" w:type="dxa"/>
          <w:tblLayout w:type="fixed"/>
          <w:tblLook w:val="04A0"/>
        </w:tblPrEx>
        <w:tc>
          <w:tcPr>
            <w:tcW w:w="990" w:type="dxa"/>
          </w:tcPr>
          <w:p w:rsidR="00772AC6" w:rsidRPr="00C82916" w:rsidP="00772AC6" w14:paraId="553DE632" w14:textId="5F6F124B">
            <w:pPr>
              <w:widowControl/>
            </w:pPr>
            <w:r w:rsidRPr="00C82916">
              <w:t>273.119; 273.120</w:t>
            </w:r>
          </w:p>
        </w:tc>
        <w:tc>
          <w:tcPr>
            <w:tcW w:w="1440" w:type="dxa"/>
          </w:tcPr>
          <w:p w:rsidR="00772AC6" w:rsidRPr="00C82916" w:rsidP="00772AC6" w14:paraId="42B4EBC6" w14:textId="519DD4C8">
            <w:pPr>
              <w:widowControl/>
            </w:pPr>
            <w:r w:rsidRPr="00C82916">
              <w:t>Submit education plan – new contractors</w:t>
            </w:r>
          </w:p>
        </w:tc>
        <w:tc>
          <w:tcPr>
            <w:tcW w:w="1440" w:type="dxa"/>
            <w:vAlign w:val="center"/>
          </w:tcPr>
          <w:p w:rsidR="00772AC6" w:rsidRPr="0014469D" w:rsidP="00772AC6" w14:paraId="31C5DC14" w14:textId="7446D896">
            <w:pPr>
              <w:widowControl/>
              <w:jc w:val="right"/>
              <w:rPr>
                <w:color w:val="000000" w:themeColor="text1"/>
                <w:sz w:val="22"/>
                <w:szCs w:val="22"/>
              </w:rPr>
            </w:pPr>
            <w:r w:rsidRPr="0014469D">
              <w:rPr>
                <w:color w:val="000000" w:themeColor="text1"/>
                <w:sz w:val="22"/>
                <w:szCs w:val="22"/>
              </w:rPr>
              <w:t>2</w:t>
            </w:r>
          </w:p>
        </w:tc>
        <w:tc>
          <w:tcPr>
            <w:tcW w:w="1170" w:type="dxa"/>
            <w:vAlign w:val="center"/>
          </w:tcPr>
          <w:p w:rsidR="00772AC6" w:rsidRPr="0014469D" w:rsidP="00772AC6" w14:paraId="62F38A79" w14:textId="720D6F64">
            <w:pPr>
              <w:widowControl/>
              <w:jc w:val="center"/>
              <w:rPr>
                <w:color w:val="000000" w:themeColor="text1"/>
                <w:sz w:val="22"/>
                <w:szCs w:val="22"/>
              </w:rPr>
            </w:pPr>
            <w:r w:rsidRPr="0014469D">
              <w:rPr>
                <w:color w:val="000000" w:themeColor="text1"/>
                <w:sz w:val="22"/>
                <w:szCs w:val="22"/>
              </w:rPr>
              <w:t>1</w:t>
            </w:r>
          </w:p>
        </w:tc>
        <w:tc>
          <w:tcPr>
            <w:tcW w:w="1260" w:type="dxa"/>
            <w:vAlign w:val="center"/>
          </w:tcPr>
          <w:p w:rsidR="00772AC6" w:rsidRPr="0014469D" w:rsidP="00772AC6" w14:paraId="0E98BA3E" w14:textId="1DA7E3EE">
            <w:pPr>
              <w:widowControl/>
              <w:jc w:val="center"/>
              <w:rPr>
                <w:color w:val="000000" w:themeColor="text1"/>
                <w:sz w:val="22"/>
                <w:szCs w:val="22"/>
              </w:rPr>
            </w:pPr>
            <w:r w:rsidRPr="0014469D">
              <w:rPr>
                <w:color w:val="000000" w:themeColor="text1"/>
                <w:sz w:val="22"/>
                <w:szCs w:val="22"/>
              </w:rPr>
              <w:t>40</w:t>
            </w:r>
          </w:p>
        </w:tc>
        <w:tc>
          <w:tcPr>
            <w:tcW w:w="1080" w:type="dxa"/>
            <w:vAlign w:val="center"/>
          </w:tcPr>
          <w:p w:rsidR="00772AC6" w:rsidRPr="0014469D" w:rsidP="00772AC6" w14:paraId="358F43EE" w14:textId="5CEFD612">
            <w:pPr>
              <w:widowControl/>
              <w:jc w:val="center"/>
              <w:rPr>
                <w:color w:val="000000" w:themeColor="text1"/>
                <w:sz w:val="22"/>
                <w:szCs w:val="22"/>
              </w:rPr>
            </w:pPr>
            <w:r w:rsidRPr="0014469D">
              <w:rPr>
                <w:color w:val="000000" w:themeColor="text1"/>
                <w:sz w:val="22"/>
                <w:szCs w:val="22"/>
              </w:rPr>
              <w:t>80</w:t>
            </w:r>
          </w:p>
        </w:tc>
        <w:tc>
          <w:tcPr>
            <w:tcW w:w="990" w:type="dxa"/>
            <w:vAlign w:val="center"/>
          </w:tcPr>
          <w:p w:rsidR="00772AC6" w:rsidRPr="0014469D" w:rsidP="00772AC6" w14:paraId="6BEA63FA" w14:textId="75469B7C">
            <w:pPr>
              <w:widowControl/>
              <w:jc w:val="center"/>
              <w:rPr>
                <w:color w:val="000000" w:themeColor="text1"/>
                <w:sz w:val="22"/>
                <w:szCs w:val="22"/>
              </w:rPr>
            </w:pPr>
            <w:r>
              <w:rPr>
                <w:color w:val="000000" w:themeColor="text1"/>
                <w:sz w:val="22"/>
                <w:szCs w:val="22"/>
              </w:rPr>
              <w:t>$48.05</w:t>
            </w:r>
          </w:p>
        </w:tc>
        <w:tc>
          <w:tcPr>
            <w:tcW w:w="1620" w:type="dxa"/>
            <w:vAlign w:val="center"/>
          </w:tcPr>
          <w:p w:rsidR="00772AC6" w:rsidRPr="0014469D" w:rsidP="00772AC6" w14:paraId="542DBFBA" w14:textId="3BA2752E">
            <w:pPr>
              <w:widowControl/>
              <w:jc w:val="right"/>
              <w:rPr>
                <w:color w:val="000000" w:themeColor="text1"/>
                <w:sz w:val="22"/>
                <w:szCs w:val="22"/>
              </w:rPr>
            </w:pPr>
            <w:r w:rsidRPr="00772AC6">
              <w:rPr>
                <w:color w:val="000000" w:themeColor="text1"/>
                <w:sz w:val="22"/>
                <w:szCs w:val="22"/>
              </w:rPr>
              <w:t xml:space="preserve">$3,844 </w:t>
            </w:r>
          </w:p>
        </w:tc>
      </w:tr>
      <w:tr w14:paraId="661A6A7B" w14:textId="77777777" w:rsidTr="00772AC6">
        <w:tblPrEx>
          <w:tblW w:w="9990" w:type="dxa"/>
          <w:tblInd w:w="-185" w:type="dxa"/>
          <w:tblLayout w:type="fixed"/>
          <w:tblLook w:val="04A0"/>
        </w:tblPrEx>
        <w:tc>
          <w:tcPr>
            <w:tcW w:w="990" w:type="dxa"/>
          </w:tcPr>
          <w:p w:rsidR="00772AC6" w:rsidRPr="00C82916" w:rsidP="00772AC6" w14:paraId="3FEBC4E8" w14:textId="77777777">
            <w:r w:rsidRPr="00C82916">
              <w:t>273.125; 273.130;</w:t>
            </w:r>
          </w:p>
          <w:p w:rsidR="00772AC6" w:rsidRPr="00C82916" w:rsidP="00772AC6" w14:paraId="79FB5B3B" w14:textId="52EDC143">
            <w:pPr>
              <w:widowControl/>
            </w:pPr>
            <w:r w:rsidRPr="00C82916">
              <w:t>273.131</w:t>
            </w:r>
          </w:p>
        </w:tc>
        <w:tc>
          <w:tcPr>
            <w:tcW w:w="1440" w:type="dxa"/>
          </w:tcPr>
          <w:p w:rsidR="00772AC6" w:rsidRPr="00C82916" w:rsidP="00772AC6" w14:paraId="3AE7E98F" w14:textId="6ECA9E79">
            <w:pPr>
              <w:widowControl/>
            </w:pPr>
            <w:r w:rsidRPr="00C82916">
              <w:t xml:space="preserve">Submit contract proposal/application </w:t>
            </w:r>
          </w:p>
        </w:tc>
        <w:tc>
          <w:tcPr>
            <w:tcW w:w="1440" w:type="dxa"/>
            <w:vAlign w:val="center"/>
          </w:tcPr>
          <w:p w:rsidR="00772AC6" w:rsidRPr="0014469D" w:rsidP="00772AC6" w14:paraId="6DF7E7FE" w14:textId="74266244">
            <w:pPr>
              <w:widowControl/>
              <w:jc w:val="right"/>
              <w:rPr>
                <w:color w:val="000000" w:themeColor="text1"/>
                <w:sz w:val="22"/>
                <w:szCs w:val="22"/>
              </w:rPr>
            </w:pPr>
            <w:r w:rsidRPr="0014469D">
              <w:rPr>
                <w:color w:val="000000" w:themeColor="text1"/>
                <w:sz w:val="22"/>
                <w:szCs w:val="22"/>
              </w:rPr>
              <w:t>2</w:t>
            </w:r>
          </w:p>
        </w:tc>
        <w:tc>
          <w:tcPr>
            <w:tcW w:w="1170" w:type="dxa"/>
            <w:vAlign w:val="center"/>
          </w:tcPr>
          <w:p w:rsidR="00772AC6" w:rsidRPr="0014469D" w:rsidP="00772AC6" w14:paraId="03FE5ED1" w14:textId="08775694">
            <w:pPr>
              <w:widowControl/>
              <w:jc w:val="center"/>
              <w:rPr>
                <w:color w:val="000000" w:themeColor="text1"/>
                <w:sz w:val="22"/>
                <w:szCs w:val="22"/>
              </w:rPr>
            </w:pPr>
            <w:r w:rsidRPr="0014469D">
              <w:rPr>
                <w:color w:val="000000" w:themeColor="text1"/>
                <w:sz w:val="22"/>
                <w:szCs w:val="22"/>
              </w:rPr>
              <w:t>1</w:t>
            </w:r>
          </w:p>
        </w:tc>
        <w:tc>
          <w:tcPr>
            <w:tcW w:w="1260" w:type="dxa"/>
            <w:vAlign w:val="center"/>
          </w:tcPr>
          <w:p w:rsidR="00772AC6" w:rsidRPr="0014469D" w:rsidP="00772AC6" w14:paraId="5A8BDB55" w14:textId="353D004E">
            <w:pPr>
              <w:widowControl/>
              <w:jc w:val="center"/>
              <w:rPr>
                <w:color w:val="000000" w:themeColor="text1"/>
                <w:sz w:val="22"/>
                <w:szCs w:val="22"/>
              </w:rPr>
            </w:pPr>
            <w:r w:rsidRPr="0014469D">
              <w:rPr>
                <w:color w:val="000000" w:themeColor="text1"/>
                <w:sz w:val="22"/>
                <w:szCs w:val="22"/>
              </w:rPr>
              <w:t>80</w:t>
            </w:r>
          </w:p>
        </w:tc>
        <w:tc>
          <w:tcPr>
            <w:tcW w:w="1080" w:type="dxa"/>
            <w:vAlign w:val="center"/>
          </w:tcPr>
          <w:p w:rsidR="00772AC6" w:rsidRPr="0014469D" w:rsidP="00772AC6" w14:paraId="7C725E4E" w14:textId="7F94C582">
            <w:pPr>
              <w:widowControl/>
              <w:jc w:val="center"/>
              <w:rPr>
                <w:color w:val="000000" w:themeColor="text1"/>
                <w:sz w:val="22"/>
                <w:szCs w:val="22"/>
              </w:rPr>
            </w:pPr>
            <w:r w:rsidRPr="0014469D">
              <w:rPr>
                <w:color w:val="000000" w:themeColor="text1"/>
                <w:sz w:val="22"/>
                <w:szCs w:val="22"/>
              </w:rPr>
              <w:t>160</w:t>
            </w:r>
          </w:p>
        </w:tc>
        <w:tc>
          <w:tcPr>
            <w:tcW w:w="990" w:type="dxa"/>
            <w:vAlign w:val="center"/>
          </w:tcPr>
          <w:p w:rsidR="00772AC6" w:rsidRPr="0014469D" w:rsidP="00772AC6" w14:paraId="01D91AA0" w14:textId="30C7E500">
            <w:pPr>
              <w:widowControl/>
              <w:jc w:val="center"/>
              <w:rPr>
                <w:color w:val="000000" w:themeColor="text1"/>
                <w:sz w:val="22"/>
                <w:szCs w:val="22"/>
              </w:rPr>
            </w:pPr>
            <w:r>
              <w:rPr>
                <w:color w:val="000000" w:themeColor="text1"/>
                <w:sz w:val="22"/>
                <w:szCs w:val="22"/>
              </w:rPr>
              <w:t>$48.05</w:t>
            </w:r>
          </w:p>
        </w:tc>
        <w:tc>
          <w:tcPr>
            <w:tcW w:w="1620" w:type="dxa"/>
            <w:vAlign w:val="center"/>
          </w:tcPr>
          <w:p w:rsidR="00772AC6" w:rsidRPr="0014469D" w:rsidP="00772AC6" w14:paraId="4A98E1C7" w14:textId="6E8D6917">
            <w:pPr>
              <w:widowControl/>
              <w:jc w:val="right"/>
              <w:rPr>
                <w:color w:val="000000" w:themeColor="text1"/>
                <w:sz w:val="22"/>
                <w:szCs w:val="22"/>
              </w:rPr>
            </w:pPr>
            <w:r w:rsidRPr="00772AC6">
              <w:rPr>
                <w:color w:val="000000" w:themeColor="text1"/>
                <w:sz w:val="22"/>
                <w:szCs w:val="22"/>
              </w:rPr>
              <w:t xml:space="preserve">$7,688 </w:t>
            </w:r>
          </w:p>
        </w:tc>
      </w:tr>
      <w:tr w14:paraId="404B5535" w14:textId="77777777" w:rsidTr="00772AC6">
        <w:tblPrEx>
          <w:tblW w:w="9990" w:type="dxa"/>
          <w:tblInd w:w="-185" w:type="dxa"/>
          <w:tblLayout w:type="fixed"/>
          <w:tblLook w:val="04A0"/>
        </w:tblPrEx>
        <w:tc>
          <w:tcPr>
            <w:tcW w:w="990" w:type="dxa"/>
          </w:tcPr>
          <w:p w:rsidR="00772AC6" w:rsidRPr="00C82916" w:rsidP="00772AC6" w14:paraId="60048699" w14:textId="77777777">
            <w:r w:rsidRPr="00C82916">
              <w:t>273.150;</w:t>
            </w:r>
          </w:p>
          <w:p w:rsidR="00772AC6" w:rsidRPr="00C82916" w:rsidP="00772AC6" w14:paraId="28AC866E" w14:textId="77777777">
            <w:r w:rsidRPr="00C82916">
              <w:t>273.151;</w:t>
            </w:r>
          </w:p>
          <w:p w:rsidR="00772AC6" w:rsidRPr="00C82916" w:rsidP="00772AC6" w14:paraId="1E73CCB3" w14:textId="7DAE048C">
            <w:pPr>
              <w:widowControl/>
            </w:pPr>
            <w:r w:rsidRPr="00C82916">
              <w:t>273.153</w:t>
            </w:r>
          </w:p>
        </w:tc>
        <w:tc>
          <w:tcPr>
            <w:tcW w:w="1440" w:type="dxa"/>
          </w:tcPr>
          <w:p w:rsidR="00772AC6" w:rsidRPr="00C82916" w:rsidP="00772AC6" w14:paraId="5B80A49A" w14:textId="2FD15235">
            <w:pPr>
              <w:widowControl/>
            </w:pPr>
            <w:r w:rsidRPr="00C82916">
              <w:t>Submit annual report</w:t>
            </w:r>
            <w:r>
              <w:t xml:space="preserve"> and student count report</w:t>
            </w:r>
            <w:r w:rsidRPr="00C82916">
              <w:t>.</w:t>
            </w:r>
          </w:p>
        </w:tc>
        <w:tc>
          <w:tcPr>
            <w:tcW w:w="1440" w:type="dxa"/>
            <w:vAlign w:val="center"/>
          </w:tcPr>
          <w:p w:rsidR="00772AC6" w:rsidRPr="0014469D" w:rsidP="00772AC6" w14:paraId="71377CE9" w14:textId="1993F4AD">
            <w:pPr>
              <w:widowControl/>
              <w:jc w:val="right"/>
              <w:rPr>
                <w:color w:val="000000" w:themeColor="text1"/>
                <w:sz w:val="22"/>
                <w:szCs w:val="22"/>
              </w:rPr>
            </w:pPr>
            <w:r>
              <w:rPr>
                <w:color w:val="000000" w:themeColor="text1"/>
                <w:sz w:val="22"/>
                <w:szCs w:val="22"/>
              </w:rPr>
              <w:t>4</w:t>
            </w:r>
            <w:r w:rsidRPr="0014469D">
              <w:rPr>
                <w:color w:val="000000" w:themeColor="text1"/>
                <w:sz w:val="22"/>
                <w:szCs w:val="22"/>
              </w:rPr>
              <w:t>60</w:t>
            </w:r>
          </w:p>
        </w:tc>
        <w:tc>
          <w:tcPr>
            <w:tcW w:w="1170" w:type="dxa"/>
            <w:vAlign w:val="center"/>
          </w:tcPr>
          <w:p w:rsidR="00772AC6" w:rsidRPr="0014469D" w:rsidP="00772AC6" w14:paraId="152F067C" w14:textId="421D8A8A">
            <w:pPr>
              <w:widowControl/>
              <w:jc w:val="center"/>
              <w:rPr>
                <w:color w:val="000000" w:themeColor="text1"/>
                <w:sz w:val="22"/>
                <w:szCs w:val="22"/>
              </w:rPr>
            </w:pPr>
            <w:r w:rsidRPr="0014469D">
              <w:rPr>
                <w:color w:val="000000" w:themeColor="text1"/>
                <w:sz w:val="22"/>
                <w:szCs w:val="22"/>
              </w:rPr>
              <w:t>1</w:t>
            </w:r>
          </w:p>
        </w:tc>
        <w:tc>
          <w:tcPr>
            <w:tcW w:w="1260" w:type="dxa"/>
            <w:vAlign w:val="center"/>
          </w:tcPr>
          <w:p w:rsidR="00772AC6" w:rsidRPr="0014469D" w:rsidP="00772AC6" w14:paraId="78BFF618" w14:textId="6EBAD181">
            <w:pPr>
              <w:widowControl/>
              <w:jc w:val="center"/>
              <w:rPr>
                <w:color w:val="000000" w:themeColor="text1"/>
                <w:sz w:val="22"/>
                <w:szCs w:val="22"/>
              </w:rPr>
            </w:pPr>
            <w:r>
              <w:rPr>
                <w:color w:val="000000" w:themeColor="text1"/>
                <w:sz w:val="22"/>
                <w:szCs w:val="22"/>
              </w:rPr>
              <w:t>4</w:t>
            </w:r>
          </w:p>
        </w:tc>
        <w:tc>
          <w:tcPr>
            <w:tcW w:w="1080" w:type="dxa"/>
            <w:vAlign w:val="center"/>
          </w:tcPr>
          <w:p w:rsidR="00772AC6" w:rsidRPr="0014469D" w:rsidP="00772AC6" w14:paraId="77F54F4A" w14:textId="24EFE7B2">
            <w:pPr>
              <w:widowControl/>
              <w:jc w:val="center"/>
              <w:rPr>
                <w:color w:val="000000" w:themeColor="text1"/>
                <w:sz w:val="22"/>
                <w:szCs w:val="22"/>
              </w:rPr>
            </w:pPr>
            <w:r w:rsidRPr="0014469D">
              <w:rPr>
                <w:color w:val="000000" w:themeColor="text1"/>
                <w:sz w:val="22"/>
                <w:szCs w:val="22"/>
              </w:rPr>
              <w:t>1</w:t>
            </w:r>
            <w:r w:rsidR="00493D2C">
              <w:rPr>
                <w:color w:val="000000" w:themeColor="text1"/>
                <w:sz w:val="22"/>
                <w:szCs w:val="22"/>
              </w:rPr>
              <w:t>3</w:t>
            </w:r>
            <w:r w:rsidRPr="0014469D">
              <w:rPr>
                <w:color w:val="000000" w:themeColor="text1"/>
                <w:sz w:val="22"/>
                <w:szCs w:val="22"/>
              </w:rPr>
              <w:t>80</w:t>
            </w:r>
          </w:p>
        </w:tc>
        <w:tc>
          <w:tcPr>
            <w:tcW w:w="990" w:type="dxa"/>
            <w:vAlign w:val="center"/>
          </w:tcPr>
          <w:p w:rsidR="00772AC6" w:rsidRPr="0014469D" w:rsidP="00772AC6" w14:paraId="6E0CA865" w14:textId="7FA8FBB3">
            <w:pPr>
              <w:widowControl/>
              <w:jc w:val="center"/>
              <w:rPr>
                <w:color w:val="000000" w:themeColor="text1"/>
                <w:sz w:val="22"/>
                <w:szCs w:val="22"/>
              </w:rPr>
            </w:pPr>
            <w:r>
              <w:rPr>
                <w:color w:val="000000" w:themeColor="text1"/>
                <w:sz w:val="22"/>
                <w:szCs w:val="22"/>
              </w:rPr>
              <w:t>$48.05</w:t>
            </w:r>
          </w:p>
        </w:tc>
        <w:tc>
          <w:tcPr>
            <w:tcW w:w="1620" w:type="dxa"/>
            <w:vAlign w:val="center"/>
          </w:tcPr>
          <w:p w:rsidR="00772AC6" w:rsidRPr="0014469D" w:rsidP="00772AC6" w14:paraId="18EFBDA6" w14:textId="67DCA56D">
            <w:pPr>
              <w:widowControl/>
              <w:jc w:val="right"/>
              <w:rPr>
                <w:color w:val="000000" w:themeColor="text1"/>
                <w:sz w:val="22"/>
                <w:szCs w:val="22"/>
              </w:rPr>
            </w:pPr>
            <w:r w:rsidRPr="00772AC6">
              <w:rPr>
                <w:color w:val="000000" w:themeColor="text1"/>
                <w:sz w:val="22"/>
                <w:szCs w:val="22"/>
              </w:rPr>
              <w:t xml:space="preserve">$86,490 </w:t>
            </w:r>
          </w:p>
        </w:tc>
      </w:tr>
      <w:tr w14:paraId="387C402B" w14:textId="77777777" w:rsidTr="00772AC6">
        <w:tblPrEx>
          <w:tblW w:w="9990" w:type="dxa"/>
          <w:tblInd w:w="-185" w:type="dxa"/>
          <w:tblLayout w:type="fixed"/>
          <w:tblLook w:val="04A0"/>
        </w:tblPrEx>
        <w:tc>
          <w:tcPr>
            <w:tcW w:w="990" w:type="dxa"/>
          </w:tcPr>
          <w:p w:rsidR="00772AC6" w:rsidRPr="00C82916" w:rsidP="00772AC6" w14:paraId="2510AC2B" w14:textId="6498FA46">
            <w:pPr>
              <w:widowControl/>
            </w:pPr>
            <w:r w:rsidRPr="00C82916">
              <w:t>273.78</w:t>
            </w:r>
          </w:p>
        </w:tc>
        <w:tc>
          <w:tcPr>
            <w:tcW w:w="1440" w:type="dxa"/>
          </w:tcPr>
          <w:p w:rsidR="00772AC6" w:rsidRPr="00C82916" w:rsidP="00772AC6" w14:paraId="0BA9C644" w14:textId="0E21EF89">
            <w:pPr>
              <w:widowControl/>
            </w:pPr>
            <w:r w:rsidRPr="00C82916">
              <w:t>Maintain recordkeeping system.</w:t>
            </w:r>
          </w:p>
        </w:tc>
        <w:tc>
          <w:tcPr>
            <w:tcW w:w="1440" w:type="dxa"/>
            <w:vAlign w:val="center"/>
          </w:tcPr>
          <w:p w:rsidR="00772AC6" w:rsidRPr="0014469D" w:rsidP="00772AC6" w14:paraId="0B27CD9D" w14:textId="3DF88418">
            <w:pPr>
              <w:widowControl/>
              <w:jc w:val="right"/>
              <w:rPr>
                <w:color w:val="000000" w:themeColor="text1"/>
                <w:sz w:val="22"/>
                <w:szCs w:val="22"/>
              </w:rPr>
            </w:pPr>
            <w:r w:rsidRPr="0014469D">
              <w:rPr>
                <w:color w:val="000000" w:themeColor="text1"/>
                <w:sz w:val="22"/>
                <w:szCs w:val="22"/>
              </w:rPr>
              <w:t>N/A</w:t>
            </w:r>
          </w:p>
        </w:tc>
        <w:tc>
          <w:tcPr>
            <w:tcW w:w="1170" w:type="dxa"/>
            <w:vAlign w:val="center"/>
          </w:tcPr>
          <w:p w:rsidR="00772AC6" w:rsidRPr="0014469D" w:rsidP="00772AC6" w14:paraId="71A994C2" w14:textId="3AC21DC6">
            <w:pPr>
              <w:widowControl/>
              <w:jc w:val="center"/>
              <w:rPr>
                <w:color w:val="000000" w:themeColor="text1"/>
                <w:sz w:val="22"/>
                <w:szCs w:val="22"/>
              </w:rPr>
            </w:pPr>
            <w:r w:rsidRPr="0014469D">
              <w:rPr>
                <w:color w:val="000000" w:themeColor="text1"/>
                <w:sz w:val="22"/>
                <w:szCs w:val="22"/>
              </w:rPr>
              <w:t>N/A</w:t>
            </w:r>
          </w:p>
        </w:tc>
        <w:tc>
          <w:tcPr>
            <w:tcW w:w="1260" w:type="dxa"/>
            <w:vAlign w:val="center"/>
          </w:tcPr>
          <w:p w:rsidR="00772AC6" w:rsidRPr="0014469D" w:rsidP="00772AC6" w14:paraId="1107A846" w14:textId="0BC45B64">
            <w:pPr>
              <w:widowControl/>
              <w:jc w:val="center"/>
              <w:rPr>
                <w:color w:val="000000" w:themeColor="text1"/>
                <w:sz w:val="22"/>
                <w:szCs w:val="22"/>
              </w:rPr>
            </w:pPr>
            <w:r>
              <w:rPr>
                <w:color w:val="000000" w:themeColor="text1"/>
                <w:sz w:val="22"/>
                <w:szCs w:val="22"/>
              </w:rPr>
              <w:t>15</w:t>
            </w:r>
          </w:p>
        </w:tc>
        <w:tc>
          <w:tcPr>
            <w:tcW w:w="1080" w:type="dxa"/>
            <w:vAlign w:val="center"/>
          </w:tcPr>
          <w:p w:rsidR="00772AC6" w:rsidRPr="0014469D" w:rsidP="00772AC6" w14:paraId="44E32A21" w14:textId="228198EE">
            <w:pPr>
              <w:widowControl/>
              <w:jc w:val="center"/>
              <w:rPr>
                <w:color w:val="000000" w:themeColor="text1"/>
                <w:sz w:val="22"/>
                <w:szCs w:val="22"/>
              </w:rPr>
            </w:pPr>
            <w:r>
              <w:rPr>
                <w:color w:val="000000" w:themeColor="text1"/>
                <w:sz w:val="22"/>
                <w:szCs w:val="22"/>
              </w:rPr>
              <w:t>6,900</w:t>
            </w:r>
          </w:p>
        </w:tc>
        <w:tc>
          <w:tcPr>
            <w:tcW w:w="990" w:type="dxa"/>
            <w:vAlign w:val="center"/>
          </w:tcPr>
          <w:p w:rsidR="00772AC6" w:rsidRPr="0014469D" w:rsidP="00772AC6" w14:paraId="58590E57" w14:textId="10CD05E8">
            <w:pPr>
              <w:widowControl/>
              <w:jc w:val="center"/>
              <w:rPr>
                <w:color w:val="000000" w:themeColor="text1"/>
                <w:sz w:val="22"/>
                <w:szCs w:val="22"/>
              </w:rPr>
            </w:pPr>
            <w:r>
              <w:rPr>
                <w:color w:val="000000" w:themeColor="text1"/>
                <w:sz w:val="22"/>
                <w:szCs w:val="22"/>
              </w:rPr>
              <w:t>$48.05</w:t>
            </w:r>
          </w:p>
        </w:tc>
        <w:tc>
          <w:tcPr>
            <w:tcW w:w="1620" w:type="dxa"/>
            <w:vAlign w:val="center"/>
          </w:tcPr>
          <w:p w:rsidR="00772AC6" w:rsidRPr="0014469D" w:rsidP="00772AC6" w14:paraId="59D416D1" w14:textId="59E23647">
            <w:pPr>
              <w:widowControl/>
              <w:jc w:val="right"/>
              <w:rPr>
                <w:color w:val="000000" w:themeColor="text1"/>
                <w:sz w:val="22"/>
                <w:szCs w:val="22"/>
              </w:rPr>
            </w:pPr>
            <w:r w:rsidRPr="00772AC6">
              <w:rPr>
                <w:color w:val="000000" w:themeColor="text1"/>
                <w:sz w:val="22"/>
                <w:szCs w:val="22"/>
              </w:rPr>
              <w:t xml:space="preserve">$345,960 </w:t>
            </w:r>
          </w:p>
        </w:tc>
      </w:tr>
      <w:tr w14:paraId="226D5479" w14:textId="77777777" w:rsidTr="00772AC6">
        <w:tblPrEx>
          <w:tblW w:w="9990" w:type="dxa"/>
          <w:tblInd w:w="-185" w:type="dxa"/>
          <w:tblLayout w:type="fixed"/>
          <w:tblLook w:val="04A0"/>
        </w:tblPrEx>
        <w:tc>
          <w:tcPr>
            <w:tcW w:w="990" w:type="dxa"/>
          </w:tcPr>
          <w:p w:rsidR="00772AC6" w:rsidRPr="00292A16" w:rsidP="00772AC6" w14:paraId="117B8E5E" w14:textId="2D83B7DA">
            <w:pPr>
              <w:widowControl/>
              <w:rPr>
                <w:color w:val="000000" w:themeColor="text1"/>
              </w:rPr>
            </w:pPr>
            <w:r w:rsidRPr="00292A16">
              <w:rPr>
                <w:color w:val="000000" w:themeColor="text1"/>
              </w:rPr>
              <w:t>273.92</w:t>
            </w:r>
            <w:r>
              <w:rPr>
                <w:color w:val="000000" w:themeColor="text1"/>
              </w:rPr>
              <w:t>;</w:t>
            </w:r>
          </w:p>
          <w:p w:rsidR="00772AC6" w:rsidRPr="00292A16" w:rsidP="00772AC6" w14:paraId="22FB3BBB" w14:textId="544C62EA">
            <w:pPr>
              <w:widowControl/>
              <w:rPr>
                <w:color w:val="000000" w:themeColor="text1"/>
              </w:rPr>
            </w:pPr>
            <w:r w:rsidRPr="00292A16">
              <w:rPr>
                <w:color w:val="000000" w:themeColor="text1"/>
              </w:rPr>
              <w:t>273.93</w:t>
            </w:r>
          </w:p>
        </w:tc>
        <w:tc>
          <w:tcPr>
            <w:tcW w:w="1440" w:type="dxa"/>
          </w:tcPr>
          <w:p w:rsidR="00772AC6" w:rsidRPr="00292A16" w:rsidP="00772AC6" w14:paraId="1B2F446F" w14:textId="2DD24F74">
            <w:pPr>
              <w:widowControl/>
              <w:rPr>
                <w:color w:val="000000" w:themeColor="text1"/>
              </w:rPr>
            </w:pPr>
            <w:r w:rsidRPr="00292A16">
              <w:rPr>
                <w:color w:val="000000" w:themeColor="text1"/>
              </w:rPr>
              <w:t>Request amendment/ revision/renewal</w:t>
            </w:r>
          </w:p>
        </w:tc>
        <w:tc>
          <w:tcPr>
            <w:tcW w:w="1440" w:type="dxa"/>
            <w:vAlign w:val="center"/>
          </w:tcPr>
          <w:p w:rsidR="00772AC6" w:rsidRPr="0014469D" w:rsidP="00772AC6" w14:paraId="7F612572" w14:textId="718B302F">
            <w:pPr>
              <w:widowControl/>
              <w:jc w:val="right"/>
              <w:rPr>
                <w:color w:val="000000" w:themeColor="text1"/>
                <w:sz w:val="22"/>
                <w:szCs w:val="22"/>
              </w:rPr>
            </w:pPr>
            <w:r>
              <w:rPr>
                <w:color w:val="000000" w:themeColor="text1"/>
                <w:sz w:val="22"/>
                <w:szCs w:val="22"/>
              </w:rPr>
              <w:t>4</w:t>
            </w:r>
            <w:r w:rsidRPr="0014469D">
              <w:rPr>
                <w:color w:val="000000" w:themeColor="text1"/>
                <w:sz w:val="22"/>
                <w:szCs w:val="22"/>
              </w:rPr>
              <w:t>60</w:t>
            </w:r>
          </w:p>
        </w:tc>
        <w:tc>
          <w:tcPr>
            <w:tcW w:w="1170" w:type="dxa"/>
            <w:vAlign w:val="center"/>
          </w:tcPr>
          <w:p w:rsidR="00772AC6" w:rsidRPr="0014469D" w:rsidP="00772AC6" w14:paraId="2966AE86" w14:textId="778B2C9F">
            <w:pPr>
              <w:widowControl/>
              <w:jc w:val="center"/>
              <w:rPr>
                <w:color w:val="000000" w:themeColor="text1"/>
                <w:sz w:val="22"/>
                <w:szCs w:val="22"/>
              </w:rPr>
            </w:pPr>
            <w:r w:rsidRPr="0014469D">
              <w:rPr>
                <w:color w:val="000000" w:themeColor="text1"/>
                <w:sz w:val="22"/>
                <w:szCs w:val="22"/>
              </w:rPr>
              <w:t>1</w:t>
            </w:r>
          </w:p>
        </w:tc>
        <w:tc>
          <w:tcPr>
            <w:tcW w:w="1260" w:type="dxa"/>
            <w:vAlign w:val="center"/>
          </w:tcPr>
          <w:p w:rsidR="00772AC6" w:rsidRPr="0014469D" w:rsidP="00772AC6" w14:paraId="4CE67F6C" w14:textId="1EDC21F5">
            <w:pPr>
              <w:widowControl/>
              <w:jc w:val="center"/>
              <w:rPr>
                <w:color w:val="000000" w:themeColor="text1"/>
                <w:sz w:val="22"/>
                <w:szCs w:val="22"/>
              </w:rPr>
            </w:pPr>
            <w:r w:rsidRPr="0014469D">
              <w:rPr>
                <w:color w:val="000000" w:themeColor="text1"/>
                <w:sz w:val="22"/>
                <w:szCs w:val="22"/>
              </w:rPr>
              <w:t>1</w:t>
            </w:r>
          </w:p>
        </w:tc>
        <w:tc>
          <w:tcPr>
            <w:tcW w:w="1080" w:type="dxa"/>
            <w:vAlign w:val="center"/>
          </w:tcPr>
          <w:p w:rsidR="00772AC6" w:rsidRPr="0014469D" w:rsidP="00772AC6" w14:paraId="13B40F4C" w14:textId="5FFDD25F">
            <w:pPr>
              <w:widowControl/>
              <w:jc w:val="center"/>
              <w:rPr>
                <w:color w:val="000000" w:themeColor="text1"/>
                <w:sz w:val="22"/>
                <w:szCs w:val="22"/>
              </w:rPr>
            </w:pPr>
            <w:r>
              <w:rPr>
                <w:color w:val="000000" w:themeColor="text1"/>
                <w:sz w:val="22"/>
                <w:szCs w:val="22"/>
              </w:rPr>
              <w:t>4</w:t>
            </w:r>
            <w:r w:rsidRPr="0014469D">
              <w:rPr>
                <w:color w:val="000000" w:themeColor="text1"/>
                <w:sz w:val="22"/>
                <w:szCs w:val="22"/>
              </w:rPr>
              <w:t>60</w:t>
            </w:r>
          </w:p>
        </w:tc>
        <w:tc>
          <w:tcPr>
            <w:tcW w:w="990" w:type="dxa"/>
            <w:vAlign w:val="center"/>
          </w:tcPr>
          <w:p w:rsidR="00772AC6" w:rsidRPr="0014469D" w:rsidP="00772AC6" w14:paraId="5C3C8625" w14:textId="24683CC5">
            <w:pPr>
              <w:widowControl/>
              <w:jc w:val="center"/>
              <w:rPr>
                <w:color w:val="000000" w:themeColor="text1"/>
                <w:sz w:val="22"/>
                <w:szCs w:val="22"/>
              </w:rPr>
            </w:pPr>
            <w:r>
              <w:rPr>
                <w:color w:val="000000" w:themeColor="text1"/>
                <w:sz w:val="22"/>
                <w:szCs w:val="22"/>
              </w:rPr>
              <w:t>$48.05</w:t>
            </w:r>
          </w:p>
        </w:tc>
        <w:tc>
          <w:tcPr>
            <w:tcW w:w="1620" w:type="dxa"/>
            <w:vAlign w:val="center"/>
          </w:tcPr>
          <w:p w:rsidR="00772AC6" w:rsidRPr="0014469D" w:rsidP="00772AC6" w14:paraId="7DBBA31C" w14:textId="4DCFC65C">
            <w:pPr>
              <w:widowControl/>
              <w:jc w:val="right"/>
              <w:rPr>
                <w:color w:val="000000" w:themeColor="text1"/>
                <w:sz w:val="22"/>
                <w:szCs w:val="22"/>
              </w:rPr>
            </w:pPr>
            <w:r w:rsidRPr="00772AC6">
              <w:rPr>
                <w:color w:val="000000" w:themeColor="text1"/>
                <w:sz w:val="22"/>
                <w:szCs w:val="22"/>
              </w:rPr>
              <w:t xml:space="preserve">$17,298 </w:t>
            </w:r>
          </w:p>
        </w:tc>
      </w:tr>
      <w:tr w14:paraId="21856FBA" w14:textId="77777777" w:rsidTr="00F123CB">
        <w:tblPrEx>
          <w:tblW w:w="9990" w:type="dxa"/>
          <w:tblInd w:w="-185" w:type="dxa"/>
          <w:tblLayout w:type="fixed"/>
          <w:tblLook w:val="04A0"/>
        </w:tblPrEx>
        <w:tc>
          <w:tcPr>
            <w:tcW w:w="2430" w:type="dxa"/>
            <w:gridSpan w:val="2"/>
          </w:tcPr>
          <w:p w:rsidR="00F123CB" w:rsidRPr="0014469D" w:rsidP="00C82916" w14:paraId="744CA584" w14:textId="77777777">
            <w:pPr>
              <w:widowControl/>
              <w:rPr>
                <w:b/>
                <w:bCs/>
                <w:color w:val="000000" w:themeColor="text1"/>
                <w:sz w:val="22"/>
                <w:szCs w:val="22"/>
              </w:rPr>
            </w:pPr>
            <w:r w:rsidRPr="0014469D">
              <w:rPr>
                <w:b/>
                <w:bCs/>
                <w:color w:val="000000" w:themeColor="text1"/>
                <w:sz w:val="22"/>
                <w:szCs w:val="22"/>
              </w:rPr>
              <w:t>TOTAL BURDEN</w:t>
            </w:r>
          </w:p>
        </w:tc>
        <w:tc>
          <w:tcPr>
            <w:tcW w:w="1440" w:type="dxa"/>
            <w:vAlign w:val="center"/>
          </w:tcPr>
          <w:p w:rsidR="00F123CB" w:rsidRPr="0014469D" w:rsidP="0014469D" w14:paraId="3E97E1E7" w14:textId="64A8585C">
            <w:pPr>
              <w:widowControl/>
              <w:jc w:val="right"/>
              <w:rPr>
                <w:b/>
                <w:bCs/>
                <w:color w:val="000000" w:themeColor="text1"/>
                <w:sz w:val="22"/>
                <w:szCs w:val="22"/>
              </w:rPr>
            </w:pPr>
            <w:r w:rsidRPr="0014469D">
              <w:rPr>
                <w:b/>
                <w:bCs/>
                <w:color w:val="000000" w:themeColor="text1"/>
                <w:sz w:val="22"/>
                <w:szCs w:val="22"/>
              </w:rPr>
              <w:t>1,</w:t>
            </w:r>
            <w:r w:rsidR="00D82B55">
              <w:rPr>
                <w:b/>
                <w:bCs/>
                <w:color w:val="000000" w:themeColor="text1"/>
                <w:sz w:val="22"/>
                <w:szCs w:val="22"/>
              </w:rPr>
              <w:t>3</w:t>
            </w:r>
            <w:r w:rsidRPr="0014469D">
              <w:rPr>
                <w:b/>
                <w:bCs/>
                <w:color w:val="000000" w:themeColor="text1"/>
                <w:sz w:val="22"/>
                <w:szCs w:val="22"/>
              </w:rPr>
              <w:t>84</w:t>
            </w:r>
          </w:p>
        </w:tc>
        <w:tc>
          <w:tcPr>
            <w:tcW w:w="1170" w:type="dxa"/>
            <w:vAlign w:val="center"/>
          </w:tcPr>
          <w:p w:rsidR="00F123CB" w:rsidRPr="0014469D" w:rsidP="0014469D" w14:paraId="76B18B56" w14:textId="2D042999">
            <w:pPr>
              <w:widowControl/>
              <w:jc w:val="right"/>
              <w:rPr>
                <w:b/>
                <w:bCs/>
                <w:color w:val="000000" w:themeColor="text1"/>
                <w:sz w:val="22"/>
                <w:szCs w:val="22"/>
              </w:rPr>
            </w:pPr>
          </w:p>
        </w:tc>
        <w:tc>
          <w:tcPr>
            <w:tcW w:w="1260" w:type="dxa"/>
            <w:vAlign w:val="center"/>
          </w:tcPr>
          <w:p w:rsidR="00F123CB" w:rsidRPr="0014469D" w:rsidP="0014469D" w14:paraId="63C23E32" w14:textId="3FEF1C39">
            <w:pPr>
              <w:widowControl/>
              <w:jc w:val="right"/>
              <w:rPr>
                <w:color w:val="000000" w:themeColor="text1"/>
                <w:sz w:val="22"/>
                <w:szCs w:val="22"/>
              </w:rPr>
            </w:pPr>
            <w:r w:rsidRPr="0014469D">
              <w:rPr>
                <w:color w:val="000000" w:themeColor="text1"/>
                <w:sz w:val="22"/>
                <w:szCs w:val="22"/>
              </w:rPr>
              <w:t>--</w:t>
            </w:r>
          </w:p>
        </w:tc>
        <w:tc>
          <w:tcPr>
            <w:tcW w:w="1080" w:type="dxa"/>
            <w:vAlign w:val="center"/>
          </w:tcPr>
          <w:p w:rsidR="00F123CB" w:rsidRPr="0014469D" w:rsidP="0014469D" w14:paraId="77A9516A" w14:textId="02980293">
            <w:pPr>
              <w:widowControl/>
              <w:jc w:val="right"/>
              <w:rPr>
                <w:b/>
                <w:color w:val="000000" w:themeColor="text1"/>
                <w:sz w:val="22"/>
                <w:szCs w:val="22"/>
              </w:rPr>
            </w:pPr>
            <w:r w:rsidRPr="00053132">
              <w:rPr>
                <w:b/>
                <w:color w:val="000000" w:themeColor="text1"/>
                <w:sz w:val="22"/>
                <w:szCs w:val="22"/>
              </w:rPr>
              <w:t>10</w:t>
            </w:r>
            <w:r>
              <w:rPr>
                <w:b/>
                <w:color w:val="000000" w:themeColor="text1"/>
                <w:sz w:val="22"/>
                <w:szCs w:val="22"/>
              </w:rPr>
              <w:t>,</w:t>
            </w:r>
            <w:r w:rsidRPr="00053132">
              <w:rPr>
                <w:b/>
                <w:color w:val="000000" w:themeColor="text1"/>
                <w:sz w:val="22"/>
                <w:szCs w:val="22"/>
              </w:rPr>
              <w:t>360</w:t>
            </w:r>
          </w:p>
        </w:tc>
        <w:tc>
          <w:tcPr>
            <w:tcW w:w="990" w:type="dxa"/>
          </w:tcPr>
          <w:p w:rsidR="00F123CB" w:rsidRPr="001C68A2" w:rsidP="0014469D" w14:paraId="0E32351E" w14:textId="77777777">
            <w:pPr>
              <w:widowControl/>
              <w:jc w:val="right"/>
              <w:rPr>
                <w:b/>
                <w:bCs/>
                <w:color w:val="000000" w:themeColor="text1"/>
                <w:sz w:val="22"/>
                <w:szCs w:val="22"/>
              </w:rPr>
            </w:pPr>
          </w:p>
        </w:tc>
        <w:tc>
          <w:tcPr>
            <w:tcW w:w="1620" w:type="dxa"/>
            <w:vAlign w:val="center"/>
          </w:tcPr>
          <w:p w:rsidR="00F123CB" w:rsidRPr="0014469D" w:rsidP="0014469D" w14:paraId="35A54CF0" w14:textId="27106A80">
            <w:pPr>
              <w:widowControl/>
              <w:jc w:val="right"/>
              <w:rPr>
                <w:b/>
                <w:bCs/>
                <w:color w:val="000000" w:themeColor="text1"/>
                <w:sz w:val="22"/>
                <w:szCs w:val="22"/>
              </w:rPr>
            </w:pPr>
            <w:r w:rsidRPr="001C68A2">
              <w:rPr>
                <w:b/>
                <w:bCs/>
                <w:color w:val="000000" w:themeColor="text1"/>
                <w:sz w:val="22"/>
                <w:szCs w:val="22"/>
              </w:rPr>
              <w:t>$</w:t>
            </w:r>
            <w:r w:rsidRPr="00B10359" w:rsidR="00B10359">
              <w:rPr>
                <w:b/>
                <w:bCs/>
                <w:color w:val="000000" w:themeColor="text1"/>
                <w:sz w:val="22"/>
                <w:szCs w:val="22"/>
              </w:rPr>
              <w:t>547,770</w:t>
            </w:r>
          </w:p>
        </w:tc>
      </w:tr>
    </w:tbl>
    <w:p w:rsidR="004F4D37" w:rsidRPr="00C82916" w14:paraId="691418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C82916" w14:paraId="066725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82916">
        <w:rPr>
          <w:b/>
          <w:sz w:val="24"/>
          <w:szCs w:val="24"/>
        </w:rPr>
        <w:t>13.</w:t>
      </w:r>
      <w:r w:rsidRPr="00C82916">
        <w:rPr>
          <w:b/>
          <w:sz w:val="24"/>
          <w:szCs w:val="24"/>
        </w:rPr>
        <w:tab/>
        <w:t xml:space="preserve">Provide an estimate of the total annual </w:t>
      </w:r>
      <w:r w:rsidRPr="00C82916" w:rsidR="00DE1FFE">
        <w:rPr>
          <w:b/>
          <w:sz w:val="24"/>
          <w:szCs w:val="24"/>
        </w:rPr>
        <w:t>non-hour</w:t>
      </w:r>
      <w:r w:rsidRPr="00C82916">
        <w:rPr>
          <w:b/>
          <w:sz w:val="24"/>
          <w:szCs w:val="24"/>
        </w:rPr>
        <w:t xml:space="preserve"> cost burden to respondents or recordkeepers resulting from the collection of information.  (Do not include the cost of any hour burden </w:t>
      </w:r>
      <w:r w:rsidRPr="00C82916" w:rsidR="004A6DFA">
        <w:rPr>
          <w:b/>
          <w:sz w:val="24"/>
          <w:szCs w:val="24"/>
        </w:rPr>
        <w:t xml:space="preserve">already reflected </w:t>
      </w:r>
      <w:r w:rsidRPr="00C82916" w:rsidR="00F73931">
        <w:rPr>
          <w:b/>
          <w:sz w:val="24"/>
          <w:szCs w:val="24"/>
        </w:rPr>
        <w:t>in item 12</w:t>
      </w:r>
      <w:r w:rsidRPr="00C82916" w:rsidR="004A6DFA">
        <w:rPr>
          <w:b/>
          <w:sz w:val="24"/>
          <w:szCs w:val="24"/>
        </w:rPr>
        <w:t>.)</w:t>
      </w:r>
    </w:p>
    <w:p w:rsidR="00295103" w:rsidRPr="00C82916" w14:paraId="3E1D69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C82916">
        <w:rPr>
          <w:b/>
          <w:sz w:val="24"/>
          <w:szCs w:val="24"/>
        </w:rPr>
        <w:t>*</w:t>
      </w:r>
      <w:r w:rsidRPr="00C82916">
        <w:rPr>
          <w:b/>
          <w:sz w:val="24"/>
          <w:szCs w:val="24"/>
        </w:rPr>
        <w:tab/>
      </w:r>
      <w:r w:rsidRPr="00C82916">
        <w:rPr>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C82916" w:rsidR="000257C8">
        <w:rPr>
          <w:b/>
          <w:sz w:val="24"/>
          <w:szCs w:val="24"/>
        </w:rPr>
        <w:t>(</w:t>
      </w:r>
      <w:r w:rsidRPr="00C82916">
        <w:rPr>
          <w:b/>
          <w:sz w:val="24"/>
          <w:szCs w:val="24"/>
        </w:rPr>
        <w:t>including filing fees paid</w:t>
      </w:r>
      <w:r w:rsidRPr="00C82916" w:rsidR="000257C8">
        <w:rPr>
          <w:b/>
          <w:sz w:val="24"/>
          <w:szCs w:val="24"/>
        </w:rPr>
        <w:t xml:space="preserve"> for form processing)</w:t>
      </w:r>
      <w:r w:rsidRPr="00C82916">
        <w:rPr>
          <w:b/>
          <w:sz w:val="24"/>
          <w:szCs w:val="24"/>
        </w:rPr>
        <w:t>.  Include descriptions of methods used to estimate major cost factors including system and technology acquis</w:t>
      </w:r>
      <w:r w:rsidRPr="00C82916">
        <w:rPr>
          <w:b/>
          <w:sz w:val="24"/>
          <w:szCs w:val="24"/>
        </w:rPr>
        <w:t>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C82916" w14:paraId="0965B6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C82916">
        <w:rPr>
          <w:b/>
          <w:sz w:val="24"/>
          <w:szCs w:val="24"/>
        </w:rPr>
        <w:t>*</w:t>
      </w:r>
      <w:r w:rsidRPr="00C82916">
        <w:rPr>
          <w:b/>
          <w:sz w:val="24"/>
          <w:szCs w:val="24"/>
        </w:rPr>
        <w:tab/>
        <w:t xml:space="preserve">If cost estimates are expected to vary widely, agencies should present ranges of cost </w:t>
      </w:r>
      <w:r w:rsidRPr="00C82916">
        <w:rPr>
          <w:b/>
          <w:sz w:val="24"/>
          <w:szCs w:val="24"/>
        </w:rPr>
        <w:t xml:space="preserve">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C82916">
        <w:rPr>
          <w:b/>
          <w:sz w:val="24"/>
          <w:szCs w:val="24"/>
        </w:rPr>
        <w:t>containing the information collection, as appropriate.</w:t>
      </w:r>
    </w:p>
    <w:p w:rsidR="00295103" w:rsidRPr="00C82916" w14:paraId="1E1B47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C82916">
        <w:rPr>
          <w:b/>
          <w:sz w:val="24"/>
          <w:szCs w:val="24"/>
        </w:rPr>
        <w:tab/>
        <w:t>*</w:t>
      </w:r>
      <w:r w:rsidRPr="00C82916">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6740" w:rsidRPr="00C82916" w:rsidP="00914965" w14:paraId="061D6BD3" w14:textId="31BE27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F846C1" w:rsidRPr="00C82916" w:rsidP="00914965" w14:paraId="1D5B300B" w14:textId="7F3C3A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C82916">
        <w:rPr>
          <w:color w:val="000000"/>
          <w:sz w:val="24"/>
          <w:szCs w:val="24"/>
        </w:rPr>
        <w:t xml:space="preserve">There are no capital or start-up costs anticipated as contractors already have professionals on staff that can respond to these information collection requirements as a course of their regular duties, using computer and printer equipment already available to them. </w:t>
      </w:r>
    </w:p>
    <w:p w:rsidR="00695512" w:rsidRPr="00C82916" w:rsidP="001F29FB" w14:paraId="6E918FB9" w14:textId="77777777">
      <w:pPr>
        <w:pStyle w:val="NormalWeb"/>
        <w:spacing w:before="0" w:beforeAutospacing="0" w:after="0" w:afterAutospacing="0"/>
        <w:rPr>
          <w:sz w:val="22"/>
          <w:szCs w:val="22"/>
        </w:rPr>
      </w:pPr>
    </w:p>
    <w:p w:rsidR="0060758B" w:rsidRPr="00C82916" w14:paraId="61439F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82916">
        <w:rPr>
          <w:b/>
          <w:sz w:val="24"/>
          <w:szCs w:val="24"/>
        </w:rPr>
        <w:t>14.</w:t>
      </w:r>
      <w:r w:rsidRPr="00C82916">
        <w:rPr>
          <w:b/>
          <w:sz w:val="24"/>
          <w:szCs w:val="24"/>
        </w:rPr>
        <w:tab/>
      </w:r>
      <w:r w:rsidRPr="00C82916">
        <w:rPr>
          <w:b/>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A659C" w:rsidP="000A659C" w14:paraId="029676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A659C" w:rsidRPr="00BC65C3" w:rsidP="000A659C" w14:paraId="24EA5FD5" w14:textId="731AAE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C82916">
        <w:rPr>
          <w:sz w:val="24"/>
          <w:szCs w:val="24"/>
        </w:rPr>
        <w:t xml:space="preserve">We estimate that the annual cost to the Federal Government to administer this information collection is </w:t>
      </w:r>
      <w:r w:rsidRPr="00C64844" w:rsidR="00C64844">
        <w:rPr>
          <w:b/>
          <w:bCs/>
          <w:sz w:val="24"/>
          <w:szCs w:val="24"/>
        </w:rPr>
        <w:t>$288,119</w:t>
      </w:r>
      <w:r w:rsidRPr="00C82916">
        <w:rPr>
          <w:sz w:val="24"/>
          <w:szCs w:val="24"/>
        </w:rPr>
        <w:t xml:space="preserve">. </w:t>
      </w:r>
      <w:r w:rsidRPr="00BC65C3">
        <w:rPr>
          <w:color w:val="000000" w:themeColor="text1"/>
          <w:sz w:val="24"/>
          <w:szCs w:val="24"/>
        </w:rPr>
        <w:t xml:space="preserve">This includes $5,000 in administrative costs consisting of miscellaneous services and supplies. </w:t>
      </w:r>
    </w:p>
    <w:p w:rsidR="00821B99" w:rsidRPr="00BC65C3" w:rsidP="004127B1" w14:paraId="7A3D4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p>
    <w:p w:rsidR="00AA7344" w:rsidRPr="00BC65C3" w:rsidP="00914965" w14:paraId="6180FCFA" w14:textId="103B2E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BC65C3">
        <w:rPr>
          <w:color w:val="000000" w:themeColor="text1"/>
          <w:sz w:val="24"/>
          <w:szCs w:val="24"/>
        </w:rPr>
        <w:t xml:space="preserve">BIE employees </w:t>
      </w:r>
      <w:r w:rsidRPr="00BC65C3" w:rsidR="00914965">
        <w:rPr>
          <w:color w:val="000000" w:themeColor="text1"/>
          <w:sz w:val="24"/>
          <w:szCs w:val="24"/>
        </w:rPr>
        <w:t xml:space="preserve">working on the </w:t>
      </w:r>
      <w:r w:rsidRPr="00BC65C3">
        <w:rPr>
          <w:color w:val="000000" w:themeColor="text1"/>
          <w:sz w:val="24"/>
          <w:szCs w:val="24"/>
        </w:rPr>
        <w:t>JOM contracts review education plans and compile information provided in the annual</w:t>
      </w:r>
      <w:r w:rsidR="0057215D">
        <w:rPr>
          <w:color w:val="000000" w:themeColor="text1"/>
          <w:sz w:val="24"/>
          <w:szCs w:val="24"/>
        </w:rPr>
        <w:t xml:space="preserve"> and student count</w:t>
      </w:r>
      <w:r w:rsidRPr="00BC65C3">
        <w:rPr>
          <w:color w:val="000000" w:themeColor="text1"/>
          <w:sz w:val="24"/>
          <w:szCs w:val="24"/>
        </w:rPr>
        <w:t xml:space="preserve"> reports. BIE works closely with BIA contracting staff to review contract proposals, renewals, and amendments,</w:t>
      </w:r>
    </w:p>
    <w:p w:rsidR="004D5367" w:rsidRPr="00BC65C3" w:rsidP="00914965" w14:paraId="147D76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8617F4" w:rsidP="00914965" w14:paraId="368601B1" w14:textId="271573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C65C3">
        <w:rPr>
          <w:color w:val="000000" w:themeColor="text1"/>
          <w:sz w:val="24"/>
          <w:szCs w:val="24"/>
        </w:rPr>
        <w:t>An average salary of $77.</w:t>
      </w:r>
      <w:r w:rsidR="001602D6">
        <w:rPr>
          <w:color w:val="000000" w:themeColor="text1"/>
          <w:sz w:val="24"/>
          <w:szCs w:val="24"/>
        </w:rPr>
        <w:t>78</w:t>
      </w:r>
      <w:r w:rsidRPr="00BC65C3">
        <w:rPr>
          <w:color w:val="000000" w:themeColor="text1"/>
          <w:sz w:val="24"/>
          <w:szCs w:val="24"/>
        </w:rPr>
        <w:t xml:space="preserve"> per hour (including a 1.6 benefits BLS multiplier) was used for support staff, based on Rest of the US salary table, GS 12 Step 5, see https://www.opm.gov/policy-data-oversight/pay-leave/salaries</w:t>
      </w:r>
      <w:r w:rsidRPr="00F407E0">
        <w:rPr>
          <w:sz w:val="24"/>
          <w:szCs w:val="24"/>
        </w:rPr>
        <w:t>-wages/salary-tables/pdf/202</w:t>
      </w:r>
      <w:r w:rsidR="00A42338">
        <w:rPr>
          <w:sz w:val="24"/>
          <w:szCs w:val="24"/>
        </w:rPr>
        <w:t>6</w:t>
      </w:r>
      <w:r w:rsidRPr="00F407E0">
        <w:rPr>
          <w:sz w:val="24"/>
          <w:szCs w:val="24"/>
        </w:rPr>
        <w:t>/RUS_h.pdf.</w:t>
      </w:r>
    </w:p>
    <w:p w:rsidR="00F407E0" w:rsidRPr="00C82916" w:rsidP="00914965" w14:paraId="6D26A1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Style w:val="TableGrid"/>
        <w:tblW w:w="9350" w:type="dxa"/>
        <w:tblLook w:val="04A0"/>
      </w:tblPr>
      <w:tblGrid>
        <w:gridCol w:w="1164"/>
        <w:gridCol w:w="1852"/>
        <w:gridCol w:w="1255"/>
        <w:gridCol w:w="1149"/>
        <w:gridCol w:w="999"/>
        <w:gridCol w:w="1314"/>
        <w:gridCol w:w="1617"/>
      </w:tblGrid>
      <w:tr w14:paraId="6CB27E1E" w14:textId="77777777" w:rsidTr="00E1234B">
        <w:tblPrEx>
          <w:tblW w:w="9350" w:type="dxa"/>
          <w:tblLook w:val="04A0"/>
        </w:tblPrEx>
        <w:tc>
          <w:tcPr>
            <w:tcW w:w="1164" w:type="dxa"/>
          </w:tcPr>
          <w:p w:rsidR="00E1234B" w:rsidRPr="00B9660F" w:rsidP="00B9660F" w14:paraId="6F61F2DC" w14:textId="77777777">
            <w:pPr>
              <w:rPr>
                <w:b/>
                <w:bCs/>
              </w:rPr>
            </w:pPr>
            <w:r w:rsidRPr="00B9660F">
              <w:rPr>
                <w:b/>
                <w:bCs/>
              </w:rPr>
              <w:t>Citation</w:t>
            </w:r>
          </w:p>
          <w:p w:rsidR="00E1234B" w:rsidRPr="00B9660F" w:rsidP="0001722E" w14:paraId="1BAED4A4" w14:textId="77777777">
            <w:pPr>
              <w:widowControl/>
            </w:pPr>
            <w:r w:rsidRPr="00B9660F">
              <w:rPr>
                <w:b/>
                <w:bCs/>
              </w:rPr>
              <w:t>25 CFR</w:t>
            </w:r>
          </w:p>
        </w:tc>
        <w:tc>
          <w:tcPr>
            <w:tcW w:w="1852" w:type="dxa"/>
          </w:tcPr>
          <w:p w:rsidR="00E1234B" w:rsidRPr="00B9660F" w:rsidP="0001722E" w14:paraId="1D204EA7" w14:textId="687C1D00">
            <w:pPr>
              <w:widowControl/>
            </w:pPr>
            <w:r w:rsidRPr="00B9660F">
              <w:rPr>
                <w:b/>
                <w:bCs/>
              </w:rPr>
              <w:t>Federal Government Activity</w:t>
            </w:r>
          </w:p>
        </w:tc>
        <w:tc>
          <w:tcPr>
            <w:tcW w:w="1255" w:type="dxa"/>
          </w:tcPr>
          <w:p w:rsidR="00E1234B" w:rsidRPr="00B9660F" w:rsidP="0001722E" w14:paraId="7B76238C" w14:textId="74201DC9">
            <w:pPr>
              <w:widowControl/>
            </w:pPr>
            <w:r w:rsidRPr="00B9660F">
              <w:rPr>
                <w:b/>
                <w:bCs/>
              </w:rPr>
              <w:t>Average No. of Annual Responses</w:t>
            </w:r>
          </w:p>
        </w:tc>
        <w:tc>
          <w:tcPr>
            <w:tcW w:w="1149" w:type="dxa"/>
          </w:tcPr>
          <w:p w:rsidR="00E1234B" w:rsidRPr="00B9660F" w:rsidP="0001722E" w14:paraId="454AACAE" w14:textId="4513BCD1">
            <w:pPr>
              <w:widowControl/>
            </w:pPr>
            <w:r w:rsidRPr="00B9660F">
              <w:rPr>
                <w:b/>
                <w:bCs/>
              </w:rPr>
              <w:t>Hour Burden per response</w:t>
            </w:r>
          </w:p>
        </w:tc>
        <w:tc>
          <w:tcPr>
            <w:tcW w:w="999" w:type="dxa"/>
          </w:tcPr>
          <w:p w:rsidR="00E1234B" w:rsidRPr="00B9660F" w:rsidP="0001722E" w14:paraId="5CCF78C9" w14:textId="77777777">
            <w:pPr>
              <w:widowControl/>
            </w:pPr>
            <w:r w:rsidRPr="00B9660F">
              <w:rPr>
                <w:b/>
                <w:bCs/>
              </w:rPr>
              <w:t xml:space="preserve">Annual Burden Hours </w:t>
            </w:r>
          </w:p>
        </w:tc>
        <w:tc>
          <w:tcPr>
            <w:tcW w:w="1314" w:type="dxa"/>
          </w:tcPr>
          <w:p w:rsidR="00E1234B" w:rsidRPr="00B9660F" w:rsidP="0001722E" w14:paraId="42D413A6" w14:textId="6D23095C">
            <w:pPr>
              <w:widowControl/>
              <w:rPr>
                <w:b/>
              </w:rPr>
            </w:pPr>
            <w:r>
              <w:rPr>
                <w:b/>
              </w:rPr>
              <w:t>Loaded Rate</w:t>
            </w:r>
          </w:p>
        </w:tc>
        <w:tc>
          <w:tcPr>
            <w:tcW w:w="1617" w:type="dxa"/>
          </w:tcPr>
          <w:p w:rsidR="00E1234B" w:rsidRPr="00B9660F" w:rsidP="0001722E" w14:paraId="1E598E3D" w14:textId="41E9D66E">
            <w:pPr>
              <w:widowControl/>
            </w:pPr>
            <w:r w:rsidRPr="00B9660F">
              <w:rPr>
                <w:b/>
              </w:rPr>
              <w:t>Total Annual Cost (salary &amp; benefits)</w:t>
            </w:r>
          </w:p>
        </w:tc>
      </w:tr>
      <w:tr w14:paraId="54A07771" w14:textId="77777777" w:rsidTr="00807C9C">
        <w:tblPrEx>
          <w:tblW w:w="9350" w:type="dxa"/>
          <w:tblLook w:val="04A0"/>
        </w:tblPrEx>
        <w:tc>
          <w:tcPr>
            <w:tcW w:w="1164" w:type="dxa"/>
          </w:tcPr>
          <w:p w:rsidR="00807C9C" w:rsidRPr="00B9660F" w:rsidP="00807C9C" w14:paraId="169D3B70" w14:textId="77777777">
            <w:pPr>
              <w:widowControl/>
            </w:pPr>
            <w:r w:rsidRPr="00B9660F">
              <w:t>273.119; 273.120</w:t>
            </w:r>
          </w:p>
        </w:tc>
        <w:tc>
          <w:tcPr>
            <w:tcW w:w="1852" w:type="dxa"/>
          </w:tcPr>
          <w:p w:rsidR="00807C9C" w:rsidRPr="00B9660F" w:rsidP="00807C9C" w14:paraId="28FDF8F4" w14:textId="19C59E5B">
            <w:pPr>
              <w:widowControl/>
            </w:pPr>
            <w:r w:rsidRPr="00B9660F">
              <w:t>Review education plan – existing contractors</w:t>
            </w:r>
          </w:p>
        </w:tc>
        <w:tc>
          <w:tcPr>
            <w:tcW w:w="1255" w:type="dxa"/>
            <w:vAlign w:val="center"/>
          </w:tcPr>
          <w:p w:rsidR="00807C9C" w:rsidRPr="00BC65C3" w:rsidP="00807C9C" w14:paraId="32446423" w14:textId="5C166271">
            <w:pPr>
              <w:widowControl/>
              <w:jc w:val="right"/>
              <w:rPr>
                <w:sz w:val="22"/>
                <w:szCs w:val="22"/>
              </w:rPr>
            </w:pPr>
            <w:r w:rsidRPr="00BC65C3">
              <w:rPr>
                <w:sz w:val="22"/>
                <w:szCs w:val="22"/>
              </w:rPr>
              <w:t>360</w:t>
            </w:r>
          </w:p>
        </w:tc>
        <w:tc>
          <w:tcPr>
            <w:tcW w:w="1149" w:type="dxa"/>
            <w:vAlign w:val="center"/>
          </w:tcPr>
          <w:p w:rsidR="00807C9C" w:rsidRPr="00BC65C3" w:rsidP="00807C9C" w14:paraId="2D5348BB" w14:textId="3E050D69">
            <w:pPr>
              <w:widowControl/>
              <w:jc w:val="right"/>
              <w:rPr>
                <w:sz w:val="22"/>
                <w:szCs w:val="22"/>
              </w:rPr>
            </w:pPr>
            <w:r w:rsidRPr="00BC65C3">
              <w:rPr>
                <w:sz w:val="22"/>
                <w:szCs w:val="22"/>
              </w:rPr>
              <w:t>4</w:t>
            </w:r>
          </w:p>
        </w:tc>
        <w:tc>
          <w:tcPr>
            <w:tcW w:w="999" w:type="dxa"/>
            <w:vAlign w:val="center"/>
          </w:tcPr>
          <w:p w:rsidR="00807C9C" w:rsidRPr="00BC65C3" w:rsidP="00807C9C" w14:paraId="6F19FDE1" w14:textId="36EE3E32">
            <w:pPr>
              <w:widowControl/>
              <w:jc w:val="right"/>
              <w:rPr>
                <w:sz w:val="22"/>
                <w:szCs w:val="22"/>
              </w:rPr>
            </w:pPr>
            <w:r w:rsidRPr="00BC65C3">
              <w:rPr>
                <w:sz w:val="22"/>
                <w:szCs w:val="22"/>
              </w:rPr>
              <w:t>1,440</w:t>
            </w:r>
          </w:p>
        </w:tc>
        <w:tc>
          <w:tcPr>
            <w:tcW w:w="1314" w:type="dxa"/>
            <w:vAlign w:val="center"/>
          </w:tcPr>
          <w:p w:rsidR="00807C9C" w:rsidRPr="004818F5" w:rsidP="00807C9C" w14:paraId="547D89EA" w14:textId="1EA4E4E7">
            <w:pPr>
              <w:widowControl/>
              <w:jc w:val="right"/>
              <w:rPr>
                <w:sz w:val="22"/>
                <w:szCs w:val="22"/>
              </w:rPr>
            </w:pPr>
            <w:r>
              <w:rPr>
                <w:sz w:val="22"/>
                <w:szCs w:val="22"/>
              </w:rPr>
              <w:t>$77.78 ($48.61 x 1.6)</w:t>
            </w:r>
          </w:p>
        </w:tc>
        <w:tc>
          <w:tcPr>
            <w:tcW w:w="1617" w:type="dxa"/>
            <w:vAlign w:val="center"/>
          </w:tcPr>
          <w:p w:rsidR="00807C9C" w:rsidRPr="00BC65C3" w:rsidP="00807C9C" w14:paraId="176D3BEB" w14:textId="48DA9EED">
            <w:pPr>
              <w:widowControl/>
              <w:jc w:val="right"/>
              <w:rPr>
                <w:sz w:val="22"/>
                <w:szCs w:val="22"/>
              </w:rPr>
            </w:pPr>
            <w:r w:rsidRPr="00807C9C">
              <w:rPr>
                <w:sz w:val="22"/>
                <w:szCs w:val="22"/>
              </w:rPr>
              <w:t xml:space="preserve">$112,003 </w:t>
            </w:r>
          </w:p>
        </w:tc>
      </w:tr>
      <w:tr w14:paraId="1D46DBA0" w14:textId="77777777" w:rsidTr="00807C9C">
        <w:tblPrEx>
          <w:tblW w:w="9350" w:type="dxa"/>
          <w:tblLook w:val="04A0"/>
        </w:tblPrEx>
        <w:tc>
          <w:tcPr>
            <w:tcW w:w="1164" w:type="dxa"/>
          </w:tcPr>
          <w:p w:rsidR="00807C9C" w:rsidRPr="00B9660F" w:rsidP="00807C9C" w14:paraId="2B13186C" w14:textId="77777777">
            <w:pPr>
              <w:widowControl/>
            </w:pPr>
            <w:r w:rsidRPr="00B9660F">
              <w:t>273.119; 273.120</w:t>
            </w:r>
          </w:p>
        </w:tc>
        <w:tc>
          <w:tcPr>
            <w:tcW w:w="1852" w:type="dxa"/>
          </w:tcPr>
          <w:p w:rsidR="00807C9C" w:rsidRPr="00B9660F" w:rsidP="00807C9C" w14:paraId="169CB011" w14:textId="5E7F4E4A">
            <w:pPr>
              <w:widowControl/>
            </w:pPr>
            <w:r w:rsidRPr="00B9660F">
              <w:t>Review education plan – new contractors</w:t>
            </w:r>
          </w:p>
        </w:tc>
        <w:tc>
          <w:tcPr>
            <w:tcW w:w="1255" w:type="dxa"/>
            <w:vAlign w:val="center"/>
          </w:tcPr>
          <w:p w:rsidR="00807C9C" w:rsidRPr="00BC65C3" w:rsidP="00807C9C" w14:paraId="141B44EF" w14:textId="0D5B3D4E">
            <w:pPr>
              <w:widowControl/>
              <w:jc w:val="right"/>
              <w:rPr>
                <w:sz w:val="22"/>
                <w:szCs w:val="22"/>
              </w:rPr>
            </w:pPr>
            <w:r w:rsidRPr="00BC65C3">
              <w:rPr>
                <w:sz w:val="22"/>
                <w:szCs w:val="22"/>
              </w:rPr>
              <w:t>2</w:t>
            </w:r>
          </w:p>
        </w:tc>
        <w:tc>
          <w:tcPr>
            <w:tcW w:w="1149" w:type="dxa"/>
            <w:vAlign w:val="center"/>
          </w:tcPr>
          <w:p w:rsidR="00807C9C" w:rsidRPr="00BC65C3" w:rsidP="00807C9C" w14:paraId="5811BAF1" w14:textId="6B6EDFFA">
            <w:pPr>
              <w:widowControl/>
              <w:jc w:val="right"/>
              <w:rPr>
                <w:sz w:val="22"/>
                <w:szCs w:val="22"/>
              </w:rPr>
            </w:pPr>
            <w:r w:rsidRPr="00BC65C3">
              <w:rPr>
                <w:sz w:val="22"/>
                <w:szCs w:val="22"/>
              </w:rPr>
              <w:t>16</w:t>
            </w:r>
          </w:p>
        </w:tc>
        <w:tc>
          <w:tcPr>
            <w:tcW w:w="999" w:type="dxa"/>
            <w:vAlign w:val="center"/>
          </w:tcPr>
          <w:p w:rsidR="00807C9C" w:rsidRPr="00BC65C3" w:rsidP="00807C9C" w14:paraId="3B3D9B86" w14:textId="6CD05FF5">
            <w:pPr>
              <w:widowControl/>
              <w:jc w:val="right"/>
              <w:rPr>
                <w:sz w:val="22"/>
                <w:szCs w:val="22"/>
              </w:rPr>
            </w:pPr>
            <w:r w:rsidRPr="00BC65C3">
              <w:rPr>
                <w:sz w:val="22"/>
                <w:szCs w:val="22"/>
              </w:rPr>
              <w:t>32</w:t>
            </w:r>
          </w:p>
        </w:tc>
        <w:tc>
          <w:tcPr>
            <w:tcW w:w="1314" w:type="dxa"/>
            <w:vAlign w:val="center"/>
          </w:tcPr>
          <w:p w:rsidR="00807C9C" w:rsidRPr="004818F5" w:rsidP="00807C9C" w14:paraId="62140F82" w14:textId="21CEDBB4">
            <w:pPr>
              <w:widowControl/>
              <w:jc w:val="right"/>
              <w:rPr>
                <w:sz w:val="22"/>
                <w:szCs w:val="22"/>
              </w:rPr>
            </w:pPr>
            <w:r>
              <w:rPr>
                <w:sz w:val="22"/>
                <w:szCs w:val="22"/>
              </w:rPr>
              <w:t>$77.78 ($48.61 x 1.6)</w:t>
            </w:r>
          </w:p>
        </w:tc>
        <w:tc>
          <w:tcPr>
            <w:tcW w:w="1617" w:type="dxa"/>
            <w:vAlign w:val="center"/>
          </w:tcPr>
          <w:p w:rsidR="00807C9C" w:rsidRPr="00BC65C3" w:rsidP="00807C9C" w14:paraId="7BC059ED" w14:textId="258663BE">
            <w:pPr>
              <w:widowControl/>
              <w:jc w:val="right"/>
              <w:rPr>
                <w:sz w:val="22"/>
                <w:szCs w:val="22"/>
              </w:rPr>
            </w:pPr>
            <w:r w:rsidRPr="00807C9C">
              <w:rPr>
                <w:sz w:val="22"/>
                <w:szCs w:val="22"/>
              </w:rPr>
              <w:t xml:space="preserve">$2,489 </w:t>
            </w:r>
          </w:p>
        </w:tc>
      </w:tr>
      <w:tr w14:paraId="0822B59C" w14:textId="77777777" w:rsidTr="00807C9C">
        <w:tblPrEx>
          <w:tblW w:w="9350" w:type="dxa"/>
          <w:tblLook w:val="04A0"/>
        </w:tblPrEx>
        <w:tc>
          <w:tcPr>
            <w:tcW w:w="1164" w:type="dxa"/>
          </w:tcPr>
          <w:p w:rsidR="00807C9C" w:rsidRPr="00B9660F" w:rsidP="00807C9C" w14:paraId="42644CC9" w14:textId="77777777">
            <w:r w:rsidRPr="00B9660F">
              <w:t>273.125; 273.130;</w:t>
            </w:r>
          </w:p>
          <w:p w:rsidR="00807C9C" w:rsidRPr="00B9660F" w:rsidP="00807C9C" w14:paraId="1CE295AF" w14:textId="77777777">
            <w:pPr>
              <w:widowControl/>
            </w:pPr>
            <w:r w:rsidRPr="00B9660F">
              <w:t>273.131</w:t>
            </w:r>
          </w:p>
        </w:tc>
        <w:tc>
          <w:tcPr>
            <w:tcW w:w="1852" w:type="dxa"/>
          </w:tcPr>
          <w:p w:rsidR="00807C9C" w:rsidRPr="00B9660F" w:rsidP="00807C9C" w14:paraId="3B952C2C" w14:textId="63534FFD">
            <w:pPr>
              <w:widowControl/>
            </w:pPr>
            <w:r w:rsidRPr="00B9660F">
              <w:t>Review contract proposal</w:t>
            </w:r>
          </w:p>
        </w:tc>
        <w:tc>
          <w:tcPr>
            <w:tcW w:w="1255" w:type="dxa"/>
            <w:vAlign w:val="center"/>
          </w:tcPr>
          <w:p w:rsidR="00807C9C" w:rsidRPr="00BC65C3" w:rsidP="00807C9C" w14:paraId="64CC6667" w14:textId="01993F96">
            <w:pPr>
              <w:widowControl/>
              <w:jc w:val="right"/>
              <w:rPr>
                <w:sz w:val="22"/>
                <w:szCs w:val="22"/>
              </w:rPr>
            </w:pPr>
            <w:r w:rsidRPr="00BC65C3">
              <w:rPr>
                <w:sz w:val="22"/>
                <w:szCs w:val="22"/>
              </w:rPr>
              <w:t>2</w:t>
            </w:r>
          </w:p>
        </w:tc>
        <w:tc>
          <w:tcPr>
            <w:tcW w:w="1149" w:type="dxa"/>
            <w:vAlign w:val="center"/>
          </w:tcPr>
          <w:p w:rsidR="00807C9C" w:rsidRPr="00BC65C3" w:rsidP="00807C9C" w14:paraId="519D9B5E" w14:textId="6F28FC5C">
            <w:pPr>
              <w:widowControl/>
              <w:jc w:val="right"/>
              <w:rPr>
                <w:sz w:val="22"/>
                <w:szCs w:val="22"/>
              </w:rPr>
            </w:pPr>
            <w:r w:rsidRPr="00BC65C3">
              <w:rPr>
                <w:sz w:val="22"/>
                <w:szCs w:val="22"/>
              </w:rPr>
              <w:t>4</w:t>
            </w:r>
          </w:p>
        </w:tc>
        <w:tc>
          <w:tcPr>
            <w:tcW w:w="999" w:type="dxa"/>
            <w:vAlign w:val="center"/>
          </w:tcPr>
          <w:p w:rsidR="00807C9C" w:rsidRPr="00BC65C3" w:rsidP="00807C9C" w14:paraId="265E34A6" w14:textId="47F591B0">
            <w:pPr>
              <w:widowControl/>
              <w:jc w:val="right"/>
              <w:rPr>
                <w:sz w:val="22"/>
                <w:szCs w:val="22"/>
              </w:rPr>
            </w:pPr>
            <w:r w:rsidRPr="00BC65C3">
              <w:rPr>
                <w:sz w:val="22"/>
                <w:szCs w:val="22"/>
              </w:rPr>
              <w:t>8</w:t>
            </w:r>
          </w:p>
        </w:tc>
        <w:tc>
          <w:tcPr>
            <w:tcW w:w="1314" w:type="dxa"/>
            <w:vAlign w:val="center"/>
          </w:tcPr>
          <w:p w:rsidR="00807C9C" w:rsidRPr="004818F5" w:rsidP="00807C9C" w14:paraId="169EB34F" w14:textId="17CF4203">
            <w:pPr>
              <w:widowControl/>
              <w:jc w:val="right"/>
              <w:rPr>
                <w:sz w:val="22"/>
                <w:szCs w:val="22"/>
              </w:rPr>
            </w:pPr>
            <w:r>
              <w:rPr>
                <w:sz w:val="22"/>
                <w:szCs w:val="22"/>
              </w:rPr>
              <w:t>$77.78 ($48.61 x 1.6)</w:t>
            </w:r>
          </w:p>
        </w:tc>
        <w:tc>
          <w:tcPr>
            <w:tcW w:w="1617" w:type="dxa"/>
            <w:vAlign w:val="center"/>
          </w:tcPr>
          <w:p w:rsidR="00807C9C" w:rsidRPr="00BC65C3" w:rsidP="00807C9C" w14:paraId="0716936F" w14:textId="216E2935">
            <w:pPr>
              <w:widowControl/>
              <w:jc w:val="right"/>
              <w:rPr>
                <w:sz w:val="22"/>
                <w:szCs w:val="22"/>
              </w:rPr>
            </w:pPr>
            <w:r w:rsidRPr="00807C9C">
              <w:rPr>
                <w:sz w:val="22"/>
                <w:szCs w:val="22"/>
              </w:rPr>
              <w:t xml:space="preserve">$622 </w:t>
            </w:r>
          </w:p>
        </w:tc>
      </w:tr>
      <w:tr w14:paraId="075E73DA" w14:textId="77777777" w:rsidTr="00807C9C">
        <w:tblPrEx>
          <w:tblW w:w="9350" w:type="dxa"/>
          <w:tblLook w:val="04A0"/>
        </w:tblPrEx>
        <w:tc>
          <w:tcPr>
            <w:tcW w:w="1164" w:type="dxa"/>
          </w:tcPr>
          <w:p w:rsidR="00807C9C" w:rsidRPr="00B9660F" w:rsidP="00807C9C" w14:paraId="369DE290" w14:textId="77777777">
            <w:r w:rsidRPr="00B9660F">
              <w:t>273.150;</w:t>
            </w:r>
          </w:p>
          <w:p w:rsidR="00807C9C" w:rsidRPr="00B9660F" w:rsidP="00807C9C" w14:paraId="62096D53" w14:textId="77777777">
            <w:r w:rsidRPr="00B9660F">
              <w:t>273.151;</w:t>
            </w:r>
          </w:p>
          <w:p w:rsidR="00807C9C" w:rsidRPr="00B9660F" w:rsidP="00807C9C" w14:paraId="1EB40024" w14:textId="77777777">
            <w:pPr>
              <w:widowControl/>
            </w:pPr>
            <w:r w:rsidRPr="00B9660F">
              <w:t>273.153</w:t>
            </w:r>
          </w:p>
        </w:tc>
        <w:tc>
          <w:tcPr>
            <w:tcW w:w="1852" w:type="dxa"/>
          </w:tcPr>
          <w:p w:rsidR="00807C9C" w:rsidRPr="00B9660F" w:rsidP="00807C9C" w14:paraId="7A7629A2" w14:textId="57FBAF41">
            <w:pPr>
              <w:widowControl/>
            </w:pPr>
            <w:r w:rsidRPr="00B9660F">
              <w:t xml:space="preserve">Review and compile annual </w:t>
            </w:r>
            <w:r>
              <w:t xml:space="preserve">and student count </w:t>
            </w:r>
            <w:r w:rsidRPr="00B9660F">
              <w:t>reports</w:t>
            </w:r>
          </w:p>
        </w:tc>
        <w:tc>
          <w:tcPr>
            <w:tcW w:w="1255" w:type="dxa"/>
            <w:vAlign w:val="center"/>
          </w:tcPr>
          <w:p w:rsidR="00807C9C" w:rsidRPr="00BC65C3" w:rsidP="00807C9C" w14:paraId="222833C6" w14:textId="2A67B4A4">
            <w:pPr>
              <w:widowControl/>
              <w:jc w:val="right"/>
              <w:rPr>
                <w:sz w:val="22"/>
                <w:szCs w:val="22"/>
              </w:rPr>
            </w:pPr>
            <w:r w:rsidRPr="00BC65C3">
              <w:rPr>
                <w:sz w:val="22"/>
                <w:szCs w:val="22"/>
              </w:rPr>
              <w:t>360</w:t>
            </w:r>
          </w:p>
        </w:tc>
        <w:tc>
          <w:tcPr>
            <w:tcW w:w="1149" w:type="dxa"/>
            <w:vAlign w:val="center"/>
          </w:tcPr>
          <w:p w:rsidR="00807C9C" w:rsidRPr="00BC65C3" w:rsidP="00807C9C" w14:paraId="52B1D458" w14:textId="6789B3BE">
            <w:pPr>
              <w:widowControl/>
              <w:jc w:val="right"/>
              <w:rPr>
                <w:sz w:val="22"/>
                <w:szCs w:val="22"/>
              </w:rPr>
            </w:pPr>
            <w:r w:rsidRPr="00BC65C3">
              <w:rPr>
                <w:sz w:val="22"/>
                <w:szCs w:val="22"/>
              </w:rPr>
              <w:t>4</w:t>
            </w:r>
          </w:p>
        </w:tc>
        <w:tc>
          <w:tcPr>
            <w:tcW w:w="999" w:type="dxa"/>
            <w:vAlign w:val="center"/>
          </w:tcPr>
          <w:p w:rsidR="00807C9C" w:rsidRPr="00BC65C3" w:rsidP="00807C9C" w14:paraId="0B2C20B1" w14:textId="4729418A">
            <w:pPr>
              <w:widowControl/>
              <w:jc w:val="right"/>
              <w:rPr>
                <w:sz w:val="22"/>
                <w:szCs w:val="22"/>
              </w:rPr>
            </w:pPr>
            <w:r w:rsidRPr="00BC65C3">
              <w:rPr>
                <w:sz w:val="22"/>
                <w:szCs w:val="22"/>
              </w:rPr>
              <w:t>1,440</w:t>
            </w:r>
          </w:p>
        </w:tc>
        <w:tc>
          <w:tcPr>
            <w:tcW w:w="1314" w:type="dxa"/>
            <w:vAlign w:val="center"/>
          </w:tcPr>
          <w:p w:rsidR="00807C9C" w:rsidRPr="004818F5" w:rsidP="00807C9C" w14:paraId="572A9ABB" w14:textId="05243AB8">
            <w:pPr>
              <w:widowControl/>
              <w:jc w:val="right"/>
              <w:rPr>
                <w:sz w:val="22"/>
                <w:szCs w:val="22"/>
              </w:rPr>
            </w:pPr>
            <w:r>
              <w:rPr>
                <w:sz w:val="22"/>
                <w:szCs w:val="22"/>
              </w:rPr>
              <w:t>$77.78 ($48.61 x 1.6)</w:t>
            </w:r>
          </w:p>
        </w:tc>
        <w:tc>
          <w:tcPr>
            <w:tcW w:w="1617" w:type="dxa"/>
            <w:vAlign w:val="center"/>
          </w:tcPr>
          <w:p w:rsidR="00807C9C" w:rsidRPr="00BC65C3" w:rsidP="00807C9C" w14:paraId="36EEEF48" w14:textId="2EFCC300">
            <w:pPr>
              <w:widowControl/>
              <w:jc w:val="right"/>
              <w:rPr>
                <w:sz w:val="22"/>
                <w:szCs w:val="22"/>
              </w:rPr>
            </w:pPr>
            <w:r w:rsidRPr="00807C9C">
              <w:rPr>
                <w:sz w:val="22"/>
                <w:szCs w:val="22"/>
              </w:rPr>
              <w:t xml:space="preserve">$112,003 </w:t>
            </w:r>
          </w:p>
        </w:tc>
      </w:tr>
      <w:tr w14:paraId="4928ADB9" w14:textId="77777777" w:rsidTr="00807C9C">
        <w:tblPrEx>
          <w:tblW w:w="9350" w:type="dxa"/>
          <w:tblLook w:val="04A0"/>
        </w:tblPrEx>
        <w:tc>
          <w:tcPr>
            <w:tcW w:w="1164" w:type="dxa"/>
          </w:tcPr>
          <w:p w:rsidR="00807C9C" w:rsidP="00807C9C" w14:paraId="3B51A2C6" w14:textId="266E904A">
            <w:pPr>
              <w:widowControl/>
            </w:pPr>
            <w:r w:rsidRPr="00B9660F">
              <w:t>273.92</w:t>
            </w:r>
            <w:r>
              <w:t>;</w:t>
            </w:r>
          </w:p>
          <w:p w:rsidR="00807C9C" w:rsidRPr="00B9660F" w:rsidP="00807C9C" w14:paraId="4BB7A4D5" w14:textId="185CCDD8">
            <w:pPr>
              <w:widowControl/>
            </w:pPr>
            <w:r w:rsidRPr="00B9660F">
              <w:t>273.93</w:t>
            </w:r>
          </w:p>
        </w:tc>
        <w:tc>
          <w:tcPr>
            <w:tcW w:w="1852" w:type="dxa"/>
          </w:tcPr>
          <w:p w:rsidR="00807C9C" w:rsidRPr="00B9660F" w:rsidP="00807C9C" w14:paraId="5F3B608F" w14:textId="63AC8861">
            <w:pPr>
              <w:widowControl/>
            </w:pPr>
            <w:r w:rsidRPr="00B9660F">
              <w:t>Review requests for amendment/ revision</w:t>
            </w:r>
            <w:r>
              <w:t>/ renewal</w:t>
            </w:r>
          </w:p>
        </w:tc>
        <w:tc>
          <w:tcPr>
            <w:tcW w:w="1255" w:type="dxa"/>
            <w:vAlign w:val="center"/>
          </w:tcPr>
          <w:p w:rsidR="00807C9C" w:rsidRPr="00BC65C3" w:rsidP="00807C9C" w14:paraId="03F43E58" w14:textId="0C9EDA66">
            <w:pPr>
              <w:widowControl/>
              <w:jc w:val="right"/>
              <w:rPr>
                <w:sz w:val="22"/>
                <w:szCs w:val="22"/>
              </w:rPr>
            </w:pPr>
            <w:r w:rsidRPr="00BC65C3">
              <w:rPr>
                <w:sz w:val="22"/>
                <w:szCs w:val="22"/>
              </w:rPr>
              <w:t>360</w:t>
            </w:r>
          </w:p>
        </w:tc>
        <w:tc>
          <w:tcPr>
            <w:tcW w:w="1149" w:type="dxa"/>
            <w:vAlign w:val="center"/>
          </w:tcPr>
          <w:p w:rsidR="00807C9C" w:rsidRPr="00BC65C3" w:rsidP="00807C9C" w14:paraId="7C686D90" w14:textId="5342BFB5">
            <w:pPr>
              <w:widowControl/>
              <w:jc w:val="right"/>
              <w:rPr>
                <w:sz w:val="22"/>
                <w:szCs w:val="22"/>
              </w:rPr>
            </w:pPr>
            <w:r w:rsidRPr="00BC65C3">
              <w:rPr>
                <w:sz w:val="22"/>
                <w:szCs w:val="22"/>
              </w:rPr>
              <w:t>2</w:t>
            </w:r>
          </w:p>
        </w:tc>
        <w:tc>
          <w:tcPr>
            <w:tcW w:w="999" w:type="dxa"/>
            <w:vAlign w:val="center"/>
          </w:tcPr>
          <w:p w:rsidR="00807C9C" w:rsidRPr="00BC65C3" w:rsidP="00807C9C" w14:paraId="4D401F94" w14:textId="452D2DEE">
            <w:pPr>
              <w:widowControl/>
              <w:jc w:val="right"/>
              <w:rPr>
                <w:sz w:val="22"/>
                <w:szCs w:val="22"/>
              </w:rPr>
            </w:pPr>
            <w:r w:rsidRPr="00BC65C3">
              <w:rPr>
                <w:sz w:val="22"/>
                <w:szCs w:val="22"/>
              </w:rPr>
              <w:t>720</w:t>
            </w:r>
          </w:p>
        </w:tc>
        <w:tc>
          <w:tcPr>
            <w:tcW w:w="1314" w:type="dxa"/>
            <w:vAlign w:val="center"/>
          </w:tcPr>
          <w:p w:rsidR="00807C9C" w:rsidRPr="004818F5" w:rsidP="00807C9C" w14:paraId="62F8C07C" w14:textId="59ED5F36">
            <w:pPr>
              <w:widowControl/>
              <w:jc w:val="right"/>
              <w:rPr>
                <w:sz w:val="22"/>
                <w:szCs w:val="22"/>
              </w:rPr>
            </w:pPr>
            <w:r>
              <w:rPr>
                <w:sz w:val="22"/>
                <w:szCs w:val="22"/>
              </w:rPr>
              <w:t>$77.78 ($48.61 x 1.6)</w:t>
            </w:r>
          </w:p>
        </w:tc>
        <w:tc>
          <w:tcPr>
            <w:tcW w:w="1617" w:type="dxa"/>
            <w:vAlign w:val="center"/>
          </w:tcPr>
          <w:p w:rsidR="00807C9C" w:rsidRPr="00BC65C3" w:rsidP="00807C9C" w14:paraId="30084AC1" w14:textId="52DC0C66">
            <w:pPr>
              <w:widowControl/>
              <w:jc w:val="right"/>
              <w:rPr>
                <w:sz w:val="22"/>
                <w:szCs w:val="22"/>
              </w:rPr>
            </w:pPr>
            <w:r w:rsidRPr="00807C9C">
              <w:rPr>
                <w:sz w:val="22"/>
                <w:szCs w:val="22"/>
              </w:rPr>
              <w:t xml:space="preserve">$56,002 </w:t>
            </w:r>
          </w:p>
        </w:tc>
      </w:tr>
      <w:tr w14:paraId="51A349CD" w14:textId="77777777" w:rsidTr="001602D6">
        <w:tblPrEx>
          <w:tblW w:w="9350" w:type="dxa"/>
          <w:tblLook w:val="04A0"/>
        </w:tblPrEx>
        <w:tc>
          <w:tcPr>
            <w:tcW w:w="1164" w:type="dxa"/>
          </w:tcPr>
          <w:p w:rsidR="00E1234B" w:rsidRPr="00B9660F" w:rsidP="0001722E" w14:paraId="2E8DF11D" w14:textId="0A3EC343">
            <w:pPr>
              <w:widowControl/>
            </w:pPr>
            <w:r>
              <w:t>--</w:t>
            </w:r>
          </w:p>
        </w:tc>
        <w:tc>
          <w:tcPr>
            <w:tcW w:w="1852" w:type="dxa"/>
          </w:tcPr>
          <w:p w:rsidR="00E1234B" w:rsidRPr="00B9660F" w:rsidP="0001722E" w14:paraId="1667B9D5" w14:textId="7271AAB4">
            <w:pPr>
              <w:widowControl/>
            </w:pPr>
            <w:r>
              <w:t>Administrative Expense</w:t>
            </w:r>
          </w:p>
        </w:tc>
        <w:tc>
          <w:tcPr>
            <w:tcW w:w="1255" w:type="dxa"/>
            <w:vAlign w:val="center"/>
          </w:tcPr>
          <w:p w:rsidR="00E1234B" w:rsidRPr="00BC65C3" w:rsidP="001602D6" w14:paraId="2450E11E" w14:textId="3409F80F">
            <w:pPr>
              <w:widowControl/>
              <w:jc w:val="right"/>
              <w:rPr>
                <w:sz w:val="22"/>
                <w:szCs w:val="22"/>
              </w:rPr>
            </w:pPr>
            <w:r w:rsidRPr="00BC65C3">
              <w:rPr>
                <w:sz w:val="22"/>
                <w:szCs w:val="22"/>
              </w:rPr>
              <w:t>--</w:t>
            </w:r>
          </w:p>
        </w:tc>
        <w:tc>
          <w:tcPr>
            <w:tcW w:w="1149" w:type="dxa"/>
            <w:vAlign w:val="center"/>
          </w:tcPr>
          <w:p w:rsidR="00E1234B" w:rsidRPr="00BC65C3" w:rsidP="001602D6" w14:paraId="4DD91357" w14:textId="7FAF3057">
            <w:pPr>
              <w:widowControl/>
              <w:jc w:val="right"/>
              <w:rPr>
                <w:sz w:val="22"/>
                <w:szCs w:val="22"/>
              </w:rPr>
            </w:pPr>
            <w:r w:rsidRPr="00BC65C3">
              <w:rPr>
                <w:sz w:val="22"/>
                <w:szCs w:val="22"/>
              </w:rPr>
              <w:t>--</w:t>
            </w:r>
          </w:p>
        </w:tc>
        <w:tc>
          <w:tcPr>
            <w:tcW w:w="999" w:type="dxa"/>
            <w:vAlign w:val="center"/>
          </w:tcPr>
          <w:p w:rsidR="00E1234B" w:rsidRPr="00BC65C3" w:rsidP="001602D6" w14:paraId="1BC7C979" w14:textId="3904EEE4">
            <w:pPr>
              <w:widowControl/>
              <w:jc w:val="right"/>
              <w:rPr>
                <w:sz w:val="22"/>
                <w:szCs w:val="22"/>
              </w:rPr>
            </w:pPr>
            <w:r w:rsidRPr="00BC65C3">
              <w:rPr>
                <w:sz w:val="22"/>
                <w:szCs w:val="22"/>
              </w:rPr>
              <w:t>--</w:t>
            </w:r>
          </w:p>
        </w:tc>
        <w:tc>
          <w:tcPr>
            <w:tcW w:w="1314" w:type="dxa"/>
            <w:vAlign w:val="center"/>
          </w:tcPr>
          <w:p w:rsidR="00E1234B" w:rsidRPr="00BC65C3" w:rsidP="001602D6" w14:paraId="62392DA0" w14:textId="664A496C">
            <w:pPr>
              <w:widowControl/>
              <w:jc w:val="right"/>
              <w:rPr>
                <w:sz w:val="22"/>
                <w:szCs w:val="22"/>
              </w:rPr>
            </w:pPr>
            <w:r>
              <w:rPr>
                <w:sz w:val="22"/>
                <w:szCs w:val="22"/>
              </w:rPr>
              <w:t>0</w:t>
            </w:r>
          </w:p>
        </w:tc>
        <w:tc>
          <w:tcPr>
            <w:tcW w:w="1617" w:type="dxa"/>
            <w:vAlign w:val="center"/>
          </w:tcPr>
          <w:p w:rsidR="00E1234B" w:rsidRPr="00BC65C3" w:rsidP="001602D6" w14:paraId="5A88EAC4" w14:textId="2E829274">
            <w:pPr>
              <w:widowControl/>
              <w:jc w:val="right"/>
              <w:rPr>
                <w:sz w:val="22"/>
                <w:szCs w:val="22"/>
              </w:rPr>
            </w:pPr>
            <w:r w:rsidRPr="00BC65C3">
              <w:rPr>
                <w:sz w:val="22"/>
                <w:szCs w:val="22"/>
              </w:rPr>
              <w:t>$5,000</w:t>
            </w:r>
          </w:p>
        </w:tc>
      </w:tr>
      <w:tr w14:paraId="02176350" w14:textId="77777777" w:rsidTr="00E1234B">
        <w:tblPrEx>
          <w:tblW w:w="9350" w:type="dxa"/>
          <w:tblLook w:val="04A0"/>
        </w:tblPrEx>
        <w:tc>
          <w:tcPr>
            <w:tcW w:w="4271" w:type="dxa"/>
            <w:gridSpan w:val="3"/>
            <w:vAlign w:val="center"/>
          </w:tcPr>
          <w:p w:rsidR="00E1234B" w:rsidRPr="00BC65C3" w:rsidP="00BC65C3" w14:paraId="633F42FA" w14:textId="61A8BA15">
            <w:pPr>
              <w:widowControl/>
              <w:jc w:val="right"/>
              <w:rPr>
                <w:sz w:val="22"/>
                <w:szCs w:val="22"/>
              </w:rPr>
            </w:pPr>
            <w:r w:rsidRPr="00BC65C3">
              <w:rPr>
                <w:sz w:val="22"/>
                <w:szCs w:val="22"/>
              </w:rPr>
              <w:t>TOTAL BURDEN</w:t>
            </w:r>
          </w:p>
        </w:tc>
        <w:tc>
          <w:tcPr>
            <w:tcW w:w="1149" w:type="dxa"/>
            <w:vAlign w:val="center"/>
          </w:tcPr>
          <w:p w:rsidR="00E1234B" w:rsidRPr="00BC65C3" w:rsidP="00BC65C3" w14:paraId="55F0C1B1" w14:textId="097ED471">
            <w:pPr>
              <w:widowControl/>
              <w:jc w:val="right"/>
              <w:rPr>
                <w:sz w:val="22"/>
                <w:szCs w:val="22"/>
              </w:rPr>
            </w:pPr>
          </w:p>
        </w:tc>
        <w:tc>
          <w:tcPr>
            <w:tcW w:w="999" w:type="dxa"/>
            <w:vAlign w:val="center"/>
          </w:tcPr>
          <w:p w:rsidR="00E1234B" w:rsidRPr="00BC65C3" w:rsidP="00BC65C3" w14:paraId="10437AF8" w14:textId="6EED2E87">
            <w:pPr>
              <w:widowControl/>
              <w:jc w:val="right"/>
              <w:rPr>
                <w:b/>
                <w:bCs/>
                <w:sz w:val="22"/>
                <w:szCs w:val="22"/>
              </w:rPr>
            </w:pPr>
            <w:r w:rsidRPr="00BC65C3">
              <w:rPr>
                <w:b/>
                <w:bCs/>
                <w:sz w:val="22"/>
                <w:szCs w:val="22"/>
              </w:rPr>
              <w:t xml:space="preserve">3,640 </w:t>
            </w:r>
          </w:p>
        </w:tc>
        <w:tc>
          <w:tcPr>
            <w:tcW w:w="1314" w:type="dxa"/>
          </w:tcPr>
          <w:p w:rsidR="00E1234B" w:rsidRPr="00BC65C3" w:rsidP="00BC65C3" w14:paraId="36ED02B1" w14:textId="77777777">
            <w:pPr>
              <w:widowControl/>
              <w:jc w:val="right"/>
              <w:rPr>
                <w:b/>
                <w:bCs/>
                <w:sz w:val="22"/>
                <w:szCs w:val="22"/>
              </w:rPr>
            </w:pPr>
          </w:p>
        </w:tc>
        <w:tc>
          <w:tcPr>
            <w:tcW w:w="1617" w:type="dxa"/>
            <w:vAlign w:val="center"/>
          </w:tcPr>
          <w:p w:rsidR="00E1234B" w:rsidRPr="00BC65C3" w:rsidP="00BC65C3" w14:paraId="07D14381" w14:textId="6A934810">
            <w:pPr>
              <w:widowControl/>
              <w:jc w:val="right"/>
              <w:rPr>
                <w:b/>
                <w:bCs/>
                <w:sz w:val="22"/>
                <w:szCs w:val="22"/>
              </w:rPr>
            </w:pPr>
            <w:r w:rsidRPr="00C64844">
              <w:rPr>
                <w:b/>
                <w:bCs/>
                <w:sz w:val="22"/>
                <w:szCs w:val="22"/>
              </w:rPr>
              <w:t>$288,119</w:t>
            </w:r>
          </w:p>
        </w:tc>
      </w:tr>
    </w:tbl>
    <w:p w:rsidR="0060758B" w:rsidRPr="00C82916" w:rsidP="00B9660F" w14:paraId="1A28DA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C82916" w14:paraId="2C4E15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82916">
        <w:rPr>
          <w:b/>
          <w:sz w:val="24"/>
          <w:szCs w:val="24"/>
        </w:rPr>
        <w:t>15.</w:t>
      </w:r>
      <w:r w:rsidRPr="00C82916">
        <w:rPr>
          <w:b/>
          <w:sz w:val="24"/>
          <w:szCs w:val="24"/>
        </w:rPr>
        <w:tab/>
      </w:r>
      <w:r w:rsidRPr="00C82916">
        <w:rPr>
          <w:b/>
          <w:sz w:val="24"/>
          <w:szCs w:val="24"/>
        </w:rPr>
        <w:t xml:space="preserve">Explain the reasons for any program changes or adjustments </w:t>
      </w:r>
      <w:r w:rsidRPr="00C82916" w:rsidR="00F73931">
        <w:rPr>
          <w:b/>
          <w:sz w:val="24"/>
          <w:szCs w:val="24"/>
        </w:rPr>
        <w:t>in hour or cost burden</w:t>
      </w:r>
      <w:r w:rsidRPr="00C82916" w:rsidR="0060758B">
        <w:rPr>
          <w:b/>
          <w:sz w:val="24"/>
          <w:szCs w:val="24"/>
        </w:rPr>
        <w:t>.</w:t>
      </w:r>
    </w:p>
    <w:p w:rsidR="002440D5" w:rsidP="004127B1" w14:paraId="4A97CE4F" w14:textId="374710A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DB0104" w:rsidP="00DB0104" w14:paraId="3C0C46AE" w14:textId="0BF63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82916">
        <w:rPr>
          <w:sz w:val="24"/>
          <w:szCs w:val="24"/>
        </w:rPr>
        <w:t xml:space="preserve">Updates were made to the Bureau of Labor Statistics (BLS) and Office of Personnel Management (OPM) compensation data contained in Sections 12 and 14.  </w:t>
      </w:r>
    </w:p>
    <w:p w:rsidR="004D5367" w:rsidRPr="00C82916" w:rsidP="00914965" w14:paraId="454C9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C82916" w14:paraId="585D83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82916">
        <w:rPr>
          <w:b/>
          <w:sz w:val="24"/>
          <w:szCs w:val="24"/>
        </w:rPr>
        <w:t>16.</w:t>
      </w:r>
      <w:r w:rsidRPr="00C82916">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21B99" w:rsidRPr="00C82916" w:rsidP="004127B1" w14:paraId="168150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914965" w:rsidRPr="00C82916" w:rsidP="00914965" w14:paraId="79E7AFDF" w14:textId="23580E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C82916">
        <w:rPr>
          <w:iCs/>
          <w:sz w:val="24"/>
          <w:szCs w:val="24"/>
        </w:rPr>
        <w:t>The JOM Modernization Act requires the agency to prepare an annual report, including the most recent determination of the number of eligible Indian students served by each contracting party, recommendations on appropriate funding levels, and assessment of the contracts t</w:t>
      </w:r>
      <w:r w:rsidR="004875B8">
        <w:rPr>
          <w:iCs/>
          <w:sz w:val="24"/>
          <w:szCs w:val="24"/>
        </w:rPr>
        <w:t>hat the agency may</w:t>
      </w:r>
      <w:r w:rsidRPr="00C82916">
        <w:rPr>
          <w:iCs/>
          <w:sz w:val="24"/>
          <w:szCs w:val="24"/>
        </w:rPr>
        <w:t xml:space="preserve"> include in Interior’s budget request, </w:t>
      </w:r>
      <w:r w:rsidR="00B94635">
        <w:rPr>
          <w:iCs/>
          <w:sz w:val="24"/>
          <w:szCs w:val="24"/>
        </w:rPr>
        <w:t xml:space="preserve">and shall </w:t>
      </w:r>
      <w:r w:rsidRPr="00C82916">
        <w:rPr>
          <w:iCs/>
          <w:sz w:val="24"/>
          <w:szCs w:val="24"/>
        </w:rPr>
        <w:t>submit to Congress</w:t>
      </w:r>
      <w:r w:rsidR="00B94635">
        <w:rPr>
          <w:iCs/>
          <w:sz w:val="24"/>
          <w:szCs w:val="24"/>
        </w:rPr>
        <w:t xml:space="preserve"> </w:t>
      </w:r>
      <w:r w:rsidRPr="00C82916">
        <w:rPr>
          <w:iCs/>
          <w:sz w:val="24"/>
          <w:szCs w:val="24"/>
        </w:rPr>
        <w:t xml:space="preserve">and make publicly available. </w:t>
      </w:r>
      <w:r w:rsidRPr="00C82916">
        <w:rPr>
          <w:i/>
          <w:iCs/>
          <w:sz w:val="24"/>
          <w:szCs w:val="24"/>
        </w:rPr>
        <w:t xml:space="preserve"> See </w:t>
      </w:r>
      <w:r w:rsidRPr="00C82916">
        <w:rPr>
          <w:iCs/>
          <w:sz w:val="24"/>
          <w:szCs w:val="24"/>
        </w:rPr>
        <w:t>25 U.S.C. 534</w:t>
      </w:r>
      <w:r w:rsidR="00BE6D2E">
        <w:rPr>
          <w:iCs/>
          <w:sz w:val="24"/>
          <w:szCs w:val="24"/>
        </w:rPr>
        <w:t>8</w:t>
      </w:r>
      <w:r w:rsidRPr="00C82916">
        <w:rPr>
          <w:iCs/>
          <w:sz w:val="24"/>
          <w:szCs w:val="24"/>
        </w:rPr>
        <w:t xml:space="preserve">(d)(1). BIE will work to compile this information based on the annual reports submitted under this information collection (§ 273.150-153) and plans to make it available on its website at </w:t>
      </w:r>
      <w:hyperlink r:id="rId9" w:history="1">
        <w:r w:rsidRPr="00C82916">
          <w:rPr>
            <w:rStyle w:val="Hyperlink"/>
            <w:iCs/>
            <w:sz w:val="24"/>
            <w:szCs w:val="24"/>
          </w:rPr>
          <w:t>www.bie.edu</w:t>
        </w:r>
      </w:hyperlink>
      <w:r w:rsidRPr="00C82916">
        <w:rPr>
          <w:iCs/>
          <w:sz w:val="24"/>
          <w:szCs w:val="24"/>
        </w:rPr>
        <w:t xml:space="preserve">. </w:t>
      </w:r>
    </w:p>
    <w:p w:rsidR="002B796C" w:rsidRPr="00C82916" w:rsidP="00914965" w14:paraId="7CB32432" w14:textId="7F809D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rsidR="002B796C" w:rsidRPr="00C82916" w:rsidP="00914965" w14:paraId="041F9F05" w14:textId="7186B3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C82916">
        <w:rPr>
          <w:iCs/>
          <w:sz w:val="24"/>
          <w:szCs w:val="24"/>
        </w:rPr>
        <w:t xml:space="preserve">The annual report is due from each contracting party on September 15, for the prior academic year. </w:t>
      </w:r>
      <w:r w:rsidRPr="00C82916">
        <w:rPr>
          <w:i/>
          <w:iCs/>
          <w:sz w:val="24"/>
          <w:szCs w:val="24"/>
        </w:rPr>
        <w:t xml:space="preserve">See </w:t>
      </w:r>
      <w:r w:rsidRPr="00C82916">
        <w:rPr>
          <w:iCs/>
          <w:sz w:val="24"/>
          <w:szCs w:val="24"/>
        </w:rPr>
        <w:t xml:space="preserve">§ 273.152.  BIE plans to compile and prepare the consolidated annual report by December 31, for the prior academic year.  </w:t>
      </w:r>
    </w:p>
    <w:p w:rsidR="00295103" w:rsidRPr="00C82916" w14:paraId="4852F8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C82916" w14:paraId="32261E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82916">
        <w:rPr>
          <w:b/>
          <w:sz w:val="24"/>
          <w:szCs w:val="24"/>
        </w:rPr>
        <w:t>17.</w:t>
      </w:r>
      <w:r w:rsidRPr="00C82916">
        <w:rPr>
          <w:b/>
          <w:sz w:val="24"/>
          <w:szCs w:val="24"/>
        </w:rPr>
        <w:tab/>
      </w:r>
      <w:r w:rsidRPr="00C82916">
        <w:rPr>
          <w:b/>
          <w:sz w:val="24"/>
          <w:szCs w:val="24"/>
        </w:rPr>
        <w:t>If seeking approval to not display the expiration date for OMB approval of the information collection, explain the reasons that display would be inappropriate.</w:t>
      </w:r>
    </w:p>
    <w:p w:rsidR="00821B99" w:rsidRPr="00C82916" w:rsidP="004127B1" w14:paraId="7B77AC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914965" w:rsidRPr="00C82916" w:rsidP="00914965" w14:paraId="3924A65F" w14:textId="3FA063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C82916">
        <w:rPr>
          <w:iCs/>
          <w:sz w:val="24"/>
          <w:szCs w:val="24"/>
        </w:rPr>
        <w:t>BIE plans to display the expiration date for OMB approval of the information collection.</w:t>
      </w:r>
    </w:p>
    <w:p w:rsidR="00295103" w:rsidRPr="00C82916" w14:paraId="4E0F67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C82916" w14:paraId="3FF11D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82916">
        <w:rPr>
          <w:b/>
          <w:sz w:val="24"/>
          <w:szCs w:val="24"/>
        </w:rPr>
        <w:t>18.</w:t>
      </w:r>
      <w:r w:rsidRPr="00C82916">
        <w:rPr>
          <w:b/>
          <w:sz w:val="24"/>
          <w:szCs w:val="24"/>
        </w:rPr>
        <w:tab/>
        <w:t xml:space="preserve">Explain each exception to the </w:t>
      </w:r>
      <w:r w:rsidRPr="00C82916" w:rsidR="005D39A7">
        <w:rPr>
          <w:b/>
          <w:sz w:val="24"/>
          <w:szCs w:val="24"/>
        </w:rPr>
        <w:t xml:space="preserve">topics of the </w:t>
      </w:r>
      <w:r w:rsidRPr="00C82916">
        <w:rPr>
          <w:b/>
          <w:sz w:val="24"/>
          <w:szCs w:val="24"/>
        </w:rPr>
        <w:t>certification statement identified in "Certification for Paperwork Reduction Act Submissions</w:t>
      </w:r>
      <w:r w:rsidRPr="00C82916" w:rsidR="005D39A7">
        <w:rPr>
          <w:b/>
          <w:sz w:val="24"/>
          <w:szCs w:val="24"/>
        </w:rPr>
        <w:t>.</w:t>
      </w:r>
      <w:r w:rsidRPr="00C82916">
        <w:rPr>
          <w:b/>
          <w:sz w:val="24"/>
          <w:szCs w:val="24"/>
        </w:rPr>
        <w:t>"</w:t>
      </w:r>
    </w:p>
    <w:p w:rsidR="002440D5" w:rsidRPr="00C82916" w:rsidP="004127B1" w14:paraId="200DAD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4127B1" w:rsidRPr="00C82916" w:rsidP="004127B1" w14:paraId="47C9C8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82916">
        <w:rPr>
          <w:color w:val="000000"/>
          <w:sz w:val="24"/>
          <w:szCs w:val="24"/>
        </w:rPr>
        <w:t>There are no exceptions to the certification statement.</w:t>
      </w:r>
    </w:p>
    <w:p w:rsidR="00295103" w:rsidRPr="00C82916" w14:paraId="2323BB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53DCD"/>
    <w:multiLevelType w:val="hybridMultilevel"/>
    <w:tmpl w:val="47169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1802E7"/>
    <w:multiLevelType w:val="hybridMultilevel"/>
    <w:tmpl w:val="0DDE801A"/>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
    <w:nsid w:val="1D68558F"/>
    <w:multiLevelType w:val="hybridMultilevel"/>
    <w:tmpl w:val="46A6A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0141EF"/>
    <w:multiLevelType w:val="hybridMultilevel"/>
    <w:tmpl w:val="41FA9FE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
    <w:nsid w:val="2157485F"/>
    <w:multiLevelType w:val="hybridMultilevel"/>
    <w:tmpl w:val="34AC0C36"/>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5">
    <w:nsid w:val="2413294B"/>
    <w:multiLevelType w:val="hybridMultilevel"/>
    <w:tmpl w:val="CC80E95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28E33A38"/>
    <w:multiLevelType w:val="hybridMultilevel"/>
    <w:tmpl w:val="6DF86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FE71B4"/>
    <w:multiLevelType w:val="hybridMultilevel"/>
    <w:tmpl w:val="DE3A0DC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823252"/>
    <w:multiLevelType w:val="hybridMultilevel"/>
    <w:tmpl w:val="E9060CE2"/>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D022CE"/>
    <w:multiLevelType w:val="hybridMultilevel"/>
    <w:tmpl w:val="04D6074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0">
    <w:nsid w:val="49F21018"/>
    <w:multiLevelType w:val="hybridMultilevel"/>
    <w:tmpl w:val="22F2F4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1C58FB"/>
    <w:multiLevelType w:val="hybridMultilevel"/>
    <w:tmpl w:val="B97A1A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F96048E"/>
    <w:multiLevelType w:val="hybridMultilevel"/>
    <w:tmpl w:val="6ADE515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518A5574"/>
    <w:multiLevelType w:val="hybridMultilevel"/>
    <w:tmpl w:val="F1C0EE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EA2E3A"/>
    <w:multiLevelType w:val="hybridMultilevel"/>
    <w:tmpl w:val="1BBC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F804140"/>
    <w:multiLevelType w:val="hybridMultilevel"/>
    <w:tmpl w:val="E40C3A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A7E0267"/>
    <w:multiLevelType w:val="hybridMultilevel"/>
    <w:tmpl w:val="262E1CE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07511261">
    <w:abstractNumId w:val="7"/>
  </w:num>
  <w:num w:numId="2" w16cid:durableId="1976642857">
    <w:abstractNumId w:val="5"/>
  </w:num>
  <w:num w:numId="3" w16cid:durableId="1935287810">
    <w:abstractNumId w:val="10"/>
  </w:num>
  <w:num w:numId="4" w16cid:durableId="2032682195">
    <w:abstractNumId w:val="2"/>
  </w:num>
  <w:num w:numId="5" w16cid:durableId="301346056">
    <w:abstractNumId w:val="16"/>
  </w:num>
  <w:num w:numId="6" w16cid:durableId="67777298">
    <w:abstractNumId w:val="11"/>
  </w:num>
  <w:num w:numId="7" w16cid:durableId="11886065">
    <w:abstractNumId w:val="6"/>
  </w:num>
  <w:num w:numId="8" w16cid:durableId="1345284015">
    <w:abstractNumId w:val="14"/>
  </w:num>
  <w:num w:numId="9" w16cid:durableId="166139902">
    <w:abstractNumId w:val="8"/>
  </w:num>
  <w:num w:numId="10" w16cid:durableId="2076538166">
    <w:abstractNumId w:val="0"/>
  </w:num>
  <w:num w:numId="11" w16cid:durableId="1917393222">
    <w:abstractNumId w:val="15"/>
  </w:num>
  <w:num w:numId="12" w16cid:durableId="1263564995">
    <w:abstractNumId w:val="12"/>
  </w:num>
  <w:num w:numId="13" w16cid:durableId="191266592">
    <w:abstractNumId w:val="13"/>
  </w:num>
  <w:num w:numId="14" w16cid:durableId="1883520189">
    <w:abstractNumId w:val="1"/>
  </w:num>
  <w:num w:numId="15" w16cid:durableId="511064473">
    <w:abstractNumId w:val="3"/>
  </w:num>
  <w:num w:numId="16" w16cid:durableId="422607355">
    <w:abstractNumId w:val="4"/>
  </w:num>
  <w:num w:numId="17" w16cid:durableId="1007306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0DC8"/>
    <w:rsid w:val="000029BF"/>
    <w:rsid w:val="000114D4"/>
    <w:rsid w:val="000152C3"/>
    <w:rsid w:val="0001722E"/>
    <w:rsid w:val="000257C8"/>
    <w:rsid w:val="00026233"/>
    <w:rsid w:val="00026FDF"/>
    <w:rsid w:val="00045D00"/>
    <w:rsid w:val="00053132"/>
    <w:rsid w:val="0005442D"/>
    <w:rsid w:val="00062B55"/>
    <w:rsid w:val="00075127"/>
    <w:rsid w:val="00085D8F"/>
    <w:rsid w:val="000956B4"/>
    <w:rsid w:val="0009757B"/>
    <w:rsid w:val="00097DF5"/>
    <w:rsid w:val="000A0024"/>
    <w:rsid w:val="000A560D"/>
    <w:rsid w:val="000A627B"/>
    <w:rsid w:val="000A659C"/>
    <w:rsid w:val="000A7FEF"/>
    <w:rsid w:val="000B2E82"/>
    <w:rsid w:val="000B762B"/>
    <w:rsid w:val="000C0442"/>
    <w:rsid w:val="000C1072"/>
    <w:rsid w:val="000C5A65"/>
    <w:rsid w:val="000C6042"/>
    <w:rsid w:val="000E202D"/>
    <w:rsid w:val="000E6148"/>
    <w:rsid w:val="000E6422"/>
    <w:rsid w:val="000F1C17"/>
    <w:rsid w:val="000F3AF1"/>
    <w:rsid w:val="00101D09"/>
    <w:rsid w:val="001052D1"/>
    <w:rsid w:val="001063F6"/>
    <w:rsid w:val="0011176E"/>
    <w:rsid w:val="00112A0D"/>
    <w:rsid w:val="00113196"/>
    <w:rsid w:val="00114588"/>
    <w:rsid w:val="00115332"/>
    <w:rsid w:val="00116123"/>
    <w:rsid w:val="00116BDF"/>
    <w:rsid w:val="001212BC"/>
    <w:rsid w:val="001247C0"/>
    <w:rsid w:val="00124831"/>
    <w:rsid w:val="0014029B"/>
    <w:rsid w:val="00141DB4"/>
    <w:rsid w:val="0014469D"/>
    <w:rsid w:val="001501AC"/>
    <w:rsid w:val="00152087"/>
    <w:rsid w:val="00153656"/>
    <w:rsid w:val="00156768"/>
    <w:rsid w:val="001602D6"/>
    <w:rsid w:val="001617B7"/>
    <w:rsid w:val="00162B02"/>
    <w:rsid w:val="00164D58"/>
    <w:rsid w:val="00165CD3"/>
    <w:rsid w:val="00176B89"/>
    <w:rsid w:val="00177C5C"/>
    <w:rsid w:val="00182751"/>
    <w:rsid w:val="0018427F"/>
    <w:rsid w:val="00186FD1"/>
    <w:rsid w:val="00191F61"/>
    <w:rsid w:val="00192458"/>
    <w:rsid w:val="001971F4"/>
    <w:rsid w:val="001B0FEB"/>
    <w:rsid w:val="001C24E7"/>
    <w:rsid w:val="001C68A2"/>
    <w:rsid w:val="001D2EA8"/>
    <w:rsid w:val="001D520E"/>
    <w:rsid w:val="001E2194"/>
    <w:rsid w:val="001E5926"/>
    <w:rsid w:val="001E5A19"/>
    <w:rsid w:val="001F29FB"/>
    <w:rsid w:val="001F3448"/>
    <w:rsid w:val="001F4427"/>
    <w:rsid w:val="001F4F34"/>
    <w:rsid w:val="002003F5"/>
    <w:rsid w:val="00205A2F"/>
    <w:rsid w:val="00205FBC"/>
    <w:rsid w:val="00225A7D"/>
    <w:rsid w:val="00226E38"/>
    <w:rsid w:val="002440D5"/>
    <w:rsid w:val="00245C98"/>
    <w:rsid w:val="00250D43"/>
    <w:rsid w:val="00265F0E"/>
    <w:rsid w:val="002723B0"/>
    <w:rsid w:val="002728BC"/>
    <w:rsid w:val="00277FBB"/>
    <w:rsid w:val="00281877"/>
    <w:rsid w:val="002831FA"/>
    <w:rsid w:val="00283D57"/>
    <w:rsid w:val="0029161D"/>
    <w:rsid w:val="00292A16"/>
    <w:rsid w:val="00295103"/>
    <w:rsid w:val="002A18A9"/>
    <w:rsid w:val="002A7948"/>
    <w:rsid w:val="002B2393"/>
    <w:rsid w:val="002B796C"/>
    <w:rsid w:val="002C070D"/>
    <w:rsid w:val="002C3CD9"/>
    <w:rsid w:val="002D4009"/>
    <w:rsid w:val="002D59BE"/>
    <w:rsid w:val="002F64C5"/>
    <w:rsid w:val="002F7396"/>
    <w:rsid w:val="00323AC2"/>
    <w:rsid w:val="00323EEC"/>
    <w:rsid w:val="0032755D"/>
    <w:rsid w:val="00332D47"/>
    <w:rsid w:val="00332E8B"/>
    <w:rsid w:val="00343F78"/>
    <w:rsid w:val="00352210"/>
    <w:rsid w:val="00357AEE"/>
    <w:rsid w:val="00361080"/>
    <w:rsid w:val="003611F3"/>
    <w:rsid w:val="003622C5"/>
    <w:rsid w:val="00372A24"/>
    <w:rsid w:val="00375C09"/>
    <w:rsid w:val="003762BA"/>
    <w:rsid w:val="00380C62"/>
    <w:rsid w:val="00383AB5"/>
    <w:rsid w:val="00384BA6"/>
    <w:rsid w:val="003901E8"/>
    <w:rsid w:val="00393577"/>
    <w:rsid w:val="00397CE1"/>
    <w:rsid w:val="00397E9C"/>
    <w:rsid w:val="003B102F"/>
    <w:rsid w:val="003C28B8"/>
    <w:rsid w:val="003C3292"/>
    <w:rsid w:val="003C66C9"/>
    <w:rsid w:val="003D01CC"/>
    <w:rsid w:val="003D5066"/>
    <w:rsid w:val="003F35F4"/>
    <w:rsid w:val="00402D63"/>
    <w:rsid w:val="004042DC"/>
    <w:rsid w:val="004058D1"/>
    <w:rsid w:val="004127B1"/>
    <w:rsid w:val="00413513"/>
    <w:rsid w:val="00420297"/>
    <w:rsid w:val="004236B2"/>
    <w:rsid w:val="0042626A"/>
    <w:rsid w:val="0043704D"/>
    <w:rsid w:val="004372DF"/>
    <w:rsid w:val="00442846"/>
    <w:rsid w:val="0044594F"/>
    <w:rsid w:val="00447F35"/>
    <w:rsid w:val="0045149A"/>
    <w:rsid w:val="00460006"/>
    <w:rsid w:val="00464C1C"/>
    <w:rsid w:val="00467F13"/>
    <w:rsid w:val="004725CE"/>
    <w:rsid w:val="00473483"/>
    <w:rsid w:val="0047559B"/>
    <w:rsid w:val="004815D3"/>
    <w:rsid w:val="004818F5"/>
    <w:rsid w:val="004819FB"/>
    <w:rsid w:val="00484BDF"/>
    <w:rsid w:val="00485FEF"/>
    <w:rsid w:val="00486F66"/>
    <w:rsid w:val="004875B8"/>
    <w:rsid w:val="004877BE"/>
    <w:rsid w:val="0049039D"/>
    <w:rsid w:val="00493795"/>
    <w:rsid w:val="00493D2C"/>
    <w:rsid w:val="00494B32"/>
    <w:rsid w:val="00495F8C"/>
    <w:rsid w:val="004A3492"/>
    <w:rsid w:val="004A6DFA"/>
    <w:rsid w:val="004B0F51"/>
    <w:rsid w:val="004C0106"/>
    <w:rsid w:val="004C103D"/>
    <w:rsid w:val="004C14C0"/>
    <w:rsid w:val="004C213C"/>
    <w:rsid w:val="004C2E30"/>
    <w:rsid w:val="004D46DF"/>
    <w:rsid w:val="004D5367"/>
    <w:rsid w:val="004E0E8B"/>
    <w:rsid w:val="004F46E7"/>
    <w:rsid w:val="004F4D37"/>
    <w:rsid w:val="00500074"/>
    <w:rsid w:val="00504BC1"/>
    <w:rsid w:val="00507224"/>
    <w:rsid w:val="005140B6"/>
    <w:rsid w:val="00525467"/>
    <w:rsid w:val="00525CEA"/>
    <w:rsid w:val="00533027"/>
    <w:rsid w:val="00535FF7"/>
    <w:rsid w:val="0054600F"/>
    <w:rsid w:val="005505D2"/>
    <w:rsid w:val="00560E2B"/>
    <w:rsid w:val="005642C5"/>
    <w:rsid w:val="00565D70"/>
    <w:rsid w:val="005710EC"/>
    <w:rsid w:val="00571C12"/>
    <w:rsid w:val="0057215D"/>
    <w:rsid w:val="00572A4B"/>
    <w:rsid w:val="005750C5"/>
    <w:rsid w:val="00581B55"/>
    <w:rsid w:val="00585F4E"/>
    <w:rsid w:val="00593710"/>
    <w:rsid w:val="00596EFA"/>
    <w:rsid w:val="005A0262"/>
    <w:rsid w:val="005A26A0"/>
    <w:rsid w:val="005A3A27"/>
    <w:rsid w:val="005B2A67"/>
    <w:rsid w:val="005C4414"/>
    <w:rsid w:val="005C4A8B"/>
    <w:rsid w:val="005C4E9E"/>
    <w:rsid w:val="005C6B4C"/>
    <w:rsid w:val="005D39A7"/>
    <w:rsid w:val="005D45C8"/>
    <w:rsid w:val="005E0031"/>
    <w:rsid w:val="005E2933"/>
    <w:rsid w:val="005E3A97"/>
    <w:rsid w:val="005E55AA"/>
    <w:rsid w:val="005E6A29"/>
    <w:rsid w:val="005F3D46"/>
    <w:rsid w:val="005F449A"/>
    <w:rsid w:val="005F7F05"/>
    <w:rsid w:val="00606B90"/>
    <w:rsid w:val="0060758B"/>
    <w:rsid w:val="00610A0F"/>
    <w:rsid w:val="00616D73"/>
    <w:rsid w:val="006206D5"/>
    <w:rsid w:val="00623E3C"/>
    <w:rsid w:val="0063128A"/>
    <w:rsid w:val="006343F6"/>
    <w:rsid w:val="00646EE4"/>
    <w:rsid w:val="006477C9"/>
    <w:rsid w:val="0065317B"/>
    <w:rsid w:val="0065424E"/>
    <w:rsid w:val="00656D70"/>
    <w:rsid w:val="00657FB2"/>
    <w:rsid w:val="0066778E"/>
    <w:rsid w:val="00667E14"/>
    <w:rsid w:val="00671009"/>
    <w:rsid w:val="00671403"/>
    <w:rsid w:val="00676ECC"/>
    <w:rsid w:val="00682B11"/>
    <w:rsid w:val="00685C22"/>
    <w:rsid w:val="006923EE"/>
    <w:rsid w:val="00695512"/>
    <w:rsid w:val="006A55E3"/>
    <w:rsid w:val="006B48A7"/>
    <w:rsid w:val="006E339F"/>
    <w:rsid w:val="006E3960"/>
    <w:rsid w:val="006F1617"/>
    <w:rsid w:val="006F73B7"/>
    <w:rsid w:val="00701C0C"/>
    <w:rsid w:val="0070268D"/>
    <w:rsid w:val="007124D8"/>
    <w:rsid w:val="00712D00"/>
    <w:rsid w:val="00714A7C"/>
    <w:rsid w:val="0072059B"/>
    <w:rsid w:val="007368E0"/>
    <w:rsid w:val="00743476"/>
    <w:rsid w:val="0076551A"/>
    <w:rsid w:val="007722DA"/>
    <w:rsid w:val="00772AC6"/>
    <w:rsid w:val="00776076"/>
    <w:rsid w:val="007851E9"/>
    <w:rsid w:val="007911EF"/>
    <w:rsid w:val="00791C66"/>
    <w:rsid w:val="00792B39"/>
    <w:rsid w:val="00794FBC"/>
    <w:rsid w:val="007A0B25"/>
    <w:rsid w:val="007A1985"/>
    <w:rsid w:val="007A1BD3"/>
    <w:rsid w:val="007A3245"/>
    <w:rsid w:val="007A7A97"/>
    <w:rsid w:val="007B06E0"/>
    <w:rsid w:val="007B56A3"/>
    <w:rsid w:val="007E21B5"/>
    <w:rsid w:val="007E4C44"/>
    <w:rsid w:val="007F003D"/>
    <w:rsid w:val="007F2FCD"/>
    <w:rsid w:val="007F4971"/>
    <w:rsid w:val="008023E8"/>
    <w:rsid w:val="00807C9C"/>
    <w:rsid w:val="008100B0"/>
    <w:rsid w:val="0081259F"/>
    <w:rsid w:val="00814679"/>
    <w:rsid w:val="008148EA"/>
    <w:rsid w:val="00821B99"/>
    <w:rsid w:val="00822785"/>
    <w:rsid w:val="00827709"/>
    <w:rsid w:val="00827B33"/>
    <w:rsid w:val="00830684"/>
    <w:rsid w:val="0083502D"/>
    <w:rsid w:val="00835383"/>
    <w:rsid w:val="008373FC"/>
    <w:rsid w:val="00843400"/>
    <w:rsid w:val="008441F4"/>
    <w:rsid w:val="00847227"/>
    <w:rsid w:val="00853A99"/>
    <w:rsid w:val="00855507"/>
    <w:rsid w:val="008617F4"/>
    <w:rsid w:val="0086651B"/>
    <w:rsid w:val="0087008A"/>
    <w:rsid w:val="00877771"/>
    <w:rsid w:val="008910B2"/>
    <w:rsid w:val="008A546F"/>
    <w:rsid w:val="008B0440"/>
    <w:rsid w:val="008B634A"/>
    <w:rsid w:val="008B79D8"/>
    <w:rsid w:val="008C1321"/>
    <w:rsid w:val="008D416B"/>
    <w:rsid w:val="008D7148"/>
    <w:rsid w:val="008E2D2C"/>
    <w:rsid w:val="008E759F"/>
    <w:rsid w:val="008F33BE"/>
    <w:rsid w:val="008F34B4"/>
    <w:rsid w:val="008F5764"/>
    <w:rsid w:val="008F72EB"/>
    <w:rsid w:val="00901386"/>
    <w:rsid w:val="00914965"/>
    <w:rsid w:val="00915997"/>
    <w:rsid w:val="009170B9"/>
    <w:rsid w:val="0091761F"/>
    <w:rsid w:val="00917B9B"/>
    <w:rsid w:val="009247A1"/>
    <w:rsid w:val="009264DE"/>
    <w:rsid w:val="00931C5A"/>
    <w:rsid w:val="0093488B"/>
    <w:rsid w:val="00935EE5"/>
    <w:rsid w:val="00944C21"/>
    <w:rsid w:val="00947D48"/>
    <w:rsid w:val="009636D4"/>
    <w:rsid w:val="00976EFF"/>
    <w:rsid w:val="009833B9"/>
    <w:rsid w:val="009865A8"/>
    <w:rsid w:val="00994C80"/>
    <w:rsid w:val="00994DD4"/>
    <w:rsid w:val="009A74A6"/>
    <w:rsid w:val="009A7AB9"/>
    <w:rsid w:val="009B0BB7"/>
    <w:rsid w:val="009B359F"/>
    <w:rsid w:val="009B380D"/>
    <w:rsid w:val="009C045B"/>
    <w:rsid w:val="009C6A18"/>
    <w:rsid w:val="009D4C31"/>
    <w:rsid w:val="009D6BE6"/>
    <w:rsid w:val="009D7870"/>
    <w:rsid w:val="009E6CAD"/>
    <w:rsid w:val="009F3FFD"/>
    <w:rsid w:val="009F57C7"/>
    <w:rsid w:val="009F5DC5"/>
    <w:rsid w:val="00A07530"/>
    <w:rsid w:val="00A117DF"/>
    <w:rsid w:val="00A1636F"/>
    <w:rsid w:val="00A174B9"/>
    <w:rsid w:val="00A17768"/>
    <w:rsid w:val="00A2363D"/>
    <w:rsid w:val="00A27253"/>
    <w:rsid w:val="00A308BE"/>
    <w:rsid w:val="00A37872"/>
    <w:rsid w:val="00A41FAD"/>
    <w:rsid w:val="00A42104"/>
    <w:rsid w:val="00A42338"/>
    <w:rsid w:val="00A42A89"/>
    <w:rsid w:val="00A528FC"/>
    <w:rsid w:val="00A52C71"/>
    <w:rsid w:val="00A54A42"/>
    <w:rsid w:val="00A6044C"/>
    <w:rsid w:val="00A62234"/>
    <w:rsid w:val="00A62F16"/>
    <w:rsid w:val="00A646A9"/>
    <w:rsid w:val="00A65E47"/>
    <w:rsid w:val="00A70C96"/>
    <w:rsid w:val="00A81DC8"/>
    <w:rsid w:val="00A87891"/>
    <w:rsid w:val="00A90B82"/>
    <w:rsid w:val="00A96A25"/>
    <w:rsid w:val="00AA2D47"/>
    <w:rsid w:val="00AA7344"/>
    <w:rsid w:val="00AB1F03"/>
    <w:rsid w:val="00AB54DE"/>
    <w:rsid w:val="00AB719C"/>
    <w:rsid w:val="00AC2489"/>
    <w:rsid w:val="00AD3906"/>
    <w:rsid w:val="00AE2B7B"/>
    <w:rsid w:val="00AE5B93"/>
    <w:rsid w:val="00AE5E80"/>
    <w:rsid w:val="00AF1C36"/>
    <w:rsid w:val="00AF3740"/>
    <w:rsid w:val="00B01D2D"/>
    <w:rsid w:val="00B075CD"/>
    <w:rsid w:val="00B10359"/>
    <w:rsid w:val="00B10C62"/>
    <w:rsid w:val="00B253EF"/>
    <w:rsid w:val="00B3403E"/>
    <w:rsid w:val="00B35354"/>
    <w:rsid w:val="00B37672"/>
    <w:rsid w:val="00B4062D"/>
    <w:rsid w:val="00B42BE0"/>
    <w:rsid w:val="00B42C16"/>
    <w:rsid w:val="00B44BCD"/>
    <w:rsid w:val="00B4794B"/>
    <w:rsid w:val="00B52812"/>
    <w:rsid w:val="00B61395"/>
    <w:rsid w:val="00B65F8E"/>
    <w:rsid w:val="00B71148"/>
    <w:rsid w:val="00B71812"/>
    <w:rsid w:val="00B74103"/>
    <w:rsid w:val="00B813F8"/>
    <w:rsid w:val="00B8258D"/>
    <w:rsid w:val="00B94635"/>
    <w:rsid w:val="00B9660F"/>
    <w:rsid w:val="00B96624"/>
    <w:rsid w:val="00BA0737"/>
    <w:rsid w:val="00BA2113"/>
    <w:rsid w:val="00BB4606"/>
    <w:rsid w:val="00BB6435"/>
    <w:rsid w:val="00BB6740"/>
    <w:rsid w:val="00BC4B4F"/>
    <w:rsid w:val="00BC65C3"/>
    <w:rsid w:val="00BD4C47"/>
    <w:rsid w:val="00BD680A"/>
    <w:rsid w:val="00BE2690"/>
    <w:rsid w:val="00BE5F13"/>
    <w:rsid w:val="00BE6D2E"/>
    <w:rsid w:val="00BE6DDD"/>
    <w:rsid w:val="00BF107B"/>
    <w:rsid w:val="00BF4FB2"/>
    <w:rsid w:val="00BF5338"/>
    <w:rsid w:val="00BF5E07"/>
    <w:rsid w:val="00C068AC"/>
    <w:rsid w:val="00C16055"/>
    <w:rsid w:val="00C16AF0"/>
    <w:rsid w:val="00C21CB4"/>
    <w:rsid w:val="00C236D1"/>
    <w:rsid w:val="00C3245D"/>
    <w:rsid w:val="00C32A0C"/>
    <w:rsid w:val="00C33C1B"/>
    <w:rsid w:val="00C352A2"/>
    <w:rsid w:val="00C43B3E"/>
    <w:rsid w:val="00C45C10"/>
    <w:rsid w:val="00C47FEC"/>
    <w:rsid w:val="00C539F5"/>
    <w:rsid w:val="00C54137"/>
    <w:rsid w:val="00C5452C"/>
    <w:rsid w:val="00C64844"/>
    <w:rsid w:val="00C82916"/>
    <w:rsid w:val="00C85A85"/>
    <w:rsid w:val="00C87D30"/>
    <w:rsid w:val="00C93BE0"/>
    <w:rsid w:val="00C9568C"/>
    <w:rsid w:val="00CA156B"/>
    <w:rsid w:val="00CA1966"/>
    <w:rsid w:val="00CA1A03"/>
    <w:rsid w:val="00CA47C7"/>
    <w:rsid w:val="00CB3AD4"/>
    <w:rsid w:val="00CB6569"/>
    <w:rsid w:val="00CB7C5D"/>
    <w:rsid w:val="00CC58BC"/>
    <w:rsid w:val="00CD20D5"/>
    <w:rsid w:val="00CD25B6"/>
    <w:rsid w:val="00CD4402"/>
    <w:rsid w:val="00CD6F5B"/>
    <w:rsid w:val="00CD72EF"/>
    <w:rsid w:val="00CE162B"/>
    <w:rsid w:val="00CE587C"/>
    <w:rsid w:val="00CF553A"/>
    <w:rsid w:val="00CF6236"/>
    <w:rsid w:val="00D070AB"/>
    <w:rsid w:val="00D13B8C"/>
    <w:rsid w:val="00D147ED"/>
    <w:rsid w:val="00D16433"/>
    <w:rsid w:val="00D16F6C"/>
    <w:rsid w:val="00D22478"/>
    <w:rsid w:val="00D22E37"/>
    <w:rsid w:val="00D355C7"/>
    <w:rsid w:val="00D40719"/>
    <w:rsid w:val="00D4367A"/>
    <w:rsid w:val="00D454C2"/>
    <w:rsid w:val="00D504CF"/>
    <w:rsid w:val="00D51031"/>
    <w:rsid w:val="00D5220F"/>
    <w:rsid w:val="00D54619"/>
    <w:rsid w:val="00D55C99"/>
    <w:rsid w:val="00D564EB"/>
    <w:rsid w:val="00D6545F"/>
    <w:rsid w:val="00D67323"/>
    <w:rsid w:val="00D679CE"/>
    <w:rsid w:val="00D70F15"/>
    <w:rsid w:val="00D754D2"/>
    <w:rsid w:val="00D75548"/>
    <w:rsid w:val="00D81394"/>
    <w:rsid w:val="00D81E10"/>
    <w:rsid w:val="00D822ED"/>
    <w:rsid w:val="00D82B55"/>
    <w:rsid w:val="00D86017"/>
    <w:rsid w:val="00DA4C62"/>
    <w:rsid w:val="00DB0104"/>
    <w:rsid w:val="00DC3A28"/>
    <w:rsid w:val="00DE1FFE"/>
    <w:rsid w:val="00DE7225"/>
    <w:rsid w:val="00DE7630"/>
    <w:rsid w:val="00DF28B0"/>
    <w:rsid w:val="00DF2A72"/>
    <w:rsid w:val="00DF3C11"/>
    <w:rsid w:val="00E01810"/>
    <w:rsid w:val="00E07653"/>
    <w:rsid w:val="00E10068"/>
    <w:rsid w:val="00E1234B"/>
    <w:rsid w:val="00E13644"/>
    <w:rsid w:val="00E140AA"/>
    <w:rsid w:val="00E1412C"/>
    <w:rsid w:val="00E200F8"/>
    <w:rsid w:val="00E26097"/>
    <w:rsid w:val="00E26210"/>
    <w:rsid w:val="00E31BCC"/>
    <w:rsid w:val="00E32134"/>
    <w:rsid w:val="00E330E5"/>
    <w:rsid w:val="00E34A42"/>
    <w:rsid w:val="00E3756E"/>
    <w:rsid w:val="00E4180B"/>
    <w:rsid w:val="00E56D39"/>
    <w:rsid w:val="00E6013B"/>
    <w:rsid w:val="00E60550"/>
    <w:rsid w:val="00E61AA0"/>
    <w:rsid w:val="00E63930"/>
    <w:rsid w:val="00E64D93"/>
    <w:rsid w:val="00E67702"/>
    <w:rsid w:val="00E74CFC"/>
    <w:rsid w:val="00E76B25"/>
    <w:rsid w:val="00E82CBB"/>
    <w:rsid w:val="00E860ED"/>
    <w:rsid w:val="00E90292"/>
    <w:rsid w:val="00E92B0C"/>
    <w:rsid w:val="00E92D0E"/>
    <w:rsid w:val="00E93148"/>
    <w:rsid w:val="00EA4DD6"/>
    <w:rsid w:val="00EA7863"/>
    <w:rsid w:val="00EB032B"/>
    <w:rsid w:val="00EB7E69"/>
    <w:rsid w:val="00EC1137"/>
    <w:rsid w:val="00EC4F30"/>
    <w:rsid w:val="00EC5513"/>
    <w:rsid w:val="00EC60D2"/>
    <w:rsid w:val="00ED3335"/>
    <w:rsid w:val="00EF02BD"/>
    <w:rsid w:val="00EF05BE"/>
    <w:rsid w:val="00EF0800"/>
    <w:rsid w:val="00EF1999"/>
    <w:rsid w:val="00EF601F"/>
    <w:rsid w:val="00F123CB"/>
    <w:rsid w:val="00F148E8"/>
    <w:rsid w:val="00F14C97"/>
    <w:rsid w:val="00F16253"/>
    <w:rsid w:val="00F2208A"/>
    <w:rsid w:val="00F23151"/>
    <w:rsid w:val="00F248AF"/>
    <w:rsid w:val="00F31ABD"/>
    <w:rsid w:val="00F376EB"/>
    <w:rsid w:val="00F407E0"/>
    <w:rsid w:val="00F44881"/>
    <w:rsid w:val="00F51F0F"/>
    <w:rsid w:val="00F53D6B"/>
    <w:rsid w:val="00F54CE4"/>
    <w:rsid w:val="00F558C0"/>
    <w:rsid w:val="00F56F64"/>
    <w:rsid w:val="00F629B6"/>
    <w:rsid w:val="00F635B5"/>
    <w:rsid w:val="00F65CEE"/>
    <w:rsid w:val="00F70FAA"/>
    <w:rsid w:val="00F71A50"/>
    <w:rsid w:val="00F73931"/>
    <w:rsid w:val="00F83794"/>
    <w:rsid w:val="00F846C1"/>
    <w:rsid w:val="00F85FB9"/>
    <w:rsid w:val="00F86C76"/>
    <w:rsid w:val="00F873B3"/>
    <w:rsid w:val="00FA079D"/>
    <w:rsid w:val="00FA3B0A"/>
    <w:rsid w:val="00FB0B1E"/>
    <w:rsid w:val="00FB254A"/>
    <w:rsid w:val="00FB465E"/>
    <w:rsid w:val="00FB6502"/>
    <w:rsid w:val="00FB69C2"/>
    <w:rsid w:val="00FB6FDF"/>
    <w:rsid w:val="00FC5B28"/>
    <w:rsid w:val="00FC6F44"/>
    <w:rsid w:val="00FE2A11"/>
    <w:rsid w:val="00FE33CC"/>
    <w:rsid w:val="00FE4831"/>
    <w:rsid w:val="00FE4EA9"/>
    <w:rsid w:val="00FE74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12AD39F"/>
  <w15:docId w15:val="{4AE61BBA-13CC-4C7E-B01D-12B3B208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paragraph" w:styleId="NormalWeb">
    <w:name w:val="Normal (Web)"/>
    <w:basedOn w:val="Normal"/>
    <w:uiPriority w:val="99"/>
    <w:rsid w:val="00F86C76"/>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F86C7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Normal"/>
    <w:next w:val="Normal"/>
    <w:uiPriority w:val="99"/>
    <w:rsid w:val="00F86C76"/>
    <w:pPr>
      <w:spacing w:after="258"/>
    </w:pPr>
    <w:rPr>
      <w:rFonts w:ascii="Arial" w:hAnsi="Arial" w:cs="Arial"/>
      <w:sz w:val="24"/>
      <w:szCs w:val="24"/>
    </w:rPr>
  </w:style>
  <w:style w:type="character" w:styleId="CommentReference">
    <w:name w:val="annotation reference"/>
    <w:basedOn w:val="DefaultParagraphFont"/>
    <w:uiPriority w:val="99"/>
    <w:semiHidden/>
    <w:unhideWhenUsed/>
    <w:rsid w:val="00323AC2"/>
    <w:rPr>
      <w:sz w:val="16"/>
      <w:szCs w:val="16"/>
    </w:rPr>
  </w:style>
  <w:style w:type="paragraph" w:styleId="CommentText">
    <w:name w:val="annotation text"/>
    <w:basedOn w:val="Normal"/>
    <w:link w:val="CommentTextChar"/>
    <w:uiPriority w:val="99"/>
    <w:unhideWhenUsed/>
    <w:rsid w:val="00323AC2"/>
  </w:style>
  <w:style w:type="character" w:customStyle="1" w:styleId="CommentTextChar">
    <w:name w:val="Comment Text Char"/>
    <w:basedOn w:val="DefaultParagraphFont"/>
    <w:link w:val="CommentText"/>
    <w:uiPriority w:val="99"/>
    <w:rsid w:val="00323A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23AC2"/>
    <w:rPr>
      <w:b/>
      <w:bCs/>
    </w:rPr>
  </w:style>
  <w:style w:type="character" w:customStyle="1" w:styleId="CommentSubjectChar">
    <w:name w:val="Comment Subject Char"/>
    <w:basedOn w:val="CommentTextChar"/>
    <w:link w:val="CommentSubject"/>
    <w:uiPriority w:val="99"/>
    <w:semiHidden/>
    <w:rsid w:val="00323AC2"/>
    <w:rPr>
      <w:rFonts w:ascii="Times New Roman" w:hAnsi="Times New Roman"/>
      <w:b/>
      <w:bCs/>
    </w:rPr>
  </w:style>
  <w:style w:type="paragraph" w:styleId="ListParagraph">
    <w:name w:val="List Paragraph"/>
    <w:basedOn w:val="Normal"/>
    <w:uiPriority w:val="34"/>
    <w:qFormat/>
    <w:rsid w:val="00A117DF"/>
    <w:pPr>
      <w:ind w:left="720"/>
      <w:contextualSpacing/>
    </w:pPr>
  </w:style>
  <w:style w:type="character" w:styleId="FollowedHyperlink">
    <w:name w:val="FollowedHyperlink"/>
    <w:basedOn w:val="DefaultParagraphFont"/>
    <w:uiPriority w:val="99"/>
    <w:semiHidden/>
    <w:unhideWhenUsed/>
    <w:rsid w:val="0054600F"/>
    <w:rPr>
      <w:color w:val="800080" w:themeColor="followedHyperlink"/>
      <w:u w:val="single"/>
    </w:rPr>
  </w:style>
  <w:style w:type="character" w:styleId="UnresolvedMention">
    <w:name w:val="Unresolved Mention"/>
    <w:basedOn w:val="DefaultParagraphFont"/>
    <w:uiPriority w:val="99"/>
    <w:semiHidden/>
    <w:unhideWhenUsed/>
    <w:rsid w:val="004F4D37"/>
    <w:rPr>
      <w:color w:val="605E5C"/>
      <w:shd w:val="clear" w:color="auto" w:fill="E1DFDD"/>
    </w:rPr>
  </w:style>
  <w:style w:type="paragraph" w:styleId="Revision">
    <w:name w:val="Revision"/>
    <w:hidden/>
    <w:uiPriority w:val="99"/>
    <w:semiHidden/>
    <w:rsid w:val="001E5A19"/>
    <w:rPr>
      <w:rFonts w:ascii="Times New Roman" w:hAnsi="Times New Roman"/>
    </w:rPr>
  </w:style>
  <w:style w:type="character" w:customStyle="1" w:styleId="cf01">
    <w:name w:val="cf01"/>
    <w:basedOn w:val="DefaultParagraphFont"/>
    <w:rsid w:val="00AB719C"/>
    <w:rPr>
      <w:rFonts w:ascii="Segoe UI" w:hAnsi="Segoe UI" w:cs="Segoe UI" w:hint="default"/>
      <w:sz w:val="18"/>
      <w:szCs w:val="18"/>
    </w:rPr>
  </w:style>
  <w:style w:type="character" w:customStyle="1" w:styleId="ssparacontent">
    <w:name w:val="ss_paracontent"/>
    <w:basedOn w:val="DefaultParagraphFont"/>
    <w:rsid w:val="00830684"/>
  </w:style>
  <w:style w:type="character" w:customStyle="1" w:styleId="ssbf">
    <w:name w:val="ss_bf"/>
    <w:basedOn w:val="DefaultParagraphFont"/>
    <w:rsid w:val="00830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news.release/pdf/ecec.pdf" TargetMode="External" /><Relationship Id="rId9" Type="http://schemas.openxmlformats.org/officeDocument/2006/relationships/hyperlink" Target="http://www.bie.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B464A0F53364C9DDCEA82F0483132" ma:contentTypeVersion="17" ma:contentTypeDescription="Create a new document." ma:contentTypeScope="" ma:versionID="9147044950d07068ac96ca75c7d23765">
  <xsd:schema xmlns:xsd="http://www.w3.org/2001/XMLSchema" xmlns:xs="http://www.w3.org/2001/XMLSchema" xmlns:p="http://schemas.microsoft.com/office/2006/metadata/properties" xmlns:ns2="a6a9e37e-d368-4f0e-9b23-f0f3a011bcad" xmlns:ns3="262e81d3-044c-47ae-8eee-d11ceda2ff22" targetNamespace="http://schemas.microsoft.com/office/2006/metadata/properties" ma:root="true" ma:fieldsID="ad31f123965d335e94b54cd421610660" ns2:_="" ns3:_="">
    <xsd:import namespace="a6a9e37e-d368-4f0e-9b23-f0f3a011bcad"/>
    <xsd:import namespace="262e81d3-044c-47ae-8eee-d11ceda2ff22"/>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Hyperlink"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9e37e-d368-4f0e-9b23-f0f3a011b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Hyperlink" ma:index="22"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number" ma:index="24"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62e81d3-044c-47ae-8eee-d11ceda2ff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895994-9a6f-4c09-9b89-50c6afd8d0fc}" ma:internalName="TaxCatchAll" ma:showField="CatchAllData" ma:web="262e81d3-044c-47ae-8eee-d11ceda2ff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2e81d3-044c-47ae-8eee-d11ceda2ff22" xsi:nil="true"/>
    <Hyperlink xmlns="a6a9e37e-d368-4f0e-9b23-f0f3a011bcad">
      <Url xsi:nil="true"/>
      <Description xsi:nil="true"/>
    </Hyperlink>
    <number xmlns="a6a9e37e-d368-4f0e-9b23-f0f3a011bcad" xsi:nil="true"/>
    <lcf76f155ced4ddcb4097134ff3c332f xmlns="a6a9e37e-d368-4f0e-9b23-f0f3a011bc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2B037-EB1F-4374-A7EC-201140EBD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9e37e-d368-4f0e-9b23-f0f3a011bcad"/>
    <ds:schemaRef ds:uri="262e81d3-044c-47ae-8eee-d11ceda2f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2A1D5-D24F-4B9F-A21A-7CAA0F090666}">
  <ds:schemaRefs>
    <ds:schemaRef ds:uri="http://schemas.microsoft.com/office/2006/metadata/properties"/>
    <ds:schemaRef ds:uri="http://schemas.microsoft.com/office/infopath/2007/PartnerControls"/>
    <ds:schemaRef ds:uri="262e81d3-044c-47ae-8eee-d11ceda2ff22"/>
    <ds:schemaRef ds:uri="a6a9e37e-d368-4f0e-9b23-f0f3a011bcad"/>
  </ds:schemaRefs>
</ds:datastoreItem>
</file>

<file path=customXml/itemProps3.xml><?xml version="1.0" encoding="utf-8"?>
<ds:datastoreItem xmlns:ds="http://schemas.openxmlformats.org/officeDocument/2006/customXml" ds:itemID="{595CBF78-C797-4523-B03C-A88EF980E378}">
  <ds:schemaRefs>
    <ds:schemaRef ds:uri="http://schemas.microsoft.com/sharepoint/v3/contenttype/forms"/>
  </ds:schemaRefs>
</ds:datastoreItem>
</file>

<file path=customXml/itemProps4.xml><?xml version="1.0" encoding="utf-8"?>
<ds:datastoreItem xmlns:ds="http://schemas.openxmlformats.org/officeDocument/2006/customXml" ds:itemID="{479E9501-F37E-41F0-9569-7276799047F7}">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4313</Words>
  <Characters>24520</Characters>
  <Application>Microsoft Office Word</Application>
  <DocSecurity>0</DocSecurity>
  <Lines>700</Lines>
  <Paragraphs>323</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3</cp:revision>
  <cp:lastPrinted>2020-01-10T14:24:00Z</cp:lastPrinted>
  <dcterms:created xsi:type="dcterms:W3CDTF">2026-02-23T18:56:00Z</dcterms:created>
  <dcterms:modified xsi:type="dcterms:W3CDTF">2026-02-23T18:56:00Z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0x010100EBCB464A0F53364C9DDCEA82F0483132</vt:lpwstr>
  </property>
  <property fmtid="{D5CDD505-2E9C-101B-9397-08002B2CF9AE}" pid="3" name="MediaServiceImageTags">
    <vt:lpwstr/>
  </property>
</Properties>
</file>