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2D52" w:rsidP="00877A26" w14:paraId="4C7D7675" w14:textId="77777777">
      <w:pPr>
        <w:pStyle w:val="Heading1"/>
        <w:rPr>
          <w:b w:val="0"/>
          <w:bCs/>
        </w:rPr>
      </w:pPr>
    </w:p>
    <w:p w:rsidR="0056188F" w:rsidRPr="00A71F32" w:rsidP="0056188F" w14:paraId="5685B49F" w14:textId="77777777">
      <w:pPr>
        <w:jc w:val="center"/>
      </w:pPr>
      <w:r w:rsidRPr="00A71F32">
        <w:t>Department of Justice</w:t>
      </w:r>
    </w:p>
    <w:p w:rsidR="0056188F" w:rsidRPr="00A71F32" w:rsidP="0056188F" w14:paraId="626F0EFA" w14:textId="77777777">
      <w:pPr>
        <w:jc w:val="center"/>
      </w:pPr>
      <w:r w:rsidRPr="00A71F32">
        <w:t>Bureau of Alcohol, Tobacco, Firearms</w:t>
      </w:r>
      <w:r>
        <w:t>,</w:t>
      </w:r>
      <w:r w:rsidRPr="00A71F32">
        <w:t xml:space="preserve"> and Explosives</w:t>
      </w:r>
      <w:r>
        <w:t xml:space="preserve"> (ATF)</w:t>
      </w:r>
    </w:p>
    <w:p w:rsidR="0056188F" w:rsidP="0056188F" w14:paraId="599E7724" w14:textId="77777777">
      <w:pPr>
        <w:jc w:val="center"/>
      </w:pPr>
      <w:r>
        <w:t>Information Collection Request</w:t>
      </w:r>
    </w:p>
    <w:p w:rsidR="0056188F" w:rsidRPr="004650FD" w:rsidP="0056188F" w14:paraId="2F4D969E" w14:textId="77777777">
      <w:pPr>
        <w:jc w:val="center"/>
        <w:rPr>
          <w:b/>
          <w:bCs/>
        </w:rPr>
      </w:pPr>
      <w:r w:rsidRPr="00A71F32">
        <w:t>OMB 1140-0052</w:t>
      </w:r>
    </w:p>
    <w:p w:rsidR="0056188F" w:rsidP="0056188F" w14:paraId="4E97EC83" w14:textId="77777777">
      <w:pPr>
        <w:spacing w:after="240"/>
        <w:jc w:val="center"/>
      </w:pPr>
      <w:r w:rsidRPr="00A71F32">
        <w:t>Office of Strategic Management Environmental Assessment Outreach</w:t>
      </w:r>
    </w:p>
    <w:p w:rsidR="00F63A9D" w:rsidRPr="00F63A9D" w:rsidP="0056188F" w14:paraId="594AF54E" w14:textId="35593183">
      <w:pPr>
        <w:jc w:val="center"/>
        <w:rPr>
          <w:bCs/>
        </w:rPr>
      </w:pPr>
      <w:r w:rsidRPr="00A71F32">
        <w:rPr>
          <w:b/>
          <w:bCs/>
        </w:rPr>
        <w:t>SUPPORTING STATEMENT</w:t>
      </w:r>
    </w:p>
    <w:p w:rsidR="003D53CD" w:rsidRPr="00461B3C" w:rsidP="00F63A9D" w14:paraId="06A722E8" w14:textId="58AFD581">
      <w:pPr>
        <w:pStyle w:val="Heading2"/>
        <w:tabs>
          <w:tab w:val="left" w:pos="360"/>
        </w:tabs>
        <w:rPr>
          <w:bCs w:val="0"/>
        </w:rPr>
      </w:pPr>
      <w:r w:rsidRPr="00461B3C">
        <w:rPr>
          <w:bCs w:val="0"/>
        </w:rPr>
        <w:t xml:space="preserve">B.  </w:t>
      </w:r>
      <w:r w:rsidR="0056188F">
        <w:rPr>
          <w:bCs w:val="0"/>
        </w:rPr>
        <w:t>STATISICAL METHODS</w:t>
      </w:r>
    </w:p>
    <w:p w:rsidR="003D53CD" w:rsidP="0056188F" w14:paraId="54F2D8E0" w14:textId="77777777"/>
    <w:p w:rsidR="003D53CD" w:rsidRPr="0056188F" w:rsidP="0056188F" w14:paraId="0376E4DE" w14:textId="0A5E27AD">
      <w:pPr>
        <w:pStyle w:val="Heading3"/>
        <w:numPr>
          <w:ilvl w:val="0"/>
          <w:numId w:val="0"/>
        </w:numPr>
        <w:rPr>
          <w:b/>
          <w:bCs/>
          <w:u w:val="none"/>
        </w:rPr>
      </w:pPr>
      <w:r w:rsidRPr="0056188F">
        <w:rPr>
          <w:b/>
          <w:bCs/>
          <w:u w:val="none"/>
        </w:rPr>
        <w:t xml:space="preserve">1.  </w:t>
      </w:r>
      <w:r w:rsidRPr="0056188F">
        <w:rPr>
          <w:b/>
          <w:bCs/>
          <w:u w:val="none"/>
        </w:rPr>
        <w:t xml:space="preserve">Universe and </w:t>
      </w:r>
      <w:r>
        <w:rPr>
          <w:b/>
          <w:bCs/>
          <w:u w:val="none"/>
        </w:rPr>
        <w:t>r</w:t>
      </w:r>
      <w:r w:rsidRPr="0056188F">
        <w:rPr>
          <w:b/>
          <w:bCs/>
          <w:u w:val="none"/>
        </w:rPr>
        <w:t xml:space="preserve">espondent </w:t>
      </w:r>
      <w:r>
        <w:rPr>
          <w:b/>
          <w:bCs/>
          <w:u w:val="none"/>
        </w:rPr>
        <w:t>s</w:t>
      </w:r>
      <w:r w:rsidRPr="0056188F">
        <w:rPr>
          <w:b/>
          <w:bCs/>
          <w:u w:val="none"/>
        </w:rPr>
        <w:t>election</w:t>
      </w:r>
    </w:p>
    <w:p w:rsidR="003D53CD" w:rsidP="0056188F" w14:paraId="0336C3D0" w14:textId="77777777"/>
    <w:p w:rsidR="00B40E49" w:rsidP="0056188F" w14:paraId="01699CEC" w14:textId="14D17FD9">
      <w:pPr>
        <w:ind w:left="360"/>
      </w:pPr>
      <w:r>
        <w:t>ATF sends the</w:t>
      </w:r>
      <w:r w:rsidR="003D53CD">
        <w:t xml:space="preserve"> </w:t>
      </w:r>
      <w:r w:rsidRPr="00F63A9D" w:rsidR="00F63A9D">
        <w:rPr>
          <w:bCs/>
        </w:rPr>
        <w:t>Office of Strategic Management Environmental Assessment Outreach</w:t>
      </w:r>
      <w:r w:rsidR="00F63A9D">
        <w:rPr>
          <w:bCs/>
        </w:rPr>
        <w:t xml:space="preserve"> </w:t>
      </w:r>
      <w:r>
        <w:t>questionnaire</w:t>
      </w:r>
      <w:r w:rsidR="00426724">
        <w:t xml:space="preserve"> </w:t>
      </w:r>
      <w:r w:rsidR="003D53CD">
        <w:t xml:space="preserve">to approximately </w:t>
      </w:r>
      <w:r w:rsidR="00111CD7">
        <w:t>50</w:t>
      </w:r>
      <w:r w:rsidR="003D53CD">
        <w:t xml:space="preserve"> potential</w:t>
      </w:r>
      <w:r w:rsidR="00200C73">
        <w:t xml:space="preserve"> respondents</w:t>
      </w:r>
      <w:r w:rsidR="00BA7A72">
        <w:t xml:space="preserve"> </w:t>
      </w:r>
      <w:r w:rsidR="00901E7A">
        <w:t>from</w:t>
      </w:r>
      <w:r w:rsidR="00200C73">
        <w:t xml:space="preserve"> the universe</w:t>
      </w:r>
      <w:r w:rsidR="00222CF9">
        <w:t xml:space="preserve"> </w:t>
      </w:r>
      <w:r w:rsidR="00200C73">
        <w:t>of</w:t>
      </w:r>
      <w:r w:rsidR="00222CF9">
        <w:t xml:space="preserve"> </w:t>
      </w:r>
      <w:r w:rsidR="00E00354">
        <w:t xml:space="preserve">possible </w:t>
      </w:r>
      <w:r w:rsidR="00426724">
        <w:t xml:space="preserve">150,000 </w:t>
      </w:r>
      <w:r w:rsidR="00200C73">
        <w:t>industry members, law enforcement agencies, and special interest groups with whom ATF works</w:t>
      </w:r>
      <w:r w:rsidR="00F91D27">
        <w:t xml:space="preserve">. </w:t>
      </w:r>
      <w:r w:rsidR="00BB4D4C">
        <w:t xml:space="preserve">The </w:t>
      </w:r>
      <w:r w:rsidR="00E00354">
        <w:t>persons on this list</w:t>
      </w:r>
      <w:r w:rsidR="00BB4D4C">
        <w:t xml:space="preserve"> are selected on the basis of having interacted with ATF on programs, public outreach, and other activities during the preceding two years</w:t>
      </w:r>
      <w:r w:rsidR="00197AA5">
        <w:t xml:space="preserve"> (thus they represent the actual universe of </w:t>
      </w:r>
      <w:r w:rsidR="00E60808">
        <w:t xml:space="preserve">potential respondents </w:t>
      </w:r>
      <w:r w:rsidR="00E60808">
        <w:t>who would have feedback on ATF programs)</w:t>
      </w:r>
      <w:r w:rsidR="00BB4D4C">
        <w:t>.</w:t>
      </w:r>
    </w:p>
    <w:p w:rsidR="00990B80" w:rsidP="0056188F" w14:paraId="733D1D3F" w14:textId="77777777">
      <w:pPr>
        <w:ind w:left="360"/>
      </w:pPr>
    </w:p>
    <w:p w:rsidR="00990B80" w:rsidP="0056188F" w14:paraId="6C1CBD28" w14:textId="43C8C5E2">
      <w:pPr>
        <w:ind w:left="360"/>
      </w:pPr>
      <w:r>
        <w:t xml:space="preserve">Table 1 displays the various associations and </w:t>
      </w:r>
      <w:r w:rsidR="0093080C">
        <w:t xml:space="preserve">groups </w:t>
      </w:r>
      <w:r w:rsidR="00425917">
        <w:t xml:space="preserve">to whom </w:t>
      </w:r>
      <w:r w:rsidR="0093080C">
        <w:t xml:space="preserve">the </w:t>
      </w:r>
      <w:r w:rsidR="00901E7A">
        <w:t>questionnaire</w:t>
      </w:r>
      <w:r w:rsidR="0093080C">
        <w:t xml:space="preserve"> </w:t>
      </w:r>
      <w:r w:rsidR="00E60808">
        <w:t>is submitted</w:t>
      </w:r>
      <w:r w:rsidR="00425917">
        <w:t>, with a break-down of how many from each group received the questionnaire last time</w:t>
      </w:r>
      <w:r w:rsidR="0093080C">
        <w:t xml:space="preserve">. </w:t>
      </w:r>
    </w:p>
    <w:p w:rsidR="0093080C" w:rsidP="0056188F" w14:paraId="473C62A9" w14:textId="77777777">
      <w:pPr>
        <w:ind w:left="360"/>
      </w:pPr>
    </w:p>
    <w:p w:rsidR="0093080C" w:rsidP="0056188F" w14:paraId="5940604F" w14:textId="09D10CA9">
      <w:pPr>
        <w:ind w:left="360"/>
        <w:jc w:val="center"/>
      </w:pPr>
      <w:r>
        <w:t>Table 1. Breakdown of Survey Respondents.</w:t>
      </w:r>
    </w:p>
    <w:p w:rsidR="00B40E49" w:rsidP="0056188F" w14:paraId="53FA0F79" w14:textId="77777777">
      <w:pPr>
        <w:ind w:left="360"/>
      </w:pPr>
    </w:p>
    <w:tbl>
      <w:tblPr>
        <w:tblW w:w="7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2"/>
        <w:gridCol w:w="2628"/>
      </w:tblGrid>
      <w:tr w14:paraId="508B7CAB" w14:textId="310FC26F" w:rsidTr="00425917">
        <w:tblPrEx>
          <w:tblW w:w="76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2BA41377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Federal Government Agencies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4212439E" w14:textId="2D6CCEDF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10</w:t>
            </w:r>
          </w:p>
        </w:tc>
      </w:tr>
      <w:tr w14:paraId="20ED0537" w14:textId="187FCF08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6B687212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Industry Associations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1947D004" w14:textId="424904AA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9</w:t>
            </w:r>
          </w:p>
        </w:tc>
      </w:tr>
      <w:tr w14:paraId="34894589" w14:textId="552AC74E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239F6242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State and local governments and local Law Enforcement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68762CF3" w14:textId="0644B92D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19</w:t>
            </w:r>
          </w:p>
        </w:tc>
      </w:tr>
      <w:tr w14:paraId="31FDC935" w14:textId="17E76B87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7A51DFA5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Special Interest Group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2114F9FF" w14:textId="1580B331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6</w:t>
            </w:r>
          </w:p>
        </w:tc>
      </w:tr>
      <w:tr w14:paraId="4064461E" w14:textId="00A33F92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1C95F853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Other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7371FD8F" w14:textId="056708FD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1</w:t>
            </w:r>
          </w:p>
        </w:tc>
      </w:tr>
      <w:tr w14:paraId="66270A21" w14:textId="4F501916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552E23FA" w14:textId="77777777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not for profit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3E0D96FA" w14:textId="5CD08F80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2</w:t>
            </w:r>
          </w:p>
        </w:tc>
      </w:tr>
      <w:tr w14:paraId="7C0DC097" w14:textId="526F37DB" w:rsidTr="00425917">
        <w:tblPrEx>
          <w:tblW w:w="7670" w:type="dxa"/>
          <w:jc w:val="center"/>
          <w:tblLook w:val="04A0"/>
        </w:tblPrEx>
        <w:trPr>
          <w:trHeight w:val="300"/>
          <w:jc w:val="center"/>
        </w:trPr>
        <w:tc>
          <w:tcPr>
            <w:tcW w:w="5042" w:type="dxa"/>
            <w:shd w:val="clear" w:color="auto" w:fill="auto"/>
            <w:noWrap/>
            <w:vAlign w:val="bottom"/>
            <w:hideMark/>
          </w:tcPr>
          <w:p w:rsidR="00631267" w:rsidRPr="00631267" w:rsidP="0056188F" w14:paraId="164BFBF6" w14:textId="7FBE5D1B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 Total</w:t>
            </w:r>
          </w:p>
        </w:tc>
        <w:tc>
          <w:tcPr>
            <w:tcW w:w="2628" w:type="dxa"/>
            <w:vAlign w:val="bottom"/>
          </w:tcPr>
          <w:p w:rsidR="00631267" w:rsidRPr="00631267" w:rsidP="0056188F" w14:paraId="4E95FA48" w14:textId="481E072D">
            <w:pPr>
              <w:ind w:left="360"/>
              <w:rPr>
                <w:color w:val="000000"/>
              </w:rPr>
            </w:pPr>
            <w:r w:rsidRPr="00631267">
              <w:rPr>
                <w:color w:val="000000"/>
              </w:rPr>
              <w:t>47</w:t>
            </w:r>
          </w:p>
        </w:tc>
      </w:tr>
    </w:tbl>
    <w:p w:rsidR="00B40E49" w:rsidP="0056188F" w14:paraId="79F0D7E1" w14:textId="77777777">
      <w:pPr>
        <w:ind w:left="360"/>
      </w:pPr>
    </w:p>
    <w:p w:rsidR="00B40E49" w:rsidP="0056188F" w14:paraId="28E4A876" w14:textId="77777777">
      <w:pPr>
        <w:ind w:left="360"/>
      </w:pPr>
    </w:p>
    <w:p w:rsidR="003D53CD" w:rsidRPr="00F63A9D" w:rsidP="0056188F" w14:paraId="6702A7A6" w14:textId="59C34AC8">
      <w:pPr>
        <w:ind w:left="360"/>
        <w:rPr>
          <w:bCs/>
        </w:rPr>
      </w:pPr>
      <w:r>
        <w:t xml:space="preserve">Of these </w:t>
      </w:r>
      <w:r w:rsidR="00425917">
        <w:t xml:space="preserve">47 </w:t>
      </w:r>
      <w:r>
        <w:t xml:space="preserve">potential respondents, 7 </w:t>
      </w:r>
      <w:r w:rsidR="004B52B1">
        <w:t>provided responses, which is equal to</w:t>
      </w:r>
      <w:r w:rsidR="00EE4AEC">
        <w:t xml:space="preserve"> a</w:t>
      </w:r>
      <w:r w:rsidR="004B52B1">
        <w:t xml:space="preserve"> 14.8</w:t>
      </w:r>
      <w:r w:rsidR="0003556B">
        <w:t>9% response rate. Due to limitation</w:t>
      </w:r>
      <w:r w:rsidR="00303BBD">
        <w:t>s</w:t>
      </w:r>
      <w:r w:rsidR="0003556B">
        <w:t xml:space="preserve"> in resources and other factors, not ever</w:t>
      </w:r>
      <w:r w:rsidR="00031565">
        <w:t>y</w:t>
      </w:r>
      <w:r w:rsidR="0003556B">
        <w:t xml:space="preserve"> individual member and law enforcement </w:t>
      </w:r>
      <w:r w:rsidR="00425917">
        <w:t>organization</w:t>
      </w:r>
      <w:r w:rsidR="00E507DE">
        <w:t xml:space="preserve"> was </w:t>
      </w:r>
      <w:r w:rsidR="00901E7A">
        <w:t>question</w:t>
      </w:r>
      <w:r w:rsidR="00E507DE">
        <w:t xml:space="preserve">ed, but rather associations that represent industry members and law enforcement </w:t>
      </w:r>
      <w:r w:rsidR="003955EF">
        <w:t>organizations</w:t>
      </w:r>
      <w:r w:rsidR="00E507DE">
        <w:t xml:space="preserve"> were </w:t>
      </w:r>
      <w:r w:rsidR="00901E7A">
        <w:t>question</w:t>
      </w:r>
      <w:r w:rsidR="00E507DE">
        <w:t>ed.</w:t>
      </w:r>
    </w:p>
    <w:p w:rsidR="00877A26" w:rsidP="0056188F" w14:paraId="6BE68823" w14:textId="77777777"/>
    <w:p w:rsidR="00200C73" w:rsidRPr="0056188F" w:rsidP="0056188F" w14:paraId="060188BA" w14:textId="31FF92AF">
      <w:pPr>
        <w:pStyle w:val="Heading3"/>
        <w:numPr>
          <w:ilvl w:val="0"/>
          <w:numId w:val="0"/>
        </w:numPr>
        <w:ind w:hanging="360"/>
        <w:rPr>
          <w:b/>
          <w:bCs/>
          <w:u w:val="none"/>
        </w:rPr>
      </w:pPr>
      <w:r w:rsidRPr="0056188F">
        <w:rPr>
          <w:b/>
          <w:bCs/>
          <w:u w:val="none"/>
        </w:rPr>
        <w:t xml:space="preserve">2.  </w:t>
      </w:r>
      <w:r w:rsidRPr="0056188F">
        <w:rPr>
          <w:b/>
          <w:bCs/>
          <w:u w:val="none"/>
        </w:rPr>
        <w:t xml:space="preserve">Procedures for </w:t>
      </w:r>
      <w:r>
        <w:rPr>
          <w:b/>
          <w:bCs/>
          <w:u w:val="none"/>
        </w:rPr>
        <w:t>c</w:t>
      </w:r>
      <w:r w:rsidRPr="0056188F">
        <w:rPr>
          <w:b/>
          <w:bCs/>
          <w:u w:val="none"/>
        </w:rPr>
        <w:t xml:space="preserve">ollecting </w:t>
      </w:r>
      <w:r>
        <w:rPr>
          <w:b/>
          <w:bCs/>
          <w:u w:val="none"/>
        </w:rPr>
        <w:t>i</w:t>
      </w:r>
      <w:r w:rsidRPr="0056188F">
        <w:rPr>
          <w:b/>
          <w:bCs/>
          <w:u w:val="none"/>
        </w:rPr>
        <w:t>nformation</w:t>
      </w:r>
    </w:p>
    <w:p w:rsidR="00200C73" w:rsidP="0056188F" w14:paraId="03E6EB2A" w14:textId="77777777"/>
    <w:p w:rsidR="005A102F" w:rsidP="0056188F" w14:paraId="4CD86873" w14:textId="23F7837D">
      <w:r>
        <w:t>The</w:t>
      </w:r>
      <w:r>
        <w:t xml:space="preserve"> selection of respondents does not represent a true random statistical sample.</w:t>
      </w:r>
      <w:r w:rsidR="00404945">
        <w:t xml:space="preserve"> It is a set </w:t>
      </w:r>
      <w:r w:rsidR="008F1165">
        <w:t>of respondent</w:t>
      </w:r>
      <w:r w:rsidR="00E31EBF">
        <w:t>s</w:t>
      </w:r>
      <w:r w:rsidR="008F1165">
        <w:t xml:space="preserve"> that each directorate has dealt with in the preceding years</w:t>
      </w:r>
      <w:r w:rsidR="00E31EBF">
        <w:t xml:space="preserve"> as part of ATF operations, which is compiled into one list of respondents. This information is gathered</w:t>
      </w:r>
      <w:r>
        <w:t xml:space="preserve"> </w:t>
      </w:r>
      <w:r w:rsidR="00E31EBF">
        <w:t>once</w:t>
      </w:r>
      <w:r>
        <w:t xml:space="preserve"> </w:t>
      </w:r>
      <w:r w:rsidR="00BA7A72">
        <w:t>during</w:t>
      </w:r>
      <w:r>
        <w:t xml:space="preserve"> each </w:t>
      </w:r>
      <w:r w:rsidR="00877A26">
        <w:t>three-year</w:t>
      </w:r>
      <w:r>
        <w:t xml:space="preserve"> planning cycle under GPRA.</w:t>
      </w:r>
      <w:r w:rsidR="002672A9">
        <w:t xml:space="preserve"> </w:t>
      </w:r>
      <w:r w:rsidRPr="009E735E" w:rsidR="002672A9">
        <w:t xml:space="preserve">The </w:t>
      </w:r>
      <w:r w:rsidR="00901E7A">
        <w:t>questionnaire</w:t>
      </w:r>
      <w:r w:rsidRPr="009E735E" w:rsidR="002672A9">
        <w:t xml:space="preserve"> </w:t>
      </w:r>
      <w:r w:rsidR="00E31EBF">
        <w:t>is</w:t>
      </w:r>
      <w:r w:rsidRPr="009E735E" w:rsidR="002672A9">
        <w:t xml:space="preserve"> administered </w:t>
      </w:r>
      <w:r w:rsidR="00E31EBF">
        <w:t>through an online survey tool</w:t>
      </w:r>
      <w:r w:rsidRPr="009E735E" w:rsidR="002672A9">
        <w:t xml:space="preserve">. OSM </w:t>
      </w:r>
      <w:r w:rsidR="00E84B51">
        <w:t>verifies the email addresses provided by the directorates and provides</w:t>
      </w:r>
      <w:r w:rsidRPr="009E735E" w:rsidR="002672A9">
        <w:t xml:space="preserve"> </w:t>
      </w:r>
      <w:r w:rsidR="00E84B51">
        <w:t>the</w:t>
      </w:r>
      <w:r w:rsidRPr="009E735E" w:rsidR="002672A9">
        <w:t xml:space="preserve"> list </w:t>
      </w:r>
      <w:r w:rsidR="00A23D54">
        <w:t>of</w:t>
      </w:r>
      <w:r w:rsidRPr="009E735E" w:rsidR="002672A9">
        <w:t xml:space="preserve"> verified email address</w:t>
      </w:r>
      <w:r w:rsidR="00A23D54">
        <w:t>es</w:t>
      </w:r>
      <w:r w:rsidRPr="009E735E" w:rsidR="002672A9">
        <w:t xml:space="preserve"> </w:t>
      </w:r>
      <w:r w:rsidR="003B14CC">
        <w:t>to ATF’s Human Resources</w:t>
      </w:r>
      <w:r w:rsidR="00EB0364">
        <w:t xml:space="preserve"> Personnel Division (HRPD)</w:t>
      </w:r>
      <w:r w:rsidRPr="009E735E" w:rsidR="002672A9">
        <w:t xml:space="preserve">. HRPD </w:t>
      </w:r>
      <w:r w:rsidR="003D32ED">
        <w:t xml:space="preserve">inputs the questionnaire into the online survey tool and </w:t>
      </w:r>
      <w:r w:rsidR="00EB0364">
        <w:t>sends</w:t>
      </w:r>
      <w:r w:rsidRPr="009E735E" w:rsidR="002672A9">
        <w:t xml:space="preserve"> </w:t>
      </w:r>
      <w:r w:rsidR="00EB0364">
        <w:t>a link to the</w:t>
      </w:r>
      <w:r w:rsidRPr="009E735E" w:rsidR="002672A9">
        <w:t xml:space="preserve"> </w:t>
      </w:r>
      <w:r w:rsidR="00901E7A">
        <w:t>questionnaire</w:t>
      </w:r>
      <w:r w:rsidRPr="009E735E" w:rsidR="002672A9">
        <w:t xml:space="preserve"> to the respondents via email</w:t>
      </w:r>
      <w:r w:rsidR="002672A9">
        <w:t xml:space="preserve">. The </w:t>
      </w:r>
      <w:r w:rsidRPr="009E735E" w:rsidR="002672A9">
        <w:t xml:space="preserve">respondents complete </w:t>
      </w:r>
      <w:r w:rsidR="00204A36">
        <w:t xml:space="preserve">and submit </w:t>
      </w:r>
      <w:r w:rsidRPr="009E735E" w:rsidR="002672A9">
        <w:t xml:space="preserve">the </w:t>
      </w:r>
      <w:r w:rsidR="00901E7A">
        <w:t>questionnaire</w:t>
      </w:r>
      <w:r w:rsidRPr="009E735E" w:rsidR="002672A9">
        <w:t xml:space="preserve"> </w:t>
      </w:r>
      <w:r w:rsidR="00204A36">
        <w:t>online</w:t>
      </w:r>
      <w:r w:rsidRPr="009E735E" w:rsidR="002672A9">
        <w:t xml:space="preserve">. </w:t>
      </w:r>
      <w:r w:rsidR="00204A36">
        <w:t xml:space="preserve">The survey tool transmits the responses to </w:t>
      </w:r>
      <w:r w:rsidRPr="009E735E" w:rsidR="002672A9">
        <w:t>HRPD</w:t>
      </w:r>
      <w:r w:rsidR="00204A36">
        <w:t xml:space="preserve">, which </w:t>
      </w:r>
      <w:r w:rsidRPr="009E735E" w:rsidR="002672A9">
        <w:t>provide</w:t>
      </w:r>
      <w:r w:rsidR="00204A36">
        <w:t>s the</w:t>
      </w:r>
      <w:r w:rsidRPr="009E735E" w:rsidR="002672A9">
        <w:t xml:space="preserve"> information to OSM at the end of the two-week </w:t>
      </w:r>
      <w:r w:rsidR="00901E7A">
        <w:t>questionnaire</w:t>
      </w:r>
      <w:r w:rsidRPr="009E735E" w:rsidR="002672A9">
        <w:t xml:space="preserve"> period.</w:t>
      </w:r>
      <w:r w:rsidR="008762B9">
        <w:t xml:space="preserve"> </w:t>
      </w:r>
      <w:r w:rsidR="00204A36">
        <w:t>No analysis using statistical methods of any kind occurs during this process.</w:t>
      </w:r>
    </w:p>
    <w:p w:rsidR="00B3570B" w:rsidP="0056188F" w14:paraId="252BD47A" w14:textId="77777777"/>
    <w:p w:rsidR="005A102F" w:rsidRPr="0056188F" w:rsidP="0056188F" w14:paraId="1D8317DA" w14:textId="4AB6AEE4">
      <w:pPr>
        <w:pStyle w:val="Heading3"/>
        <w:numPr>
          <w:ilvl w:val="0"/>
          <w:numId w:val="0"/>
        </w:numPr>
        <w:ind w:hanging="360"/>
        <w:rPr>
          <w:b/>
          <w:bCs/>
          <w:u w:val="none"/>
        </w:rPr>
      </w:pPr>
      <w:r w:rsidRPr="0056188F">
        <w:rPr>
          <w:b/>
          <w:bCs/>
          <w:u w:val="none"/>
        </w:rPr>
        <w:t xml:space="preserve">3.  Methods to </w:t>
      </w:r>
      <w:r w:rsidRPr="0056188F" w:rsidR="0056188F">
        <w:rPr>
          <w:b/>
          <w:bCs/>
          <w:u w:val="none"/>
        </w:rPr>
        <w:t>m</w:t>
      </w:r>
      <w:r w:rsidRPr="0056188F">
        <w:rPr>
          <w:b/>
          <w:bCs/>
          <w:u w:val="none"/>
        </w:rPr>
        <w:t xml:space="preserve">aximize </w:t>
      </w:r>
      <w:r w:rsidRPr="0056188F" w:rsidR="0056188F">
        <w:rPr>
          <w:b/>
          <w:bCs/>
          <w:u w:val="none"/>
        </w:rPr>
        <w:t>r</w:t>
      </w:r>
      <w:r w:rsidRPr="0056188F">
        <w:rPr>
          <w:b/>
          <w:bCs/>
          <w:u w:val="none"/>
        </w:rPr>
        <w:t>esponse</w:t>
      </w:r>
    </w:p>
    <w:p w:rsidR="007744C3" w:rsidP="0056188F" w14:paraId="4936BD44" w14:textId="77777777"/>
    <w:p w:rsidR="005F7989" w:rsidP="0056188F" w14:paraId="5407C6F3" w14:textId="090BD6A3">
      <w:r w:rsidRPr="009E735E">
        <w:t>To enhance the response rate</w:t>
      </w:r>
      <w:r w:rsidR="00A23D54">
        <w:t>, the</w:t>
      </w:r>
      <w:r w:rsidRPr="009E735E">
        <w:t xml:space="preserve"> </w:t>
      </w:r>
      <w:r w:rsidR="00901E7A">
        <w:t>questionnaire</w:t>
      </w:r>
      <w:r w:rsidR="00426724">
        <w:t xml:space="preserve"> </w:t>
      </w:r>
      <w:r w:rsidR="00A23D54">
        <w:t>is</w:t>
      </w:r>
      <w:r w:rsidRPr="009E735E">
        <w:t xml:space="preserve"> </w:t>
      </w:r>
      <w:r w:rsidR="00204A36">
        <w:t>open only</w:t>
      </w:r>
      <w:r w:rsidR="00426724">
        <w:t xml:space="preserve"> to respondents</w:t>
      </w:r>
      <w:r w:rsidRPr="009E735E" w:rsidR="00877A26">
        <w:t xml:space="preserve"> </w:t>
      </w:r>
      <w:r w:rsidR="00426724">
        <w:t>who</w:t>
      </w:r>
      <w:r w:rsidRPr="009E735E" w:rsidR="00A23D54">
        <w:t xml:space="preserve"> </w:t>
      </w:r>
      <w:r w:rsidRPr="009E735E">
        <w:t xml:space="preserve">are currently using </w:t>
      </w:r>
      <w:r w:rsidR="00A23D54">
        <w:t xml:space="preserve">ATF </w:t>
      </w:r>
      <w:r w:rsidRPr="009E735E">
        <w:t xml:space="preserve">services. HRPD </w:t>
      </w:r>
      <w:r w:rsidR="00204A36">
        <w:t>receives</w:t>
      </w:r>
      <w:r w:rsidRPr="009E735E">
        <w:t xml:space="preserve"> the responses and send up to two reminders to all </w:t>
      </w:r>
      <w:r w:rsidR="00A23D54">
        <w:t>unresponsive individuals</w:t>
      </w:r>
      <w:r w:rsidRPr="009E735E">
        <w:t xml:space="preserve"> </w:t>
      </w:r>
      <w:r w:rsidR="00BA7A72">
        <w:t>during</w:t>
      </w:r>
      <w:r w:rsidRPr="009E735E" w:rsidR="00BA7A72">
        <w:t xml:space="preserve"> </w:t>
      </w:r>
      <w:r w:rsidRPr="009E735E">
        <w:t xml:space="preserve">the two-week outreach period. In case the </w:t>
      </w:r>
      <w:r w:rsidR="00133AC9">
        <w:t>online process</w:t>
      </w:r>
      <w:r w:rsidRPr="009E735E">
        <w:t xml:space="preserve"> does not </w:t>
      </w:r>
      <w:r w:rsidR="00A23D54">
        <w:t xml:space="preserve">yield </w:t>
      </w:r>
      <w:r w:rsidRPr="009E735E">
        <w:t xml:space="preserve">a satisfactory response, OSM </w:t>
      </w:r>
      <w:r w:rsidR="00133AC9">
        <w:t>is</w:t>
      </w:r>
      <w:r w:rsidRPr="009E735E">
        <w:t xml:space="preserve"> able to follow-up </w:t>
      </w:r>
      <w:r w:rsidR="00BA7A72">
        <w:t xml:space="preserve">with stakeholders </w:t>
      </w:r>
      <w:r w:rsidRPr="009E735E">
        <w:t xml:space="preserve">using </w:t>
      </w:r>
      <w:r w:rsidR="00133AC9">
        <w:t xml:space="preserve">email, </w:t>
      </w:r>
      <w:r w:rsidR="00426724">
        <w:t>regular</w:t>
      </w:r>
      <w:r w:rsidRPr="009E735E" w:rsidR="00426724">
        <w:t xml:space="preserve"> </w:t>
      </w:r>
      <w:r w:rsidRPr="009E735E">
        <w:t>mail</w:t>
      </w:r>
      <w:r w:rsidR="00133AC9">
        <w:t xml:space="preserve">, </w:t>
      </w:r>
      <w:r w:rsidRPr="009E735E">
        <w:t xml:space="preserve">or </w:t>
      </w:r>
      <w:r w:rsidR="00BA7A72">
        <w:t xml:space="preserve">by </w:t>
      </w:r>
      <w:r w:rsidRPr="009E735E">
        <w:t>conduct</w:t>
      </w:r>
      <w:r w:rsidR="00BA7A72">
        <w:t>ing</w:t>
      </w:r>
      <w:r w:rsidRPr="009E735E">
        <w:t xml:space="preserve"> a limited number of face</w:t>
      </w:r>
      <w:r w:rsidR="00426724">
        <w:t>-</w:t>
      </w:r>
      <w:r w:rsidRPr="009E735E">
        <w:t>to</w:t>
      </w:r>
      <w:r w:rsidR="00426724">
        <w:t>-</w:t>
      </w:r>
      <w:r w:rsidRPr="009E735E">
        <w:t>face or telephone interviews</w:t>
      </w:r>
      <w:r w:rsidR="00BA7A72">
        <w:t>.</w:t>
      </w:r>
    </w:p>
    <w:p w:rsidR="005F7989" w:rsidP="0056188F" w14:paraId="49682BAC" w14:textId="77777777"/>
    <w:p w:rsidR="005F7989" w:rsidRPr="0056188F" w:rsidP="0056188F" w14:paraId="3C6045B1" w14:textId="5160F0A7">
      <w:pPr>
        <w:pStyle w:val="Heading3"/>
        <w:numPr>
          <w:ilvl w:val="0"/>
          <w:numId w:val="0"/>
        </w:numPr>
        <w:ind w:left="-360"/>
        <w:rPr>
          <w:b/>
          <w:bCs/>
          <w:u w:val="none"/>
        </w:rPr>
      </w:pPr>
      <w:r w:rsidRPr="0056188F">
        <w:rPr>
          <w:b/>
          <w:bCs/>
          <w:u w:val="none"/>
        </w:rPr>
        <w:t xml:space="preserve">4.  Testing of </w:t>
      </w:r>
      <w:r w:rsidRPr="0056188F" w:rsidR="0056188F">
        <w:rPr>
          <w:b/>
          <w:bCs/>
          <w:u w:val="none"/>
        </w:rPr>
        <w:t>p</w:t>
      </w:r>
      <w:r w:rsidRPr="0056188F">
        <w:rPr>
          <w:b/>
          <w:bCs/>
          <w:u w:val="none"/>
        </w:rPr>
        <w:t>rocedures</w:t>
      </w:r>
    </w:p>
    <w:p w:rsidR="005F7989" w:rsidP="0056188F" w14:paraId="545E79D5" w14:textId="77777777"/>
    <w:p w:rsidR="005F7989" w:rsidP="0056188F" w14:paraId="4774B4BF" w14:textId="0844692B">
      <w:r>
        <w:t xml:space="preserve">HRPD has conducted numerous electronic </w:t>
      </w:r>
      <w:r w:rsidR="00901E7A">
        <w:t>questionnaire</w:t>
      </w:r>
      <w:r>
        <w:t>s for ATF via email using survey tool</w:t>
      </w:r>
      <w:r w:rsidR="00426724">
        <w:t>s</w:t>
      </w:r>
      <w:r>
        <w:t xml:space="preserve"> with good success. </w:t>
      </w:r>
      <w:r w:rsidR="008222F7">
        <w:t>However, a</w:t>
      </w:r>
      <w:r>
        <w:t xml:space="preserve"> formal test of </w:t>
      </w:r>
      <w:r w:rsidR="008222F7">
        <w:t xml:space="preserve">HRPD </w:t>
      </w:r>
      <w:r w:rsidR="00901E7A">
        <w:t>questionnaire</w:t>
      </w:r>
      <w:r w:rsidR="008222F7">
        <w:t xml:space="preserve"> </w:t>
      </w:r>
      <w:r>
        <w:t>procedure</w:t>
      </w:r>
      <w:r w:rsidR="008222F7">
        <w:t>s</w:t>
      </w:r>
      <w:r>
        <w:t xml:space="preserve"> </w:t>
      </w:r>
      <w:r w:rsidR="008222F7">
        <w:t>cannot be conducted</w:t>
      </w:r>
      <w:r>
        <w:t xml:space="preserve"> </w:t>
      </w:r>
      <w:r w:rsidR="008222F7">
        <w:t xml:space="preserve">for </w:t>
      </w:r>
      <w:r w:rsidR="00133AC9">
        <w:t xml:space="preserve">this </w:t>
      </w:r>
      <w:r w:rsidR="00426724">
        <w:t xml:space="preserve">Strategic Planning </w:t>
      </w:r>
      <w:r w:rsidR="008222F7">
        <w:t xml:space="preserve">Environmental Assessment Outreach, </w:t>
      </w:r>
      <w:r>
        <w:t>due to time and cost constraints.</w:t>
      </w:r>
    </w:p>
    <w:p w:rsidR="00877A26" w:rsidP="0056188F" w14:paraId="6346F174" w14:textId="77777777"/>
    <w:p w:rsidR="005F7989" w:rsidRPr="0056188F" w:rsidP="0056188F" w14:paraId="33A9E8D3" w14:textId="685EC2FB">
      <w:pPr>
        <w:pStyle w:val="Heading3"/>
        <w:numPr>
          <w:ilvl w:val="0"/>
          <w:numId w:val="0"/>
        </w:numPr>
        <w:ind w:left="-360"/>
        <w:rPr>
          <w:b/>
          <w:bCs/>
          <w:u w:val="none"/>
        </w:rPr>
      </w:pPr>
      <w:r w:rsidRPr="0056188F">
        <w:rPr>
          <w:b/>
          <w:bCs/>
          <w:u w:val="none"/>
        </w:rPr>
        <w:t xml:space="preserve">5.  </w:t>
      </w:r>
      <w:r w:rsidRPr="0056188F">
        <w:rPr>
          <w:b/>
          <w:bCs/>
          <w:u w:val="none"/>
        </w:rPr>
        <w:t xml:space="preserve">Contacts for </w:t>
      </w:r>
      <w:r w:rsidRPr="0056188F">
        <w:rPr>
          <w:b/>
          <w:bCs/>
          <w:u w:val="none"/>
        </w:rPr>
        <w:t>s</w:t>
      </w:r>
      <w:r w:rsidRPr="0056188F">
        <w:rPr>
          <w:b/>
          <w:bCs/>
          <w:u w:val="none"/>
        </w:rPr>
        <w:t>tatisti</w:t>
      </w:r>
      <w:r w:rsidRPr="0056188F" w:rsidR="00877A26">
        <w:rPr>
          <w:b/>
          <w:bCs/>
          <w:u w:val="none"/>
        </w:rPr>
        <w:t xml:space="preserve">cal </w:t>
      </w:r>
      <w:r w:rsidRPr="0056188F">
        <w:rPr>
          <w:b/>
          <w:bCs/>
          <w:u w:val="none"/>
        </w:rPr>
        <w:t>a</w:t>
      </w:r>
      <w:r w:rsidRPr="0056188F" w:rsidR="00877A26">
        <w:rPr>
          <w:b/>
          <w:bCs/>
          <w:u w:val="none"/>
        </w:rPr>
        <w:t xml:space="preserve">spects and </w:t>
      </w:r>
      <w:r w:rsidRPr="0056188F">
        <w:rPr>
          <w:b/>
          <w:bCs/>
          <w:u w:val="none"/>
        </w:rPr>
        <w:t>d</w:t>
      </w:r>
      <w:r w:rsidRPr="0056188F" w:rsidR="00877A26">
        <w:rPr>
          <w:b/>
          <w:bCs/>
          <w:u w:val="none"/>
        </w:rPr>
        <w:t xml:space="preserve">ata </w:t>
      </w:r>
      <w:r w:rsidRPr="0056188F">
        <w:rPr>
          <w:b/>
          <w:bCs/>
          <w:u w:val="none"/>
        </w:rPr>
        <w:t>c</w:t>
      </w:r>
      <w:r w:rsidRPr="0056188F" w:rsidR="00877A26">
        <w:rPr>
          <w:b/>
          <w:bCs/>
          <w:u w:val="none"/>
        </w:rPr>
        <w:t>ollection</w:t>
      </w:r>
    </w:p>
    <w:p w:rsidR="00E823BB" w:rsidP="0056188F" w14:paraId="1855BFE5" w14:textId="77777777"/>
    <w:p w:rsidR="008222F7" w:rsidRPr="008222F7" w:rsidP="0056188F" w14:paraId="6F5F4129" w14:textId="1B603279">
      <w:r>
        <w:t>The Office of Strategic Management</w:t>
      </w:r>
      <w:r w:rsidR="005F7989">
        <w:t xml:space="preserve"> within the Office of the Director of ATF </w:t>
      </w:r>
      <w:r>
        <w:t xml:space="preserve">is </w:t>
      </w:r>
      <w:r w:rsidR="005F7989">
        <w:t>responsible for</w:t>
      </w:r>
      <w:r w:rsidR="005F7989">
        <w:t xml:space="preserve"> </w:t>
      </w:r>
      <w:r w:rsidR="00322AC0">
        <w:t>designing, collecting, and assessing</w:t>
      </w:r>
      <w:r w:rsidR="005F7989">
        <w:t xml:space="preserve"> </w:t>
      </w:r>
      <w:r w:rsidR="00322AC0">
        <w:t>the information collected through this questionnaire</w:t>
      </w:r>
      <w:r>
        <w:t xml:space="preserve">. </w:t>
      </w:r>
      <w:r w:rsidR="005F7989">
        <w:t>Th</w:t>
      </w:r>
      <w:r w:rsidR="00E823BB">
        <w:t xml:space="preserve">e contact person </w:t>
      </w:r>
      <w:r>
        <w:t xml:space="preserve">for this </w:t>
      </w:r>
      <w:r w:rsidR="00901E7A">
        <w:t>questionnaire</w:t>
      </w:r>
      <w:r>
        <w:t xml:space="preserve"> is Chad Yoder, who can be </w:t>
      </w:r>
      <w:r>
        <w:t>reached</w:t>
      </w:r>
      <w:r>
        <w:t xml:space="preserve"> by telephone</w:t>
      </w:r>
      <w:r w:rsidR="00322AC0">
        <w:t xml:space="preserve"> at</w:t>
      </w:r>
      <w:r>
        <w:t xml:space="preserve"> </w:t>
      </w:r>
      <w:r>
        <w:t>202</w:t>
      </w:r>
      <w:r w:rsidR="696DE1AB">
        <w:t>.</w:t>
      </w:r>
      <w:r>
        <w:t>407</w:t>
      </w:r>
      <w:r w:rsidR="5686E31B">
        <w:t>.</w:t>
      </w:r>
      <w:r>
        <w:t>1746</w:t>
      </w:r>
      <w:r w:rsidR="00782B86">
        <w:t xml:space="preserve"> or by email at chad.yoder@atf.gov</w:t>
      </w:r>
      <w:r>
        <w:t>.</w:t>
      </w:r>
    </w:p>
    <w:p w:rsidR="00200C73" w:rsidP="00FC17E9" w14:paraId="2CAF747B" w14:textId="3453BBE1">
      <w:pPr>
        <w:ind w:left="720"/>
      </w:pPr>
      <w:r>
        <w:t xml:space="preserve"> </w:t>
      </w:r>
    </w:p>
    <w:sectPr w:rsidSect="00DB4F52">
      <w:footerReference w:type="even" r:id="rId8"/>
      <w:footerReference w:type="default" r:id="rId9"/>
      <w:headerReference w:type="first" r:id="rId10"/>
      <w:pgSz w:w="12240" w:h="15840" w:orient="portrait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62B9" w:rsidP="004D6619" w14:paraId="640860A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62B9" w14:paraId="30717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48151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2F7" w14:paraId="50C4A1E7" w14:textId="3CCCF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2B9" w14:paraId="2BAB7E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67B9" w:rsidRPr="00A6576F" w:rsidP="009B67B9" w14:paraId="1B793F65" w14:textId="77777777">
    <w:pPr>
      <w:pStyle w:val="Header"/>
      <w:rPr>
        <w:sz w:val="20"/>
        <w:szCs w:val="20"/>
      </w:rPr>
    </w:pPr>
    <w:r w:rsidRPr="00A6576F">
      <w:rPr>
        <w:sz w:val="20"/>
        <w:szCs w:val="20"/>
      </w:rPr>
      <w:t>Office of Strategic Management Environmental Assessment Outreach </w:t>
    </w:r>
  </w:p>
  <w:p w:rsidR="009B67B9" w:rsidRPr="00A6576F" w:rsidP="009B67B9" w14:paraId="1581D977" w14:textId="77777777">
    <w:pPr>
      <w:pStyle w:val="Header"/>
      <w:rPr>
        <w:sz w:val="20"/>
        <w:szCs w:val="20"/>
      </w:rPr>
    </w:pPr>
    <w:r w:rsidRPr="00A6576F">
      <w:rPr>
        <w:sz w:val="20"/>
        <w:szCs w:val="20"/>
      </w:rPr>
      <w:t>OMB Control Number 1140-0052 </w:t>
    </w:r>
  </w:p>
  <w:p w:rsidR="009B67B9" w:rsidRPr="00A6576F" w:rsidP="009B67B9" w14:paraId="3180608E" w14:textId="77777777">
    <w:pPr>
      <w:pStyle w:val="Header"/>
      <w:rPr>
        <w:sz w:val="20"/>
        <w:szCs w:val="20"/>
      </w:rPr>
    </w:pPr>
    <w:r w:rsidRPr="00A6576F">
      <w:rPr>
        <w:sz w:val="20"/>
        <w:szCs w:val="20"/>
      </w:rPr>
      <w:t>OMB Expiration Date: 05/31/2025 </w:t>
    </w:r>
  </w:p>
  <w:p w:rsidR="008222F7" w14:paraId="24C5FA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F646D8"/>
    <w:multiLevelType w:val="hybridMultilevel"/>
    <w:tmpl w:val="825A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32C95"/>
    <w:multiLevelType w:val="hybridMultilevel"/>
    <w:tmpl w:val="013247F0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51234">
    <w:abstractNumId w:val="1"/>
  </w:num>
  <w:num w:numId="2" w16cid:durableId="195212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FC"/>
    <w:rsid w:val="00006A8D"/>
    <w:rsid w:val="0002705F"/>
    <w:rsid w:val="00027A47"/>
    <w:rsid w:val="00031565"/>
    <w:rsid w:val="0003556B"/>
    <w:rsid w:val="0004251E"/>
    <w:rsid w:val="00045061"/>
    <w:rsid w:val="00060148"/>
    <w:rsid w:val="00061D0E"/>
    <w:rsid w:val="00063502"/>
    <w:rsid w:val="00073F27"/>
    <w:rsid w:val="00075E99"/>
    <w:rsid w:val="0007600E"/>
    <w:rsid w:val="000A1F1B"/>
    <w:rsid w:val="000C4ED2"/>
    <w:rsid w:val="000C5027"/>
    <w:rsid w:val="000D36A3"/>
    <w:rsid w:val="000E6C5A"/>
    <w:rsid w:val="000F2D80"/>
    <w:rsid w:val="000F627B"/>
    <w:rsid w:val="00103879"/>
    <w:rsid w:val="00111CD7"/>
    <w:rsid w:val="00114DA2"/>
    <w:rsid w:val="00123FD4"/>
    <w:rsid w:val="00125516"/>
    <w:rsid w:val="00133AC9"/>
    <w:rsid w:val="00140BE5"/>
    <w:rsid w:val="0014629A"/>
    <w:rsid w:val="00155A92"/>
    <w:rsid w:val="00155E7B"/>
    <w:rsid w:val="001565C4"/>
    <w:rsid w:val="00161C4F"/>
    <w:rsid w:val="0017044F"/>
    <w:rsid w:val="00171BA6"/>
    <w:rsid w:val="0017222F"/>
    <w:rsid w:val="00173241"/>
    <w:rsid w:val="00183201"/>
    <w:rsid w:val="00184D0B"/>
    <w:rsid w:val="001872EB"/>
    <w:rsid w:val="00197AA5"/>
    <w:rsid w:val="001A0007"/>
    <w:rsid w:val="001B09CA"/>
    <w:rsid w:val="001B324E"/>
    <w:rsid w:val="001B5CEE"/>
    <w:rsid w:val="001C7F1F"/>
    <w:rsid w:val="001D063A"/>
    <w:rsid w:val="001E0AD9"/>
    <w:rsid w:val="001E6268"/>
    <w:rsid w:val="001F1CDC"/>
    <w:rsid w:val="00200C73"/>
    <w:rsid w:val="00204A36"/>
    <w:rsid w:val="00207020"/>
    <w:rsid w:val="00216154"/>
    <w:rsid w:val="00222CF9"/>
    <w:rsid w:val="002310D5"/>
    <w:rsid w:val="00243729"/>
    <w:rsid w:val="00252D52"/>
    <w:rsid w:val="00256A64"/>
    <w:rsid w:val="00264AC1"/>
    <w:rsid w:val="002672A9"/>
    <w:rsid w:val="002727FB"/>
    <w:rsid w:val="00290A92"/>
    <w:rsid w:val="002911C9"/>
    <w:rsid w:val="0029209A"/>
    <w:rsid w:val="002A4118"/>
    <w:rsid w:val="002D780A"/>
    <w:rsid w:val="002F2F4B"/>
    <w:rsid w:val="00303BBD"/>
    <w:rsid w:val="00317488"/>
    <w:rsid w:val="003200AE"/>
    <w:rsid w:val="00322AC0"/>
    <w:rsid w:val="00324103"/>
    <w:rsid w:val="0032573F"/>
    <w:rsid w:val="00325941"/>
    <w:rsid w:val="00330A8C"/>
    <w:rsid w:val="00336B0D"/>
    <w:rsid w:val="003408AE"/>
    <w:rsid w:val="003426FD"/>
    <w:rsid w:val="00344B61"/>
    <w:rsid w:val="00392A04"/>
    <w:rsid w:val="003955EF"/>
    <w:rsid w:val="003A21A1"/>
    <w:rsid w:val="003A2298"/>
    <w:rsid w:val="003B14CC"/>
    <w:rsid w:val="003B256A"/>
    <w:rsid w:val="003B2CAB"/>
    <w:rsid w:val="003D32ED"/>
    <w:rsid w:val="003D3407"/>
    <w:rsid w:val="003D4F0C"/>
    <w:rsid w:val="003D53CD"/>
    <w:rsid w:val="003E7378"/>
    <w:rsid w:val="00400E46"/>
    <w:rsid w:val="00404945"/>
    <w:rsid w:val="00415D18"/>
    <w:rsid w:val="00423B68"/>
    <w:rsid w:val="00423DE3"/>
    <w:rsid w:val="00425917"/>
    <w:rsid w:val="00426724"/>
    <w:rsid w:val="00433C3E"/>
    <w:rsid w:val="00436929"/>
    <w:rsid w:val="0044621C"/>
    <w:rsid w:val="0044664B"/>
    <w:rsid w:val="00461B3C"/>
    <w:rsid w:val="00461CD3"/>
    <w:rsid w:val="00464562"/>
    <w:rsid w:val="004650FD"/>
    <w:rsid w:val="0047296A"/>
    <w:rsid w:val="00485BD5"/>
    <w:rsid w:val="004860D2"/>
    <w:rsid w:val="0048744D"/>
    <w:rsid w:val="0049385C"/>
    <w:rsid w:val="00494FE9"/>
    <w:rsid w:val="004B52B1"/>
    <w:rsid w:val="004B6FCB"/>
    <w:rsid w:val="004D528C"/>
    <w:rsid w:val="004D6619"/>
    <w:rsid w:val="004F750E"/>
    <w:rsid w:val="00507E74"/>
    <w:rsid w:val="00522208"/>
    <w:rsid w:val="0052505D"/>
    <w:rsid w:val="0053261D"/>
    <w:rsid w:val="0053283C"/>
    <w:rsid w:val="005404B3"/>
    <w:rsid w:val="005539E1"/>
    <w:rsid w:val="00560144"/>
    <w:rsid w:val="0056188F"/>
    <w:rsid w:val="00571BB8"/>
    <w:rsid w:val="005877F3"/>
    <w:rsid w:val="0059633D"/>
    <w:rsid w:val="005A102F"/>
    <w:rsid w:val="005A5D92"/>
    <w:rsid w:val="005A74C2"/>
    <w:rsid w:val="005F1F04"/>
    <w:rsid w:val="005F7989"/>
    <w:rsid w:val="006004DF"/>
    <w:rsid w:val="006071E5"/>
    <w:rsid w:val="00614269"/>
    <w:rsid w:val="006156D3"/>
    <w:rsid w:val="00620653"/>
    <w:rsid w:val="00621B61"/>
    <w:rsid w:val="00631267"/>
    <w:rsid w:val="00634CAB"/>
    <w:rsid w:val="0065122E"/>
    <w:rsid w:val="0065486A"/>
    <w:rsid w:val="0067487A"/>
    <w:rsid w:val="00677BCC"/>
    <w:rsid w:val="00680DCF"/>
    <w:rsid w:val="0068146C"/>
    <w:rsid w:val="00681EB1"/>
    <w:rsid w:val="00682636"/>
    <w:rsid w:val="006A1840"/>
    <w:rsid w:val="006B2FBE"/>
    <w:rsid w:val="006D2079"/>
    <w:rsid w:val="006E243A"/>
    <w:rsid w:val="006F3BB4"/>
    <w:rsid w:val="006F45B5"/>
    <w:rsid w:val="007118A0"/>
    <w:rsid w:val="00712E1F"/>
    <w:rsid w:val="007179E7"/>
    <w:rsid w:val="007258DF"/>
    <w:rsid w:val="0073004D"/>
    <w:rsid w:val="0075146F"/>
    <w:rsid w:val="00762ECC"/>
    <w:rsid w:val="007636F6"/>
    <w:rsid w:val="0076519E"/>
    <w:rsid w:val="00766904"/>
    <w:rsid w:val="00771C1E"/>
    <w:rsid w:val="007744C3"/>
    <w:rsid w:val="0078210C"/>
    <w:rsid w:val="00782B86"/>
    <w:rsid w:val="00782C0D"/>
    <w:rsid w:val="00783E9C"/>
    <w:rsid w:val="00785E8A"/>
    <w:rsid w:val="00787C27"/>
    <w:rsid w:val="007955C7"/>
    <w:rsid w:val="007A6C57"/>
    <w:rsid w:val="007B5561"/>
    <w:rsid w:val="007C1F9D"/>
    <w:rsid w:val="007C2DE5"/>
    <w:rsid w:val="007C7B64"/>
    <w:rsid w:val="007D0796"/>
    <w:rsid w:val="007F03A3"/>
    <w:rsid w:val="007F503B"/>
    <w:rsid w:val="00806708"/>
    <w:rsid w:val="00811494"/>
    <w:rsid w:val="008222F7"/>
    <w:rsid w:val="00866736"/>
    <w:rsid w:val="008762B9"/>
    <w:rsid w:val="00877A26"/>
    <w:rsid w:val="008940DD"/>
    <w:rsid w:val="008A6929"/>
    <w:rsid w:val="008A7709"/>
    <w:rsid w:val="008C42C5"/>
    <w:rsid w:val="008C7676"/>
    <w:rsid w:val="008D2DC5"/>
    <w:rsid w:val="008F1165"/>
    <w:rsid w:val="008F6E9E"/>
    <w:rsid w:val="00901E7A"/>
    <w:rsid w:val="00911431"/>
    <w:rsid w:val="0091276F"/>
    <w:rsid w:val="00914B4A"/>
    <w:rsid w:val="00926D26"/>
    <w:rsid w:val="0093080C"/>
    <w:rsid w:val="009311B9"/>
    <w:rsid w:val="00954A29"/>
    <w:rsid w:val="00956EA9"/>
    <w:rsid w:val="0095724B"/>
    <w:rsid w:val="00962FE2"/>
    <w:rsid w:val="009663AC"/>
    <w:rsid w:val="00970E7B"/>
    <w:rsid w:val="009726C2"/>
    <w:rsid w:val="0097618C"/>
    <w:rsid w:val="0097643D"/>
    <w:rsid w:val="009860C4"/>
    <w:rsid w:val="009876DF"/>
    <w:rsid w:val="00990B80"/>
    <w:rsid w:val="009923D6"/>
    <w:rsid w:val="00996E58"/>
    <w:rsid w:val="009B2DE4"/>
    <w:rsid w:val="009B67B9"/>
    <w:rsid w:val="009C52C1"/>
    <w:rsid w:val="009C60E0"/>
    <w:rsid w:val="009E735E"/>
    <w:rsid w:val="00A03E43"/>
    <w:rsid w:val="00A03EC2"/>
    <w:rsid w:val="00A07C69"/>
    <w:rsid w:val="00A11F12"/>
    <w:rsid w:val="00A23D54"/>
    <w:rsid w:val="00A303A7"/>
    <w:rsid w:val="00A53BDE"/>
    <w:rsid w:val="00A56220"/>
    <w:rsid w:val="00A6576F"/>
    <w:rsid w:val="00A71906"/>
    <w:rsid w:val="00A71F32"/>
    <w:rsid w:val="00A752F0"/>
    <w:rsid w:val="00A80379"/>
    <w:rsid w:val="00A82633"/>
    <w:rsid w:val="00A97EFF"/>
    <w:rsid w:val="00AA3BE6"/>
    <w:rsid w:val="00AB0EF2"/>
    <w:rsid w:val="00AB3E29"/>
    <w:rsid w:val="00AB4661"/>
    <w:rsid w:val="00AB5A1F"/>
    <w:rsid w:val="00AC4EDE"/>
    <w:rsid w:val="00AD0AF6"/>
    <w:rsid w:val="00AF37FD"/>
    <w:rsid w:val="00AF5702"/>
    <w:rsid w:val="00AF7688"/>
    <w:rsid w:val="00B01A96"/>
    <w:rsid w:val="00B03FFA"/>
    <w:rsid w:val="00B21035"/>
    <w:rsid w:val="00B3085A"/>
    <w:rsid w:val="00B33F9F"/>
    <w:rsid w:val="00B3570B"/>
    <w:rsid w:val="00B37402"/>
    <w:rsid w:val="00B37801"/>
    <w:rsid w:val="00B40E49"/>
    <w:rsid w:val="00B452FC"/>
    <w:rsid w:val="00B51D95"/>
    <w:rsid w:val="00B66F92"/>
    <w:rsid w:val="00B70171"/>
    <w:rsid w:val="00B873EA"/>
    <w:rsid w:val="00B960E7"/>
    <w:rsid w:val="00BA0061"/>
    <w:rsid w:val="00BA0E3E"/>
    <w:rsid w:val="00BA2422"/>
    <w:rsid w:val="00BA6AED"/>
    <w:rsid w:val="00BA7A72"/>
    <w:rsid w:val="00BB4D4C"/>
    <w:rsid w:val="00BC28F8"/>
    <w:rsid w:val="00BD6CD3"/>
    <w:rsid w:val="00BE2631"/>
    <w:rsid w:val="00BE46B7"/>
    <w:rsid w:val="00BE5A58"/>
    <w:rsid w:val="00BF26D4"/>
    <w:rsid w:val="00BF56F0"/>
    <w:rsid w:val="00C02166"/>
    <w:rsid w:val="00C118E3"/>
    <w:rsid w:val="00C14E28"/>
    <w:rsid w:val="00C21218"/>
    <w:rsid w:val="00C43AFF"/>
    <w:rsid w:val="00C448DE"/>
    <w:rsid w:val="00C6401F"/>
    <w:rsid w:val="00C65B83"/>
    <w:rsid w:val="00C73B80"/>
    <w:rsid w:val="00C75555"/>
    <w:rsid w:val="00C76B41"/>
    <w:rsid w:val="00C80ABA"/>
    <w:rsid w:val="00C8622E"/>
    <w:rsid w:val="00C8659C"/>
    <w:rsid w:val="00C9207B"/>
    <w:rsid w:val="00C93CB8"/>
    <w:rsid w:val="00CA0417"/>
    <w:rsid w:val="00CA0ED2"/>
    <w:rsid w:val="00CD50A7"/>
    <w:rsid w:val="00CD700C"/>
    <w:rsid w:val="00CE5A04"/>
    <w:rsid w:val="00CF13EF"/>
    <w:rsid w:val="00D11CDA"/>
    <w:rsid w:val="00D12A5A"/>
    <w:rsid w:val="00D16E7C"/>
    <w:rsid w:val="00D25518"/>
    <w:rsid w:val="00D26A03"/>
    <w:rsid w:val="00D2708C"/>
    <w:rsid w:val="00D43384"/>
    <w:rsid w:val="00D4346C"/>
    <w:rsid w:val="00D54C94"/>
    <w:rsid w:val="00D55ECE"/>
    <w:rsid w:val="00D70F60"/>
    <w:rsid w:val="00D73824"/>
    <w:rsid w:val="00D7462D"/>
    <w:rsid w:val="00D85C9F"/>
    <w:rsid w:val="00D91ECE"/>
    <w:rsid w:val="00D9540B"/>
    <w:rsid w:val="00D97C18"/>
    <w:rsid w:val="00DB4F52"/>
    <w:rsid w:val="00DC7AB7"/>
    <w:rsid w:val="00DD2B14"/>
    <w:rsid w:val="00DD400A"/>
    <w:rsid w:val="00E00354"/>
    <w:rsid w:val="00E0669C"/>
    <w:rsid w:val="00E1243B"/>
    <w:rsid w:val="00E15FF6"/>
    <w:rsid w:val="00E17F1E"/>
    <w:rsid w:val="00E23174"/>
    <w:rsid w:val="00E30ECB"/>
    <w:rsid w:val="00E31EBF"/>
    <w:rsid w:val="00E377F9"/>
    <w:rsid w:val="00E426AC"/>
    <w:rsid w:val="00E507DE"/>
    <w:rsid w:val="00E5357A"/>
    <w:rsid w:val="00E60808"/>
    <w:rsid w:val="00E63730"/>
    <w:rsid w:val="00E80E4B"/>
    <w:rsid w:val="00E823BB"/>
    <w:rsid w:val="00E84B51"/>
    <w:rsid w:val="00EA4032"/>
    <w:rsid w:val="00EB0364"/>
    <w:rsid w:val="00EB0F95"/>
    <w:rsid w:val="00EC7237"/>
    <w:rsid w:val="00ED2985"/>
    <w:rsid w:val="00ED29B5"/>
    <w:rsid w:val="00EE0BC5"/>
    <w:rsid w:val="00EE4AEC"/>
    <w:rsid w:val="00EF5A4A"/>
    <w:rsid w:val="00F01050"/>
    <w:rsid w:val="00F15EDA"/>
    <w:rsid w:val="00F234FC"/>
    <w:rsid w:val="00F45A3F"/>
    <w:rsid w:val="00F52FA3"/>
    <w:rsid w:val="00F55CE7"/>
    <w:rsid w:val="00F57E22"/>
    <w:rsid w:val="00F6363D"/>
    <w:rsid w:val="00F63A9D"/>
    <w:rsid w:val="00F7109F"/>
    <w:rsid w:val="00F80552"/>
    <w:rsid w:val="00F91D27"/>
    <w:rsid w:val="00F975BE"/>
    <w:rsid w:val="00FA129E"/>
    <w:rsid w:val="00FA4974"/>
    <w:rsid w:val="00FA5E3B"/>
    <w:rsid w:val="00FB7E2E"/>
    <w:rsid w:val="00FC17E9"/>
    <w:rsid w:val="00FC1D73"/>
    <w:rsid w:val="00FC3338"/>
    <w:rsid w:val="00FD2083"/>
    <w:rsid w:val="00FE133A"/>
    <w:rsid w:val="5686E31B"/>
    <w:rsid w:val="696DE1AB"/>
    <w:rsid w:val="6A6458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836991"/>
  <w15:docId w15:val="{9506958D-70C1-46AF-9022-5EA7D08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7A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A26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77A26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77A26"/>
    <w:pPr>
      <w:numPr>
        <w:numId w:val="1"/>
      </w:numPr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4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4F52"/>
  </w:style>
  <w:style w:type="character" w:customStyle="1" w:styleId="Heading1Char">
    <w:name w:val="Heading 1 Char"/>
    <w:basedOn w:val="DefaultParagraphFont"/>
    <w:link w:val="Heading1"/>
    <w:rsid w:val="00877A26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7A26"/>
    <w:rPr>
      <w:rFonts w:eastAsiaTheme="majorEastAsia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77A26"/>
    <w:rPr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F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22F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C33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3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33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3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3338"/>
    <w:rPr>
      <w:b/>
      <w:bCs/>
    </w:rPr>
  </w:style>
  <w:style w:type="paragraph" w:styleId="Revision">
    <w:name w:val="Revision"/>
    <w:hidden/>
    <w:uiPriority w:val="99"/>
    <w:semiHidden/>
    <w:rsid w:val="00B40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a7d0f-5415-41e0-b546-94eb434f95de">
      <Terms xmlns="http://schemas.microsoft.com/office/infopath/2007/PartnerControls"/>
    </lcf76f155ced4ddcb4097134ff3c332f>
    <Status xmlns="2c8a7d0f-5415-41e0-b546-94eb434f95de" xsi:nil="true"/>
    <TaxCatchAll xmlns="9736e30f-79ed-47d3-a340-de1c64cb8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74730AEFF94BB2177E6D1D27E709" ma:contentTypeVersion="16" ma:contentTypeDescription="Create a new document." ma:contentTypeScope="" ma:versionID="7640d37d67605e33e90a84d9e36d212b">
  <xsd:schema xmlns:xsd="http://www.w3.org/2001/XMLSchema" xmlns:xs="http://www.w3.org/2001/XMLSchema" xmlns:p="http://schemas.microsoft.com/office/2006/metadata/properties" xmlns:ns2="2c8a7d0f-5415-41e0-b546-94eb434f95de" xmlns:ns3="9736e30f-79ed-47d3-a340-de1c64cb87ef" targetNamespace="http://schemas.microsoft.com/office/2006/metadata/properties" ma:root="true" ma:fieldsID="f9e95ac25c405fde2177bbdb325deb03" ns2:_="" ns3:_="">
    <xsd:import namespace="2c8a7d0f-5415-41e0-b546-94eb434f95de"/>
    <xsd:import namespace="9736e30f-79ed-47d3-a340-de1c64cb8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7d0f-5415-41e0-b546-94eb434f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30f-79ed-47d3-a340-de1c64cb8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50f4f7-81e5-4207-b147-47eee8b86108}" ma:internalName="TaxCatchAll" ma:showField="CatchAllData" ma:web="9736e30f-79ed-47d3-a340-de1c64cb8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40D8-BB16-4189-875D-E28FE5690ED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2c8a7d0f-5415-41e0-b546-94eb434f95d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736e30f-79ed-47d3-a340-de1c64cb87ef"/>
  </ds:schemaRefs>
</ds:datastoreItem>
</file>

<file path=customXml/itemProps2.xml><?xml version="1.0" encoding="utf-8"?>
<ds:datastoreItem xmlns:ds="http://schemas.openxmlformats.org/officeDocument/2006/customXml" ds:itemID="{72EF26D8-13DA-45E0-A06B-7CEA4AA98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87B41-2D5D-406E-A155-B2B171EA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a7d0f-5415-41e0-b546-94eb434f95de"/>
    <ds:schemaRef ds:uri="9736e30f-79ed-47d3-a340-de1c64cb8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41EAD-D1EF-486F-917C-899F3642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ATF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creator>ATF</dc:creator>
  <cp:lastModifiedBy>Keravuori, Kimberly (ATF)</cp:lastModifiedBy>
  <cp:revision>51</cp:revision>
  <cp:lastPrinted>2012-11-05T17:59:00Z</cp:lastPrinted>
  <dcterms:created xsi:type="dcterms:W3CDTF">2022-03-23T11:59:00Z</dcterms:created>
  <dcterms:modified xsi:type="dcterms:W3CDTF">2024-12-13T03:13:48Z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0x0101002C9874730AEFF94BB2177E6D1D27E709</vt:lpwstr>
  </property>
  <property fmtid="{D5CDD505-2E9C-101B-9397-08002B2CF9AE}" pid="3" name="MediaServiceImageTags">
    <vt:lpwstr/>
  </property>
</Properties>
</file>