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B4373" w:rsidRPr="00E90ED5" w:rsidP="00AB4373" w14:paraId="18A2B790" w14:textId="5C77C488">
      <w:pPr>
        <w:ind w:left="450" w:hanging="450"/>
        <w:jc w:val="center"/>
        <w:rPr>
          <w:rFonts w:cs="Times New Roman"/>
          <w:b/>
          <w:bCs/>
          <w:sz w:val="28"/>
          <w:szCs w:val="24"/>
        </w:rPr>
      </w:pPr>
      <w:r>
        <w:rPr>
          <w:rFonts w:cs="Times New Roman"/>
          <w:b/>
          <w:bCs/>
          <w:sz w:val="28"/>
          <w:szCs w:val="24"/>
        </w:rPr>
        <w:t>Revisions to</w:t>
      </w:r>
      <w:r w:rsidRPr="00E90ED5">
        <w:rPr>
          <w:rFonts w:cs="Times New Roman"/>
          <w:b/>
          <w:bCs/>
          <w:sz w:val="28"/>
          <w:szCs w:val="24"/>
        </w:rPr>
        <w:t xml:space="preserve"> Clearance for a New Information Collection: Generic Clearance</w:t>
      </w:r>
    </w:p>
    <w:p w:rsidR="00AB4373" w:rsidRPr="00E90ED5" w:rsidP="00AB4373" w14:paraId="46659555" w14:textId="69191F17">
      <w:pPr>
        <w:ind w:left="450" w:hanging="450"/>
        <w:jc w:val="center"/>
        <w:rPr>
          <w:rFonts w:cs="Times New Roman"/>
          <w:b/>
          <w:bCs/>
          <w:sz w:val="28"/>
          <w:szCs w:val="24"/>
        </w:rPr>
      </w:pPr>
      <w:r w:rsidRPr="00E90ED5">
        <w:rPr>
          <w:rFonts w:cs="Times New Roman"/>
          <w:b/>
          <w:bCs/>
          <w:sz w:val="28"/>
          <w:szCs w:val="24"/>
        </w:rPr>
        <w:t>Community Relations Service</w:t>
      </w:r>
    </w:p>
    <w:p w:rsidR="00AB4373" w:rsidRPr="00E90ED5" w:rsidP="00AB4373" w14:paraId="03CAAD9F" w14:textId="3BF5B97A">
      <w:pPr>
        <w:ind w:left="450" w:hanging="450"/>
        <w:jc w:val="center"/>
        <w:rPr>
          <w:rFonts w:cs="Times New Roman"/>
          <w:b/>
          <w:bCs/>
          <w:sz w:val="28"/>
          <w:szCs w:val="24"/>
        </w:rPr>
      </w:pPr>
      <w:r w:rsidRPr="00E90ED5">
        <w:rPr>
          <w:rFonts w:cs="Times New Roman"/>
          <w:b/>
          <w:bCs/>
          <w:sz w:val="28"/>
          <w:szCs w:val="24"/>
        </w:rPr>
        <w:t>Supporting Statement Part A</w:t>
      </w:r>
    </w:p>
    <w:p w:rsidR="00AB4373" w:rsidRPr="00E90ED5" w:rsidP="00AB4373" w14:paraId="5CD9622C" w14:textId="77777777">
      <w:pPr>
        <w:ind w:left="450" w:hanging="450"/>
        <w:jc w:val="center"/>
        <w:rPr>
          <w:rFonts w:cs="Times New Roman"/>
          <w:b/>
          <w:bCs/>
          <w:sz w:val="28"/>
          <w:szCs w:val="24"/>
        </w:rPr>
      </w:pPr>
    </w:p>
    <w:p w:rsidR="00AB4373" w:rsidRPr="00E90ED5" w:rsidP="0092095F" w14:paraId="24263702" w14:textId="77777777">
      <w:pPr>
        <w:ind w:left="450" w:hanging="450"/>
        <w:rPr>
          <w:rFonts w:cs="Times New Roman"/>
        </w:rPr>
      </w:pPr>
    </w:p>
    <w:p w:rsidR="00DD197A" w:rsidRPr="00E90ED5" w:rsidP="0092095F" w14:paraId="0040CEDE" w14:textId="14F3A4C9">
      <w:pPr>
        <w:pStyle w:val="ListParagraph"/>
        <w:numPr>
          <w:ilvl w:val="0"/>
          <w:numId w:val="3"/>
        </w:numPr>
        <w:ind w:left="450" w:hanging="450"/>
        <w:rPr>
          <w:rFonts w:cs="Times New Roman"/>
          <w:b/>
          <w:bCs/>
        </w:rPr>
      </w:pPr>
      <w:r w:rsidRPr="00E90ED5">
        <w:rPr>
          <w:rFonts w:cs="Times New Roman"/>
          <w:b/>
          <w:bCs/>
        </w:rPr>
        <w:t>JUSTIFICATION</w:t>
      </w:r>
    </w:p>
    <w:p w:rsidR="00DD197A" w:rsidRPr="00E90ED5" w:rsidP="00DD197A" w14:paraId="23D74F27" w14:textId="77777777">
      <w:pPr>
        <w:rPr>
          <w:rFonts w:cs="Times New Roman"/>
        </w:rPr>
      </w:pPr>
    </w:p>
    <w:p w:rsidR="00DC2C03" w:rsidRPr="00844F89" w:rsidP="00DC2C03" w14:paraId="519AD6A1" w14:textId="718A7384">
      <w:pPr>
        <w:pStyle w:val="ListParagraph"/>
        <w:numPr>
          <w:ilvl w:val="0"/>
          <w:numId w:val="2"/>
        </w:numPr>
        <w:rPr>
          <w:rFonts w:cs="Times New Roman"/>
          <w:b/>
          <w:bCs/>
        </w:rPr>
      </w:pPr>
      <w:r w:rsidRPr="00844F89">
        <w:rPr>
          <w:rFonts w:cs="Times New Roman"/>
          <w:b/>
          <w:b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D273A" w:rsidRPr="00E90ED5" w:rsidP="007D273A" w14:paraId="677E911A" w14:textId="77777777">
      <w:pPr>
        <w:pStyle w:val="ListParagraph"/>
        <w:rPr>
          <w:rFonts w:cs="Times New Roman"/>
        </w:rPr>
      </w:pPr>
    </w:p>
    <w:p w:rsidR="001B553C" w:rsidRPr="00E90ED5" w:rsidP="00AB4373" w14:paraId="3ACFA24B" w14:textId="6D805AF5">
      <w:pPr>
        <w:ind w:left="360"/>
        <w:rPr>
          <w:rFonts w:cs="Times New Roman"/>
        </w:rPr>
      </w:pPr>
      <w:r w:rsidRPr="00E90ED5">
        <w:rPr>
          <w:rFonts w:cs="Times New Roman"/>
          <w:szCs w:val="24"/>
        </w:rPr>
        <w:t xml:space="preserve">The Community Relations Service (CRS) is requesting a 3-year generic clearance to </w:t>
      </w:r>
      <w:r w:rsidRPr="00E90ED5" w:rsidR="00F31DDF">
        <w:rPr>
          <w:rFonts w:cs="Times New Roman"/>
          <w:szCs w:val="24"/>
        </w:rPr>
        <w:t>collect information necessary to measure the impacts of its services</w:t>
      </w:r>
      <w:r w:rsidRPr="00E90ED5" w:rsidR="00AF18C1">
        <w:rPr>
          <w:rFonts w:cs="Times New Roman"/>
          <w:szCs w:val="24"/>
        </w:rPr>
        <w:t xml:space="preserve"> and programs; and to</w:t>
      </w:r>
      <w:r w:rsidRPr="00E90ED5">
        <w:rPr>
          <w:rFonts w:cs="Times New Roman"/>
          <w:szCs w:val="24"/>
        </w:rPr>
        <w:t xml:space="preserve"> improve its new </w:t>
      </w:r>
      <w:r w:rsidRPr="00E90ED5" w:rsidR="00AF18C1">
        <w:rPr>
          <w:rFonts w:cs="Times New Roman"/>
          <w:szCs w:val="24"/>
        </w:rPr>
        <w:t>and existing</w:t>
      </w:r>
      <w:r w:rsidRPr="00E90ED5">
        <w:rPr>
          <w:rFonts w:cs="Times New Roman"/>
          <w:szCs w:val="24"/>
        </w:rPr>
        <w:t xml:space="preserve"> programs</w:t>
      </w:r>
      <w:r w:rsidRPr="00E90ED5" w:rsidR="00AF18C1">
        <w:rPr>
          <w:rFonts w:cs="Times New Roman"/>
          <w:szCs w:val="24"/>
        </w:rPr>
        <w:t xml:space="preserve"> based on participant feedback</w:t>
      </w:r>
      <w:r w:rsidR="00E7491A">
        <w:rPr>
          <w:rFonts w:cs="Times New Roman"/>
          <w:szCs w:val="24"/>
        </w:rPr>
        <w:t xml:space="preserve"> and service delivery observations and reflections</w:t>
      </w:r>
      <w:r w:rsidRPr="00E90ED5">
        <w:rPr>
          <w:rFonts w:cs="Times New Roman"/>
          <w:szCs w:val="24"/>
        </w:rPr>
        <w:t>. CRS requests this clearance to conduct</w:t>
      </w:r>
      <w:r w:rsidRPr="00E90ED5" w:rsidR="00042D05">
        <w:rPr>
          <w:rFonts w:cs="Times New Roman"/>
          <w:szCs w:val="24"/>
        </w:rPr>
        <w:t xml:space="preserve"> program evaluation surveys</w:t>
      </w:r>
      <w:r w:rsidR="0066712D">
        <w:rPr>
          <w:rFonts w:cs="Times New Roman"/>
          <w:szCs w:val="24"/>
        </w:rPr>
        <w:t xml:space="preserve"> and interviews</w:t>
      </w:r>
      <w:r w:rsidRPr="00E90ED5" w:rsidR="00042D05">
        <w:rPr>
          <w:rFonts w:cs="Times New Roman"/>
          <w:szCs w:val="24"/>
        </w:rPr>
        <w:t xml:space="preserve"> and gather feedback from program participants</w:t>
      </w:r>
      <w:r w:rsidR="00E7491A">
        <w:rPr>
          <w:rFonts w:cs="Times New Roman"/>
          <w:szCs w:val="24"/>
        </w:rPr>
        <w:t xml:space="preserve"> an</w:t>
      </w:r>
      <w:r w:rsidR="0066712D">
        <w:rPr>
          <w:rFonts w:cs="Times New Roman"/>
          <w:szCs w:val="24"/>
        </w:rPr>
        <w:t>d</w:t>
      </w:r>
      <w:r w:rsidR="00E7491A">
        <w:rPr>
          <w:rFonts w:cs="Times New Roman"/>
          <w:szCs w:val="24"/>
        </w:rPr>
        <w:t xml:space="preserve"> non-CRS facilitators (e.g., subject matter experts)</w:t>
      </w:r>
      <w:r w:rsidRPr="00E90ED5" w:rsidR="00042D05">
        <w:rPr>
          <w:rFonts w:cs="Times New Roman"/>
          <w:szCs w:val="24"/>
        </w:rPr>
        <w:t>.</w:t>
      </w:r>
      <w:r w:rsidRPr="00E90ED5" w:rsidR="00D8747E">
        <w:rPr>
          <w:rFonts w:cs="Times New Roman"/>
          <w:szCs w:val="24"/>
        </w:rPr>
        <w:t xml:space="preserve"> </w:t>
      </w:r>
      <w:r w:rsidRPr="00E90ED5" w:rsidR="004F1284">
        <w:rPr>
          <w:rFonts w:cs="Times New Roman"/>
          <w:szCs w:val="24"/>
        </w:rPr>
        <w:t>CRS has a business need for the collection of this information to understand the impacts of its programs to ensure they are aligned with the needs of its stakeholders</w:t>
      </w:r>
      <w:r w:rsidR="00E7491A">
        <w:rPr>
          <w:rFonts w:cs="Times New Roman"/>
          <w:szCs w:val="24"/>
        </w:rPr>
        <w:t xml:space="preserve"> and to gain </w:t>
      </w:r>
      <w:r w:rsidRPr="00E7491A" w:rsidR="00E7491A">
        <w:rPr>
          <w:rFonts w:cs="Times New Roman"/>
          <w:szCs w:val="24"/>
        </w:rPr>
        <w:t>insights into strengths and areas for improvement</w:t>
      </w:r>
      <w:r w:rsidRPr="00E90ED5" w:rsidR="004F1284">
        <w:rPr>
          <w:rFonts w:cs="Times New Roman"/>
          <w:szCs w:val="24"/>
        </w:rPr>
        <w:t xml:space="preserve"> </w:t>
      </w:r>
      <w:r w:rsidRPr="00E90ED5" w:rsidR="00AF18C1">
        <w:rPr>
          <w:rFonts w:cs="Times New Roman"/>
          <w:szCs w:val="24"/>
        </w:rPr>
        <w:t xml:space="preserve">CRS does not have any </w:t>
      </w:r>
      <w:r w:rsidRPr="00E90ED5" w:rsidR="00AF18C1">
        <w:rPr>
          <w:rFonts w:cs="Times New Roman"/>
        </w:rPr>
        <w:t>legal or administrative requirements that require this collection.</w:t>
      </w:r>
    </w:p>
    <w:p w:rsidR="00B47739" w:rsidRPr="00E90ED5" w:rsidP="00B47739" w14:paraId="449B6794" w14:textId="7D917FEA">
      <w:pPr>
        <w:pStyle w:val="ListParagraph"/>
        <w:rPr>
          <w:rFonts w:cs="Times New Roman"/>
        </w:rPr>
      </w:pPr>
    </w:p>
    <w:p w:rsidR="007D273A" w:rsidRPr="00E90ED5" w:rsidP="00B47739" w14:paraId="51E51C4F" w14:textId="77777777">
      <w:pPr>
        <w:pStyle w:val="ListParagraph"/>
        <w:rPr>
          <w:rFonts w:cs="Times New Roman"/>
        </w:rPr>
      </w:pPr>
    </w:p>
    <w:p w:rsidR="00AF18C1" w:rsidRPr="00844F89" w:rsidP="007D273A" w14:paraId="6BC8F56C" w14:textId="37BF2496">
      <w:pPr>
        <w:pStyle w:val="ListParagraph"/>
        <w:numPr>
          <w:ilvl w:val="0"/>
          <w:numId w:val="2"/>
        </w:numPr>
        <w:rPr>
          <w:rFonts w:cs="Times New Roman"/>
          <w:b/>
          <w:bCs/>
        </w:rPr>
      </w:pPr>
      <w:r w:rsidRPr="00844F89">
        <w:rPr>
          <w:rFonts w:cs="Times New Roman"/>
          <w:b/>
          <w:bCs/>
        </w:rPr>
        <w:t>Indicate how, by whom, and for what purpose the information is to be used. Except for a new collection, indicate the actual use the agency has made of the information received from the current collection.</w:t>
      </w:r>
    </w:p>
    <w:p w:rsidR="007D273A" w:rsidRPr="00E90ED5" w:rsidP="007D273A" w14:paraId="3AEB578C" w14:textId="77777777">
      <w:pPr>
        <w:pStyle w:val="ListParagraph"/>
        <w:rPr>
          <w:rFonts w:cs="Times New Roman"/>
        </w:rPr>
      </w:pPr>
    </w:p>
    <w:p w:rsidR="00907DAE" w:rsidRPr="00E90ED5" w:rsidP="00AB4373" w14:paraId="0F6395B4" w14:textId="29BD3E5D">
      <w:pPr>
        <w:ind w:left="360"/>
        <w:rPr>
          <w:rFonts w:cs="Times New Roman"/>
        </w:rPr>
      </w:pPr>
      <w:r w:rsidRPr="00E90ED5">
        <w:rPr>
          <w:rFonts w:cs="Times New Roman"/>
        </w:rPr>
        <w:t>The information w</w:t>
      </w:r>
      <w:r w:rsidRPr="00E90ED5" w:rsidR="00545599">
        <w:rPr>
          <w:rFonts w:cs="Times New Roman"/>
        </w:rPr>
        <w:t>ill be used by CRS</w:t>
      </w:r>
      <w:r w:rsidRPr="00E90ED5" w:rsidR="009014E2">
        <w:rPr>
          <w:rFonts w:cs="Times New Roman"/>
        </w:rPr>
        <w:t>’s</w:t>
      </w:r>
      <w:r w:rsidRPr="00E90ED5" w:rsidR="00545599">
        <w:rPr>
          <w:rFonts w:cs="Times New Roman"/>
        </w:rPr>
        <w:t xml:space="preserve"> </w:t>
      </w:r>
      <w:r w:rsidRPr="00E90ED5">
        <w:rPr>
          <w:rFonts w:cs="Times New Roman"/>
        </w:rPr>
        <w:t>evaluation staff as an implementation</w:t>
      </w:r>
      <w:r w:rsidR="00794DCB">
        <w:rPr>
          <w:rFonts w:cs="Times New Roman"/>
        </w:rPr>
        <w:t xml:space="preserve"> and </w:t>
      </w:r>
      <w:r w:rsidRPr="00E90ED5">
        <w:rPr>
          <w:rFonts w:cs="Times New Roman"/>
        </w:rPr>
        <w:t xml:space="preserve">process assessment for assessing outcomes and effects of CRS’s programs and services and to inform programmatic and service delivery decisions. Additionally, these data </w:t>
      </w:r>
      <w:r w:rsidR="005E51EF">
        <w:rPr>
          <w:rFonts w:cs="Times New Roman"/>
        </w:rPr>
        <w:t>have</w:t>
      </w:r>
      <w:r w:rsidRPr="00E90ED5" w:rsidR="005E51EF">
        <w:rPr>
          <w:rFonts w:cs="Times New Roman"/>
        </w:rPr>
        <w:t xml:space="preserve"> </w:t>
      </w:r>
      <w:r w:rsidRPr="00E90ED5">
        <w:rPr>
          <w:rFonts w:cs="Times New Roman"/>
        </w:rPr>
        <w:t>be</w:t>
      </w:r>
      <w:r w:rsidR="005E51EF">
        <w:rPr>
          <w:rFonts w:cs="Times New Roman"/>
        </w:rPr>
        <w:t>en</w:t>
      </w:r>
      <w:r w:rsidRPr="00E90ED5">
        <w:rPr>
          <w:rFonts w:cs="Times New Roman"/>
        </w:rPr>
        <w:t xml:space="preserve"> used in CRS’s annual report to Congress</w:t>
      </w:r>
      <w:r w:rsidR="005E51EF">
        <w:rPr>
          <w:rFonts w:cs="Times New Roman"/>
        </w:rPr>
        <w:t>, to develop public-facing case studies, and revise internal and external resources (e.g., online toolkits)</w:t>
      </w:r>
      <w:r w:rsidRPr="00E90ED5">
        <w:rPr>
          <w:rFonts w:cs="Times New Roman"/>
        </w:rPr>
        <w:t xml:space="preserve">. </w:t>
      </w:r>
      <w:r w:rsidR="00C92DC9">
        <w:rPr>
          <w:rFonts w:cs="Times New Roman"/>
        </w:rPr>
        <w:t>Finally, CRS will continue to develop internal program reports and dashboards for staff professional development.</w:t>
      </w:r>
    </w:p>
    <w:p w:rsidR="00636ED7" w:rsidRPr="00E90ED5" w14:paraId="4DD4ED91" w14:textId="7A72D7C1">
      <w:pPr>
        <w:rPr>
          <w:rFonts w:cs="Times New Roman"/>
        </w:rPr>
      </w:pPr>
    </w:p>
    <w:p w:rsidR="007D273A" w:rsidRPr="00E90ED5" w:rsidP="00B47739" w14:paraId="72E27626" w14:textId="77777777">
      <w:pPr>
        <w:rPr>
          <w:rFonts w:cs="Times New Roman"/>
        </w:rPr>
      </w:pPr>
    </w:p>
    <w:p w:rsidR="00DC2C03" w:rsidRPr="00844F89" w:rsidP="00DC2C03" w14:paraId="04929965" w14:textId="177C25BA">
      <w:pPr>
        <w:pStyle w:val="ListParagraph"/>
        <w:numPr>
          <w:ilvl w:val="0"/>
          <w:numId w:val="2"/>
        </w:numPr>
        <w:rPr>
          <w:rFonts w:cs="Times New Roman"/>
          <w:b/>
          <w:bCs/>
        </w:rPr>
      </w:pPr>
      <w:r w:rsidRPr="00844F89">
        <w:rPr>
          <w:rFonts w:cs="Times New Roman"/>
          <w:b/>
          <w:bCs/>
        </w:rPr>
        <w:t>Describe whether, and to what extent, the collection of information involves the use of automated, electronic, mechanical, or other technological collection techniques or other forms of information technology.</w:t>
      </w:r>
    </w:p>
    <w:p w:rsidR="00AF18C1" w:rsidRPr="00E90ED5" w:rsidP="00163EDF" w14:paraId="10BFFCDB" w14:textId="77777777">
      <w:pPr>
        <w:pStyle w:val="ListParagraph"/>
        <w:rPr>
          <w:rFonts w:cs="Times New Roman"/>
        </w:rPr>
      </w:pPr>
    </w:p>
    <w:p w:rsidR="007D273A" w:rsidRPr="00E90ED5" w:rsidP="00125C82" w14:paraId="23C94A27" w14:textId="3CD05C6D">
      <w:pPr>
        <w:rPr>
          <w:rFonts w:cs="Times New Roman"/>
        </w:rPr>
      </w:pPr>
      <w:r w:rsidRPr="00E90ED5">
        <w:rPr>
          <w:rFonts w:cs="Times New Roman"/>
        </w:rPr>
        <w:t xml:space="preserve">CRS will use automated survey tools, such as </w:t>
      </w:r>
      <w:r w:rsidR="002C1643">
        <w:rPr>
          <w:rFonts w:cs="Times New Roman"/>
        </w:rPr>
        <w:t>QuestionPro</w:t>
      </w:r>
      <w:r w:rsidRPr="00E90ED5">
        <w:rPr>
          <w:rFonts w:cs="Times New Roman"/>
        </w:rPr>
        <w:t xml:space="preserve"> or other DOJ approved survey instrument</w:t>
      </w:r>
      <w:r w:rsidRPr="00E90ED5" w:rsidR="00FD08C9">
        <w:rPr>
          <w:rFonts w:cs="Times New Roman"/>
        </w:rPr>
        <w:t>s,</w:t>
      </w:r>
      <w:r w:rsidRPr="00E90ED5">
        <w:rPr>
          <w:rFonts w:cs="Times New Roman"/>
        </w:rPr>
        <w:t xml:space="preserve"> to collect the information. </w:t>
      </w:r>
      <w:r w:rsidR="00392CDB">
        <w:rPr>
          <w:rFonts w:cs="Times New Roman"/>
        </w:rPr>
        <w:t xml:space="preserve">The interviews will be recorded using digital or web-recoding services. In-person interviews will be recorded with a digital voice recorder and saved in a secured restricted folder only accessible by approved research personnel. Virtual interviews will be recorded on WebEx. These methods </w:t>
      </w:r>
      <w:r w:rsidRPr="00125C82" w:rsidR="00125C82">
        <w:rPr>
          <w:rFonts w:cs="Times New Roman"/>
        </w:rPr>
        <w:t>comply with government security standards like NIST and FEDRAMP</w:t>
      </w:r>
      <w:r w:rsidR="00125C82">
        <w:rPr>
          <w:rFonts w:cs="Times New Roman"/>
        </w:rPr>
        <w:t>.</w:t>
      </w:r>
    </w:p>
    <w:p w:rsidR="00DC2C03" w:rsidRPr="00844F89" w:rsidP="00DC2C03" w14:paraId="07136208" w14:textId="49654E0D">
      <w:pPr>
        <w:pStyle w:val="ListParagraph"/>
        <w:numPr>
          <w:ilvl w:val="0"/>
          <w:numId w:val="2"/>
        </w:numPr>
        <w:rPr>
          <w:rFonts w:cs="Times New Roman"/>
          <w:b/>
          <w:bCs/>
        </w:rPr>
      </w:pPr>
      <w:r w:rsidRPr="00844F89">
        <w:rPr>
          <w:rFonts w:cs="Times New Roman"/>
          <w:b/>
          <w:bCs/>
        </w:rPr>
        <w:t>Describe efforts to identify duplication. Show specifically why any similar information already available cannot be used or modified for use for the purposes described in Item 2 above.</w:t>
      </w:r>
    </w:p>
    <w:p w:rsidR="00AF18C1" w:rsidRPr="00E90ED5" w:rsidP="00163EDF" w14:paraId="4E702DBA" w14:textId="3705A937">
      <w:pPr>
        <w:rPr>
          <w:rFonts w:cs="Times New Roman"/>
        </w:rPr>
      </w:pPr>
    </w:p>
    <w:p w:rsidR="004F3724" w:rsidRPr="00E90ED5" w:rsidP="00AB4373" w14:paraId="58F1538F" w14:textId="42D58F2B">
      <w:pPr>
        <w:ind w:left="360"/>
        <w:rPr>
          <w:rFonts w:cs="Times New Roman"/>
        </w:rPr>
      </w:pPr>
      <w:r w:rsidRPr="00E90ED5">
        <w:rPr>
          <w:rFonts w:cs="Times New Roman"/>
        </w:rPr>
        <w:t>CRS</w:t>
      </w:r>
      <w:r w:rsidR="00CB53C5">
        <w:rPr>
          <w:rFonts w:cs="Times New Roman"/>
        </w:rPr>
        <w:t xml:space="preserve"> and the contractor are</w:t>
      </w:r>
      <w:r w:rsidR="001D6144">
        <w:rPr>
          <w:rFonts w:cs="Times New Roman"/>
        </w:rPr>
        <w:t xml:space="preserve"> revising the current collection </w:t>
      </w:r>
      <w:r w:rsidR="00024EEC">
        <w:rPr>
          <w:rFonts w:cs="Times New Roman"/>
        </w:rPr>
        <w:t xml:space="preserve">instruments </w:t>
      </w:r>
      <w:r w:rsidR="001D6144">
        <w:rPr>
          <w:rFonts w:cs="Times New Roman"/>
        </w:rPr>
        <w:t xml:space="preserve">based on learnings from </w:t>
      </w:r>
      <w:r w:rsidR="00024EEC">
        <w:rPr>
          <w:rFonts w:cs="Times New Roman"/>
        </w:rPr>
        <w:t>previous</w:t>
      </w:r>
      <w:r w:rsidR="001D6144">
        <w:rPr>
          <w:rFonts w:cs="Times New Roman"/>
        </w:rPr>
        <w:t xml:space="preserve"> collections</w:t>
      </w:r>
      <w:r w:rsidRPr="00E90ED5">
        <w:rPr>
          <w:rFonts w:cs="Times New Roman"/>
        </w:rPr>
        <w:t xml:space="preserve">. </w:t>
      </w:r>
      <w:r w:rsidR="00392CDB">
        <w:rPr>
          <w:rFonts w:cs="Times New Roman"/>
        </w:rPr>
        <w:t xml:space="preserve">The contractor engaged in </w:t>
      </w:r>
      <w:r w:rsidR="00CB53C5">
        <w:rPr>
          <w:rFonts w:cs="Times New Roman"/>
        </w:rPr>
        <w:t>an</w:t>
      </w:r>
      <w:r w:rsidR="00392CDB">
        <w:rPr>
          <w:rFonts w:cs="Times New Roman"/>
        </w:rPr>
        <w:t xml:space="preserve"> </w:t>
      </w:r>
      <w:r w:rsidR="00CB53C5">
        <w:rPr>
          <w:rFonts w:cs="Times New Roman"/>
        </w:rPr>
        <w:t xml:space="preserve">instrument and tools crosswalk </w:t>
      </w:r>
      <w:r w:rsidR="00392CDB">
        <w:rPr>
          <w:rFonts w:cs="Times New Roman"/>
        </w:rPr>
        <w:t xml:space="preserve">to </w:t>
      </w:r>
      <w:r w:rsidR="00836A89">
        <w:rPr>
          <w:rFonts w:cs="Times New Roman"/>
        </w:rPr>
        <w:t xml:space="preserve">remove any potential duplication and </w:t>
      </w:r>
      <w:r w:rsidR="00392CDB">
        <w:rPr>
          <w:rFonts w:cs="Times New Roman"/>
        </w:rPr>
        <w:t xml:space="preserve">ensure the instruments </w:t>
      </w:r>
      <w:r w:rsidR="006F232B">
        <w:rPr>
          <w:rFonts w:cs="Times New Roman"/>
        </w:rPr>
        <w:t xml:space="preserve">collect unique information that is not otherwise available. </w:t>
      </w:r>
      <w:r w:rsidRPr="00E90ED5" w:rsidR="00725B59">
        <w:rPr>
          <w:rFonts w:cs="Times New Roman"/>
          <w:szCs w:val="24"/>
        </w:rPr>
        <w:t xml:space="preserve">This </w:t>
      </w:r>
      <w:r w:rsidRPr="00E90ED5" w:rsidR="004F1284">
        <w:rPr>
          <w:rFonts w:cs="Times New Roman"/>
          <w:szCs w:val="24"/>
        </w:rPr>
        <w:t>information collection is not</w:t>
      </w:r>
      <w:r w:rsidRPr="00E90ED5" w:rsidR="00725B59">
        <w:rPr>
          <w:rFonts w:cs="Times New Roman"/>
          <w:szCs w:val="24"/>
        </w:rPr>
        <w:t xml:space="preserve"> duplicate</w:t>
      </w:r>
      <w:r w:rsidRPr="00E90ED5" w:rsidR="004F1284">
        <w:rPr>
          <w:rFonts w:cs="Times New Roman"/>
          <w:szCs w:val="24"/>
        </w:rPr>
        <w:t>d</w:t>
      </w:r>
      <w:r w:rsidRPr="00E90ED5" w:rsidR="00725B59">
        <w:rPr>
          <w:rFonts w:cs="Times New Roman"/>
          <w:szCs w:val="24"/>
        </w:rPr>
        <w:t xml:space="preserve"> </w:t>
      </w:r>
      <w:r w:rsidRPr="00E90ED5" w:rsidR="004F1284">
        <w:rPr>
          <w:rFonts w:cs="Times New Roman"/>
          <w:szCs w:val="24"/>
        </w:rPr>
        <w:t>b</w:t>
      </w:r>
      <w:r w:rsidRPr="00E90ED5" w:rsidR="00725B59">
        <w:rPr>
          <w:rFonts w:cs="Times New Roman"/>
          <w:szCs w:val="24"/>
        </w:rPr>
        <w:t>y</w:t>
      </w:r>
      <w:r w:rsidRPr="00E90ED5" w:rsidR="004F1284">
        <w:rPr>
          <w:rFonts w:cs="Times New Roman"/>
          <w:szCs w:val="24"/>
        </w:rPr>
        <w:t xml:space="preserve"> any</w:t>
      </w:r>
      <w:r w:rsidRPr="00E90ED5" w:rsidR="00725B59">
        <w:rPr>
          <w:rFonts w:cs="Times New Roman"/>
          <w:szCs w:val="24"/>
        </w:rPr>
        <w:t xml:space="preserve"> other survey </w:t>
      </w:r>
      <w:r w:rsidRPr="00E90ED5" w:rsidR="004F1284">
        <w:rPr>
          <w:rFonts w:cs="Times New Roman"/>
          <w:szCs w:val="24"/>
        </w:rPr>
        <w:t>and/</w:t>
      </w:r>
      <w:r w:rsidRPr="00E90ED5" w:rsidR="00725B59">
        <w:rPr>
          <w:rFonts w:cs="Times New Roman"/>
          <w:szCs w:val="24"/>
        </w:rPr>
        <w:t xml:space="preserve">or work being done by CRS. </w:t>
      </w:r>
    </w:p>
    <w:p w:rsidR="00B47739" w:rsidRPr="00E90ED5" w:rsidP="00B47739" w14:paraId="19478635" w14:textId="7C2E73C9">
      <w:pPr>
        <w:rPr>
          <w:rFonts w:cs="Times New Roman"/>
        </w:rPr>
      </w:pPr>
    </w:p>
    <w:p w:rsidR="007D273A" w:rsidRPr="00E90ED5" w:rsidP="00B47739" w14:paraId="1D1CDA03" w14:textId="77777777">
      <w:pPr>
        <w:rPr>
          <w:rFonts w:cs="Times New Roman"/>
        </w:rPr>
      </w:pPr>
    </w:p>
    <w:p w:rsidR="00DC2C03" w:rsidRPr="00844F89" w:rsidP="00DC2C03" w14:paraId="0DA47213" w14:textId="57602A14">
      <w:pPr>
        <w:pStyle w:val="ListParagraph"/>
        <w:numPr>
          <w:ilvl w:val="0"/>
          <w:numId w:val="2"/>
        </w:numPr>
        <w:rPr>
          <w:rFonts w:cs="Times New Roman"/>
          <w:b/>
          <w:bCs/>
        </w:rPr>
      </w:pPr>
      <w:r w:rsidRPr="00844F89">
        <w:rPr>
          <w:rFonts w:cs="Times New Roman"/>
          <w:b/>
          <w:bCs/>
        </w:rPr>
        <w:t>If the collection of information impacts small businesses or other small entities (Item 5 of OMB Form 83-I), describe any methods used to minimize burden.</w:t>
      </w:r>
    </w:p>
    <w:p w:rsidR="00AF18C1" w:rsidRPr="00E90ED5" w:rsidP="00163EDF" w14:paraId="1F3B2333" w14:textId="77777777">
      <w:pPr>
        <w:pStyle w:val="ListParagraph"/>
        <w:rPr>
          <w:rFonts w:cs="Times New Roman"/>
        </w:rPr>
      </w:pPr>
    </w:p>
    <w:p w:rsidR="00AF18C1" w:rsidRPr="00E90ED5" w:rsidP="00AB4373" w14:paraId="2AD32215" w14:textId="5C2935C1">
      <w:pPr>
        <w:ind w:left="360"/>
        <w:rPr>
          <w:rFonts w:cs="Times New Roman"/>
        </w:rPr>
      </w:pPr>
      <w:r w:rsidRPr="00E90ED5">
        <w:rPr>
          <w:rFonts w:cs="Times New Roman"/>
        </w:rPr>
        <w:t xml:space="preserve">CRS </w:t>
      </w:r>
      <w:r w:rsidRPr="00E90ED5">
        <w:rPr>
          <w:rFonts w:cs="Times New Roman"/>
        </w:rPr>
        <w:t>will</w:t>
      </w:r>
      <w:r w:rsidRPr="00E90ED5">
        <w:rPr>
          <w:rFonts w:cs="Times New Roman"/>
        </w:rPr>
        <w:t xml:space="preserve"> collect information from small-to medium-sized </w:t>
      </w:r>
      <w:r w:rsidRPr="00E90ED5">
        <w:rPr>
          <w:rFonts w:cs="Times New Roman"/>
        </w:rPr>
        <w:t>community institutions</w:t>
      </w:r>
      <w:r w:rsidRPr="00E90ED5">
        <w:rPr>
          <w:rFonts w:cs="Times New Roman"/>
        </w:rPr>
        <w:t xml:space="preserve">, including schools, police departments, and city governments. </w:t>
      </w:r>
      <w:r w:rsidRPr="00E90ED5">
        <w:rPr>
          <w:rFonts w:cs="Times New Roman"/>
        </w:rPr>
        <w:t xml:space="preserve">CRS will use automated survey tools, such as </w:t>
      </w:r>
      <w:r w:rsidR="002C1643">
        <w:rPr>
          <w:rFonts w:cs="Times New Roman"/>
        </w:rPr>
        <w:t>Quest</w:t>
      </w:r>
      <w:r w:rsidR="00125C82">
        <w:rPr>
          <w:rFonts w:cs="Times New Roman"/>
        </w:rPr>
        <w:t>i</w:t>
      </w:r>
      <w:r w:rsidR="002C1643">
        <w:rPr>
          <w:rFonts w:cs="Times New Roman"/>
        </w:rPr>
        <w:t>onPro</w:t>
      </w:r>
      <w:r w:rsidRPr="00E90ED5">
        <w:rPr>
          <w:rFonts w:cs="Times New Roman"/>
        </w:rPr>
        <w:t xml:space="preserve"> or other DOJ approved survey instrument</w:t>
      </w:r>
      <w:r w:rsidRPr="00E90ED5" w:rsidR="00A6690A">
        <w:rPr>
          <w:rFonts w:cs="Times New Roman"/>
        </w:rPr>
        <w:t>s,</w:t>
      </w:r>
      <w:r w:rsidRPr="00E90ED5">
        <w:rPr>
          <w:rFonts w:cs="Times New Roman"/>
        </w:rPr>
        <w:t xml:space="preserve"> </w:t>
      </w:r>
      <w:r w:rsidR="003F5008">
        <w:rPr>
          <w:rFonts w:cs="Times New Roman"/>
        </w:rPr>
        <w:t xml:space="preserve">and will conduct </w:t>
      </w:r>
      <w:r w:rsidR="00CE0F34">
        <w:rPr>
          <w:rFonts w:cs="Times New Roman"/>
        </w:rPr>
        <w:t xml:space="preserve">semi-structured </w:t>
      </w:r>
      <w:r w:rsidR="003F5008">
        <w:rPr>
          <w:rFonts w:cs="Times New Roman"/>
        </w:rPr>
        <w:t xml:space="preserve">interviews </w:t>
      </w:r>
      <w:r w:rsidR="00CE0F34">
        <w:rPr>
          <w:rFonts w:cs="Times New Roman"/>
        </w:rPr>
        <w:t>in a virtual or in</w:t>
      </w:r>
      <w:r w:rsidR="00024EEC">
        <w:rPr>
          <w:rFonts w:cs="Times New Roman"/>
        </w:rPr>
        <w:t>-</w:t>
      </w:r>
      <w:r w:rsidR="00CE0F34">
        <w:rPr>
          <w:rFonts w:cs="Times New Roman"/>
        </w:rPr>
        <w:t xml:space="preserve">person setting </w:t>
      </w:r>
      <w:r w:rsidR="003F5008">
        <w:rPr>
          <w:rFonts w:cs="Times New Roman"/>
        </w:rPr>
        <w:t xml:space="preserve">as preferred by each </w:t>
      </w:r>
      <w:r w:rsidR="00024EEC">
        <w:rPr>
          <w:rFonts w:cs="Times New Roman"/>
        </w:rPr>
        <w:t>individual</w:t>
      </w:r>
      <w:r w:rsidRPr="00E90ED5">
        <w:rPr>
          <w:rFonts w:cs="Times New Roman"/>
        </w:rPr>
        <w:t xml:space="preserve"> to minimize the burden on these institutions.</w:t>
      </w:r>
    </w:p>
    <w:p w:rsidR="00B47739" w:rsidRPr="00E90ED5" w:rsidP="00B47739" w14:paraId="02B1CA24" w14:textId="5DAF2572">
      <w:pPr>
        <w:rPr>
          <w:rFonts w:cs="Times New Roman"/>
        </w:rPr>
      </w:pPr>
    </w:p>
    <w:p w:rsidR="00FD08C9" w:rsidRPr="00E90ED5" w:rsidP="00B47739" w14:paraId="233C72FD" w14:textId="77777777">
      <w:pPr>
        <w:rPr>
          <w:rFonts w:cs="Times New Roman"/>
        </w:rPr>
      </w:pPr>
    </w:p>
    <w:p w:rsidR="00DC2C03" w:rsidRPr="00844F89" w:rsidP="00DC2C03" w14:paraId="78B8F9F9" w14:textId="11AAE9F4">
      <w:pPr>
        <w:pStyle w:val="ListParagraph"/>
        <w:numPr>
          <w:ilvl w:val="0"/>
          <w:numId w:val="2"/>
        </w:numPr>
        <w:rPr>
          <w:rFonts w:cs="Times New Roman"/>
          <w:b/>
          <w:bCs/>
        </w:rPr>
      </w:pPr>
      <w:r w:rsidRPr="00844F89">
        <w:rPr>
          <w:rFonts w:cs="Times New Roman"/>
          <w:b/>
          <w:bCs/>
        </w:rPr>
        <w:t>Describe the consequence to the Federal program or policy activities if the collection is not conducted or is conducted less frequently, as well as any technical or legal obstacles to reducing burden.</w:t>
      </w:r>
    </w:p>
    <w:p w:rsidR="00AF18C1" w:rsidRPr="00E90ED5" w:rsidP="00163EDF" w14:paraId="64DE0091" w14:textId="77777777">
      <w:pPr>
        <w:pStyle w:val="ListParagraph"/>
        <w:rPr>
          <w:rFonts w:cs="Times New Roman"/>
        </w:rPr>
      </w:pPr>
    </w:p>
    <w:p w:rsidR="00907DAE" w:rsidRPr="00E90ED5" w:rsidP="00AB4373" w14:paraId="27CCC9DA" w14:textId="2BE68022">
      <w:pPr>
        <w:ind w:left="360"/>
        <w:rPr>
          <w:rFonts w:cs="Times New Roman"/>
        </w:rPr>
      </w:pPr>
      <w:r w:rsidRPr="00E90ED5">
        <w:rPr>
          <w:rFonts w:cs="Times New Roman"/>
        </w:rPr>
        <w:t>The consequences of not collecting th</w:t>
      </w:r>
      <w:r w:rsidRPr="00E90ED5" w:rsidR="00F11CD1">
        <w:rPr>
          <w:rFonts w:cs="Times New Roman"/>
        </w:rPr>
        <w:t xml:space="preserve">is information will impact CRS’s </w:t>
      </w:r>
      <w:r w:rsidRPr="00E90ED5">
        <w:rPr>
          <w:rFonts w:cs="Times New Roman"/>
        </w:rPr>
        <w:t xml:space="preserve">ability to understand </w:t>
      </w:r>
      <w:r w:rsidRPr="00E90ED5" w:rsidR="00AF18C1">
        <w:rPr>
          <w:rFonts w:cs="Times New Roman"/>
        </w:rPr>
        <w:t xml:space="preserve">the </w:t>
      </w:r>
      <w:r w:rsidRPr="00E90ED5">
        <w:rPr>
          <w:rFonts w:cs="Times New Roman"/>
        </w:rPr>
        <w:t>impact of its programs and services</w:t>
      </w:r>
      <w:r w:rsidRPr="00E90ED5">
        <w:rPr>
          <w:rFonts w:cs="Times New Roman"/>
        </w:rPr>
        <w:t xml:space="preserve"> and measure the outcomes of CRS services delivered to communities. This will also impact CRS’s ability to make the necessary revisions to its programs and services to better serve its stakeholders. </w:t>
      </w:r>
    </w:p>
    <w:p w:rsidR="00803ACA" w:rsidRPr="00E90ED5" w:rsidP="00803ACA" w14:paraId="408B9FDE" w14:textId="76687F64">
      <w:pPr>
        <w:rPr>
          <w:rFonts w:cs="Times New Roman"/>
        </w:rPr>
      </w:pPr>
    </w:p>
    <w:p w:rsidR="00A6690A" w:rsidRPr="00E90ED5" w:rsidP="00B47739" w14:paraId="288E6EA2" w14:textId="77777777">
      <w:pPr>
        <w:rPr>
          <w:rFonts w:cs="Times New Roman"/>
        </w:rPr>
      </w:pPr>
    </w:p>
    <w:p w:rsidR="00DC2C03" w:rsidRPr="00844F89" w:rsidP="00DC2C03" w14:paraId="0FA4F3B4" w14:textId="1243B936">
      <w:pPr>
        <w:pStyle w:val="ListParagraph"/>
        <w:numPr>
          <w:ilvl w:val="0"/>
          <w:numId w:val="2"/>
        </w:numPr>
        <w:rPr>
          <w:rFonts w:cs="Times New Roman"/>
          <w:b/>
          <w:bCs/>
        </w:rPr>
      </w:pPr>
      <w:r w:rsidRPr="00844F89">
        <w:rPr>
          <w:rFonts w:cs="Times New Roman"/>
          <w:b/>
          <w:bCs/>
        </w:rPr>
        <w:t xml:space="preserve">Explain any special circumstances that require the collection to be conducted in a manner inconsistent with OMB guidelines: (a) requiring respondents to report information to the agency more often than quarterly; (b) requiring respondents to prepare a written response to a collection of information in fewer than 30 days after receipt of it; (c) requiring respondents to submit more than an original and two copies of any document; (d) requiring respondents to retain records, other than health, medical government contract, grant-in-aid, or tax records, for more than three years; (e) in connection with a statistical survey, that is not designed to produce valid and reliable results that can be generalized to the universe of study; (f) requiring the use of statistical data classification that has not been reviewed and approved by OMB; (g) that includes a pledge of confidentially that is not supported by authority established in stature of regulation, that is not supported by disclosure and data security policies that are consistent with the pledge, or which unnecessarily impedes sharing of data with other agencies for compatible confidential use; (h) requiring respondents to submit proprietary trade secrets or other confidential information unless the agency can </w:t>
      </w:r>
      <w:r w:rsidRPr="00844F89">
        <w:rPr>
          <w:rFonts w:cs="Times New Roman"/>
          <w:b/>
          <w:bCs/>
        </w:rPr>
        <w:t>demonstrate that it has instituted procedures to protect the information’s confidentiality to the extent permitted by law.</w:t>
      </w:r>
    </w:p>
    <w:p w:rsidR="00AF18C1" w:rsidRPr="00E90ED5" w:rsidP="00163EDF" w14:paraId="4B250EDA" w14:textId="77777777">
      <w:pPr>
        <w:pStyle w:val="ListParagraph"/>
        <w:rPr>
          <w:rFonts w:cs="Times New Roman"/>
        </w:rPr>
      </w:pPr>
    </w:p>
    <w:p w:rsidR="00CB0FA7" w:rsidRPr="00E90ED5" w:rsidP="00AB4373" w14:paraId="20756BC7" w14:textId="183EA982">
      <w:pPr>
        <w:ind w:left="360"/>
        <w:rPr>
          <w:rFonts w:cs="Times New Roman"/>
        </w:rPr>
      </w:pPr>
      <w:r w:rsidRPr="00E90ED5">
        <w:rPr>
          <w:rFonts w:cs="Times New Roman"/>
        </w:rPr>
        <w:t xml:space="preserve">CRS’ collection of information will be collected in a manner consistent with OMB </w:t>
      </w:r>
      <w:r w:rsidRPr="00E90ED5" w:rsidR="00AF18C1">
        <w:rPr>
          <w:rFonts w:cs="Times New Roman"/>
        </w:rPr>
        <w:t xml:space="preserve">and JMD </w:t>
      </w:r>
      <w:r w:rsidRPr="00E90ED5">
        <w:rPr>
          <w:rFonts w:cs="Times New Roman"/>
        </w:rPr>
        <w:t>guidelines.</w:t>
      </w:r>
      <w:r w:rsidRPr="00E90ED5" w:rsidR="00FE1161">
        <w:rPr>
          <w:rFonts w:cs="Times New Roman"/>
        </w:rPr>
        <w:t xml:space="preserve"> CRS does not anticipate any special circumstances.</w:t>
      </w:r>
    </w:p>
    <w:p w:rsidR="00B47739" w:rsidRPr="00E90ED5" w:rsidP="00B47739" w14:paraId="550D2B44" w14:textId="7B370527">
      <w:pPr>
        <w:pStyle w:val="ListParagraph"/>
        <w:rPr>
          <w:rFonts w:cs="Times New Roman"/>
        </w:rPr>
      </w:pPr>
    </w:p>
    <w:p w:rsidR="00A6690A" w:rsidRPr="00E90ED5" w:rsidP="00B47739" w14:paraId="08CDB43D" w14:textId="77777777">
      <w:pPr>
        <w:pStyle w:val="ListParagraph"/>
        <w:rPr>
          <w:rFonts w:cs="Times New Roman"/>
        </w:rPr>
      </w:pPr>
    </w:p>
    <w:p w:rsidR="00DC2C03" w:rsidRPr="00844F89" w:rsidP="00DC2C03" w14:paraId="4625FB0F" w14:textId="432368EE">
      <w:pPr>
        <w:pStyle w:val="ListParagraph"/>
        <w:numPr>
          <w:ilvl w:val="0"/>
          <w:numId w:val="2"/>
        </w:numPr>
        <w:rPr>
          <w:rFonts w:cs="Times New Roman"/>
          <w:b/>
          <w:bCs/>
        </w:rPr>
      </w:pPr>
      <w:r w:rsidRPr="00844F89">
        <w:rPr>
          <w:rFonts w:cs="Times New Roman"/>
          <w:b/>
          <w:bCs/>
        </w:rPr>
        <w:t xml:space="preserve">If applicable, provide a copy and identify the date and page number of </w:t>
      </w:r>
      <w:r w:rsidRPr="00844F89" w:rsidR="00DB6189">
        <w:rPr>
          <w:rFonts w:cs="Times New Roman"/>
          <w:b/>
          <w:bCs/>
        </w:rPr>
        <w:t>publications</w:t>
      </w:r>
      <w:r w:rsidRPr="00844F89">
        <w:rPr>
          <w:rFonts w:cs="Times New Roman"/>
          <w:b/>
          <w:b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F18C1" w:rsidRPr="00E90ED5" w:rsidP="00163EDF" w14:paraId="2389A530" w14:textId="77777777">
      <w:pPr>
        <w:pStyle w:val="ListParagraph"/>
        <w:rPr>
          <w:rFonts w:cs="Times New Roman"/>
        </w:rPr>
      </w:pPr>
    </w:p>
    <w:p w:rsidR="00480E6E" w:rsidRPr="00E90ED5" w:rsidP="00AB4373" w14:paraId="0C9F87D9" w14:textId="0098CFEC">
      <w:pPr>
        <w:ind w:left="360"/>
        <w:rPr>
          <w:rFonts w:cs="Times New Roman"/>
        </w:rPr>
      </w:pPr>
      <w:r w:rsidRPr="00E225BB">
        <w:rPr>
          <w:rFonts w:cs="Times New Roman"/>
          <w:highlight w:val="yellow"/>
        </w:rPr>
        <w:t xml:space="preserve">The 60-Day Federal Register notice was published on </w:t>
      </w:r>
      <w:r w:rsidRPr="006F232B" w:rsidR="006F232B">
        <w:rPr>
          <w:rFonts w:cs="Times New Roman"/>
          <w:highlight w:val="yellow"/>
        </w:rPr>
        <w:t>December 20</w:t>
      </w:r>
      <w:r w:rsidRPr="00E225BB" w:rsidR="00C45DFA">
        <w:rPr>
          <w:rFonts w:cs="Times New Roman"/>
          <w:highlight w:val="yellow"/>
        </w:rPr>
        <w:t>, 20</w:t>
      </w:r>
      <w:r w:rsidRPr="006F232B" w:rsidR="006F232B">
        <w:rPr>
          <w:rFonts w:cs="Times New Roman"/>
          <w:highlight w:val="yellow"/>
        </w:rPr>
        <w:t>23</w:t>
      </w:r>
      <w:r w:rsidRPr="00E225BB" w:rsidR="00C45DFA">
        <w:rPr>
          <w:rFonts w:cs="Times New Roman"/>
          <w:highlight w:val="yellow"/>
        </w:rPr>
        <w:t xml:space="preserve"> </w:t>
      </w:r>
      <w:r w:rsidRPr="00E225BB" w:rsidR="003C7471">
        <w:rPr>
          <w:rFonts w:cs="Times New Roman"/>
          <w:highlight w:val="yellow"/>
        </w:rPr>
        <w:t>(</w:t>
      </w:r>
      <w:r w:rsidRPr="00E225BB" w:rsidR="006F232B">
        <w:rPr>
          <w:highlight w:val="yellow"/>
        </w:rPr>
        <w:t>88 FR 88114</w:t>
      </w:r>
      <w:r w:rsidRPr="006F232B" w:rsidR="006F232B">
        <w:rPr>
          <w:rFonts w:cs="Times New Roman"/>
          <w:highlight w:val="yellow"/>
        </w:rPr>
        <w:t xml:space="preserve"> </w:t>
      </w:r>
      <w:r w:rsidRPr="00E225BB" w:rsidR="00F35835">
        <w:rPr>
          <w:rFonts w:cs="Times New Roman"/>
          <w:highlight w:val="yellow"/>
        </w:rPr>
        <w:t xml:space="preserve">, OMB No. </w:t>
      </w:r>
      <w:r w:rsidRPr="00E225BB" w:rsidR="006F232B">
        <w:rPr>
          <w:rFonts w:cs="Times New Roman"/>
          <w:highlight w:val="yellow"/>
        </w:rPr>
        <w:t>1190–0021</w:t>
      </w:r>
      <w:r w:rsidRPr="00E225BB" w:rsidR="00F35835">
        <w:rPr>
          <w:rFonts w:cs="Times New Roman"/>
          <w:highlight w:val="yellow"/>
        </w:rPr>
        <w:t>,</w:t>
      </w:r>
      <w:r w:rsidRPr="00E225BB" w:rsidR="00DC6C0F">
        <w:rPr>
          <w:rFonts w:cs="Times New Roman"/>
          <w:highlight w:val="yellow"/>
        </w:rPr>
        <w:t xml:space="preserve"> p. </w:t>
      </w:r>
      <w:r w:rsidRPr="00E225BB" w:rsidR="006F232B">
        <w:rPr>
          <w:highlight w:val="yellow"/>
        </w:rPr>
        <w:t>88114-88115</w:t>
      </w:r>
      <w:r w:rsidRPr="00E225BB" w:rsidR="00DC6C0F">
        <w:rPr>
          <w:rFonts w:cs="Times New Roman"/>
          <w:highlight w:val="yellow"/>
        </w:rPr>
        <w:t>).</w:t>
      </w:r>
      <w:r w:rsidRPr="00E225BB" w:rsidR="00166028">
        <w:rPr>
          <w:rFonts w:cs="Times New Roman"/>
          <w:highlight w:val="yellow"/>
        </w:rPr>
        <w:t xml:space="preserve"> No public comments have been received. </w:t>
      </w:r>
    </w:p>
    <w:p w:rsidR="00B47739" w:rsidRPr="00E90ED5" w:rsidP="00B47739" w14:paraId="758A6EB7" w14:textId="5688406E">
      <w:pPr>
        <w:pStyle w:val="ListParagraph"/>
        <w:rPr>
          <w:rFonts w:cs="Times New Roman"/>
        </w:rPr>
      </w:pPr>
    </w:p>
    <w:p w:rsidR="00A6690A" w:rsidRPr="00E90ED5" w:rsidP="00B47739" w14:paraId="441CA59C" w14:textId="77777777">
      <w:pPr>
        <w:pStyle w:val="ListParagraph"/>
        <w:rPr>
          <w:rFonts w:cs="Times New Roman"/>
        </w:rPr>
      </w:pPr>
    </w:p>
    <w:p w:rsidR="00DC2C03" w:rsidRPr="00A672C3" w:rsidP="00DC2C03" w14:paraId="3A1D50E8" w14:textId="7292F142">
      <w:pPr>
        <w:pStyle w:val="ListParagraph"/>
        <w:numPr>
          <w:ilvl w:val="0"/>
          <w:numId w:val="2"/>
        </w:numPr>
        <w:rPr>
          <w:rFonts w:cs="Times New Roman"/>
          <w:b/>
          <w:bCs/>
        </w:rPr>
      </w:pPr>
      <w:r w:rsidRPr="00A672C3">
        <w:rPr>
          <w:rFonts w:cs="Times New Roman"/>
          <w:b/>
          <w:bCs/>
        </w:rPr>
        <w:t>Explain any decision to provide any payment or gift to respondents, other than remuneration of contractors or grantees.</w:t>
      </w:r>
    </w:p>
    <w:p w:rsidR="00AF18C1" w:rsidRPr="00E90ED5" w:rsidP="00163EDF" w14:paraId="0A3E747B" w14:textId="77777777">
      <w:pPr>
        <w:pStyle w:val="ListParagraph"/>
        <w:rPr>
          <w:rFonts w:cs="Times New Roman"/>
        </w:rPr>
      </w:pPr>
    </w:p>
    <w:p w:rsidR="00B47739" w:rsidRPr="00E90ED5" w:rsidP="007E5109" w14:paraId="0415CFBE" w14:textId="418B6C74">
      <w:pPr>
        <w:ind w:left="360"/>
        <w:rPr>
          <w:rFonts w:cs="Times New Roman"/>
        </w:rPr>
      </w:pPr>
      <w:r w:rsidRPr="00E90ED5">
        <w:rPr>
          <w:rFonts w:cs="Times New Roman"/>
        </w:rPr>
        <w:t>CRS</w:t>
      </w:r>
      <w:r w:rsidRPr="00E90ED5" w:rsidR="00EA0C9C">
        <w:rPr>
          <w:rFonts w:cs="Times New Roman"/>
        </w:rPr>
        <w:t xml:space="preserve"> will </w:t>
      </w:r>
      <w:r w:rsidR="007E5109">
        <w:rPr>
          <w:rFonts w:cs="Times New Roman"/>
        </w:rPr>
        <w:t xml:space="preserve">provide incentives for survey completion, </w:t>
      </w:r>
      <w:r w:rsidRPr="007E5109" w:rsidR="007E5109">
        <w:rPr>
          <w:rFonts w:cs="Times New Roman"/>
        </w:rPr>
        <w:t>$15 for each</w:t>
      </w:r>
      <w:r w:rsidR="007E5109">
        <w:rPr>
          <w:rFonts w:cs="Times New Roman"/>
        </w:rPr>
        <w:t xml:space="preserve"> survey response,</w:t>
      </w:r>
      <w:r w:rsidRPr="007E5109" w:rsidR="007E5109">
        <w:rPr>
          <w:rFonts w:cs="Times New Roman"/>
        </w:rPr>
        <w:t xml:space="preserve"> and for participating in </w:t>
      </w:r>
      <w:r w:rsidR="007E5109">
        <w:rPr>
          <w:rFonts w:cs="Times New Roman"/>
        </w:rPr>
        <w:t>a</w:t>
      </w:r>
      <w:r w:rsidRPr="007E5109" w:rsidR="007E5109">
        <w:rPr>
          <w:rFonts w:cs="Times New Roman"/>
        </w:rPr>
        <w:t xml:space="preserve"> semi-structured interview</w:t>
      </w:r>
      <w:r w:rsidR="007E5109">
        <w:rPr>
          <w:rFonts w:cs="Times New Roman"/>
        </w:rPr>
        <w:t xml:space="preserve">, </w:t>
      </w:r>
      <w:r w:rsidRPr="007E5109" w:rsidR="007E5109">
        <w:rPr>
          <w:rFonts w:cs="Times New Roman"/>
        </w:rPr>
        <w:t>$50 for each</w:t>
      </w:r>
      <w:r w:rsidR="007E5109">
        <w:rPr>
          <w:rFonts w:cs="Times New Roman"/>
        </w:rPr>
        <w:t xml:space="preserve"> participant.</w:t>
      </w:r>
      <w:r w:rsidRPr="007E5109" w:rsidR="007E5109">
        <w:rPr>
          <w:rFonts w:cs="Times New Roman"/>
        </w:rPr>
        <w:t xml:space="preserve"> </w:t>
      </w:r>
      <w:r w:rsidR="006F232B">
        <w:rPr>
          <w:rFonts w:cs="Times New Roman"/>
        </w:rPr>
        <w:t>R</w:t>
      </w:r>
      <w:r w:rsidRPr="006F232B" w:rsidR="006F232B">
        <w:rPr>
          <w:rFonts w:cs="Times New Roman"/>
        </w:rPr>
        <w:t xml:space="preserve">esponses to previous collections were </w:t>
      </w:r>
      <w:r w:rsidR="00125C82">
        <w:rPr>
          <w:rFonts w:cs="Times New Roman"/>
        </w:rPr>
        <w:t xml:space="preserve">as </w:t>
      </w:r>
      <w:r w:rsidRPr="006F232B" w:rsidR="006F232B">
        <w:rPr>
          <w:rFonts w:cs="Times New Roman"/>
        </w:rPr>
        <w:t xml:space="preserve">low </w:t>
      </w:r>
      <w:r w:rsidR="00125C82">
        <w:rPr>
          <w:rFonts w:cs="Times New Roman"/>
        </w:rPr>
        <w:t>as 5% in some programs</w:t>
      </w:r>
      <w:r w:rsidR="00E225BB">
        <w:rPr>
          <w:rFonts w:cs="Times New Roman"/>
        </w:rPr>
        <w:t xml:space="preserve"> and services</w:t>
      </w:r>
      <w:r w:rsidR="00125C82">
        <w:rPr>
          <w:rFonts w:cs="Times New Roman"/>
        </w:rPr>
        <w:t xml:space="preserve">, with an average response rate of </w:t>
      </w:r>
      <w:r w:rsidR="00E225BB">
        <w:rPr>
          <w:rFonts w:cs="Times New Roman"/>
        </w:rPr>
        <w:t>45</w:t>
      </w:r>
      <w:r w:rsidR="00125C82">
        <w:rPr>
          <w:rFonts w:cs="Times New Roman"/>
        </w:rPr>
        <w:t xml:space="preserve">%, </w:t>
      </w:r>
      <w:r w:rsidRPr="006F232B" w:rsidR="006F232B">
        <w:rPr>
          <w:rFonts w:cs="Times New Roman"/>
        </w:rPr>
        <w:t xml:space="preserve">and </w:t>
      </w:r>
      <w:r w:rsidR="00836A89">
        <w:rPr>
          <w:rFonts w:cs="Times New Roman"/>
        </w:rPr>
        <w:t xml:space="preserve">we hypothesize that </w:t>
      </w:r>
      <w:r w:rsidRPr="006F232B" w:rsidR="006F232B">
        <w:rPr>
          <w:rFonts w:cs="Times New Roman"/>
        </w:rPr>
        <w:t xml:space="preserve">providing an incentive </w:t>
      </w:r>
      <w:r w:rsidR="00836A89">
        <w:rPr>
          <w:rFonts w:cs="Times New Roman"/>
        </w:rPr>
        <w:t xml:space="preserve">for participants' time and effort in these activities </w:t>
      </w:r>
      <w:r w:rsidRPr="006F232B" w:rsidR="006F232B">
        <w:rPr>
          <w:rFonts w:cs="Times New Roman"/>
        </w:rPr>
        <w:t xml:space="preserve">would ensure more responses and more valid representation. </w:t>
      </w:r>
      <w:r w:rsidR="006F232B">
        <w:rPr>
          <w:rFonts w:cs="Times New Roman"/>
        </w:rPr>
        <w:t xml:space="preserve">Additionally, </w:t>
      </w:r>
      <w:r w:rsidR="00836A89">
        <w:rPr>
          <w:rFonts w:cs="Times New Roman"/>
        </w:rPr>
        <w:t xml:space="preserve">given that </w:t>
      </w:r>
      <w:r w:rsidR="006F232B">
        <w:rPr>
          <w:rFonts w:cs="Times New Roman"/>
        </w:rPr>
        <w:t xml:space="preserve">interviews require additional time from a participant, beyond the </w:t>
      </w:r>
      <w:r w:rsidR="00836A89">
        <w:rPr>
          <w:rFonts w:cs="Times New Roman"/>
        </w:rPr>
        <w:t xml:space="preserve">time spent in </w:t>
      </w:r>
      <w:r w:rsidR="006F232B">
        <w:rPr>
          <w:rFonts w:cs="Times New Roman"/>
        </w:rPr>
        <w:t>program</w:t>
      </w:r>
      <w:r w:rsidR="00836A89">
        <w:rPr>
          <w:rFonts w:cs="Times New Roman"/>
        </w:rPr>
        <w:t xml:space="preserve"> participation</w:t>
      </w:r>
      <w:r w:rsidR="006F232B">
        <w:rPr>
          <w:rFonts w:cs="Times New Roman"/>
        </w:rPr>
        <w:t>, a larger incentive</w:t>
      </w:r>
      <w:r w:rsidR="00836A89">
        <w:rPr>
          <w:rFonts w:cs="Times New Roman"/>
        </w:rPr>
        <w:t xml:space="preserve"> will be given</w:t>
      </w:r>
      <w:r w:rsidR="006F232B">
        <w:rPr>
          <w:rFonts w:cs="Times New Roman"/>
        </w:rPr>
        <w:t xml:space="preserve"> for their time.</w:t>
      </w:r>
    </w:p>
    <w:p w:rsidR="00A6690A" w:rsidRPr="00E90ED5" w:rsidP="00B47739" w14:paraId="13DACAC4" w14:textId="77777777">
      <w:pPr>
        <w:pStyle w:val="ListParagraph"/>
        <w:rPr>
          <w:rFonts w:cs="Times New Roman"/>
        </w:rPr>
      </w:pPr>
    </w:p>
    <w:p w:rsidR="00DC2C03" w:rsidRPr="001051C7" w:rsidP="00DC2C03" w14:paraId="11B5A1AF" w14:textId="45D9730D">
      <w:pPr>
        <w:pStyle w:val="ListParagraph"/>
        <w:numPr>
          <w:ilvl w:val="0"/>
          <w:numId w:val="2"/>
        </w:numPr>
        <w:rPr>
          <w:rFonts w:cs="Times New Roman"/>
          <w:b/>
          <w:bCs/>
        </w:rPr>
      </w:pPr>
      <w:r w:rsidRPr="001051C7">
        <w:rPr>
          <w:rFonts w:cs="Times New Roman"/>
          <w:b/>
          <w:bCs/>
        </w:rPr>
        <w:t>Describe any assurance of confidentiality provided to respondents and the basis for the assurance in statute, regulation, or agency policy.</w:t>
      </w:r>
    </w:p>
    <w:p w:rsidR="00AF18C1" w:rsidRPr="00E90ED5" w:rsidP="00163EDF" w14:paraId="421F9450" w14:textId="77777777">
      <w:pPr>
        <w:pStyle w:val="ListParagraph"/>
        <w:rPr>
          <w:rFonts w:cs="Times New Roman"/>
          <w:highlight w:val="yellow"/>
        </w:rPr>
      </w:pPr>
    </w:p>
    <w:p w:rsidR="002733BB" w:rsidRPr="00417855" w:rsidP="00417855" w14:paraId="6F87F5D5" w14:textId="1DA80D73">
      <w:pPr>
        <w:ind w:left="360"/>
        <w:rPr>
          <w:rFonts w:cs="Times New Roman"/>
        </w:rPr>
      </w:pPr>
      <w:r w:rsidRPr="00417855">
        <w:rPr>
          <w:rFonts w:cs="Times New Roman"/>
        </w:rPr>
        <w:t xml:space="preserve">CRS’ mandate requires that the agency hold information learned during the regular performance of its duties confidential. </w:t>
      </w:r>
    </w:p>
    <w:p w:rsidR="00980E86" w:rsidRPr="00E90ED5" w:rsidP="00C76318" w14:paraId="500E3371" w14:textId="77777777">
      <w:pPr>
        <w:rPr>
          <w:rFonts w:cs="Times New Roman"/>
        </w:rPr>
      </w:pPr>
    </w:p>
    <w:p w:rsidR="002733BB" w:rsidRPr="001051C7" w:rsidP="00AB4373" w14:paraId="741F8B0A" w14:textId="78BE6C5E">
      <w:pPr>
        <w:ind w:left="360"/>
        <w:rPr>
          <w:rFonts w:cs="Times New Roman"/>
          <w:bCs/>
        </w:rPr>
      </w:pPr>
      <w:r w:rsidRPr="001051C7">
        <w:rPr>
          <w:rFonts w:cs="Times New Roman"/>
          <w:bCs/>
        </w:rPr>
        <w:t>42 USC Chapter 21, Subchapter VIII §2000g–2. Cooperation with other agencies; conciliation assistance in confidence and without publicity; information as confidential; restriction on performance of investigative or prosecuting functions; violations and penalties</w:t>
      </w:r>
    </w:p>
    <w:p w:rsidR="00A6690A" w:rsidRPr="00E90ED5" w:rsidP="002733BB" w14:paraId="0AA198EC" w14:textId="77777777">
      <w:pPr>
        <w:rPr>
          <w:rFonts w:cs="Times New Roman"/>
          <w:b/>
        </w:rPr>
      </w:pPr>
    </w:p>
    <w:p w:rsidR="002733BB" w:rsidRPr="00E90ED5" w:rsidP="00AB4373" w14:paraId="0BBEEB62" w14:textId="258F9D80">
      <w:pPr>
        <w:ind w:left="360"/>
        <w:rPr>
          <w:rFonts w:cs="Times New Roman"/>
        </w:rPr>
      </w:pPr>
      <w:r w:rsidRPr="00E90ED5">
        <w:rPr>
          <w:rFonts w:cs="Times New Roman"/>
        </w:rPr>
        <w:t>(b) The activities of all officers and employees of the Service in providing conciliation assistance shall be conducted in confidence and without publicity, and the Service shall hold confidential any information acquired in the regular performance of its duties upon the understanding that it would be so held.</w:t>
      </w:r>
      <w:r w:rsidRPr="00E90ED5">
        <w:rPr>
          <w:rFonts w:cs="Times New Roman"/>
        </w:rPr>
        <w:t xml:space="preserve"> </w:t>
      </w:r>
    </w:p>
    <w:p w:rsidR="002733BB" w:rsidRPr="00E90ED5" w:rsidP="002733BB" w14:paraId="07425D9F" w14:textId="77777777">
      <w:pPr>
        <w:rPr>
          <w:rFonts w:cs="Times New Roman"/>
        </w:rPr>
      </w:pPr>
    </w:p>
    <w:p w:rsidR="00B47739" w:rsidRPr="00CB53C5" w:rsidP="00E225BB" w14:paraId="57E28866" w14:textId="345B414B">
      <w:pPr>
        <w:ind w:left="360"/>
        <w:rPr>
          <w:rFonts w:cs="Times New Roman"/>
        </w:rPr>
      </w:pPr>
      <w:r w:rsidRPr="00E90ED5">
        <w:rPr>
          <w:rFonts w:cs="Times New Roman"/>
        </w:rPr>
        <w:t xml:space="preserve">In accordance with this mandate, CRS will not publish or make public any comments or other information collected that could be attributed </w:t>
      </w:r>
      <w:r w:rsidR="007E5109">
        <w:rPr>
          <w:rFonts w:cs="Times New Roman"/>
        </w:rPr>
        <w:t xml:space="preserve">to </w:t>
      </w:r>
      <w:r w:rsidRPr="00E90ED5">
        <w:rPr>
          <w:rFonts w:cs="Times New Roman"/>
        </w:rPr>
        <w:t xml:space="preserve">any specific individual without written consent from that individual. </w:t>
      </w:r>
    </w:p>
    <w:p w:rsidR="00980E86" w:rsidRPr="00E90ED5" w:rsidP="00B47739" w14:paraId="18A74EB9" w14:textId="77777777">
      <w:pPr>
        <w:pStyle w:val="ListParagraph"/>
        <w:rPr>
          <w:rFonts w:cs="Times New Roman"/>
        </w:rPr>
      </w:pPr>
    </w:p>
    <w:p w:rsidR="00DC2C03" w:rsidRPr="001051C7" w:rsidP="00DC2C03" w14:paraId="00088268" w14:textId="5CDD8A96">
      <w:pPr>
        <w:pStyle w:val="ListParagraph"/>
        <w:numPr>
          <w:ilvl w:val="0"/>
          <w:numId w:val="2"/>
        </w:numPr>
        <w:rPr>
          <w:rFonts w:cs="Times New Roman"/>
          <w:b/>
          <w:bCs/>
        </w:rPr>
      </w:pPr>
      <w:r w:rsidRPr="001051C7">
        <w:rPr>
          <w:rFonts w:cs="Times New Roman"/>
          <w:b/>
          <w:b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D33A1" w:rsidRPr="00E90ED5" w:rsidP="00163EDF" w14:paraId="3A1A7EA6" w14:textId="77777777">
      <w:pPr>
        <w:pStyle w:val="ListParagraph"/>
        <w:rPr>
          <w:rFonts w:cs="Times New Roman"/>
        </w:rPr>
      </w:pPr>
    </w:p>
    <w:p w:rsidR="00B47739" w:rsidRPr="00832922" w:rsidP="00E225BB" w14:paraId="5D0AF312" w14:textId="7F5F7C6A">
      <w:pPr>
        <w:ind w:left="360"/>
        <w:rPr>
          <w:rFonts w:cs="Times New Roman"/>
        </w:rPr>
      </w:pPr>
      <w:r w:rsidRPr="00E90ED5">
        <w:rPr>
          <w:rFonts w:cs="Times New Roman"/>
        </w:rPr>
        <w:t>CRS’</w:t>
      </w:r>
      <w:r w:rsidRPr="00E90ED5" w:rsidR="00F11CD1">
        <w:rPr>
          <w:rFonts w:cs="Times New Roman"/>
        </w:rPr>
        <w:t>s</w:t>
      </w:r>
      <w:r w:rsidRPr="00E90ED5">
        <w:rPr>
          <w:rFonts w:cs="Times New Roman"/>
        </w:rPr>
        <w:t xml:space="preserve"> collection of information does not include any questions of a sensitive</w:t>
      </w:r>
      <w:r w:rsidRPr="00E90ED5" w:rsidR="00F11CD1">
        <w:rPr>
          <w:rFonts w:cs="Times New Roman"/>
        </w:rPr>
        <w:t xml:space="preserve"> </w:t>
      </w:r>
      <w:r w:rsidRPr="00E90ED5">
        <w:rPr>
          <w:rFonts w:cs="Times New Roman"/>
        </w:rPr>
        <w:t>nature.</w:t>
      </w:r>
    </w:p>
    <w:p w:rsidR="00980E86" w:rsidRPr="00E90ED5" w:rsidP="00B47739" w14:paraId="0F0394E2" w14:textId="77777777">
      <w:pPr>
        <w:pStyle w:val="ListParagraph"/>
        <w:rPr>
          <w:rFonts w:cs="Times New Roman"/>
        </w:rPr>
      </w:pPr>
    </w:p>
    <w:p w:rsidR="00DC2C03" w:rsidRPr="001051C7" w:rsidP="00DC2C03" w14:paraId="617F7C5D" w14:textId="2897A7BE">
      <w:pPr>
        <w:pStyle w:val="ListParagraph"/>
        <w:numPr>
          <w:ilvl w:val="0"/>
          <w:numId w:val="2"/>
        </w:numPr>
        <w:rPr>
          <w:rFonts w:cs="Times New Roman"/>
          <w:b/>
          <w:bCs/>
        </w:rPr>
      </w:pPr>
      <w:r w:rsidRPr="001051C7">
        <w:rPr>
          <w:rFonts w:cs="Times New Roman"/>
          <w:b/>
          <w:bCs/>
        </w:rPr>
        <w:t>Provide estimates of the hour burden of the collection of information. The statement should:</w:t>
      </w:r>
    </w:p>
    <w:p w:rsidR="00DC2C03" w:rsidRPr="001051C7" w:rsidP="00DC2C03" w14:paraId="72D2D88C" w14:textId="45A80978">
      <w:pPr>
        <w:pStyle w:val="ListParagraph"/>
        <w:numPr>
          <w:ilvl w:val="1"/>
          <w:numId w:val="1"/>
        </w:numPr>
        <w:rPr>
          <w:rFonts w:cs="Times New Roman"/>
          <w:b/>
          <w:bCs/>
        </w:rPr>
      </w:pPr>
      <w:r w:rsidRPr="001051C7">
        <w:rPr>
          <w:rFonts w:cs="Times New Roman"/>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DC2C03" w:rsidRPr="001051C7" w:rsidP="00DC2C03" w14:paraId="1DCA5564" w14:textId="74CEB1EA">
      <w:pPr>
        <w:pStyle w:val="ListParagraph"/>
        <w:numPr>
          <w:ilvl w:val="1"/>
          <w:numId w:val="1"/>
        </w:numPr>
        <w:rPr>
          <w:rFonts w:cs="Times New Roman"/>
          <w:b/>
          <w:bCs/>
        </w:rPr>
      </w:pPr>
      <w:r w:rsidRPr="001051C7">
        <w:rPr>
          <w:rFonts w:cs="Times New Roman"/>
          <w:b/>
          <w:bCs/>
        </w:rPr>
        <w:t>If this request for approval covers more than one form, provide separate hour burden estimates for each form and aggregate the hour burdens in Item 13 of OMB Form 83-I.</w:t>
      </w:r>
    </w:p>
    <w:p w:rsidR="00DC2C03" w:rsidRPr="001051C7" w:rsidP="00DC2C03" w14:paraId="763AB1C5" w14:textId="25797E33">
      <w:pPr>
        <w:pStyle w:val="ListParagraph"/>
        <w:numPr>
          <w:ilvl w:val="1"/>
          <w:numId w:val="1"/>
        </w:numPr>
        <w:rPr>
          <w:rFonts w:cs="Times New Roman"/>
          <w:b/>
          <w:bCs/>
        </w:rPr>
      </w:pPr>
      <w:r w:rsidRPr="001051C7">
        <w:rPr>
          <w:rFonts w:cs="Times New Roman"/>
          <w:b/>
          <w:b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BD33A1" w:rsidRPr="00E90ED5" w:rsidP="00163EDF" w14:paraId="40EB207A" w14:textId="77777777">
      <w:pPr>
        <w:pStyle w:val="ListParagraph"/>
        <w:ind w:left="1440"/>
        <w:rPr>
          <w:rFonts w:cs="Times New Roman"/>
        </w:rPr>
      </w:pPr>
    </w:p>
    <w:p w:rsidR="003305C1" w:rsidP="003305C1" w14:paraId="35324E6C" w14:textId="5FD2FA74">
      <w:pPr>
        <w:ind w:left="360"/>
        <w:rPr>
          <w:rFonts w:cs="Times New Roman"/>
        </w:rPr>
      </w:pPr>
      <w:r w:rsidRPr="00E90ED5">
        <w:rPr>
          <w:rFonts w:cs="Times New Roman"/>
        </w:rPr>
        <w:t>CRS</w:t>
      </w:r>
      <w:r w:rsidRPr="00E90ED5" w:rsidR="00610782">
        <w:rPr>
          <w:rFonts w:cs="Times New Roman"/>
        </w:rPr>
        <w:t xml:space="preserve"> estimate</w:t>
      </w:r>
      <w:r w:rsidRPr="00E90ED5">
        <w:rPr>
          <w:rFonts w:cs="Times New Roman"/>
        </w:rPr>
        <w:t>s</w:t>
      </w:r>
      <w:r w:rsidRPr="00E90ED5" w:rsidR="00610782">
        <w:rPr>
          <w:rFonts w:cs="Times New Roman"/>
        </w:rPr>
        <w:t xml:space="preserve"> that approximately </w:t>
      </w:r>
      <w:r>
        <w:rPr>
          <w:rFonts w:cs="Times New Roman"/>
        </w:rPr>
        <w:t>1,2</w:t>
      </w:r>
      <w:r w:rsidR="00D00CBE">
        <w:rPr>
          <w:rFonts w:cs="Times New Roman"/>
        </w:rPr>
        <w:t>2</w:t>
      </w:r>
      <w:r>
        <w:rPr>
          <w:rFonts w:cs="Times New Roman"/>
        </w:rPr>
        <w:t>7</w:t>
      </w:r>
      <w:r w:rsidR="00861B9F">
        <w:rPr>
          <w:rFonts w:cs="Times New Roman"/>
        </w:rPr>
        <w:t xml:space="preserve"> </w:t>
      </w:r>
      <w:r w:rsidRPr="00E90ED5" w:rsidR="00610782">
        <w:rPr>
          <w:rFonts w:cs="Times New Roman"/>
        </w:rPr>
        <w:t xml:space="preserve">respondents will be involved in </w:t>
      </w:r>
      <w:r w:rsidRPr="00E90ED5">
        <w:rPr>
          <w:rFonts w:cs="Times New Roman"/>
        </w:rPr>
        <w:t xml:space="preserve">the information collection </w:t>
      </w:r>
      <w:r w:rsidRPr="00E90ED5" w:rsidR="00610782">
        <w:rPr>
          <w:rFonts w:cs="Times New Roman"/>
        </w:rPr>
        <w:t>conducted under this clearance</w:t>
      </w:r>
      <w:r w:rsidR="0069016E">
        <w:rPr>
          <w:rFonts w:cs="Times New Roman"/>
        </w:rPr>
        <w:t xml:space="preserve"> per year</w:t>
      </w:r>
      <w:r w:rsidRPr="00E90ED5" w:rsidR="00610782">
        <w:rPr>
          <w:rFonts w:cs="Times New Roman"/>
        </w:rPr>
        <w:t>.</w:t>
      </w:r>
      <w:r w:rsidR="00E666C3">
        <w:rPr>
          <w:rFonts w:cs="Times New Roman"/>
        </w:rPr>
        <w:t xml:space="preserve"> </w:t>
      </w:r>
      <w:r w:rsidRPr="00E90ED5" w:rsidR="00610782">
        <w:rPr>
          <w:rFonts w:cs="Times New Roman"/>
        </w:rPr>
        <w:t>The average response time per respondent will be up to 1 hour</w:t>
      </w:r>
      <w:r w:rsidRPr="00E90ED5" w:rsidR="00907DAE">
        <w:rPr>
          <w:rFonts w:cs="Times New Roman"/>
        </w:rPr>
        <w:t xml:space="preserve"> </w:t>
      </w:r>
      <w:r w:rsidRPr="00E90ED5" w:rsidR="00495FC1">
        <w:rPr>
          <w:rFonts w:cs="Times New Roman"/>
        </w:rPr>
        <w:t xml:space="preserve">in the form of an interview </w:t>
      </w:r>
      <w:r w:rsidRPr="00E90ED5" w:rsidR="00907DAE">
        <w:rPr>
          <w:rFonts w:cs="Times New Roman"/>
        </w:rPr>
        <w:t xml:space="preserve">or up to </w:t>
      </w:r>
      <w:r w:rsidR="00832922">
        <w:rPr>
          <w:rFonts w:cs="Times New Roman"/>
        </w:rPr>
        <w:t>15</w:t>
      </w:r>
      <w:r w:rsidRPr="00E90ED5" w:rsidR="00907DAE">
        <w:rPr>
          <w:rFonts w:cs="Times New Roman"/>
        </w:rPr>
        <w:t xml:space="preserve"> minutes in the form of an online survey.</w:t>
      </w:r>
      <w:r w:rsidR="00861B9F">
        <w:rPr>
          <w:rFonts w:cs="Times New Roman"/>
        </w:rPr>
        <w:t xml:space="preserve"> </w:t>
      </w:r>
      <w:r w:rsidRPr="00E90ED5" w:rsidR="00495FC1">
        <w:rPr>
          <w:rFonts w:cs="Times New Roman"/>
        </w:rPr>
        <w:t xml:space="preserve">The estimated total hours spent per interview is 1 hour per interview or </w:t>
      </w:r>
      <w:r w:rsidR="00832922">
        <w:rPr>
          <w:rFonts w:cs="Times New Roman"/>
        </w:rPr>
        <w:t>15</w:t>
      </w:r>
      <w:r w:rsidR="00861B9F">
        <w:rPr>
          <w:rFonts w:cs="Times New Roman"/>
        </w:rPr>
        <w:t xml:space="preserve"> </w:t>
      </w:r>
      <w:r w:rsidRPr="00E90ED5" w:rsidR="00495FC1">
        <w:rPr>
          <w:rFonts w:cs="Times New Roman"/>
        </w:rPr>
        <w:t xml:space="preserve">minutes for the online survey. </w:t>
      </w:r>
      <w:r w:rsidRPr="00E90ED5" w:rsidR="00861B9F">
        <w:rPr>
          <w:rFonts w:cs="Times New Roman"/>
        </w:rPr>
        <w:t xml:space="preserve">If </w:t>
      </w:r>
      <w:r w:rsidR="00353CF2">
        <w:rPr>
          <w:rFonts w:cs="Times New Roman"/>
        </w:rPr>
        <w:t>all</w:t>
      </w:r>
      <w:r w:rsidR="00861B9F">
        <w:rPr>
          <w:rFonts w:cs="Times New Roman"/>
        </w:rPr>
        <w:t xml:space="preserve"> participants</w:t>
      </w:r>
      <w:r w:rsidRPr="00E90ED5" w:rsidR="00861B9F">
        <w:rPr>
          <w:rFonts w:cs="Times New Roman"/>
        </w:rPr>
        <w:t xml:space="preserve"> </w:t>
      </w:r>
      <w:r w:rsidR="00353CF2">
        <w:rPr>
          <w:rFonts w:cs="Times New Roman"/>
        </w:rPr>
        <w:t>choose</w:t>
      </w:r>
      <w:r w:rsidRPr="00E90ED5" w:rsidR="00861B9F">
        <w:rPr>
          <w:rFonts w:cs="Times New Roman"/>
        </w:rPr>
        <w:t xml:space="preserve"> to </w:t>
      </w:r>
      <w:r w:rsidR="00861B9F">
        <w:rPr>
          <w:rFonts w:cs="Times New Roman"/>
        </w:rPr>
        <w:t>complete the survey</w:t>
      </w:r>
      <w:r w:rsidRPr="00E90ED5" w:rsidR="00861B9F">
        <w:rPr>
          <w:rFonts w:cs="Times New Roman"/>
        </w:rPr>
        <w:t xml:space="preserve">, then the estimated number of respondent burden hours is </w:t>
      </w:r>
      <w:r>
        <w:rPr>
          <w:rFonts w:cs="Times New Roman"/>
        </w:rPr>
        <w:t>23</w:t>
      </w:r>
      <w:r w:rsidR="00E55474">
        <w:rPr>
          <w:rFonts w:cs="Times New Roman"/>
        </w:rPr>
        <w:t>8</w:t>
      </w:r>
      <w:r w:rsidRPr="00E90ED5" w:rsidR="00861B9F">
        <w:rPr>
          <w:rFonts w:cs="Times New Roman"/>
        </w:rPr>
        <w:t xml:space="preserve"> hours </w:t>
      </w:r>
      <w:r w:rsidR="009465D1">
        <w:rPr>
          <w:rFonts w:cs="Times New Roman"/>
        </w:rPr>
        <w:t xml:space="preserve">for </w:t>
      </w:r>
      <w:r>
        <w:rPr>
          <w:rFonts w:cs="Times New Roman"/>
        </w:rPr>
        <w:t>950</w:t>
      </w:r>
      <w:r w:rsidR="009465D1">
        <w:rPr>
          <w:rFonts w:cs="Times New Roman"/>
        </w:rPr>
        <w:t xml:space="preserve"> people </w:t>
      </w:r>
      <w:r w:rsidR="0069016E">
        <w:rPr>
          <w:rFonts w:cs="Times New Roman"/>
        </w:rPr>
        <w:t>per year</w:t>
      </w:r>
      <w:r w:rsidR="009465D1">
        <w:rPr>
          <w:rFonts w:cs="Times New Roman"/>
        </w:rPr>
        <w:t>.</w:t>
      </w:r>
      <w:r w:rsidR="00353CF2">
        <w:rPr>
          <w:rFonts w:cs="Times New Roman"/>
        </w:rPr>
        <w:t xml:space="preserve"> </w:t>
      </w:r>
      <w:r w:rsidRPr="00E90ED5" w:rsidR="00495FC1">
        <w:rPr>
          <w:rFonts w:cs="Times New Roman"/>
        </w:rPr>
        <w:t xml:space="preserve">If </w:t>
      </w:r>
      <w:r w:rsidR="00861B9F">
        <w:rPr>
          <w:rFonts w:cs="Times New Roman"/>
        </w:rPr>
        <w:t xml:space="preserve">the full sample of interview </w:t>
      </w:r>
      <w:r w:rsidRPr="00E90ED5" w:rsidR="00495FC1">
        <w:rPr>
          <w:rFonts w:cs="Times New Roman"/>
        </w:rPr>
        <w:t xml:space="preserve">respondents </w:t>
      </w:r>
      <w:r w:rsidR="00861B9F">
        <w:rPr>
          <w:rFonts w:cs="Times New Roman"/>
        </w:rPr>
        <w:t>chooses</w:t>
      </w:r>
      <w:r w:rsidRPr="00E90ED5" w:rsidR="00861B9F">
        <w:rPr>
          <w:rFonts w:cs="Times New Roman"/>
        </w:rPr>
        <w:t xml:space="preserve"> </w:t>
      </w:r>
      <w:r w:rsidRPr="00E90ED5" w:rsidR="00495FC1">
        <w:rPr>
          <w:rFonts w:cs="Times New Roman"/>
        </w:rPr>
        <w:t xml:space="preserve">to interview, then the estimated number of respondent burden hours is </w:t>
      </w:r>
      <w:r w:rsidRPr="0072279D">
        <w:rPr>
          <w:rFonts w:cs="Times New Roman"/>
        </w:rPr>
        <w:t>277</w:t>
      </w:r>
      <w:r w:rsidRPr="0072279D" w:rsidR="00495FC1">
        <w:rPr>
          <w:rFonts w:cs="Times New Roman"/>
        </w:rPr>
        <w:t xml:space="preserve"> hours</w:t>
      </w:r>
      <w:r w:rsidRPr="0072279D" w:rsidR="009A6567">
        <w:rPr>
          <w:rFonts w:cs="Times New Roman"/>
        </w:rPr>
        <w:t xml:space="preserve"> </w:t>
      </w:r>
      <w:r w:rsidR="00D00CBE">
        <w:rPr>
          <w:rFonts w:cs="Times New Roman"/>
        </w:rPr>
        <w:t xml:space="preserve">for 277 people </w:t>
      </w:r>
      <w:r w:rsidRPr="0072279D" w:rsidR="009A6567">
        <w:rPr>
          <w:rFonts w:cs="Times New Roman"/>
        </w:rPr>
        <w:t>per year</w:t>
      </w:r>
      <w:r w:rsidRPr="0072279D" w:rsidR="00495FC1">
        <w:rPr>
          <w:rFonts w:cs="Times New Roman"/>
        </w:rPr>
        <w:t xml:space="preserve">. </w:t>
      </w:r>
      <w:r w:rsidRPr="0072279D">
        <w:rPr>
          <w:rFonts w:cs="Times New Roman"/>
        </w:rPr>
        <w:t xml:space="preserve">The estimated annual cost (by wage) for </w:t>
      </w:r>
      <w:r w:rsidRPr="0072279D">
        <w:rPr>
          <w:rFonts w:cs="Times New Roman"/>
        </w:rPr>
        <w:t xml:space="preserve">respondents to participate in this information collection </w:t>
      </w:r>
      <w:r w:rsidRPr="00E225BB">
        <w:rPr>
          <w:rFonts w:cs="Times New Roman"/>
        </w:rPr>
        <w:t xml:space="preserve">is </w:t>
      </w:r>
      <w:r w:rsidRPr="0072279D" w:rsidR="00D00CBE">
        <w:rPr>
          <w:rFonts w:cs="Times New Roman"/>
          <w:color w:val="000000"/>
          <w:sz w:val="22"/>
        </w:rPr>
        <w:t xml:space="preserve">$6,627.97 </w:t>
      </w:r>
      <w:r w:rsidRPr="003420E3" w:rsidR="00D00CBE">
        <w:rPr>
          <w:rFonts w:cs="Times New Roman"/>
        </w:rPr>
        <w:t>for 15-minute surveys</w:t>
      </w:r>
      <w:r w:rsidR="00D00CBE">
        <w:rPr>
          <w:rFonts w:cs="Times New Roman"/>
        </w:rPr>
        <w:t xml:space="preserve"> if all participants complete a survey, and</w:t>
      </w:r>
      <w:r w:rsidR="006158B6">
        <w:rPr>
          <w:rFonts w:cs="Times New Roman"/>
        </w:rPr>
        <w:t xml:space="preserve"> </w:t>
      </w:r>
      <w:r w:rsidRPr="00E225BB">
        <w:rPr>
          <w:rFonts w:cs="Times New Roman"/>
        </w:rPr>
        <w:t>$</w:t>
      </w:r>
      <w:r w:rsidRPr="0072279D" w:rsidR="00B96D02">
        <w:rPr>
          <w:rFonts w:cs="Times New Roman"/>
          <w:color w:val="000000"/>
          <w:sz w:val="22"/>
        </w:rPr>
        <w:t xml:space="preserve">7,703.75 </w:t>
      </w:r>
      <w:r w:rsidRPr="00E225BB">
        <w:rPr>
          <w:rFonts w:cs="Times New Roman"/>
        </w:rPr>
        <w:t xml:space="preserve">for 1-hour interviews </w:t>
      </w:r>
      <w:r w:rsidR="006158B6">
        <w:rPr>
          <w:rFonts w:cs="Times New Roman"/>
        </w:rPr>
        <w:t xml:space="preserve">if the full sample of interview </w:t>
      </w:r>
      <w:r w:rsidRPr="00E90ED5" w:rsidR="006158B6">
        <w:rPr>
          <w:rFonts w:cs="Times New Roman"/>
        </w:rPr>
        <w:t xml:space="preserve">respondents </w:t>
      </w:r>
      <w:r w:rsidR="006158B6">
        <w:rPr>
          <w:rFonts w:cs="Times New Roman"/>
        </w:rPr>
        <w:t>chooses</w:t>
      </w:r>
      <w:r w:rsidRPr="00E90ED5" w:rsidR="006158B6">
        <w:rPr>
          <w:rFonts w:cs="Times New Roman"/>
        </w:rPr>
        <w:t xml:space="preserve"> to interview</w:t>
      </w:r>
      <w:r w:rsidR="006158B6">
        <w:rPr>
          <w:rFonts w:cs="Times New Roman"/>
        </w:rPr>
        <w:t xml:space="preserve">. </w:t>
      </w:r>
      <w:r w:rsidR="00D00CBE">
        <w:rPr>
          <w:rFonts w:cs="Times New Roman"/>
        </w:rPr>
        <w:t>Table 1 shows estimated annualized cost and hour burden for the two instruments.</w:t>
      </w:r>
    </w:p>
    <w:p w:rsidR="003305C1" w:rsidP="003305C1" w14:paraId="65F742F9" w14:textId="77777777">
      <w:pPr>
        <w:ind w:left="360"/>
        <w:rPr>
          <w:rFonts w:cs="Times New Roman"/>
        </w:rPr>
      </w:pPr>
    </w:p>
    <w:p w:rsidR="001E312B" w:rsidRPr="00E225BB" w:rsidP="00E225BB" w14:paraId="452B7D66" w14:textId="605A6291">
      <w:pPr>
        <w:rPr>
          <w:bCs/>
          <w:i/>
        </w:rPr>
      </w:pPr>
      <w:r w:rsidRPr="00E225BB">
        <w:rPr>
          <w:bCs/>
        </w:rPr>
        <w:t xml:space="preserve">Table 1. </w:t>
      </w:r>
      <w:r w:rsidRPr="00E225BB">
        <w:rPr>
          <w:bCs/>
        </w:rPr>
        <w:t>Estimated Annualized Respondent Cost and Hour Burden</w:t>
      </w:r>
    </w:p>
    <w:tbl>
      <w:tblPr>
        <w:tblStyle w:val="TableGrid"/>
        <w:tblW w:w="9929" w:type="dxa"/>
        <w:tblLook w:val="04A0"/>
      </w:tblPr>
      <w:tblGrid>
        <w:gridCol w:w="1536"/>
        <w:gridCol w:w="1306"/>
        <w:gridCol w:w="1127"/>
        <w:gridCol w:w="1094"/>
        <w:gridCol w:w="1017"/>
        <w:gridCol w:w="1205"/>
        <w:gridCol w:w="1405"/>
        <w:gridCol w:w="1228"/>
        <w:gridCol w:w="11"/>
      </w:tblGrid>
      <w:tr w14:paraId="444DFB8D" w14:textId="77777777" w:rsidTr="00E225BB">
        <w:tblPrEx>
          <w:tblW w:w="9929" w:type="dxa"/>
          <w:tblLook w:val="04A0"/>
        </w:tblPrEx>
        <w:trPr>
          <w:gridAfter w:val="1"/>
          <w:wAfter w:w="11" w:type="dxa"/>
        </w:trPr>
        <w:tc>
          <w:tcPr>
            <w:tcW w:w="1536" w:type="dxa"/>
            <w:shd w:val="clear" w:color="auto" w:fill="ADB9CA" w:themeFill="text2" w:themeFillTint="66"/>
            <w:vAlign w:val="center"/>
          </w:tcPr>
          <w:p w:rsidR="001E312B" w:rsidRPr="00E225BB" w:rsidP="00E225BB" w14:paraId="56B312B5" w14:textId="77777777">
            <w:pPr>
              <w:jc w:val="center"/>
              <w:rPr>
                <w:b/>
                <w:sz w:val="20"/>
                <w:szCs w:val="20"/>
              </w:rPr>
            </w:pPr>
            <w:r w:rsidRPr="00E225BB">
              <w:rPr>
                <w:b/>
                <w:sz w:val="20"/>
                <w:szCs w:val="20"/>
              </w:rPr>
              <w:t>Activity</w:t>
            </w:r>
          </w:p>
        </w:tc>
        <w:tc>
          <w:tcPr>
            <w:tcW w:w="1306" w:type="dxa"/>
            <w:shd w:val="clear" w:color="auto" w:fill="ADB9CA" w:themeFill="text2" w:themeFillTint="66"/>
            <w:vAlign w:val="center"/>
          </w:tcPr>
          <w:p w:rsidR="001E312B" w:rsidRPr="00E225BB" w:rsidP="00E225BB" w14:paraId="2EE19F51" w14:textId="77777777">
            <w:pPr>
              <w:jc w:val="center"/>
              <w:rPr>
                <w:b/>
                <w:sz w:val="20"/>
                <w:szCs w:val="20"/>
              </w:rPr>
            </w:pPr>
            <w:r w:rsidRPr="00E225BB">
              <w:rPr>
                <w:b/>
                <w:sz w:val="20"/>
                <w:szCs w:val="20"/>
              </w:rPr>
              <w:t>Number of Respondents</w:t>
            </w:r>
          </w:p>
        </w:tc>
        <w:tc>
          <w:tcPr>
            <w:tcW w:w="1127" w:type="dxa"/>
            <w:shd w:val="clear" w:color="auto" w:fill="ADB9CA" w:themeFill="text2" w:themeFillTint="66"/>
            <w:vAlign w:val="center"/>
          </w:tcPr>
          <w:p w:rsidR="001E312B" w:rsidRPr="00E225BB" w:rsidP="00E225BB" w14:paraId="20A9C00B" w14:textId="77777777">
            <w:pPr>
              <w:jc w:val="center"/>
              <w:rPr>
                <w:b/>
                <w:sz w:val="20"/>
                <w:szCs w:val="20"/>
              </w:rPr>
            </w:pPr>
            <w:r w:rsidRPr="00E225BB">
              <w:rPr>
                <w:b/>
                <w:sz w:val="20"/>
                <w:szCs w:val="20"/>
              </w:rPr>
              <w:t>Frequency</w:t>
            </w:r>
          </w:p>
        </w:tc>
        <w:tc>
          <w:tcPr>
            <w:tcW w:w="1094" w:type="dxa"/>
            <w:shd w:val="clear" w:color="auto" w:fill="ADB9CA" w:themeFill="text2" w:themeFillTint="66"/>
            <w:vAlign w:val="center"/>
          </w:tcPr>
          <w:p w:rsidR="001E312B" w:rsidRPr="00E225BB" w:rsidP="00E225BB" w14:paraId="2B3922C4" w14:textId="77777777">
            <w:pPr>
              <w:jc w:val="center"/>
              <w:rPr>
                <w:b/>
                <w:sz w:val="20"/>
                <w:szCs w:val="20"/>
              </w:rPr>
            </w:pPr>
            <w:r w:rsidRPr="00E225BB">
              <w:rPr>
                <w:b/>
                <w:sz w:val="20"/>
                <w:szCs w:val="20"/>
              </w:rPr>
              <w:t>Total Annual Responses</w:t>
            </w:r>
          </w:p>
        </w:tc>
        <w:tc>
          <w:tcPr>
            <w:tcW w:w="1017" w:type="dxa"/>
            <w:shd w:val="clear" w:color="auto" w:fill="ADB9CA" w:themeFill="text2" w:themeFillTint="66"/>
            <w:vAlign w:val="center"/>
          </w:tcPr>
          <w:p w:rsidR="001E312B" w:rsidRPr="00E225BB" w:rsidP="00E225BB" w14:paraId="49F77898" w14:textId="77777777">
            <w:pPr>
              <w:jc w:val="center"/>
              <w:rPr>
                <w:b/>
                <w:sz w:val="20"/>
                <w:szCs w:val="20"/>
              </w:rPr>
            </w:pPr>
            <w:r w:rsidRPr="00E225BB">
              <w:rPr>
                <w:b/>
                <w:sz w:val="20"/>
                <w:szCs w:val="20"/>
              </w:rPr>
              <w:t>Time Per Response</w:t>
            </w:r>
          </w:p>
        </w:tc>
        <w:tc>
          <w:tcPr>
            <w:tcW w:w="1205" w:type="dxa"/>
            <w:shd w:val="clear" w:color="auto" w:fill="ADB9CA" w:themeFill="text2" w:themeFillTint="66"/>
            <w:vAlign w:val="center"/>
          </w:tcPr>
          <w:p w:rsidR="001E312B" w:rsidRPr="00E225BB" w:rsidP="00E225BB" w14:paraId="35DA2C52" w14:textId="77777777">
            <w:pPr>
              <w:jc w:val="center"/>
              <w:rPr>
                <w:b/>
                <w:sz w:val="20"/>
                <w:szCs w:val="20"/>
              </w:rPr>
            </w:pPr>
            <w:r w:rsidRPr="00E225BB">
              <w:rPr>
                <w:b/>
                <w:sz w:val="20"/>
                <w:szCs w:val="20"/>
              </w:rPr>
              <w:t>Total Annual Burden (Hours)</w:t>
            </w:r>
          </w:p>
        </w:tc>
        <w:tc>
          <w:tcPr>
            <w:tcW w:w="1405" w:type="dxa"/>
            <w:shd w:val="clear" w:color="auto" w:fill="ADB9CA" w:themeFill="text2" w:themeFillTint="66"/>
            <w:vAlign w:val="center"/>
          </w:tcPr>
          <w:p w:rsidR="001E312B" w:rsidRPr="00E225BB" w:rsidP="00E225BB" w14:paraId="0DE31C1C" w14:textId="6FB222F7">
            <w:pPr>
              <w:jc w:val="center"/>
              <w:rPr>
                <w:b/>
                <w:sz w:val="20"/>
                <w:szCs w:val="20"/>
              </w:rPr>
            </w:pPr>
            <w:r w:rsidRPr="00E225BB">
              <w:rPr>
                <w:b/>
                <w:sz w:val="20"/>
                <w:szCs w:val="20"/>
              </w:rPr>
              <w:t xml:space="preserve">Hourly </w:t>
            </w:r>
            <w:r w:rsidR="00344E63">
              <w:rPr>
                <w:b/>
                <w:sz w:val="20"/>
                <w:szCs w:val="20"/>
              </w:rPr>
              <w:br/>
            </w:r>
            <w:r w:rsidRPr="00E225BB">
              <w:rPr>
                <w:b/>
                <w:sz w:val="20"/>
                <w:szCs w:val="20"/>
              </w:rPr>
              <w:t>Rate*</w:t>
            </w:r>
          </w:p>
        </w:tc>
        <w:tc>
          <w:tcPr>
            <w:tcW w:w="1228" w:type="dxa"/>
            <w:shd w:val="clear" w:color="auto" w:fill="ADB9CA" w:themeFill="text2" w:themeFillTint="66"/>
            <w:vAlign w:val="center"/>
          </w:tcPr>
          <w:p w:rsidR="001E312B" w:rsidRPr="00E225BB" w:rsidP="00E225BB" w14:paraId="5CBA1B3D" w14:textId="77777777">
            <w:pPr>
              <w:jc w:val="center"/>
              <w:rPr>
                <w:b/>
                <w:sz w:val="20"/>
                <w:szCs w:val="20"/>
              </w:rPr>
            </w:pPr>
            <w:r w:rsidRPr="00E225BB">
              <w:rPr>
                <w:b/>
                <w:sz w:val="20"/>
                <w:szCs w:val="20"/>
              </w:rPr>
              <w:t>Monetized Value of Respondent Time</w:t>
            </w:r>
          </w:p>
        </w:tc>
      </w:tr>
      <w:tr w14:paraId="56D63891" w14:textId="77777777" w:rsidTr="00E225BB">
        <w:tblPrEx>
          <w:tblW w:w="9929" w:type="dxa"/>
          <w:tblLook w:val="04A0"/>
        </w:tblPrEx>
        <w:tc>
          <w:tcPr>
            <w:tcW w:w="9929" w:type="dxa"/>
            <w:gridSpan w:val="9"/>
            <w:shd w:val="clear" w:color="auto" w:fill="D0CECE" w:themeFill="background2" w:themeFillShade="E6"/>
            <w:vAlign w:val="center"/>
          </w:tcPr>
          <w:p w:rsidR="00E225BB" w:rsidRPr="008F47CB" w:rsidP="00E225BB" w14:paraId="589C96F3" w14:textId="7E99A22C">
            <w:pPr>
              <w:rPr>
                <w:sz w:val="22"/>
              </w:rPr>
            </w:pPr>
            <w:r w:rsidRPr="00E225BB">
              <w:rPr>
                <w:b/>
                <w:bCs/>
                <w:sz w:val="22"/>
              </w:rPr>
              <w:t>Survey</w:t>
            </w:r>
          </w:p>
        </w:tc>
      </w:tr>
      <w:tr w14:paraId="403669DC" w14:textId="77777777" w:rsidTr="00E225BB">
        <w:tblPrEx>
          <w:tblW w:w="9929" w:type="dxa"/>
          <w:tblLook w:val="04A0"/>
        </w:tblPrEx>
        <w:trPr>
          <w:gridAfter w:val="1"/>
          <w:wAfter w:w="11" w:type="dxa"/>
        </w:trPr>
        <w:tc>
          <w:tcPr>
            <w:tcW w:w="1536" w:type="dxa"/>
            <w:vAlign w:val="center"/>
          </w:tcPr>
          <w:p w:rsidR="00E55474" w:rsidP="00E55474" w14:paraId="6BD88978" w14:textId="5807635D">
            <w:pPr>
              <w:jc w:val="right"/>
              <w:rPr>
                <w:sz w:val="22"/>
              </w:rPr>
            </w:pPr>
            <w:r w:rsidRPr="00B96D02">
              <w:rPr>
                <w:rFonts w:cs="Times New Roman"/>
                <w:sz w:val="22"/>
              </w:rPr>
              <w:t>Law Enforcement Workers</w:t>
            </w:r>
          </w:p>
        </w:tc>
        <w:tc>
          <w:tcPr>
            <w:tcW w:w="1306" w:type="dxa"/>
            <w:vAlign w:val="center"/>
          </w:tcPr>
          <w:p w:rsidR="00E55474" w:rsidP="00E225BB" w14:paraId="6D1EAA77" w14:textId="30A7114D">
            <w:pPr>
              <w:jc w:val="center"/>
              <w:rPr>
                <w:sz w:val="22"/>
              </w:rPr>
            </w:pPr>
            <w:r w:rsidRPr="00B96D02">
              <w:rPr>
                <w:rFonts w:cs="Times New Roman"/>
                <w:color w:val="000000"/>
                <w:sz w:val="22"/>
              </w:rPr>
              <w:t>159</w:t>
            </w:r>
          </w:p>
        </w:tc>
        <w:tc>
          <w:tcPr>
            <w:tcW w:w="1127" w:type="dxa"/>
            <w:vAlign w:val="center"/>
          </w:tcPr>
          <w:p w:rsidR="00E55474" w:rsidP="00E225BB" w14:paraId="4C7E8A65" w14:textId="5A993902">
            <w:pPr>
              <w:jc w:val="center"/>
              <w:rPr>
                <w:sz w:val="22"/>
              </w:rPr>
            </w:pPr>
            <w:r>
              <w:rPr>
                <w:sz w:val="22"/>
              </w:rPr>
              <w:t>1</w:t>
            </w:r>
          </w:p>
        </w:tc>
        <w:tc>
          <w:tcPr>
            <w:tcW w:w="1094" w:type="dxa"/>
            <w:vAlign w:val="center"/>
          </w:tcPr>
          <w:p w:rsidR="00E55474" w:rsidP="00E225BB" w14:paraId="2D902593" w14:textId="19DC0496">
            <w:pPr>
              <w:jc w:val="center"/>
              <w:rPr>
                <w:sz w:val="22"/>
              </w:rPr>
            </w:pPr>
            <w:r w:rsidRPr="00B96D02">
              <w:rPr>
                <w:rFonts w:cs="Times New Roman"/>
                <w:color w:val="000000"/>
                <w:sz w:val="22"/>
              </w:rPr>
              <w:t>159</w:t>
            </w:r>
          </w:p>
        </w:tc>
        <w:tc>
          <w:tcPr>
            <w:tcW w:w="1017" w:type="dxa"/>
            <w:vAlign w:val="center"/>
          </w:tcPr>
          <w:p w:rsidR="00E55474" w:rsidP="00E225BB" w14:paraId="0DFE4CED" w14:textId="6FEC2425">
            <w:pPr>
              <w:jc w:val="center"/>
              <w:rPr>
                <w:sz w:val="22"/>
              </w:rPr>
            </w:pPr>
            <w:r>
              <w:rPr>
                <w:sz w:val="22"/>
              </w:rPr>
              <w:t>15</w:t>
            </w:r>
            <w:r w:rsidR="00B945C6">
              <w:rPr>
                <w:sz w:val="22"/>
              </w:rPr>
              <w:t xml:space="preserve"> </w:t>
            </w:r>
            <w:r>
              <w:rPr>
                <w:sz w:val="22"/>
              </w:rPr>
              <w:t>min</w:t>
            </w:r>
          </w:p>
        </w:tc>
        <w:tc>
          <w:tcPr>
            <w:tcW w:w="1205" w:type="dxa"/>
            <w:vAlign w:val="center"/>
          </w:tcPr>
          <w:p w:rsidR="00E55474" w:rsidP="00E225BB" w14:paraId="6FD9CF60" w14:textId="68E7FB26">
            <w:pPr>
              <w:jc w:val="center"/>
              <w:rPr>
                <w:sz w:val="22"/>
              </w:rPr>
            </w:pPr>
            <w:r>
              <w:rPr>
                <w:sz w:val="22"/>
              </w:rPr>
              <w:t>39.75</w:t>
            </w:r>
          </w:p>
        </w:tc>
        <w:tc>
          <w:tcPr>
            <w:tcW w:w="1405" w:type="dxa"/>
            <w:vAlign w:val="center"/>
          </w:tcPr>
          <w:p w:rsidR="00E55474" w:rsidRPr="008F47CB" w:rsidP="00E225BB" w14:paraId="11F58752" w14:textId="1EC5FF62">
            <w:pPr>
              <w:jc w:val="center"/>
              <w:rPr>
                <w:sz w:val="22"/>
              </w:rPr>
            </w:pPr>
            <w:r w:rsidRPr="00B96D02">
              <w:rPr>
                <w:rFonts w:cs="Times New Roman"/>
                <w:sz w:val="22"/>
              </w:rPr>
              <w:t>$32.49</w:t>
            </w:r>
          </w:p>
        </w:tc>
        <w:tc>
          <w:tcPr>
            <w:tcW w:w="1228" w:type="dxa"/>
            <w:vAlign w:val="center"/>
          </w:tcPr>
          <w:p w:rsidR="00E55474" w:rsidRPr="008F47CB" w:rsidP="00E225BB" w14:paraId="13550891" w14:textId="61A8DCF8">
            <w:pPr>
              <w:jc w:val="center"/>
              <w:rPr>
                <w:sz w:val="22"/>
              </w:rPr>
            </w:pPr>
            <w:r w:rsidRPr="00B96D02">
              <w:rPr>
                <w:rFonts w:cs="Times New Roman"/>
                <w:color w:val="000000"/>
                <w:sz w:val="22"/>
              </w:rPr>
              <w:t>$1,291.48</w:t>
            </w:r>
          </w:p>
        </w:tc>
      </w:tr>
      <w:tr w14:paraId="2C973D48" w14:textId="77777777" w:rsidTr="00E225BB">
        <w:tblPrEx>
          <w:tblW w:w="9929" w:type="dxa"/>
          <w:tblLook w:val="04A0"/>
        </w:tblPrEx>
        <w:trPr>
          <w:gridAfter w:val="1"/>
          <w:wAfter w:w="11" w:type="dxa"/>
        </w:trPr>
        <w:tc>
          <w:tcPr>
            <w:tcW w:w="1536" w:type="dxa"/>
            <w:vAlign w:val="center"/>
          </w:tcPr>
          <w:p w:rsidR="00E55474" w:rsidP="00E55474" w14:paraId="6A427D32" w14:textId="2E7BC7AB">
            <w:pPr>
              <w:jc w:val="right"/>
              <w:rPr>
                <w:sz w:val="22"/>
              </w:rPr>
            </w:pPr>
            <w:r w:rsidRPr="00B96D02">
              <w:rPr>
                <w:rFonts w:cs="Times New Roman"/>
                <w:sz w:val="22"/>
              </w:rPr>
              <w:t>First-Line Law Enforcement Supervisors</w:t>
            </w:r>
          </w:p>
        </w:tc>
        <w:tc>
          <w:tcPr>
            <w:tcW w:w="1306" w:type="dxa"/>
            <w:vAlign w:val="center"/>
          </w:tcPr>
          <w:p w:rsidR="00E55474" w:rsidP="00E225BB" w14:paraId="13C9DB4E" w14:textId="144F76F7">
            <w:pPr>
              <w:jc w:val="center"/>
              <w:rPr>
                <w:sz w:val="22"/>
              </w:rPr>
            </w:pPr>
            <w:r w:rsidRPr="00B96D02">
              <w:rPr>
                <w:rFonts w:cs="Times New Roman"/>
                <w:color w:val="000000"/>
                <w:sz w:val="22"/>
              </w:rPr>
              <w:t>158</w:t>
            </w:r>
          </w:p>
        </w:tc>
        <w:tc>
          <w:tcPr>
            <w:tcW w:w="1127" w:type="dxa"/>
            <w:vAlign w:val="center"/>
          </w:tcPr>
          <w:p w:rsidR="00E55474" w:rsidP="00E225BB" w14:paraId="41EF07A4" w14:textId="7CE6E5A4">
            <w:pPr>
              <w:jc w:val="center"/>
              <w:rPr>
                <w:sz w:val="22"/>
              </w:rPr>
            </w:pPr>
            <w:r>
              <w:rPr>
                <w:sz w:val="22"/>
              </w:rPr>
              <w:t>1</w:t>
            </w:r>
          </w:p>
        </w:tc>
        <w:tc>
          <w:tcPr>
            <w:tcW w:w="1094" w:type="dxa"/>
            <w:vAlign w:val="center"/>
          </w:tcPr>
          <w:p w:rsidR="00E55474" w:rsidP="00E225BB" w14:paraId="0A050349" w14:textId="28A8B91F">
            <w:pPr>
              <w:jc w:val="center"/>
              <w:rPr>
                <w:sz w:val="22"/>
              </w:rPr>
            </w:pPr>
            <w:r w:rsidRPr="00B96D02">
              <w:rPr>
                <w:rFonts w:cs="Times New Roman"/>
                <w:color w:val="000000"/>
                <w:sz w:val="22"/>
              </w:rPr>
              <w:t>158</w:t>
            </w:r>
          </w:p>
        </w:tc>
        <w:tc>
          <w:tcPr>
            <w:tcW w:w="1017" w:type="dxa"/>
            <w:vAlign w:val="center"/>
          </w:tcPr>
          <w:p w:rsidR="00E55474" w:rsidP="00E225BB" w14:paraId="7D5BBFCA" w14:textId="6585E306">
            <w:pPr>
              <w:jc w:val="center"/>
              <w:rPr>
                <w:sz w:val="22"/>
              </w:rPr>
            </w:pPr>
            <w:r>
              <w:rPr>
                <w:sz w:val="22"/>
              </w:rPr>
              <w:t>15</w:t>
            </w:r>
            <w:r w:rsidR="00B945C6">
              <w:rPr>
                <w:sz w:val="22"/>
              </w:rPr>
              <w:t xml:space="preserve"> </w:t>
            </w:r>
            <w:r>
              <w:rPr>
                <w:sz w:val="22"/>
              </w:rPr>
              <w:t>min</w:t>
            </w:r>
          </w:p>
        </w:tc>
        <w:tc>
          <w:tcPr>
            <w:tcW w:w="1205" w:type="dxa"/>
            <w:vAlign w:val="center"/>
          </w:tcPr>
          <w:p w:rsidR="00E55474" w:rsidP="00E225BB" w14:paraId="43D99208" w14:textId="53234AAC">
            <w:pPr>
              <w:jc w:val="center"/>
              <w:rPr>
                <w:sz w:val="22"/>
              </w:rPr>
            </w:pPr>
            <w:r>
              <w:rPr>
                <w:sz w:val="22"/>
              </w:rPr>
              <w:t>39.5</w:t>
            </w:r>
          </w:p>
        </w:tc>
        <w:tc>
          <w:tcPr>
            <w:tcW w:w="1405" w:type="dxa"/>
            <w:vAlign w:val="center"/>
          </w:tcPr>
          <w:p w:rsidR="00E55474" w:rsidRPr="008F47CB" w:rsidP="00E225BB" w14:paraId="0CC41B3F" w14:textId="2CE3277F">
            <w:pPr>
              <w:jc w:val="center"/>
              <w:rPr>
                <w:sz w:val="22"/>
              </w:rPr>
            </w:pPr>
            <w:r w:rsidRPr="00B96D02">
              <w:rPr>
                <w:rFonts w:cs="Times New Roman"/>
                <w:sz w:val="22"/>
              </w:rPr>
              <w:t>$43.61</w:t>
            </w:r>
          </w:p>
        </w:tc>
        <w:tc>
          <w:tcPr>
            <w:tcW w:w="1228" w:type="dxa"/>
            <w:vAlign w:val="center"/>
          </w:tcPr>
          <w:p w:rsidR="00E55474" w:rsidRPr="008F47CB" w:rsidP="00E225BB" w14:paraId="5A55E74C" w14:textId="26320EBB">
            <w:pPr>
              <w:jc w:val="center"/>
              <w:rPr>
                <w:sz w:val="22"/>
              </w:rPr>
            </w:pPr>
            <w:r w:rsidRPr="00B96D02">
              <w:rPr>
                <w:rFonts w:cs="Times New Roman"/>
                <w:color w:val="000000"/>
                <w:sz w:val="22"/>
              </w:rPr>
              <w:t>$1,722.60</w:t>
            </w:r>
          </w:p>
        </w:tc>
      </w:tr>
      <w:tr w14:paraId="76442C14" w14:textId="77777777" w:rsidTr="00E225BB">
        <w:tblPrEx>
          <w:tblW w:w="9929" w:type="dxa"/>
          <w:tblLook w:val="04A0"/>
        </w:tblPrEx>
        <w:trPr>
          <w:gridAfter w:val="1"/>
          <w:wAfter w:w="11" w:type="dxa"/>
        </w:trPr>
        <w:tc>
          <w:tcPr>
            <w:tcW w:w="1536" w:type="dxa"/>
            <w:vAlign w:val="center"/>
          </w:tcPr>
          <w:p w:rsidR="00E55474" w:rsidP="00E55474" w14:paraId="2DC5E50F" w14:textId="5DA7BFA4">
            <w:pPr>
              <w:jc w:val="right"/>
              <w:rPr>
                <w:sz w:val="22"/>
              </w:rPr>
            </w:pPr>
            <w:r w:rsidRPr="00B96D02">
              <w:rPr>
                <w:rFonts w:cs="Times New Roman"/>
                <w:sz w:val="22"/>
              </w:rPr>
              <w:t>Secondary School Administrators</w:t>
            </w:r>
          </w:p>
        </w:tc>
        <w:tc>
          <w:tcPr>
            <w:tcW w:w="1306" w:type="dxa"/>
            <w:vAlign w:val="center"/>
          </w:tcPr>
          <w:p w:rsidR="00E55474" w:rsidP="00E225BB" w14:paraId="1BF13157" w14:textId="479399DA">
            <w:pPr>
              <w:jc w:val="center"/>
              <w:rPr>
                <w:sz w:val="22"/>
              </w:rPr>
            </w:pPr>
            <w:r w:rsidRPr="00B96D02">
              <w:rPr>
                <w:rFonts w:cs="Times New Roman"/>
                <w:color w:val="000000"/>
                <w:sz w:val="22"/>
              </w:rPr>
              <w:t>105</w:t>
            </w:r>
          </w:p>
        </w:tc>
        <w:tc>
          <w:tcPr>
            <w:tcW w:w="1127" w:type="dxa"/>
            <w:vAlign w:val="center"/>
          </w:tcPr>
          <w:p w:rsidR="00E55474" w:rsidP="00E225BB" w14:paraId="0EFE95A0" w14:textId="16E49A99">
            <w:pPr>
              <w:jc w:val="center"/>
              <w:rPr>
                <w:sz w:val="22"/>
              </w:rPr>
            </w:pPr>
            <w:r>
              <w:rPr>
                <w:sz w:val="22"/>
              </w:rPr>
              <w:t>1</w:t>
            </w:r>
          </w:p>
        </w:tc>
        <w:tc>
          <w:tcPr>
            <w:tcW w:w="1094" w:type="dxa"/>
            <w:vAlign w:val="center"/>
          </w:tcPr>
          <w:p w:rsidR="00E55474" w:rsidP="00E225BB" w14:paraId="57BEC562" w14:textId="6BD2B0CD">
            <w:pPr>
              <w:jc w:val="center"/>
              <w:rPr>
                <w:sz w:val="22"/>
              </w:rPr>
            </w:pPr>
            <w:r w:rsidRPr="00B96D02">
              <w:rPr>
                <w:rFonts w:cs="Times New Roman"/>
                <w:color w:val="000000"/>
                <w:sz w:val="22"/>
              </w:rPr>
              <w:t>105</w:t>
            </w:r>
          </w:p>
        </w:tc>
        <w:tc>
          <w:tcPr>
            <w:tcW w:w="1017" w:type="dxa"/>
            <w:vAlign w:val="center"/>
          </w:tcPr>
          <w:p w:rsidR="00E55474" w:rsidP="00E225BB" w14:paraId="4CA72B86" w14:textId="1CCBB52E">
            <w:pPr>
              <w:jc w:val="center"/>
              <w:rPr>
                <w:sz w:val="22"/>
              </w:rPr>
            </w:pPr>
            <w:r>
              <w:rPr>
                <w:sz w:val="22"/>
              </w:rPr>
              <w:t>15</w:t>
            </w:r>
            <w:r w:rsidR="00B945C6">
              <w:rPr>
                <w:sz w:val="22"/>
              </w:rPr>
              <w:t xml:space="preserve"> </w:t>
            </w:r>
            <w:r>
              <w:rPr>
                <w:sz w:val="22"/>
              </w:rPr>
              <w:t>min</w:t>
            </w:r>
          </w:p>
        </w:tc>
        <w:tc>
          <w:tcPr>
            <w:tcW w:w="1205" w:type="dxa"/>
            <w:vAlign w:val="center"/>
          </w:tcPr>
          <w:p w:rsidR="00E55474" w:rsidP="00E225BB" w14:paraId="443D953D" w14:textId="3ACE49E8">
            <w:pPr>
              <w:jc w:val="center"/>
              <w:rPr>
                <w:sz w:val="22"/>
              </w:rPr>
            </w:pPr>
            <w:r>
              <w:rPr>
                <w:sz w:val="22"/>
              </w:rPr>
              <w:t>26.25</w:t>
            </w:r>
          </w:p>
        </w:tc>
        <w:tc>
          <w:tcPr>
            <w:tcW w:w="1405" w:type="dxa"/>
            <w:vAlign w:val="center"/>
          </w:tcPr>
          <w:p w:rsidR="00E55474" w:rsidRPr="008F47CB" w:rsidP="00E225BB" w14:paraId="09930BAC" w14:textId="216F0543">
            <w:pPr>
              <w:jc w:val="center"/>
              <w:rPr>
                <w:sz w:val="22"/>
              </w:rPr>
            </w:pPr>
            <w:r w:rsidRPr="00B96D02">
              <w:rPr>
                <w:rFonts w:cs="Times New Roman"/>
                <w:sz w:val="22"/>
              </w:rPr>
              <w:t>$51.29</w:t>
            </w:r>
          </w:p>
        </w:tc>
        <w:tc>
          <w:tcPr>
            <w:tcW w:w="1228" w:type="dxa"/>
            <w:vAlign w:val="center"/>
          </w:tcPr>
          <w:p w:rsidR="00E55474" w:rsidRPr="008F47CB" w:rsidP="00E225BB" w14:paraId="69337609" w14:textId="696BE057">
            <w:pPr>
              <w:jc w:val="center"/>
              <w:rPr>
                <w:sz w:val="22"/>
              </w:rPr>
            </w:pPr>
            <w:r w:rsidRPr="00B96D02">
              <w:rPr>
                <w:rFonts w:cs="Times New Roman"/>
                <w:color w:val="000000"/>
                <w:sz w:val="22"/>
              </w:rPr>
              <w:t>$1,346.36</w:t>
            </w:r>
          </w:p>
        </w:tc>
      </w:tr>
      <w:tr w14:paraId="05D601FB" w14:textId="77777777" w:rsidTr="00E225BB">
        <w:tblPrEx>
          <w:tblW w:w="9929" w:type="dxa"/>
          <w:tblLook w:val="04A0"/>
        </w:tblPrEx>
        <w:trPr>
          <w:gridAfter w:val="1"/>
          <w:wAfter w:w="11" w:type="dxa"/>
        </w:trPr>
        <w:tc>
          <w:tcPr>
            <w:tcW w:w="1536" w:type="dxa"/>
            <w:vAlign w:val="center"/>
          </w:tcPr>
          <w:p w:rsidR="00E55474" w:rsidP="00E55474" w14:paraId="25C4A3BD" w14:textId="076FCC3A">
            <w:pPr>
              <w:jc w:val="right"/>
              <w:rPr>
                <w:sz w:val="22"/>
              </w:rPr>
            </w:pPr>
            <w:r w:rsidRPr="00B96D02">
              <w:rPr>
                <w:rFonts w:cs="Times New Roman"/>
                <w:sz w:val="22"/>
              </w:rPr>
              <w:t>Secondary School Teachers</w:t>
            </w:r>
          </w:p>
        </w:tc>
        <w:tc>
          <w:tcPr>
            <w:tcW w:w="1306" w:type="dxa"/>
            <w:vAlign w:val="center"/>
          </w:tcPr>
          <w:p w:rsidR="00E55474" w:rsidP="00E225BB" w14:paraId="03CA56C4" w14:textId="04821BE9">
            <w:pPr>
              <w:jc w:val="center"/>
              <w:rPr>
                <w:sz w:val="22"/>
              </w:rPr>
            </w:pPr>
            <w:r w:rsidRPr="00B96D02">
              <w:rPr>
                <w:rFonts w:cs="Times New Roman"/>
                <w:color w:val="000000"/>
                <w:sz w:val="22"/>
              </w:rPr>
              <w:t>105</w:t>
            </w:r>
          </w:p>
        </w:tc>
        <w:tc>
          <w:tcPr>
            <w:tcW w:w="1127" w:type="dxa"/>
            <w:vAlign w:val="center"/>
          </w:tcPr>
          <w:p w:rsidR="00E55474" w:rsidP="00E225BB" w14:paraId="046F4D29" w14:textId="38BFE55F">
            <w:pPr>
              <w:jc w:val="center"/>
              <w:rPr>
                <w:sz w:val="22"/>
              </w:rPr>
            </w:pPr>
            <w:r>
              <w:rPr>
                <w:sz w:val="22"/>
              </w:rPr>
              <w:t>1</w:t>
            </w:r>
          </w:p>
        </w:tc>
        <w:tc>
          <w:tcPr>
            <w:tcW w:w="1094" w:type="dxa"/>
            <w:vAlign w:val="center"/>
          </w:tcPr>
          <w:p w:rsidR="00E55474" w:rsidP="00E225BB" w14:paraId="3CEFDAF6" w14:textId="0CD5A0D0">
            <w:pPr>
              <w:jc w:val="center"/>
              <w:rPr>
                <w:sz w:val="22"/>
              </w:rPr>
            </w:pPr>
            <w:r w:rsidRPr="00B96D02">
              <w:rPr>
                <w:rFonts w:cs="Times New Roman"/>
                <w:color w:val="000000"/>
                <w:sz w:val="22"/>
              </w:rPr>
              <w:t>105</w:t>
            </w:r>
          </w:p>
        </w:tc>
        <w:tc>
          <w:tcPr>
            <w:tcW w:w="1017" w:type="dxa"/>
            <w:vAlign w:val="center"/>
          </w:tcPr>
          <w:p w:rsidR="00E55474" w:rsidP="00E225BB" w14:paraId="58AFEAA1" w14:textId="404B62AE">
            <w:pPr>
              <w:jc w:val="center"/>
              <w:rPr>
                <w:sz w:val="22"/>
              </w:rPr>
            </w:pPr>
            <w:r>
              <w:rPr>
                <w:sz w:val="22"/>
              </w:rPr>
              <w:t>15</w:t>
            </w:r>
            <w:r w:rsidR="00B945C6">
              <w:rPr>
                <w:sz w:val="22"/>
              </w:rPr>
              <w:t xml:space="preserve"> </w:t>
            </w:r>
            <w:r>
              <w:rPr>
                <w:sz w:val="22"/>
              </w:rPr>
              <w:t>min</w:t>
            </w:r>
          </w:p>
        </w:tc>
        <w:tc>
          <w:tcPr>
            <w:tcW w:w="1205" w:type="dxa"/>
            <w:vAlign w:val="center"/>
          </w:tcPr>
          <w:p w:rsidR="00E55474" w:rsidP="00E225BB" w14:paraId="6FC90577" w14:textId="1F50E3FE">
            <w:pPr>
              <w:jc w:val="center"/>
              <w:rPr>
                <w:sz w:val="22"/>
              </w:rPr>
            </w:pPr>
            <w:r>
              <w:rPr>
                <w:sz w:val="22"/>
              </w:rPr>
              <w:t>26.25</w:t>
            </w:r>
          </w:p>
        </w:tc>
        <w:tc>
          <w:tcPr>
            <w:tcW w:w="1405" w:type="dxa"/>
            <w:vAlign w:val="center"/>
          </w:tcPr>
          <w:p w:rsidR="00E55474" w:rsidRPr="008F47CB" w:rsidP="00E225BB" w14:paraId="0DE3A46A" w14:textId="3B2991D0">
            <w:pPr>
              <w:jc w:val="center"/>
              <w:rPr>
                <w:sz w:val="22"/>
              </w:rPr>
            </w:pPr>
            <w:r w:rsidRPr="00B96D02">
              <w:rPr>
                <w:rFonts w:cs="Times New Roman"/>
                <w:sz w:val="22"/>
              </w:rPr>
              <w:t>$33.33</w:t>
            </w:r>
          </w:p>
        </w:tc>
        <w:tc>
          <w:tcPr>
            <w:tcW w:w="1228" w:type="dxa"/>
            <w:vAlign w:val="center"/>
          </w:tcPr>
          <w:p w:rsidR="00E55474" w:rsidRPr="008F47CB" w:rsidP="00E225BB" w14:paraId="7127257C" w14:textId="6A8A6396">
            <w:pPr>
              <w:jc w:val="center"/>
              <w:rPr>
                <w:sz w:val="22"/>
              </w:rPr>
            </w:pPr>
            <w:r w:rsidRPr="00B96D02">
              <w:rPr>
                <w:rFonts w:cs="Times New Roman"/>
                <w:color w:val="000000"/>
                <w:sz w:val="22"/>
              </w:rPr>
              <w:t>$874.91</w:t>
            </w:r>
          </w:p>
        </w:tc>
      </w:tr>
      <w:tr w14:paraId="52984644" w14:textId="77777777" w:rsidTr="00E225BB">
        <w:tblPrEx>
          <w:tblW w:w="9929" w:type="dxa"/>
          <w:tblLook w:val="04A0"/>
        </w:tblPrEx>
        <w:trPr>
          <w:gridAfter w:val="1"/>
          <w:wAfter w:w="11" w:type="dxa"/>
        </w:trPr>
        <w:tc>
          <w:tcPr>
            <w:tcW w:w="1536" w:type="dxa"/>
            <w:vAlign w:val="center"/>
          </w:tcPr>
          <w:p w:rsidR="00E55474" w:rsidP="00E55474" w14:paraId="7D4E715F" w14:textId="66FA71C8">
            <w:pPr>
              <w:jc w:val="right"/>
              <w:rPr>
                <w:sz w:val="22"/>
              </w:rPr>
            </w:pPr>
            <w:r w:rsidRPr="00B96D02">
              <w:rPr>
                <w:rFonts w:cs="Times New Roman"/>
                <w:sz w:val="22"/>
              </w:rPr>
              <w:t>Educational Counselors</w:t>
            </w:r>
          </w:p>
        </w:tc>
        <w:tc>
          <w:tcPr>
            <w:tcW w:w="1306" w:type="dxa"/>
            <w:vAlign w:val="center"/>
          </w:tcPr>
          <w:p w:rsidR="00E55474" w:rsidP="00E225BB" w14:paraId="45604DE9" w14:textId="0E7579B6">
            <w:pPr>
              <w:jc w:val="center"/>
              <w:rPr>
                <w:sz w:val="22"/>
              </w:rPr>
            </w:pPr>
            <w:r w:rsidRPr="00B96D02">
              <w:rPr>
                <w:rFonts w:cs="Times New Roman"/>
                <w:color w:val="000000"/>
                <w:sz w:val="22"/>
              </w:rPr>
              <w:t>106</w:t>
            </w:r>
          </w:p>
        </w:tc>
        <w:tc>
          <w:tcPr>
            <w:tcW w:w="1127" w:type="dxa"/>
            <w:vAlign w:val="center"/>
          </w:tcPr>
          <w:p w:rsidR="00E55474" w:rsidP="00E225BB" w14:paraId="1A99BBFD" w14:textId="44BECD29">
            <w:pPr>
              <w:jc w:val="center"/>
              <w:rPr>
                <w:sz w:val="22"/>
              </w:rPr>
            </w:pPr>
            <w:r>
              <w:rPr>
                <w:sz w:val="22"/>
              </w:rPr>
              <w:t>1</w:t>
            </w:r>
          </w:p>
        </w:tc>
        <w:tc>
          <w:tcPr>
            <w:tcW w:w="1094" w:type="dxa"/>
            <w:vAlign w:val="center"/>
          </w:tcPr>
          <w:p w:rsidR="00E55474" w:rsidP="00E225BB" w14:paraId="16CD924F" w14:textId="7A86F43F">
            <w:pPr>
              <w:jc w:val="center"/>
              <w:rPr>
                <w:sz w:val="22"/>
              </w:rPr>
            </w:pPr>
            <w:r w:rsidRPr="00B96D02">
              <w:rPr>
                <w:rFonts w:cs="Times New Roman"/>
                <w:color w:val="000000"/>
                <w:sz w:val="22"/>
              </w:rPr>
              <w:t>106</w:t>
            </w:r>
          </w:p>
        </w:tc>
        <w:tc>
          <w:tcPr>
            <w:tcW w:w="1017" w:type="dxa"/>
            <w:vAlign w:val="center"/>
          </w:tcPr>
          <w:p w:rsidR="00E55474" w:rsidP="00E225BB" w14:paraId="6772996B" w14:textId="0B10F230">
            <w:pPr>
              <w:jc w:val="center"/>
              <w:rPr>
                <w:sz w:val="22"/>
              </w:rPr>
            </w:pPr>
            <w:r>
              <w:rPr>
                <w:sz w:val="22"/>
              </w:rPr>
              <w:t>15</w:t>
            </w:r>
            <w:r w:rsidR="00B945C6">
              <w:rPr>
                <w:sz w:val="22"/>
              </w:rPr>
              <w:t xml:space="preserve"> </w:t>
            </w:r>
            <w:r>
              <w:rPr>
                <w:sz w:val="22"/>
              </w:rPr>
              <w:t>min</w:t>
            </w:r>
          </w:p>
        </w:tc>
        <w:tc>
          <w:tcPr>
            <w:tcW w:w="1205" w:type="dxa"/>
            <w:vAlign w:val="center"/>
          </w:tcPr>
          <w:p w:rsidR="00E55474" w:rsidP="00E225BB" w14:paraId="32748AF8" w14:textId="21CF12B3">
            <w:pPr>
              <w:jc w:val="center"/>
              <w:rPr>
                <w:sz w:val="22"/>
              </w:rPr>
            </w:pPr>
            <w:r>
              <w:rPr>
                <w:sz w:val="22"/>
              </w:rPr>
              <w:t>26.5</w:t>
            </w:r>
          </w:p>
        </w:tc>
        <w:tc>
          <w:tcPr>
            <w:tcW w:w="1405" w:type="dxa"/>
            <w:vAlign w:val="center"/>
          </w:tcPr>
          <w:p w:rsidR="00E55474" w:rsidRPr="008F47CB" w:rsidP="00E225BB" w14:paraId="3C04118E" w14:textId="44CBB46D">
            <w:pPr>
              <w:jc w:val="center"/>
              <w:rPr>
                <w:sz w:val="22"/>
              </w:rPr>
            </w:pPr>
            <w:r w:rsidRPr="00B96D02">
              <w:rPr>
                <w:rFonts w:cs="Times New Roman"/>
                <w:sz w:val="22"/>
              </w:rPr>
              <w:t>$30.87</w:t>
            </w:r>
          </w:p>
        </w:tc>
        <w:tc>
          <w:tcPr>
            <w:tcW w:w="1228" w:type="dxa"/>
            <w:vAlign w:val="center"/>
          </w:tcPr>
          <w:p w:rsidR="00E55474" w:rsidRPr="008F47CB" w:rsidP="00E225BB" w14:paraId="032236AD" w14:textId="5A1B669B">
            <w:pPr>
              <w:jc w:val="center"/>
              <w:rPr>
                <w:sz w:val="22"/>
              </w:rPr>
            </w:pPr>
            <w:r w:rsidRPr="00B96D02">
              <w:rPr>
                <w:rFonts w:cs="Times New Roman"/>
                <w:color w:val="000000"/>
                <w:sz w:val="22"/>
              </w:rPr>
              <w:t>$818.06</w:t>
            </w:r>
          </w:p>
        </w:tc>
      </w:tr>
      <w:tr w14:paraId="5A40A857" w14:textId="77777777" w:rsidTr="00E225BB">
        <w:tblPrEx>
          <w:tblW w:w="9929" w:type="dxa"/>
          <w:tblLook w:val="04A0"/>
        </w:tblPrEx>
        <w:trPr>
          <w:gridAfter w:val="1"/>
          <w:wAfter w:w="11" w:type="dxa"/>
        </w:trPr>
        <w:tc>
          <w:tcPr>
            <w:tcW w:w="1536" w:type="dxa"/>
            <w:vAlign w:val="center"/>
          </w:tcPr>
          <w:p w:rsidR="00E55474" w:rsidP="00E55474" w14:paraId="374D8DEE" w14:textId="30EC0602">
            <w:pPr>
              <w:jc w:val="right"/>
              <w:rPr>
                <w:sz w:val="22"/>
              </w:rPr>
            </w:pPr>
            <w:r w:rsidRPr="00B96D02">
              <w:rPr>
                <w:rFonts w:cs="Times New Roman"/>
                <w:sz w:val="22"/>
              </w:rPr>
              <w:t>Students</w:t>
            </w:r>
          </w:p>
        </w:tc>
        <w:tc>
          <w:tcPr>
            <w:tcW w:w="1306" w:type="dxa"/>
            <w:vAlign w:val="center"/>
          </w:tcPr>
          <w:p w:rsidR="00E55474" w:rsidP="00E225BB" w14:paraId="354AC76B" w14:textId="4BCAFA35">
            <w:pPr>
              <w:jc w:val="center"/>
              <w:rPr>
                <w:sz w:val="22"/>
              </w:rPr>
            </w:pPr>
            <w:r w:rsidRPr="00B96D02">
              <w:rPr>
                <w:rFonts w:cs="Times New Roman"/>
                <w:color w:val="000000"/>
                <w:sz w:val="22"/>
              </w:rPr>
              <w:t>317</w:t>
            </w:r>
          </w:p>
        </w:tc>
        <w:tc>
          <w:tcPr>
            <w:tcW w:w="1127" w:type="dxa"/>
            <w:vAlign w:val="center"/>
          </w:tcPr>
          <w:p w:rsidR="00E55474" w:rsidP="00E225BB" w14:paraId="10D11330" w14:textId="150BA73F">
            <w:pPr>
              <w:jc w:val="center"/>
              <w:rPr>
                <w:sz w:val="22"/>
              </w:rPr>
            </w:pPr>
            <w:r>
              <w:rPr>
                <w:sz w:val="22"/>
              </w:rPr>
              <w:t>1</w:t>
            </w:r>
          </w:p>
        </w:tc>
        <w:tc>
          <w:tcPr>
            <w:tcW w:w="1094" w:type="dxa"/>
            <w:vAlign w:val="center"/>
          </w:tcPr>
          <w:p w:rsidR="00E55474" w:rsidP="00E225BB" w14:paraId="3FD9DE92" w14:textId="265506EE">
            <w:pPr>
              <w:jc w:val="center"/>
              <w:rPr>
                <w:sz w:val="22"/>
              </w:rPr>
            </w:pPr>
            <w:r w:rsidRPr="00B96D02">
              <w:rPr>
                <w:rFonts w:cs="Times New Roman"/>
                <w:color w:val="000000"/>
                <w:sz w:val="22"/>
              </w:rPr>
              <w:t>317</w:t>
            </w:r>
          </w:p>
        </w:tc>
        <w:tc>
          <w:tcPr>
            <w:tcW w:w="1017" w:type="dxa"/>
            <w:vAlign w:val="center"/>
          </w:tcPr>
          <w:p w:rsidR="00E55474" w:rsidP="00E225BB" w14:paraId="243C617B" w14:textId="17EBA180">
            <w:pPr>
              <w:jc w:val="center"/>
              <w:rPr>
                <w:sz w:val="22"/>
              </w:rPr>
            </w:pPr>
            <w:r>
              <w:rPr>
                <w:sz w:val="22"/>
              </w:rPr>
              <w:t>15</w:t>
            </w:r>
            <w:r w:rsidR="00B945C6">
              <w:rPr>
                <w:sz w:val="22"/>
              </w:rPr>
              <w:t xml:space="preserve"> </w:t>
            </w:r>
            <w:r>
              <w:rPr>
                <w:sz w:val="22"/>
              </w:rPr>
              <w:t>min</w:t>
            </w:r>
          </w:p>
        </w:tc>
        <w:tc>
          <w:tcPr>
            <w:tcW w:w="1205" w:type="dxa"/>
            <w:vAlign w:val="center"/>
          </w:tcPr>
          <w:p w:rsidR="00E55474" w:rsidP="00E225BB" w14:paraId="3B746860" w14:textId="0A077F2F">
            <w:pPr>
              <w:jc w:val="center"/>
              <w:rPr>
                <w:sz w:val="22"/>
              </w:rPr>
            </w:pPr>
            <w:r>
              <w:rPr>
                <w:sz w:val="22"/>
              </w:rPr>
              <w:t>79.25</w:t>
            </w:r>
          </w:p>
        </w:tc>
        <w:tc>
          <w:tcPr>
            <w:tcW w:w="1405" w:type="dxa"/>
            <w:vAlign w:val="center"/>
          </w:tcPr>
          <w:p w:rsidR="00E55474" w:rsidRPr="008F47CB" w:rsidP="00E225BB" w14:paraId="7BD509A8" w14:textId="55D58799">
            <w:pPr>
              <w:jc w:val="center"/>
              <w:rPr>
                <w:sz w:val="22"/>
              </w:rPr>
            </w:pPr>
            <w:r w:rsidRPr="00B96D02">
              <w:rPr>
                <w:rFonts w:cs="Times New Roman"/>
                <w:sz w:val="22"/>
              </w:rPr>
              <w:t>$7.25</w:t>
            </w:r>
          </w:p>
        </w:tc>
        <w:tc>
          <w:tcPr>
            <w:tcW w:w="1228" w:type="dxa"/>
            <w:vAlign w:val="center"/>
          </w:tcPr>
          <w:p w:rsidR="00E55474" w:rsidRPr="008F47CB" w:rsidP="00E225BB" w14:paraId="36E0699E" w14:textId="683C1E79">
            <w:pPr>
              <w:jc w:val="center"/>
              <w:rPr>
                <w:sz w:val="22"/>
              </w:rPr>
            </w:pPr>
            <w:r w:rsidRPr="00B96D02">
              <w:rPr>
                <w:rFonts w:cs="Times New Roman"/>
                <w:color w:val="000000"/>
                <w:sz w:val="22"/>
              </w:rPr>
              <w:t>$574.56</w:t>
            </w:r>
          </w:p>
        </w:tc>
      </w:tr>
      <w:tr w14:paraId="18E0F9C4" w14:textId="77777777" w:rsidTr="00E225BB">
        <w:tblPrEx>
          <w:tblW w:w="9929" w:type="dxa"/>
          <w:tblLook w:val="04A0"/>
        </w:tblPrEx>
        <w:trPr>
          <w:gridAfter w:val="1"/>
          <w:wAfter w:w="11" w:type="dxa"/>
        </w:trPr>
        <w:tc>
          <w:tcPr>
            <w:tcW w:w="1536" w:type="dxa"/>
            <w:vAlign w:val="bottom"/>
          </w:tcPr>
          <w:p w:rsidR="00E55474" w:rsidRPr="00E225BB" w:rsidP="00E225BB" w14:paraId="1CC7B602" w14:textId="15492376">
            <w:pPr>
              <w:rPr>
                <w:b/>
                <w:bCs/>
                <w:sz w:val="22"/>
              </w:rPr>
            </w:pPr>
            <w:r w:rsidRPr="00E225BB">
              <w:rPr>
                <w:b/>
                <w:bCs/>
                <w:sz w:val="22"/>
              </w:rPr>
              <w:t>Total</w:t>
            </w:r>
          </w:p>
        </w:tc>
        <w:tc>
          <w:tcPr>
            <w:tcW w:w="1306" w:type="dxa"/>
            <w:vAlign w:val="center"/>
          </w:tcPr>
          <w:p w:rsidR="00E55474" w:rsidRPr="00E225BB" w:rsidP="00E225BB" w14:paraId="349E367B" w14:textId="77136C9D">
            <w:pPr>
              <w:jc w:val="center"/>
              <w:rPr>
                <w:b/>
                <w:bCs/>
                <w:sz w:val="22"/>
              </w:rPr>
            </w:pPr>
            <w:r w:rsidRPr="00E225BB">
              <w:rPr>
                <w:b/>
                <w:bCs/>
                <w:sz w:val="22"/>
              </w:rPr>
              <w:t>950</w:t>
            </w:r>
          </w:p>
        </w:tc>
        <w:tc>
          <w:tcPr>
            <w:tcW w:w="1127" w:type="dxa"/>
            <w:vAlign w:val="center"/>
          </w:tcPr>
          <w:p w:rsidR="00E55474" w:rsidRPr="00E225BB" w:rsidP="00E225BB" w14:paraId="349CD8A9" w14:textId="0E595C38">
            <w:pPr>
              <w:jc w:val="center"/>
              <w:rPr>
                <w:b/>
                <w:bCs/>
                <w:sz w:val="22"/>
              </w:rPr>
            </w:pPr>
            <w:r w:rsidRPr="00E225BB">
              <w:rPr>
                <w:b/>
                <w:bCs/>
                <w:sz w:val="22"/>
              </w:rPr>
              <w:t>1</w:t>
            </w:r>
          </w:p>
        </w:tc>
        <w:tc>
          <w:tcPr>
            <w:tcW w:w="1094" w:type="dxa"/>
            <w:vAlign w:val="center"/>
          </w:tcPr>
          <w:p w:rsidR="00E55474" w:rsidRPr="00E225BB" w:rsidP="00E225BB" w14:paraId="0030AC48" w14:textId="338B2B49">
            <w:pPr>
              <w:jc w:val="center"/>
              <w:rPr>
                <w:b/>
                <w:bCs/>
                <w:sz w:val="22"/>
              </w:rPr>
            </w:pPr>
            <w:r w:rsidRPr="00E225BB">
              <w:rPr>
                <w:b/>
                <w:bCs/>
                <w:sz w:val="22"/>
              </w:rPr>
              <w:t>950</w:t>
            </w:r>
          </w:p>
        </w:tc>
        <w:tc>
          <w:tcPr>
            <w:tcW w:w="1017" w:type="dxa"/>
            <w:vAlign w:val="center"/>
          </w:tcPr>
          <w:p w:rsidR="00E55474" w:rsidRPr="00E225BB" w:rsidP="00E225BB" w14:paraId="664DF44F" w14:textId="1240EEB9">
            <w:pPr>
              <w:jc w:val="center"/>
              <w:rPr>
                <w:b/>
                <w:bCs/>
                <w:sz w:val="22"/>
              </w:rPr>
            </w:pPr>
            <w:r w:rsidRPr="00E225BB">
              <w:rPr>
                <w:b/>
                <w:bCs/>
                <w:sz w:val="22"/>
              </w:rPr>
              <w:t>15 min</w:t>
            </w:r>
            <w:r w:rsidR="00E225BB">
              <w:rPr>
                <w:b/>
                <w:bCs/>
                <w:sz w:val="22"/>
              </w:rPr>
              <w:t>.</w:t>
            </w:r>
          </w:p>
        </w:tc>
        <w:tc>
          <w:tcPr>
            <w:tcW w:w="1205" w:type="dxa"/>
            <w:vAlign w:val="center"/>
          </w:tcPr>
          <w:p w:rsidR="00E55474" w:rsidRPr="00E225BB" w:rsidP="00E225BB" w14:paraId="57A276B5" w14:textId="5735731B">
            <w:pPr>
              <w:jc w:val="center"/>
              <w:rPr>
                <w:b/>
                <w:bCs/>
                <w:sz w:val="22"/>
              </w:rPr>
            </w:pPr>
            <w:r w:rsidRPr="00E225BB">
              <w:rPr>
                <w:b/>
                <w:bCs/>
                <w:sz w:val="22"/>
              </w:rPr>
              <w:t>237.5 hrs.</w:t>
            </w:r>
          </w:p>
        </w:tc>
        <w:tc>
          <w:tcPr>
            <w:tcW w:w="1405" w:type="dxa"/>
            <w:vAlign w:val="center"/>
          </w:tcPr>
          <w:p w:rsidR="00E55474" w:rsidRPr="00E225BB" w:rsidP="00E225BB" w14:paraId="0EB0D739" w14:textId="4201CFC7">
            <w:pPr>
              <w:jc w:val="center"/>
              <w:rPr>
                <w:b/>
                <w:bCs/>
                <w:sz w:val="22"/>
              </w:rPr>
            </w:pPr>
          </w:p>
        </w:tc>
        <w:tc>
          <w:tcPr>
            <w:tcW w:w="1228" w:type="dxa"/>
            <w:vAlign w:val="center"/>
          </w:tcPr>
          <w:p w:rsidR="00E55474" w:rsidRPr="00E225BB" w:rsidP="00E225BB" w14:paraId="313D548A" w14:textId="2E4E767B">
            <w:pPr>
              <w:jc w:val="center"/>
              <w:rPr>
                <w:b/>
                <w:bCs/>
                <w:sz w:val="22"/>
              </w:rPr>
            </w:pPr>
            <w:r w:rsidRPr="00E225BB">
              <w:rPr>
                <w:rFonts w:cs="Times New Roman"/>
                <w:b/>
                <w:bCs/>
                <w:color w:val="000000"/>
                <w:sz w:val="22"/>
              </w:rPr>
              <w:t>$6,627.97</w:t>
            </w:r>
          </w:p>
        </w:tc>
      </w:tr>
      <w:tr w14:paraId="7A0F33B5" w14:textId="77777777" w:rsidTr="00E225BB">
        <w:tblPrEx>
          <w:tblW w:w="9929" w:type="dxa"/>
          <w:tblLook w:val="04A0"/>
        </w:tblPrEx>
        <w:trPr>
          <w:gridAfter w:val="1"/>
          <w:wAfter w:w="11" w:type="dxa"/>
        </w:trPr>
        <w:tc>
          <w:tcPr>
            <w:tcW w:w="9918" w:type="dxa"/>
            <w:gridSpan w:val="8"/>
            <w:shd w:val="clear" w:color="auto" w:fill="FFFFFF" w:themeFill="background1"/>
            <w:vAlign w:val="bottom"/>
          </w:tcPr>
          <w:p w:rsidR="00E225BB" w:rsidRPr="008F47CB" w:rsidP="00E55474" w14:paraId="7B7CB3EB" w14:textId="77777777">
            <w:pPr>
              <w:jc w:val="right"/>
              <w:rPr>
                <w:sz w:val="22"/>
              </w:rPr>
            </w:pPr>
          </w:p>
        </w:tc>
      </w:tr>
      <w:tr w14:paraId="5A1E0FCC" w14:textId="77777777" w:rsidTr="00E225BB">
        <w:tblPrEx>
          <w:tblW w:w="9929" w:type="dxa"/>
          <w:tblLook w:val="04A0"/>
        </w:tblPrEx>
        <w:tc>
          <w:tcPr>
            <w:tcW w:w="9929" w:type="dxa"/>
            <w:gridSpan w:val="9"/>
            <w:shd w:val="clear" w:color="auto" w:fill="D0CECE" w:themeFill="background2" w:themeFillShade="E6"/>
            <w:vAlign w:val="bottom"/>
          </w:tcPr>
          <w:p w:rsidR="00E225BB" w:rsidRPr="008F47CB" w:rsidP="00E225BB" w14:paraId="06A09919" w14:textId="7EC9EDA3">
            <w:pPr>
              <w:rPr>
                <w:sz w:val="22"/>
              </w:rPr>
            </w:pPr>
            <w:r w:rsidRPr="00E225BB">
              <w:rPr>
                <w:b/>
                <w:bCs/>
                <w:sz w:val="22"/>
              </w:rPr>
              <w:t>Interviews</w:t>
            </w:r>
          </w:p>
        </w:tc>
      </w:tr>
      <w:tr w14:paraId="4A935D12" w14:textId="77777777" w:rsidTr="00344E63">
        <w:tblPrEx>
          <w:tblW w:w="9929" w:type="dxa"/>
          <w:tblLook w:val="04A0"/>
        </w:tblPrEx>
        <w:trPr>
          <w:gridAfter w:val="1"/>
          <w:wAfter w:w="11" w:type="dxa"/>
        </w:trPr>
        <w:tc>
          <w:tcPr>
            <w:tcW w:w="1536" w:type="dxa"/>
            <w:vAlign w:val="center"/>
          </w:tcPr>
          <w:p w:rsidR="00B945C6" w:rsidRPr="008F47CB" w:rsidP="00B945C6" w14:paraId="4E50FC65" w14:textId="0C7C9C33">
            <w:pPr>
              <w:jc w:val="right"/>
              <w:rPr>
                <w:sz w:val="22"/>
              </w:rPr>
            </w:pPr>
            <w:r w:rsidRPr="00B96D02">
              <w:rPr>
                <w:rFonts w:cs="Times New Roman"/>
                <w:sz w:val="22"/>
              </w:rPr>
              <w:t>Law Enforcement Workers</w:t>
            </w:r>
          </w:p>
        </w:tc>
        <w:tc>
          <w:tcPr>
            <w:tcW w:w="1306" w:type="dxa"/>
            <w:vAlign w:val="center"/>
          </w:tcPr>
          <w:p w:rsidR="00B945C6" w:rsidRPr="008F47CB" w:rsidP="00344E63" w14:paraId="13EF8F21" w14:textId="39DBC502">
            <w:pPr>
              <w:jc w:val="center"/>
              <w:rPr>
                <w:sz w:val="22"/>
              </w:rPr>
            </w:pPr>
            <w:r w:rsidRPr="00B96D02">
              <w:rPr>
                <w:rFonts w:cs="Times New Roman"/>
                <w:color w:val="000000"/>
                <w:sz w:val="22"/>
              </w:rPr>
              <w:t>46</w:t>
            </w:r>
          </w:p>
        </w:tc>
        <w:tc>
          <w:tcPr>
            <w:tcW w:w="1127" w:type="dxa"/>
            <w:vAlign w:val="center"/>
          </w:tcPr>
          <w:p w:rsidR="00B945C6" w:rsidRPr="008F47CB" w:rsidP="00344E63" w14:paraId="68528FB2" w14:textId="4646BD75">
            <w:pPr>
              <w:jc w:val="center"/>
              <w:rPr>
                <w:sz w:val="22"/>
              </w:rPr>
            </w:pPr>
            <w:r>
              <w:rPr>
                <w:sz w:val="22"/>
              </w:rPr>
              <w:t>1</w:t>
            </w:r>
          </w:p>
        </w:tc>
        <w:tc>
          <w:tcPr>
            <w:tcW w:w="1094" w:type="dxa"/>
            <w:vAlign w:val="center"/>
          </w:tcPr>
          <w:p w:rsidR="00B945C6" w:rsidRPr="008F47CB" w:rsidP="00344E63" w14:paraId="425F8E09" w14:textId="7ED3166B">
            <w:pPr>
              <w:jc w:val="center"/>
              <w:rPr>
                <w:sz w:val="22"/>
              </w:rPr>
            </w:pPr>
            <w:r w:rsidRPr="00B96D02">
              <w:rPr>
                <w:rFonts w:cs="Times New Roman"/>
                <w:color w:val="000000"/>
                <w:sz w:val="22"/>
              </w:rPr>
              <w:t>46</w:t>
            </w:r>
          </w:p>
        </w:tc>
        <w:tc>
          <w:tcPr>
            <w:tcW w:w="1017" w:type="dxa"/>
            <w:vAlign w:val="center"/>
          </w:tcPr>
          <w:p w:rsidR="00B945C6" w:rsidRPr="008F47CB" w:rsidP="00344E63" w14:paraId="66D8B819" w14:textId="07D124A8">
            <w:pPr>
              <w:jc w:val="center"/>
              <w:rPr>
                <w:sz w:val="22"/>
              </w:rPr>
            </w:pPr>
            <w:r w:rsidRPr="009F17E2">
              <w:rPr>
                <w:sz w:val="22"/>
              </w:rPr>
              <w:t xml:space="preserve">1 </w:t>
            </w:r>
            <w:r w:rsidRPr="009F17E2">
              <w:rPr>
                <w:sz w:val="22"/>
              </w:rPr>
              <w:t>hr</w:t>
            </w:r>
          </w:p>
        </w:tc>
        <w:tc>
          <w:tcPr>
            <w:tcW w:w="1205" w:type="dxa"/>
            <w:vAlign w:val="center"/>
          </w:tcPr>
          <w:p w:rsidR="00B945C6" w:rsidRPr="008F47CB" w:rsidP="00344E63" w14:paraId="231B8634" w14:textId="19307108">
            <w:pPr>
              <w:jc w:val="center"/>
              <w:rPr>
                <w:sz w:val="22"/>
              </w:rPr>
            </w:pPr>
            <w:r>
              <w:rPr>
                <w:sz w:val="22"/>
              </w:rPr>
              <w:t>46</w:t>
            </w:r>
          </w:p>
        </w:tc>
        <w:tc>
          <w:tcPr>
            <w:tcW w:w="1405" w:type="dxa"/>
            <w:vAlign w:val="center"/>
          </w:tcPr>
          <w:p w:rsidR="00B945C6" w:rsidRPr="008F47CB" w:rsidP="00344E63" w14:paraId="71F83AAD" w14:textId="01267430">
            <w:pPr>
              <w:jc w:val="center"/>
              <w:rPr>
                <w:sz w:val="22"/>
              </w:rPr>
            </w:pPr>
            <w:r w:rsidRPr="00B96D02">
              <w:rPr>
                <w:rFonts w:cs="Times New Roman"/>
                <w:sz w:val="22"/>
              </w:rPr>
              <w:t>$32.49</w:t>
            </w:r>
          </w:p>
        </w:tc>
        <w:tc>
          <w:tcPr>
            <w:tcW w:w="1228" w:type="dxa"/>
            <w:vAlign w:val="center"/>
          </w:tcPr>
          <w:p w:rsidR="00B945C6" w:rsidRPr="008F47CB" w:rsidP="00344E63" w14:paraId="5AEFEB1E" w14:textId="3BDF2A74">
            <w:pPr>
              <w:jc w:val="center"/>
              <w:rPr>
                <w:sz w:val="22"/>
              </w:rPr>
            </w:pPr>
            <w:r w:rsidRPr="00B96D02">
              <w:rPr>
                <w:rFonts w:cs="Times New Roman"/>
                <w:color w:val="000000"/>
                <w:sz w:val="22"/>
              </w:rPr>
              <w:t>$1,494.54</w:t>
            </w:r>
          </w:p>
        </w:tc>
      </w:tr>
      <w:tr w14:paraId="61B84399" w14:textId="77777777" w:rsidTr="00344E63">
        <w:tblPrEx>
          <w:tblW w:w="9929" w:type="dxa"/>
          <w:tblLook w:val="04A0"/>
        </w:tblPrEx>
        <w:trPr>
          <w:gridAfter w:val="1"/>
          <w:wAfter w:w="11" w:type="dxa"/>
        </w:trPr>
        <w:tc>
          <w:tcPr>
            <w:tcW w:w="1536" w:type="dxa"/>
            <w:vAlign w:val="center"/>
          </w:tcPr>
          <w:p w:rsidR="00B945C6" w:rsidRPr="008F47CB" w:rsidP="00B945C6" w14:paraId="25539213" w14:textId="23811876">
            <w:pPr>
              <w:jc w:val="right"/>
              <w:rPr>
                <w:sz w:val="22"/>
              </w:rPr>
            </w:pPr>
            <w:r w:rsidRPr="00B96D02">
              <w:rPr>
                <w:rFonts w:cs="Times New Roman"/>
                <w:sz w:val="22"/>
              </w:rPr>
              <w:t>First-Line Law Enforcement Supervisors</w:t>
            </w:r>
          </w:p>
        </w:tc>
        <w:tc>
          <w:tcPr>
            <w:tcW w:w="1306" w:type="dxa"/>
            <w:vAlign w:val="center"/>
          </w:tcPr>
          <w:p w:rsidR="00B945C6" w:rsidRPr="008F47CB" w:rsidP="00344E63" w14:paraId="1217A8AA" w14:textId="3F21B11F">
            <w:pPr>
              <w:jc w:val="center"/>
              <w:rPr>
                <w:sz w:val="22"/>
              </w:rPr>
            </w:pPr>
            <w:r w:rsidRPr="00B96D02">
              <w:rPr>
                <w:rFonts w:cs="Times New Roman"/>
                <w:color w:val="000000"/>
                <w:sz w:val="22"/>
              </w:rPr>
              <w:t>46</w:t>
            </w:r>
          </w:p>
        </w:tc>
        <w:tc>
          <w:tcPr>
            <w:tcW w:w="1127" w:type="dxa"/>
            <w:vAlign w:val="center"/>
          </w:tcPr>
          <w:p w:rsidR="00B945C6" w:rsidRPr="008F47CB" w:rsidP="00344E63" w14:paraId="30AE395B" w14:textId="22DF1CE1">
            <w:pPr>
              <w:jc w:val="center"/>
              <w:rPr>
                <w:sz w:val="22"/>
              </w:rPr>
            </w:pPr>
            <w:r>
              <w:rPr>
                <w:sz w:val="22"/>
              </w:rPr>
              <w:t>1</w:t>
            </w:r>
          </w:p>
        </w:tc>
        <w:tc>
          <w:tcPr>
            <w:tcW w:w="1094" w:type="dxa"/>
            <w:vAlign w:val="center"/>
          </w:tcPr>
          <w:p w:rsidR="00B945C6" w:rsidRPr="008F47CB" w:rsidP="00344E63" w14:paraId="26DB295C" w14:textId="031000A2">
            <w:pPr>
              <w:jc w:val="center"/>
              <w:rPr>
                <w:sz w:val="22"/>
              </w:rPr>
            </w:pPr>
            <w:r w:rsidRPr="00B96D02">
              <w:rPr>
                <w:rFonts w:cs="Times New Roman"/>
                <w:color w:val="000000"/>
                <w:sz w:val="22"/>
              </w:rPr>
              <w:t>46</w:t>
            </w:r>
          </w:p>
        </w:tc>
        <w:tc>
          <w:tcPr>
            <w:tcW w:w="1017" w:type="dxa"/>
            <w:vAlign w:val="center"/>
          </w:tcPr>
          <w:p w:rsidR="00B945C6" w:rsidRPr="008F47CB" w:rsidP="00344E63" w14:paraId="40CE64F8" w14:textId="7D77E4D8">
            <w:pPr>
              <w:jc w:val="center"/>
              <w:rPr>
                <w:sz w:val="22"/>
              </w:rPr>
            </w:pPr>
            <w:r w:rsidRPr="009F17E2">
              <w:rPr>
                <w:sz w:val="22"/>
              </w:rPr>
              <w:t xml:space="preserve">1 </w:t>
            </w:r>
            <w:r w:rsidRPr="009F17E2">
              <w:rPr>
                <w:sz w:val="22"/>
              </w:rPr>
              <w:t>hr</w:t>
            </w:r>
          </w:p>
        </w:tc>
        <w:tc>
          <w:tcPr>
            <w:tcW w:w="1205" w:type="dxa"/>
            <w:vAlign w:val="center"/>
          </w:tcPr>
          <w:p w:rsidR="00B945C6" w:rsidRPr="008F47CB" w:rsidP="00344E63" w14:paraId="490460ED" w14:textId="240F7A66">
            <w:pPr>
              <w:jc w:val="center"/>
              <w:rPr>
                <w:sz w:val="22"/>
              </w:rPr>
            </w:pPr>
            <w:r>
              <w:rPr>
                <w:sz w:val="22"/>
              </w:rPr>
              <w:t>46</w:t>
            </w:r>
          </w:p>
        </w:tc>
        <w:tc>
          <w:tcPr>
            <w:tcW w:w="1405" w:type="dxa"/>
            <w:vAlign w:val="center"/>
          </w:tcPr>
          <w:p w:rsidR="00B945C6" w:rsidRPr="008F47CB" w:rsidP="00344E63" w14:paraId="48072DFA" w14:textId="3B44120E">
            <w:pPr>
              <w:jc w:val="center"/>
              <w:rPr>
                <w:sz w:val="22"/>
              </w:rPr>
            </w:pPr>
            <w:r w:rsidRPr="00B96D02">
              <w:rPr>
                <w:rFonts w:cs="Times New Roman"/>
                <w:sz w:val="22"/>
              </w:rPr>
              <w:t>$43.61</w:t>
            </w:r>
          </w:p>
        </w:tc>
        <w:tc>
          <w:tcPr>
            <w:tcW w:w="1228" w:type="dxa"/>
            <w:vAlign w:val="center"/>
          </w:tcPr>
          <w:p w:rsidR="00B945C6" w:rsidRPr="008F47CB" w:rsidP="00344E63" w14:paraId="567BAD68" w14:textId="7B6C76B5">
            <w:pPr>
              <w:jc w:val="center"/>
              <w:rPr>
                <w:sz w:val="22"/>
              </w:rPr>
            </w:pPr>
            <w:r w:rsidRPr="00B96D02">
              <w:rPr>
                <w:rFonts w:cs="Times New Roman"/>
                <w:color w:val="000000"/>
                <w:sz w:val="22"/>
              </w:rPr>
              <w:t>$2,006.06</w:t>
            </w:r>
          </w:p>
        </w:tc>
      </w:tr>
      <w:tr w14:paraId="0581EDA0" w14:textId="77777777" w:rsidTr="00344E63">
        <w:tblPrEx>
          <w:tblW w:w="9929" w:type="dxa"/>
          <w:tblLook w:val="04A0"/>
        </w:tblPrEx>
        <w:trPr>
          <w:gridAfter w:val="1"/>
          <w:wAfter w:w="11" w:type="dxa"/>
        </w:trPr>
        <w:tc>
          <w:tcPr>
            <w:tcW w:w="1536" w:type="dxa"/>
            <w:vAlign w:val="center"/>
          </w:tcPr>
          <w:p w:rsidR="00B945C6" w:rsidRPr="008F47CB" w:rsidP="00B945C6" w14:paraId="135259EF" w14:textId="2A9428BB">
            <w:pPr>
              <w:jc w:val="right"/>
              <w:rPr>
                <w:sz w:val="22"/>
              </w:rPr>
            </w:pPr>
            <w:r w:rsidRPr="00B96D02">
              <w:rPr>
                <w:rFonts w:cs="Times New Roman"/>
                <w:sz w:val="22"/>
              </w:rPr>
              <w:t>Secondary School Administrators</w:t>
            </w:r>
          </w:p>
        </w:tc>
        <w:tc>
          <w:tcPr>
            <w:tcW w:w="1306" w:type="dxa"/>
            <w:vAlign w:val="center"/>
          </w:tcPr>
          <w:p w:rsidR="00B945C6" w:rsidRPr="008F47CB" w:rsidP="00344E63" w14:paraId="5950F0AD" w14:textId="0A94D279">
            <w:pPr>
              <w:jc w:val="center"/>
              <w:rPr>
                <w:sz w:val="22"/>
              </w:rPr>
            </w:pPr>
            <w:r w:rsidRPr="00B96D02">
              <w:rPr>
                <w:rFonts w:cs="Times New Roman"/>
                <w:color w:val="000000"/>
                <w:sz w:val="22"/>
              </w:rPr>
              <w:t>30</w:t>
            </w:r>
          </w:p>
        </w:tc>
        <w:tc>
          <w:tcPr>
            <w:tcW w:w="1127" w:type="dxa"/>
            <w:vAlign w:val="center"/>
          </w:tcPr>
          <w:p w:rsidR="00B945C6" w:rsidRPr="008F47CB" w:rsidP="00344E63" w14:paraId="112E084C" w14:textId="6463A260">
            <w:pPr>
              <w:jc w:val="center"/>
              <w:rPr>
                <w:sz w:val="22"/>
              </w:rPr>
            </w:pPr>
            <w:r>
              <w:rPr>
                <w:sz w:val="22"/>
              </w:rPr>
              <w:t>1</w:t>
            </w:r>
          </w:p>
        </w:tc>
        <w:tc>
          <w:tcPr>
            <w:tcW w:w="1094" w:type="dxa"/>
            <w:vAlign w:val="center"/>
          </w:tcPr>
          <w:p w:rsidR="00B945C6" w:rsidRPr="008F47CB" w:rsidP="00344E63" w14:paraId="2E011138" w14:textId="17F500C6">
            <w:pPr>
              <w:jc w:val="center"/>
              <w:rPr>
                <w:sz w:val="22"/>
              </w:rPr>
            </w:pPr>
            <w:r w:rsidRPr="00B96D02">
              <w:rPr>
                <w:rFonts w:cs="Times New Roman"/>
                <w:color w:val="000000"/>
                <w:sz w:val="22"/>
              </w:rPr>
              <w:t>30</w:t>
            </w:r>
          </w:p>
        </w:tc>
        <w:tc>
          <w:tcPr>
            <w:tcW w:w="1017" w:type="dxa"/>
            <w:vAlign w:val="center"/>
          </w:tcPr>
          <w:p w:rsidR="00B945C6" w:rsidRPr="008F47CB" w:rsidP="00344E63" w14:paraId="79FE615D" w14:textId="7B93376D">
            <w:pPr>
              <w:jc w:val="center"/>
              <w:rPr>
                <w:sz w:val="22"/>
              </w:rPr>
            </w:pPr>
            <w:r w:rsidRPr="009F17E2">
              <w:rPr>
                <w:sz w:val="22"/>
              </w:rPr>
              <w:t xml:space="preserve">1 </w:t>
            </w:r>
            <w:r w:rsidRPr="009F17E2">
              <w:rPr>
                <w:sz w:val="22"/>
              </w:rPr>
              <w:t>hr</w:t>
            </w:r>
          </w:p>
        </w:tc>
        <w:tc>
          <w:tcPr>
            <w:tcW w:w="1205" w:type="dxa"/>
            <w:vAlign w:val="center"/>
          </w:tcPr>
          <w:p w:rsidR="00B945C6" w:rsidRPr="008F47CB" w:rsidP="00344E63" w14:paraId="2EEA2CB0" w14:textId="2145F712">
            <w:pPr>
              <w:jc w:val="center"/>
              <w:rPr>
                <w:sz w:val="22"/>
              </w:rPr>
            </w:pPr>
            <w:r>
              <w:rPr>
                <w:sz w:val="22"/>
              </w:rPr>
              <w:t>30</w:t>
            </w:r>
          </w:p>
        </w:tc>
        <w:tc>
          <w:tcPr>
            <w:tcW w:w="1405" w:type="dxa"/>
            <w:vAlign w:val="center"/>
          </w:tcPr>
          <w:p w:rsidR="00B945C6" w:rsidRPr="008F47CB" w:rsidP="00344E63" w14:paraId="68C1382C" w14:textId="3D757AE7">
            <w:pPr>
              <w:jc w:val="center"/>
              <w:rPr>
                <w:sz w:val="22"/>
              </w:rPr>
            </w:pPr>
            <w:r w:rsidRPr="00B96D02">
              <w:rPr>
                <w:rFonts w:cs="Times New Roman"/>
                <w:sz w:val="22"/>
              </w:rPr>
              <w:t>$51.29</w:t>
            </w:r>
          </w:p>
        </w:tc>
        <w:tc>
          <w:tcPr>
            <w:tcW w:w="1228" w:type="dxa"/>
            <w:vAlign w:val="center"/>
          </w:tcPr>
          <w:p w:rsidR="00B945C6" w:rsidRPr="008F47CB" w:rsidP="00344E63" w14:paraId="5794E0D3" w14:textId="0B130467">
            <w:pPr>
              <w:jc w:val="center"/>
              <w:rPr>
                <w:sz w:val="22"/>
              </w:rPr>
            </w:pPr>
            <w:r w:rsidRPr="00B96D02">
              <w:rPr>
                <w:rFonts w:cs="Times New Roman"/>
                <w:color w:val="000000"/>
                <w:sz w:val="22"/>
              </w:rPr>
              <w:t>$1,538.70</w:t>
            </w:r>
          </w:p>
        </w:tc>
      </w:tr>
      <w:tr w14:paraId="3322571F" w14:textId="77777777" w:rsidTr="00344E63">
        <w:tblPrEx>
          <w:tblW w:w="9929" w:type="dxa"/>
          <w:tblLook w:val="04A0"/>
        </w:tblPrEx>
        <w:trPr>
          <w:gridAfter w:val="1"/>
          <w:wAfter w:w="11" w:type="dxa"/>
        </w:trPr>
        <w:tc>
          <w:tcPr>
            <w:tcW w:w="1536" w:type="dxa"/>
            <w:vAlign w:val="center"/>
          </w:tcPr>
          <w:p w:rsidR="00B945C6" w:rsidRPr="008F47CB" w:rsidP="00B945C6" w14:paraId="5448E1D1" w14:textId="10EB5AD0">
            <w:pPr>
              <w:jc w:val="right"/>
              <w:rPr>
                <w:sz w:val="22"/>
              </w:rPr>
            </w:pPr>
            <w:r w:rsidRPr="00B96D02">
              <w:rPr>
                <w:rFonts w:cs="Times New Roman"/>
                <w:sz w:val="22"/>
              </w:rPr>
              <w:t>Secondary School Teachers</w:t>
            </w:r>
          </w:p>
        </w:tc>
        <w:tc>
          <w:tcPr>
            <w:tcW w:w="1306" w:type="dxa"/>
            <w:vAlign w:val="center"/>
          </w:tcPr>
          <w:p w:rsidR="00B945C6" w:rsidRPr="008F47CB" w:rsidP="00344E63" w14:paraId="0B0BFD60" w14:textId="0A5B2821">
            <w:pPr>
              <w:jc w:val="center"/>
              <w:rPr>
                <w:sz w:val="22"/>
              </w:rPr>
            </w:pPr>
            <w:r w:rsidRPr="00B96D02">
              <w:rPr>
                <w:rFonts w:cs="Times New Roman"/>
                <w:color w:val="000000"/>
                <w:sz w:val="22"/>
              </w:rPr>
              <w:t>31</w:t>
            </w:r>
          </w:p>
        </w:tc>
        <w:tc>
          <w:tcPr>
            <w:tcW w:w="1127" w:type="dxa"/>
            <w:vAlign w:val="center"/>
          </w:tcPr>
          <w:p w:rsidR="00B945C6" w:rsidRPr="008F47CB" w:rsidP="00344E63" w14:paraId="6603F54F" w14:textId="5D593762">
            <w:pPr>
              <w:jc w:val="center"/>
              <w:rPr>
                <w:sz w:val="22"/>
              </w:rPr>
            </w:pPr>
            <w:r>
              <w:rPr>
                <w:sz w:val="22"/>
              </w:rPr>
              <w:t>1</w:t>
            </w:r>
          </w:p>
        </w:tc>
        <w:tc>
          <w:tcPr>
            <w:tcW w:w="1094" w:type="dxa"/>
            <w:vAlign w:val="center"/>
          </w:tcPr>
          <w:p w:rsidR="00B945C6" w:rsidRPr="008F47CB" w:rsidP="00344E63" w14:paraId="40E6C2B2" w14:textId="2D2B6F12">
            <w:pPr>
              <w:jc w:val="center"/>
              <w:rPr>
                <w:sz w:val="22"/>
              </w:rPr>
            </w:pPr>
            <w:r w:rsidRPr="00B96D02">
              <w:rPr>
                <w:rFonts w:cs="Times New Roman"/>
                <w:color w:val="000000"/>
                <w:sz w:val="22"/>
              </w:rPr>
              <w:t>31</w:t>
            </w:r>
          </w:p>
        </w:tc>
        <w:tc>
          <w:tcPr>
            <w:tcW w:w="1017" w:type="dxa"/>
            <w:vAlign w:val="center"/>
          </w:tcPr>
          <w:p w:rsidR="00B945C6" w:rsidRPr="008F47CB" w:rsidP="00344E63" w14:paraId="6FC80F30" w14:textId="59C24A0E">
            <w:pPr>
              <w:jc w:val="center"/>
              <w:rPr>
                <w:sz w:val="22"/>
              </w:rPr>
            </w:pPr>
            <w:r w:rsidRPr="009F17E2">
              <w:rPr>
                <w:sz w:val="22"/>
              </w:rPr>
              <w:t xml:space="preserve">1 </w:t>
            </w:r>
            <w:r w:rsidRPr="009F17E2">
              <w:rPr>
                <w:sz w:val="22"/>
              </w:rPr>
              <w:t>hr</w:t>
            </w:r>
          </w:p>
        </w:tc>
        <w:tc>
          <w:tcPr>
            <w:tcW w:w="1205" w:type="dxa"/>
            <w:vAlign w:val="center"/>
          </w:tcPr>
          <w:p w:rsidR="00B945C6" w:rsidRPr="008F47CB" w:rsidP="00344E63" w14:paraId="68FB8D2F" w14:textId="55D4E5CD">
            <w:pPr>
              <w:jc w:val="center"/>
              <w:rPr>
                <w:sz w:val="22"/>
              </w:rPr>
            </w:pPr>
            <w:r>
              <w:rPr>
                <w:sz w:val="22"/>
              </w:rPr>
              <w:t>31</w:t>
            </w:r>
          </w:p>
        </w:tc>
        <w:tc>
          <w:tcPr>
            <w:tcW w:w="1405" w:type="dxa"/>
            <w:vAlign w:val="center"/>
          </w:tcPr>
          <w:p w:rsidR="00B945C6" w:rsidRPr="008F47CB" w:rsidP="00344E63" w14:paraId="156441E2" w14:textId="5EF8D0B9">
            <w:pPr>
              <w:jc w:val="center"/>
              <w:rPr>
                <w:sz w:val="22"/>
              </w:rPr>
            </w:pPr>
            <w:r w:rsidRPr="00B96D02">
              <w:rPr>
                <w:rFonts w:cs="Times New Roman"/>
                <w:sz w:val="22"/>
              </w:rPr>
              <w:t>$33.33</w:t>
            </w:r>
          </w:p>
        </w:tc>
        <w:tc>
          <w:tcPr>
            <w:tcW w:w="1228" w:type="dxa"/>
            <w:vAlign w:val="center"/>
          </w:tcPr>
          <w:p w:rsidR="00B945C6" w:rsidRPr="008F47CB" w:rsidP="00344E63" w14:paraId="42402D9A" w14:textId="739CA6A0">
            <w:pPr>
              <w:jc w:val="center"/>
              <w:rPr>
                <w:sz w:val="22"/>
              </w:rPr>
            </w:pPr>
            <w:r w:rsidRPr="00B96D02">
              <w:rPr>
                <w:rFonts w:cs="Times New Roman"/>
                <w:color w:val="000000"/>
                <w:sz w:val="22"/>
              </w:rPr>
              <w:t>$1,033.23</w:t>
            </w:r>
          </w:p>
        </w:tc>
      </w:tr>
      <w:tr w14:paraId="57EB5D7E" w14:textId="77777777" w:rsidTr="00344E63">
        <w:tblPrEx>
          <w:tblW w:w="9929" w:type="dxa"/>
          <w:tblLook w:val="04A0"/>
        </w:tblPrEx>
        <w:trPr>
          <w:gridAfter w:val="1"/>
          <w:wAfter w:w="11" w:type="dxa"/>
        </w:trPr>
        <w:tc>
          <w:tcPr>
            <w:tcW w:w="1536" w:type="dxa"/>
            <w:vAlign w:val="center"/>
          </w:tcPr>
          <w:p w:rsidR="00B945C6" w:rsidRPr="008F47CB" w:rsidP="00B945C6" w14:paraId="5B78B7F3" w14:textId="30079EFA">
            <w:pPr>
              <w:jc w:val="right"/>
              <w:rPr>
                <w:sz w:val="22"/>
              </w:rPr>
            </w:pPr>
            <w:r w:rsidRPr="00B96D02">
              <w:rPr>
                <w:rFonts w:cs="Times New Roman"/>
                <w:sz w:val="22"/>
              </w:rPr>
              <w:t>Educational Counselors</w:t>
            </w:r>
          </w:p>
        </w:tc>
        <w:tc>
          <w:tcPr>
            <w:tcW w:w="1306" w:type="dxa"/>
            <w:vAlign w:val="center"/>
          </w:tcPr>
          <w:p w:rsidR="00B945C6" w:rsidRPr="008F47CB" w:rsidP="00344E63" w14:paraId="4135DAC4" w14:textId="661F27FE">
            <w:pPr>
              <w:jc w:val="center"/>
              <w:rPr>
                <w:sz w:val="22"/>
              </w:rPr>
            </w:pPr>
            <w:r w:rsidRPr="00B96D02">
              <w:rPr>
                <w:rFonts w:cs="Times New Roman"/>
                <w:color w:val="000000"/>
                <w:sz w:val="22"/>
              </w:rPr>
              <w:t>31</w:t>
            </w:r>
          </w:p>
        </w:tc>
        <w:tc>
          <w:tcPr>
            <w:tcW w:w="1127" w:type="dxa"/>
            <w:vAlign w:val="center"/>
          </w:tcPr>
          <w:p w:rsidR="00B945C6" w:rsidRPr="008F47CB" w:rsidP="00344E63" w14:paraId="4A1663D9" w14:textId="42AE83C4">
            <w:pPr>
              <w:jc w:val="center"/>
              <w:rPr>
                <w:sz w:val="22"/>
              </w:rPr>
            </w:pPr>
            <w:r>
              <w:rPr>
                <w:sz w:val="22"/>
              </w:rPr>
              <w:t>1</w:t>
            </w:r>
          </w:p>
        </w:tc>
        <w:tc>
          <w:tcPr>
            <w:tcW w:w="1094" w:type="dxa"/>
            <w:vAlign w:val="center"/>
          </w:tcPr>
          <w:p w:rsidR="00B945C6" w:rsidRPr="008F47CB" w:rsidP="00344E63" w14:paraId="58016315" w14:textId="7650C66D">
            <w:pPr>
              <w:jc w:val="center"/>
              <w:rPr>
                <w:sz w:val="22"/>
              </w:rPr>
            </w:pPr>
            <w:r w:rsidRPr="00B96D02">
              <w:rPr>
                <w:rFonts w:cs="Times New Roman"/>
                <w:color w:val="000000"/>
                <w:sz w:val="22"/>
              </w:rPr>
              <w:t>31</w:t>
            </w:r>
          </w:p>
        </w:tc>
        <w:tc>
          <w:tcPr>
            <w:tcW w:w="1017" w:type="dxa"/>
            <w:vAlign w:val="center"/>
          </w:tcPr>
          <w:p w:rsidR="00B945C6" w:rsidRPr="008F47CB" w:rsidP="00344E63" w14:paraId="48430202" w14:textId="0D9FE5DD">
            <w:pPr>
              <w:jc w:val="center"/>
              <w:rPr>
                <w:sz w:val="22"/>
              </w:rPr>
            </w:pPr>
            <w:r w:rsidRPr="009F17E2">
              <w:rPr>
                <w:sz w:val="22"/>
              </w:rPr>
              <w:t xml:space="preserve">1 </w:t>
            </w:r>
            <w:r w:rsidRPr="009F17E2">
              <w:rPr>
                <w:sz w:val="22"/>
              </w:rPr>
              <w:t>hr</w:t>
            </w:r>
          </w:p>
        </w:tc>
        <w:tc>
          <w:tcPr>
            <w:tcW w:w="1205" w:type="dxa"/>
            <w:vAlign w:val="center"/>
          </w:tcPr>
          <w:p w:rsidR="00B945C6" w:rsidRPr="008F47CB" w:rsidP="00344E63" w14:paraId="4DB0D759" w14:textId="07217002">
            <w:pPr>
              <w:jc w:val="center"/>
              <w:rPr>
                <w:sz w:val="22"/>
              </w:rPr>
            </w:pPr>
            <w:r>
              <w:rPr>
                <w:sz w:val="22"/>
              </w:rPr>
              <w:t>31</w:t>
            </w:r>
          </w:p>
        </w:tc>
        <w:tc>
          <w:tcPr>
            <w:tcW w:w="1405" w:type="dxa"/>
            <w:vAlign w:val="center"/>
          </w:tcPr>
          <w:p w:rsidR="00B945C6" w:rsidRPr="008F47CB" w:rsidP="00344E63" w14:paraId="14425C42" w14:textId="0A6C3D20">
            <w:pPr>
              <w:jc w:val="center"/>
              <w:rPr>
                <w:sz w:val="22"/>
              </w:rPr>
            </w:pPr>
            <w:r w:rsidRPr="00B96D02">
              <w:rPr>
                <w:rFonts w:cs="Times New Roman"/>
                <w:sz w:val="22"/>
              </w:rPr>
              <w:t>$30.87</w:t>
            </w:r>
          </w:p>
        </w:tc>
        <w:tc>
          <w:tcPr>
            <w:tcW w:w="1228" w:type="dxa"/>
            <w:vAlign w:val="center"/>
          </w:tcPr>
          <w:p w:rsidR="00B945C6" w:rsidRPr="008F47CB" w:rsidP="00344E63" w14:paraId="50DA0B2B" w14:textId="5BB145B4">
            <w:pPr>
              <w:jc w:val="center"/>
              <w:rPr>
                <w:sz w:val="22"/>
              </w:rPr>
            </w:pPr>
            <w:r w:rsidRPr="00B96D02">
              <w:rPr>
                <w:rFonts w:cs="Times New Roman"/>
                <w:color w:val="000000"/>
                <w:sz w:val="22"/>
              </w:rPr>
              <w:t>$956.97</w:t>
            </w:r>
          </w:p>
        </w:tc>
      </w:tr>
      <w:tr w14:paraId="0EEE7E98" w14:textId="77777777" w:rsidTr="00344E63">
        <w:tblPrEx>
          <w:tblW w:w="9929" w:type="dxa"/>
          <w:tblLook w:val="04A0"/>
        </w:tblPrEx>
        <w:trPr>
          <w:gridAfter w:val="1"/>
          <w:wAfter w:w="11" w:type="dxa"/>
        </w:trPr>
        <w:tc>
          <w:tcPr>
            <w:tcW w:w="1536" w:type="dxa"/>
            <w:vAlign w:val="center"/>
          </w:tcPr>
          <w:p w:rsidR="00B945C6" w:rsidRPr="008F47CB" w:rsidP="00B945C6" w14:paraId="7F6A00E4" w14:textId="2F6AA640">
            <w:pPr>
              <w:jc w:val="right"/>
              <w:rPr>
                <w:sz w:val="22"/>
              </w:rPr>
            </w:pPr>
            <w:r w:rsidRPr="00B96D02">
              <w:rPr>
                <w:rFonts w:cs="Times New Roman"/>
                <w:sz w:val="22"/>
              </w:rPr>
              <w:t>Students</w:t>
            </w:r>
          </w:p>
        </w:tc>
        <w:tc>
          <w:tcPr>
            <w:tcW w:w="1306" w:type="dxa"/>
            <w:vAlign w:val="center"/>
          </w:tcPr>
          <w:p w:rsidR="00B945C6" w:rsidRPr="008F47CB" w:rsidP="00344E63" w14:paraId="20B1165A" w14:textId="544E2958">
            <w:pPr>
              <w:jc w:val="center"/>
              <w:rPr>
                <w:sz w:val="22"/>
              </w:rPr>
            </w:pPr>
            <w:r w:rsidRPr="00B96D02">
              <w:rPr>
                <w:rFonts w:cs="Times New Roman"/>
                <w:color w:val="000000"/>
                <w:sz w:val="22"/>
              </w:rPr>
              <w:t>93</w:t>
            </w:r>
          </w:p>
        </w:tc>
        <w:tc>
          <w:tcPr>
            <w:tcW w:w="1127" w:type="dxa"/>
            <w:vAlign w:val="center"/>
          </w:tcPr>
          <w:p w:rsidR="00B945C6" w:rsidRPr="008F47CB" w:rsidP="00344E63" w14:paraId="44B34759" w14:textId="3C01D5E3">
            <w:pPr>
              <w:jc w:val="center"/>
              <w:rPr>
                <w:sz w:val="22"/>
              </w:rPr>
            </w:pPr>
            <w:r>
              <w:rPr>
                <w:sz w:val="22"/>
              </w:rPr>
              <w:t>1</w:t>
            </w:r>
          </w:p>
        </w:tc>
        <w:tc>
          <w:tcPr>
            <w:tcW w:w="1094" w:type="dxa"/>
            <w:vAlign w:val="center"/>
          </w:tcPr>
          <w:p w:rsidR="00B945C6" w:rsidRPr="008F47CB" w:rsidP="00344E63" w14:paraId="2CC4F434" w14:textId="13D928FB">
            <w:pPr>
              <w:jc w:val="center"/>
              <w:rPr>
                <w:sz w:val="22"/>
              </w:rPr>
            </w:pPr>
            <w:r w:rsidRPr="00B96D02">
              <w:rPr>
                <w:rFonts w:cs="Times New Roman"/>
                <w:color w:val="000000"/>
                <w:sz w:val="22"/>
              </w:rPr>
              <w:t>93</w:t>
            </w:r>
          </w:p>
        </w:tc>
        <w:tc>
          <w:tcPr>
            <w:tcW w:w="1017" w:type="dxa"/>
            <w:vAlign w:val="center"/>
          </w:tcPr>
          <w:p w:rsidR="00B945C6" w:rsidRPr="008F47CB" w:rsidP="00344E63" w14:paraId="1AD944B0" w14:textId="4A41FC8B">
            <w:pPr>
              <w:jc w:val="center"/>
              <w:rPr>
                <w:sz w:val="22"/>
              </w:rPr>
            </w:pPr>
            <w:r w:rsidRPr="009F17E2">
              <w:rPr>
                <w:sz w:val="22"/>
              </w:rPr>
              <w:t xml:space="preserve">1 </w:t>
            </w:r>
            <w:r w:rsidRPr="009F17E2">
              <w:rPr>
                <w:sz w:val="22"/>
              </w:rPr>
              <w:t>hr</w:t>
            </w:r>
          </w:p>
        </w:tc>
        <w:tc>
          <w:tcPr>
            <w:tcW w:w="1205" w:type="dxa"/>
            <w:vAlign w:val="center"/>
          </w:tcPr>
          <w:p w:rsidR="00B945C6" w:rsidRPr="008F47CB" w:rsidP="00344E63" w14:paraId="1C2CC697" w14:textId="79492CCE">
            <w:pPr>
              <w:jc w:val="center"/>
              <w:rPr>
                <w:sz w:val="22"/>
              </w:rPr>
            </w:pPr>
            <w:r>
              <w:rPr>
                <w:sz w:val="22"/>
              </w:rPr>
              <w:t>93</w:t>
            </w:r>
          </w:p>
        </w:tc>
        <w:tc>
          <w:tcPr>
            <w:tcW w:w="1405" w:type="dxa"/>
            <w:vAlign w:val="center"/>
          </w:tcPr>
          <w:p w:rsidR="00B945C6" w:rsidRPr="008F47CB" w:rsidP="00344E63" w14:paraId="7CCB6099" w14:textId="7571A806">
            <w:pPr>
              <w:jc w:val="center"/>
              <w:rPr>
                <w:sz w:val="22"/>
              </w:rPr>
            </w:pPr>
            <w:r w:rsidRPr="00B96D02">
              <w:rPr>
                <w:rFonts w:cs="Times New Roman"/>
                <w:sz w:val="22"/>
              </w:rPr>
              <w:t>$7.25</w:t>
            </w:r>
          </w:p>
        </w:tc>
        <w:tc>
          <w:tcPr>
            <w:tcW w:w="1228" w:type="dxa"/>
            <w:vAlign w:val="center"/>
          </w:tcPr>
          <w:p w:rsidR="00B945C6" w:rsidRPr="008F47CB" w:rsidP="00344E63" w14:paraId="2145D44E" w14:textId="3ACBF4B7">
            <w:pPr>
              <w:jc w:val="center"/>
              <w:rPr>
                <w:sz w:val="22"/>
              </w:rPr>
            </w:pPr>
            <w:r w:rsidRPr="00B96D02">
              <w:rPr>
                <w:rFonts w:cs="Times New Roman"/>
                <w:color w:val="000000"/>
                <w:sz w:val="22"/>
              </w:rPr>
              <w:t>$674.25</w:t>
            </w:r>
          </w:p>
        </w:tc>
      </w:tr>
      <w:tr w14:paraId="3292B55B" w14:textId="77777777" w:rsidTr="00E225BB">
        <w:tblPrEx>
          <w:tblW w:w="9929" w:type="dxa"/>
          <w:tblLook w:val="04A0"/>
        </w:tblPrEx>
        <w:trPr>
          <w:gridAfter w:val="1"/>
          <w:wAfter w:w="11" w:type="dxa"/>
        </w:trPr>
        <w:tc>
          <w:tcPr>
            <w:tcW w:w="1536" w:type="dxa"/>
            <w:vAlign w:val="center"/>
          </w:tcPr>
          <w:p w:rsidR="00B945C6" w:rsidRPr="00E225BB" w:rsidP="00E225BB" w14:paraId="30D29BA6" w14:textId="54818F34">
            <w:pPr>
              <w:jc w:val="center"/>
              <w:rPr>
                <w:b/>
                <w:bCs/>
                <w:sz w:val="22"/>
              </w:rPr>
            </w:pPr>
            <w:r w:rsidRPr="00E225BB">
              <w:rPr>
                <w:b/>
                <w:bCs/>
                <w:sz w:val="22"/>
              </w:rPr>
              <w:t>Total</w:t>
            </w:r>
          </w:p>
        </w:tc>
        <w:tc>
          <w:tcPr>
            <w:tcW w:w="1306" w:type="dxa"/>
            <w:vAlign w:val="center"/>
          </w:tcPr>
          <w:p w:rsidR="00B945C6" w:rsidRPr="00E225BB" w:rsidP="00E225BB" w14:paraId="1AA9EFE5" w14:textId="26916FA1">
            <w:pPr>
              <w:jc w:val="center"/>
              <w:rPr>
                <w:b/>
                <w:bCs/>
                <w:sz w:val="22"/>
              </w:rPr>
            </w:pPr>
            <w:r w:rsidRPr="00E225BB">
              <w:rPr>
                <w:b/>
                <w:bCs/>
                <w:sz w:val="22"/>
              </w:rPr>
              <w:t>277</w:t>
            </w:r>
          </w:p>
        </w:tc>
        <w:tc>
          <w:tcPr>
            <w:tcW w:w="1127" w:type="dxa"/>
            <w:vAlign w:val="center"/>
          </w:tcPr>
          <w:p w:rsidR="00B945C6" w:rsidRPr="00E225BB" w:rsidP="00E225BB" w14:paraId="0464EDB3" w14:textId="34744AEE">
            <w:pPr>
              <w:jc w:val="center"/>
              <w:rPr>
                <w:b/>
                <w:bCs/>
                <w:sz w:val="22"/>
              </w:rPr>
            </w:pPr>
            <w:r w:rsidRPr="00E225BB">
              <w:rPr>
                <w:b/>
                <w:bCs/>
                <w:sz w:val="22"/>
              </w:rPr>
              <w:t>1</w:t>
            </w:r>
          </w:p>
        </w:tc>
        <w:tc>
          <w:tcPr>
            <w:tcW w:w="1094" w:type="dxa"/>
            <w:vAlign w:val="center"/>
          </w:tcPr>
          <w:p w:rsidR="00B945C6" w:rsidRPr="00E225BB" w:rsidP="00E225BB" w14:paraId="2EFFA6C6" w14:textId="6C6B6553">
            <w:pPr>
              <w:jc w:val="center"/>
              <w:rPr>
                <w:b/>
                <w:bCs/>
                <w:sz w:val="22"/>
              </w:rPr>
            </w:pPr>
            <w:r w:rsidRPr="00E225BB">
              <w:rPr>
                <w:b/>
                <w:bCs/>
                <w:sz w:val="22"/>
              </w:rPr>
              <w:t>277</w:t>
            </w:r>
          </w:p>
        </w:tc>
        <w:tc>
          <w:tcPr>
            <w:tcW w:w="1017" w:type="dxa"/>
            <w:vAlign w:val="center"/>
          </w:tcPr>
          <w:p w:rsidR="00B945C6" w:rsidRPr="00E225BB" w:rsidP="00E225BB" w14:paraId="20ADBCFE" w14:textId="6F1B0B53">
            <w:pPr>
              <w:jc w:val="center"/>
              <w:rPr>
                <w:b/>
                <w:bCs/>
                <w:sz w:val="22"/>
              </w:rPr>
            </w:pPr>
            <w:r w:rsidRPr="00E225BB">
              <w:rPr>
                <w:b/>
                <w:bCs/>
                <w:sz w:val="22"/>
              </w:rPr>
              <w:t xml:space="preserve">1 </w:t>
            </w:r>
            <w:r w:rsidRPr="00E225BB">
              <w:rPr>
                <w:b/>
                <w:bCs/>
                <w:sz w:val="22"/>
              </w:rPr>
              <w:t>hr</w:t>
            </w:r>
          </w:p>
        </w:tc>
        <w:tc>
          <w:tcPr>
            <w:tcW w:w="1205" w:type="dxa"/>
            <w:vAlign w:val="center"/>
          </w:tcPr>
          <w:p w:rsidR="00B945C6" w:rsidRPr="00E225BB" w:rsidP="00E225BB" w14:paraId="4438258E" w14:textId="7B8E57D3">
            <w:pPr>
              <w:jc w:val="center"/>
              <w:rPr>
                <w:b/>
                <w:bCs/>
                <w:sz w:val="22"/>
              </w:rPr>
            </w:pPr>
            <w:r w:rsidRPr="00E225BB">
              <w:rPr>
                <w:b/>
                <w:bCs/>
                <w:sz w:val="22"/>
              </w:rPr>
              <w:t>277 hrs.</w:t>
            </w:r>
          </w:p>
        </w:tc>
        <w:tc>
          <w:tcPr>
            <w:tcW w:w="1405" w:type="dxa"/>
            <w:vAlign w:val="center"/>
          </w:tcPr>
          <w:p w:rsidR="00B945C6" w:rsidRPr="00E225BB" w:rsidP="00E225BB" w14:paraId="390584CA" w14:textId="77777777">
            <w:pPr>
              <w:jc w:val="center"/>
              <w:rPr>
                <w:b/>
                <w:bCs/>
                <w:sz w:val="22"/>
              </w:rPr>
            </w:pPr>
          </w:p>
        </w:tc>
        <w:tc>
          <w:tcPr>
            <w:tcW w:w="1228" w:type="dxa"/>
            <w:vAlign w:val="center"/>
          </w:tcPr>
          <w:p w:rsidR="00B945C6" w:rsidRPr="00E225BB" w:rsidP="00E225BB" w14:paraId="23C408CF" w14:textId="3C9634E3">
            <w:pPr>
              <w:jc w:val="center"/>
              <w:rPr>
                <w:b/>
                <w:bCs/>
                <w:sz w:val="22"/>
              </w:rPr>
            </w:pPr>
            <w:r w:rsidRPr="00E225BB">
              <w:rPr>
                <w:rFonts w:cs="Times New Roman"/>
                <w:b/>
                <w:bCs/>
                <w:color w:val="000000"/>
                <w:sz w:val="22"/>
              </w:rPr>
              <w:t>$7,703.75</w:t>
            </w:r>
          </w:p>
        </w:tc>
      </w:tr>
      <w:tr w14:paraId="03CB372B" w14:textId="77777777" w:rsidTr="00E225BB">
        <w:tblPrEx>
          <w:tblW w:w="9929" w:type="dxa"/>
          <w:tblLook w:val="04A0"/>
        </w:tblPrEx>
        <w:trPr>
          <w:gridAfter w:val="1"/>
          <w:wAfter w:w="11" w:type="dxa"/>
        </w:trPr>
        <w:tc>
          <w:tcPr>
            <w:tcW w:w="1536" w:type="dxa"/>
            <w:vAlign w:val="bottom"/>
          </w:tcPr>
          <w:p w:rsidR="00B945C6" w:rsidRPr="008F47CB" w:rsidP="00B945C6" w14:paraId="00B26B9F" w14:textId="77777777">
            <w:pPr>
              <w:jc w:val="right"/>
              <w:rPr>
                <w:sz w:val="22"/>
              </w:rPr>
            </w:pPr>
          </w:p>
        </w:tc>
        <w:tc>
          <w:tcPr>
            <w:tcW w:w="1306" w:type="dxa"/>
            <w:vAlign w:val="bottom"/>
          </w:tcPr>
          <w:p w:rsidR="00B945C6" w:rsidRPr="008F47CB" w:rsidP="00B945C6" w14:paraId="57D76962" w14:textId="77777777">
            <w:pPr>
              <w:jc w:val="right"/>
              <w:rPr>
                <w:sz w:val="22"/>
              </w:rPr>
            </w:pPr>
          </w:p>
        </w:tc>
        <w:tc>
          <w:tcPr>
            <w:tcW w:w="1127" w:type="dxa"/>
            <w:vAlign w:val="bottom"/>
          </w:tcPr>
          <w:p w:rsidR="00B945C6" w:rsidRPr="008F47CB" w:rsidP="00B945C6" w14:paraId="7DF2BE66" w14:textId="77777777">
            <w:pPr>
              <w:jc w:val="right"/>
              <w:rPr>
                <w:sz w:val="22"/>
              </w:rPr>
            </w:pPr>
          </w:p>
        </w:tc>
        <w:tc>
          <w:tcPr>
            <w:tcW w:w="1094" w:type="dxa"/>
            <w:vAlign w:val="bottom"/>
          </w:tcPr>
          <w:p w:rsidR="00B945C6" w:rsidRPr="008F47CB" w:rsidP="00B945C6" w14:paraId="647F46A3" w14:textId="77777777">
            <w:pPr>
              <w:jc w:val="right"/>
              <w:rPr>
                <w:sz w:val="22"/>
              </w:rPr>
            </w:pPr>
          </w:p>
        </w:tc>
        <w:tc>
          <w:tcPr>
            <w:tcW w:w="1017" w:type="dxa"/>
            <w:vAlign w:val="bottom"/>
          </w:tcPr>
          <w:p w:rsidR="00B945C6" w:rsidRPr="008F47CB" w:rsidP="00B945C6" w14:paraId="01C5D786" w14:textId="77777777">
            <w:pPr>
              <w:jc w:val="right"/>
              <w:rPr>
                <w:sz w:val="22"/>
              </w:rPr>
            </w:pPr>
          </w:p>
        </w:tc>
        <w:tc>
          <w:tcPr>
            <w:tcW w:w="1205" w:type="dxa"/>
            <w:vAlign w:val="bottom"/>
          </w:tcPr>
          <w:p w:rsidR="00B945C6" w:rsidRPr="008F47CB" w:rsidP="00B945C6" w14:paraId="1DE9F045" w14:textId="77777777">
            <w:pPr>
              <w:jc w:val="right"/>
              <w:rPr>
                <w:sz w:val="22"/>
              </w:rPr>
            </w:pPr>
          </w:p>
        </w:tc>
        <w:tc>
          <w:tcPr>
            <w:tcW w:w="1405" w:type="dxa"/>
            <w:vAlign w:val="bottom"/>
          </w:tcPr>
          <w:p w:rsidR="00B945C6" w:rsidRPr="008F47CB" w:rsidP="00B945C6" w14:paraId="32B35093" w14:textId="77777777">
            <w:pPr>
              <w:jc w:val="right"/>
              <w:rPr>
                <w:sz w:val="22"/>
              </w:rPr>
            </w:pPr>
          </w:p>
        </w:tc>
        <w:tc>
          <w:tcPr>
            <w:tcW w:w="1228" w:type="dxa"/>
            <w:vAlign w:val="bottom"/>
          </w:tcPr>
          <w:p w:rsidR="00B945C6" w:rsidRPr="008F47CB" w:rsidP="00B945C6" w14:paraId="2426E927" w14:textId="77777777">
            <w:pPr>
              <w:jc w:val="right"/>
              <w:rPr>
                <w:sz w:val="22"/>
              </w:rPr>
            </w:pPr>
          </w:p>
        </w:tc>
      </w:tr>
      <w:tr w14:paraId="2C3214D3" w14:textId="77777777" w:rsidTr="00E225BB">
        <w:tblPrEx>
          <w:tblW w:w="9929" w:type="dxa"/>
          <w:tblLook w:val="04A0"/>
        </w:tblPrEx>
        <w:trPr>
          <w:gridAfter w:val="1"/>
          <w:wAfter w:w="11" w:type="dxa"/>
        </w:trPr>
        <w:tc>
          <w:tcPr>
            <w:tcW w:w="1536" w:type="dxa"/>
          </w:tcPr>
          <w:p w:rsidR="00B945C6" w:rsidRPr="008F47CB" w:rsidP="00B945C6" w14:paraId="621C4009" w14:textId="77777777">
            <w:pPr>
              <w:rPr>
                <w:b/>
                <w:i/>
                <w:sz w:val="22"/>
              </w:rPr>
            </w:pPr>
            <w:r w:rsidRPr="008F47CB">
              <w:rPr>
                <w:b/>
                <w:i/>
                <w:sz w:val="22"/>
              </w:rPr>
              <w:t>Unduplicated Totals</w:t>
            </w:r>
          </w:p>
        </w:tc>
        <w:tc>
          <w:tcPr>
            <w:tcW w:w="1306" w:type="dxa"/>
            <w:vAlign w:val="bottom"/>
          </w:tcPr>
          <w:p w:rsidR="00B945C6" w:rsidRPr="008F47CB" w:rsidP="00B945C6" w14:paraId="70D172CE" w14:textId="77777777">
            <w:pPr>
              <w:jc w:val="right"/>
              <w:rPr>
                <w:b/>
                <w:i/>
                <w:sz w:val="22"/>
              </w:rPr>
            </w:pPr>
          </w:p>
        </w:tc>
        <w:tc>
          <w:tcPr>
            <w:tcW w:w="1127" w:type="dxa"/>
            <w:vAlign w:val="bottom"/>
          </w:tcPr>
          <w:p w:rsidR="00B945C6" w:rsidRPr="008F47CB" w:rsidP="00B945C6" w14:paraId="2E2E4B5D" w14:textId="77777777">
            <w:pPr>
              <w:jc w:val="center"/>
              <w:rPr>
                <w:b/>
                <w:i/>
                <w:sz w:val="22"/>
              </w:rPr>
            </w:pPr>
          </w:p>
        </w:tc>
        <w:tc>
          <w:tcPr>
            <w:tcW w:w="1094" w:type="dxa"/>
            <w:vAlign w:val="bottom"/>
          </w:tcPr>
          <w:p w:rsidR="00B945C6" w:rsidRPr="008F47CB" w:rsidP="00B945C6" w14:paraId="410DF272" w14:textId="77777777">
            <w:pPr>
              <w:jc w:val="right"/>
              <w:rPr>
                <w:b/>
                <w:i/>
                <w:sz w:val="22"/>
              </w:rPr>
            </w:pPr>
          </w:p>
        </w:tc>
        <w:tc>
          <w:tcPr>
            <w:tcW w:w="1017" w:type="dxa"/>
            <w:vAlign w:val="bottom"/>
          </w:tcPr>
          <w:p w:rsidR="00B945C6" w:rsidRPr="008F47CB" w:rsidP="00B945C6" w14:paraId="4F1ADA14" w14:textId="77777777">
            <w:pPr>
              <w:jc w:val="right"/>
              <w:rPr>
                <w:b/>
                <w:i/>
                <w:sz w:val="22"/>
              </w:rPr>
            </w:pPr>
          </w:p>
        </w:tc>
        <w:tc>
          <w:tcPr>
            <w:tcW w:w="1205" w:type="dxa"/>
            <w:vAlign w:val="bottom"/>
          </w:tcPr>
          <w:p w:rsidR="00B945C6" w:rsidRPr="008F47CB" w:rsidP="00B945C6" w14:paraId="542D02DD" w14:textId="77777777">
            <w:pPr>
              <w:jc w:val="right"/>
              <w:rPr>
                <w:b/>
                <w:i/>
                <w:sz w:val="22"/>
              </w:rPr>
            </w:pPr>
          </w:p>
        </w:tc>
        <w:tc>
          <w:tcPr>
            <w:tcW w:w="1405" w:type="dxa"/>
            <w:vAlign w:val="bottom"/>
          </w:tcPr>
          <w:p w:rsidR="00B945C6" w:rsidRPr="008F47CB" w:rsidP="00B945C6" w14:paraId="5DD3AAB4" w14:textId="77777777">
            <w:pPr>
              <w:jc w:val="right"/>
              <w:rPr>
                <w:b/>
                <w:i/>
                <w:sz w:val="22"/>
              </w:rPr>
            </w:pPr>
          </w:p>
        </w:tc>
        <w:tc>
          <w:tcPr>
            <w:tcW w:w="1228" w:type="dxa"/>
            <w:vAlign w:val="bottom"/>
          </w:tcPr>
          <w:p w:rsidR="00B945C6" w:rsidRPr="008F47CB" w:rsidP="00B945C6" w14:paraId="1C48B41A" w14:textId="42B0BFAA">
            <w:pPr>
              <w:jc w:val="right"/>
              <w:rPr>
                <w:b/>
                <w:i/>
                <w:sz w:val="22"/>
              </w:rPr>
            </w:pPr>
            <w:r w:rsidRPr="003B7077">
              <w:rPr>
                <w:rFonts w:cs="Times New Roman"/>
                <w:b/>
                <w:bCs/>
                <w:color w:val="000000"/>
                <w:sz w:val="22"/>
              </w:rPr>
              <w:t>$14,331.72</w:t>
            </w:r>
          </w:p>
        </w:tc>
      </w:tr>
    </w:tbl>
    <w:p w:rsidR="003305C1" w:rsidRPr="00E90ED5" w:rsidP="003305C1" w14:paraId="74ADA570" w14:textId="52EF0DEA">
      <w:pPr>
        <w:pStyle w:val="Header"/>
        <w:shd w:val="clear" w:color="auto" w:fill="FFFFFF"/>
        <w:tabs>
          <w:tab w:val="left" w:pos="360"/>
          <w:tab w:val="clear" w:pos="4680"/>
          <w:tab w:val="clear" w:pos="9360"/>
        </w:tabs>
        <w:ind w:left="360"/>
        <w:contextualSpacing/>
      </w:pPr>
      <w:r w:rsidRPr="005A28AB">
        <w:rPr>
          <w:rFonts w:eastAsia="Calibri" w:cs="Times New Roman"/>
          <w:sz w:val="22"/>
          <w:szCs w:val="20"/>
        </w:rPr>
        <w:t xml:space="preserve">Note: Except </w:t>
      </w:r>
      <w:r>
        <w:rPr>
          <w:rFonts w:eastAsia="Calibri" w:cs="Times New Roman"/>
          <w:sz w:val="22"/>
          <w:szCs w:val="20"/>
        </w:rPr>
        <w:t xml:space="preserve">for </w:t>
      </w:r>
      <w:r w:rsidRPr="005A28AB">
        <w:rPr>
          <w:rFonts w:eastAsia="Calibri" w:cs="Times New Roman"/>
          <w:sz w:val="22"/>
          <w:szCs w:val="20"/>
        </w:rPr>
        <w:t xml:space="preserve">the student wage, all wage averages were collected from the Bureau of Labor Statistics’ website listings of national wage averages. The student wage average is the </w:t>
      </w:r>
      <w:r>
        <w:rPr>
          <w:rFonts w:eastAsia="Calibri" w:cs="Times New Roman"/>
          <w:sz w:val="22"/>
          <w:szCs w:val="20"/>
        </w:rPr>
        <w:t>federal</w:t>
      </w:r>
      <w:r w:rsidRPr="005A28AB">
        <w:rPr>
          <w:rFonts w:eastAsia="Calibri" w:cs="Times New Roman"/>
          <w:sz w:val="22"/>
          <w:szCs w:val="20"/>
        </w:rPr>
        <w:t xml:space="preserve"> minimum wage. Government official positions were not included in the burden </w:t>
      </w:r>
      <w:r>
        <w:rPr>
          <w:rFonts w:eastAsia="Calibri" w:cs="Times New Roman"/>
          <w:sz w:val="22"/>
          <w:szCs w:val="20"/>
        </w:rPr>
        <w:t xml:space="preserve">cost </w:t>
      </w:r>
      <w:r w:rsidRPr="005A28AB">
        <w:rPr>
          <w:rFonts w:eastAsia="Calibri" w:cs="Times New Roman"/>
          <w:sz w:val="22"/>
          <w:szCs w:val="20"/>
        </w:rPr>
        <w:t>total due to wage information not being available.</w:t>
      </w:r>
      <w:r>
        <w:rPr>
          <w:rFonts w:eastAsia="Calibri" w:cs="Times New Roman"/>
          <w:sz w:val="22"/>
          <w:szCs w:val="20"/>
        </w:rPr>
        <w:t xml:space="preserve"> </w:t>
      </w:r>
      <w:r>
        <w:rPr>
          <w:rFonts w:eastAsia="Calibri" w:cs="Times New Roman"/>
          <w:sz w:val="22"/>
          <w:szCs w:val="20"/>
        </w:rPr>
        <w:br/>
        <w:t>*</w:t>
      </w:r>
      <w:r w:rsidRPr="00E66C01">
        <w:rPr>
          <w:rFonts w:eastAsia="Calibri" w:cs="Times New Roman"/>
          <w:sz w:val="22"/>
          <w:szCs w:val="20"/>
        </w:rPr>
        <w:t>The wages for secondary school administrators and</w:t>
      </w:r>
      <w:r>
        <w:rPr>
          <w:rFonts w:eastAsia="Calibri" w:cs="Times New Roman"/>
          <w:sz w:val="22"/>
          <w:szCs w:val="20"/>
        </w:rPr>
        <w:t xml:space="preserve"> secondary school</w:t>
      </w:r>
      <w:r w:rsidRPr="00E66C01">
        <w:rPr>
          <w:rFonts w:eastAsia="Calibri" w:cs="Times New Roman"/>
          <w:sz w:val="22"/>
          <w:szCs w:val="20"/>
        </w:rPr>
        <w:t xml:space="preserve"> teachers were determined by dividing the annual mean wage per occupation </w:t>
      </w:r>
      <w:r>
        <w:rPr>
          <w:rFonts w:eastAsia="Calibri" w:cs="Times New Roman"/>
          <w:sz w:val="22"/>
          <w:szCs w:val="20"/>
        </w:rPr>
        <w:t>by 52 weeks.</w:t>
      </w:r>
    </w:p>
    <w:p w:rsidR="00B47739" w:rsidRPr="00E90ED5" w:rsidP="00B96D02" w14:paraId="32297824" w14:textId="17734E63">
      <w:pPr>
        <w:rPr>
          <w:rFonts w:cs="Times New Roman"/>
        </w:rPr>
      </w:pPr>
    </w:p>
    <w:p w:rsidR="00980E86" w:rsidRPr="00E90ED5" w:rsidP="00B47739" w14:paraId="3D92ECDA" w14:textId="77777777">
      <w:pPr>
        <w:pStyle w:val="ListParagraph"/>
        <w:rPr>
          <w:rFonts w:cs="Times New Roman"/>
        </w:rPr>
      </w:pPr>
    </w:p>
    <w:p w:rsidR="00DC2C03" w:rsidRPr="001051C7" w:rsidP="00DC2C03" w14:paraId="44C2C79B" w14:textId="1749B9C5">
      <w:pPr>
        <w:pStyle w:val="ListParagraph"/>
        <w:numPr>
          <w:ilvl w:val="0"/>
          <w:numId w:val="2"/>
        </w:numPr>
        <w:rPr>
          <w:rFonts w:cs="Times New Roman"/>
          <w:b/>
          <w:bCs/>
        </w:rPr>
      </w:pPr>
      <w:r w:rsidRPr="001051C7">
        <w:rPr>
          <w:rFonts w:cs="Times New Roman"/>
          <w:b/>
          <w:bCs/>
        </w:rPr>
        <w:t>Provide an estimate for the total annual cost burden to respondents or record-keepers resulting from the collection of information. (Do not include the cost of any hour burden shown in Items 12 and 14)</w:t>
      </w:r>
      <w:r w:rsidRPr="001051C7" w:rsidR="001E7C92">
        <w:rPr>
          <w:rFonts w:cs="Times New Roman"/>
          <w:b/>
          <w:bCs/>
        </w:rPr>
        <w:t>.</w:t>
      </w:r>
    </w:p>
    <w:p w:rsidR="00BD33A1" w:rsidRPr="00E90ED5" w:rsidP="00163EDF" w14:paraId="02687F0E" w14:textId="77777777">
      <w:pPr>
        <w:pStyle w:val="ListParagraph"/>
        <w:rPr>
          <w:rFonts w:cs="Times New Roman"/>
        </w:rPr>
      </w:pPr>
    </w:p>
    <w:p w:rsidR="000B07CE" w:rsidRPr="001051C7" w:rsidP="00344E63" w14:paraId="4A74940C" w14:textId="1409058C">
      <w:pPr>
        <w:pStyle w:val="ListParagraph"/>
        <w:numPr>
          <w:ilvl w:val="0"/>
          <w:numId w:val="7"/>
        </w:numPr>
        <w:rPr>
          <w:rFonts w:cs="Times New Roman"/>
          <w:b/>
          <w:bCs/>
        </w:rPr>
      </w:pPr>
      <w:r w:rsidRPr="001051C7">
        <w:rPr>
          <w:rFonts w:cs="Times New Roman"/>
          <w:b/>
          <w:bCs/>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0B07CE" w:rsidRPr="00344E63" w:rsidP="00344E63" w14:paraId="6E79C137" w14:textId="392689AD">
      <w:pPr>
        <w:pStyle w:val="ListParagraph"/>
        <w:numPr>
          <w:ilvl w:val="0"/>
          <w:numId w:val="7"/>
        </w:numPr>
        <w:rPr>
          <w:rFonts w:cs="Times New Roman"/>
          <w:b/>
          <w:bCs/>
        </w:rPr>
      </w:pPr>
      <w:r w:rsidRPr="00344E63">
        <w:rPr>
          <w:rFonts w:cs="Times New Roman"/>
          <w:b/>
          <w:bCs/>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B07CE" w:rsidRPr="000B07CE" w:rsidP="00344E63" w14:paraId="484E179D" w14:textId="7E71F6D4">
      <w:pPr>
        <w:pStyle w:val="ListParagraph"/>
        <w:ind w:left="1080"/>
        <w:rPr>
          <w:rFonts w:cs="Times New Roman"/>
          <w:b/>
          <w:bCs/>
        </w:rPr>
      </w:pPr>
      <w:r w:rsidRPr="00344E63">
        <w:rPr>
          <w:rFonts w:cs="Times New Roman"/>
          <w:b/>
          <w:bCs/>
        </w:rPr>
        <w:t>Generally, estimates should not include purchases of equipment or services, or portions thereof, made:</w:t>
      </w:r>
      <w:r w:rsidRPr="000B07CE">
        <w:rPr>
          <w:rFonts w:cs="Times New Roman"/>
          <w:b/>
          <w:bCs/>
        </w:rPr>
        <w:t xml:space="preserv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0B07CE" w:rsidP="003305C1" w14:paraId="52421D44" w14:textId="77777777">
      <w:pPr>
        <w:ind w:left="360"/>
        <w:rPr>
          <w:rFonts w:cs="Times New Roman"/>
        </w:rPr>
      </w:pPr>
    </w:p>
    <w:p w:rsidR="00344E63" w:rsidP="003305C1" w14:paraId="1A4624A1" w14:textId="77777777">
      <w:pPr>
        <w:ind w:left="360"/>
        <w:rPr>
          <w:rFonts w:cs="Times New Roman"/>
        </w:rPr>
      </w:pPr>
      <w:r>
        <w:rPr>
          <w:rFonts w:cs="Times New Roman"/>
        </w:rPr>
        <w:t xml:space="preserve">There are no </w:t>
      </w:r>
      <w:r>
        <w:rPr>
          <w:rFonts w:cs="Times New Roman"/>
        </w:rPr>
        <w:t>start up</w:t>
      </w:r>
      <w:r>
        <w:rPr>
          <w:rFonts w:cs="Times New Roman"/>
        </w:rPr>
        <w:t xml:space="preserve"> costs or costs for operation and maintenance </w:t>
      </w:r>
      <w:r w:rsidR="00564CF8">
        <w:rPr>
          <w:rFonts w:cs="Times New Roman"/>
        </w:rPr>
        <w:t xml:space="preserve">for providing the information </w:t>
      </w:r>
      <w:r>
        <w:rPr>
          <w:rFonts w:cs="Times New Roman"/>
        </w:rPr>
        <w:t xml:space="preserve">associated with this collection. </w:t>
      </w:r>
    </w:p>
    <w:p w:rsidR="000F75E7" w:rsidP="003305C1" w14:paraId="1CC8A12E" w14:textId="49CB609C">
      <w:pPr>
        <w:ind w:left="360"/>
        <w:rPr>
          <w:rFonts w:cs="Times New Roman"/>
          <w:b/>
          <w:bCs/>
        </w:rPr>
      </w:pPr>
      <w:r w:rsidRPr="007B35C1">
        <w:rPr>
          <w:rFonts w:cs="Times New Roman"/>
        </w:rPr>
        <w:t xml:space="preserve"> </w:t>
      </w:r>
    </w:p>
    <w:p w:rsidR="00344E63" w14:paraId="5615FD3E" w14:textId="77777777">
      <w:pPr>
        <w:rPr>
          <w:rFonts w:cs="Times New Roman"/>
          <w:b/>
          <w:bCs/>
        </w:rPr>
      </w:pPr>
      <w:r>
        <w:rPr>
          <w:rFonts w:cs="Times New Roman"/>
          <w:b/>
          <w:bCs/>
        </w:rPr>
        <w:br w:type="page"/>
      </w:r>
    </w:p>
    <w:p w:rsidR="00DC2C03" w:rsidP="00DC2C03" w14:paraId="28BEAA1A" w14:textId="261A32A7">
      <w:pPr>
        <w:pStyle w:val="ListParagraph"/>
        <w:numPr>
          <w:ilvl w:val="0"/>
          <w:numId w:val="2"/>
        </w:numPr>
        <w:rPr>
          <w:rFonts w:cs="Times New Roman"/>
          <w:b/>
          <w:bCs/>
        </w:rPr>
      </w:pPr>
      <w:r w:rsidRPr="001051C7">
        <w:rPr>
          <w:rFonts w:cs="Times New Roman"/>
          <w:b/>
          <w:b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564CF8" w:rsidP="00564CF8" w14:paraId="63073584" w14:textId="5AFA3001">
      <w:pPr>
        <w:rPr>
          <w:rFonts w:cs="Times New Roman"/>
          <w:b/>
          <w:bCs/>
        </w:rPr>
      </w:pPr>
    </w:p>
    <w:p w:rsidR="00564CF8" w:rsidP="00564CF8" w14:paraId="74451E0A" w14:textId="77777777">
      <w:pPr>
        <w:ind w:left="360"/>
        <w:rPr>
          <w:rFonts w:cs="Times New Roman"/>
        </w:rPr>
      </w:pPr>
      <w:r w:rsidRPr="00E90ED5">
        <w:rPr>
          <w:rFonts w:cs="Times New Roman"/>
        </w:rPr>
        <w:t xml:space="preserve">The cost associated with obtaining information in this General Clearance is part of CRS’ annual budget. </w:t>
      </w:r>
    </w:p>
    <w:p w:rsidR="00564CF8" w:rsidP="00564CF8" w14:paraId="164B83CA" w14:textId="77777777">
      <w:pPr>
        <w:ind w:left="360"/>
        <w:rPr>
          <w:rFonts w:cs="Times New Roman"/>
        </w:rPr>
      </w:pPr>
    </w:p>
    <w:p w:rsidR="00564CF8" w:rsidRPr="00475CBA" w:rsidP="00564CF8" w14:paraId="62061894" w14:textId="7F8E6F29">
      <w:pPr>
        <w:ind w:left="360"/>
        <w:rPr>
          <w:rFonts w:cs="Times New Roman"/>
          <w:sz w:val="20"/>
          <w:szCs w:val="20"/>
        </w:rPr>
      </w:pPr>
      <w:r>
        <w:rPr>
          <w:rFonts w:cs="Times New Roman"/>
          <w:b/>
          <w:bCs/>
          <w:i/>
          <w:iCs/>
        </w:rPr>
        <w:t xml:space="preserve">Agency </w:t>
      </w:r>
      <w:r w:rsidRPr="00FD3AF7">
        <w:rPr>
          <w:rFonts w:cs="Times New Roman"/>
          <w:b/>
          <w:bCs/>
          <w:i/>
          <w:iCs/>
        </w:rPr>
        <w:t>Staff Costs</w:t>
      </w:r>
      <w:r>
        <w:rPr>
          <w:rFonts w:cs="Times New Roman"/>
          <w:b/>
          <w:bCs/>
          <w:i/>
          <w:iCs/>
        </w:rPr>
        <w:br/>
      </w:r>
      <w:r>
        <w:rPr>
          <w:rFonts w:cs="Times New Roman"/>
        </w:rPr>
        <w:t xml:space="preserve">We estimate that CRS agency staff members will spend about 50 hours overseeing the evaluation and completing fidelity logs annually. Based on an estimated cost per hour of $62 for a GS-13 staff member, the estimated total cost for staff members is $3,100 per year. </w:t>
      </w:r>
    </w:p>
    <w:p w:rsidR="00564CF8" w:rsidP="00564CF8" w14:paraId="7C8C470C" w14:textId="77777777">
      <w:pPr>
        <w:ind w:left="360"/>
        <w:rPr>
          <w:rFonts w:cs="Times New Roman"/>
          <w:b/>
          <w:bCs/>
          <w:i/>
          <w:iCs/>
        </w:rPr>
      </w:pPr>
    </w:p>
    <w:p w:rsidR="00564CF8" w:rsidP="00564CF8" w14:paraId="1EE9C142" w14:textId="03EED5CA">
      <w:pPr>
        <w:ind w:left="360"/>
        <w:rPr>
          <w:rFonts w:cs="Times New Roman"/>
          <w:b/>
          <w:bCs/>
          <w:i/>
          <w:iCs/>
        </w:rPr>
      </w:pPr>
      <w:r>
        <w:rPr>
          <w:rFonts w:cs="Times New Roman"/>
          <w:b/>
          <w:bCs/>
          <w:i/>
          <w:iCs/>
        </w:rPr>
        <w:t>Contractor Costs</w:t>
      </w:r>
    </w:p>
    <w:p w:rsidR="00564CF8" w:rsidP="00564CF8" w14:paraId="08A7B79A" w14:textId="015AA894">
      <w:pPr>
        <w:ind w:left="360"/>
        <w:rPr>
          <w:rFonts w:cs="Times New Roman"/>
        </w:rPr>
      </w:pPr>
      <w:r w:rsidRPr="00E90ED5">
        <w:rPr>
          <w:rFonts w:cs="Times New Roman"/>
        </w:rPr>
        <w:t xml:space="preserve">The </w:t>
      </w:r>
      <w:r>
        <w:rPr>
          <w:rFonts w:cs="Times New Roman"/>
        </w:rPr>
        <w:t>estimated</w:t>
      </w:r>
      <w:r w:rsidRPr="002D6CB4">
        <w:rPr>
          <w:rFonts w:cs="Times New Roman"/>
        </w:rPr>
        <w:t xml:space="preserve"> cost</w:t>
      </w:r>
      <w:r>
        <w:rPr>
          <w:rFonts w:cs="Times New Roman"/>
        </w:rPr>
        <w:t xml:space="preserve"> to CRS</w:t>
      </w:r>
      <w:r w:rsidRPr="002D6CB4">
        <w:rPr>
          <w:rFonts w:cs="Times New Roman"/>
        </w:rPr>
        <w:t xml:space="preserve"> of purchasing or contracting out information collection services</w:t>
      </w:r>
      <w:r w:rsidRPr="00E90ED5">
        <w:rPr>
          <w:rFonts w:cs="Times New Roman"/>
        </w:rPr>
        <w:t xml:space="preserve"> </w:t>
      </w:r>
      <w:r>
        <w:rPr>
          <w:rFonts w:cs="Times New Roman"/>
        </w:rPr>
        <w:t xml:space="preserve">to the contractor, Mathematica, is </w:t>
      </w:r>
      <w:r w:rsidRPr="00E90ED5">
        <w:rPr>
          <w:rFonts w:cs="Times New Roman"/>
        </w:rPr>
        <w:t>$</w:t>
      </w:r>
      <w:r w:rsidRPr="00B35907">
        <w:rPr>
          <w:rFonts w:cs="Times New Roman"/>
        </w:rPr>
        <w:t>519,244</w:t>
      </w:r>
      <w:r>
        <w:rPr>
          <w:rFonts w:cs="Times New Roman"/>
        </w:rPr>
        <w:t>.00</w:t>
      </w:r>
      <w:r w:rsidRPr="007E184A">
        <w:rPr>
          <w:rFonts w:cs="Times New Roman"/>
        </w:rPr>
        <w:t xml:space="preserve"> </w:t>
      </w:r>
      <w:r>
        <w:rPr>
          <w:rFonts w:cs="Times New Roman"/>
        </w:rPr>
        <w:t>annually for process and outcome evaluations. The cost is broken down by evaluation type in Table 2 below.</w:t>
      </w:r>
    </w:p>
    <w:p w:rsidR="00564CF8" w:rsidP="00564CF8" w14:paraId="253B5262" w14:textId="77777777">
      <w:pPr>
        <w:rPr>
          <w:rFonts w:cs="Times New Roman"/>
          <w:b/>
          <w:bCs/>
          <w:i/>
          <w:iCs/>
        </w:rPr>
      </w:pPr>
    </w:p>
    <w:p w:rsidR="00564CF8" w:rsidRPr="00FD3AF7" w:rsidP="00564CF8" w14:paraId="6FD43F5B" w14:textId="6F05A583">
      <w:pPr>
        <w:ind w:firstLine="360"/>
        <w:rPr>
          <w:rFonts w:cs="Times New Roman"/>
        </w:rPr>
      </w:pPr>
      <w:r w:rsidRPr="00FD3AF7">
        <w:rPr>
          <w:rFonts w:cs="Times New Roman"/>
        </w:rPr>
        <w:t xml:space="preserve">Table 2. Annualized cost of </w:t>
      </w:r>
      <w:r w:rsidR="00B74084">
        <w:rPr>
          <w:rFonts w:cs="Times New Roman"/>
        </w:rPr>
        <w:t>government contractor</w:t>
      </w:r>
    </w:p>
    <w:tbl>
      <w:tblPr>
        <w:tblStyle w:val="TableGrid"/>
        <w:tblW w:w="5485" w:type="dxa"/>
        <w:tblInd w:w="360" w:type="dxa"/>
        <w:tblLook w:val="04A0"/>
      </w:tblPr>
      <w:tblGrid>
        <w:gridCol w:w="3145"/>
        <w:gridCol w:w="2340"/>
      </w:tblGrid>
      <w:tr w14:paraId="758CC618" w14:textId="77777777" w:rsidTr="00344E63">
        <w:tblPrEx>
          <w:tblW w:w="5485" w:type="dxa"/>
          <w:tblInd w:w="360" w:type="dxa"/>
          <w:tblLook w:val="04A0"/>
        </w:tblPrEx>
        <w:trPr>
          <w:trHeight w:val="266"/>
        </w:trPr>
        <w:tc>
          <w:tcPr>
            <w:tcW w:w="3145" w:type="dxa"/>
            <w:shd w:val="clear" w:color="auto" w:fill="D9E2F3" w:themeFill="accent1" w:themeFillTint="33"/>
            <w:vAlign w:val="center"/>
          </w:tcPr>
          <w:p w:rsidR="00B74084" w:rsidRPr="00E90ED5" w:rsidP="00FD3AF7" w14:paraId="3C8F8A62" w14:textId="77777777">
            <w:pPr>
              <w:jc w:val="center"/>
              <w:rPr>
                <w:rFonts w:cs="Times New Roman"/>
                <w:b/>
                <w:bCs/>
              </w:rPr>
            </w:pPr>
            <w:r>
              <w:rPr>
                <w:rFonts w:cs="Times New Roman"/>
                <w:b/>
                <w:bCs/>
              </w:rPr>
              <w:t>Item</w:t>
            </w:r>
          </w:p>
        </w:tc>
        <w:tc>
          <w:tcPr>
            <w:tcW w:w="2340" w:type="dxa"/>
            <w:shd w:val="clear" w:color="auto" w:fill="D9E2F3" w:themeFill="accent1" w:themeFillTint="33"/>
          </w:tcPr>
          <w:p w:rsidR="00B74084" w:rsidP="00FD3AF7" w14:paraId="69BCA30C" w14:textId="6CB26A9B">
            <w:pPr>
              <w:jc w:val="center"/>
              <w:rPr>
                <w:rFonts w:cs="Times New Roman"/>
                <w:b/>
                <w:bCs/>
              </w:rPr>
            </w:pPr>
            <w:r>
              <w:rPr>
                <w:rFonts w:cs="Times New Roman"/>
                <w:b/>
                <w:bCs/>
              </w:rPr>
              <w:t>Annualized cost</w:t>
            </w:r>
          </w:p>
        </w:tc>
      </w:tr>
      <w:tr w14:paraId="424AB556" w14:textId="77777777" w:rsidTr="00344E63">
        <w:tblPrEx>
          <w:tblW w:w="5485" w:type="dxa"/>
          <w:tblInd w:w="360" w:type="dxa"/>
          <w:tblLook w:val="04A0"/>
        </w:tblPrEx>
        <w:trPr>
          <w:trHeight w:val="197"/>
        </w:trPr>
        <w:tc>
          <w:tcPr>
            <w:tcW w:w="3145" w:type="dxa"/>
            <w:vAlign w:val="center"/>
          </w:tcPr>
          <w:p w:rsidR="00B74084" w:rsidRPr="00B74084" w:rsidP="00FD3AF7" w14:paraId="349883A0" w14:textId="74A72176">
            <w:pPr>
              <w:rPr>
                <w:rFonts w:cs="Times New Roman"/>
              </w:rPr>
            </w:pPr>
            <w:r w:rsidRPr="00344E63">
              <w:rPr>
                <w:rFonts w:cs="Times New Roman"/>
              </w:rPr>
              <w:t>Process evaluations</w:t>
            </w:r>
          </w:p>
        </w:tc>
        <w:tc>
          <w:tcPr>
            <w:tcW w:w="2340" w:type="dxa"/>
            <w:vAlign w:val="center"/>
          </w:tcPr>
          <w:p w:rsidR="00B74084" w:rsidRPr="00B35907" w:rsidP="00FD3AF7" w14:paraId="59FE632C" w14:textId="77777777">
            <w:pPr>
              <w:jc w:val="center"/>
              <w:rPr>
                <w:rFonts w:cs="Times New Roman"/>
              </w:rPr>
            </w:pPr>
            <w:r>
              <w:rPr>
                <w:color w:val="000000"/>
              </w:rPr>
              <w:t>$259,674.33</w:t>
            </w:r>
          </w:p>
        </w:tc>
      </w:tr>
      <w:tr w14:paraId="19F0AFA2" w14:textId="77777777" w:rsidTr="00344E63">
        <w:tblPrEx>
          <w:tblW w:w="5485" w:type="dxa"/>
          <w:tblInd w:w="360" w:type="dxa"/>
          <w:tblLook w:val="04A0"/>
        </w:tblPrEx>
        <w:trPr>
          <w:trHeight w:val="184"/>
        </w:trPr>
        <w:tc>
          <w:tcPr>
            <w:tcW w:w="3145" w:type="dxa"/>
            <w:vAlign w:val="center"/>
          </w:tcPr>
          <w:p w:rsidR="00B74084" w:rsidRPr="00B74084" w:rsidP="00FD3AF7" w14:paraId="6548C93B" w14:textId="5028754D">
            <w:pPr>
              <w:rPr>
                <w:rFonts w:cs="Times New Roman"/>
              </w:rPr>
            </w:pPr>
            <w:r w:rsidRPr="00344E63">
              <w:rPr>
                <w:rFonts w:cs="Times New Roman"/>
              </w:rPr>
              <w:t>Outcome evaluations</w:t>
            </w:r>
          </w:p>
        </w:tc>
        <w:tc>
          <w:tcPr>
            <w:tcW w:w="2340" w:type="dxa"/>
            <w:vAlign w:val="center"/>
          </w:tcPr>
          <w:p w:rsidR="00B74084" w:rsidP="00FD3AF7" w14:paraId="345CB7FF" w14:textId="13F2B483">
            <w:pPr>
              <w:jc w:val="center"/>
              <w:rPr>
                <w:color w:val="000000"/>
              </w:rPr>
            </w:pPr>
            <w:r>
              <w:rPr>
                <w:color w:val="000000"/>
              </w:rPr>
              <w:t>$259,569.33</w:t>
            </w:r>
          </w:p>
        </w:tc>
      </w:tr>
      <w:tr w14:paraId="7CBE8926" w14:textId="77777777" w:rsidTr="00344E63">
        <w:tblPrEx>
          <w:tblW w:w="5485" w:type="dxa"/>
          <w:tblInd w:w="360" w:type="dxa"/>
          <w:tblLook w:val="04A0"/>
        </w:tblPrEx>
        <w:trPr>
          <w:trHeight w:val="184"/>
        </w:trPr>
        <w:tc>
          <w:tcPr>
            <w:tcW w:w="3145" w:type="dxa"/>
            <w:vAlign w:val="center"/>
          </w:tcPr>
          <w:p w:rsidR="00B74084" w:rsidRPr="00344E63" w:rsidP="00FD3AF7" w14:paraId="2ED2D6A5" w14:textId="3355FE5F">
            <w:pPr>
              <w:rPr>
                <w:rFonts w:cs="Times New Roman"/>
                <w:b/>
                <w:bCs/>
              </w:rPr>
            </w:pPr>
            <w:r w:rsidRPr="00344E63">
              <w:rPr>
                <w:rFonts w:cs="Times New Roman"/>
                <w:b/>
                <w:bCs/>
              </w:rPr>
              <w:t>Total annualized cost</w:t>
            </w:r>
          </w:p>
        </w:tc>
        <w:tc>
          <w:tcPr>
            <w:tcW w:w="2340" w:type="dxa"/>
            <w:vAlign w:val="center"/>
          </w:tcPr>
          <w:p w:rsidR="00B74084" w:rsidRPr="00344E63" w:rsidP="00FD3AF7" w14:paraId="69814D95" w14:textId="76B284A7">
            <w:pPr>
              <w:jc w:val="center"/>
              <w:rPr>
                <w:b/>
                <w:bCs/>
                <w:color w:val="000000"/>
              </w:rPr>
            </w:pPr>
            <w:r w:rsidRPr="00344E63">
              <w:rPr>
                <w:rFonts w:cs="Times New Roman"/>
                <w:b/>
                <w:bCs/>
              </w:rPr>
              <w:t>$519,244.00</w:t>
            </w:r>
          </w:p>
        </w:tc>
      </w:tr>
    </w:tbl>
    <w:p w:rsidR="00B935ED" w:rsidRPr="00564CF8" w:rsidP="00344E63" w14:paraId="56A22967" w14:textId="77777777">
      <w:pPr>
        <w:rPr>
          <w:rFonts w:cs="Times New Roman"/>
        </w:rPr>
      </w:pPr>
    </w:p>
    <w:p w:rsidR="00DC2C03" w:rsidRPr="001051C7" w:rsidP="00DC2C03" w14:paraId="35907FF0" w14:textId="27A89D61">
      <w:pPr>
        <w:pStyle w:val="ListParagraph"/>
        <w:numPr>
          <w:ilvl w:val="0"/>
          <w:numId w:val="2"/>
        </w:numPr>
        <w:rPr>
          <w:rFonts w:cs="Times New Roman"/>
          <w:b/>
          <w:bCs/>
        </w:rPr>
      </w:pPr>
      <w:r w:rsidRPr="001051C7">
        <w:rPr>
          <w:rFonts w:cs="Times New Roman"/>
          <w:b/>
          <w:bCs/>
        </w:rPr>
        <w:t>Explain the reasons for any program changes or adjustments reported in Items 13 or 14 of the OMB Form 83-I.</w:t>
      </w:r>
    </w:p>
    <w:p w:rsidR="00B935ED" w:rsidRPr="00E90ED5" w:rsidP="00B935ED" w14:paraId="0AAA5B72" w14:textId="77777777">
      <w:pPr>
        <w:pStyle w:val="ListParagraph"/>
        <w:rPr>
          <w:rFonts w:cs="Times New Roman"/>
        </w:rPr>
      </w:pPr>
    </w:p>
    <w:p w:rsidR="00C165D0" w:rsidP="00C165D0" w14:paraId="1352C982" w14:textId="186302EC">
      <w:pPr>
        <w:ind w:left="360"/>
      </w:pPr>
      <w:r w:rsidRPr="00E90ED5">
        <w:rPr>
          <w:rFonts w:cs="Times New Roman"/>
        </w:rPr>
        <w:t>CRS does not have any program changes or adjustments.</w:t>
      </w:r>
      <w:r w:rsidR="00090424">
        <w:rPr>
          <w:rFonts w:cs="Times New Roman"/>
        </w:rPr>
        <w:t xml:space="preserve"> The </w:t>
      </w:r>
      <w:r w:rsidR="007B368B">
        <w:rPr>
          <w:rFonts w:cs="Times New Roman"/>
        </w:rPr>
        <w:t>increase in burden is due to</w:t>
      </w:r>
    </w:p>
    <w:p w:rsidR="00C165D0" w:rsidRPr="00090424" w:rsidP="00090424" w14:paraId="55714844" w14:textId="35251EB7">
      <w:pPr>
        <w:ind w:left="360"/>
        <w:rPr>
          <w:rFonts w:cs="Times New Roman"/>
        </w:rPr>
      </w:pPr>
      <w:r>
        <w:t>an increased level of burden from the previously approved collection to reflect including a larger number of programs in the assessment and collecting information at multiple time points for an individual program to assess change over time.</w:t>
      </w:r>
      <w:r>
        <w:t xml:space="preserve"> Additionally material changes were made to the </w:t>
      </w:r>
      <w:r w:rsidR="000E4B3A">
        <w:t>surveys.</w:t>
      </w:r>
    </w:p>
    <w:p w:rsidR="00B935ED" w:rsidRPr="00E90ED5" w:rsidP="00B47739" w14:paraId="7A7CFAA6" w14:textId="77777777">
      <w:pPr>
        <w:pStyle w:val="ListParagraph"/>
        <w:rPr>
          <w:rFonts w:cs="Times New Roman"/>
        </w:rPr>
      </w:pPr>
    </w:p>
    <w:p w:rsidR="005A11D6" w:rsidRPr="001051C7" w:rsidP="005A11D6" w14:paraId="478634E0" w14:textId="4536E852">
      <w:pPr>
        <w:pStyle w:val="ListParagraph"/>
        <w:numPr>
          <w:ilvl w:val="0"/>
          <w:numId w:val="2"/>
        </w:numPr>
        <w:rPr>
          <w:rFonts w:cs="Times New Roman"/>
          <w:b/>
          <w:bCs/>
        </w:rPr>
      </w:pPr>
      <w:r w:rsidRPr="001051C7">
        <w:rPr>
          <w:rFonts w:cs="Times New Roman"/>
          <w:b/>
          <w:b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BD33A1" w:rsidRPr="00E90ED5" w:rsidP="00163EDF" w14:paraId="667B68EE" w14:textId="77777777">
      <w:pPr>
        <w:pStyle w:val="ListParagraph"/>
        <w:rPr>
          <w:rFonts w:cs="Times New Roman"/>
        </w:rPr>
      </w:pPr>
    </w:p>
    <w:p w:rsidR="001E1FC1" w:rsidP="00AB4373" w14:paraId="6AB65E58" w14:textId="1BF69839">
      <w:pPr>
        <w:ind w:left="360"/>
        <w:rPr>
          <w:rFonts w:cs="Times New Roman"/>
        </w:rPr>
      </w:pPr>
      <w:r w:rsidRPr="00E90ED5">
        <w:rPr>
          <w:rFonts w:cs="Times New Roman"/>
        </w:rPr>
        <w:t xml:space="preserve">CRS anticipates it will publish program and service outcomes and effects information in its annual report to Congress. This report is submitted in the first quarter of each fiscal year and reports on agency activities completed during the previous fiscal year. Program and service impact information included in this report will be collected during all four quarters of each fiscal year. The information will be analyzed by CRS’s evaluation </w:t>
      </w:r>
      <w:r w:rsidR="00ED0BDD">
        <w:rPr>
          <w:rFonts w:cs="Times New Roman"/>
        </w:rPr>
        <w:t>contractor</w:t>
      </w:r>
      <w:r w:rsidRPr="00E90ED5" w:rsidR="00ED0BDD">
        <w:rPr>
          <w:rFonts w:cs="Times New Roman"/>
        </w:rPr>
        <w:t xml:space="preserve"> </w:t>
      </w:r>
      <w:r w:rsidRPr="00E90ED5">
        <w:rPr>
          <w:rFonts w:cs="Times New Roman"/>
        </w:rPr>
        <w:t xml:space="preserve">using basic </w:t>
      </w:r>
      <w:r w:rsidRPr="00E90ED5">
        <w:rPr>
          <w:rFonts w:cs="Times New Roman"/>
        </w:rPr>
        <w:t xml:space="preserve">analytical tools, such as Likert scale averaging and trend identification. </w:t>
      </w:r>
      <w:r w:rsidR="00F569FF">
        <w:rPr>
          <w:rFonts w:cs="Times New Roman"/>
        </w:rPr>
        <w:t>Additionally</w:t>
      </w:r>
      <w:r w:rsidR="00473FDB">
        <w:rPr>
          <w:rFonts w:cs="Times New Roman"/>
        </w:rPr>
        <w:t xml:space="preserve">, </w:t>
      </w:r>
      <w:r w:rsidRPr="00473FDB" w:rsidR="00473FDB">
        <w:rPr>
          <w:rFonts w:cs="Times New Roman"/>
        </w:rPr>
        <w:t xml:space="preserve">CRS will share summarized data and trends with the public through concise formats like </w:t>
      </w:r>
      <w:r w:rsidR="00ED0BDD">
        <w:rPr>
          <w:rFonts w:cs="Times New Roman"/>
        </w:rPr>
        <w:t xml:space="preserve">brief reports, </w:t>
      </w:r>
      <w:r w:rsidRPr="00473FDB" w:rsidR="00473FDB">
        <w:rPr>
          <w:rFonts w:cs="Times New Roman"/>
        </w:rPr>
        <w:t xml:space="preserve">one-page documents, updated program pamphlets on their website, and social media </w:t>
      </w:r>
      <w:r>
        <w:rPr>
          <w:rFonts w:cs="Times New Roman"/>
        </w:rPr>
        <w:t>posts, as appropriate</w:t>
      </w:r>
      <w:r w:rsidRPr="00473FDB" w:rsidR="00473FDB">
        <w:rPr>
          <w:rFonts w:cs="Times New Roman"/>
        </w:rPr>
        <w:t>.</w:t>
      </w:r>
      <w:r>
        <w:rPr>
          <w:rFonts w:cs="Times New Roman"/>
        </w:rPr>
        <w:t xml:space="preserve"> </w:t>
      </w:r>
      <w:r w:rsidRPr="001E1FC1">
        <w:rPr>
          <w:rFonts w:cs="Times New Roman"/>
        </w:rPr>
        <w:t>The timing and schedule for these products are currently unknown</w:t>
      </w:r>
      <w:r>
        <w:rPr>
          <w:rFonts w:cs="Times New Roman"/>
        </w:rPr>
        <w:t>, a</w:t>
      </w:r>
      <w:r w:rsidRPr="001E1FC1">
        <w:rPr>
          <w:rFonts w:cs="Times New Roman"/>
        </w:rPr>
        <w:t xml:space="preserve">nd basic analytical skills will be applied </w:t>
      </w:r>
      <w:r w:rsidR="006F232B">
        <w:rPr>
          <w:rFonts w:cs="Times New Roman"/>
        </w:rPr>
        <w:t>to</w:t>
      </w:r>
      <w:r w:rsidRPr="001E1FC1">
        <w:rPr>
          <w:rFonts w:cs="Times New Roman"/>
        </w:rPr>
        <w:t xml:space="preserve"> these publications.</w:t>
      </w:r>
    </w:p>
    <w:p w:rsidR="001051C7" w:rsidP="00AB4373" w14:paraId="59C08770" w14:textId="4A18AD00">
      <w:pPr>
        <w:ind w:left="360"/>
        <w:rPr>
          <w:rFonts w:cs="Times New Roman"/>
        </w:rPr>
      </w:pPr>
    </w:p>
    <w:p w:rsidR="00907DAE" w:rsidRPr="00E90ED5" w:rsidP="00AB4373" w14:paraId="57D27EC5" w14:textId="77777777">
      <w:pPr>
        <w:ind w:left="360"/>
        <w:rPr>
          <w:rFonts w:cs="Times New Roman"/>
          <w:b/>
          <w:bCs/>
        </w:rPr>
      </w:pPr>
      <w:r w:rsidRPr="00E90ED5">
        <w:rPr>
          <w:rFonts w:cs="Times New Roman"/>
          <w:b/>
          <w:bCs/>
        </w:rPr>
        <w:t>Participant Outreach</w:t>
      </w:r>
    </w:p>
    <w:p w:rsidR="00907DAE" w:rsidP="00AB4373" w14:paraId="415635E4" w14:textId="11B75D5A">
      <w:pPr>
        <w:ind w:left="360"/>
        <w:rPr>
          <w:rFonts w:cs="Times New Roman"/>
        </w:rPr>
      </w:pPr>
      <w:r w:rsidRPr="00E90ED5">
        <w:rPr>
          <w:rFonts w:cs="Times New Roman"/>
        </w:rPr>
        <w:t>Participants in this study will be</w:t>
      </w:r>
      <w:r w:rsidR="0033710C">
        <w:rPr>
          <w:rFonts w:cs="Times New Roman"/>
        </w:rPr>
        <w:t xml:space="preserve"> a subset of</w:t>
      </w:r>
      <w:r w:rsidRPr="00E90ED5">
        <w:rPr>
          <w:rFonts w:cs="Times New Roman"/>
        </w:rPr>
        <w:t xml:space="preserve"> (1) individuals who are </w:t>
      </w:r>
      <w:r w:rsidRPr="00F569FF">
        <w:rPr>
          <w:rFonts w:cs="Times New Roman"/>
        </w:rPr>
        <w:t>currently part of the working group</w:t>
      </w:r>
      <w:r w:rsidRPr="00F569FF" w:rsidR="009019D3">
        <w:rPr>
          <w:rFonts w:cs="Times New Roman"/>
        </w:rPr>
        <w:t xml:space="preserve"> or council</w:t>
      </w:r>
      <w:r w:rsidRPr="00F569FF">
        <w:rPr>
          <w:rFonts w:cs="Times New Roman"/>
        </w:rPr>
        <w:t xml:space="preserve"> that resulted from the program</w:t>
      </w:r>
      <w:r w:rsidR="0033710C">
        <w:rPr>
          <w:rFonts w:cs="Times New Roman"/>
        </w:rPr>
        <w:t>,</w:t>
      </w:r>
      <w:r w:rsidRPr="00F569FF">
        <w:rPr>
          <w:rFonts w:cs="Times New Roman"/>
        </w:rPr>
        <w:t xml:space="preserve"> </w:t>
      </w:r>
      <w:r w:rsidR="0033710C">
        <w:rPr>
          <w:rFonts w:cs="Times New Roman"/>
        </w:rPr>
        <w:t xml:space="preserve">and </w:t>
      </w:r>
      <w:r w:rsidRPr="00F569FF">
        <w:rPr>
          <w:rFonts w:cs="Times New Roman"/>
        </w:rPr>
        <w:t xml:space="preserve">(2) individuals who participated in the program. All participants </w:t>
      </w:r>
      <w:r w:rsidR="0033710C">
        <w:rPr>
          <w:rFonts w:cs="Times New Roman"/>
        </w:rPr>
        <w:t xml:space="preserve">will be asked to participate in surveys and interviews, and </w:t>
      </w:r>
      <w:r w:rsidR="00FB561C">
        <w:rPr>
          <w:rFonts w:cs="Times New Roman"/>
        </w:rPr>
        <w:t xml:space="preserve">will also be asked if they are willing to be contacted for follow up. </w:t>
      </w:r>
      <w:r w:rsidRPr="00FB3284" w:rsidR="00FB3284">
        <w:rPr>
          <w:rFonts w:cs="Times New Roman"/>
        </w:rPr>
        <w:t xml:space="preserve">Respondents will be given the option to </w:t>
      </w:r>
      <w:r w:rsidR="00FB3284">
        <w:rPr>
          <w:rFonts w:cs="Times New Roman"/>
        </w:rPr>
        <w:t>participate</w:t>
      </w:r>
      <w:r w:rsidRPr="00FB3284" w:rsidR="00FB3284">
        <w:rPr>
          <w:rFonts w:cs="Times New Roman"/>
        </w:rPr>
        <w:t xml:space="preserve"> </w:t>
      </w:r>
      <w:r w:rsidR="00FB3284">
        <w:rPr>
          <w:rFonts w:cs="Times New Roman"/>
        </w:rPr>
        <w:t>in</w:t>
      </w:r>
      <w:r w:rsidRPr="00FB3284" w:rsidR="00FB3284">
        <w:rPr>
          <w:rFonts w:cs="Times New Roman"/>
        </w:rPr>
        <w:t xml:space="preserve"> surveys and interviews virtually or in person</w:t>
      </w:r>
      <w:r w:rsidR="00FB561C">
        <w:rPr>
          <w:rFonts w:cs="Times New Roman"/>
        </w:rPr>
        <w:t xml:space="preserve"> when possible</w:t>
      </w:r>
      <w:r w:rsidRPr="00FB3284" w:rsidR="00FB3284">
        <w:rPr>
          <w:rFonts w:cs="Times New Roman"/>
        </w:rPr>
        <w:t>.</w:t>
      </w:r>
      <w:r w:rsidRPr="00FB3284" w:rsidR="00572297">
        <w:rPr>
          <w:rFonts w:cs="Times New Roman"/>
        </w:rPr>
        <w:t xml:space="preserve"> </w:t>
      </w:r>
      <w:r w:rsidRPr="00FB3284">
        <w:rPr>
          <w:rFonts w:cs="Times New Roman"/>
        </w:rPr>
        <w:t xml:space="preserve">We aim to collect </w:t>
      </w:r>
      <w:r w:rsidRPr="00FB3284" w:rsidR="00570763">
        <w:rPr>
          <w:rFonts w:cs="Times New Roman"/>
        </w:rPr>
        <w:t>70</w:t>
      </w:r>
      <w:r w:rsidRPr="00FB3284" w:rsidR="00473FDB">
        <w:rPr>
          <w:rFonts w:cs="Times New Roman"/>
        </w:rPr>
        <w:t>%</w:t>
      </w:r>
      <w:r w:rsidRPr="00FB3284">
        <w:rPr>
          <w:rFonts w:cs="Times New Roman"/>
        </w:rPr>
        <w:t xml:space="preserve"> of </w:t>
      </w:r>
      <w:r w:rsidRPr="00FB3284" w:rsidR="00473FDB">
        <w:rPr>
          <w:rFonts w:cs="Times New Roman"/>
        </w:rPr>
        <w:t>the survey data virtually</w:t>
      </w:r>
      <w:r w:rsidRPr="00FB3284" w:rsidR="00570763">
        <w:rPr>
          <w:rFonts w:cs="Times New Roman"/>
        </w:rPr>
        <w:t xml:space="preserve"> and 30% via paper surveys</w:t>
      </w:r>
      <w:r w:rsidRPr="00FB3284" w:rsidR="00473FDB">
        <w:rPr>
          <w:rFonts w:cs="Times New Roman"/>
        </w:rPr>
        <w:t xml:space="preserve">, 50% </w:t>
      </w:r>
      <w:r w:rsidRPr="00FB3284" w:rsidR="00ED0BDD">
        <w:rPr>
          <w:rFonts w:cs="Times New Roman"/>
        </w:rPr>
        <w:t xml:space="preserve">of the interview data virtually, and </w:t>
      </w:r>
      <w:r w:rsidRPr="00FB3284">
        <w:rPr>
          <w:rFonts w:cs="Times New Roman"/>
        </w:rPr>
        <w:t xml:space="preserve">50% </w:t>
      </w:r>
      <w:r w:rsidRPr="00FB3284" w:rsidR="00ED0BDD">
        <w:rPr>
          <w:rFonts w:cs="Times New Roman"/>
        </w:rPr>
        <w:t>of interview data in person,</w:t>
      </w:r>
      <w:r w:rsidRPr="00FB3284">
        <w:rPr>
          <w:rFonts w:cs="Times New Roman"/>
        </w:rPr>
        <w:t xml:space="preserve"> conditions allowing.</w:t>
      </w:r>
      <w:r w:rsidRPr="00E90ED5">
        <w:rPr>
          <w:rFonts w:cs="Times New Roman"/>
        </w:rPr>
        <w:t xml:space="preserve"> </w:t>
      </w:r>
    </w:p>
    <w:p w:rsidR="001051C7" w:rsidRPr="00E90ED5" w:rsidP="00AB4373" w14:paraId="5368E5D1" w14:textId="77777777">
      <w:pPr>
        <w:ind w:left="360"/>
        <w:rPr>
          <w:rFonts w:cs="Times New Roman"/>
        </w:rPr>
      </w:pPr>
    </w:p>
    <w:p w:rsidR="00907DAE" w:rsidRPr="00E90ED5" w:rsidP="00AB4373" w14:paraId="235E3C01" w14:textId="77777777">
      <w:pPr>
        <w:ind w:left="360"/>
        <w:rPr>
          <w:rFonts w:cs="Times New Roman"/>
          <w:b/>
          <w:bCs/>
        </w:rPr>
      </w:pPr>
      <w:r w:rsidRPr="00E90ED5">
        <w:rPr>
          <w:rFonts w:cs="Times New Roman"/>
          <w:b/>
          <w:bCs/>
        </w:rPr>
        <w:t>Data Analysis</w:t>
      </w:r>
    </w:p>
    <w:p w:rsidR="00907DAE" w:rsidRPr="00E90ED5" w:rsidP="00AB4373" w14:paraId="7130B379" w14:textId="253114AE">
      <w:pPr>
        <w:ind w:left="360"/>
        <w:rPr>
          <w:rFonts w:cs="Times New Roman"/>
        </w:rPr>
      </w:pPr>
      <w:r w:rsidRPr="007A6FE7">
        <w:rPr>
          <w:rFonts w:cs="Times New Roman"/>
        </w:rPr>
        <w:t xml:space="preserve">At least a 35% response rate is desired to conduct data analysis. </w:t>
      </w:r>
      <w:r w:rsidRPr="007A6FE7">
        <w:rPr>
          <w:rFonts w:cs="Times New Roman"/>
        </w:rPr>
        <w:t>The data will be analyzed using Microsoft Excel</w:t>
      </w:r>
      <w:r w:rsidRPr="007A6FE7" w:rsidR="007A6FE7">
        <w:rPr>
          <w:rFonts w:cs="Times New Roman"/>
        </w:rPr>
        <w:t xml:space="preserve">, </w:t>
      </w:r>
      <w:r w:rsidRPr="007A6FE7" w:rsidR="00B71485">
        <w:rPr>
          <w:rFonts w:cs="Times New Roman"/>
        </w:rPr>
        <w:t>NVivo</w:t>
      </w:r>
      <w:r w:rsidRPr="007A6FE7" w:rsidR="007A6FE7">
        <w:rPr>
          <w:rFonts w:cs="Times New Roman"/>
        </w:rPr>
        <w:t xml:space="preserve">, or a statistical </w:t>
      </w:r>
      <w:r w:rsidR="00F569FF">
        <w:rPr>
          <w:rFonts w:cs="Times New Roman"/>
        </w:rPr>
        <w:t>package</w:t>
      </w:r>
      <w:r w:rsidRPr="007A6FE7" w:rsidR="007A6FE7">
        <w:rPr>
          <w:rFonts w:cs="Times New Roman"/>
        </w:rPr>
        <w:t xml:space="preserve"> such as R or SPSS as appropriate</w:t>
      </w:r>
      <w:r w:rsidRPr="007A6FE7">
        <w:rPr>
          <w:rFonts w:cs="Times New Roman"/>
        </w:rPr>
        <w:t>.</w:t>
      </w:r>
      <w:r w:rsidRPr="007A6FE7" w:rsidR="00B71485">
        <w:rPr>
          <w:rFonts w:cs="Times New Roman"/>
        </w:rPr>
        <w:t xml:space="preserve"> </w:t>
      </w:r>
      <w:r w:rsidRPr="007A6FE7">
        <w:rPr>
          <w:rFonts w:cs="Times New Roman"/>
        </w:rPr>
        <w:t xml:space="preserve">The data analyst will look at the interview data and conduct statistical analyses for identifying trends, </w:t>
      </w:r>
      <w:r w:rsidR="00FB561C">
        <w:rPr>
          <w:rFonts w:cs="Times New Roman"/>
        </w:rPr>
        <w:t xml:space="preserve">implementation successes and challenges, </w:t>
      </w:r>
      <w:r w:rsidRPr="007A6FE7">
        <w:rPr>
          <w:rFonts w:cs="Times New Roman"/>
        </w:rPr>
        <w:t>programmatic gaps, and areas CRS can better support the community’s work after the program.</w:t>
      </w:r>
      <w:r w:rsidRPr="00E90ED5">
        <w:rPr>
          <w:rFonts w:cs="Times New Roman"/>
        </w:rPr>
        <w:t xml:space="preserve"> </w:t>
      </w:r>
    </w:p>
    <w:p w:rsidR="00BD33A1" w:rsidRPr="00E90ED5" w:rsidP="00AB4373" w14:paraId="270BB92D" w14:textId="4482E9A6">
      <w:pPr>
        <w:rPr>
          <w:rFonts w:cs="Times New Roman"/>
        </w:rPr>
      </w:pPr>
    </w:p>
    <w:p w:rsidR="00B935ED" w:rsidRPr="00E90ED5" w:rsidP="00B47739" w14:paraId="6D4A58D9" w14:textId="77777777">
      <w:pPr>
        <w:pStyle w:val="ListParagraph"/>
        <w:rPr>
          <w:rFonts w:cs="Times New Roman"/>
        </w:rPr>
      </w:pPr>
    </w:p>
    <w:p w:rsidR="00DC2C03" w:rsidRPr="001051C7" w:rsidP="00B935ED" w14:paraId="35408229" w14:textId="32757CF3">
      <w:pPr>
        <w:pStyle w:val="ListParagraph"/>
        <w:numPr>
          <w:ilvl w:val="0"/>
          <w:numId w:val="2"/>
        </w:numPr>
        <w:rPr>
          <w:rFonts w:cs="Times New Roman"/>
          <w:b/>
          <w:bCs/>
        </w:rPr>
      </w:pPr>
      <w:r w:rsidRPr="001051C7">
        <w:rPr>
          <w:rFonts w:cs="Times New Roman"/>
          <w:b/>
          <w:bCs/>
        </w:rPr>
        <w:t>If seeking approval to not display the expiration date for OMB approval of the information collection, explain the reasons that display would be inappropriate.</w:t>
      </w:r>
    </w:p>
    <w:p w:rsidR="00B935ED" w:rsidRPr="00E90ED5" w:rsidP="00B935ED" w14:paraId="13F7D343" w14:textId="77777777">
      <w:pPr>
        <w:tabs>
          <w:tab w:val="left" w:pos="-1440"/>
          <w:tab w:val="left" w:pos="-720"/>
        </w:tabs>
        <w:rPr>
          <w:rFonts w:cs="Times New Roman"/>
          <w:szCs w:val="24"/>
        </w:rPr>
      </w:pPr>
    </w:p>
    <w:p w:rsidR="00513895" w:rsidRPr="00E90ED5" w:rsidP="00AB4373" w14:paraId="0B9CE33F" w14:textId="583F6AFA">
      <w:pPr>
        <w:tabs>
          <w:tab w:val="left" w:pos="-1440"/>
          <w:tab w:val="left" w:pos="-720"/>
        </w:tabs>
        <w:ind w:left="360"/>
        <w:rPr>
          <w:rFonts w:cs="Times New Roman"/>
          <w:szCs w:val="24"/>
        </w:rPr>
      </w:pPr>
      <w:r w:rsidRPr="00E90ED5">
        <w:rPr>
          <w:rFonts w:cs="Times New Roman"/>
          <w:szCs w:val="24"/>
        </w:rPr>
        <w:t>CRS will display an OMB expiration date</w:t>
      </w:r>
      <w:r w:rsidRPr="00E90ED5">
        <w:rPr>
          <w:rFonts w:cs="Times New Roman"/>
          <w:szCs w:val="24"/>
        </w:rPr>
        <w:t>.</w:t>
      </w:r>
    </w:p>
    <w:p w:rsidR="00B935ED" w:rsidRPr="000E4B3A" w:rsidP="000E4B3A" w14:paraId="70A5CBDA" w14:textId="7404D301">
      <w:pPr>
        <w:rPr>
          <w:rFonts w:cs="Times New Roman"/>
        </w:rPr>
      </w:pPr>
    </w:p>
    <w:p w:rsidR="00C35A2B" w:rsidRPr="001051C7" w:rsidP="00DC2C03" w14:paraId="4082B4AF" w14:textId="14F530A8">
      <w:pPr>
        <w:pStyle w:val="ListParagraph"/>
        <w:numPr>
          <w:ilvl w:val="0"/>
          <w:numId w:val="2"/>
        </w:numPr>
        <w:rPr>
          <w:rFonts w:cs="Times New Roman"/>
          <w:b/>
          <w:bCs/>
        </w:rPr>
      </w:pPr>
      <w:r w:rsidRPr="001051C7">
        <w:rPr>
          <w:rFonts w:cs="Times New Roman"/>
          <w:b/>
          <w:bCs/>
        </w:rPr>
        <w:t>Explain each exception to the certification statement identified in Item 19,</w:t>
      </w:r>
      <w:r w:rsidRPr="001051C7" w:rsidR="00841FBF">
        <w:rPr>
          <w:rFonts w:cs="Times New Roman"/>
          <w:b/>
          <w:bCs/>
        </w:rPr>
        <w:t xml:space="preserve"> </w:t>
      </w:r>
      <w:r w:rsidRPr="001051C7">
        <w:rPr>
          <w:rFonts w:cs="Times New Roman"/>
          <w:b/>
          <w:bCs/>
        </w:rPr>
        <w:t>"Certification for Paperwork Reduction Act Submissions," of OMB Form 83-I.</w:t>
      </w:r>
    </w:p>
    <w:p w:rsidR="00B935ED" w:rsidRPr="00E90ED5" w:rsidP="005A11D6" w14:paraId="1099575F" w14:textId="77777777">
      <w:pPr>
        <w:rPr>
          <w:rFonts w:cs="Times New Roman"/>
        </w:rPr>
      </w:pPr>
    </w:p>
    <w:p w:rsidR="005A11D6" w:rsidRPr="00E90ED5" w:rsidP="00AB4373" w14:paraId="1FC06025" w14:textId="238A6D8C">
      <w:pPr>
        <w:ind w:left="360"/>
        <w:rPr>
          <w:rFonts w:cs="Times New Roman"/>
        </w:rPr>
      </w:pPr>
      <w:r w:rsidRPr="00E90ED5">
        <w:rPr>
          <w:rFonts w:cs="Times New Roman"/>
        </w:rPr>
        <w:t xml:space="preserve">CRS is not requesting an exception to this certification statement identified in Item 19. </w:t>
      </w:r>
    </w:p>
    <w:p w:rsidR="00841FBF" w:rsidP="005A11D6" w14:paraId="408FDC84" w14:textId="5BAF6603">
      <w:pPr>
        <w:rPr>
          <w:rFonts w:cs="Times New Roman"/>
        </w:rPr>
      </w:pPr>
    </w:p>
    <w:p w:rsidR="00B74084" w:rsidRPr="00A973AA" w:rsidP="00B74084" w14:paraId="7B631967" w14:textId="77777777">
      <w:pPr>
        <w:spacing w:after="200" w:line="276" w:lineRule="auto"/>
      </w:pPr>
      <w:r w:rsidRPr="00A973AA">
        <w:rPr>
          <w:b/>
          <w:bCs/>
        </w:rPr>
        <w:t>B. COLLECTIONS OF INFORMATON EMPLOYING STATISTICAL METHODS.</w:t>
      </w:r>
    </w:p>
    <w:p w:rsidR="00B74084" w:rsidRPr="00D53DEB" w:rsidP="00B74084" w14:paraId="23D272A4" w14:textId="66F3195F">
      <w:r>
        <w:t>This collection does not contain statistical data.</w:t>
      </w:r>
    </w:p>
    <w:p w:rsidR="00B74084" w:rsidRPr="00E90ED5" w:rsidP="005A11D6" w14:paraId="72E9612F" w14:textId="77777777">
      <w:pPr>
        <w:rPr>
          <w:rFonts w:cs="Times New Roman"/>
        </w:rPr>
      </w:pPr>
    </w:p>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48248245"/>
      <w:docPartObj>
        <w:docPartGallery w:val="Page Numbers (Bottom of Page)"/>
        <w:docPartUnique/>
      </w:docPartObj>
    </w:sdtPr>
    <w:sdtEndPr>
      <w:rPr>
        <w:noProof/>
      </w:rPr>
    </w:sdtEndPr>
    <w:sdtContent>
      <w:p w:rsidR="00AB4373" w14:paraId="569A47E3" w14:textId="096AD3FD">
        <w:pPr>
          <w:pStyle w:val="Footer"/>
          <w:jc w:val="right"/>
        </w:pPr>
        <w:r>
          <w:fldChar w:fldCharType="begin"/>
        </w:r>
        <w:r>
          <w:instrText xml:space="preserve"> PAGE   \* MERGEFORMAT </w:instrText>
        </w:r>
        <w:r>
          <w:fldChar w:fldCharType="separate"/>
        </w:r>
        <w:r w:rsidR="00263E3D">
          <w:rPr>
            <w:noProof/>
          </w:rPr>
          <w:t>1</w:t>
        </w:r>
        <w:r>
          <w:rPr>
            <w:noProof/>
          </w:rPr>
          <w:fldChar w:fldCharType="end"/>
        </w:r>
      </w:p>
    </w:sdtContent>
  </w:sdt>
  <w:p w:rsidR="00AB4373" w14:paraId="5425AD43"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7A075B"/>
    <w:multiLevelType w:val="hybridMultilevel"/>
    <w:tmpl w:val="AD8ED5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3D067E"/>
    <w:multiLevelType w:val="hybridMultilevel"/>
    <w:tmpl w:val="87EE213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44D2F71"/>
    <w:multiLevelType w:val="hybridMultilevel"/>
    <w:tmpl w:val="B4FEFB76"/>
    <w:lvl w:ilvl="0">
      <w:start w:val="1"/>
      <w:numFmt w:val="decimal"/>
      <w:lvlText w:val="%1."/>
      <w:lvlJc w:val="left"/>
      <w:pPr>
        <w:ind w:left="360" w:hanging="360"/>
      </w:pPr>
      <w:rPr>
        <w:rFonts w:hint="default"/>
      </w:rPr>
    </w:lvl>
    <w:lvl w:ilvl="1">
      <w:start w:val="12"/>
      <w:numFmt w:val="bullet"/>
      <w:lvlText w:val="•"/>
      <w:lvlJc w:val="left"/>
      <w:pPr>
        <w:ind w:left="1080" w:hanging="360"/>
      </w:pPr>
      <w:rPr>
        <w:rFonts w:ascii="Times New Roman" w:hAnsi="Times New Roman" w:eastAsiaTheme="minorHAnsi" w:cs="Times New Roman"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35053F7F"/>
    <w:multiLevelType w:val="hybridMultilevel"/>
    <w:tmpl w:val="3E44320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564019C2"/>
    <w:multiLevelType w:val="hybridMultilevel"/>
    <w:tmpl w:val="B9CC7EB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620405FA"/>
    <w:multiLevelType w:val="hybridMultilevel"/>
    <w:tmpl w:val="A8B8368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A141911"/>
    <w:multiLevelType w:val="hybridMultilevel"/>
    <w:tmpl w:val="CB2263C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509443631">
    <w:abstractNumId w:val="0"/>
  </w:num>
  <w:num w:numId="2" w16cid:durableId="110057662">
    <w:abstractNumId w:val="2"/>
  </w:num>
  <w:num w:numId="3" w16cid:durableId="1420760292">
    <w:abstractNumId w:val="5"/>
  </w:num>
  <w:num w:numId="4" w16cid:durableId="103691688">
    <w:abstractNumId w:val="4"/>
  </w:num>
  <w:num w:numId="5" w16cid:durableId="463930212">
    <w:abstractNumId w:val="1"/>
  </w:num>
  <w:num w:numId="6" w16cid:durableId="962200159">
    <w:abstractNumId w:val="3"/>
  </w:num>
  <w:num w:numId="7" w16cid:durableId="4638165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C03"/>
    <w:rsid w:val="00002E00"/>
    <w:rsid w:val="000108B9"/>
    <w:rsid w:val="0001650D"/>
    <w:rsid w:val="000204FD"/>
    <w:rsid w:val="00024EEC"/>
    <w:rsid w:val="000343AB"/>
    <w:rsid w:val="00035026"/>
    <w:rsid w:val="00042D05"/>
    <w:rsid w:val="00045BBD"/>
    <w:rsid w:val="00051202"/>
    <w:rsid w:val="00062E5D"/>
    <w:rsid w:val="000632C4"/>
    <w:rsid w:val="00090424"/>
    <w:rsid w:val="00091BB3"/>
    <w:rsid w:val="00094842"/>
    <w:rsid w:val="000B07CE"/>
    <w:rsid w:val="000B0F3A"/>
    <w:rsid w:val="000B5FE3"/>
    <w:rsid w:val="000B740D"/>
    <w:rsid w:val="000C0820"/>
    <w:rsid w:val="000E3025"/>
    <w:rsid w:val="000E309F"/>
    <w:rsid w:val="000E4B3A"/>
    <w:rsid w:val="000E6948"/>
    <w:rsid w:val="000E6B73"/>
    <w:rsid w:val="000F039C"/>
    <w:rsid w:val="000F2D42"/>
    <w:rsid w:val="000F43AC"/>
    <w:rsid w:val="000F4BD2"/>
    <w:rsid w:val="000F75E7"/>
    <w:rsid w:val="001030CC"/>
    <w:rsid w:val="001051C7"/>
    <w:rsid w:val="00116599"/>
    <w:rsid w:val="00117D9F"/>
    <w:rsid w:val="001259CE"/>
    <w:rsid w:val="00125C82"/>
    <w:rsid w:val="001523B3"/>
    <w:rsid w:val="00154C07"/>
    <w:rsid w:val="00155DCE"/>
    <w:rsid w:val="00163EDF"/>
    <w:rsid w:val="001658A8"/>
    <w:rsid w:val="00166028"/>
    <w:rsid w:val="0017103C"/>
    <w:rsid w:val="00171FF8"/>
    <w:rsid w:val="00172E6D"/>
    <w:rsid w:val="001768E8"/>
    <w:rsid w:val="00195314"/>
    <w:rsid w:val="001B0A00"/>
    <w:rsid w:val="001B553C"/>
    <w:rsid w:val="001C4423"/>
    <w:rsid w:val="001C76AD"/>
    <w:rsid w:val="001D2A7B"/>
    <w:rsid w:val="001D3D1B"/>
    <w:rsid w:val="001D6144"/>
    <w:rsid w:val="001E1FC1"/>
    <w:rsid w:val="001E312B"/>
    <w:rsid w:val="001E7C92"/>
    <w:rsid w:val="0020066C"/>
    <w:rsid w:val="00202B49"/>
    <w:rsid w:val="0020690A"/>
    <w:rsid w:val="00222644"/>
    <w:rsid w:val="00236D43"/>
    <w:rsid w:val="00250459"/>
    <w:rsid w:val="00263E3D"/>
    <w:rsid w:val="00264B62"/>
    <w:rsid w:val="0027319E"/>
    <w:rsid w:val="002733BB"/>
    <w:rsid w:val="0027565B"/>
    <w:rsid w:val="00283926"/>
    <w:rsid w:val="00285E8B"/>
    <w:rsid w:val="0029117B"/>
    <w:rsid w:val="00295B05"/>
    <w:rsid w:val="002A3DDF"/>
    <w:rsid w:val="002A7B28"/>
    <w:rsid w:val="002B0035"/>
    <w:rsid w:val="002C1643"/>
    <w:rsid w:val="002C2BE6"/>
    <w:rsid w:val="002D6CB4"/>
    <w:rsid w:val="002E14B0"/>
    <w:rsid w:val="002F1E14"/>
    <w:rsid w:val="002F1E9A"/>
    <w:rsid w:val="002F64E0"/>
    <w:rsid w:val="00300184"/>
    <w:rsid w:val="00305022"/>
    <w:rsid w:val="0032053C"/>
    <w:rsid w:val="00324B09"/>
    <w:rsid w:val="00325907"/>
    <w:rsid w:val="003279D4"/>
    <w:rsid w:val="003305C1"/>
    <w:rsid w:val="0033710C"/>
    <w:rsid w:val="00341075"/>
    <w:rsid w:val="003420E3"/>
    <w:rsid w:val="00344E63"/>
    <w:rsid w:val="0034773D"/>
    <w:rsid w:val="00353CF2"/>
    <w:rsid w:val="00362A8A"/>
    <w:rsid w:val="00362F01"/>
    <w:rsid w:val="00365EBF"/>
    <w:rsid w:val="00373F34"/>
    <w:rsid w:val="00374545"/>
    <w:rsid w:val="00375CAD"/>
    <w:rsid w:val="00385E15"/>
    <w:rsid w:val="00387200"/>
    <w:rsid w:val="00391D27"/>
    <w:rsid w:val="00391FF9"/>
    <w:rsid w:val="00392CDB"/>
    <w:rsid w:val="00393B4D"/>
    <w:rsid w:val="00396026"/>
    <w:rsid w:val="003972C2"/>
    <w:rsid w:val="003B4820"/>
    <w:rsid w:val="003B4C3B"/>
    <w:rsid w:val="003B5FC3"/>
    <w:rsid w:val="003B7077"/>
    <w:rsid w:val="003C7471"/>
    <w:rsid w:val="003D6C4E"/>
    <w:rsid w:val="003E381D"/>
    <w:rsid w:val="003E6FA5"/>
    <w:rsid w:val="003E74B0"/>
    <w:rsid w:val="003F5008"/>
    <w:rsid w:val="00400D14"/>
    <w:rsid w:val="004055F2"/>
    <w:rsid w:val="00417855"/>
    <w:rsid w:val="00420053"/>
    <w:rsid w:val="00424D08"/>
    <w:rsid w:val="004351C0"/>
    <w:rsid w:val="004352CA"/>
    <w:rsid w:val="00436AF2"/>
    <w:rsid w:val="00444428"/>
    <w:rsid w:val="004504F9"/>
    <w:rsid w:val="00456ADF"/>
    <w:rsid w:val="00457EA7"/>
    <w:rsid w:val="00464B1A"/>
    <w:rsid w:val="00473FDB"/>
    <w:rsid w:val="00474173"/>
    <w:rsid w:val="00475CBA"/>
    <w:rsid w:val="00480E6E"/>
    <w:rsid w:val="00482EE1"/>
    <w:rsid w:val="00495FC1"/>
    <w:rsid w:val="004A1DBD"/>
    <w:rsid w:val="004A4AA0"/>
    <w:rsid w:val="004A6B17"/>
    <w:rsid w:val="004B4E77"/>
    <w:rsid w:val="004B51A7"/>
    <w:rsid w:val="004C0CAD"/>
    <w:rsid w:val="004C6D86"/>
    <w:rsid w:val="004D2129"/>
    <w:rsid w:val="004D2C89"/>
    <w:rsid w:val="004E085E"/>
    <w:rsid w:val="004E202C"/>
    <w:rsid w:val="004E3029"/>
    <w:rsid w:val="004E7C68"/>
    <w:rsid w:val="004F048F"/>
    <w:rsid w:val="004F1284"/>
    <w:rsid w:val="004F1D3F"/>
    <w:rsid w:val="004F3724"/>
    <w:rsid w:val="004F50A0"/>
    <w:rsid w:val="00504692"/>
    <w:rsid w:val="005048A7"/>
    <w:rsid w:val="00505C6E"/>
    <w:rsid w:val="00506930"/>
    <w:rsid w:val="0050734F"/>
    <w:rsid w:val="00510DBE"/>
    <w:rsid w:val="00511852"/>
    <w:rsid w:val="00513895"/>
    <w:rsid w:val="0051675A"/>
    <w:rsid w:val="005172F0"/>
    <w:rsid w:val="00523A92"/>
    <w:rsid w:val="005313FF"/>
    <w:rsid w:val="005324D8"/>
    <w:rsid w:val="005439F8"/>
    <w:rsid w:val="00545599"/>
    <w:rsid w:val="00551164"/>
    <w:rsid w:val="00564CF8"/>
    <w:rsid w:val="00570763"/>
    <w:rsid w:val="00572297"/>
    <w:rsid w:val="0057233F"/>
    <w:rsid w:val="00574D3E"/>
    <w:rsid w:val="0059035A"/>
    <w:rsid w:val="00592DC8"/>
    <w:rsid w:val="005A11D6"/>
    <w:rsid w:val="005A28AB"/>
    <w:rsid w:val="005A6604"/>
    <w:rsid w:val="005B193A"/>
    <w:rsid w:val="005B3AD8"/>
    <w:rsid w:val="005B3FB4"/>
    <w:rsid w:val="005B64B6"/>
    <w:rsid w:val="005D3079"/>
    <w:rsid w:val="005D66A5"/>
    <w:rsid w:val="005D77C0"/>
    <w:rsid w:val="005E31C6"/>
    <w:rsid w:val="005E47DA"/>
    <w:rsid w:val="005E51EF"/>
    <w:rsid w:val="005E7BF1"/>
    <w:rsid w:val="005F16B6"/>
    <w:rsid w:val="00607E08"/>
    <w:rsid w:val="00610782"/>
    <w:rsid w:val="00611731"/>
    <w:rsid w:val="00612072"/>
    <w:rsid w:val="006158B6"/>
    <w:rsid w:val="006163A3"/>
    <w:rsid w:val="00621181"/>
    <w:rsid w:val="006215F8"/>
    <w:rsid w:val="00636ED7"/>
    <w:rsid w:val="00636F1D"/>
    <w:rsid w:val="00637548"/>
    <w:rsid w:val="00641395"/>
    <w:rsid w:val="00665026"/>
    <w:rsid w:val="0066712D"/>
    <w:rsid w:val="0067192F"/>
    <w:rsid w:val="0067377F"/>
    <w:rsid w:val="0068032B"/>
    <w:rsid w:val="00680ECD"/>
    <w:rsid w:val="00684EB9"/>
    <w:rsid w:val="0069016E"/>
    <w:rsid w:val="00696C98"/>
    <w:rsid w:val="006B2C63"/>
    <w:rsid w:val="006B40EA"/>
    <w:rsid w:val="006B5D44"/>
    <w:rsid w:val="006B7AB4"/>
    <w:rsid w:val="006C5B67"/>
    <w:rsid w:val="006C767B"/>
    <w:rsid w:val="006D01F3"/>
    <w:rsid w:val="006D2CB5"/>
    <w:rsid w:val="006D2D6A"/>
    <w:rsid w:val="006D3B8A"/>
    <w:rsid w:val="006F232B"/>
    <w:rsid w:val="007040C4"/>
    <w:rsid w:val="00704D3D"/>
    <w:rsid w:val="00705FCB"/>
    <w:rsid w:val="00715A1D"/>
    <w:rsid w:val="0072033B"/>
    <w:rsid w:val="0072279D"/>
    <w:rsid w:val="007248F4"/>
    <w:rsid w:val="00724F17"/>
    <w:rsid w:val="00725B59"/>
    <w:rsid w:val="00730C45"/>
    <w:rsid w:val="00743850"/>
    <w:rsid w:val="00743D63"/>
    <w:rsid w:val="00754FBF"/>
    <w:rsid w:val="00762029"/>
    <w:rsid w:val="00767DF9"/>
    <w:rsid w:val="00771473"/>
    <w:rsid w:val="00772570"/>
    <w:rsid w:val="00787EA6"/>
    <w:rsid w:val="00790E5D"/>
    <w:rsid w:val="00794DCB"/>
    <w:rsid w:val="00795B4D"/>
    <w:rsid w:val="00797674"/>
    <w:rsid w:val="007A259A"/>
    <w:rsid w:val="007A6FE7"/>
    <w:rsid w:val="007B2B93"/>
    <w:rsid w:val="007B35C1"/>
    <w:rsid w:val="007B368B"/>
    <w:rsid w:val="007B630C"/>
    <w:rsid w:val="007C2BC7"/>
    <w:rsid w:val="007C3209"/>
    <w:rsid w:val="007D0E41"/>
    <w:rsid w:val="007D273A"/>
    <w:rsid w:val="007D2CBC"/>
    <w:rsid w:val="007E184A"/>
    <w:rsid w:val="007E4B58"/>
    <w:rsid w:val="007E5109"/>
    <w:rsid w:val="007F0959"/>
    <w:rsid w:val="007F273E"/>
    <w:rsid w:val="007F580C"/>
    <w:rsid w:val="0080174E"/>
    <w:rsid w:val="00803ACA"/>
    <w:rsid w:val="00804DBF"/>
    <w:rsid w:val="008205E9"/>
    <w:rsid w:val="008236B0"/>
    <w:rsid w:val="00831209"/>
    <w:rsid w:val="00831E68"/>
    <w:rsid w:val="00832922"/>
    <w:rsid w:val="00836A89"/>
    <w:rsid w:val="00837390"/>
    <w:rsid w:val="00841FBF"/>
    <w:rsid w:val="00842C40"/>
    <w:rsid w:val="00844F89"/>
    <w:rsid w:val="008461D7"/>
    <w:rsid w:val="00846CE4"/>
    <w:rsid w:val="00861B9F"/>
    <w:rsid w:val="00863D1C"/>
    <w:rsid w:val="008655AC"/>
    <w:rsid w:val="0087249D"/>
    <w:rsid w:val="0088661E"/>
    <w:rsid w:val="008A48A9"/>
    <w:rsid w:val="008A6584"/>
    <w:rsid w:val="008B2754"/>
    <w:rsid w:val="008D4B01"/>
    <w:rsid w:val="008D7294"/>
    <w:rsid w:val="008E2ADD"/>
    <w:rsid w:val="008E76F3"/>
    <w:rsid w:val="008F47CB"/>
    <w:rsid w:val="009014E2"/>
    <w:rsid w:val="009019D3"/>
    <w:rsid w:val="00907DAE"/>
    <w:rsid w:val="009139B2"/>
    <w:rsid w:val="00916B40"/>
    <w:rsid w:val="0092095F"/>
    <w:rsid w:val="00920E26"/>
    <w:rsid w:val="009237DB"/>
    <w:rsid w:val="00925B47"/>
    <w:rsid w:val="009274FC"/>
    <w:rsid w:val="00941B2F"/>
    <w:rsid w:val="00944A2F"/>
    <w:rsid w:val="009465D1"/>
    <w:rsid w:val="00954349"/>
    <w:rsid w:val="00955037"/>
    <w:rsid w:val="00955D77"/>
    <w:rsid w:val="009661CA"/>
    <w:rsid w:val="00972054"/>
    <w:rsid w:val="00975374"/>
    <w:rsid w:val="0097570B"/>
    <w:rsid w:val="00980E86"/>
    <w:rsid w:val="00981A94"/>
    <w:rsid w:val="00986879"/>
    <w:rsid w:val="0099177D"/>
    <w:rsid w:val="009A014B"/>
    <w:rsid w:val="009A6567"/>
    <w:rsid w:val="009A7429"/>
    <w:rsid w:val="009B298C"/>
    <w:rsid w:val="009E0AB7"/>
    <w:rsid w:val="009E1E2A"/>
    <w:rsid w:val="009E26EE"/>
    <w:rsid w:val="009F114B"/>
    <w:rsid w:val="009F14B6"/>
    <w:rsid w:val="009F17E2"/>
    <w:rsid w:val="009F455D"/>
    <w:rsid w:val="009F6AB0"/>
    <w:rsid w:val="00A03FB7"/>
    <w:rsid w:val="00A040C2"/>
    <w:rsid w:val="00A13581"/>
    <w:rsid w:val="00A30573"/>
    <w:rsid w:val="00A3057C"/>
    <w:rsid w:val="00A33ED8"/>
    <w:rsid w:val="00A35268"/>
    <w:rsid w:val="00A35B3E"/>
    <w:rsid w:val="00A43071"/>
    <w:rsid w:val="00A461F0"/>
    <w:rsid w:val="00A6690A"/>
    <w:rsid w:val="00A672C3"/>
    <w:rsid w:val="00A73C28"/>
    <w:rsid w:val="00A822C6"/>
    <w:rsid w:val="00A865A0"/>
    <w:rsid w:val="00A9600D"/>
    <w:rsid w:val="00A973AA"/>
    <w:rsid w:val="00AA03D1"/>
    <w:rsid w:val="00AA5170"/>
    <w:rsid w:val="00AB08B6"/>
    <w:rsid w:val="00AB2674"/>
    <w:rsid w:val="00AB4373"/>
    <w:rsid w:val="00AB47D2"/>
    <w:rsid w:val="00AB7DDD"/>
    <w:rsid w:val="00AD3107"/>
    <w:rsid w:val="00AD779F"/>
    <w:rsid w:val="00AE3347"/>
    <w:rsid w:val="00AE4CB5"/>
    <w:rsid w:val="00AF11DE"/>
    <w:rsid w:val="00AF18C1"/>
    <w:rsid w:val="00AF1B04"/>
    <w:rsid w:val="00AF2765"/>
    <w:rsid w:val="00AF3B35"/>
    <w:rsid w:val="00B01820"/>
    <w:rsid w:val="00B044F6"/>
    <w:rsid w:val="00B0669F"/>
    <w:rsid w:val="00B227CA"/>
    <w:rsid w:val="00B31F11"/>
    <w:rsid w:val="00B3402A"/>
    <w:rsid w:val="00B34232"/>
    <w:rsid w:val="00B35907"/>
    <w:rsid w:val="00B4117B"/>
    <w:rsid w:val="00B43410"/>
    <w:rsid w:val="00B47739"/>
    <w:rsid w:val="00B552EB"/>
    <w:rsid w:val="00B65ECF"/>
    <w:rsid w:val="00B71485"/>
    <w:rsid w:val="00B74084"/>
    <w:rsid w:val="00B756C2"/>
    <w:rsid w:val="00B856E6"/>
    <w:rsid w:val="00B870B5"/>
    <w:rsid w:val="00B935ED"/>
    <w:rsid w:val="00B945C6"/>
    <w:rsid w:val="00B96339"/>
    <w:rsid w:val="00B96D02"/>
    <w:rsid w:val="00BA4FBB"/>
    <w:rsid w:val="00BB0D72"/>
    <w:rsid w:val="00BB15FD"/>
    <w:rsid w:val="00BB2F87"/>
    <w:rsid w:val="00BC65C3"/>
    <w:rsid w:val="00BD0314"/>
    <w:rsid w:val="00BD13FD"/>
    <w:rsid w:val="00BD33A1"/>
    <w:rsid w:val="00BD65E6"/>
    <w:rsid w:val="00BD69DF"/>
    <w:rsid w:val="00BE183E"/>
    <w:rsid w:val="00C05B82"/>
    <w:rsid w:val="00C101BB"/>
    <w:rsid w:val="00C12B39"/>
    <w:rsid w:val="00C12E6E"/>
    <w:rsid w:val="00C1455A"/>
    <w:rsid w:val="00C165D0"/>
    <w:rsid w:val="00C20385"/>
    <w:rsid w:val="00C27EAB"/>
    <w:rsid w:val="00C35A2B"/>
    <w:rsid w:val="00C433AC"/>
    <w:rsid w:val="00C449ED"/>
    <w:rsid w:val="00C45DFA"/>
    <w:rsid w:val="00C53EEC"/>
    <w:rsid w:val="00C62516"/>
    <w:rsid w:val="00C62A70"/>
    <w:rsid w:val="00C71F3A"/>
    <w:rsid w:val="00C76318"/>
    <w:rsid w:val="00C77DCB"/>
    <w:rsid w:val="00C92DC9"/>
    <w:rsid w:val="00C9381F"/>
    <w:rsid w:val="00C94155"/>
    <w:rsid w:val="00CB0FA7"/>
    <w:rsid w:val="00CB53C5"/>
    <w:rsid w:val="00CC46B7"/>
    <w:rsid w:val="00CC78C7"/>
    <w:rsid w:val="00CD4D12"/>
    <w:rsid w:val="00CE0F34"/>
    <w:rsid w:val="00CE51D2"/>
    <w:rsid w:val="00CE6A6F"/>
    <w:rsid w:val="00CF2A60"/>
    <w:rsid w:val="00CF5C5C"/>
    <w:rsid w:val="00D00CBE"/>
    <w:rsid w:val="00D05A16"/>
    <w:rsid w:val="00D10DC6"/>
    <w:rsid w:val="00D10E5D"/>
    <w:rsid w:val="00D15F34"/>
    <w:rsid w:val="00D22994"/>
    <w:rsid w:val="00D36447"/>
    <w:rsid w:val="00D445B7"/>
    <w:rsid w:val="00D53DEB"/>
    <w:rsid w:val="00D56513"/>
    <w:rsid w:val="00D63E12"/>
    <w:rsid w:val="00D6719C"/>
    <w:rsid w:val="00D834D9"/>
    <w:rsid w:val="00D8747E"/>
    <w:rsid w:val="00D875EF"/>
    <w:rsid w:val="00D95DC5"/>
    <w:rsid w:val="00DA0399"/>
    <w:rsid w:val="00DB6189"/>
    <w:rsid w:val="00DC19D6"/>
    <w:rsid w:val="00DC2C03"/>
    <w:rsid w:val="00DC2DBB"/>
    <w:rsid w:val="00DC5C3C"/>
    <w:rsid w:val="00DC6C0F"/>
    <w:rsid w:val="00DD197A"/>
    <w:rsid w:val="00DD4556"/>
    <w:rsid w:val="00DE06BE"/>
    <w:rsid w:val="00DE19A3"/>
    <w:rsid w:val="00DE43ED"/>
    <w:rsid w:val="00DE5B7B"/>
    <w:rsid w:val="00DF0729"/>
    <w:rsid w:val="00DF28C2"/>
    <w:rsid w:val="00DF7018"/>
    <w:rsid w:val="00E00D5E"/>
    <w:rsid w:val="00E0219A"/>
    <w:rsid w:val="00E147F4"/>
    <w:rsid w:val="00E2168A"/>
    <w:rsid w:val="00E225BB"/>
    <w:rsid w:val="00E310DA"/>
    <w:rsid w:val="00E41C9C"/>
    <w:rsid w:val="00E47808"/>
    <w:rsid w:val="00E47E13"/>
    <w:rsid w:val="00E51D5F"/>
    <w:rsid w:val="00E55474"/>
    <w:rsid w:val="00E6312F"/>
    <w:rsid w:val="00E666C3"/>
    <w:rsid w:val="00E66C01"/>
    <w:rsid w:val="00E7491A"/>
    <w:rsid w:val="00E774A4"/>
    <w:rsid w:val="00E85DD9"/>
    <w:rsid w:val="00E90ED5"/>
    <w:rsid w:val="00E95D10"/>
    <w:rsid w:val="00E97495"/>
    <w:rsid w:val="00EA0C9C"/>
    <w:rsid w:val="00EA12F6"/>
    <w:rsid w:val="00ED0BDD"/>
    <w:rsid w:val="00ED2A3A"/>
    <w:rsid w:val="00EE59C9"/>
    <w:rsid w:val="00EF454B"/>
    <w:rsid w:val="00F02A93"/>
    <w:rsid w:val="00F11CD1"/>
    <w:rsid w:val="00F14844"/>
    <w:rsid w:val="00F31DDF"/>
    <w:rsid w:val="00F35835"/>
    <w:rsid w:val="00F37DDB"/>
    <w:rsid w:val="00F4367D"/>
    <w:rsid w:val="00F43A5A"/>
    <w:rsid w:val="00F445D1"/>
    <w:rsid w:val="00F509D1"/>
    <w:rsid w:val="00F569FF"/>
    <w:rsid w:val="00F5707B"/>
    <w:rsid w:val="00F574FF"/>
    <w:rsid w:val="00F638B2"/>
    <w:rsid w:val="00F71B17"/>
    <w:rsid w:val="00F757FF"/>
    <w:rsid w:val="00F843B9"/>
    <w:rsid w:val="00F9329F"/>
    <w:rsid w:val="00FA46D1"/>
    <w:rsid w:val="00FA55CA"/>
    <w:rsid w:val="00FB3284"/>
    <w:rsid w:val="00FB3537"/>
    <w:rsid w:val="00FB561C"/>
    <w:rsid w:val="00FD08C9"/>
    <w:rsid w:val="00FD0F23"/>
    <w:rsid w:val="00FD3AF7"/>
    <w:rsid w:val="00FE1161"/>
    <w:rsid w:val="00FF0CEE"/>
    <w:rsid w:val="00FF0FF7"/>
    <w:rsid w:val="00FF30D0"/>
    <w:rsid w:val="00FF7D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8D19617"/>
  <w15:chartTrackingRefBased/>
  <w15:docId w15:val="{EEC436E5-E8FA-4B2A-9D6D-4F0C2082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39F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C03"/>
    <w:pPr>
      <w:ind w:left="720"/>
      <w:contextualSpacing/>
    </w:pPr>
  </w:style>
  <w:style w:type="character" w:styleId="CommentReference">
    <w:name w:val="annotation reference"/>
    <w:basedOn w:val="DefaultParagraphFont"/>
    <w:unhideWhenUsed/>
    <w:rsid w:val="004F1284"/>
    <w:rPr>
      <w:sz w:val="16"/>
      <w:szCs w:val="16"/>
    </w:rPr>
  </w:style>
  <w:style w:type="paragraph" w:styleId="CommentText">
    <w:name w:val="annotation text"/>
    <w:basedOn w:val="Normal"/>
    <w:link w:val="CommentTextChar"/>
    <w:unhideWhenUsed/>
    <w:rsid w:val="004F1284"/>
    <w:rPr>
      <w:sz w:val="20"/>
      <w:szCs w:val="20"/>
    </w:rPr>
  </w:style>
  <w:style w:type="character" w:customStyle="1" w:styleId="CommentTextChar">
    <w:name w:val="Comment Text Char"/>
    <w:basedOn w:val="DefaultParagraphFont"/>
    <w:link w:val="CommentText"/>
    <w:rsid w:val="004F128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F1284"/>
    <w:rPr>
      <w:b/>
      <w:bCs/>
    </w:rPr>
  </w:style>
  <w:style w:type="character" w:customStyle="1" w:styleId="CommentSubjectChar">
    <w:name w:val="Comment Subject Char"/>
    <w:basedOn w:val="CommentTextChar"/>
    <w:link w:val="CommentSubject"/>
    <w:uiPriority w:val="99"/>
    <w:semiHidden/>
    <w:rsid w:val="004F1284"/>
    <w:rPr>
      <w:rFonts w:ascii="Times New Roman" w:hAnsi="Times New Roman"/>
      <w:b/>
      <w:bCs/>
      <w:sz w:val="20"/>
      <w:szCs w:val="20"/>
    </w:rPr>
  </w:style>
  <w:style w:type="paragraph" w:styleId="BalloonText">
    <w:name w:val="Balloon Text"/>
    <w:basedOn w:val="Normal"/>
    <w:link w:val="BalloonTextChar"/>
    <w:uiPriority w:val="99"/>
    <w:semiHidden/>
    <w:unhideWhenUsed/>
    <w:rsid w:val="004F12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284"/>
    <w:rPr>
      <w:rFonts w:ascii="Segoe UI" w:hAnsi="Segoe UI" w:cs="Segoe UI"/>
      <w:sz w:val="18"/>
      <w:szCs w:val="18"/>
    </w:rPr>
  </w:style>
  <w:style w:type="paragraph" w:styleId="Revision">
    <w:name w:val="Revision"/>
    <w:hidden/>
    <w:uiPriority w:val="99"/>
    <w:semiHidden/>
    <w:rsid w:val="004F1284"/>
    <w:rPr>
      <w:rFonts w:ascii="Times New Roman" w:hAnsi="Times New Roman"/>
      <w:sz w:val="24"/>
    </w:rPr>
  </w:style>
  <w:style w:type="table" w:styleId="TableGrid">
    <w:name w:val="Table Grid"/>
    <w:basedOn w:val="TableNormal"/>
    <w:uiPriority w:val="59"/>
    <w:rsid w:val="00907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B4373"/>
    <w:pPr>
      <w:tabs>
        <w:tab w:val="center" w:pos="4680"/>
        <w:tab w:val="right" w:pos="9360"/>
      </w:tabs>
    </w:pPr>
  </w:style>
  <w:style w:type="character" w:customStyle="1" w:styleId="HeaderChar">
    <w:name w:val="Header Char"/>
    <w:basedOn w:val="DefaultParagraphFont"/>
    <w:link w:val="Header"/>
    <w:uiPriority w:val="99"/>
    <w:rsid w:val="00AB4373"/>
    <w:rPr>
      <w:rFonts w:ascii="Times New Roman" w:hAnsi="Times New Roman"/>
      <w:sz w:val="24"/>
    </w:rPr>
  </w:style>
  <w:style w:type="paragraph" w:styleId="Footer">
    <w:name w:val="footer"/>
    <w:basedOn w:val="Normal"/>
    <w:link w:val="FooterChar"/>
    <w:uiPriority w:val="99"/>
    <w:unhideWhenUsed/>
    <w:rsid w:val="00AB4373"/>
    <w:pPr>
      <w:tabs>
        <w:tab w:val="center" w:pos="4680"/>
        <w:tab w:val="right" w:pos="9360"/>
      </w:tabs>
    </w:pPr>
  </w:style>
  <w:style w:type="character" w:customStyle="1" w:styleId="FooterChar">
    <w:name w:val="Footer Char"/>
    <w:basedOn w:val="DefaultParagraphFont"/>
    <w:link w:val="Footer"/>
    <w:uiPriority w:val="99"/>
    <w:rsid w:val="00AB4373"/>
    <w:rPr>
      <w:rFonts w:ascii="Times New Roman" w:hAnsi="Times New Roman"/>
      <w:sz w:val="24"/>
    </w:rPr>
  </w:style>
  <w:style w:type="paragraph" w:styleId="FootnoteText">
    <w:name w:val="footnote text"/>
    <w:basedOn w:val="Normal"/>
    <w:link w:val="FootnoteTextChar"/>
    <w:uiPriority w:val="99"/>
    <w:semiHidden/>
    <w:unhideWhenUsed/>
    <w:rsid w:val="00CE6A6F"/>
    <w:rPr>
      <w:sz w:val="20"/>
      <w:szCs w:val="20"/>
    </w:rPr>
  </w:style>
  <w:style w:type="character" w:customStyle="1" w:styleId="FootnoteTextChar">
    <w:name w:val="Footnote Text Char"/>
    <w:basedOn w:val="DefaultParagraphFont"/>
    <w:link w:val="FootnoteText"/>
    <w:uiPriority w:val="99"/>
    <w:semiHidden/>
    <w:rsid w:val="00CE6A6F"/>
    <w:rPr>
      <w:rFonts w:ascii="Times New Roman" w:hAnsi="Times New Roman"/>
      <w:sz w:val="20"/>
      <w:szCs w:val="20"/>
    </w:rPr>
  </w:style>
  <w:style w:type="character" w:styleId="FootnoteReference">
    <w:name w:val="footnote reference"/>
    <w:basedOn w:val="DefaultParagraphFont"/>
    <w:uiPriority w:val="99"/>
    <w:semiHidden/>
    <w:unhideWhenUsed/>
    <w:rsid w:val="00CE6A6F"/>
    <w:rPr>
      <w:vertAlign w:val="superscript"/>
    </w:rPr>
  </w:style>
  <w:style w:type="character" w:styleId="Strong">
    <w:name w:val="Strong"/>
    <w:basedOn w:val="DefaultParagraphFont"/>
    <w:uiPriority w:val="22"/>
    <w:qFormat/>
    <w:rsid w:val="00EA12F6"/>
    <w:rPr>
      <w:b/>
      <w:bCs/>
    </w:rPr>
  </w:style>
  <w:style w:type="character" w:styleId="Hyperlink">
    <w:name w:val="Hyperlink"/>
    <w:basedOn w:val="DefaultParagraphFont"/>
    <w:uiPriority w:val="99"/>
    <w:unhideWhenUsed/>
    <w:rsid w:val="00955037"/>
    <w:rPr>
      <w:color w:val="0563C1" w:themeColor="hyperlink"/>
      <w:u w:val="single"/>
    </w:rPr>
  </w:style>
  <w:style w:type="character" w:styleId="UnresolvedMention">
    <w:name w:val="Unresolved Mention"/>
    <w:basedOn w:val="DefaultParagraphFont"/>
    <w:uiPriority w:val="99"/>
    <w:semiHidden/>
    <w:unhideWhenUsed/>
    <w:rsid w:val="00955037"/>
    <w:rPr>
      <w:color w:val="605E5C"/>
      <w:shd w:val="clear" w:color="auto" w:fill="E1DFDD"/>
    </w:rPr>
  </w:style>
  <w:style w:type="character" w:customStyle="1" w:styleId="cf01">
    <w:name w:val="cf01"/>
    <w:basedOn w:val="DefaultParagraphFont"/>
    <w:rsid w:val="00F574F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80E3985CB279488F999D8FF3F52C30" ma:contentTypeVersion="12" ma:contentTypeDescription="Create a new document." ma:contentTypeScope="" ma:versionID="4bd11a70785dd192d99df916f7f7e007">
  <xsd:schema xmlns:xsd="http://www.w3.org/2001/XMLSchema" xmlns:xs="http://www.w3.org/2001/XMLSchema" xmlns:p="http://schemas.microsoft.com/office/2006/metadata/properties" xmlns:ns3="c9ae2658-0c98-47bb-ab30-92f75d9d7820" xmlns:ns4="62b1273a-7972-4ca6-b132-6371b2eee604" targetNamespace="http://schemas.microsoft.com/office/2006/metadata/properties" ma:root="true" ma:fieldsID="06527bc9c9b0ab2a0cafbcd922595838" ns3:_="" ns4:_="">
    <xsd:import namespace="c9ae2658-0c98-47bb-ab30-92f75d9d7820"/>
    <xsd:import namespace="62b1273a-7972-4ca6-b132-6371b2eee6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e2658-0c98-47bb-ab30-92f75d9d78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b1273a-7972-4ca6-b132-6371b2eee6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9EF30-5743-4BF9-ACBB-1CC118E5E6EF}">
  <ds:schemaRefs>
    <ds:schemaRef ds:uri="http://schemas.microsoft.com/sharepoint/v3/contenttype/forms"/>
  </ds:schemaRefs>
</ds:datastoreItem>
</file>

<file path=customXml/itemProps2.xml><?xml version="1.0" encoding="utf-8"?>
<ds:datastoreItem xmlns:ds="http://schemas.openxmlformats.org/officeDocument/2006/customXml" ds:itemID="{98931DDC-4302-493A-95C0-CFAC6AEB4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e2658-0c98-47bb-ab30-92f75d9d7820"/>
    <ds:schemaRef ds:uri="62b1273a-7972-4ca6-b132-6371b2eee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B701E6-65CF-431A-8E4E-1A3B9F211C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E4A3D4-6CEC-4A2F-9F8A-5FFF1B215F57}">
  <ds:schemaRefs>
    <ds:schemaRef ds:uri="http://schemas.openxmlformats.org/officeDocument/2006/bibliography"/>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8</Pages>
  <Words>3006</Words>
  <Characters>17139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Devin Allen</dc:creator>
  <cp:lastModifiedBy>Amoah, Mammyaa (JMD) (CTR)</cp:lastModifiedBy>
  <cp:revision>7</cp:revision>
  <dcterms:created xsi:type="dcterms:W3CDTF">2024-03-01T01:25:00Z</dcterms:created>
  <dcterms:modified xsi:type="dcterms:W3CDTF">2024-03-01T01:32:00Z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0x0101000580E3985CB279488F999D8FF3F52C30</vt:lpwstr>
  </property>
  <property fmtid="{D5CDD505-2E9C-101B-9397-08002B2CF9AE}" pid="3" name="GrammarlyDocumentId">
    <vt:lpwstr>9fe5a45fc38794338ad685a2aab7d6d261f1cbd250de1ea6c664e5edc3bffabe</vt:lpwstr>
  </property>
</Properties>
</file>