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C78C7" w:rsidP="00D81712" w14:paraId="1CE0ADF3" w14:textId="4EB72863">
      <w:pPr>
        <w:jc w:val="center"/>
        <w:rPr>
          <w:rFonts w:ascii="Times New Roman" w:hAnsi="Times New Roman"/>
          <w:b/>
          <w:bCs/>
        </w:rPr>
      </w:pPr>
      <w:r w:rsidRPr="00D81712">
        <w:rPr>
          <w:rFonts w:ascii="Times New Roman" w:hAnsi="Times New Roman"/>
          <w:b/>
          <w:bCs/>
        </w:rPr>
        <w:t>SUPPORTING STATEMENT FOR PAPERWORK REDUCTION ACT OF 1995:</w:t>
      </w:r>
      <w:r w:rsidR="00D2655D">
        <w:rPr>
          <w:rFonts w:ascii="Times New Roman" w:hAnsi="Times New Roman"/>
          <w:b/>
          <w:bCs/>
        </w:rPr>
        <w:t xml:space="preserve"> </w:t>
      </w:r>
      <w:r w:rsidRPr="00D81712">
        <w:rPr>
          <w:rFonts w:ascii="Times New Roman" w:hAnsi="Times New Roman"/>
          <w:b/>
          <w:bCs/>
        </w:rPr>
        <w:t>NOTICE OF SPECIAL ENROLLMENT RIGHTS UNDER GROUP HEALTH PLANS</w:t>
      </w:r>
    </w:p>
    <w:p w:rsidR="005E4E9F" w:rsidP="005E4E9F" w14:paraId="7B8FFD78" w14:textId="77777777">
      <w:pPr>
        <w:rPr>
          <w:rFonts w:ascii="Times New Roman" w:hAnsi="Times New Roman"/>
          <w:b/>
          <w:bCs/>
        </w:rPr>
      </w:pPr>
    </w:p>
    <w:p w:rsidR="005E4E9F" w:rsidRPr="00EB3DD7" w:rsidP="005E4E9F" w14:paraId="46D5C8DA" w14:textId="77777777">
      <w:pPr>
        <w:pStyle w:val="Header"/>
        <w:widowControl/>
        <w:rPr>
          <w:rFonts w:ascii="Times New Roman" w:hAnsi="Times New Roman"/>
          <w:b/>
          <w:bCs/>
        </w:rPr>
      </w:pPr>
      <w:r w:rsidRPr="00EB3DD7">
        <w:rPr>
          <w:rFonts w:ascii="Times New Roman" w:hAnsi="Times New Roman"/>
          <w:b/>
          <w:bCs/>
        </w:rPr>
        <w:t>This ICR seeks approval for a</w:t>
      </w:r>
      <w:r>
        <w:rPr>
          <w:rFonts w:ascii="Times New Roman" w:hAnsi="Times New Roman"/>
          <w:b/>
          <w:bCs/>
        </w:rPr>
        <w:t xml:space="preserve">n extension </w:t>
      </w:r>
      <w:r w:rsidRPr="00EB3DD7">
        <w:rPr>
          <w:rFonts w:ascii="Times New Roman" w:hAnsi="Times New Roman"/>
          <w:b/>
          <w:bCs/>
        </w:rPr>
        <w:t>of an existing control number.</w:t>
      </w:r>
    </w:p>
    <w:p w:rsidR="00FB389B" w:rsidRPr="00F034F7" w14:paraId="727E1180" w14:textId="77777777">
      <w:pPr>
        <w:rPr>
          <w:rFonts w:ascii="Times New Roman" w:hAnsi="Times New Roman"/>
        </w:rPr>
      </w:pPr>
    </w:p>
    <w:p w:rsidR="00FC78C7" w:rsidRPr="00F034F7" w:rsidP="00EB2E34" w14:paraId="69724D9D" w14:textId="77777777">
      <w:pPr>
        <w:pStyle w:val="Heading1"/>
        <w:numPr>
          <w:ilvl w:val="0"/>
          <w:numId w:val="12"/>
        </w:numPr>
        <w:ind w:hanging="720"/>
      </w:pPr>
      <w:r w:rsidRPr="00F034F7">
        <w:t>JUSTIFICATION</w:t>
      </w:r>
    </w:p>
    <w:p w:rsidR="00FC78C7" w:rsidRPr="00F034F7" w:rsidP="00EB2E34" w14:paraId="61187273" w14:textId="77777777">
      <w:pPr>
        <w:ind w:left="720"/>
        <w:rPr>
          <w:rFonts w:ascii="Times New Roman" w:hAnsi="Times New Roman"/>
        </w:rPr>
      </w:pPr>
    </w:p>
    <w:p w:rsidR="00FC78C7" w:rsidRPr="00F034F7" w:rsidP="00EB2E34" w14:paraId="01EB8DA2" w14:textId="10987D0B">
      <w:pPr>
        <w:pStyle w:val="Quick1"/>
      </w:pPr>
      <w:r w:rsidRPr="00D81712">
        <w:rPr>
          <w:b/>
          <w:bCs/>
          <w:i w:val="0"/>
          <w:iCs/>
        </w:rPr>
        <w:t>Explain the circumstances that make the collection of information necessary.</w:t>
      </w:r>
      <w:r w:rsidR="00D2655D">
        <w:rPr>
          <w:b/>
          <w:bCs/>
          <w:i w:val="0"/>
          <w:iCs/>
        </w:rPr>
        <w:t xml:space="preserve"> </w:t>
      </w:r>
      <w:r w:rsidRPr="00D81712">
        <w:rPr>
          <w:b/>
          <w:bCs/>
          <w:i w:val="0"/>
          <w:iCs/>
        </w:rPr>
        <w:t>Identify any legal or administrative requirements that necessitate the collection.</w:t>
      </w:r>
      <w:r w:rsidR="00D2655D">
        <w:rPr>
          <w:b/>
          <w:bCs/>
          <w:i w:val="0"/>
          <w:iCs/>
        </w:rPr>
        <w:t xml:space="preserve"> </w:t>
      </w:r>
      <w:r w:rsidRPr="00D81712">
        <w:rPr>
          <w:b/>
          <w:bCs/>
          <w:i w:val="0"/>
          <w:iCs/>
        </w:rPr>
        <w:t>Attach a copy of the appropriate section of each statute and regulation mandating or authorizing the collection of information</w:t>
      </w:r>
      <w:r w:rsidRPr="00F034F7">
        <w:t>.</w:t>
      </w:r>
    </w:p>
    <w:p w:rsidR="00FC78C7" w:rsidRPr="00F034F7" w:rsidP="00EB2E34" w14:paraId="44A529E3" w14:textId="77777777">
      <w:pPr>
        <w:ind w:left="720"/>
        <w:rPr>
          <w:rFonts w:ascii="Times New Roman" w:hAnsi="Times New Roman"/>
        </w:rPr>
      </w:pPr>
    </w:p>
    <w:p w:rsidR="00283F93" w:rsidP="00EB2E34" w14:paraId="45DC7894" w14:textId="77777777">
      <w:pPr>
        <w:ind w:left="720"/>
        <w:rPr>
          <w:rFonts w:ascii="Times New Roman" w:hAnsi="Times New Roman"/>
        </w:rPr>
      </w:pPr>
      <w:r w:rsidRPr="00F034F7">
        <w:rPr>
          <w:rFonts w:ascii="Times New Roman" w:hAnsi="Times New Roman"/>
        </w:rPr>
        <w:t xml:space="preserve">Section 734 </w:t>
      </w:r>
      <w:r w:rsidRPr="00F034F7" w:rsidR="00FC78C7">
        <w:rPr>
          <w:rFonts w:ascii="Times New Roman" w:hAnsi="Times New Roman"/>
        </w:rPr>
        <w:t xml:space="preserve">of </w:t>
      </w:r>
      <w:r w:rsidRPr="00F034F7" w:rsidR="007F5008">
        <w:rPr>
          <w:rFonts w:ascii="Times New Roman" w:hAnsi="Times New Roman"/>
        </w:rPr>
        <w:t>the Employee Retirement Income Security Act (</w:t>
      </w:r>
      <w:r w:rsidRPr="00F034F7" w:rsidR="00FC78C7">
        <w:rPr>
          <w:rFonts w:ascii="Times New Roman" w:hAnsi="Times New Roman"/>
        </w:rPr>
        <w:t>ERISA</w:t>
      </w:r>
      <w:r w:rsidRPr="00F034F7" w:rsidR="007F5008">
        <w:rPr>
          <w:rFonts w:ascii="Times New Roman" w:hAnsi="Times New Roman"/>
        </w:rPr>
        <w:t>)</w:t>
      </w:r>
      <w:r w:rsidRPr="00F034F7" w:rsidR="00FC78C7">
        <w:rPr>
          <w:rFonts w:ascii="Times New Roman" w:hAnsi="Times New Roman"/>
        </w:rPr>
        <w:t xml:space="preserve">, </w:t>
      </w:r>
      <w:r w:rsidRPr="00F034F7">
        <w:rPr>
          <w:rFonts w:ascii="Times New Roman" w:hAnsi="Times New Roman"/>
        </w:rPr>
        <w:t xml:space="preserve">which was </w:t>
      </w:r>
      <w:r w:rsidRPr="00F034F7" w:rsidR="00FC78C7">
        <w:rPr>
          <w:rFonts w:ascii="Times New Roman" w:hAnsi="Times New Roman"/>
        </w:rPr>
        <w:t xml:space="preserve">added by the Health </w:t>
      </w:r>
      <w:r w:rsidRPr="00F034F7" w:rsidR="007F5008">
        <w:rPr>
          <w:rFonts w:ascii="Times New Roman" w:hAnsi="Times New Roman"/>
        </w:rPr>
        <w:t xml:space="preserve">Insurance </w:t>
      </w:r>
      <w:r w:rsidRPr="00F034F7" w:rsidR="00FC78C7">
        <w:rPr>
          <w:rFonts w:ascii="Times New Roman" w:hAnsi="Times New Roman"/>
        </w:rPr>
        <w:t xml:space="preserve">Portability </w:t>
      </w:r>
      <w:r w:rsidRPr="00F034F7" w:rsidR="007F5008">
        <w:rPr>
          <w:rFonts w:ascii="Times New Roman" w:hAnsi="Times New Roman"/>
        </w:rPr>
        <w:t xml:space="preserve">and Accountability </w:t>
      </w:r>
      <w:r w:rsidRPr="00F034F7" w:rsidR="00FC78C7">
        <w:rPr>
          <w:rFonts w:ascii="Times New Roman" w:hAnsi="Times New Roman"/>
        </w:rPr>
        <w:t>Act of 1996 (Pub.L. 104-191, Aug. 21, 1996) (HIPAA)</w:t>
      </w:r>
      <w:r w:rsidRPr="00F034F7">
        <w:rPr>
          <w:rFonts w:ascii="Times New Roman" w:hAnsi="Times New Roman"/>
        </w:rPr>
        <w:t>,</w:t>
      </w:r>
      <w:r w:rsidRPr="00F034F7" w:rsidR="00FC78C7">
        <w:rPr>
          <w:rFonts w:ascii="Times New Roman" w:hAnsi="Times New Roman"/>
        </w:rPr>
        <w:t xml:space="preserve"> </w:t>
      </w:r>
      <w:r w:rsidRPr="00F034F7" w:rsidR="002A086E">
        <w:rPr>
          <w:rFonts w:ascii="Times New Roman" w:hAnsi="Times New Roman"/>
        </w:rPr>
        <w:t>gives</w:t>
      </w:r>
      <w:r w:rsidRPr="00F034F7" w:rsidR="00FC78C7">
        <w:rPr>
          <w:rFonts w:ascii="Times New Roman" w:hAnsi="Times New Roman"/>
        </w:rPr>
        <w:t xml:space="preserve"> the Secretary of Labor, in coordination with the Secretary of Health and Human Services (HHS) and the Secretary of the Treasury</w:t>
      </w:r>
      <w:r w:rsidRPr="00F034F7" w:rsidR="001C63A7">
        <w:rPr>
          <w:rFonts w:ascii="Times New Roman" w:hAnsi="Times New Roman"/>
        </w:rPr>
        <w:t>, (jointly, the Departments)</w:t>
      </w:r>
      <w:r w:rsidRPr="00F034F7" w:rsidR="00FC78C7">
        <w:rPr>
          <w:rFonts w:ascii="Times New Roman" w:hAnsi="Times New Roman"/>
        </w:rPr>
        <w:t xml:space="preserve"> </w:t>
      </w:r>
      <w:r w:rsidRPr="00F034F7" w:rsidR="002A086E">
        <w:rPr>
          <w:rFonts w:ascii="Times New Roman" w:hAnsi="Times New Roman"/>
        </w:rPr>
        <w:t xml:space="preserve">the authority to </w:t>
      </w:r>
      <w:r w:rsidRPr="00F034F7" w:rsidR="00FC78C7">
        <w:rPr>
          <w:rFonts w:ascii="Times New Roman" w:hAnsi="Times New Roman"/>
        </w:rPr>
        <w:t xml:space="preserve">promulgate </w:t>
      </w:r>
      <w:r w:rsidRPr="00F034F7" w:rsidR="002A086E">
        <w:rPr>
          <w:rFonts w:ascii="Times New Roman" w:hAnsi="Times New Roman"/>
        </w:rPr>
        <w:t xml:space="preserve">necessary or appropriate </w:t>
      </w:r>
      <w:r w:rsidRPr="00F034F7" w:rsidR="00FC78C7">
        <w:rPr>
          <w:rFonts w:ascii="Times New Roman" w:hAnsi="Times New Roman"/>
        </w:rPr>
        <w:t xml:space="preserve">regulations to carry out the provisions of </w:t>
      </w:r>
      <w:r w:rsidRPr="00F034F7">
        <w:rPr>
          <w:rFonts w:ascii="Times New Roman" w:hAnsi="Times New Roman"/>
        </w:rPr>
        <w:t>Part 7</w:t>
      </w:r>
      <w:r w:rsidRPr="00F034F7" w:rsidR="001C63A7">
        <w:rPr>
          <w:rFonts w:ascii="Times New Roman" w:hAnsi="Times New Roman"/>
        </w:rPr>
        <w:t xml:space="preserve"> of ERISA (the HIPAA provisions)</w:t>
      </w:r>
      <w:r w:rsidRPr="00F034F7" w:rsidR="007F5008">
        <w:rPr>
          <w:rFonts w:ascii="Times New Roman" w:hAnsi="Times New Roman"/>
        </w:rPr>
        <w:t>.</w:t>
      </w:r>
      <w:r w:rsidR="00D2655D">
        <w:rPr>
          <w:rFonts w:ascii="Times New Roman" w:hAnsi="Times New Roman"/>
        </w:rPr>
        <w:t xml:space="preserve"> </w:t>
      </w:r>
      <w:r w:rsidRPr="00F034F7" w:rsidR="002A086E">
        <w:rPr>
          <w:rFonts w:ascii="Times New Roman" w:hAnsi="Times New Roman"/>
        </w:rPr>
        <w:t>Among other things, the HIPAA provisions limit the extent to which group health plans and their health insurance issuers can restrict health coverage based on pre-existing conditions for individuals who previously had health coverage.</w:t>
      </w:r>
      <w:r w:rsidR="00D2655D">
        <w:rPr>
          <w:rFonts w:ascii="Times New Roman" w:hAnsi="Times New Roman"/>
        </w:rPr>
        <w:t xml:space="preserve"> </w:t>
      </w:r>
    </w:p>
    <w:p w:rsidR="00283F93" w:rsidP="00EB2E34" w14:paraId="12653DDC" w14:textId="77777777">
      <w:pPr>
        <w:ind w:left="720"/>
        <w:rPr>
          <w:rFonts w:ascii="Times New Roman" w:hAnsi="Times New Roman"/>
        </w:rPr>
      </w:pPr>
    </w:p>
    <w:p w:rsidR="002A086E" w:rsidRPr="00F034F7" w:rsidP="00EB2E34" w14:paraId="0F44BF7D" w14:textId="706CB055">
      <w:pPr>
        <w:ind w:left="720"/>
        <w:rPr>
          <w:rFonts w:ascii="Times New Roman" w:hAnsi="Times New Roman"/>
        </w:rPr>
      </w:pPr>
      <w:r w:rsidRPr="00F034F7">
        <w:rPr>
          <w:rFonts w:ascii="Times New Roman" w:hAnsi="Times New Roman"/>
        </w:rPr>
        <w:t>Section 701(f) of ERISA also provides special enrollment rights to individuals who have previously declined health coverage offered to them to enroll in health coverage upon the occurrence of specified events, including when they lose other coverage, when employer contributions to the cost of other coverage cease, and when they marry, have a child or adopt a child (“special enrollment events”).</w:t>
      </w:r>
      <w:r w:rsidR="00D2655D">
        <w:rPr>
          <w:rFonts w:ascii="Times New Roman" w:hAnsi="Times New Roman"/>
        </w:rPr>
        <w:t xml:space="preserve"> </w:t>
      </w:r>
      <w:r w:rsidRPr="00F034F7">
        <w:rPr>
          <w:rFonts w:ascii="Times New Roman" w:hAnsi="Times New Roman"/>
        </w:rPr>
        <w:t>Plans and issuers are required to provide for 30-day special enrollment periods following any of these events during which individuals who are eligible but not enrolled have a right to enroll without being denied enrollment or having to wait for a late enrollment opportunity (often called “open enrollment”).</w:t>
      </w:r>
      <w:r w:rsidR="00D2655D">
        <w:rPr>
          <w:rFonts w:ascii="Times New Roman" w:hAnsi="Times New Roman"/>
        </w:rPr>
        <w:t xml:space="preserve"> </w:t>
      </w:r>
    </w:p>
    <w:p w:rsidR="00FC78C7" w:rsidRPr="00F034F7" w:rsidP="00EB2E34" w14:paraId="5B72D69B" w14:textId="77777777">
      <w:pPr>
        <w:ind w:left="720"/>
        <w:rPr>
          <w:rFonts w:ascii="Times New Roman" w:hAnsi="Times New Roman"/>
        </w:rPr>
      </w:pPr>
    </w:p>
    <w:p w:rsidR="001B3145" w:rsidRPr="00F034F7" w:rsidP="00EB2E34" w14:paraId="5F9FDAFD" w14:textId="14B591E3">
      <w:pPr>
        <w:ind w:left="720"/>
        <w:rPr>
          <w:rFonts w:ascii="Times New Roman" w:hAnsi="Times New Roman"/>
        </w:rPr>
      </w:pPr>
      <w:r w:rsidRPr="00F034F7">
        <w:rPr>
          <w:rFonts w:ascii="Times New Roman" w:hAnsi="Times New Roman"/>
        </w:rPr>
        <w:t>T</w:t>
      </w:r>
      <w:r w:rsidRPr="00F034F7" w:rsidR="00FC78C7">
        <w:rPr>
          <w:rFonts w:ascii="Times New Roman" w:hAnsi="Times New Roman"/>
        </w:rPr>
        <w:t xml:space="preserve">he Departments </w:t>
      </w:r>
      <w:r w:rsidRPr="00F034F7" w:rsidR="007F5008">
        <w:rPr>
          <w:rFonts w:ascii="Times New Roman" w:hAnsi="Times New Roman"/>
        </w:rPr>
        <w:t>issued</w:t>
      </w:r>
      <w:r w:rsidRPr="00F034F7" w:rsidR="00FC78C7">
        <w:rPr>
          <w:rFonts w:ascii="Times New Roman" w:hAnsi="Times New Roman"/>
        </w:rPr>
        <w:t xml:space="preserve"> Interim Final Rules </w:t>
      </w:r>
      <w:r w:rsidRPr="00F034F7" w:rsidR="007F5008">
        <w:rPr>
          <w:rFonts w:ascii="Times New Roman" w:hAnsi="Times New Roman"/>
        </w:rPr>
        <w:t xml:space="preserve">for Health Insurance Portability for Group Health Plans on April 8, 1997 </w:t>
      </w:r>
      <w:r w:rsidRPr="00F034F7" w:rsidR="00FC78C7">
        <w:rPr>
          <w:rFonts w:ascii="Times New Roman" w:hAnsi="Times New Roman"/>
        </w:rPr>
        <w:t>(67 FR 16894)</w:t>
      </w:r>
      <w:r w:rsidRPr="00F034F7" w:rsidR="008E3B6B">
        <w:rPr>
          <w:rFonts w:ascii="Times New Roman" w:hAnsi="Times New Roman"/>
        </w:rPr>
        <w:t>,</w:t>
      </w:r>
      <w:r w:rsidRPr="00F034F7" w:rsidR="007F5008">
        <w:rPr>
          <w:rFonts w:ascii="Times New Roman" w:hAnsi="Times New Roman"/>
        </w:rPr>
        <w:t xml:space="preserve"> and Final Regulations for Health Coverage Portability for Group Health Plans and Group Health Insurance Issuers under HIPAA Titles </w:t>
      </w:r>
      <w:r w:rsidRPr="00F034F7" w:rsidR="002968A3">
        <w:rPr>
          <w:rFonts w:ascii="Times New Roman" w:hAnsi="Times New Roman"/>
        </w:rPr>
        <w:t>I &amp;</w:t>
      </w:r>
      <w:r w:rsidRPr="00F034F7" w:rsidR="007F5008">
        <w:rPr>
          <w:rFonts w:ascii="Times New Roman" w:hAnsi="Times New Roman"/>
        </w:rPr>
        <w:t xml:space="preserve"> IV on December 30, 2004 (69 FR 78720)</w:t>
      </w:r>
      <w:r w:rsidRPr="00F034F7" w:rsidR="00FC78C7">
        <w:rPr>
          <w:rFonts w:ascii="Times New Roman" w:hAnsi="Times New Roman"/>
        </w:rPr>
        <w:t>.</w:t>
      </w:r>
      <w:r w:rsidR="00D2655D">
        <w:rPr>
          <w:rFonts w:ascii="Times New Roman" w:hAnsi="Times New Roman"/>
        </w:rPr>
        <w:t xml:space="preserve"> </w:t>
      </w:r>
      <w:r w:rsidRPr="00F034F7" w:rsidR="00153575">
        <w:rPr>
          <w:rFonts w:ascii="Times New Roman" w:hAnsi="Times New Roman"/>
        </w:rPr>
        <w:t>T</w:t>
      </w:r>
      <w:r w:rsidRPr="00F034F7" w:rsidR="00F06F78">
        <w:rPr>
          <w:rFonts w:ascii="Times New Roman" w:hAnsi="Times New Roman"/>
        </w:rPr>
        <w:t xml:space="preserve">he </w:t>
      </w:r>
      <w:r w:rsidRPr="00F034F7" w:rsidR="00642C0B">
        <w:rPr>
          <w:rFonts w:ascii="Times New Roman" w:hAnsi="Times New Roman"/>
        </w:rPr>
        <w:t xml:space="preserve">implementing </w:t>
      </w:r>
      <w:r w:rsidRPr="00F034F7" w:rsidR="00F06F78">
        <w:rPr>
          <w:rFonts w:ascii="Times New Roman" w:hAnsi="Times New Roman"/>
        </w:rPr>
        <w:t>regulations require plans and their issuer</w:t>
      </w:r>
      <w:r w:rsidRPr="00F034F7" w:rsidR="00153575">
        <w:rPr>
          <w:rFonts w:ascii="Times New Roman" w:hAnsi="Times New Roman"/>
        </w:rPr>
        <w:t xml:space="preserve">s to provide all employees </w:t>
      </w:r>
      <w:r w:rsidRPr="00F034F7" w:rsidR="00F06F78">
        <w:rPr>
          <w:rFonts w:ascii="Times New Roman" w:hAnsi="Times New Roman"/>
        </w:rPr>
        <w:t xml:space="preserve">a notice describing </w:t>
      </w:r>
      <w:r w:rsidRPr="00F034F7" w:rsidR="00153575">
        <w:rPr>
          <w:rFonts w:ascii="Times New Roman" w:hAnsi="Times New Roman"/>
        </w:rPr>
        <w:t>the</w:t>
      </w:r>
      <w:r w:rsidRPr="00F034F7" w:rsidR="00CC1BE3">
        <w:rPr>
          <w:rFonts w:ascii="Times New Roman" w:hAnsi="Times New Roman"/>
        </w:rPr>
        <w:t xml:space="preserve"> </w:t>
      </w:r>
      <w:r w:rsidRPr="00F034F7" w:rsidR="00F06F78">
        <w:rPr>
          <w:rFonts w:ascii="Times New Roman" w:hAnsi="Times New Roman"/>
        </w:rPr>
        <w:t>special enrollment rights at or before the time</w:t>
      </w:r>
      <w:r w:rsidRPr="00F034F7" w:rsidR="001C63A7">
        <w:rPr>
          <w:rFonts w:ascii="Times New Roman" w:hAnsi="Times New Roman"/>
        </w:rPr>
        <w:t xml:space="preserve"> the employees</w:t>
      </w:r>
      <w:r w:rsidRPr="00F034F7" w:rsidR="00373271">
        <w:rPr>
          <w:rFonts w:ascii="Times New Roman" w:hAnsi="Times New Roman"/>
        </w:rPr>
        <w:t xml:space="preserve"> are</w:t>
      </w:r>
      <w:r w:rsidRPr="00F034F7" w:rsidR="00F06F78">
        <w:rPr>
          <w:rFonts w:ascii="Times New Roman" w:hAnsi="Times New Roman"/>
        </w:rPr>
        <w:t xml:space="preserve"> initially offered the opportunity to enroll </w:t>
      </w:r>
      <w:r w:rsidRPr="00F034F7" w:rsidR="00373271">
        <w:rPr>
          <w:rFonts w:ascii="Times New Roman" w:hAnsi="Times New Roman"/>
        </w:rPr>
        <w:t xml:space="preserve">in the </w:t>
      </w:r>
      <w:r w:rsidRPr="00F034F7" w:rsidR="00B82908">
        <w:rPr>
          <w:rFonts w:ascii="Times New Roman" w:hAnsi="Times New Roman"/>
        </w:rPr>
        <w:t xml:space="preserve">plan, </w:t>
      </w:r>
      <w:r w:rsidRPr="00F034F7" w:rsidR="00B82908">
        <w:rPr>
          <w:rFonts w:ascii="Times New Roman" w:hAnsi="Times New Roman"/>
        </w:rPr>
        <w:t>whether or not</w:t>
      </w:r>
      <w:r w:rsidRPr="00F034F7" w:rsidR="00B82908">
        <w:rPr>
          <w:rFonts w:ascii="Times New Roman" w:hAnsi="Times New Roman"/>
        </w:rPr>
        <w:t xml:space="preserve"> they</w:t>
      </w:r>
      <w:r w:rsidRPr="00F034F7" w:rsidR="00373271">
        <w:rPr>
          <w:rFonts w:ascii="Times New Roman" w:hAnsi="Times New Roman"/>
        </w:rPr>
        <w:t xml:space="preserve"> enroll</w:t>
      </w:r>
      <w:r w:rsidRPr="00F034F7" w:rsidR="00F06F78">
        <w:rPr>
          <w:rFonts w:ascii="Times New Roman" w:hAnsi="Times New Roman"/>
        </w:rPr>
        <w:t>.</w:t>
      </w:r>
      <w:r w:rsidR="00D2655D">
        <w:rPr>
          <w:rFonts w:ascii="Times New Roman" w:hAnsi="Times New Roman"/>
        </w:rPr>
        <w:t xml:space="preserve"> </w:t>
      </w:r>
      <w:r w:rsidRPr="00F034F7">
        <w:rPr>
          <w:rFonts w:ascii="Times New Roman" w:hAnsi="Times New Roman"/>
        </w:rPr>
        <w:t>The</w:t>
      </w:r>
      <w:r w:rsidRPr="00F034F7" w:rsidR="000270E2">
        <w:rPr>
          <w:rFonts w:ascii="Times New Roman" w:hAnsi="Times New Roman"/>
        </w:rPr>
        <w:t xml:space="preserve"> </w:t>
      </w:r>
      <w:r w:rsidRPr="00F034F7">
        <w:rPr>
          <w:rFonts w:ascii="Times New Roman" w:hAnsi="Times New Roman"/>
        </w:rPr>
        <w:t xml:space="preserve">Departments believe that the </w:t>
      </w:r>
      <w:r w:rsidRPr="00F034F7" w:rsidR="00153575">
        <w:rPr>
          <w:rFonts w:ascii="Times New Roman" w:hAnsi="Times New Roman"/>
        </w:rPr>
        <w:t xml:space="preserve">special enrollment notice </w:t>
      </w:r>
      <w:r w:rsidRPr="00F034F7" w:rsidR="000270E2">
        <w:rPr>
          <w:rFonts w:ascii="Times New Roman" w:hAnsi="Times New Roman"/>
        </w:rPr>
        <w:t xml:space="preserve">is necessary to </w:t>
      </w:r>
      <w:r w:rsidRPr="00F034F7" w:rsidR="00153575">
        <w:rPr>
          <w:rFonts w:ascii="Times New Roman" w:hAnsi="Times New Roman"/>
        </w:rPr>
        <w:t xml:space="preserve">ensure that </w:t>
      </w:r>
      <w:r w:rsidRPr="00F034F7" w:rsidR="000270E2">
        <w:rPr>
          <w:rFonts w:ascii="Times New Roman" w:hAnsi="Times New Roman"/>
        </w:rPr>
        <w:t xml:space="preserve">employees </w:t>
      </w:r>
      <w:r w:rsidRPr="00F034F7">
        <w:rPr>
          <w:rFonts w:ascii="Times New Roman" w:hAnsi="Times New Roman"/>
        </w:rPr>
        <w:t>understand</w:t>
      </w:r>
      <w:r w:rsidRPr="00F034F7" w:rsidR="000270E2">
        <w:rPr>
          <w:rFonts w:ascii="Times New Roman" w:hAnsi="Times New Roman"/>
        </w:rPr>
        <w:t xml:space="preserve"> their enrollment options</w:t>
      </w:r>
      <w:r w:rsidRPr="00F034F7" w:rsidR="00153575">
        <w:rPr>
          <w:rFonts w:ascii="Times New Roman" w:hAnsi="Times New Roman"/>
        </w:rPr>
        <w:t xml:space="preserve"> </w:t>
      </w:r>
      <w:r w:rsidRPr="00F034F7">
        <w:rPr>
          <w:rFonts w:ascii="Times New Roman" w:hAnsi="Times New Roman"/>
        </w:rPr>
        <w:t>and</w:t>
      </w:r>
      <w:r w:rsidRPr="00F034F7" w:rsidR="00153575">
        <w:rPr>
          <w:rFonts w:ascii="Times New Roman" w:hAnsi="Times New Roman"/>
        </w:rPr>
        <w:t xml:space="preserve"> will be able </w:t>
      </w:r>
      <w:r w:rsidRPr="00F034F7" w:rsidR="000270E2">
        <w:rPr>
          <w:rFonts w:ascii="Times New Roman" w:hAnsi="Times New Roman"/>
        </w:rPr>
        <w:t xml:space="preserve">to exercise their rights </w:t>
      </w:r>
      <w:r w:rsidRPr="00F034F7" w:rsidR="00153575">
        <w:rPr>
          <w:rFonts w:ascii="Times New Roman" w:hAnsi="Times New Roman"/>
        </w:rPr>
        <w:t xml:space="preserve">during </w:t>
      </w:r>
      <w:r w:rsidRPr="00F034F7">
        <w:rPr>
          <w:rFonts w:ascii="Times New Roman" w:hAnsi="Times New Roman"/>
        </w:rPr>
        <w:t>any</w:t>
      </w:r>
      <w:r w:rsidRPr="00F034F7" w:rsidR="00153575">
        <w:rPr>
          <w:rFonts w:ascii="Times New Roman" w:hAnsi="Times New Roman"/>
        </w:rPr>
        <w:t xml:space="preserve"> </w:t>
      </w:r>
      <w:r w:rsidRPr="00F034F7" w:rsidR="000270E2">
        <w:rPr>
          <w:rFonts w:ascii="Times New Roman" w:hAnsi="Times New Roman"/>
        </w:rPr>
        <w:t xml:space="preserve">30-day enrollment period </w:t>
      </w:r>
      <w:r w:rsidRPr="00F034F7" w:rsidR="00153575">
        <w:rPr>
          <w:rFonts w:ascii="Times New Roman" w:hAnsi="Times New Roman"/>
        </w:rPr>
        <w:t>follow</w:t>
      </w:r>
      <w:r w:rsidRPr="00F034F7">
        <w:rPr>
          <w:rFonts w:ascii="Times New Roman" w:hAnsi="Times New Roman"/>
        </w:rPr>
        <w:t>ing</w:t>
      </w:r>
      <w:r w:rsidRPr="00F034F7" w:rsidR="00153575">
        <w:rPr>
          <w:rFonts w:ascii="Times New Roman" w:hAnsi="Times New Roman"/>
        </w:rPr>
        <w:t xml:space="preserve"> </w:t>
      </w:r>
      <w:r w:rsidRPr="00F034F7" w:rsidR="000270E2">
        <w:rPr>
          <w:rFonts w:ascii="Times New Roman" w:hAnsi="Times New Roman"/>
        </w:rPr>
        <w:t>a special enrollment event.</w:t>
      </w:r>
      <w:r w:rsidR="00D2655D">
        <w:rPr>
          <w:rFonts w:ascii="Times New Roman" w:hAnsi="Times New Roman"/>
        </w:rPr>
        <w:t xml:space="preserve"> </w:t>
      </w:r>
      <w:r w:rsidRPr="00F034F7" w:rsidR="00373271">
        <w:rPr>
          <w:rFonts w:ascii="Times New Roman" w:hAnsi="Times New Roman"/>
        </w:rPr>
        <w:t xml:space="preserve">The final regulations </w:t>
      </w:r>
      <w:r w:rsidRPr="00F034F7" w:rsidR="001C63A7">
        <w:rPr>
          <w:rFonts w:ascii="Times New Roman" w:hAnsi="Times New Roman"/>
        </w:rPr>
        <w:t>provide</w:t>
      </w:r>
      <w:r w:rsidRPr="00F034F7" w:rsidR="00373271">
        <w:rPr>
          <w:rFonts w:ascii="Times New Roman" w:hAnsi="Times New Roman"/>
        </w:rPr>
        <w:t xml:space="preserve"> detailed sample </w:t>
      </w:r>
      <w:r w:rsidRPr="00F034F7" w:rsidR="00373271">
        <w:rPr>
          <w:rFonts w:ascii="Times New Roman" w:hAnsi="Times New Roman"/>
        </w:rPr>
        <w:t>language describing special enrollment rights</w:t>
      </w:r>
      <w:r w:rsidRPr="00F034F7" w:rsidR="00153575">
        <w:rPr>
          <w:rFonts w:ascii="Times New Roman" w:hAnsi="Times New Roman"/>
        </w:rPr>
        <w:t xml:space="preserve"> </w:t>
      </w:r>
      <w:r w:rsidRPr="00F034F7" w:rsidR="001C63A7">
        <w:rPr>
          <w:rFonts w:ascii="Times New Roman" w:hAnsi="Times New Roman"/>
        </w:rPr>
        <w:t>for use in</w:t>
      </w:r>
      <w:r w:rsidRPr="00F034F7" w:rsidR="00153575">
        <w:rPr>
          <w:rFonts w:ascii="Times New Roman" w:hAnsi="Times New Roman"/>
        </w:rPr>
        <w:t xml:space="preserve"> </w:t>
      </w:r>
      <w:r w:rsidRPr="00F034F7">
        <w:rPr>
          <w:rFonts w:ascii="Times New Roman" w:hAnsi="Times New Roman"/>
        </w:rPr>
        <w:t xml:space="preserve">the </w:t>
      </w:r>
      <w:r w:rsidRPr="00F034F7" w:rsidR="00153575">
        <w:rPr>
          <w:rFonts w:ascii="Times New Roman" w:hAnsi="Times New Roman"/>
        </w:rPr>
        <w:t>notice</w:t>
      </w:r>
      <w:r w:rsidRPr="00F034F7" w:rsidR="00373271">
        <w:rPr>
          <w:rFonts w:ascii="Times New Roman" w:hAnsi="Times New Roman"/>
        </w:rPr>
        <w:t>.</w:t>
      </w:r>
      <w:r w:rsidR="00D2655D">
        <w:rPr>
          <w:rFonts w:ascii="Times New Roman" w:hAnsi="Times New Roman"/>
        </w:rPr>
        <w:t xml:space="preserve"> </w:t>
      </w:r>
      <w:r w:rsidRPr="00F034F7" w:rsidR="00373271">
        <w:rPr>
          <w:rFonts w:ascii="Times New Roman" w:hAnsi="Times New Roman"/>
        </w:rPr>
        <w:t>Th</w:t>
      </w:r>
      <w:r w:rsidRPr="00F034F7" w:rsidR="00153575">
        <w:rPr>
          <w:rFonts w:ascii="Times New Roman" w:hAnsi="Times New Roman"/>
        </w:rPr>
        <w:t xml:space="preserve">e </w:t>
      </w:r>
      <w:r w:rsidRPr="00F034F7" w:rsidR="001C63A7">
        <w:rPr>
          <w:rFonts w:ascii="Times New Roman" w:hAnsi="Times New Roman"/>
        </w:rPr>
        <w:t>sample language</w:t>
      </w:r>
      <w:r w:rsidRPr="00F034F7" w:rsidR="00373271">
        <w:rPr>
          <w:rFonts w:ascii="Times New Roman" w:hAnsi="Times New Roman"/>
        </w:rPr>
        <w:t xml:space="preserve"> is expected to </w:t>
      </w:r>
      <w:r w:rsidRPr="00F034F7" w:rsidR="00153575">
        <w:rPr>
          <w:rFonts w:ascii="Times New Roman" w:hAnsi="Times New Roman"/>
        </w:rPr>
        <w:t>reduce</w:t>
      </w:r>
      <w:r w:rsidRPr="00F034F7" w:rsidR="00373271">
        <w:rPr>
          <w:rFonts w:ascii="Times New Roman" w:hAnsi="Times New Roman"/>
        </w:rPr>
        <w:t xml:space="preserve"> costs for group health plans</w:t>
      </w:r>
      <w:r w:rsidRPr="00F034F7" w:rsidR="00091BDA">
        <w:rPr>
          <w:rFonts w:ascii="Times New Roman" w:hAnsi="Times New Roman"/>
        </w:rPr>
        <w:t xml:space="preserve"> </w:t>
      </w:r>
      <w:r w:rsidRPr="00F034F7" w:rsidR="006101B8">
        <w:rPr>
          <w:rFonts w:ascii="Times New Roman" w:hAnsi="Times New Roman"/>
        </w:rPr>
        <w:t xml:space="preserve">since it </w:t>
      </w:r>
      <w:r w:rsidRPr="00F034F7" w:rsidR="00091BDA">
        <w:rPr>
          <w:rFonts w:ascii="Times New Roman" w:hAnsi="Times New Roman"/>
        </w:rPr>
        <w:t>eliminates the need for plans to develop their own</w:t>
      </w:r>
      <w:r w:rsidRPr="00F034F7" w:rsidR="006101B8">
        <w:rPr>
          <w:rFonts w:ascii="Times New Roman" w:hAnsi="Times New Roman"/>
        </w:rPr>
        <w:t xml:space="preserve"> </w:t>
      </w:r>
      <w:r w:rsidRPr="00F034F7" w:rsidR="001C63A7">
        <w:rPr>
          <w:rFonts w:ascii="Times New Roman" w:hAnsi="Times New Roman"/>
        </w:rPr>
        <w:t>language</w:t>
      </w:r>
      <w:r w:rsidRPr="00F034F7" w:rsidR="00373271">
        <w:rPr>
          <w:rFonts w:ascii="Times New Roman" w:hAnsi="Times New Roman"/>
        </w:rPr>
        <w:t>.</w:t>
      </w:r>
      <w:r w:rsidR="00D2655D">
        <w:rPr>
          <w:rFonts w:ascii="Times New Roman" w:hAnsi="Times New Roman"/>
        </w:rPr>
        <w:t xml:space="preserve"> </w:t>
      </w:r>
    </w:p>
    <w:p w:rsidR="001C63A7" w:rsidRPr="00F034F7" w:rsidP="00EB2E34" w14:paraId="12A0FE38" w14:textId="77777777">
      <w:pPr>
        <w:ind w:left="720"/>
        <w:rPr>
          <w:rFonts w:ascii="Times New Roman" w:hAnsi="Times New Roman"/>
        </w:rPr>
      </w:pPr>
    </w:p>
    <w:p w:rsidR="008875B1" w:rsidRPr="00F034F7" w:rsidP="00EB2E34" w14:paraId="454569CF" w14:textId="307EAA26">
      <w:pPr>
        <w:ind w:left="720"/>
        <w:rPr>
          <w:rFonts w:ascii="Times New Roman" w:hAnsi="Times New Roman"/>
        </w:rPr>
      </w:pPr>
      <w:r w:rsidRPr="00F034F7">
        <w:rPr>
          <w:rFonts w:ascii="Times New Roman" w:hAnsi="Times New Roman"/>
        </w:rPr>
        <w:t xml:space="preserve">Under the HIPAA provisions, a group health plan may require, as a pre-condition to having a special enrollment right to enroll in group health coverage after losing eligibility under other coverage, that an employee </w:t>
      </w:r>
      <w:r w:rsidRPr="00F034F7" w:rsidR="00346540">
        <w:rPr>
          <w:rFonts w:ascii="Times New Roman" w:hAnsi="Times New Roman"/>
        </w:rPr>
        <w:t xml:space="preserve">or beneficiary who declines coverage </w:t>
      </w:r>
      <w:r w:rsidRPr="00F034F7">
        <w:rPr>
          <w:rFonts w:ascii="Times New Roman" w:hAnsi="Times New Roman"/>
        </w:rPr>
        <w:t xml:space="preserve">provide the plan a written statement declaring whether he or she is declining coverage </w:t>
      </w:r>
      <w:r w:rsidRPr="00F034F7" w:rsidR="00346540">
        <w:rPr>
          <w:rFonts w:ascii="Times New Roman" w:hAnsi="Times New Roman"/>
        </w:rPr>
        <w:t>because of h</w:t>
      </w:r>
      <w:r w:rsidRPr="00F034F7">
        <w:rPr>
          <w:rFonts w:ascii="Times New Roman" w:hAnsi="Times New Roman"/>
        </w:rPr>
        <w:t>aving other coverage.</w:t>
      </w:r>
      <w:r w:rsidR="00D2655D">
        <w:rPr>
          <w:rFonts w:ascii="Times New Roman" w:hAnsi="Times New Roman"/>
        </w:rPr>
        <w:t xml:space="preserve"> </w:t>
      </w:r>
      <w:r w:rsidRPr="00F034F7" w:rsidR="00346540">
        <w:rPr>
          <w:rFonts w:ascii="Times New Roman" w:hAnsi="Times New Roman"/>
        </w:rPr>
        <w:t xml:space="preserve">Failure to provide such a written statement can </w:t>
      </w:r>
      <w:r w:rsidR="003215EF">
        <w:rPr>
          <w:rFonts w:ascii="Times New Roman" w:hAnsi="Times New Roman"/>
        </w:rPr>
        <w:t xml:space="preserve">result in the </w:t>
      </w:r>
      <w:r w:rsidRPr="00F034F7" w:rsidR="00346540">
        <w:rPr>
          <w:rFonts w:ascii="Times New Roman" w:hAnsi="Times New Roman"/>
        </w:rPr>
        <w:t>eliminati</w:t>
      </w:r>
      <w:r w:rsidR="003215EF">
        <w:rPr>
          <w:rFonts w:ascii="Times New Roman" w:hAnsi="Times New Roman"/>
        </w:rPr>
        <w:t>on</w:t>
      </w:r>
      <w:r w:rsidR="000B1938">
        <w:rPr>
          <w:rFonts w:ascii="Times New Roman" w:hAnsi="Times New Roman"/>
        </w:rPr>
        <w:t xml:space="preserve"> </w:t>
      </w:r>
      <w:r w:rsidR="003215EF">
        <w:rPr>
          <w:rFonts w:ascii="Times New Roman" w:hAnsi="Times New Roman"/>
        </w:rPr>
        <w:t xml:space="preserve">of </w:t>
      </w:r>
      <w:r w:rsidRPr="00F034F7" w:rsidR="00346540">
        <w:rPr>
          <w:rFonts w:ascii="Times New Roman" w:hAnsi="Times New Roman"/>
        </w:rPr>
        <w:t>the individual’s right to special enrollment upon losing eligibility for such other coverage.</w:t>
      </w:r>
      <w:r w:rsidR="00D2655D">
        <w:rPr>
          <w:rFonts w:ascii="Times New Roman" w:hAnsi="Times New Roman"/>
        </w:rPr>
        <w:t xml:space="preserve"> </w:t>
      </w:r>
      <w:r w:rsidRPr="00F034F7" w:rsidR="009E044F">
        <w:rPr>
          <w:rFonts w:ascii="Times New Roman" w:hAnsi="Times New Roman"/>
        </w:rPr>
        <w:t xml:space="preserve">The </w:t>
      </w:r>
      <w:r w:rsidRPr="00F034F7" w:rsidR="001C63A7">
        <w:rPr>
          <w:rFonts w:ascii="Times New Roman" w:hAnsi="Times New Roman"/>
        </w:rPr>
        <w:t xml:space="preserve">regulations </w:t>
      </w:r>
      <w:r w:rsidRPr="00F034F7" w:rsidR="00346540">
        <w:rPr>
          <w:rFonts w:ascii="Times New Roman" w:hAnsi="Times New Roman"/>
        </w:rPr>
        <w:t xml:space="preserve">further </w:t>
      </w:r>
      <w:r w:rsidRPr="00F034F7" w:rsidR="001C63A7">
        <w:rPr>
          <w:rFonts w:ascii="Times New Roman" w:hAnsi="Times New Roman"/>
        </w:rPr>
        <w:t>establish that</w:t>
      </w:r>
      <w:r w:rsidRPr="00F034F7" w:rsidR="00346540">
        <w:rPr>
          <w:rFonts w:ascii="Times New Roman" w:hAnsi="Times New Roman"/>
        </w:rPr>
        <w:t xml:space="preserve"> the right to special enroll</w:t>
      </w:r>
      <w:r w:rsidR="00FE13AF">
        <w:rPr>
          <w:rFonts w:ascii="Times New Roman" w:hAnsi="Times New Roman"/>
        </w:rPr>
        <w:t>ment</w:t>
      </w:r>
      <w:r w:rsidRPr="00F034F7" w:rsidR="00346540">
        <w:rPr>
          <w:rFonts w:ascii="Times New Roman" w:hAnsi="Times New Roman"/>
        </w:rPr>
        <w:t xml:space="preserve"> can be denied in such circumstances only if </w:t>
      </w:r>
      <w:r w:rsidRPr="00F034F7" w:rsidR="00642C0B">
        <w:rPr>
          <w:rFonts w:ascii="Times New Roman" w:hAnsi="Times New Roman"/>
        </w:rPr>
        <w:t xml:space="preserve">employees </w:t>
      </w:r>
      <w:r w:rsidRPr="00F034F7" w:rsidR="00F543E2">
        <w:rPr>
          <w:rFonts w:ascii="Times New Roman" w:hAnsi="Times New Roman"/>
        </w:rPr>
        <w:t>are given notice of the requirement</w:t>
      </w:r>
      <w:r w:rsidRPr="00F034F7" w:rsidR="00346540">
        <w:rPr>
          <w:rFonts w:ascii="Times New Roman" w:hAnsi="Times New Roman"/>
        </w:rPr>
        <w:t xml:space="preserve"> for a written statement and </w:t>
      </w:r>
      <w:r w:rsidRPr="00F034F7" w:rsidR="00150B4A">
        <w:rPr>
          <w:rFonts w:ascii="Times New Roman" w:hAnsi="Times New Roman"/>
        </w:rPr>
        <w:t>the consequences of failing to provide the</w:t>
      </w:r>
      <w:r w:rsidRPr="00F034F7" w:rsidR="00642C0B">
        <w:rPr>
          <w:rFonts w:ascii="Times New Roman" w:hAnsi="Times New Roman"/>
        </w:rPr>
        <w:t xml:space="preserve"> written</w:t>
      </w:r>
      <w:r w:rsidRPr="00F034F7" w:rsidR="00150B4A">
        <w:rPr>
          <w:rFonts w:ascii="Times New Roman" w:hAnsi="Times New Roman"/>
        </w:rPr>
        <w:t xml:space="preserve"> statement</w:t>
      </w:r>
      <w:r w:rsidRPr="00F034F7" w:rsidR="00346540">
        <w:rPr>
          <w:rFonts w:ascii="Times New Roman" w:hAnsi="Times New Roman"/>
        </w:rPr>
        <w:t xml:space="preserve"> </w:t>
      </w:r>
      <w:r w:rsidRPr="00F034F7" w:rsidR="001B3145">
        <w:rPr>
          <w:rFonts w:ascii="Times New Roman" w:hAnsi="Times New Roman"/>
        </w:rPr>
        <w:t>at the time an employee declines enrollment.</w:t>
      </w:r>
      <w:r w:rsidR="00D2655D">
        <w:rPr>
          <w:rFonts w:ascii="Times New Roman" w:hAnsi="Times New Roman"/>
        </w:rPr>
        <w:t xml:space="preserve"> </w:t>
      </w:r>
      <w:r w:rsidRPr="00F034F7" w:rsidR="001B3145">
        <w:rPr>
          <w:rFonts w:ascii="Times New Roman" w:hAnsi="Times New Roman"/>
        </w:rPr>
        <w:t>As part of the special enrollment notice, it must be given at or before the time the employee is initially offered the opportunity to enroll.</w:t>
      </w:r>
      <w:r w:rsidR="00D2655D">
        <w:rPr>
          <w:rFonts w:ascii="Times New Roman" w:hAnsi="Times New Roman"/>
        </w:rPr>
        <w:t xml:space="preserve"> </w:t>
      </w:r>
    </w:p>
    <w:p w:rsidR="008875B1" w:rsidRPr="00F034F7" w:rsidP="00EB2E34" w14:paraId="12F8FE46" w14:textId="77777777">
      <w:pPr>
        <w:ind w:left="720"/>
        <w:rPr>
          <w:rFonts w:ascii="Times New Roman" w:hAnsi="Times New Roman"/>
        </w:rPr>
      </w:pPr>
    </w:p>
    <w:p w:rsidR="00FC78C7" w:rsidRPr="00F034F7" w:rsidP="00EB2E34" w14:paraId="753F6F43" w14:textId="657A6A9E">
      <w:pPr>
        <w:ind w:left="720"/>
        <w:rPr>
          <w:rFonts w:ascii="Times New Roman" w:hAnsi="Times New Roman"/>
        </w:rPr>
      </w:pPr>
      <w:r w:rsidRPr="00F034F7">
        <w:rPr>
          <w:rFonts w:ascii="Times New Roman" w:hAnsi="Times New Roman"/>
        </w:rPr>
        <w:t xml:space="preserve">This </w:t>
      </w:r>
      <w:r w:rsidRPr="00F034F7" w:rsidR="00373271">
        <w:rPr>
          <w:rFonts w:ascii="Times New Roman" w:hAnsi="Times New Roman"/>
        </w:rPr>
        <w:t>information collection request (</w:t>
      </w:r>
      <w:r w:rsidRPr="00F034F7">
        <w:rPr>
          <w:rFonts w:ascii="Times New Roman" w:hAnsi="Times New Roman"/>
        </w:rPr>
        <w:t>ICR</w:t>
      </w:r>
      <w:r w:rsidRPr="00F034F7" w:rsidR="00373271">
        <w:rPr>
          <w:rFonts w:ascii="Times New Roman" w:hAnsi="Times New Roman"/>
        </w:rPr>
        <w:t>)</w:t>
      </w:r>
      <w:r w:rsidRPr="00F034F7">
        <w:rPr>
          <w:rFonts w:ascii="Times New Roman" w:hAnsi="Times New Roman"/>
        </w:rPr>
        <w:t xml:space="preserve"> </w:t>
      </w:r>
      <w:r w:rsidRPr="00F034F7" w:rsidR="001C63A7">
        <w:rPr>
          <w:rFonts w:ascii="Times New Roman" w:hAnsi="Times New Roman"/>
        </w:rPr>
        <w:t xml:space="preserve">covers the </w:t>
      </w:r>
      <w:r w:rsidRPr="00F034F7" w:rsidR="00373271">
        <w:rPr>
          <w:rFonts w:ascii="Times New Roman" w:hAnsi="Times New Roman"/>
        </w:rPr>
        <w:t xml:space="preserve">requirement </w:t>
      </w:r>
      <w:r w:rsidRPr="00F034F7" w:rsidR="001C63A7">
        <w:rPr>
          <w:rFonts w:ascii="Times New Roman" w:hAnsi="Times New Roman"/>
        </w:rPr>
        <w:t xml:space="preserve">in the implementing regulations under section 701(f) </w:t>
      </w:r>
      <w:r w:rsidRPr="00F034F7" w:rsidR="00373271">
        <w:rPr>
          <w:rFonts w:ascii="Times New Roman" w:hAnsi="Times New Roman"/>
        </w:rPr>
        <w:t>for a special enrollment notice</w:t>
      </w:r>
      <w:r w:rsidRPr="00F034F7">
        <w:rPr>
          <w:rFonts w:ascii="Times New Roman" w:hAnsi="Times New Roman"/>
        </w:rPr>
        <w:t>.</w:t>
      </w:r>
      <w:r w:rsidR="00D2655D">
        <w:rPr>
          <w:rFonts w:ascii="Times New Roman" w:hAnsi="Times New Roman"/>
        </w:rPr>
        <w:t xml:space="preserve"> </w:t>
      </w:r>
    </w:p>
    <w:p w:rsidR="00FC78C7" w:rsidRPr="00F034F7" w:rsidP="00EB2E34" w14:paraId="1D9C4126" w14:textId="77777777">
      <w:pPr>
        <w:ind w:left="720"/>
        <w:rPr>
          <w:rFonts w:ascii="Times New Roman" w:hAnsi="Times New Roman"/>
        </w:rPr>
      </w:pPr>
    </w:p>
    <w:p w:rsidR="00FC78C7" w:rsidRPr="00D81712" w:rsidP="00B51885" w14:paraId="0E7C0030" w14:textId="094DDD9C">
      <w:pPr>
        <w:pStyle w:val="Quick1"/>
        <w:rPr>
          <w:b/>
          <w:bCs/>
          <w:i w:val="0"/>
          <w:iCs/>
        </w:rPr>
      </w:pPr>
      <w:r w:rsidRPr="00D81712">
        <w:rPr>
          <w:b/>
          <w:bCs/>
          <w:i w:val="0"/>
          <w:iCs/>
        </w:rPr>
        <w:t>Indicate how, by whom, and for what purpose the information is to be used.</w:t>
      </w:r>
      <w:r w:rsidR="00D2655D">
        <w:rPr>
          <w:b/>
          <w:bCs/>
          <w:i w:val="0"/>
          <w:iCs/>
        </w:rPr>
        <w:t xml:space="preserve"> </w:t>
      </w:r>
      <w:r w:rsidRPr="00D81712">
        <w:rPr>
          <w:b/>
          <w:bCs/>
          <w:i w:val="0"/>
          <w:iCs/>
        </w:rPr>
        <w:t>Except for a new collection, indicate the actual use the agency has made of the information received from the current collection.</w:t>
      </w:r>
    </w:p>
    <w:p w:rsidR="00FC78C7" w:rsidRPr="00F034F7" w:rsidP="00B51885" w14:paraId="461FD973" w14:textId="77777777">
      <w:pPr>
        <w:ind w:left="720"/>
        <w:rPr>
          <w:rFonts w:ascii="Times New Roman" w:hAnsi="Times New Roman"/>
        </w:rPr>
      </w:pPr>
    </w:p>
    <w:p w:rsidR="00FC78C7" w:rsidRPr="00F034F7" w:rsidP="00B51885" w14:paraId="4EE5EA77" w14:textId="64B7B4CA">
      <w:pPr>
        <w:ind w:left="720"/>
        <w:rPr>
          <w:rFonts w:ascii="Times New Roman" w:hAnsi="Times New Roman"/>
        </w:rPr>
      </w:pPr>
      <w:r w:rsidRPr="00F034F7">
        <w:rPr>
          <w:rFonts w:ascii="Times New Roman" w:hAnsi="Times New Roman"/>
        </w:rPr>
        <w:t xml:space="preserve">This </w:t>
      </w:r>
      <w:r w:rsidRPr="00F034F7" w:rsidR="00346540">
        <w:rPr>
          <w:rFonts w:ascii="Times New Roman" w:hAnsi="Times New Roman"/>
        </w:rPr>
        <w:t xml:space="preserve">information </w:t>
      </w:r>
      <w:r w:rsidRPr="00F034F7">
        <w:rPr>
          <w:rFonts w:ascii="Times New Roman" w:hAnsi="Times New Roman"/>
        </w:rPr>
        <w:t xml:space="preserve">collection implements the disclosure obligation of a plan to </w:t>
      </w:r>
      <w:r w:rsidRPr="00F034F7" w:rsidR="002968A3">
        <w:rPr>
          <w:rFonts w:ascii="Times New Roman" w:hAnsi="Times New Roman"/>
        </w:rPr>
        <w:t>inform all</w:t>
      </w:r>
      <w:r w:rsidRPr="00F034F7" w:rsidR="003A7DE5">
        <w:rPr>
          <w:rFonts w:ascii="Times New Roman" w:hAnsi="Times New Roman"/>
        </w:rPr>
        <w:t xml:space="preserve"> employees, </w:t>
      </w:r>
      <w:r w:rsidRPr="00F034F7">
        <w:rPr>
          <w:rFonts w:ascii="Times New Roman" w:hAnsi="Times New Roman"/>
        </w:rPr>
        <w:t xml:space="preserve">at </w:t>
      </w:r>
      <w:r w:rsidRPr="00F034F7" w:rsidR="003A7DE5">
        <w:rPr>
          <w:rFonts w:ascii="Times New Roman" w:hAnsi="Times New Roman"/>
        </w:rPr>
        <w:t>or before the time they are initially offered the opportunity to enroll in the plan</w:t>
      </w:r>
      <w:r w:rsidRPr="00F034F7" w:rsidR="002968A3">
        <w:rPr>
          <w:rFonts w:ascii="Times New Roman" w:hAnsi="Times New Roman"/>
        </w:rPr>
        <w:t>, of</w:t>
      </w:r>
      <w:r w:rsidRPr="00F034F7">
        <w:rPr>
          <w:rFonts w:ascii="Times New Roman" w:hAnsi="Times New Roman"/>
        </w:rPr>
        <w:t xml:space="preserve"> the plan’s special enrollment rules.</w:t>
      </w:r>
      <w:r w:rsidR="00D2655D">
        <w:rPr>
          <w:rFonts w:ascii="Times New Roman" w:hAnsi="Times New Roman"/>
        </w:rPr>
        <w:t xml:space="preserve"> </w:t>
      </w:r>
      <w:r w:rsidRPr="00F034F7" w:rsidR="003A7DE5">
        <w:rPr>
          <w:rFonts w:ascii="Times New Roman" w:hAnsi="Times New Roman"/>
        </w:rPr>
        <w:t xml:space="preserve">The regulations require plans and their issuers to provide all employees with a notice describing </w:t>
      </w:r>
      <w:r w:rsidRPr="00F034F7" w:rsidR="00CC1BE3">
        <w:rPr>
          <w:rFonts w:ascii="Times New Roman" w:hAnsi="Times New Roman"/>
        </w:rPr>
        <w:t xml:space="preserve">their </w:t>
      </w:r>
      <w:r w:rsidRPr="00F034F7" w:rsidR="003A7DE5">
        <w:rPr>
          <w:rFonts w:ascii="Times New Roman" w:hAnsi="Times New Roman"/>
        </w:rPr>
        <w:t xml:space="preserve">special enrollment rights, </w:t>
      </w:r>
      <w:r w:rsidRPr="00F034F7" w:rsidR="003A7DE5">
        <w:rPr>
          <w:rFonts w:ascii="Times New Roman" w:hAnsi="Times New Roman"/>
        </w:rPr>
        <w:t>whether or not</w:t>
      </w:r>
      <w:r w:rsidRPr="00F034F7" w:rsidR="003A7DE5">
        <w:rPr>
          <w:rFonts w:ascii="Times New Roman" w:hAnsi="Times New Roman"/>
        </w:rPr>
        <w:t xml:space="preserve"> they enroll.</w:t>
      </w:r>
      <w:r w:rsidR="00D2655D">
        <w:rPr>
          <w:rFonts w:ascii="Times New Roman" w:hAnsi="Times New Roman"/>
        </w:rPr>
        <w:t xml:space="preserve"> </w:t>
      </w:r>
      <w:r w:rsidRPr="00F034F7" w:rsidR="003A7DE5">
        <w:rPr>
          <w:rFonts w:ascii="Times New Roman" w:hAnsi="Times New Roman"/>
        </w:rPr>
        <w:t xml:space="preserve">This provision is necessary to make sure that </w:t>
      </w:r>
      <w:r w:rsidRPr="00F034F7" w:rsidR="00346540">
        <w:rPr>
          <w:rFonts w:ascii="Times New Roman" w:hAnsi="Times New Roman"/>
        </w:rPr>
        <w:t>employees</w:t>
      </w:r>
      <w:r w:rsidRPr="00F034F7" w:rsidR="003A7DE5">
        <w:rPr>
          <w:rFonts w:ascii="Times New Roman" w:hAnsi="Times New Roman"/>
        </w:rPr>
        <w:t xml:space="preserve"> are informed </w:t>
      </w:r>
      <w:r w:rsidRPr="00F034F7" w:rsidR="00346540">
        <w:rPr>
          <w:rFonts w:ascii="Times New Roman" w:hAnsi="Times New Roman"/>
        </w:rPr>
        <w:t xml:space="preserve">of their special enrollment rights </w:t>
      </w:r>
      <w:r w:rsidRPr="00F034F7" w:rsidR="00F05D9B">
        <w:rPr>
          <w:rFonts w:ascii="Times New Roman" w:hAnsi="Times New Roman"/>
        </w:rPr>
        <w:t xml:space="preserve">before they take any action that may affect those rights, </w:t>
      </w:r>
      <w:r w:rsidRPr="00F034F7" w:rsidR="00346540">
        <w:rPr>
          <w:rFonts w:ascii="Times New Roman" w:hAnsi="Times New Roman"/>
        </w:rPr>
        <w:t xml:space="preserve">so that they </w:t>
      </w:r>
      <w:r w:rsidRPr="00F034F7" w:rsidR="00F05D9B">
        <w:rPr>
          <w:rFonts w:ascii="Times New Roman" w:hAnsi="Times New Roman"/>
        </w:rPr>
        <w:t xml:space="preserve">will be aware of and able to </w:t>
      </w:r>
      <w:r w:rsidRPr="00F034F7" w:rsidR="003A7DE5">
        <w:rPr>
          <w:rFonts w:ascii="Times New Roman" w:hAnsi="Times New Roman"/>
        </w:rPr>
        <w:t xml:space="preserve">exercise their rights within </w:t>
      </w:r>
      <w:r w:rsidRPr="00F034F7" w:rsidR="00346540">
        <w:rPr>
          <w:rFonts w:ascii="Times New Roman" w:hAnsi="Times New Roman"/>
        </w:rPr>
        <w:t>any</w:t>
      </w:r>
      <w:r w:rsidRPr="00F034F7" w:rsidR="003A7DE5">
        <w:rPr>
          <w:rFonts w:ascii="Times New Roman" w:hAnsi="Times New Roman"/>
        </w:rPr>
        <w:t xml:space="preserve"> 30-day enrollment period following a special enrollment event.</w:t>
      </w:r>
      <w:r w:rsidR="00D2655D">
        <w:rPr>
          <w:rFonts w:ascii="Times New Roman" w:hAnsi="Times New Roman"/>
        </w:rPr>
        <w:t xml:space="preserve"> </w:t>
      </w:r>
      <w:r w:rsidRPr="00F034F7" w:rsidR="00346540">
        <w:rPr>
          <w:rFonts w:ascii="Times New Roman" w:hAnsi="Times New Roman"/>
        </w:rPr>
        <w:t>Absent the notice requirement, there is a risk that employees will not know in advance that they have special enrollment rights and will not be able to take timely action to enroll in group health coverage following a special enrollment event.</w:t>
      </w:r>
    </w:p>
    <w:p w:rsidR="00346540" w:rsidRPr="00F034F7" w:rsidP="00B51885" w14:paraId="6560C154" w14:textId="77777777">
      <w:pPr>
        <w:ind w:left="720"/>
        <w:rPr>
          <w:rFonts w:ascii="Times New Roman" w:hAnsi="Times New Roman"/>
        </w:rPr>
      </w:pPr>
    </w:p>
    <w:p w:rsidR="00957422" w:rsidRPr="00D81712" w:rsidP="00F034F7" w14:paraId="4BE59526" w14:textId="656ABA79">
      <w:pPr>
        <w:pStyle w:val="Quick1"/>
        <w:rPr>
          <w:b/>
          <w:bCs/>
          <w:i w:val="0"/>
          <w:iCs/>
        </w:rPr>
      </w:pPr>
      <w:r w:rsidRPr="00D81712">
        <w:rPr>
          <w:b/>
          <w:bCs/>
          <w:i w:val="0"/>
          <w:i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D2655D">
        <w:rPr>
          <w:b/>
          <w:bCs/>
          <w:i w:val="0"/>
          <w:iCs/>
        </w:rPr>
        <w:t xml:space="preserve"> </w:t>
      </w:r>
      <w:r w:rsidRPr="00D81712">
        <w:rPr>
          <w:b/>
          <w:bCs/>
          <w:i w:val="0"/>
          <w:iCs/>
        </w:rPr>
        <w:t>Also describe any consideration for using information technology to reduce burden.</w:t>
      </w:r>
    </w:p>
    <w:p w:rsidR="00FC78C7" w:rsidRPr="00F034F7" w:rsidP="00F034F7" w14:paraId="4197A048" w14:textId="77777777">
      <w:pPr>
        <w:ind w:left="720"/>
        <w:rPr>
          <w:rFonts w:ascii="Times New Roman" w:hAnsi="Times New Roman"/>
        </w:rPr>
      </w:pPr>
    </w:p>
    <w:p w:rsidR="000409D1" w:rsidRPr="00F034F7" w:rsidP="00F034F7" w14:paraId="70ECBCF3" w14:textId="7010D1F5">
      <w:pPr>
        <w:ind w:left="720"/>
        <w:rPr>
          <w:rFonts w:ascii="Times New Roman" w:hAnsi="Times New Roman"/>
        </w:rPr>
      </w:pPr>
      <w:r w:rsidRPr="00F034F7">
        <w:rPr>
          <w:rFonts w:ascii="Times New Roman" w:hAnsi="Times New Roman"/>
        </w:rPr>
        <w:t>29 C.F.R. § 2520.104b-1(b) of ERISA</w:t>
      </w:r>
      <w:r w:rsidRPr="00F034F7" w:rsidR="0055143D">
        <w:rPr>
          <w:rFonts w:ascii="Times New Roman" w:hAnsi="Times New Roman"/>
        </w:rPr>
        <w:t xml:space="preserve"> states:</w:t>
      </w:r>
      <w:r w:rsidRPr="00F034F7">
        <w:rPr>
          <w:rFonts w:ascii="Times New Roman" w:hAnsi="Times New Roman"/>
        </w:rPr>
        <w:t xml:space="preserve"> “where certain material, including reports, statements, and documents, is required under Part I of the Act and this part to be furnished either by direct operation of law or an individual request, the plan administrator shall use measures reasonably calculated to ensure actual receipt of the material by plan participants and beneficiaries.”</w:t>
      </w:r>
      <w:r w:rsidR="00D2655D">
        <w:rPr>
          <w:rFonts w:ascii="Times New Roman" w:hAnsi="Times New Roman"/>
        </w:rPr>
        <w:t xml:space="preserve"> </w:t>
      </w:r>
      <w:r w:rsidRPr="00F034F7">
        <w:rPr>
          <w:rFonts w:ascii="Times New Roman" w:hAnsi="Times New Roman"/>
        </w:rPr>
        <w:t xml:space="preserve">Section 2520.104b-1(c) establishes the </w:t>
      </w:r>
      <w:r w:rsidRPr="00F034F7">
        <w:rPr>
          <w:rFonts w:ascii="Times New Roman" w:hAnsi="Times New Roman"/>
        </w:rPr>
        <w:t>manner in which</w:t>
      </w:r>
      <w:r w:rsidRPr="00F034F7">
        <w:rPr>
          <w:rFonts w:ascii="Times New Roman" w:hAnsi="Times New Roman"/>
        </w:rPr>
        <w:t xml:space="preserve"> disclosures under Title I of ERISA made through electronic media will be deemed to satisfy the requirement of § 2520.104b-1(b), including the special enrollment notice.</w:t>
      </w:r>
      <w:r w:rsidR="00D2655D">
        <w:rPr>
          <w:rFonts w:ascii="Times New Roman" w:hAnsi="Times New Roman"/>
        </w:rPr>
        <w:t xml:space="preserve"> </w:t>
      </w:r>
    </w:p>
    <w:p w:rsidR="000409D1" w:rsidRPr="00F034F7" w:rsidP="00F034F7" w14:paraId="4519AB77" w14:textId="77777777">
      <w:pPr>
        <w:ind w:left="720"/>
        <w:rPr>
          <w:rFonts w:ascii="Times New Roman" w:hAnsi="Times New Roman"/>
        </w:rPr>
      </w:pPr>
    </w:p>
    <w:p w:rsidR="000409D1" w:rsidRPr="00F034F7" w:rsidP="00F034F7" w14:paraId="04D3D15F" w14:textId="5EBF9F0A">
      <w:pPr>
        <w:widowControl/>
        <w:ind w:left="720"/>
        <w:rPr>
          <w:rFonts w:ascii="Times New Roman" w:hAnsi="Times New Roman"/>
        </w:rPr>
      </w:pPr>
      <w:r w:rsidRPr="00F034F7">
        <w:rPr>
          <w:rFonts w:ascii="Times New Roman" w:hAnsi="Times New Roman"/>
        </w:rPr>
        <w:t>T</w:t>
      </w:r>
      <w:r w:rsidRPr="00F034F7" w:rsidR="00957422">
        <w:rPr>
          <w:rFonts w:ascii="Times New Roman" w:hAnsi="Times New Roman"/>
        </w:rPr>
        <w:t xml:space="preserve">he </w:t>
      </w:r>
      <w:r w:rsidRPr="00F034F7" w:rsidR="002A4F8B">
        <w:rPr>
          <w:rFonts w:ascii="Times New Roman" w:hAnsi="Times New Roman"/>
        </w:rPr>
        <w:t>Department understands that a substantial proportion of employee benefit plans, including group health plans subject to this information collection requirement, have adopted electronic means of communication with participants under the Department’s regulation.</w:t>
      </w:r>
      <w:r w:rsidR="00D2655D">
        <w:rPr>
          <w:rFonts w:ascii="Times New Roman" w:hAnsi="Times New Roman"/>
        </w:rPr>
        <w:t xml:space="preserve"> </w:t>
      </w:r>
      <w:r w:rsidR="00777B0A">
        <w:rPr>
          <w:rFonts w:ascii="Times New Roman" w:hAnsi="Times New Roman"/>
        </w:rPr>
        <w:t>The Department anticipates that this notice will be provided within the Summary Plan Description (SPD) and assumes that the rate of electronic delivery for this notice will be consistent with the rate of electronic delivery for the SPD.</w:t>
      </w:r>
      <w:r w:rsidR="001B168B">
        <w:rPr>
          <w:rFonts w:ascii="Times New Roman" w:hAnsi="Times New Roman"/>
        </w:rPr>
        <w:t xml:space="preserve"> </w:t>
      </w:r>
    </w:p>
    <w:p w:rsidR="00957422" w:rsidRPr="00F034F7" w:rsidP="00F034F7" w14:paraId="4D13D485" w14:textId="77777777">
      <w:pPr>
        <w:ind w:left="720"/>
        <w:rPr>
          <w:rFonts w:ascii="Times New Roman" w:hAnsi="Times New Roman"/>
        </w:rPr>
      </w:pPr>
    </w:p>
    <w:p w:rsidR="00FC78C7" w:rsidRPr="00D81712" w:rsidP="00F034F7" w14:paraId="0CCCD633" w14:textId="15E8F038">
      <w:pPr>
        <w:pStyle w:val="Quick1"/>
        <w:rPr>
          <w:b/>
          <w:bCs/>
          <w:i w:val="0"/>
          <w:iCs/>
        </w:rPr>
      </w:pPr>
      <w:r w:rsidRPr="00D81712">
        <w:rPr>
          <w:b/>
          <w:bCs/>
          <w:i w:val="0"/>
          <w:iCs/>
        </w:rPr>
        <w:t>Describe efforts to identify duplication.</w:t>
      </w:r>
      <w:r w:rsidR="00D2655D">
        <w:rPr>
          <w:b/>
          <w:bCs/>
          <w:i w:val="0"/>
          <w:iCs/>
        </w:rPr>
        <w:t xml:space="preserve"> </w:t>
      </w:r>
      <w:r w:rsidRPr="00D81712">
        <w:rPr>
          <w:b/>
          <w:bCs/>
          <w:i w:val="0"/>
          <w:iCs/>
        </w:rPr>
        <w:t>Show specifically why any similar information already available cannot be used or modified for use for the purp</w:t>
      </w:r>
      <w:r w:rsidRPr="00D81712" w:rsidR="00F034F7">
        <w:rPr>
          <w:b/>
          <w:bCs/>
          <w:i w:val="0"/>
          <w:iCs/>
        </w:rPr>
        <w:t>oses described in Item 2 above.</w:t>
      </w:r>
    </w:p>
    <w:p w:rsidR="00FC78C7" w:rsidRPr="00F034F7" w:rsidP="00F034F7" w14:paraId="29421AE0" w14:textId="77777777">
      <w:pPr>
        <w:ind w:left="720"/>
        <w:rPr>
          <w:rFonts w:ascii="Times New Roman" w:hAnsi="Times New Roman"/>
        </w:rPr>
      </w:pPr>
    </w:p>
    <w:p w:rsidR="00481BB7" w:rsidRPr="00F034F7" w:rsidP="00F034F7" w14:paraId="680DCDA0" w14:textId="1EA91D22">
      <w:pPr>
        <w:ind w:left="720"/>
        <w:rPr>
          <w:rFonts w:ascii="Times New Roman" w:hAnsi="Times New Roman"/>
        </w:rPr>
      </w:pPr>
      <w:r w:rsidRPr="00F034F7">
        <w:rPr>
          <w:rFonts w:ascii="Times New Roman" w:hAnsi="Times New Roman"/>
        </w:rPr>
        <w:t xml:space="preserve">Before </w:t>
      </w:r>
      <w:r w:rsidR="00646709">
        <w:rPr>
          <w:rFonts w:ascii="Times New Roman" w:hAnsi="Times New Roman"/>
        </w:rPr>
        <w:t xml:space="preserve">the </w:t>
      </w:r>
      <w:r w:rsidRPr="00F034F7">
        <w:rPr>
          <w:rFonts w:ascii="Times New Roman" w:hAnsi="Times New Roman"/>
        </w:rPr>
        <w:t>enactment of the HIPAA provisions, d</w:t>
      </w:r>
      <w:r w:rsidRPr="00F034F7" w:rsidR="00FC78C7">
        <w:rPr>
          <w:rFonts w:ascii="Times New Roman" w:hAnsi="Times New Roman"/>
        </w:rPr>
        <w:t>espite incremental state reforms in the laws affecting the group health insurance market, group health plans and health insurance issuers</w:t>
      </w:r>
      <w:r w:rsidRPr="00F034F7" w:rsidR="00957422">
        <w:rPr>
          <w:rFonts w:ascii="Times New Roman" w:hAnsi="Times New Roman"/>
        </w:rPr>
        <w:t xml:space="preserve"> </w:t>
      </w:r>
      <w:r w:rsidRPr="00F034F7" w:rsidR="00FC78C7">
        <w:rPr>
          <w:rFonts w:ascii="Times New Roman" w:hAnsi="Times New Roman"/>
        </w:rPr>
        <w:t>had not been required to notify eligible individuals of enrollment rights.</w:t>
      </w:r>
      <w:r w:rsidR="00D2655D">
        <w:rPr>
          <w:rFonts w:ascii="Times New Roman" w:hAnsi="Times New Roman"/>
        </w:rPr>
        <w:t xml:space="preserve"> </w:t>
      </w:r>
      <w:r w:rsidRPr="00F034F7">
        <w:rPr>
          <w:rFonts w:ascii="Times New Roman" w:hAnsi="Times New Roman"/>
        </w:rPr>
        <w:t>This information collection therefore does not create any duplication of effort, and no similar information is already available elsewhere.</w:t>
      </w:r>
    </w:p>
    <w:p w:rsidR="000409D1" w:rsidRPr="00F034F7" w:rsidP="00F034F7" w14:paraId="7496738D" w14:textId="77777777">
      <w:pPr>
        <w:ind w:left="720"/>
        <w:rPr>
          <w:rFonts w:ascii="Times New Roman" w:hAnsi="Times New Roman"/>
        </w:rPr>
      </w:pPr>
    </w:p>
    <w:p w:rsidR="00FC78C7" w:rsidRPr="00D81712" w:rsidP="00F034F7" w14:paraId="4ADBCECD" w14:textId="77777777">
      <w:pPr>
        <w:pStyle w:val="Quick1"/>
        <w:rPr>
          <w:b/>
          <w:bCs/>
          <w:i w:val="0"/>
          <w:iCs/>
        </w:rPr>
      </w:pPr>
      <w:r w:rsidRPr="00D81712">
        <w:rPr>
          <w:b/>
          <w:bCs/>
          <w:i w:val="0"/>
          <w:iCs/>
        </w:rPr>
        <w:t>If the collection of information impacts small businesses or other small entities</w:t>
      </w:r>
      <w:r w:rsidRPr="00D81712" w:rsidR="00335C13">
        <w:rPr>
          <w:b/>
          <w:bCs/>
          <w:i w:val="0"/>
          <w:iCs/>
        </w:rPr>
        <w:t xml:space="preserve"> </w:t>
      </w:r>
      <w:r w:rsidRPr="00D81712">
        <w:rPr>
          <w:b/>
          <w:bCs/>
          <w:i w:val="0"/>
          <w:iCs/>
        </w:rPr>
        <w:t>describe any methods used to minimize burden.</w:t>
      </w:r>
    </w:p>
    <w:p w:rsidR="00FC78C7" w:rsidRPr="00F034F7" w:rsidP="00F034F7" w14:paraId="6D995B92" w14:textId="77777777">
      <w:pPr>
        <w:ind w:left="720"/>
        <w:rPr>
          <w:rFonts w:ascii="Times New Roman" w:hAnsi="Times New Roman"/>
        </w:rPr>
      </w:pPr>
    </w:p>
    <w:p w:rsidR="00FC78C7" w:rsidRPr="00F034F7" w:rsidP="00F034F7" w14:paraId="2F5AECB9" w14:textId="1180B45D">
      <w:pPr>
        <w:ind w:left="720"/>
        <w:rPr>
          <w:rFonts w:ascii="Times New Roman" w:hAnsi="Times New Roman"/>
        </w:rPr>
      </w:pPr>
      <w:r w:rsidRPr="00F034F7">
        <w:rPr>
          <w:rFonts w:ascii="Times New Roman" w:hAnsi="Times New Roman"/>
        </w:rPr>
        <w:t>For the purpose of</w:t>
      </w:r>
      <w:r w:rsidRPr="00F034F7">
        <w:rPr>
          <w:rFonts w:ascii="Times New Roman" w:hAnsi="Times New Roman"/>
        </w:rPr>
        <w:t xml:space="preserve"> determining </w:t>
      </w:r>
      <w:r w:rsidRPr="00F034F7">
        <w:rPr>
          <w:rFonts w:ascii="Times New Roman" w:hAnsi="Times New Roman"/>
        </w:rPr>
        <w:t>burden</w:t>
      </w:r>
      <w:r w:rsidRPr="00F034F7">
        <w:rPr>
          <w:rFonts w:ascii="Times New Roman" w:hAnsi="Times New Roman"/>
        </w:rPr>
        <w:t xml:space="preserve">, "small entities" are defined by the Department </w:t>
      </w:r>
      <w:r w:rsidRPr="00F034F7" w:rsidR="000409D1">
        <w:rPr>
          <w:rFonts w:ascii="Times New Roman" w:hAnsi="Times New Roman"/>
        </w:rPr>
        <w:t xml:space="preserve">to include </w:t>
      </w:r>
      <w:r w:rsidRPr="00F034F7">
        <w:rPr>
          <w:rFonts w:ascii="Times New Roman" w:hAnsi="Times New Roman"/>
        </w:rPr>
        <w:t>employee benefit plans covering fewer than 100</w:t>
      </w:r>
      <w:r w:rsidRPr="00F034F7" w:rsidR="00957422">
        <w:rPr>
          <w:rFonts w:ascii="Times New Roman" w:hAnsi="Times New Roman"/>
        </w:rPr>
        <w:t xml:space="preserve"> participants</w:t>
      </w:r>
      <w:r w:rsidRPr="00F034F7">
        <w:rPr>
          <w:rFonts w:ascii="Times New Roman" w:hAnsi="Times New Roman"/>
        </w:rPr>
        <w:t>.</w:t>
      </w:r>
      <w:r w:rsidR="00D2655D">
        <w:rPr>
          <w:rFonts w:ascii="Times New Roman" w:hAnsi="Times New Roman"/>
        </w:rPr>
        <w:t xml:space="preserve"> </w:t>
      </w:r>
      <w:r w:rsidRPr="00F034F7">
        <w:rPr>
          <w:rFonts w:ascii="Times New Roman" w:hAnsi="Times New Roman"/>
        </w:rPr>
        <w:t>Although some large employers may have small plans, most small plans are maintained by small businesses. Accordingly, assessing the impact on small plans is an appropriate substitute for evaluating the effects on small entities.</w:t>
      </w:r>
    </w:p>
    <w:p w:rsidR="00FC78C7" w:rsidRPr="00F034F7" w:rsidP="00F034F7" w14:paraId="4E383246" w14:textId="77777777">
      <w:pPr>
        <w:ind w:left="720"/>
        <w:rPr>
          <w:rFonts w:ascii="Times New Roman" w:hAnsi="Times New Roman"/>
        </w:rPr>
      </w:pPr>
    </w:p>
    <w:p w:rsidR="00466B6F" w:rsidRPr="00F034F7" w:rsidP="00F034F7" w14:paraId="5CED82B1" w14:textId="792C0CE2">
      <w:pPr>
        <w:ind w:left="720"/>
        <w:rPr>
          <w:rFonts w:ascii="Times New Roman" w:hAnsi="Times New Roman"/>
        </w:rPr>
      </w:pPr>
      <w:r w:rsidRPr="00F034F7">
        <w:rPr>
          <w:rFonts w:ascii="Times New Roman" w:hAnsi="Times New Roman"/>
        </w:rPr>
        <w:t>T</w:t>
      </w:r>
      <w:r w:rsidRPr="00F034F7" w:rsidR="00FC78C7">
        <w:rPr>
          <w:rFonts w:ascii="Times New Roman" w:hAnsi="Times New Roman"/>
        </w:rPr>
        <w:t xml:space="preserve">he </w:t>
      </w:r>
      <w:r w:rsidRPr="00F034F7" w:rsidR="000409D1">
        <w:rPr>
          <w:rFonts w:ascii="Times New Roman" w:hAnsi="Times New Roman"/>
        </w:rPr>
        <w:t>r</w:t>
      </w:r>
      <w:r w:rsidRPr="00F034F7" w:rsidR="00FE2952">
        <w:rPr>
          <w:rFonts w:ascii="Times New Roman" w:hAnsi="Times New Roman"/>
        </w:rPr>
        <w:t xml:space="preserve">egulations </w:t>
      </w:r>
      <w:r w:rsidRPr="00F034F7" w:rsidR="00BA659E">
        <w:rPr>
          <w:rFonts w:ascii="Times New Roman" w:hAnsi="Times New Roman"/>
        </w:rPr>
        <w:t xml:space="preserve">do not include any special rules for </w:t>
      </w:r>
      <w:r w:rsidRPr="00F034F7" w:rsidR="000409D1">
        <w:rPr>
          <w:rFonts w:ascii="Times New Roman" w:hAnsi="Times New Roman"/>
        </w:rPr>
        <w:t>small plans</w:t>
      </w:r>
      <w:r w:rsidRPr="00F034F7" w:rsidR="00BA659E">
        <w:rPr>
          <w:rFonts w:ascii="Times New Roman" w:hAnsi="Times New Roman"/>
        </w:rPr>
        <w:t xml:space="preserve"> because the Department believes that all eligible individuals have the same need for the special enrollment notice, regardless of the size of the plan</w:t>
      </w:r>
      <w:r w:rsidRPr="00F034F7" w:rsidR="000409D1">
        <w:rPr>
          <w:rFonts w:ascii="Times New Roman" w:hAnsi="Times New Roman"/>
        </w:rPr>
        <w:t xml:space="preserve">; however, the Department has provided </w:t>
      </w:r>
      <w:r w:rsidRPr="00F034F7" w:rsidR="00FC78C7">
        <w:rPr>
          <w:rFonts w:ascii="Times New Roman" w:hAnsi="Times New Roman"/>
        </w:rPr>
        <w:t xml:space="preserve">model language </w:t>
      </w:r>
      <w:r w:rsidRPr="00F034F7" w:rsidR="000409D1">
        <w:rPr>
          <w:rFonts w:ascii="Times New Roman" w:hAnsi="Times New Roman"/>
        </w:rPr>
        <w:t xml:space="preserve">to satisfy </w:t>
      </w:r>
      <w:r w:rsidRPr="00F034F7" w:rsidR="00FC78C7">
        <w:rPr>
          <w:rFonts w:ascii="Times New Roman" w:hAnsi="Times New Roman"/>
        </w:rPr>
        <w:t xml:space="preserve">the </w:t>
      </w:r>
      <w:r w:rsidRPr="00F034F7" w:rsidR="00BA659E">
        <w:rPr>
          <w:rFonts w:ascii="Times New Roman" w:hAnsi="Times New Roman"/>
        </w:rPr>
        <w:t>information collection</w:t>
      </w:r>
      <w:r w:rsidRPr="00F034F7" w:rsidR="00FC78C7">
        <w:rPr>
          <w:rFonts w:ascii="Times New Roman" w:hAnsi="Times New Roman"/>
        </w:rPr>
        <w:t>, thereby reducing the burden on small plans</w:t>
      </w:r>
      <w:r w:rsidRPr="00F034F7" w:rsidR="000409D1">
        <w:rPr>
          <w:rFonts w:ascii="Times New Roman" w:hAnsi="Times New Roman"/>
        </w:rPr>
        <w:t xml:space="preserve"> as well as large plans</w:t>
      </w:r>
      <w:r w:rsidRPr="00F034F7" w:rsidR="00FC78C7">
        <w:rPr>
          <w:rFonts w:ascii="Times New Roman" w:hAnsi="Times New Roman"/>
        </w:rPr>
        <w:t>.</w:t>
      </w:r>
      <w:r w:rsidR="00D2655D">
        <w:rPr>
          <w:rFonts w:ascii="Times New Roman" w:hAnsi="Times New Roman"/>
        </w:rPr>
        <w:t xml:space="preserve"> </w:t>
      </w:r>
    </w:p>
    <w:p w:rsidR="00FC78C7" w:rsidRPr="00F034F7" w:rsidP="00F034F7" w14:paraId="1EBBA349" w14:textId="77777777">
      <w:pPr>
        <w:ind w:left="720"/>
        <w:rPr>
          <w:rFonts w:ascii="Times New Roman" w:hAnsi="Times New Roman"/>
        </w:rPr>
      </w:pPr>
    </w:p>
    <w:p w:rsidR="00FC78C7" w:rsidRPr="00D81712" w:rsidP="00F034F7" w14:paraId="1F73D8F9" w14:textId="77777777">
      <w:pPr>
        <w:pStyle w:val="Quick1"/>
        <w:rPr>
          <w:b/>
          <w:bCs/>
          <w:i w:val="0"/>
          <w:iCs/>
        </w:rPr>
      </w:pPr>
      <w:r w:rsidRPr="00D81712">
        <w:rPr>
          <w:b/>
          <w:bCs/>
          <w:i w:val="0"/>
          <w:iCs/>
        </w:rPr>
        <w:t xml:space="preserve">Describe the consequence to Federal program or policy activities if the collection is </w:t>
      </w:r>
      <w:r w:rsidRPr="00D81712">
        <w:rPr>
          <w:b/>
          <w:bCs/>
          <w:i w:val="0"/>
          <w:iCs/>
        </w:rPr>
        <w:t>not conducted or is conducted less frequently, as well as any technical or legal obstacles to reducing burden.</w:t>
      </w:r>
    </w:p>
    <w:p w:rsidR="00FC78C7" w:rsidRPr="00F034F7" w:rsidP="00F034F7" w14:paraId="3A579DCD" w14:textId="77777777">
      <w:pPr>
        <w:ind w:left="720"/>
        <w:rPr>
          <w:rFonts w:ascii="Times New Roman" w:hAnsi="Times New Roman"/>
        </w:rPr>
      </w:pPr>
    </w:p>
    <w:p w:rsidR="00FC78C7" w:rsidRPr="00F034F7" w:rsidP="00F034F7" w14:paraId="4E4D970A" w14:textId="0E2E00F2">
      <w:pPr>
        <w:ind w:left="720"/>
        <w:rPr>
          <w:rFonts w:ascii="Times New Roman" w:hAnsi="Times New Roman"/>
          <w:b/>
          <w:bCs/>
        </w:rPr>
      </w:pPr>
      <w:r w:rsidRPr="00F034F7">
        <w:rPr>
          <w:rFonts w:ascii="Times New Roman" w:hAnsi="Times New Roman"/>
        </w:rPr>
        <w:t>The Department has determined that requiring notice of special enrollment rights to be provided in advance of enrollment decisio</w:t>
      </w:r>
      <w:r w:rsidRPr="00F034F7" w:rsidR="00BD0E02">
        <w:rPr>
          <w:rFonts w:ascii="Times New Roman" w:hAnsi="Times New Roman"/>
        </w:rPr>
        <w:t>ns is necessary to ensure that the affected individuals understand their rights and can exercise them.</w:t>
      </w:r>
      <w:r w:rsidR="00D2655D">
        <w:rPr>
          <w:rFonts w:ascii="Times New Roman" w:hAnsi="Times New Roman"/>
        </w:rPr>
        <w:t xml:space="preserve"> </w:t>
      </w:r>
      <w:r w:rsidRPr="00F034F7" w:rsidR="00BD0E02">
        <w:rPr>
          <w:rFonts w:ascii="Times New Roman" w:hAnsi="Times New Roman"/>
        </w:rPr>
        <w:t>Any “less frequent” information collection would be ineffective in preventing individuals from taking actions without awareness of their potential consequences.</w:t>
      </w:r>
    </w:p>
    <w:p w:rsidR="00FC78C7" w:rsidRPr="00F034F7" w:rsidP="00F034F7" w14:paraId="11A8451C" w14:textId="77777777">
      <w:pPr>
        <w:ind w:left="720"/>
        <w:rPr>
          <w:rFonts w:ascii="Times New Roman" w:hAnsi="Times New Roman"/>
        </w:rPr>
      </w:pPr>
    </w:p>
    <w:p w:rsidR="00FC78C7" w:rsidRPr="00D81712" w:rsidP="00F034F7" w14:paraId="7F6FFAEA" w14:textId="77777777">
      <w:pPr>
        <w:pStyle w:val="Quick1"/>
        <w:rPr>
          <w:b/>
          <w:bCs/>
          <w:i w:val="0"/>
          <w:iCs/>
        </w:rPr>
      </w:pPr>
      <w:r w:rsidRPr="00D81712">
        <w:rPr>
          <w:b/>
          <w:bCs/>
          <w:i w:val="0"/>
          <w:iCs/>
        </w:rPr>
        <w:t>Explain any special circumstances that would cause an information collection to be conducted in a manner:</w:t>
      </w:r>
    </w:p>
    <w:p w:rsidR="00FC78C7" w:rsidRPr="00D81712" w:rsidP="00716FCC" w14:paraId="05F9E89C" w14:textId="77777777">
      <w:pPr>
        <w:numPr>
          <w:ilvl w:val="0"/>
          <w:numId w:val="13"/>
        </w:numPr>
        <w:ind w:left="1440"/>
        <w:rPr>
          <w:rFonts w:ascii="Times New Roman" w:hAnsi="Times New Roman"/>
          <w:b/>
          <w:bCs/>
          <w:iCs/>
        </w:rPr>
      </w:pPr>
      <w:r w:rsidRPr="00D81712">
        <w:rPr>
          <w:rFonts w:ascii="Times New Roman" w:hAnsi="Times New Roman"/>
          <w:b/>
          <w:bCs/>
          <w:iCs/>
        </w:rPr>
        <w:t xml:space="preserve">requiring respondents to report information to the agency more often than </w:t>
      </w:r>
      <w:r w:rsidRPr="00D81712">
        <w:rPr>
          <w:rFonts w:ascii="Times New Roman" w:hAnsi="Times New Roman"/>
          <w:b/>
          <w:bCs/>
          <w:iCs/>
        </w:rPr>
        <w:t>quarterly;</w:t>
      </w:r>
    </w:p>
    <w:p w:rsidR="00FC78C7" w:rsidRPr="00D81712" w:rsidP="00716FCC" w14:paraId="5F5D570D" w14:textId="77777777">
      <w:pPr>
        <w:numPr>
          <w:ilvl w:val="0"/>
          <w:numId w:val="13"/>
        </w:numPr>
        <w:ind w:left="1440"/>
        <w:rPr>
          <w:rFonts w:ascii="Times New Roman" w:hAnsi="Times New Roman"/>
          <w:b/>
          <w:bCs/>
          <w:iCs/>
        </w:rPr>
      </w:pPr>
      <w:r w:rsidRPr="00D81712">
        <w:rPr>
          <w:rFonts w:ascii="Times New Roman" w:hAnsi="Times New Roman"/>
          <w:b/>
          <w:bCs/>
          <w:iCs/>
        </w:rPr>
        <w:t xml:space="preserve">requiring respondents to prepare a written response to a collection of information in fewer than 30 days after receipt of </w:t>
      </w:r>
      <w:r w:rsidRPr="00D81712">
        <w:rPr>
          <w:rFonts w:ascii="Times New Roman" w:hAnsi="Times New Roman"/>
          <w:b/>
          <w:bCs/>
          <w:iCs/>
        </w:rPr>
        <w:t>it;</w:t>
      </w:r>
    </w:p>
    <w:p w:rsidR="00FC78C7" w:rsidRPr="00D81712" w:rsidP="00716FCC" w14:paraId="1AE17846" w14:textId="77777777">
      <w:pPr>
        <w:numPr>
          <w:ilvl w:val="0"/>
          <w:numId w:val="13"/>
        </w:numPr>
        <w:ind w:left="1440"/>
        <w:rPr>
          <w:rFonts w:ascii="Times New Roman" w:hAnsi="Times New Roman"/>
          <w:b/>
          <w:bCs/>
          <w:iCs/>
        </w:rPr>
      </w:pPr>
      <w:r w:rsidRPr="00D81712">
        <w:rPr>
          <w:rFonts w:ascii="Times New Roman" w:hAnsi="Times New Roman"/>
          <w:b/>
          <w:bCs/>
          <w:iCs/>
        </w:rPr>
        <w:t xml:space="preserve">requiring respondents to submit more than an original and two copies of any </w:t>
      </w:r>
      <w:r w:rsidRPr="00D81712">
        <w:rPr>
          <w:rFonts w:ascii="Times New Roman" w:hAnsi="Times New Roman"/>
          <w:b/>
          <w:bCs/>
          <w:iCs/>
        </w:rPr>
        <w:t>document;</w:t>
      </w:r>
    </w:p>
    <w:p w:rsidR="00FC78C7" w:rsidRPr="00D81712" w:rsidP="00716FCC" w14:paraId="56CFD425" w14:textId="77777777">
      <w:pPr>
        <w:numPr>
          <w:ilvl w:val="0"/>
          <w:numId w:val="13"/>
        </w:numPr>
        <w:ind w:left="1440"/>
        <w:rPr>
          <w:rFonts w:ascii="Times New Roman" w:hAnsi="Times New Roman"/>
          <w:b/>
          <w:bCs/>
          <w:iCs/>
        </w:rPr>
      </w:pPr>
      <w:r w:rsidRPr="00D81712">
        <w:rPr>
          <w:rFonts w:ascii="Times New Roman" w:hAnsi="Times New Roman"/>
          <w:b/>
          <w:bCs/>
          <w:iCs/>
        </w:rPr>
        <w:t xml:space="preserve">requiring respondents to retain records, other than health, medical, government contract, grant-in-aid, or tax records for more than three </w:t>
      </w:r>
      <w:r w:rsidRPr="00D81712">
        <w:rPr>
          <w:rFonts w:ascii="Times New Roman" w:hAnsi="Times New Roman"/>
          <w:b/>
          <w:bCs/>
          <w:iCs/>
        </w:rPr>
        <w:t>years;</w:t>
      </w:r>
    </w:p>
    <w:p w:rsidR="00FC78C7" w:rsidRPr="00D81712" w:rsidP="00716FCC" w14:paraId="7E0A6A8D" w14:textId="77777777">
      <w:pPr>
        <w:numPr>
          <w:ilvl w:val="0"/>
          <w:numId w:val="13"/>
        </w:numPr>
        <w:ind w:left="1440"/>
        <w:rPr>
          <w:rFonts w:ascii="Times New Roman" w:hAnsi="Times New Roman"/>
          <w:b/>
          <w:bCs/>
          <w:iCs/>
        </w:rPr>
      </w:pPr>
      <w:r w:rsidRPr="00D81712">
        <w:rPr>
          <w:rFonts w:ascii="Times New Roman" w:hAnsi="Times New Roman"/>
          <w:b/>
          <w:bCs/>
          <w:iCs/>
        </w:rPr>
        <w:t xml:space="preserve">in connection with a statistical survey, that is not designed to produce valid and reliable results that can be generalized to the universe of </w:t>
      </w:r>
      <w:r w:rsidRPr="00D81712">
        <w:rPr>
          <w:rFonts w:ascii="Times New Roman" w:hAnsi="Times New Roman"/>
          <w:b/>
          <w:bCs/>
          <w:iCs/>
        </w:rPr>
        <w:t>study;</w:t>
      </w:r>
    </w:p>
    <w:p w:rsidR="00FC78C7" w:rsidRPr="00D81712" w:rsidP="00716FCC" w14:paraId="70A69EA0" w14:textId="77777777">
      <w:pPr>
        <w:numPr>
          <w:ilvl w:val="0"/>
          <w:numId w:val="13"/>
        </w:numPr>
        <w:ind w:left="1440"/>
        <w:rPr>
          <w:rFonts w:ascii="Times New Roman" w:hAnsi="Times New Roman"/>
          <w:b/>
          <w:bCs/>
          <w:iCs/>
        </w:rPr>
      </w:pPr>
      <w:r w:rsidRPr="00D81712">
        <w:rPr>
          <w:rFonts w:ascii="Times New Roman" w:hAnsi="Times New Roman"/>
          <w:b/>
          <w:bCs/>
          <w:iCs/>
        </w:rPr>
        <w:t xml:space="preserve">requiring the use of a statistical data classification that has not been reviewed and approved by </w:t>
      </w:r>
      <w:r w:rsidRPr="00D81712">
        <w:rPr>
          <w:rFonts w:ascii="Times New Roman" w:hAnsi="Times New Roman"/>
          <w:b/>
          <w:bCs/>
          <w:iCs/>
        </w:rPr>
        <w:t>OMB;</w:t>
      </w:r>
    </w:p>
    <w:p w:rsidR="00FC78C7" w:rsidRPr="00D81712" w:rsidP="00716FCC" w14:paraId="4320669F" w14:textId="77777777">
      <w:pPr>
        <w:numPr>
          <w:ilvl w:val="0"/>
          <w:numId w:val="13"/>
        </w:numPr>
        <w:ind w:left="1440"/>
        <w:rPr>
          <w:rFonts w:ascii="Times New Roman" w:hAnsi="Times New Roman"/>
          <w:b/>
          <w:bCs/>
          <w:iCs/>
        </w:rPr>
      </w:pPr>
      <w:r w:rsidRPr="00D81712">
        <w:rPr>
          <w:rFonts w:ascii="Times New Roman" w:hAnsi="Times New Roman"/>
          <w:b/>
          <w:bCs/>
          <w:iCs/>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FC78C7" w:rsidRPr="00D81712" w:rsidP="00716FCC" w14:paraId="4D0DBD66" w14:textId="77777777">
      <w:pPr>
        <w:numPr>
          <w:ilvl w:val="0"/>
          <w:numId w:val="13"/>
        </w:numPr>
        <w:ind w:left="1440"/>
        <w:rPr>
          <w:rFonts w:ascii="Times New Roman" w:hAnsi="Times New Roman"/>
          <w:b/>
          <w:bCs/>
          <w:iCs/>
        </w:rPr>
      </w:pPr>
      <w:r w:rsidRPr="00D81712">
        <w:rPr>
          <w:rFonts w:ascii="Times New Roman" w:hAnsi="Times New Roman"/>
          <w:b/>
          <w:bCs/>
          <w:iCs/>
        </w:rPr>
        <w:t>requiring respondents to submit proprietary trade secret, or other confidential information unless the agency can demonstrate that it has instituted procedures to protect the information's confidentiality to the extent permitted by law.</w:t>
      </w:r>
    </w:p>
    <w:p w:rsidR="00FC78C7" w:rsidRPr="00EC2E79" w:rsidP="00EC2E79" w14:paraId="2327D184" w14:textId="77777777">
      <w:pPr>
        <w:ind w:left="720"/>
        <w:rPr>
          <w:rFonts w:ascii="Times New Roman" w:hAnsi="Times New Roman"/>
        </w:rPr>
      </w:pPr>
    </w:p>
    <w:p w:rsidR="00FC78C7" w:rsidRPr="00EC2E79" w:rsidP="00EC2E79" w14:paraId="499D782A" w14:textId="77777777">
      <w:pPr>
        <w:ind w:left="720"/>
        <w:rPr>
          <w:rFonts w:ascii="Times New Roman" w:hAnsi="Times New Roman"/>
        </w:rPr>
      </w:pPr>
      <w:r w:rsidRPr="0025007D">
        <w:rPr>
          <w:rFonts w:ascii="Times New Roman" w:hAnsi="Times New Roman"/>
        </w:rPr>
        <w:t>There are no special circumstances that require the collection to be conducted in a manner inconsistent with the guidelines in 5 CFR 1320.5.</w:t>
      </w:r>
    </w:p>
    <w:p w:rsidR="00FC78C7" w:rsidRPr="00F034F7" w:rsidP="00EC2E79" w14:paraId="3917BA7A" w14:textId="77777777">
      <w:pPr>
        <w:ind w:left="720"/>
        <w:rPr>
          <w:rFonts w:ascii="Times New Roman" w:hAnsi="Times New Roman"/>
        </w:rPr>
      </w:pPr>
    </w:p>
    <w:p w:rsidR="00FC78C7" w:rsidRPr="00D81712" w:rsidP="00EC2E79" w14:paraId="5E599E47" w14:textId="16D1BCBE">
      <w:pPr>
        <w:pStyle w:val="Quick1"/>
        <w:rPr>
          <w:b/>
          <w:bCs/>
          <w:i w:val="0"/>
          <w:iCs/>
        </w:rPr>
      </w:pPr>
      <w:r w:rsidRPr="00D81712">
        <w:rPr>
          <w:b/>
          <w:bCs/>
          <w:i w:val="0"/>
          <w:iCs/>
        </w:rPr>
        <w:t xml:space="preserve">If applicable, provide a copy and identify the data and page number of </w:t>
      </w:r>
      <w:r w:rsidRPr="00D81712">
        <w:rPr>
          <w:b/>
          <w:bCs/>
          <w:i w:val="0"/>
          <w:iCs/>
        </w:rPr>
        <w:t>publication</w:t>
      </w:r>
      <w:r w:rsidRPr="00D81712">
        <w:rPr>
          <w:b/>
          <w:bCs/>
          <w:i w:val="0"/>
          <w:iCs/>
        </w:rPr>
        <w:t xml:space="preserve"> in the Federal Register of the agency's notice, required by 5 CFR 1320.8(d), soliciting comments on the information collection prior to submission to OMB.</w:t>
      </w:r>
      <w:r w:rsidR="00D2655D">
        <w:rPr>
          <w:b/>
          <w:bCs/>
          <w:i w:val="0"/>
          <w:iCs/>
        </w:rPr>
        <w:t xml:space="preserve"> </w:t>
      </w:r>
      <w:r w:rsidRPr="00D81712">
        <w:rPr>
          <w:b/>
          <w:bCs/>
          <w:i w:val="0"/>
          <w:iCs/>
        </w:rPr>
        <w:t xml:space="preserve">Summarize public comments received in response to that notice and describe </w:t>
      </w:r>
      <w:r w:rsidRPr="00D81712">
        <w:rPr>
          <w:b/>
          <w:bCs/>
          <w:i w:val="0"/>
          <w:iCs/>
        </w:rPr>
        <w:t>actions taken by the agency in response to these comments.</w:t>
      </w:r>
      <w:r w:rsidR="00D2655D">
        <w:rPr>
          <w:b/>
          <w:bCs/>
          <w:i w:val="0"/>
          <w:iCs/>
        </w:rPr>
        <w:t xml:space="preserve"> </w:t>
      </w:r>
      <w:r w:rsidRPr="00D81712">
        <w:rPr>
          <w:b/>
          <w:bCs/>
          <w:i w:val="0"/>
          <w:iCs/>
        </w:rPr>
        <w:t>Specifically address comments received on cost and hour burden.</w:t>
      </w:r>
    </w:p>
    <w:p w:rsidR="00FC78C7" w:rsidRPr="00D81712" w:rsidP="00EB266D" w14:paraId="2F1A0055" w14:textId="77777777">
      <w:pPr>
        <w:ind w:left="720"/>
        <w:rPr>
          <w:rFonts w:ascii="Times New Roman" w:hAnsi="Times New Roman"/>
          <w:b/>
          <w:bCs/>
          <w:iCs/>
        </w:rPr>
      </w:pPr>
    </w:p>
    <w:p w:rsidR="00FC78C7" w:rsidRPr="00D81712" w:rsidP="00EB266D" w14:paraId="138B7DFF" w14:textId="77777777">
      <w:pPr>
        <w:pStyle w:val="BodyTextIndent"/>
        <w:rPr>
          <w:b/>
          <w:bCs/>
          <w:i w:val="0"/>
          <w:iCs/>
        </w:rPr>
      </w:pPr>
      <w:r w:rsidRPr="00D81712">
        <w:rPr>
          <w:b/>
          <w:bCs/>
          <w:i w:val="0"/>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FC78C7" w:rsidRPr="00D81712" w:rsidP="00EB266D" w14:paraId="696D4D31" w14:textId="77777777">
      <w:pPr>
        <w:ind w:left="720"/>
        <w:rPr>
          <w:rFonts w:ascii="Times New Roman" w:hAnsi="Times New Roman"/>
          <w:b/>
          <w:bCs/>
          <w:iCs/>
        </w:rPr>
      </w:pPr>
    </w:p>
    <w:p w:rsidR="00FC78C7" w:rsidRPr="00D81712" w:rsidP="00EB266D" w14:paraId="21373B6D" w14:textId="6709891F">
      <w:pPr>
        <w:pStyle w:val="BodyTextIndent"/>
        <w:rPr>
          <w:b/>
          <w:bCs/>
          <w:i w:val="0"/>
          <w:iCs/>
        </w:rPr>
      </w:pPr>
      <w:r w:rsidRPr="00D81712">
        <w:rPr>
          <w:b/>
          <w:bCs/>
          <w:i w:val="0"/>
          <w:iCs/>
        </w:rPr>
        <w:t>Consultation with representatives of those from whom information is to be obtained or those who must compile records should occur at least once every 3 years -- even if the collection of information activity is the same as in prior periods.</w:t>
      </w:r>
      <w:r w:rsidR="00D2655D">
        <w:rPr>
          <w:b/>
          <w:bCs/>
          <w:i w:val="0"/>
          <w:iCs/>
        </w:rPr>
        <w:t xml:space="preserve"> </w:t>
      </w:r>
      <w:r w:rsidRPr="00D81712">
        <w:rPr>
          <w:b/>
          <w:bCs/>
          <w:i w:val="0"/>
          <w:iCs/>
        </w:rPr>
        <w:t>There may be circumstances that may preclude consultation in a specific situation.</w:t>
      </w:r>
      <w:r w:rsidR="00D2655D">
        <w:rPr>
          <w:b/>
          <w:bCs/>
          <w:i w:val="0"/>
          <w:iCs/>
        </w:rPr>
        <w:t xml:space="preserve"> </w:t>
      </w:r>
      <w:r w:rsidRPr="00D81712">
        <w:rPr>
          <w:b/>
          <w:bCs/>
          <w:i w:val="0"/>
          <w:iCs/>
        </w:rPr>
        <w:t>These circumstances should be explained.</w:t>
      </w:r>
    </w:p>
    <w:p w:rsidR="00FC78C7" w:rsidRPr="00F034F7" w:rsidP="00EB266D" w14:paraId="5EEF8A48" w14:textId="77777777">
      <w:pPr>
        <w:ind w:left="720"/>
        <w:rPr>
          <w:rFonts w:ascii="Times New Roman" w:hAnsi="Times New Roman"/>
        </w:rPr>
      </w:pPr>
    </w:p>
    <w:p w:rsidR="00FC78C7" w:rsidP="00716FCC" w14:paraId="2698C326" w14:textId="6281CF5F">
      <w:pPr>
        <w:ind w:left="720"/>
        <w:rPr>
          <w:rFonts w:ascii="Times New Roman" w:hAnsi="Times New Roman"/>
        </w:rPr>
      </w:pPr>
      <w:bookmarkStart w:id="0" w:name="OLE_LINK3"/>
      <w:bookmarkStart w:id="1" w:name="OLE_LINK4"/>
      <w:r w:rsidRPr="0025007D">
        <w:rPr>
          <w:rFonts w:ascii="Times New Roman" w:hAnsi="Times New Roman"/>
        </w:rPr>
        <w:t xml:space="preserve">The Department’s notice soliciting public comment and providing 60 days for that purpose as required by 5 CFR 1320.8 (d) was published in the Federal Register on </w:t>
      </w:r>
      <w:r w:rsidR="00716FCC">
        <w:rPr>
          <w:rFonts w:ascii="Times New Roman" w:hAnsi="Times New Roman"/>
        </w:rPr>
        <w:t>January 6</w:t>
      </w:r>
      <w:r w:rsidRPr="0025007D">
        <w:rPr>
          <w:rFonts w:ascii="Times New Roman" w:hAnsi="Times New Roman"/>
        </w:rPr>
        <w:t>, 2</w:t>
      </w:r>
      <w:r w:rsidR="004E0E4D">
        <w:rPr>
          <w:rFonts w:ascii="Times New Roman" w:hAnsi="Times New Roman"/>
        </w:rPr>
        <w:t>02</w:t>
      </w:r>
      <w:r w:rsidR="00716FCC">
        <w:rPr>
          <w:rFonts w:ascii="Times New Roman" w:hAnsi="Times New Roman"/>
        </w:rPr>
        <w:t>5</w:t>
      </w:r>
      <w:r w:rsidRPr="0025007D">
        <w:rPr>
          <w:rFonts w:ascii="Times New Roman" w:hAnsi="Times New Roman"/>
        </w:rPr>
        <w:t xml:space="preserve"> (</w:t>
      </w:r>
      <w:r w:rsidR="00716FCC">
        <w:rPr>
          <w:rFonts w:ascii="Times New Roman" w:hAnsi="Times New Roman"/>
        </w:rPr>
        <w:t>90</w:t>
      </w:r>
      <w:r w:rsidRPr="0025007D">
        <w:rPr>
          <w:rFonts w:ascii="Times New Roman" w:hAnsi="Times New Roman"/>
        </w:rPr>
        <w:t xml:space="preserve"> FR </w:t>
      </w:r>
      <w:r w:rsidR="00716FCC">
        <w:rPr>
          <w:rFonts w:ascii="Times New Roman" w:hAnsi="Times New Roman"/>
        </w:rPr>
        <w:t>671</w:t>
      </w:r>
      <w:r w:rsidRPr="0025007D">
        <w:rPr>
          <w:rFonts w:ascii="Times New Roman" w:hAnsi="Times New Roman"/>
        </w:rPr>
        <w:t>).</w:t>
      </w:r>
      <w:r w:rsidR="00D2655D">
        <w:rPr>
          <w:rFonts w:ascii="Times New Roman" w:hAnsi="Times New Roman"/>
        </w:rPr>
        <w:t xml:space="preserve"> </w:t>
      </w:r>
      <w:r w:rsidRPr="005B0F37" w:rsidR="00842628">
        <w:rPr>
          <w:rFonts w:ascii="Times New Roman" w:hAnsi="Times New Roman"/>
        </w:rPr>
        <w:t>One comment on this ICR was received. Below is the comment and the Departments response.</w:t>
      </w:r>
    </w:p>
    <w:p w:rsidR="00716FCC" w:rsidP="00716FCC" w14:paraId="1BA0B50C" w14:textId="77777777">
      <w:pPr>
        <w:ind w:left="720"/>
        <w:rPr>
          <w:rFonts w:ascii="Times New Roman" w:hAnsi="Times New Roman"/>
        </w:rPr>
      </w:pPr>
    </w:p>
    <w:p w:rsidR="000D3449" w:rsidRPr="000D3449" w:rsidP="000D3449" w14:paraId="684AEE95" w14:textId="77777777">
      <w:pPr>
        <w:ind w:left="720"/>
        <w:rPr>
          <w:rFonts w:ascii="Times New Roman" w:hAnsi="Times New Roman"/>
        </w:rPr>
      </w:pPr>
      <w:r w:rsidRPr="005B0F37">
        <w:rPr>
          <w:rFonts w:ascii="Times New Roman" w:hAnsi="Times New Roman"/>
          <w:u w:val="single"/>
        </w:rPr>
        <w:t>Barrier</w:t>
      </w:r>
      <w:r w:rsidRPr="000D3449">
        <w:rPr>
          <w:rFonts w:ascii="Times New Roman" w:hAnsi="Times New Roman"/>
        </w:rPr>
        <w:t>: Employees and dependents often fail to take advantage of special enrollment periods due to unclear communication or difficulty navigating the process.</w:t>
      </w:r>
    </w:p>
    <w:p w:rsidR="000D3449" w:rsidRPr="000D3449" w:rsidP="000D3449" w14:paraId="1DAFC217" w14:textId="77777777">
      <w:pPr>
        <w:ind w:left="720"/>
        <w:rPr>
          <w:rFonts w:ascii="Times New Roman" w:hAnsi="Times New Roman"/>
        </w:rPr>
      </w:pPr>
    </w:p>
    <w:p w:rsidR="000D3449" w:rsidRPr="000D3449" w:rsidP="000D3449" w14:paraId="7AB5BEC6" w14:textId="77777777">
      <w:pPr>
        <w:ind w:left="720"/>
        <w:rPr>
          <w:rFonts w:ascii="Times New Roman" w:hAnsi="Times New Roman"/>
        </w:rPr>
      </w:pPr>
      <w:r w:rsidRPr="005B0F37">
        <w:rPr>
          <w:rFonts w:ascii="Times New Roman" w:hAnsi="Times New Roman"/>
          <w:u w:val="single"/>
        </w:rPr>
        <w:t>Proposed Improvements</w:t>
      </w:r>
      <w:r w:rsidRPr="000D3449">
        <w:rPr>
          <w:rFonts w:ascii="Times New Roman" w:hAnsi="Times New Roman"/>
        </w:rPr>
        <w:t>:</w:t>
      </w:r>
    </w:p>
    <w:p w:rsidR="000D3449" w:rsidRPr="000D3449" w:rsidP="000D3449" w14:paraId="2964AAA4" w14:textId="77777777">
      <w:pPr>
        <w:ind w:left="720"/>
        <w:rPr>
          <w:rFonts w:ascii="Times New Roman" w:hAnsi="Times New Roman"/>
        </w:rPr>
      </w:pPr>
      <w:r w:rsidRPr="000D3449">
        <w:rPr>
          <w:rFonts w:ascii="Times New Roman" w:hAnsi="Times New Roman"/>
        </w:rPr>
        <w:t>• Automated, real-time notifications: Require employers to integrate special enrollment notices into payroll and HR systems that trigger automatic notifications when a qualifying event (e.g., job loss, marriage, birth) occurs.</w:t>
      </w:r>
    </w:p>
    <w:p w:rsidR="000D3449" w:rsidRPr="000D3449" w:rsidP="000D3449" w14:paraId="15F32109" w14:textId="77777777">
      <w:pPr>
        <w:ind w:left="720"/>
        <w:rPr>
          <w:rFonts w:ascii="Times New Roman" w:hAnsi="Times New Roman"/>
        </w:rPr>
      </w:pPr>
      <w:r w:rsidRPr="000D3449">
        <w:rPr>
          <w:rFonts w:ascii="Times New Roman" w:hAnsi="Times New Roman"/>
        </w:rPr>
        <w:t>• Direct email contact: Rather than requiring employees to call a general HR or insurer number, require notices to provide a specific email address for direct enrollment assistance.</w:t>
      </w:r>
    </w:p>
    <w:p w:rsidR="000D3449" w:rsidRPr="000D3449" w:rsidP="000D3449" w14:paraId="2B470660" w14:textId="77777777">
      <w:pPr>
        <w:ind w:left="720"/>
        <w:rPr>
          <w:rFonts w:ascii="Times New Roman" w:hAnsi="Times New Roman"/>
        </w:rPr>
      </w:pPr>
      <w:r w:rsidRPr="000D3449">
        <w:rPr>
          <w:rFonts w:ascii="Times New Roman" w:hAnsi="Times New Roman"/>
        </w:rPr>
        <w:t>• Centralized verification portal: Allow employees to check their special enrollment eligibility in a secure online portal, rather than relying on verbal explanations from insurers.</w:t>
      </w:r>
    </w:p>
    <w:p w:rsidR="000D3449" w:rsidRPr="000D3449" w:rsidP="000D3449" w14:paraId="5ECC5BE0" w14:textId="77777777">
      <w:pPr>
        <w:ind w:left="720"/>
        <w:rPr>
          <w:rFonts w:ascii="Times New Roman" w:hAnsi="Times New Roman"/>
        </w:rPr>
      </w:pPr>
    </w:p>
    <w:p w:rsidR="000D3449" w:rsidRPr="000D3449" w:rsidP="000D3449" w14:paraId="60ED99C2" w14:textId="77777777">
      <w:pPr>
        <w:ind w:left="720"/>
        <w:rPr>
          <w:rFonts w:ascii="Times New Roman" w:hAnsi="Times New Roman"/>
        </w:rPr>
      </w:pPr>
      <w:r w:rsidRPr="000D3449">
        <w:rPr>
          <w:rFonts w:ascii="Times New Roman" w:hAnsi="Times New Roman"/>
        </w:rPr>
        <w:t>These changes align with the 21st Century Cures Act’s goal of improving real-time access to information and reducing procedural delays that create de facto barriers to coverage.</w:t>
      </w:r>
    </w:p>
    <w:p w:rsidR="001B168B" w:rsidP="00716FCC" w14:paraId="57A03A67" w14:textId="77777777">
      <w:pPr>
        <w:ind w:left="720"/>
        <w:rPr>
          <w:rFonts w:ascii="Times New Roman" w:hAnsi="Times New Roman"/>
          <w:u w:val="single"/>
        </w:rPr>
      </w:pPr>
    </w:p>
    <w:p w:rsidR="000D3449" w:rsidRPr="00F034F7" w:rsidP="00716FCC" w14:paraId="08DA0B6E" w14:textId="433B5E5F">
      <w:pPr>
        <w:ind w:left="720"/>
        <w:rPr>
          <w:rFonts w:ascii="Times New Roman" w:hAnsi="Times New Roman"/>
        </w:rPr>
      </w:pPr>
      <w:r w:rsidRPr="005B0F37">
        <w:rPr>
          <w:rFonts w:ascii="Times New Roman" w:hAnsi="Times New Roman"/>
          <w:u w:val="single"/>
        </w:rPr>
        <w:t>Response</w:t>
      </w:r>
      <w:r w:rsidRPr="005B0F37" w:rsidR="00F36E4D">
        <w:rPr>
          <w:rFonts w:ascii="Times New Roman" w:hAnsi="Times New Roman"/>
          <w:u w:val="single"/>
        </w:rPr>
        <w:t xml:space="preserve"> to Comment</w:t>
      </w:r>
      <w:r>
        <w:rPr>
          <w:rFonts w:ascii="Times New Roman" w:hAnsi="Times New Roman"/>
        </w:rPr>
        <w:t>:</w:t>
      </w:r>
    </w:p>
    <w:bookmarkEnd w:id="0"/>
    <w:bookmarkEnd w:id="1"/>
    <w:p w:rsidR="00094066" w:rsidP="00EB266D" w14:paraId="4D835E39" w14:textId="77777777">
      <w:pPr>
        <w:ind w:left="720"/>
        <w:rPr>
          <w:rFonts w:ascii="Times New Roman" w:hAnsi="Times New Roman"/>
        </w:rPr>
      </w:pPr>
    </w:p>
    <w:p w:rsidR="00D33D75" w:rsidP="009D7027" w14:paraId="16FB5675" w14:textId="755AC04F">
      <w:pPr>
        <w:ind w:left="720"/>
        <w:rPr>
          <w:rFonts w:ascii="Times New Roman" w:hAnsi="Times New Roman"/>
        </w:rPr>
      </w:pPr>
      <w:r>
        <w:rPr>
          <w:rFonts w:ascii="Times New Roman" w:hAnsi="Times New Roman"/>
        </w:rPr>
        <w:t xml:space="preserve">In general, an employer or group health plan may take measures to </w:t>
      </w:r>
      <w:r w:rsidRPr="00D33D75">
        <w:rPr>
          <w:rFonts w:ascii="Times New Roman" w:hAnsi="Times New Roman"/>
        </w:rPr>
        <w:t>implement the proposed improvements</w:t>
      </w:r>
      <w:r>
        <w:rPr>
          <w:rFonts w:ascii="Times New Roman" w:hAnsi="Times New Roman"/>
        </w:rPr>
        <w:t xml:space="preserve"> on a voluntary basis, provided they comply with the applicable </w:t>
      </w:r>
      <w:r>
        <w:rPr>
          <w:rFonts w:ascii="Times New Roman" w:hAnsi="Times New Roman"/>
        </w:rPr>
        <w:t>requirements under</w:t>
      </w:r>
      <w:r w:rsidRPr="00D33D75">
        <w:rPr>
          <w:rFonts w:ascii="Times New Roman" w:hAnsi="Times New Roman"/>
        </w:rPr>
        <w:t xml:space="preserve"> ERISA </w:t>
      </w:r>
      <w:r>
        <w:rPr>
          <w:rFonts w:ascii="Times New Roman" w:hAnsi="Times New Roman"/>
        </w:rPr>
        <w:t>and</w:t>
      </w:r>
      <w:r w:rsidRPr="00D33D75">
        <w:rPr>
          <w:rFonts w:ascii="Times New Roman" w:hAnsi="Times New Roman"/>
        </w:rPr>
        <w:t xml:space="preserve"> the Department’s </w:t>
      </w:r>
      <w:r>
        <w:rPr>
          <w:rFonts w:ascii="Times New Roman" w:hAnsi="Times New Roman"/>
        </w:rPr>
        <w:t>implementing</w:t>
      </w:r>
      <w:r>
        <w:rPr>
          <w:rFonts w:ascii="Times New Roman" w:hAnsi="Times New Roman"/>
        </w:rPr>
        <w:t xml:space="preserve"> </w:t>
      </w:r>
      <w:r w:rsidRPr="00D33D75">
        <w:rPr>
          <w:rFonts w:ascii="Times New Roman" w:hAnsi="Times New Roman"/>
        </w:rPr>
        <w:t xml:space="preserve">regulations. However, </w:t>
      </w:r>
      <w:r>
        <w:rPr>
          <w:rFonts w:ascii="Times New Roman" w:hAnsi="Times New Roman"/>
        </w:rPr>
        <w:t>requiring</w:t>
      </w:r>
      <w:r w:rsidRPr="00D33D75">
        <w:rPr>
          <w:rFonts w:ascii="Times New Roman" w:hAnsi="Times New Roman"/>
        </w:rPr>
        <w:t xml:space="preserve"> an employer or plan</w:t>
      </w:r>
      <w:r w:rsidR="00526173">
        <w:rPr>
          <w:rFonts w:ascii="Times New Roman" w:hAnsi="Times New Roman"/>
        </w:rPr>
        <w:t xml:space="preserve"> to</w:t>
      </w:r>
      <w:r w:rsidRPr="00D33D75">
        <w:rPr>
          <w:rFonts w:ascii="Times New Roman" w:hAnsi="Times New Roman"/>
        </w:rPr>
        <w:t xml:space="preserve">: (1) </w:t>
      </w:r>
      <w:r w:rsidR="005E60D8">
        <w:rPr>
          <w:rFonts w:ascii="Times New Roman" w:hAnsi="Times New Roman"/>
        </w:rPr>
        <w:t xml:space="preserve">provide </w:t>
      </w:r>
      <w:r w:rsidRPr="00D33D75">
        <w:rPr>
          <w:rFonts w:ascii="Times New Roman" w:hAnsi="Times New Roman"/>
        </w:rPr>
        <w:t>automate</w:t>
      </w:r>
      <w:r w:rsidR="005E60D8">
        <w:rPr>
          <w:rFonts w:ascii="Times New Roman" w:hAnsi="Times New Roman"/>
        </w:rPr>
        <w:t>d</w:t>
      </w:r>
      <w:r w:rsidRPr="00D33D75">
        <w:rPr>
          <w:rFonts w:ascii="Times New Roman" w:hAnsi="Times New Roman"/>
        </w:rPr>
        <w:t>, real-time notifications, (2) provide direct email contacts, and (3) provide a centralized verification portal would at a minimum require notice and comment rulemaking, and possibly legislation as well.</w:t>
      </w:r>
    </w:p>
    <w:p w:rsidR="00D33D75" w:rsidRPr="00F034F7" w:rsidP="00EB266D" w14:paraId="6ECA4E28" w14:textId="77777777">
      <w:pPr>
        <w:ind w:left="720"/>
        <w:rPr>
          <w:rFonts w:ascii="Times New Roman" w:hAnsi="Times New Roman"/>
        </w:rPr>
      </w:pPr>
    </w:p>
    <w:p w:rsidR="00FC78C7" w:rsidRPr="00D81712" w:rsidP="00EB266D" w14:paraId="43C28D3E" w14:textId="77777777">
      <w:pPr>
        <w:pStyle w:val="Quick1"/>
        <w:rPr>
          <w:b/>
          <w:bCs/>
          <w:i w:val="0"/>
          <w:iCs/>
        </w:rPr>
      </w:pPr>
      <w:r w:rsidRPr="00D81712">
        <w:rPr>
          <w:b/>
          <w:bCs/>
          <w:i w:val="0"/>
          <w:iCs/>
        </w:rPr>
        <w:t>Explain any decision to provide any payment or gift to respondents, other than remuneration of contractors or grantees.</w:t>
      </w:r>
    </w:p>
    <w:p w:rsidR="00FC78C7" w:rsidRPr="00F034F7" w:rsidP="00EB266D" w14:paraId="19B169E1" w14:textId="77777777">
      <w:pPr>
        <w:ind w:left="720"/>
        <w:rPr>
          <w:rFonts w:ascii="Times New Roman" w:hAnsi="Times New Roman"/>
        </w:rPr>
      </w:pPr>
    </w:p>
    <w:p w:rsidR="00FC78C7" w:rsidRPr="00F034F7" w:rsidP="00EB266D" w14:paraId="463794DC" w14:textId="77777777">
      <w:pPr>
        <w:ind w:left="720"/>
        <w:rPr>
          <w:rFonts w:ascii="Times New Roman" w:hAnsi="Times New Roman"/>
        </w:rPr>
      </w:pPr>
      <w:r>
        <w:rPr>
          <w:rFonts w:ascii="Times New Roman" w:hAnsi="Times New Roman"/>
        </w:rPr>
        <w:t>No payments or gifts are provided to respondents</w:t>
      </w:r>
      <w:r w:rsidRPr="00F034F7">
        <w:rPr>
          <w:rFonts w:ascii="Times New Roman" w:hAnsi="Times New Roman"/>
        </w:rPr>
        <w:t>.</w:t>
      </w:r>
    </w:p>
    <w:p w:rsidR="00FC78C7" w:rsidRPr="00F034F7" w:rsidP="00EB266D" w14:paraId="5D5697A2" w14:textId="77777777">
      <w:pPr>
        <w:ind w:left="720"/>
        <w:rPr>
          <w:rFonts w:ascii="Times New Roman" w:hAnsi="Times New Roman"/>
        </w:rPr>
      </w:pPr>
    </w:p>
    <w:p w:rsidR="00FC78C7" w:rsidRPr="00D81712" w:rsidP="00EB266D" w14:paraId="5E040847" w14:textId="77777777">
      <w:pPr>
        <w:pStyle w:val="Quick1"/>
        <w:rPr>
          <w:b/>
          <w:bCs/>
          <w:i w:val="0"/>
          <w:iCs/>
        </w:rPr>
      </w:pPr>
      <w:r w:rsidRPr="00D81712">
        <w:rPr>
          <w:b/>
          <w:bCs/>
          <w:i w:val="0"/>
          <w:iCs/>
        </w:rPr>
        <w:t>Describe any assurance of confidentiality provided to respondents and the basis for the assurance in statute, regulation, or agency policy.</w:t>
      </w:r>
    </w:p>
    <w:p w:rsidR="00FC78C7" w:rsidRPr="00F034F7" w:rsidP="00EB266D" w14:paraId="5BBE713F" w14:textId="77777777">
      <w:pPr>
        <w:ind w:left="720"/>
        <w:rPr>
          <w:rFonts w:ascii="Times New Roman" w:hAnsi="Times New Roman"/>
        </w:rPr>
      </w:pPr>
    </w:p>
    <w:p w:rsidR="00FC78C7" w:rsidRPr="00F034F7" w:rsidP="00EB266D" w14:paraId="340B557B" w14:textId="77777777">
      <w:pPr>
        <w:ind w:left="720"/>
        <w:rPr>
          <w:rFonts w:ascii="Times New Roman" w:hAnsi="Times New Roman"/>
        </w:rPr>
      </w:pPr>
      <w:r w:rsidRPr="00F034F7">
        <w:rPr>
          <w:rFonts w:ascii="Times New Roman" w:hAnsi="Times New Roman"/>
        </w:rPr>
        <w:t>No assurance of confidentiality has been provided.</w:t>
      </w:r>
    </w:p>
    <w:p w:rsidR="00FC78C7" w:rsidRPr="00F034F7" w:rsidP="00EB266D" w14:paraId="31DB1020" w14:textId="77777777">
      <w:pPr>
        <w:ind w:left="720"/>
        <w:rPr>
          <w:rFonts w:ascii="Times New Roman" w:hAnsi="Times New Roman"/>
        </w:rPr>
      </w:pPr>
    </w:p>
    <w:p w:rsidR="00FC78C7" w:rsidRPr="00D81712" w:rsidP="00EB266D" w14:paraId="3C065732" w14:textId="3BB6858D">
      <w:pPr>
        <w:pStyle w:val="Quick1"/>
        <w:rPr>
          <w:b/>
          <w:bCs/>
          <w:i w:val="0"/>
          <w:iCs/>
        </w:rPr>
      </w:pPr>
      <w:r w:rsidRPr="00D81712">
        <w:rPr>
          <w:b/>
          <w:bCs/>
          <w:i w:val="0"/>
          <w:iCs/>
        </w:rPr>
        <w:t>Provide additional justification for any questions of a sensitive nature, such as sexual behavior and attitudes, religious beliefs, and other matters that are commonly considered private.</w:t>
      </w:r>
      <w:r w:rsidR="00D2655D">
        <w:rPr>
          <w:b/>
          <w:bCs/>
          <w:i w:val="0"/>
          <w:iCs/>
        </w:rPr>
        <w:t xml:space="preserve"> </w:t>
      </w:r>
      <w:r w:rsidRPr="00D81712">
        <w:rPr>
          <w:b/>
          <w:bCs/>
          <w:i w:val="0"/>
          <w:iCs/>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C78C7" w:rsidRPr="00F034F7" w:rsidP="00EB266D" w14:paraId="5A4BDC26" w14:textId="77777777">
      <w:pPr>
        <w:ind w:left="720"/>
        <w:rPr>
          <w:rFonts w:ascii="Times New Roman" w:hAnsi="Times New Roman"/>
        </w:rPr>
      </w:pPr>
    </w:p>
    <w:p w:rsidR="00FC78C7" w:rsidRPr="00F034F7" w:rsidP="00EB266D" w14:paraId="2B49867B" w14:textId="77777777">
      <w:pPr>
        <w:ind w:left="720"/>
        <w:rPr>
          <w:rFonts w:ascii="Times New Roman" w:hAnsi="Times New Roman"/>
        </w:rPr>
      </w:pPr>
      <w:r>
        <w:rPr>
          <w:rFonts w:ascii="Times New Roman" w:hAnsi="Times New Roman"/>
        </w:rPr>
        <w:t>There are no questions of a sensitive nature</w:t>
      </w:r>
      <w:r w:rsidRPr="00F034F7">
        <w:rPr>
          <w:rFonts w:ascii="Times New Roman" w:hAnsi="Times New Roman"/>
        </w:rPr>
        <w:t xml:space="preserve">. </w:t>
      </w:r>
    </w:p>
    <w:p w:rsidR="00FC78C7" w:rsidRPr="00F034F7" w:rsidP="00EB266D" w14:paraId="3EB8ED02" w14:textId="77777777">
      <w:pPr>
        <w:ind w:left="720"/>
        <w:rPr>
          <w:rFonts w:ascii="Times New Roman" w:hAnsi="Times New Roman"/>
        </w:rPr>
      </w:pPr>
    </w:p>
    <w:p w:rsidR="00FC78C7" w:rsidRPr="00D81712" w:rsidP="00EB266D" w14:paraId="576934C6" w14:textId="6122BCB9">
      <w:pPr>
        <w:pStyle w:val="Quick1"/>
        <w:rPr>
          <w:b/>
          <w:bCs/>
          <w:i w:val="0"/>
          <w:iCs/>
        </w:rPr>
      </w:pPr>
      <w:r w:rsidRPr="00D81712">
        <w:rPr>
          <w:b/>
          <w:bCs/>
          <w:i w:val="0"/>
          <w:iCs/>
        </w:rPr>
        <w:t>Provide estimates of the hour burden of the collection of information.</w:t>
      </w:r>
      <w:r w:rsidR="00D2655D">
        <w:rPr>
          <w:b/>
          <w:bCs/>
          <w:i w:val="0"/>
          <w:iCs/>
        </w:rPr>
        <w:t xml:space="preserve"> </w:t>
      </w:r>
      <w:r w:rsidRPr="00D81712">
        <w:rPr>
          <w:b/>
          <w:bCs/>
          <w:i w:val="0"/>
          <w:iCs/>
        </w:rPr>
        <w:t>The statement should:</w:t>
      </w:r>
    </w:p>
    <w:p w:rsidR="00FC78C7" w:rsidRPr="00D81712" w:rsidP="00B2380C" w14:paraId="7A1A81F8" w14:textId="1DAF8C2A">
      <w:pPr>
        <w:numPr>
          <w:ilvl w:val="0"/>
          <w:numId w:val="14"/>
        </w:numPr>
        <w:ind w:left="1440"/>
        <w:rPr>
          <w:rFonts w:ascii="Times New Roman" w:hAnsi="Times New Roman"/>
          <w:b/>
          <w:bCs/>
          <w:iCs/>
        </w:rPr>
      </w:pPr>
      <w:r w:rsidRPr="00D81712">
        <w:rPr>
          <w:rFonts w:ascii="Times New Roman" w:hAnsi="Times New Roman"/>
          <w:b/>
          <w:bCs/>
          <w:iCs/>
        </w:rPr>
        <w:t>Indicate the number of respondents, frequency of response, annual hour burden, and an explanation of how the burden was estimated.</w:t>
      </w:r>
      <w:r w:rsidR="00D2655D">
        <w:rPr>
          <w:rFonts w:ascii="Times New Roman" w:hAnsi="Times New Roman"/>
          <w:b/>
          <w:bCs/>
          <w:iCs/>
        </w:rPr>
        <w:t xml:space="preserve"> </w:t>
      </w:r>
      <w:r w:rsidRPr="00D81712">
        <w:rPr>
          <w:rFonts w:ascii="Times New Roman" w:hAnsi="Times New Roman"/>
          <w:b/>
          <w:bCs/>
          <w:iCs/>
        </w:rPr>
        <w:t>Unless directed to do so, agencies should not conduct special surveys to obtain information on which to base hour burden estimates.</w:t>
      </w:r>
      <w:r w:rsidR="00D2655D">
        <w:rPr>
          <w:rFonts w:ascii="Times New Roman" w:hAnsi="Times New Roman"/>
          <w:b/>
          <w:bCs/>
          <w:iCs/>
        </w:rPr>
        <w:t xml:space="preserve"> </w:t>
      </w:r>
      <w:r w:rsidRPr="00D81712">
        <w:rPr>
          <w:rFonts w:ascii="Times New Roman" w:hAnsi="Times New Roman"/>
          <w:b/>
          <w:bCs/>
          <w:iCs/>
        </w:rPr>
        <w:t>Consultation with a sample (fewer than 10) of potential respondents is desirable.</w:t>
      </w:r>
      <w:r w:rsidR="00D2655D">
        <w:rPr>
          <w:rFonts w:ascii="Times New Roman" w:hAnsi="Times New Roman"/>
          <w:b/>
          <w:bCs/>
          <w:iCs/>
        </w:rPr>
        <w:t xml:space="preserve"> </w:t>
      </w:r>
      <w:r w:rsidRPr="00D81712">
        <w:rPr>
          <w:rFonts w:ascii="Times New Roman" w:hAnsi="Times New Roman"/>
          <w:b/>
          <w:bCs/>
          <w:iCs/>
        </w:rPr>
        <w:t>If the hour burden on respondents is expected to vary widely because of differences in activity, size, or complexity, show the range of estimated hour burden, and explain the reasons for the variance.</w:t>
      </w:r>
      <w:r w:rsidR="00D2655D">
        <w:rPr>
          <w:rFonts w:ascii="Times New Roman" w:hAnsi="Times New Roman"/>
          <w:b/>
          <w:bCs/>
          <w:iCs/>
        </w:rPr>
        <w:t xml:space="preserve"> </w:t>
      </w:r>
      <w:r w:rsidRPr="00D81712">
        <w:rPr>
          <w:rFonts w:ascii="Times New Roman" w:hAnsi="Times New Roman"/>
          <w:b/>
          <w:bCs/>
          <w:iCs/>
        </w:rPr>
        <w:t>Generally, estimates should not include burden hours for customary and usual business practices.</w:t>
      </w:r>
    </w:p>
    <w:p w:rsidR="00FC78C7" w:rsidRPr="00D81712" w:rsidP="00B2380C" w14:paraId="65F8F277" w14:textId="77777777">
      <w:pPr>
        <w:numPr>
          <w:ilvl w:val="0"/>
          <w:numId w:val="14"/>
        </w:numPr>
        <w:ind w:left="1440"/>
        <w:rPr>
          <w:rFonts w:ascii="Times New Roman" w:hAnsi="Times New Roman"/>
          <w:b/>
          <w:bCs/>
          <w:iCs/>
        </w:rPr>
      </w:pPr>
      <w:r w:rsidRPr="00D81712">
        <w:rPr>
          <w:rFonts w:ascii="Times New Roman" w:hAnsi="Times New Roman"/>
          <w:b/>
          <w:bCs/>
          <w:iCs/>
        </w:rPr>
        <w:t>If this request for approval covers more than one form, provide separate hour burden estimates for each form and aggregate the hour burdens in Item 13</w:t>
      </w:r>
      <w:r w:rsidRPr="00D81712" w:rsidR="00BD0E02">
        <w:rPr>
          <w:rFonts w:ascii="Times New Roman" w:hAnsi="Times New Roman"/>
          <w:b/>
          <w:bCs/>
          <w:iCs/>
        </w:rPr>
        <w:t>.</w:t>
      </w:r>
    </w:p>
    <w:p w:rsidR="00FC78C7" w:rsidRPr="00D81712" w:rsidP="00B2380C" w14:paraId="1A7AA450" w14:textId="7C100B68">
      <w:pPr>
        <w:numPr>
          <w:ilvl w:val="0"/>
          <w:numId w:val="14"/>
        </w:numPr>
        <w:ind w:left="1440"/>
        <w:rPr>
          <w:rFonts w:ascii="Times New Roman" w:hAnsi="Times New Roman"/>
          <w:b/>
          <w:bCs/>
          <w:iCs/>
        </w:rPr>
      </w:pPr>
      <w:r w:rsidRPr="00D81712">
        <w:rPr>
          <w:rFonts w:ascii="Times New Roman" w:hAnsi="Times New Roman"/>
          <w:b/>
          <w:bCs/>
          <w:iCs/>
        </w:rPr>
        <w:t xml:space="preserve">Provide estimates of annualized cost to respondents for the hour burdens for collections of information, identifying and using appropriate wage rate </w:t>
      </w:r>
      <w:r w:rsidRPr="00D81712">
        <w:rPr>
          <w:rFonts w:ascii="Times New Roman" w:hAnsi="Times New Roman"/>
          <w:b/>
          <w:bCs/>
          <w:iCs/>
        </w:rPr>
        <w:t>categories.</w:t>
      </w:r>
      <w:r w:rsidR="00D2655D">
        <w:rPr>
          <w:rFonts w:ascii="Times New Roman" w:hAnsi="Times New Roman"/>
          <w:b/>
          <w:bCs/>
          <w:iCs/>
        </w:rPr>
        <w:t xml:space="preserve"> </w:t>
      </w:r>
      <w:r w:rsidRPr="00D81712">
        <w:rPr>
          <w:rFonts w:ascii="Times New Roman" w:hAnsi="Times New Roman"/>
          <w:b/>
          <w:bCs/>
          <w:iCs/>
        </w:rPr>
        <w:t>The cost of contracting out or paying outside parties for information collection activities should not be included here.</w:t>
      </w:r>
      <w:r w:rsidR="00D2655D">
        <w:rPr>
          <w:rFonts w:ascii="Times New Roman" w:hAnsi="Times New Roman"/>
          <w:b/>
          <w:bCs/>
          <w:iCs/>
        </w:rPr>
        <w:t xml:space="preserve"> </w:t>
      </w:r>
      <w:r w:rsidRPr="00D81712">
        <w:rPr>
          <w:rFonts w:ascii="Times New Roman" w:hAnsi="Times New Roman"/>
          <w:b/>
          <w:bCs/>
          <w:iCs/>
        </w:rPr>
        <w:t>Instead, this cost should be included in Item 13.</w:t>
      </w:r>
    </w:p>
    <w:p w:rsidR="00FC78C7" w:rsidRPr="00F034F7" w:rsidP="00616AF7" w14:paraId="6DFE45CF" w14:textId="77777777">
      <w:pPr>
        <w:ind w:left="720"/>
        <w:rPr>
          <w:rFonts w:ascii="Times New Roman" w:hAnsi="Times New Roman"/>
        </w:rPr>
      </w:pPr>
    </w:p>
    <w:p w:rsidR="005E1B71" w:rsidRPr="009F4D51" w:rsidP="009F4D51" w14:paraId="278AA458" w14:textId="5AD2F95F">
      <w:pPr>
        <w:widowControl/>
        <w:ind w:left="720"/>
        <w:rPr>
          <w:rFonts w:ascii="Times New Roman" w:hAnsi="Times New Roman"/>
        </w:rPr>
      </w:pPr>
      <w:r>
        <w:rPr>
          <w:rFonts w:ascii="Times New Roman" w:hAnsi="Times New Roman"/>
        </w:rPr>
        <w:t>The Department assumes that health plan issuers will utilize the model language provided by the Departmen</w:t>
      </w:r>
      <w:r w:rsidRPr="00777B0A">
        <w:rPr>
          <w:rFonts w:ascii="Times New Roman" w:hAnsi="Times New Roman"/>
        </w:rPr>
        <w:t>t.</w:t>
      </w:r>
      <w:r w:rsidRPr="003063D1">
        <w:rPr>
          <w:rFonts w:ascii="Times New Roman" w:hAnsi="Times New Roman"/>
        </w:rPr>
        <w:t xml:space="preserve"> Service providers for group health plans typically offer bundled services that include the creation and distribution of disclosure materials, such as the </w:t>
      </w:r>
      <w:r w:rsidR="009200AC">
        <w:rPr>
          <w:rFonts w:ascii="Times New Roman" w:hAnsi="Times New Roman"/>
        </w:rPr>
        <w:t>SPD</w:t>
      </w:r>
      <w:r w:rsidRPr="003063D1">
        <w:rPr>
          <w:rFonts w:ascii="Times New Roman" w:hAnsi="Times New Roman"/>
        </w:rPr>
        <w:t>.</w:t>
      </w:r>
      <w:r w:rsidRPr="00777B0A">
        <w:rPr>
          <w:rFonts w:ascii="Times New Roman" w:hAnsi="Times New Roman"/>
        </w:rPr>
        <w:t xml:space="preserve"> As </w:t>
      </w:r>
      <w:r>
        <w:rPr>
          <w:rFonts w:ascii="Times New Roman" w:hAnsi="Times New Roman"/>
        </w:rPr>
        <w:t xml:space="preserve">the Department assumes that the model language will be </w:t>
      </w:r>
      <w:r w:rsidR="009200AC">
        <w:rPr>
          <w:rFonts w:ascii="Times New Roman" w:hAnsi="Times New Roman"/>
        </w:rPr>
        <w:t>sent</w:t>
      </w:r>
      <w:r>
        <w:rPr>
          <w:rFonts w:ascii="Times New Roman" w:hAnsi="Times New Roman"/>
        </w:rPr>
        <w:t xml:space="preserve"> to the service provider developing the notice by the health plan issuer</w:t>
      </w:r>
      <w:r w:rsidRPr="00777B0A">
        <w:rPr>
          <w:rFonts w:ascii="Times New Roman" w:hAnsi="Times New Roman"/>
        </w:rPr>
        <w:t>, the preparation costs for the special enrollment notice are de minimis</w:t>
      </w:r>
      <w:r>
        <w:rPr>
          <w:rFonts w:ascii="Times New Roman" w:hAnsi="Times New Roman"/>
        </w:rPr>
        <w:t>.</w:t>
      </w:r>
      <w:r w:rsidRPr="00E41760" w:rsidR="00E41760">
        <w:rPr>
          <w:rFonts w:ascii="Times New Roman" w:hAnsi="Times New Roman"/>
        </w:rPr>
        <w:t xml:space="preserve"> </w:t>
      </w:r>
      <w:r w:rsidRPr="00F034F7" w:rsidR="00E41760">
        <w:rPr>
          <w:rFonts w:ascii="Times New Roman" w:hAnsi="Times New Roman"/>
        </w:rPr>
        <w:t>For the plans</w:t>
      </w:r>
      <w:r w:rsidR="00E41760">
        <w:rPr>
          <w:rFonts w:ascii="Times New Roman" w:hAnsi="Times New Roman"/>
        </w:rPr>
        <w:t>,</w:t>
      </w:r>
      <w:r w:rsidRPr="00F034F7" w:rsidR="00E41760">
        <w:rPr>
          <w:rFonts w:ascii="Times New Roman" w:hAnsi="Times New Roman"/>
        </w:rPr>
        <w:t xml:space="preserve"> the addition of the special enrollment </w:t>
      </w:r>
      <w:r w:rsidRPr="00F034F7" w:rsidR="00E41760">
        <w:rPr>
          <w:rFonts w:ascii="Times New Roman" w:hAnsi="Times New Roman"/>
        </w:rPr>
        <w:t>notice</w:t>
      </w:r>
      <w:r w:rsidRPr="00F034F7" w:rsidR="00E41760">
        <w:rPr>
          <w:rFonts w:ascii="Times New Roman" w:hAnsi="Times New Roman"/>
        </w:rPr>
        <w:t xml:space="preserve"> to the already prepared and routinely distributed plan materials will be inconsequential. </w:t>
      </w:r>
      <w:r w:rsidR="00E41760">
        <w:rPr>
          <w:rFonts w:ascii="Times New Roman" w:hAnsi="Times New Roman"/>
        </w:rPr>
        <w:t>Even as other plan materials are revised, once added to a plan document, this notice will not need to be revised.</w:t>
      </w:r>
    </w:p>
    <w:p w:rsidR="0079183E" w:rsidRPr="00F034F7" w:rsidP="000B1938" w14:paraId="0C148430" w14:textId="77777777">
      <w:pPr>
        <w:rPr>
          <w:rFonts w:ascii="Times New Roman" w:hAnsi="Times New Roman"/>
        </w:rPr>
      </w:pPr>
    </w:p>
    <w:p w:rsidR="0007410A" w:rsidRPr="0007410A" w:rsidP="0007410A" w14:paraId="0A1FCB94" w14:textId="798D02A6">
      <w:pPr>
        <w:pStyle w:val="Quick1"/>
        <w:rPr>
          <w:b/>
          <w:bCs/>
          <w:i w:val="0"/>
        </w:rPr>
      </w:pPr>
      <w:r w:rsidRPr="0007410A">
        <w:rPr>
          <w:b/>
          <w:bCs/>
          <w:i w:val="0"/>
        </w:rPr>
        <w:t>Provide an estimate of the total annual cost burden to respondents or record</w:t>
      </w:r>
      <w:r w:rsidR="00D2655D">
        <w:rPr>
          <w:b/>
          <w:bCs/>
          <w:i w:val="0"/>
        </w:rPr>
        <w:t xml:space="preserve"> </w:t>
      </w:r>
    </w:p>
    <w:p w:rsidR="0007410A" w:rsidRPr="0007410A" w:rsidP="0007410A" w14:paraId="00D1B1B4" w14:textId="1FAC5B0B">
      <w:pPr>
        <w:ind w:left="720"/>
        <w:rPr>
          <w:rFonts w:ascii="Times New Roman" w:hAnsi="Times New Roman"/>
          <w:b/>
          <w:bCs/>
          <w:iCs/>
        </w:rPr>
      </w:pPr>
      <w:r w:rsidRPr="0007410A">
        <w:rPr>
          <w:rFonts w:ascii="Times New Roman" w:hAnsi="Times New Roman"/>
          <w:b/>
          <w:bCs/>
          <w:iCs/>
        </w:rPr>
        <w:t>keepers resulting from the collection of information.</w:t>
      </w:r>
      <w:r w:rsidR="00D2655D">
        <w:rPr>
          <w:rFonts w:ascii="Times New Roman" w:hAnsi="Times New Roman"/>
          <w:b/>
          <w:bCs/>
          <w:iCs/>
        </w:rPr>
        <w:t xml:space="preserve"> </w:t>
      </w:r>
      <w:r w:rsidRPr="0007410A">
        <w:rPr>
          <w:rFonts w:ascii="Times New Roman" w:hAnsi="Times New Roman"/>
          <w:b/>
          <w:bCs/>
          <w:iCs/>
        </w:rPr>
        <w:t>(Do not include the cost of any hour burden shown in Items 12 or 14).</w:t>
      </w:r>
    </w:p>
    <w:p w:rsidR="0007410A" w:rsidRPr="0007410A" w:rsidP="0007410A" w14:paraId="079AFE11" w14:textId="5213847D">
      <w:pPr>
        <w:numPr>
          <w:ilvl w:val="0"/>
          <w:numId w:val="16"/>
        </w:numPr>
        <w:rPr>
          <w:rFonts w:ascii="Times New Roman" w:hAnsi="Times New Roman"/>
          <w:b/>
          <w:bCs/>
          <w:iCs/>
        </w:rPr>
      </w:pPr>
      <w:r w:rsidRPr="0007410A">
        <w:rPr>
          <w:rFonts w:ascii="Times New Roman" w:hAnsi="Times New Roman"/>
          <w:b/>
          <w:bCs/>
          <w:iCs/>
        </w:rPr>
        <w:t>The cost estimate should be split into 2 components:</w:t>
      </w:r>
      <w:r w:rsidR="00D2655D">
        <w:rPr>
          <w:rFonts w:ascii="Times New Roman" w:hAnsi="Times New Roman"/>
          <w:b/>
          <w:bCs/>
          <w:iCs/>
        </w:rPr>
        <w:t xml:space="preserve"> </w:t>
      </w:r>
      <w:r w:rsidRPr="0007410A">
        <w:rPr>
          <w:rFonts w:ascii="Times New Roman" w:hAnsi="Times New Roman"/>
          <w:b/>
          <w:bCs/>
          <w:iCs/>
        </w:rPr>
        <w:t>(a) a total capital and start up cost component (annualized over its expected useful life); and (b) a total operation and maintenance and purchase of service component.</w:t>
      </w:r>
      <w:r w:rsidR="00D2655D">
        <w:rPr>
          <w:rFonts w:ascii="Times New Roman" w:hAnsi="Times New Roman"/>
          <w:b/>
          <w:bCs/>
          <w:iCs/>
        </w:rPr>
        <w:t xml:space="preserve"> </w:t>
      </w:r>
      <w:r w:rsidRPr="0007410A">
        <w:rPr>
          <w:rFonts w:ascii="Times New Roman" w:hAnsi="Times New Roman"/>
          <w:b/>
          <w:bCs/>
          <w:iCs/>
        </w:rPr>
        <w:t xml:space="preserve">The estimates should </w:t>
      </w:r>
      <w:r w:rsidRPr="0007410A">
        <w:rPr>
          <w:rFonts w:ascii="Times New Roman" w:hAnsi="Times New Roman"/>
          <w:b/>
          <w:bCs/>
          <w:iCs/>
        </w:rPr>
        <w:t>take into account</w:t>
      </w:r>
      <w:r w:rsidRPr="0007410A">
        <w:rPr>
          <w:rFonts w:ascii="Times New Roman" w:hAnsi="Times New Roman"/>
          <w:b/>
          <w:bCs/>
          <w:iCs/>
        </w:rPr>
        <w:t xml:space="preserve"> costs associated with generating, maintaining, and disclosing or providing the information.</w:t>
      </w:r>
      <w:r w:rsidR="00D2655D">
        <w:rPr>
          <w:rFonts w:ascii="Times New Roman" w:hAnsi="Times New Roman"/>
          <w:b/>
          <w:bCs/>
          <w:iCs/>
        </w:rPr>
        <w:t xml:space="preserve"> </w:t>
      </w:r>
      <w:r w:rsidRPr="0007410A">
        <w:rPr>
          <w:rFonts w:ascii="Times New Roman" w:hAnsi="Times New Roman"/>
          <w:b/>
          <w:bCs/>
          <w:iCs/>
        </w:rPr>
        <w:t xml:space="preserve">Include descriptions of methods used to estimate major cost factors including system and technology acquisition, expected useful life of capital equipment, the discount rate(s), and the </w:t>
      </w:r>
      <w:r w:rsidRPr="0007410A">
        <w:rPr>
          <w:rFonts w:ascii="Times New Roman" w:hAnsi="Times New Roman"/>
          <w:b/>
          <w:bCs/>
          <w:iCs/>
        </w:rPr>
        <w:t>time period</w:t>
      </w:r>
      <w:r w:rsidRPr="0007410A">
        <w:rPr>
          <w:rFonts w:ascii="Times New Roman" w:hAnsi="Times New Roman"/>
          <w:b/>
          <w:bCs/>
          <w:iCs/>
        </w:rPr>
        <w:t xml:space="preserve"> over which costs will be incurred.</w:t>
      </w:r>
      <w:r w:rsidR="00D2655D">
        <w:rPr>
          <w:rFonts w:ascii="Times New Roman" w:hAnsi="Times New Roman"/>
          <w:b/>
          <w:bCs/>
          <w:iCs/>
        </w:rPr>
        <w:t xml:space="preserve"> </w:t>
      </w:r>
      <w:r w:rsidRPr="0007410A">
        <w:rPr>
          <w:rFonts w:ascii="Times New Roman" w:hAnsi="Times New Roman"/>
          <w:b/>
          <w:bCs/>
          <w:iCs/>
        </w:rPr>
        <w:t>Capital and start-up costs include, among other items, preparations for collecting information such as purchasing computers and software; monitoring, sampling, drilling and testing equipment; and record storage facilities. </w:t>
      </w:r>
    </w:p>
    <w:p w:rsidR="00157A85" w:rsidRPr="009200AC" w:rsidP="000B1938" w14:paraId="3214373F" w14:textId="378FA5EA">
      <w:pPr>
        <w:numPr>
          <w:ilvl w:val="0"/>
          <w:numId w:val="16"/>
        </w:numPr>
        <w:rPr>
          <w:rFonts w:ascii="Times New Roman" w:hAnsi="Times New Roman"/>
        </w:rPr>
      </w:pPr>
      <w:r w:rsidRPr="0007410A">
        <w:rPr>
          <w:rFonts w:ascii="Times New Roman" w:hAnsi="Times New Roman"/>
          <w:b/>
          <w:bCs/>
          <w:iCs/>
        </w:rPr>
        <w:t>If cost estimates are expected to vary widely, agencies should present ranges of cost burdens and explain the reasons for the variance.</w:t>
      </w:r>
      <w:r w:rsidR="00D2655D">
        <w:rPr>
          <w:rFonts w:ascii="Times New Roman" w:hAnsi="Times New Roman"/>
          <w:b/>
          <w:bCs/>
          <w:iCs/>
        </w:rPr>
        <w:t xml:space="preserve"> </w:t>
      </w:r>
      <w:r w:rsidRPr="0007410A">
        <w:rPr>
          <w:rFonts w:ascii="Times New Roman" w:hAnsi="Times New Roman"/>
          <w:b/>
          <w:bCs/>
          <w:iCs/>
        </w:rPr>
        <w:t>The cost of purchasing or contracting out information collection services should be a part of this cost burden estimate.</w:t>
      </w:r>
      <w:r w:rsidR="00D2655D">
        <w:rPr>
          <w:rFonts w:ascii="Times New Roman" w:hAnsi="Times New Roman"/>
          <w:b/>
          <w:bCs/>
          <w:iCs/>
        </w:rPr>
        <w:t xml:space="preserve"> </w:t>
      </w:r>
      <w:r w:rsidRPr="0007410A">
        <w:rPr>
          <w:rFonts w:ascii="Times New Roman" w:hAnsi="Times New Roman"/>
          <w:b/>
          <w:bCs/>
          <w:iCs/>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E41760" w:rsidP="001B168B" w14:paraId="04A8D56F" w14:textId="59727F20">
      <w:pPr>
        <w:rPr>
          <w:rFonts w:ascii="Times New Roman" w:hAnsi="Times New Roman"/>
        </w:rPr>
      </w:pPr>
    </w:p>
    <w:p w:rsidR="00E41760" w:rsidP="00E41760" w14:paraId="486B8A1E" w14:textId="1883DC9F">
      <w:pPr>
        <w:widowControl/>
        <w:ind w:left="720"/>
        <w:rPr>
          <w:rFonts w:ascii="Times New Roman" w:hAnsi="Times New Roman"/>
        </w:rPr>
      </w:pPr>
      <w:r w:rsidRPr="00F034F7">
        <w:rPr>
          <w:rFonts w:ascii="Times New Roman" w:hAnsi="Times New Roman"/>
        </w:rPr>
        <w:t xml:space="preserve">The Department </w:t>
      </w:r>
      <w:r w:rsidRPr="00F034F7" w:rsidR="009200AC">
        <w:rPr>
          <w:rFonts w:ascii="Times New Roman" w:hAnsi="Times New Roman"/>
        </w:rPr>
        <w:t>has estimated</w:t>
      </w:r>
      <w:r w:rsidRPr="00F034F7">
        <w:rPr>
          <w:rFonts w:ascii="Times New Roman" w:hAnsi="Times New Roman"/>
        </w:rPr>
        <w:t xml:space="preserve"> the number of notices (responses) that will be provided annually by </w:t>
      </w:r>
      <w:r>
        <w:rPr>
          <w:rFonts w:ascii="Times New Roman" w:hAnsi="Times New Roman"/>
        </w:rPr>
        <w:t>utilizing</w:t>
      </w:r>
      <w:r w:rsidRPr="00F034F7">
        <w:rPr>
          <w:rFonts w:ascii="Times New Roman" w:hAnsi="Times New Roman"/>
        </w:rPr>
        <w:t xml:space="preserve"> data on the number of new employees hired in a year who will be </w:t>
      </w:r>
      <w:r w:rsidRPr="00F034F7">
        <w:rPr>
          <w:rFonts w:ascii="Times New Roman" w:hAnsi="Times New Roman"/>
        </w:rPr>
        <w:t xml:space="preserve">given </w:t>
      </w:r>
      <w:r>
        <w:rPr>
          <w:rFonts w:ascii="Times New Roman" w:hAnsi="Times New Roman"/>
        </w:rPr>
        <w:t xml:space="preserve">the </w:t>
      </w:r>
      <w:r w:rsidRPr="00F034F7">
        <w:rPr>
          <w:rFonts w:ascii="Times New Roman" w:hAnsi="Times New Roman"/>
        </w:rPr>
        <w:t>opportunity to enroll in a private-sector group health plan.</w:t>
      </w:r>
      <w:r>
        <w:rPr>
          <w:rFonts w:ascii="Times New Roman" w:hAnsi="Times New Roman"/>
        </w:rPr>
        <w:t xml:space="preserve"> </w:t>
      </w:r>
      <w:r w:rsidRPr="00F034F7">
        <w:rPr>
          <w:rFonts w:ascii="Times New Roman" w:hAnsi="Times New Roman"/>
        </w:rPr>
        <w:t xml:space="preserve">According to the Medical Expenditure Panel Survey Household Component (MEPS-HC), in </w:t>
      </w:r>
      <w:r>
        <w:rPr>
          <w:rFonts w:ascii="Times New Roman" w:hAnsi="Times New Roman"/>
        </w:rPr>
        <w:t>2022</w:t>
      </w:r>
      <w:r w:rsidRPr="009E2528">
        <w:rPr>
          <w:rFonts w:ascii="Times New Roman" w:hAnsi="Times New Roman"/>
        </w:rPr>
        <w:t>,</w:t>
      </w:r>
      <w:r>
        <w:rPr>
          <w:rFonts w:ascii="Times New Roman" w:hAnsi="Times New Roman"/>
        </w:rPr>
        <w:t xml:space="preserve"> 10,585,910</w:t>
      </w:r>
      <w:r w:rsidRPr="009E2528">
        <w:rPr>
          <w:rFonts w:ascii="Times New Roman" w:hAnsi="Times New Roman"/>
        </w:rPr>
        <w:t xml:space="preserve"> individuals were estimated to have started jobs that offered them private employer-sponsored health insurance.</w:t>
      </w:r>
      <w:r>
        <w:rPr>
          <w:rFonts w:ascii="Times New Roman" w:hAnsi="Times New Roman"/>
        </w:rPr>
        <w:t xml:space="preserve"> </w:t>
      </w:r>
      <w:r w:rsidRPr="009E2528">
        <w:rPr>
          <w:rFonts w:ascii="Times New Roman" w:hAnsi="Times New Roman"/>
        </w:rPr>
        <w:t xml:space="preserve">Therefore, the Department </w:t>
      </w:r>
      <w:r w:rsidR="00DB0FBC">
        <w:rPr>
          <w:rFonts w:ascii="Times New Roman" w:hAnsi="Times New Roman"/>
        </w:rPr>
        <w:t>assumes</w:t>
      </w:r>
      <w:r w:rsidR="000B1938">
        <w:rPr>
          <w:rFonts w:ascii="Times New Roman" w:hAnsi="Times New Roman"/>
        </w:rPr>
        <w:t xml:space="preserve"> </w:t>
      </w:r>
      <w:r w:rsidRPr="009E2528">
        <w:rPr>
          <w:rFonts w:ascii="Times New Roman" w:hAnsi="Times New Roman"/>
        </w:rPr>
        <w:t xml:space="preserve">that </w:t>
      </w:r>
      <w:r>
        <w:rPr>
          <w:rFonts w:ascii="Times New Roman" w:hAnsi="Times New Roman"/>
        </w:rPr>
        <w:t>10,585,910</w:t>
      </w:r>
      <w:r w:rsidRPr="009E2528">
        <w:rPr>
          <w:rFonts w:ascii="Times New Roman" w:hAnsi="Times New Roman"/>
        </w:rPr>
        <w:t xml:space="preserve"> special enrollment notices will be provided annually.</w:t>
      </w:r>
      <w:r>
        <w:rPr>
          <w:rFonts w:ascii="Times New Roman" w:hAnsi="Times New Roman"/>
        </w:rPr>
        <w:t xml:space="preserve"> </w:t>
      </w:r>
    </w:p>
    <w:p w:rsidR="00E41760" w:rsidP="00E41760" w14:paraId="6C8996B8" w14:textId="77777777">
      <w:pPr>
        <w:widowControl/>
        <w:ind w:left="720"/>
        <w:rPr>
          <w:rFonts w:ascii="Times New Roman" w:hAnsi="Times New Roman"/>
        </w:rPr>
      </w:pPr>
    </w:p>
    <w:p w:rsidR="0079183E" w:rsidP="00E41760" w14:paraId="34F122D1" w14:textId="3085AB7A">
      <w:pPr>
        <w:widowControl/>
        <w:ind w:left="720"/>
        <w:rPr>
          <w:rFonts w:ascii="Times New Roman" w:hAnsi="Times New Roman"/>
        </w:rPr>
      </w:pPr>
      <w:r>
        <w:rPr>
          <w:rFonts w:ascii="Times New Roman" w:hAnsi="Times New Roman"/>
        </w:rPr>
        <w:t>Additionally, the Department assumes that 58.</w:t>
      </w:r>
      <w:r w:rsidR="00C92159">
        <w:rPr>
          <w:rFonts w:ascii="Times New Roman" w:hAnsi="Times New Roman"/>
        </w:rPr>
        <w:t>3</w:t>
      </w:r>
      <w:r>
        <w:rPr>
          <w:rFonts w:ascii="Times New Roman" w:hAnsi="Times New Roman"/>
        </w:rPr>
        <w:t>% of the notices will be provided electronically at no additional cost,</w:t>
      </w:r>
      <w:r>
        <w:rPr>
          <w:rStyle w:val="FootnoteReference"/>
          <w:rFonts w:ascii="Times New Roman" w:hAnsi="Times New Roman"/>
          <w:vertAlign w:val="superscript"/>
        </w:rPr>
        <w:footnoteReference w:id="2"/>
      </w:r>
      <w:r w:rsidRPr="001B168B">
        <w:rPr>
          <w:rFonts w:ascii="Times New Roman" w:hAnsi="Times New Roman"/>
          <w:vertAlign w:val="superscript"/>
        </w:rPr>
        <w:t xml:space="preserve"> </w:t>
      </w:r>
      <w:r>
        <w:rPr>
          <w:rFonts w:ascii="Times New Roman" w:hAnsi="Times New Roman"/>
        </w:rPr>
        <w:t>while 41.</w:t>
      </w:r>
      <w:r w:rsidR="00C92159">
        <w:rPr>
          <w:rFonts w:ascii="Times New Roman" w:hAnsi="Times New Roman"/>
        </w:rPr>
        <w:t>7</w:t>
      </w:r>
      <w:r>
        <w:rPr>
          <w:rFonts w:ascii="Times New Roman" w:hAnsi="Times New Roman"/>
        </w:rPr>
        <w:t xml:space="preserve">% will be paper notices that are mailed to participants and beneficiaries at a cost of $0.05 per notice for materials. As this notice is provided with the SPD, no mailing costs are estimated for this notice. Please see Table </w:t>
      </w:r>
      <w:r w:rsidR="003063D1">
        <w:rPr>
          <w:rFonts w:ascii="Times New Roman" w:hAnsi="Times New Roman"/>
        </w:rPr>
        <w:t>1</w:t>
      </w:r>
      <w:r>
        <w:rPr>
          <w:rFonts w:ascii="Times New Roman" w:hAnsi="Times New Roman"/>
        </w:rPr>
        <w:t xml:space="preserve"> for calculations and burden.</w:t>
      </w:r>
    </w:p>
    <w:p w:rsidR="00E41760" w:rsidP="00616AF7" w14:paraId="1528E67C" w14:textId="77777777">
      <w:pPr>
        <w:ind w:left="720"/>
        <w:rPr>
          <w:rFonts w:ascii="Times New Roman" w:hAnsi="Times New Roman"/>
        </w:rPr>
      </w:pPr>
    </w:p>
    <w:p w:rsidR="00E41760" w:rsidP="00616AF7" w14:paraId="61A007A5" w14:textId="56391143">
      <w:pPr>
        <w:ind w:left="720"/>
        <w:rPr>
          <w:rFonts w:ascii="Times New Roman" w:hAnsi="Times New Roman"/>
        </w:rPr>
      </w:pPr>
      <w:r w:rsidRPr="00F034F7">
        <w:rPr>
          <w:rFonts w:ascii="Times New Roman" w:hAnsi="Times New Roman"/>
        </w:rPr>
        <w:t>For purposes of paperwork burden analysis, the Departments of Labor and the Treasury share the burden of this requirement equally because the two Departments share enforcement jurisdiction against group health plans and employers under the HIPAA portability provisions (see section 701 of ERISA and section 9801 of the Internal Revenue Code).</w:t>
      </w:r>
      <w:r>
        <w:rPr>
          <w:rStyle w:val="FootnoteReference"/>
          <w:rFonts w:ascii="Times New Roman" w:hAnsi="Times New Roman"/>
          <w:vertAlign w:val="superscript"/>
        </w:rPr>
        <w:footnoteReference w:id="3"/>
      </w:r>
      <w:r w:rsidR="001B168B">
        <w:rPr>
          <w:rFonts w:ascii="Times New Roman" w:hAnsi="Times New Roman"/>
        </w:rPr>
        <w:t xml:space="preserve"> </w:t>
      </w:r>
      <w:r>
        <w:rPr>
          <w:rFonts w:ascii="Times New Roman" w:hAnsi="Times New Roman"/>
        </w:rPr>
        <w:t xml:space="preserve">Please see Table </w:t>
      </w:r>
      <w:r w:rsidR="003063D1">
        <w:rPr>
          <w:rFonts w:ascii="Times New Roman" w:hAnsi="Times New Roman"/>
        </w:rPr>
        <w:t>1</w:t>
      </w:r>
      <w:r>
        <w:rPr>
          <w:rFonts w:ascii="Times New Roman" w:hAnsi="Times New Roman"/>
        </w:rPr>
        <w:t xml:space="preserve"> for calculations and total burden.</w:t>
      </w:r>
    </w:p>
    <w:p w:rsidR="00E41760" w:rsidP="00616AF7" w14:paraId="41A7504E" w14:textId="77777777">
      <w:pPr>
        <w:ind w:left="720"/>
        <w:rPr>
          <w:rFonts w:ascii="Times New Roman" w:hAnsi="Times New Roman"/>
        </w:rPr>
      </w:pPr>
    </w:p>
    <w:p w:rsidR="002662DB" w:rsidP="002662DB" w14:paraId="24B64DA1" w14:textId="2982135F">
      <w:pPr>
        <w:ind w:left="720"/>
        <w:jc w:val="center"/>
        <w:rPr>
          <w:rFonts w:ascii="Times New Roman" w:hAnsi="Times New Roman"/>
          <w:b/>
          <w:bCs/>
        </w:rPr>
      </w:pPr>
      <w:r>
        <w:rPr>
          <w:rFonts w:ascii="Times New Roman" w:hAnsi="Times New Roman"/>
          <w:b/>
          <w:bCs/>
        </w:rPr>
        <w:t xml:space="preserve">Table </w:t>
      </w:r>
      <w:r w:rsidR="003063D1">
        <w:rPr>
          <w:rFonts w:ascii="Times New Roman" w:hAnsi="Times New Roman"/>
          <w:b/>
          <w:bCs/>
        </w:rPr>
        <w:t>1</w:t>
      </w:r>
      <w:r>
        <w:rPr>
          <w:rFonts w:ascii="Times New Roman" w:hAnsi="Times New Roman"/>
          <w:b/>
          <w:bCs/>
        </w:rPr>
        <w:t xml:space="preserve">. </w:t>
      </w:r>
      <w:r w:rsidRPr="00C55BCE">
        <w:rPr>
          <w:rFonts w:ascii="Times New Roman" w:hAnsi="Times New Roman"/>
          <w:b/>
          <w:bCs/>
        </w:rPr>
        <w:t>Estimated Annualized Cost Burden</w:t>
      </w:r>
    </w:p>
    <w:p w:rsidR="001D5688" w:rsidRPr="00C55BCE" w:rsidP="002662DB" w14:paraId="03A1D9BF" w14:textId="77777777">
      <w:pPr>
        <w:ind w:left="720"/>
        <w:jc w:val="center"/>
        <w:rPr>
          <w:rFonts w:ascii="Times New Roman" w:hAnsi="Times New Roman"/>
          <w:b/>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1596"/>
        <w:gridCol w:w="1352"/>
        <w:gridCol w:w="1176"/>
        <w:gridCol w:w="1228"/>
        <w:gridCol w:w="1577"/>
      </w:tblGrid>
      <w:tr w14:paraId="119723A5" w14:textId="77777777" w:rsidTr="00C92159">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701" w:type="dxa"/>
            <w:shd w:val="clear" w:color="auto" w:fill="auto"/>
          </w:tcPr>
          <w:p w:rsidR="00E41760" w:rsidRPr="00B2380C" w:rsidP="008407B0" w14:paraId="00CCD9DB" w14:textId="77777777">
            <w:pPr>
              <w:rPr>
                <w:rFonts w:ascii="Times New Roman" w:hAnsi="Times New Roman"/>
                <w:b/>
                <w:bCs/>
              </w:rPr>
            </w:pPr>
            <w:r w:rsidRPr="00B2380C">
              <w:rPr>
                <w:rFonts w:ascii="Times New Roman" w:hAnsi="Times New Roman"/>
                <w:b/>
                <w:bCs/>
              </w:rPr>
              <w:t>Activity</w:t>
            </w:r>
          </w:p>
        </w:tc>
        <w:tc>
          <w:tcPr>
            <w:tcW w:w="1596" w:type="dxa"/>
            <w:shd w:val="clear" w:color="auto" w:fill="auto"/>
          </w:tcPr>
          <w:p w:rsidR="00E41760" w:rsidRPr="00B2380C" w:rsidP="008407B0" w14:paraId="4DCE5B28" w14:textId="77777777">
            <w:pPr>
              <w:jc w:val="center"/>
              <w:rPr>
                <w:rFonts w:ascii="Times New Roman" w:hAnsi="Times New Roman"/>
                <w:b/>
                <w:bCs/>
              </w:rPr>
            </w:pPr>
            <w:r w:rsidRPr="00B2380C">
              <w:rPr>
                <w:rFonts w:ascii="Times New Roman" w:hAnsi="Times New Roman"/>
                <w:b/>
                <w:bCs/>
              </w:rPr>
              <w:t>Notices</w:t>
            </w:r>
          </w:p>
        </w:tc>
        <w:tc>
          <w:tcPr>
            <w:tcW w:w="1352" w:type="dxa"/>
            <w:shd w:val="clear" w:color="auto" w:fill="auto"/>
          </w:tcPr>
          <w:p w:rsidR="00E41760" w:rsidRPr="00B2380C" w:rsidP="008407B0" w14:paraId="008BFB02" w14:textId="6436B25E">
            <w:pPr>
              <w:jc w:val="center"/>
              <w:rPr>
                <w:rFonts w:ascii="Times New Roman" w:hAnsi="Times New Roman"/>
                <w:b/>
                <w:bCs/>
              </w:rPr>
            </w:pPr>
            <w:r>
              <w:rPr>
                <w:rFonts w:ascii="Times New Roman" w:hAnsi="Times New Roman"/>
                <w:b/>
                <w:bCs/>
              </w:rPr>
              <w:t>Mailing Rate</w:t>
            </w:r>
          </w:p>
        </w:tc>
        <w:tc>
          <w:tcPr>
            <w:tcW w:w="1176" w:type="dxa"/>
          </w:tcPr>
          <w:p w:rsidR="00E41760" w:rsidP="008407B0" w14:paraId="3EBF7F46" w14:textId="519A399F">
            <w:pPr>
              <w:jc w:val="center"/>
              <w:rPr>
                <w:rFonts w:ascii="Times New Roman" w:hAnsi="Times New Roman"/>
                <w:b/>
                <w:bCs/>
              </w:rPr>
            </w:pPr>
            <w:r>
              <w:rPr>
                <w:rFonts w:ascii="Times New Roman" w:hAnsi="Times New Roman"/>
                <w:b/>
                <w:bCs/>
              </w:rPr>
              <w:t>Mailed Notices</w:t>
            </w:r>
          </w:p>
        </w:tc>
        <w:tc>
          <w:tcPr>
            <w:tcW w:w="1228" w:type="dxa"/>
          </w:tcPr>
          <w:p w:rsidR="00E41760" w:rsidRPr="00B2380C" w:rsidP="008407B0" w14:paraId="705BA59B" w14:textId="581E2B0B">
            <w:pPr>
              <w:jc w:val="center"/>
              <w:rPr>
                <w:rFonts w:ascii="Times New Roman" w:hAnsi="Times New Roman"/>
                <w:b/>
                <w:bCs/>
              </w:rPr>
            </w:pPr>
            <w:r>
              <w:rPr>
                <w:rFonts w:ascii="Times New Roman" w:hAnsi="Times New Roman"/>
                <w:b/>
                <w:bCs/>
              </w:rPr>
              <w:t>Cost Per Notice</w:t>
            </w:r>
          </w:p>
        </w:tc>
        <w:tc>
          <w:tcPr>
            <w:tcW w:w="1577" w:type="dxa"/>
            <w:shd w:val="clear" w:color="auto" w:fill="auto"/>
          </w:tcPr>
          <w:p w:rsidR="00E41760" w:rsidRPr="00B2380C" w:rsidP="008407B0" w14:paraId="152922C4" w14:textId="71BCBAEA">
            <w:pPr>
              <w:jc w:val="center"/>
              <w:rPr>
                <w:rFonts w:ascii="Times New Roman" w:hAnsi="Times New Roman"/>
                <w:b/>
                <w:bCs/>
              </w:rPr>
            </w:pPr>
            <w:r w:rsidRPr="00B2380C">
              <w:rPr>
                <w:rFonts w:ascii="Times New Roman" w:hAnsi="Times New Roman"/>
                <w:b/>
                <w:bCs/>
              </w:rPr>
              <w:t>Total Cost</w:t>
            </w:r>
          </w:p>
        </w:tc>
      </w:tr>
      <w:tr w14:paraId="6F6D107C" w14:textId="77777777" w:rsidTr="00C92159">
        <w:tblPrEx>
          <w:tblW w:w="0" w:type="auto"/>
          <w:tblInd w:w="720" w:type="dxa"/>
          <w:tblLook w:val="04A0"/>
        </w:tblPrEx>
        <w:tc>
          <w:tcPr>
            <w:tcW w:w="1701" w:type="dxa"/>
            <w:shd w:val="clear" w:color="auto" w:fill="auto"/>
          </w:tcPr>
          <w:p w:rsidR="00E41760" w:rsidRPr="00B2380C" w:rsidP="008407B0" w14:paraId="583AA941" w14:textId="77777777">
            <w:pPr>
              <w:rPr>
                <w:rFonts w:ascii="Times New Roman" w:hAnsi="Times New Roman"/>
                <w:b/>
                <w:bCs/>
              </w:rPr>
            </w:pPr>
          </w:p>
        </w:tc>
        <w:tc>
          <w:tcPr>
            <w:tcW w:w="1596" w:type="dxa"/>
            <w:shd w:val="clear" w:color="auto" w:fill="auto"/>
          </w:tcPr>
          <w:p w:rsidR="00E41760" w:rsidRPr="00B2380C" w:rsidP="008407B0" w14:paraId="5D7BF8EE" w14:textId="03FECCF8">
            <w:pPr>
              <w:jc w:val="center"/>
              <w:rPr>
                <w:rFonts w:ascii="Times New Roman" w:hAnsi="Times New Roman"/>
                <w:b/>
                <w:bCs/>
              </w:rPr>
            </w:pPr>
            <w:r>
              <w:rPr>
                <w:rFonts w:ascii="Times New Roman" w:hAnsi="Times New Roman"/>
                <w:b/>
                <w:bCs/>
              </w:rPr>
              <w:t>(A)</w:t>
            </w:r>
          </w:p>
        </w:tc>
        <w:tc>
          <w:tcPr>
            <w:tcW w:w="1352" w:type="dxa"/>
            <w:shd w:val="clear" w:color="auto" w:fill="auto"/>
          </w:tcPr>
          <w:p w:rsidR="00E41760" w:rsidRPr="00B2380C" w:rsidP="008407B0" w14:paraId="7809A5E3" w14:textId="4F49B748">
            <w:pPr>
              <w:jc w:val="center"/>
              <w:rPr>
                <w:rFonts w:ascii="Times New Roman" w:hAnsi="Times New Roman"/>
                <w:b/>
                <w:bCs/>
              </w:rPr>
            </w:pPr>
            <w:r>
              <w:rPr>
                <w:rFonts w:ascii="Times New Roman" w:hAnsi="Times New Roman"/>
                <w:b/>
                <w:bCs/>
              </w:rPr>
              <w:t>(B)</w:t>
            </w:r>
          </w:p>
        </w:tc>
        <w:tc>
          <w:tcPr>
            <w:tcW w:w="1176" w:type="dxa"/>
          </w:tcPr>
          <w:p w:rsidR="00E41760" w:rsidP="008407B0" w14:paraId="4CCDBAF1" w14:textId="530E2574">
            <w:pPr>
              <w:jc w:val="center"/>
              <w:rPr>
                <w:rFonts w:ascii="Times New Roman" w:hAnsi="Times New Roman"/>
                <w:b/>
                <w:bCs/>
              </w:rPr>
            </w:pPr>
            <w:r>
              <w:rPr>
                <w:rFonts w:ascii="Times New Roman" w:hAnsi="Times New Roman"/>
                <w:b/>
                <w:bCs/>
              </w:rPr>
              <w:t>(A x B)</w:t>
            </w:r>
          </w:p>
        </w:tc>
        <w:tc>
          <w:tcPr>
            <w:tcW w:w="1228" w:type="dxa"/>
          </w:tcPr>
          <w:p w:rsidR="00E41760" w:rsidP="008407B0" w14:paraId="5160ACB8" w14:textId="6C4F9FB5">
            <w:pPr>
              <w:jc w:val="center"/>
              <w:rPr>
                <w:rFonts w:ascii="Times New Roman" w:hAnsi="Times New Roman"/>
                <w:b/>
                <w:bCs/>
              </w:rPr>
            </w:pPr>
            <w:r>
              <w:rPr>
                <w:rFonts w:ascii="Times New Roman" w:hAnsi="Times New Roman"/>
                <w:b/>
                <w:bCs/>
              </w:rPr>
              <w:t>(C)</w:t>
            </w:r>
          </w:p>
        </w:tc>
        <w:tc>
          <w:tcPr>
            <w:tcW w:w="1577" w:type="dxa"/>
            <w:shd w:val="clear" w:color="auto" w:fill="auto"/>
          </w:tcPr>
          <w:p w:rsidR="00E41760" w:rsidRPr="00B2380C" w:rsidP="008407B0" w14:paraId="252DF718" w14:textId="4BDDEE3C">
            <w:pPr>
              <w:jc w:val="center"/>
              <w:rPr>
                <w:rFonts w:ascii="Times New Roman" w:hAnsi="Times New Roman"/>
                <w:b/>
                <w:bCs/>
              </w:rPr>
            </w:pPr>
            <w:r>
              <w:rPr>
                <w:rFonts w:ascii="Times New Roman" w:hAnsi="Times New Roman"/>
                <w:b/>
                <w:bCs/>
              </w:rPr>
              <w:t>(A x B x C)</w:t>
            </w:r>
          </w:p>
        </w:tc>
      </w:tr>
      <w:tr w14:paraId="261B1F7B" w14:textId="77777777" w:rsidTr="00C92159">
        <w:tblPrEx>
          <w:tblW w:w="0" w:type="auto"/>
          <w:tblInd w:w="720" w:type="dxa"/>
          <w:tblLook w:val="04A0"/>
        </w:tblPrEx>
        <w:tc>
          <w:tcPr>
            <w:tcW w:w="1701" w:type="dxa"/>
            <w:shd w:val="clear" w:color="auto" w:fill="auto"/>
          </w:tcPr>
          <w:p w:rsidR="00C92159" w:rsidRPr="002A05DB" w:rsidP="00C92159" w14:paraId="1527625B" w14:textId="77777777">
            <w:pPr>
              <w:rPr>
                <w:rFonts w:ascii="Times New Roman" w:hAnsi="Times New Roman"/>
              </w:rPr>
            </w:pPr>
            <w:r w:rsidRPr="002A05DB">
              <w:rPr>
                <w:rFonts w:ascii="Times New Roman" w:hAnsi="Times New Roman"/>
              </w:rPr>
              <w:t>Additional reproduction cost</w:t>
            </w:r>
            <w:r>
              <w:rPr>
                <w:rFonts w:ascii="Times New Roman" w:hAnsi="Times New Roman"/>
              </w:rPr>
              <w:t>s</w:t>
            </w:r>
            <w:r w:rsidRPr="002A05DB">
              <w:rPr>
                <w:rFonts w:ascii="Times New Roman" w:hAnsi="Times New Roman"/>
              </w:rPr>
              <w:t xml:space="preserve"> attributed to information collection</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bottom"/>
          </w:tcPr>
          <w:p w:rsidR="00C92159" w:rsidRPr="00C92159" w:rsidP="00C92159" w14:paraId="22F50225" w14:textId="5BEA1FE7">
            <w:pPr>
              <w:jc w:val="center"/>
              <w:rPr>
                <w:rFonts w:ascii="Times New Roman" w:hAnsi="Times New Roman"/>
                <w:highlight w:val="yellow"/>
              </w:rPr>
            </w:pPr>
            <w:r w:rsidRPr="00C92159">
              <w:rPr>
                <w:rFonts w:ascii="Times New Roman" w:hAnsi="Times New Roman"/>
                <w:color w:val="000000"/>
                <w:sz w:val="22"/>
                <w:szCs w:val="22"/>
              </w:rPr>
              <w:t>10,585,910</w:t>
            </w:r>
          </w:p>
        </w:tc>
        <w:tc>
          <w:tcPr>
            <w:tcW w:w="1352" w:type="dxa"/>
            <w:tcBorders>
              <w:top w:val="single" w:sz="4" w:space="0" w:color="auto"/>
              <w:left w:val="nil"/>
              <w:bottom w:val="single" w:sz="4" w:space="0" w:color="auto"/>
              <w:right w:val="single" w:sz="4" w:space="0" w:color="auto"/>
            </w:tcBorders>
            <w:shd w:val="clear" w:color="auto" w:fill="auto"/>
            <w:vAlign w:val="bottom"/>
          </w:tcPr>
          <w:p w:rsidR="00C92159" w:rsidRPr="00C92159" w:rsidP="00C92159" w14:paraId="2C600B0D" w14:textId="6B658D34">
            <w:pPr>
              <w:jc w:val="center"/>
              <w:rPr>
                <w:rFonts w:ascii="Times New Roman" w:hAnsi="Times New Roman"/>
              </w:rPr>
            </w:pPr>
            <w:r w:rsidRPr="00C92159">
              <w:rPr>
                <w:rFonts w:ascii="Times New Roman" w:hAnsi="Times New Roman"/>
                <w:color w:val="000000"/>
                <w:sz w:val="22"/>
                <w:szCs w:val="22"/>
              </w:rPr>
              <w:t>4</w:t>
            </w:r>
            <w:r w:rsidR="00AD68E5">
              <w:rPr>
                <w:rFonts w:ascii="Times New Roman" w:hAnsi="Times New Roman"/>
                <w:color w:val="000000"/>
                <w:sz w:val="22"/>
                <w:szCs w:val="22"/>
              </w:rPr>
              <w:t>1.7</w:t>
            </w:r>
            <w:r w:rsidRPr="00C92159">
              <w:rPr>
                <w:rFonts w:ascii="Times New Roman" w:hAnsi="Times New Roman"/>
                <w:color w:val="000000"/>
                <w:sz w:val="22"/>
                <w:szCs w:val="22"/>
              </w:rPr>
              <w:t>%</w:t>
            </w:r>
          </w:p>
        </w:tc>
        <w:tc>
          <w:tcPr>
            <w:tcW w:w="1176" w:type="dxa"/>
            <w:tcBorders>
              <w:top w:val="single" w:sz="4" w:space="0" w:color="auto"/>
              <w:left w:val="nil"/>
              <w:bottom w:val="single" w:sz="4" w:space="0" w:color="auto"/>
              <w:right w:val="single" w:sz="4" w:space="0" w:color="auto"/>
            </w:tcBorders>
            <w:shd w:val="clear" w:color="auto" w:fill="auto"/>
            <w:vAlign w:val="bottom"/>
          </w:tcPr>
          <w:p w:rsidR="00C92159" w:rsidRPr="00C92159" w:rsidP="00C92159" w14:paraId="34E48476" w14:textId="2BB4010D">
            <w:pPr>
              <w:jc w:val="center"/>
              <w:rPr>
                <w:rFonts w:ascii="Times New Roman" w:hAnsi="Times New Roman"/>
              </w:rPr>
            </w:pPr>
            <w:r w:rsidRPr="00C92159">
              <w:rPr>
                <w:rFonts w:ascii="Times New Roman" w:hAnsi="Times New Roman"/>
                <w:color w:val="000000"/>
                <w:sz w:val="22"/>
                <w:szCs w:val="22"/>
              </w:rPr>
              <w:t>4,414,324</w:t>
            </w:r>
          </w:p>
        </w:tc>
        <w:tc>
          <w:tcPr>
            <w:tcW w:w="1228" w:type="dxa"/>
            <w:tcBorders>
              <w:top w:val="single" w:sz="4" w:space="0" w:color="auto"/>
              <w:left w:val="nil"/>
              <w:bottom w:val="single" w:sz="4" w:space="0" w:color="auto"/>
              <w:right w:val="single" w:sz="4" w:space="0" w:color="auto"/>
            </w:tcBorders>
            <w:shd w:val="clear" w:color="auto" w:fill="auto"/>
            <w:vAlign w:val="bottom"/>
          </w:tcPr>
          <w:p w:rsidR="00C92159" w:rsidRPr="00C92159" w:rsidP="00C92159" w14:paraId="113CEDB0" w14:textId="33991E53">
            <w:pPr>
              <w:jc w:val="center"/>
              <w:rPr>
                <w:rFonts w:ascii="Times New Roman" w:hAnsi="Times New Roman"/>
              </w:rPr>
            </w:pPr>
            <w:r w:rsidRPr="00C92159">
              <w:rPr>
                <w:rFonts w:ascii="Times New Roman" w:hAnsi="Times New Roman"/>
                <w:color w:val="000000"/>
                <w:sz w:val="22"/>
                <w:szCs w:val="22"/>
              </w:rPr>
              <w:t>$0.05</w:t>
            </w:r>
          </w:p>
        </w:tc>
        <w:tc>
          <w:tcPr>
            <w:tcW w:w="1577" w:type="dxa"/>
            <w:tcBorders>
              <w:top w:val="single" w:sz="4" w:space="0" w:color="auto"/>
              <w:left w:val="nil"/>
              <w:bottom w:val="single" w:sz="4" w:space="0" w:color="auto"/>
              <w:right w:val="single" w:sz="4" w:space="0" w:color="auto"/>
            </w:tcBorders>
            <w:shd w:val="clear" w:color="auto" w:fill="auto"/>
            <w:vAlign w:val="bottom"/>
          </w:tcPr>
          <w:p w:rsidR="00C92159" w:rsidRPr="00C92159" w:rsidP="00C92159" w14:paraId="7B94C1BE" w14:textId="142D1E63">
            <w:pPr>
              <w:jc w:val="center"/>
              <w:rPr>
                <w:rFonts w:ascii="Times New Roman" w:hAnsi="Times New Roman"/>
                <w:highlight w:val="yellow"/>
              </w:rPr>
            </w:pPr>
            <w:r w:rsidRPr="00C92159">
              <w:rPr>
                <w:rFonts w:ascii="Times New Roman" w:hAnsi="Times New Roman"/>
                <w:color w:val="000000"/>
                <w:sz w:val="22"/>
                <w:szCs w:val="22"/>
              </w:rPr>
              <w:t>$220,716</w:t>
            </w:r>
          </w:p>
        </w:tc>
      </w:tr>
      <w:tr w14:paraId="07A2B6DF" w14:textId="77777777" w:rsidTr="00C92159">
        <w:tblPrEx>
          <w:tblW w:w="0" w:type="auto"/>
          <w:tblInd w:w="720" w:type="dxa"/>
          <w:tblLook w:val="04A0"/>
        </w:tblPrEx>
        <w:tc>
          <w:tcPr>
            <w:tcW w:w="1701" w:type="dxa"/>
            <w:shd w:val="clear" w:color="auto" w:fill="auto"/>
          </w:tcPr>
          <w:p w:rsidR="00C92159" w:rsidRPr="00B2380C" w:rsidP="00C92159" w14:paraId="7A598155" w14:textId="77777777">
            <w:pPr>
              <w:rPr>
                <w:rFonts w:ascii="Times New Roman" w:hAnsi="Times New Roman"/>
                <w:b/>
                <w:bCs/>
              </w:rPr>
            </w:pPr>
            <w:r w:rsidRPr="00B2380C">
              <w:rPr>
                <w:rFonts w:ascii="Times New Roman" w:hAnsi="Times New Roman"/>
                <w:b/>
                <w:bCs/>
              </w:rPr>
              <w:t>Total</w:t>
            </w:r>
          </w:p>
        </w:tc>
        <w:tc>
          <w:tcPr>
            <w:tcW w:w="1596" w:type="dxa"/>
            <w:tcBorders>
              <w:top w:val="nil"/>
              <w:left w:val="single" w:sz="4" w:space="0" w:color="auto"/>
              <w:bottom w:val="single" w:sz="4" w:space="0" w:color="auto"/>
              <w:right w:val="single" w:sz="4" w:space="0" w:color="auto"/>
            </w:tcBorders>
            <w:shd w:val="clear" w:color="auto" w:fill="auto"/>
            <w:vAlign w:val="bottom"/>
          </w:tcPr>
          <w:p w:rsidR="00C92159" w:rsidRPr="00C92159" w:rsidP="00C92159" w14:paraId="56C38AB8" w14:textId="74DA1794">
            <w:pPr>
              <w:jc w:val="center"/>
              <w:rPr>
                <w:rFonts w:ascii="Times New Roman" w:hAnsi="Times New Roman"/>
                <w:highlight w:val="yellow"/>
              </w:rPr>
            </w:pPr>
            <w:r w:rsidRPr="00C92159">
              <w:rPr>
                <w:rFonts w:ascii="Times New Roman" w:hAnsi="Times New Roman"/>
                <w:b/>
                <w:bCs/>
                <w:color w:val="000000"/>
                <w:sz w:val="22"/>
                <w:szCs w:val="22"/>
              </w:rPr>
              <w:t>10,585,910</w:t>
            </w:r>
          </w:p>
        </w:tc>
        <w:tc>
          <w:tcPr>
            <w:tcW w:w="1352" w:type="dxa"/>
            <w:tcBorders>
              <w:top w:val="nil"/>
              <w:left w:val="nil"/>
              <w:bottom w:val="single" w:sz="4" w:space="0" w:color="auto"/>
              <w:right w:val="single" w:sz="4" w:space="0" w:color="auto"/>
            </w:tcBorders>
            <w:shd w:val="clear" w:color="auto" w:fill="auto"/>
            <w:vAlign w:val="bottom"/>
          </w:tcPr>
          <w:p w:rsidR="00C92159" w:rsidRPr="00C92159" w:rsidP="00C92159" w14:paraId="26ADA3F7" w14:textId="1BD878AB">
            <w:pPr>
              <w:jc w:val="center"/>
              <w:rPr>
                <w:rFonts w:ascii="Times New Roman" w:hAnsi="Times New Roman"/>
              </w:rPr>
            </w:pPr>
            <w:r w:rsidRPr="00C92159">
              <w:rPr>
                <w:rFonts w:ascii="Times New Roman" w:hAnsi="Times New Roman"/>
                <w:b/>
                <w:bCs/>
                <w:color w:val="000000"/>
                <w:sz w:val="22"/>
                <w:szCs w:val="22"/>
              </w:rPr>
              <w:t>-</w:t>
            </w:r>
          </w:p>
        </w:tc>
        <w:tc>
          <w:tcPr>
            <w:tcW w:w="1176" w:type="dxa"/>
            <w:tcBorders>
              <w:top w:val="nil"/>
              <w:left w:val="nil"/>
              <w:bottom w:val="single" w:sz="4" w:space="0" w:color="auto"/>
              <w:right w:val="single" w:sz="4" w:space="0" w:color="auto"/>
            </w:tcBorders>
            <w:shd w:val="clear" w:color="auto" w:fill="auto"/>
            <w:vAlign w:val="bottom"/>
          </w:tcPr>
          <w:p w:rsidR="00C92159" w:rsidRPr="00C92159" w:rsidP="00C92159" w14:paraId="3360BF2E" w14:textId="139C8D00">
            <w:pPr>
              <w:jc w:val="center"/>
              <w:rPr>
                <w:rFonts w:ascii="Times New Roman" w:hAnsi="Times New Roman"/>
              </w:rPr>
            </w:pPr>
            <w:r w:rsidRPr="00C92159">
              <w:rPr>
                <w:rFonts w:ascii="Times New Roman" w:hAnsi="Times New Roman"/>
                <w:b/>
                <w:bCs/>
                <w:color w:val="000000"/>
                <w:sz w:val="22"/>
                <w:szCs w:val="22"/>
              </w:rPr>
              <w:t>4,414,324</w:t>
            </w:r>
          </w:p>
        </w:tc>
        <w:tc>
          <w:tcPr>
            <w:tcW w:w="1228" w:type="dxa"/>
            <w:tcBorders>
              <w:top w:val="nil"/>
              <w:left w:val="nil"/>
              <w:bottom w:val="single" w:sz="4" w:space="0" w:color="auto"/>
              <w:right w:val="single" w:sz="4" w:space="0" w:color="auto"/>
            </w:tcBorders>
            <w:shd w:val="clear" w:color="auto" w:fill="auto"/>
            <w:vAlign w:val="bottom"/>
          </w:tcPr>
          <w:p w:rsidR="00C92159" w:rsidRPr="00C92159" w:rsidP="00C92159" w14:paraId="1E0EF7BD" w14:textId="438A9E66">
            <w:pPr>
              <w:jc w:val="center"/>
              <w:rPr>
                <w:rFonts w:ascii="Times New Roman" w:hAnsi="Times New Roman"/>
              </w:rPr>
            </w:pPr>
            <w:r w:rsidRPr="00C92159">
              <w:rPr>
                <w:rFonts w:ascii="Times New Roman" w:hAnsi="Times New Roman"/>
                <w:b/>
                <w:bCs/>
                <w:color w:val="000000"/>
                <w:sz w:val="22"/>
                <w:szCs w:val="22"/>
              </w:rPr>
              <w:t>-</w:t>
            </w:r>
          </w:p>
        </w:tc>
        <w:tc>
          <w:tcPr>
            <w:tcW w:w="1577" w:type="dxa"/>
            <w:tcBorders>
              <w:top w:val="nil"/>
              <w:left w:val="nil"/>
              <w:bottom w:val="single" w:sz="4" w:space="0" w:color="auto"/>
              <w:right w:val="single" w:sz="4" w:space="0" w:color="auto"/>
            </w:tcBorders>
            <w:shd w:val="clear" w:color="auto" w:fill="auto"/>
            <w:vAlign w:val="bottom"/>
          </w:tcPr>
          <w:p w:rsidR="00C92159" w:rsidRPr="00C92159" w:rsidP="00C92159" w14:paraId="6E77FC84" w14:textId="77D9FBE8">
            <w:pPr>
              <w:jc w:val="center"/>
              <w:rPr>
                <w:rFonts w:ascii="Times New Roman" w:hAnsi="Times New Roman"/>
                <w:highlight w:val="yellow"/>
              </w:rPr>
            </w:pPr>
            <w:r w:rsidRPr="00C92159">
              <w:rPr>
                <w:rFonts w:ascii="Times New Roman" w:hAnsi="Times New Roman"/>
                <w:b/>
                <w:bCs/>
                <w:color w:val="000000"/>
                <w:sz w:val="22"/>
                <w:szCs w:val="22"/>
              </w:rPr>
              <w:t>$220,716</w:t>
            </w:r>
          </w:p>
        </w:tc>
      </w:tr>
      <w:tr w14:paraId="50B2420D" w14:textId="77777777" w:rsidTr="00C92159">
        <w:tblPrEx>
          <w:tblW w:w="0" w:type="auto"/>
          <w:tblInd w:w="720" w:type="dxa"/>
          <w:tblLook w:val="04A0"/>
        </w:tblPrEx>
        <w:tc>
          <w:tcPr>
            <w:tcW w:w="1701" w:type="dxa"/>
            <w:shd w:val="clear" w:color="auto" w:fill="auto"/>
          </w:tcPr>
          <w:p w:rsidR="00C92159" w:rsidRPr="00B2380C" w:rsidP="00C92159" w14:paraId="6546D892" w14:textId="7174FE18">
            <w:pPr>
              <w:rPr>
                <w:rFonts w:ascii="Times New Roman" w:hAnsi="Times New Roman"/>
                <w:b/>
                <w:bCs/>
              </w:rPr>
            </w:pPr>
            <w:r>
              <w:rPr>
                <w:rFonts w:ascii="Times New Roman" w:hAnsi="Times New Roman"/>
                <w:b/>
                <w:bCs/>
              </w:rPr>
              <w:t xml:space="preserve">DOL’s Total </w:t>
            </w:r>
          </w:p>
        </w:tc>
        <w:tc>
          <w:tcPr>
            <w:tcW w:w="1596" w:type="dxa"/>
            <w:tcBorders>
              <w:top w:val="nil"/>
              <w:left w:val="single" w:sz="4" w:space="0" w:color="auto"/>
              <w:bottom w:val="single" w:sz="4" w:space="0" w:color="auto"/>
              <w:right w:val="single" w:sz="4" w:space="0" w:color="auto"/>
            </w:tcBorders>
            <w:shd w:val="clear" w:color="auto" w:fill="auto"/>
            <w:vAlign w:val="bottom"/>
          </w:tcPr>
          <w:p w:rsidR="00C92159" w:rsidRPr="00C92159" w:rsidP="00C92159" w14:paraId="69EF44A2" w14:textId="42036BA6">
            <w:pPr>
              <w:jc w:val="center"/>
              <w:rPr>
                <w:rFonts w:ascii="Times New Roman" w:hAnsi="Times New Roman"/>
              </w:rPr>
            </w:pPr>
            <w:r w:rsidRPr="00C92159">
              <w:rPr>
                <w:rFonts w:ascii="Times New Roman" w:hAnsi="Times New Roman"/>
                <w:b/>
                <w:bCs/>
                <w:color w:val="000000"/>
                <w:sz w:val="22"/>
                <w:szCs w:val="22"/>
              </w:rPr>
              <w:t>-</w:t>
            </w:r>
          </w:p>
        </w:tc>
        <w:tc>
          <w:tcPr>
            <w:tcW w:w="1352" w:type="dxa"/>
            <w:tcBorders>
              <w:top w:val="nil"/>
              <w:left w:val="nil"/>
              <w:bottom w:val="single" w:sz="4" w:space="0" w:color="auto"/>
              <w:right w:val="single" w:sz="4" w:space="0" w:color="auto"/>
            </w:tcBorders>
            <w:shd w:val="clear" w:color="auto" w:fill="auto"/>
            <w:vAlign w:val="bottom"/>
          </w:tcPr>
          <w:p w:rsidR="00C92159" w:rsidRPr="00C92159" w:rsidP="00C92159" w14:paraId="1B28F4C3" w14:textId="41EB6849">
            <w:pPr>
              <w:jc w:val="center"/>
              <w:rPr>
                <w:rFonts w:ascii="Times New Roman" w:hAnsi="Times New Roman"/>
              </w:rPr>
            </w:pPr>
            <w:r w:rsidRPr="00C92159">
              <w:rPr>
                <w:rFonts w:ascii="Times New Roman" w:hAnsi="Times New Roman"/>
                <w:b/>
                <w:bCs/>
                <w:color w:val="000000"/>
                <w:sz w:val="22"/>
                <w:szCs w:val="22"/>
              </w:rPr>
              <w:t>-</w:t>
            </w:r>
          </w:p>
        </w:tc>
        <w:tc>
          <w:tcPr>
            <w:tcW w:w="1176" w:type="dxa"/>
            <w:tcBorders>
              <w:top w:val="nil"/>
              <w:left w:val="nil"/>
              <w:bottom w:val="single" w:sz="4" w:space="0" w:color="auto"/>
              <w:right w:val="single" w:sz="4" w:space="0" w:color="auto"/>
            </w:tcBorders>
            <w:shd w:val="clear" w:color="auto" w:fill="auto"/>
            <w:vAlign w:val="bottom"/>
          </w:tcPr>
          <w:p w:rsidR="00C92159" w:rsidRPr="00C92159" w:rsidP="00C92159" w14:paraId="24A04E37" w14:textId="1F54F0BC">
            <w:pPr>
              <w:jc w:val="center"/>
              <w:rPr>
                <w:rFonts w:ascii="Times New Roman" w:hAnsi="Times New Roman"/>
              </w:rPr>
            </w:pPr>
            <w:r w:rsidRPr="00C92159">
              <w:rPr>
                <w:rFonts w:ascii="Times New Roman" w:hAnsi="Times New Roman"/>
                <w:b/>
                <w:bCs/>
                <w:color w:val="000000"/>
                <w:sz w:val="22"/>
                <w:szCs w:val="22"/>
              </w:rPr>
              <w:t>-</w:t>
            </w:r>
          </w:p>
        </w:tc>
        <w:tc>
          <w:tcPr>
            <w:tcW w:w="1228" w:type="dxa"/>
            <w:tcBorders>
              <w:top w:val="nil"/>
              <w:left w:val="nil"/>
              <w:bottom w:val="single" w:sz="4" w:space="0" w:color="auto"/>
              <w:right w:val="single" w:sz="4" w:space="0" w:color="auto"/>
            </w:tcBorders>
            <w:shd w:val="clear" w:color="auto" w:fill="auto"/>
            <w:vAlign w:val="bottom"/>
          </w:tcPr>
          <w:p w:rsidR="00C92159" w:rsidRPr="00C92159" w:rsidP="00C92159" w14:paraId="02E91FFF" w14:textId="6CC3C525">
            <w:pPr>
              <w:jc w:val="center"/>
              <w:rPr>
                <w:rFonts w:ascii="Times New Roman" w:hAnsi="Times New Roman"/>
              </w:rPr>
            </w:pPr>
            <w:r w:rsidRPr="00C92159">
              <w:rPr>
                <w:rFonts w:ascii="Times New Roman" w:hAnsi="Times New Roman"/>
                <w:b/>
                <w:bCs/>
                <w:color w:val="000000"/>
                <w:sz w:val="22"/>
                <w:szCs w:val="22"/>
              </w:rPr>
              <w:t>-</w:t>
            </w:r>
          </w:p>
        </w:tc>
        <w:tc>
          <w:tcPr>
            <w:tcW w:w="1577" w:type="dxa"/>
            <w:tcBorders>
              <w:top w:val="nil"/>
              <w:left w:val="nil"/>
              <w:bottom w:val="single" w:sz="4" w:space="0" w:color="auto"/>
              <w:right w:val="single" w:sz="4" w:space="0" w:color="auto"/>
            </w:tcBorders>
            <w:shd w:val="clear" w:color="auto" w:fill="auto"/>
            <w:vAlign w:val="bottom"/>
          </w:tcPr>
          <w:p w:rsidR="00C92159" w:rsidRPr="00C92159" w:rsidP="00C92159" w14:paraId="0D42A4A0" w14:textId="00A1FB5B">
            <w:pPr>
              <w:jc w:val="center"/>
              <w:rPr>
                <w:rFonts w:ascii="Times New Roman" w:hAnsi="Times New Roman"/>
              </w:rPr>
            </w:pPr>
            <w:r w:rsidRPr="00C92159">
              <w:rPr>
                <w:rFonts w:ascii="Times New Roman" w:hAnsi="Times New Roman"/>
                <w:b/>
                <w:bCs/>
                <w:color w:val="000000"/>
                <w:sz w:val="22"/>
                <w:szCs w:val="22"/>
              </w:rPr>
              <w:t>$110,358</w:t>
            </w:r>
          </w:p>
        </w:tc>
      </w:tr>
    </w:tbl>
    <w:p w:rsidR="0079183E" w:rsidRPr="00F034F7" w:rsidP="00C55BCE" w14:paraId="70076CE9" w14:textId="77777777">
      <w:pPr>
        <w:rPr>
          <w:rFonts w:ascii="Times New Roman" w:hAnsi="Times New Roman"/>
        </w:rPr>
      </w:pPr>
    </w:p>
    <w:p w:rsidR="00FC78C7" w:rsidRPr="00D81712" w:rsidP="00924401" w14:paraId="67EA2A71" w14:textId="451083C3">
      <w:pPr>
        <w:pStyle w:val="Quick1"/>
        <w:rPr>
          <w:b/>
          <w:bCs/>
          <w:i w:val="0"/>
          <w:iCs/>
        </w:rPr>
      </w:pPr>
      <w:r w:rsidRPr="00D81712">
        <w:rPr>
          <w:b/>
          <w:bCs/>
          <w:i w:val="0"/>
          <w:iCs/>
        </w:rPr>
        <w:t>Provide estimates of annualized cost to the Federal government.</w:t>
      </w:r>
      <w:r w:rsidR="00D2655D">
        <w:rPr>
          <w:b/>
          <w:bCs/>
          <w:i w:val="0"/>
          <w:iCs/>
        </w:rPr>
        <w:t xml:space="preserve"> </w:t>
      </w:r>
      <w:r w:rsidRPr="00D81712">
        <w:rPr>
          <w:b/>
          <w:bCs/>
          <w:i w:val="0"/>
          <w:iCs/>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D2655D">
        <w:rPr>
          <w:b/>
          <w:bCs/>
          <w:i w:val="0"/>
          <w:iCs/>
        </w:rPr>
        <w:t xml:space="preserve"> </w:t>
      </w:r>
      <w:r w:rsidRPr="00D81712">
        <w:rPr>
          <w:b/>
          <w:bCs/>
          <w:i w:val="0"/>
          <w:iCs/>
        </w:rPr>
        <w:t>Agencies also may aggregate cost estimates from Items 12, 13, and 14 in a single table.</w:t>
      </w:r>
    </w:p>
    <w:p w:rsidR="007B0A21" w:rsidRPr="00F034F7" w:rsidP="00924401" w14:paraId="1D6B1E60" w14:textId="77777777">
      <w:pPr>
        <w:ind w:left="720"/>
        <w:rPr>
          <w:rFonts w:ascii="Times New Roman" w:hAnsi="Times New Roman"/>
        </w:rPr>
      </w:pPr>
    </w:p>
    <w:p w:rsidR="00FC78C7" w:rsidRPr="00F034F7" w:rsidP="00924401" w14:paraId="3178FCE0" w14:textId="77777777">
      <w:pPr>
        <w:widowControl/>
        <w:ind w:left="720"/>
        <w:rPr>
          <w:rFonts w:ascii="Times New Roman" w:hAnsi="Times New Roman"/>
        </w:rPr>
      </w:pPr>
      <w:r w:rsidRPr="00F034F7">
        <w:rPr>
          <w:rFonts w:ascii="Times New Roman" w:hAnsi="Times New Roman"/>
        </w:rPr>
        <w:t>There is no reporting to the federal government and, consequently, no cost to the federal government.</w:t>
      </w:r>
    </w:p>
    <w:p w:rsidR="00FC78C7" w:rsidRPr="00F034F7" w:rsidP="00924401" w14:paraId="0989F977" w14:textId="77777777">
      <w:pPr>
        <w:ind w:left="720"/>
        <w:rPr>
          <w:rFonts w:ascii="Times New Roman" w:hAnsi="Times New Roman"/>
        </w:rPr>
      </w:pPr>
    </w:p>
    <w:p w:rsidR="00FC78C7" w:rsidRPr="00D81712" w:rsidP="00924401" w14:paraId="0D3406C7" w14:textId="77777777">
      <w:pPr>
        <w:pStyle w:val="Quick1"/>
        <w:rPr>
          <w:b/>
          <w:bCs/>
          <w:i w:val="0"/>
          <w:iCs/>
        </w:rPr>
      </w:pPr>
      <w:r w:rsidRPr="00D81712">
        <w:rPr>
          <w:b/>
          <w:bCs/>
          <w:i w:val="0"/>
          <w:iCs/>
        </w:rPr>
        <w:t>Explain the reasons for any program changes or adjustments reporting in Items 13 or 14.</w:t>
      </w:r>
    </w:p>
    <w:p w:rsidR="00FC78C7" w:rsidRPr="00F034F7" w:rsidP="00924401" w14:paraId="1FF4AAC8" w14:textId="77777777">
      <w:pPr>
        <w:ind w:left="720"/>
        <w:rPr>
          <w:rFonts w:ascii="Times New Roman" w:hAnsi="Times New Roman"/>
        </w:rPr>
      </w:pPr>
    </w:p>
    <w:p w:rsidR="0079183E" w:rsidRPr="00F034F7" w:rsidP="00924401" w14:paraId="08486DC3" w14:textId="1A1BC4D4">
      <w:pPr>
        <w:ind w:left="720"/>
        <w:rPr>
          <w:rFonts w:ascii="Times New Roman" w:hAnsi="Times New Roman"/>
        </w:rPr>
      </w:pPr>
      <w:r>
        <w:rPr>
          <w:rFonts w:ascii="Times New Roman" w:hAnsi="Times New Roman"/>
        </w:rPr>
        <w:t>Since the last ICR submission, the Department has updated</w:t>
      </w:r>
      <w:r w:rsidRPr="00F034F7">
        <w:rPr>
          <w:rFonts w:ascii="Times New Roman" w:hAnsi="Times New Roman"/>
        </w:rPr>
        <w:t xml:space="preserve"> </w:t>
      </w:r>
      <w:r>
        <w:rPr>
          <w:rFonts w:ascii="Times New Roman" w:hAnsi="Times New Roman"/>
        </w:rPr>
        <w:t>its</w:t>
      </w:r>
      <w:r w:rsidR="003063D1">
        <w:rPr>
          <w:rFonts w:ascii="Times New Roman" w:hAnsi="Times New Roman"/>
        </w:rPr>
        <w:t xml:space="preserve"> estimates and </w:t>
      </w:r>
      <w:r w:rsidR="00BD5966">
        <w:rPr>
          <w:rFonts w:ascii="Times New Roman" w:hAnsi="Times New Roman"/>
        </w:rPr>
        <w:t>assumptions</w:t>
      </w:r>
      <w:r w:rsidRPr="00F034F7">
        <w:rPr>
          <w:rFonts w:ascii="Times New Roman" w:hAnsi="Times New Roman"/>
        </w:rPr>
        <w:t>.</w:t>
      </w:r>
      <w:r w:rsidR="00D2655D">
        <w:rPr>
          <w:rFonts w:ascii="Times New Roman" w:hAnsi="Times New Roman"/>
        </w:rPr>
        <w:t xml:space="preserve"> </w:t>
      </w:r>
      <w:r w:rsidR="00BD5966">
        <w:rPr>
          <w:rFonts w:ascii="Times New Roman" w:hAnsi="Times New Roman"/>
        </w:rPr>
        <w:t xml:space="preserve">First, the Department has also updated the number of job changers. </w:t>
      </w:r>
      <w:r w:rsidR="003063D1">
        <w:rPr>
          <w:rFonts w:ascii="Times New Roman" w:hAnsi="Times New Roman"/>
        </w:rPr>
        <w:t xml:space="preserve">The Department has </w:t>
      </w:r>
      <w:r w:rsidR="00BD5966">
        <w:rPr>
          <w:rFonts w:ascii="Times New Roman" w:hAnsi="Times New Roman"/>
        </w:rPr>
        <w:t xml:space="preserve">also </w:t>
      </w:r>
      <w:r w:rsidR="003063D1">
        <w:rPr>
          <w:rFonts w:ascii="Times New Roman" w:hAnsi="Times New Roman"/>
        </w:rPr>
        <w:t>assumed a de minimis cost for preparing the notice, which has resulted in a reduction of the hour burden and equivalent cost. Additionally, the Department has revised its estimate of the material cost from $0.10 down to $0.05</w:t>
      </w:r>
      <w:r w:rsidR="00BD5966">
        <w:rPr>
          <w:rFonts w:ascii="Times New Roman" w:hAnsi="Times New Roman"/>
        </w:rPr>
        <w:t>,</w:t>
      </w:r>
      <w:r w:rsidR="003063D1">
        <w:rPr>
          <w:rFonts w:ascii="Times New Roman" w:hAnsi="Times New Roman"/>
        </w:rPr>
        <w:t xml:space="preserve"> based on the length of the model notice. Finally, </w:t>
      </w:r>
      <w:r>
        <w:rPr>
          <w:rFonts w:ascii="Times New Roman" w:hAnsi="Times New Roman"/>
        </w:rPr>
        <w:t>the Department</w:t>
      </w:r>
      <w:r w:rsidR="003063D1">
        <w:rPr>
          <w:rFonts w:ascii="Times New Roman" w:hAnsi="Times New Roman"/>
        </w:rPr>
        <w:t xml:space="preserve"> has </w:t>
      </w:r>
      <w:r w:rsidR="004B0586">
        <w:rPr>
          <w:rFonts w:ascii="Times New Roman" w:hAnsi="Times New Roman"/>
        </w:rPr>
        <w:t xml:space="preserve">assumed some share of the notices will be delivered electronically. As </w:t>
      </w:r>
      <w:r>
        <w:rPr>
          <w:rFonts w:ascii="Times New Roman" w:hAnsi="Times New Roman"/>
        </w:rPr>
        <w:t>a result</w:t>
      </w:r>
      <w:r w:rsidR="004B0586">
        <w:rPr>
          <w:rFonts w:ascii="Times New Roman" w:hAnsi="Times New Roman"/>
        </w:rPr>
        <w:t xml:space="preserve">, </w:t>
      </w:r>
      <w:r>
        <w:rPr>
          <w:rFonts w:ascii="Times New Roman" w:hAnsi="Times New Roman"/>
        </w:rPr>
        <w:t>the</w:t>
      </w:r>
      <w:r w:rsidR="000054B2">
        <w:rPr>
          <w:rFonts w:ascii="Times New Roman" w:hAnsi="Times New Roman"/>
        </w:rPr>
        <w:t xml:space="preserve"> number of responses </w:t>
      </w:r>
      <w:r>
        <w:rPr>
          <w:rFonts w:ascii="Times New Roman" w:hAnsi="Times New Roman"/>
        </w:rPr>
        <w:t>has increased by</w:t>
      </w:r>
      <w:r w:rsidR="000054B2">
        <w:rPr>
          <w:rFonts w:ascii="Times New Roman" w:hAnsi="Times New Roman"/>
        </w:rPr>
        <w:t xml:space="preserve"> 1,967,147</w:t>
      </w:r>
      <w:r>
        <w:rPr>
          <w:rFonts w:ascii="Times New Roman" w:hAnsi="Times New Roman"/>
        </w:rPr>
        <w:t xml:space="preserve"> responses</w:t>
      </w:r>
      <w:r w:rsidR="000054B2">
        <w:rPr>
          <w:rFonts w:ascii="Times New Roman" w:hAnsi="Times New Roman"/>
        </w:rPr>
        <w:t xml:space="preserve">, </w:t>
      </w:r>
      <w:r w:rsidR="004B0586">
        <w:rPr>
          <w:rFonts w:ascii="Times New Roman" w:hAnsi="Times New Roman"/>
        </w:rPr>
        <w:t>the hour burden</w:t>
      </w:r>
      <w:r>
        <w:rPr>
          <w:rFonts w:ascii="Times New Roman" w:hAnsi="Times New Roman"/>
        </w:rPr>
        <w:t xml:space="preserve"> has decreased</w:t>
      </w:r>
      <w:r w:rsidR="004B0586">
        <w:rPr>
          <w:rFonts w:ascii="Times New Roman" w:hAnsi="Times New Roman"/>
        </w:rPr>
        <w:t xml:space="preserve"> by 552 hours, and the cost burden</w:t>
      </w:r>
      <w:r>
        <w:rPr>
          <w:rFonts w:ascii="Times New Roman" w:hAnsi="Times New Roman"/>
        </w:rPr>
        <w:t xml:space="preserve"> </w:t>
      </w:r>
      <w:r w:rsidR="007229D6">
        <w:rPr>
          <w:rFonts w:ascii="Times New Roman" w:hAnsi="Times New Roman"/>
        </w:rPr>
        <w:t xml:space="preserve">has </w:t>
      </w:r>
      <w:r>
        <w:rPr>
          <w:rFonts w:ascii="Times New Roman" w:hAnsi="Times New Roman"/>
        </w:rPr>
        <w:t>increased</w:t>
      </w:r>
      <w:r w:rsidR="004B0586">
        <w:rPr>
          <w:rFonts w:ascii="Times New Roman" w:hAnsi="Times New Roman"/>
        </w:rPr>
        <w:t xml:space="preserve"> by $320,315.</w:t>
      </w:r>
      <w:r w:rsidR="000B1938">
        <w:rPr>
          <w:rFonts w:ascii="Times New Roman" w:hAnsi="Times New Roman"/>
        </w:rPr>
        <w:t xml:space="preserve"> </w:t>
      </w:r>
    </w:p>
    <w:p w:rsidR="0079183E" w:rsidRPr="00F034F7" w:rsidP="00924401" w14:paraId="5DA780AB" w14:textId="77777777">
      <w:pPr>
        <w:ind w:left="720"/>
        <w:rPr>
          <w:rFonts w:ascii="Times New Roman" w:hAnsi="Times New Roman"/>
        </w:rPr>
      </w:pPr>
    </w:p>
    <w:p w:rsidR="00FC78C7" w:rsidRPr="00D81712" w:rsidP="00924401" w14:paraId="7E000E1D" w14:textId="5447BAD3">
      <w:pPr>
        <w:pStyle w:val="Quick1"/>
        <w:rPr>
          <w:b/>
          <w:bCs/>
          <w:i w:val="0"/>
          <w:iCs/>
        </w:rPr>
      </w:pPr>
      <w:r w:rsidRPr="00D81712">
        <w:rPr>
          <w:b/>
          <w:bCs/>
          <w:i w:val="0"/>
          <w:iCs/>
        </w:rPr>
        <w:t>For collections of information whose results will be published, outline plans for tabulation, and publication.</w:t>
      </w:r>
      <w:r w:rsidR="00D2655D">
        <w:rPr>
          <w:b/>
          <w:bCs/>
          <w:i w:val="0"/>
          <w:iCs/>
        </w:rPr>
        <w:t xml:space="preserve"> </w:t>
      </w:r>
      <w:r w:rsidRPr="00D81712">
        <w:rPr>
          <w:b/>
          <w:bCs/>
          <w:i w:val="0"/>
          <w:iCs/>
        </w:rPr>
        <w:t>Address any complex analytical techniques that will be used.</w:t>
      </w:r>
      <w:r w:rsidR="00D2655D">
        <w:rPr>
          <w:b/>
          <w:bCs/>
          <w:i w:val="0"/>
          <w:iCs/>
        </w:rPr>
        <w:t xml:space="preserve"> </w:t>
      </w:r>
      <w:r w:rsidRPr="00D81712">
        <w:rPr>
          <w:b/>
          <w:bCs/>
          <w:i w:val="0"/>
          <w:iCs/>
        </w:rPr>
        <w:t>Provide the time schedule for the entire project, including beginning and ending dates of the collection of information, completion of report, publication dates, and other actions.</w:t>
      </w:r>
    </w:p>
    <w:p w:rsidR="00FC78C7" w:rsidRPr="00F034F7" w:rsidP="00924401" w14:paraId="632A6140" w14:textId="77777777">
      <w:pPr>
        <w:ind w:left="720"/>
        <w:rPr>
          <w:rFonts w:ascii="Times New Roman" w:hAnsi="Times New Roman"/>
        </w:rPr>
      </w:pPr>
    </w:p>
    <w:p w:rsidR="00FC78C7" w:rsidRPr="00F034F7" w:rsidP="00924401" w14:paraId="6BE1B1AF" w14:textId="77777777">
      <w:pPr>
        <w:ind w:left="720"/>
        <w:rPr>
          <w:rFonts w:ascii="Times New Roman" w:hAnsi="Times New Roman"/>
        </w:rPr>
      </w:pPr>
      <w:r w:rsidRPr="00F034F7">
        <w:rPr>
          <w:rFonts w:ascii="Times New Roman" w:hAnsi="Times New Roman"/>
        </w:rPr>
        <w:t>The results of this collection of information will not be published.</w:t>
      </w:r>
    </w:p>
    <w:p w:rsidR="00FC78C7" w:rsidRPr="00F034F7" w:rsidP="00924401" w14:paraId="4C6A73D2" w14:textId="77777777">
      <w:pPr>
        <w:ind w:left="720"/>
        <w:rPr>
          <w:rFonts w:ascii="Times New Roman" w:hAnsi="Times New Roman"/>
        </w:rPr>
      </w:pPr>
    </w:p>
    <w:p w:rsidR="00FC78C7" w:rsidRPr="00D81712" w:rsidP="00924401" w14:paraId="2AEA12D6" w14:textId="77777777">
      <w:pPr>
        <w:pStyle w:val="Quick1"/>
        <w:rPr>
          <w:b/>
          <w:bCs/>
          <w:i w:val="0"/>
          <w:iCs/>
        </w:rPr>
      </w:pPr>
      <w:r w:rsidRPr="00D81712">
        <w:rPr>
          <w:b/>
          <w:bCs/>
          <w:i w:val="0"/>
          <w:iCs/>
        </w:rPr>
        <w:t>If seeking approval to not display the expiration date for OMB approval of the information collection, explain the reasons that display would be inappropriate.</w:t>
      </w:r>
    </w:p>
    <w:p w:rsidR="00FC78C7" w:rsidRPr="00F034F7" w:rsidP="00924401" w14:paraId="70E16385" w14:textId="77777777">
      <w:pPr>
        <w:ind w:left="720"/>
        <w:rPr>
          <w:rFonts w:ascii="Times New Roman" w:hAnsi="Times New Roman"/>
        </w:rPr>
      </w:pPr>
    </w:p>
    <w:p w:rsidR="00FC78C7" w:rsidRPr="00F034F7" w:rsidP="00924401" w14:paraId="11B3E5F9" w14:textId="05F33842">
      <w:pPr>
        <w:ind w:left="720"/>
        <w:rPr>
          <w:rFonts w:ascii="Times New Roman" w:hAnsi="Times New Roman"/>
        </w:rPr>
      </w:pPr>
      <w:r>
        <w:rPr>
          <w:rFonts w:ascii="Times New Roman" w:hAnsi="Times New Roman"/>
        </w:rPr>
        <w:t>Not applicable</w:t>
      </w:r>
      <w:r w:rsidRPr="0025007D" w:rsidR="0025007D">
        <w:rPr>
          <w:rFonts w:ascii="Times New Roman" w:hAnsi="Times New Roman"/>
        </w:rPr>
        <w:t>.</w:t>
      </w:r>
    </w:p>
    <w:p w:rsidR="00FC78C7" w:rsidRPr="00F034F7" w:rsidP="00924401" w14:paraId="3D8A304A" w14:textId="77777777">
      <w:pPr>
        <w:ind w:left="720"/>
        <w:rPr>
          <w:rFonts w:ascii="Times New Roman" w:hAnsi="Times New Roman"/>
        </w:rPr>
      </w:pPr>
    </w:p>
    <w:p w:rsidR="00FC78C7" w:rsidRPr="00F034F7" w:rsidP="00924401" w14:paraId="796B4E83" w14:textId="5EC2015C">
      <w:pPr>
        <w:pStyle w:val="Quick1"/>
      </w:pPr>
      <w:r w:rsidRPr="00D81712">
        <w:rPr>
          <w:b/>
          <w:bCs/>
          <w:i w:val="0"/>
          <w:iCs/>
        </w:rPr>
        <w:t>Explain each exception to the certification statement</w:t>
      </w:r>
      <w:r w:rsidRPr="00D81712" w:rsidR="00D81712">
        <w:rPr>
          <w:b/>
          <w:bCs/>
          <w:i w:val="0"/>
          <w:iCs/>
        </w:rPr>
        <w:t>.</w:t>
      </w:r>
    </w:p>
    <w:p w:rsidR="00FC78C7" w:rsidRPr="00F034F7" w:rsidP="00924401" w14:paraId="24AFEA4F" w14:textId="77777777">
      <w:pPr>
        <w:ind w:left="720"/>
        <w:rPr>
          <w:rFonts w:ascii="Times New Roman" w:hAnsi="Times New Roman"/>
        </w:rPr>
      </w:pPr>
    </w:p>
    <w:p w:rsidR="00FC78C7" w:rsidP="0025007D" w14:paraId="0BBC8FC6" w14:textId="77777777">
      <w:pPr>
        <w:ind w:left="720"/>
        <w:rPr>
          <w:rFonts w:ascii="Times New Roman" w:hAnsi="Times New Roman"/>
        </w:rPr>
      </w:pPr>
      <w:r w:rsidRPr="00F034F7">
        <w:rPr>
          <w:rFonts w:ascii="Times New Roman" w:hAnsi="Times New Roman"/>
        </w:rPr>
        <w:t>There are no exceptions to the certification statement.</w:t>
      </w:r>
    </w:p>
    <w:p w:rsidR="00D81712" w:rsidP="0025007D" w14:paraId="5BE465CF" w14:textId="77777777">
      <w:pPr>
        <w:ind w:left="720"/>
        <w:rPr>
          <w:rFonts w:ascii="Times New Roman" w:hAnsi="Times New Roman"/>
        </w:rPr>
      </w:pPr>
    </w:p>
    <w:p w:rsidR="00D46768" w:rsidRPr="00D46768" w:rsidP="00D46768" w14:paraId="6422AFF5" w14:textId="77777777">
      <w:pPr>
        <w:numPr>
          <w:ilvl w:val="0"/>
          <w:numId w:val="15"/>
        </w:numPr>
        <w:tabs>
          <w:tab w:val="num" w:pos="720"/>
          <w:tab w:val="clear" w:pos="1080"/>
        </w:tabs>
        <w:ind w:hanging="1080"/>
        <w:rPr>
          <w:rFonts w:ascii="Times New Roman" w:hAnsi="Times New Roman"/>
          <w:i/>
          <w:iCs/>
        </w:rPr>
      </w:pPr>
      <w:r w:rsidRPr="00D46768">
        <w:rPr>
          <w:rFonts w:ascii="Times New Roman" w:hAnsi="Times New Roman"/>
          <w:b/>
          <w:bCs/>
        </w:rPr>
        <w:t>COLLECTION OF INFORMATION EMPLOYING STATISTICAL METHODS</w:t>
      </w:r>
    </w:p>
    <w:p w:rsidR="00D46768" w:rsidRPr="00D46768" w:rsidP="00D46768" w14:paraId="21C52A37" w14:textId="77777777">
      <w:pPr>
        <w:rPr>
          <w:rFonts w:ascii="Times New Roman" w:hAnsi="Times New Roman"/>
        </w:rPr>
      </w:pPr>
    </w:p>
    <w:p w:rsidR="00D81712" w:rsidRPr="00F034F7" w:rsidP="00195F4E" w14:paraId="23F13C26" w14:textId="2CF8A5E4">
      <w:pPr>
        <w:ind w:left="720"/>
        <w:rPr>
          <w:rFonts w:ascii="Times New Roman" w:hAnsi="Times New Roman"/>
        </w:rPr>
      </w:pPr>
      <w:r w:rsidRPr="00D46768">
        <w:rPr>
          <w:rFonts w:ascii="Times New Roman" w:hAnsi="Times New Roman"/>
        </w:rPr>
        <w:t>Not applicable.</w:t>
      </w:r>
      <w:r w:rsidR="00D2655D">
        <w:rPr>
          <w:rFonts w:ascii="Times New Roman" w:hAnsi="Times New Roman"/>
        </w:rPr>
        <w:t xml:space="preserve"> </w:t>
      </w:r>
      <w:r w:rsidRPr="00D46768">
        <w:rPr>
          <w:rFonts w:ascii="Times New Roman" w:hAnsi="Times New Roman"/>
        </w:rPr>
        <w:t>The use of statistical methods is not relevant to this collection of information.</w:t>
      </w:r>
    </w:p>
    <w:sectPr w:rsidSect="00890EA3">
      <w:headerReference w:type="default" r:id="rId6"/>
      <w:footerReference w:type="default" r:id="rId7"/>
      <w:endnotePr>
        <w:numFmt w:val="decimal"/>
      </w:endnotePr>
      <w:type w:val="continuous"/>
      <w:pgSz w:w="12240" w:h="15840" w:code="1"/>
      <w:pgMar w:top="1354" w:right="1440" w:bottom="1440" w:left="1440" w:header="1354"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1751" w14:paraId="32420CB1" w14:textId="77777777">
    <w:pPr>
      <w:spacing w:line="240" w:lineRule="exact"/>
    </w:pPr>
  </w:p>
  <w:p w:rsidR="00EA1751" w:rsidRPr="00A44ED2" w14:paraId="2AED9F98" w14:textId="77777777">
    <w:pPr>
      <w:framePr w:w="9361" w:wrap="notBeside" w:vAnchor="text" w:hAnchor="text" w:x="1" w:y="1"/>
      <w:jc w:val="center"/>
      <w:rPr>
        <w:rFonts w:ascii="Times New Roman" w:hAnsi="Times New Roman"/>
      </w:rPr>
    </w:pPr>
    <w:r w:rsidRPr="002E2D1D">
      <w:rPr>
        <w:rFonts w:ascii="Times New Roman" w:hAnsi="Times New Roman"/>
      </w:rPr>
      <w:fldChar w:fldCharType="begin"/>
    </w:r>
    <w:r w:rsidRPr="00BE7D45">
      <w:rPr>
        <w:rFonts w:ascii="Times New Roman" w:hAnsi="Times New Roman"/>
      </w:rPr>
      <w:instrText xml:space="preserve">PAGE </w:instrText>
    </w:r>
    <w:r w:rsidRPr="002E2D1D">
      <w:rPr>
        <w:rFonts w:ascii="Times New Roman" w:hAnsi="Times New Roman"/>
      </w:rPr>
      <w:fldChar w:fldCharType="separate"/>
    </w:r>
    <w:r w:rsidRPr="00BE7D45" w:rsidR="006B10AA">
      <w:rPr>
        <w:rFonts w:ascii="Times New Roman" w:hAnsi="Times New Roman"/>
        <w:noProof/>
      </w:rPr>
      <w:t>7</w:t>
    </w:r>
    <w:r w:rsidRPr="002E2D1D">
      <w:rPr>
        <w:rFonts w:ascii="Times New Roman" w:hAnsi="Times New Roman"/>
      </w:rPr>
      <w:fldChar w:fldCharType="end"/>
    </w:r>
  </w:p>
  <w:p w:rsidR="00EA1751" w14:paraId="79105405"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D14AA" w14:paraId="0271EC0B" w14:textId="77777777">
      <w:r>
        <w:separator/>
      </w:r>
    </w:p>
  </w:footnote>
  <w:footnote w:type="continuationSeparator" w:id="1">
    <w:p w:rsidR="00ED14AA" w14:paraId="2C5BE792" w14:textId="77777777">
      <w:r>
        <w:continuationSeparator/>
      </w:r>
    </w:p>
  </w:footnote>
  <w:footnote w:id="2">
    <w:p w:rsidR="001B168B" w:rsidRPr="001B168B" w14:paraId="13102E21" w14:textId="4F8B8B05">
      <w:pPr>
        <w:pStyle w:val="FootnoteText"/>
        <w:contextualSpacing/>
        <w:rPr>
          <w:rFonts w:ascii="Times New Roman" w:hAnsi="Times New Roman"/>
        </w:rPr>
      </w:pPr>
      <w:r w:rsidRPr="001B168B">
        <w:rPr>
          <w:rStyle w:val="FootnoteReference"/>
          <w:rFonts w:ascii="Times New Roman" w:hAnsi="Times New Roman"/>
          <w:vertAlign w:val="superscript"/>
        </w:rPr>
        <w:footnoteRef/>
      </w:r>
      <w:r w:rsidRPr="001B168B">
        <w:rPr>
          <w:rFonts w:ascii="Times New Roman" w:hAnsi="Times New Roman"/>
          <w:vertAlign w:val="superscript"/>
        </w:rPr>
        <w:t xml:space="preserve"> </w:t>
      </w:r>
      <w:r w:rsidRPr="001B168B">
        <w:rPr>
          <w:rFonts w:ascii="Times New Roman" w:hAnsi="Times New Roman"/>
        </w:rPr>
        <w:t>According to data from the National Telecommunications and Information Agency (NTIA), 37.4 % of individuals age 25 and over have access to the Internet at work. According to a Greenwald &amp; Associates survey, 84% of plan participants find it acceptable to make electronic delivery the default option, which is used as the proxy for the number of participants who will not opt-out of electronic disclosure that are automatically enrolled (for a total of 31.4% receiving electronic disclosure at work). Additionally, the NTIA reports that 44.1% of individuals age 25 and over have access to the internet outside of work. According to a Pew Research Center survey, 61.0% of internet users use online banking, which is used as the proxy for the number of internet users who will affirmatively consent to receiving electronic disclosures (for a total of 26.9% receiving electronic disclosure outside of work). Combining the 31.4% who receive electronic disclosure at work with the 26.9% who receive electronic disclosure outside of work produces a total of 58.3% who will receive electronic disclosure overall.</w:t>
      </w:r>
    </w:p>
  </w:footnote>
  <w:footnote w:id="3">
    <w:p w:rsidR="00E41760" w:rsidRPr="00F71FF2" w:rsidP="00E41760" w14:paraId="6B7274E3" w14:textId="77777777">
      <w:pPr>
        <w:pStyle w:val="FootnoteText"/>
        <w:contextualSpacing/>
        <w:rPr>
          <w:rFonts w:ascii="Times New Roman" w:hAnsi="Times New Roman"/>
        </w:rPr>
      </w:pPr>
      <w:r w:rsidRPr="00063F73">
        <w:rPr>
          <w:rStyle w:val="FootnoteReference"/>
          <w:rFonts w:ascii="Times New Roman" w:hAnsi="Times New Roman"/>
          <w:vertAlign w:val="superscript"/>
        </w:rPr>
        <w:footnoteRef/>
      </w:r>
      <w:r w:rsidRPr="00063F73">
        <w:rPr>
          <w:rFonts w:ascii="Times New Roman" w:hAnsi="Times New Roman"/>
        </w:rPr>
        <w:t xml:space="preserve"> The</w:t>
      </w:r>
      <w:r>
        <w:rPr>
          <w:rFonts w:ascii="Times New Roman" w:hAnsi="Times New Roman"/>
        </w:rPr>
        <w:t xml:space="preserve"> Department of Health and Human Services has only secondary jurisdiction under the HIPAA portability provisions, if a State fails substantially to enforce a provision, over issuers acting as insurers in States that enact the HIPAA requirements as State law.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1751" w:rsidRPr="004B3629" w:rsidP="00D81712" w14:paraId="06E6541C" w14:textId="77777777">
    <w:pPr>
      <w:rPr>
        <w:rFonts w:ascii="Times New Roman" w:hAnsi="Times New Roman"/>
        <w:sz w:val="20"/>
        <w:szCs w:val="20"/>
      </w:rPr>
    </w:pPr>
    <w:r w:rsidRPr="004B3629">
      <w:rPr>
        <w:rFonts w:ascii="Times New Roman" w:hAnsi="Times New Roman"/>
        <w:sz w:val="20"/>
        <w:szCs w:val="20"/>
      </w:rPr>
      <w:t>Notice of Special Enrollment Rights under Group Health Plans</w:t>
    </w:r>
  </w:p>
  <w:p w:rsidR="00EA1751" w:rsidRPr="004B3629" w:rsidP="00D81712" w14:paraId="4D357689" w14:textId="77777777">
    <w:pPr>
      <w:rPr>
        <w:rFonts w:ascii="Times New Roman" w:hAnsi="Times New Roman"/>
        <w:sz w:val="20"/>
        <w:szCs w:val="20"/>
      </w:rPr>
    </w:pPr>
    <w:r w:rsidRPr="004B3629">
      <w:rPr>
        <w:rFonts w:ascii="Times New Roman" w:hAnsi="Times New Roman"/>
        <w:sz w:val="20"/>
        <w:szCs w:val="20"/>
      </w:rPr>
      <w:t>OMB Control No. 1210-0101</w:t>
    </w:r>
  </w:p>
  <w:p w:rsidR="00D81712" w:rsidRPr="004B3629" w:rsidP="00D81712" w14:paraId="171140BC" w14:textId="1525F231">
    <w:pPr>
      <w:rPr>
        <w:rFonts w:ascii="Times New Roman" w:hAnsi="Times New Roman"/>
        <w:sz w:val="20"/>
        <w:szCs w:val="20"/>
      </w:rPr>
    </w:pPr>
    <w:r w:rsidRPr="004B3629">
      <w:rPr>
        <w:rFonts w:ascii="Times New Roman" w:hAnsi="Times New Roman"/>
        <w:sz w:val="20"/>
        <w:szCs w:val="20"/>
      </w:rPr>
      <w:t>Expiration Date: 08/31/202</w:t>
    </w:r>
    <w:r w:rsidRPr="004B3629" w:rsidR="00D2655D">
      <w:rPr>
        <w:rFonts w:ascii="Times New Roman" w:hAnsi="Times New Roman"/>
        <w:sz w:val="20"/>
        <w:szCs w:val="20"/>
      </w:rPr>
      <w:t>5</w:t>
    </w:r>
  </w:p>
  <w:p w:rsidR="00EA1751" w:rsidRPr="00350662" w:rsidP="001125D2" w14:paraId="0BED3368" w14:textId="77777777">
    <w:pPr>
      <w:jc w:val="right"/>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965E3B00"/>
    <w:lvl w:ilvl="0">
      <w:start w:val="0"/>
      <w:numFmt w:val="decimal"/>
      <w:lvlText w:val="*"/>
      <w:lvlJc w:val="left"/>
    </w:lvl>
  </w:abstractNum>
  <w:abstractNum w:abstractNumId="1">
    <w:nsid w:val="00000001"/>
    <w:multiLevelType w:val="singleLevel"/>
    <w:tmpl w:val="68342A28"/>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2">
    <w:nsid w:val="02B74403"/>
    <w:multiLevelType w:val="hybridMultilevel"/>
    <w:tmpl w:val="B65C85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FA56E87"/>
    <w:multiLevelType w:val="hybridMultilevel"/>
    <w:tmpl w:val="5DC23A0A"/>
    <w:lvl w:ilvl="0">
      <w:start w:val="3"/>
      <w:numFmt w:val="decimal"/>
      <w:lvlText w:val="%1."/>
      <w:lvlJc w:val="left"/>
      <w:pPr>
        <w:tabs>
          <w:tab w:val="num" w:pos="1080"/>
        </w:tabs>
        <w:ind w:left="1080" w:hanging="72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1994F61"/>
    <w:multiLevelType w:val="hybridMultilevel"/>
    <w:tmpl w:val="EBDE5F88"/>
    <w:lvl w:ilvl="0">
      <w:start w:val="1"/>
      <w:numFmt w:val="bullet"/>
      <w:lvlText w:val=""/>
      <w:lvlJc w:val="left"/>
      <w:pPr>
        <w:tabs>
          <w:tab w:val="num" w:pos="-31680"/>
        </w:tabs>
        <w:ind w:left="72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E7E0EA4"/>
    <w:multiLevelType w:val="hybridMultilevel"/>
    <w:tmpl w:val="BDA2A3C6"/>
    <w:lvl w:ilvl="0">
      <w:start w:val="3"/>
      <w:numFmt w:val="decimal"/>
      <w:lvlText w:val="%1."/>
      <w:lvlJc w:val="left"/>
      <w:pPr>
        <w:tabs>
          <w:tab w:val="num" w:pos="1080"/>
        </w:tabs>
        <w:ind w:left="1080" w:hanging="72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F7627C9"/>
    <w:multiLevelType w:val="hybridMultilevel"/>
    <w:tmpl w:val="F26EF704"/>
    <w:lvl w:ilvl="0">
      <w:start w:val="1"/>
      <w:numFmt w:val="bullet"/>
      <w:lvlText w:val=""/>
      <w:lvlJc w:val="left"/>
      <w:pPr>
        <w:ind w:left="1530" w:hanging="360"/>
      </w:pPr>
      <w:rPr>
        <w:rFonts w:ascii="Symbol" w:hAnsi="Symbol" w:hint="default"/>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7">
    <w:nsid w:val="27C90452"/>
    <w:multiLevelType w:val="hybridMultilevel"/>
    <w:tmpl w:val="E75C62C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B1921CD"/>
    <w:multiLevelType w:val="hybridMultilevel"/>
    <w:tmpl w:val="BCF6C11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4C7A2FFB"/>
    <w:multiLevelType w:val="hybridMultilevel"/>
    <w:tmpl w:val="C6CE7ED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nsid w:val="4FCC7DB6"/>
    <w:multiLevelType w:val="hybridMultilevel"/>
    <w:tmpl w:val="1F3A6A2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546157AC"/>
    <w:multiLevelType w:val="hybridMultilevel"/>
    <w:tmpl w:val="73F602C2"/>
    <w:lvl w:ilvl="0">
      <w:start w:val="1"/>
      <w:numFmt w:val="bullet"/>
      <w:lvlText w:val=""/>
      <w:lvlJc w:val="left"/>
      <w:pPr>
        <w:tabs>
          <w:tab w:val="num" w:pos="-31680"/>
        </w:tabs>
        <w:ind w:left="72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64C17FD1"/>
    <w:multiLevelType w:val="hybridMultilevel"/>
    <w:tmpl w:val="B4942D7E"/>
    <w:lvl w:ilvl="0">
      <w:start w:val="2"/>
      <w:numFmt w:val="upperLetter"/>
      <w:lvlText w:val="%1."/>
      <w:lvlJc w:val="left"/>
      <w:pPr>
        <w:tabs>
          <w:tab w:val="num" w:pos="1080"/>
        </w:tabs>
        <w:ind w:left="1080" w:hanging="360"/>
      </w:pPr>
      <w:rPr>
        <w:rFonts w:hint="default"/>
        <w:b/>
        <w:i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6E341F4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D6F68E6"/>
    <w:multiLevelType w:val="hybridMultilevel"/>
    <w:tmpl w:val="112AC8C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7F5C494A"/>
    <w:multiLevelType w:val="hybridMultilevel"/>
    <w:tmpl w:val="6C6A9E04"/>
    <w:lvl w:ilvl="0">
      <w:start w:val="1"/>
      <w:numFmt w:val="upp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65521817">
    <w:abstractNumId w:val="1"/>
    <w:lvlOverride w:ilvl="0">
      <w:lvl w:ilvl="0">
        <w:start w:val="1"/>
        <w:numFmt w:val="decimal"/>
        <w:pStyle w:val="Quick1"/>
        <w:lvlText w:val="%1."/>
        <w:lvlJc w:val="left"/>
        <w:rPr>
          <w:b/>
          <w:bCs/>
          <w:i w:val="0"/>
          <w:iCs/>
        </w:rPr>
      </w:lvl>
    </w:lvlOverride>
  </w:num>
  <w:num w:numId="2" w16cid:durableId="1639383658">
    <w:abstractNumId w:val="0"/>
    <w:lvlOverride w:ilvl="0">
      <w:lvl w:ilvl="0">
        <w:start w:val="0"/>
        <w:numFmt w:val="bullet"/>
        <w:lvlText w:val=""/>
        <w:legacy w:legacy="1" w:legacySpace="0" w:legacyIndent="720"/>
        <w:lvlJc w:val="left"/>
        <w:pPr>
          <w:ind w:left="1440" w:hanging="720"/>
        </w:pPr>
        <w:rPr>
          <w:rFonts w:ascii="Symbol" w:hAnsi="Symbol" w:hint="default"/>
        </w:rPr>
      </w:lvl>
    </w:lvlOverride>
  </w:num>
  <w:num w:numId="3" w16cid:durableId="1458183730">
    <w:abstractNumId w:val="3"/>
  </w:num>
  <w:num w:numId="4" w16cid:durableId="760835231">
    <w:abstractNumId w:val="5"/>
  </w:num>
  <w:num w:numId="5" w16cid:durableId="1324964336">
    <w:abstractNumId w:val="11"/>
  </w:num>
  <w:num w:numId="6" w16cid:durableId="614603606">
    <w:abstractNumId w:val="4"/>
  </w:num>
  <w:num w:numId="7" w16cid:durableId="1673339804">
    <w:abstractNumId w:val="13"/>
  </w:num>
  <w:num w:numId="8" w16cid:durableId="1551720320">
    <w:abstractNumId w:val="7"/>
  </w:num>
  <w:num w:numId="9" w16cid:durableId="159661541">
    <w:abstractNumId w:val="8"/>
  </w:num>
  <w:num w:numId="10" w16cid:durableId="1253470803">
    <w:abstractNumId w:val="10"/>
  </w:num>
  <w:num w:numId="11" w16cid:durableId="586154716">
    <w:abstractNumId w:val="14"/>
  </w:num>
  <w:num w:numId="12" w16cid:durableId="1624000001">
    <w:abstractNumId w:val="15"/>
  </w:num>
  <w:num w:numId="13" w16cid:durableId="1602495374">
    <w:abstractNumId w:val="6"/>
  </w:num>
  <w:num w:numId="14" w16cid:durableId="1033267508">
    <w:abstractNumId w:val="2"/>
  </w:num>
  <w:num w:numId="15" w16cid:durableId="897008559">
    <w:abstractNumId w:val="12"/>
  </w:num>
  <w:num w:numId="16" w16cid:durableId="14397116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B4B"/>
    <w:rsid w:val="000054B2"/>
    <w:rsid w:val="00005996"/>
    <w:rsid w:val="000146BB"/>
    <w:rsid w:val="000204A7"/>
    <w:rsid w:val="0002162B"/>
    <w:rsid w:val="000270E2"/>
    <w:rsid w:val="000409D1"/>
    <w:rsid w:val="000444C9"/>
    <w:rsid w:val="00056A4C"/>
    <w:rsid w:val="00063F73"/>
    <w:rsid w:val="00071FA9"/>
    <w:rsid w:val="00073A71"/>
    <w:rsid w:val="0007410A"/>
    <w:rsid w:val="00091BDA"/>
    <w:rsid w:val="00094066"/>
    <w:rsid w:val="00094CC2"/>
    <w:rsid w:val="000A0929"/>
    <w:rsid w:val="000A2B49"/>
    <w:rsid w:val="000B1938"/>
    <w:rsid w:val="000B3C53"/>
    <w:rsid w:val="000C566C"/>
    <w:rsid w:val="000C6E93"/>
    <w:rsid w:val="000D3449"/>
    <w:rsid w:val="000D7B63"/>
    <w:rsid w:val="000E08D3"/>
    <w:rsid w:val="000F2141"/>
    <w:rsid w:val="000F54BA"/>
    <w:rsid w:val="00100279"/>
    <w:rsid w:val="00111205"/>
    <w:rsid w:val="001125D2"/>
    <w:rsid w:val="0012119D"/>
    <w:rsid w:val="00122609"/>
    <w:rsid w:val="001256F4"/>
    <w:rsid w:val="00132993"/>
    <w:rsid w:val="00150B4A"/>
    <w:rsid w:val="00152CCE"/>
    <w:rsid w:val="00153575"/>
    <w:rsid w:val="001548B6"/>
    <w:rsid w:val="001571E2"/>
    <w:rsid w:val="00157A85"/>
    <w:rsid w:val="001657B0"/>
    <w:rsid w:val="00165C16"/>
    <w:rsid w:val="00177E93"/>
    <w:rsid w:val="00184DB2"/>
    <w:rsid w:val="001902D0"/>
    <w:rsid w:val="0019524C"/>
    <w:rsid w:val="00195F4E"/>
    <w:rsid w:val="00197CF7"/>
    <w:rsid w:val="001B168B"/>
    <w:rsid w:val="001B3145"/>
    <w:rsid w:val="001B77EE"/>
    <w:rsid w:val="001C168A"/>
    <w:rsid w:val="001C56AB"/>
    <w:rsid w:val="001C63A7"/>
    <w:rsid w:val="001D0F80"/>
    <w:rsid w:val="001D3F6C"/>
    <w:rsid w:val="001D3F75"/>
    <w:rsid w:val="001D4105"/>
    <w:rsid w:val="001D5688"/>
    <w:rsid w:val="001E2C08"/>
    <w:rsid w:val="00205C4D"/>
    <w:rsid w:val="00206D82"/>
    <w:rsid w:val="00216459"/>
    <w:rsid w:val="0022116C"/>
    <w:rsid w:val="00222222"/>
    <w:rsid w:val="0022323D"/>
    <w:rsid w:val="00231B4B"/>
    <w:rsid w:val="0025007D"/>
    <w:rsid w:val="00250ED6"/>
    <w:rsid w:val="00264CE8"/>
    <w:rsid w:val="00264F68"/>
    <w:rsid w:val="002662DB"/>
    <w:rsid w:val="0026678F"/>
    <w:rsid w:val="0027070C"/>
    <w:rsid w:val="002707A0"/>
    <w:rsid w:val="0027491B"/>
    <w:rsid w:val="00283F93"/>
    <w:rsid w:val="002865B2"/>
    <w:rsid w:val="00286A36"/>
    <w:rsid w:val="002968A3"/>
    <w:rsid w:val="002A05DB"/>
    <w:rsid w:val="002A086E"/>
    <w:rsid w:val="002A2FDC"/>
    <w:rsid w:val="002A4F8B"/>
    <w:rsid w:val="002B5F5D"/>
    <w:rsid w:val="002C5CD1"/>
    <w:rsid w:val="002D2097"/>
    <w:rsid w:val="002D7296"/>
    <w:rsid w:val="002E1FF8"/>
    <w:rsid w:val="002E2D1D"/>
    <w:rsid w:val="002E7E02"/>
    <w:rsid w:val="002F1F27"/>
    <w:rsid w:val="00304197"/>
    <w:rsid w:val="00306088"/>
    <w:rsid w:val="003063D1"/>
    <w:rsid w:val="00320441"/>
    <w:rsid w:val="003215EF"/>
    <w:rsid w:val="00323C4E"/>
    <w:rsid w:val="00333ACB"/>
    <w:rsid w:val="00333EBA"/>
    <w:rsid w:val="00334FAE"/>
    <w:rsid w:val="00335C13"/>
    <w:rsid w:val="00346540"/>
    <w:rsid w:val="00350662"/>
    <w:rsid w:val="00360E53"/>
    <w:rsid w:val="00362F95"/>
    <w:rsid w:val="00373271"/>
    <w:rsid w:val="00377A36"/>
    <w:rsid w:val="00382E1F"/>
    <w:rsid w:val="003917F2"/>
    <w:rsid w:val="00396373"/>
    <w:rsid w:val="003A0CE7"/>
    <w:rsid w:val="003A4DB8"/>
    <w:rsid w:val="003A7DE5"/>
    <w:rsid w:val="003C4877"/>
    <w:rsid w:val="003C4A71"/>
    <w:rsid w:val="003C6EBD"/>
    <w:rsid w:val="003D156D"/>
    <w:rsid w:val="003D43A1"/>
    <w:rsid w:val="003D75B1"/>
    <w:rsid w:val="003E0FC4"/>
    <w:rsid w:val="003E506F"/>
    <w:rsid w:val="003E7330"/>
    <w:rsid w:val="003F3903"/>
    <w:rsid w:val="003F4EEC"/>
    <w:rsid w:val="00405D4D"/>
    <w:rsid w:val="004142B3"/>
    <w:rsid w:val="004246FA"/>
    <w:rsid w:val="00431180"/>
    <w:rsid w:val="00437085"/>
    <w:rsid w:val="00456295"/>
    <w:rsid w:val="00461F60"/>
    <w:rsid w:val="00466AD9"/>
    <w:rsid w:val="00466B6F"/>
    <w:rsid w:val="00466F29"/>
    <w:rsid w:val="0047266E"/>
    <w:rsid w:val="004774E9"/>
    <w:rsid w:val="00481BB7"/>
    <w:rsid w:val="0048269F"/>
    <w:rsid w:val="00483515"/>
    <w:rsid w:val="004860CB"/>
    <w:rsid w:val="00493822"/>
    <w:rsid w:val="00496731"/>
    <w:rsid w:val="004B0586"/>
    <w:rsid w:val="004B084D"/>
    <w:rsid w:val="004B3629"/>
    <w:rsid w:val="004B5FDA"/>
    <w:rsid w:val="004C36D0"/>
    <w:rsid w:val="004C6633"/>
    <w:rsid w:val="004E0E4D"/>
    <w:rsid w:val="004E1AAC"/>
    <w:rsid w:val="004E4B8F"/>
    <w:rsid w:val="004E4DD8"/>
    <w:rsid w:val="004F0309"/>
    <w:rsid w:val="0052026B"/>
    <w:rsid w:val="00524C55"/>
    <w:rsid w:val="00526010"/>
    <w:rsid w:val="00526173"/>
    <w:rsid w:val="00531EE8"/>
    <w:rsid w:val="005335AC"/>
    <w:rsid w:val="0054639D"/>
    <w:rsid w:val="00550C30"/>
    <w:rsid w:val="0055143D"/>
    <w:rsid w:val="005529C4"/>
    <w:rsid w:val="00561A50"/>
    <w:rsid w:val="00570426"/>
    <w:rsid w:val="00576547"/>
    <w:rsid w:val="00580114"/>
    <w:rsid w:val="005854A2"/>
    <w:rsid w:val="0058743D"/>
    <w:rsid w:val="00591067"/>
    <w:rsid w:val="00593B68"/>
    <w:rsid w:val="005945CA"/>
    <w:rsid w:val="00594B79"/>
    <w:rsid w:val="005954E9"/>
    <w:rsid w:val="005A1CBF"/>
    <w:rsid w:val="005A3655"/>
    <w:rsid w:val="005A36C9"/>
    <w:rsid w:val="005A7741"/>
    <w:rsid w:val="005B0F37"/>
    <w:rsid w:val="005B5077"/>
    <w:rsid w:val="005B7A67"/>
    <w:rsid w:val="005C1698"/>
    <w:rsid w:val="005C6E76"/>
    <w:rsid w:val="005C78A0"/>
    <w:rsid w:val="005D220C"/>
    <w:rsid w:val="005D2724"/>
    <w:rsid w:val="005E1B71"/>
    <w:rsid w:val="005E4E9F"/>
    <w:rsid w:val="005E60D8"/>
    <w:rsid w:val="005F60E3"/>
    <w:rsid w:val="006101B8"/>
    <w:rsid w:val="00612226"/>
    <w:rsid w:val="006144AC"/>
    <w:rsid w:val="006165C8"/>
    <w:rsid w:val="00616AF7"/>
    <w:rsid w:val="006179B5"/>
    <w:rsid w:val="00621137"/>
    <w:rsid w:val="00623DAB"/>
    <w:rsid w:val="00623DF0"/>
    <w:rsid w:val="00637336"/>
    <w:rsid w:val="006373E2"/>
    <w:rsid w:val="0064012B"/>
    <w:rsid w:val="0064231A"/>
    <w:rsid w:val="00642C0B"/>
    <w:rsid w:val="00646709"/>
    <w:rsid w:val="00665F8F"/>
    <w:rsid w:val="006663DD"/>
    <w:rsid w:val="00667A88"/>
    <w:rsid w:val="00672ACC"/>
    <w:rsid w:val="00674892"/>
    <w:rsid w:val="0068182F"/>
    <w:rsid w:val="006852EA"/>
    <w:rsid w:val="006A21CF"/>
    <w:rsid w:val="006A68E4"/>
    <w:rsid w:val="006B10AA"/>
    <w:rsid w:val="006B4392"/>
    <w:rsid w:val="006C42D2"/>
    <w:rsid w:val="006C6733"/>
    <w:rsid w:val="006F3A49"/>
    <w:rsid w:val="006F4E00"/>
    <w:rsid w:val="007009A5"/>
    <w:rsid w:val="00702E00"/>
    <w:rsid w:val="00716FCC"/>
    <w:rsid w:val="007229D6"/>
    <w:rsid w:val="00725342"/>
    <w:rsid w:val="00725A69"/>
    <w:rsid w:val="007357A4"/>
    <w:rsid w:val="00735DBB"/>
    <w:rsid w:val="007364BE"/>
    <w:rsid w:val="00742B9B"/>
    <w:rsid w:val="00762359"/>
    <w:rsid w:val="00767A48"/>
    <w:rsid w:val="00775234"/>
    <w:rsid w:val="007772F9"/>
    <w:rsid w:val="00777B0A"/>
    <w:rsid w:val="00781FD4"/>
    <w:rsid w:val="00785490"/>
    <w:rsid w:val="00787EC4"/>
    <w:rsid w:val="0079183E"/>
    <w:rsid w:val="00794C6C"/>
    <w:rsid w:val="007A0F02"/>
    <w:rsid w:val="007A156C"/>
    <w:rsid w:val="007A41A6"/>
    <w:rsid w:val="007B048D"/>
    <w:rsid w:val="007B0A21"/>
    <w:rsid w:val="007B775D"/>
    <w:rsid w:val="007E334D"/>
    <w:rsid w:val="007F3E53"/>
    <w:rsid w:val="007F5008"/>
    <w:rsid w:val="007F5C26"/>
    <w:rsid w:val="0080199D"/>
    <w:rsid w:val="00802119"/>
    <w:rsid w:val="00804DB2"/>
    <w:rsid w:val="00812FFB"/>
    <w:rsid w:val="00820CD7"/>
    <w:rsid w:val="008407B0"/>
    <w:rsid w:val="00842628"/>
    <w:rsid w:val="008574C5"/>
    <w:rsid w:val="0086710B"/>
    <w:rsid w:val="00871E2C"/>
    <w:rsid w:val="00876F1F"/>
    <w:rsid w:val="00880CE4"/>
    <w:rsid w:val="008840BA"/>
    <w:rsid w:val="008875B1"/>
    <w:rsid w:val="00890EA3"/>
    <w:rsid w:val="008937D2"/>
    <w:rsid w:val="008A0E0C"/>
    <w:rsid w:val="008A3834"/>
    <w:rsid w:val="008B786A"/>
    <w:rsid w:val="008C628C"/>
    <w:rsid w:val="008D1317"/>
    <w:rsid w:val="008D13B8"/>
    <w:rsid w:val="008D6C37"/>
    <w:rsid w:val="008E0596"/>
    <w:rsid w:val="008E3B6B"/>
    <w:rsid w:val="008F0453"/>
    <w:rsid w:val="008F315E"/>
    <w:rsid w:val="00904217"/>
    <w:rsid w:val="009200AC"/>
    <w:rsid w:val="0092178A"/>
    <w:rsid w:val="009217A7"/>
    <w:rsid w:val="00924401"/>
    <w:rsid w:val="00927B17"/>
    <w:rsid w:val="00933362"/>
    <w:rsid w:val="00940FCE"/>
    <w:rsid w:val="00951E48"/>
    <w:rsid w:val="00952E6C"/>
    <w:rsid w:val="009530A9"/>
    <w:rsid w:val="00955BAA"/>
    <w:rsid w:val="00957422"/>
    <w:rsid w:val="009641F1"/>
    <w:rsid w:val="00966C7F"/>
    <w:rsid w:val="00971BA7"/>
    <w:rsid w:val="0097200C"/>
    <w:rsid w:val="009872AE"/>
    <w:rsid w:val="00994269"/>
    <w:rsid w:val="009978C9"/>
    <w:rsid w:val="009A0DDB"/>
    <w:rsid w:val="009B4FFF"/>
    <w:rsid w:val="009C4B5F"/>
    <w:rsid w:val="009D51C9"/>
    <w:rsid w:val="009D7027"/>
    <w:rsid w:val="009E044F"/>
    <w:rsid w:val="009E2528"/>
    <w:rsid w:val="009E5F54"/>
    <w:rsid w:val="009F4D51"/>
    <w:rsid w:val="00A079B6"/>
    <w:rsid w:val="00A17FC8"/>
    <w:rsid w:val="00A23C7B"/>
    <w:rsid w:val="00A27CB8"/>
    <w:rsid w:val="00A36757"/>
    <w:rsid w:val="00A44ED2"/>
    <w:rsid w:val="00A53389"/>
    <w:rsid w:val="00A546E4"/>
    <w:rsid w:val="00A65FD5"/>
    <w:rsid w:val="00A7791F"/>
    <w:rsid w:val="00A77DFE"/>
    <w:rsid w:val="00A85AB4"/>
    <w:rsid w:val="00AA3996"/>
    <w:rsid w:val="00AA6D47"/>
    <w:rsid w:val="00AA7872"/>
    <w:rsid w:val="00AB3163"/>
    <w:rsid w:val="00AB373B"/>
    <w:rsid w:val="00AC0B37"/>
    <w:rsid w:val="00AC1674"/>
    <w:rsid w:val="00AC1AC3"/>
    <w:rsid w:val="00AD456A"/>
    <w:rsid w:val="00AD68E5"/>
    <w:rsid w:val="00AE02CD"/>
    <w:rsid w:val="00AE1188"/>
    <w:rsid w:val="00AF0A49"/>
    <w:rsid w:val="00AF136A"/>
    <w:rsid w:val="00AF2F65"/>
    <w:rsid w:val="00B03772"/>
    <w:rsid w:val="00B0480F"/>
    <w:rsid w:val="00B06661"/>
    <w:rsid w:val="00B072F8"/>
    <w:rsid w:val="00B22C1A"/>
    <w:rsid w:val="00B2380C"/>
    <w:rsid w:val="00B314A9"/>
    <w:rsid w:val="00B33E5A"/>
    <w:rsid w:val="00B51885"/>
    <w:rsid w:val="00B57587"/>
    <w:rsid w:val="00B64507"/>
    <w:rsid w:val="00B655B7"/>
    <w:rsid w:val="00B82908"/>
    <w:rsid w:val="00B84555"/>
    <w:rsid w:val="00B85BEE"/>
    <w:rsid w:val="00B90907"/>
    <w:rsid w:val="00B95C3D"/>
    <w:rsid w:val="00B96D09"/>
    <w:rsid w:val="00BA05C7"/>
    <w:rsid w:val="00BA34F5"/>
    <w:rsid w:val="00BA659E"/>
    <w:rsid w:val="00BC6BB3"/>
    <w:rsid w:val="00BD08F7"/>
    <w:rsid w:val="00BD0E02"/>
    <w:rsid w:val="00BD2E65"/>
    <w:rsid w:val="00BD5966"/>
    <w:rsid w:val="00BE7D45"/>
    <w:rsid w:val="00C00EFD"/>
    <w:rsid w:val="00C34017"/>
    <w:rsid w:val="00C37B31"/>
    <w:rsid w:val="00C43336"/>
    <w:rsid w:val="00C55BCE"/>
    <w:rsid w:val="00C64D68"/>
    <w:rsid w:val="00C73AFD"/>
    <w:rsid w:val="00C807BF"/>
    <w:rsid w:val="00C8160B"/>
    <w:rsid w:val="00C8383D"/>
    <w:rsid w:val="00C83A5E"/>
    <w:rsid w:val="00C92159"/>
    <w:rsid w:val="00C95875"/>
    <w:rsid w:val="00CA3888"/>
    <w:rsid w:val="00CB2409"/>
    <w:rsid w:val="00CB25C4"/>
    <w:rsid w:val="00CB3D8B"/>
    <w:rsid w:val="00CC1BE3"/>
    <w:rsid w:val="00CC7FD5"/>
    <w:rsid w:val="00CE107C"/>
    <w:rsid w:val="00CE1919"/>
    <w:rsid w:val="00CE2711"/>
    <w:rsid w:val="00CE2952"/>
    <w:rsid w:val="00D018FA"/>
    <w:rsid w:val="00D057FF"/>
    <w:rsid w:val="00D05FFC"/>
    <w:rsid w:val="00D061DB"/>
    <w:rsid w:val="00D10A89"/>
    <w:rsid w:val="00D12E75"/>
    <w:rsid w:val="00D145B5"/>
    <w:rsid w:val="00D15DFC"/>
    <w:rsid w:val="00D16E48"/>
    <w:rsid w:val="00D20188"/>
    <w:rsid w:val="00D2470E"/>
    <w:rsid w:val="00D2655D"/>
    <w:rsid w:val="00D26D84"/>
    <w:rsid w:val="00D276D7"/>
    <w:rsid w:val="00D33D75"/>
    <w:rsid w:val="00D40473"/>
    <w:rsid w:val="00D42161"/>
    <w:rsid w:val="00D43380"/>
    <w:rsid w:val="00D46768"/>
    <w:rsid w:val="00D47ECC"/>
    <w:rsid w:val="00D5382C"/>
    <w:rsid w:val="00D5612B"/>
    <w:rsid w:val="00D61FA6"/>
    <w:rsid w:val="00D76835"/>
    <w:rsid w:val="00D81712"/>
    <w:rsid w:val="00D8386B"/>
    <w:rsid w:val="00D83A9B"/>
    <w:rsid w:val="00D849B0"/>
    <w:rsid w:val="00D8562F"/>
    <w:rsid w:val="00D97000"/>
    <w:rsid w:val="00DA05C5"/>
    <w:rsid w:val="00DA4F08"/>
    <w:rsid w:val="00DA7EF2"/>
    <w:rsid w:val="00DB0FBC"/>
    <w:rsid w:val="00DB15EA"/>
    <w:rsid w:val="00DC422C"/>
    <w:rsid w:val="00DC5C7B"/>
    <w:rsid w:val="00DC6A7C"/>
    <w:rsid w:val="00DC7B7E"/>
    <w:rsid w:val="00DD1FC5"/>
    <w:rsid w:val="00DD49A6"/>
    <w:rsid w:val="00DE6E85"/>
    <w:rsid w:val="00DF06FC"/>
    <w:rsid w:val="00DF1FA8"/>
    <w:rsid w:val="00E05EF1"/>
    <w:rsid w:val="00E23211"/>
    <w:rsid w:val="00E36884"/>
    <w:rsid w:val="00E3717E"/>
    <w:rsid w:val="00E37D16"/>
    <w:rsid w:val="00E408BE"/>
    <w:rsid w:val="00E41760"/>
    <w:rsid w:val="00E418AA"/>
    <w:rsid w:val="00E41BE4"/>
    <w:rsid w:val="00E43C8F"/>
    <w:rsid w:val="00E6056D"/>
    <w:rsid w:val="00E74D2E"/>
    <w:rsid w:val="00E76E93"/>
    <w:rsid w:val="00E86510"/>
    <w:rsid w:val="00E97889"/>
    <w:rsid w:val="00EA1751"/>
    <w:rsid w:val="00EA1965"/>
    <w:rsid w:val="00EA1D17"/>
    <w:rsid w:val="00EA3BF2"/>
    <w:rsid w:val="00EB0E9E"/>
    <w:rsid w:val="00EB266D"/>
    <w:rsid w:val="00EB2E34"/>
    <w:rsid w:val="00EB3DD7"/>
    <w:rsid w:val="00EB54D9"/>
    <w:rsid w:val="00EB7610"/>
    <w:rsid w:val="00EC2E79"/>
    <w:rsid w:val="00EC623E"/>
    <w:rsid w:val="00ED0621"/>
    <w:rsid w:val="00ED0DE1"/>
    <w:rsid w:val="00ED14AA"/>
    <w:rsid w:val="00EE5FA5"/>
    <w:rsid w:val="00EF3CC3"/>
    <w:rsid w:val="00F02073"/>
    <w:rsid w:val="00F034F7"/>
    <w:rsid w:val="00F05D9B"/>
    <w:rsid w:val="00F06F78"/>
    <w:rsid w:val="00F206CB"/>
    <w:rsid w:val="00F233BB"/>
    <w:rsid w:val="00F31A7D"/>
    <w:rsid w:val="00F3332D"/>
    <w:rsid w:val="00F33F1A"/>
    <w:rsid w:val="00F36E4D"/>
    <w:rsid w:val="00F4329C"/>
    <w:rsid w:val="00F43672"/>
    <w:rsid w:val="00F47EA1"/>
    <w:rsid w:val="00F527C6"/>
    <w:rsid w:val="00F543E2"/>
    <w:rsid w:val="00F54B75"/>
    <w:rsid w:val="00F558D9"/>
    <w:rsid w:val="00F61B9A"/>
    <w:rsid w:val="00F63EE0"/>
    <w:rsid w:val="00F66E9A"/>
    <w:rsid w:val="00F71FF2"/>
    <w:rsid w:val="00F72BB3"/>
    <w:rsid w:val="00F739D1"/>
    <w:rsid w:val="00F76134"/>
    <w:rsid w:val="00F81264"/>
    <w:rsid w:val="00F875EE"/>
    <w:rsid w:val="00FA2BB8"/>
    <w:rsid w:val="00FB389B"/>
    <w:rsid w:val="00FC78C7"/>
    <w:rsid w:val="00FD13F2"/>
    <w:rsid w:val="00FD54D1"/>
    <w:rsid w:val="00FD580E"/>
    <w:rsid w:val="00FD6AFC"/>
    <w:rsid w:val="00FE13AF"/>
    <w:rsid w:val="00FE2952"/>
    <w:rsid w:val="00FE2F5E"/>
    <w:rsid w:val="00FF20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0D85156"/>
  <w15:chartTrackingRefBased/>
  <w15:docId w15:val="{54A516CE-08D3-42D0-B12F-E5D4EB70E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rsid w:val="005C1698"/>
    <w:pPr>
      <w:numPr>
        <w:numId w:val="1"/>
      </w:numPr>
      <w:ind w:left="720" w:hanging="720"/>
    </w:pPr>
    <w:rPr>
      <w:rFonts w:ascii="Times New Roman" w:hAnsi="Times New Roman"/>
      <w:i/>
    </w:rPr>
  </w:style>
  <w:style w:type="paragraph" w:customStyle="1" w:styleId="a">
    <w:name w:val="_"/>
    <w:basedOn w:val="Normal"/>
    <w:pPr>
      <w:ind w:left="1440" w:hanging="72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rsid w:val="00466AD9"/>
    <w:pPr>
      <w:ind w:left="720"/>
    </w:pPr>
    <w:rPr>
      <w:rFonts w:ascii="Times New Roman" w:hAnsi="Times New Roman"/>
      <w:i/>
    </w:rPr>
  </w:style>
  <w:style w:type="paragraph" w:styleId="BodyText">
    <w:name w:val="Body Text"/>
    <w:basedOn w:val="Normal"/>
    <w:pPr>
      <w:widowControl/>
    </w:pPr>
    <w:rPr>
      <w:rFonts w:ascii="Times New Roman" w:hAnsi="Times New Roman"/>
      <w:szCs w:val="20"/>
    </w:rPr>
  </w:style>
  <w:style w:type="paragraph" w:styleId="FootnoteText">
    <w:name w:val="footnote text"/>
    <w:basedOn w:val="Normal"/>
    <w:semiHidden/>
    <w:rPr>
      <w:sz w:val="20"/>
      <w:szCs w:val="20"/>
    </w:rPr>
  </w:style>
  <w:style w:type="paragraph" w:styleId="BalloonText">
    <w:name w:val="Balloon Text"/>
    <w:basedOn w:val="Normal"/>
    <w:semiHidden/>
    <w:rsid w:val="00206D82"/>
    <w:rPr>
      <w:rFonts w:ascii="Tahoma" w:hAnsi="Tahoma" w:cs="Tahoma"/>
      <w:sz w:val="16"/>
      <w:szCs w:val="16"/>
    </w:rPr>
  </w:style>
  <w:style w:type="character" w:styleId="CommentReference">
    <w:name w:val="annotation reference"/>
    <w:semiHidden/>
    <w:rsid w:val="0079183E"/>
    <w:rPr>
      <w:sz w:val="16"/>
      <w:szCs w:val="16"/>
    </w:rPr>
  </w:style>
  <w:style w:type="paragraph" w:styleId="CommentText">
    <w:name w:val="annotation text"/>
    <w:basedOn w:val="Normal"/>
    <w:link w:val="CommentTextChar"/>
    <w:semiHidden/>
    <w:rsid w:val="0079183E"/>
    <w:rPr>
      <w:sz w:val="20"/>
      <w:szCs w:val="20"/>
    </w:rPr>
  </w:style>
  <w:style w:type="paragraph" w:styleId="CommentSubject">
    <w:name w:val="annotation subject"/>
    <w:basedOn w:val="CommentText"/>
    <w:next w:val="CommentText"/>
    <w:link w:val="CommentSubjectChar"/>
    <w:rsid w:val="00BC6BB3"/>
    <w:rPr>
      <w:b/>
      <w:bCs/>
    </w:rPr>
  </w:style>
  <w:style w:type="character" w:customStyle="1" w:styleId="CommentTextChar">
    <w:name w:val="Comment Text Char"/>
    <w:link w:val="CommentText"/>
    <w:semiHidden/>
    <w:rsid w:val="00BC6BB3"/>
    <w:rPr>
      <w:rFonts w:ascii="Courier" w:hAnsi="Courier"/>
    </w:rPr>
  </w:style>
  <w:style w:type="character" w:customStyle="1" w:styleId="CommentSubjectChar">
    <w:name w:val="Comment Subject Char"/>
    <w:link w:val="CommentSubject"/>
    <w:rsid w:val="00BC6BB3"/>
    <w:rPr>
      <w:rFonts w:ascii="Courier" w:hAnsi="Courier"/>
      <w:b/>
      <w:bCs/>
    </w:rPr>
  </w:style>
  <w:style w:type="table" w:styleId="TableGrid">
    <w:name w:val="Table Grid"/>
    <w:basedOn w:val="TableNormal"/>
    <w:rsid w:val="00EB5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0621"/>
    <w:rPr>
      <w:rFonts w:ascii="Courier" w:hAnsi="Courier"/>
      <w:sz w:val="24"/>
      <w:szCs w:val="24"/>
    </w:rPr>
  </w:style>
  <w:style w:type="paragraph" w:styleId="ListParagraph">
    <w:name w:val="List Paragraph"/>
    <w:basedOn w:val="Normal"/>
    <w:uiPriority w:val="34"/>
    <w:qFormat/>
    <w:rsid w:val="00B314A9"/>
    <w:pPr>
      <w:ind w:left="720"/>
      <w:contextualSpacing/>
    </w:pPr>
  </w:style>
  <w:style w:type="character" w:customStyle="1" w:styleId="HeaderChar">
    <w:name w:val="Header Char"/>
    <w:basedOn w:val="DefaultParagraphFont"/>
    <w:link w:val="Header"/>
    <w:uiPriority w:val="99"/>
    <w:rsid w:val="005E4E9F"/>
    <w:rPr>
      <w:rFonts w:ascii="Courier" w:hAnsi="Courier"/>
      <w:sz w:val="24"/>
      <w:szCs w:val="24"/>
    </w:rPr>
  </w:style>
  <w:style w:type="character" w:styleId="Hyperlink">
    <w:name w:val="Hyperlink"/>
    <w:uiPriority w:val="99"/>
    <w:rsid w:val="00F233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2B700-E821-4926-9B14-CBF420D11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3273</Words>
  <Characters>18283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SUPPORTING STATEMENT FOR PAPERWORK REDUCTION ACT 1995 SUBMISSIONS</vt:lpstr>
    </vt:vector>
  </TitlesOfParts>
  <Company>US Department of Labor</Company>
  <LinksUpToDate>false</LinksUpToDate>
  <CharactersWithSpaces>21513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creator>kellyc</dc:creator>
  <cp:lastModifiedBy>Mariam Khan</cp:lastModifiedBy>
  <cp:revision>7</cp:revision>
  <cp:lastPrinted>2016-01-04T21:10:00Z</cp:lastPrinted>
  <dcterms:created xsi:type="dcterms:W3CDTF">2025-07-21T17:51:00Z</dcterms:created>
  <dcterms:modified xsi:type="dcterms:W3CDTF">2025-07-21T18:14:00Z</dcterms:modified>
</cp:coreProperties>
</file>