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5E10" w:rsidRPr="00CC630E" w:rsidP="00260999" w14:paraId="31A09E90" w14:textId="152F8C15">
      <w:pPr>
        <w:widowControl/>
        <w:tabs>
          <w:tab w:val="center" w:pos="4680"/>
        </w:tabs>
        <w:jc w:val="center"/>
        <w:rPr>
          <w:rFonts w:ascii="Times New Roman" w:hAnsi="Times New Roman"/>
        </w:rPr>
      </w:pPr>
      <w:r w:rsidRPr="00260999">
        <w:rPr>
          <w:rFonts w:ascii="Times New Roman" w:hAnsi="Times New Roman"/>
          <w:b/>
          <w:bCs/>
        </w:rPr>
        <w:t>Supporting Statement for Paperwork Reduction Act Submission</w:t>
      </w:r>
    </w:p>
    <w:p w:rsidR="00015E10" w:rsidRPr="00CC630E" w14:paraId="31A09E91" w14:textId="77777777">
      <w:pPr>
        <w:widowControl/>
        <w:rPr>
          <w:rFonts w:ascii="Times New Roman" w:hAnsi="Times New Roman"/>
        </w:rPr>
      </w:pPr>
    </w:p>
    <w:p w:rsidR="00015E10" w:rsidRPr="00CC630E" w14:paraId="31A09E92" w14:textId="77777777">
      <w:pPr>
        <w:widowControl/>
        <w:rPr>
          <w:rFonts w:ascii="Times New Roman" w:hAnsi="Times New Roman"/>
        </w:rPr>
      </w:pPr>
      <w:r w:rsidRPr="00CC630E">
        <w:rPr>
          <w:rFonts w:ascii="Times New Roman" w:hAnsi="Times New Roman"/>
          <w:b/>
          <w:bCs/>
        </w:rPr>
        <w:t>AGENCY:</w:t>
      </w:r>
      <w:r w:rsidRPr="00CC630E">
        <w:rPr>
          <w:rFonts w:ascii="Times New Roman" w:hAnsi="Times New Roman"/>
        </w:rPr>
        <w:tab/>
        <w:t xml:space="preserve">Pension Benefit Guaranty Corporation </w:t>
      </w:r>
    </w:p>
    <w:p w:rsidR="00015E10" w:rsidRPr="00CC630E" w14:paraId="31A09E93" w14:textId="77777777">
      <w:pPr>
        <w:widowControl/>
        <w:rPr>
          <w:rFonts w:ascii="Times New Roman" w:hAnsi="Times New Roman"/>
        </w:rPr>
      </w:pPr>
    </w:p>
    <w:p w:rsidR="00015E10" w:rsidRPr="00CC630E" w14:paraId="31A09E94" w14:textId="183A475C">
      <w:pPr>
        <w:widowControl/>
        <w:tabs>
          <w:tab w:val="left" w:pos="-1440"/>
        </w:tabs>
        <w:ind w:left="1440" w:hanging="1440"/>
        <w:rPr>
          <w:rFonts w:ascii="Times New Roman" w:hAnsi="Times New Roman"/>
        </w:rPr>
      </w:pPr>
      <w:r w:rsidRPr="00CC630E">
        <w:rPr>
          <w:rFonts w:ascii="Times New Roman" w:hAnsi="Times New Roman"/>
          <w:b/>
          <w:bCs/>
        </w:rPr>
        <w:t>TITLE:</w:t>
      </w:r>
      <w:r w:rsidRPr="00CC630E">
        <w:rPr>
          <w:rFonts w:ascii="Times New Roman" w:hAnsi="Times New Roman"/>
        </w:rPr>
        <w:tab/>
      </w:r>
      <w:r w:rsidR="00923BE4">
        <w:rPr>
          <w:rFonts w:ascii="Times New Roman" w:hAnsi="Times New Roman"/>
        </w:rPr>
        <w:t>Duties of Plan Sponsor of an Insolvent Plan</w:t>
      </w:r>
      <w:r w:rsidRPr="00CC630E">
        <w:rPr>
          <w:rFonts w:ascii="Times New Roman" w:hAnsi="Times New Roman"/>
        </w:rPr>
        <w:t xml:space="preserve"> (29 CFR </w:t>
      </w:r>
      <w:r w:rsidR="00384FE2">
        <w:rPr>
          <w:rFonts w:ascii="Times New Roman" w:hAnsi="Times New Roman"/>
        </w:rPr>
        <w:t>p</w:t>
      </w:r>
      <w:r w:rsidRPr="00CC630E">
        <w:rPr>
          <w:rFonts w:ascii="Times New Roman" w:hAnsi="Times New Roman"/>
        </w:rPr>
        <w:t xml:space="preserve">art 4245) </w:t>
      </w:r>
    </w:p>
    <w:p w:rsidR="00015E10" w:rsidRPr="00CC630E" w14:paraId="31A09E95" w14:textId="77777777">
      <w:pPr>
        <w:widowControl/>
        <w:rPr>
          <w:rFonts w:ascii="Times New Roman" w:hAnsi="Times New Roman"/>
        </w:rPr>
      </w:pPr>
    </w:p>
    <w:p w:rsidR="00015E10" w:rsidRPr="004E3286" w14:paraId="31A09E96" w14:textId="1216E785">
      <w:pPr>
        <w:widowControl/>
        <w:tabs>
          <w:tab w:val="left" w:pos="-1440"/>
        </w:tabs>
        <w:ind w:left="1440" w:hanging="1440"/>
        <w:rPr>
          <w:rFonts w:ascii="Times New Roman" w:hAnsi="Times New Roman"/>
        </w:rPr>
      </w:pPr>
      <w:r w:rsidRPr="00CC630E">
        <w:rPr>
          <w:rFonts w:ascii="Times New Roman" w:hAnsi="Times New Roman"/>
          <w:b/>
          <w:bCs/>
        </w:rPr>
        <w:t>STATUS:</w:t>
      </w:r>
      <w:r w:rsidRPr="00CC630E">
        <w:rPr>
          <w:rFonts w:ascii="Times New Roman" w:hAnsi="Times New Roman"/>
        </w:rPr>
        <w:tab/>
        <w:t xml:space="preserve">Request for </w:t>
      </w:r>
      <w:r w:rsidR="00CE18BF">
        <w:rPr>
          <w:rFonts w:ascii="Times New Roman" w:hAnsi="Times New Roman"/>
        </w:rPr>
        <w:t>modificat</w:t>
      </w:r>
      <w:r w:rsidRPr="00CC630E">
        <w:rPr>
          <w:rFonts w:ascii="Times New Roman" w:hAnsi="Times New Roman"/>
        </w:rPr>
        <w:t>ion of currently</w:t>
      </w:r>
      <w:r w:rsidR="00CE18BF">
        <w:rPr>
          <w:rFonts w:ascii="Times New Roman" w:hAnsi="Times New Roman"/>
        </w:rPr>
        <w:t>-</w:t>
      </w:r>
      <w:r w:rsidRPr="00CC630E">
        <w:rPr>
          <w:rFonts w:ascii="Times New Roman" w:hAnsi="Times New Roman"/>
        </w:rPr>
        <w:t xml:space="preserve">approved collection </w:t>
      </w:r>
      <w:r w:rsidR="00CE18BF">
        <w:rPr>
          <w:rFonts w:ascii="Times New Roman" w:hAnsi="Times New Roman"/>
        </w:rPr>
        <w:t xml:space="preserve">of information </w:t>
      </w:r>
      <w:r w:rsidRPr="00CC630E">
        <w:rPr>
          <w:rFonts w:ascii="Times New Roman" w:hAnsi="Times New Roman"/>
        </w:rPr>
        <w:t>(OMB control number 1212</w:t>
      </w:r>
      <w:r w:rsidRPr="00CC630E" w:rsidR="000305C3">
        <w:rPr>
          <w:rFonts w:ascii="Times New Roman" w:hAnsi="Times New Roman"/>
        </w:rPr>
        <w:t xml:space="preserve">-0033; expires </w:t>
      </w:r>
      <w:r w:rsidR="00135FDA">
        <w:rPr>
          <w:rFonts w:ascii="Times New Roman" w:hAnsi="Times New Roman"/>
        </w:rPr>
        <w:t>June</w:t>
      </w:r>
      <w:r w:rsidR="006302AF">
        <w:rPr>
          <w:rFonts w:ascii="Times New Roman" w:hAnsi="Times New Roman"/>
        </w:rPr>
        <w:t xml:space="preserve"> 30, 20</w:t>
      </w:r>
      <w:r w:rsidR="00923BE4">
        <w:rPr>
          <w:rFonts w:ascii="Times New Roman" w:hAnsi="Times New Roman"/>
        </w:rPr>
        <w:t>2</w:t>
      </w:r>
      <w:r w:rsidR="00280511">
        <w:rPr>
          <w:rFonts w:ascii="Times New Roman" w:hAnsi="Times New Roman"/>
        </w:rPr>
        <w:t>5</w:t>
      </w:r>
      <w:r w:rsidRPr="004E3286">
        <w:rPr>
          <w:rFonts w:ascii="Times New Roman" w:hAnsi="Times New Roman"/>
        </w:rPr>
        <w:t xml:space="preserve">) </w:t>
      </w:r>
    </w:p>
    <w:p w:rsidR="00015E10" w:rsidRPr="004E3286" w14:paraId="31A09E97" w14:textId="77777777">
      <w:pPr>
        <w:widowControl/>
        <w:rPr>
          <w:rFonts w:ascii="Times New Roman" w:hAnsi="Times New Roman"/>
        </w:rPr>
      </w:pPr>
    </w:p>
    <w:p w:rsidR="00015E10" w:rsidRPr="004E3286" w:rsidP="003A099A" w14:paraId="31A09E99" w14:textId="74532065">
      <w:pPr>
        <w:widowControl/>
        <w:ind w:left="1440" w:hanging="1440"/>
        <w:rPr>
          <w:rFonts w:ascii="Times New Roman" w:hAnsi="Times New Roman"/>
        </w:rPr>
      </w:pPr>
      <w:r w:rsidRPr="004E3286">
        <w:rPr>
          <w:rFonts w:ascii="Times New Roman" w:hAnsi="Times New Roman"/>
          <w:b/>
          <w:bCs/>
        </w:rPr>
        <w:t>CONTACT:</w:t>
      </w:r>
      <w:r w:rsidRPr="004E3286" w:rsidR="00A26354">
        <w:rPr>
          <w:rFonts w:ascii="Times New Roman" w:hAnsi="Times New Roman"/>
        </w:rPr>
        <w:tab/>
      </w:r>
      <w:r w:rsidR="00260999">
        <w:rPr>
          <w:rFonts w:ascii="Times New Roman" w:hAnsi="Times New Roman"/>
        </w:rPr>
        <w:t>Hilary Duke</w:t>
      </w:r>
      <w:r w:rsidRPr="004E3286" w:rsidR="00A26354">
        <w:rPr>
          <w:rFonts w:ascii="Times New Roman" w:hAnsi="Times New Roman"/>
        </w:rPr>
        <w:t xml:space="preserve"> (</w:t>
      </w:r>
      <w:r w:rsidR="00384FE2">
        <w:rPr>
          <w:rFonts w:ascii="Times New Roman" w:hAnsi="Times New Roman"/>
        </w:rPr>
        <w:t>202-</w:t>
      </w:r>
      <w:r w:rsidR="001533EE">
        <w:rPr>
          <w:rFonts w:ascii="Times New Roman" w:hAnsi="Times New Roman"/>
        </w:rPr>
        <w:t>229</w:t>
      </w:r>
      <w:r w:rsidRPr="004E3286" w:rsidR="00A26354">
        <w:rPr>
          <w:rFonts w:ascii="Times New Roman" w:hAnsi="Times New Roman"/>
        </w:rPr>
        <w:noBreakHyphen/>
      </w:r>
      <w:r w:rsidR="00280511">
        <w:rPr>
          <w:rFonts w:ascii="Times New Roman" w:hAnsi="Times New Roman"/>
        </w:rPr>
        <w:t>38</w:t>
      </w:r>
      <w:r w:rsidR="00260999">
        <w:rPr>
          <w:rFonts w:ascii="Times New Roman" w:hAnsi="Times New Roman"/>
        </w:rPr>
        <w:t>3</w:t>
      </w:r>
      <w:r w:rsidR="00280511">
        <w:rPr>
          <w:rFonts w:ascii="Times New Roman" w:hAnsi="Times New Roman"/>
        </w:rPr>
        <w:t>9</w:t>
      </w:r>
      <w:r w:rsidRPr="004E3286">
        <w:rPr>
          <w:rFonts w:ascii="Times New Roman" w:hAnsi="Times New Roman"/>
        </w:rPr>
        <w:t>)</w:t>
      </w:r>
    </w:p>
    <w:p w:rsidR="00015E10" w:rsidRPr="004E3286" w14:paraId="31A09E9A" w14:textId="77777777">
      <w:pPr>
        <w:widowControl/>
        <w:rPr>
          <w:rFonts w:ascii="Times New Roman" w:hAnsi="Times New Roman"/>
        </w:rPr>
      </w:pPr>
    </w:p>
    <w:p w:rsidR="00950038" w:rsidP="00F04BFB" w14:paraId="36A4FE61" w14:textId="13C75C6F">
      <w:pPr>
        <w:widowControl/>
        <w:spacing w:line="480" w:lineRule="auto"/>
        <w:ind w:firstLine="720"/>
        <w:rPr>
          <w:rFonts w:ascii="Times New Roman" w:hAnsi="Times New Roman"/>
        </w:rPr>
      </w:pPr>
      <w:r w:rsidRPr="004E3286">
        <w:rPr>
          <w:rFonts w:ascii="Times New Roman" w:hAnsi="Times New Roman"/>
        </w:rPr>
        <w:t xml:space="preserve">1.  </w:t>
      </w:r>
      <w:r w:rsidRPr="004E3286">
        <w:rPr>
          <w:rFonts w:ascii="Times New Roman" w:hAnsi="Times New Roman"/>
          <w:u w:val="single"/>
        </w:rPr>
        <w:t>Need for collection.</w:t>
      </w:r>
      <w:r w:rsidRPr="004E3286">
        <w:rPr>
          <w:rFonts w:ascii="Times New Roman" w:hAnsi="Times New Roman"/>
        </w:rPr>
        <w:t xml:space="preserve">  ERISA section 4245(e) requires two</w:t>
      </w:r>
      <w:r w:rsidR="003A099A">
        <w:rPr>
          <w:rFonts w:ascii="Times New Roman" w:hAnsi="Times New Roman"/>
        </w:rPr>
        <w:t xml:space="preserve"> </w:t>
      </w:r>
      <w:r w:rsidRPr="004E3286">
        <w:rPr>
          <w:rFonts w:ascii="Times New Roman" w:hAnsi="Times New Roman"/>
        </w:rPr>
        <w:t xml:space="preserve">types of notice: a </w:t>
      </w:r>
      <w:r w:rsidR="00FF2E71">
        <w:rPr>
          <w:rFonts w:ascii="Times New Roman" w:hAnsi="Times New Roman"/>
        </w:rPr>
        <w:t>“</w:t>
      </w:r>
      <w:r w:rsidRPr="00CC630E">
        <w:rPr>
          <w:rFonts w:ascii="Times New Roman" w:hAnsi="Times New Roman"/>
        </w:rPr>
        <w:t>notice of insolvency,</w:t>
      </w:r>
      <w:r w:rsidR="00FF2E71">
        <w:rPr>
          <w:rFonts w:ascii="Times New Roman" w:hAnsi="Times New Roman"/>
        </w:rPr>
        <w:t>”</w:t>
      </w:r>
      <w:r w:rsidRPr="00CC630E">
        <w:rPr>
          <w:rFonts w:ascii="Times New Roman" w:hAnsi="Times New Roman"/>
        </w:rPr>
        <w:t xml:space="preserve"> stating a plan sponsor</w:t>
      </w:r>
      <w:r w:rsidR="00FF2E71">
        <w:rPr>
          <w:rFonts w:ascii="Times New Roman" w:hAnsi="Times New Roman"/>
        </w:rPr>
        <w:t>’</w:t>
      </w:r>
      <w:r w:rsidRPr="00CC630E">
        <w:rPr>
          <w:rFonts w:ascii="Times New Roman" w:hAnsi="Times New Roman"/>
        </w:rPr>
        <w:t xml:space="preserve">s determination that the plan is or may become insolvent, and a </w:t>
      </w:r>
      <w:r w:rsidR="00FF2E71">
        <w:rPr>
          <w:rFonts w:ascii="Times New Roman" w:hAnsi="Times New Roman"/>
        </w:rPr>
        <w:t>“</w:t>
      </w:r>
      <w:r w:rsidRPr="00CC630E">
        <w:rPr>
          <w:rFonts w:ascii="Times New Roman" w:hAnsi="Times New Roman"/>
        </w:rPr>
        <w:t>notice of insolvency benefit level,</w:t>
      </w:r>
      <w:r w:rsidR="00FF2E71">
        <w:rPr>
          <w:rFonts w:ascii="Times New Roman" w:hAnsi="Times New Roman"/>
        </w:rPr>
        <w:t>”</w:t>
      </w:r>
      <w:r w:rsidRPr="00CC630E">
        <w:rPr>
          <w:rFonts w:ascii="Times New Roman" w:hAnsi="Times New Roman"/>
        </w:rPr>
        <w:t xml:space="preserve"> stating the level of benefits that will be paid during an insolvency year.  Section 4245(e)(4) provides that these notices are to be given in accordance with rules promulgated by </w:t>
      </w:r>
      <w:r w:rsidRPr="00CC630E" w:rsidR="007E45C0">
        <w:rPr>
          <w:rFonts w:ascii="Times New Roman" w:hAnsi="Times New Roman"/>
        </w:rPr>
        <w:t>PBGC</w:t>
      </w:r>
      <w:r w:rsidRPr="004E3286">
        <w:rPr>
          <w:rFonts w:ascii="Times New Roman" w:hAnsi="Times New Roman"/>
        </w:rPr>
        <w:t xml:space="preserve">.  </w:t>
      </w:r>
      <w:r w:rsidRPr="001F42C7" w:rsidR="007E45C0">
        <w:rPr>
          <w:rFonts w:ascii="Times New Roman" w:hAnsi="Times New Roman"/>
        </w:rPr>
        <w:t>PBGC</w:t>
      </w:r>
      <w:r w:rsidRPr="001F42C7" w:rsidR="00FF2E71">
        <w:rPr>
          <w:rFonts w:ascii="Times New Roman" w:hAnsi="Times New Roman"/>
        </w:rPr>
        <w:t>’</w:t>
      </w:r>
      <w:r w:rsidRPr="001F42C7">
        <w:rPr>
          <w:rFonts w:ascii="Times New Roman" w:hAnsi="Times New Roman"/>
        </w:rPr>
        <w:t xml:space="preserve">s regulation on </w:t>
      </w:r>
      <w:r w:rsidRPr="001F42C7" w:rsidR="001F42C7">
        <w:rPr>
          <w:rFonts w:ascii="Times New Roman" w:hAnsi="Times New Roman"/>
        </w:rPr>
        <w:t>Duties of Plan Sponsor of an Insolvent Plan</w:t>
      </w:r>
      <w:r w:rsidR="003A099A">
        <w:rPr>
          <w:rFonts w:ascii="Times New Roman" w:hAnsi="Times New Roman"/>
        </w:rPr>
        <w:t xml:space="preserve"> (</w:t>
      </w:r>
      <w:r w:rsidRPr="001F42C7">
        <w:rPr>
          <w:rFonts w:ascii="Times New Roman" w:hAnsi="Times New Roman"/>
        </w:rPr>
        <w:t>29</w:t>
      </w:r>
      <w:r w:rsidRPr="001F42C7" w:rsidR="0042740F">
        <w:rPr>
          <w:rFonts w:ascii="Times New Roman" w:hAnsi="Times New Roman"/>
        </w:rPr>
        <w:t> </w:t>
      </w:r>
      <w:r w:rsidRPr="001F42C7">
        <w:rPr>
          <w:rFonts w:ascii="Times New Roman" w:hAnsi="Times New Roman"/>
        </w:rPr>
        <w:t xml:space="preserve">CFR </w:t>
      </w:r>
      <w:r w:rsidRPr="001F42C7" w:rsidR="006302AF">
        <w:rPr>
          <w:rFonts w:ascii="Times New Roman" w:hAnsi="Times New Roman"/>
        </w:rPr>
        <w:t>p</w:t>
      </w:r>
      <w:r w:rsidRPr="001F42C7">
        <w:rPr>
          <w:rFonts w:ascii="Times New Roman" w:hAnsi="Times New Roman"/>
        </w:rPr>
        <w:t>art</w:t>
      </w:r>
      <w:r w:rsidRPr="001F42C7" w:rsidR="0042740F">
        <w:rPr>
          <w:rFonts w:ascii="Times New Roman" w:hAnsi="Times New Roman"/>
        </w:rPr>
        <w:t> </w:t>
      </w:r>
      <w:r w:rsidRPr="001F42C7">
        <w:rPr>
          <w:rFonts w:ascii="Times New Roman" w:hAnsi="Times New Roman"/>
        </w:rPr>
        <w:t>42</w:t>
      </w:r>
      <w:r w:rsidRPr="00CC630E">
        <w:rPr>
          <w:rFonts w:ascii="Times New Roman" w:hAnsi="Times New Roman"/>
        </w:rPr>
        <w:t>45</w:t>
      </w:r>
      <w:r w:rsidR="00B81D3B">
        <w:rPr>
          <w:rFonts w:ascii="Times New Roman" w:hAnsi="Times New Roman"/>
        </w:rPr>
        <w:t>)</w:t>
      </w:r>
      <w:r w:rsidRPr="00CC630E">
        <w:rPr>
          <w:rFonts w:ascii="Times New Roman" w:hAnsi="Times New Roman"/>
        </w:rPr>
        <w:t xml:space="preserve"> </w:t>
      </w:r>
      <w:r w:rsidRPr="00CC630E" w:rsidR="00AC3EF6">
        <w:rPr>
          <w:rFonts w:ascii="Times New Roman" w:hAnsi="Times New Roman"/>
        </w:rPr>
        <w:t>establishes the procedure for complying with these notice requirement</w:t>
      </w:r>
      <w:r w:rsidR="00E8346D">
        <w:rPr>
          <w:rFonts w:ascii="Times New Roman" w:hAnsi="Times New Roman"/>
        </w:rPr>
        <w:t>s</w:t>
      </w:r>
      <w:r w:rsidR="00F04BFB">
        <w:rPr>
          <w:rFonts w:ascii="Times New Roman" w:hAnsi="Times New Roman"/>
        </w:rPr>
        <w:t xml:space="preserve"> and allows a plan sponsor to combine the notice of insolvency and notice of insolvency benefit level.  </w:t>
      </w:r>
      <w:r w:rsidRPr="004E3286" w:rsidR="00AC3EF6">
        <w:rPr>
          <w:rFonts w:ascii="Times New Roman" w:hAnsi="Times New Roman"/>
        </w:rPr>
        <w:t>The recipients of these notices are PBGC,</w:t>
      </w:r>
      <w:r w:rsidR="00B81D3B">
        <w:rPr>
          <w:rFonts w:ascii="Times New Roman" w:hAnsi="Times New Roman"/>
        </w:rPr>
        <w:t xml:space="preserve"> </w:t>
      </w:r>
      <w:r w:rsidRPr="004E3286" w:rsidR="00AC3EF6">
        <w:rPr>
          <w:rFonts w:ascii="Times New Roman" w:hAnsi="Times New Roman"/>
        </w:rPr>
        <w:t xml:space="preserve">contributing employers, employee organizations representing participants, and participants and beneficiaries.  </w:t>
      </w:r>
      <w:r w:rsidR="00F2491E">
        <w:rPr>
          <w:rFonts w:ascii="Times New Roman" w:hAnsi="Times New Roman"/>
        </w:rPr>
        <w:t>The plan sponsor provide</w:t>
      </w:r>
      <w:r w:rsidR="00BB7889">
        <w:rPr>
          <w:rFonts w:ascii="Times New Roman" w:hAnsi="Times New Roman"/>
        </w:rPr>
        <w:t>s</w:t>
      </w:r>
      <w:r w:rsidR="00F2491E">
        <w:rPr>
          <w:rFonts w:ascii="Times New Roman" w:hAnsi="Times New Roman"/>
        </w:rPr>
        <w:t xml:space="preserve"> an updated notice to participants and beneficiaries only if there is a change in the amount of benefits paid to participants and beneficiaries.</w:t>
      </w:r>
      <w:r w:rsidR="00381E30">
        <w:rPr>
          <w:rFonts w:ascii="Times New Roman" w:hAnsi="Times New Roman"/>
        </w:rPr>
        <w:t xml:space="preserve">  </w:t>
      </w:r>
    </w:p>
    <w:p w:rsidR="00D3507C" w:rsidP="00F04BFB" w14:paraId="6EF30210" w14:textId="57073E7A">
      <w:pPr>
        <w:widowControl/>
        <w:spacing w:line="480" w:lineRule="auto"/>
        <w:ind w:firstLine="720"/>
        <w:rPr>
          <w:rFonts w:ascii="Times New Roman" w:hAnsi="Times New Roman"/>
        </w:rPr>
      </w:pPr>
      <w:r w:rsidRPr="00E202A7">
        <w:rPr>
          <w:rFonts w:ascii="Times New Roman" w:hAnsi="Times New Roman"/>
        </w:rPr>
        <w:t>PBGC is eliminat</w:t>
      </w:r>
      <w:r w:rsidR="00D3272D">
        <w:rPr>
          <w:rFonts w:ascii="Times New Roman" w:hAnsi="Times New Roman"/>
        </w:rPr>
        <w:t>ing</w:t>
      </w:r>
      <w:r w:rsidRPr="00E202A7">
        <w:rPr>
          <w:rFonts w:ascii="Times New Roman" w:hAnsi="Times New Roman"/>
        </w:rPr>
        <w:t xml:space="preserve"> the requirement to file withdrawal liability information </w:t>
      </w:r>
      <w:r w:rsidR="001F5030">
        <w:rPr>
          <w:rFonts w:ascii="Times New Roman" w:hAnsi="Times New Roman"/>
        </w:rPr>
        <w:t>under § 4245.8(b)</w:t>
      </w:r>
      <w:r w:rsidR="00625ACC">
        <w:rPr>
          <w:rFonts w:ascii="Times New Roman" w:hAnsi="Times New Roman"/>
        </w:rPr>
        <w:t>(1)</w:t>
      </w:r>
      <w:r w:rsidR="001F5030">
        <w:rPr>
          <w:rFonts w:ascii="Times New Roman" w:hAnsi="Times New Roman"/>
        </w:rPr>
        <w:t xml:space="preserve"> </w:t>
      </w:r>
      <w:r w:rsidRPr="00E202A7">
        <w:rPr>
          <w:rFonts w:ascii="Times New Roman" w:hAnsi="Times New Roman"/>
        </w:rPr>
        <w:t xml:space="preserve">because </w:t>
      </w:r>
      <w:r>
        <w:rPr>
          <w:rFonts w:ascii="Times New Roman" w:hAnsi="Times New Roman"/>
        </w:rPr>
        <w:t>it no longer uses the information for purposes of estimating PBGC’s multiemployer liabilities.</w:t>
      </w:r>
    </w:p>
    <w:p w:rsidR="00B81D3B" w14:paraId="28D0B390" w14:textId="77777777">
      <w:pPr>
        <w:widowControl/>
        <w:spacing w:line="480" w:lineRule="auto"/>
        <w:ind w:firstLine="720"/>
        <w:rPr>
          <w:rFonts w:ascii="Times New Roman" w:hAnsi="Times New Roman"/>
        </w:rPr>
      </w:pPr>
      <w:r w:rsidRPr="004E3286">
        <w:rPr>
          <w:rFonts w:ascii="Times New Roman" w:hAnsi="Times New Roman"/>
        </w:rPr>
        <w:t xml:space="preserve">2.  </w:t>
      </w:r>
      <w:r w:rsidRPr="004E3286">
        <w:rPr>
          <w:rFonts w:ascii="Times New Roman" w:hAnsi="Times New Roman"/>
          <w:u w:val="single"/>
        </w:rPr>
        <w:t>Use of information.</w:t>
      </w:r>
      <w:r w:rsidRPr="004E3286">
        <w:rPr>
          <w:rFonts w:ascii="Times New Roman" w:hAnsi="Times New Roman"/>
        </w:rPr>
        <w:t xml:space="preserve">  </w:t>
      </w:r>
    </w:p>
    <w:p w:rsidR="00B81D3B" w14:paraId="44814F7A" w14:textId="4C201000">
      <w:pPr>
        <w:widowControl/>
        <w:spacing w:line="480" w:lineRule="auto"/>
        <w:ind w:firstLine="720"/>
        <w:rPr>
          <w:rFonts w:ascii="Times New Roman" w:hAnsi="Times New Roman"/>
        </w:rPr>
      </w:pPr>
      <w:r w:rsidRPr="00D003E4">
        <w:rPr>
          <w:rFonts w:ascii="Times New Roman" w:hAnsi="Times New Roman"/>
        </w:rPr>
        <w:t xml:space="preserve">a.  </w:t>
      </w:r>
      <w:r w:rsidRPr="00D003E4">
        <w:rPr>
          <w:rFonts w:ascii="Times New Roman" w:hAnsi="Times New Roman"/>
          <w:u w:val="single"/>
        </w:rPr>
        <w:t>Information required.</w:t>
      </w:r>
      <w:r w:rsidR="007D1194">
        <w:rPr>
          <w:rFonts w:ascii="Times New Roman" w:hAnsi="Times New Roman"/>
        </w:rPr>
        <w:t xml:space="preserve">  P</w:t>
      </w:r>
      <w:r w:rsidR="00BC7CAC">
        <w:rPr>
          <w:rFonts w:ascii="Times New Roman" w:hAnsi="Times New Roman"/>
        </w:rPr>
        <w:t>BGC requires that a notice of insolvency given to interested parties contain</w:t>
      </w:r>
      <w:r w:rsidR="00CB21E7">
        <w:rPr>
          <w:rFonts w:ascii="Times New Roman" w:hAnsi="Times New Roman"/>
        </w:rPr>
        <w:t>s</w:t>
      </w:r>
      <w:r w:rsidR="00BC7CAC">
        <w:rPr>
          <w:rFonts w:ascii="Times New Roman" w:hAnsi="Times New Roman"/>
        </w:rPr>
        <w:t xml:space="preserve"> </w:t>
      </w:r>
      <w:r w:rsidR="002A069C">
        <w:rPr>
          <w:rFonts w:ascii="Times New Roman" w:hAnsi="Times New Roman"/>
        </w:rPr>
        <w:t xml:space="preserve">the information outlined in 29 CFR § 4281.44(b)(1) through (4), an estimated total amount of annual benefit payments under the plan (determined without regard to the </w:t>
      </w:r>
      <w:r w:rsidR="002A069C">
        <w:rPr>
          <w:rFonts w:ascii="Times New Roman" w:hAnsi="Times New Roman"/>
        </w:rPr>
        <w:t>solvency) for the insolvency year, and the estimated amount of the plan’s available resources for the insolvency year.  Specific requirements for the notice of insolvency can be f</w:t>
      </w:r>
      <w:r w:rsidR="00E02C51">
        <w:rPr>
          <w:rFonts w:ascii="Times New Roman" w:hAnsi="Times New Roman"/>
        </w:rPr>
        <w:t xml:space="preserve">ound in the notice of </w:t>
      </w:r>
      <w:r w:rsidR="00CB21E7">
        <w:rPr>
          <w:rFonts w:ascii="Times New Roman" w:hAnsi="Times New Roman"/>
        </w:rPr>
        <w:t>in</w:t>
      </w:r>
      <w:r w:rsidR="00E02C51">
        <w:rPr>
          <w:rFonts w:ascii="Times New Roman" w:hAnsi="Times New Roman"/>
        </w:rPr>
        <w:t xml:space="preserve">solvency instructions on PBGC’s website, </w:t>
      </w:r>
      <w:hyperlink r:id="rId9" w:history="1">
        <w:r w:rsidRPr="00B201DA" w:rsidR="00B201DA">
          <w:rPr>
            <w:rStyle w:val="Hyperlink"/>
            <w:rFonts w:ascii="Times New Roman" w:hAnsi="Times New Roman"/>
            <w:i/>
            <w:iCs/>
            <w:u w:val="single"/>
          </w:rPr>
          <w:t>www.pbgc.gov</w:t>
        </w:r>
      </w:hyperlink>
      <w:r w:rsidR="00E02C51">
        <w:rPr>
          <w:rFonts w:ascii="Times New Roman" w:hAnsi="Times New Roman"/>
        </w:rPr>
        <w:t>.</w:t>
      </w:r>
    </w:p>
    <w:p w:rsidR="00B201DA" w:rsidRPr="00E02C51" w:rsidP="00B201DA" w14:paraId="59911349" w14:textId="3C9952EB">
      <w:pPr>
        <w:widowControl/>
        <w:spacing w:line="480" w:lineRule="auto"/>
        <w:rPr>
          <w:rFonts w:ascii="Times New Roman" w:hAnsi="Times New Roman"/>
          <w:u w:val="single"/>
        </w:rPr>
      </w:pPr>
      <w:r>
        <w:rPr>
          <w:rFonts w:ascii="Times New Roman" w:hAnsi="Times New Roman"/>
        </w:rPr>
        <w:tab/>
        <w:t xml:space="preserve">A notice of insolvency benefit level </w:t>
      </w:r>
      <w:r w:rsidR="006D38B0">
        <w:rPr>
          <w:rFonts w:ascii="Times New Roman" w:hAnsi="Times New Roman"/>
        </w:rPr>
        <w:t xml:space="preserve">required to be delivered to interested parties, other than to participants and beneficiaries in pay status or reasonable expected to enter pay status during the insolvency year, must provide the following information: the plan name; the plan year for which the notice is issues; the estimated amount of annual benefit payments under the plan (determined without regard to the insolvency) for the insolvency year; the estimated amount of the plan’s available resources for the insolvency year; and the amount of financial assistance, if any, requested from PBGC.  </w:t>
      </w:r>
      <w:r w:rsidR="008D6C34">
        <w:rPr>
          <w:rFonts w:ascii="Times New Roman" w:hAnsi="Times New Roman"/>
        </w:rPr>
        <w:t xml:space="preserve">The notices required to be delivered to participants and beneficiaries in pay status or reasonable expected to </w:t>
      </w:r>
      <w:r w:rsidR="00CB21E7">
        <w:rPr>
          <w:rFonts w:ascii="Times New Roman" w:hAnsi="Times New Roman"/>
        </w:rPr>
        <w:t>enter</w:t>
      </w:r>
      <w:r w:rsidR="008D6C34">
        <w:rPr>
          <w:rFonts w:ascii="Times New Roman" w:hAnsi="Times New Roman"/>
        </w:rPr>
        <w:t xml:space="preserve"> pay status during the insolvency year </w:t>
      </w:r>
      <w:r w:rsidR="006B12CA">
        <w:rPr>
          <w:rFonts w:ascii="Times New Roman" w:hAnsi="Times New Roman"/>
        </w:rPr>
        <w:t>for which the notice is given must include the information provided in 29 CFR § 4281.46(b)(1) through (7).</w:t>
      </w:r>
      <w:r w:rsidR="00CB21E7">
        <w:rPr>
          <w:rFonts w:ascii="Times New Roman" w:hAnsi="Times New Roman"/>
        </w:rPr>
        <w:t xml:space="preserve">  Specific requirements for the notice of insolvency benefit level can be found in the notice of insolvency benefit level instructions on PBGC’s website, </w:t>
      </w:r>
      <w:hyperlink r:id="rId9" w:history="1">
        <w:r w:rsidRPr="00B201DA" w:rsidR="00CB21E7">
          <w:rPr>
            <w:rStyle w:val="Hyperlink"/>
            <w:rFonts w:ascii="Times New Roman" w:hAnsi="Times New Roman"/>
            <w:i/>
            <w:iCs/>
            <w:u w:val="single"/>
          </w:rPr>
          <w:t>www.pbgc.gov</w:t>
        </w:r>
      </w:hyperlink>
      <w:r w:rsidR="00CB21E7">
        <w:rPr>
          <w:rFonts w:ascii="Times New Roman" w:hAnsi="Times New Roman"/>
        </w:rPr>
        <w:t xml:space="preserve">.  </w:t>
      </w:r>
    </w:p>
    <w:p w:rsidR="00015E10" w:rsidRPr="004E3286" w14:paraId="31A09E9E" w14:textId="746B6EA4">
      <w:pPr>
        <w:widowControl/>
        <w:spacing w:line="480" w:lineRule="auto"/>
        <w:ind w:firstLine="720"/>
        <w:rPr>
          <w:rFonts w:ascii="Times New Roman" w:hAnsi="Times New Roman"/>
        </w:rPr>
      </w:pPr>
      <w:r>
        <w:rPr>
          <w:rFonts w:ascii="Times New Roman" w:hAnsi="Times New Roman"/>
        </w:rPr>
        <w:t xml:space="preserve">b.  </w:t>
      </w:r>
      <w:r>
        <w:rPr>
          <w:rFonts w:ascii="Times New Roman" w:hAnsi="Times New Roman"/>
          <w:u w:val="single"/>
        </w:rPr>
        <w:t>Need for information.</w:t>
      </w:r>
      <w:r>
        <w:rPr>
          <w:rFonts w:ascii="Times New Roman" w:hAnsi="Times New Roman"/>
        </w:rPr>
        <w:t xml:space="preserve">  </w:t>
      </w:r>
      <w:r w:rsidRPr="004E3286" w:rsidR="007E45C0">
        <w:rPr>
          <w:rFonts w:ascii="Times New Roman" w:hAnsi="Times New Roman"/>
        </w:rPr>
        <w:t>PBGC</w:t>
      </w:r>
      <w:r w:rsidRPr="004E3286">
        <w:rPr>
          <w:rFonts w:ascii="Times New Roman" w:hAnsi="Times New Roman"/>
        </w:rPr>
        <w:t xml:space="preserve"> uses the information submitted under the regulation to estimate cash needs for financial assistance to troubled plans.  The collective bargaining parties use the information to decide whether additional contributions will be made to the plan </w:t>
      </w:r>
      <w:r w:rsidRPr="004E3286" w:rsidR="00E8346D">
        <w:rPr>
          <w:rFonts w:ascii="Times New Roman" w:hAnsi="Times New Roman"/>
        </w:rPr>
        <w:t>to</w:t>
      </w:r>
      <w:r w:rsidRPr="004E3286">
        <w:rPr>
          <w:rFonts w:ascii="Times New Roman" w:hAnsi="Times New Roman"/>
        </w:rPr>
        <w:t xml:space="preserve"> avoid the insolvency and</w:t>
      </w:r>
      <w:r w:rsidR="007D1194">
        <w:rPr>
          <w:rFonts w:ascii="Times New Roman" w:hAnsi="Times New Roman"/>
        </w:rPr>
        <w:t xml:space="preserve"> </w:t>
      </w:r>
      <w:r w:rsidRPr="004E3286">
        <w:rPr>
          <w:rFonts w:ascii="Times New Roman" w:hAnsi="Times New Roman"/>
        </w:rPr>
        <w:t xml:space="preserve">consequent benefit suspensions.  Plan participants and beneficiaries use the information to make personal financial decisions.  </w:t>
      </w:r>
    </w:p>
    <w:p w:rsidR="00015E10" w:rsidRPr="004E3286" w14:paraId="31A09E9F" w14:textId="0007D102">
      <w:pPr>
        <w:widowControl/>
        <w:spacing w:line="480" w:lineRule="auto"/>
        <w:ind w:firstLine="720"/>
        <w:rPr>
          <w:rFonts w:ascii="Times New Roman" w:hAnsi="Times New Roman"/>
        </w:rPr>
      </w:pPr>
      <w:r w:rsidRPr="004E3286">
        <w:rPr>
          <w:rFonts w:ascii="Times New Roman" w:hAnsi="Times New Roman"/>
        </w:rPr>
        <w:t xml:space="preserve">3.  </w:t>
      </w:r>
      <w:r w:rsidRPr="004E3286">
        <w:rPr>
          <w:rFonts w:ascii="Times New Roman" w:hAnsi="Times New Roman"/>
          <w:u w:val="single"/>
        </w:rPr>
        <w:t>Information technology.</w:t>
      </w:r>
      <w:r w:rsidRPr="004E3286">
        <w:rPr>
          <w:rFonts w:ascii="Times New Roman" w:hAnsi="Times New Roman"/>
        </w:rPr>
        <w:t xml:space="preserve">  </w:t>
      </w:r>
      <w:r w:rsidR="00310367">
        <w:rPr>
          <w:rFonts w:ascii="Times New Roman" w:hAnsi="Times New Roman"/>
        </w:rPr>
        <w:t xml:space="preserve">PBGC </w:t>
      </w:r>
      <w:r w:rsidR="00657F2C">
        <w:rPr>
          <w:rFonts w:ascii="Times New Roman" w:hAnsi="Times New Roman"/>
        </w:rPr>
        <w:t>requires</w:t>
      </w:r>
      <w:r w:rsidR="00310367">
        <w:rPr>
          <w:rFonts w:ascii="Times New Roman" w:hAnsi="Times New Roman"/>
        </w:rPr>
        <w:t xml:space="preserve"> notices</w:t>
      </w:r>
      <w:r w:rsidR="000234A5">
        <w:rPr>
          <w:rFonts w:ascii="Times New Roman" w:hAnsi="Times New Roman"/>
        </w:rPr>
        <w:t xml:space="preserve"> </w:t>
      </w:r>
      <w:r w:rsidR="00310367">
        <w:rPr>
          <w:rFonts w:ascii="Times New Roman" w:hAnsi="Times New Roman"/>
        </w:rPr>
        <w:t xml:space="preserve">under this regulation </w:t>
      </w:r>
      <w:r w:rsidR="00F2491E">
        <w:rPr>
          <w:rFonts w:ascii="Times New Roman" w:hAnsi="Times New Roman"/>
        </w:rPr>
        <w:t>to be filed electronically with PBGC.</w:t>
      </w:r>
    </w:p>
    <w:p w:rsidR="00015E10" w:rsidRPr="004E3286" w14:paraId="31A09EA0" w14:textId="550A1541">
      <w:pPr>
        <w:widowControl/>
        <w:spacing w:line="480" w:lineRule="auto"/>
        <w:ind w:firstLine="720"/>
        <w:rPr>
          <w:rFonts w:ascii="Times New Roman" w:hAnsi="Times New Roman"/>
        </w:rPr>
      </w:pPr>
      <w:r w:rsidRPr="004E3286">
        <w:rPr>
          <w:rFonts w:ascii="Times New Roman" w:hAnsi="Times New Roman"/>
        </w:rPr>
        <w:t xml:space="preserve">4.  </w:t>
      </w:r>
      <w:r w:rsidRPr="004E3286">
        <w:rPr>
          <w:rFonts w:ascii="Times New Roman" w:hAnsi="Times New Roman"/>
          <w:u w:val="single"/>
        </w:rPr>
        <w:t>Duplicate or similar information.</w:t>
      </w:r>
      <w:r w:rsidRPr="004E3286">
        <w:rPr>
          <w:rFonts w:ascii="Times New Roman" w:hAnsi="Times New Roman"/>
        </w:rPr>
        <w:t xml:space="preserve">  To avoid duplication, plan sponsors </w:t>
      </w:r>
      <w:r w:rsidR="00090B8F">
        <w:rPr>
          <w:rFonts w:ascii="Times New Roman" w:hAnsi="Times New Roman"/>
        </w:rPr>
        <w:t>may</w:t>
      </w:r>
      <w:r w:rsidRPr="004E3286">
        <w:rPr>
          <w:rFonts w:ascii="Times New Roman" w:hAnsi="Times New Roman"/>
        </w:rPr>
        <w:t xml:space="preserve"> note the date of a prior submission to </w:t>
      </w:r>
      <w:r w:rsidRPr="004E3286" w:rsidR="007E45C0">
        <w:rPr>
          <w:rFonts w:ascii="Times New Roman" w:hAnsi="Times New Roman"/>
        </w:rPr>
        <w:t>PBGC</w:t>
      </w:r>
      <w:r w:rsidRPr="004E3286">
        <w:rPr>
          <w:rFonts w:ascii="Times New Roman" w:hAnsi="Times New Roman"/>
        </w:rPr>
        <w:t xml:space="preserve"> of identical information, rather than requiring resubmission.  </w:t>
      </w:r>
      <w:r w:rsidR="00B52DE9">
        <w:rPr>
          <w:rFonts w:ascii="Times New Roman" w:hAnsi="Times New Roman"/>
        </w:rPr>
        <w:t>D</w:t>
      </w:r>
      <w:r w:rsidR="005A7805">
        <w:rPr>
          <w:rFonts w:ascii="Times New Roman" w:hAnsi="Times New Roman"/>
        </w:rPr>
        <w:t xml:space="preserve">uplication is avoided by allowing the notice of insolvency to be combined with the notice of insolvency benefit level and by eliminating </w:t>
      </w:r>
      <w:r w:rsidR="00E32285">
        <w:rPr>
          <w:rFonts w:ascii="Times New Roman" w:hAnsi="Times New Roman"/>
        </w:rPr>
        <w:t xml:space="preserve">most </w:t>
      </w:r>
      <w:r w:rsidR="005A7805">
        <w:rPr>
          <w:rFonts w:ascii="Times New Roman" w:hAnsi="Times New Roman"/>
        </w:rPr>
        <w:t>annual updates to the notice of insolvency benefit level.</w:t>
      </w:r>
    </w:p>
    <w:p w:rsidR="00015E10" w:rsidRPr="004E3286" w14:paraId="31A09EA1" w14:textId="77777777">
      <w:pPr>
        <w:widowControl/>
        <w:spacing w:line="480" w:lineRule="auto"/>
        <w:ind w:firstLine="720"/>
        <w:rPr>
          <w:rFonts w:ascii="Times New Roman" w:hAnsi="Times New Roman"/>
        </w:rPr>
      </w:pPr>
      <w:r w:rsidRPr="004E3286">
        <w:rPr>
          <w:rFonts w:ascii="Times New Roman" w:hAnsi="Times New Roman"/>
        </w:rPr>
        <w:t xml:space="preserve">5.  </w:t>
      </w:r>
      <w:r w:rsidRPr="004E3286">
        <w:rPr>
          <w:rFonts w:ascii="Times New Roman" w:hAnsi="Times New Roman"/>
          <w:u w:val="single"/>
        </w:rPr>
        <w:t>Reducing the burden on small entities.</w:t>
      </w:r>
      <w:r w:rsidRPr="004E3286">
        <w:rPr>
          <w:rFonts w:ascii="Times New Roman" w:hAnsi="Times New Roman"/>
        </w:rPr>
        <w:t xml:space="preserve">  Inapplicable.  </w:t>
      </w:r>
    </w:p>
    <w:p w:rsidR="00015E10" w:rsidRPr="004E3286" w14:paraId="31A09EA2" w14:textId="727BD7D1">
      <w:pPr>
        <w:widowControl/>
        <w:spacing w:line="480" w:lineRule="auto"/>
        <w:ind w:firstLine="720"/>
        <w:rPr>
          <w:rFonts w:ascii="Times New Roman" w:hAnsi="Times New Roman"/>
        </w:rPr>
      </w:pPr>
      <w:r w:rsidRPr="004E3286">
        <w:rPr>
          <w:rFonts w:ascii="Times New Roman" w:hAnsi="Times New Roman"/>
        </w:rPr>
        <w:t xml:space="preserve">6.  </w:t>
      </w:r>
      <w:r w:rsidRPr="004E3286">
        <w:rPr>
          <w:rFonts w:ascii="Times New Roman" w:hAnsi="Times New Roman"/>
          <w:u w:val="single"/>
        </w:rPr>
        <w:t xml:space="preserve">Consequence of </w:t>
      </w:r>
      <w:r w:rsidR="00C53D77">
        <w:rPr>
          <w:rFonts w:ascii="Times New Roman" w:hAnsi="Times New Roman"/>
          <w:u w:val="single"/>
        </w:rPr>
        <w:t>less frequent reporting</w:t>
      </w:r>
      <w:r w:rsidRPr="004E3286">
        <w:rPr>
          <w:rFonts w:ascii="Times New Roman" w:hAnsi="Times New Roman"/>
          <w:u w:val="single"/>
        </w:rPr>
        <w:t>.</w:t>
      </w:r>
      <w:r w:rsidRPr="004E3286">
        <w:rPr>
          <w:rFonts w:ascii="Times New Roman" w:hAnsi="Times New Roman"/>
        </w:rPr>
        <w:t xml:space="preserve">  </w:t>
      </w:r>
      <w:r w:rsidRPr="004E3286" w:rsidR="007E45C0">
        <w:rPr>
          <w:rFonts w:ascii="Times New Roman" w:hAnsi="Times New Roman"/>
        </w:rPr>
        <w:t>PBGC</w:t>
      </w:r>
      <w:r w:rsidRPr="004E3286">
        <w:rPr>
          <w:rFonts w:ascii="Times New Roman" w:hAnsi="Times New Roman"/>
        </w:rPr>
        <w:t xml:space="preserve"> needs early warning of threatened insolvencies</w:t>
      </w:r>
      <w:r w:rsidR="00C53D77">
        <w:rPr>
          <w:rFonts w:ascii="Times New Roman" w:hAnsi="Times New Roman"/>
        </w:rPr>
        <w:t xml:space="preserve"> </w:t>
      </w:r>
      <w:r w:rsidRPr="004E3286">
        <w:rPr>
          <w:rFonts w:ascii="Times New Roman" w:hAnsi="Times New Roman"/>
        </w:rPr>
        <w:t xml:space="preserve">and their impact on benefit payments to be able to estimate its cash needs for providing financial assistance to troubled plans.  Once a plan sponsor determines that a plan is or may become insolvent, a lack of expeditious notification may delay PBGC assistance.  Less than prompt notice to the collective bargaining parties can also hinder chances for bargaining to increase contributions to the plan.  Also, </w:t>
      </w:r>
      <w:r w:rsidRPr="004E3286" w:rsidR="00E56E86">
        <w:rPr>
          <w:rFonts w:ascii="Times New Roman" w:hAnsi="Times New Roman"/>
        </w:rPr>
        <w:t>delays</w:t>
      </w:r>
      <w:r w:rsidRPr="004E3286">
        <w:rPr>
          <w:rFonts w:ascii="Times New Roman" w:hAnsi="Times New Roman"/>
        </w:rPr>
        <w:t xml:space="preserve"> in notification may interfere with the financial decisions of participants and beneficiaries and delay their search for alternative income sources.  </w:t>
      </w:r>
    </w:p>
    <w:p w:rsidR="00015E10" w:rsidRPr="00CC630E" w14:paraId="31A09EA3" w14:textId="3D4EED8D">
      <w:pPr>
        <w:widowControl/>
        <w:spacing w:line="480" w:lineRule="auto"/>
        <w:ind w:firstLine="720"/>
        <w:rPr>
          <w:rFonts w:ascii="Times New Roman" w:hAnsi="Times New Roman"/>
        </w:rPr>
      </w:pPr>
      <w:r w:rsidRPr="004E3286">
        <w:rPr>
          <w:rFonts w:ascii="Times New Roman" w:hAnsi="Times New Roman"/>
        </w:rPr>
        <w:t xml:space="preserve">7.  </w:t>
      </w:r>
      <w:r w:rsidRPr="004E3286">
        <w:rPr>
          <w:rFonts w:ascii="Times New Roman" w:hAnsi="Times New Roman"/>
          <w:u w:val="single"/>
        </w:rPr>
        <w:t>Consistency with guidelines.</w:t>
      </w:r>
      <w:r w:rsidRPr="004E3286">
        <w:rPr>
          <w:rFonts w:ascii="Times New Roman" w:hAnsi="Times New Roman"/>
        </w:rPr>
        <w:t xml:space="preserve">  The information collection is conducted in a manner consistent with 5 CFR </w:t>
      </w:r>
      <w:r w:rsidR="00FF2E71">
        <w:rPr>
          <w:rFonts w:ascii="Times New Roman" w:hAnsi="Times New Roman"/>
        </w:rPr>
        <w:t>§</w:t>
      </w:r>
      <w:r w:rsidRPr="00CC630E">
        <w:rPr>
          <w:rFonts w:ascii="Times New Roman" w:hAnsi="Times New Roman"/>
        </w:rPr>
        <w:t> 1320.5(d)(2).</w:t>
      </w:r>
    </w:p>
    <w:p w:rsidR="00D52DAB" w:rsidRPr="00887E28" w:rsidP="00887E28" w14:paraId="4106991F" w14:textId="09E0D088">
      <w:pPr>
        <w:widowControl/>
        <w:spacing w:line="480" w:lineRule="auto"/>
        <w:ind w:firstLine="720"/>
        <w:rPr>
          <w:rFonts w:ascii="Times New Roman" w:hAnsi="Times New Roman"/>
          <w:i/>
        </w:rPr>
      </w:pPr>
      <w:r w:rsidRPr="004E3286">
        <w:rPr>
          <w:rFonts w:ascii="Times New Roman" w:hAnsi="Times New Roman"/>
        </w:rPr>
        <w:t xml:space="preserve">8.  </w:t>
      </w:r>
      <w:r w:rsidRPr="004E3286">
        <w:rPr>
          <w:rFonts w:ascii="Times New Roman" w:hAnsi="Times New Roman"/>
          <w:u w:val="single"/>
        </w:rPr>
        <w:t>Outside input.</w:t>
      </w:r>
      <w:r w:rsidRPr="004E3286" w:rsidR="00682FE2">
        <w:rPr>
          <w:rFonts w:ascii="Times New Roman" w:hAnsi="Times New Roman"/>
        </w:rPr>
        <w:t xml:space="preserve">  </w:t>
      </w:r>
      <w:r w:rsidRPr="0004441A" w:rsidR="00610BEE">
        <w:rPr>
          <w:rFonts w:ascii="Times New Roman" w:hAnsi="Times New Roman"/>
        </w:rPr>
        <w:t xml:space="preserve">On </w:t>
      </w:r>
      <w:r w:rsidRPr="004B4042" w:rsidR="00610BEE">
        <w:rPr>
          <w:rFonts w:ascii="Times New Roman" w:hAnsi="Times New Roman"/>
        </w:rPr>
        <w:t>March 10, 2025, PBGC published a 60-day notice (</w:t>
      </w:r>
      <w:r w:rsidR="00105CAB">
        <w:rPr>
          <w:rFonts w:ascii="Times New Roman" w:hAnsi="Times New Roman"/>
        </w:rPr>
        <w:t xml:space="preserve">at </w:t>
      </w:r>
      <w:r w:rsidRPr="004B4042" w:rsidR="00610BEE">
        <w:rPr>
          <w:rFonts w:ascii="Times New Roman" w:hAnsi="Times New Roman"/>
        </w:rPr>
        <w:t xml:space="preserve">90 FR 11630) of </w:t>
      </w:r>
      <w:r w:rsidR="00126934">
        <w:rPr>
          <w:rFonts w:ascii="Times New Roman" w:hAnsi="Times New Roman"/>
        </w:rPr>
        <w:t xml:space="preserve">its </w:t>
      </w:r>
      <w:r w:rsidRPr="004B4042" w:rsidR="00610BEE">
        <w:rPr>
          <w:rFonts w:ascii="Times New Roman" w:hAnsi="Times New Roman"/>
        </w:rPr>
        <w:t xml:space="preserve">intent to request an extension of this collection of information, as </w:t>
      </w:r>
      <w:r w:rsidR="00105CAB">
        <w:rPr>
          <w:rFonts w:ascii="Times New Roman" w:hAnsi="Times New Roman"/>
        </w:rPr>
        <w:t>modified,</w:t>
      </w:r>
      <w:r w:rsidRPr="004B4042" w:rsidR="00610BEE">
        <w:rPr>
          <w:rFonts w:ascii="Times New Roman" w:hAnsi="Times New Roman"/>
        </w:rPr>
        <w:t xml:space="preserve"> and invited public </w:t>
      </w:r>
      <w:r w:rsidRPr="004B4042" w:rsidR="00610BEE">
        <w:rPr>
          <w:rFonts w:ascii="Times New Roman" w:hAnsi="Times New Roman"/>
          <w:iCs/>
        </w:rPr>
        <w:t>comment by May 9, 2025.</w:t>
      </w:r>
      <w:r w:rsidRPr="00887E28">
        <w:rPr>
          <w:rFonts w:ascii="Times New Roman" w:hAnsi="Times New Roman"/>
        </w:rPr>
        <w:t xml:space="preserve">  No comments were received.</w:t>
      </w:r>
    </w:p>
    <w:p w:rsidR="00015E10" w:rsidRPr="004E3286" w14:paraId="31A09EA5" w14:textId="7BF6A6A0">
      <w:pPr>
        <w:widowControl/>
        <w:spacing w:line="480" w:lineRule="auto"/>
        <w:ind w:firstLine="720"/>
        <w:rPr>
          <w:rFonts w:ascii="Times New Roman" w:hAnsi="Times New Roman"/>
        </w:rPr>
      </w:pPr>
      <w:r w:rsidRPr="004E3286">
        <w:rPr>
          <w:rFonts w:ascii="Times New Roman" w:hAnsi="Times New Roman"/>
        </w:rPr>
        <w:t xml:space="preserve">9.  </w:t>
      </w:r>
      <w:r w:rsidRPr="004E3286">
        <w:rPr>
          <w:rFonts w:ascii="Times New Roman" w:hAnsi="Times New Roman"/>
          <w:u w:val="single"/>
        </w:rPr>
        <w:t>Paymen</w:t>
      </w:r>
      <w:r w:rsidR="0088732C">
        <w:rPr>
          <w:rFonts w:ascii="Times New Roman" w:hAnsi="Times New Roman"/>
          <w:u w:val="single"/>
        </w:rPr>
        <w:t>ts and gifts</w:t>
      </w:r>
      <w:r w:rsidRPr="004E3286">
        <w:rPr>
          <w:rFonts w:ascii="Times New Roman" w:hAnsi="Times New Roman"/>
          <w:u w:val="single"/>
        </w:rPr>
        <w:t>.</w:t>
      </w:r>
      <w:r w:rsidRPr="004E3286">
        <w:rPr>
          <w:rFonts w:ascii="Times New Roman" w:hAnsi="Times New Roman"/>
        </w:rPr>
        <w:t xml:space="preserve">  </w:t>
      </w:r>
      <w:r w:rsidRPr="001B477B" w:rsidR="001B477B">
        <w:rPr>
          <w:rFonts w:ascii="Times New Roman" w:hAnsi="Times New Roman"/>
        </w:rPr>
        <w:t>No payments or gifts were made to respondents in connection with this collection of information.</w:t>
      </w:r>
    </w:p>
    <w:p w:rsidR="00015E10" w:rsidRPr="00CC630E" w14:paraId="31A09EA6" w14:textId="578F54C5">
      <w:pPr>
        <w:widowControl/>
        <w:spacing w:line="480" w:lineRule="auto"/>
        <w:ind w:firstLine="720"/>
        <w:rPr>
          <w:rFonts w:ascii="Times New Roman" w:hAnsi="Times New Roman"/>
        </w:rPr>
      </w:pPr>
      <w:r w:rsidRPr="004E3286">
        <w:rPr>
          <w:rFonts w:ascii="Times New Roman" w:hAnsi="Times New Roman"/>
        </w:rPr>
        <w:t xml:space="preserve">10.  </w:t>
      </w:r>
      <w:r w:rsidRPr="004E3286">
        <w:rPr>
          <w:rFonts w:ascii="Times New Roman" w:hAnsi="Times New Roman"/>
          <w:u w:val="single"/>
        </w:rPr>
        <w:t>Confidentiality.</w:t>
      </w:r>
      <w:r w:rsidRPr="004E3286">
        <w:rPr>
          <w:rFonts w:ascii="Times New Roman" w:hAnsi="Times New Roman"/>
        </w:rPr>
        <w:t xml:space="preserve">  </w:t>
      </w:r>
      <w:r w:rsidRPr="001B477B" w:rsidR="001B477B">
        <w:rPr>
          <w:rFonts w:ascii="Times New Roman" w:hAnsi="Times New Roman"/>
        </w:rPr>
        <w:t>Confidentiality of information is that afforded by the Freedom of Information Act and the Privacy Act.</w:t>
      </w:r>
      <w:r w:rsidR="001B477B">
        <w:rPr>
          <w:rFonts w:ascii="Times New Roman" w:hAnsi="Times New Roman"/>
        </w:rPr>
        <w:t xml:space="preserve"> </w:t>
      </w:r>
      <w:r w:rsidRPr="001B477B" w:rsidR="001B477B">
        <w:rPr>
          <w:rFonts w:ascii="Times New Roman" w:hAnsi="Times New Roman"/>
        </w:rPr>
        <w:t xml:space="preserve"> PBGC’s rules that provide and restrict access to its records are set forth in 29 CFR parts 4901 and 4902, respectively.</w:t>
      </w:r>
    </w:p>
    <w:p w:rsidR="00C842DE" w:rsidRPr="004E3286" w14:paraId="31A09EA7" w14:textId="44543E75">
      <w:pPr>
        <w:widowControl/>
        <w:spacing w:line="480" w:lineRule="auto"/>
        <w:ind w:firstLine="720"/>
        <w:rPr>
          <w:rFonts w:ascii="Times New Roman" w:hAnsi="Times New Roman"/>
        </w:rPr>
      </w:pPr>
      <w:r w:rsidRPr="004E3286">
        <w:rPr>
          <w:rFonts w:ascii="Times New Roman" w:hAnsi="Times New Roman"/>
        </w:rPr>
        <w:t xml:space="preserve">11.  </w:t>
      </w:r>
      <w:r w:rsidRPr="004E3286">
        <w:rPr>
          <w:rFonts w:ascii="Times New Roman" w:hAnsi="Times New Roman"/>
          <w:u w:val="single"/>
        </w:rPr>
        <w:t>Personal questions.</w:t>
      </w:r>
      <w:r w:rsidRPr="004E3286">
        <w:rPr>
          <w:rFonts w:ascii="Times New Roman" w:hAnsi="Times New Roman"/>
        </w:rPr>
        <w:t xml:space="preserve">  The </w:t>
      </w:r>
      <w:r w:rsidR="001B477B">
        <w:rPr>
          <w:rFonts w:ascii="Times New Roman" w:hAnsi="Times New Roman"/>
        </w:rPr>
        <w:t>collection of information</w:t>
      </w:r>
      <w:r w:rsidRPr="004E3286">
        <w:rPr>
          <w:rFonts w:ascii="Times New Roman" w:hAnsi="Times New Roman"/>
        </w:rPr>
        <w:t xml:space="preserve"> does not call for submission of information of a sensitive </w:t>
      </w:r>
      <w:r w:rsidR="001B477B">
        <w:rPr>
          <w:rFonts w:ascii="Times New Roman" w:hAnsi="Times New Roman"/>
        </w:rPr>
        <w:t xml:space="preserve">or personal </w:t>
      </w:r>
      <w:r w:rsidRPr="004E3286">
        <w:rPr>
          <w:rFonts w:ascii="Times New Roman" w:hAnsi="Times New Roman"/>
        </w:rPr>
        <w:t xml:space="preserve">nature.  </w:t>
      </w:r>
    </w:p>
    <w:p w:rsidR="00015E10" w:rsidRPr="004E3286" w14:paraId="31A09EA8" w14:textId="0FE24358">
      <w:pPr>
        <w:widowControl/>
        <w:spacing w:line="480" w:lineRule="auto"/>
        <w:ind w:firstLine="720"/>
        <w:rPr>
          <w:rFonts w:ascii="Times New Roman" w:hAnsi="Times New Roman"/>
        </w:rPr>
      </w:pPr>
      <w:r w:rsidRPr="004E3286">
        <w:rPr>
          <w:rFonts w:ascii="Times New Roman" w:hAnsi="Times New Roman"/>
        </w:rPr>
        <w:t xml:space="preserve">12.  </w:t>
      </w:r>
      <w:r w:rsidRPr="004E3286">
        <w:rPr>
          <w:rFonts w:ascii="Times New Roman" w:hAnsi="Times New Roman"/>
          <w:u w:val="single"/>
        </w:rPr>
        <w:t>Hour burden on the public.</w:t>
      </w:r>
      <w:r w:rsidRPr="004E3286">
        <w:rPr>
          <w:rFonts w:ascii="Times New Roman" w:hAnsi="Times New Roman"/>
        </w:rPr>
        <w:t xml:space="preserve">  </w:t>
      </w:r>
      <w:r w:rsidRPr="004E3286" w:rsidR="007E45C0">
        <w:rPr>
          <w:rFonts w:ascii="Times New Roman" w:hAnsi="Times New Roman"/>
        </w:rPr>
        <w:t>PBGC</w:t>
      </w:r>
      <w:r w:rsidR="00FF2E71">
        <w:rPr>
          <w:rFonts w:ascii="Times New Roman" w:hAnsi="Times New Roman"/>
        </w:rPr>
        <w:t>’</w:t>
      </w:r>
      <w:r w:rsidRPr="00CC630E">
        <w:rPr>
          <w:rFonts w:ascii="Times New Roman" w:hAnsi="Times New Roman"/>
        </w:rPr>
        <w:t>s experience has been that virtually all multiemployer plans that become insolvent are plans terminated by mass withdrawal</w:t>
      </w:r>
      <w:r w:rsidR="002B098E">
        <w:rPr>
          <w:rFonts w:ascii="Times New Roman" w:hAnsi="Times New Roman"/>
        </w:rPr>
        <w:t>.  Therefore,</w:t>
      </w:r>
      <w:r w:rsidRPr="00CC630E">
        <w:rPr>
          <w:rFonts w:ascii="Times New Roman" w:hAnsi="Times New Roman"/>
        </w:rPr>
        <w:t xml:space="preserve"> </w:t>
      </w:r>
      <w:r w:rsidR="002B098E">
        <w:rPr>
          <w:rFonts w:ascii="Times New Roman" w:hAnsi="Times New Roman"/>
        </w:rPr>
        <w:t xml:space="preserve">PBGC </w:t>
      </w:r>
      <w:r w:rsidRPr="00CC630E">
        <w:rPr>
          <w:rFonts w:ascii="Times New Roman" w:hAnsi="Times New Roman"/>
        </w:rPr>
        <w:t xml:space="preserve">expects that </w:t>
      </w:r>
      <w:r w:rsidR="000A69CE">
        <w:rPr>
          <w:rFonts w:ascii="Times New Roman" w:hAnsi="Times New Roman"/>
        </w:rPr>
        <w:t xml:space="preserve">almost </w:t>
      </w:r>
      <w:r w:rsidRPr="00CC630E">
        <w:rPr>
          <w:rFonts w:ascii="Times New Roman" w:hAnsi="Times New Roman"/>
        </w:rPr>
        <w:t>al</w:t>
      </w:r>
      <w:r w:rsidRPr="004E3286">
        <w:rPr>
          <w:rFonts w:ascii="Times New Roman" w:hAnsi="Times New Roman"/>
        </w:rPr>
        <w:t>l of the plans that become insolvent over the next</w:t>
      </w:r>
      <w:r w:rsidR="00E8346D">
        <w:rPr>
          <w:rFonts w:ascii="Times New Roman" w:hAnsi="Times New Roman"/>
        </w:rPr>
        <w:t xml:space="preserve"> 3</w:t>
      </w:r>
      <w:r w:rsidRPr="004E3286">
        <w:rPr>
          <w:rFonts w:ascii="Times New Roman" w:hAnsi="Times New Roman"/>
        </w:rPr>
        <w:t xml:space="preserve"> years will be mass</w:t>
      </w:r>
      <w:r w:rsidRPr="004E3286">
        <w:rPr>
          <w:rFonts w:ascii="Times New Roman" w:hAnsi="Times New Roman"/>
        </w:rPr>
        <w:noBreakHyphen/>
        <w:t>withdrawal</w:t>
      </w:r>
      <w:r w:rsidRPr="004E3286">
        <w:rPr>
          <w:rFonts w:ascii="Times New Roman" w:hAnsi="Times New Roman"/>
        </w:rPr>
        <w:noBreakHyphen/>
        <w:t xml:space="preserve">terminated plans.  Plans terminated by mass withdrawal that become insolvent are subject to the notice requirements in section 4281 of ERISA rather than section 4245.  Accordingly, </w:t>
      </w:r>
      <w:r w:rsidRPr="004E3286" w:rsidR="007E45C0">
        <w:rPr>
          <w:rFonts w:ascii="Times New Roman" w:hAnsi="Times New Roman"/>
        </w:rPr>
        <w:t>PBGC</w:t>
      </w:r>
      <w:r w:rsidRPr="004E3286">
        <w:rPr>
          <w:rFonts w:ascii="Times New Roman" w:hAnsi="Times New Roman"/>
        </w:rPr>
        <w:t xml:space="preserve"> expects that </w:t>
      </w:r>
      <w:r w:rsidR="00F52CBE">
        <w:rPr>
          <w:rFonts w:ascii="Times New Roman" w:hAnsi="Times New Roman"/>
        </w:rPr>
        <w:t xml:space="preserve">at most </w:t>
      </w:r>
      <w:r w:rsidR="00E8346D">
        <w:rPr>
          <w:rFonts w:ascii="Times New Roman" w:hAnsi="Times New Roman"/>
        </w:rPr>
        <w:t>1</w:t>
      </w:r>
      <w:r w:rsidRPr="004E3286" w:rsidR="000A69CE">
        <w:rPr>
          <w:rFonts w:ascii="Times New Roman" w:hAnsi="Times New Roman"/>
        </w:rPr>
        <w:t xml:space="preserve"> </w:t>
      </w:r>
      <w:r w:rsidRPr="004E3286">
        <w:rPr>
          <w:rFonts w:ascii="Times New Roman" w:hAnsi="Times New Roman"/>
        </w:rPr>
        <w:t>plan will issue</w:t>
      </w:r>
      <w:r w:rsidR="00FD4D17">
        <w:rPr>
          <w:rFonts w:ascii="Times New Roman" w:hAnsi="Times New Roman"/>
        </w:rPr>
        <w:t xml:space="preserve"> </w:t>
      </w:r>
      <w:r w:rsidRPr="004E3286">
        <w:rPr>
          <w:rFonts w:ascii="Times New Roman" w:hAnsi="Times New Roman"/>
        </w:rPr>
        <w:t>new notice</w:t>
      </w:r>
      <w:r w:rsidR="004B19DE">
        <w:rPr>
          <w:rFonts w:ascii="Times New Roman" w:hAnsi="Times New Roman"/>
        </w:rPr>
        <w:t>s</w:t>
      </w:r>
      <w:r w:rsidRPr="004E3286">
        <w:rPr>
          <w:rFonts w:ascii="Times New Roman" w:hAnsi="Times New Roman"/>
        </w:rPr>
        <w:t xml:space="preserve"> of insolvency </w:t>
      </w:r>
      <w:r w:rsidR="00D61ED1">
        <w:rPr>
          <w:rFonts w:ascii="Times New Roman" w:hAnsi="Times New Roman"/>
        </w:rPr>
        <w:t xml:space="preserve">each year </w:t>
      </w:r>
      <w:r w:rsidRPr="004E3286">
        <w:rPr>
          <w:rFonts w:ascii="Times New Roman" w:hAnsi="Times New Roman"/>
        </w:rPr>
        <w:t>under section 424</w:t>
      </w:r>
      <w:r w:rsidR="00D61ED1">
        <w:rPr>
          <w:rFonts w:ascii="Times New Roman" w:hAnsi="Times New Roman"/>
        </w:rPr>
        <w:t>5</w:t>
      </w:r>
      <w:r w:rsidRPr="004E3286">
        <w:rPr>
          <w:rFonts w:ascii="Times New Roman" w:hAnsi="Times New Roman"/>
        </w:rPr>
        <w:t>.</w:t>
      </w:r>
    </w:p>
    <w:p w:rsidR="00015E10" w:rsidRPr="004E3286" w14:paraId="31A09EA9" w14:textId="655EF6FF">
      <w:pPr>
        <w:widowControl/>
        <w:spacing w:line="480" w:lineRule="auto"/>
        <w:ind w:firstLine="720"/>
        <w:rPr>
          <w:rFonts w:ascii="Times New Roman" w:hAnsi="Times New Roman"/>
        </w:rPr>
      </w:pPr>
      <w:r w:rsidRPr="004E3286">
        <w:rPr>
          <w:rFonts w:ascii="Times New Roman" w:hAnsi="Times New Roman"/>
        </w:rPr>
        <w:t xml:space="preserve">For purposes of estimating the time required to comply with the regulation, </w:t>
      </w:r>
      <w:r w:rsidRPr="004E3286" w:rsidR="00FB08D0">
        <w:rPr>
          <w:rFonts w:ascii="Times New Roman" w:hAnsi="Times New Roman"/>
        </w:rPr>
        <w:t>based on experience</w:t>
      </w:r>
      <w:r w:rsidR="00FB08D0">
        <w:rPr>
          <w:rFonts w:ascii="Times New Roman" w:hAnsi="Times New Roman"/>
        </w:rPr>
        <w:t>,</w:t>
      </w:r>
      <w:r w:rsidRPr="004E3286" w:rsidR="00FB08D0">
        <w:rPr>
          <w:rFonts w:ascii="Times New Roman" w:hAnsi="Times New Roman"/>
        </w:rPr>
        <w:t xml:space="preserve"> </w:t>
      </w:r>
      <w:r w:rsidRPr="004E3286" w:rsidR="00337FDD">
        <w:rPr>
          <w:rFonts w:ascii="Times New Roman" w:hAnsi="Times New Roman"/>
        </w:rPr>
        <w:t>PBGC</w:t>
      </w:r>
      <w:r w:rsidRPr="004E3286">
        <w:rPr>
          <w:rFonts w:ascii="Times New Roman" w:hAnsi="Times New Roman"/>
        </w:rPr>
        <w:t xml:space="preserve"> assume</w:t>
      </w:r>
      <w:r w:rsidRPr="004E3286" w:rsidR="00337FDD">
        <w:rPr>
          <w:rFonts w:ascii="Times New Roman" w:hAnsi="Times New Roman"/>
        </w:rPr>
        <w:t>s</w:t>
      </w:r>
      <w:r w:rsidRPr="004E3286">
        <w:rPr>
          <w:rFonts w:ascii="Times New Roman" w:hAnsi="Times New Roman"/>
        </w:rPr>
        <w:t xml:space="preserve"> that plans subject to the regulation generally submit a single notice of insolvency</w:t>
      </w:r>
      <w:r w:rsidR="003D1A80">
        <w:rPr>
          <w:rFonts w:ascii="Times New Roman" w:hAnsi="Times New Roman"/>
        </w:rPr>
        <w:t xml:space="preserve"> </w:t>
      </w:r>
      <w:r w:rsidRPr="004E3286">
        <w:rPr>
          <w:rFonts w:ascii="Times New Roman" w:hAnsi="Times New Roman"/>
        </w:rPr>
        <w:t xml:space="preserve">and provide notices of insolvency benefit level for the first insolvency year only to retirees, as permitted by the regulation.  </w:t>
      </w:r>
      <w:r w:rsidRPr="004E3286" w:rsidR="00337FDD">
        <w:rPr>
          <w:rFonts w:ascii="Times New Roman" w:hAnsi="Times New Roman"/>
        </w:rPr>
        <w:t>PBGC</w:t>
      </w:r>
      <w:r w:rsidRPr="004E3286">
        <w:rPr>
          <w:rFonts w:ascii="Times New Roman" w:hAnsi="Times New Roman"/>
        </w:rPr>
        <w:t xml:space="preserve"> also estimate</w:t>
      </w:r>
      <w:r w:rsidRPr="004E3286" w:rsidR="00337FDD">
        <w:rPr>
          <w:rFonts w:ascii="Times New Roman" w:hAnsi="Times New Roman"/>
        </w:rPr>
        <w:t>s</w:t>
      </w:r>
      <w:r w:rsidRPr="004E3286">
        <w:rPr>
          <w:rFonts w:ascii="Times New Roman" w:hAnsi="Times New Roman"/>
        </w:rPr>
        <w:t xml:space="preserve"> that the average plan subject to the regulation covers employees represented by 2 unions and has about 35 </w:t>
      </w:r>
      <w:r w:rsidRPr="004E3286" w:rsidR="00F34CA1">
        <w:rPr>
          <w:rFonts w:ascii="Times New Roman" w:hAnsi="Times New Roman"/>
        </w:rPr>
        <w:t>contributing employers and 1,</w:t>
      </w:r>
      <w:r w:rsidR="00E038EE">
        <w:rPr>
          <w:rFonts w:ascii="Times New Roman" w:hAnsi="Times New Roman"/>
        </w:rPr>
        <w:t>000</w:t>
      </w:r>
      <w:r w:rsidRPr="004E3286">
        <w:rPr>
          <w:rFonts w:ascii="Times New Roman" w:hAnsi="Times New Roman"/>
        </w:rPr>
        <w:t xml:space="preserve"> participants, about </w:t>
      </w:r>
      <w:r w:rsidRPr="004E3286" w:rsidR="00F34CA1">
        <w:rPr>
          <w:rFonts w:ascii="Times New Roman" w:hAnsi="Times New Roman"/>
        </w:rPr>
        <w:t>70</w:t>
      </w:r>
      <w:r w:rsidR="00E038EE">
        <w:rPr>
          <w:rFonts w:ascii="Times New Roman" w:hAnsi="Times New Roman"/>
        </w:rPr>
        <w:t>0</w:t>
      </w:r>
      <w:r w:rsidRPr="004E3286">
        <w:rPr>
          <w:rFonts w:ascii="Times New Roman" w:hAnsi="Times New Roman"/>
        </w:rPr>
        <w:t xml:space="preserve"> of whom are </w:t>
      </w:r>
      <w:r w:rsidR="00E038EE">
        <w:rPr>
          <w:rFonts w:ascii="Times New Roman" w:hAnsi="Times New Roman"/>
        </w:rPr>
        <w:t>in pay status</w:t>
      </w:r>
      <w:r w:rsidRPr="004E3286">
        <w:rPr>
          <w:rFonts w:ascii="Times New Roman" w:hAnsi="Times New Roman"/>
        </w:rPr>
        <w:t>.</w:t>
      </w:r>
    </w:p>
    <w:p w:rsidR="00015E10" w:rsidRPr="004E3286" w:rsidP="00401134" w14:paraId="31A09EAF" w14:textId="3D3E2D84">
      <w:pPr>
        <w:widowControl/>
        <w:spacing w:line="480" w:lineRule="auto"/>
        <w:ind w:firstLine="720"/>
        <w:rPr>
          <w:rFonts w:ascii="Times New Roman" w:hAnsi="Times New Roman"/>
        </w:rPr>
      </w:pPr>
      <w:r>
        <w:rPr>
          <w:rFonts w:ascii="Times New Roman" w:hAnsi="Times New Roman"/>
        </w:rPr>
        <w:t xml:space="preserve">Based on plan experience, the notices are prepared by outside attorneys </w:t>
      </w:r>
      <w:r w:rsidR="002705E1">
        <w:rPr>
          <w:rFonts w:ascii="Times New Roman" w:hAnsi="Times New Roman"/>
        </w:rPr>
        <w:t xml:space="preserve">and actuaries </w:t>
      </w:r>
      <w:r>
        <w:rPr>
          <w:rFonts w:ascii="Times New Roman" w:hAnsi="Times New Roman"/>
        </w:rPr>
        <w:t>using i</w:t>
      </w:r>
      <w:r w:rsidR="00321862">
        <w:rPr>
          <w:rFonts w:ascii="Times New Roman" w:hAnsi="Times New Roman"/>
        </w:rPr>
        <w:t xml:space="preserve">nformation compiled by the plan office and </w:t>
      </w:r>
      <w:r w:rsidR="001544ED">
        <w:rPr>
          <w:rFonts w:ascii="Times New Roman" w:hAnsi="Times New Roman"/>
        </w:rPr>
        <w:t xml:space="preserve">are </w:t>
      </w:r>
      <w:r w:rsidR="00321862">
        <w:rPr>
          <w:rFonts w:ascii="Times New Roman" w:hAnsi="Times New Roman"/>
        </w:rPr>
        <w:t xml:space="preserve">distributed by the plan office.  </w:t>
      </w:r>
      <w:r w:rsidR="00FD11A0">
        <w:rPr>
          <w:rFonts w:ascii="Times New Roman" w:hAnsi="Times New Roman"/>
        </w:rPr>
        <w:t xml:space="preserve">The time to prepare </w:t>
      </w:r>
      <w:r w:rsidR="003F0C41">
        <w:rPr>
          <w:rFonts w:ascii="Times New Roman" w:hAnsi="Times New Roman"/>
        </w:rPr>
        <w:t xml:space="preserve">and distribute </w:t>
      </w:r>
      <w:r w:rsidR="00FD11A0">
        <w:rPr>
          <w:rFonts w:ascii="Times New Roman" w:hAnsi="Times New Roman"/>
        </w:rPr>
        <w:t xml:space="preserve">the notices can vary </w:t>
      </w:r>
      <w:r w:rsidR="00477212">
        <w:rPr>
          <w:rFonts w:ascii="Times New Roman" w:hAnsi="Times New Roman"/>
        </w:rPr>
        <w:t>significantly by plan size</w:t>
      </w:r>
      <w:r w:rsidR="002670A2">
        <w:rPr>
          <w:rFonts w:ascii="Times New Roman" w:hAnsi="Times New Roman"/>
        </w:rPr>
        <w:t>.</w:t>
      </w:r>
      <w:r w:rsidR="00E24D48">
        <w:rPr>
          <w:rFonts w:ascii="Times New Roman" w:hAnsi="Times New Roman"/>
        </w:rPr>
        <w:t xml:space="preserve">  </w:t>
      </w:r>
      <w:r w:rsidR="003E7BC2">
        <w:rPr>
          <w:rFonts w:ascii="Times New Roman" w:hAnsi="Times New Roman"/>
        </w:rPr>
        <w:t>P</w:t>
      </w:r>
      <w:r w:rsidR="00477212">
        <w:rPr>
          <w:rFonts w:ascii="Times New Roman" w:hAnsi="Times New Roman"/>
        </w:rPr>
        <w:t xml:space="preserve">lans </w:t>
      </w:r>
      <w:r w:rsidR="003E7BC2">
        <w:rPr>
          <w:rFonts w:ascii="Times New Roman" w:hAnsi="Times New Roman"/>
        </w:rPr>
        <w:t>can</w:t>
      </w:r>
      <w:r w:rsidR="00477212">
        <w:rPr>
          <w:rFonts w:ascii="Times New Roman" w:hAnsi="Times New Roman"/>
        </w:rPr>
        <w:t xml:space="preserve"> combine the notice of insolvency and the notice of insolvency benefit level</w:t>
      </w:r>
      <w:r w:rsidR="000A3C47">
        <w:rPr>
          <w:rFonts w:ascii="Times New Roman" w:hAnsi="Times New Roman"/>
        </w:rPr>
        <w:t xml:space="preserve">.  </w:t>
      </w:r>
      <w:r w:rsidR="00477212">
        <w:rPr>
          <w:rFonts w:ascii="Times New Roman" w:hAnsi="Times New Roman"/>
        </w:rPr>
        <w:t>PBGC estimates th</w:t>
      </w:r>
      <w:r w:rsidR="00370B66">
        <w:rPr>
          <w:rFonts w:ascii="Times New Roman" w:hAnsi="Times New Roman"/>
        </w:rPr>
        <w:t xml:space="preserve">at </w:t>
      </w:r>
      <w:r w:rsidR="00477212">
        <w:rPr>
          <w:rFonts w:ascii="Times New Roman" w:hAnsi="Times New Roman"/>
        </w:rPr>
        <w:t xml:space="preserve">the plan will spend approximately 16 hours compiling information for the notices and distribution of the notices.  </w:t>
      </w:r>
      <w:r w:rsidRPr="00415ECB" w:rsidR="00477212">
        <w:rPr>
          <w:rFonts w:ascii="Times New Roman" w:hAnsi="Times New Roman"/>
        </w:rPr>
        <w:t xml:space="preserve">The estimated dollar equivalent of this hour burden, based on an assumed blended hourly rate of $75 for administrative, clerical, </w:t>
      </w:r>
      <w:r w:rsidRPr="009B325A" w:rsidR="00477212">
        <w:rPr>
          <w:rFonts w:ascii="Times New Roman" w:hAnsi="Times New Roman"/>
        </w:rPr>
        <w:t>and supervisory time, is $</w:t>
      </w:r>
      <w:r w:rsidR="00477212">
        <w:rPr>
          <w:rFonts w:ascii="Times New Roman" w:hAnsi="Times New Roman"/>
        </w:rPr>
        <w:t>1,200</w:t>
      </w:r>
      <w:r w:rsidRPr="00415ECB" w:rsidR="00477212">
        <w:rPr>
          <w:rFonts w:ascii="Times New Roman" w:hAnsi="Times New Roman"/>
        </w:rPr>
        <w:t>.</w:t>
      </w:r>
      <w:r w:rsidR="00477212">
        <w:rPr>
          <w:sz w:val="23"/>
          <w:szCs w:val="23"/>
        </w:rPr>
        <w:t xml:space="preserve"> </w:t>
      </w:r>
    </w:p>
    <w:p w:rsidR="00015E10" w:rsidRPr="004E3286" w:rsidP="00CD7574" w14:paraId="31A09EC1" w14:textId="563594E0">
      <w:pPr>
        <w:widowControl/>
        <w:spacing w:line="480" w:lineRule="auto"/>
        <w:rPr>
          <w:rFonts w:ascii="Times New Roman" w:hAnsi="Times New Roman"/>
        </w:rPr>
      </w:pPr>
      <w:bookmarkStart w:id="0" w:name="QuickMark"/>
      <w:bookmarkEnd w:id="0"/>
      <w:r>
        <w:rPr>
          <w:rFonts w:ascii="Times New Roman" w:hAnsi="Times New Roman"/>
        </w:rPr>
        <w:tab/>
      </w:r>
      <w:r w:rsidRPr="004E3286">
        <w:rPr>
          <w:rFonts w:ascii="Times New Roman" w:hAnsi="Times New Roman"/>
        </w:rPr>
        <w:t xml:space="preserve">13.  </w:t>
      </w:r>
      <w:r w:rsidRPr="004E3286">
        <w:rPr>
          <w:rFonts w:ascii="Times New Roman" w:hAnsi="Times New Roman"/>
          <w:u w:val="single"/>
        </w:rPr>
        <w:t>Cost burden on the public.</w:t>
      </w:r>
      <w:r w:rsidRPr="004E3286">
        <w:rPr>
          <w:rFonts w:ascii="Times New Roman" w:hAnsi="Times New Roman"/>
        </w:rPr>
        <w:t xml:space="preserve">  </w:t>
      </w:r>
      <w:r w:rsidR="00321862">
        <w:rPr>
          <w:rFonts w:ascii="Times New Roman" w:hAnsi="Times New Roman"/>
        </w:rPr>
        <w:t>Based on plan experience, the cost of attorney and actuary time to prepare</w:t>
      </w:r>
      <w:r w:rsidR="002705E1">
        <w:rPr>
          <w:rFonts w:ascii="Times New Roman" w:hAnsi="Times New Roman"/>
        </w:rPr>
        <w:t xml:space="preserve"> the notices varies</w:t>
      </w:r>
      <w:r w:rsidR="00321862">
        <w:rPr>
          <w:rFonts w:ascii="Times New Roman" w:hAnsi="Times New Roman"/>
        </w:rPr>
        <w:t xml:space="preserve"> significantly by plan size from $2,500 to $26,000.  The </w:t>
      </w:r>
      <w:r w:rsidR="00321862">
        <w:rPr>
          <w:rFonts w:ascii="Times New Roman" w:hAnsi="Times New Roman"/>
        </w:rPr>
        <w:t xml:space="preserve">notices of insolvency benefit level require participant </w:t>
      </w:r>
      <w:r w:rsidR="000A69CE">
        <w:rPr>
          <w:rFonts w:ascii="Times New Roman" w:hAnsi="Times New Roman"/>
        </w:rPr>
        <w:t xml:space="preserve">benefit </w:t>
      </w:r>
      <w:r w:rsidR="00321862">
        <w:rPr>
          <w:rFonts w:ascii="Times New Roman" w:hAnsi="Times New Roman"/>
        </w:rPr>
        <w:t>calculations.  PBGC estimates that</w:t>
      </w:r>
      <w:r w:rsidR="002705E1">
        <w:rPr>
          <w:rFonts w:ascii="Times New Roman" w:hAnsi="Times New Roman"/>
        </w:rPr>
        <w:t xml:space="preserve"> the cost of preparing the combined notices </w:t>
      </w:r>
      <w:r w:rsidR="000A3C47">
        <w:rPr>
          <w:rFonts w:ascii="Times New Roman" w:hAnsi="Times New Roman"/>
        </w:rPr>
        <w:t xml:space="preserve">is </w:t>
      </w:r>
      <w:r w:rsidR="002705E1">
        <w:rPr>
          <w:rFonts w:ascii="Times New Roman" w:hAnsi="Times New Roman"/>
        </w:rPr>
        <w:t>$10,000.</w:t>
      </w:r>
    </w:p>
    <w:p w:rsidR="00015E10" w:rsidRPr="004E3286" w:rsidP="001A46B9" w14:paraId="31A09EC2" w14:textId="1D16B6FC">
      <w:pPr>
        <w:widowControl/>
        <w:autoSpaceDE/>
        <w:autoSpaceDN/>
        <w:adjustRightInd/>
        <w:spacing w:line="480" w:lineRule="auto"/>
        <w:rPr>
          <w:rFonts w:ascii="Times New Roman" w:hAnsi="Times New Roman"/>
        </w:rPr>
      </w:pPr>
      <w:r>
        <w:rPr>
          <w:rFonts w:ascii="Times New Roman" w:hAnsi="Times New Roman"/>
        </w:rPr>
        <w:tab/>
      </w:r>
      <w:r w:rsidRPr="004E3286">
        <w:rPr>
          <w:rFonts w:ascii="Times New Roman" w:hAnsi="Times New Roman"/>
        </w:rPr>
        <w:t xml:space="preserve">14.  </w:t>
      </w:r>
      <w:r w:rsidRPr="004E3286">
        <w:rPr>
          <w:rFonts w:ascii="Times New Roman" w:hAnsi="Times New Roman"/>
          <w:u w:val="single"/>
        </w:rPr>
        <w:t>Cost to the government.</w:t>
      </w:r>
      <w:r w:rsidRPr="004E3286">
        <w:rPr>
          <w:rFonts w:ascii="Times New Roman" w:hAnsi="Times New Roman"/>
        </w:rPr>
        <w:t xml:space="preserve">  </w:t>
      </w:r>
      <w:r w:rsidR="00677DFF">
        <w:rPr>
          <w:rFonts w:ascii="Times New Roman" w:hAnsi="Times New Roman"/>
        </w:rPr>
        <w:t>PBGC estimates that t</w:t>
      </w:r>
      <w:r w:rsidRPr="00E928F3" w:rsidR="00677DFF">
        <w:rPr>
          <w:rFonts w:ascii="Times New Roman" w:hAnsi="Times New Roman"/>
        </w:rPr>
        <w:t>he total annual cost to the government is $</w:t>
      </w:r>
      <w:r w:rsidR="00FB1899">
        <w:rPr>
          <w:rFonts w:ascii="Times New Roman" w:hAnsi="Times New Roman"/>
        </w:rPr>
        <w:t>0.</w:t>
      </w:r>
      <w:r w:rsidRPr="004E3286">
        <w:rPr>
          <w:rFonts w:ascii="Times New Roman" w:hAnsi="Times New Roman"/>
        </w:rPr>
        <w:t xml:space="preserve"> </w:t>
      </w:r>
    </w:p>
    <w:p w:rsidR="00015E10" w:rsidRPr="004E3286" w:rsidP="00B167D1" w14:paraId="31A09EC3" w14:textId="638D8B1D">
      <w:pPr>
        <w:widowControl/>
        <w:spacing w:line="480" w:lineRule="auto"/>
        <w:ind w:firstLine="720"/>
        <w:rPr>
          <w:rFonts w:ascii="Times New Roman" w:hAnsi="Times New Roman"/>
        </w:rPr>
      </w:pPr>
      <w:r w:rsidRPr="004E3286">
        <w:rPr>
          <w:rFonts w:ascii="Times New Roman" w:hAnsi="Times New Roman"/>
        </w:rPr>
        <w:t xml:space="preserve">15.  </w:t>
      </w:r>
      <w:r w:rsidRPr="004E3286">
        <w:rPr>
          <w:rFonts w:ascii="Times New Roman" w:hAnsi="Times New Roman"/>
          <w:u w:val="single"/>
        </w:rPr>
        <w:t>Explanation of burden changes.</w:t>
      </w:r>
      <w:r w:rsidRPr="004E3286">
        <w:rPr>
          <w:rFonts w:ascii="Times New Roman" w:hAnsi="Times New Roman"/>
        </w:rPr>
        <w:t xml:space="preserve"> </w:t>
      </w:r>
      <w:r w:rsidR="00B167D1">
        <w:rPr>
          <w:rFonts w:ascii="Times New Roman" w:hAnsi="Times New Roman"/>
        </w:rPr>
        <w:t xml:space="preserve"> The</w:t>
      </w:r>
      <w:r w:rsidR="00FB1FD1">
        <w:rPr>
          <w:rFonts w:ascii="Times New Roman" w:hAnsi="Times New Roman"/>
        </w:rPr>
        <w:t>re is no</w:t>
      </w:r>
      <w:r w:rsidR="00B167D1">
        <w:rPr>
          <w:rFonts w:ascii="Times New Roman" w:hAnsi="Times New Roman"/>
        </w:rPr>
        <w:t xml:space="preserve"> change in the estimated annual burden of this collection of information.  </w:t>
      </w:r>
    </w:p>
    <w:p w:rsidR="007556DE" w:rsidRPr="007556DE" w:rsidP="007556DE" w14:paraId="3DC1518C" w14:textId="6D8B6B24">
      <w:pPr>
        <w:widowControl/>
        <w:spacing w:line="480" w:lineRule="auto"/>
        <w:ind w:firstLine="720"/>
        <w:rPr>
          <w:rFonts w:ascii="Times New Roman" w:hAnsi="Times New Roman"/>
        </w:rPr>
      </w:pPr>
      <w:r w:rsidRPr="007556DE">
        <w:rPr>
          <w:rFonts w:ascii="Times New Roman" w:hAnsi="Times New Roman"/>
        </w:rPr>
        <w:t>16.</w:t>
      </w:r>
      <w:r>
        <w:rPr>
          <w:rFonts w:ascii="Times New Roman" w:hAnsi="Times New Roman"/>
        </w:rPr>
        <w:t xml:space="preserve"> </w:t>
      </w:r>
      <w:r w:rsidRPr="007556DE">
        <w:rPr>
          <w:rFonts w:ascii="Times New Roman" w:hAnsi="Times New Roman"/>
        </w:rPr>
        <w:t xml:space="preserve"> </w:t>
      </w:r>
      <w:r w:rsidRPr="007556DE">
        <w:rPr>
          <w:rFonts w:ascii="Times New Roman" w:hAnsi="Times New Roman"/>
          <w:u w:val="single"/>
        </w:rPr>
        <w:t>Publication</w:t>
      </w:r>
      <w:r w:rsidRPr="007556DE">
        <w:rPr>
          <w:rFonts w:ascii="Times New Roman" w:hAnsi="Times New Roman"/>
        </w:rPr>
        <w:t>.</w:t>
      </w:r>
      <w:r>
        <w:rPr>
          <w:rFonts w:ascii="Times New Roman" w:hAnsi="Times New Roman"/>
        </w:rPr>
        <w:t xml:space="preserve"> </w:t>
      </w:r>
      <w:r w:rsidRPr="007556DE">
        <w:rPr>
          <w:rFonts w:ascii="Times New Roman" w:hAnsi="Times New Roman"/>
        </w:rPr>
        <w:t xml:space="preserve"> There are no plans for tabulation or publication.</w:t>
      </w:r>
    </w:p>
    <w:p w:rsidR="007556DE" w:rsidRPr="007556DE" w:rsidP="007556DE" w14:paraId="3C624658" w14:textId="0C6C7F0A">
      <w:pPr>
        <w:widowControl/>
        <w:spacing w:line="480" w:lineRule="auto"/>
        <w:ind w:firstLine="720"/>
        <w:rPr>
          <w:rFonts w:ascii="Times New Roman" w:hAnsi="Times New Roman"/>
        </w:rPr>
      </w:pPr>
      <w:r w:rsidRPr="007556DE">
        <w:rPr>
          <w:rFonts w:ascii="Times New Roman" w:hAnsi="Times New Roman"/>
        </w:rPr>
        <w:t>17.</w:t>
      </w:r>
      <w:r>
        <w:rPr>
          <w:rFonts w:ascii="Times New Roman" w:hAnsi="Times New Roman"/>
        </w:rPr>
        <w:t xml:space="preserve"> </w:t>
      </w:r>
      <w:r w:rsidRPr="007556DE">
        <w:rPr>
          <w:rFonts w:ascii="Times New Roman" w:hAnsi="Times New Roman"/>
        </w:rPr>
        <w:t xml:space="preserve"> </w:t>
      </w:r>
      <w:r w:rsidRPr="007556DE">
        <w:rPr>
          <w:rFonts w:ascii="Times New Roman" w:hAnsi="Times New Roman"/>
          <w:u w:val="single"/>
        </w:rPr>
        <w:t>Display of expiration date</w:t>
      </w:r>
      <w:r w:rsidRPr="007556DE">
        <w:rPr>
          <w:rFonts w:ascii="Times New Roman" w:hAnsi="Times New Roman"/>
        </w:rPr>
        <w:t>.</w:t>
      </w:r>
      <w:r>
        <w:rPr>
          <w:rFonts w:ascii="Times New Roman" w:hAnsi="Times New Roman"/>
        </w:rPr>
        <w:t xml:space="preserve"> </w:t>
      </w:r>
      <w:r w:rsidRPr="007556DE">
        <w:rPr>
          <w:rFonts w:ascii="Times New Roman" w:hAnsi="Times New Roman"/>
        </w:rPr>
        <w:t xml:space="preserve"> PBGC is not seeking approval to avoid displaying the expiration date for OMB approval of this information collection.</w:t>
      </w:r>
    </w:p>
    <w:p w:rsidR="00015E10" w:rsidRPr="004E3286" w:rsidP="007556DE" w14:paraId="31A09EC6" w14:textId="023F07E0">
      <w:pPr>
        <w:widowControl/>
        <w:spacing w:line="480" w:lineRule="auto"/>
        <w:ind w:firstLine="720"/>
        <w:rPr>
          <w:rFonts w:ascii="Times New Roman" w:hAnsi="Times New Roman"/>
        </w:rPr>
      </w:pPr>
      <w:r w:rsidRPr="007556DE">
        <w:rPr>
          <w:rFonts w:ascii="Times New Roman" w:hAnsi="Times New Roman"/>
        </w:rPr>
        <w:t>18.</w:t>
      </w:r>
      <w:r>
        <w:rPr>
          <w:rFonts w:ascii="Times New Roman" w:hAnsi="Times New Roman"/>
        </w:rPr>
        <w:t xml:space="preserve"> </w:t>
      </w:r>
      <w:r w:rsidRPr="007556DE">
        <w:rPr>
          <w:rFonts w:ascii="Times New Roman" w:hAnsi="Times New Roman"/>
        </w:rPr>
        <w:t xml:space="preserve"> </w:t>
      </w:r>
      <w:r w:rsidRPr="007556DE">
        <w:rPr>
          <w:rFonts w:ascii="Times New Roman" w:hAnsi="Times New Roman"/>
          <w:u w:val="single"/>
        </w:rPr>
        <w:t>Exceptions to certification statement</w:t>
      </w:r>
      <w:r w:rsidRPr="007556DE">
        <w:rPr>
          <w:rFonts w:ascii="Times New Roman" w:hAnsi="Times New Roman"/>
        </w:rPr>
        <w:t>.</w:t>
      </w:r>
      <w:r>
        <w:rPr>
          <w:rFonts w:ascii="Times New Roman" w:hAnsi="Times New Roman"/>
        </w:rPr>
        <w:t xml:space="preserve"> </w:t>
      </w:r>
      <w:r w:rsidRPr="007556DE">
        <w:rPr>
          <w:rFonts w:ascii="Times New Roman" w:hAnsi="Times New Roman"/>
        </w:rPr>
        <w:t xml:space="preserve"> There are no exceptions to the certification statement.</w:t>
      </w:r>
    </w:p>
    <w:sectPr w:rsidSect="00F41C90">
      <w:headerReference w:type="default" r:id="rId10"/>
      <w:footerReference w:type="default" r:id="rId11"/>
      <w:type w:val="continuous"/>
      <w:pgSz w:w="12240" w:h="15840"/>
      <w:pgMar w:top="1440" w:right="1440" w:bottom="1440" w:left="1440" w:header="1008" w:footer="144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2F7B" w:rsidRPr="00260999" w:rsidP="00260999" w14:paraId="31A09ED0" w14:textId="4AA9F92A">
    <w:pPr>
      <w:pStyle w:val="Footer"/>
      <w:jc w:val="center"/>
      <w:rPr>
        <w:rFonts w:ascii="Times New Roman" w:hAnsi="Times New Roman"/>
      </w:rPr>
    </w:pPr>
    <w:r w:rsidRPr="00F41C90">
      <w:rPr>
        <w:rFonts w:ascii="Times New Roman" w:hAnsi="Times New Roman"/>
      </w:rPr>
      <w:fldChar w:fldCharType="begin"/>
    </w:r>
    <w:r w:rsidRPr="00F41C90">
      <w:rPr>
        <w:rFonts w:ascii="Times New Roman" w:hAnsi="Times New Roman"/>
      </w:rPr>
      <w:instrText xml:space="preserve"> PAGE   \* MERGEFORMAT </w:instrText>
    </w:r>
    <w:r w:rsidRPr="00F41C90">
      <w:rPr>
        <w:rFonts w:ascii="Times New Roman" w:hAnsi="Times New Roman"/>
      </w:rPr>
      <w:fldChar w:fldCharType="separate"/>
    </w:r>
    <w:r w:rsidR="00442237">
      <w:rPr>
        <w:rFonts w:ascii="Times New Roman" w:hAnsi="Times New Roman"/>
        <w:noProof/>
      </w:rPr>
      <w:t>2</w:t>
    </w:r>
    <w:r w:rsidRPr="00F41C90">
      <w:rPr>
        <w:rFonts w:ascii="Times New Roman" w:hAnsi="Times New Roman"/>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51F5" w:rsidRPr="00260999" w14:paraId="31A09ECE" w14:textId="77777777">
    <w:pPr>
      <w:spacing w:line="240" w:lineRule="exac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6226C90"/>
    <w:multiLevelType w:val="hybridMultilevel"/>
    <w:tmpl w:val="37901C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37817989">
    <w:abstractNumId w:val="1"/>
  </w:num>
  <w:num w:numId="2" w16cid:durableId="16733358">
    <w:abstractNumId w:val="1"/>
  </w:num>
  <w:num w:numId="3" w16cid:durableId="542135994">
    <w:abstractNumId w:val="0"/>
    <w:lvlOverride w:ilvl="0">
      <w:lvl w:ilvl="0">
        <w:start w:val="1"/>
        <w:numFmt w:val="decimal"/>
        <w:pStyle w:val="Quick1"/>
        <w:lvlText w:val="%1."/>
        <w:lvlJc w:val="left"/>
        <w:pPr>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015E10"/>
    <w:rsid w:val="00001A51"/>
    <w:rsid w:val="00003C4F"/>
    <w:rsid w:val="00004107"/>
    <w:rsid w:val="0000795B"/>
    <w:rsid w:val="00015E10"/>
    <w:rsid w:val="000234A5"/>
    <w:rsid w:val="000305C3"/>
    <w:rsid w:val="000427BF"/>
    <w:rsid w:val="0004441A"/>
    <w:rsid w:val="00044DF9"/>
    <w:rsid w:val="000547C5"/>
    <w:rsid w:val="00057E5C"/>
    <w:rsid w:val="0006185D"/>
    <w:rsid w:val="00061E2B"/>
    <w:rsid w:val="00072A12"/>
    <w:rsid w:val="00075D64"/>
    <w:rsid w:val="00090B8F"/>
    <w:rsid w:val="00093A7F"/>
    <w:rsid w:val="00094628"/>
    <w:rsid w:val="000A333F"/>
    <w:rsid w:val="000A3C47"/>
    <w:rsid w:val="000A4D92"/>
    <w:rsid w:val="000A69CE"/>
    <w:rsid w:val="000B00C3"/>
    <w:rsid w:val="000B4772"/>
    <w:rsid w:val="000E034B"/>
    <w:rsid w:val="000E5E78"/>
    <w:rsid w:val="000F0102"/>
    <w:rsid w:val="00105CAB"/>
    <w:rsid w:val="00114AD4"/>
    <w:rsid w:val="0011514C"/>
    <w:rsid w:val="00126934"/>
    <w:rsid w:val="00135FDA"/>
    <w:rsid w:val="00144912"/>
    <w:rsid w:val="001533EE"/>
    <w:rsid w:val="001544ED"/>
    <w:rsid w:val="00163BCF"/>
    <w:rsid w:val="00170C52"/>
    <w:rsid w:val="00191305"/>
    <w:rsid w:val="00195866"/>
    <w:rsid w:val="001A090F"/>
    <w:rsid w:val="001A46B9"/>
    <w:rsid w:val="001A7E53"/>
    <w:rsid w:val="001B013E"/>
    <w:rsid w:val="001B477B"/>
    <w:rsid w:val="001C4CE4"/>
    <w:rsid w:val="001E0251"/>
    <w:rsid w:val="001E4091"/>
    <w:rsid w:val="001F42C7"/>
    <w:rsid w:val="001F5030"/>
    <w:rsid w:val="002023A8"/>
    <w:rsid w:val="00211B7A"/>
    <w:rsid w:val="00231C5E"/>
    <w:rsid w:val="0023313E"/>
    <w:rsid w:val="00233C69"/>
    <w:rsid w:val="0023747F"/>
    <w:rsid w:val="0024213C"/>
    <w:rsid w:val="00245731"/>
    <w:rsid w:val="00250567"/>
    <w:rsid w:val="00251470"/>
    <w:rsid w:val="00260999"/>
    <w:rsid w:val="002615AA"/>
    <w:rsid w:val="0026215D"/>
    <w:rsid w:val="00263FD1"/>
    <w:rsid w:val="002670A2"/>
    <w:rsid w:val="0026756C"/>
    <w:rsid w:val="00267B29"/>
    <w:rsid w:val="00267E2E"/>
    <w:rsid w:val="002705E1"/>
    <w:rsid w:val="00276842"/>
    <w:rsid w:val="00276BB3"/>
    <w:rsid w:val="00280511"/>
    <w:rsid w:val="002805D2"/>
    <w:rsid w:val="00286C32"/>
    <w:rsid w:val="00292D59"/>
    <w:rsid w:val="00296417"/>
    <w:rsid w:val="002A069C"/>
    <w:rsid w:val="002A3AC8"/>
    <w:rsid w:val="002A58F2"/>
    <w:rsid w:val="002B098E"/>
    <w:rsid w:val="002B6D07"/>
    <w:rsid w:val="002D7EA1"/>
    <w:rsid w:val="002E463F"/>
    <w:rsid w:val="002F48BA"/>
    <w:rsid w:val="0030331E"/>
    <w:rsid w:val="00305AFC"/>
    <w:rsid w:val="00310367"/>
    <w:rsid w:val="00321862"/>
    <w:rsid w:val="00337FDD"/>
    <w:rsid w:val="00343667"/>
    <w:rsid w:val="00354C38"/>
    <w:rsid w:val="00362BB3"/>
    <w:rsid w:val="00370B66"/>
    <w:rsid w:val="00375CB6"/>
    <w:rsid w:val="00375D00"/>
    <w:rsid w:val="00381E30"/>
    <w:rsid w:val="00384FE2"/>
    <w:rsid w:val="00391F99"/>
    <w:rsid w:val="003A099A"/>
    <w:rsid w:val="003A157E"/>
    <w:rsid w:val="003B21D9"/>
    <w:rsid w:val="003B7655"/>
    <w:rsid w:val="003C6369"/>
    <w:rsid w:val="003D1A80"/>
    <w:rsid w:val="003D336A"/>
    <w:rsid w:val="003E326C"/>
    <w:rsid w:val="003E58C6"/>
    <w:rsid w:val="003E62C2"/>
    <w:rsid w:val="003E7BC2"/>
    <w:rsid w:val="003F0C41"/>
    <w:rsid w:val="00401134"/>
    <w:rsid w:val="004128C4"/>
    <w:rsid w:val="0041398C"/>
    <w:rsid w:val="00415739"/>
    <w:rsid w:val="00415ECB"/>
    <w:rsid w:val="00422FC6"/>
    <w:rsid w:val="0042740F"/>
    <w:rsid w:val="0043510A"/>
    <w:rsid w:val="00442237"/>
    <w:rsid w:val="00477212"/>
    <w:rsid w:val="00487897"/>
    <w:rsid w:val="004B19DE"/>
    <w:rsid w:val="004B4042"/>
    <w:rsid w:val="004C5289"/>
    <w:rsid w:val="004C71E6"/>
    <w:rsid w:val="004D6C6D"/>
    <w:rsid w:val="004E3286"/>
    <w:rsid w:val="004E6882"/>
    <w:rsid w:val="004F0C6C"/>
    <w:rsid w:val="004F56AC"/>
    <w:rsid w:val="005044E0"/>
    <w:rsid w:val="00520C19"/>
    <w:rsid w:val="00521606"/>
    <w:rsid w:val="00523BE8"/>
    <w:rsid w:val="00537198"/>
    <w:rsid w:val="00547EF2"/>
    <w:rsid w:val="00551522"/>
    <w:rsid w:val="00560C69"/>
    <w:rsid w:val="00562F7B"/>
    <w:rsid w:val="005A7805"/>
    <w:rsid w:val="005B77FB"/>
    <w:rsid w:val="005C3FEC"/>
    <w:rsid w:val="005C669D"/>
    <w:rsid w:val="005F6982"/>
    <w:rsid w:val="00610BEE"/>
    <w:rsid w:val="0061306A"/>
    <w:rsid w:val="00616685"/>
    <w:rsid w:val="00625161"/>
    <w:rsid w:val="00625ACC"/>
    <w:rsid w:val="006302AF"/>
    <w:rsid w:val="006422B7"/>
    <w:rsid w:val="006449C8"/>
    <w:rsid w:val="00657F2C"/>
    <w:rsid w:val="00675756"/>
    <w:rsid w:val="00677DFF"/>
    <w:rsid w:val="00682FE2"/>
    <w:rsid w:val="00690208"/>
    <w:rsid w:val="006A1C58"/>
    <w:rsid w:val="006A2088"/>
    <w:rsid w:val="006A7728"/>
    <w:rsid w:val="006B12CA"/>
    <w:rsid w:val="006B2E26"/>
    <w:rsid w:val="006C5791"/>
    <w:rsid w:val="006C5FCB"/>
    <w:rsid w:val="006D38B0"/>
    <w:rsid w:val="006F00B2"/>
    <w:rsid w:val="006F2B21"/>
    <w:rsid w:val="006F5FC7"/>
    <w:rsid w:val="007174D2"/>
    <w:rsid w:val="0071756D"/>
    <w:rsid w:val="007425AD"/>
    <w:rsid w:val="00744FDB"/>
    <w:rsid w:val="00745814"/>
    <w:rsid w:val="00750E52"/>
    <w:rsid w:val="0075403F"/>
    <w:rsid w:val="007556DE"/>
    <w:rsid w:val="00757E04"/>
    <w:rsid w:val="007776DD"/>
    <w:rsid w:val="00777DEF"/>
    <w:rsid w:val="007A3E9D"/>
    <w:rsid w:val="007D08FB"/>
    <w:rsid w:val="007D1194"/>
    <w:rsid w:val="007E45C0"/>
    <w:rsid w:val="007F3B81"/>
    <w:rsid w:val="00802BD0"/>
    <w:rsid w:val="00820094"/>
    <w:rsid w:val="0082036D"/>
    <w:rsid w:val="00824621"/>
    <w:rsid w:val="00824B35"/>
    <w:rsid w:val="008254D8"/>
    <w:rsid w:val="0082697B"/>
    <w:rsid w:val="00826FF4"/>
    <w:rsid w:val="008400D1"/>
    <w:rsid w:val="0084353F"/>
    <w:rsid w:val="008440D5"/>
    <w:rsid w:val="0084751C"/>
    <w:rsid w:val="00851A3E"/>
    <w:rsid w:val="0088732C"/>
    <w:rsid w:val="00887E28"/>
    <w:rsid w:val="00894A07"/>
    <w:rsid w:val="008A48F2"/>
    <w:rsid w:val="008A73DC"/>
    <w:rsid w:val="008C6E1A"/>
    <w:rsid w:val="008D6C34"/>
    <w:rsid w:val="008E70C9"/>
    <w:rsid w:val="008F1245"/>
    <w:rsid w:val="008F7ED9"/>
    <w:rsid w:val="00915FCA"/>
    <w:rsid w:val="0092001F"/>
    <w:rsid w:val="0092024A"/>
    <w:rsid w:val="00920C12"/>
    <w:rsid w:val="00923BE4"/>
    <w:rsid w:val="00926E37"/>
    <w:rsid w:val="00931B46"/>
    <w:rsid w:val="009323AC"/>
    <w:rsid w:val="00950038"/>
    <w:rsid w:val="009774D4"/>
    <w:rsid w:val="009822D4"/>
    <w:rsid w:val="009871A8"/>
    <w:rsid w:val="00994A5E"/>
    <w:rsid w:val="00997C53"/>
    <w:rsid w:val="009B325A"/>
    <w:rsid w:val="009C0689"/>
    <w:rsid w:val="009C2F04"/>
    <w:rsid w:val="009C3877"/>
    <w:rsid w:val="009F3A57"/>
    <w:rsid w:val="009F45CA"/>
    <w:rsid w:val="00A0354F"/>
    <w:rsid w:val="00A05739"/>
    <w:rsid w:val="00A11AC5"/>
    <w:rsid w:val="00A141B0"/>
    <w:rsid w:val="00A20835"/>
    <w:rsid w:val="00A26354"/>
    <w:rsid w:val="00A66559"/>
    <w:rsid w:val="00A70C42"/>
    <w:rsid w:val="00A75BD7"/>
    <w:rsid w:val="00AA6928"/>
    <w:rsid w:val="00AC2963"/>
    <w:rsid w:val="00AC3601"/>
    <w:rsid w:val="00AC3EF6"/>
    <w:rsid w:val="00AE4C16"/>
    <w:rsid w:val="00AE59C8"/>
    <w:rsid w:val="00AF3379"/>
    <w:rsid w:val="00AF3C58"/>
    <w:rsid w:val="00B07B5F"/>
    <w:rsid w:val="00B113CE"/>
    <w:rsid w:val="00B159D8"/>
    <w:rsid w:val="00B167D1"/>
    <w:rsid w:val="00B17382"/>
    <w:rsid w:val="00B201DA"/>
    <w:rsid w:val="00B33BA8"/>
    <w:rsid w:val="00B511B7"/>
    <w:rsid w:val="00B52DE9"/>
    <w:rsid w:val="00B60E62"/>
    <w:rsid w:val="00B70C74"/>
    <w:rsid w:val="00B81D3B"/>
    <w:rsid w:val="00B96371"/>
    <w:rsid w:val="00BB005A"/>
    <w:rsid w:val="00BB3AF1"/>
    <w:rsid w:val="00BB7889"/>
    <w:rsid w:val="00BC2C22"/>
    <w:rsid w:val="00BC7CAC"/>
    <w:rsid w:val="00BD1377"/>
    <w:rsid w:val="00BE2939"/>
    <w:rsid w:val="00BE2E0E"/>
    <w:rsid w:val="00C3362B"/>
    <w:rsid w:val="00C42177"/>
    <w:rsid w:val="00C53D77"/>
    <w:rsid w:val="00C551F5"/>
    <w:rsid w:val="00C571AA"/>
    <w:rsid w:val="00C64BC9"/>
    <w:rsid w:val="00C842DE"/>
    <w:rsid w:val="00CA29A2"/>
    <w:rsid w:val="00CA2E9F"/>
    <w:rsid w:val="00CA67DE"/>
    <w:rsid w:val="00CB21E7"/>
    <w:rsid w:val="00CB2A5E"/>
    <w:rsid w:val="00CC1C02"/>
    <w:rsid w:val="00CC3A9D"/>
    <w:rsid w:val="00CC630E"/>
    <w:rsid w:val="00CD2483"/>
    <w:rsid w:val="00CD7574"/>
    <w:rsid w:val="00CE18BF"/>
    <w:rsid w:val="00CE54B1"/>
    <w:rsid w:val="00CF6181"/>
    <w:rsid w:val="00D003E4"/>
    <w:rsid w:val="00D3272D"/>
    <w:rsid w:val="00D3507C"/>
    <w:rsid w:val="00D37A7F"/>
    <w:rsid w:val="00D52DAB"/>
    <w:rsid w:val="00D61ED1"/>
    <w:rsid w:val="00D6329F"/>
    <w:rsid w:val="00D65D84"/>
    <w:rsid w:val="00D805ED"/>
    <w:rsid w:val="00D95411"/>
    <w:rsid w:val="00DD7236"/>
    <w:rsid w:val="00DE6575"/>
    <w:rsid w:val="00E01745"/>
    <w:rsid w:val="00E02C51"/>
    <w:rsid w:val="00E038EE"/>
    <w:rsid w:val="00E070C1"/>
    <w:rsid w:val="00E11362"/>
    <w:rsid w:val="00E15AAB"/>
    <w:rsid w:val="00E163F2"/>
    <w:rsid w:val="00E202A7"/>
    <w:rsid w:val="00E24D48"/>
    <w:rsid w:val="00E26E36"/>
    <w:rsid w:val="00E32285"/>
    <w:rsid w:val="00E45201"/>
    <w:rsid w:val="00E53962"/>
    <w:rsid w:val="00E56E86"/>
    <w:rsid w:val="00E61897"/>
    <w:rsid w:val="00E64B29"/>
    <w:rsid w:val="00E65687"/>
    <w:rsid w:val="00E70C18"/>
    <w:rsid w:val="00E7102B"/>
    <w:rsid w:val="00E7725E"/>
    <w:rsid w:val="00E8346D"/>
    <w:rsid w:val="00E928F3"/>
    <w:rsid w:val="00E97703"/>
    <w:rsid w:val="00EA497C"/>
    <w:rsid w:val="00EB0AF8"/>
    <w:rsid w:val="00EB0D49"/>
    <w:rsid w:val="00EB2294"/>
    <w:rsid w:val="00EC4711"/>
    <w:rsid w:val="00ED029A"/>
    <w:rsid w:val="00EE3B8C"/>
    <w:rsid w:val="00F04BFB"/>
    <w:rsid w:val="00F1110B"/>
    <w:rsid w:val="00F13518"/>
    <w:rsid w:val="00F174C0"/>
    <w:rsid w:val="00F21D11"/>
    <w:rsid w:val="00F2491E"/>
    <w:rsid w:val="00F269F4"/>
    <w:rsid w:val="00F34CA1"/>
    <w:rsid w:val="00F34E5B"/>
    <w:rsid w:val="00F41C90"/>
    <w:rsid w:val="00F52CBE"/>
    <w:rsid w:val="00F837E4"/>
    <w:rsid w:val="00F95C10"/>
    <w:rsid w:val="00F973B9"/>
    <w:rsid w:val="00F97475"/>
    <w:rsid w:val="00FA22BC"/>
    <w:rsid w:val="00FB08D0"/>
    <w:rsid w:val="00FB1899"/>
    <w:rsid w:val="00FB1FD1"/>
    <w:rsid w:val="00FB7A28"/>
    <w:rsid w:val="00FD11A0"/>
    <w:rsid w:val="00FD4D17"/>
    <w:rsid w:val="00FF2E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1A09E8D"/>
  <w15:docId w15:val="{3BF299EF-4514-4A7D-8062-C0F8BDCD5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292D59"/>
    <w:pPr>
      <w:tabs>
        <w:tab w:val="center" w:pos="4320"/>
        <w:tab w:val="right" w:pos="8640"/>
      </w:tabs>
    </w:pPr>
  </w:style>
  <w:style w:type="paragraph" w:styleId="Footer">
    <w:name w:val="footer"/>
    <w:basedOn w:val="Normal"/>
    <w:link w:val="FooterChar"/>
    <w:uiPriority w:val="99"/>
    <w:rsid w:val="00292D59"/>
    <w:pPr>
      <w:tabs>
        <w:tab w:val="center" w:pos="4320"/>
        <w:tab w:val="right" w:pos="8640"/>
      </w:tabs>
    </w:pPr>
  </w:style>
  <w:style w:type="character" w:styleId="PageNumber">
    <w:name w:val="page number"/>
    <w:basedOn w:val="DefaultParagraphFont"/>
    <w:rsid w:val="005F6982"/>
  </w:style>
  <w:style w:type="paragraph" w:styleId="BalloonText">
    <w:name w:val="Balloon Text"/>
    <w:basedOn w:val="Normal"/>
    <w:link w:val="BalloonTextChar"/>
    <w:rsid w:val="00E65687"/>
    <w:rPr>
      <w:rFonts w:ascii="Tahoma" w:hAnsi="Tahoma" w:cs="Tahoma"/>
      <w:sz w:val="16"/>
      <w:szCs w:val="16"/>
    </w:rPr>
  </w:style>
  <w:style w:type="character" w:customStyle="1" w:styleId="BalloonTextChar">
    <w:name w:val="Balloon Text Char"/>
    <w:link w:val="BalloonText"/>
    <w:rsid w:val="00E65687"/>
    <w:rPr>
      <w:rFonts w:ascii="Tahoma" w:hAnsi="Tahoma" w:cs="Tahoma"/>
      <w:sz w:val="16"/>
      <w:szCs w:val="16"/>
    </w:rPr>
  </w:style>
  <w:style w:type="character" w:customStyle="1" w:styleId="FooterChar">
    <w:name w:val="Footer Char"/>
    <w:link w:val="Footer"/>
    <w:uiPriority w:val="99"/>
    <w:rsid w:val="00562F7B"/>
    <w:rPr>
      <w:rFonts w:ascii="Courier" w:hAnsi="Courier"/>
      <w:sz w:val="24"/>
      <w:szCs w:val="24"/>
    </w:rPr>
  </w:style>
  <w:style w:type="character" w:styleId="Hyperlink">
    <w:name w:val="Hyperlink"/>
    <w:rsid w:val="00B60E62"/>
    <w:rPr>
      <w:strike w:val="0"/>
      <w:dstrike w:val="0"/>
      <w:color w:val="000080"/>
      <w:u w:val="none"/>
      <w:effect w:val="none"/>
    </w:rPr>
  </w:style>
  <w:style w:type="paragraph" w:styleId="FootnoteText">
    <w:name w:val="footnote text"/>
    <w:basedOn w:val="Normal"/>
    <w:link w:val="FootnoteTextChar"/>
    <w:rsid w:val="00B60E62"/>
    <w:rPr>
      <w:sz w:val="20"/>
      <w:szCs w:val="20"/>
    </w:rPr>
  </w:style>
  <w:style w:type="character" w:customStyle="1" w:styleId="FootnoteTextChar">
    <w:name w:val="Footnote Text Char"/>
    <w:link w:val="FootnoteText"/>
    <w:rsid w:val="00B60E62"/>
    <w:rPr>
      <w:rFonts w:ascii="Courier" w:hAnsi="Courier"/>
    </w:rPr>
  </w:style>
  <w:style w:type="paragraph" w:styleId="ListParagraph">
    <w:name w:val="List Paragraph"/>
    <w:basedOn w:val="Normal"/>
    <w:uiPriority w:val="34"/>
    <w:qFormat/>
    <w:rsid w:val="00170C52"/>
    <w:pPr>
      <w:ind w:left="720"/>
    </w:pPr>
  </w:style>
  <w:style w:type="character" w:styleId="CommentReference">
    <w:name w:val="annotation reference"/>
    <w:basedOn w:val="DefaultParagraphFont"/>
    <w:rsid w:val="006A7728"/>
    <w:rPr>
      <w:sz w:val="16"/>
      <w:szCs w:val="16"/>
    </w:rPr>
  </w:style>
  <w:style w:type="paragraph" w:styleId="CommentText">
    <w:name w:val="annotation text"/>
    <w:basedOn w:val="Normal"/>
    <w:link w:val="CommentTextChar"/>
    <w:rsid w:val="006A7728"/>
    <w:rPr>
      <w:sz w:val="20"/>
      <w:szCs w:val="20"/>
    </w:rPr>
  </w:style>
  <w:style w:type="character" w:customStyle="1" w:styleId="CommentTextChar">
    <w:name w:val="Comment Text Char"/>
    <w:basedOn w:val="DefaultParagraphFont"/>
    <w:link w:val="CommentText"/>
    <w:rsid w:val="006A7728"/>
    <w:rPr>
      <w:rFonts w:ascii="Courier" w:hAnsi="Courier"/>
    </w:rPr>
  </w:style>
  <w:style w:type="paragraph" w:styleId="CommentSubject">
    <w:name w:val="annotation subject"/>
    <w:basedOn w:val="CommentText"/>
    <w:next w:val="CommentText"/>
    <w:link w:val="CommentSubjectChar"/>
    <w:rsid w:val="006A7728"/>
    <w:rPr>
      <w:b/>
      <w:bCs/>
    </w:rPr>
  </w:style>
  <w:style w:type="character" w:customStyle="1" w:styleId="CommentSubjectChar">
    <w:name w:val="Comment Subject Char"/>
    <w:basedOn w:val="CommentTextChar"/>
    <w:link w:val="CommentSubject"/>
    <w:rsid w:val="006A7728"/>
    <w:rPr>
      <w:rFonts w:ascii="Courier" w:hAnsi="Courier"/>
      <w:b/>
      <w:bCs/>
    </w:rPr>
  </w:style>
  <w:style w:type="paragraph" w:styleId="Revision">
    <w:name w:val="Revision"/>
    <w:hidden/>
    <w:uiPriority w:val="99"/>
    <w:semiHidden/>
    <w:rsid w:val="006A7728"/>
    <w:rPr>
      <w:rFonts w:ascii="Courier" w:hAnsi="Courier"/>
      <w:sz w:val="24"/>
      <w:szCs w:val="24"/>
    </w:rPr>
  </w:style>
  <w:style w:type="paragraph" w:customStyle="1" w:styleId="Quick1">
    <w:name w:val="Quick 1."/>
    <w:basedOn w:val="Normal"/>
    <w:rsid w:val="00D52DAB"/>
    <w:pPr>
      <w:numPr>
        <w:numId w:val="3"/>
      </w:numPr>
      <w:ind w:left="720" w:hanging="720"/>
    </w:pPr>
    <w:rPr>
      <w:rFonts w:ascii="Times New Roman" w:hAnsi="Times New Roman"/>
      <w:i/>
    </w:rPr>
  </w:style>
  <w:style w:type="character" w:styleId="UnresolvedMention">
    <w:name w:val="Unresolved Mention"/>
    <w:basedOn w:val="DefaultParagraphFont"/>
    <w:uiPriority w:val="99"/>
    <w:semiHidden/>
    <w:unhideWhenUsed/>
    <w:rsid w:val="00B20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pbg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PBGCCUI xmlns="42a8a83a-5e27-410c-a1fc-7c5ac4e503f4" xsi:nil="true"/>
    <Marking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706566f70ca93385e5c6f40e569d8392">
  <xsd:schema xmlns:xsd="http://www.w3.org/2001/XMLSchema" xmlns:xs="http://www.w3.org/2001/XMLSchema" xmlns:p="http://schemas.microsoft.com/office/2006/metadata/properties" xmlns:ns2="42a8a83a-5e27-410c-a1fc-7c5ac4e503f4" targetNamespace="http://schemas.microsoft.com/office/2006/metadata/properties" ma:root="true" ma:fieldsID="528123777bd9a10ea1536580f53739d8"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b04b9a93-b54f-4549-9b70-040003075d6a" ContentTypeId="0x010100E09C6A4FD85CD94DB99934580C239257" PreviousValue="false"/>
</file>

<file path=customXml/itemProps1.xml><?xml version="1.0" encoding="utf-8"?>
<ds:datastoreItem xmlns:ds="http://schemas.openxmlformats.org/officeDocument/2006/customXml" ds:itemID="{8C077DA4-9452-4134-9456-FBEC3CCDADF6}">
  <ds:schemaRefs>
    <ds:schemaRef ds:uri="http://schemas.microsoft.com/office/2006/documentManagement/types"/>
    <ds:schemaRef ds:uri="http://purl.org/dc/terms/"/>
    <ds:schemaRef ds:uri="http://purl.org/dc/dcmitype/"/>
    <ds:schemaRef ds:uri="http://purl.org/dc/elements/1.1/"/>
    <ds:schemaRef ds:uri="42a8a83a-5e27-410c-a1fc-7c5ac4e503f4"/>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C47F1C4-4235-4667-AECA-D6C1E93C1567}">
  <ds:schemaRefs>
    <ds:schemaRef ds:uri="http://schemas.microsoft.com/sharepoint/v3/contenttype/forms"/>
  </ds:schemaRefs>
</ds:datastoreItem>
</file>

<file path=customXml/itemProps3.xml><?xml version="1.0" encoding="utf-8"?>
<ds:datastoreItem xmlns:ds="http://schemas.openxmlformats.org/officeDocument/2006/customXml" ds:itemID="{04E3A728-D46D-4583-9953-9C44A496172D}">
  <ds:schemaRefs>
    <ds:schemaRef ds:uri="http://schemas.openxmlformats.org/officeDocument/2006/bibliography"/>
  </ds:schemaRefs>
</ds:datastoreItem>
</file>

<file path=customXml/itemProps4.xml><?xml version="1.0" encoding="utf-8"?>
<ds:datastoreItem xmlns:ds="http://schemas.openxmlformats.org/officeDocument/2006/customXml" ds:itemID="{6DE041FF-00E2-4F49-9E4B-76ACBB87D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2A3060-079E-4121-AF0B-CB73FE3DB8A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1248</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PBGC User</dc:creator>
  <cp:lastModifiedBy>Duke Hilary</cp:lastModifiedBy>
  <cp:revision>32</cp:revision>
  <cp:lastPrinted>2018-06-29T16:29:00Z</cp:lastPrinted>
  <dcterms:created xsi:type="dcterms:W3CDTF">2025-04-17T13:08:00Z</dcterms:created>
  <dcterms:modified xsi:type="dcterms:W3CDTF">2025-04-30T17:03:00Z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CUIReviewer">
    <vt:lpwstr/>
  </property>
  <property fmtid="{D5CDD505-2E9C-101B-9397-08002B2CF9AE}" pid="4" name="lcf76f155ced4ddcb4097134ff3c332f">
    <vt:lpwstr/>
  </property>
  <property fmtid="{D5CDD505-2E9C-101B-9397-08002B2CF9AE}" pid="5" name="MediaServiceImageTags">
    <vt:lpwstr/>
  </property>
  <property fmtid="{D5CDD505-2E9C-101B-9397-08002B2CF9AE}" pid="6" name="OGC Document Status">
    <vt:lpwstr>6;#Draft|4e9a4bc7-9032-4d66-87ab-b16dbcbcd63b</vt:lpwstr>
  </property>
  <property fmtid="{D5CDD505-2E9C-101B-9397-08002B2CF9AE}" pid="7" name="OGC_x0020_Document_x0020_Status">
    <vt:lpwstr>6;#Draft|4e9a4bc7-9032-4d66-87ab-b16dbcbcd63b</vt:lpwstr>
  </property>
  <property fmtid="{D5CDD505-2E9C-101B-9397-08002B2CF9AE}" pid="8" name="Order">
    <vt:r8>100</vt:r8>
  </property>
  <property fmtid="{D5CDD505-2E9C-101B-9397-08002B2CF9AE}" pid="9" name="Source Library">
    <vt:lpwstr/>
  </property>
  <property fmtid="{D5CDD505-2E9C-101B-9397-08002B2CF9AE}" pid="10" name="Source Type">
    <vt:lpwstr>File share</vt:lpwstr>
  </property>
</Properties>
</file>