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1709" w:rsidP="00691709" w14:paraId="75259578" w14:textId="2852244D">
      <w:pPr>
        <w:widowControl/>
        <w:jc w:val="center"/>
        <w:rPr>
          <w:b/>
          <w:bCs/>
        </w:rPr>
      </w:pPr>
    </w:p>
    <w:p w:rsidR="00691709" w:rsidRPr="004E2341" w:rsidP="00691709" w14:paraId="3DE41E20" w14:textId="77777777">
      <w:pPr>
        <w:widowControl/>
        <w:jc w:val="center"/>
        <w:rPr>
          <w:b/>
          <w:bCs/>
        </w:rPr>
      </w:pPr>
      <w:r w:rsidRPr="004E2341">
        <w:rPr>
          <w:b/>
          <w:bCs/>
        </w:rPr>
        <w:t>SUPPORTING STATEMENT FOR THE</w:t>
      </w:r>
    </w:p>
    <w:p w:rsidR="00691709" w:rsidRPr="004E2341" w:rsidP="00691709" w14:paraId="73649580" w14:textId="18C8F0B9">
      <w:pPr>
        <w:widowControl/>
        <w:jc w:val="center"/>
        <w:rPr>
          <w:b/>
          <w:bCs/>
        </w:rPr>
      </w:pPr>
      <w:r w:rsidRPr="004E2341">
        <w:rPr>
          <w:b/>
          <w:bCs/>
        </w:rPr>
        <w:t>INFORMATION COLLECTION REQUIREMENTS OF THE</w:t>
      </w:r>
    </w:p>
    <w:p w:rsidR="00691709" w:rsidRPr="004E2341" w14:paraId="74C85492" w14:textId="655B45CC">
      <w:pPr>
        <w:widowControl/>
        <w:jc w:val="center"/>
        <w:rPr>
          <w:b/>
          <w:bCs/>
        </w:rPr>
      </w:pPr>
      <w:r w:rsidRPr="758A439B">
        <w:rPr>
          <w:b/>
          <w:bCs/>
        </w:rPr>
        <w:t>WELDING, CUTTING, AND BRAZING</w:t>
      </w:r>
      <w:r w:rsidR="004A2E8E">
        <w:rPr>
          <w:b/>
          <w:bCs/>
        </w:rPr>
        <w:t xml:space="preserve"> STANDARD</w:t>
      </w:r>
    </w:p>
    <w:p w:rsidR="00691709" w:rsidRPr="004E2341" w:rsidP="00691709" w14:paraId="446155A8" w14:textId="77777777">
      <w:pPr>
        <w:widowControl/>
        <w:jc w:val="center"/>
      </w:pPr>
      <w:r w:rsidRPr="004E2341">
        <w:rPr>
          <w:b/>
          <w:bCs/>
        </w:rPr>
        <w:t>(29 CFR PART 1910, SUBPART Q)</w:t>
      </w:r>
      <w:r>
        <w:rPr>
          <w:vertAlign w:val="superscript"/>
        </w:rPr>
        <w:footnoteReference w:id="3"/>
      </w:r>
    </w:p>
    <w:p w:rsidR="00691709" w:rsidRPr="004E2341" w:rsidP="00691709" w14:paraId="651FE82B" w14:textId="77777777">
      <w:pPr>
        <w:widowControl/>
        <w:jc w:val="center"/>
        <w:rPr>
          <w:b/>
          <w:bCs/>
        </w:rPr>
      </w:pPr>
      <w:r w:rsidRPr="004E2341">
        <w:rPr>
          <w:b/>
          <w:bCs/>
        </w:rPr>
        <w:t>OFFICE OF MANAGEMENT AND BUDGET</w:t>
      </w:r>
    </w:p>
    <w:p w:rsidR="00DC5C96" w:rsidP="00691709" w14:paraId="071BEF05" w14:textId="77777777">
      <w:pPr>
        <w:widowControl/>
        <w:jc w:val="center"/>
        <w:rPr>
          <w:b/>
          <w:bCs/>
        </w:rPr>
      </w:pPr>
      <w:r w:rsidRPr="758A439B">
        <w:rPr>
          <w:b/>
          <w:bCs/>
        </w:rPr>
        <w:t xml:space="preserve">(OMB) CONTROL NO. 1218-0207 </w:t>
      </w:r>
    </w:p>
    <w:p w:rsidR="00691709" w:rsidP="00691709" w14:paraId="141AA72B" w14:textId="09773048">
      <w:pPr>
        <w:widowControl/>
        <w:jc w:val="center"/>
      </w:pPr>
      <w:r w:rsidRPr="758A439B">
        <w:rPr>
          <w:b/>
          <w:bCs/>
        </w:rPr>
        <w:t>(</w:t>
      </w:r>
      <w:r w:rsidR="00413E19">
        <w:rPr>
          <w:b/>
          <w:bCs/>
        </w:rPr>
        <w:t>January</w:t>
      </w:r>
      <w:r w:rsidRPr="758A439B" w:rsidR="0025651C">
        <w:rPr>
          <w:b/>
          <w:bCs/>
        </w:rPr>
        <w:t xml:space="preserve"> </w:t>
      </w:r>
      <w:r w:rsidRPr="758A439B" w:rsidR="005C0CD3">
        <w:rPr>
          <w:b/>
          <w:bCs/>
        </w:rPr>
        <w:t>202</w:t>
      </w:r>
      <w:r w:rsidR="00413E19">
        <w:rPr>
          <w:b/>
          <w:bCs/>
        </w:rPr>
        <w:t>6</w:t>
      </w:r>
      <w:r w:rsidRPr="758A439B">
        <w:rPr>
          <w:b/>
          <w:bCs/>
        </w:rPr>
        <w:t>)</w:t>
      </w:r>
    </w:p>
    <w:p w:rsidR="00691709" w:rsidP="00691709" w14:paraId="5D8BE586" w14:textId="77777777">
      <w:pPr>
        <w:widowControl/>
        <w:rPr>
          <w:b/>
          <w:bCs/>
        </w:rPr>
      </w:pPr>
    </w:p>
    <w:p w:rsidR="00691709" w:rsidRPr="00057A74" w:rsidP="00691709" w14:paraId="5AF13BC4" w14:textId="2A7D71BF">
      <w:pPr>
        <w:widowControl/>
        <w:autoSpaceDE/>
        <w:autoSpaceDN/>
        <w:adjustRightInd/>
        <w:spacing w:after="200" w:line="276" w:lineRule="auto"/>
        <w:outlineLvl w:val="0"/>
        <w:rPr>
          <w:rFonts w:eastAsiaTheme="minorHAnsi"/>
        </w:rPr>
      </w:pPr>
      <w:r w:rsidRPr="00283353">
        <w:rPr>
          <w:bCs/>
        </w:rPr>
        <w:t xml:space="preserve">The agency is seeking an extension of </w:t>
      </w:r>
      <w:r w:rsidRPr="00283353">
        <w:rPr>
          <w:bCs/>
        </w:rPr>
        <w:t>a currently</w:t>
      </w:r>
      <w:r w:rsidRPr="00283353">
        <w:rPr>
          <w:bCs/>
        </w:rPr>
        <w:t xml:space="preserve"> approved data collection.</w:t>
      </w:r>
      <w:r w:rsidR="00BC682C">
        <w:rPr>
          <w:rFonts w:eastAsiaTheme="minorHAnsi"/>
        </w:rPr>
        <w:t xml:space="preserve"> </w:t>
      </w:r>
    </w:p>
    <w:p w:rsidR="00691709" w:rsidP="00691709" w14:paraId="738EB23B" w14:textId="77777777">
      <w:pPr>
        <w:widowControl/>
      </w:pPr>
      <w:r w:rsidRPr="003771E9">
        <w:rPr>
          <w:b/>
          <w:bCs/>
        </w:rPr>
        <w:t>A.  JUSTIFICATION</w:t>
      </w:r>
    </w:p>
    <w:p w:rsidR="00691709" w:rsidRPr="004E2341" w:rsidP="00691709" w14:paraId="44586E14" w14:textId="77777777">
      <w:pPr>
        <w:widowControl/>
        <w:rPr>
          <w:b/>
          <w:bCs/>
        </w:rPr>
      </w:pPr>
    </w:p>
    <w:p w:rsidR="002D021D" w:rsidP="00B06AEA" w14:paraId="1AC9059D" w14:textId="77777777">
      <w:pPr>
        <w:pStyle w:val="ListParagraph"/>
        <w:widowControl/>
        <w:numPr>
          <w:ilvl w:val="0"/>
          <w:numId w:val="4"/>
        </w:numPr>
        <w:rPr>
          <w:b/>
          <w:bCs/>
        </w:rPr>
      </w:pPr>
      <w:r w:rsidRPr="00B06AEA">
        <w:rPr>
          <w:b/>
          <w:bCs/>
        </w:rPr>
        <w:t>Explain the circumstances that make the collection of information necessary.  Identify</w:t>
      </w:r>
    </w:p>
    <w:p w:rsidR="00691709" w:rsidRPr="00DD5544" w:rsidP="00DD5544" w14:paraId="0F83DDCB" w14:textId="298168C8">
      <w:pPr>
        <w:widowControl/>
        <w:ind w:left="60"/>
        <w:rPr>
          <w:b/>
          <w:bCs/>
        </w:rPr>
      </w:pPr>
      <w:r w:rsidRPr="00DD5544">
        <w:rPr>
          <w:b/>
          <w:bCs/>
        </w:rPr>
        <w:t>any legal or administrative requirements that necessitate the collection.  Attach a copy of the appropriate section of each statute and regulation mandating or authorizing the collection of information.</w:t>
      </w:r>
    </w:p>
    <w:p w:rsidR="00691709" w:rsidRPr="00605382" w:rsidP="00691709" w14:paraId="50E07722" w14:textId="77777777">
      <w:pPr>
        <w:widowControl/>
      </w:pPr>
    </w:p>
    <w:p w:rsidR="00691709" w:rsidRPr="00605382" w:rsidP="00691709" w14:paraId="4E472AA4" w14:textId="1E9BD943">
      <w:pPr>
        <w:widowControl/>
      </w:pPr>
      <w:r w:rsidRPr="00605382">
        <w:t>The Occupational Safety and Health Act’s (OSH Act) main objective is to “assure so far as possible every working man and woman in the Nation safe and healthful working conditions and to preserve our human resources” (29 U.S.C.</w:t>
      </w:r>
      <w:r w:rsidR="000B691C">
        <w:t xml:space="preserve"> </w:t>
      </w:r>
      <w:r w:rsidRPr="00605382">
        <w:t>651).  To achieve this objective, the OSH Act specifically authorizes “the development and promulgation of occupational safety and health standards” (29 U.S.C. 651).  In addition, the OSH Act specifies that “each employer shall, take, keep and preserve, and make available to the Secretary...such records...as the Secretary ...may prescribe by regulation as necessary or appropriate for the enforcement of this Act...” (29 U.S.C. 657).</w:t>
      </w:r>
    </w:p>
    <w:p w:rsidR="00691709" w:rsidRPr="00605382" w:rsidP="00691709" w14:paraId="1B3BC6DF" w14:textId="77777777">
      <w:pPr>
        <w:widowControl/>
      </w:pPr>
    </w:p>
    <w:p w:rsidR="00691709" w:rsidRPr="00605382" w:rsidP="00691709" w14:paraId="5F492510" w14:textId="73646130">
      <w:pPr>
        <w:widowControl/>
      </w:pPr>
      <w:r>
        <w:t xml:space="preserve">Under the authority granted by the </w:t>
      </w:r>
      <w:r w:rsidR="203B39A2">
        <w:t xml:space="preserve">OSH </w:t>
      </w:r>
      <w:r>
        <w:t>Act, the Occupational Safety and Health Administration (i.e., “OSHA” or “the Agency”) published a standard on Welding, Cutting and Brazing (29 CFR part 1910, subpart Q) (the “Standard”) for general industry.  The Standard includes several provisions pertaining to welding equipment.  Items 2 and 12 below describe the specific information collection requirements of the Standard.</w:t>
      </w:r>
    </w:p>
    <w:p w:rsidR="00691709" w:rsidRPr="00605382" w:rsidP="00691709" w14:paraId="141FBEAB" w14:textId="77777777">
      <w:pPr>
        <w:widowControl/>
      </w:pPr>
    </w:p>
    <w:p w:rsidR="00691709" w:rsidRPr="00605382" w:rsidP="00691709" w14:paraId="20E25028" w14:textId="77777777">
      <w:pPr>
        <w:widowControl/>
        <w:rPr>
          <w:b/>
          <w:bCs/>
        </w:rPr>
      </w:pPr>
      <w:r w:rsidRPr="00605382">
        <w:rPr>
          <w:b/>
          <w:bCs/>
        </w:rPr>
        <w:t xml:space="preserve"> 2</w:t>
      </w:r>
      <w:r w:rsidRPr="00605382">
        <w:rPr>
          <w:b/>
          <w:bCs/>
        </w:rPr>
        <w:t>.  Indicate</w:t>
      </w:r>
      <w:r w:rsidRPr="00605382">
        <w:rPr>
          <w:b/>
          <w:bCs/>
        </w:rPr>
        <w:t xml:space="preserve"> how, by whom, and for what purpose the information is to be used.  Except for a new collection, indicate the actual use the agency has made of the information received from the current collection.</w:t>
      </w:r>
    </w:p>
    <w:p w:rsidR="00691709" w:rsidRPr="00605382" w:rsidP="00691709" w14:paraId="2529E48D" w14:textId="77777777">
      <w:pPr>
        <w:widowControl/>
      </w:pPr>
    </w:p>
    <w:p w:rsidR="00691709" w:rsidRPr="00605382" w:rsidP="00691709" w14:paraId="5331BCC7" w14:textId="5FDE499B">
      <w:pPr>
        <w:widowControl/>
      </w:pPr>
      <w:r w:rsidRPr="00605382">
        <w:t>The information collected is used by employers and workers whenever welding, cutting</w:t>
      </w:r>
      <w:r w:rsidR="00AE7C2B">
        <w:t>,</w:t>
      </w:r>
      <w:r w:rsidRPr="00605382">
        <w:t xml:space="preserve"> and brazing are performed.  The purpose of </w:t>
      </w:r>
      <w:r w:rsidRPr="00605382">
        <w:t>the</w:t>
      </w:r>
      <w:r w:rsidRPr="00605382">
        <w:t xml:space="preserve"> information is to ensure that employers evaluate </w:t>
      </w:r>
      <w:r w:rsidRPr="00605382">
        <w:t>hazards associated with welding and ensure that adequate measures are taken to make the process safe.</w:t>
      </w:r>
    </w:p>
    <w:p w:rsidR="00691709" w:rsidRPr="00605382" w:rsidP="00691709" w14:paraId="36240A0A" w14:textId="77777777">
      <w:pPr>
        <w:widowControl/>
      </w:pPr>
    </w:p>
    <w:p w:rsidR="00691709" w:rsidRPr="00605382" w14:paraId="1FA2031E" w14:textId="52EA03C9">
      <w:pPr>
        <w:widowControl/>
      </w:pPr>
      <w:r w:rsidRPr="00605382">
        <w:t xml:space="preserve">Section 1910.255(e) requires that a periodic inspection of resistance welding equipment be made by qualified maintenance personnel, and a certification record generated and maintained.  The certification shall include the </w:t>
      </w:r>
      <w:r w:rsidR="00B03CF7">
        <w:t>inspection date</w:t>
      </w:r>
      <w:r w:rsidRPr="00605382">
        <w:t>, the signature of the person who performed the inspection</w:t>
      </w:r>
      <w:r w:rsidR="00B03CF7">
        <w:t>,</w:t>
      </w:r>
      <w:r w:rsidRPr="00605382">
        <w:t xml:space="preserve"> and the serial number, or </w:t>
      </w:r>
      <w:r w:rsidR="00B03CF7">
        <w:t>another identifier</w:t>
      </w:r>
      <w:r w:rsidRPr="00605382">
        <w:t xml:space="preserve">, for the equipment inspected.  The record shall be made available to an OSHA inspector upon request.  The maintenance inspection ensures that welding equipment is in safe operating condition while the maintenance record provides evidence to workers and </w:t>
      </w:r>
      <w:r w:rsidR="0028463C">
        <w:t>a</w:t>
      </w:r>
      <w:r w:rsidRPr="00605382">
        <w:t>gency compliance officers that employers performed the required inspections.</w:t>
      </w:r>
      <w:r>
        <w:rPr>
          <w:vertAlign w:val="superscript"/>
        </w:rPr>
        <w:footnoteReference w:id="4"/>
      </w:r>
    </w:p>
    <w:p w:rsidR="00691709" w:rsidRPr="00605382" w:rsidP="00691709" w14:paraId="255E5571" w14:textId="77777777">
      <w:pPr>
        <w:widowControl/>
      </w:pPr>
    </w:p>
    <w:p w:rsidR="00691709" w:rsidRPr="00605382" w:rsidP="00691709" w14:paraId="2F0084BA" w14:textId="77777777">
      <w:pPr>
        <w:widowControl/>
        <w:rPr>
          <w:b/>
          <w:bCs/>
        </w:rPr>
      </w:pPr>
      <w:r w:rsidRPr="00605382">
        <w:rPr>
          <w:b/>
          <w:bCs/>
        </w:rPr>
        <w:t xml:space="preserve"> 3</w:t>
      </w:r>
      <w:r w:rsidRPr="00605382">
        <w:rPr>
          <w:b/>
          <w:bCs/>
        </w:rPr>
        <w:t>.  Describe</w:t>
      </w:r>
      <w:r w:rsidRPr="00605382">
        <w:rPr>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605382">
        <w:rPr>
          <w:b/>
          <w:bCs/>
        </w:rPr>
        <w:t>for adopting</w:t>
      </w:r>
      <w:r w:rsidRPr="00605382">
        <w:rPr>
          <w:b/>
          <w:bCs/>
        </w:rPr>
        <w:t xml:space="preserve"> this means of collection.  Also describe any consideration of using information technology to reduce burden.</w:t>
      </w:r>
    </w:p>
    <w:p w:rsidR="00691709" w:rsidRPr="00605382" w:rsidP="00691709" w14:paraId="41F0A1A5" w14:textId="77777777">
      <w:pPr>
        <w:widowControl/>
      </w:pPr>
    </w:p>
    <w:p w:rsidR="00691709" w:rsidRPr="00605382" w:rsidP="00691709" w14:paraId="47761B1F" w14:textId="77777777">
      <w:pPr>
        <w:widowControl/>
      </w:pPr>
      <w:r w:rsidRPr="00605382">
        <w:t>Employers may use improved information technology whenever appropriate when reporting or maintaining records. The standard only requires “what” data to record not “how” to record the data.</w:t>
      </w:r>
    </w:p>
    <w:p w:rsidR="00691709" w:rsidRPr="00605382" w:rsidP="00691709" w14:paraId="18FB487C" w14:textId="77777777">
      <w:pPr>
        <w:widowControl/>
      </w:pPr>
    </w:p>
    <w:p w:rsidR="00691709" w:rsidRPr="00605382" w:rsidP="00691709" w14:paraId="7B1876D0" w14:textId="77777777">
      <w:pPr>
        <w:widowControl/>
        <w:rPr>
          <w:b/>
          <w:bCs/>
        </w:rPr>
      </w:pPr>
      <w:r w:rsidRPr="00605382">
        <w:rPr>
          <w:b/>
          <w:bCs/>
        </w:rPr>
        <w:t xml:space="preserve"> 4</w:t>
      </w:r>
      <w:r w:rsidRPr="00605382">
        <w:rPr>
          <w:b/>
          <w:bCs/>
        </w:rPr>
        <w:t>.  Describe</w:t>
      </w:r>
      <w:r w:rsidRPr="00605382">
        <w:rPr>
          <w:b/>
          <w:bCs/>
        </w:rPr>
        <w:t xml:space="preserve"> efforts to identify duplication.  Show specifically why any similar information already available cannot be used or modified for use for the purpose(s) described in A.2 above.</w:t>
      </w:r>
    </w:p>
    <w:p w:rsidR="00691709" w:rsidRPr="00605382" w:rsidP="00691709" w14:paraId="74930B7C" w14:textId="77777777">
      <w:pPr>
        <w:widowControl/>
      </w:pPr>
    </w:p>
    <w:p w:rsidR="00691709" w:rsidP="00691709" w14:paraId="71122F10" w14:textId="66912BF5">
      <w:pPr>
        <w:widowControl/>
      </w:pPr>
      <w:r w:rsidRPr="00605382">
        <w:t>The information collection requirement in the Standard is specific to each employer and worker involved, and no other source or agency duplicates the requirements or can make the required information available to OSHA (i.e., the required information is only available from, or applies only to, the employers covered by the Standard).</w:t>
      </w:r>
    </w:p>
    <w:p w:rsidR="00352F79" w:rsidRPr="00605382" w:rsidP="00691709" w14:paraId="6A50518F" w14:textId="77777777">
      <w:pPr>
        <w:widowControl/>
      </w:pPr>
    </w:p>
    <w:p w:rsidR="00691709" w:rsidRPr="00605382" w:rsidP="00691709" w14:paraId="61A474BE" w14:textId="5F2EB951">
      <w:pPr>
        <w:widowControl/>
        <w:rPr>
          <w:b/>
          <w:bCs/>
        </w:rPr>
      </w:pPr>
      <w:r w:rsidRPr="00605382">
        <w:rPr>
          <w:b/>
          <w:bCs/>
        </w:rPr>
        <w:t xml:space="preserve"> 5</w:t>
      </w:r>
      <w:r w:rsidRPr="00605382">
        <w:rPr>
          <w:b/>
          <w:bCs/>
        </w:rPr>
        <w:t>.  If</w:t>
      </w:r>
      <w:r w:rsidRPr="00605382">
        <w:rPr>
          <w:b/>
          <w:bCs/>
        </w:rPr>
        <w:t xml:space="preserve"> the collection of information impacts small businesses or other small entities, describe the methods used to reduce the burden.</w:t>
      </w:r>
    </w:p>
    <w:p w:rsidR="00691709" w:rsidRPr="00605382" w:rsidP="00691709" w14:paraId="7D1F87A5" w14:textId="77777777">
      <w:pPr>
        <w:widowControl/>
      </w:pPr>
    </w:p>
    <w:p w:rsidR="00691709" w:rsidRPr="00605382" w:rsidP="00691709" w14:paraId="3DA3B0FD" w14:textId="69053E73">
      <w:pPr>
        <w:widowControl/>
      </w:pPr>
      <w:r w:rsidRPr="00605382">
        <w:t>The information collection requirement specified by the Standard does not have a significant impact on a substantial number of small entities.</w:t>
      </w:r>
    </w:p>
    <w:p w:rsidR="00691709" w:rsidRPr="00605382" w:rsidP="00691709" w14:paraId="4BC9B10D" w14:textId="77777777">
      <w:pPr>
        <w:widowControl/>
      </w:pPr>
    </w:p>
    <w:p w:rsidR="00691709" w:rsidRPr="00605382" w:rsidP="00691709" w14:paraId="139A2315" w14:textId="77777777">
      <w:pPr>
        <w:widowControl/>
        <w:rPr>
          <w:b/>
          <w:bCs/>
        </w:rPr>
      </w:pPr>
      <w:r w:rsidRPr="00605382">
        <w:rPr>
          <w:b/>
          <w:bCs/>
        </w:rPr>
        <w:t xml:space="preserve"> 6.  Describe the consequences </w:t>
      </w:r>
      <w:r w:rsidRPr="00605382">
        <w:rPr>
          <w:b/>
          <w:bCs/>
        </w:rPr>
        <w:t>to</w:t>
      </w:r>
      <w:r w:rsidRPr="00605382">
        <w:rPr>
          <w:b/>
          <w:bCs/>
        </w:rPr>
        <w:t xml:space="preserve"> Federal program or policy activities if the collection is or is not conducted or is conducted less frequently, as well as any technical or legal obstacles to reducing the burden. </w:t>
      </w:r>
    </w:p>
    <w:p w:rsidR="00691709" w:rsidRPr="00605382" w:rsidP="00691709" w14:paraId="1B408A90" w14:textId="77777777">
      <w:pPr>
        <w:widowControl/>
      </w:pPr>
    </w:p>
    <w:p w:rsidR="00691709" w:rsidRPr="00605382" w:rsidP="00691709" w14:paraId="1610770E" w14:textId="4641381D">
      <w:pPr>
        <w:widowControl/>
      </w:pPr>
      <w:r w:rsidRPr="00605382">
        <w:t xml:space="preserve">The information collection frequencies specified by the Standard are the minimum frequencies that the </w:t>
      </w:r>
      <w:r w:rsidR="0028463C">
        <w:t>a</w:t>
      </w:r>
      <w:r w:rsidRPr="00605382">
        <w:t>gency believes are necessary to assure OSHA compliance officers that workers are safe while performing welding, cutting</w:t>
      </w:r>
      <w:r w:rsidR="00B03CF7">
        <w:t>,</w:t>
      </w:r>
      <w:r w:rsidRPr="00605382">
        <w:t xml:space="preserve"> and brazing duties.</w:t>
      </w:r>
    </w:p>
    <w:p w:rsidR="00691709" w:rsidRPr="00605382" w:rsidP="00691709" w14:paraId="10B4052B" w14:textId="77777777">
      <w:pPr>
        <w:widowControl/>
      </w:pPr>
    </w:p>
    <w:p w:rsidR="00691709" w:rsidRPr="00605382" w:rsidP="00691709" w14:paraId="6536F51F" w14:textId="77777777">
      <w:pPr>
        <w:widowControl/>
        <w:numPr>
          <w:ilvl w:val="0"/>
          <w:numId w:val="1"/>
        </w:numPr>
        <w:rPr>
          <w:b/>
          <w:bCs/>
        </w:rPr>
      </w:pPr>
      <w:r w:rsidRPr="00605382">
        <w:rPr>
          <w:b/>
          <w:bCs/>
        </w:rPr>
        <w:t>Explain any special circumstances that would cause an information collection to be conducted in a manner:</w:t>
      </w:r>
    </w:p>
    <w:p w:rsidR="00691709" w:rsidRPr="00605382" w:rsidP="00691709" w14:paraId="08669070" w14:textId="77777777">
      <w:pPr>
        <w:widowControl/>
        <w:ind w:left="45"/>
        <w:rPr>
          <w:b/>
          <w:bCs/>
        </w:rPr>
      </w:pPr>
    </w:p>
    <w:p w:rsidR="007F2BDC" w:rsidP="00691709" w14:paraId="2AF3F0B1" w14:textId="4916CDB4">
      <w:pPr>
        <w:pStyle w:val="ListParagraph"/>
        <w:widowControl/>
        <w:numPr>
          <w:ilvl w:val="0"/>
          <w:numId w:val="3"/>
        </w:numPr>
        <w:ind w:left="720"/>
        <w:rPr>
          <w:b/>
          <w:bCs/>
        </w:rPr>
      </w:pPr>
      <w:r w:rsidRPr="003C0BD0">
        <w:rPr>
          <w:b/>
          <w:bCs/>
        </w:rPr>
        <w:t>Requiring respondents to report information to the agency more often than quarterly</w:t>
      </w:r>
    </w:p>
    <w:p w:rsidR="007F2BDC" w:rsidP="007F2BDC" w14:paraId="0ADE4E2E" w14:textId="77777777">
      <w:pPr>
        <w:pStyle w:val="ListParagraph"/>
        <w:widowControl/>
        <w:rPr>
          <w:b/>
          <w:bCs/>
        </w:rPr>
      </w:pPr>
    </w:p>
    <w:p w:rsidR="00691709" w:rsidRPr="003C0BD0" w:rsidP="00691709" w14:paraId="61BFDAEC" w14:textId="2E673987">
      <w:pPr>
        <w:pStyle w:val="ListParagraph"/>
        <w:widowControl/>
        <w:numPr>
          <w:ilvl w:val="0"/>
          <w:numId w:val="3"/>
        </w:numPr>
        <w:ind w:left="720"/>
        <w:rPr>
          <w:b/>
          <w:bCs/>
        </w:rPr>
      </w:pPr>
      <w:r w:rsidRPr="003C0BD0">
        <w:rPr>
          <w:b/>
          <w:bCs/>
        </w:rPr>
        <w:t xml:space="preserve">Requiring respondents to prepare a written response to a collection of information in fewer than 30 days after </w:t>
      </w:r>
      <w:r w:rsidRPr="003C0BD0">
        <w:rPr>
          <w:b/>
          <w:bCs/>
        </w:rPr>
        <w:t>receipt of</w:t>
      </w:r>
      <w:r w:rsidRPr="003C0BD0">
        <w:rPr>
          <w:b/>
          <w:bCs/>
        </w:rPr>
        <w:t xml:space="preserve"> </w:t>
      </w:r>
      <w:r w:rsidRPr="003C0BD0">
        <w:rPr>
          <w:b/>
          <w:bCs/>
        </w:rPr>
        <w:t>it;</w:t>
      </w:r>
    </w:p>
    <w:p w:rsidR="00691709" w:rsidRPr="00605382" w:rsidP="00691709" w14:paraId="183E7F75" w14:textId="77777777">
      <w:pPr>
        <w:widowControl/>
        <w:ind w:left="720" w:hanging="360"/>
        <w:rPr>
          <w:b/>
          <w:bCs/>
        </w:rPr>
      </w:pPr>
    </w:p>
    <w:p w:rsidR="00691709" w:rsidRPr="003C0BD0" w:rsidP="00691709" w14:paraId="30AC5850" w14:textId="77777777">
      <w:pPr>
        <w:pStyle w:val="ListParagraph"/>
        <w:widowControl/>
        <w:numPr>
          <w:ilvl w:val="0"/>
          <w:numId w:val="3"/>
        </w:numPr>
        <w:ind w:left="720"/>
        <w:rPr>
          <w:b/>
          <w:bCs/>
        </w:rPr>
      </w:pPr>
      <w:r w:rsidRPr="003C0BD0">
        <w:rPr>
          <w:b/>
          <w:bCs/>
        </w:rPr>
        <w:t xml:space="preserve">Requiring respondents to submit more than an original and two copies of any </w:t>
      </w:r>
      <w:r w:rsidRPr="003C0BD0">
        <w:rPr>
          <w:b/>
          <w:bCs/>
        </w:rPr>
        <w:t>document;</w:t>
      </w:r>
    </w:p>
    <w:p w:rsidR="00691709" w:rsidRPr="00605382" w:rsidP="00691709" w14:paraId="5EC4C05D" w14:textId="77777777">
      <w:pPr>
        <w:widowControl/>
        <w:ind w:left="720" w:hanging="360"/>
        <w:rPr>
          <w:b/>
          <w:bCs/>
        </w:rPr>
      </w:pPr>
    </w:p>
    <w:p w:rsidR="00691709" w:rsidRPr="003C0BD0" w:rsidP="00691709" w14:paraId="3D149EAE" w14:textId="77777777">
      <w:pPr>
        <w:pStyle w:val="ListParagraph"/>
        <w:widowControl/>
        <w:numPr>
          <w:ilvl w:val="0"/>
          <w:numId w:val="3"/>
        </w:numPr>
        <w:ind w:left="720"/>
        <w:rPr>
          <w:b/>
          <w:bCs/>
        </w:rPr>
      </w:pPr>
      <w:r w:rsidRPr="003C0BD0">
        <w:rPr>
          <w:b/>
          <w:bCs/>
        </w:rPr>
        <w:t xml:space="preserve">Requiring respondents to retain records, other than health, medical, government contract, grant-in-aid, or tax records for more than three </w:t>
      </w:r>
      <w:r w:rsidRPr="003C0BD0">
        <w:rPr>
          <w:b/>
          <w:bCs/>
        </w:rPr>
        <w:t>years;</w:t>
      </w:r>
    </w:p>
    <w:p w:rsidR="00691709" w:rsidRPr="00605382" w:rsidP="00691709" w14:paraId="5B184C74" w14:textId="77777777">
      <w:pPr>
        <w:widowControl/>
        <w:ind w:left="720" w:hanging="360"/>
        <w:rPr>
          <w:b/>
          <w:bCs/>
        </w:rPr>
      </w:pPr>
    </w:p>
    <w:p w:rsidR="00691709" w:rsidRPr="003C0BD0" w:rsidP="00691709" w14:paraId="4E39F6C6" w14:textId="77777777">
      <w:pPr>
        <w:pStyle w:val="ListParagraph"/>
        <w:widowControl/>
        <w:numPr>
          <w:ilvl w:val="0"/>
          <w:numId w:val="3"/>
        </w:numPr>
        <w:ind w:left="720"/>
        <w:rPr>
          <w:b/>
          <w:bCs/>
        </w:rPr>
      </w:pPr>
      <w:r w:rsidRPr="003C0BD0">
        <w:rPr>
          <w:b/>
          <w:bCs/>
        </w:rPr>
        <w:t xml:space="preserve">In connection with a statistical survey that is not designed to produce valid and reliable results that can be generalized to the universe of </w:t>
      </w:r>
      <w:r w:rsidRPr="003C0BD0">
        <w:rPr>
          <w:b/>
          <w:bCs/>
        </w:rPr>
        <w:t>study;</w:t>
      </w:r>
    </w:p>
    <w:p w:rsidR="00691709" w:rsidRPr="00605382" w:rsidP="00691709" w14:paraId="20BCF4B4" w14:textId="77777777">
      <w:pPr>
        <w:widowControl/>
        <w:ind w:left="720" w:hanging="360"/>
        <w:rPr>
          <w:b/>
          <w:bCs/>
        </w:rPr>
      </w:pPr>
    </w:p>
    <w:p w:rsidR="00691709" w:rsidRPr="003C0BD0" w:rsidP="00691709" w14:paraId="0C047104" w14:textId="77777777">
      <w:pPr>
        <w:pStyle w:val="ListParagraph"/>
        <w:widowControl/>
        <w:numPr>
          <w:ilvl w:val="0"/>
          <w:numId w:val="3"/>
        </w:numPr>
        <w:ind w:left="720"/>
        <w:rPr>
          <w:b/>
          <w:bCs/>
        </w:rPr>
      </w:pPr>
      <w:r w:rsidRPr="003C0BD0">
        <w:rPr>
          <w:b/>
          <w:bCs/>
        </w:rPr>
        <w:t xml:space="preserve">Requiring the use of statistical data classification that has not been reviewed and approved by </w:t>
      </w:r>
      <w:r w:rsidRPr="003C0BD0">
        <w:rPr>
          <w:b/>
          <w:bCs/>
        </w:rPr>
        <w:t>OMB;</w:t>
      </w:r>
    </w:p>
    <w:p w:rsidR="00691709" w:rsidRPr="00605382" w:rsidP="00691709" w14:paraId="21704ED7" w14:textId="77777777">
      <w:pPr>
        <w:widowControl/>
        <w:ind w:left="720" w:hanging="360"/>
        <w:rPr>
          <w:b/>
          <w:bCs/>
        </w:rPr>
      </w:pPr>
    </w:p>
    <w:p w:rsidR="00691709" w:rsidRPr="003C0BD0" w:rsidP="00691709" w14:paraId="6C8D6445" w14:textId="77777777">
      <w:pPr>
        <w:pStyle w:val="ListParagraph"/>
        <w:widowControl/>
        <w:numPr>
          <w:ilvl w:val="0"/>
          <w:numId w:val="3"/>
        </w:numPr>
        <w:ind w:left="720"/>
        <w:rPr>
          <w:b/>
          <w:bCs/>
        </w:rPr>
      </w:pPr>
      <w:r w:rsidRPr="003C0BD0">
        <w:rPr>
          <w:b/>
          <w:bCs/>
        </w:rPr>
        <w:t xml:space="preserve">That includes a pledge of </w:t>
      </w:r>
      <w:r w:rsidRPr="003C0BD0">
        <w:rPr>
          <w:b/>
          <w:bCs/>
        </w:rPr>
        <w:t>confidentially</w:t>
      </w:r>
      <w:r w:rsidRPr="003C0BD0">
        <w:rPr>
          <w:b/>
          <w:bCs/>
        </w:rPr>
        <w:t xml:space="preserve">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691709" w:rsidRPr="00605382" w:rsidP="00691709" w14:paraId="074CA6ED" w14:textId="77777777">
      <w:pPr>
        <w:widowControl/>
        <w:ind w:left="720" w:hanging="360"/>
        <w:rPr>
          <w:b/>
          <w:bCs/>
        </w:rPr>
      </w:pPr>
    </w:p>
    <w:p w:rsidR="00691709" w:rsidRPr="003C0BD0" w:rsidP="00691709" w14:paraId="22AC8F51" w14:textId="77777777">
      <w:pPr>
        <w:pStyle w:val="ListParagraph"/>
        <w:widowControl/>
        <w:numPr>
          <w:ilvl w:val="0"/>
          <w:numId w:val="3"/>
        </w:numPr>
        <w:ind w:left="720"/>
        <w:rPr>
          <w:b/>
          <w:bCs/>
        </w:rPr>
      </w:pPr>
      <w:r w:rsidRPr="003C0BD0">
        <w:rPr>
          <w:b/>
          <w:bCs/>
        </w:rPr>
        <w:t xml:space="preserve">Requiring respondents to submit proprietary trade </w:t>
      </w:r>
      <w:r w:rsidRPr="003C0BD0">
        <w:rPr>
          <w:b/>
          <w:bCs/>
        </w:rPr>
        <w:t>secret</w:t>
      </w:r>
      <w:r w:rsidRPr="003C0BD0">
        <w:rPr>
          <w:b/>
          <w:bCs/>
        </w:rPr>
        <w:t>, or other confidential information unless the agency can prove that it has instituted procedures to protect the information's confidentially to the extent permitted by law.</w:t>
      </w:r>
    </w:p>
    <w:p w:rsidR="00691709" w:rsidRPr="00605382" w:rsidP="00691709" w14:paraId="5102D943" w14:textId="77777777">
      <w:pPr>
        <w:widowControl/>
      </w:pPr>
    </w:p>
    <w:p w:rsidR="00691709" w:rsidRPr="00605382" w:rsidP="00691709" w14:paraId="7555BA13" w14:textId="1526AAAA">
      <w:pPr>
        <w:widowControl/>
      </w:pPr>
      <w:r w:rsidRPr="00605382">
        <w:t xml:space="preserve">No special circumstances exist that require employers to collect information using the procedures specified by this item.  The requirements are within the guidelines </w:t>
      </w:r>
      <w:r w:rsidR="007601AC">
        <w:t>outlined in</w:t>
      </w:r>
      <w:r w:rsidRPr="00605382">
        <w:t xml:space="preserve"> 5 CFR 1320.5.</w:t>
      </w:r>
    </w:p>
    <w:p w:rsidR="00691709" w:rsidRPr="00605382" w:rsidP="00691709" w14:paraId="74D069D4" w14:textId="77777777">
      <w:pPr>
        <w:widowControl/>
      </w:pPr>
    </w:p>
    <w:p w:rsidR="00691709" w:rsidRPr="00605382" w:rsidP="00691709" w14:paraId="7A78DED3" w14:textId="4E86A35B">
      <w:pPr>
        <w:widowControl/>
        <w:rPr>
          <w:b/>
          <w:bCs/>
        </w:rPr>
      </w:pPr>
      <w:r w:rsidRPr="00605382">
        <w:rPr>
          <w:b/>
          <w:bCs/>
        </w:rPr>
        <w:t xml:space="preserve"> 8</w:t>
      </w:r>
      <w:r w:rsidRPr="00605382">
        <w:rPr>
          <w:b/>
          <w:bCs/>
        </w:rPr>
        <w:t>.  If</w:t>
      </w:r>
      <w:r w:rsidRPr="00605382">
        <w:rPr>
          <w:b/>
          <w:bCs/>
        </w:rPr>
        <w:t xml:space="preserve"> applicable, provide a copy and identify the date and page number of </w:t>
      </w:r>
      <w:r w:rsidRPr="00605382">
        <w:rPr>
          <w:b/>
          <w:bCs/>
        </w:rPr>
        <w:t>publication</w:t>
      </w:r>
      <w:r w:rsidRPr="00605382">
        <w:rPr>
          <w:b/>
          <w:bCs/>
        </w:rPr>
        <w:t xml:space="preserve"> in the </w:t>
      </w:r>
      <w:r w:rsidRPr="00605382">
        <w:rPr>
          <w:b/>
          <w:bCs/>
          <w:i/>
        </w:rPr>
        <w:t>Federal Register</w:t>
      </w:r>
      <w:r w:rsidRPr="00605382">
        <w:rPr>
          <w:b/>
          <w:bCs/>
        </w:rPr>
        <w:t xml:space="preserve">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w:t>
      </w:r>
    </w:p>
    <w:p w:rsidR="00691709" w:rsidRPr="00605382" w:rsidP="00691709" w14:paraId="0A094BC0" w14:textId="77777777">
      <w:pPr>
        <w:widowControl/>
        <w:ind w:left="720"/>
        <w:rPr>
          <w:b/>
          <w:bCs/>
        </w:rPr>
      </w:pPr>
    </w:p>
    <w:p w:rsidR="00691709" w:rsidRPr="00605382" w:rsidP="00691709" w14:paraId="21ABCB69" w14:textId="77777777">
      <w:pPr>
        <w:widowControl/>
        <w:rPr>
          <w:b/>
          <w:bCs/>
        </w:rPr>
      </w:pPr>
      <w:r w:rsidRPr="00605382">
        <w:rPr>
          <w:b/>
          <w:bCs/>
        </w:rPr>
        <w:t xml:space="preserve">Describe efforts to consult with </w:t>
      </w:r>
      <w:r w:rsidRPr="00605382">
        <w:rPr>
          <w:b/>
          <w:bCs/>
        </w:rPr>
        <w:t>persons</w:t>
      </w:r>
      <w:r w:rsidRPr="00605382">
        <w:rPr>
          <w:b/>
          <w:bCs/>
        </w:rPr>
        <w:t xml:space="preserve"> outside the agency to obtain their views on the availability of data, frequency of collection, the clarity of instructions and recordkeeping, disclosure, or reporting format (if any), and on the data elements to be recorded, revealed, or reported.</w:t>
      </w:r>
    </w:p>
    <w:p w:rsidR="00691709" w:rsidRPr="00605382" w:rsidP="00691709" w14:paraId="56A739A2" w14:textId="77777777">
      <w:pPr>
        <w:widowControl/>
        <w:rPr>
          <w:b/>
          <w:bCs/>
        </w:rPr>
      </w:pPr>
    </w:p>
    <w:p w:rsidR="00691709" w:rsidP="00691709" w14:paraId="685AE86C" w14:textId="77777777">
      <w:pPr>
        <w:widowControl/>
      </w:pPr>
      <w:r w:rsidRPr="00605382">
        <w:rPr>
          <w:b/>
          <w:bCs/>
        </w:rPr>
        <w:t>Consultation</w:t>
      </w:r>
      <w:r w:rsidRPr="00605382">
        <w:rPr>
          <w:b/>
          <w:bCs/>
        </w:rPr>
        <w:t xml:space="preserve">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691709" w:rsidRPr="002A5E84" w:rsidP="00691709" w14:paraId="029358A5" w14:textId="77777777">
      <w:pPr>
        <w:widowControl/>
      </w:pPr>
    </w:p>
    <w:p w:rsidR="003804E3" w:rsidP="00DD5544" w14:paraId="0E6A6012" w14:textId="77777777">
      <w:pPr>
        <w:widowControl/>
        <w:autoSpaceDE/>
        <w:autoSpaceDN/>
        <w:adjustRightInd/>
        <w:spacing w:after="200"/>
        <w:rPr>
          <w:rFonts w:eastAsia="Batang"/>
        </w:rPr>
      </w:pPr>
      <w:r>
        <w:rPr>
          <w:rFonts w:eastAsia="Batang"/>
        </w:rPr>
        <w:t>As required by</w:t>
      </w:r>
      <w:r w:rsidR="00D17770">
        <w:rPr>
          <w:rFonts w:eastAsia="Batang"/>
        </w:rPr>
        <w:t xml:space="preserve"> </w:t>
      </w:r>
      <w:r w:rsidRPr="758A439B">
        <w:rPr>
          <w:rFonts w:eastAsia="Batang"/>
        </w:rPr>
        <w:t xml:space="preserve">the Paperwork Reduction Act of </w:t>
      </w:r>
      <w:r w:rsidRPr="008261EA">
        <w:rPr>
          <w:rFonts w:eastAsia="Batang"/>
        </w:rPr>
        <w:t xml:space="preserve">1995 (44 U.S.C. 3506(c)(2)(A)), OSHA published a notice in the </w:t>
      </w:r>
      <w:r w:rsidRPr="008261EA">
        <w:rPr>
          <w:rFonts w:eastAsia="Batang"/>
          <w:i/>
          <w:iCs/>
        </w:rPr>
        <w:t>Federal</w:t>
      </w:r>
      <w:r w:rsidRPr="008261EA">
        <w:rPr>
          <w:rFonts w:eastAsia="Batang"/>
        </w:rPr>
        <w:t xml:space="preserve"> </w:t>
      </w:r>
      <w:r w:rsidRPr="008261EA">
        <w:rPr>
          <w:rFonts w:eastAsia="Batang"/>
          <w:i/>
          <w:iCs/>
        </w:rPr>
        <w:t>Register</w:t>
      </w:r>
      <w:r w:rsidRPr="008261EA">
        <w:rPr>
          <w:rFonts w:eastAsia="Batang"/>
        </w:rPr>
        <w:t xml:space="preserve"> on </w:t>
      </w:r>
      <w:r w:rsidRPr="008261EA" w:rsidR="00F721CF">
        <w:rPr>
          <w:rFonts w:eastAsia="Batang"/>
        </w:rPr>
        <w:t xml:space="preserve">March 20, 2025 </w:t>
      </w:r>
      <w:r w:rsidRPr="008261EA" w:rsidR="00867B5C">
        <w:rPr>
          <w:rFonts w:eastAsia="Batang"/>
        </w:rPr>
        <w:t>(</w:t>
      </w:r>
      <w:bookmarkStart w:id="0" w:name="_Int_UZL8kQ8S"/>
      <w:r w:rsidRPr="008261EA" w:rsidR="00F721CF">
        <w:rPr>
          <w:rFonts w:eastAsia="Batang"/>
        </w:rPr>
        <w:t>90</w:t>
      </w:r>
      <w:r w:rsidRPr="008261EA" w:rsidR="00700DF5">
        <w:rPr>
          <w:rFonts w:eastAsia="Batang"/>
        </w:rPr>
        <w:t xml:space="preserve"> </w:t>
      </w:r>
      <w:r w:rsidRPr="008261EA" w:rsidR="00867B5C">
        <w:t>FR</w:t>
      </w:r>
      <w:r w:rsidRPr="008261EA" w:rsidR="00700DF5">
        <w:t xml:space="preserve"> </w:t>
      </w:r>
      <w:r w:rsidRPr="008261EA" w:rsidR="00F721CF">
        <w:t>1</w:t>
      </w:r>
      <w:r w:rsidRPr="008261EA" w:rsidR="008261EA">
        <w:t>3216</w:t>
      </w:r>
      <w:r w:rsidRPr="008261EA" w:rsidR="00C27667">
        <w:t>)</w:t>
      </w:r>
      <w:bookmarkEnd w:id="0"/>
      <w:r w:rsidRPr="008261EA" w:rsidR="005E3B67">
        <w:t xml:space="preserve"> </w:t>
      </w:r>
      <w:r w:rsidRPr="008261EA" w:rsidR="007967AC">
        <w:t>requesting public comments on its proposed extension of the information collection requirements contained</w:t>
      </w:r>
      <w:r w:rsidR="007967AC">
        <w:t xml:space="preserve"> </w:t>
      </w:r>
      <w:r w:rsidRPr="758A439B">
        <w:rPr>
          <w:rFonts w:eastAsia="Batang"/>
        </w:rPr>
        <w:t>in the</w:t>
      </w:r>
      <w:r w:rsidR="00592E99">
        <w:rPr>
          <w:rFonts w:eastAsia="Batang"/>
        </w:rPr>
        <w:t xml:space="preserve"> </w:t>
      </w:r>
      <w:r w:rsidR="00095432">
        <w:rPr>
          <w:rFonts w:eastAsia="Batang"/>
        </w:rPr>
        <w:t>Welding, Cutting, and Brazing</w:t>
      </w:r>
      <w:r w:rsidR="00244D53">
        <w:rPr>
          <w:rFonts w:eastAsia="Batang"/>
        </w:rPr>
        <w:t xml:space="preserve"> Standard</w:t>
      </w:r>
      <w:r w:rsidRPr="758A439B">
        <w:rPr>
          <w:rFonts w:eastAsia="Batang"/>
        </w:rPr>
        <w:t xml:space="preserve"> (29 CFR part 1910, subpart Q)</w:t>
      </w:r>
      <w:r w:rsidR="005E3B67">
        <w:rPr>
          <w:rFonts w:eastAsia="Batang"/>
        </w:rPr>
        <w:t xml:space="preserve"> </w:t>
      </w:r>
      <w:r w:rsidR="005E3B67">
        <w:t xml:space="preserve">under </w:t>
      </w:r>
      <w:r w:rsidR="007967AC">
        <w:t xml:space="preserve">OSHA </w:t>
      </w:r>
      <w:r w:rsidR="005E3B67">
        <w:t>Docket No. OSHA-2010-0037</w:t>
      </w:r>
      <w:r w:rsidRPr="758A439B">
        <w:rPr>
          <w:rFonts w:eastAsia="Batang"/>
        </w:rPr>
        <w:t xml:space="preserve">.  The notice </w:t>
      </w:r>
      <w:r w:rsidR="009F1119">
        <w:rPr>
          <w:rFonts w:eastAsia="Batang"/>
        </w:rPr>
        <w:t>was</w:t>
      </w:r>
      <w:r w:rsidRPr="758A439B">
        <w:rPr>
          <w:rFonts w:eastAsia="Batang"/>
        </w:rPr>
        <w:t xml:space="preserve"> part of a preclearance consultation program </w:t>
      </w:r>
      <w:r w:rsidR="008A03F4">
        <w:rPr>
          <w:rFonts w:eastAsia="Batang"/>
        </w:rPr>
        <w:t xml:space="preserve">intended to provide those </w:t>
      </w:r>
      <w:r w:rsidRPr="758A439B">
        <w:rPr>
          <w:rFonts w:eastAsia="Batang"/>
        </w:rPr>
        <w:t xml:space="preserve">interested parties with an opportunity to comment on OSHA’s request for an extension by the Office of Management and Budget (OMB) of a previous approval of the information collection requirements found in the above </w:t>
      </w:r>
      <w:r w:rsidR="00722EED">
        <w:rPr>
          <w:rFonts w:eastAsia="Batang"/>
        </w:rPr>
        <w:t>S</w:t>
      </w:r>
      <w:r w:rsidRPr="758A439B">
        <w:rPr>
          <w:rFonts w:eastAsia="Batang"/>
        </w:rPr>
        <w:t>tandard.</w:t>
      </w:r>
      <w:r w:rsidR="00722EED">
        <w:rPr>
          <w:rFonts w:eastAsia="Batang"/>
        </w:rPr>
        <w:t xml:space="preserve">  </w:t>
      </w:r>
    </w:p>
    <w:p w:rsidR="00107909" w:rsidP="003867E2" w14:paraId="7972EFB5" w14:textId="013B1A1E">
      <w:r>
        <w:rPr>
          <w:rFonts w:eastAsia="Batang"/>
        </w:rPr>
        <w:t xml:space="preserve">The </w:t>
      </w:r>
      <w:r w:rsidR="001025C5">
        <w:rPr>
          <w:rFonts w:eastAsia="Batang"/>
        </w:rPr>
        <w:t>agen</w:t>
      </w:r>
      <w:r w:rsidR="005959A2">
        <w:rPr>
          <w:rFonts w:eastAsia="Batang"/>
        </w:rPr>
        <w:t>cy</w:t>
      </w:r>
      <w:r>
        <w:rPr>
          <w:rFonts w:eastAsia="Batang"/>
        </w:rPr>
        <w:t xml:space="preserve"> </w:t>
      </w:r>
      <w:r w:rsidR="009F1119">
        <w:rPr>
          <w:rFonts w:eastAsia="Batang"/>
        </w:rPr>
        <w:t>receive</w:t>
      </w:r>
      <w:r w:rsidR="00844A01">
        <w:rPr>
          <w:rFonts w:eastAsia="Batang"/>
        </w:rPr>
        <w:t>d</w:t>
      </w:r>
      <w:r w:rsidR="00007F12">
        <w:rPr>
          <w:rFonts w:eastAsia="Batang"/>
        </w:rPr>
        <w:t xml:space="preserve"> a p</w:t>
      </w:r>
      <w:r>
        <w:rPr>
          <w:rFonts w:eastAsia="Batang"/>
        </w:rPr>
        <w:t xml:space="preserve">ublic comment </w:t>
      </w:r>
      <w:r w:rsidR="00B9566E">
        <w:rPr>
          <w:rFonts w:eastAsia="Batang"/>
        </w:rPr>
        <w:t>during the 30-</w:t>
      </w:r>
      <w:r w:rsidR="00E966D3">
        <w:rPr>
          <w:rFonts w:eastAsia="Batang"/>
        </w:rPr>
        <w:t xml:space="preserve">Day comment </w:t>
      </w:r>
      <w:r w:rsidR="005278AA">
        <w:rPr>
          <w:rFonts w:eastAsia="Batang"/>
        </w:rPr>
        <w:t xml:space="preserve">period </w:t>
      </w:r>
      <w:r w:rsidR="00E966D3">
        <w:rPr>
          <w:rFonts w:eastAsia="Batang"/>
        </w:rPr>
        <w:t>on December 16</w:t>
      </w:r>
      <w:r w:rsidR="000355E2">
        <w:rPr>
          <w:rFonts w:eastAsia="Batang"/>
        </w:rPr>
        <w:t xml:space="preserve">, </w:t>
      </w:r>
      <w:r w:rsidR="00A437CF">
        <w:rPr>
          <w:rFonts w:eastAsia="Batang"/>
        </w:rPr>
        <w:t>2025,</w:t>
      </w:r>
      <w:r w:rsidR="000355E2">
        <w:rPr>
          <w:rFonts w:eastAsia="Batang"/>
        </w:rPr>
        <w:t xml:space="preserve"> from Les Board</w:t>
      </w:r>
      <w:r w:rsidR="00955E8E">
        <w:rPr>
          <w:rFonts w:eastAsia="Batang"/>
        </w:rPr>
        <w:t xml:space="preserve"> expressing concerns about</w:t>
      </w:r>
      <w:r w:rsidR="00267047">
        <w:rPr>
          <w:rFonts w:eastAsia="Batang"/>
        </w:rPr>
        <w:t xml:space="preserve"> </w:t>
      </w:r>
      <w:r w:rsidRPr="00BC12E4" w:rsidR="008853B6">
        <w:t xml:space="preserve">a technical error in the </w:t>
      </w:r>
      <w:r w:rsidRPr="00A5797A" w:rsidR="008853B6">
        <w:t>Welding, Cutting, and Brazing Standard (29 CFR Part 1910, Subpart Q)</w:t>
      </w:r>
      <w:r w:rsidRPr="00A5797A">
        <w:rPr>
          <w:rFonts w:eastAsia="Batang"/>
        </w:rPr>
        <w:t>.</w:t>
      </w:r>
      <w:r w:rsidRPr="00A5797A" w:rsidR="00000000">
        <w:rPr>
          <w:rFonts w:eastAsia="Batang"/>
        </w:rPr>
        <w:t xml:space="preserve"> </w:t>
      </w:r>
      <w:bookmarkStart w:id="1" w:name="Section5(a)(2)"/>
      <w:bookmarkEnd w:id="1"/>
      <w:r w:rsidRPr="00A5797A" w:rsidR="00A5797A">
        <w:rPr>
          <w:rFonts w:eastAsia="Batang"/>
        </w:rPr>
        <w:t>The</w:t>
      </w:r>
      <w:r w:rsidRPr="00A5797A" w:rsidR="00E85BDD">
        <w:rPr>
          <w:rFonts w:eastAsia="Batang"/>
        </w:rPr>
        <w:t xml:space="preserve"> commenter</w:t>
      </w:r>
      <w:r w:rsidR="00E85BDD">
        <w:rPr>
          <w:rFonts w:eastAsia="Batang"/>
        </w:rPr>
        <w:t xml:space="preserve"> state</w:t>
      </w:r>
      <w:r w:rsidR="00976B4E">
        <w:rPr>
          <w:rFonts w:eastAsia="Batang"/>
        </w:rPr>
        <w:t>d</w:t>
      </w:r>
      <w:r w:rsidR="0090572C">
        <w:rPr>
          <w:rFonts w:eastAsia="Batang"/>
        </w:rPr>
        <w:t xml:space="preserve"> that</w:t>
      </w:r>
      <w:r w:rsidR="00A10D94">
        <w:rPr>
          <w:rFonts w:eastAsia="Batang"/>
        </w:rPr>
        <w:t xml:space="preserve"> the standard requires a type of </w:t>
      </w:r>
      <w:r w:rsidRPr="00215E99" w:rsidR="000A0556">
        <w:t>respirator that does not exist</w:t>
      </w:r>
      <w:r w:rsidR="006C674E">
        <w:t xml:space="preserve"> </w:t>
      </w:r>
      <w:r w:rsidR="006041A5">
        <w:t xml:space="preserve">for the purpose approved and set forth by </w:t>
      </w:r>
      <w:r w:rsidRPr="00215E99" w:rsidR="00B125C9">
        <w:t xml:space="preserve">the National Institute for Occupational Safety and Health (NIOSH) under </w:t>
      </w:r>
      <w:hyperlink r:id="rId9" w:tgtFrame="_blank" w:history="1">
        <w:r w:rsidRPr="00215E99" w:rsidR="00B125C9">
          <w:rPr>
            <w:rStyle w:val="Hyperlink"/>
          </w:rPr>
          <w:t>42 CFR part 84</w:t>
        </w:r>
      </w:hyperlink>
      <w:r w:rsidR="00085A78">
        <w:t>.</w:t>
      </w:r>
      <w:r w:rsidR="00173EF1">
        <w:t xml:space="preserve"> </w:t>
      </w:r>
      <w:r w:rsidRPr="00413E19" w:rsidR="00413E19">
        <w:t xml:space="preserve">OSHA appreciates your comment. This notice is conducted under the Paperwork Reduction Act and is focused solely on the burden, necessity, and utility of the existing information collection </w:t>
      </w:r>
      <w:r w:rsidRPr="00413E19" w:rsidR="00413E19">
        <w:t xml:space="preserve">requirements.  Proposals to revise or update regulatory text to the standard </w:t>
      </w:r>
      <w:r w:rsidRPr="00413E19" w:rsidR="00F72F44">
        <w:t>are</w:t>
      </w:r>
      <w:r w:rsidRPr="00413E19" w:rsidR="00413E19">
        <w:t xml:space="preserve"> addressed through the formal rulemaking process. Correcting technical errors in the Welding standard is outside the scope of this notice which is intended to extend the collection of information </w:t>
      </w:r>
      <w:r w:rsidRPr="00413E19" w:rsidR="004162BF">
        <w:t>requirements for</w:t>
      </w:r>
      <w:r w:rsidRPr="00413E19" w:rsidR="00413E19">
        <w:t xml:space="preserve"> </w:t>
      </w:r>
      <w:r w:rsidR="00173EF1">
        <w:t>a</w:t>
      </w:r>
      <w:r w:rsidRPr="00413E19" w:rsidR="00413E19">
        <w:t>nother three years.</w:t>
      </w:r>
    </w:p>
    <w:p w:rsidR="00085A78" w:rsidRPr="0053311E" w:rsidP="003867E2" w14:paraId="0F5F52CB" w14:textId="77777777"/>
    <w:p w:rsidR="00691709" w:rsidRPr="00605382" w:rsidP="00691709" w14:paraId="7C4F02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5382">
        <w:rPr>
          <w:b/>
          <w:bCs/>
        </w:rPr>
        <w:t>9</w:t>
      </w:r>
      <w:r w:rsidRPr="00605382">
        <w:rPr>
          <w:b/>
          <w:bCs/>
        </w:rPr>
        <w:t>.  Explain</w:t>
      </w:r>
      <w:r w:rsidRPr="00605382">
        <w:rPr>
          <w:b/>
          <w:bCs/>
        </w:rPr>
        <w:t xml:space="preserve"> any decision to provide any payments or gift to respondents, other than </w:t>
      </w:r>
      <w:r w:rsidRPr="00605382" w:rsidR="00692D5C">
        <w:rPr>
          <w:b/>
          <w:bCs/>
        </w:rPr>
        <w:t>remuneration</w:t>
      </w:r>
      <w:r w:rsidRPr="00605382">
        <w:rPr>
          <w:b/>
          <w:bCs/>
        </w:rPr>
        <w:t xml:space="preserve"> of contractors or grantees.</w:t>
      </w:r>
    </w:p>
    <w:p w:rsidR="00691709" w:rsidRPr="00605382" w:rsidP="00691709" w14:paraId="7E2964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1709" w:rsidRPr="00605382" w:rsidP="00691709" w14:paraId="14FF94C7" w14:textId="5E684E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5382">
        <w:t xml:space="preserve">The </w:t>
      </w:r>
      <w:r w:rsidR="0028463C">
        <w:t>a</w:t>
      </w:r>
      <w:r w:rsidRPr="00605382">
        <w:t xml:space="preserve">gency will </w:t>
      </w:r>
      <w:r w:rsidRPr="00605382">
        <w:rPr>
          <w:u w:val="single"/>
        </w:rPr>
        <w:t>not</w:t>
      </w:r>
      <w:r w:rsidRPr="00605382">
        <w:t xml:space="preserve"> provide payments or gifts to the respondents. </w:t>
      </w:r>
      <w:r w:rsidRPr="00605382">
        <w:tab/>
      </w:r>
    </w:p>
    <w:p w:rsidR="00691709" w:rsidRPr="00605382" w:rsidP="00691709" w14:paraId="2BFB59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1709" w:rsidRPr="00605382" w:rsidP="00691709" w14:paraId="64AB40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5382">
        <w:rPr>
          <w:b/>
          <w:bCs/>
        </w:rPr>
        <w:t>10</w:t>
      </w:r>
      <w:r w:rsidRPr="00605382">
        <w:rPr>
          <w:b/>
          <w:bCs/>
        </w:rPr>
        <w:t>.  Describe</w:t>
      </w:r>
      <w:r w:rsidRPr="00605382">
        <w:rPr>
          <w:b/>
          <w:bCs/>
        </w:rPr>
        <w:t xml:space="preserve"> any assurance of confidentiality provided to respondents and the basis for the assurance in statute, regulation, or agency policy.</w:t>
      </w:r>
    </w:p>
    <w:p w:rsidR="00691709" w:rsidRPr="00605382" w:rsidP="00691709" w14:paraId="18E29A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1709" w:rsidRPr="00605382" w:rsidP="00691709" w14:paraId="4848FF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5382">
        <w:t>The paperwork requirement specified by the Standard does not require the collection of confidential information.</w:t>
      </w:r>
    </w:p>
    <w:p w:rsidR="00691709" w:rsidRPr="00605382" w:rsidP="00691709" w14:paraId="337C25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691709" w:rsidRPr="00605382" w:rsidP="00691709" w14:paraId="3CC154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5382">
        <w:rPr>
          <w:b/>
          <w:bCs/>
        </w:rPr>
        <w:t>11</w:t>
      </w:r>
      <w:r w:rsidRPr="00605382">
        <w:rPr>
          <w:b/>
          <w:bCs/>
        </w:rPr>
        <w:t>.  Provide</w:t>
      </w:r>
      <w:r w:rsidRPr="00605382">
        <w:rPr>
          <w:b/>
          <w:bCs/>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605382">
        <w:rPr>
          <w:b/>
          <w:bCs/>
        </w:rPr>
        <w:t>persons</w:t>
      </w:r>
      <w:r w:rsidRPr="00605382">
        <w:rPr>
          <w:b/>
          <w:bCs/>
        </w:rPr>
        <w:t xml:space="preserve"> from whom the information is requested, and any steps to be taken to obtain their consent.</w:t>
      </w:r>
    </w:p>
    <w:p w:rsidR="00691709" w:rsidRPr="00605382" w:rsidP="00691709" w14:paraId="5FD56D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1709" w:rsidRPr="00605382" w:rsidP="00691709" w14:paraId="19CC39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5382">
        <w:t>The paperwork requirement specified by the Standard does not require the collection of sensitive information.</w:t>
      </w:r>
    </w:p>
    <w:p w:rsidR="00691709" w:rsidRPr="00605382" w:rsidP="00691709" w14:paraId="4ABDAE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5382">
        <w:t xml:space="preserve"> </w:t>
      </w:r>
    </w:p>
    <w:p w:rsidR="00B967E8" w:rsidP="00691709" w14:paraId="054F3E74" w14:textId="77777777">
      <w:pPr>
        <w:widowControl/>
        <w:numPr>
          <w:ilvl w:val="0"/>
          <w:numId w:val="2"/>
        </w:numPr>
        <w:tabs>
          <w:tab w:val="left" w:pos="0"/>
          <w:tab w:val="num" w:pos="450"/>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b/>
          <w:bCs/>
        </w:rPr>
      </w:pPr>
      <w:r w:rsidRPr="00605382">
        <w:rPr>
          <w:b/>
          <w:bCs/>
        </w:rPr>
        <w:t>Provide estimates of the hour burden of the collection of information.   The statement</w:t>
      </w:r>
    </w:p>
    <w:p w:rsidR="00691709" w:rsidRPr="00605382" w:rsidP="00DD5544" w14:paraId="69DAA6A7" w14:textId="745D832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5382">
        <w:rPr>
          <w:b/>
          <w:bCs/>
        </w:rPr>
        <w:t>should:</w:t>
      </w:r>
    </w:p>
    <w:p w:rsidR="00691709" w:rsidRPr="00605382" w:rsidP="00691709" w14:paraId="043840F1"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p>
    <w:p w:rsidR="00691709" w:rsidRPr="003C0BD0" w:rsidP="00691709" w14:paraId="7D202315" w14:textId="77777777">
      <w:pPr>
        <w:pStyle w:val="ListParagraph"/>
        <w:widowControl/>
        <w:numPr>
          <w:ilvl w:val="1"/>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b/>
          <w:bCs/>
        </w:rPr>
      </w:pPr>
      <w:r w:rsidRPr="003C0BD0">
        <w:rPr>
          <w:b/>
          <w:bCs/>
        </w:rPr>
        <w:t>Show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General estimates should not include burden hours for customary and usual business practices.</w:t>
      </w:r>
    </w:p>
    <w:p w:rsidR="00691709" w:rsidRPr="00605382" w:rsidP="00691709" w14:paraId="54EECC0C"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b/>
          <w:bCs/>
        </w:rPr>
      </w:pPr>
    </w:p>
    <w:p w:rsidR="00691709" w:rsidRPr="003C0BD0" w:rsidP="00691709" w14:paraId="6816C618" w14:textId="77777777">
      <w:pPr>
        <w:pStyle w:val="ListParagraph"/>
        <w:widowControl/>
        <w:numPr>
          <w:ilvl w:val="1"/>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b/>
          <w:bCs/>
        </w:rPr>
      </w:pPr>
      <w:r w:rsidRPr="003C0BD0">
        <w:rPr>
          <w:b/>
          <w:bCs/>
        </w:rPr>
        <w:t>If this request for approval covers more than one form, provide separate hour burdens estimates for each form and aggregate the hour burden.</w:t>
      </w:r>
    </w:p>
    <w:p w:rsidR="00691709" w:rsidRPr="00605382" w:rsidP="00691709" w14:paraId="4CBA6979"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b/>
          <w:bCs/>
        </w:rPr>
      </w:pPr>
    </w:p>
    <w:p w:rsidR="00691709" w:rsidRPr="003C0BD0" w:rsidP="00691709" w14:paraId="266D303C" w14:textId="77777777">
      <w:pPr>
        <w:pStyle w:val="ListParagraph"/>
        <w:widowControl/>
        <w:numPr>
          <w:ilvl w:val="1"/>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70"/>
        <w:rPr>
          <w:b/>
          <w:bCs/>
        </w:rPr>
      </w:pPr>
      <w:r w:rsidRPr="003C0BD0">
        <w:rPr>
          <w:b/>
          <w:bCs/>
        </w:rPr>
        <w:t xml:space="preserve">Provide estimates of annualized cost to respondents for the hour burdens for collections of information, identifying and using appropriate wage rate categories. </w:t>
      </w:r>
    </w:p>
    <w:p w:rsidR="00691709" w:rsidRPr="00605382" w:rsidP="00691709" w14:paraId="45E029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1709" w:rsidRPr="002A5E84" w:rsidP="00691709" w14:paraId="43971E86" w14:textId="782051C2">
      <w:pPr>
        <w:widowControl/>
        <w:autoSpaceDE/>
        <w:autoSpaceDN/>
        <w:adjustRightInd/>
        <w:spacing w:after="200" w:line="276" w:lineRule="auto"/>
        <w:rPr>
          <w:b/>
          <w:bCs/>
        </w:rPr>
      </w:pPr>
      <w:r>
        <w:rPr>
          <w:b/>
          <w:bCs/>
        </w:rPr>
        <w:t xml:space="preserve">Respondent </w:t>
      </w:r>
      <w:r w:rsidRPr="00605382" w:rsidR="005937F1">
        <w:rPr>
          <w:b/>
          <w:bCs/>
        </w:rPr>
        <w:t>Burden-Hour and Cost Determinations</w:t>
      </w:r>
    </w:p>
    <w:p w:rsidR="00691709" w:rsidRPr="00605382" w:rsidP="6B7D49BB" w14:paraId="177AC95B" w14:textId="6D6FA1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Information regarding the number of workers performing welding, cutting</w:t>
      </w:r>
      <w:r w:rsidR="006617E6">
        <w:t>,</w:t>
      </w:r>
      <w:r>
        <w:t xml:space="preserve"> and brazing is from the </w:t>
      </w:r>
      <w:r w:rsidRPr="6B7D49BB">
        <w:rPr>
          <w:i/>
          <w:iCs/>
          <w:color w:val="000000" w:themeColor="text1"/>
        </w:rPr>
        <w:t>Occupational Employment</w:t>
      </w:r>
      <w:r w:rsidR="00FA6BC1">
        <w:rPr>
          <w:i/>
          <w:iCs/>
          <w:color w:val="000000" w:themeColor="text1"/>
        </w:rPr>
        <w:t xml:space="preserve"> and</w:t>
      </w:r>
      <w:r w:rsidR="00E44E47">
        <w:rPr>
          <w:i/>
          <w:iCs/>
          <w:color w:val="000000" w:themeColor="text1"/>
        </w:rPr>
        <w:t xml:space="preserve"> Wages</w:t>
      </w:r>
      <w:r w:rsidRPr="6B7D49BB">
        <w:rPr>
          <w:i/>
          <w:iCs/>
          <w:color w:val="000000" w:themeColor="text1"/>
        </w:rPr>
        <w:t xml:space="preserve"> Statistics, May </w:t>
      </w:r>
      <w:r w:rsidRPr="6B7D49BB" w:rsidR="00123266">
        <w:rPr>
          <w:i/>
          <w:iCs/>
          <w:color w:val="000000" w:themeColor="text1"/>
        </w:rPr>
        <w:t>202</w:t>
      </w:r>
      <w:r w:rsidR="00E44E47">
        <w:rPr>
          <w:i/>
          <w:iCs/>
          <w:color w:val="000000" w:themeColor="text1"/>
        </w:rPr>
        <w:t>3</w:t>
      </w:r>
      <w:r w:rsidRPr="6B7D49BB" w:rsidR="00134AC4">
        <w:rPr>
          <w:i/>
          <w:iCs/>
          <w:color w:val="000000" w:themeColor="text1"/>
        </w:rPr>
        <w:t xml:space="preserve"> </w:t>
      </w:r>
      <w:r w:rsidRPr="6B7D49BB">
        <w:rPr>
          <w:i/>
          <w:iCs/>
          <w:color w:val="000000" w:themeColor="text1"/>
        </w:rPr>
        <w:t xml:space="preserve">Occupational Profiles, United States, </w:t>
      </w:r>
      <w:r w:rsidRPr="6B7D49BB">
        <w:rPr>
          <w:color w:val="000000" w:themeColor="text1"/>
        </w:rPr>
        <w:t>Bureau of Labor Statistics, U.S. Department of Labor (Standard Occupational Classification (SOC) c</w:t>
      </w:r>
      <w:r>
        <w:t xml:space="preserve">ode 51-4121)  </w:t>
      </w:r>
      <w:hyperlink r:id="rId10">
        <w:r w:rsidRPr="6B7D49BB">
          <w:rPr>
            <w:rStyle w:val="Hyperlink"/>
          </w:rPr>
          <w:t>https://www.bls.gov/oes/current/oes514121.htm</w:t>
        </w:r>
      </w:hyperlink>
      <w:r>
        <w:t xml:space="preserve">.  This data estimates there are </w:t>
      </w:r>
      <w:r w:rsidR="00ED1E67">
        <w:t>421,730</w:t>
      </w:r>
      <w:r w:rsidR="00485EC6">
        <w:t xml:space="preserve"> </w:t>
      </w:r>
      <w:r>
        <w:t xml:space="preserve">welders, cutters, </w:t>
      </w:r>
      <w:r>
        <w:t>solderers</w:t>
      </w:r>
      <w:r w:rsidR="00ED235B">
        <w:t>,</w:t>
      </w:r>
      <w:r>
        <w:t xml:space="preserve"> and </w:t>
      </w:r>
      <w:r>
        <w:t>brazers</w:t>
      </w:r>
      <w:r>
        <w:t xml:space="preserve"> in general industry.  Based on previous ICRs, OSHA estimates that the number of resistance welders is approximately 5.3 percent (</w:t>
      </w:r>
      <w:r w:rsidR="00492262">
        <w:t>22,352</w:t>
      </w:r>
      <w:r>
        <w:t xml:space="preserve">) of all welders, cutters, </w:t>
      </w:r>
      <w:r>
        <w:t>solderers</w:t>
      </w:r>
      <w:r>
        <w:t xml:space="preserve">, and </w:t>
      </w:r>
      <w:r>
        <w:t>brazers</w:t>
      </w:r>
      <w:r>
        <w:t>.</w:t>
      </w:r>
    </w:p>
    <w:p w:rsidR="00691709" w:rsidP="00691709" w14:paraId="5C8B77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9198A" w:rsidP="00691709" w14:paraId="0BDC35FB" w14:textId="245A7F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D5544">
        <w:rPr>
          <w:b/>
          <w:bCs/>
        </w:rPr>
        <w:t>Wage Rates</w:t>
      </w:r>
    </w:p>
    <w:p w:rsidR="0089198A" w:rsidRPr="00DD5544" w:rsidP="00691709" w14:paraId="3EDB6F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66AE3" w:rsidRPr="00EC2767" w:rsidP="00566AE3" w14:paraId="7CB08326" w14:textId="39CA1487">
      <w:pPr>
        <w:tabs>
          <w:tab w:val="left" w:pos="-1440"/>
        </w:tabs>
      </w:pPr>
      <w:r w:rsidRPr="00605382">
        <w:rPr>
          <w:rFonts w:eastAsia="Calibri"/>
        </w:rPr>
        <w:t xml:space="preserve">The </w:t>
      </w:r>
      <w:r w:rsidR="0028463C">
        <w:rPr>
          <w:rFonts w:eastAsia="Calibri"/>
        </w:rPr>
        <w:t>a</w:t>
      </w:r>
      <w:r w:rsidRPr="00605382">
        <w:rPr>
          <w:rFonts w:eastAsia="Calibri"/>
        </w:rPr>
        <w:t>gency determined the wage rate from mean hourly wage earnings to represent the cost of employee time.</w:t>
      </w:r>
      <w:r w:rsidRPr="00605382">
        <w:rPr>
          <w:color w:val="000000"/>
        </w:rPr>
        <w:t xml:space="preserve"> </w:t>
      </w:r>
      <w:r w:rsidRPr="00605382">
        <w:rPr>
          <w:rFonts w:eastAsia="Calibri"/>
        </w:rPr>
        <w:t xml:space="preserve"> For the relevant </w:t>
      </w:r>
      <w:r w:rsidR="00432E9C">
        <w:rPr>
          <w:rFonts w:eastAsia="Calibri"/>
        </w:rPr>
        <w:t>S</w:t>
      </w:r>
      <w:r w:rsidRPr="00605382">
        <w:rPr>
          <w:rFonts w:eastAsia="Calibri"/>
        </w:rPr>
        <w:t xml:space="preserve">tandard </w:t>
      </w:r>
      <w:r w:rsidR="00432E9C">
        <w:rPr>
          <w:rFonts w:eastAsia="Calibri"/>
        </w:rPr>
        <w:t>O</w:t>
      </w:r>
      <w:r w:rsidRPr="00605382">
        <w:rPr>
          <w:rFonts w:eastAsia="Calibri"/>
        </w:rPr>
        <w:t xml:space="preserve">ccupational </w:t>
      </w:r>
      <w:r w:rsidR="00432E9C">
        <w:rPr>
          <w:rFonts w:eastAsia="Calibri"/>
        </w:rPr>
        <w:t>C</w:t>
      </w:r>
      <w:r w:rsidRPr="00605382">
        <w:rPr>
          <w:rFonts w:eastAsia="Calibri"/>
        </w:rPr>
        <w:t xml:space="preserve">lassification </w:t>
      </w:r>
      <w:r w:rsidR="00432E9C">
        <w:rPr>
          <w:rFonts w:eastAsia="Calibri"/>
        </w:rPr>
        <w:t xml:space="preserve">(SOC) </w:t>
      </w:r>
      <w:r w:rsidRPr="00605382">
        <w:rPr>
          <w:rFonts w:eastAsia="Calibri"/>
        </w:rPr>
        <w:t xml:space="preserve">category, OSHA used the wage rates reported in the Bureau of Labor Statistics, U.S. Department of Labor, </w:t>
      </w:r>
      <w:r w:rsidRPr="00605382">
        <w:rPr>
          <w:rFonts w:eastAsia="Calibri"/>
          <w:i/>
        </w:rPr>
        <w:t xml:space="preserve">Occupational Employment </w:t>
      </w:r>
      <w:r w:rsidR="001035DC">
        <w:rPr>
          <w:rFonts w:eastAsia="Calibri"/>
          <w:i/>
        </w:rPr>
        <w:t xml:space="preserve">and Wage </w:t>
      </w:r>
      <w:r w:rsidRPr="00605382">
        <w:rPr>
          <w:rFonts w:eastAsia="Calibri"/>
          <w:i/>
        </w:rPr>
        <w:t>Statistics (OE</w:t>
      </w:r>
      <w:r w:rsidR="001035DC">
        <w:rPr>
          <w:rFonts w:eastAsia="Calibri"/>
          <w:i/>
        </w:rPr>
        <w:t>W</w:t>
      </w:r>
      <w:r w:rsidRPr="00605382">
        <w:rPr>
          <w:rFonts w:eastAsia="Calibri"/>
          <w:i/>
        </w:rPr>
        <w:t xml:space="preserve">S), May </w:t>
      </w:r>
      <w:r w:rsidR="001035DC">
        <w:rPr>
          <w:rFonts w:eastAsia="Calibri"/>
          <w:i/>
        </w:rPr>
        <w:t>202</w:t>
      </w:r>
      <w:r w:rsidR="009E2055">
        <w:rPr>
          <w:rFonts w:eastAsia="Calibri"/>
          <w:i/>
        </w:rPr>
        <w:t>3</w:t>
      </w:r>
      <w:r w:rsidRPr="00605382">
        <w:rPr>
          <w:rFonts w:eastAsia="Calibri"/>
        </w:rPr>
        <w:t xml:space="preserve"> [date accessed: </w:t>
      </w:r>
      <w:r w:rsidR="00EA4D6D">
        <w:rPr>
          <w:rFonts w:eastAsia="Calibri"/>
        </w:rPr>
        <w:t>February 4, 2025</w:t>
      </w:r>
      <w:r w:rsidRPr="00605382">
        <w:rPr>
          <w:rFonts w:eastAsia="Calibri"/>
        </w:rPr>
        <w:t>].  (OE</w:t>
      </w:r>
      <w:r w:rsidR="00B04605">
        <w:rPr>
          <w:rFonts w:eastAsia="Calibri"/>
        </w:rPr>
        <w:t>W</w:t>
      </w:r>
      <w:r w:rsidRPr="00605382">
        <w:rPr>
          <w:rFonts w:eastAsia="Calibri"/>
        </w:rPr>
        <w:t xml:space="preserve">S data is available at </w:t>
      </w:r>
      <w:hyperlink r:id="rId11" w:history="1">
        <w:r w:rsidRPr="00EC3606" w:rsidR="008B7C09">
          <w:rPr>
            <w:rStyle w:val="Hyperlink"/>
            <w:i/>
          </w:rPr>
          <w:t>https://www.bls.gov/oes/tables.htm</w:t>
        </w:r>
      </w:hyperlink>
      <w:r w:rsidR="004C050B">
        <w:t>.</w:t>
      </w:r>
      <w:r>
        <w:rPr>
          <w:rFonts w:eastAsia="Calibri"/>
        </w:rPr>
        <w:t xml:space="preserve">  </w:t>
      </w:r>
      <w:r w:rsidRPr="00EC3606">
        <w:t>To access a wage rate, select the year, “Occupation profiles,” and the</w:t>
      </w:r>
      <w:r>
        <w:t xml:space="preserve"> </w:t>
      </w:r>
      <w:r w:rsidRPr="00EC2767">
        <w:t>SOC code.)</w:t>
      </w:r>
    </w:p>
    <w:p w:rsidR="00691709" w:rsidRPr="00605382" w:rsidP="00691709" w14:paraId="3BCF9BFC" w14:textId="77777777">
      <w:pPr>
        <w:rPr>
          <w:rFonts w:eastAsia="Calibri"/>
        </w:rPr>
      </w:pPr>
    </w:p>
    <w:p w:rsidR="00654B3F" w:rsidP="00654B3F" w14:paraId="61A2E00A" w14:textId="1466CBBD">
      <w:pPr>
        <w:tabs>
          <w:tab w:val="left" w:pos="-1440"/>
        </w:tabs>
      </w:pPr>
      <w:r w:rsidRPr="00EC2767">
        <w:t xml:space="preserve">To account for fringe benefits markup, the </w:t>
      </w:r>
      <w:r>
        <w:t>a</w:t>
      </w:r>
      <w:r w:rsidRPr="00EC2767">
        <w:t xml:space="preserve">gency used the BLS 10:00 AM (ET), </w:t>
      </w:r>
      <w:r w:rsidR="00451D52">
        <w:t>December 17</w:t>
      </w:r>
      <w:r>
        <w:t>, 2024</w:t>
      </w:r>
      <w:r w:rsidRPr="00EC2767">
        <w:t xml:space="preserve"> news release: </w:t>
      </w:r>
      <w:r w:rsidRPr="00EC2767">
        <w:rPr>
          <w:i/>
        </w:rPr>
        <w:t xml:space="preserve">Employer Costs for Employee Compensation – </w:t>
      </w:r>
      <w:r w:rsidR="00D44B77">
        <w:rPr>
          <w:i/>
        </w:rPr>
        <w:t>September</w:t>
      </w:r>
      <w:r>
        <w:rPr>
          <w:i/>
        </w:rPr>
        <w:t xml:space="preserve"> 2024</w:t>
      </w:r>
      <w:r w:rsidRPr="00EC2767">
        <w:t xml:space="preserve"> news release text; </w:t>
      </w:r>
      <w:r w:rsidRPr="00A80990">
        <w:t>(</w:t>
      </w:r>
      <w:hyperlink r:id="rId12" w:history="1">
        <w:r w:rsidRPr="00DD5544" w:rsidR="00DD5544">
          <w:rPr>
            <w:rStyle w:val="Hyperlink"/>
            <w:i/>
            <w:iCs/>
          </w:rPr>
          <w:t>https://www.bls.gov/news.release/archives/ecec_12172024.pdf</w:t>
        </w:r>
      </w:hyperlink>
      <w:r w:rsidR="00DD5544">
        <w:t>).</w:t>
      </w:r>
      <w:r w:rsidRPr="00EC2767">
        <w:t xml:space="preserve">  BLS reported that for </w:t>
      </w:r>
      <w:r>
        <w:t>private</w:t>
      </w:r>
      <w:r w:rsidRPr="00EC2767">
        <w:t xml:space="preserve"> </w:t>
      </w:r>
      <w:r>
        <w:t xml:space="preserve">industry </w:t>
      </w:r>
      <w:r w:rsidRPr="00EC2767">
        <w:t>workers, fringe benefits accounted for 29.</w:t>
      </w:r>
      <w:r w:rsidR="00D44B77">
        <w:t>6</w:t>
      </w:r>
      <w:r w:rsidRPr="00EC2767">
        <w:t xml:space="preserve"> percent of total compensation and wages accounted for the remaining 70.</w:t>
      </w:r>
      <w:r w:rsidR="00D44B77">
        <w:t>4</w:t>
      </w:r>
      <w:r w:rsidRPr="00EC2767">
        <w:t xml:space="preserve"> percent.  To calculate the loaded hourly wage for each occupation, the </w:t>
      </w:r>
      <w:r>
        <w:t>a</w:t>
      </w:r>
      <w:r w:rsidRPr="00EC2767">
        <w:t xml:space="preserve">gency multiplied the mean hourly wage by </w:t>
      </w:r>
      <w:r>
        <w:t>one over one minus the fringe benefits</w:t>
      </w:r>
      <w:r w:rsidRPr="00EC2767">
        <w:t>.</w:t>
      </w:r>
    </w:p>
    <w:p w:rsidR="00DD5544" w:rsidRPr="00EC2767" w:rsidP="00654B3F" w14:paraId="705A1FE3" w14:textId="77777777">
      <w:pPr>
        <w:tabs>
          <w:tab w:val="left" w:pos="-1440"/>
        </w:tabs>
      </w:pPr>
    </w:p>
    <w:p w:rsidR="00654B3F" w:rsidP="00654B3F" w14:paraId="4079C35D" w14:textId="77777777">
      <w:pPr>
        <w:tabs>
          <w:tab w:val="left" w:pos="-1440"/>
        </w:tabs>
        <w:rPr>
          <w:b/>
          <w:bCs/>
        </w:rPr>
      </w:pPr>
      <w:r w:rsidRPr="00EC2767">
        <w:t xml:space="preserve">In Table 1 is a summary of </w:t>
      </w:r>
      <w:r w:rsidRPr="00EC2767">
        <w:t>the how</w:t>
      </w:r>
      <w:r w:rsidRPr="00EC2767">
        <w:t xml:space="preserve"> the wage rate estimates were derived for the information collection requirement</w:t>
      </w:r>
      <w:r>
        <w:t>s specified by the Standard.</w:t>
      </w:r>
    </w:p>
    <w:p w:rsidR="00691709" w:rsidRPr="00605382" w:rsidP="00691709" w14:paraId="73C96C1C" w14:textId="77777777"/>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3"/>
        <w:gridCol w:w="1192"/>
        <w:gridCol w:w="1909"/>
        <w:gridCol w:w="1421"/>
        <w:gridCol w:w="1980"/>
      </w:tblGrid>
      <w:tr w14:paraId="2B66BB90" w14:textId="77777777" w:rsidTr="00DD5544">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535" w:type="dxa"/>
            <w:gridSpan w:val="5"/>
            <w:shd w:val="clear" w:color="auto" w:fill="B4C6E7" w:themeFill="accent5" w:themeFillTint="66"/>
          </w:tcPr>
          <w:p w:rsidR="00691709" w:rsidRPr="00605382" w:rsidP="00C24E56" w14:paraId="114551FB" w14:textId="0FD61681">
            <w:pPr>
              <w:keepLines/>
              <w:jc w:val="center"/>
              <w:rPr>
                <w:rFonts w:eastAsia="Calibri"/>
                <w:b/>
              </w:rPr>
            </w:pPr>
            <w:r w:rsidRPr="00605382">
              <w:rPr>
                <w:rFonts w:eastAsia="Calibri"/>
                <w:b/>
              </w:rPr>
              <w:t xml:space="preserve">Table 1 </w:t>
            </w:r>
            <w:r w:rsidR="00507288">
              <w:rPr>
                <w:rFonts w:eastAsia="Calibri"/>
                <w:b/>
              </w:rPr>
              <w:t>–</w:t>
            </w:r>
            <w:r w:rsidRPr="00605382">
              <w:rPr>
                <w:rFonts w:eastAsia="Calibri"/>
                <w:b/>
              </w:rPr>
              <w:t xml:space="preserve"> WAGE</w:t>
            </w:r>
            <w:r w:rsidR="00507288">
              <w:rPr>
                <w:rFonts w:eastAsia="Calibri"/>
                <w:b/>
              </w:rPr>
              <w:t>-</w:t>
            </w:r>
            <w:r w:rsidRPr="00605382">
              <w:rPr>
                <w:rFonts w:eastAsia="Calibri"/>
                <w:b/>
              </w:rPr>
              <w:t>HOUR ESTIMATES</w:t>
            </w:r>
          </w:p>
        </w:tc>
      </w:tr>
      <w:tr w14:paraId="0C1EF5DC" w14:textId="77777777" w:rsidTr="00DD5544">
        <w:tblPrEx>
          <w:tblW w:w="9535" w:type="dxa"/>
          <w:tblLook w:val="04A0"/>
        </w:tblPrEx>
        <w:trPr>
          <w:tblHeader/>
        </w:trPr>
        <w:tc>
          <w:tcPr>
            <w:tcW w:w="3033" w:type="dxa"/>
            <w:shd w:val="clear" w:color="auto" w:fill="B4C6E7" w:themeFill="accent5" w:themeFillTint="66"/>
            <w:vAlign w:val="center"/>
          </w:tcPr>
          <w:p w:rsidR="00691709" w:rsidRPr="00605382" w:rsidP="00DD5544" w14:paraId="1F3651B1" w14:textId="77777777">
            <w:pPr>
              <w:keepLines/>
              <w:jc w:val="center"/>
              <w:rPr>
                <w:rFonts w:eastAsia="Calibri"/>
                <w:b/>
              </w:rPr>
            </w:pPr>
            <w:r w:rsidRPr="00605382">
              <w:rPr>
                <w:rFonts w:eastAsia="Calibri"/>
                <w:b/>
              </w:rPr>
              <w:t>Occupational Title</w:t>
            </w:r>
          </w:p>
        </w:tc>
        <w:tc>
          <w:tcPr>
            <w:tcW w:w="1192" w:type="dxa"/>
            <w:shd w:val="clear" w:color="auto" w:fill="B4C6E7" w:themeFill="accent5" w:themeFillTint="66"/>
            <w:vAlign w:val="center"/>
          </w:tcPr>
          <w:p w:rsidR="00691709" w:rsidRPr="00605382" w:rsidP="00DD5544" w14:paraId="01E8A6A1" w14:textId="08269754">
            <w:pPr>
              <w:keepLines/>
              <w:jc w:val="center"/>
              <w:rPr>
                <w:rFonts w:eastAsia="Calibri"/>
                <w:b/>
              </w:rPr>
            </w:pPr>
            <w:r>
              <w:rPr>
                <w:rFonts w:eastAsia="Calibri"/>
                <w:b/>
              </w:rPr>
              <w:t>SOC</w:t>
            </w:r>
            <w:r w:rsidR="00342485">
              <w:rPr>
                <w:rFonts w:eastAsia="Calibri"/>
                <w:b/>
              </w:rPr>
              <w:t xml:space="preserve"> Code</w:t>
            </w:r>
          </w:p>
        </w:tc>
        <w:tc>
          <w:tcPr>
            <w:tcW w:w="1909" w:type="dxa"/>
            <w:shd w:val="clear" w:color="auto" w:fill="B4C6E7" w:themeFill="accent5" w:themeFillTint="66"/>
            <w:vAlign w:val="center"/>
          </w:tcPr>
          <w:p w:rsidR="0089198A" w:rsidP="00342485" w14:paraId="077805F4" w14:textId="77777777">
            <w:pPr>
              <w:keepLines/>
              <w:jc w:val="center"/>
              <w:rPr>
                <w:rFonts w:eastAsia="Calibri"/>
                <w:b/>
              </w:rPr>
            </w:pPr>
          </w:p>
          <w:p w:rsidR="00342485" w:rsidP="00342485" w14:paraId="5EDB3B7F" w14:textId="4B8834CD">
            <w:pPr>
              <w:keepLines/>
              <w:jc w:val="center"/>
              <w:rPr>
                <w:rFonts w:eastAsia="Calibri"/>
                <w:b/>
              </w:rPr>
            </w:pPr>
            <w:r w:rsidRPr="00605382">
              <w:rPr>
                <w:rFonts w:eastAsia="Calibri"/>
                <w:b/>
              </w:rPr>
              <w:t>Mean Hourly Wage Rate</w:t>
            </w:r>
          </w:p>
          <w:p w:rsidR="0089198A" w:rsidP="00342485" w14:paraId="458F3699" w14:textId="77777777">
            <w:pPr>
              <w:keepLines/>
              <w:jc w:val="center"/>
              <w:rPr>
                <w:rFonts w:eastAsia="Calibri"/>
                <w:b/>
              </w:rPr>
            </w:pPr>
          </w:p>
          <w:p w:rsidR="00691709" w:rsidRPr="00605382" w:rsidP="00DD5544" w14:paraId="554D3239" w14:textId="349EA791">
            <w:pPr>
              <w:keepLines/>
              <w:jc w:val="center"/>
              <w:rPr>
                <w:rFonts w:eastAsia="Calibri"/>
                <w:b/>
              </w:rPr>
            </w:pPr>
            <w:r w:rsidRPr="00605382">
              <w:rPr>
                <w:rFonts w:eastAsia="Calibri"/>
                <w:b/>
              </w:rPr>
              <w:t>(A)</w:t>
            </w:r>
          </w:p>
        </w:tc>
        <w:tc>
          <w:tcPr>
            <w:tcW w:w="1421" w:type="dxa"/>
            <w:shd w:val="clear" w:color="auto" w:fill="B4C6E7" w:themeFill="accent5" w:themeFillTint="66"/>
            <w:vAlign w:val="center"/>
          </w:tcPr>
          <w:p w:rsidR="0089198A" w:rsidP="00342485" w14:paraId="011D5C4C" w14:textId="77777777">
            <w:pPr>
              <w:jc w:val="center"/>
              <w:rPr>
                <w:rFonts w:eastAsia="Calibri"/>
                <w:b/>
              </w:rPr>
            </w:pPr>
          </w:p>
          <w:p w:rsidR="00D07239" w:rsidP="00342485" w14:paraId="42F538AA" w14:textId="2160294E">
            <w:pPr>
              <w:jc w:val="center"/>
              <w:rPr>
                <w:rFonts w:eastAsia="Calibri"/>
                <w:b/>
              </w:rPr>
            </w:pPr>
            <w:r w:rsidRPr="00605382">
              <w:rPr>
                <w:rFonts w:eastAsia="Calibri"/>
                <w:b/>
              </w:rPr>
              <w:t>Fringe Benefits</w:t>
            </w:r>
          </w:p>
          <w:p w:rsidR="0089198A" w:rsidP="00342485" w14:paraId="63DEDCA9" w14:textId="77777777">
            <w:pPr>
              <w:jc w:val="center"/>
              <w:rPr>
                <w:rFonts w:eastAsia="Calibri"/>
                <w:b/>
              </w:rPr>
            </w:pPr>
          </w:p>
          <w:p w:rsidR="00691709" w:rsidRPr="00605382" w:rsidP="00DD5544" w14:paraId="0D8C9658" w14:textId="435E7AA8">
            <w:pPr>
              <w:jc w:val="center"/>
              <w:rPr>
                <w:rFonts w:eastAsia="Calibri"/>
                <w:b/>
              </w:rPr>
            </w:pPr>
            <w:r w:rsidRPr="00605382">
              <w:rPr>
                <w:rFonts w:eastAsia="Calibri"/>
                <w:b/>
              </w:rPr>
              <w:t>(B)</w:t>
            </w:r>
          </w:p>
        </w:tc>
        <w:tc>
          <w:tcPr>
            <w:tcW w:w="1980" w:type="dxa"/>
            <w:shd w:val="clear" w:color="auto" w:fill="B4C6E7" w:themeFill="accent5" w:themeFillTint="66"/>
            <w:vAlign w:val="center"/>
          </w:tcPr>
          <w:p w:rsidR="0089198A" w:rsidP="00342485" w14:paraId="0B41F076" w14:textId="77777777">
            <w:pPr>
              <w:keepLines/>
              <w:jc w:val="center"/>
              <w:rPr>
                <w:rFonts w:eastAsia="Calibri"/>
                <w:b/>
              </w:rPr>
            </w:pPr>
          </w:p>
          <w:p w:rsidR="00691709" w:rsidRPr="00605382" w:rsidP="00DD5544" w14:paraId="65706C15" w14:textId="2203EA58">
            <w:pPr>
              <w:keepLines/>
              <w:jc w:val="center"/>
              <w:rPr>
                <w:rFonts w:eastAsia="Calibri"/>
                <w:b/>
              </w:rPr>
            </w:pPr>
            <w:r w:rsidRPr="00605382">
              <w:rPr>
                <w:rFonts w:eastAsia="Calibri"/>
                <w:b/>
              </w:rPr>
              <w:t>Loaded Hourly Wage Rate</w:t>
            </w:r>
          </w:p>
          <w:p w:rsidR="0089198A" w:rsidP="00342485" w14:paraId="125837C4" w14:textId="77777777">
            <w:pPr>
              <w:keepLines/>
              <w:jc w:val="center"/>
              <w:rPr>
                <w:b/>
                <w:bCs/>
              </w:rPr>
            </w:pPr>
          </w:p>
          <w:p w:rsidR="00691709" w:rsidRPr="00605382" w:rsidP="0089198A" w14:paraId="24EF51B9" w14:textId="49FC7F58">
            <w:pPr>
              <w:keepLines/>
              <w:rPr>
                <w:rFonts w:eastAsia="Calibri"/>
                <w:b/>
              </w:rPr>
            </w:pPr>
            <w:r w:rsidRPr="00605382">
              <w:rPr>
                <w:b/>
                <w:bCs/>
              </w:rPr>
              <w:t xml:space="preserve">(C) = </w:t>
            </w:r>
            <w:r w:rsidR="00342485">
              <w:rPr>
                <w:b/>
                <w:bCs/>
              </w:rPr>
              <w:t>(</w:t>
            </w:r>
            <w:r w:rsidRPr="00605382">
              <w:rPr>
                <w:b/>
                <w:bCs/>
              </w:rPr>
              <w:t>(A)/(1-B))</w:t>
            </w:r>
          </w:p>
        </w:tc>
      </w:tr>
      <w:tr w14:paraId="7FE3C867" w14:textId="77777777" w:rsidTr="00DD5544">
        <w:tblPrEx>
          <w:tblW w:w="9535" w:type="dxa"/>
          <w:tblLook w:val="04A0"/>
        </w:tblPrEx>
        <w:tc>
          <w:tcPr>
            <w:tcW w:w="3033" w:type="dxa"/>
          </w:tcPr>
          <w:p w:rsidR="00691709" w:rsidRPr="00605382" w:rsidP="00C24E56" w14:paraId="20B5C250" w14:textId="09E550A9">
            <w:pPr>
              <w:keepLines/>
              <w:rPr>
                <w:rFonts w:eastAsia="Calibri"/>
              </w:rPr>
            </w:pPr>
            <w:r w:rsidRPr="00605382">
              <w:rPr>
                <w:rFonts w:eastAsiaTheme="minorHAnsi"/>
              </w:rPr>
              <w:t>Welder or Cutter Maintenance Worker</w:t>
            </w:r>
          </w:p>
        </w:tc>
        <w:tc>
          <w:tcPr>
            <w:tcW w:w="1192" w:type="dxa"/>
            <w:vAlign w:val="center"/>
          </w:tcPr>
          <w:p w:rsidR="00691709" w:rsidRPr="00605382" w:rsidP="00DD5544" w14:paraId="3E19B469" w14:textId="77777777">
            <w:pPr>
              <w:keepLines/>
              <w:jc w:val="center"/>
              <w:rPr>
                <w:rFonts w:eastAsia="Calibri"/>
              </w:rPr>
            </w:pPr>
            <w:r w:rsidRPr="00605382">
              <w:rPr>
                <w:rFonts w:eastAsia="Calibri"/>
              </w:rPr>
              <w:t>51-4121</w:t>
            </w:r>
          </w:p>
        </w:tc>
        <w:tc>
          <w:tcPr>
            <w:tcW w:w="1909" w:type="dxa"/>
            <w:vAlign w:val="center"/>
          </w:tcPr>
          <w:p w:rsidR="00691709" w:rsidRPr="00605382" w:rsidP="00DD5544" w14:paraId="3C68B756" w14:textId="76AE36EC">
            <w:pPr>
              <w:keepLines/>
              <w:jc w:val="center"/>
              <w:rPr>
                <w:rFonts w:eastAsia="Calibri"/>
              </w:rPr>
            </w:pPr>
            <w:r w:rsidRPr="00605382">
              <w:rPr>
                <w:rFonts w:eastAsia="Calibri"/>
              </w:rPr>
              <w:t>$</w:t>
            </w:r>
            <w:r w:rsidR="00530ADE">
              <w:rPr>
                <w:rFonts w:eastAsia="Calibri"/>
              </w:rPr>
              <w:t>25.31</w:t>
            </w:r>
          </w:p>
        </w:tc>
        <w:tc>
          <w:tcPr>
            <w:tcW w:w="1421" w:type="dxa"/>
            <w:vAlign w:val="center"/>
          </w:tcPr>
          <w:p w:rsidR="00691709" w:rsidRPr="00605382" w:rsidP="00DD5544" w14:paraId="0D8ABB21" w14:textId="147DE16A">
            <w:pPr>
              <w:keepLines/>
              <w:jc w:val="center"/>
              <w:rPr>
                <w:rFonts w:eastAsia="Calibri"/>
              </w:rPr>
            </w:pPr>
            <w:r w:rsidRPr="00605382">
              <w:t>0.</w:t>
            </w:r>
            <w:r w:rsidR="009C546D">
              <w:t>296</w:t>
            </w:r>
          </w:p>
        </w:tc>
        <w:tc>
          <w:tcPr>
            <w:tcW w:w="1980" w:type="dxa"/>
            <w:vAlign w:val="center"/>
          </w:tcPr>
          <w:p w:rsidR="00691709" w:rsidRPr="00605382" w:rsidP="00DD5544" w14:paraId="23549BA5" w14:textId="1A73FEE4">
            <w:pPr>
              <w:keepLines/>
              <w:jc w:val="center"/>
              <w:rPr>
                <w:rFonts w:eastAsia="Calibri"/>
              </w:rPr>
            </w:pPr>
            <w:r w:rsidRPr="00605382">
              <w:rPr>
                <w:rFonts w:eastAsia="Calibri"/>
              </w:rPr>
              <w:t>$</w:t>
            </w:r>
            <w:r w:rsidR="00CC647B">
              <w:rPr>
                <w:rFonts w:eastAsia="Calibri"/>
              </w:rPr>
              <w:t>35.95</w:t>
            </w:r>
          </w:p>
        </w:tc>
      </w:tr>
      <w:tr w14:paraId="3084FA14" w14:textId="77777777" w:rsidTr="00DD5544">
        <w:tblPrEx>
          <w:tblW w:w="9535" w:type="dxa"/>
          <w:tblLook w:val="04A0"/>
        </w:tblPrEx>
        <w:tc>
          <w:tcPr>
            <w:tcW w:w="3033" w:type="dxa"/>
          </w:tcPr>
          <w:p w:rsidR="00691709" w:rsidRPr="00605382" w:rsidP="00C24E56" w14:paraId="608C11D9" w14:textId="6F062965">
            <w:pPr>
              <w:keepLines/>
              <w:rPr>
                <w:rFonts w:eastAsia="Calibri"/>
              </w:rPr>
            </w:pPr>
            <w:r>
              <w:rPr>
                <w:rFonts w:eastAsia="Calibri"/>
              </w:rPr>
              <w:t>Secretaries and Administrative Assistants, Except Legal, Medical, and Executive</w:t>
            </w:r>
            <w:r w:rsidRPr="00605382" w:rsidR="005937F1">
              <w:rPr>
                <w:rFonts w:eastAsia="Calibri"/>
              </w:rPr>
              <w:t xml:space="preserve"> </w:t>
            </w:r>
          </w:p>
        </w:tc>
        <w:tc>
          <w:tcPr>
            <w:tcW w:w="1192" w:type="dxa"/>
            <w:vAlign w:val="center"/>
          </w:tcPr>
          <w:p w:rsidR="00691709" w:rsidRPr="00605382" w:rsidP="00DD5544" w14:paraId="7895AA8A" w14:textId="77777777">
            <w:pPr>
              <w:keepLines/>
              <w:jc w:val="center"/>
              <w:rPr>
                <w:rFonts w:eastAsia="Calibri"/>
              </w:rPr>
            </w:pPr>
            <w:r w:rsidRPr="00605382">
              <w:rPr>
                <w:rFonts w:eastAsia="Calibri"/>
              </w:rPr>
              <w:t>43-6014</w:t>
            </w:r>
          </w:p>
        </w:tc>
        <w:tc>
          <w:tcPr>
            <w:tcW w:w="1909" w:type="dxa"/>
            <w:vAlign w:val="center"/>
          </w:tcPr>
          <w:p w:rsidR="00691709" w:rsidRPr="00605382" w:rsidP="00DD5544" w14:paraId="20BC61E0" w14:textId="5A6F0D36">
            <w:pPr>
              <w:keepLines/>
              <w:jc w:val="center"/>
              <w:rPr>
                <w:rFonts w:eastAsia="Calibri"/>
              </w:rPr>
            </w:pPr>
            <w:r w:rsidRPr="00605382">
              <w:rPr>
                <w:rFonts w:eastAsia="Calibri"/>
              </w:rPr>
              <w:t>$</w:t>
            </w:r>
            <w:r w:rsidR="000375B9">
              <w:rPr>
                <w:rFonts w:eastAsia="Calibri"/>
              </w:rPr>
              <w:t>21.87</w:t>
            </w:r>
          </w:p>
        </w:tc>
        <w:tc>
          <w:tcPr>
            <w:tcW w:w="1421" w:type="dxa"/>
            <w:vAlign w:val="center"/>
          </w:tcPr>
          <w:p w:rsidR="00691709" w:rsidRPr="00605382" w:rsidP="00DD5544" w14:paraId="76039E05" w14:textId="715AC4D4">
            <w:pPr>
              <w:keepLines/>
              <w:jc w:val="center"/>
              <w:rPr>
                <w:rFonts w:eastAsia="Calibri"/>
              </w:rPr>
            </w:pPr>
            <w:r w:rsidRPr="00605382">
              <w:t>0.</w:t>
            </w:r>
            <w:r w:rsidR="009C546D">
              <w:t>296</w:t>
            </w:r>
          </w:p>
        </w:tc>
        <w:tc>
          <w:tcPr>
            <w:tcW w:w="1980" w:type="dxa"/>
            <w:vAlign w:val="center"/>
          </w:tcPr>
          <w:p w:rsidR="00691709" w:rsidRPr="00605382" w:rsidP="00DD5544" w14:paraId="03D2293F" w14:textId="5CF95D66">
            <w:pPr>
              <w:keepLines/>
              <w:jc w:val="center"/>
              <w:rPr>
                <w:rFonts w:eastAsia="Calibri"/>
              </w:rPr>
            </w:pPr>
            <w:r w:rsidRPr="00605382">
              <w:rPr>
                <w:rFonts w:eastAsia="Calibri"/>
              </w:rPr>
              <w:t>$</w:t>
            </w:r>
            <w:r w:rsidR="00690399">
              <w:rPr>
                <w:rFonts w:eastAsia="Calibri"/>
              </w:rPr>
              <w:t>31.07</w:t>
            </w:r>
          </w:p>
        </w:tc>
      </w:tr>
    </w:tbl>
    <w:p w:rsidR="00691709" w:rsidRPr="00605382" w:rsidP="00691709" w14:paraId="787AA0D6" w14:textId="77777777">
      <w:pPr>
        <w:ind w:firstLine="720"/>
      </w:pPr>
    </w:p>
    <w:p w:rsidR="00691709" w:rsidRPr="00605382" w:rsidP="00691709" w14:paraId="326505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605382">
        <w:rPr>
          <w:b/>
          <w:bCs/>
          <w:u w:val="single"/>
        </w:rPr>
        <w:t>Inspection and Certification of Resistance Welding Equipment (§1910.255(e))</w:t>
      </w:r>
    </w:p>
    <w:p w:rsidR="00691709" w:rsidRPr="00605382" w:rsidP="00691709" w14:paraId="6880B3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691709" w:rsidRPr="00605382" w:rsidP="00691709" w14:paraId="2C60B018" w14:textId="77777777">
      <w:pPr>
        <w:ind w:left="5040" w:hanging="4320"/>
      </w:pPr>
      <w:r w:rsidRPr="00605382">
        <w:t>OSHA assumes that each resistance welder has one complete resistance welding unit and</w:t>
      </w:r>
    </w:p>
    <w:p w:rsidR="00691709" w:rsidP="00691709" w14:paraId="14504411" w14:textId="6D72D9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605382">
        <w:t xml:space="preserve">that it takes five minutes (5/60 </w:t>
      </w:r>
      <w:r w:rsidRPr="00605382">
        <w:t>hour</w:t>
      </w:r>
      <w:r w:rsidRPr="00605382">
        <w:t xml:space="preserve">) to perform the inspection periodically (semi-annually), two minutes (2/60 </w:t>
      </w:r>
      <w:r w:rsidRPr="00605382">
        <w:t>hour</w:t>
      </w:r>
      <w:r w:rsidRPr="00605382">
        <w:t>) to generate the inspection record</w:t>
      </w:r>
      <w:r w:rsidR="00CE4794">
        <w:t>. One</w:t>
      </w:r>
      <w:r w:rsidRPr="00605382">
        <w:t xml:space="preserve"> minute (1/60 hour) to maintain the inspection certification record (this can be performed by a secretary).  Therefore, the annual burden hours and cost of this paperwork requirement are: </w:t>
      </w:r>
    </w:p>
    <w:p w:rsidR="00BF224E" w:rsidP="00691709" w14:paraId="664FEE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691709" w:rsidRPr="00605382" w:rsidP="00691709" w14:paraId="237428A7" w14:textId="1B75294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rPr>
          <w:bCs/>
        </w:rPr>
      </w:pPr>
      <w:r w:rsidRPr="00605382">
        <w:rPr>
          <w:b/>
          <w:bCs/>
        </w:rPr>
        <w:tab/>
      </w:r>
      <w:r w:rsidRPr="00605382">
        <w:rPr>
          <w:b/>
          <w:bCs/>
        </w:rPr>
        <w:tab/>
        <w:t>Burden hours:</w:t>
      </w:r>
      <w:r w:rsidRPr="00605382">
        <w:tab/>
      </w:r>
      <w:r w:rsidR="009125D0">
        <w:t>22,352</w:t>
      </w:r>
      <w:r w:rsidRPr="00605382">
        <w:t xml:space="preserve"> resistance welding units </w:t>
      </w:r>
      <w:r w:rsidRPr="00605382" w:rsidR="00342485">
        <w:t xml:space="preserve">x 2 times annually </w:t>
      </w:r>
      <w:r w:rsidRPr="00605382">
        <w:t xml:space="preserve">x 7/60 </w:t>
      </w:r>
      <w:r w:rsidRPr="00605382">
        <w:t>hour</w:t>
      </w:r>
      <w:r w:rsidRPr="00605382">
        <w:t xml:space="preserve"> to perform inspection and generate inspection certification record = </w:t>
      </w:r>
      <w:r w:rsidR="00D46074">
        <w:t>5,215</w:t>
      </w:r>
      <w:r w:rsidRPr="00605382">
        <w:t xml:space="preserve"> hours      </w:t>
      </w:r>
    </w:p>
    <w:p w:rsidR="00691709" w:rsidRPr="00605382" w:rsidP="00691709" w14:paraId="3A485DDE"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pPr>
    </w:p>
    <w:p w:rsidR="00691709" w:rsidRPr="00605382" w:rsidP="2DC709B3" w14:paraId="0545E744" w14:textId="13E6DE60">
      <w:pPr>
        <w:widowControl/>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rPr>
          <w:b/>
        </w:rPr>
      </w:pPr>
      <w:r w:rsidRPr="00605382">
        <w:t xml:space="preserve">    </w:t>
      </w:r>
      <w:r w:rsidR="009060CD">
        <w:tab/>
      </w:r>
      <w:r w:rsidR="009060CD">
        <w:tab/>
      </w:r>
      <w:r w:rsidR="009060CD">
        <w:tab/>
        <w:t xml:space="preserve">   </w:t>
      </w:r>
      <w:r w:rsidRPr="00605382">
        <w:rPr>
          <w:b/>
        </w:rPr>
        <w:t>Cost:</w:t>
      </w:r>
      <w:r w:rsidRPr="00605382">
        <w:rPr>
          <w:b/>
        </w:rPr>
        <w:tab/>
      </w:r>
      <w:r w:rsidR="00612890">
        <w:t>5,215</w:t>
      </w:r>
      <w:r w:rsidRPr="00605382">
        <w:t xml:space="preserve"> burden hours x $</w:t>
      </w:r>
      <w:r w:rsidR="00612890">
        <w:t>35.95</w:t>
      </w:r>
      <w:r w:rsidRPr="00605382">
        <w:t xml:space="preserve"> = $</w:t>
      </w:r>
      <w:r w:rsidR="00080E35">
        <w:t>187,479</w:t>
      </w:r>
    </w:p>
    <w:p w:rsidR="00691709" w:rsidRPr="00605382" w:rsidP="00691709" w14:paraId="65C5D878"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rPr>
          <w:b/>
        </w:rPr>
      </w:pPr>
    </w:p>
    <w:p w:rsidR="00691709" w:rsidRPr="00605382" w:rsidP="00691709" w14:paraId="720E5958" w14:textId="2F5AEC8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pPr>
      <w:r w:rsidRPr="00605382">
        <w:rPr>
          <w:b/>
        </w:rPr>
        <w:tab/>
      </w:r>
      <w:r w:rsidRPr="00605382">
        <w:rPr>
          <w:b/>
        </w:rPr>
        <w:tab/>
        <w:t>Burden hours:</w:t>
      </w:r>
      <w:r w:rsidRPr="00605382">
        <w:rPr>
          <w:b/>
        </w:rPr>
        <w:tab/>
      </w:r>
      <w:r w:rsidR="009125D0">
        <w:t>22,352</w:t>
      </w:r>
      <w:r w:rsidRPr="00605382">
        <w:t xml:space="preserve"> resistance welding units </w:t>
      </w:r>
      <w:r w:rsidRPr="00605382" w:rsidR="0089198A">
        <w:t xml:space="preserve">x 2 times annually </w:t>
      </w:r>
      <w:r w:rsidRPr="00605382">
        <w:t xml:space="preserve">x 1/60 hour to maintain the certification record = </w:t>
      </w:r>
      <w:r w:rsidR="00EC1435">
        <w:t>745</w:t>
      </w:r>
      <w:r w:rsidRPr="00605382">
        <w:t xml:space="preserve"> hours</w:t>
      </w:r>
    </w:p>
    <w:p w:rsidR="00691709" w:rsidRPr="00605382" w:rsidP="00691709" w14:paraId="2B86786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p>
    <w:p w:rsidR="00691709" w:rsidP="00691709" w14:paraId="60C710B7" w14:textId="47467BAD">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r w:rsidRPr="00605382">
        <w:tab/>
        <w:t xml:space="preserve">    </w:t>
      </w:r>
      <w:r w:rsidRPr="00605382">
        <w:rPr>
          <w:b/>
        </w:rPr>
        <w:t>Cost:</w:t>
      </w:r>
      <w:r w:rsidRPr="00605382">
        <w:tab/>
      </w:r>
      <w:r w:rsidR="0076109B">
        <w:t>745</w:t>
      </w:r>
      <w:r w:rsidRPr="00605382">
        <w:t xml:space="preserve"> burden hours x $</w:t>
      </w:r>
      <w:r w:rsidR="0076109B">
        <w:t>31.07</w:t>
      </w:r>
      <w:r w:rsidRPr="00605382">
        <w:t xml:space="preserve"> = $</w:t>
      </w:r>
      <w:r w:rsidR="00EA102E">
        <w:t>23,147</w:t>
      </w:r>
    </w:p>
    <w:p w:rsidR="00D07239" w:rsidP="00691709" w14:paraId="4E9B8BD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p>
    <w:p w:rsidR="00692D5C" w:rsidP="00304602" w14:paraId="58B55CE1" w14:textId="4C8211F6">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r>
        <w:t xml:space="preserve">  </w:t>
      </w:r>
    </w:p>
    <w:p w:rsidR="00692D5C" w:rsidRPr="00692D5C" w:rsidP="00692D5C" w14:paraId="40B90718" w14:textId="644BEE59">
      <w:pPr>
        <w:rPr>
          <w:b/>
        </w:rPr>
      </w:pPr>
      <w:r>
        <w:rPr>
          <w:b/>
        </w:rPr>
        <w:t xml:space="preserve">                   </w:t>
      </w:r>
      <w:r w:rsidRPr="00692D5C">
        <w:rPr>
          <w:b/>
        </w:rPr>
        <w:t>Table 2: Estimated Respondent Hour and Cost Burden</w:t>
      </w:r>
      <w:r w:rsidR="00D86CAC">
        <w:rPr>
          <w:b/>
        </w:rPr>
        <w:t>s</w:t>
      </w:r>
    </w:p>
    <w:p w:rsidR="00A40A14" w:rsidP="00691709" w14:paraId="1551F80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r>
        <w:t xml:space="preserve">  </w:t>
      </w:r>
    </w:p>
    <w:tbl>
      <w:tblPr>
        <w:tblStyle w:val="TableGrid"/>
        <w:tblW w:w="11033" w:type="dxa"/>
        <w:jc w:val="center"/>
        <w:tblLayout w:type="fixed"/>
        <w:tblLook w:val="04A0"/>
      </w:tblPr>
      <w:tblGrid>
        <w:gridCol w:w="1705"/>
        <w:gridCol w:w="1558"/>
        <w:gridCol w:w="1502"/>
        <w:gridCol w:w="1350"/>
        <w:gridCol w:w="1350"/>
        <w:gridCol w:w="990"/>
        <w:gridCol w:w="1108"/>
        <w:gridCol w:w="1470"/>
      </w:tblGrid>
      <w:tr w14:paraId="38E82F6D" w14:textId="77777777" w:rsidTr="00DD5544">
        <w:tblPrEx>
          <w:tblW w:w="11033" w:type="dxa"/>
          <w:jc w:val="center"/>
          <w:tblLayout w:type="fixed"/>
          <w:tblLook w:val="04A0"/>
        </w:tblPrEx>
        <w:trPr>
          <w:trHeight w:val="1067"/>
          <w:tblHeader/>
          <w:jc w:val="center"/>
        </w:trPr>
        <w:tc>
          <w:tcPr>
            <w:tcW w:w="1705" w:type="dxa"/>
            <w:shd w:val="clear" w:color="auto" w:fill="00B0F0"/>
          </w:tcPr>
          <w:p w:rsidR="00BF224E" w:rsidRPr="00114EB7" w:rsidP="00DD5544" w14:paraId="33BD993E" w14:textId="7CB2BF05">
            <w:pPr>
              <w:jc w:val="center"/>
              <w:rPr>
                <w:b/>
                <w:bCs/>
              </w:rPr>
            </w:pPr>
            <w:r>
              <w:rPr>
                <w:b/>
                <w:bCs/>
              </w:rPr>
              <w:t>Collections of Information</w:t>
            </w:r>
          </w:p>
        </w:tc>
        <w:tc>
          <w:tcPr>
            <w:tcW w:w="1558" w:type="dxa"/>
            <w:shd w:val="clear" w:color="auto" w:fill="00B0F0"/>
          </w:tcPr>
          <w:p w:rsidR="00BF224E" w:rsidP="00530B91" w14:paraId="71836939" w14:textId="70572EB4">
            <w:pPr>
              <w:jc w:val="center"/>
              <w:rPr>
                <w:b/>
                <w:bCs/>
              </w:rPr>
            </w:pPr>
            <w:r w:rsidRPr="00114EB7">
              <w:rPr>
                <w:b/>
                <w:bCs/>
              </w:rPr>
              <w:t>N</w:t>
            </w:r>
            <w:r w:rsidR="005A10C7">
              <w:rPr>
                <w:b/>
                <w:bCs/>
              </w:rPr>
              <w:t>umber</w:t>
            </w:r>
            <w:r w:rsidRPr="00114EB7">
              <w:rPr>
                <w:b/>
                <w:bCs/>
              </w:rPr>
              <w:t xml:space="preserve"> of Respondents</w:t>
            </w:r>
          </w:p>
          <w:p w:rsidR="00530B91" w:rsidP="00530B91" w14:paraId="0B9ACACB" w14:textId="77777777">
            <w:pPr>
              <w:jc w:val="center"/>
              <w:rPr>
                <w:b/>
                <w:bCs/>
              </w:rPr>
            </w:pPr>
          </w:p>
          <w:p w:rsidR="00530B91" w:rsidRPr="00DD5544" w:rsidP="00DD5544" w14:paraId="0BACB864" w14:textId="5267063A">
            <w:pPr>
              <w:jc w:val="center"/>
              <w:rPr>
                <w:b/>
                <w:bCs/>
                <w:i/>
                <w:iCs/>
              </w:rPr>
            </w:pPr>
            <w:r w:rsidRPr="00DD5544">
              <w:rPr>
                <w:b/>
                <w:bCs/>
                <w:i/>
                <w:iCs/>
              </w:rPr>
              <w:t>a</w:t>
            </w:r>
          </w:p>
        </w:tc>
        <w:tc>
          <w:tcPr>
            <w:tcW w:w="1502" w:type="dxa"/>
            <w:shd w:val="clear" w:color="auto" w:fill="00B0F0"/>
          </w:tcPr>
          <w:p w:rsidR="00BF224E" w:rsidP="00530B91" w14:paraId="3035C735" w14:textId="5BA7B463">
            <w:pPr>
              <w:jc w:val="center"/>
              <w:rPr>
                <w:b/>
                <w:bCs/>
              </w:rPr>
            </w:pPr>
            <w:r w:rsidRPr="00114EB7">
              <w:rPr>
                <w:b/>
                <w:bCs/>
              </w:rPr>
              <w:t>Responses per Respondent</w:t>
            </w:r>
          </w:p>
          <w:p w:rsidR="00AD31AC" w:rsidRPr="00DD5544" w:rsidP="00DD5544" w14:paraId="7C2A9823" w14:textId="24534598">
            <w:pPr>
              <w:jc w:val="center"/>
              <w:rPr>
                <w:b/>
                <w:bCs/>
                <w:i/>
                <w:iCs/>
              </w:rPr>
            </w:pPr>
            <w:r>
              <w:rPr>
                <w:b/>
                <w:bCs/>
                <w:i/>
                <w:iCs/>
              </w:rPr>
              <w:t>b</w:t>
            </w:r>
          </w:p>
        </w:tc>
        <w:tc>
          <w:tcPr>
            <w:tcW w:w="1350" w:type="dxa"/>
            <w:shd w:val="clear" w:color="auto" w:fill="00B0F0"/>
          </w:tcPr>
          <w:p w:rsidR="00BF224E" w:rsidP="00530B91" w14:paraId="25D07FD4" w14:textId="4BC023B0">
            <w:pPr>
              <w:jc w:val="center"/>
              <w:rPr>
                <w:b/>
                <w:bCs/>
              </w:rPr>
            </w:pPr>
            <w:r w:rsidRPr="00114EB7">
              <w:rPr>
                <w:b/>
                <w:bCs/>
              </w:rPr>
              <w:t>Total Responses</w:t>
            </w:r>
          </w:p>
          <w:p w:rsidR="00AD31AC" w:rsidP="00530B91" w14:paraId="4FE3BD90" w14:textId="77777777">
            <w:pPr>
              <w:jc w:val="center"/>
              <w:rPr>
                <w:b/>
                <w:bCs/>
              </w:rPr>
            </w:pPr>
          </w:p>
          <w:p w:rsidR="00AD31AC" w:rsidRPr="00DD5544" w:rsidP="00DD5544" w14:paraId="091B5F52" w14:textId="75C83993">
            <w:pPr>
              <w:jc w:val="center"/>
              <w:rPr>
                <w:b/>
                <w:bCs/>
                <w:i/>
                <w:iCs/>
              </w:rPr>
            </w:pPr>
            <w:r>
              <w:rPr>
                <w:b/>
                <w:bCs/>
                <w:i/>
                <w:iCs/>
              </w:rPr>
              <w:t>c = a x b</w:t>
            </w:r>
          </w:p>
        </w:tc>
        <w:tc>
          <w:tcPr>
            <w:tcW w:w="1350" w:type="dxa"/>
            <w:shd w:val="clear" w:color="auto" w:fill="00B0F0"/>
          </w:tcPr>
          <w:p w:rsidR="00BF224E" w:rsidP="00530B91" w14:paraId="7DFE3817" w14:textId="1662F99D">
            <w:pPr>
              <w:jc w:val="center"/>
              <w:rPr>
                <w:b/>
                <w:bCs/>
              </w:rPr>
            </w:pPr>
            <w:r>
              <w:rPr>
                <w:b/>
                <w:bCs/>
              </w:rPr>
              <w:t>Time per Response (</w:t>
            </w:r>
            <w:r w:rsidR="0089198A">
              <w:rPr>
                <w:b/>
                <w:bCs/>
              </w:rPr>
              <w:t>i</w:t>
            </w:r>
            <w:r>
              <w:rPr>
                <w:b/>
                <w:bCs/>
              </w:rPr>
              <w:t>n</w:t>
            </w:r>
            <w:r w:rsidR="00AD31AC">
              <w:rPr>
                <w:b/>
                <w:bCs/>
              </w:rPr>
              <w:t xml:space="preserve"> </w:t>
            </w:r>
            <w:r>
              <w:rPr>
                <w:b/>
                <w:bCs/>
              </w:rPr>
              <w:t>Hours)</w:t>
            </w:r>
          </w:p>
          <w:p w:rsidR="00B91400" w:rsidRPr="00DD5544" w:rsidP="00DD5544" w14:paraId="62E11ED3" w14:textId="36CA7104">
            <w:pPr>
              <w:jc w:val="center"/>
              <w:rPr>
                <w:b/>
                <w:bCs/>
                <w:i/>
                <w:iCs/>
              </w:rPr>
            </w:pPr>
            <w:r>
              <w:rPr>
                <w:b/>
                <w:bCs/>
                <w:i/>
                <w:iCs/>
              </w:rPr>
              <w:t>d</w:t>
            </w:r>
          </w:p>
        </w:tc>
        <w:tc>
          <w:tcPr>
            <w:tcW w:w="990" w:type="dxa"/>
            <w:shd w:val="clear" w:color="auto" w:fill="00B0F0"/>
          </w:tcPr>
          <w:p w:rsidR="00BF224E" w:rsidRPr="00114EB7" w:rsidP="0089198A" w14:paraId="71687677" w14:textId="456CFAE2">
            <w:pPr>
              <w:rPr>
                <w:b/>
                <w:bCs/>
              </w:rPr>
            </w:pPr>
            <w:r w:rsidRPr="00114EB7">
              <w:rPr>
                <w:b/>
                <w:bCs/>
              </w:rPr>
              <w:t>Burden</w:t>
            </w:r>
          </w:p>
          <w:p w:rsidR="00BF224E" w:rsidP="00530B91" w14:paraId="41B6A10C" w14:textId="77777777">
            <w:pPr>
              <w:jc w:val="center"/>
              <w:rPr>
                <w:b/>
                <w:bCs/>
              </w:rPr>
            </w:pPr>
            <w:r w:rsidRPr="00114EB7">
              <w:rPr>
                <w:b/>
                <w:bCs/>
              </w:rPr>
              <w:t>Hours</w:t>
            </w:r>
          </w:p>
          <w:p w:rsidR="0055299A" w:rsidP="00530B91" w14:paraId="48EBD0A2" w14:textId="77777777">
            <w:pPr>
              <w:jc w:val="center"/>
              <w:rPr>
                <w:b/>
                <w:bCs/>
              </w:rPr>
            </w:pPr>
          </w:p>
          <w:p w:rsidR="00B91400" w:rsidRPr="00DD5544" w:rsidP="00DD5544" w14:paraId="4F95B00F" w14:textId="738C1378">
            <w:pPr>
              <w:jc w:val="center"/>
              <w:rPr>
                <w:b/>
                <w:bCs/>
                <w:i/>
                <w:iCs/>
              </w:rPr>
            </w:pPr>
            <w:r>
              <w:rPr>
                <w:b/>
                <w:bCs/>
                <w:i/>
                <w:iCs/>
              </w:rPr>
              <w:t xml:space="preserve">e </w:t>
            </w:r>
            <w:r w:rsidR="00D7630D">
              <w:rPr>
                <w:b/>
                <w:bCs/>
                <w:i/>
                <w:iCs/>
              </w:rPr>
              <w:t>=c x d</w:t>
            </w:r>
          </w:p>
        </w:tc>
        <w:tc>
          <w:tcPr>
            <w:tcW w:w="1108" w:type="dxa"/>
            <w:shd w:val="clear" w:color="auto" w:fill="00B0F0"/>
          </w:tcPr>
          <w:p w:rsidR="00BF224E" w:rsidP="00530B91" w14:paraId="5CFD6D18" w14:textId="00E17843">
            <w:pPr>
              <w:jc w:val="center"/>
              <w:rPr>
                <w:b/>
                <w:bCs/>
              </w:rPr>
            </w:pPr>
            <w:r>
              <w:rPr>
                <w:b/>
                <w:bCs/>
              </w:rPr>
              <w:t>Loaded Hourly Wage</w:t>
            </w:r>
          </w:p>
          <w:p w:rsidR="00D7630D" w:rsidRPr="00DD5544" w:rsidP="00DD5544" w14:paraId="3C9020F7" w14:textId="087A615F">
            <w:pPr>
              <w:jc w:val="center"/>
              <w:rPr>
                <w:b/>
                <w:bCs/>
                <w:i/>
                <w:iCs/>
              </w:rPr>
            </w:pPr>
            <w:r>
              <w:rPr>
                <w:b/>
                <w:bCs/>
                <w:i/>
                <w:iCs/>
              </w:rPr>
              <w:t>f</w:t>
            </w:r>
          </w:p>
        </w:tc>
        <w:tc>
          <w:tcPr>
            <w:tcW w:w="1470" w:type="dxa"/>
            <w:shd w:val="clear" w:color="auto" w:fill="00B0F0"/>
          </w:tcPr>
          <w:p w:rsidR="00BF224E" w:rsidP="00530B91" w14:paraId="1E820A10" w14:textId="64CF52BE">
            <w:pPr>
              <w:jc w:val="center"/>
              <w:rPr>
                <w:b/>
                <w:bCs/>
              </w:rPr>
            </w:pPr>
            <w:r>
              <w:rPr>
                <w:b/>
                <w:bCs/>
              </w:rPr>
              <w:t>Burden Costs</w:t>
            </w:r>
          </w:p>
          <w:p w:rsidR="00D7630D" w:rsidP="00530B91" w14:paraId="543E66F1" w14:textId="77777777">
            <w:pPr>
              <w:jc w:val="center"/>
              <w:rPr>
                <w:b/>
                <w:bCs/>
              </w:rPr>
            </w:pPr>
          </w:p>
          <w:p w:rsidR="00D7630D" w:rsidRPr="00DD5544" w:rsidP="00DD5544" w14:paraId="004D84B1" w14:textId="7EF0E9EC">
            <w:pPr>
              <w:jc w:val="center"/>
              <w:rPr>
                <w:b/>
                <w:bCs/>
                <w:i/>
                <w:iCs/>
              </w:rPr>
            </w:pPr>
            <w:r>
              <w:rPr>
                <w:b/>
                <w:bCs/>
                <w:i/>
                <w:iCs/>
              </w:rPr>
              <w:t>g =e x f</w:t>
            </w:r>
          </w:p>
        </w:tc>
      </w:tr>
      <w:tr w14:paraId="72729119" w14:textId="77777777" w:rsidTr="00BD2A99">
        <w:tblPrEx>
          <w:tblW w:w="11033" w:type="dxa"/>
          <w:jc w:val="center"/>
          <w:tblLayout w:type="fixed"/>
          <w:tblLook w:val="04A0"/>
        </w:tblPrEx>
        <w:trPr>
          <w:jc w:val="center"/>
        </w:trPr>
        <w:tc>
          <w:tcPr>
            <w:tcW w:w="11033" w:type="dxa"/>
            <w:gridSpan w:val="8"/>
          </w:tcPr>
          <w:p w:rsidR="00BF224E" w:rsidRPr="00BF224E" w:rsidP="00692D5C" w14:paraId="3E703A1F" w14:textId="77777777">
            <w:pPr>
              <w:rPr>
                <w:b/>
              </w:rPr>
            </w:pPr>
            <w:r w:rsidRPr="00BF224E">
              <w:rPr>
                <w:b/>
              </w:rPr>
              <w:t>Inspection and Certification of Resistance Welding Equipment (1910.255(e)</w:t>
            </w:r>
          </w:p>
        </w:tc>
      </w:tr>
      <w:tr w14:paraId="05F3F839" w14:textId="77777777" w:rsidTr="00DD5544">
        <w:tblPrEx>
          <w:tblW w:w="11033" w:type="dxa"/>
          <w:jc w:val="center"/>
          <w:tblLayout w:type="fixed"/>
          <w:tblLook w:val="04A0"/>
        </w:tblPrEx>
        <w:trPr>
          <w:jc w:val="center"/>
        </w:trPr>
        <w:tc>
          <w:tcPr>
            <w:tcW w:w="1705" w:type="dxa"/>
          </w:tcPr>
          <w:p w:rsidR="00BF224E" w:rsidRPr="00BF224E" w:rsidP="00692D5C" w14:paraId="3035641E" w14:textId="77777777">
            <w:r w:rsidRPr="00BF224E">
              <w:t>Welder</w:t>
            </w:r>
          </w:p>
        </w:tc>
        <w:tc>
          <w:tcPr>
            <w:tcW w:w="1558" w:type="dxa"/>
            <w:vAlign w:val="center"/>
          </w:tcPr>
          <w:p w:rsidR="00BF224E" w:rsidRPr="00BF224E" w:rsidP="00DD5544" w14:paraId="0B4EAC71" w14:textId="01A250EC">
            <w:pPr>
              <w:jc w:val="center"/>
            </w:pPr>
            <w:r>
              <w:t>22,352</w:t>
            </w:r>
          </w:p>
        </w:tc>
        <w:tc>
          <w:tcPr>
            <w:tcW w:w="1502" w:type="dxa"/>
            <w:vAlign w:val="center"/>
          </w:tcPr>
          <w:p w:rsidR="00BF224E" w:rsidRPr="00BF224E" w:rsidP="00DD5544" w14:paraId="643A20D9" w14:textId="77777777">
            <w:pPr>
              <w:jc w:val="center"/>
            </w:pPr>
            <w:r w:rsidRPr="00BF224E">
              <w:t>2</w:t>
            </w:r>
          </w:p>
        </w:tc>
        <w:tc>
          <w:tcPr>
            <w:tcW w:w="1350" w:type="dxa"/>
            <w:vAlign w:val="center"/>
          </w:tcPr>
          <w:p w:rsidR="00BF224E" w:rsidRPr="00BF224E" w:rsidP="00DD5544" w14:paraId="250B0EB5" w14:textId="4B072495">
            <w:pPr>
              <w:jc w:val="center"/>
            </w:pPr>
            <w:r>
              <w:t>44,704</w:t>
            </w:r>
          </w:p>
        </w:tc>
        <w:tc>
          <w:tcPr>
            <w:tcW w:w="1350" w:type="dxa"/>
            <w:vAlign w:val="center"/>
          </w:tcPr>
          <w:p w:rsidR="00BF224E" w:rsidRPr="00BF224E" w:rsidP="00DD5544" w14:paraId="3440027B" w14:textId="77777777">
            <w:pPr>
              <w:jc w:val="center"/>
            </w:pPr>
            <w:r w:rsidRPr="00BF224E">
              <w:t>7/60</w:t>
            </w:r>
          </w:p>
        </w:tc>
        <w:tc>
          <w:tcPr>
            <w:tcW w:w="990" w:type="dxa"/>
            <w:vAlign w:val="center"/>
          </w:tcPr>
          <w:p w:rsidR="00BF224E" w:rsidRPr="00BF224E" w:rsidP="00DD5544" w14:paraId="16AC0287" w14:textId="3B564089">
            <w:pPr>
              <w:jc w:val="center"/>
            </w:pPr>
            <w:r>
              <w:t>5,215</w:t>
            </w:r>
          </w:p>
        </w:tc>
        <w:tc>
          <w:tcPr>
            <w:tcW w:w="1108" w:type="dxa"/>
            <w:vAlign w:val="center"/>
          </w:tcPr>
          <w:p w:rsidR="00BF224E" w:rsidRPr="00BF224E" w:rsidP="00DD5544" w14:paraId="5FE9A05A" w14:textId="76F6A0B5">
            <w:pPr>
              <w:jc w:val="center"/>
            </w:pPr>
            <w:r w:rsidRPr="00BF224E">
              <w:t>$</w:t>
            </w:r>
            <w:r w:rsidR="004B54AB">
              <w:t>35.95</w:t>
            </w:r>
          </w:p>
        </w:tc>
        <w:tc>
          <w:tcPr>
            <w:tcW w:w="1470" w:type="dxa"/>
            <w:vAlign w:val="center"/>
          </w:tcPr>
          <w:p w:rsidR="00BF224E" w:rsidRPr="00BF224E" w:rsidP="00DD5544" w14:paraId="20B97616" w14:textId="46E0A5D2">
            <w:pPr>
              <w:jc w:val="center"/>
            </w:pPr>
            <w:r w:rsidRPr="00BF224E">
              <w:t>$</w:t>
            </w:r>
            <w:r w:rsidR="00AB3826">
              <w:t>187,479</w:t>
            </w:r>
          </w:p>
        </w:tc>
      </w:tr>
      <w:tr w14:paraId="2F865E4D" w14:textId="77777777" w:rsidTr="00DD5544">
        <w:tblPrEx>
          <w:tblW w:w="11033" w:type="dxa"/>
          <w:jc w:val="center"/>
          <w:tblLayout w:type="fixed"/>
          <w:tblLook w:val="04A0"/>
        </w:tblPrEx>
        <w:trPr>
          <w:jc w:val="center"/>
        </w:trPr>
        <w:tc>
          <w:tcPr>
            <w:tcW w:w="1705" w:type="dxa"/>
          </w:tcPr>
          <w:p w:rsidR="00BF224E" w:rsidRPr="00BF224E" w:rsidP="00692D5C" w14:paraId="7B864818" w14:textId="77777777">
            <w:r w:rsidRPr="00BF224E">
              <w:t>Clerical/ Administrative Assistant</w:t>
            </w:r>
          </w:p>
        </w:tc>
        <w:tc>
          <w:tcPr>
            <w:tcW w:w="1558" w:type="dxa"/>
            <w:vAlign w:val="center"/>
          </w:tcPr>
          <w:p w:rsidR="00BF224E" w:rsidRPr="00BF224E" w:rsidP="00DD5544" w14:paraId="6988B30F" w14:textId="29399E48">
            <w:pPr>
              <w:jc w:val="center"/>
            </w:pPr>
            <w:r>
              <w:t>22,352</w:t>
            </w:r>
          </w:p>
        </w:tc>
        <w:tc>
          <w:tcPr>
            <w:tcW w:w="1502" w:type="dxa"/>
            <w:vAlign w:val="center"/>
          </w:tcPr>
          <w:p w:rsidR="00BF224E" w:rsidRPr="00BF224E" w:rsidP="00DD5544" w14:paraId="3C4A277B" w14:textId="77777777">
            <w:pPr>
              <w:jc w:val="center"/>
            </w:pPr>
            <w:r w:rsidRPr="00BF224E">
              <w:t>2</w:t>
            </w:r>
          </w:p>
        </w:tc>
        <w:tc>
          <w:tcPr>
            <w:tcW w:w="1350" w:type="dxa"/>
            <w:vAlign w:val="center"/>
          </w:tcPr>
          <w:p w:rsidR="00BF224E" w:rsidRPr="00BF224E" w:rsidP="00DD5544" w14:paraId="03D97C25" w14:textId="227A09D9">
            <w:pPr>
              <w:jc w:val="center"/>
            </w:pPr>
            <w:r>
              <w:t>44,704</w:t>
            </w:r>
          </w:p>
        </w:tc>
        <w:tc>
          <w:tcPr>
            <w:tcW w:w="1350" w:type="dxa"/>
            <w:vAlign w:val="center"/>
          </w:tcPr>
          <w:p w:rsidR="00BF224E" w:rsidRPr="00BF224E" w:rsidP="00DD5544" w14:paraId="497C3E7B" w14:textId="77777777">
            <w:pPr>
              <w:jc w:val="center"/>
            </w:pPr>
            <w:r w:rsidRPr="00BF224E">
              <w:t>1/60</w:t>
            </w:r>
          </w:p>
        </w:tc>
        <w:tc>
          <w:tcPr>
            <w:tcW w:w="990" w:type="dxa"/>
            <w:vAlign w:val="center"/>
          </w:tcPr>
          <w:p w:rsidR="00BF224E" w:rsidRPr="00BF224E" w:rsidP="00DD5544" w14:paraId="3E75C083" w14:textId="14BBD54F">
            <w:pPr>
              <w:jc w:val="center"/>
            </w:pPr>
            <w:r>
              <w:t>745</w:t>
            </w:r>
          </w:p>
        </w:tc>
        <w:tc>
          <w:tcPr>
            <w:tcW w:w="1108" w:type="dxa"/>
            <w:vAlign w:val="center"/>
          </w:tcPr>
          <w:p w:rsidR="00BF224E" w:rsidRPr="00BF224E" w:rsidP="00DD5544" w14:paraId="46673489" w14:textId="04F3052E">
            <w:pPr>
              <w:jc w:val="center"/>
            </w:pPr>
            <w:r w:rsidRPr="00BF224E">
              <w:t>$</w:t>
            </w:r>
            <w:r w:rsidR="004B54AB">
              <w:t>31</w:t>
            </w:r>
            <w:r w:rsidR="00612890">
              <w:t>.07</w:t>
            </w:r>
          </w:p>
        </w:tc>
        <w:tc>
          <w:tcPr>
            <w:tcW w:w="1470" w:type="dxa"/>
            <w:vAlign w:val="center"/>
          </w:tcPr>
          <w:p w:rsidR="00BF224E" w:rsidRPr="00BF224E" w:rsidP="00DD5544" w14:paraId="00574889" w14:textId="3F276A33">
            <w:pPr>
              <w:jc w:val="center"/>
            </w:pPr>
            <w:r w:rsidRPr="00BF224E">
              <w:t>$</w:t>
            </w:r>
            <w:r w:rsidR="00AB3826">
              <w:t>23,147</w:t>
            </w:r>
          </w:p>
        </w:tc>
      </w:tr>
      <w:tr w14:paraId="74B637C2" w14:textId="77777777" w:rsidTr="00DD5544">
        <w:tblPrEx>
          <w:tblW w:w="11033" w:type="dxa"/>
          <w:jc w:val="center"/>
          <w:tblLayout w:type="fixed"/>
          <w:tblLook w:val="04A0"/>
        </w:tblPrEx>
        <w:trPr>
          <w:jc w:val="center"/>
        </w:trPr>
        <w:tc>
          <w:tcPr>
            <w:tcW w:w="1705" w:type="dxa"/>
          </w:tcPr>
          <w:p w:rsidR="00BF224E" w:rsidRPr="00BF224E" w:rsidP="00692D5C" w14:paraId="50DC8218" w14:textId="77777777">
            <w:pPr>
              <w:rPr>
                <w:b/>
              </w:rPr>
            </w:pPr>
            <w:r w:rsidRPr="00BF224E">
              <w:rPr>
                <w:b/>
              </w:rPr>
              <w:t>Total</w:t>
            </w:r>
          </w:p>
        </w:tc>
        <w:tc>
          <w:tcPr>
            <w:tcW w:w="1558" w:type="dxa"/>
            <w:vAlign w:val="center"/>
          </w:tcPr>
          <w:p w:rsidR="00BF224E" w:rsidRPr="00BF224E" w:rsidP="00DD5544" w14:paraId="3677BDF1" w14:textId="6622053C">
            <w:pPr>
              <w:jc w:val="center"/>
              <w:rPr>
                <w:b/>
              </w:rPr>
            </w:pPr>
            <w:r>
              <w:rPr>
                <w:b/>
              </w:rPr>
              <w:t>22,352</w:t>
            </w:r>
            <w:r w:rsidR="00F26373">
              <w:rPr>
                <w:b/>
              </w:rPr>
              <w:t>*</w:t>
            </w:r>
          </w:p>
        </w:tc>
        <w:tc>
          <w:tcPr>
            <w:tcW w:w="1502" w:type="dxa"/>
            <w:vAlign w:val="center"/>
          </w:tcPr>
          <w:p w:rsidR="00BF224E" w:rsidRPr="00BF224E" w:rsidP="00DD5544" w14:paraId="2ABE9D9E" w14:textId="059F0288">
            <w:pPr>
              <w:jc w:val="center"/>
              <w:rPr>
                <w:b/>
              </w:rPr>
            </w:pPr>
            <w:r w:rsidRPr="00BF224E">
              <w:rPr>
                <w:b/>
              </w:rPr>
              <w:t>--</w:t>
            </w:r>
          </w:p>
        </w:tc>
        <w:tc>
          <w:tcPr>
            <w:tcW w:w="1350" w:type="dxa"/>
            <w:vAlign w:val="center"/>
          </w:tcPr>
          <w:p w:rsidR="00BF224E" w:rsidRPr="00BF224E" w:rsidP="00DD5544" w14:paraId="6DB192C8" w14:textId="422FBF6A">
            <w:pPr>
              <w:jc w:val="center"/>
              <w:rPr>
                <w:b/>
              </w:rPr>
            </w:pPr>
            <w:r>
              <w:rPr>
                <w:b/>
              </w:rPr>
              <w:t>89,408</w:t>
            </w:r>
          </w:p>
        </w:tc>
        <w:tc>
          <w:tcPr>
            <w:tcW w:w="1350" w:type="dxa"/>
            <w:vAlign w:val="center"/>
          </w:tcPr>
          <w:p w:rsidR="00BF224E" w:rsidRPr="00BF224E" w:rsidP="00DD5544" w14:paraId="5059016F" w14:textId="4030BE19">
            <w:pPr>
              <w:jc w:val="center"/>
              <w:rPr>
                <w:b/>
              </w:rPr>
            </w:pPr>
            <w:r w:rsidRPr="00BF224E">
              <w:rPr>
                <w:b/>
              </w:rPr>
              <w:t>--</w:t>
            </w:r>
          </w:p>
        </w:tc>
        <w:tc>
          <w:tcPr>
            <w:tcW w:w="990" w:type="dxa"/>
            <w:vAlign w:val="center"/>
          </w:tcPr>
          <w:p w:rsidR="00BF224E" w:rsidRPr="00BF224E" w:rsidP="00DD5544" w14:paraId="0198E60E" w14:textId="70FB0A9D">
            <w:pPr>
              <w:jc w:val="center"/>
              <w:rPr>
                <w:b/>
              </w:rPr>
            </w:pPr>
            <w:r>
              <w:rPr>
                <w:b/>
              </w:rPr>
              <w:t>5,960</w:t>
            </w:r>
          </w:p>
        </w:tc>
        <w:tc>
          <w:tcPr>
            <w:tcW w:w="1108" w:type="dxa"/>
            <w:vAlign w:val="center"/>
          </w:tcPr>
          <w:p w:rsidR="00BF224E" w:rsidRPr="00BF224E" w:rsidP="00DD5544" w14:paraId="61BE5BAF" w14:textId="28F9A2BE">
            <w:pPr>
              <w:jc w:val="center"/>
              <w:rPr>
                <w:b/>
              </w:rPr>
            </w:pPr>
            <w:r w:rsidRPr="00BF224E">
              <w:rPr>
                <w:b/>
              </w:rPr>
              <w:t>--</w:t>
            </w:r>
          </w:p>
        </w:tc>
        <w:tc>
          <w:tcPr>
            <w:tcW w:w="1470" w:type="dxa"/>
            <w:vAlign w:val="center"/>
          </w:tcPr>
          <w:p w:rsidR="00BF224E" w:rsidRPr="00BF224E" w:rsidP="00DD5544" w14:paraId="5ED0360B" w14:textId="1E8C3B78">
            <w:pPr>
              <w:jc w:val="center"/>
              <w:rPr>
                <w:b/>
              </w:rPr>
            </w:pPr>
            <w:r>
              <w:rPr>
                <w:b/>
              </w:rPr>
              <w:t>$</w:t>
            </w:r>
            <w:r w:rsidR="00A33460">
              <w:rPr>
                <w:b/>
                <w:bCs/>
              </w:rPr>
              <w:t>210,626</w:t>
            </w:r>
          </w:p>
        </w:tc>
      </w:tr>
    </w:tbl>
    <w:p w:rsidR="00876408" w:rsidRPr="00E516F6" w:rsidP="00F967A2" w14:paraId="5A26DA14" w14:textId="0C00A86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both"/>
      </w:pPr>
      <w:r>
        <w:rPr>
          <w:b/>
        </w:rPr>
        <w:t xml:space="preserve">* </w:t>
      </w:r>
      <w:r w:rsidR="005811A3">
        <w:rPr>
          <w:b/>
        </w:rPr>
        <w:t xml:space="preserve">Number of </w:t>
      </w:r>
      <w:r w:rsidR="007B41A9">
        <w:rPr>
          <w:b/>
        </w:rPr>
        <w:t>Respondents</w:t>
      </w:r>
      <w:r w:rsidR="00B3125F">
        <w:rPr>
          <w:b/>
        </w:rPr>
        <w:t xml:space="preserve">                         </w:t>
      </w:r>
    </w:p>
    <w:p w:rsidR="00876408" w:rsidP="00691709" w14:paraId="1F8929D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bCs/>
        </w:rPr>
      </w:pPr>
    </w:p>
    <w:p w:rsidR="00691709" w:rsidRPr="00605382" w:rsidP="00691709" w14:paraId="6C16677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 w:rsidRPr="00605382">
        <w:rPr>
          <w:b/>
          <w:bCs/>
        </w:rPr>
        <w:t>13</w:t>
      </w:r>
      <w:r w:rsidRPr="00605382">
        <w:rPr>
          <w:b/>
          <w:bCs/>
        </w:rPr>
        <w:t>.  Provide</w:t>
      </w:r>
      <w:r w:rsidRPr="00605382">
        <w:rPr>
          <w:b/>
          <w:bCs/>
        </w:rPr>
        <w:t xml:space="preserve"> an estimate of the total annual cost burden to respondents or record keepers resulting from the collection of information.  (Do not include the cost of any hour burden shown in Items 12 and 14.)</w:t>
      </w:r>
    </w:p>
    <w:p w:rsidR="00691709" w:rsidRPr="00605382" w:rsidP="00691709" w14:paraId="328BCB3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691709" w:rsidRPr="00605382" w:rsidP="00691709" w14:paraId="3800FE56" w14:textId="449CB2CA">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
        <w:t>T</w:t>
      </w:r>
      <w:r w:rsidRPr="00BF224E" w:rsidR="00B3125F">
        <w:t>here are no additional costs to the respondent</w:t>
      </w:r>
      <w:r w:rsidRPr="00605382" w:rsidR="00B3125F">
        <w:t>.</w:t>
      </w:r>
    </w:p>
    <w:p w:rsidR="00691709" w:rsidRPr="00605382" w:rsidP="00691709" w14:paraId="192A09E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691709" w:rsidRPr="00605382" w:rsidP="00691709" w14:paraId="7CCAA287"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bCs/>
        </w:rPr>
      </w:pPr>
      <w:r w:rsidRPr="00605382">
        <w:rPr>
          <w:b/>
          <w:bCs/>
        </w:rPr>
        <w:t>14</w:t>
      </w:r>
      <w:r w:rsidRPr="00605382">
        <w:rPr>
          <w:b/>
          <w:bCs/>
        </w:rPr>
        <w:t>.  Provide</w:t>
      </w:r>
      <w:r w:rsidRPr="00605382">
        <w:rPr>
          <w:b/>
          <w:bCs/>
        </w:rPr>
        <w:t xml:space="preserve"> estimates of the annualized cost to the Federal Government.  Also, provide a description of the method used to estimate </w:t>
      </w:r>
      <w:r w:rsidRPr="00605382">
        <w:rPr>
          <w:b/>
          <w:bCs/>
        </w:rPr>
        <w:t>cost</w:t>
      </w:r>
      <w:r w:rsidRPr="00605382">
        <w:rPr>
          <w:b/>
          <w:bCs/>
        </w:rPr>
        <w: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691709" w:rsidRPr="00605382" w:rsidP="00691709" w14:paraId="04CA1D6B"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691709" w:rsidRPr="00605382" w:rsidP="00691709" w14:paraId="58D73576" w14:textId="77777777">
      <w:pPr>
        <w:tabs>
          <w:tab w:val="left" w:pos="0"/>
        </w:tabs>
        <w:jc w:val="both"/>
        <w:rPr>
          <w:bCs/>
        </w:rPr>
      </w:pPr>
      <w:r w:rsidRPr="00605382">
        <w:rPr>
          <w:bCs/>
        </w:rPr>
        <w:t>There is no cost to the Federal Government.</w:t>
      </w:r>
    </w:p>
    <w:p w:rsidR="00691709" w:rsidRPr="00605382" w:rsidP="00691709" w14:paraId="532AD46C"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rPr>
      </w:pPr>
    </w:p>
    <w:p w:rsidR="00691709" w:rsidRPr="00605382" w:rsidP="00691709" w14:paraId="2D2403EF"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r w:rsidRPr="00605382">
        <w:rPr>
          <w:b/>
          <w:bCs/>
        </w:rPr>
        <w:t>15</w:t>
      </w:r>
      <w:r w:rsidRPr="00605382">
        <w:rPr>
          <w:b/>
          <w:bCs/>
        </w:rPr>
        <w:t>.</w:t>
      </w:r>
      <w:r w:rsidRPr="00605382">
        <w:t xml:space="preserve">  </w:t>
      </w:r>
      <w:r w:rsidRPr="00605382">
        <w:rPr>
          <w:b/>
          <w:bCs/>
        </w:rPr>
        <w:t>Explain</w:t>
      </w:r>
      <w:r w:rsidRPr="00605382">
        <w:rPr>
          <w:b/>
          <w:bCs/>
        </w:rPr>
        <w:t xml:space="preserve"> the reasons for any program changes or adjustments.</w:t>
      </w:r>
    </w:p>
    <w:p w:rsidR="00691709" w:rsidRPr="00605382" w:rsidP="00691709" w14:paraId="59B7B35A"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p>
    <w:p w:rsidR="00B649CD" w:rsidRPr="00605382" w:rsidP="00691709" w14:paraId="63504D68" w14:textId="1713E1AE">
      <w:r>
        <w:t xml:space="preserve">The </w:t>
      </w:r>
      <w:r w:rsidR="00452418">
        <w:t>a</w:t>
      </w:r>
      <w:r>
        <w:t xml:space="preserve">gency requests an adjustment </w:t>
      </w:r>
      <w:r w:rsidR="00384A8A">
        <w:t>increase</w:t>
      </w:r>
      <w:r>
        <w:t xml:space="preserve"> of</w:t>
      </w:r>
      <w:r w:rsidR="0029017E">
        <w:t xml:space="preserve"> </w:t>
      </w:r>
      <w:r w:rsidR="00384A8A">
        <w:t>341</w:t>
      </w:r>
      <w:r>
        <w:t xml:space="preserve"> burden hours (from </w:t>
      </w:r>
      <w:r w:rsidR="007B41A9">
        <w:t>5,619</w:t>
      </w:r>
      <w:r>
        <w:t xml:space="preserve"> burden hours</w:t>
      </w:r>
      <w:r w:rsidR="008E4E05">
        <w:t xml:space="preserve"> to</w:t>
      </w:r>
      <w:r w:rsidR="000051D3">
        <w:t xml:space="preserve"> </w:t>
      </w:r>
      <w:r w:rsidR="007B41A9">
        <w:t>5,960</w:t>
      </w:r>
      <w:r w:rsidR="000051D3">
        <w:t xml:space="preserve"> burden hours</w:t>
      </w:r>
      <w:r>
        <w:t xml:space="preserve">) associated with the collections of information in the Welding, Cutting, and Brazing Standard. </w:t>
      </w:r>
      <w:r w:rsidR="00CE1906">
        <w:t>This</w:t>
      </w:r>
      <w:r w:rsidR="00806116">
        <w:t xml:space="preserve"> adjustment </w:t>
      </w:r>
      <w:r w:rsidR="00F85DA2">
        <w:t>increase</w:t>
      </w:r>
      <w:r w:rsidR="00806116">
        <w:t xml:space="preserve"> is </w:t>
      </w:r>
      <w:r w:rsidR="00722C7E">
        <w:t>due to</w:t>
      </w:r>
      <w:r w:rsidR="473D391B">
        <w:t xml:space="preserve"> a</w:t>
      </w:r>
      <w:r w:rsidR="00F85DA2">
        <w:t>n</w:t>
      </w:r>
      <w:r w:rsidR="00806116">
        <w:t xml:space="preserve"> </w:t>
      </w:r>
      <w:r w:rsidR="0023066C">
        <w:t>increase</w:t>
      </w:r>
      <w:r w:rsidR="00164A5A">
        <w:t xml:space="preserve"> in the number</w:t>
      </w:r>
      <w:r>
        <w:t xml:space="preserve"> </w:t>
      </w:r>
      <w:r w:rsidR="00CE4794">
        <w:t xml:space="preserve">of </w:t>
      </w:r>
      <w:r>
        <w:t xml:space="preserve">welders, cutters, solders, and </w:t>
      </w:r>
      <w:r>
        <w:t>brazers</w:t>
      </w:r>
      <w:r>
        <w:t xml:space="preserve"> in general industry </w:t>
      </w:r>
      <w:r w:rsidR="00B96445">
        <w:t xml:space="preserve">going </w:t>
      </w:r>
      <w:r>
        <w:t>from</w:t>
      </w:r>
      <w:r w:rsidR="00D83548">
        <w:t xml:space="preserve"> </w:t>
      </w:r>
      <w:r w:rsidR="009125D0">
        <w:t>21,070</w:t>
      </w:r>
      <w:r w:rsidR="008E7A71">
        <w:t xml:space="preserve"> to </w:t>
      </w:r>
      <w:r w:rsidR="009125D0">
        <w:t>22,352</w:t>
      </w:r>
      <w:r w:rsidR="00EA7DB6">
        <w:t xml:space="preserve"> worker</w:t>
      </w:r>
      <w:r w:rsidR="00E40FD7">
        <w:t>s</w:t>
      </w:r>
      <w:r w:rsidR="00806A08">
        <w:t>.</w:t>
      </w:r>
      <w:r>
        <w:t xml:space="preserve">  Also, the total number of responses went from </w:t>
      </w:r>
      <w:r w:rsidR="00174FD6">
        <w:t>84,280</w:t>
      </w:r>
      <w:r>
        <w:t xml:space="preserve"> to </w:t>
      </w:r>
      <w:r w:rsidR="00174FD6">
        <w:t>89,408</w:t>
      </w:r>
      <w:r>
        <w:t xml:space="preserve">, </w:t>
      </w:r>
      <w:r w:rsidR="00E32986">
        <w:t>an increase of</w:t>
      </w:r>
      <w:r>
        <w:t xml:space="preserve"> </w:t>
      </w:r>
      <w:r w:rsidR="007B6C3E">
        <w:t>5,128</w:t>
      </w:r>
      <w:r>
        <w:t xml:space="preserve"> responses as result of the change in respondents.</w:t>
      </w:r>
    </w:p>
    <w:p w:rsidR="00691709" w:rsidRPr="00605382" w:rsidP="00691709" w14:paraId="7A631C3B"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rPr>
      </w:pPr>
    </w:p>
    <w:p w:rsidR="00691709" w:rsidRPr="00605382" w:rsidP="00691709" w14:paraId="473EFD58" w14:textId="70C57B84">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rPr>
      </w:pPr>
      <w:r w:rsidRPr="00605382">
        <w:rPr>
          <w:b/>
          <w:bCs/>
        </w:rPr>
        <w:t>16</w:t>
      </w:r>
      <w:r w:rsidRPr="00605382">
        <w:rPr>
          <w:b/>
          <w:bCs/>
        </w:rPr>
        <w:t>.  For</w:t>
      </w:r>
      <w:r w:rsidRPr="00605382">
        <w:rPr>
          <w:b/>
          <w:bCs/>
        </w:rPr>
        <w:t xml:space="preserve">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691709" w:rsidRPr="00605382" w:rsidP="00691709" w14:paraId="5689E0D3"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p>
    <w:p w:rsidR="00691709" w:rsidRPr="00605382" w:rsidP="00691709" w14:paraId="0282DFEA" w14:textId="632076B4">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r w:rsidRPr="00605382">
        <w:t xml:space="preserve">OSHA will not publish the information collected under the </w:t>
      </w:r>
      <w:r w:rsidR="00AD5793">
        <w:t>S</w:t>
      </w:r>
      <w:r w:rsidRPr="00605382">
        <w:t>tandard.</w:t>
      </w:r>
    </w:p>
    <w:p w:rsidR="00691709" w:rsidRPr="00605382" w:rsidP="00691709" w14:paraId="71D4BEA4"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p>
    <w:p w:rsidR="00691709" w:rsidRPr="00605382" w:rsidP="00691709" w14:paraId="09A280FC"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rPr>
      </w:pPr>
      <w:r w:rsidRPr="00605382">
        <w:rPr>
          <w:b/>
          <w:bCs/>
        </w:rPr>
        <w:t>17</w:t>
      </w:r>
      <w:r w:rsidRPr="00605382">
        <w:rPr>
          <w:b/>
          <w:bCs/>
        </w:rPr>
        <w:t>.  If</w:t>
      </w:r>
      <w:r w:rsidRPr="00605382">
        <w:rPr>
          <w:b/>
          <w:bCs/>
        </w:rPr>
        <w:t xml:space="preserve"> seeking approval to not display the expiration date for OMB approval of the information collection, explain the reasons that display would be inappropriate.</w:t>
      </w:r>
    </w:p>
    <w:p w:rsidR="00691709" w:rsidRPr="00605382" w:rsidP="00691709" w14:paraId="3A3B0137" w14:textId="77777777"/>
    <w:p w:rsidR="00691709" w:rsidRPr="00605382" w:rsidP="00691709" w14:paraId="04AA6144" w14:textId="007003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05382">
        <w:t>OSHA lists current valid control numbers in §§1910.8, 1915.8, 1917.4, 1918.4</w:t>
      </w:r>
      <w:r w:rsidR="00537D25">
        <w:t>,</w:t>
      </w:r>
      <w:r w:rsidRPr="00605382">
        <w:t xml:space="preserve"> and 1926.5 and publishes the expiration date in a Federal Register notice announcing OMB approval of the information collection requirement (see 5 CFR 1320.3(f)(3)). OSHA believes that this is the most appropriate and accurate mechanism to inform interested parties of these expiration dates.</w:t>
      </w:r>
    </w:p>
    <w:p w:rsidR="00692D5C" w:rsidP="00691709" w14:paraId="2CCD5A4C"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rPr>
      </w:pPr>
    </w:p>
    <w:p w:rsidR="00691709" w:rsidRPr="00605382" w:rsidP="00691709" w14:paraId="5D0DCEC7"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r w:rsidRPr="00605382">
        <w:rPr>
          <w:b/>
          <w:bCs/>
        </w:rPr>
        <w:t>18</w:t>
      </w:r>
      <w:r w:rsidRPr="00605382">
        <w:rPr>
          <w:b/>
          <w:bCs/>
        </w:rPr>
        <w:t>.  Explain</w:t>
      </w:r>
      <w:r w:rsidRPr="00605382">
        <w:rPr>
          <w:b/>
          <w:bCs/>
        </w:rPr>
        <w:t xml:space="preserve"> each exception to the certification statement</w:t>
      </w:r>
    </w:p>
    <w:p w:rsidR="00691709" w:rsidRPr="00605382" w:rsidP="00691709" w14:paraId="75C298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1709" w:rsidRPr="00605382" w:rsidP="00691709" w14:paraId="456E1C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5382">
        <w:t>OSHA is not seeking an exception to the certification statement.</w:t>
      </w:r>
    </w:p>
    <w:p w:rsidR="00691709" w:rsidRPr="00605382" w:rsidP="00691709" w14:paraId="2C5528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p>
    <w:p w:rsidR="00691709" w:rsidRPr="00605382" w:rsidP="00691709" w14:paraId="5A0023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r w:rsidRPr="00605382">
        <w:rPr>
          <w:b/>
        </w:rPr>
        <w:t>B. COLLECTIONS OF INFORMATON EMPLOYING STATISTICAL METHODS</w:t>
      </w:r>
    </w:p>
    <w:p w:rsidR="00691709" w:rsidRPr="00605382" w:rsidP="00691709" w14:paraId="52618D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91709" w:rsidRPr="00605382" w:rsidP="00691709" w14:paraId="0370E7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5382">
        <w:t>This Supporting Statement does not contain any collection of information requirements that employ statistical methods.</w:t>
      </w:r>
    </w:p>
    <w:p w:rsidR="00550B98" w14:paraId="5B442F70" w14:textId="77777777">
      <w:pPr>
        <w:rPr>
          <w:b/>
          <w:bCs/>
        </w:rPr>
      </w:pPr>
    </w:p>
    <w:sectPr w:rsidSect="00692D5C">
      <w:headerReference w:type="default" r:id="rId13"/>
      <w:footerReference w:type="even" r:id="rId14"/>
      <w:footerReference w:type="default" r:id="rId15"/>
      <w:headerReference w:type="first" r:id="rId16"/>
      <w:pgSz w:w="12240" w:h="15840"/>
      <w:pgMar w:top="36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1709" w:rsidP="00C24E56" w14:paraId="3B2A6AD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1709" w14:paraId="655198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1709" w14:paraId="69CA1FDE" w14:textId="77777777">
    <w:pPr>
      <w:spacing w:line="240" w:lineRule="exact"/>
    </w:pPr>
  </w:p>
  <w:p w:rsidR="00691709" w:rsidP="00C24E56" w14:paraId="0A356A7C" w14:textId="66B409A8">
    <w:pPr>
      <w:framePr w:wrap="around" w:vAnchor="text" w:hAnchor="margin" w:xAlign="center" w:y="1"/>
      <w:jc w:val="center"/>
      <w:rPr>
        <w:sz w:val="20"/>
        <w:szCs w:val="20"/>
      </w:rPr>
    </w:pPr>
    <w:r>
      <w:rPr>
        <w:rFonts w:ascii="Symbol" w:eastAsia="Symbol" w:hAnsi="Symbol" w:cs="Symbol"/>
        <w:sz w:val="20"/>
        <w:szCs w:val="20"/>
      </w:rPr>
      <w:t>-</w:t>
    </w:r>
    <w:r>
      <w:rPr>
        <w:sz w:val="20"/>
        <w:szCs w:val="20"/>
      </w:rPr>
      <w:fldChar w:fldCharType="begin"/>
    </w:r>
    <w:r>
      <w:rPr>
        <w:sz w:val="20"/>
        <w:szCs w:val="20"/>
      </w:rPr>
      <w:instrText xml:space="preserve">PAGE </w:instrText>
    </w:r>
    <w:r>
      <w:rPr>
        <w:sz w:val="20"/>
        <w:szCs w:val="20"/>
      </w:rPr>
      <w:fldChar w:fldCharType="separate"/>
    </w:r>
    <w:r w:rsidR="00C7796D">
      <w:rPr>
        <w:noProof/>
        <w:sz w:val="20"/>
        <w:szCs w:val="20"/>
      </w:rPr>
      <w:t>9</w:t>
    </w:r>
    <w:r>
      <w:rPr>
        <w:sz w:val="20"/>
        <w:szCs w:val="20"/>
      </w:rPr>
      <w:fldChar w:fldCharType="end"/>
    </w:r>
    <w:r>
      <w:rPr>
        <w:rFonts w:ascii="Symbol" w:eastAsia="Symbol" w:hAnsi="Symbol" w:cs="Symbol"/>
        <w:sz w:val="20"/>
        <w:szCs w:val="20"/>
      </w:rPr>
      <w:t>-</w:t>
    </w:r>
  </w:p>
  <w:p w:rsidR="00691709" w14:paraId="3E42BA90" w14:textId="77777777">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63BF" w:rsidP="00691709" w14:paraId="5D96718F" w14:textId="77777777">
      <w:r>
        <w:separator/>
      </w:r>
    </w:p>
  </w:footnote>
  <w:footnote w:type="continuationSeparator" w:id="1">
    <w:p w:rsidR="009063BF" w:rsidP="00691709" w14:paraId="6B46DD70" w14:textId="77777777">
      <w:r>
        <w:continuationSeparator/>
      </w:r>
    </w:p>
  </w:footnote>
  <w:footnote w:type="continuationNotice" w:id="2">
    <w:p w:rsidR="009063BF" w14:paraId="4BFC51ED" w14:textId="77777777"/>
  </w:footnote>
  <w:footnote w:id="3">
    <w:p w:rsidR="00691709" w:rsidP="00691709" w14:paraId="31688AC8" w14:textId="77777777">
      <w:pPr>
        <w:spacing w:after="43"/>
        <w:ind w:firstLine="720"/>
        <w:rPr>
          <w:sz w:val="20"/>
          <w:szCs w:val="20"/>
        </w:rPr>
      </w:pPr>
      <w:r w:rsidRPr="009D79A5">
        <w:rPr>
          <w:rStyle w:val="FootnoteReference"/>
          <w:vertAlign w:val="superscript"/>
        </w:rPr>
        <w:footnoteRef/>
      </w:r>
      <w:r>
        <w:rPr>
          <w:sz w:val="20"/>
          <w:szCs w:val="20"/>
        </w:rPr>
        <w:t>The purpose of this Supporting Statement is to analyze and describe the burden hours and costs associated with a provision of this standard that contains a paperwork requirement; this Supporting Statement does not provide information or guidance on how to comply with, or how to enforce, the Standard.</w:t>
      </w:r>
    </w:p>
  </w:footnote>
  <w:footnote w:id="4">
    <w:p w:rsidR="00691709" w:rsidP="00691709" w14:paraId="12A0F40C" w14:textId="62C985B0">
      <w:pPr>
        <w:spacing w:after="240"/>
        <w:ind w:firstLine="720"/>
        <w:rPr>
          <w:sz w:val="20"/>
          <w:szCs w:val="20"/>
        </w:rPr>
      </w:pPr>
      <w:r w:rsidRPr="00222E3D">
        <w:rPr>
          <w:rStyle w:val="FootnoteReference"/>
          <w:szCs w:val="28"/>
          <w:vertAlign w:val="superscript"/>
        </w:rPr>
        <w:footnoteRef/>
      </w:r>
      <w:r>
        <w:rPr>
          <w:sz w:val="20"/>
          <w:szCs w:val="20"/>
        </w:rPr>
        <w:t>The ICR does not account for the paperwork burden associated with several provisions of the standard either because manufacturers typically provide the required information (i.e., §§ 1910.252(b)(2)(ii)(G), (c)(1)(</w:t>
      </w:r>
      <w:r>
        <w:rPr>
          <w:sz w:val="20"/>
          <w:szCs w:val="20"/>
        </w:rPr>
        <w:t>i</w:t>
      </w:r>
      <w:r>
        <w:rPr>
          <w:sz w:val="20"/>
          <w:szCs w:val="20"/>
        </w:rPr>
        <w:t>)(A), (c)(1)(</w:t>
      </w:r>
      <w:r>
        <w:rPr>
          <w:sz w:val="20"/>
          <w:szCs w:val="20"/>
        </w:rPr>
        <w:t>i</w:t>
      </w:r>
      <w:r>
        <w:rPr>
          <w:sz w:val="20"/>
          <w:szCs w:val="20"/>
        </w:rPr>
        <w:t>)(B), (c)(1)(</w:t>
      </w:r>
      <w:r>
        <w:rPr>
          <w:sz w:val="20"/>
          <w:szCs w:val="20"/>
        </w:rPr>
        <w:t>i</w:t>
      </w:r>
      <w:r>
        <w:rPr>
          <w:sz w:val="20"/>
          <w:szCs w:val="20"/>
        </w:rPr>
        <w:t>)(C), 1910.253(b)(1)(ii), (d)(4)(ii), (d)(4)(iii), (e)(6)(iii), (f)(1)(</w:t>
      </w:r>
      <w:r>
        <w:rPr>
          <w:sz w:val="20"/>
          <w:szCs w:val="20"/>
        </w:rPr>
        <w:t>i</w:t>
      </w:r>
      <w:r>
        <w:rPr>
          <w:sz w:val="20"/>
          <w:szCs w:val="20"/>
        </w:rPr>
        <w:t xml:space="preserve">), (g)(1)(ii), and 1910.254(b)(4)(iv)); the </w:t>
      </w:r>
      <w:r w:rsidR="00452418">
        <w:rPr>
          <w:sz w:val="20"/>
          <w:szCs w:val="20"/>
        </w:rPr>
        <w:t>a</w:t>
      </w:r>
      <w:r>
        <w:rPr>
          <w:sz w:val="20"/>
          <w:szCs w:val="20"/>
        </w:rPr>
        <w:t>gency believes that the paperwork requirement was a usual and customary business practice among the industry prior to publication of the standard (i.e., §§ 1910.252(a)(2)(xiii)(D), (a)(2)(xiv)(D), 1910.253(b)(5)(iii)(G), (c)(3)(v), and (f)(7)(</w:t>
      </w:r>
      <w:r>
        <w:rPr>
          <w:sz w:val="20"/>
          <w:szCs w:val="20"/>
        </w:rPr>
        <w:t>i</w:t>
      </w:r>
      <w:r>
        <w:rPr>
          <w:sz w:val="20"/>
          <w:szCs w:val="20"/>
        </w:rPr>
        <w:t xml:space="preserve">)(A)); or the </w:t>
      </w:r>
      <w:r w:rsidR="00452418">
        <w:rPr>
          <w:sz w:val="20"/>
          <w:szCs w:val="20"/>
        </w:rPr>
        <w:t>a</w:t>
      </w:r>
      <w:r>
        <w:rPr>
          <w:sz w:val="20"/>
          <w:szCs w:val="20"/>
        </w:rPr>
        <w:t>gency believes that the implied training provisions are performance-oriented and, therefore, not subject to PRA-95 (i.e., §§ 1910.252(a)(2)(xiii)(C) and 1910.253(a)(4)).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98D" w:rsidP="00AB298D" w14:paraId="253842D1" w14:textId="77777777">
    <w:pPr>
      <w:widowControl/>
    </w:pPr>
    <w:r w:rsidRPr="00C56859">
      <w:t>WELDING, CUTTING, AND BRAZING STANDARD (29 CFR PART 1910, SUBPART Q)</w:t>
    </w:r>
  </w:p>
  <w:p w:rsidR="00AB298D" w:rsidP="00AB298D" w14:paraId="7A680C70" w14:textId="77777777">
    <w:pPr>
      <w:widowControl/>
    </w:pPr>
    <w:r>
      <w:t>OMB Control Number: 1218-0207</w:t>
    </w:r>
  </w:p>
  <w:p w:rsidR="00AB298D" w:rsidP="00AB298D" w14:paraId="04B20D97" w14:textId="073F5598">
    <w:pPr>
      <w:widowControl/>
    </w:pPr>
    <w:r>
      <w:t>Expiration Date: January 31, 202</w:t>
    </w:r>
    <w:r w:rsidR="00F65095">
      <w:t>6</w:t>
    </w:r>
  </w:p>
  <w:p w:rsidR="00691709" w:rsidP="009B23AC" w14:paraId="78CBB7CD" w14:textId="6214A089">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25F" w:rsidP="001F0EB3" w14:paraId="36DA0AEB" w14:textId="61294A8D">
    <w:pPr>
      <w:widowControl/>
    </w:pPr>
    <w:r w:rsidRPr="00C56859">
      <w:t>WELDING, CUTTING, AND BRAZING STANDARD (29 CFR PART 1910, SUBPART Q)</w:t>
    </w:r>
  </w:p>
  <w:p w:rsidR="00C56859" w:rsidP="001F0EB3" w14:paraId="02B2F7EF" w14:textId="0FF7A8BC">
    <w:pPr>
      <w:widowControl/>
    </w:pPr>
    <w:r>
      <w:t>OMB Control Number: 1218-0207</w:t>
    </w:r>
  </w:p>
  <w:p w:rsidR="00C56859" w:rsidP="001F0EB3" w14:paraId="4541A9F4" w14:textId="0B3E7B30">
    <w:pPr>
      <w:widowControl/>
    </w:pPr>
    <w:r>
      <w:t>Expiration</w:t>
    </w:r>
    <w:r w:rsidR="001055E2">
      <w:t xml:space="preserve"> Date: January 31, 202</w:t>
    </w:r>
    <w:r w:rsidR="008A788D">
      <w:t>6</w:t>
    </w:r>
  </w:p>
  <w:p w:rsidR="001055E2" w:rsidRPr="00C56859" w:rsidP="001F0EB3" w14:paraId="62F649CB" w14:textId="77777777">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605BB"/>
    <w:multiLevelType w:val="multilevel"/>
    <w:tmpl w:val="2176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F65A0B"/>
    <w:multiLevelType w:val="multilevel"/>
    <w:tmpl w:val="31BA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7757B"/>
    <w:multiLevelType w:val="multilevel"/>
    <w:tmpl w:val="971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A021C"/>
    <w:multiLevelType w:val="hybridMultilevel"/>
    <w:tmpl w:val="1916B9F4"/>
    <w:lvl w:ilvl="0">
      <w:start w:val="7"/>
      <w:numFmt w:val="decimal"/>
      <w:lvlText w:val="%1."/>
      <w:lvlJc w:val="left"/>
      <w:pPr>
        <w:tabs>
          <w:tab w:val="num" w:pos="405"/>
        </w:tabs>
        <w:ind w:left="405" w:hanging="360"/>
      </w:pPr>
      <w:rPr>
        <w:rFonts w:hint="default"/>
      </w:rPr>
    </w:lvl>
    <w:lvl w:ilvl="1">
      <w:start w:val="0"/>
      <w:numFmt w:val="bullet"/>
      <w:lvlText w:val="·"/>
      <w:lvlJc w:val="left"/>
      <w:pPr>
        <w:ind w:left="1125" w:hanging="360"/>
      </w:pPr>
      <w:rPr>
        <w:rFonts w:ascii="Times New Roman" w:eastAsia="Times New Roman" w:hAnsi="Times New Roman" w:cs="Times New Roman" w:hint="default"/>
      </w:r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4">
    <w:nsid w:val="3ADE1DFF"/>
    <w:multiLevelType w:val="hybridMultilevel"/>
    <w:tmpl w:val="EB84D26E"/>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
    <w:nsid w:val="40A368FC"/>
    <w:multiLevelType w:val="multilevel"/>
    <w:tmpl w:val="9FB2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1C0DD2"/>
    <w:multiLevelType w:val="multilevel"/>
    <w:tmpl w:val="C068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626136"/>
    <w:multiLevelType w:val="multilevel"/>
    <w:tmpl w:val="26C6D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C46B54"/>
    <w:multiLevelType w:val="hybridMultilevel"/>
    <w:tmpl w:val="B34E3A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F480799"/>
    <w:multiLevelType w:val="hybridMultilevel"/>
    <w:tmpl w:val="BA549778"/>
    <w:lvl w:ilvl="0">
      <w:start w:val="12"/>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17641E0"/>
    <w:multiLevelType w:val="multilevel"/>
    <w:tmpl w:val="FB8C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E93CF3"/>
    <w:multiLevelType w:val="multilevel"/>
    <w:tmpl w:val="00AE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4967">
    <w:abstractNumId w:val="3"/>
  </w:num>
  <w:num w:numId="2" w16cid:durableId="1886287971">
    <w:abstractNumId w:val="9"/>
  </w:num>
  <w:num w:numId="3" w16cid:durableId="270666605">
    <w:abstractNumId w:val="8"/>
  </w:num>
  <w:num w:numId="4" w16cid:durableId="2047607256">
    <w:abstractNumId w:val="4"/>
  </w:num>
  <w:num w:numId="5" w16cid:durableId="1209146159">
    <w:abstractNumId w:val="7"/>
  </w:num>
  <w:num w:numId="6" w16cid:durableId="1799032129">
    <w:abstractNumId w:val="0"/>
  </w:num>
  <w:num w:numId="7" w16cid:durableId="1573126654">
    <w:abstractNumId w:val="10"/>
  </w:num>
  <w:num w:numId="8" w16cid:durableId="1218200109">
    <w:abstractNumId w:val="11"/>
  </w:num>
  <w:num w:numId="9" w16cid:durableId="235668765">
    <w:abstractNumId w:val="6"/>
  </w:num>
  <w:num w:numId="10" w16cid:durableId="1866097903">
    <w:abstractNumId w:val="2"/>
  </w:num>
  <w:num w:numId="11" w16cid:durableId="2126844580">
    <w:abstractNumId w:val="5"/>
  </w:num>
  <w:num w:numId="12" w16cid:durableId="1959870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709"/>
    <w:rsid w:val="00002521"/>
    <w:rsid w:val="00003215"/>
    <w:rsid w:val="0000503E"/>
    <w:rsid w:val="000051D3"/>
    <w:rsid w:val="00007F12"/>
    <w:rsid w:val="000174DD"/>
    <w:rsid w:val="000208AB"/>
    <w:rsid w:val="00021646"/>
    <w:rsid w:val="0002778B"/>
    <w:rsid w:val="00030DE8"/>
    <w:rsid w:val="00034CE5"/>
    <w:rsid w:val="000355E2"/>
    <w:rsid w:val="000375B9"/>
    <w:rsid w:val="00042BBE"/>
    <w:rsid w:val="00042D85"/>
    <w:rsid w:val="00056989"/>
    <w:rsid w:val="00057A74"/>
    <w:rsid w:val="0006315B"/>
    <w:rsid w:val="00073D9B"/>
    <w:rsid w:val="00080E35"/>
    <w:rsid w:val="0008222D"/>
    <w:rsid w:val="00085A78"/>
    <w:rsid w:val="00095432"/>
    <w:rsid w:val="00095731"/>
    <w:rsid w:val="00095C47"/>
    <w:rsid w:val="000A0556"/>
    <w:rsid w:val="000B691C"/>
    <w:rsid w:val="000B7C92"/>
    <w:rsid w:val="000C29E7"/>
    <w:rsid w:val="000D0C43"/>
    <w:rsid w:val="000D1DE0"/>
    <w:rsid w:val="000E08C5"/>
    <w:rsid w:val="000F012B"/>
    <w:rsid w:val="00100D60"/>
    <w:rsid w:val="00101C8B"/>
    <w:rsid w:val="001025C5"/>
    <w:rsid w:val="0010349F"/>
    <w:rsid w:val="001035DC"/>
    <w:rsid w:val="001055E2"/>
    <w:rsid w:val="00106DBB"/>
    <w:rsid w:val="00107909"/>
    <w:rsid w:val="001110D8"/>
    <w:rsid w:val="00112D46"/>
    <w:rsid w:val="00113CFA"/>
    <w:rsid w:val="00114668"/>
    <w:rsid w:val="00114EB7"/>
    <w:rsid w:val="00116705"/>
    <w:rsid w:val="00122B98"/>
    <w:rsid w:val="00123266"/>
    <w:rsid w:val="001254D8"/>
    <w:rsid w:val="00125538"/>
    <w:rsid w:val="0013006A"/>
    <w:rsid w:val="00134AC4"/>
    <w:rsid w:val="00135F46"/>
    <w:rsid w:val="00142C5A"/>
    <w:rsid w:val="00147577"/>
    <w:rsid w:val="0015560B"/>
    <w:rsid w:val="0015623B"/>
    <w:rsid w:val="00156AE3"/>
    <w:rsid w:val="001624AA"/>
    <w:rsid w:val="00164A5A"/>
    <w:rsid w:val="00170B36"/>
    <w:rsid w:val="00173EF1"/>
    <w:rsid w:val="00174FD6"/>
    <w:rsid w:val="00184AAC"/>
    <w:rsid w:val="00193513"/>
    <w:rsid w:val="00194679"/>
    <w:rsid w:val="001A023C"/>
    <w:rsid w:val="001A582C"/>
    <w:rsid w:val="001B2254"/>
    <w:rsid w:val="001D3940"/>
    <w:rsid w:val="001D52F6"/>
    <w:rsid w:val="001D5D36"/>
    <w:rsid w:val="001E4D88"/>
    <w:rsid w:val="001F0382"/>
    <w:rsid w:val="001F0EB3"/>
    <w:rsid w:val="001F0F61"/>
    <w:rsid w:val="001F1734"/>
    <w:rsid w:val="001F4924"/>
    <w:rsid w:val="001F714C"/>
    <w:rsid w:val="001F7686"/>
    <w:rsid w:val="0020655E"/>
    <w:rsid w:val="00215E99"/>
    <w:rsid w:val="00217F7E"/>
    <w:rsid w:val="0022130D"/>
    <w:rsid w:val="002300F4"/>
    <w:rsid w:val="002305B4"/>
    <w:rsid w:val="0023066C"/>
    <w:rsid w:val="00230C0A"/>
    <w:rsid w:val="00231E2F"/>
    <w:rsid w:val="00232732"/>
    <w:rsid w:val="0023706E"/>
    <w:rsid w:val="002425BD"/>
    <w:rsid w:val="00244D53"/>
    <w:rsid w:val="002515F4"/>
    <w:rsid w:val="00252AF7"/>
    <w:rsid w:val="00255B6F"/>
    <w:rsid w:val="0025651C"/>
    <w:rsid w:val="00257D2E"/>
    <w:rsid w:val="00265688"/>
    <w:rsid w:val="00267047"/>
    <w:rsid w:val="0027571E"/>
    <w:rsid w:val="0027615A"/>
    <w:rsid w:val="00277A9C"/>
    <w:rsid w:val="002809C7"/>
    <w:rsid w:val="00282BEE"/>
    <w:rsid w:val="00283353"/>
    <w:rsid w:val="002836A9"/>
    <w:rsid w:val="0028463C"/>
    <w:rsid w:val="0029017E"/>
    <w:rsid w:val="0029285B"/>
    <w:rsid w:val="00292FEB"/>
    <w:rsid w:val="00293568"/>
    <w:rsid w:val="002A1B2E"/>
    <w:rsid w:val="002A5E84"/>
    <w:rsid w:val="002A601F"/>
    <w:rsid w:val="002A70E0"/>
    <w:rsid w:val="002B026F"/>
    <w:rsid w:val="002B6DE2"/>
    <w:rsid w:val="002B793E"/>
    <w:rsid w:val="002C1CBD"/>
    <w:rsid w:val="002C79CC"/>
    <w:rsid w:val="002D021D"/>
    <w:rsid w:val="002D2E6E"/>
    <w:rsid w:val="002E000F"/>
    <w:rsid w:val="002E6BE8"/>
    <w:rsid w:val="002F072C"/>
    <w:rsid w:val="002F25FB"/>
    <w:rsid w:val="002F40D2"/>
    <w:rsid w:val="002F5FEB"/>
    <w:rsid w:val="002F6E7F"/>
    <w:rsid w:val="0030048A"/>
    <w:rsid w:val="00300A3B"/>
    <w:rsid w:val="0030121C"/>
    <w:rsid w:val="003034FF"/>
    <w:rsid w:val="00304602"/>
    <w:rsid w:val="00310B9A"/>
    <w:rsid w:val="0031444D"/>
    <w:rsid w:val="00323D49"/>
    <w:rsid w:val="00323EAA"/>
    <w:rsid w:val="00342485"/>
    <w:rsid w:val="00342B25"/>
    <w:rsid w:val="0034508D"/>
    <w:rsid w:val="00352F79"/>
    <w:rsid w:val="00353ED5"/>
    <w:rsid w:val="00355711"/>
    <w:rsid w:val="00364006"/>
    <w:rsid w:val="00373FF3"/>
    <w:rsid w:val="00374E93"/>
    <w:rsid w:val="003771E9"/>
    <w:rsid w:val="003804E3"/>
    <w:rsid w:val="00382E53"/>
    <w:rsid w:val="00384A8A"/>
    <w:rsid w:val="00384F21"/>
    <w:rsid w:val="003867E2"/>
    <w:rsid w:val="00391F13"/>
    <w:rsid w:val="003930E7"/>
    <w:rsid w:val="003945F8"/>
    <w:rsid w:val="003A1B4A"/>
    <w:rsid w:val="003B1B6C"/>
    <w:rsid w:val="003B2717"/>
    <w:rsid w:val="003B7D34"/>
    <w:rsid w:val="003C0BD0"/>
    <w:rsid w:val="003C26D7"/>
    <w:rsid w:val="003C2CFF"/>
    <w:rsid w:val="003C3334"/>
    <w:rsid w:val="003C4B90"/>
    <w:rsid w:val="003C5B76"/>
    <w:rsid w:val="003D52E3"/>
    <w:rsid w:val="003D5AE0"/>
    <w:rsid w:val="003D7DF5"/>
    <w:rsid w:val="003E44EF"/>
    <w:rsid w:val="003E4A46"/>
    <w:rsid w:val="003F23A2"/>
    <w:rsid w:val="003F4F79"/>
    <w:rsid w:val="003F55E7"/>
    <w:rsid w:val="004036FB"/>
    <w:rsid w:val="0040467E"/>
    <w:rsid w:val="00404FE4"/>
    <w:rsid w:val="004051AF"/>
    <w:rsid w:val="00405B83"/>
    <w:rsid w:val="00413E19"/>
    <w:rsid w:val="00415AC0"/>
    <w:rsid w:val="004162BF"/>
    <w:rsid w:val="00432E9C"/>
    <w:rsid w:val="0044716C"/>
    <w:rsid w:val="00451AD1"/>
    <w:rsid w:val="00451D52"/>
    <w:rsid w:val="00452418"/>
    <w:rsid w:val="00465D29"/>
    <w:rsid w:val="00471FFB"/>
    <w:rsid w:val="0047218E"/>
    <w:rsid w:val="00475D1B"/>
    <w:rsid w:val="004831A4"/>
    <w:rsid w:val="00484CEF"/>
    <w:rsid w:val="00485059"/>
    <w:rsid w:val="00485EC6"/>
    <w:rsid w:val="00487175"/>
    <w:rsid w:val="00492262"/>
    <w:rsid w:val="0049610E"/>
    <w:rsid w:val="004A0795"/>
    <w:rsid w:val="004A2006"/>
    <w:rsid w:val="004A2E8E"/>
    <w:rsid w:val="004A5268"/>
    <w:rsid w:val="004A5C49"/>
    <w:rsid w:val="004B1D48"/>
    <w:rsid w:val="004B54AB"/>
    <w:rsid w:val="004B6A76"/>
    <w:rsid w:val="004C050B"/>
    <w:rsid w:val="004D2A2D"/>
    <w:rsid w:val="004E2341"/>
    <w:rsid w:val="004E5F1B"/>
    <w:rsid w:val="004F1552"/>
    <w:rsid w:val="004F3CEB"/>
    <w:rsid w:val="004F455F"/>
    <w:rsid w:val="00501188"/>
    <w:rsid w:val="00507288"/>
    <w:rsid w:val="0052226D"/>
    <w:rsid w:val="00525354"/>
    <w:rsid w:val="00525680"/>
    <w:rsid w:val="005278AA"/>
    <w:rsid w:val="0052794C"/>
    <w:rsid w:val="00530ADE"/>
    <w:rsid w:val="00530B91"/>
    <w:rsid w:val="0053311E"/>
    <w:rsid w:val="00534E9F"/>
    <w:rsid w:val="00537D25"/>
    <w:rsid w:val="005431A6"/>
    <w:rsid w:val="00550B98"/>
    <w:rsid w:val="00551FDE"/>
    <w:rsid w:val="0055299A"/>
    <w:rsid w:val="005532E7"/>
    <w:rsid w:val="00557A56"/>
    <w:rsid w:val="00557D41"/>
    <w:rsid w:val="00563160"/>
    <w:rsid w:val="005637E0"/>
    <w:rsid w:val="0056450A"/>
    <w:rsid w:val="00565207"/>
    <w:rsid w:val="00566AE3"/>
    <w:rsid w:val="00571470"/>
    <w:rsid w:val="00573455"/>
    <w:rsid w:val="005811A3"/>
    <w:rsid w:val="00583328"/>
    <w:rsid w:val="005923CA"/>
    <w:rsid w:val="00592E99"/>
    <w:rsid w:val="005937F1"/>
    <w:rsid w:val="00594B42"/>
    <w:rsid w:val="005959A2"/>
    <w:rsid w:val="005969E1"/>
    <w:rsid w:val="00596AA5"/>
    <w:rsid w:val="005A10C7"/>
    <w:rsid w:val="005B3973"/>
    <w:rsid w:val="005B3F6C"/>
    <w:rsid w:val="005B5E79"/>
    <w:rsid w:val="005C0CD3"/>
    <w:rsid w:val="005C5AA5"/>
    <w:rsid w:val="005D148D"/>
    <w:rsid w:val="005D1E3A"/>
    <w:rsid w:val="005D2D79"/>
    <w:rsid w:val="005D402E"/>
    <w:rsid w:val="005D6C48"/>
    <w:rsid w:val="005D73DF"/>
    <w:rsid w:val="005E2DC0"/>
    <w:rsid w:val="005E3B67"/>
    <w:rsid w:val="005F1F89"/>
    <w:rsid w:val="006015AF"/>
    <w:rsid w:val="006041A5"/>
    <w:rsid w:val="00605382"/>
    <w:rsid w:val="006112FD"/>
    <w:rsid w:val="00612002"/>
    <w:rsid w:val="00612890"/>
    <w:rsid w:val="0061304D"/>
    <w:rsid w:val="006278D7"/>
    <w:rsid w:val="00640574"/>
    <w:rsid w:val="00640D8E"/>
    <w:rsid w:val="00645552"/>
    <w:rsid w:val="00654B3F"/>
    <w:rsid w:val="00656FB7"/>
    <w:rsid w:val="006617E6"/>
    <w:rsid w:val="00663DFD"/>
    <w:rsid w:val="00664C7D"/>
    <w:rsid w:val="00671A4D"/>
    <w:rsid w:val="00672DC3"/>
    <w:rsid w:val="00674A82"/>
    <w:rsid w:val="00674DBD"/>
    <w:rsid w:val="00676639"/>
    <w:rsid w:val="0067777B"/>
    <w:rsid w:val="006807B1"/>
    <w:rsid w:val="00683ED7"/>
    <w:rsid w:val="00690399"/>
    <w:rsid w:val="00691709"/>
    <w:rsid w:val="00692B12"/>
    <w:rsid w:val="00692D5C"/>
    <w:rsid w:val="0069690C"/>
    <w:rsid w:val="006A1C05"/>
    <w:rsid w:val="006A2892"/>
    <w:rsid w:val="006A43F5"/>
    <w:rsid w:val="006A5939"/>
    <w:rsid w:val="006B0916"/>
    <w:rsid w:val="006B36E2"/>
    <w:rsid w:val="006B4DCB"/>
    <w:rsid w:val="006B61A4"/>
    <w:rsid w:val="006C674E"/>
    <w:rsid w:val="006C7696"/>
    <w:rsid w:val="006D36CA"/>
    <w:rsid w:val="006E0302"/>
    <w:rsid w:val="006E07BA"/>
    <w:rsid w:val="006E32ED"/>
    <w:rsid w:val="006E5504"/>
    <w:rsid w:val="006E7CBE"/>
    <w:rsid w:val="006F0BF4"/>
    <w:rsid w:val="006F6AEB"/>
    <w:rsid w:val="00700D31"/>
    <w:rsid w:val="00700DC0"/>
    <w:rsid w:val="00700DF5"/>
    <w:rsid w:val="00705ADB"/>
    <w:rsid w:val="007079B1"/>
    <w:rsid w:val="007154F2"/>
    <w:rsid w:val="00722C7E"/>
    <w:rsid w:val="00722EED"/>
    <w:rsid w:val="007230B1"/>
    <w:rsid w:val="00727CD0"/>
    <w:rsid w:val="007307CF"/>
    <w:rsid w:val="00731A59"/>
    <w:rsid w:val="007521E2"/>
    <w:rsid w:val="00752B9F"/>
    <w:rsid w:val="007601AC"/>
    <w:rsid w:val="0076109B"/>
    <w:rsid w:val="007618C0"/>
    <w:rsid w:val="00763FAA"/>
    <w:rsid w:val="00785A2F"/>
    <w:rsid w:val="00786F35"/>
    <w:rsid w:val="00790FD4"/>
    <w:rsid w:val="007967AC"/>
    <w:rsid w:val="007A0D91"/>
    <w:rsid w:val="007A3CFB"/>
    <w:rsid w:val="007A6479"/>
    <w:rsid w:val="007A6F8D"/>
    <w:rsid w:val="007B2BC5"/>
    <w:rsid w:val="007B41A9"/>
    <w:rsid w:val="007B663D"/>
    <w:rsid w:val="007B6C3E"/>
    <w:rsid w:val="007C62A5"/>
    <w:rsid w:val="007D2693"/>
    <w:rsid w:val="007D3401"/>
    <w:rsid w:val="007F072C"/>
    <w:rsid w:val="007F0CD8"/>
    <w:rsid w:val="007F2BDC"/>
    <w:rsid w:val="007F4E50"/>
    <w:rsid w:val="00804441"/>
    <w:rsid w:val="00805231"/>
    <w:rsid w:val="00806116"/>
    <w:rsid w:val="00806A08"/>
    <w:rsid w:val="008261EA"/>
    <w:rsid w:val="008262B4"/>
    <w:rsid w:val="00832881"/>
    <w:rsid w:val="00844A01"/>
    <w:rsid w:val="008454BB"/>
    <w:rsid w:val="008473C8"/>
    <w:rsid w:val="00847695"/>
    <w:rsid w:val="00851EFC"/>
    <w:rsid w:val="00861BFA"/>
    <w:rsid w:val="00862906"/>
    <w:rsid w:val="00864CDF"/>
    <w:rsid w:val="00867B5C"/>
    <w:rsid w:val="00876408"/>
    <w:rsid w:val="00876AED"/>
    <w:rsid w:val="008814DA"/>
    <w:rsid w:val="0088536E"/>
    <w:rsid w:val="008853B6"/>
    <w:rsid w:val="00885784"/>
    <w:rsid w:val="00886A08"/>
    <w:rsid w:val="0089198A"/>
    <w:rsid w:val="00892DCE"/>
    <w:rsid w:val="008944A9"/>
    <w:rsid w:val="00895DA3"/>
    <w:rsid w:val="008A03F4"/>
    <w:rsid w:val="008A5529"/>
    <w:rsid w:val="008A70FC"/>
    <w:rsid w:val="008A77F9"/>
    <w:rsid w:val="008A788D"/>
    <w:rsid w:val="008B79CC"/>
    <w:rsid w:val="008B7C09"/>
    <w:rsid w:val="008D2405"/>
    <w:rsid w:val="008D4C72"/>
    <w:rsid w:val="008E2A0F"/>
    <w:rsid w:val="008E3D13"/>
    <w:rsid w:val="008E4E05"/>
    <w:rsid w:val="008E7A71"/>
    <w:rsid w:val="008F31D8"/>
    <w:rsid w:val="0090572C"/>
    <w:rsid w:val="009060CD"/>
    <w:rsid w:val="009063BF"/>
    <w:rsid w:val="0091030D"/>
    <w:rsid w:val="009125D0"/>
    <w:rsid w:val="00914466"/>
    <w:rsid w:val="00915436"/>
    <w:rsid w:val="009172EF"/>
    <w:rsid w:val="00926922"/>
    <w:rsid w:val="00927DDD"/>
    <w:rsid w:val="009331B1"/>
    <w:rsid w:val="009333DA"/>
    <w:rsid w:val="009357A2"/>
    <w:rsid w:val="00942969"/>
    <w:rsid w:val="009435CB"/>
    <w:rsid w:val="00950EFE"/>
    <w:rsid w:val="00955E8E"/>
    <w:rsid w:val="0096080B"/>
    <w:rsid w:val="00961647"/>
    <w:rsid w:val="0096753A"/>
    <w:rsid w:val="00970765"/>
    <w:rsid w:val="00976B4E"/>
    <w:rsid w:val="0098395B"/>
    <w:rsid w:val="009908CB"/>
    <w:rsid w:val="009953B6"/>
    <w:rsid w:val="0099781A"/>
    <w:rsid w:val="009A5AD7"/>
    <w:rsid w:val="009B0934"/>
    <w:rsid w:val="009B192E"/>
    <w:rsid w:val="009B23AC"/>
    <w:rsid w:val="009B3361"/>
    <w:rsid w:val="009B571F"/>
    <w:rsid w:val="009C1295"/>
    <w:rsid w:val="009C546D"/>
    <w:rsid w:val="009C7B8D"/>
    <w:rsid w:val="009D25DD"/>
    <w:rsid w:val="009D667C"/>
    <w:rsid w:val="009E101A"/>
    <w:rsid w:val="009E2055"/>
    <w:rsid w:val="009E3B4C"/>
    <w:rsid w:val="009E7796"/>
    <w:rsid w:val="009F0309"/>
    <w:rsid w:val="009F1119"/>
    <w:rsid w:val="009F1B17"/>
    <w:rsid w:val="009F2B7A"/>
    <w:rsid w:val="009F2D32"/>
    <w:rsid w:val="009F3F98"/>
    <w:rsid w:val="009F66FC"/>
    <w:rsid w:val="00A00E79"/>
    <w:rsid w:val="00A07B83"/>
    <w:rsid w:val="00A10D94"/>
    <w:rsid w:val="00A1298E"/>
    <w:rsid w:val="00A137C8"/>
    <w:rsid w:val="00A27631"/>
    <w:rsid w:val="00A277B3"/>
    <w:rsid w:val="00A33460"/>
    <w:rsid w:val="00A40A14"/>
    <w:rsid w:val="00A437CF"/>
    <w:rsid w:val="00A457F5"/>
    <w:rsid w:val="00A4662B"/>
    <w:rsid w:val="00A47735"/>
    <w:rsid w:val="00A50698"/>
    <w:rsid w:val="00A5598D"/>
    <w:rsid w:val="00A5797A"/>
    <w:rsid w:val="00A635F1"/>
    <w:rsid w:val="00A805EA"/>
    <w:rsid w:val="00A80990"/>
    <w:rsid w:val="00A8164C"/>
    <w:rsid w:val="00A90135"/>
    <w:rsid w:val="00A90181"/>
    <w:rsid w:val="00A90BD1"/>
    <w:rsid w:val="00A94508"/>
    <w:rsid w:val="00A956EA"/>
    <w:rsid w:val="00AA7823"/>
    <w:rsid w:val="00AB07C5"/>
    <w:rsid w:val="00AB1A42"/>
    <w:rsid w:val="00AB298D"/>
    <w:rsid w:val="00AB3826"/>
    <w:rsid w:val="00AC006E"/>
    <w:rsid w:val="00AC103F"/>
    <w:rsid w:val="00AC769F"/>
    <w:rsid w:val="00AD31AC"/>
    <w:rsid w:val="00AD5793"/>
    <w:rsid w:val="00AE296C"/>
    <w:rsid w:val="00AE52BD"/>
    <w:rsid w:val="00AE55DA"/>
    <w:rsid w:val="00AE7C2B"/>
    <w:rsid w:val="00AF06DB"/>
    <w:rsid w:val="00AF47C3"/>
    <w:rsid w:val="00B02657"/>
    <w:rsid w:val="00B03CF7"/>
    <w:rsid w:val="00B0433E"/>
    <w:rsid w:val="00B04605"/>
    <w:rsid w:val="00B06AEA"/>
    <w:rsid w:val="00B11711"/>
    <w:rsid w:val="00B12463"/>
    <w:rsid w:val="00B124A4"/>
    <w:rsid w:val="00B125C9"/>
    <w:rsid w:val="00B12604"/>
    <w:rsid w:val="00B14A76"/>
    <w:rsid w:val="00B26C29"/>
    <w:rsid w:val="00B3125F"/>
    <w:rsid w:val="00B41E10"/>
    <w:rsid w:val="00B420AD"/>
    <w:rsid w:val="00B431BC"/>
    <w:rsid w:val="00B46E0F"/>
    <w:rsid w:val="00B563B9"/>
    <w:rsid w:val="00B609A1"/>
    <w:rsid w:val="00B649CD"/>
    <w:rsid w:val="00B64F63"/>
    <w:rsid w:val="00B6516A"/>
    <w:rsid w:val="00B65515"/>
    <w:rsid w:val="00B70126"/>
    <w:rsid w:val="00B730DB"/>
    <w:rsid w:val="00B745B2"/>
    <w:rsid w:val="00B75FD2"/>
    <w:rsid w:val="00B75FF8"/>
    <w:rsid w:val="00B84288"/>
    <w:rsid w:val="00B91400"/>
    <w:rsid w:val="00B9566E"/>
    <w:rsid w:val="00B96445"/>
    <w:rsid w:val="00B967E8"/>
    <w:rsid w:val="00BA16DB"/>
    <w:rsid w:val="00BA4F08"/>
    <w:rsid w:val="00BA4FA6"/>
    <w:rsid w:val="00BB0370"/>
    <w:rsid w:val="00BB642C"/>
    <w:rsid w:val="00BC12E4"/>
    <w:rsid w:val="00BC2A43"/>
    <w:rsid w:val="00BC682C"/>
    <w:rsid w:val="00BD2A99"/>
    <w:rsid w:val="00BD5559"/>
    <w:rsid w:val="00BE107D"/>
    <w:rsid w:val="00BE195C"/>
    <w:rsid w:val="00BE7124"/>
    <w:rsid w:val="00BF224E"/>
    <w:rsid w:val="00BF63FE"/>
    <w:rsid w:val="00BF754C"/>
    <w:rsid w:val="00C020F7"/>
    <w:rsid w:val="00C030A1"/>
    <w:rsid w:val="00C07634"/>
    <w:rsid w:val="00C07BDF"/>
    <w:rsid w:val="00C24E56"/>
    <w:rsid w:val="00C26402"/>
    <w:rsid w:val="00C27667"/>
    <w:rsid w:val="00C31FFA"/>
    <w:rsid w:val="00C35F25"/>
    <w:rsid w:val="00C368FE"/>
    <w:rsid w:val="00C42690"/>
    <w:rsid w:val="00C4571F"/>
    <w:rsid w:val="00C45A3B"/>
    <w:rsid w:val="00C460D2"/>
    <w:rsid w:val="00C46FCC"/>
    <w:rsid w:val="00C47D40"/>
    <w:rsid w:val="00C53BE6"/>
    <w:rsid w:val="00C53DE7"/>
    <w:rsid w:val="00C547E6"/>
    <w:rsid w:val="00C56859"/>
    <w:rsid w:val="00C658A8"/>
    <w:rsid w:val="00C719C0"/>
    <w:rsid w:val="00C7796D"/>
    <w:rsid w:val="00C77DE1"/>
    <w:rsid w:val="00C80B2B"/>
    <w:rsid w:val="00C85CFD"/>
    <w:rsid w:val="00C92711"/>
    <w:rsid w:val="00C9324E"/>
    <w:rsid w:val="00CA0D46"/>
    <w:rsid w:val="00CA2D69"/>
    <w:rsid w:val="00CA4D1A"/>
    <w:rsid w:val="00CB1755"/>
    <w:rsid w:val="00CB4560"/>
    <w:rsid w:val="00CC1EC4"/>
    <w:rsid w:val="00CC535B"/>
    <w:rsid w:val="00CC647B"/>
    <w:rsid w:val="00CD0DD9"/>
    <w:rsid w:val="00CD18C9"/>
    <w:rsid w:val="00CD2401"/>
    <w:rsid w:val="00CD32B8"/>
    <w:rsid w:val="00CD3E92"/>
    <w:rsid w:val="00CD4075"/>
    <w:rsid w:val="00CD54D7"/>
    <w:rsid w:val="00CD596C"/>
    <w:rsid w:val="00CE1906"/>
    <w:rsid w:val="00CE23AC"/>
    <w:rsid w:val="00CE4794"/>
    <w:rsid w:val="00CE583A"/>
    <w:rsid w:val="00CE6C29"/>
    <w:rsid w:val="00CE75B6"/>
    <w:rsid w:val="00CE787B"/>
    <w:rsid w:val="00CF081B"/>
    <w:rsid w:val="00CF1947"/>
    <w:rsid w:val="00D06011"/>
    <w:rsid w:val="00D07239"/>
    <w:rsid w:val="00D07884"/>
    <w:rsid w:val="00D113EA"/>
    <w:rsid w:val="00D17770"/>
    <w:rsid w:val="00D17B23"/>
    <w:rsid w:val="00D25768"/>
    <w:rsid w:val="00D27616"/>
    <w:rsid w:val="00D40599"/>
    <w:rsid w:val="00D42B9A"/>
    <w:rsid w:val="00D44B77"/>
    <w:rsid w:val="00D46074"/>
    <w:rsid w:val="00D50763"/>
    <w:rsid w:val="00D50D3C"/>
    <w:rsid w:val="00D51C82"/>
    <w:rsid w:val="00D53E6E"/>
    <w:rsid w:val="00D5640F"/>
    <w:rsid w:val="00D60E5C"/>
    <w:rsid w:val="00D622BA"/>
    <w:rsid w:val="00D64CB3"/>
    <w:rsid w:val="00D64DAD"/>
    <w:rsid w:val="00D65255"/>
    <w:rsid w:val="00D731AC"/>
    <w:rsid w:val="00D7630D"/>
    <w:rsid w:val="00D814F9"/>
    <w:rsid w:val="00D83548"/>
    <w:rsid w:val="00D86CAC"/>
    <w:rsid w:val="00D9508C"/>
    <w:rsid w:val="00D952F3"/>
    <w:rsid w:val="00DA3EEE"/>
    <w:rsid w:val="00DA43F9"/>
    <w:rsid w:val="00DA5683"/>
    <w:rsid w:val="00DB129E"/>
    <w:rsid w:val="00DB6D39"/>
    <w:rsid w:val="00DB7068"/>
    <w:rsid w:val="00DC304B"/>
    <w:rsid w:val="00DC5C96"/>
    <w:rsid w:val="00DD08E0"/>
    <w:rsid w:val="00DD54AB"/>
    <w:rsid w:val="00DD5544"/>
    <w:rsid w:val="00DD573B"/>
    <w:rsid w:val="00DE52E5"/>
    <w:rsid w:val="00DF10B2"/>
    <w:rsid w:val="00E00E6D"/>
    <w:rsid w:val="00E01C8E"/>
    <w:rsid w:val="00E10BB1"/>
    <w:rsid w:val="00E114AA"/>
    <w:rsid w:val="00E1217F"/>
    <w:rsid w:val="00E125C6"/>
    <w:rsid w:val="00E13FB5"/>
    <w:rsid w:val="00E3025F"/>
    <w:rsid w:val="00E326F9"/>
    <w:rsid w:val="00E32986"/>
    <w:rsid w:val="00E33001"/>
    <w:rsid w:val="00E33BD9"/>
    <w:rsid w:val="00E3684F"/>
    <w:rsid w:val="00E40FD7"/>
    <w:rsid w:val="00E4499D"/>
    <w:rsid w:val="00E44E47"/>
    <w:rsid w:val="00E47912"/>
    <w:rsid w:val="00E516F6"/>
    <w:rsid w:val="00E57C9C"/>
    <w:rsid w:val="00E641B2"/>
    <w:rsid w:val="00E64BE8"/>
    <w:rsid w:val="00E64E67"/>
    <w:rsid w:val="00E7065C"/>
    <w:rsid w:val="00E7227A"/>
    <w:rsid w:val="00E727B8"/>
    <w:rsid w:val="00E754C6"/>
    <w:rsid w:val="00E77321"/>
    <w:rsid w:val="00E80A4F"/>
    <w:rsid w:val="00E859F1"/>
    <w:rsid w:val="00E85BDD"/>
    <w:rsid w:val="00E862B3"/>
    <w:rsid w:val="00E95359"/>
    <w:rsid w:val="00E966D3"/>
    <w:rsid w:val="00EA102E"/>
    <w:rsid w:val="00EA2003"/>
    <w:rsid w:val="00EA4430"/>
    <w:rsid w:val="00EA4D6D"/>
    <w:rsid w:val="00EA7DB6"/>
    <w:rsid w:val="00EB3B1B"/>
    <w:rsid w:val="00EC1435"/>
    <w:rsid w:val="00EC2767"/>
    <w:rsid w:val="00EC3606"/>
    <w:rsid w:val="00EC73F7"/>
    <w:rsid w:val="00ED1E67"/>
    <w:rsid w:val="00ED235B"/>
    <w:rsid w:val="00ED2EE6"/>
    <w:rsid w:val="00EE3FD1"/>
    <w:rsid w:val="00EE41B7"/>
    <w:rsid w:val="00EE52E7"/>
    <w:rsid w:val="00EF112E"/>
    <w:rsid w:val="00EF2204"/>
    <w:rsid w:val="00EF3D81"/>
    <w:rsid w:val="00EF59CF"/>
    <w:rsid w:val="00F022B1"/>
    <w:rsid w:val="00F0354B"/>
    <w:rsid w:val="00F04F70"/>
    <w:rsid w:val="00F06569"/>
    <w:rsid w:val="00F23A27"/>
    <w:rsid w:val="00F24332"/>
    <w:rsid w:val="00F26373"/>
    <w:rsid w:val="00F276C2"/>
    <w:rsid w:val="00F27D1E"/>
    <w:rsid w:val="00F516B3"/>
    <w:rsid w:val="00F56BAA"/>
    <w:rsid w:val="00F64619"/>
    <w:rsid w:val="00F65095"/>
    <w:rsid w:val="00F721CF"/>
    <w:rsid w:val="00F72F44"/>
    <w:rsid w:val="00F73CF4"/>
    <w:rsid w:val="00F8029E"/>
    <w:rsid w:val="00F85B26"/>
    <w:rsid w:val="00F85DA2"/>
    <w:rsid w:val="00F95F6E"/>
    <w:rsid w:val="00F967A2"/>
    <w:rsid w:val="00FA2BBF"/>
    <w:rsid w:val="00FA60F4"/>
    <w:rsid w:val="00FA6BC1"/>
    <w:rsid w:val="00FA722F"/>
    <w:rsid w:val="00FB5EF5"/>
    <w:rsid w:val="00FC1610"/>
    <w:rsid w:val="00FC26C5"/>
    <w:rsid w:val="00FC27EA"/>
    <w:rsid w:val="00FC3AA4"/>
    <w:rsid w:val="00FD5F84"/>
    <w:rsid w:val="00FE26B4"/>
    <w:rsid w:val="00FE3913"/>
    <w:rsid w:val="00FE7E8F"/>
    <w:rsid w:val="00FF1E25"/>
    <w:rsid w:val="00FF2BD6"/>
    <w:rsid w:val="00FF3F52"/>
    <w:rsid w:val="00FF5F1E"/>
    <w:rsid w:val="00FF6848"/>
    <w:rsid w:val="00FF6B03"/>
    <w:rsid w:val="0CBDD394"/>
    <w:rsid w:val="150548AF"/>
    <w:rsid w:val="203B39A2"/>
    <w:rsid w:val="22CBC915"/>
    <w:rsid w:val="284A31D3"/>
    <w:rsid w:val="2B16D9BB"/>
    <w:rsid w:val="2DC709B3"/>
    <w:rsid w:val="2DFE9713"/>
    <w:rsid w:val="2EB62A62"/>
    <w:rsid w:val="34B78241"/>
    <w:rsid w:val="376E7BF5"/>
    <w:rsid w:val="377F1234"/>
    <w:rsid w:val="41D07EFC"/>
    <w:rsid w:val="431F545F"/>
    <w:rsid w:val="473D391B"/>
    <w:rsid w:val="53CC2786"/>
    <w:rsid w:val="5899168A"/>
    <w:rsid w:val="5D35D57F"/>
    <w:rsid w:val="60BA51DD"/>
    <w:rsid w:val="6160F237"/>
    <w:rsid w:val="622D0975"/>
    <w:rsid w:val="6B7D49BB"/>
    <w:rsid w:val="6CB89EE6"/>
    <w:rsid w:val="6E546F47"/>
    <w:rsid w:val="70161A1D"/>
    <w:rsid w:val="72F0987D"/>
    <w:rsid w:val="7336AABF"/>
    <w:rsid w:val="7479B4ED"/>
    <w:rsid w:val="758A439B"/>
    <w:rsid w:val="7F8430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B5F72B"/>
  <w15:docId w15:val="{8FC52A5E-4CB9-419A-B837-048FD03C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7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34CE5"/>
    <w:pPr>
      <w:keepNext/>
      <w:keepLines/>
      <w:widowControl/>
      <w:autoSpaceDE/>
      <w:autoSpaceDN/>
      <w:adjustRightInd/>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34CE5"/>
    <w:pPr>
      <w:keepNext/>
      <w:keepLines/>
      <w:widowControl/>
      <w:autoSpaceDE/>
      <w:autoSpaceDN/>
      <w:adjustRightInd/>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034CE5"/>
    <w:pPr>
      <w:keepNext/>
      <w:keepLines/>
      <w:widowControl/>
      <w:autoSpaceDE/>
      <w:autoSpaceDN/>
      <w:adjustRightInd/>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034CE5"/>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34CE5"/>
    <w:pPr>
      <w:keepNext/>
      <w:keepLines/>
      <w:widowControl/>
      <w:autoSpaceDE/>
      <w:autoSpaceDN/>
      <w:adjustRightInd/>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unhideWhenUsed/>
    <w:qFormat/>
    <w:rsid w:val="00034CE5"/>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34CE5"/>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34CE5"/>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34CE5"/>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1709"/>
    <w:pPr>
      <w:tabs>
        <w:tab w:val="center" w:pos="4680"/>
        <w:tab w:val="right" w:pos="9360"/>
      </w:tabs>
    </w:pPr>
  </w:style>
  <w:style w:type="character" w:customStyle="1" w:styleId="FooterChar">
    <w:name w:val="Footer Char"/>
    <w:basedOn w:val="DefaultParagraphFont"/>
    <w:link w:val="Footer"/>
    <w:uiPriority w:val="99"/>
    <w:rsid w:val="00691709"/>
    <w:rPr>
      <w:rFonts w:ascii="Times New Roman" w:eastAsia="Times New Roman" w:hAnsi="Times New Roman" w:cs="Times New Roman"/>
      <w:sz w:val="24"/>
      <w:szCs w:val="24"/>
    </w:rPr>
  </w:style>
  <w:style w:type="character" w:styleId="FootnoteReference">
    <w:name w:val="footnote reference"/>
    <w:rsid w:val="00691709"/>
  </w:style>
  <w:style w:type="character" w:styleId="PageNumber">
    <w:name w:val="page number"/>
    <w:basedOn w:val="DefaultParagraphFont"/>
    <w:rsid w:val="00691709"/>
  </w:style>
  <w:style w:type="paragraph" w:styleId="FootnoteText">
    <w:name w:val="footnote text"/>
    <w:basedOn w:val="Normal"/>
    <w:link w:val="FootnoteTextChar"/>
    <w:semiHidden/>
    <w:rsid w:val="00691709"/>
    <w:rPr>
      <w:sz w:val="20"/>
      <w:szCs w:val="20"/>
    </w:rPr>
  </w:style>
  <w:style w:type="character" w:customStyle="1" w:styleId="FootnoteTextChar">
    <w:name w:val="Footnote Text Char"/>
    <w:basedOn w:val="DefaultParagraphFont"/>
    <w:link w:val="FootnoteText"/>
    <w:semiHidden/>
    <w:rsid w:val="00691709"/>
    <w:rPr>
      <w:rFonts w:ascii="Times New Roman" w:eastAsia="Times New Roman" w:hAnsi="Times New Roman" w:cs="Times New Roman"/>
      <w:sz w:val="20"/>
      <w:szCs w:val="20"/>
    </w:rPr>
  </w:style>
  <w:style w:type="paragraph" w:styleId="ListParagraph">
    <w:name w:val="List Paragraph"/>
    <w:basedOn w:val="Normal"/>
    <w:uiPriority w:val="34"/>
    <w:qFormat/>
    <w:rsid w:val="00691709"/>
    <w:pPr>
      <w:ind w:left="720"/>
      <w:contextualSpacing/>
    </w:pPr>
  </w:style>
  <w:style w:type="character" w:styleId="Hyperlink">
    <w:name w:val="Hyperlink"/>
    <w:basedOn w:val="DefaultParagraphFont"/>
    <w:uiPriority w:val="99"/>
    <w:rsid w:val="00691709"/>
    <w:rPr>
      <w:color w:val="003399"/>
      <w:u w:val="single"/>
    </w:rPr>
  </w:style>
  <w:style w:type="paragraph" w:styleId="Header">
    <w:name w:val="header"/>
    <w:basedOn w:val="Normal"/>
    <w:link w:val="HeaderChar"/>
    <w:uiPriority w:val="99"/>
    <w:unhideWhenUsed/>
    <w:rsid w:val="00691709"/>
    <w:pPr>
      <w:tabs>
        <w:tab w:val="center" w:pos="4680"/>
        <w:tab w:val="right" w:pos="9360"/>
      </w:tabs>
    </w:pPr>
  </w:style>
  <w:style w:type="character" w:customStyle="1" w:styleId="HeaderChar">
    <w:name w:val="Header Char"/>
    <w:basedOn w:val="DefaultParagraphFont"/>
    <w:link w:val="Header"/>
    <w:uiPriority w:val="99"/>
    <w:rsid w:val="0069170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7A56"/>
    <w:rPr>
      <w:sz w:val="16"/>
      <w:szCs w:val="16"/>
    </w:rPr>
  </w:style>
  <w:style w:type="paragraph" w:styleId="CommentText">
    <w:name w:val="annotation text"/>
    <w:basedOn w:val="Normal"/>
    <w:link w:val="CommentTextChar"/>
    <w:uiPriority w:val="99"/>
    <w:unhideWhenUsed/>
    <w:rsid w:val="00557A56"/>
    <w:rPr>
      <w:sz w:val="20"/>
      <w:szCs w:val="20"/>
    </w:rPr>
  </w:style>
  <w:style w:type="character" w:customStyle="1" w:styleId="CommentTextChar">
    <w:name w:val="Comment Text Char"/>
    <w:basedOn w:val="DefaultParagraphFont"/>
    <w:link w:val="CommentText"/>
    <w:uiPriority w:val="99"/>
    <w:rsid w:val="00557A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7A56"/>
    <w:rPr>
      <w:b/>
      <w:bCs/>
    </w:rPr>
  </w:style>
  <w:style w:type="character" w:customStyle="1" w:styleId="CommentSubjectChar">
    <w:name w:val="Comment Subject Char"/>
    <w:basedOn w:val="CommentTextChar"/>
    <w:link w:val="CommentSubject"/>
    <w:uiPriority w:val="99"/>
    <w:semiHidden/>
    <w:rsid w:val="00557A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57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A56"/>
    <w:rPr>
      <w:rFonts w:ascii="Segoe UI" w:eastAsia="Times New Roman" w:hAnsi="Segoe UI" w:cs="Segoe UI"/>
      <w:sz w:val="18"/>
      <w:szCs w:val="18"/>
    </w:rPr>
  </w:style>
  <w:style w:type="table" w:styleId="TableGrid">
    <w:name w:val="Table Grid"/>
    <w:basedOn w:val="TableNormal"/>
    <w:uiPriority w:val="59"/>
    <w:rsid w:val="00A40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CD3"/>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A582C"/>
    <w:rPr>
      <w:color w:val="605E5C"/>
      <w:shd w:val="clear" w:color="auto" w:fill="E1DFDD"/>
    </w:rPr>
  </w:style>
  <w:style w:type="character" w:styleId="FollowedHyperlink">
    <w:name w:val="FollowedHyperlink"/>
    <w:basedOn w:val="DefaultParagraphFont"/>
    <w:uiPriority w:val="99"/>
    <w:semiHidden/>
    <w:unhideWhenUsed/>
    <w:rsid w:val="006E07BA"/>
    <w:rPr>
      <w:color w:val="954F72" w:themeColor="followedHyperlink"/>
      <w:u w:val="single"/>
    </w:rPr>
  </w:style>
  <w:style w:type="paragraph" w:customStyle="1" w:styleId="Default">
    <w:name w:val="Default"/>
    <w:rsid w:val="001D52F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154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34CE5"/>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034CE5"/>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034CE5"/>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034CE5"/>
    <w:rPr>
      <w:rFonts w:eastAsiaTheme="majorEastAsia" w:cstheme="majorBidi"/>
      <w:i/>
      <w:iCs/>
      <w:color w:val="2E74B5" w:themeColor="accent1" w:themeShade="BF"/>
      <w:kern w:val="2"/>
      <w14:ligatures w14:val="standardContextual"/>
    </w:rPr>
  </w:style>
  <w:style w:type="character" w:customStyle="1" w:styleId="Heading5Char">
    <w:name w:val="Heading 5 Char"/>
    <w:basedOn w:val="DefaultParagraphFont"/>
    <w:link w:val="Heading5"/>
    <w:uiPriority w:val="9"/>
    <w:semiHidden/>
    <w:rsid w:val="00034CE5"/>
    <w:rPr>
      <w:rFonts w:eastAsiaTheme="majorEastAsia" w:cstheme="majorBidi"/>
      <w:color w:val="2E74B5" w:themeColor="accent1" w:themeShade="BF"/>
      <w:kern w:val="2"/>
      <w14:ligatures w14:val="standardContextual"/>
    </w:rPr>
  </w:style>
  <w:style w:type="character" w:customStyle="1" w:styleId="Heading6Char">
    <w:name w:val="Heading 6 Char"/>
    <w:basedOn w:val="DefaultParagraphFont"/>
    <w:link w:val="Heading6"/>
    <w:uiPriority w:val="9"/>
    <w:rsid w:val="00034CE5"/>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034CE5"/>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034CE5"/>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034CE5"/>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034CE5"/>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34CE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34CE5"/>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34CE5"/>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34CE5"/>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34CE5"/>
    <w:rPr>
      <w:i/>
      <w:iCs/>
      <w:color w:val="404040" w:themeColor="text1" w:themeTint="BF"/>
      <w:kern w:val="2"/>
      <w14:ligatures w14:val="standardContextual"/>
    </w:rPr>
  </w:style>
  <w:style w:type="character" w:styleId="IntenseEmphasis">
    <w:name w:val="Intense Emphasis"/>
    <w:basedOn w:val="DefaultParagraphFont"/>
    <w:uiPriority w:val="21"/>
    <w:qFormat/>
    <w:rsid w:val="00034CE5"/>
    <w:rPr>
      <w:i/>
      <w:iCs/>
      <w:color w:val="2E74B5" w:themeColor="accent1" w:themeShade="BF"/>
    </w:rPr>
  </w:style>
  <w:style w:type="paragraph" w:styleId="IntenseQuote">
    <w:name w:val="Intense Quote"/>
    <w:basedOn w:val="Normal"/>
    <w:next w:val="Normal"/>
    <w:link w:val="IntenseQuoteChar"/>
    <w:uiPriority w:val="30"/>
    <w:qFormat/>
    <w:rsid w:val="00034CE5"/>
    <w:pPr>
      <w:widowControl/>
      <w:pBdr>
        <w:top w:val="single" w:sz="4" w:space="10" w:color="2E74B5" w:themeColor="accent1" w:themeShade="BF"/>
        <w:bottom w:val="single" w:sz="4" w:space="10" w:color="2E74B5"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34CE5"/>
    <w:rPr>
      <w:i/>
      <w:iCs/>
      <w:color w:val="2E74B5" w:themeColor="accent1" w:themeShade="BF"/>
      <w:kern w:val="2"/>
      <w14:ligatures w14:val="standardContextual"/>
    </w:rPr>
  </w:style>
  <w:style w:type="character" w:styleId="IntenseReference">
    <w:name w:val="Intense Reference"/>
    <w:basedOn w:val="DefaultParagraphFont"/>
    <w:uiPriority w:val="32"/>
    <w:qFormat/>
    <w:rsid w:val="00034CE5"/>
    <w:rPr>
      <w:b/>
      <w:bCs/>
      <w:smallCaps/>
      <w:color w:val="2E74B5" w:themeColor="accent1" w:themeShade="BF"/>
      <w:spacing w:val="5"/>
    </w:rPr>
  </w:style>
  <w:style w:type="numbering" w:customStyle="1" w:styleId="NoList1">
    <w:name w:val="No List1"/>
    <w:next w:val="NoList"/>
    <w:uiPriority w:val="99"/>
    <w:semiHidden/>
    <w:unhideWhenUsed/>
    <w:rsid w:val="00034CE5"/>
  </w:style>
  <w:style w:type="paragraph" w:customStyle="1" w:styleId="msonormal">
    <w:name w:val="msonormal"/>
    <w:basedOn w:val="Normal"/>
    <w:rsid w:val="00034CE5"/>
    <w:pPr>
      <w:widowControl/>
      <w:autoSpaceDE/>
      <w:autoSpaceDN/>
      <w:adjustRightInd/>
      <w:spacing w:before="100" w:beforeAutospacing="1" w:after="100" w:afterAutospacing="1"/>
    </w:pPr>
  </w:style>
  <w:style w:type="paragraph" w:customStyle="1" w:styleId="dropdown">
    <w:name w:val="dropdown"/>
    <w:basedOn w:val="Normal"/>
    <w:rsid w:val="00034CE5"/>
    <w:pPr>
      <w:widowControl/>
      <w:autoSpaceDE/>
      <w:autoSpaceDN/>
      <w:adjustRightInd/>
      <w:spacing w:before="100" w:beforeAutospacing="1" w:after="100" w:afterAutospacing="1"/>
    </w:pPr>
  </w:style>
  <w:style w:type="character" w:customStyle="1" w:styleId="icon-ecfr">
    <w:name w:val="icon-ecfr"/>
    <w:basedOn w:val="DefaultParagraphFont"/>
    <w:rsid w:val="00034CE5"/>
  </w:style>
  <w:style w:type="paragraph" w:customStyle="1" w:styleId="nav-search">
    <w:name w:val="nav-search"/>
    <w:basedOn w:val="Normal"/>
    <w:rsid w:val="00034CE5"/>
    <w:pPr>
      <w:widowControl/>
      <w:autoSpaceDE/>
      <w:autoSpaceDN/>
      <w:adjustRightInd/>
      <w:spacing w:before="100" w:beforeAutospacing="1" w:after="100" w:afterAutospacing="1"/>
    </w:pPr>
  </w:style>
  <w:style w:type="paragraph" w:customStyle="1" w:styleId="nav-recent-changes">
    <w:name w:val="nav-recent-changes"/>
    <w:basedOn w:val="Normal"/>
    <w:rsid w:val="00034CE5"/>
    <w:pPr>
      <w:widowControl/>
      <w:autoSpaceDE/>
      <w:autoSpaceDN/>
      <w:adjustRightInd/>
      <w:spacing w:before="100" w:beforeAutospacing="1" w:after="100" w:afterAutospacing="1"/>
    </w:pPr>
  </w:style>
  <w:style w:type="paragraph" w:customStyle="1" w:styleId="nav-inline-search">
    <w:name w:val="nav-inline-search"/>
    <w:basedOn w:val="Normal"/>
    <w:rsid w:val="00034CE5"/>
    <w:pPr>
      <w:widowControl/>
      <w:autoSpaceDE/>
      <w:autoSpaceDN/>
      <w:adjustRightInd/>
      <w:spacing w:before="100" w:beforeAutospacing="1" w:after="100" w:afterAutospacing="1"/>
    </w:pPr>
  </w:style>
  <w:style w:type="paragraph" w:styleId="HTMLTopofForm">
    <w:name w:val="HTML Top of Form"/>
    <w:basedOn w:val="Normal"/>
    <w:next w:val="Normal"/>
    <w:link w:val="z-TopofFormChar"/>
    <w:hidden/>
    <w:uiPriority w:val="99"/>
    <w:semiHidden/>
    <w:unhideWhenUsed/>
    <w:rsid w:val="00034CE5"/>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034CE5"/>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034CE5"/>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034CE5"/>
    <w:rPr>
      <w:rFonts w:ascii="Arial" w:eastAsia="Times New Roman" w:hAnsi="Arial" w:cs="Arial"/>
      <w:vanish/>
      <w:sz w:val="16"/>
      <w:szCs w:val="16"/>
    </w:rPr>
  </w:style>
  <w:style w:type="character" w:customStyle="1" w:styleId="reader-aid">
    <w:name w:val="reader-aid"/>
    <w:basedOn w:val="DefaultParagraphFont"/>
    <w:rsid w:val="00034CE5"/>
  </w:style>
  <w:style w:type="character" w:customStyle="1" w:styleId="svg-tooltip">
    <w:name w:val="svg-tooltip"/>
    <w:basedOn w:val="DefaultParagraphFont"/>
    <w:rsid w:val="00034CE5"/>
  </w:style>
  <w:style w:type="character" w:customStyle="1" w:styleId="input-group-btn">
    <w:name w:val="input-group-btn"/>
    <w:basedOn w:val="DefaultParagraphFont"/>
    <w:rsid w:val="00034CE5"/>
  </w:style>
  <w:style w:type="paragraph" w:customStyle="1" w:styleId="breadcrumb-current">
    <w:name w:val="breadcrumb-current"/>
    <w:basedOn w:val="Normal"/>
    <w:rsid w:val="00034CE5"/>
    <w:pPr>
      <w:widowControl/>
      <w:autoSpaceDE/>
      <w:autoSpaceDN/>
      <w:adjustRightInd/>
      <w:spacing w:before="100" w:beforeAutospacing="1" w:after="100" w:afterAutospacing="1"/>
    </w:pPr>
  </w:style>
  <w:style w:type="paragraph" w:customStyle="1" w:styleId="button">
    <w:name w:val="button"/>
    <w:basedOn w:val="Normal"/>
    <w:rsid w:val="00034CE5"/>
    <w:pPr>
      <w:widowControl/>
      <w:autoSpaceDE/>
      <w:autoSpaceDN/>
      <w:adjustRightInd/>
      <w:spacing w:before="100" w:beforeAutospacing="1" w:after="100" w:afterAutospacing="1"/>
    </w:pPr>
  </w:style>
  <w:style w:type="paragraph" w:customStyle="1" w:styleId="enhanced">
    <w:name w:val="enhanced"/>
    <w:basedOn w:val="Normal"/>
    <w:rsid w:val="00034CE5"/>
    <w:pPr>
      <w:widowControl/>
      <w:autoSpaceDE/>
      <w:autoSpaceDN/>
      <w:adjustRightInd/>
      <w:spacing w:before="100" w:beforeAutospacing="1" w:after="100" w:afterAutospacing="1"/>
    </w:pPr>
  </w:style>
  <w:style w:type="character" w:customStyle="1" w:styleId="content-nav-label">
    <w:name w:val="content-nav-label"/>
    <w:basedOn w:val="DefaultParagraphFont"/>
    <w:rsid w:val="00034CE5"/>
  </w:style>
  <w:style w:type="paragraph" w:customStyle="1" w:styleId="divider">
    <w:name w:val="divider"/>
    <w:basedOn w:val="Normal"/>
    <w:rsid w:val="00034CE5"/>
    <w:pPr>
      <w:widowControl/>
      <w:autoSpaceDE/>
      <w:autoSpaceDN/>
      <w:adjustRightInd/>
      <w:spacing w:before="100" w:beforeAutospacing="1" w:after="100" w:afterAutospacing="1"/>
    </w:pPr>
  </w:style>
  <w:style w:type="character" w:customStyle="1" w:styleId="content-tools-target">
    <w:name w:val="content-tools-target"/>
    <w:basedOn w:val="DefaultParagraphFont"/>
    <w:rsid w:val="00034CE5"/>
  </w:style>
  <w:style w:type="paragraph" w:customStyle="1" w:styleId="inline-paragraph">
    <w:name w:val="inline-paragraph"/>
    <w:basedOn w:val="Normal"/>
    <w:rsid w:val="00034CE5"/>
    <w:pPr>
      <w:widowControl/>
      <w:autoSpaceDE/>
      <w:autoSpaceDN/>
      <w:adjustRightInd/>
      <w:spacing w:before="100" w:beforeAutospacing="1" w:after="100" w:afterAutospacing="1"/>
    </w:pPr>
  </w:style>
  <w:style w:type="paragraph" w:styleId="NormalWeb">
    <w:name w:val="Normal (Web)"/>
    <w:basedOn w:val="Normal"/>
    <w:uiPriority w:val="99"/>
    <w:semiHidden/>
    <w:unhideWhenUsed/>
    <w:rsid w:val="00034CE5"/>
    <w:pPr>
      <w:widowControl/>
      <w:autoSpaceDE/>
      <w:autoSpaceDN/>
      <w:adjustRightInd/>
      <w:spacing w:before="100" w:beforeAutospacing="1" w:after="100" w:afterAutospacing="1"/>
    </w:pPr>
  </w:style>
  <w:style w:type="paragraph" w:customStyle="1" w:styleId="indent-1">
    <w:name w:val="indent-1"/>
    <w:basedOn w:val="Normal"/>
    <w:rsid w:val="00034CE5"/>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034CE5"/>
  </w:style>
  <w:style w:type="character" w:customStyle="1" w:styleId="paren">
    <w:name w:val="paren"/>
    <w:basedOn w:val="DefaultParagraphFont"/>
    <w:rsid w:val="00034CE5"/>
  </w:style>
  <w:style w:type="character" w:styleId="Emphasis">
    <w:name w:val="Emphasis"/>
    <w:basedOn w:val="DefaultParagraphFont"/>
    <w:uiPriority w:val="20"/>
    <w:qFormat/>
    <w:rsid w:val="00034CE5"/>
    <w:rPr>
      <w:i/>
      <w:iCs/>
    </w:rPr>
  </w:style>
  <w:style w:type="paragraph" w:customStyle="1" w:styleId="citation">
    <w:name w:val="citation"/>
    <w:basedOn w:val="Normal"/>
    <w:rsid w:val="00034CE5"/>
    <w:pPr>
      <w:widowControl/>
      <w:autoSpaceDE/>
      <w:autoSpaceDN/>
      <w:adjustRightInd/>
      <w:spacing w:before="100" w:beforeAutospacing="1" w:after="100" w:afterAutospacing="1"/>
    </w:pPr>
  </w:style>
  <w:style w:type="paragraph" w:customStyle="1" w:styleId="indent-2">
    <w:name w:val="indent-2"/>
    <w:basedOn w:val="Normal"/>
    <w:rsid w:val="00034CE5"/>
    <w:pPr>
      <w:widowControl/>
      <w:autoSpaceDE/>
      <w:autoSpaceDN/>
      <w:adjustRightInd/>
      <w:spacing w:before="100" w:beforeAutospacing="1" w:after="100" w:afterAutospacing="1"/>
    </w:pPr>
  </w:style>
  <w:style w:type="paragraph" w:customStyle="1" w:styleId="indent-3">
    <w:name w:val="indent-3"/>
    <w:basedOn w:val="Normal"/>
    <w:rsid w:val="00034CE5"/>
    <w:pPr>
      <w:widowControl/>
      <w:autoSpaceDE/>
      <w:autoSpaceDN/>
      <w:adjustRightInd/>
      <w:spacing w:before="100" w:beforeAutospacing="1" w:after="100" w:afterAutospacing="1"/>
    </w:pPr>
  </w:style>
  <w:style w:type="paragraph" w:customStyle="1" w:styleId="indent-4">
    <w:name w:val="indent-4"/>
    <w:basedOn w:val="Normal"/>
    <w:rsid w:val="00034CE5"/>
    <w:pPr>
      <w:widowControl/>
      <w:autoSpaceDE/>
      <w:autoSpaceDN/>
      <w:adjustRightInd/>
      <w:spacing w:before="100" w:beforeAutospacing="1" w:after="100" w:afterAutospacing="1"/>
    </w:pPr>
  </w:style>
  <w:style w:type="paragraph" w:customStyle="1" w:styleId="indent-5">
    <w:name w:val="indent-5"/>
    <w:basedOn w:val="Normal"/>
    <w:rsid w:val="00034CE5"/>
    <w:pPr>
      <w:widowControl/>
      <w:autoSpaceDE/>
      <w:autoSpaceDN/>
      <w:adjustRightInd/>
      <w:spacing w:before="100" w:beforeAutospacing="1" w:after="100" w:afterAutospacing="1"/>
    </w:pPr>
  </w:style>
  <w:style w:type="character" w:customStyle="1" w:styleId="text">
    <w:name w:val="text"/>
    <w:basedOn w:val="DefaultParagraphFont"/>
    <w:rsid w:val="00034CE5"/>
  </w:style>
  <w:style w:type="paragraph" w:customStyle="1" w:styleId="flush-paragraph">
    <w:name w:val="flush-paragraph"/>
    <w:basedOn w:val="Normal"/>
    <w:rsid w:val="00034CE5"/>
    <w:pPr>
      <w:widowControl/>
      <w:autoSpaceDE/>
      <w:autoSpaceDN/>
      <w:adjustRightInd/>
      <w:spacing w:before="100" w:beforeAutospacing="1" w:after="100" w:afterAutospacing="1"/>
    </w:pPr>
  </w:style>
  <w:style w:type="paragraph" w:customStyle="1" w:styleId="flush-paragraph-1">
    <w:name w:val="flush-paragraph-1"/>
    <w:basedOn w:val="Normal"/>
    <w:rsid w:val="00034CE5"/>
    <w:pPr>
      <w:widowControl/>
      <w:autoSpaceDE/>
      <w:autoSpaceDN/>
      <w:adjustRightInd/>
      <w:spacing w:before="100" w:beforeAutospacing="1" w:after="100" w:afterAutospacing="1"/>
    </w:pPr>
  </w:style>
  <w:style w:type="character" w:customStyle="1" w:styleId="fraction">
    <w:name w:val="fraction"/>
    <w:basedOn w:val="DefaultParagraphFont"/>
    <w:rsid w:val="00034CE5"/>
  </w:style>
  <w:style w:type="character" w:customStyle="1" w:styleId="numerator">
    <w:name w:val="numerator"/>
    <w:basedOn w:val="DefaultParagraphFont"/>
    <w:rsid w:val="00034CE5"/>
  </w:style>
  <w:style w:type="character" w:customStyle="1" w:styleId="denominator">
    <w:name w:val="denominator"/>
    <w:basedOn w:val="DefaultParagraphFont"/>
    <w:rsid w:val="00034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514121.htm" TargetMode="External" /><Relationship Id="rId11" Type="http://schemas.openxmlformats.org/officeDocument/2006/relationships/hyperlink" Target="https://www.bls.gov/oes/tables.htm" TargetMode="External" /><Relationship Id="rId12" Type="http://schemas.openxmlformats.org/officeDocument/2006/relationships/hyperlink" Target="https://www.bls.gov/news.release/archives/ecec_12172024.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gcc02.safelinks.protection.outlook.com/?url=https%3A%2F%2Fwww.ecfr.gov%2Fcurrent%2Ftitle-42%2Fpart-84&amp;data=05%7C02%7CCannon.Belinda%40dol.gov%7Cb2597f75ac5a4b30813808de3f2132f6%7C75a6305472044e0c9126adab971d4aca%7C0%7C0%7C639017608967289792%7CUnknown%7CTWFpbGZsb3d8eyJFbXB0eU1hcGkiOnRydWUsIlYiOiIwLjAuMDAwMCIsIlAiOiJXaW4zMiIsIkFOIjoiTWFpbCIsIldUIjoyfQ%3D%3D%7C0%7C%7C%7C&amp;sdata=UU%2FammnGGCW6KZeOm%2BmKcDEhT%2BoQKavAboUURHtpiAg%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5" ma:contentTypeDescription="Create a new document." ma:contentTypeScope="" ma:versionID="d5afc947d929641cc111619718c64e46">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5f9fbd24dbe52ea88d63c31940040896"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Cont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ntent_x0020_Description" ma:index="22" nillable="true" ma:displayName="Content Description" ma:internalName="Content_x0020_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7A8F8-B669-4227-AC0F-92DDAC6D8701}">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5D1FB270-A40C-4D81-B6EE-5DD39369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2DA41-24B5-4EB2-BEC2-F975D564B28B}">
  <ds:schemaRefs>
    <ds:schemaRef ds:uri="http://schemas.openxmlformats.org/officeDocument/2006/bibliography"/>
  </ds:schemaRefs>
</ds:datastoreItem>
</file>

<file path=customXml/itemProps4.xml><?xml version="1.0" encoding="utf-8"?>
<ds:datastoreItem xmlns:ds="http://schemas.openxmlformats.org/officeDocument/2006/customXml" ds:itemID="{7C03EFB0-DD06-4820-A2D6-A542D9442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2729</Words>
  <Characters>15365</Characters>
  <Application>Microsoft Office Word</Application>
  <DocSecurity>0</DocSecurity>
  <Lines>240</Lines>
  <Paragraphs>131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Washington</dc:creator>
  <cp:lastModifiedBy>Cannon, Belinda - OSHA</cp:lastModifiedBy>
  <cp:revision>43</cp:revision>
  <dcterms:created xsi:type="dcterms:W3CDTF">2026-01-08T15:23:00Z</dcterms:created>
  <dcterms:modified xsi:type="dcterms:W3CDTF">2026-01-08T19:19:00Z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