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76EFF" w:rsidRPr="00B76EFF" w:rsidP="00B76EFF" w14:paraId="299115EC" w14:textId="2F00B830">
      <w:pPr>
        <w:pStyle w:val="Default"/>
        <w:tabs>
          <w:tab w:val="left" w:pos="3105"/>
        </w:tabs>
        <w:rPr>
          <w:rFonts w:ascii="Calibri" w:hAnsi="Calibri" w:eastAsiaTheme="minorEastAsia" w:cs="Calibri"/>
          <w:color w:val="auto"/>
        </w:rPr>
      </w:pPr>
      <w:r w:rsidRPr="00C74C2E">
        <w:rPr>
          <w:rFonts w:asciiTheme="minorHAnsi" w:eastAsiaTheme="minorEastAsia" w:hAnsiTheme="minorHAnsi" w:cstheme="minorBidi"/>
          <w:noProof/>
          <w:color w:val="auto"/>
        </w:rPr>
        <w:drawing>
          <wp:anchor distT="0" distB="0" distL="114300" distR="114300" simplePos="0" relativeHeight="251658240" behindDoc="0" locked="0" layoutInCell="1" allowOverlap="1">
            <wp:simplePos x="0" y="0"/>
            <wp:positionH relativeFrom="column">
              <wp:posOffset>-990600</wp:posOffset>
            </wp:positionH>
            <wp:positionV relativeFrom="paragraph">
              <wp:posOffset>2540</wp:posOffset>
            </wp:positionV>
            <wp:extent cx="1565910" cy="7772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5"/>
                    <a:srcRect l="7" r="7"/>
                    <a:stretch>
                      <a:fillRect/>
                    </a:stretch>
                  </pic:blipFill>
                  <pic:spPr bwMode="auto">
                    <a:xfrm>
                      <a:off x="0" y="0"/>
                      <a:ext cx="1565910" cy="77724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eastAsiaTheme="minorEastAsia" w:cs="Calibri"/>
          <w:color w:val="auto"/>
        </w:rPr>
        <w:t>May</w:t>
      </w:r>
      <w:r w:rsidRPr="00B76EFF">
        <w:rPr>
          <w:rFonts w:ascii="Calibri" w:hAnsi="Calibri" w:eastAsiaTheme="minorEastAsia" w:cs="Calibri"/>
          <w:color w:val="auto"/>
        </w:rPr>
        <w:t xml:space="preserve"> 27, 2025</w:t>
      </w:r>
    </w:p>
    <w:p w:rsidR="00B76EFF" w:rsidP="00B76EFF" w14:paraId="0B6131ED" w14:textId="77777777">
      <w:pPr>
        <w:pStyle w:val="Default"/>
        <w:tabs>
          <w:tab w:val="left" w:pos="3105"/>
        </w:tabs>
        <w:rPr>
          <w:rFonts w:ascii="Calibri" w:hAnsi="Calibri" w:eastAsiaTheme="minorEastAsia" w:cs="Calibri"/>
          <w:color w:val="auto"/>
          <w:sz w:val="22"/>
          <w:szCs w:val="22"/>
        </w:rPr>
      </w:pPr>
    </w:p>
    <w:p w:rsidR="00B76EFF" w:rsidRPr="00B76EFF" w:rsidP="00B76EFF" w14:paraId="3FCED309" w14:textId="3E02C58B">
      <w:pPr>
        <w:pStyle w:val="Default"/>
        <w:tabs>
          <w:tab w:val="left" w:pos="3105"/>
        </w:tabs>
        <w:rPr>
          <w:rFonts w:ascii="Calibri" w:hAnsi="Calibri" w:eastAsiaTheme="minorEastAsia" w:cs="Calibri"/>
          <w:color w:val="auto"/>
        </w:rPr>
      </w:pPr>
      <w:r w:rsidRPr="00B76EFF">
        <w:rPr>
          <w:rFonts w:ascii="Calibri" w:hAnsi="Calibri" w:cs="Calibri"/>
        </w:rPr>
        <w:t>Ms. Erin Good</w:t>
      </w:r>
    </w:p>
    <w:p w:rsidR="00B76EFF" w:rsidRPr="00B76EFF" w:rsidP="00B76EFF" w14:paraId="7C82C9E2" w14:textId="77777777">
      <w:pPr>
        <w:rPr>
          <w:rFonts w:ascii="Calibri" w:hAnsi="Calibri" w:cs="Calibri"/>
        </w:rPr>
      </w:pPr>
      <w:r w:rsidRPr="00B76EFF">
        <w:rPr>
          <w:rFonts w:ascii="Calibri" w:hAnsi="Calibri" w:cs="Calibri"/>
        </w:rPr>
        <w:t>BLS Clearance Officer</w:t>
      </w:r>
    </w:p>
    <w:p w:rsidR="00B76EFF" w:rsidRPr="00B76EFF" w:rsidP="00B76EFF" w14:paraId="4087E1E1" w14:textId="77777777">
      <w:pPr>
        <w:rPr>
          <w:rFonts w:ascii="Calibri" w:hAnsi="Calibri" w:cs="Calibri"/>
        </w:rPr>
      </w:pPr>
      <w:r w:rsidRPr="00B76EFF">
        <w:rPr>
          <w:rFonts w:ascii="Calibri" w:hAnsi="Calibri" w:cs="Calibri"/>
        </w:rPr>
        <w:t>Division of Management Systems</w:t>
      </w:r>
    </w:p>
    <w:p w:rsidR="00B76EFF" w:rsidRPr="00B76EFF" w:rsidP="00B76EFF" w14:paraId="37F15B77" w14:textId="77777777">
      <w:pPr>
        <w:rPr>
          <w:rFonts w:ascii="Calibri" w:hAnsi="Calibri" w:cs="Calibri"/>
        </w:rPr>
      </w:pPr>
      <w:r w:rsidRPr="00B76EFF">
        <w:rPr>
          <w:rFonts w:ascii="Calibri" w:hAnsi="Calibri" w:cs="Calibri"/>
        </w:rPr>
        <w:t>Bureau of Labor Statistics</w:t>
      </w:r>
    </w:p>
    <w:p w:rsidR="00B76EFF" w:rsidRPr="0034403C" w:rsidP="00B76EFF" w14:paraId="414EBF32" w14:textId="77777777">
      <w:pPr>
        <w:rPr>
          <w:rFonts w:cs="Arial"/>
        </w:rPr>
      </w:pPr>
      <w:r w:rsidRPr="00B76EFF">
        <w:rPr>
          <w:rFonts w:ascii="Calibri" w:hAnsi="Calibri" w:cs="Calibri"/>
        </w:rPr>
        <w:t xml:space="preserve">Submitted by email </w:t>
      </w:r>
      <w:r w:rsidRPr="0034403C">
        <w:rPr>
          <w:rFonts w:cs="Arial"/>
        </w:rPr>
        <w:t xml:space="preserve">to </w:t>
      </w:r>
      <w:hyperlink r:id="rId6" w:history="1">
        <w:r w:rsidRPr="0034403C">
          <w:rPr>
            <w:rStyle w:val="Hyperlink"/>
            <w:rFonts w:cs="Arial"/>
          </w:rPr>
          <w:t>BLS_PRA_Public@bls.gov</w:t>
        </w:r>
      </w:hyperlink>
    </w:p>
    <w:p w:rsidR="00B76EFF" w:rsidRPr="0034403C" w:rsidP="00B76EFF" w14:paraId="0509A846" w14:textId="77777777">
      <w:pPr>
        <w:rPr>
          <w:rFonts w:cs="Arial"/>
        </w:rPr>
      </w:pPr>
    </w:p>
    <w:p w:rsidR="00B76EFF" w:rsidRPr="00B76EFF" w:rsidP="00B76EFF" w14:paraId="5E89475D" w14:textId="11D032A7">
      <w:pPr>
        <w:rPr>
          <w:rFonts w:ascii="Calibri" w:hAnsi="Calibri" w:cs="Calibri"/>
          <w:b/>
          <w:spacing w:val="-6"/>
        </w:rPr>
      </w:pPr>
      <w:r w:rsidRPr="00B76EFF">
        <w:rPr>
          <w:rFonts w:ascii="Calibri" w:hAnsi="Calibri" w:cs="Calibri"/>
          <w:b/>
        </w:rPr>
        <w:t xml:space="preserve">Re: Response to FRN </w:t>
      </w:r>
      <w:r w:rsidRPr="00B76EFF">
        <w:rPr>
          <w:rFonts w:ascii="Calibri" w:hAnsi="Calibri" w:cs="Calibri"/>
          <w:b/>
          <w:spacing w:val="-6"/>
        </w:rPr>
        <w:t>2025-05325: Information Collection Activities</w:t>
      </w:r>
    </w:p>
    <w:p w:rsidR="00B76EFF" w:rsidRPr="00B76EFF" w:rsidP="00B76EFF" w14:paraId="5383B4FE" w14:textId="77777777">
      <w:pPr>
        <w:rPr>
          <w:rFonts w:ascii="Calibri" w:hAnsi="Calibri" w:cs="Calibri"/>
        </w:rPr>
      </w:pPr>
    </w:p>
    <w:p w:rsidR="00B76EFF" w:rsidRPr="00B76EFF" w:rsidP="00B76EFF" w14:paraId="7EC357ED" w14:textId="77777777">
      <w:pPr>
        <w:rPr>
          <w:rFonts w:ascii="Calibri" w:hAnsi="Calibri" w:cs="Calibri"/>
        </w:rPr>
      </w:pPr>
      <w:r w:rsidRPr="00B76EFF">
        <w:rPr>
          <w:rFonts w:ascii="Calibri" w:hAnsi="Calibri" w:cs="Calibri"/>
        </w:rPr>
        <w:t>Dear Ms. Good,</w:t>
      </w:r>
    </w:p>
    <w:p w:rsidR="00B76EFF" w:rsidRPr="00B76EFF" w:rsidP="00B76EFF" w14:paraId="27110F44" w14:textId="77777777">
      <w:pPr>
        <w:rPr>
          <w:rFonts w:ascii="Calibri" w:hAnsi="Calibri" w:cs="Calibri"/>
        </w:rPr>
      </w:pPr>
    </w:p>
    <w:p w:rsidR="00B76EFF" w:rsidRPr="00B76EFF" w:rsidP="00B76EFF" w14:paraId="54837A65" w14:textId="6D4378A4">
      <w:pPr>
        <w:rPr>
          <w:rFonts w:ascii="Calibri" w:hAnsi="Calibri" w:cs="Calibri"/>
        </w:rPr>
      </w:pPr>
      <w:r w:rsidRPr="00B76EFF">
        <w:rPr>
          <w:rFonts w:ascii="Calibri" w:hAnsi="Calibri" w:cs="Calibri"/>
        </w:rPr>
        <w:t>On behalf of the Population Association of America (PAA) (</w:t>
      </w:r>
      <w:hyperlink r:id="rId7" w:history="1">
        <w:r w:rsidRPr="00B76EFF">
          <w:rPr>
            <w:rStyle w:val="Hyperlink"/>
            <w:rFonts w:ascii="Calibri" w:hAnsi="Calibri" w:cs="Calibri"/>
          </w:rPr>
          <w:t>www.populationassociation.org</w:t>
        </w:r>
      </w:hyperlink>
      <w:r w:rsidRPr="00B76EFF">
        <w:rPr>
          <w:rFonts w:ascii="Calibri" w:hAnsi="Calibri" w:cs="Calibri"/>
        </w:rPr>
        <w:t>) and the Association of Population Centers (APC)</w:t>
      </w:r>
      <w:r>
        <w:rPr>
          <w:rFonts w:ascii="Calibri" w:hAnsi="Calibri" w:cs="Calibri"/>
        </w:rPr>
        <w:t xml:space="preserve"> (</w:t>
      </w:r>
      <w:hyperlink r:id="rId8" w:history="1">
        <w:r w:rsidRPr="00EF32AE" w:rsidR="00FF7AC1">
          <w:rPr>
            <w:rStyle w:val="Hyperlink"/>
            <w:rFonts w:ascii="Calibri" w:hAnsi="Calibri" w:cs="Calibri"/>
          </w:rPr>
          <w:t>www.popcenters.org</w:t>
        </w:r>
      </w:hyperlink>
      <w:r w:rsidR="00FF7AC1">
        <w:rPr>
          <w:rFonts w:ascii="Calibri" w:hAnsi="Calibri" w:cs="Calibri"/>
        </w:rPr>
        <w:t>)</w:t>
      </w:r>
      <w:r w:rsidRPr="00B76EFF">
        <w:rPr>
          <w:rFonts w:ascii="Calibri" w:hAnsi="Calibri" w:cs="Calibri"/>
        </w:rPr>
        <w:t xml:space="preserve">, we are pleased to submit comments in response to a </w:t>
      </w:r>
      <w:r w:rsidRPr="00B76EFF">
        <w:rPr>
          <w:rFonts w:ascii="Calibri" w:hAnsi="Calibri" w:cs="Calibri"/>
          <w:i/>
        </w:rPr>
        <w:t xml:space="preserve">Federal Register </w:t>
      </w:r>
      <w:r w:rsidRPr="00B76EFF">
        <w:rPr>
          <w:rFonts w:ascii="Calibri" w:hAnsi="Calibri" w:cs="Calibri"/>
        </w:rPr>
        <w:t>Notice published by the Department of Labor’s Bureau of Labor Statistics on</w:t>
      </w:r>
      <w:r>
        <w:rPr>
          <w:rFonts w:ascii="Calibri" w:hAnsi="Calibri" w:cs="Calibri"/>
        </w:rPr>
        <w:t xml:space="preserve"> </w:t>
      </w:r>
      <w:r w:rsidRPr="00B76EFF">
        <w:rPr>
          <w:rFonts w:ascii="Calibri" w:hAnsi="Calibri" w:cs="Calibri"/>
        </w:rPr>
        <w:t xml:space="preserve">March </w:t>
      </w:r>
      <w:r>
        <w:rPr>
          <w:rFonts w:ascii="Calibri" w:hAnsi="Calibri" w:cs="Calibri"/>
        </w:rPr>
        <w:t xml:space="preserve">28, </w:t>
      </w:r>
      <w:r w:rsidRPr="00B76EFF">
        <w:rPr>
          <w:rFonts w:ascii="Calibri" w:hAnsi="Calibri" w:cs="Calibri"/>
        </w:rPr>
        <w:t>2025 (</w:t>
      </w:r>
      <w:hyperlink r:id="rId9" w:history="1">
        <w:r w:rsidRPr="00B76EFF">
          <w:rPr>
            <w:rStyle w:val="Hyperlink"/>
            <w:rFonts w:ascii="Calibri" w:hAnsi="Calibri" w:cs="Calibri"/>
          </w:rPr>
          <w:t>Citation 90 FR 14168; Document Number 2025-05325</w:t>
        </w:r>
      </w:hyperlink>
      <w:r w:rsidRPr="00B76EFF">
        <w:rPr>
          <w:rFonts w:ascii="Calibri" w:hAnsi="Calibri" w:cs="Calibri"/>
        </w:rPr>
        <w:t>)</w:t>
      </w:r>
      <w:r>
        <w:rPr>
          <w:rFonts w:ascii="Calibri" w:hAnsi="Calibri" w:cs="Calibri"/>
        </w:rPr>
        <w:t>,</w:t>
      </w:r>
      <w:r w:rsidRPr="00B76EFF">
        <w:rPr>
          <w:rFonts w:ascii="Calibri" w:hAnsi="Calibri" w:cs="Calibri"/>
        </w:rPr>
        <w:t xml:space="preserve"> requesting comments concerning the proposed extension without change of the American Time Use Survey (ATUS).</w:t>
      </w:r>
    </w:p>
    <w:p w:rsidR="00B76EFF" w:rsidRPr="00B76EFF" w:rsidP="00B76EFF" w14:paraId="52FB5499" w14:textId="77777777">
      <w:pPr>
        <w:rPr>
          <w:rFonts w:ascii="Calibri" w:hAnsi="Calibri" w:cs="Calibri"/>
        </w:rPr>
      </w:pPr>
    </w:p>
    <w:p w:rsidR="00B76EFF" w:rsidRPr="00B76EFF" w:rsidP="00B76EFF" w14:paraId="0EE95E9B" w14:textId="77777777">
      <w:pPr>
        <w:rPr>
          <w:rFonts w:ascii="Calibri" w:hAnsi="Calibri" w:cs="Calibri"/>
        </w:rPr>
      </w:pPr>
      <w:r w:rsidRPr="00B76EFF">
        <w:rPr>
          <w:rFonts w:ascii="Calibri" w:hAnsi="Calibri" w:cs="Calibri"/>
        </w:rPr>
        <w:t>PAA is the premier professional, scientific society for over 3,000 behavioral and social scientists—including demographers, sociologists, economists, epidemiologists, and statisticians—who study the causes and consequences of population change. Our members conduct research and train scientists at U.S. universities and independent research organizations. APC is composed of approximately 40 federally funded, interdisciplinary population research centers nationwide. Our members are frequent users of the ATUS and are knowledgeable about methodological aspects of the ATUS as well as the Current Population Survey (CPS), from which the ATUS sample and considerable related information are drawn. Our members conduct independent research using ATUS data, work for or advise government agencies on methodological and substantive issues with data from ATUS, and disseminate findings using ATUS data to policymakers, stakeholders, and the public. Given these important connections, our members have a high stake in ensuring the continuity of ATUS.</w:t>
      </w:r>
    </w:p>
    <w:p w:rsidR="00B76EFF" w:rsidRPr="00B76EFF" w:rsidP="00B76EFF" w14:paraId="29DF1ECD" w14:textId="77777777">
      <w:pPr>
        <w:rPr>
          <w:rFonts w:ascii="Calibri" w:hAnsi="Calibri" w:cs="Calibri"/>
        </w:rPr>
      </w:pPr>
    </w:p>
    <w:p w:rsidR="00B76EFF" w:rsidRPr="00B76EFF" w:rsidP="00B76EFF" w14:paraId="6FAD64AE" w14:textId="77777777">
      <w:pPr>
        <w:rPr>
          <w:rFonts w:ascii="Calibri" w:hAnsi="Calibri" w:cs="Calibri"/>
        </w:rPr>
      </w:pPr>
      <w:r w:rsidRPr="00B76EFF">
        <w:rPr>
          <w:rFonts w:ascii="Calibri" w:hAnsi="Calibri" w:cs="Calibri"/>
        </w:rPr>
        <w:t>As the main source for information on time use for residents of the United States, the ATUS provides critical data for supporting social, economic, and demographic research. We therefore have a strong, vested interest in ensuring that ATUS continues to collect benchmark data on time use in the United States.</w:t>
      </w:r>
    </w:p>
    <w:p w:rsidR="00B76EFF" w:rsidRPr="00B76EFF" w:rsidP="00B76EFF" w14:paraId="69FC489E" w14:textId="77777777">
      <w:pPr>
        <w:rPr>
          <w:rFonts w:ascii="Calibri" w:hAnsi="Calibri" w:cs="Calibri"/>
        </w:rPr>
      </w:pPr>
    </w:p>
    <w:p w:rsidR="00B76EFF" w:rsidRPr="00B76EFF" w:rsidP="00B76EFF" w14:paraId="0E7AB456" w14:textId="77777777">
      <w:pPr>
        <w:rPr>
          <w:rFonts w:ascii="Calibri" w:hAnsi="Calibri" w:cs="Calibri"/>
        </w:rPr>
      </w:pPr>
      <w:r w:rsidRPr="00B76EFF">
        <w:rPr>
          <w:rFonts w:ascii="Calibri" w:hAnsi="Calibri" w:cs="Calibri"/>
        </w:rPr>
        <w:t>ATUS data have been used by population scientists to study a variety of topics, including the following:</w:t>
      </w:r>
    </w:p>
    <w:p w:rsidR="00B76EFF" w:rsidRPr="00B76EFF" w:rsidP="00B76EFF" w14:paraId="1465000A" w14:textId="77777777">
      <w:pPr>
        <w:rPr>
          <w:rFonts w:ascii="Calibri" w:hAnsi="Calibri" w:cs="Calibri"/>
        </w:rPr>
      </w:pPr>
    </w:p>
    <w:p w:rsidR="00B76EFF" w:rsidRPr="00B76EFF" w:rsidP="00B76EFF" w14:paraId="01BF4D56" w14:textId="77777777">
      <w:pPr>
        <w:pStyle w:val="ListParagraph"/>
        <w:numPr>
          <w:ilvl w:val="0"/>
          <w:numId w:val="12"/>
        </w:numPr>
        <w:rPr>
          <w:rFonts w:ascii="Calibri" w:hAnsi="Calibri" w:cs="Calibri"/>
        </w:rPr>
      </w:pPr>
      <w:r w:rsidRPr="00B76EFF">
        <w:rPr>
          <w:rFonts w:ascii="Calibri" w:hAnsi="Calibri" w:cs="Calibri"/>
        </w:rPr>
        <w:t>Historical trends in the provision of paid and unpaid care to children and adults in the United States;</w:t>
      </w:r>
      <w:r>
        <w:rPr>
          <w:rStyle w:val="FootnoteReference"/>
          <w:rFonts w:ascii="Calibri" w:hAnsi="Calibri" w:cs="Calibri"/>
        </w:rPr>
        <w:footnoteReference w:id="2"/>
      </w:r>
    </w:p>
    <w:p w:rsidR="00B76EFF" w:rsidRPr="00B76EFF" w:rsidP="00B76EFF" w14:paraId="23069D95" w14:textId="77777777">
      <w:pPr>
        <w:pStyle w:val="ListParagraph"/>
        <w:rPr>
          <w:rFonts w:ascii="Calibri" w:hAnsi="Calibri" w:cs="Calibri"/>
        </w:rPr>
      </w:pPr>
    </w:p>
    <w:p w:rsidR="00B76EFF" w:rsidRPr="00B76EFF" w:rsidP="00B76EFF" w14:paraId="4FD81F98" w14:textId="77777777">
      <w:pPr>
        <w:pStyle w:val="ListParagraph"/>
        <w:numPr>
          <w:ilvl w:val="0"/>
          <w:numId w:val="12"/>
        </w:numPr>
        <w:rPr>
          <w:rFonts w:ascii="Calibri" w:hAnsi="Calibri" w:cs="Calibri"/>
        </w:rPr>
      </w:pPr>
      <w:r w:rsidRPr="00B76EFF">
        <w:rPr>
          <w:rFonts w:ascii="Calibri" w:hAnsi="Calibri" w:cs="Calibri"/>
        </w:rPr>
        <w:t>Changes in the time that mothers spend parenting their children, and disparities in these trends by mothers’ education level;</w:t>
      </w:r>
      <w:r>
        <w:rPr>
          <w:rStyle w:val="FootnoteReference"/>
          <w:rFonts w:ascii="Calibri" w:hAnsi="Calibri" w:cs="Calibri"/>
        </w:rPr>
        <w:footnoteReference w:id="3"/>
      </w:r>
    </w:p>
    <w:p w:rsidR="00B76EFF" w:rsidRPr="00B76EFF" w:rsidP="00B76EFF" w14:paraId="3140D91F" w14:textId="77777777">
      <w:pPr>
        <w:pStyle w:val="ListParagraph"/>
        <w:rPr>
          <w:rFonts w:ascii="Calibri" w:hAnsi="Calibri" w:cs="Calibri"/>
        </w:rPr>
      </w:pPr>
    </w:p>
    <w:p w:rsidR="00B76EFF" w:rsidRPr="00B76EFF" w:rsidP="00B76EFF" w14:paraId="1FD63801" w14:textId="77777777">
      <w:pPr>
        <w:pStyle w:val="ListParagraph"/>
        <w:numPr>
          <w:ilvl w:val="0"/>
          <w:numId w:val="12"/>
        </w:numPr>
        <w:rPr>
          <w:rFonts w:ascii="Calibri" w:hAnsi="Calibri" w:cs="Calibri"/>
        </w:rPr>
      </w:pPr>
      <w:r w:rsidRPr="00B76EFF">
        <w:rPr>
          <w:rFonts w:ascii="Calibri" w:hAnsi="Calibri" w:cs="Calibri"/>
        </w:rPr>
        <w:t>Levels of family caregiving provided by youth and young adults in the United States, and differences by sex, race/ethnicity, and school enrollment;</w:t>
      </w:r>
      <w:r>
        <w:rPr>
          <w:rStyle w:val="FootnoteReference"/>
          <w:rFonts w:ascii="Calibri" w:hAnsi="Calibri" w:cs="Calibri"/>
        </w:rPr>
        <w:footnoteReference w:id="4"/>
      </w:r>
      <w:r w:rsidRPr="00B76EFF">
        <w:rPr>
          <w:rFonts w:ascii="Calibri" w:hAnsi="Calibri" w:cs="Calibri"/>
        </w:rPr>
        <w:t xml:space="preserve"> and</w:t>
      </w:r>
    </w:p>
    <w:p w:rsidR="00B76EFF" w:rsidRPr="00B76EFF" w:rsidP="00B76EFF" w14:paraId="782F4B9C" w14:textId="77777777">
      <w:pPr>
        <w:pStyle w:val="ListParagraph"/>
        <w:rPr>
          <w:rFonts w:ascii="Calibri" w:hAnsi="Calibri" w:cs="Calibri"/>
        </w:rPr>
      </w:pPr>
    </w:p>
    <w:p w:rsidR="00B76EFF" w:rsidRPr="00B76EFF" w:rsidP="00B76EFF" w14:paraId="4974AA4A" w14:textId="77777777">
      <w:pPr>
        <w:pStyle w:val="ListParagraph"/>
        <w:numPr>
          <w:ilvl w:val="0"/>
          <w:numId w:val="12"/>
        </w:numPr>
        <w:rPr>
          <w:rFonts w:ascii="Calibri" w:hAnsi="Calibri" w:cs="Calibri"/>
        </w:rPr>
      </w:pPr>
      <w:r w:rsidRPr="00B76EFF">
        <w:rPr>
          <w:rFonts w:ascii="Calibri" w:hAnsi="Calibri" w:cs="Calibri"/>
        </w:rPr>
        <w:t>Changes in parenting time between mothers and fathers during Covid-19 pandemic.</w:t>
      </w:r>
      <w:r>
        <w:rPr>
          <w:rStyle w:val="FootnoteReference"/>
          <w:rFonts w:ascii="Calibri" w:hAnsi="Calibri" w:cs="Calibri"/>
        </w:rPr>
        <w:footnoteReference w:id="5"/>
      </w:r>
    </w:p>
    <w:p w:rsidR="00B76EFF" w:rsidRPr="00B76EFF" w:rsidP="00B76EFF" w14:paraId="1BB5B439" w14:textId="77777777">
      <w:pPr>
        <w:pStyle w:val="ListParagraph"/>
        <w:rPr>
          <w:rFonts w:ascii="Calibri" w:hAnsi="Calibri" w:cs="Calibri"/>
        </w:rPr>
      </w:pPr>
    </w:p>
    <w:p w:rsidR="00B76EFF" w:rsidRPr="00B76EFF" w:rsidP="00B76EFF" w14:paraId="24CFB24B" w14:textId="70A1B9BF">
      <w:pPr>
        <w:rPr>
          <w:rFonts w:ascii="Calibri" w:hAnsi="Calibri" w:cs="Calibri"/>
        </w:rPr>
      </w:pPr>
      <w:r w:rsidRPr="00B76EFF">
        <w:rPr>
          <w:rFonts w:ascii="Calibri" w:hAnsi="Calibri" w:cs="Calibri"/>
        </w:rPr>
        <w:t>Collection of ATUS is absolutely essential for the proper performance of the Bureau of Labor Statistics, and the Department of Labor more generally, because it provides the sole source of prospective, nationally representative information on time use. This information allows researchers, policymakers, and the public to understand how Americans spend their time and the trade-offs in time use between home activities and employment. As illustrated by the examples above, ATUS data also provide unique insights into caregiving by youth and adults and into care receipt among children and adults of all ages. There are, of course, numerous other topics that are illuminated by the information collected by ATUS that are important to population scientists and to government.</w:t>
      </w:r>
    </w:p>
    <w:p w:rsidR="00B76EFF" w:rsidRPr="00B76EFF" w:rsidP="00B76EFF" w14:paraId="4EF7BAF1" w14:textId="77777777">
      <w:pPr>
        <w:rPr>
          <w:rFonts w:ascii="Calibri" w:hAnsi="Calibri" w:cs="Calibri"/>
        </w:rPr>
      </w:pPr>
    </w:p>
    <w:p w:rsidR="00B76EFF" w:rsidRPr="00B76EFF" w:rsidP="00B76EFF" w14:paraId="10CB8546" w14:textId="77777777">
      <w:pPr>
        <w:rPr>
          <w:rFonts w:ascii="Calibri" w:hAnsi="Calibri" w:cs="Calibri"/>
        </w:rPr>
      </w:pPr>
      <w:r w:rsidRPr="00B76EFF">
        <w:rPr>
          <w:rFonts w:ascii="Calibri" w:hAnsi="Calibri" w:cs="Calibri"/>
        </w:rPr>
        <w:t>The agency’s estimate of the burden of the proposed collection of information seems accurate, based on our members’ involvement in collecting time use information for other surveys and our deep knowledge of survey research methods and practices.</w:t>
      </w:r>
    </w:p>
    <w:p w:rsidR="00B76EFF" w:rsidRPr="00B76EFF" w:rsidP="00B76EFF" w14:paraId="6AC47A1C" w14:textId="77777777">
      <w:pPr>
        <w:rPr>
          <w:rFonts w:ascii="Calibri" w:hAnsi="Calibri" w:cs="Calibri"/>
        </w:rPr>
      </w:pPr>
    </w:p>
    <w:p w:rsidR="00B76EFF" w:rsidRPr="00B76EFF" w:rsidP="00B76EFF" w14:paraId="0E8D8068" w14:textId="77777777">
      <w:pPr>
        <w:rPr>
          <w:rFonts w:ascii="Calibri" w:hAnsi="Calibri" w:cs="Calibri"/>
        </w:rPr>
      </w:pPr>
      <w:r w:rsidRPr="00B76EFF">
        <w:rPr>
          <w:rFonts w:ascii="Calibri" w:hAnsi="Calibri" w:cs="Calibri"/>
        </w:rPr>
        <w:t>We encourage the Bureau of Labor Statistics to continue working with external partners, such as IPUMS Time Use (</w:t>
      </w:r>
      <w:hyperlink r:id="rId10" w:history="1">
        <w:r w:rsidRPr="00B76EFF">
          <w:rPr>
            <w:rStyle w:val="Hyperlink"/>
            <w:rFonts w:ascii="Calibri" w:hAnsi="Calibri" w:cs="Calibri"/>
          </w:rPr>
          <w:t>https://timeuse.ipums.org/</w:t>
        </w:r>
      </w:hyperlink>
      <w:r w:rsidRPr="00B76EFF">
        <w:rPr>
          <w:rFonts w:ascii="Calibri" w:hAnsi="Calibri" w:cs="Calibri"/>
        </w:rPr>
        <w:t>) to disseminate user-friendly ATUS data to the research community.</w:t>
      </w:r>
    </w:p>
    <w:p w:rsidR="00B76EFF" w:rsidRPr="00B76EFF" w:rsidP="00B76EFF" w14:paraId="6583CF66" w14:textId="77777777">
      <w:pPr>
        <w:rPr>
          <w:rFonts w:ascii="Calibri" w:hAnsi="Calibri" w:cs="Calibri"/>
        </w:rPr>
      </w:pPr>
    </w:p>
    <w:p w:rsidR="00B76EFF" w:rsidRPr="00B76EFF" w:rsidP="00B76EFF" w14:paraId="0CB8700C" w14:textId="77777777">
      <w:pPr>
        <w:rPr>
          <w:rFonts w:ascii="Calibri" w:hAnsi="Calibri" w:cs="Calibri"/>
        </w:rPr>
      </w:pPr>
      <w:r w:rsidRPr="00B76EFF">
        <w:rPr>
          <w:rFonts w:ascii="Calibri" w:hAnsi="Calibri" w:cs="Calibri"/>
        </w:rPr>
        <w:t xml:space="preserve">Finally, we encourage substantive and methodological developments that will minimize respondent burden yet continue to collect accurate and complete information on time use in the United States. In particular, a switch to data collection using the web—after careful development and testing to ensure historical comparability—may reduce the burden of completing the ATUS interview and help maintain response rates, which have been declining steadily over time. </w:t>
      </w:r>
    </w:p>
    <w:p w:rsidR="00B76EFF" w:rsidRPr="00B76EFF" w:rsidP="00B76EFF" w14:paraId="4ED36A84" w14:textId="77777777">
      <w:pPr>
        <w:rPr>
          <w:rFonts w:ascii="Calibri" w:hAnsi="Calibri" w:cs="Calibri"/>
        </w:rPr>
      </w:pPr>
      <w:r w:rsidRPr="00B76EFF">
        <w:rPr>
          <w:rFonts w:ascii="Calibri" w:hAnsi="Calibri" w:cs="Calibri"/>
        </w:rPr>
        <w:t>Thank you for giving the population research community an opportunity to comment on the American Time Use Survey.</w:t>
      </w:r>
    </w:p>
    <w:p w:rsidR="00B76EFF" w:rsidRPr="00B76EFF" w:rsidP="00B76EFF" w14:paraId="1FAA27D7" w14:textId="77777777">
      <w:pPr>
        <w:rPr>
          <w:rFonts w:ascii="Calibri" w:hAnsi="Calibri" w:cs="Calibri"/>
        </w:rPr>
      </w:pPr>
    </w:p>
    <w:p w:rsidR="00B76EFF" w:rsidRPr="00B76EFF" w:rsidP="00B76EFF" w14:paraId="5DC72D6F" w14:textId="77777777">
      <w:pPr>
        <w:rPr>
          <w:rFonts w:ascii="Calibri" w:hAnsi="Calibri" w:cs="Calibri"/>
        </w:rPr>
      </w:pPr>
      <w:r w:rsidRPr="00B76EFF">
        <w:rPr>
          <w:rFonts w:ascii="Calibri" w:hAnsi="Calibri" w:cs="Calibri"/>
        </w:rPr>
        <w:t>Sincerely,</w:t>
      </w:r>
    </w:p>
    <w:p w:rsidR="005D3E06" w:rsidRPr="00B76EFF" w:rsidP="004C0EF9" w14:paraId="58C65B38" w14:textId="77777777">
      <w:pPr>
        <w:pStyle w:val="Default"/>
        <w:tabs>
          <w:tab w:val="left" w:pos="3105"/>
        </w:tabs>
        <w:rPr>
          <w:rFonts w:ascii="Calibri" w:hAnsi="Calibri" w:eastAsiaTheme="minorEastAsia" w:cs="Calibri"/>
          <w:color w:val="auto"/>
          <w:sz w:val="22"/>
          <w:szCs w:val="22"/>
        </w:rPr>
      </w:pPr>
    </w:p>
    <w:p w:rsidR="005D3E06" w:rsidRPr="00E4357B" w:rsidP="00BE6BC3" w14:paraId="649F7603" w14:textId="27457DE2">
      <w:pPr>
        <w:spacing w:after="240"/>
        <w:rPr>
          <w:rFonts w:ascii="Calibri" w:hAnsi="Calibri" w:cs="Calibri"/>
        </w:rPr>
      </w:pPr>
      <w:r w:rsidRPr="008E36C1">
        <w:rPr>
          <w:noProof/>
        </w:rPr>
        <w:drawing>
          <wp:inline distT="0" distB="0" distL="0" distR="0">
            <wp:extent cx="1866900" cy="566420"/>
            <wp:effectExtent l="0" t="0" r="0" b="5080"/>
            <wp:docPr id="220997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97833"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871647" cy="567860"/>
                    </a:xfrm>
                    <a:prstGeom prst="rect">
                      <a:avLst/>
                    </a:prstGeom>
                    <a:noFill/>
                    <a:ln>
                      <a:noFill/>
                    </a:ln>
                  </pic:spPr>
                </pic:pic>
              </a:graphicData>
            </a:graphic>
          </wp:inline>
        </w:drawing>
      </w:r>
      <w:r>
        <w:rPr>
          <w:rFonts w:ascii="Calibri" w:hAnsi="Calibri" w:cs="Calibri"/>
        </w:rPr>
        <w:tab/>
      </w:r>
      <w:r>
        <w:rPr>
          <w:rFonts w:ascii="Calibri" w:hAnsi="Calibri" w:cs="Calibri"/>
        </w:rPr>
        <w:tab/>
      </w:r>
      <w:r w:rsidRPr="008552B0">
        <w:rPr>
          <w:rFonts w:ascii="Times New Roman" w:eastAsia="Times New Roman" w:hAnsi="Times New Roman" w:cs="Times New Roman"/>
          <w:noProof/>
        </w:rPr>
        <w:drawing>
          <wp:inline distT="0" distB="0" distL="0" distR="0">
            <wp:extent cx="2228850" cy="455930"/>
            <wp:effectExtent l="0" t="0" r="0" b="1270"/>
            <wp:docPr id="1372652780" name="Picture 2"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652780" name="Picture 2" descr="A close-up of a signature&#10;&#10;AI-generated content may be incorrect."/>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228850" cy="455930"/>
                    </a:xfrm>
                    <a:prstGeom prst="rect">
                      <a:avLst/>
                    </a:prstGeom>
                    <a:noFill/>
                    <a:ln>
                      <a:noFill/>
                    </a:ln>
                  </pic:spPr>
                </pic:pic>
              </a:graphicData>
            </a:graphic>
          </wp:inline>
        </w:drawing>
      </w:r>
    </w:p>
    <w:p w:rsidR="0003556A" w:rsidRPr="00B76EFF" w:rsidP="000C1BF7" w14:paraId="2BEA18A6" w14:textId="3E634805">
      <w:pPr>
        <w:rPr>
          <w:rFonts w:ascii="Calibri" w:hAnsi="Calibri" w:cs="Calibri"/>
        </w:rPr>
      </w:pPr>
      <w:r w:rsidRPr="00B76EFF">
        <w:rPr>
          <w:rFonts w:ascii="Calibri" w:hAnsi="Calibri" w:cs="Calibri"/>
        </w:rPr>
        <w:t>Dr. Irma T. Elo, President</w:t>
      </w:r>
      <w:r w:rsidRPr="00B76EFF">
        <w:rPr>
          <w:rFonts w:ascii="Calibri" w:hAnsi="Calibri" w:cs="Calibri"/>
        </w:rPr>
        <w:tab/>
      </w:r>
      <w:r w:rsidRPr="00B76EFF">
        <w:rPr>
          <w:rFonts w:ascii="Calibri" w:hAnsi="Calibri" w:cs="Calibri"/>
        </w:rPr>
        <w:tab/>
      </w:r>
      <w:r w:rsidRPr="00B76EFF">
        <w:rPr>
          <w:rFonts w:ascii="Calibri" w:hAnsi="Calibri" w:cs="Calibri"/>
        </w:rPr>
        <w:tab/>
        <w:t>Dr. Sarah Burgard, President</w:t>
      </w:r>
    </w:p>
    <w:p w:rsidR="00522B75" w:rsidRPr="00B76EFF" w:rsidP="000C1BF7" w14:paraId="4D5FA363" w14:textId="464DB1CE">
      <w:pPr>
        <w:rPr>
          <w:rFonts w:asciiTheme="majorHAnsi" w:hAnsiTheme="majorHAnsi" w:cstheme="majorHAnsi"/>
        </w:rPr>
      </w:pPr>
      <w:r w:rsidRPr="00B76EFF">
        <w:rPr>
          <w:rFonts w:ascii="Calibri" w:hAnsi="Calibri" w:cs="Calibri"/>
        </w:rPr>
        <w:t>Population Association of America</w:t>
      </w:r>
      <w:r w:rsidRPr="00B76EFF">
        <w:rPr>
          <w:rFonts w:ascii="Calibri" w:hAnsi="Calibri" w:cs="Calibri"/>
        </w:rPr>
        <w:tab/>
      </w:r>
      <w:r w:rsidRPr="00B76EFF">
        <w:rPr>
          <w:rFonts w:ascii="Calibri" w:hAnsi="Calibri" w:cs="Calibri"/>
        </w:rPr>
        <w:tab/>
        <w:t>Association of Population Centers</w:t>
      </w:r>
    </w:p>
    <w:sectPr w:rsidSect="00A93A8F">
      <w:headerReference w:type="default" r:id="rId13"/>
      <w:headerReference w:type="first" r:id="rId14"/>
      <w:pgSz w:w="12240" w:h="15840"/>
      <w:pgMar w:top="2304" w:right="1440" w:bottom="864" w:left="1800" w:header="432"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4B78" w:rsidP="0061427A" w14:paraId="72B0520E" w14:textId="77777777">
      <w:r>
        <w:separator/>
      </w:r>
    </w:p>
  </w:footnote>
  <w:footnote w:type="continuationSeparator" w:id="1">
    <w:p w:rsidR="006D4B78" w:rsidP="0061427A" w14:paraId="104DAD5C" w14:textId="77777777">
      <w:r>
        <w:continuationSeparator/>
      </w:r>
    </w:p>
  </w:footnote>
  <w:footnote w:id="2">
    <w:p w:rsidR="00B76EFF" w:rsidRPr="00FF7AC1" w:rsidP="00B76EFF" w14:paraId="3D26DC5B" w14:textId="77777777">
      <w:pPr>
        <w:pStyle w:val="FootnoteText"/>
        <w:rPr>
          <w:rFonts w:ascii="Calibri" w:hAnsi="Calibri" w:cs="Calibri"/>
        </w:rPr>
      </w:pPr>
      <w:r>
        <w:rPr>
          <w:rStyle w:val="FootnoteReference"/>
        </w:rPr>
        <w:footnoteRef/>
      </w:r>
      <w:r>
        <w:t xml:space="preserve"> </w:t>
      </w:r>
      <w:r w:rsidRPr="00FF7AC1">
        <w:rPr>
          <w:rFonts w:ascii="Calibri" w:hAnsi="Calibri" w:cs="Calibri"/>
          <w:color w:val="222222"/>
          <w:shd w:val="clear" w:color="auto" w:fill="FFFFFF"/>
        </w:rPr>
        <w:t>Gonalons-Pons, P., &amp; Ansari-Thomas, Z. (2025). The Social Division of Care Work Time Over Half a Century. </w:t>
      </w:r>
      <w:r w:rsidRPr="00FF7AC1">
        <w:rPr>
          <w:rFonts w:ascii="Calibri" w:hAnsi="Calibri" w:cs="Calibri"/>
          <w:i/>
          <w:iCs/>
          <w:color w:val="222222"/>
          <w:shd w:val="clear" w:color="auto" w:fill="FFFFFF"/>
        </w:rPr>
        <w:t>Demography</w:t>
      </w:r>
      <w:r w:rsidRPr="00FF7AC1">
        <w:rPr>
          <w:rFonts w:ascii="Calibri" w:hAnsi="Calibri" w:cs="Calibri"/>
          <w:color w:val="222222"/>
          <w:shd w:val="clear" w:color="auto" w:fill="FFFFFF"/>
        </w:rPr>
        <w:t>, </w:t>
      </w:r>
      <w:r w:rsidRPr="00FF7AC1">
        <w:rPr>
          <w:rFonts w:ascii="Calibri" w:hAnsi="Calibri" w:cs="Calibri"/>
          <w:i/>
          <w:iCs/>
          <w:color w:val="222222"/>
          <w:shd w:val="clear" w:color="auto" w:fill="FFFFFF"/>
        </w:rPr>
        <w:t>62</w:t>
      </w:r>
      <w:r w:rsidRPr="00FF7AC1">
        <w:rPr>
          <w:rFonts w:ascii="Calibri" w:hAnsi="Calibri" w:cs="Calibri"/>
          <w:color w:val="222222"/>
          <w:shd w:val="clear" w:color="auto" w:fill="FFFFFF"/>
        </w:rPr>
        <w:t>(2), 737-761.</w:t>
      </w:r>
    </w:p>
  </w:footnote>
  <w:footnote w:id="3">
    <w:p w:rsidR="00B76EFF" w:rsidRPr="00FF7AC1" w:rsidP="00B76EFF" w14:paraId="16E07184" w14:textId="77777777">
      <w:pPr>
        <w:pStyle w:val="FootnoteText"/>
        <w:rPr>
          <w:rFonts w:ascii="Calibri" w:hAnsi="Calibri" w:cs="Calibri"/>
        </w:rPr>
      </w:pPr>
      <w:r w:rsidRPr="00FF7AC1">
        <w:rPr>
          <w:rStyle w:val="FootnoteReference"/>
          <w:rFonts w:ascii="Calibri" w:hAnsi="Calibri" w:cs="Calibri"/>
        </w:rPr>
        <w:footnoteRef/>
      </w:r>
      <w:r w:rsidRPr="00FF7AC1">
        <w:rPr>
          <w:rFonts w:ascii="Calibri" w:hAnsi="Calibri" w:cs="Calibri"/>
        </w:rPr>
        <w:t xml:space="preserve"> </w:t>
      </w:r>
      <w:r w:rsidRPr="00FF7AC1">
        <w:rPr>
          <w:rFonts w:ascii="Calibri" w:hAnsi="Calibri" w:cs="Calibri"/>
          <w:color w:val="222222"/>
          <w:shd w:val="clear" w:color="auto" w:fill="FFFFFF"/>
        </w:rPr>
        <w:t>Gao, M. G. (2025). Trends in the Developmental Gradient in Mothers’ Parenting Time by Maternal Education, 2003–2019. </w:t>
      </w:r>
      <w:r w:rsidRPr="00FF7AC1">
        <w:rPr>
          <w:rFonts w:ascii="Calibri" w:hAnsi="Calibri" w:cs="Calibri"/>
          <w:i/>
          <w:iCs/>
          <w:color w:val="222222"/>
          <w:shd w:val="clear" w:color="auto" w:fill="FFFFFF"/>
        </w:rPr>
        <w:t>Demography</w:t>
      </w:r>
      <w:r w:rsidRPr="00FF7AC1">
        <w:rPr>
          <w:rFonts w:ascii="Calibri" w:hAnsi="Calibri" w:cs="Calibri"/>
          <w:color w:val="222222"/>
          <w:shd w:val="clear" w:color="auto" w:fill="FFFFFF"/>
        </w:rPr>
        <w:t>, 11774972.</w:t>
      </w:r>
    </w:p>
  </w:footnote>
  <w:footnote w:id="4">
    <w:p w:rsidR="00B76EFF" w:rsidRPr="00FF7AC1" w:rsidP="00B76EFF" w14:paraId="3B6FA25B" w14:textId="77777777">
      <w:pPr>
        <w:pStyle w:val="FootnoteText"/>
        <w:rPr>
          <w:rFonts w:ascii="Calibri" w:hAnsi="Calibri" w:cs="Calibri"/>
        </w:rPr>
      </w:pPr>
      <w:r w:rsidRPr="00FF7AC1">
        <w:rPr>
          <w:rStyle w:val="FootnoteReference"/>
          <w:rFonts w:ascii="Calibri" w:hAnsi="Calibri" w:cs="Calibri"/>
        </w:rPr>
        <w:footnoteRef/>
      </w:r>
      <w:r w:rsidRPr="00FF7AC1">
        <w:rPr>
          <w:rFonts w:ascii="Calibri" w:hAnsi="Calibri" w:cs="Calibri"/>
        </w:rPr>
        <w:t xml:space="preserve"> </w:t>
      </w:r>
      <w:r w:rsidRPr="00FF7AC1">
        <w:rPr>
          <w:rFonts w:ascii="Calibri" w:hAnsi="Calibri" w:cs="Calibri"/>
          <w:color w:val="222222"/>
          <w:shd w:val="clear" w:color="auto" w:fill="FFFFFF"/>
        </w:rPr>
        <w:t>Miller, K. E., Hart, J. L., Useche Rosania, M., &amp; Coe, N. B. (2024). Youth Caregivers of Adults in the United States: Prevalence and the Association Between Caregiving and Education. </w:t>
      </w:r>
      <w:r w:rsidRPr="00FF7AC1">
        <w:rPr>
          <w:rFonts w:ascii="Calibri" w:hAnsi="Calibri" w:cs="Calibri"/>
          <w:i/>
          <w:iCs/>
          <w:color w:val="222222"/>
          <w:shd w:val="clear" w:color="auto" w:fill="FFFFFF"/>
        </w:rPr>
        <w:t>Demography</w:t>
      </w:r>
      <w:r w:rsidRPr="00FF7AC1">
        <w:rPr>
          <w:rFonts w:ascii="Calibri" w:hAnsi="Calibri" w:cs="Calibri"/>
          <w:color w:val="222222"/>
          <w:shd w:val="clear" w:color="auto" w:fill="FFFFFF"/>
        </w:rPr>
        <w:t>, </w:t>
      </w:r>
      <w:r w:rsidRPr="00FF7AC1">
        <w:rPr>
          <w:rFonts w:ascii="Calibri" w:hAnsi="Calibri" w:cs="Calibri"/>
          <w:i/>
          <w:iCs/>
          <w:color w:val="222222"/>
          <w:shd w:val="clear" w:color="auto" w:fill="FFFFFF"/>
        </w:rPr>
        <w:t>61</w:t>
      </w:r>
      <w:r w:rsidRPr="00FF7AC1">
        <w:rPr>
          <w:rFonts w:ascii="Calibri" w:hAnsi="Calibri" w:cs="Calibri"/>
          <w:color w:val="222222"/>
          <w:shd w:val="clear" w:color="auto" w:fill="FFFFFF"/>
        </w:rPr>
        <w:t>(3), 829-847.</w:t>
      </w:r>
    </w:p>
  </w:footnote>
  <w:footnote w:id="5">
    <w:p w:rsidR="00B76EFF" w:rsidRPr="00FF7AC1" w:rsidP="00B76EFF" w14:paraId="44B448E3" w14:textId="77777777">
      <w:pPr>
        <w:pStyle w:val="FootnoteText"/>
        <w:rPr>
          <w:rFonts w:ascii="Calibri" w:hAnsi="Calibri" w:cs="Calibri"/>
        </w:rPr>
      </w:pPr>
      <w:r w:rsidRPr="00FF7AC1">
        <w:rPr>
          <w:rStyle w:val="FootnoteReference"/>
          <w:rFonts w:ascii="Calibri" w:hAnsi="Calibri" w:cs="Calibri"/>
        </w:rPr>
        <w:footnoteRef/>
      </w:r>
      <w:r w:rsidRPr="00FF7AC1">
        <w:rPr>
          <w:rFonts w:ascii="Calibri" w:hAnsi="Calibri" w:cs="Calibri"/>
        </w:rPr>
        <w:t xml:space="preserve"> </w:t>
      </w:r>
      <w:r w:rsidRPr="00FF7AC1">
        <w:rPr>
          <w:rFonts w:ascii="Calibri" w:hAnsi="Calibri" w:cs="Calibri"/>
          <w:color w:val="222222"/>
          <w:shd w:val="clear" w:color="auto" w:fill="FFFFFF"/>
        </w:rPr>
        <w:t>Augustine, J. M., &amp; Prickett, K. (2022). Gender disparities in increased parenting time during the COVID-19 pandemic: a research note. </w:t>
      </w:r>
      <w:r w:rsidRPr="00FF7AC1">
        <w:rPr>
          <w:rFonts w:ascii="Calibri" w:hAnsi="Calibri" w:cs="Calibri"/>
          <w:i/>
          <w:iCs/>
          <w:color w:val="222222"/>
          <w:shd w:val="clear" w:color="auto" w:fill="FFFFFF"/>
        </w:rPr>
        <w:t>Demography</w:t>
      </w:r>
      <w:r w:rsidRPr="00FF7AC1">
        <w:rPr>
          <w:rFonts w:ascii="Calibri" w:hAnsi="Calibri" w:cs="Calibri"/>
          <w:color w:val="222222"/>
          <w:shd w:val="clear" w:color="auto" w:fill="FFFFFF"/>
        </w:rPr>
        <w:t>, </w:t>
      </w:r>
      <w:r w:rsidRPr="00FF7AC1">
        <w:rPr>
          <w:rFonts w:ascii="Calibri" w:hAnsi="Calibri" w:cs="Calibri"/>
          <w:i/>
          <w:iCs/>
          <w:color w:val="222222"/>
          <w:shd w:val="clear" w:color="auto" w:fill="FFFFFF"/>
        </w:rPr>
        <w:t>59</w:t>
      </w:r>
      <w:r w:rsidRPr="00FF7AC1">
        <w:rPr>
          <w:rFonts w:ascii="Calibri" w:hAnsi="Calibri" w:cs="Calibri"/>
          <w:color w:val="222222"/>
          <w:shd w:val="clear" w:color="auto" w:fill="FFFFFF"/>
        </w:rPr>
        <w:t>(4), 1233-1247.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03C" w:rsidP="0061427A" w14:paraId="2C3C9769" w14:textId="20AD7CF1">
    <w:pPr>
      <w:pStyle w:val="Header"/>
      <w:tabs>
        <w:tab w:val="clear"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C54" w:rsidP="00522B75" w14:paraId="7327C758" w14:textId="5E68A52A">
    <w:pPr>
      <w:pStyle w:val="Header"/>
      <w:jc w:val="center"/>
    </w:pPr>
    <w:r>
      <w:rPr>
        <w:noProof/>
      </w:rPr>
      <w:drawing>
        <wp:anchor distT="0" distB="0" distL="114300" distR="114300" simplePos="0" relativeHeight="251658240" behindDoc="0" locked="0" layoutInCell="1" allowOverlap="1">
          <wp:simplePos x="0" y="0"/>
          <wp:positionH relativeFrom="page">
            <wp:align>center</wp:align>
          </wp:positionH>
          <wp:positionV relativeFrom="page">
            <wp:posOffset>266700</wp:posOffset>
          </wp:positionV>
          <wp:extent cx="6565900" cy="1028700"/>
          <wp:effectExtent l="0" t="0" r="6350" b="0"/>
          <wp:wrapSquare wrapText="bothSides"/>
          <wp:docPr id="173399279" name="Picture 2"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9279" name="Picture 2" descr="A close-up of a business card&#10;&#10;Description automatically generated"/>
                  <pic:cNvPicPr/>
                </pic:nvPicPr>
                <pic:blipFill>
                  <a:blip xmlns:r="http://schemas.openxmlformats.org/officeDocument/2006/relationships" r:embed="rId1"/>
                  <a:stretch>
                    <a:fillRect/>
                  </a:stretch>
                </pic:blipFill>
                <pic:spPr>
                  <a:xfrm>
                    <a:off x="0" y="0"/>
                    <a:ext cx="6565900" cy="1028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A25212"/>
    <w:multiLevelType w:val="hybridMultilevel"/>
    <w:tmpl w:val="8F24E38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192D2F"/>
    <w:multiLevelType w:val="hybridMultilevel"/>
    <w:tmpl w:val="545A7C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A1A4851"/>
    <w:multiLevelType w:val="hybridMultilevel"/>
    <w:tmpl w:val="33C8E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DB345D"/>
    <w:multiLevelType w:val="multilevel"/>
    <w:tmpl w:val="42366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FA4A1B"/>
    <w:multiLevelType w:val="multilevel"/>
    <w:tmpl w:val="60120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F1008F6"/>
    <w:multiLevelType w:val="multilevel"/>
    <w:tmpl w:val="EB62C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291672E"/>
    <w:multiLevelType w:val="hybridMultilevel"/>
    <w:tmpl w:val="A5F4043A"/>
    <w:lvl w:ilvl="0">
      <w:start w:val="0"/>
      <w:numFmt w:val="bullet"/>
      <w:lvlText w:val=""/>
      <w:lvlJc w:val="left"/>
      <w:pPr>
        <w:ind w:left="720" w:hanging="360"/>
      </w:pPr>
      <w:rPr>
        <w:rFonts w:ascii="Symbol" w:hAnsi="Symbo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420623B"/>
    <w:multiLevelType w:val="hybridMultilevel"/>
    <w:tmpl w:val="9F2252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C6A4D2C"/>
    <w:multiLevelType w:val="multilevel"/>
    <w:tmpl w:val="BCBE5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35B6340"/>
    <w:multiLevelType w:val="hybridMultilevel"/>
    <w:tmpl w:val="395A9D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456E59"/>
    <w:multiLevelType w:val="hybridMultilevel"/>
    <w:tmpl w:val="395A9D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C841887"/>
    <w:multiLevelType w:val="multilevel"/>
    <w:tmpl w:val="31B8C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2923689">
    <w:abstractNumId w:val="10"/>
  </w:num>
  <w:num w:numId="2" w16cid:durableId="1002897890">
    <w:abstractNumId w:val="9"/>
  </w:num>
  <w:num w:numId="3" w16cid:durableId="1822456492">
    <w:abstractNumId w:val="5"/>
  </w:num>
  <w:num w:numId="4" w16cid:durableId="1475027052">
    <w:abstractNumId w:val="3"/>
  </w:num>
  <w:num w:numId="5" w16cid:durableId="2034766375">
    <w:abstractNumId w:val="11"/>
  </w:num>
  <w:num w:numId="6" w16cid:durableId="22943204">
    <w:abstractNumId w:val="8"/>
  </w:num>
  <w:num w:numId="7" w16cid:durableId="1111360342">
    <w:abstractNumId w:val="4"/>
  </w:num>
  <w:num w:numId="8" w16cid:durableId="1060176098">
    <w:abstractNumId w:val="1"/>
  </w:num>
  <w:num w:numId="9" w16cid:durableId="2080206839">
    <w:abstractNumId w:val="7"/>
  </w:num>
  <w:num w:numId="10" w16cid:durableId="1148784804">
    <w:abstractNumId w:val="0"/>
  </w:num>
  <w:num w:numId="11" w16cid:durableId="1191383220">
    <w:abstractNumId w:val="2"/>
  </w:num>
  <w:num w:numId="12" w16cid:durableId="316150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7A"/>
    <w:rsid w:val="00011893"/>
    <w:rsid w:val="00023530"/>
    <w:rsid w:val="00032760"/>
    <w:rsid w:val="0003556A"/>
    <w:rsid w:val="0004015F"/>
    <w:rsid w:val="000B1CEF"/>
    <w:rsid w:val="000B6386"/>
    <w:rsid w:val="000C1BF7"/>
    <w:rsid w:val="000E36C2"/>
    <w:rsid w:val="000E6146"/>
    <w:rsid w:val="000F4E2D"/>
    <w:rsid w:val="00101690"/>
    <w:rsid w:val="00122255"/>
    <w:rsid w:val="001251CA"/>
    <w:rsid w:val="001770EE"/>
    <w:rsid w:val="001803FA"/>
    <w:rsid w:val="001846B5"/>
    <w:rsid w:val="00184FD1"/>
    <w:rsid w:val="001D230A"/>
    <w:rsid w:val="001D3F93"/>
    <w:rsid w:val="00207A7D"/>
    <w:rsid w:val="00224EB1"/>
    <w:rsid w:val="00226DF5"/>
    <w:rsid w:val="00261D55"/>
    <w:rsid w:val="002D203C"/>
    <w:rsid w:val="002F1498"/>
    <w:rsid w:val="00303A8C"/>
    <w:rsid w:val="00307D49"/>
    <w:rsid w:val="00324CCB"/>
    <w:rsid w:val="00337C42"/>
    <w:rsid w:val="0034403C"/>
    <w:rsid w:val="003815EB"/>
    <w:rsid w:val="003A4C11"/>
    <w:rsid w:val="003B145E"/>
    <w:rsid w:val="003D397D"/>
    <w:rsid w:val="003D5BD3"/>
    <w:rsid w:val="003D7F90"/>
    <w:rsid w:val="003F7EB3"/>
    <w:rsid w:val="00450DD3"/>
    <w:rsid w:val="004757F6"/>
    <w:rsid w:val="004A7F4B"/>
    <w:rsid w:val="004B3173"/>
    <w:rsid w:val="004C0EF9"/>
    <w:rsid w:val="004E4BAD"/>
    <w:rsid w:val="0051308F"/>
    <w:rsid w:val="00522B75"/>
    <w:rsid w:val="005D1503"/>
    <w:rsid w:val="005D3E06"/>
    <w:rsid w:val="005E6E84"/>
    <w:rsid w:val="0060028B"/>
    <w:rsid w:val="006033C5"/>
    <w:rsid w:val="0061427A"/>
    <w:rsid w:val="00622531"/>
    <w:rsid w:val="0062538C"/>
    <w:rsid w:val="006363F1"/>
    <w:rsid w:val="00671CE5"/>
    <w:rsid w:val="0068621A"/>
    <w:rsid w:val="00696BCC"/>
    <w:rsid w:val="006A0767"/>
    <w:rsid w:val="006D4B78"/>
    <w:rsid w:val="006E04A8"/>
    <w:rsid w:val="006E17EB"/>
    <w:rsid w:val="007271F9"/>
    <w:rsid w:val="00745FF1"/>
    <w:rsid w:val="00750F1D"/>
    <w:rsid w:val="00780055"/>
    <w:rsid w:val="0079178C"/>
    <w:rsid w:val="008053D3"/>
    <w:rsid w:val="008061EA"/>
    <w:rsid w:val="00806887"/>
    <w:rsid w:val="00834F0D"/>
    <w:rsid w:val="00836BBB"/>
    <w:rsid w:val="00843F73"/>
    <w:rsid w:val="008509E2"/>
    <w:rsid w:val="008A2DDE"/>
    <w:rsid w:val="008C68D1"/>
    <w:rsid w:val="008D21B8"/>
    <w:rsid w:val="008E6322"/>
    <w:rsid w:val="00900D8A"/>
    <w:rsid w:val="00903BD7"/>
    <w:rsid w:val="00921454"/>
    <w:rsid w:val="009379F9"/>
    <w:rsid w:val="00980749"/>
    <w:rsid w:val="009B0A18"/>
    <w:rsid w:val="009D4A22"/>
    <w:rsid w:val="009D6537"/>
    <w:rsid w:val="00A82431"/>
    <w:rsid w:val="00A93A8F"/>
    <w:rsid w:val="00AA7A9A"/>
    <w:rsid w:val="00AB0888"/>
    <w:rsid w:val="00AC1231"/>
    <w:rsid w:val="00AD4FEC"/>
    <w:rsid w:val="00B03C31"/>
    <w:rsid w:val="00B2344A"/>
    <w:rsid w:val="00B63403"/>
    <w:rsid w:val="00B76EFF"/>
    <w:rsid w:val="00B8772B"/>
    <w:rsid w:val="00B9114E"/>
    <w:rsid w:val="00BA0EDA"/>
    <w:rsid w:val="00BC426E"/>
    <w:rsid w:val="00BD3D83"/>
    <w:rsid w:val="00BE1AE8"/>
    <w:rsid w:val="00BE6BC3"/>
    <w:rsid w:val="00C44442"/>
    <w:rsid w:val="00C45AB4"/>
    <w:rsid w:val="00C523CD"/>
    <w:rsid w:val="00C74C2E"/>
    <w:rsid w:val="00C918AB"/>
    <w:rsid w:val="00CA5E14"/>
    <w:rsid w:val="00CB130B"/>
    <w:rsid w:val="00D00734"/>
    <w:rsid w:val="00D11454"/>
    <w:rsid w:val="00D145D6"/>
    <w:rsid w:val="00D93F28"/>
    <w:rsid w:val="00DB25CF"/>
    <w:rsid w:val="00DB4613"/>
    <w:rsid w:val="00DC7C24"/>
    <w:rsid w:val="00DE10FB"/>
    <w:rsid w:val="00DF34D0"/>
    <w:rsid w:val="00E36D41"/>
    <w:rsid w:val="00E4357B"/>
    <w:rsid w:val="00E442A5"/>
    <w:rsid w:val="00E6606A"/>
    <w:rsid w:val="00E92437"/>
    <w:rsid w:val="00EA1DD7"/>
    <w:rsid w:val="00EA3CB6"/>
    <w:rsid w:val="00EE0803"/>
    <w:rsid w:val="00EE3228"/>
    <w:rsid w:val="00EF32AE"/>
    <w:rsid w:val="00EF73AE"/>
    <w:rsid w:val="00F04D7F"/>
    <w:rsid w:val="00F34A16"/>
    <w:rsid w:val="00F51958"/>
    <w:rsid w:val="00F71E72"/>
    <w:rsid w:val="00F93014"/>
    <w:rsid w:val="00FB4C54"/>
    <w:rsid w:val="00FC0E7D"/>
    <w:rsid w:val="00FC193B"/>
    <w:rsid w:val="00FC387C"/>
    <w:rsid w:val="00FD2D78"/>
    <w:rsid w:val="00FD3413"/>
    <w:rsid w:val="00FD3539"/>
    <w:rsid w:val="00FD38BC"/>
    <w:rsid w:val="00FD62D4"/>
    <w:rsid w:val="00FF7AC1"/>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1D385C4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atentStyles>
  <w:style w:type="paragraph" w:default="1" w:styleId="Normal">
    <w:name w:val="Normal"/>
    <w:qFormat/>
    <w:rsid w:val="006142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2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427A"/>
    <w:rPr>
      <w:rFonts w:ascii="Lucida Grande" w:hAnsi="Lucida Grande" w:cs="Lucida Grande"/>
      <w:sz w:val="18"/>
      <w:szCs w:val="18"/>
    </w:rPr>
  </w:style>
  <w:style w:type="paragraph" w:styleId="Header">
    <w:name w:val="header"/>
    <w:basedOn w:val="Normal"/>
    <w:link w:val="HeaderChar"/>
    <w:uiPriority w:val="99"/>
    <w:unhideWhenUsed/>
    <w:rsid w:val="0061427A"/>
    <w:pPr>
      <w:tabs>
        <w:tab w:val="center" w:pos="4320"/>
        <w:tab w:val="right" w:pos="8640"/>
      </w:tabs>
    </w:pPr>
  </w:style>
  <w:style w:type="character" w:customStyle="1" w:styleId="HeaderChar">
    <w:name w:val="Header Char"/>
    <w:basedOn w:val="DefaultParagraphFont"/>
    <w:link w:val="Header"/>
    <w:uiPriority w:val="99"/>
    <w:rsid w:val="0061427A"/>
  </w:style>
  <w:style w:type="paragraph" w:styleId="Footer">
    <w:name w:val="footer"/>
    <w:basedOn w:val="Normal"/>
    <w:link w:val="FooterChar"/>
    <w:uiPriority w:val="99"/>
    <w:unhideWhenUsed/>
    <w:rsid w:val="0061427A"/>
    <w:pPr>
      <w:tabs>
        <w:tab w:val="center" w:pos="4320"/>
        <w:tab w:val="right" w:pos="8640"/>
      </w:tabs>
    </w:pPr>
  </w:style>
  <w:style w:type="character" w:customStyle="1" w:styleId="FooterChar">
    <w:name w:val="Footer Char"/>
    <w:basedOn w:val="DefaultParagraphFont"/>
    <w:link w:val="Footer"/>
    <w:uiPriority w:val="99"/>
    <w:rsid w:val="0061427A"/>
  </w:style>
  <w:style w:type="paragraph" w:styleId="ListParagraph">
    <w:name w:val="List Paragraph"/>
    <w:basedOn w:val="Normal"/>
    <w:uiPriority w:val="34"/>
    <w:qFormat/>
    <w:rsid w:val="0061427A"/>
    <w:pPr>
      <w:ind w:left="720"/>
      <w:contextualSpacing/>
    </w:pPr>
  </w:style>
  <w:style w:type="paragraph" w:customStyle="1" w:styleId="Default">
    <w:name w:val="Default"/>
    <w:rsid w:val="003815EB"/>
    <w:pPr>
      <w:autoSpaceDE w:val="0"/>
      <w:autoSpaceDN w:val="0"/>
      <w:adjustRightInd w:val="0"/>
    </w:pPr>
    <w:rPr>
      <w:rFonts w:ascii="Arial" w:hAnsi="Arial" w:eastAsiaTheme="minorHAnsi" w:cs="Arial"/>
      <w:color w:val="000000"/>
    </w:rPr>
  </w:style>
  <w:style w:type="paragraph" w:styleId="NormalWeb">
    <w:name w:val="Normal (Web)"/>
    <w:basedOn w:val="Normal"/>
    <w:uiPriority w:val="99"/>
    <w:semiHidden/>
    <w:unhideWhenUsed/>
    <w:rsid w:val="00843F73"/>
    <w:pPr>
      <w:spacing w:before="100" w:beforeAutospacing="1" w:after="100" w:afterAutospacing="1"/>
    </w:pPr>
    <w:rPr>
      <w:rFonts w:ascii="Calibri" w:hAnsi="Calibri" w:eastAsiaTheme="minorHAnsi" w:cs="Calibri"/>
      <w:sz w:val="22"/>
      <w:szCs w:val="22"/>
    </w:rPr>
  </w:style>
  <w:style w:type="paragraph" w:customStyle="1" w:styleId="undefined">
    <w:name w:val="undefined"/>
    <w:basedOn w:val="Normal"/>
    <w:uiPriority w:val="99"/>
    <w:semiHidden/>
    <w:rsid w:val="00843F73"/>
    <w:pPr>
      <w:spacing w:before="100" w:beforeAutospacing="1" w:after="100" w:afterAutospacing="1"/>
    </w:pPr>
    <w:rPr>
      <w:rFonts w:ascii="Calibri" w:hAnsi="Calibri" w:eastAsiaTheme="minorHAnsi" w:cs="Calibri"/>
      <w:sz w:val="22"/>
      <w:szCs w:val="22"/>
    </w:rPr>
  </w:style>
  <w:style w:type="character" w:customStyle="1" w:styleId="email-hyperlink-color-preserver">
    <w:name w:val="email-hyperlink-color-preserver"/>
    <w:basedOn w:val="DefaultParagraphFont"/>
    <w:rsid w:val="00843F73"/>
  </w:style>
  <w:style w:type="character" w:styleId="Strong">
    <w:name w:val="Strong"/>
    <w:basedOn w:val="DefaultParagraphFont"/>
    <w:uiPriority w:val="22"/>
    <w:qFormat/>
    <w:rsid w:val="00843F73"/>
    <w:rPr>
      <w:b/>
      <w:bCs/>
    </w:rPr>
  </w:style>
  <w:style w:type="character" w:styleId="Hyperlink">
    <w:name w:val="Hyperlink"/>
    <w:basedOn w:val="DefaultParagraphFont"/>
    <w:uiPriority w:val="99"/>
    <w:unhideWhenUsed/>
    <w:rsid w:val="0003556A"/>
    <w:rPr>
      <w:color w:val="0000FF"/>
      <w:u w:val="single"/>
    </w:rPr>
  </w:style>
  <w:style w:type="paragraph" w:styleId="NoSpacing">
    <w:name w:val="No Spacing"/>
    <w:uiPriority w:val="1"/>
    <w:qFormat/>
    <w:rsid w:val="0003556A"/>
  </w:style>
  <w:style w:type="character" w:styleId="FollowedHyperlink">
    <w:name w:val="FollowedHyperlink"/>
    <w:basedOn w:val="DefaultParagraphFont"/>
    <w:uiPriority w:val="99"/>
    <w:semiHidden/>
    <w:unhideWhenUsed/>
    <w:rsid w:val="00BE6BC3"/>
    <w:rPr>
      <w:color w:val="800080" w:themeColor="followedHyperlink"/>
      <w:u w:val="single"/>
    </w:rPr>
  </w:style>
  <w:style w:type="paragraph" w:styleId="FootnoteText">
    <w:name w:val="footnote text"/>
    <w:basedOn w:val="Normal"/>
    <w:link w:val="FootnoteTextChar"/>
    <w:uiPriority w:val="99"/>
    <w:semiHidden/>
    <w:unhideWhenUsed/>
    <w:rsid w:val="00B76EFF"/>
    <w:rPr>
      <w:rFonts w:ascii="Arial" w:hAnsi="Arial" w:eastAsiaTheme="minorHAnsi"/>
      <w:sz w:val="20"/>
      <w:szCs w:val="20"/>
    </w:rPr>
  </w:style>
  <w:style w:type="character" w:customStyle="1" w:styleId="FootnoteTextChar">
    <w:name w:val="Footnote Text Char"/>
    <w:basedOn w:val="DefaultParagraphFont"/>
    <w:link w:val="FootnoteText"/>
    <w:uiPriority w:val="99"/>
    <w:semiHidden/>
    <w:rsid w:val="00B76EFF"/>
    <w:rPr>
      <w:rFonts w:ascii="Arial" w:hAnsi="Arial" w:eastAsiaTheme="minorHAnsi"/>
      <w:sz w:val="20"/>
      <w:szCs w:val="20"/>
    </w:rPr>
  </w:style>
  <w:style w:type="character" w:styleId="FootnoteReference">
    <w:name w:val="footnote reference"/>
    <w:basedOn w:val="DefaultParagraphFont"/>
    <w:uiPriority w:val="99"/>
    <w:semiHidden/>
    <w:unhideWhenUsed/>
    <w:rsid w:val="00B76EFF"/>
    <w:rPr>
      <w:vertAlign w:val="superscript"/>
    </w:rPr>
  </w:style>
  <w:style w:type="character" w:styleId="UnresolvedMention">
    <w:name w:val="Unresolved Mention"/>
    <w:basedOn w:val="DefaultParagraphFont"/>
    <w:uiPriority w:val="99"/>
    <w:rsid w:val="00B76E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timeuse.ipums.org/" TargetMode="External" /><Relationship Id="rId11" Type="http://schemas.openxmlformats.org/officeDocument/2006/relationships/image" Target="media/image2.emf" /><Relationship Id="rId12" Type="http://schemas.openxmlformats.org/officeDocument/2006/relationships/image" Target="media/image3.jpe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hyperlink" Target="mailto:BLS_PRA_Public@bls.gov" TargetMode="External" /><Relationship Id="rId7" Type="http://schemas.openxmlformats.org/officeDocument/2006/relationships/hyperlink" Target="http://www.populationassociation.org" TargetMode="External" /><Relationship Id="rId8" Type="http://schemas.openxmlformats.org/officeDocument/2006/relationships/hyperlink" Target="http://www.popcenters.org" TargetMode="External" /><Relationship Id="rId9" Type="http://schemas.openxmlformats.org/officeDocument/2006/relationships/hyperlink" Target="https://www.federalregister.gov/documents/2025/03/28/2025-05325/information-collection-activities-comment-reque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AIMBE</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Mandell</dc:creator>
  <cp:lastModifiedBy>Scheinin, Morgan - BLS</cp:lastModifiedBy>
  <cp:revision>2</cp:revision>
  <cp:lastPrinted>2019-03-30T01:34:00Z</cp:lastPrinted>
  <dcterms:created xsi:type="dcterms:W3CDTF">2025-05-27T16:44:00Z</dcterms:created>
  <dcterms:modified xsi:type="dcterms:W3CDTF">2025-05-27T16:44:00Z</dcterms:modified>
</cp:coreProperties>
</file>