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620CB515" w14:textId="77777777">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FC38C8" w14:paraId="1C8BC929"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41B23" w:rsidP="00FC38C8" w14:paraId="39B0FE44"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DOL </w:t>
      </w:r>
      <w:r w:rsidR="00DE7122">
        <w:rPr>
          <w:rFonts w:ascii="Times New Roman" w:hAnsi="Times New Roman"/>
          <w:b/>
          <w:szCs w:val="24"/>
        </w:rPr>
        <w:t>Generic Clearance</w:t>
      </w:r>
      <w:r>
        <w:rPr>
          <w:rFonts w:ascii="Times New Roman" w:hAnsi="Times New Roman"/>
          <w:b/>
          <w:szCs w:val="24"/>
        </w:rPr>
        <w:t>:</w:t>
      </w:r>
    </w:p>
    <w:p w:rsidR="00425F9A" w:rsidP="00F41B23" w14:paraId="56173E69" w14:textId="77777777">
      <w:pPr>
        <w:tabs>
          <w:tab w:val="left" w:pos="0"/>
        </w:tabs>
        <w:suppressAutoHyphens/>
        <w:jc w:val="center"/>
        <w:rPr>
          <w:rFonts w:ascii="Times New Roman" w:hAnsi="Times New Roman"/>
          <w:b/>
          <w:szCs w:val="24"/>
        </w:rPr>
      </w:pPr>
      <w:r w:rsidRPr="00F41B23">
        <w:rPr>
          <w:rFonts w:ascii="Times New Roman" w:hAnsi="Times New Roman"/>
          <w:b/>
          <w:szCs w:val="24"/>
        </w:rPr>
        <w:t>Improving Customer Experience (OMB Circular A-11, Section 280 Implementation) for the Department of Labor (DOL)</w:t>
      </w:r>
    </w:p>
    <w:p w:rsidR="00F41B23" w14:paraId="54C21577" w14:textId="77777777">
      <w:pPr>
        <w:tabs>
          <w:tab w:val="left" w:pos="0"/>
        </w:tabs>
        <w:suppressAutoHyphens/>
        <w:rPr>
          <w:rFonts w:ascii="Times New Roman" w:hAnsi="Times New Roman"/>
          <w:b/>
          <w:szCs w:val="24"/>
        </w:rPr>
      </w:pPr>
    </w:p>
    <w:p w:rsidR="00F41B23" w14:paraId="34BE4F79" w14:textId="77777777">
      <w:pPr>
        <w:tabs>
          <w:tab w:val="left" w:pos="0"/>
        </w:tabs>
        <w:suppressAutoHyphens/>
        <w:rPr>
          <w:rFonts w:ascii="Times New Roman" w:hAnsi="Times New Roman"/>
          <w:b/>
          <w:szCs w:val="24"/>
        </w:rPr>
      </w:pPr>
    </w:p>
    <w:p w:rsidR="002F2F11" w:rsidP="00CB0C21" w14:paraId="03FB9540" w14:textId="77777777">
      <w:pPr>
        <w:tabs>
          <w:tab w:val="left" w:pos="0"/>
        </w:tabs>
        <w:suppressAutoHyphens/>
        <w:rPr>
          <w:rFonts w:ascii="Times New Roman" w:hAnsi="Times New Roman"/>
          <w:b/>
          <w:szCs w:val="24"/>
        </w:rPr>
      </w:pPr>
      <w:r>
        <w:rPr>
          <w:rFonts w:ascii="Times New Roman" w:hAnsi="Times New Roman"/>
          <w:b/>
          <w:szCs w:val="24"/>
        </w:rPr>
        <w:t>This request seeks to extend the currently approved Information Collection Request (ICR).</w:t>
      </w:r>
    </w:p>
    <w:p w:rsidR="002F2F11" w:rsidP="00CB0C21" w14:paraId="659965E1" w14:textId="77777777">
      <w:pPr>
        <w:tabs>
          <w:tab w:val="left" w:pos="0"/>
        </w:tabs>
        <w:suppressAutoHyphens/>
        <w:rPr>
          <w:rFonts w:ascii="Times New Roman" w:hAnsi="Times New Roman"/>
          <w:b/>
          <w:szCs w:val="24"/>
        </w:rPr>
      </w:pPr>
    </w:p>
    <w:p w:rsidR="00386054" w:rsidRPr="00572524" w:rsidP="00CB0C21" w14:paraId="48E65A54"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3E2383" w:rsidP="00F57AF7" w14:paraId="6475BE26" w14:textId="140CA341">
      <w:pPr>
        <w:pStyle w:val="BodyText"/>
        <w:rPr>
          <w:b w:val="0"/>
          <w:sz w:val="24"/>
          <w:szCs w:val="24"/>
        </w:rPr>
      </w:pPr>
    </w:p>
    <w:p w:rsidR="00CE7431" w:rsidP="00CE7431" w14:paraId="7D1EFEA9" w14:textId="77777777">
      <w:pPr>
        <w:pStyle w:val="BodyText"/>
        <w:ind w:left="720"/>
        <w:rPr>
          <w:b w:val="0"/>
          <w:sz w:val="24"/>
          <w:szCs w:val="24"/>
        </w:rPr>
      </w:pPr>
      <w:r w:rsidRPr="0083061C">
        <w:rPr>
          <w:b w:val="0"/>
          <w:sz w:val="24"/>
          <w:szCs w:val="24"/>
        </w:rPr>
        <w:t>On September 11, 1993, Executive Order 12862, “Setting Customer Service Standards”</w:t>
      </w:r>
      <w:r>
        <w:rPr>
          <w:b w:val="0"/>
          <w:sz w:val="24"/>
          <w:szCs w:val="24"/>
        </w:rPr>
        <w:t xml:space="preserve"> was issued. This Executive Order</w:t>
      </w:r>
      <w:r w:rsidRPr="0083061C">
        <w:rPr>
          <w:b w:val="0"/>
          <w:sz w:val="24"/>
          <w:szCs w:val="24"/>
        </w:rPr>
        <w:t xml:space="preserve"> </w:t>
      </w:r>
      <w:r>
        <w:rPr>
          <w:b w:val="0"/>
          <w:sz w:val="24"/>
          <w:szCs w:val="24"/>
        </w:rPr>
        <w:t xml:space="preserve">expressed the </w:t>
      </w:r>
      <w:r w:rsidRPr="0083061C">
        <w:rPr>
          <w:b w:val="0"/>
          <w:sz w:val="24"/>
          <w:szCs w:val="24"/>
        </w:rPr>
        <w:t>vision that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E7431" w:rsidP="00CE7431" w14:paraId="291C945B" w14:textId="77777777">
      <w:pPr>
        <w:pStyle w:val="BodyText"/>
        <w:ind w:left="720"/>
        <w:rPr>
          <w:b w:val="0"/>
          <w:sz w:val="24"/>
          <w:szCs w:val="24"/>
        </w:rPr>
      </w:pPr>
    </w:p>
    <w:p w:rsidR="00CE7431" w:rsidP="00CE7431" w14:paraId="48741D62" w14:textId="77777777">
      <w:pPr>
        <w:pStyle w:val="BodyText"/>
        <w:ind w:left="720"/>
        <w:rPr>
          <w:b w:val="0"/>
          <w:sz w:val="24"/>
          <w:szCs w:val="24"/>
        </w:rPr>
      </w:pPr>
      <w:r>
        <w:rPr>
          <w:b w:val="0"/>
          <w:sz w:val="24"/>
          <w:szCs w:val="24"/>
        </w:rPr>
        <w:t xml:space="preserve">On March 30, 2016, the Core Federal Services Council was established. The Council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E7431" w:rsidP="00CE7431" w14:paraId="29980687" w14:textId="77777777">
      <w:pPr>
        <w:pStyle w:val="BodyText"/>
        <w:ind w:left="720"/>
        <w:rPr>
          <w:b w:val="0"/>
          <w:sz w:val="24"/>
          <w:szCs w:val="24"/>
        </w:rPr>
      </w:pPr>
    </w:p>
    <w:p w:rsidR="00CE7431" w:rsidP="00CE7431" w14:paraId="483F3F49" w14:textId="77777777">
      <w:pPr>
        <w:pStyle w:val="BodyText"/>
        <w:ind w:left="720"/>
        <w:rPr>
          <w:b w:val="0"/>
          <w:sz w:val="24"/>
          <w:szCs w:val="24"/>
        </w:rPr>
      </w:pPr>
      <w:r>
        <w:rPr>
          <w:b w:val="0"/>
          <w:sz w:val="24"/>
          <w:szCs w:val="24"/>
        </w:rPr>
        <w:t xml:space="preserve">In March 2018, the President’s Management Agenda (PMA) and new Cross-Agency Priority (CAP) Goals were launched.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w:t>
      </w:r>
      <w:r w:rsidRPr="00CB0C21">
        <w:rPr>
          <w:b w:val="0"/>
          <w:sz w:val="24"/>
          <w:szCs w:val="24"/>
        </w:rPr>
        <w:t>programs.  This effort is supported by an interagency team and guidance in Circular A-11 requiring the collection of customer feedback data</w:t>
      </w:r>
      <w:r>
        <w:rPr>
          <w:b w:val="0"/>
          <w:sz w:val="24"/>
          <w:szCs w:val="24"/>
        </w:rPr>
        <w:t xml:space="preserve"> and increasing the use of industry best practices to conduct customer research</w:t>
      </w:r>
      <w:r w:rsidRPr="00CB0C21">
        <w:rPr>
          <w:b w:val="0"/>
          <w:sz w:val="24"/>
          <w:szCs w:val="24"/>
        </w:rPr>
        <w:t>.</w:t>
      </w:r>
    </w:p>
    <w:p w:rsidR="00CE7431" w:rsidP="00CE7431" w14:paraId="3D6BAFFB" w14:textId="77777777">
      <w:pPr>
        <w:pStyle w:val="BodyText"/>
        <w:ind w:left="720"/>
        <w:rPr>
          <w:b w:val="0"/>
          <w:sz w:val="24"/>
          <w:szCs w:val="24"/>
        </w:rPr>
      </w:pPr>
    </w:p>
    <w:p w:rsidR="00CE7431" w:rsidP="00CE7431" w14:paraId="674B0F91" w14:textId="77777777">
      <w:pPr>
        <w:pStyle w:val="BodyText"/>
        <w:ind w:left="720"/>
        <w:rPr>
          <w:b w:val="0"/>
          <w:sz w:val="24"/>
          <w:szCs w:val="24"/>
        </w:rPr>
      </w:pPr>
      <w:r>
        <w:rPr>
          <w:b w:val="0"/>
          <w:sz w:val="24"/>
          <w:szCs w:val="24"/>
        </w:rPr>
        <w:t>From 2021</w:t>
      </w:r>
      <w:r>
        <w:rPr>
          <w:b w:val="0"/>
          <w:sz w:val="24"/>
          <w:szCs w:val="24"/>
        </w:rPr>
        <w:softHyphen/>
        <w:t xml:space="preserve">-2023, Executive Order 14058, </w:t>
      </w:r>
      <w:r w:rsidRPr="00DD5DEB">
        <w:rPr>
          <w:b w:val="0"/>
          <w:i/>
          <w:iCs/>
          <w:sz w:val="24"/>
          <w:szCs w:val="24"/>
        </w:rPr>
        <w:t>Transforming Customer Experience and Service Delivery to Rebuil</w:t>
      </w:r>
      <w:r>
        <w:rPr>
          <w:b w:val="0"/>
          <w:i/>
          <w:iCs/>
          <w:sz w:val="24"/>
          <w:szCs w:val="24"/>
        </w:rPr>
        <w:t>d</w:t>
      </w:r>
      <w:r w:rsidRPr="00DD5DEB">
        <w:rPr>
          <w:b w:val="0"/>
          <w:i/>
          <w:iCs/>
          <w:sz w:val="24"/>
          <w:szCs w:val="24"/>
        </w:rPr>
        <w:t xml:space="preserve"> Trust in Government</w:t>
      </w:r>
      <w:r>
        <w:rPr>
          <w:b w:val="0"/>
          <w:sz w:val="24"/>
          <w:szCs w:val="24"/>
        </w:rPr>
        <w:t xml:space="preserve">, Memorandum M-22-10, </w:t>
      </w:r>
      <w:r w:rsidRPr="00DC23FA">
        <w:rPr>
          <w:b w:val="0"/>
          <w:i/>
          <w:iCs/>
          <w:sz w:val="24"/>
          <w:szCs w:val="24"/>
        </w:rPr>
        <w:t>Improving Access to Public Benefits Program Through the Paperwork Reduction Act</w:t>
      </w:r>
      <w:r>
        <w:rPr>
          <w:b w:val="0"/>
          <w:sz w:val="24"/>
          <w:szCs w:val="24"/>
        </w:rPr>
        <w:t xml:space="preserve">, and an OIRA Memorandum titled </w:t>
      </w:r>
      <w:r w:rsidRPr="00DC23FA">
        <w:rPr>
          <w:b w:val="0"/>
          <w:i/>
          <w:iCs/>
          <w:sz w:val="24"/>
          <w:szCs w:val="24"/>
        </w:rPr>
        <w:t>Strategies for Reducing Administrative Burden in Public Benefit and Service Programs</w:t>
      </w:r>
      <w:r>
        <w:rPr>
          <w:b w:val="0"/>
          <w:i/>
          <w:iCs/>
          <w:sz w:val="24"/>
          <w:szCs w:val="24"/>
        </w:rPr>
        <w:t xml:space="preserve"> </w:t>
      </w:r>
      <w:r>
        <w:rPr>
          <w:b w:val="0"/>
          <w:sz w:val="24"/>
          <w:szCs w:val="24"/>
        </w:rPr>
        <w:t>were issued. The Executive Order and memoranda, taken as a whole, d</w:t>
      </w:r>
      <w:r w:rsidRPr="00421F7C">
        <w:rPr>
          <w:b w:val="0"/>
          <w:bCs/>
          <w:color w:val="000000"/>
          <w:spacing w:val="-3"/>
          <w:sz w:val="23"/>
          <w:szCs w:val="23"/>
          <w:shd w:val="clear" w:color="auto" w:fill="FFFFFF"/>
        </w:rPr>
        <w:t xml:space="preserve">irect </w:t>
      </w:r>
      <w:r>
        <w:rPr>
          <w:b w:val="0"/>
          <w:bCs/>
          <w:color w:val="000000"/>
          <w:spacing w:val="-3"/>
          <w:sz w:val="23"/>
          <w:szCs w:val="23"/>
          <w:shd w:val="clear" w:color="auto" w:fill="FFFFFF"/>
        </w:rPr>
        <w:t xml:space="preserve">agencies to take </w:t>
      </w:r>
      <w:r w:rsidRPr="00421F7C">
        <w:rPr>
          <w:b w:val="0"/>
          <w:bCs/>
          <w:color w:val="000000"/>
          <w:spacing w:val="-3"/>
          <w:sz w:val="23"/>
          <w:szCs w:val="23"/>
          <w:shd w:val="clear" w:color="auto" w:fill="FFFFFF"/>
        </w:rPr>
        <w:t>specific actions to improve customer experience</w:t>
      </w:r>
      <w:r>
        <w:rPr>
          <w:b w:val="0"/>
          <w:bCs/>
          <w:color w:val="000000"/>
          <w:spacing w:val="-3"/>
          <w:sz w:val="23"/>
          <w:szCs w:val="23"/>
          <w:shd w:val="clear" w:color="auto" w:fill="FFFFFF"/>
        </w:rPr>
        <w:t xml:space="preserve"> and enhance public participation and community engagement. Furthermore, the President’s Management Agenda contains a Priority titled </w:t>
      </w:r>
      <w:r w:rsidRPr="00C77712">
        <w:rPr>
          <w:b w:val="0"/>
          <w:bCs/>
          <w:color w:val="000000"/>
          <w:spacing w:val="-3"/>
          <w:sz w:val="23"/>
          <w:szCs w:val="23"/>
          <w:shd w:val="clear" w:color="auto" w:fill="FFFFFF"/>
        </w:rPr>
        <w:t>Delivering Excellent, Equitable, and Secure Federal Services and Customer Experience</w:t>
      </w:r>
      <w:r>
        <w:rPr>
          <w:b w:val="0"/>
          <w:bCs/>
          <w:color w:val="000000"/>
          <w:spacing w:val="-3"/>
          <w:sz w:val="23"/>
          <w:szCs w:val="23"/>
          <w:shd w:val="clear" w:color="auto" w:fill="FFFFFF"/>
        </w:rPr>
        <w:t xml:space="preserve">, which, among other things, seeks to improve the service design, digital products, and customer-experience management of Federal High Impact Service Providers by reducing customer burden, addressing inequities, and streamlining processes. </w:t>
      </w:r>
    </w:p>
    <w:p w:rsidR="00CE7431" w:rsidP="00CE7431" w14:paraId="45A11048" w14:textId="77777777">
      <w:pPr>
        <w:pStyle w:val="BodyText"/>
        <w:rPr>
          <w:b w:val="0"/>
          <w:sz w:val="24"/>
          <w:szCs w:val="24"/>
        </w:rPr>
      </w:pPr>
    </w:p>
    <w:p w:rsidR="00CE7431" w:rsidP="00CE7431" w14:paraId="4EFA757E" w14:textId="77777777">
      <w:pPr>
        <w:pStyle w:val="BodyText"/>
        <w:ind w:left="720"/>
        <w:rPr>
          <w:b w:val="0"/>
          <w:sz w:val="24"/>
          <w:szCs w:val="24"/>
        </w:rPr>
      </w:pPr>
      <w:r w:rsidRPr="0083061C">
        <w:rPr>
          <w:b w:val="0"/>
          <w:sz w:val="24"/>
          <w:szCs w:val="24"/>
        </w:rPr>
        <w:t xml:space="preserve">These Presidential </w:t>
      </w:r>
      <w:r>
        <w:rPr>
          <w:b w:val="0"/>
          <w:sz w:val="24"/>
          <w:szCs w:val="24"/>
        </w:rPr>
        <w:t xml:space="preserve">actions and </w:t>
      </w:r>
      <w:r w:rsidRPr="0083061C">
        <w:rPr>
          <w:b w:val="0"/>
          <w:sz w:val="24"/>
          <w:szCs w:val="24"/>
        </w:rPr>
        <w:t xml:space="preserve">requirements establish an </w:t>
      </w:r>
      <w:r>
        <w:rPr>
          <w:b w:val="0"/>
          <w:sz w:val="24"/>
          <w:szCs w:val="24"/>
        </w:rPr>
        <w:t>ongoing</w:t>
      </w:r>
      <w:r w:rsidRPr="0083061C">
        <w:rPr>
          <w:b w:val="0"/>
          <w:sz w:val="24"/>
          <w:szCs w:val="24"/>
        </w:rPr>
        <w:t xml:space="preserve"> process of collecting </w:t>
      </w:r>
      <w:r>
        <w:rPr>
          <w:b w:val="0"/>
          <w:sz w:val="24"/>
          <w:szCs w:val="24"/>
        </w:rPr>
        <w:t>customer insights and using them</w:t>
      </w:r>
      <w:r w:rsidRPr="0083061C">
        <w:rPr>
          <w:b w:val="0"/>
          <w:sz w:val="24"/>
          <w:szCs w:val="24"/>
        </w:rPr>
        <w:t xml:space="preserve"> to improve </w:t>
      </w:r>
      <w:r>
        <w:rPr>
          <w:b w:val="0"/>
          <w:sz w:val="24"/>
          <w:szCs w:val="24"/>
        </w:rPr>
        <w:t>services</w:t>
      </w:r>
      <w:r w:rsidRPr="0083061C">
        <w:rPr>
          <w:b w:val="0"/>
          <w:sz w:val="24"/>
          <w:szCs w:val="24"/>
        </w:rPr>
        <w:t xml:space="preserve">. </w:t>
      </w:r>
      <w:r>
        <w:rPr>
          <w:b w:val="0"/>
          <w:sz w:val="24"/>
          <w:szCs w:val="24"/>
        </w:rPr>
        <w:t>This new request will enable the Department of Labor</w:t>
      </w:r>
      <w:r w:rsidRPr="00FB3E61">
        <w:rPr>
          <w:b w:val="0"/>
          <w:sz w:val="24"/>
          <w:szCs w:val="24"/>
        </w:rPr>
        <w:t xml:space="preserve"> </w:t>
      </w:r>
      <w:r w:rsidRPr="00C25189">
        <w:rPr>
          <w:b w:val="0"/>
          <w:sz w:val="24"/>
          <w:szCs w:val="24"/>
        </w:rPr>
        <w:t xml:space="preserve">(hereafter “the Agency”) </w:t>
      </w:r>
      <w:r>
        <w:rPr>
          <w:b w:val="0"/>
          <w:sz w:val="24"/>
          <w:szCs w:val="24"/>
        </w:rPr>
        <w:t>to act in accordance with OMB Circular A-11 Section 280, Executive Order 14058, and the OMB memoranda on burden reduction, to ultimately transform the experience of its customers to improve both efficiency and mission delivery, and increase accountability by communicating about these efforts with the public.</w:t>
      </w:r>
    </w:p>
    <w:p w:rsidR="003E2383" w:rsidP="00BD1E9D" w14:paraId="43DFBA39" w14:textId="77777777">
      <w:pPr>
        <w:pStyle w:val="BodyText"/>
        <w:ind w:left="720"/>
        <w:rPr>
          <w:b w:val="0"/>
          <w:sz w:val="24"/>
          <w:szCs w:val="24"/>
        </w:rPr>
      </w:pPr>
    </w:p>
    <w:p w:rsidR="00B927B8" w:rsidRPr="0083061C" w:rsidP="00BD1E9D" w14:paraId="4BD63A97" w14:textId="77777777">
      <w:pPr>
        <w:pStyle w:val="BodyText"/>
        <w:ind w:left="720"/>
        <w:rPr>
          <w:b w:val="0"/>
          <w:sz w:val="24"/>
          <w:szCs w:val="24"/>
        </w:rPr>
      </w:pPr>
      <w:r w:rsidRPr="0083061C">
        <w:rPr>
          <w:b w:val="0"/>
          <w:sz w:val="24"/>
          <w:szCs w:val="24"/>
        </w:rPr>
        <w:t xml:space="preserve">  </w:t>
      </w:r>
    </w:p>
    <w:p w:rsidR="00386054" w:rsidRPr="00572524" w14:paraId="74929635"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369969EA" w14:textId="77777777">
      <w:pPr>
        <w:tabs>
          <w:tab w:val="left" w:pos="-720"/>
        </w:tabs>
        <w:suppressAutoHyphens/>
        <w:rPr>
          <w:rFonts w:ascii="Times New Roman" w:hAnsi="Times New Roman"/>
          <w:szCs w:val="24"/>
        </w:rPr>
      </w:pPr>
    </w:p>
    <w:p w:rsidR="006F2BFD" w:rsidP="006F2BFD" w14:paraId="3680F6D2"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0C89B4B4" w14:textId="77777777">
      <w:pPr>
        <w:pStyle w:val="BodyText"/>
        <w:ind w:left="720"/>
        <w:rPr>
          <w:b w:val="0"/>
          <w:sz w:val="24"/>
          <w:szCs w:val="24"/>
        </w:rPr>
      </w:pPr>
    </w:p>
    <w:p w:rsidR="006F2BFD" w:rsidRPr="006F2BFD" w:rsidP="006F2BFD" w14:paraId="19E60BC6"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 xml:space="preserve">with a Federal Government agency or program, either directly or via a </w:t>
      </w:r>
      <w:r w:rsidRPr="006F2BFD" w:rsidR="007F68D6">
        <w:rPr>
          <w:b w:val="0"/>
          <w:sz w:val="24"/>
          <w:szCs w:val="24"/>
        </w:rPr>
        <w:t>federal</w:t>
      </w:r>
      <w:r w:rsidRPr="006F2BFD">
        <w:rPr>
          <w:b w:val="0"/>
          <w:sz w:val="24"/>
          <w:szCs w:val="24"/>
        </w:rPr>
        <w:t xml:space="preserve"> contractor.</w:t>
      </w:r>
    </w:p>
    <w:p w:rsidR="006F2BFD" w:rsidP="006F2BFD" w14:paraId="295E6F1E" w14:textId="77777777">
      <w:pPr>
        <w:pStyle w:val="BodyText"/>
        <w:ind w:left="720"/>
        <w:rPr>
          <w:b w:val="0"/>
          <w:sz w:val="24"/>
          <w:szCs w:val="24"/>
        </w:rPr>
      </w:pPr>
    </w:p>
    <w:p w:rsidR="006F2BFD" w:rsidP="006F2BFD" w14:paraId="26D9909E"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038DB227" w14:textId="77777777">
      <w:pPr>
        <w:pStyle w:val="BodyText"/>
        <w:ind w:left="720"/>
        <w:rPr>
          <w:b w:val="0"/>
          <w:sz w:val="24"/>
          <w:szCs w:val="24"/>
        </w:rPr>
      </w:pPr>
    </w:p>
    <w:p w:rsidR="006A7CA8" w:rsidP="006F2BFD" w14:paraId="6DF830D9"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6576D4E3" w14:textId="77777777">
      <w:pPr>
        <w:pStyle w:val="BodyText"/>
        <w:ind w:left="720"/>
        <w:rPr>
          <w:b w:val="0"/>
          <w:sz w:val="24"/>
          <w:szCs w:val="24"/>
        </w:rPr>
      </w:pPr>
    </w:p>
    <w:p w:rsidR="006A7CA8" w:rsidP="006A7CA8" w14:paraId="1AD20393" w14:textId="77777777">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Pr>
          <w:b w:val="0"/>
          <w:sz w:val="24"/>
          <w:szCs w:val="24"/>
        </w:rPr>
        <w:t>small discussion groups</w:t>
      </w:r>
      <w:r w:rsidR="00605ADE">
        <w:rPr>
          <w:b w:val="0"/>
          <w:sz w:val="24"/>
          <w:szCs w:val="24"/>
        </w:rPr>
        <w:t xml:space="preserve"> all of which may be </w:t>
      </w:r>
      <w:r w:rsidR="00605ADE">
        <w:rPr>
          <w:b w:val="0"/>
          <w:sz w:val="24"/>
          <w:szCs w:val="24"/>
        </w:rPr>
        <w:t>facilitated  remotely</w:t>
      </w:r>
      <w:r w:rsidR="00605ADE">
        <w:rPr>
          <w:b w:val="0"/>
          <w:sz w:val="24"/>
          <w:szCs w:val="24"/>
        </w:rPr>
        <w:t xml:space="preserve"> or in-person</w:t>
      </w:r>
      <w:r w:rsidR="006A761C">
        <w:rPr>
          <w:b w:val="0"/>
          <w:sz w:val="24"/>
          <w:szCs w:val="24"/>
        </w:rPr>
        <w:t>.</w:t>
      </w:r>
    </w:p>
    <w:p w:rsidR="006A7CA8" w:rsidP="006A7CA8" w14:paraId="05DFE297" w14:textId="77777777">
      <w:pPr>
        <w:pStyle w:val="BodyText"/>
        <w:ind w:left="720"/>
        <w:rPr>
          <w:sz w:val="24"/>
          <w:szCs w:val="24"/>
        </w:rPr>
      </w:pPr>
    </w:p>
    <w:p w:rsidR="0039757D" w:rsidP="00E03EA0" w14:paraId="79047991" w14:textId="77777777">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10"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3BB8B127" w14:textId="77777777">
      <w:pPr>
        <w:pStyle w:val="BodyText"/>
        <w:ind w:left="720"/>
        <w:rPr>
          <w:b w:val="0"/>
          <w:sz w:val="24"/>
          <w:szCs w:val="24"/>
        </w:rPr>
      </w:pPr>
    </w:p>
    <w:p w:rsidR="00C25189" w:rsidP="006A7CA8" w14:paraId="3770FA3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043BC9AE" w14:textId="77777777">
      <w:pPr>
        <w:pStyle w:val="BodyText"/>
        <w:ind w:left="720"/>
        <w:rPr>
          <w:b w:val="0"/>
          <w:sz w:val="24"/>
          <w:szCs w:val="24"/>
        </w:rPr>
      </w:pPr>
    </w:p>
    <w:p w:rsidR="0000550E" w:rsidRPr="0000550E" w:rsidP="006A7CA8" w14:paraId="04B4C672" w14:textId="77777777">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262DB9AA" w14:textId="77777777">
      <w:pPr>
        <w:pStyle w:val="BodyText"/>
        <w:ind w:left="720"/>
        <w:rPr>
          <w:b w:val="0"/>
          <w:sz w:val="24"/>
          <w:szCs w:val="24"/>
        </w:rPr>
      </w:pPr>
    </w:p>
    <w:p w:rsidR="00622ED0" w:rsidP="00BD1E9D" w14:paraId="433875B7" w14:textId="77777777">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 xml:space="preserve">at a specific point </w:t>
      </w:r>
      <w:r w:rsidR="00751AE8">
        <w:rPr>
          <w:b w:val="0"/>
          <w:sz w:val="24"/>
          <w:szCs w:val="24"/>
        </w:rPr>
        <w:t>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6808C7D8" w14:textId="77777777">
      <w:pPr>
        <w:pStyle w:val="BodyText"/>
        <w:ind w:left="720"/>
        <w:rPr>
          <w:b w:val="0"/>
          <w:sz w:val="24"/>
          <w:szCs w:val="24"/>
        </w:rPr>
      </w:pPr>
    </w:p>
    <w:p w:rsidR="0077440A" w:rsidP="0077440A" w14:paraId="33E7858F" w14:textId="5B921C65">
      <w:pPr>
        <w:pStyle w:val="BodyText"/>
        <w:ind w:left="720"/>
        <w:rPr>
          <w:b w:val="0"/>
          <w:sz w:val="24"/>
          <w:szCs w:val="24"/>
        </w:rPr>
      </w:pPr>
      <w:r w:rsidRPr="00622ED0">
        <w:rPr>
          <w:b w:val="0"/>
          <w:sz w:val="24"/>
          <w:szCs w:val="24"/>
        </w:rPr>
        <w:t>In an effort to</w:t>
      </w:r>
      <w:r w:rsidRPr="00622ED0">
        <w:rPr>
          <w:b w:val="0"/>
          <w:sz w:val="24"/>
          <w:szCs w:val="24"/>
        </w:rPr>
        <w:t xml:space="preserve">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sidR="00FA0A64">
        <w:rPr>
          <w:b w:val="0"/>
          <w:sz w:val="24"/>
          <w:szCs w:val="24"/>
        </w:rPr>
        <w:t xml:space="preserve">agencies are to refer to the requirements in </w:t>
      </w:r>
      <w:r>
        <w:rPr>
          <w:b w:val="0"/>
          <w:sz w:val="24"/>
          <w:szCs w:val="24"/>
        </w:rPr>
        <w:t>OMB Circ</w:t>
      </w:r>
      <w:r w:rsidR="00E15CE1">
        <w:rPr>
          <w:b w:val="0"/>
          <w:sz w:val="24"/>
          <w:szCs w:val="24"/>
        </w:rPr>
        <w:t>ular A-11 Section 280</w:t>
      </w:r>
      <w:r w:rsidR="00FA0A64">
        <w:rPr>
          <w:b w:val="0"/>
          <w:sz w:val="24"/>
          <w:szCs w:val="24"/>
        </w:rPr>
        <w:t>.</w:t>
      </w:r>
      <w:r w:rsidR="00E15CE1">
        <w:rPr>
          <w:b w:val="0"/>
          <w:sz w:val="24"/>
          <w:szCs w:val="24"/>
        </w:rPr>
        <w:t xml:space="preserve"> </w:t>
      </w:r>
    </w:p>
    <w:p w:rsidR="0077440A" w:rsidRPr="00EE088E" w:rsidP="0077440A" w14:paraId="2869FEF6" w14:textId="77777777">
      <w:pPr>
        <w:jc w:val="both"/>
        <w:rPr>
          <w:rFonts w:ascii="Times New Roman" w:hAnsi="Times New Roman"/>
        </w:rPr>
      </w:pPr>
    </w:p>
    <w:p w:rsidR="0077440A" w:rsidRPr="002F32F1" w:rsidP="0077440A" w14:paraId="7EB08460" w14:textId="77EFE773">
      <w:pPr>
        <w:jc w:val="both"/>
        <w:rPr>
          <w:rFonts w:ascii="Times New Roman" w:hAnsi="Times New Roman"/>
          <w:szCs w:val="24"/>
        </w:rPr>
      </w:pPr>
      <w:r w:rsidRPr="009E1130">
        <w:rPr>
          <w:rFonts w:ascii="Times New Roman" w:hAnsi="Times New Roman"/>
          <w:szCs w:val="24"/>
        </w:rPr>
        <w:t>Agencies are to submit these surveys for approval under the OMB A-11 Section 280 Umbrella Clearance</w:t>
      </w:r>
      <w:r w:rsidR="00FA0A64">
        <w:rPr>
          <w:rFonts w:ascii="Times New Roman" w:hAnsi="Times New Roman"/>
          <w:szCs w:val="24"/>
        </w:rPr>
        <w:t>.</w:t>
      </w:r>
      <w:r w:rsidRPr="009E1130">
        <w:rPr>
          <w:rFonts w:ascii="Times New Roman" w:hAnsi="Times New Roman"/>
          <w:szCs w:val="24"/>
        </w:rPr>
        <w:t xml:space="preserve"> Individual collection requests under this clearance will be reviewed by a customer experience subject matter expert </w:t>
      </w:r>
      <w:r w:rsidRPr="009E1130" w:rsidR="000A0900">
        <w:rPr>
          <w:rFonts w:ascii="Times New Roman" w:hAnsi="Times New Roman"/>
          <w:szCs w:val="24"/>
        </w:rPr>
        <w:t>to</w:t>
      </w:r>
      <w:r w:rsidRPr="009E1130">
        <w:rPr>
          <w:rFonts w:ascii="Times New Roman" w:hAnsi="Times New Roman"/>
          <w:szCs w:val="24"/>
        </w:rPr>
        <w:t xml:space="preserve"> further streamline the review of these types of collections. </w:t>
      </w:r>
    </w:p>
    <w:p w:rsidR="00622ED0" w:rsidP="002F32F1" w14:paraId="1F1580AA" w14:textId="77777777">
      <w:pPr>
        <w:pStyle w:val="BodyText"/>
        <w:rPr>
          <w:b w:val="0"/>
          <w:sz w:val="24"/>
          <w:szCs w:val="24"/>
        </w:rPr>
      </w:pPr>
    </w:p>
    <w:p w:rsidR="00E03202" w:rsidP="00E03202" w14:paraId="16F5ADE9" w14:textId="77777777">
      <w:pPr>
        <w:pStyle w:val="BodyText"/>
        <w:ind w:left="720"/>
        <w:rPr>
          <w:b w:val="0"/>
          <w:sz w:val="24"/>
          <w:szCs w:val="24"/>
        </w:rPr>
      </w:pPr>
      <w:r>
        <w:rPr>
          <w:b w:val="0"/>
          <w:sz w:val="24"/>
          <w:szCs w:val="24"/>
        </w:rPr>
        <w:t>In an effort to</w:t>
      </w:r>
      <w:r>
        <w:rPr>
          <w:b w:val="0"/>
          <w:sz w:val="24"/>
          <w:szCs w:val="24"/>
        </w:rPr>
        <w:t xml:space="preserve">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6A1D874D" w14:textId="77777777">
      <w:pPr>
        <w:pStyle w:val="BodyText"/>
        <w:ind w:left="720"/>
        <w:rPr>
          <w:b w:val="0"/>
          <w:sz w:val="24"/>
          <w:szCs w:val="24"/>
        </w:rPr>
      </w:pPr>
    </w:p>
    <w:p w:rsidR="00C25189" w:rsidRPr="00271C21" w:rsidP="00E03EA0" w14:paraId="09DC9601" w14:textId="77777777">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r w:rsidR="00271C21">
        <w:rPr>
          <w:b w:val="0"/>
          <w:sz w:val="24"/>
          <w:szCs w:val="24"/>
        </w:rPr>
        <w:t>Federal</w:t>
      </w:r>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feedback while waiting for a service, or more formally scheduled i</w:t>
      </w:r>
      <w:r w:rsidRPr="00E03EA0" w:rsidR="00E03EA0">
        <w:rPr>
          <w:b w:val="0"/>
          <w:sz w:val="24"/>
          <w:szCs w:val="24"/>
        </w:rPr>
        <w:t xml:space="preserve">n-person </w:t>
      </w:r>
      <w:r w:rsidR="00D962F5">
        <w:rPr>
          <w:b w:val="0"/>
          <w:sz w:val="24"/>
          <w:szCs w:val="24"/>
        </w:rPr>
        <w:t xml:space="preserve">or remote </w:t>
      </w:r>
      <w:r w:rsidRPr="00E03EA0" w:rsidR="00E03EA0">
        <w:rPr>
          <w:b w:val="0"/>
          <w:sz w:val="24"/>
          <w:szCs w:val="24"/>
        </w:rPr>
        <w:t>observation testing (e.g., website or software usability tests)</w:t>
      </w:r>
      <w:r w:rsidR="00D962F5">
        <w:rPr>
          <w:b w:val="0"/>
          <w:sz w:val="24"/>
          <w:szCs w:val="24"/>
        </w:rPr>
        <w:t xml:space="preserve"> such as </w:t>
      </w:r>
      <w:r w:rsidR="00073050">
        <w:rPr>
          <w:b w:val="0"/>
          <w:sz w:val="24"/>
          <w:szCs w:val="24"/>
        </w:rPr>
        <w:t>video calls, phone, and asynchronous methods like email or messaging</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w:t>
      </w:r>
      <w:r w:rsidR="00E03EA0">
        <w:rPr>
          <w:b w:val="0"/>
          <w:sz w:val="24"/>
          <w:szCs w:val="24"/>
        </w:rPr>
        <w:t>Federal</w:t>
      </w:r>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E734F98" w14:textId="77777777">
      <w:pPr>
        <w:pStyle w:val="BodyText"/>
        <w:rPr>
          <w:b w:val="0"/>
          <w:sz w:val="24"/>
          <w:szCs w:val="24"/>
        </w:rPr>
      </w:pPr>
    </w:p>
    <w:p w:rsidR="00A22BD9" w:rsidRPr="00A22BD9" w:rsidP="00A22BD9" w14:paraId="58C17301" w14:textId="77777777">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1065BFB6" w14:textId="77777777">
      <w:pPr>
        <w:pStyle w:val="BodyText"/>
        <w:ind w:left="720"/>
        <w:rPr>
          <w:b w:val="0"/>
          <w:sz w:val="24"/>
          <w:szCs w:val="24"/>
        </w:rPr>
      </w:pPr>
    </w:p>
    <w:p w:rsidR="00FC38C8" w:rsidRPr="00FC38C8" w:rsidP="00FC38C8" w14:paraId="2A78747F"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6A19FBA2"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01D76B5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00FC38C8" w:rsidRPr="00FC38C8" w:rsidP="00FC38C8" w14:paraId="403DBB40"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1B456D82"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5186C3E1"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402E02" w:rsidP="00FC38C8" w14:paraId="4349ABA0" w14:textId="560468CC">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The agency will follow the procedures specified in OMB Circular A-11 Section 280 for the required quarterly reporting to OMB of trust data and experience driver data from surveys.</w:t>
      </w:r>
    </w:p>
    <w:p w:rsidR="00402E02" w:rsidP="00402E02" w14:paraId="1EA9EE79" w14:textId="0FB7F536">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27749F">
        <w:rPr>
          <w:rFonts w:ascii="Times New Roman" w:hAnsi="Times New Roman"/>
          <w:szCs w:val="24"/>
        </w:rPr>
        <w:t>passback</w:t>
      </w:r>
      <w:r w:rsidRPr="0027749F">
        <w:rPr>
          <w:rFonts w:ascii="Times New Roman" w:hAnsi="Times New Roman"/>
          <w:szCs w:val="24"/>
        </w:rPr>
        <w:t xml:space="preserve"> process with the agency.  </w:t>
      </w:r>
    </w:p>
    <w:p w:rsidR="00BD1E9D" w:rsidRPr="00EF7FF5" w14:paraId="1AFBC7C7" w14:textId="77777777">
      <w:pPr>
        <w:tabs>
          <w:tab w:val="left" w:pos="-720"/>
        </w:tabs>
        <w:suppressAutoHyphens/>
        <w:rPr>
          <w:rFonts w:ascii="Times New Roman" w:hAnsi="Times New Roman"/>
          <w:szCs w:val="24"/>
        </w:rPr>
      </w:pPr>
    </w:p>
    <w:p w:rsidR="00751AE8" w:rsidP="00B927B8" w14:paraId="482BDCD5"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55C3B26A" w14:textId="77777777">
      <w:pPr>
        <w:ind w:left="720"/>
        <w:rPr>
          <w:rFonts w:ascii="Times New Roman" w:hAnsi="Times New Roman"/>
        </w:rPr>
      </w:pPr>
    </w:p>
    <w:p w:rsidR="00B927B8" w:rsidP="00B927B8" w14:paraId="4FA080F2"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5B7FA818" w14:textId="77777777">
      <w:pPr>
        <w:tabs>
          <w:tab w:val="left" w:pos="-720"/>
        </w:tabs>
        <w:suppressAutoHyphens/>
        <w:rPr>
          <w:rFonts w:ascii="Times New Roman" w:hAnsi="Times New Roman"/>
          <w:szCs w:val="24"/>
        </w:rPr>
      </w:pPr>
    </w:p>
    <w:p w:rsidR="00386054" w:rsidRPr="00572524" w14:paraId="4B6074F0"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w:t>
      </w:r>
      <w:r w:rsidRPr="00572524">
        <w:rPr>
          <w:rFonts w:ascii="Times New Roman" w:hAnsi="Times New Roman"/>
          <w:b/>
          <w:szCs w:val="24"/>
        </w:rPr>
        <w:t>e.g.</w:t>
      </w:r>
      <w:r w:rsidRPr="00572524">
        <w:rPr>
          <w:rFonts w:ascii="Times New Roman" w:hAnsi="Times New Roman"/>
          <w:b/>
          <w:szCs w:val="24"/>
        </w:rPr>
        <w:t xml:space="preserve">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4E72FB52" w14:textId="77777777">
      <w:pPr>
        <w:tabs>
          <w:tab w:val="left" w:pos="-720"/>
        </w:tabs>
        <w:suppressAutoHyphens/>
        <w:rPr>
          <w:rFonts w:ascii="Times New Roman" w:hAnsi="Times New Roman"/>
          <w:szCs w:val="24"/>
        </w:rPr>
      </w:pPr>
    </w:p>
    <w:p w:rsidR="00297C42" w:rsidRPr="005946CF" w:rsidP="009A1449" w14:paraId="2C20545A" w14:textId="77777777">
      <w:pPr>
        <w:pStyle w:val="BodyTextIndent"/>
        <w:spacing w:after="0"/>
        <w:ind w:left="720"/>
        <w:rPr>
          <w:rFonts w:ascii="Times New Roman" w:hAnsi="Times New Roman"/>
        </w:rPr>
      </w:pPr>
      <w:r w:rsidRPr="0083061C">
        <w:rPr>
          <w:rFonts w:ascii="Times New Roman" w:hAnsi="Times New Roman"/>
        </w:rPr>
        <w:t xml:space="preserve">There are neither legal nor technical obstacles to the use of technology in these information collection activities.  The determination to use technology, and which </w:t>
      </w:r>
      <w:r w:rsidRPr="0083061C">
        <w:rPr>
          <w:rFonts w:ascii="Times New Roman" w:hAnsi="Times New Roman"/>
        </w:rPr>
        <w:t xml:space="preserve">technology to use, will be based on the type of information collected and the utility and the availability of specific technology to each respondent in a proposed customer </w:t>
      </w:r>
      <w:r w:rsidR="00CD40F8">
        <w:rPr>
          <w:rFonts w:ascii="Times New Roman" w:hAnsi="Times New Roman"/>
        </w:rPr>
        <w:t xml:space="preserve">research activity or feedback </w:t>
      </w:r>
      <w:r w:rsidRPr="006F7F24" w:rsidR="00CD40F8">
        <w:rPr>
          <w:rFonts w:ascii="Times New Roman" w:hAnsi="Times New Roman"/>
        </w:rPr>
        <w:t>survey</w:t>
      </w:r>
      <w:r w:rsidRPr="005946CF">
        <w:rPr>
          <w:rFonts w:ascii="Times New Roman" w:hAnsi="Times New Roman"/>
        </w:rPr>
        <w:t>.</w:t>
      </w:r>
    </w:p>
    <w:p w:rsidR="00386054" w:rsidRPr="00EF7FF5" w14:paraId="6F50D92F" w14:textId="77777777">
      <w:pPr>
        <w:tabs>
          <w:tab w:val="left" w:pos="-720"/>
        </w:tabs>
        <w:suppressAutoHyphens/>
        <w:rPr>
          <w:rFonts w:ascii="Times New Roman" w:hAnsi="Times New Roman"/>
          <w:szCs w:val="24"/>
        </w:rPr>
      </w:pPr>
    </w:p>
    <w:p w:rsidR="00386054" w:rsidRPr="00572524" w14:paraId="0BA8CDC6"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65EAD568" w14:textId="77777777">
      <w:pPr>
        <w:tabs>
          <w:tab w:val="left" w:pos="-720"/>
        </w:tabs>
        <w:suppressAutoHyphens/>
        <w:rPr>
          <w:rFonts w:ascii="Times New Roman" w:hAnsi="Times New Roman"/>
          <w:szCs w:val="24"/>
        </w:rPr>
      </w:pPr>
    </w:p>
    <w:p w:rsidR="00297C42" w:rsidRPr="0083061C" w:rsidP="00CD40F8" w14:paraId="7D09E49F"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w:t>
      </w:r>
      <w:r w:rsidR="006F7F24">
        <w:rPr>
          <w:rFonts w:ascii="Times New Roman" w:hAnsi="Times New Roman"/>
        </w:rPr>
        <w:t xml:space="preserve">service </w:t>
      </w:r>
      <w:r w:rsidRPr="00CD40F8">
        <w:rPr>
          <w:rFonts w:ascii="Times New Roman" w:hAnsi="Times New Roman"/>
        </w:rPr>
        <w:t xml:space="preserve">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7F94B2E6" w14:textId="77777777">
      <w:pPr>
        <w:tabs>
          <w:tab w:val="left" w:pos="-720"/>
        </w:tabs>
        <w:suppressAutoHyphens/>
        <w:rPr>
          <w:rFonts w:ascii="Times New Roman" w:hAnsi="Times New Roman"/>
          <w:szCs w:val="24"/>
        </w:rPr>
      </w:pPr>
    </w:p>
    <w:p w:rsidR="00386054" w:rsidRPr="00572524" w:rsidP="00BD1325" w14:paraId="06A02D99"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4A020CCA" w14:textId="77777777">
      <w:pPr>
        <w:rPr>
          <w:rFonts w:ascii="Times New Roman" w:hAnsi="Times New Roman"/>
          <w:szCs w:val="24"/>
        </w:rPr>
      </w:pPr>
    </w:p>
    <w:p w:rsidR="00297C42" w:rsidRPr="0083061C" w:rsidP="009A1449" w14:paraId="4BB182CA"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73F35E50" w14:textId="77777777">
      <w:pPr>
        <w:pStyle w:val="EndnoteText"/>
        <w:rPr>
          <w:rFonts w:ascii="Times New Roman" w:hAnsi="Times New Roman"/>
          <w:szCs w:val="24"/>
        </w:rPr>
      </w:pPr>
    </w:p>
    <w:p w:rsidR="00386054" w:rsidRPr="00572524" w14:paraId="5A762895"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1FFD059" w14:textId="77777777">
      <w:pPr>
        <w:tabs>
          <w:tab w:val="left" w:pos="-720"/>
        </w:tabs>
        <w:suppressAutoHyphens/>
        <w:rPr>
          <w:rFonts w:ascii="Times New Roman" w:hAnsi="Times New Roman"/>
          <w:szCs w:val="24"/>
        </w:rPr>
      </w:pPr>
    </w:p>
    <w:p w:rsidR="00297C42" w:rsidRPr="0083061C" w:rsidP="009212F2" w14:paraId="4DE88F3E"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DCC1E1B" w14:textId="77777777">
      <w:pPr>
        <w:tabs>
          <w:tab w:val="left" w:pos="-720"/>
        </w:tabs>
        <w:suppressAutoHyphens/>
        <w:rPr>
          <w:rFonts w:ascii="Times New Roman" w:hAnsi="Times New Roman"/>
          <w:szCs w:val="24"/>
        </w:rPr>
      </w:pPr>
    </w:p>
    <w:p w:rsidR="00386054" w:rsidRPr="00572524" w14:paraId="4AABE7D2"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3FE9406D" w14:textId="77777777">
      <w:pPr>
        <w:tabs>
          <w:tab w:val="left" w:pos="-720"/>
        </w:tabs>
        <w:suppressAutoHyphens/>
        <w:rPr>
          <w:rFonts w:ascii="Times New Roman" w:hAnsi="Times New Roman"/>
          <w:b/>
          <w:szCs w:val="24"/>
        </w:rPr>
      </w:pPr>
    </w:p>
    <w:p w:rsidR="00386054" w:rsidRPr="0027712F" w:rsidP="003C29C2" w14:paraId="725966F8"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6AD01BF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4CCDFE3E"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159F61D3"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1E78923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128D915C"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5C0E404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29C5A78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1EB9EDC5" w14:textId="77777777">
      <w:pPr>
        <w:tabs>
          <w:tab w:val="left" w:pos="-720"/>
        </w:tabs>
        <w:suppressAutoHyphens/>
        <w:rPr>
          <w:rFonts w:ascii="Times New Roman" w:hAnsi="Times New Roman"/>
          <w:szCs w:val="24"/>
        </w:rPr>
      </w:pPr>
    </w:p>
    <w:p w:rsidR="00297C42" w:rsidRPr="0083061C" w:rsidP="009A1449" w14:paraId="5DE369B8" w14:textId="77777777">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785B98CC" w14:textId="77777777">
      <w:pPr>
        <w:tabs>
          <w:tab w:val="left" w:pos="-720"/>
        </w:tabs>
        <w:suppressAutoHyphens/>
        <w:rPr>
          <w:rFonts w:ascii="Times New Roman" w:hAnsi="Times New Roman"/>
          <w:szCs w:val="24"/>
        </w:rPr>
      </w:pPr>
    </w:p>
    <w:p w:rsidR="00386054" w:rsidRPr="00572524" w14:paraId="6D01CBF5"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78FA6DF6" w14:textId="77777777">
      <w:pPr>
        <w:tabs>
          <w:tab w:val="left" w:pos="-720"/>
        </w:tabs>
        <w:suppressAutoHyphens/>
        <w:rPr>
          <w:rStyle w:val="a"/>
          <w:rFonts w:ascii="Times New Roman" w:hAnsi="Times New Roman"/>
          <w:b/>
          <w:szCs w:val="24"/>
        </w:rPr>
      </w:pPr>
    </w:p>
    <w:p w:rsidR="00386054" w:rsidRPr="000A0900" w:rsidP="003C29C2" w14:paraId="3A596F3A" w14:textId="77777777">
      <w:pPr>
        <w:tabs>
          <w:tab w:val="left" w:pos="-720"/>
        </w:tabs>
        <w:suppressAutoHyphens/>
        <w:ind w:left="360"/>
        <w:rPr>
          <w:rStyle w:val="a"/>
          <w:rFonts w:ascii="Times New Roman" w:hAnsi="Times New Roman"/>
          <w:b/>
          <w:bCs/>
          <w:szCs w:val="24"/>
        </w:rPr>
      </w:pPr>
      <w:r w:rsidRPr="000A0900">
        <w:rPr>
          <w:rStyle w:val="a"/>
          <w:rFonts w:ascii="Times New Roman" w:hAnsi="Times New Roman"/>
          <w:b/>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A0900" w14:paraId="140CDD76" w14:textId="77777777">
      <w:pPr>
        <w:tabs>
          <w:tab w:val="left" w:pos="-720"/>
        </w:tabs>
        <w:suppressAutoHyphens/>
        <w:rPr>
          <w:rStyle w:val="a"/>
          <w:rFonts w:ascii="Times New Roman" w:hAnsi="Times New Roman"/>
          <w:b/>
          <w:bCs/>
          <w:szCs w:val="24"/>
        </w:rPr>
      </w:pPr>
    </w:p>
    <w:p w:rsidR="00386054" w:rsidRPr="000A0900" w:rsidP="003C29C2" w14:paraId="4C98C618" w14:textId="77777777">
      <w:pPr>
        <w:tabs>
          <w:tab w:val="left" w:pos="-720"/>
        </w:tabs>
        <w:suppressAutoHyphens/>
        <w:ind w:left="360"/>
        <w:rPr>
          <w:rFonts w:ascii="Times New Roman" w:hAnsi="Times New Roman"/>
          <w:b/>
          <w:bCs/>
          <w:szCs w:val="24"/>
        </w:rPr>
      </w:pPr>
      <w:r w:rsidRPr="000A0900">
        <w:rPr>
          <w:rStyle w:val="a"/>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14:paraId="1BF45279" w14:textId="77777777">
      <w:pPr>
        <w:tabs>
          <w:tab w:val="left" w:pos="-720"/>
        </w:tabs>
        <w:suppressAutoHyphens/>
        <w:rPr>
          <w:rFonts w:ascii="Times New Roman" w:hAnsi="Times New Roman"/>
          <w:szCs w:val="24"/>
        </w:rPr>
      </w:pPr>
    </w:p>
    <w:p w:rsidR="005B1AF2" w:rsidP="005B1AF2" w14:paraId="6C12D0F3" w14:textId="3C09C705">
      <w:pPr>
        <w:tabs>
          <w:tab w:val="left" w:pos="-720"/>
        </w:tabs>
        <w:suppressAutoHyphens/>
        <w:ind w:left="720"/>
        <w:rPr>
          <w:rFonts w:ascii="Times New Roman" w:hAnsi="Times New Roman"/>
        </w:rPr>
      </w:pPr>
      <w:r w:rsidRPr="007B1D42">
        <w:rPr>
          <w:rFonts w:ascii="Times New Roman" w:hAnsi="Times New Roman"/>
        </w:rPr>
        <w:t xml:space="preserve">The 60-day public comment notice was published in the Federal Register </w:t>
      </w:r>
      <w:r w:rsidRPr="007B1D42" w:rsidR="0036070A">
        <w:rPr>
          <w:rFonts w:ascii="Times New Roman" w:hAnsi="Times New Roman"/>
        </w:rPr>
        <w:t>September 11, 2023</w:t>
      </w:r>
      <w:r w:rsidRPr="007B1D42" w:rsidR="00A82E61">
        <w:rPr>
          <w:rFonts w:ascii="Times New Roman" w:hAnsi="Times New Roman"/>
        </w:rPr>
        <w:t>,</w:t>
      </w:r>
      <w:r w:rsidR="007B1D42">
        <w:rPr>
          <w:rFonts w:ascii="Times New Roman" w:hAnsi="Times New Roman"/>
        </w:rPr>
        <w:t xml:space="preserve"> </w:t>
      </w:r>
      <w:r w:rsidRPr="007F1478" w:rsidR="0036070A">
        <w:rPr>
          <w:rFonts w:ascii="Times New Roman" w:hAnsi="Times New Roman"/>
        </w:rPr>
        <w:t>88 FR 62401</w:t>
      </w:r>
      <w:r w:rsidRPr="007B1D42">
        <w:rPr>
          <w:rFonts w:ascii="Times New Roman" w:hAnsi="Times New Roman"/>
        </w:rPr>
        <w:t xml:space="preserve">.  </w:t>
      </w:r>
      <w:r w:rsidRPr="007B1D42" w:rsidR="00EF78D5">
        <w:rPr>
          <w:rFonts w:ascii="Times New Roman" w:hAnsi="Times New Roman"/>
        </w:rPr>
        <w:t>No public</w:t>
      </w:r>
      <w:r w:rsidRPr="007B1D42">
        <w:rPr>
          <w:rFonts w:ascii="Times New Roman" w:hAnsi="Times New Roman"/>
        </w:rPr>
        <w:t xml:space="preserve"> comment</w:t>
      </w:r>
      <w:r w:rsidRPr="007B1D42" w:rsidR="00EF78D5">
        <w:rPr>
          <w:rFonts w:ascii="Times New Roman" w:hAnsi="Times New Roman"/>
        </w:rPr>
        <w:t xml:space="preserve">s </w:t>
      </w:r>
      <w:r w:rsidRPr="007B1D42" w:rsidR="00A82E61">
        <w:rPr>
          <w:rFonts w:ascii="Times New Roman" w:hAnsi="Times New Roman"/>
        </w:rPr>
        <w:t>were</w:t>
      </w:r>
      <w:r w:rsidRPr="007B1D42">
        <w:rPr>
          <w:rFonts w:ascii="Times New Roman" w:hAnsi="Times New Roman"/>
        </w:rPr>
        <w:t xml:space="preserve"> received</w:t>
      </w:r>
      <w:r w:rsidRPr="007B1D42" w:rsidR="00EF78D5">
        <w:rPr>
          <w:rFonts w:ascii="Times New Roman" w:hAnsi="Times New Roman"/>
        </w:rPr>
        <w:t xml:space="preserve"> in response to this notice.</w:t>
      </w:r>
      <w:r w:rsidRPr="007B1D42" w:rsidR="00626BFD">
        <w:rPr>
          <w:rFonts w:ascii="Times New Roman" w:hAnsi="Times New Roman"/>
        </w:rPr>
        <w:t xml:space="preserve"> </w:t>
      </w:r>
    </w:p>
    <w:p w:rsidR="005B1AF2" w14:paraId="3B3ECAD1" w14:textId="77777777">
      <w:pPr>
        <w:tabs>
          <w:tab w:val="left" w:pos="-720"/>
        </w:tabs>
        <w:suppressAutoHyphens/>
        <w:rPr>
          <w:rFonts w:ascii="Times New Roman" w:hAnsi="Times New Roman"/>
        </w:rPr>
      </w:pPr>
    </w:p>
    <w:p w:rsidR="00386054" w:rsidRPr="00572524" w14:paraId="2B34F046" w14:textId="28E6D9D0">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8F28313" w14:textId="77777777">
      <w:pPr>
        <w:tabs>
          <w:tab w:val="left" w:pos="-720"/>
        </w:tabs>
        <w:suppressAutoHyphens/>
        <w:rPr>
          <w:rFonts w:ascii="Times New Roman" w:hAnsi="Times New Roman"/>
          <w:szCs w:val="24"/>
        </w:rPr>
      </w:pPr>
    </w:p>
    <w:p w:rsidR="00297C42" w:rsidRPr="003D5D70" w:rsidP="00297C42" w14:paraId="7A9B3AFA"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3032892C" w14:textId="77777777">
      <w:pPr>
        <w:tabs>
          <w:tab w:val="left" w:pos="-720"/>
        </w:tabs>
        <w:suppressAutoHyphens/>
        <w:rPr>
          <w:rFonts w:ascii="Times New Roman" w:hAnsi="Times New Roman"/>
          <w:b/>
          <w:szCs w:val="24"/>
        </w:rPr>
      </w:pPr>
    </w:p>
    <w:p w:rsidR="00386054" w:rsidRPr="00572524" w14:paraId="1DC53CAC"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32B5443D" w14:textId="77777777">
      <w:pPr>
        <w:tabs>
          <w:tab w:val="left" w:pos="-720"/>
        </w:tabs>
        <w:suppressAutoHyphens/>
        <w:rPr>
          <w:rFonts w:ascii="Times New Roman" w:hAnsi="Times New Roman"/>
          <w:szCs w:val="24"/>
        </w:rPr>
      </w:pPr>
    </w:p>
    <w:p w:rsidR="00C0373B" w:rsidRPr="00C0373B" w:rsidP="00C0373B" w14:paraId="6F07A303" w14:textId="77777777">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00386054" w:rsidRPr="00EF7FF5" w14:paraId="1305958A" w14:textId="77777777">
      <w:pPr>
        <w:tabs>
          <w:tab w:val="left" w:pos="-720"/>
        </w:tabs>
        <w:suppressAutoHyphens/>
        <w:rPr>
          <w:rFonts w:ascii="Times New Roman" w:hAnsi="Times New Roman"/>
          <w:szCs w:val="24"/>
        </w:rPr>
      </w:pPr>
    </w:p>
    <w:p w:rsidR="00386054" w:rsidRPr="00572524" w14:paraId="584694E4"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26CACCCA" w14:textId="77777777">
      <w:pPr>
        <w:pStyle w:val="BodyTextIndent"/>
        <w:rPr>
          <w:rFonts w:ascii="Times New Roman" w:hAnsi="Times New Roman"/>
        </w:rPr>
      </w:pPr>
    </w:p>
    <w:p w:rsidR="00386054" w:rsidRPr="002F32F1" w14:paraId="4D1F32AE" w14:textId="4E3EB0BE">
      <w:pPr>
        <w:tabs>
          <w:tab w:val="left" w:pos="-720"/>
        </w:tabs>
        <w:suppressAutoHyphens/>
        <w:rPr>
          <w:rFonts w:ascii="Times New Roman" w:hAnsi="Times New Roman"/>
          <w:szCs w:val="24"/>
        </w:rPr>
      </w:pPr>
      <w:r w:rsidRPr="002F32F1">
        <w:rPr>
          <w:rStyle w:val="cf01"/>
          <w:rFonts w:ascii="Times New Roman" w:hAnsi="Times New Roman" w:cs="Times New Roman"/>
          <w:color w:val="auto"/>
          <w:sz w:val="24"/>
          <w:szCs w:val="24"/>
        </w:rPr>
        <w:t xml:space="preserve">In general, DOL’s generic clearances under this OMB control number will not contain any questions of a sensitive nature. If DOL identifies a question of a sensitive nature for a specific clearance, </w:t>
      </w:r>
      <w:r w:rsidRPr="002F32F1" w:rsidR="00F103A8">
        <w:rPr>
          <w:rStyle w:val="cf01"/>
          <w:rFonts w:ascii="Times New Roman" w:hAnsi="Times New Roman" w:cs="Times New Roman"/>
          <w:color w:val="auto"/>
          <w:sz w:val="24"/>
          <w:szCs w:val="24"/>
        </w:rPr>
        <w:t>we</w:t>
      </w:r>
      <w:r w:rsidRPr="002F32F1">
        <w:rPr>
          <w:rStyle w:val="cf01"/>
          <w:rFonts w:ascii="Times New Roman" w:hAnsi="Times New Roman" w:cs="Times New Roman"/>
          <w:color w:val="auto"/>
          <w:sz w:val="24"/>
          <w:szCs w:val="24"/>
        </w:rPr>
        <w:t xml:space="preserve"> will discuss this in the clearance request.</w:t>
      </w:r>
    </w:p>
    <w:p w:rsidR="00F30CEE" w:rsidRPr="00EF7FF5" w14:paraId="40E81A1F" w14:textId="77777777">
      <w:pPr>
        <w:tabs>
          <w:tab w:val="left" w:pos="-720"/>
        </w:tabs>
        <w:suppressAutoHyphens/>
        <w:rPr>
          <w:rFonts w:ascii="Times New Roman" w:hAnsi="Times New Roman"/>
          <w:szCs w:val="24"/>
        </w:rPr>
      </w:pPr>
    </w:p>
    <w:p w:rsidR="00386054" w:rsidRPr="00572524" w14:paraId="233EFA18"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420D3499" w14:textId="77777777">
      <w:pPr>
        <w:tabs>
          <w:tab w:val="left" w:pos="-720"/>
        </w:tabs>
        <w:suppressAutoHyphens/>
        <w:rPr>
          <w:rStyle w:val="a"/>
          <w:rFonts w:ascii="Times New Roman" w:hAnsi="Times New Roman"/>
          <w:b/>
          <w:szCs w:val="24"/>
        </w:rPr>
      </w:pPr>
    </w:p>
    <w:p w:rsidR="003D5D70" w:rsidRPr="00572524" w:rsidP="003D5D70" w14:paraId="0FA7AF2C"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572524">
        <w:rPr>
          <w:rStyle w:val="a"/>
          <w:rFonts w:ascii="Times New Roman" w:hAnsi="Times New Roman"/>
          <w:b/>
          <w:szCs w:val="24"/>
        </w:rPr>
        <w:t>third party</w:t>
      </w:r>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2EF7D971"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755D8F33"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214B9EDA" w14:textId="77777777">
      <w:pPr>
        <w:suppressAutoHyphens/>
        <w:rPr>
          <w:rFonts w:ascii="Times New Roman" w:hAnsi="Times New Roman"/>
          <w:szCs w:val="24"/>
        </w:rPr>
      </w:pPr>
    </w:p>
    <w:p w:rsidR="0035309F" w:rsidRPr="00913D44" w:rsidP="00A22BD9" w14:paraId="6D19C678" w14:textId="77777777">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00A22BD9" w:rsidRPr="00913D44" w:rsidP="00A22BD9" w14:paraId="10DFC90E" w14:textId="77777777">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00A22BD9" w:rsidRPr="00913D44" w:rsidP="00A22BD9" w14:paraId="7430E172" w14:textId="77777777">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00A22BD9" w:rsidRPr="00913D44" w:rsidP="003D5D70" w14:paraId="1245B792" w14:textId="7777777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w:t>
      </w:r>
      <w:r w:rsidRPr="00913D44">
        <w:rPr>
          <w:rFonts w:ascii="Times New Roman" w:hAnsi="Times New Roman"/>
        </w:rPr>
        <w:t xml:space="preserve">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0035309F" w:rsidRPr="00913D44" w:rsidP="00BB63CD" w14:paraId="17A017E9" w14:textId="77777777">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0035309F" w:rsidRPr="00913D44" w:rsidP="00BB63CD" w14:paraId="73C1FE23" w14:textId="77777777">
      <w:pPr>
        <w:ind w:left="720"/>
        <w:rPr>
          <w:rFonts w:ascii="Times New Roman" w:hAnsi="Times New Roman"/>
          <w:b/>
        </w:rPr>
      </w:pPr>
    </w:p>
    <w:p w:rsidR="0035309F" w:rsidRPr="00913D44" w:rsidP="0035309F" w14:paraId="743F8344" w14:textId="77777777">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0002637C" w:rsidRPr="00913D44" w:rsidP="0035309F" w14:paraId="439BBFF7" w14:textId="77777777">
      <w:pPr>
        <w:ind w:left="720"/>
        <w:rPr>
          <w:rFonts w:ascii="Times New Roman" w:hAnsi="Times New Roman"/>
          <w:b/>
        </w:rPr>
      </w:pPr>
    </w:p>
    <w:p w:rsidR="0002637C" w:rsidRPr="00913D44" w:rsidP="0035309F" w14:paraId="49202EBC" w14:textId="77777777">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0035309F" w:rsidRPr="00913D44" w:rsidP="00BB63CD" w14:paraId="72ADD17D" w14:textId="77777777">
      <w:pPr>
        <w:ind w:left="720"/>
        <w:rPr>
          <w:rFonts w:ascii="Times New Roman" w:hAnsi="Times New Roman"/>
          <w:b/>
        </w:rPr>
      </w:pPr>
    </w:p>
    <w:p w:rsidR="00E809A4" w:rsidRPr="00913D44" w:rsidP="00BB63CD" w14:paraId="114A9788" w14:textId="77777777">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00BB63CD" w:rsidRPr="00913D44" w:rsidP="003D5D70" w14:paraId="75A3FE44" w14:textId="77777777">
      <w:pPr>
        <w:pStyle w:val="BodyTextIndent"/>
        <w:ind w:left="720"/>
        <w:rPr>
          <w:rFonts w:ascii="Times New Roman" w:hAnsi="Times New Roman"/>
        </w:rPr>
      </w:pPr>
    </w:p>
    <w:tbl>
      <w:tblPr>
        <w:tblW w:w="9350" w:type="dxa"/>
        <w:tblInd w:w="-10" w:type="dxa"/>
        <w:tblCellMar>
          <w:left w:w="0" w:type="dxa"/>
          <w:right w:w="0" w:type="dxa"/>
        </w:tblCellMar>
        <w:tblLook w:val="0000"/>
      </w:tblPr>
      <w:tblGrid>
        <w:gridCol w:w="3016"/>
        <w:gridCol w:w="1523"/>
        <w:gridCol w:w="1363"/>
        <w:gridCol w:w="1151"/>
        <w:gridCol w:w="1301"/>
        <w:gridCol w:w="996"/>
      </w:tblGrid>
      <w:tr w14:paraId="3F3F7B54" w14:textId="77777777" w:rsidTr="00F622BF">
        <w:tblPrEx>
          <w:tblW w:w="9350" w:type="dxa"/>
          <w:tblInd w:w="-10" w:type="dxa"/>
          <w:tblCellMar>
            <w:left w:w="0" w:type="dxa"/>
            <w:right w:w="0" w:type="dxa"/>
          </w:tblCellMar>
          <w:tblLook w:val="0000"/>
        </w:tblPrEx>
        <w:tc>
          <w:tcPr>
            <w:tcW w:w="30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622BF" w:rsidRPr="00913D44" w:rsidP="00EA5328" w14:paraId="2F5E69F2" w14:textId="77777777">
            <w:pPr>
              <w:rPr>
                <w:rFonts w:ascii="Times New Roman" w:hAnsi="Times New Roman"/>
                <w:b/>
                <w:szCs w:val="24"/>
              </w:rPr>
            </w:pPr>
            <w:r w:rsidRPr="00913D44">
              <w:rPr>
                <w:rFonts w:ascii="Times New Roman" w:hAnsi="Times New Roman"/>
                <w:b/>
                <w:szCs w:val="24"/>
              </w:rPr>
              <w:t>Type of Information Collection</w:t>
            </w:r>
          </w:p>
        </w:tc>
        <w:tc>
          <w:tcPr>
            <w:tcW w:w="15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622BF" w:rsidRPr="00913D44" w:rsidP="00EA5328" w14:paraId="54132A7A" w14:textId="77777777">
            <w:pPr>
              <w:jc w:val="center"/>
              <w:rPr>
                <w:rFonts w:ascii="Times New Roman" w:hAnsi="Times New Roman"/>
                <w:b/>
                <w:szCs w:val="24"/>
              </w:rPr>
            </w:pPr>
            <w:r w:rsidRPr="00913D44">
              <w:rPr>
                <w:rFonts w:ascii="Times New Roman" w:hAnsi="Times New Roman"/>
                <w:b/>
                <w:szCs w:val="24"/>
              </w:rPr>
              <w:t>Number of Respondents</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622BF" w:rsidRPr="00913D44" w:rsidP="00EA5328" w14:paraId="7E5161AF"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151" w:type="dxa"/>
            <w:tcBorders>
              <w:top w:val="single" w:sz="8" w:space="0" w:color="auto"/>
              <w:left w:val="nil"/>
              <w:bottom w:val="single" w:sz="8" w:space="0" w:color="auto"/>
              <w:right w:val="single" w:sz="4" w:space="0" w:color="auto"/>
            </w:tcBorders>
          </w:tcPr>
          <w:p w:rsidR="00E910A4" w:rsidRPr="00E910A4" w:rsidP="00E910A4" w14:paraId="131D6ED6" w14:textId="77777777">
            <w:pPr>
              <w:jc w:val="center"/>
              <w:rPr>
                <w:rFonts w:ascii="Times New Roman" w:hAnsi="Times New Roman"/>
                <w:b/>
                <w:szCs w:val="24"/>
              </w:rPr>
            </w:pPr>
          </w:p>
          <w:p w:rsidR="00F622BF" w:rsidRPr="00E910A4" w:rsidP="00E910A4" w14:paraId="6B31CFBF" w14:textId="77777777">
            <w:pPr>
              <w:jc w:val="center"/>
              <w:rPr>
                <w:rFonts w:ascii="Times New Roman" w:hAnsi="Times New Roman"/>
                <w:b/>
                <w:szCs w:val="24"/>
              </w:rPr>
            </w:pPr>
            <w:r w:rsidRPr="00E910A4">
              <w:rPr>
                <w:rFonts w:ascii="Times New Roman" w:hAnsi="Times New Roman"/>
                <w:b/>
                <w:szCs w:val="24"/>
              </w:rPr>
              <w:t>Total No. of Responses</w:t>
            </w:r>
          </w:p>
        </w:tc>
        <w:tc>
          <w:tcPr>
            <w:tcW w:w="1301" w:type="dxa"/>
            <w:tcBorders>
              <w:top w:val="single" w:sz="8" w:space="0" w:color="auto"/>
              <w:left w:val="single" w:sz="4" w:space="0" w:color="auto"/>
              <w:bottom w:val="single" w:sz="8" w:space="0" w:color="auto"/>
              <w:right w:val="single" w:sz="8" w:space="0" w:color="auto"/>
            </w:tcBorders>
            <w:vAlign w:val="center"/>
          </w:tcPr>
          <w:p w:rsidR="00F622BF" w:rsidRPr="00913D44" w:rsidP="00EA5328" w14:paraId="70FBC194" w14:textId="77777777">
            <w:pPr>
              <w:jc w:val="center"/>
              <w:rPr>
                <w:rFonts w:ascii="Times New Roman" w:hAnsi="Times New Roman"/>
                <w:b/>
                <w:szCs w:val="24"/>
              </w:rPr>
            </w:pPr>
            <w:r w:rsidRPr="00913D44">
              <w:rPr>
                <w:rFonts w:ascii="Times New Roman" w:hAnsi="Times New Roman"/>
                <w:b/>
                <w:szCs w:val="24"/>
              </w:rPr>
              <w:t>Hours per response</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622BF" w:rsidRPr="00913D44" w:rsidP="00EA5328" w14:paraId="053E39E3" w14:textId="77777777">
            <w:pPr>
              <w:jc w:val="center"/>
              <w:rPr>
                <w:rFonts w:ascii="Times New Roman" w:hAnsi="Times New Roman"/>
                <w:b/>
                <w:szCs w:val="24"/>
              </w:rPr>
            </w:pPr>
            <w:r w:rsidRPr="00913D44">
              <w:rPr>
                <w:rFonts w:ascii="Times New Roman" w:hAnsi="Times New Roman"/>
                <w:b/>
                <w:szCs w:val="24"/>
              </w:rPr>
              <w:t>Total Burden hours</w:t>
            </w:r>
          </w:p>
        </w:tc>
      </w:tr>
      <w:tr w14:paraId="54DAF4C3" w14:textId="77777777" w:rsidTr="00EB3D17">
        <w:tblPrEx>
          <w:tblW w:w="9350" w:type="dxa"/>
          <w:tblInd w:w="-10" w:type="dxa"/>
          <w:tblCellMar>
            <w:left w:w="0" w:type="dxa"/>
            <w:right w:w="0" w:type="dxa"/>
          </w:tblCellMar>
          <w:tblLook w:val="0000"/>
        </w:tblPrEx>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A95" w:rsidRPr="00913D44" w:rsidP="00D63A95" w14:paraId="016B1265" w14:textId="77777777">
            <w:pPr>
              <w:rPr>
                <w:rFonts w:ascii="Times New Roman" w:hAnsi="Times New Roman"/>
                <w:szCs w:val="24"/>
              </w:rPr>
            </w:pPr>
            <w:r w:rsidRPr="00913D44">
              <w:rPr>
                <w:rFonts w:ascii="Times New Roman" w:hAnsi="Times New Roman"/>
                <w:szCs w:val="24"/>
              </w:rPr>
              <w:t>Customer Interviews</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D63A95" w:rsidRPr="00913D44" w:rsidP="00EB3D17" w14:paraId="03AD6E1C"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tcPr>
          <w:p w:rsidR="00D63A95" w:rsidRPr="00913D44" w:rsidP="00D63A95" w14:paraId="2F65CB3E" w14:textId="77777777">
            <w:pPr>
              <w:jc w:val="center"/>
              <w:rPr>
                <w:rFonts w:ascii="Times New Roman" w:hAnsi="Times New Roman"/>
                <w:szCs w:val="24"/>
              </w:rPr>
            </w:pPr>
            <w:r w:rsidRPr="00913D44">
              <w:rPr>
                <w:rFonts w:ascii="Times New Roman" w:hAnsi="Times New Roman"/>
                <w:szCs w:val="24"/>
              </w:rPr>
              <w:t>1</w:t>
            </w:r>
          </w:p>
        </w:tc>
        <w:tc>
          <w:tcPr>
            <w:tcW w:w="1151" w:type="dxa"/>
            <w:tcBorders>
              <w:top w:val="nil"/>
              <w:left w:val="nil"/>
              <w:bottom w:val="single" w:sz="8" w:space="0" w:color="auto"/>
              <w:right w:val="single" w:sz="4" w:space="0" w:color="auto"/>
            </w:tcBorders>
          </w:tcPr>
          <w:p w:rsidR="00D63A95" w:rsidRPr="00913D44" w:rsidP="00C22384" w14:paraId="6F32C8CB" w14:textId="77777777">
            <w:pPr>
              <w:jc w:val="center"/>
              <w:rPr>
                <w:rFonts w:ascii="Times New Roman" w:hAnsi="Times New Roman"/>
                <w:szCs w:val="24"/>
              </w:rPr>
            </w:pPr>
            <w:r>
              <w:rPr>
                <w:rFonts w:ascii="Times New Roman" w:hAnsi="Times New Roman"/>
                <w:szCs w:val="24"/>
              </w:rPr>
              <w:t>500</w:t>
            </w:r>
          </w:p>
        </w:tc>
        <w:tc>
          <w:tcPr>
            <w:tcW w:w="1301" w:type="dxa"/>
            <w:tcBorders>
              <w:top w:val="nil"/>
              <w:left w:val="single" w:sz="4" w:space="0" w:color="auto"/>
              <w:bottom w:val="single" w:sz="8" w:space="0" w:color="auto"/>
              <w:right w:val="single" w:sz="8" w:space="0" w:color="auto"/>
            </w:tcBorders>
            <w:vAlign w:val="center"/>
          </w:tcPr>
          <w:p w:rsidR="00C23052" w:rsidP="00C33C0E" w14:paraId="0A4E084D" w14:textId="77777777">
            <w:pPr>
              <w:jc w:val="center"/>
              <w:rPr>
                <w:rFonts w:ascii="Times New Roman" w:hAnsi="Times New Roman"/>
                <w:szCs w:val="24"/>
              </w:rPr>
            </w:pPr>
            <w:r>
              <w:rPr>
                <w:rFonts w:ascii="Times New Roman" w:hAnsi="Times New Roman"/>
                <w:szCs w:val="24"/>
              </w:rPr>
              <w:t>.5</w:t>
            </w:r>
            <w:r w:rsidR="00051742">
              <w:rPr>
                <w:rFonts w:ascii="Times New Roman" w:hAnsi="Times New Roman"/>
                <w:szCs w:val="24"/>
              </w:rPr>
              <w:t>0</w:t>
            </w:r>
          </w:p>
          <w:p w:rsidR="00D63A95" w:rsidRPr="00913D44" w:rsidP="00C33C0E" w14:paraId="6EA12718" w14:textId="77777777">
            <w:pPr>
              <w:jc w:val="center"/>
              <w:rPr>
                <w:rFonts w:ascii="Times New Roman" w:hAnsi="Times New Roman"/>
                <w:szCs w:val="24"/>
              </w:rPr>
            </w:pPr>
            <w:r>
              <w:rPr>
                <w:rFonts w:ascii="Times New Roman" w:hAnsi="Times New Roman"/>
                <w:szCs w:val="24"/>
              </w:rPr>
              <w:t>(</w:t>
            </w:r>
            <w:r w:rsidRPr="00913D44">
              <w:rPr>
                <w:rFonts w:ascii="Times New Roman" w:hAnsi="Times New Roman"/>
                <w:szCs w:val="24"/>
              </w:rPr>
              <w:t>30/60</w:t>
            </w:r>
            <w:r>
              <w:rPr>
                <w:rFonts w:ascii="Times New Roman" w:hAnsi="Times New Roman"/>
                <w:szCs w:val="24"/>
              </w:rPr>
              <w:t>)</w:t>
            </w:r>
          </w:p>
        </w:tc>
        <w:tc>
          <w:tcPr>
            <w:tcW w:w="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63A95" w:rsidRPr="00913D44" w:rsidP="001054A1" w14:paraId="3765BB9B"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14:paraId="4B5FB90C" w14:textId="77777777" w:rsidTr="00EB3D17">
        <w:tblPrEx>
          <w:tblW w:w="9350" w:type="dxa"/>
          <w:tblInd w:w="-10" w:type="dxa"/>
          <w:tblCellMar>
            <w:left w:w="0" w:type="dxa"/>
            <w:right w:w="0" w:type="dxa"/>
          </w:tblCellMar>
          <w:tblLook w:val="0000"/>
        </w:tblPrEx>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A95" w:rsidRPr="00913D44" w:rsidP="00D63A95" w14:paraId="6EECB34E" w14:textId="77777777">
            <w:pPr>
              <w:rPr>
                <w:rFonts w:ascii="Times New Roman" w:hAnsi="Times New Roman"/>
                <w:szCs w:val="24"/>
              </w:rPr>
            </w:pPr>
            <w:r w:rsidRPr="00913D44">
              <w:rPr>
                <w:rFonts w:ascii="Times New Roman" w:hAnsi="Times New Roman"/>
                <w:szCs w:val="24"/>
              </w:rPr>
              <w:t>Focus Groups</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D63A95" w:rsidRPr="00913D44" w:rsidP="00D63A95" w14:paraId="09A7A8B5"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tcPr>
          <w:p w:rsidR="00D63A95" w:rsidRPr="00913D44" w:rsidP="00D63A95" w14:paraId="7FFFD47C" w14:textId="77777777">
            <w:pPr>
              <w:jc w:val="center"/>
              <w:rPr>
                <w:rFonts w:ascii="Times New Roman" w:hAnsi="Times New Roman"/>
                <w:szCs w:val="24"/>
              </w:rPr>
            </w:pPr>
            <w:r w:rsidRPr="00913D44">
              <w:rPr>
                <w:rFonts w:ascii="Times New Roman" w:hAnsi="Times New Roman"/>
                <w:szCs w:val="24"/>
              </w:rPr>
              <w:t>1</w:t>
            </w:r>
          </w:p>
        </w:tc>
        <w:tc>
          <w:tcPr>
            <w:tcW w:w="1151" w:type="dxa"/>
            <w:tcBorders>
              <w:top w:val="nil"/>
              <w:left w:val="nil"/>
              <w:bottom w:val="single" w:sz="8" w:space="0" w:color="auto"/>
              <w:right w:val="single" w:sz="4" w:space="0" w:color="auto"/>
            </w:tcBorders>
          </w:tcPr>
          <w:p w:rsidR="00D63A95" w:rsidRPr="00913D44" w:rsidP="00315604" w14:paraId="148783BF" w14:textId="77777777">
            <w:pPr>
              <w:jc w:val="center"/>
              <w:rPr>
                <w:rFonts w:ascii="Times New Roman" w:hAnsi="Times New Roman"/>
                <w:szCs w:val="24"/>
              </w:rPr>
            </w:pPr>
            <w:r>
              <w:rPr>
                <w:rFonts w:ascii="Times New Roman" w:hAnsi="Times New Roman"/>
                <w:szCs w:val="24"/>
              </w:rPr>
              <w:t>450</w:t>
            </w:r>
          </w:p>
        </w:tc>
        <w:tc>
          <w:tcPr>
            <w:tcW w:w="1301" w:type="dxa"/>
            <w:tcBorders>
              <w:top w:val="nil"/>
              <w:left w:val="single" w:sz="4" w:space="0" w:color="auto"/>
              <w:bottom w:val="single" w:sz="8" w:space="0" w:color="auto"/>
              <w:right w:val="single" w:sz="8" w:space="0" w:color="auto"/>
            </w:tcBorders>
            <w:vAlign w:val="center"/>
          </w:tcPr>
          <w:p w:rsidR="0074756F" w:rsidP="00D63A95" w14:paraId="2DD6030A" w14:textId="77777777">
            <w:pPr>
              <w:jc w:val="center"/>
              <w:rPr>
                <w:rFonts w:ascii="Times New Roman" w:hAnsi="Times New Roman"/>
                <w:szCs w:val="24"/>
              </w:rPr>
            </w:pPr>
            <w:r>
              <w:rPr>
                <w:rFonts w:ascii="Times New Roman" w:hAnsi="Times New Roman"/>
                <w:szCs w:val="24"/>
              </w:rPr>
              <w:t>1.5</w:t>
            </w:r>
          </w:p>
          <w:p w:rsidR="00D63A95" w:rsidRPr="00913D44" w:rsidP="00D63A95" w14:paraId="063F6982" w14:textId="77777777">
            <w:pPr>
              <w:jc w:val="center"/>
              <w:rPr>
                <w:rFonts w:ascii="Times New Roman" w:hAnsi="Times New Roman"/>
                <w:szCs w:val="24"/>
              </w:rPr>
            </w:pPr>
            <w:r>
              <w:rPr>
                <w:rFonts w:ascii="Times New Roman" w:hAnsi="Times New Roman"/>
                <w:szCs w:val="24"/>
              </w:rPr>
              <w:t>(</w:t>
            </w:r>
            <w:r w:rsidRPr="00913D44">
              <w:rPr>
                <w:rFonts w:ascii="Times New Roman" w:hAnsi="Times New Roman"/>
                <w:szCs w:val="24"/>
              </w:rPr>
              <w:t>90/60</w:t>
            </w:r>
            <w:r>
              <w:rPr>
                <w:rFonts w:ascii="Times New Roman" w:hAnsi="Times New Roman"/>
                <w:szCs w:val="24"/>
              </w:rPr>
              <w:t>)</w:t>
            </w:r>
          </w:p>
        </w:tc>
        <w:tc>
          <w:tcPr>
            <w:tcW w:w="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63A95" w:rsidRPr="00913D44" w:rsidP="00D63A95" w14:paraId="49BF4FA8"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14:paraId="343CC944" w14:textId="77777777" w:rsidTr="00EB3D17">
        <w:tblPrEx>
          <w:tblW w:w="9350" w:type="dxa"/>
          <w:tblInd w:w="-10" w:type="dxa"/>
          <w:tblCellMar>
            <w:left w:w="0" w:type="dxa"/>
            <w:right w:w="0" w:type="dxa"/>
          </w:tblCellMar>
          <w:tblLook w:val="0000"/>
        </w:tblPrEx>
        <w:tc>
          <w:tcPr>
            <w:tcW w:w="30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3A95" w:rsidRPr="00913D44" w:rsidP="00D63A95" w14:paraId="324AD31B" w14:textId="77777777">
            <w:pPr>
              <w:rPr>
                <w:rFonts w:ascii="Times New Roman" w:hAnsi="Times New Roman"/>
                <w:szCs w:val="24"/>
              </w:rPr>
            </w:pPr>
            <w:r w:rsidRPr="00913D44">
              <w:rPr>
                <w:rFonts w:ascii="Times New Roman" w:hAnsi="Times New Roman"/>
                <w:szCs w:val="24"/>
              </w:rPr>
              <w:t>Feedback Survey</w:t>
            </w:r>
          </w:p>
        </w:tc>
        <w:tc>
          <w:tcPr>
            <w:tcW w:w="152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63A95" w:rsidRPr="00913D44" w:rsidP="00D63A95" w14:paraId="7B91932A" w14:textId="77777777">
            <w:pPr>
              <w:jc w:val="right"/>
              <w:rPr>
                <w:rFonts w:ascii="Times New Roman" w:hAnsi="Times New Roman"/>
                <w:szCs w:val="24"/>
              </w:rPr>
            </w:pPr>
            <w:r w:rsidRPr="00913D44">
              <w:rPr>
                <w:rFonts w:ascii="Times New Roman" w:hAnsi="Times New Roman"/>
                <w:szCs w:val="24"/>
              </w:rPr>
              <w:t>2,000,000</w:t>
            </w:r>
          </w:p>
        </w:tc>
        <w:tc>
          <w:tcPr>
            <w:tcW w:w="13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63A95" w:rsidRPr="00913D44" w:rsidP="00D63A95" w14:paraId="1AC7A2BA" w14:textId="77777777">
            <w:pPr>
              <w:jc w:val="center"/>
              <w:rPr>
                <w:rFonts w:ascii="Times New Roman" w:hAnsi="Times New Roman"/>
                <w:szCs w:val="24"/>
              </w:rPr>
            </w:pPr>
            <w:r w:rsidRPr="00913D44">
              <w:rPr>
                <w:rFonts w:ascii="Times New Roman" w:hAnsi="Times New Roman"/>
                <w:szCs w:val="24"/>
              </w:rPr>
              <w:t>1</w:t>
            </w:r>
          </w:p>
        </w:tc>
        <w:tc>
          <w:tcPr>
            <w:tcW w:w="1151" w:type="dxa"/>
            <w:tcBorders>
              <w:top w:val="single" w:sz="4" w:space="0" w:color="auto"/>
              <w:left w:val="nil"/>
              <w:bottom w:val="single" w:sz="8" w:space="0" w:color="auto"/>
              <w:right w:val="single" w:sz="4" w:space="0" w:color="auto"/>
            </w:tcBorders>
          </w:tcPr>
          <w:p w:rsidR="00D63A95" w:rsidRPr="00913D44" w:rsidP="00315604" w14:paraId="77BA85C5" w14:textId="77777777">
            <w:pPr>
              <w:jc w:val="center"/>
              <w:rPr>
                <w:rFonts w:ascii="Times New Roman" w:hAnsi="Times New Roman"/>
                <w:szCs w:val="24"/>
              </w:rPr>
            </w:pPr>
            <w:r>
              <w:rPr>
                <w:rFonts w:ascii="Times New Roman" w:hAnsi="Times New Roman"/>
                <w:szCs w:val="24"/>
              </w:rPr>
              <w:t>2,000,000</w:t>
            </w:r>
          </w:p>
        </w:tc>
        <w:tc>
          <w:tcPr>
            <w:tcW w:w="1301" w:type="dxa"/>
            <w:tcBorders>
              <w:top w:val="single" w:sz="4" w:space="0" w:color="auto"/>
              <w:left w:val="single" w:sz="4" w:space="0" w:color="auto"/>
              <w:bottom w:val="single" w:sz="8" w:space="0" w:color="auto"/>
              <w:right w:val="single" w:sz="8" w:space="0" w:color="auto"/>
            </w:tcBorders>
            <w:vAlign w:val="center"/>
          </w:tcPr>
          <w:p w:rsidR="000C12C6" w:rsidP="00D63A95" w14:paraId="49AACC5A" w14:textId="77777777">
            <w:pPr>
              <w:jc w:val="center"/>
              <w:rPr>
                <w:rFonts w:ascii="Times New Roman" w:hAnsi="Times New Roman"/>
                <w:szCs w:val="24"/>
              </w:rPr>
            </w:pPr>
            <w:r>
              <w:rPr>
                <w:rFonts w:ascii="Times New Roman" w:hAnsi="Times New Roman"/>
                <w:szCs w:val="24"/>
              </w:rPr>
              <w:t>.05</w:t>
            </w:r>
          </w:p>
          <w:p w:rsidR="00D63A95" w:rsidRPr="00913D44" w:rsidP="00D63A95" w14:paraId="386E8737" w14:textId="77777777">
            <w:pPr>
              <w:jc w:val="center"/>
              <w:rPr>
                <w:rFonts w:ascii="Times New Roman" w:hAnsi="Times New Roman"/>
                <w:szCs w:val="24"/>
              </w:rPr>
            </w:pPr>
            <w:r>
              <w:rPr>
                <w:rFonts w:ascii="Times New Roman" w:hAnsi="Times New Roman"/>
                <w:szCs w:val="24"/>
              </w:rPr>
              <w:t>(</w:t>
            </w:r>
            <w:r w:rsidRPr="00913D44">
              <w:rPr>
                <w:rFonts w:ascii="Times New Roman" w:hAnsi="Times New Roman"/>
                <w:szCs w:val="24"/>
              </w:rPr>
              <w:t>3/60</w:t>
            </w:r>
            <w:r>
              <w:rPr>
                <w:rFonts w:ascii="Times New Roman" w:hAnsi="Times New Roman"/>
                <w:szCs w:val="24"/>
              </w:rPr>
              <w:t>)</w:t>
            </w:r>
          </w:p>
        </w:tc>
        <w:tc>
          <w:tcPr>
            <w:tcW w:w="9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63A95" w:rsidRPr="00913D44" w:rsidP="00D63A95" w14:paraId="03461FC0"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14:paraId="5DF9B0E3" w14:textId="77777777" w:rsidTr="00EB3D17">
        <w:tblPrEx>
          <w:tblW w:w="9350" w:type="dxa"/>
          <w:tblInd w:w="-10" w:type="dxa"/>
          <w:tblCellMar>
            <w:left w:w="0" w:type="dxa"/>
            <w:right w:w="0" w:type="dxa"/>
          </w:tblCellMar>
          <w:tblLook w:val="0000"/>
        </w:tblPrEx>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A95" w:rsidRPr="00913D44" w:rsidP="00D63A95" w14:paraId="1B01F83F" w14:textId="77777777">
            <w:pPr>
              <w:rPr>
                <w:rFonts w:ascii="Times New Roman" w:hAnsi="Times New Roman"/>
                <w:szCs w:val="24"/>
              </w:rPr>
            </w:pPr>
            <w:r w:rsidRPr="00913D44">
              <w:rPr>
                <w:rFonts w:ascii="Times New Roman" w:hAnsi="Times New Roman"/>
                <w:szCs w:val="24"/>
              </w:rPr>
              <w:t>User Testing (Rapid Feedback)</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D63A95" w:rsidP="00D63A95" w14:paraId="359D3864" w14:textId="77777777">
            <w:pPr>
              <w:jc w:val="right"/>
              <w:rPr>
                <w:rFonts w:ascii="Times New Roman" w:hAnsi="Times New Roman"/>
                <w:szCs w:val="24"/>
              </w:rPr>
            </w:pPr>
          </w:p>
          <w:p w:rsidR="00D63A95" w:rsidRPr="00913D44" w:rsidP="00D63A95" w14:paraId="6B89344F" w14:textId="77777777">
            <w:pPr>
              <w:jc w:val="right"/>
              <w:rPr>
                <w:rFonts w:ascii="Times New Roman" w:hAnsi="Times New Roman"/>
                <w:szCs w:val="24"/>
              </w:rPr>
            </w:pPr>
            <w:r w:rsidRPr="00913D44">
              <w:rPr>
                <w:rFonts w:ascii="Times New Roman" w:hAnsi="Times New Roman"/>
                <w:szCs w:val="24"/>
              </w:rPr>
              <w:t>400</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tcPr>
          <w:p w:rsidR="00D63A95" w:rsidRPr="00913D44" w:rsidP="00D63A95" w14:paraId="09A8AEB1" w14:textId="77777777">
            <w:pPr>
              <w:jc w:val="center"/>
              <w:rPr>
                <w:rFonts w:ascii="Times New Roman" w:hAnsi="Times New Roman"/>
                <w:szCs w:val="24"/>
              </w:rPr>
            </w:pPr>
            <w:r w:rsidRPr="00913D44">
              <w:rPr>
                <w:rFonts w:ascii="Times New Roman" w:hAnsi="Times New Roman"/>
                <w:szCs w:val="24"/>
              </w:rPr>
              <w:t>1</w:t>
            </w:r>
          </w:p>
        </w:tc>
        <w:tc>
          <w:tcPr>
            <w:tcW w:w="1151" w:type="dxa"/>
            <w:tcBorders>
              <w:top w:val="nil"/>
              <w:left w:val="nil"/>
              <w:bottom w:val="single" w:sz="8" w:space="0" w:color="auto"/>
              <w:right w:val="single" w:sz="4" w:space="0" w:color="auto"/>
            </w:tcBorders>
          </w:tcPr>
          <w:p w:rsidR="00D63A95" w:rsidP="002206BD" w14:paraId="274276AC" w14:textId="77777777">
            <w:pPr>
              <w:jc w:val="center"/>
              <w:rPr>
                <w:rFonts w:ascii="Times New Roman" w:hAnsi="Times New Roman"/>
                <w:szCs w:val="24"/>
              </w:rPr>
            </w:pPr>
          </w:p>
          <w:p w:rsidR="00D63A95" w:rsidRPr="00913D44" w:rsidP="002206BD" w14:paraId="3BCF6B11" w14:textId="77777777">
            <w:pPr>
              <w:jc w:val="center"/>
              <w:rPr>
                <w:rFonts w:ascii="Times New Roman" w:hAnsi="Times New Roman"/>
                <w:szCs w:val="24"/>
              </w:rPr>
            </w:pPr>
            <w:r>
              <w:rPr>
                <w:rFonts w:ascii="Times New Roman" w:hAnsi="Times New Roman"/>
                <w:szCs w:val="24"/>
              </w:rPr>
              <w:t>400</w:t>
            </w:r>
          </w:p>
        </w:tc>
        <w:tc>
          <w:tcPr>
            <w:tcW w:w="1301" w:type="dxa"/>
            <w:tcBorders>
              <w:top w:val="nil"/>
              <w:left w:val="single" w:sz="4" w:space="0" w:color="auto"/>
              <w:bottom w:val="single" w:sz="8" w:space="0" w:color="auto"/>
              <w:right w:val="single" w:sz="8" w:space="0" w:color="auto"/>
            </w:tcBorders>
            <w:vAlign w:val="center"/>
          </w:tcPr>
          <w:p w:rsidR="00D63A95" w:rsidP="00D63A95" w14:paraId="1F4B4910" w14:textId="77777777">
            <w:pPr>
              <w:jc w:val="center"/>
              <w:rPr>
                <w:rFonts w:ascii="Times New Roman" w:hAnsi="Times New Roman"/>
                <w:szCs w:val="24"/>
              </w:rPr>
            </w:pPr>
          </w:p>
          <w:p w:rsidR="00BA7481" w:rsidP="002206BD" w14:paraId="263EB525" w14:textId="77777777">
            <w:pPr>
              <w:jc w:val="center"/>
              <w:rPr>
                <w:rFonts w:ascii="Times New Roman" w:hAnsi="Times New Roman"/>
                <w:szCs w:val="24"/>
              </w:rPr>
            </w:pPr>
            <w:r>
              <w:rPr>
                <w:rFonts w:ascii="Times New Roman" w:hAnsi="Times New Roman"/>
                <w:szCs w:val="24"/>
              </w:rPr>
              <w:t>.25</w:t>
            </w:r>
          </w:p>
          <w:p w:rsidR="00D63A95" w:rsidRPr="00913D44" w:rsidP="00BA7481" w14:paraId="4EB8071C" w14:textId="77777777">
            <w:pPr>
              <w:jc w:val="center"/>
              <w:rPr>
                <w:rFonts w:ascii="Times New Roman" w:hAnsi="Times New Roman"/>
                <w:szCs w:val="24"/>
              </w:rPr>
            </w:pPr>
            <w:r>
              <w:rPr>
                <w:rFonts w:ascii="Times New Roman" w:hAnsi="Times New Roman"/>
                <w:szCs w:val="24"/>
              </w:rPr>
              <w:t>(</w:t>
            </w:r>
            <w:r w:rsidRPr="00913D44">
              <w:rPr>
                <w:rFonts w:ascii="Times New Roman" w:hAnsi="Times New Roman"/>
                <w:szCs w:val="24"/>
              </w:rPr>
              <w:t>15/60</w:t>
            </w:r>
            <w:r>
              <w:rPr>
                <w:rFonts w:ascii="Times New Roman" w:hAnsi="Times New Roman"/>
                <w:szCs w:val="24"/>
              </w:rPr>
              <w:t>)</w:t>
            </w:r>
          </w:p>
        </w:tc>
        <w:tc>
          <w:tcPr>
            <w:tcW w:w="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63A95" w:rsidRPr="00913D44" w:rsidP="00D63A95" w14:paraId="04F59FA2"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71D0B3CF" w14:textId="77777777" w:rsidTr="00EB3D17">
        <w:tblPrEx>
          <w:tblW w:w="9350" w:type="dxa"/>
          <w:tblInd w:w="-10" w:type="dxa"/>
          <w:tblCellMar>
            <w:left w:w="0" w:type="dxa"/>
            <w:right w:w="0" w:type="dxa"/>
          </w:tblCellMar>
          <w:tblLook w:val="0000"/>
        </w:tblPrEx>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A95" w:rsidRPr="00913D44" w:rsidP="00D63A95" w14:paraId="4F03E6A8" w14:textId="77777777">
            <w:pPr>
              <w:rPr>
                <w:rFonts w:ascii="Times New Roman" w:hAnsi="Times New Roman"/>
                <w:bCs/>
                <w:szCs w:val="24"/>
              </w:rPr>
            </w:pPr>
            <w:r w:rsidRPr="00913D44">
              <w:rPr>
                <w:rFonts w:ascii="Times New Roman" w:hAnsi="Times New Roman"/>
                <w:bCs/>
                <w:szCs w:val="24"/>
              </w:rPr>
              <w:t>User Testing (Deep Dive)</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D63A95" w:rsidRPr="00913D44" w:rsidP="00D63A95" w14:paraId="63B48DFA" w14:textId="77777777">
            <w:pPr>
              <w:jc w:val="right"/>
              <w:rPr>
                <w:rFonts w:ascii="Times New Roman" w:hAnsi="Times New Roman"/>
                <w:szCs w:val="24"/>
              </w:rPr>
            </w:pPr>
            <w:r w:rsidRPr="00913D44">
              <w:rPr>
                <w:rFonts w:ascii="Times New Roman" w:hAnsi="Times New Roman"/>
                <w:szCs w:val="24"/>
              </w:rPr>
              <w:t>200</w:t>
            </w: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tcPr>
          <w:p w:rsidR="00D63A95" w:rsidRPr="00913D44" w:rsidP="00D63A95" w14:paraId="20B78C95" w14:textId="77777777">
            <w:pPr>
              <w:jc w:val="center"/>
              <w:rPr>
                <w:rFonts w:ascii="Times New Roman" w:hAnsi="Times New Roman"/>
                <w:szCs w:val="24"/>
              </w:rPr>
            </w:pPr>
            <w:r w:rsidRPr="00913D44">
              <w:rPr>
                <w:rFonts w:ascii="Times New Roman" w:hAnsi="Times New Roman"/>
                <w:szCs w:val="24"/>
              </w:rPr>
              <w:t>1</w:t>
            </w:r>
          </w:p>
        </w:tc>
        <w:tc>
          <w:tcPr>
            <w:tcW w:w="1151" w:type="dxa"/>
            <w:tcBorders>
              <w:top w:val="nil"/>
              <w:left w:val="nil"/>
              <w:bottom w:val="single" w:sz="8" w:space="0" w:color="auto"/>
              <w:right w:val="single" w:sz="4" w:space="0" w:color="auto"/>
            </w:tcBorders>
          </w:tcPr>
          <w:p w:rsidR="00D63A95" w:rsidRPr="00913D44" w:rsidP="00921A3B" w14:paraId="3C990506" w14:textId="77777777">
            <w:pPr>
              <w:jc w:val="center"/>
              <w:rPr>
                <w:rFonts w:ascii="Times New Roman" w:hAnsi="Times New Roman"/>
                <w:bCs/>
                <w:szCs w:val="24"/>
              </w:rPr>
            </w:pPr>
            <w:r>
              <w:rPr>
                <w:rFonts w:ascii="Times New Roman" w:hAnsi="Times New Roman"/>
                <w:bCs/>
                <w:szCs w:val="24"/>
              </w:rPr>
              <w:t>200</w:t>
            </w:r>
          </w:p>
        </w:tc>
        <w:tc>
          <w:tcPr>
            <w:tcW w:w="1301" w:type="dxa"/>
            <w:tcBorders>
              <w:top w:val="nil"/>
              <w:left w:val="single" w:sz="4" w:space="0" w:color="auto"/>
              <w:bottom w:val="single" w:sz="8" w:space="0" w:color="auto"/>
              <w:right w:val="single" w:sz="8" w:space="0" w:color="auto"/>
            </w:tcBorders>
          </w:tcPr>
          <w:p w:rsidR="000C12C6" w:rsidP="000C12C6" w14:paraId="5562894D" w14:textId="77777777">
            <w:pPr>
              <w:jc w:val="center"/>
              <w:rPr>
                <w:rFonts w:ascii="Times New Roman" w:hAnsi="Times New Roman"/>
                <w:szCs w:val="24"/>
              </w:rPr>
            </w:pPr>
            <w:r>
              <w:rPr>
                <w:rFonts w:ascii="Times New Roman" w:hAnsi="Times New Roman"/>
                <w:szCs w:val="24"/>
              </w:rPr>
              <w:t>.5</w:t>
            </w:r>
            <w:r w:rsidR="00051742">
              <w:rPr>
                <w:rFonts w:ascii="Times New Roman" w:hAnsi="Times New Roman"/>
                <w:szCs w:val="24"/>
              </w:rPr>
              <w:t>0</w:t>
            </w:r>
          </w:p>
          <w:p w:rsidR="00D63A95" w:rsidRPr="00913D44" w:rsidP="000C12C6" w14:paraId="403A2BCF" w14:textId="77777777">
            <w:pPr>
              <w:jc w:val="center"/>
              <w:rPr>
                <w:rFonts w:ascii="Times New Roman" w:hAnsi="Times New Roman"/>
                <w:bCs/>
                <w:szCs w:val="24"/>
              </w:rPr>
            </w:pPr>
            <w:r>
              <w:rPr>
                <w:rFonts w:ascii="Times New Roman" w:hAnsi="Times New Roman"/>
                <w:szCs w:val="24"/>
              </w:rPr>
              <w:t>(</w:t>
            </w:r>
            <w:r w:rsidRPr="00913D44">
              <w:rPr>
                <w:rFonts w:ascii="Times New Roman" w:hAnsi="Times New Roman"/>
                <w:szCs w:val="24"/>
              </w:rPr>
              <w:t>30/60</w:t>
            </w:r>
            <w:r>
              <w:rPr>
                <w:rFonts w:ascii="Times New Roman" w:hAnsi="Times New Roman"/>
                <w:szCs w:val="24"/>
              </w:rPr>
              <w:t>)</w:t>
            </w:r>
          </w:p>
        </w:tc>
        <w:tc>
          <w:tcPr>
            <w:tcW w:w="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63A95" w:rsidRPr="00913D44" w:rsidP="00D63A95" w14:paraId="12AF8010"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48BDD5F8" w14:textId="77777777" w:rsidTr="00EB3D17">
        <w:tblPrEx>
          <w:tblW w:w="9350" w:type="dxa"/>
          <w:tblInd w:w="-10" w:type="dxa"/>
          <w:tblCellMar>
            <w:left w:w="0" w:type="dxa"/>
            <w:right w:w="0" w:type="dxa"/>
          </w:tblCellMar>
          <w:tblLook w:val="0000"/>
        </w:tblPrEx>
        <w:tc>
          <w:tcPr>
            <w:tcW w:w="3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63A95" w:rsidRPr="00913D44" w:rsidP="00D63A95" w14:paraId="6E8F0FC5" w14:textId="77777777">
            <w:pPr>
              <w:rPr>
                <w:rFonts w:ascii="Times New Roman" w:hAnsi="Times New Roman"/>
                <w:szCs w:val="24"/>
              </w:rPr>
            </w:pPr>
            <w:r w:rsidRPr="00913D44">
              <w:rPr>
                <w:rFonts w:ascii="Times New Roman" w:hAnsi="Times New Roman"/>
                <w:b/>
                <w:bCs/>
                <w:szCs w:val="24"/>
              </w:rPr>
              <w:t>Total</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D63A95" w:rsidRPr="00913D44" w:rsidP="00D63A95" w14:paraId="015CF746" w14:textId="77777777">
            <w:pPr>
              <w:jc w:val="right"/>
              <w:rPr>
                <w:rFonts w:ascii="Times New Roman" w:hAnsi="Times New Roman"/>
                <w:szCs w:val="24"/>
              </w:rPr>
            </w:pPr>
            <w:r w:rsidRPr="00913D44">
              <w:rPr>
                <w:rFonts w:ascii="Times New Roman" w:hAnsi="Times New Roman"/>
                <w:szCs w:val="24"/>
              </w:rPr>
              <w:t>2,001,550</w:t>
            </w:r>
          </w:p>
        </w:tc>
        <w:tc>
          <w:tcPr>
            <w:tcW w:w="1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63A95" w:rsidRPr="00913D44" w:rsidP="00D63A95" w14:paraId="6686F1E6" w14:textId="77777777">
            <w:pPr>
              <w:jc w:val="center"/>
              <w:rPr>
                <w:rFonts w:ascii="Times New Roman" w:hAnsi="Times New Roman"/>
                <w:szCs w:val="24"/>
              </w:rPr>
            </w:pPr>
            <w:r w:rsidRPr="00913D44">
              <w:rPr>
                <w:rFonts w:ascii="Times New Roman" w:hAnsi="Times New Roman"/>
                <w:szCs w:val="24"/>
              </w:rPr>
              <w:t>NA</w:t>
            </w:r>
          </w:p>
        </w:tc>
        <w:tc>
          <w:tcPr>
            <w:tcW w:w="1151" w:type="dxa"/>
            <w:tcBorders>
              <w:top w:val="nil"/>
              <w:left w:val="nil"/>
              <w:bottom w:val="single" w:sz="8" w:space="0" w:color="auto"/>
              <w:right w:val="single" w:sz="4" w:space="0" w:color="auto"/>
            </w:tcBorders>
          </w:tcPr>
          <w:p w:rsidR="00D63A95" w:rsidRPr="00913D44" w:rsidP="005946CF" w14:paraId="61FAEA9B" w14:textId="77777777">
            <w:pPr>
              <w:jc w:val="center"/>
              <w:rPr>
                <w:rFonts w:ascii="Times New Roman" w:hAnsi="Times New Roman"/>
                <w:bCs/>
                <w:szCs w:val="24"/>
              </w:rPr>
            </w:pPr>
            <w:r>
              <w:rPr>
                <w:rFonts w:ascii="Times New Roman" w:hAnsi="Times New Roman"/>
                <w:bCs/>
                <w:szCs w:val="24"/>
              </w:rPr>
              <w:t>2,001,550</w:t>
            </w:r>
          </w:p>
        </w:tc>
        <w:tc>
          <w:tcPr>
            <w:tcW w:w="1301" w:type="dxa"/>
            <w:tcBorders>
              <w:top w:val="nil"/>
              <w:left w:val="single" w:sz="4" w:space="0" w:color="auto"/>
              <w:bottom w:val="single" w:sz="8" w:space="0" w:color="auto"/>
              <w:right w:val="single" w:sz="8" w:space="0" w:color="auto"/>
            </w:tcBorders>
          </w:tcPr>
          <w:p w:rsidR="00D63A95" w:rsidRPr="00913D44" w:rsidP="00D63A95" w14:paraId="720730BF" w14:textId="77777777">
            <w:pPr>
              <w:jc w:val="center"/>
              <w:rPr>
                <w:rFonts w:ascii="Times New Roman" w:hAnsi="Times New Roman"/>
                <w:bCs/>
                <w:szCs w:val="24"/>
              </w:rPr>
            </w:pPr>
            <w:r w:rsidRPr="00913D44">
              <w:rPr>
                <w:rFonts w:ascii="Times New Roman" w:hAnsi="Times New Roman"/>
                <w:bCs/>
                <w:szCs w:val="24"/>
              </w:rPr>
              <w:t>NA</w:t>
            </w:r>
          </w:p>
        </w:tc>
        <w:tc>
          <w:tcPr>
            <w:tcW w:w="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63A95" w:rsidRPr="00ED241A" w:rsidP="00D63A95" w14:paraId="18E5F392" w14:textId="77777777">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00386054" w:rsidRPr="00EF7FF5" w14:paraId="35C67232" w14:textId="77777777">
      <w:pPr>
        <w:tabs>
          <w:tab w:val="left" w:pos="-720"/>
        </w:tabs>
        <w:suppressAutoHyphens/>
        <w:rPr>
          <w:rFonts w:ascii="Times New Roman" w:hAnsi="Times New Roman"/>
          <w:szCs w:val="24"/>
        </w:rPr>
      </w:pPr>
    </w:p>
    <w:p w:rsidR="00386054" w:rsidRPr="00D5290B" w14:paraId="1917BF9C"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3F1E762D" w14:textId="77777777">
      <w:pPr>
        <w:tabs>
          <w:tab w:val="left" w:pos="-720"/>
        </w:tabs>
        <w:suppressAutoHyphens/>
        <w:rPr>
          <w:rFonts w:ascii="Times New Roman" w:hAnsi="Times New Roman"/>
          <w:szCs w:val="24"/>
        </w:rPr>
      </w:pPr>
    </w:p>
    <w:p w:rsidR="00386054" w:rsidRPr="00D5290B" w:rsidP="003C29C2" w14:paraId="0EA86029"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6C7DC721"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304D2CB5"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1BB8EF00" w14:textId="77777777">
      <w:pPr>
        <w:tabs>
          <w:tab w:val="left" w:pos="-720"/>
        </w:tabs>
        <w:suppressAutoHyphens/>
        <w:rPr>
          <w:rFonts w:ascii="Times New Roman" w:hAnsi="Times New Roman"/>
          <w:szCs w:val="24"/>
        </w:rPr>
      </w:pPr>
    </w:p>
    <w:p w:rsidR="00297C42" w:rsidP="00297C42" w14:paraId="20B5A546" w14:textId="77777777">
      <w:pPr>
        <w:ind w:left="720"/>
        <w:rPr>
          <w:rFonts w:ascii="Times New Roman" w:hAnsi="Times New Roman"/>
        </w:rPr>
      </w:pPr>
      <w:r>
        <w:rPr>
          <w:rFonts w:ascii="Times New Roman" w:hAnsi="Times New Roman"/>
        </w:rPr>
        <w:t>The agency does not anticipate</w:t>
      </w:r>
      <w:r w:rsidR="0035309F">
        <w:rPr>
          <w:rFonts w:ascii="Times New Roman" w:hAnsi="Times New Roman"/>
        </w:rPr>
        <w:t xml:space="preserve"> costs for respondents. </w:t>
      </w:r>
    </w:p>
    <w:p w:rsidR="0035309F" w:rsidP="00297C42" w14:paraId="739232D6" w14:textId="77777777">
      <w:pPr>
        <w:ind w:left="720"/>
        <w:rPr>
          <w:rFonts w:ascii="Times New Roman" w:hAnsi="Times New Roman"/>
        </w:rPr>
      </w:pPr>
    </w:p>
    <w:p w:rsidR="00386054" w:rsidRPr="00F45FED" w14:paraId="4AB535B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24DAEF52" w14:textId="77777777">
      <w:pPr>
        <w:tabs>
          <w:tab w:val="left" w:pos="-720"/>
        </w:tabs>
        <w:suppressAutoHyphens/>
        <w:ind w:left="720"/>
        <w:rPr>
          <w:rFonts w:ascii="Times New Roman" w:hAnsi="Times New Roman"/>
        </w:rPr>
      </w:pPr>
    </w:p>
    <w:p w:rsidR="00386054" w:rsidP="00F45FED" w14:paraId="7E1BF2F4" w14:textId="77777777">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11447680" w14:textId="77777777">
      <w:pPr>
        <w:tabs>
          <w:tab w:val="left" w:pos="-720"/>
        </w:tabs>
        <w:suppressAutoHyphens/>
        <w:ind w:left="720"/>
        <w:rPr>
          <w:rFonts w:ascii="Times New Roman" w:hAnsi="Times New Roman"/>
          <w:szCs w:val="24"/>
        </w:rPr>
      </w:pPr>
    </w:p>
    <w:p w:rsidR="00386054" w:rsidRPr="00F45FED" w14:paraId="0A82C9B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6815AAE" w14:textId="77777777">
      <w:pPr>
        <w:tabs>
          <w:tab w:val="left" w:pos="-720"/>
        </w:tabs>
        <w:suppressAutoHyphens/>
        <w:rPr>
          <w:rFonts w:ascii="Times New Roman" w:hAnsi="Times New Roman"/>
          <w:szCs w:val="24"/>
        </w:rPr>
      </w:pPr>
    </w:p>
    <w:p w:rsidR="00FE4DD6" w:rsidRPr="00AC1FA8" w:rsidP="00425F9A" w14:paraId="3B809FF3" w14:textId="77777777">
      <w:pPr>
        <w:ind w:left="720"/>
        <w:rPr>
          <w:rFonts w:ascii="Times New Roman" w:hAnsi="Times New Roman"/>
        </w:rPr>
      </w:pPr>
      <w:r>
        <w:rPr>
          <w:rFonts w:ascii="Times New Roman" w:hAnsi="Times New Roman"/>
        </w:rPr>
        <w:t xml:space="preserve">The Agency has </w:t>
      </w:r>
      <w:r w:rsidR="00777BB9">
        <w:rPr>
          <w:rFonts w:ascii="Times New Roman" w:hAnsi="Times New Roman"/>
        </w:rPr>
        <w:t>increased</w:t>
      </w:r>
      <w:r>
        <w:rPr>
          <w:rFonts w:ascii="Times New Roman" w:hAnsi="Times New Roman"/>
        </w:rPr>
        <w:t xml:space="preserve"> burden hours</w:t>
      </w:r>
      <w:r w:rsidR="00777BB9">
        <w:rPr>
          <w:rFonts w:ascii="Times New Roman" w:hAnsi="Times New Roman"/>
        </w:rPr>
        <w:t xml:space="preserve"> from to 10</w:t>
      </w:r>
      <w:r w:rsidR="009710ED">
        <w:rPr>
          <w:rFonts w:ascii="Times New Roman" w:hAnsi="Times New Roman"/>
        </w:rPr>
        <w:t>1,1</w:t>
      </w:r>
      <w:r w:rsidR="00777BB9">
        <w:rPr>
          <w:rFonts w:ascii="Times New Roman" w:hAnsi="Times New Roman"/>
        </w:rPr>
        <w:t xml:space="preserve">25 </w:t>
      </w:r>
      <w:r w:rsidR="00BB72D7">
        <w:rPr>
          <w:rFonts w:ascii="Times New Roman" w:hAnsi="Times New Roman"/>
        </w:rPr>
        <w:t xml:space="preserve">to 101,663 </w:t>
      </w:r>
      <w:r w:rsidR="00777BB9">
        <w:rPr>
          <w:rFonts w:ascii="Times New Roman" w:hAnsi="Times New Roman"/>
        </w:rPr>
        <w:t>due to an increase in responses</w:t>
      </w:r>
      <w:r w:rsidR="009710ED">
        <w:rPr>
          <w:rFonts w:ascii="Times New Roman" w:hAnsi="Times New Roman"/>
        </w:rPr>
        <w:t xml:space="preserve"> and more frequent u</w:t>
      </w:r>
      <w:r w:rsidR="00634BD4">
        <w:rPr>
          <w:rFonts w:ascii="Times New Roman" w:hAnsi="Times New Roman"/>
        </w:rPr>
        <w:t>tilization</w:t>
      </w:r>
      <w:r w:rsidR="009710ED">
        <w:rPr>
          <w:rFonts w:ascii="Times New Roman" w:hAnsi="Times New Roman"/>
        </w:rPr>
        <w:t xml:space="preserve"> of this generic </w:t>
      </w:r>
      <w:r w:rsidR="00B5058C">
        <w:rPr>
          <w:rFonts w:ascii="Times New Roman" w:hAnsi="Times New Roman"/>
        </w:rPr>
        <w:t>collection</w:t>
      </w:r>
      <w:r w:rsidR="009710ED">
        <w:rPr>
          <w:rFonts w:ascii="Times New Roman" w:hAnsi="Times New Roman"/>
        </w:rPr>
        <w:t>.</w:t>
      </w:r>
      <w:r w:rsidR="00777BB9">
        <w:rPr>
          <w:rFonts w:ascii="Times New Roman" w:hAnsi="Times New Roman"/>
        </w:rPr>
        <w:t xml:space="preserve"> </w:t>
      </w:r>
    </w:p>
    <w:p w:rsidR="00386054" w:rsidRPr="00EF7FF5" w14:paraId="508505D8" w14:textId="77777777">
      <w:pPr>
        <w:tabs>
          <w:tab w:val="left" w:pos="-720"/>
        </w:tabs>
        <w:suppressAutoHyphens/>
        <w:rPr>
          <w:rFonts w:ascii="Times New Roman" w:hAnsi="Times New Roman"/>
          <w:szCs w:val="24"/>
        </w:rPr>
      </w:pPr>
    </w:p>
    <w:p w:rsidR="00386054" w:rsidRPr="00F45FED" w14:paraId="1A3DFDC5"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573D4149" w14:textId="77777777">
      <w:pPr>
        <w:tabs>
          <w:tab w:val="left" w:pos="-720"/>
        </w:tabs>
        <w:suppressAutoHyphens/>
        <w:rPr>
          <w:rFonts w:ascii="Times New Roman" w:hAnsi="Times New Roman"/>
          <w:szCs w:val="24"/>
        </w:rPr>
      </w:pPr>
    </w:p>
    <w:p w:rsidR="00F45FED" w:rsidRPr="00F45FED" w:rsidP="00297C42" w14:paraId="63FE7BBD" w14:textId="77777777">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P="00297C42" w14:paraId="34DDE2EB" w14:textId="77777777">
      <w:pPr>
        <w:ind w:left="720"/>
        <w:rPr>
          <w:rFonts w:ascii="Times New Roman" w:hAnsi="Times New Roman"/>
          <w:b/>
        </w:rPr>
      </w:pPr>
    </w:p>
    <w:p w:rsidR="00786680" w:rsidP="00297C42" w14:paraId="3F57225E" w14:textId="77777777">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0CCE578E" w14:textId="77777777">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6301892C" w14:textId="77777777">
      <w:pPr>
        <w:ind w:left="720"/>
        <w:rPr>
          <w:rFonts w:ascii="Times New Roman" w:hAnsi="Times New Roman"/>
          <w:i/>
        </w:rPr>
      </w:pPr>
    </w:p>
    <w:p w:rsidR="00D5290B" w:rsidRPr="00D5290B" w:rsidP="00D5290B" w14:paraId="4CF84BBA" w14:textId="77777777">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6C7E0A3D"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3A5BC70A"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DEF8E4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1A32ADE9" w14:textId="77777777">
      <w:pPr>
        <w:ind w:left="720"/>
        <w:rPr>
          <w:rFonts w:ascii="Times New Roman" w:hAnsi="Times New Roman"/>
          <w:i/>
        </w:rPr>
      </w:pPr>
      <w:r w:rsidRPr="00D5290B">
        <w:rPr>
          <w:rFonts w:ascii="Times New Roman" w:hAnsi="Times New Roman"/>
          <w:i/>
        </w:rPr>
        <w:t xml:space="preserve">the way a </w:t>
      </w:r>
      <w:r w:rsidRPr="00D5290B">
        <w:rPr>
          <w:rFonts w:ascii="Times New Roman" w:hAnsi="Times New Roman"/>
          <w:i/>
        </w:rPr>
        <w:t>Government</w:t>
      </w:r>
      <w:r w:rsidRPr="00D5290B">
        <w:rPr>
          <w:rFonts w:ascii="Times New Roman" w:hAnsi="Times New Roman"/>
          <w:i/>
        </w:rPr>
        <w:t xml:space="preserve"> program is meant to be navigated, accessed, or used. It might</w:t>
      </w:r>
    </w:p>
    <w:p w:rsidR="00D5290B" w:rsidRPr="00D5290B" w:rsidP="00D5290B" w14:paraId="25469565"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1FDDFDB0"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225A130B"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7499591F" w14:textId="77777777">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9FCE915" w14:textId="77777777">
      <w:pPr>
        <w:ind w:left="720"/>
        <w:rPr>
          <w:rFonts w:ascii="Times New Roman" w:hAnsi="Times New Roman"/>
          <w:b/>
        </w:rPr>
      </w:pPr>
    </w:p>
    <w:p w:rsidR="00786680" w:rsidP="00297C42" w14:paraId="368696FB" w14:textId="77777777">
      <w:pPr>
        <w:ind w:left="720"/>
        <w:rPr>
          <w:rFonts w:ascii="Times New Roman" w:hAnsi="Times New Roman"/>
        </w:rPr>
      </w:pPr>
      <w:r w:rsidRPr="00F45FED">
        <w:rPr>
          <w:rFonts w:ascii="Times New Roman" w:hAnsi="Times New Roman"/>
          <w:b/>
        </w:rPr>
        <w:t>Customer Feedback:</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645AF88B" w14:textId="77777777">
      <w:pPr>
        <w:ind w:left="720"/>
        <w:rPr>
          <w:rFonts w:ascii="Times New Roman" w:hAnsi="Times New Roman"/>
        </w:rPr>
      </w:pPr>
    </w:p>
    <w:p w:rsidR="00786680" w:rsidP="00297C42" w14:paraId="10FDD2C7" w14:textId="77777777">
      <w:pPr>
        <w:ind w:left="720"/>
        <w:rPr>
          <w:rFonts w:ascii="Times New Roman" w:hAnsi="Times New Roman"/>
        </w:rPr>
      </w:pPr>
      <w:r>
        <w:rPr>
          <w:rFonts w:ascii="Times New Roman" w:hAnsi="Times New Roman"/>
        </w:rPr>
        <w:t>This data will include:</w:t>
      </w:r>
    </w:p>
    <w:p w:rsidR="00786680" w:rsidP="00786680" w14:paraId="748BCD71"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32556E4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12734D04"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6C5E5C08"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7AFD86FA"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B30308F"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AC3176" w:rsidP="00AC3176" w14:paraId="1DCF9FB2" w14:textId="77777777">
      <w:pPr>
        <w:rPr>
          <w:rFonts w:ascii="Times New Roman" w:hAnsi="Times New Roman"/>
        </w:rPr>
      </w:pPr>
    </w:p>
    <w:p w:rsidR="00AC3176" w:rsidRPr="00AC3176" w:rsidP="00AC3176" w14:paraId="412E2DB4"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239C3B84" w14:textId="77777777">
      <w:pPr>
        <w:rPr>
          <w:rFonts w:ascii="Times New Roman" w:hAnsi="Times New Roman"/>
        </w:rPr>
      </w:pPr>
    </w:p>
    <w:p w:rsidR="00297C42" w:rsidRPr="0083061C" w:rsidP="00572524" w14:paraId="3BA40AB9" w14:textId="77777777">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00386054" w:rsidRPr="00297C42" w14:paraId="1F3C37E5" w14:textId="77777777">
      <w:pPr>
        <w:tabs>
          <w:tab w:val="left" w:pos="-720"/>
        </w:tabs>
        <w:suppressAutoHyphens/>
        <w:rPr>
          <w:rFonts w:ascii="Times New Roman" w:hAnsi="Times New Roman"/>
          <w:szCs w:val="24"/>
        </w:rPr>
      </w:pPr>
    </w:p>
    <w:p w:rsidR="00386054" w:rsidRPr="00572524" w14:paraId="64391A1D"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7DABC723" w14:textId="77777777">
      <w:pPr>
        <w:tabs>
          <w:tab w:val="left" w:pos="-720"/>
        </w:tabs>
        <w:suppressAutoHyphens/>
        <w:rPr>
          <w:rFonts w:ascii="Times New Roman" w:hAnsi="Times New Roman"/>
          <w:szCs w:val="24"/>
        </w:rPr>
      </w:pPr>
    </w:p>
    <w:p w:rsidR="00B81EAB" w:rsidRPr="0083061C" w:rsidP="00425F9A" w14:paraId="42038C8A"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1D3369AB" w14:textId="77777777">
      <w:pPr>
        <w:tabs>
          <w:tab w:val="left" w:pos="-720"/>
        </w:tabs>
        <w:suppressAutoHyphens/>
        <w:rPr>
          <w:rFonts w:ascii="Times New Roman" w:hAnsi="Times New Roman"/>
          <w:szCs w:val="24"/>
        </w:rPr>
      </w:pPr>
    </w:p>
    <w:p w:rsidR="00386054" w:rsidRPr="00572524" w14:paraId="58698F4D"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64AB5011" w14:textId="77777777">
      <w:pPr>
        <w:tabs>
          <w:tab w:val="left" w:pos="-720"/>
        </w:tabs>
        <w:suppressAutoHyphens/>
        <w:rPr>
          <w:rStyle w:val="a"/>
          <w:rFonts w:ascii="Times New Roman" w:hAnsi="Times New Roman"/>
          <w:szCs w:val="24"/>
        </w:rPr>
      </w:pPr>
    </w:p>
    <w:p w:rsidR="00B81EAB" w:rsidRPr="0083061C" w:rsidP="00425F9A" w14:paraId="1B2B86E0"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w:t>
      </w:r>
      <w:r w:rsidR="00AA6805">
        <w:rPr>
          <w:rFonts w:ascii="Times New Roman" w:hAnsi="Times New Roman"/>
        </w:rPr>
        <w:t xml:space="preserve"> statement.   </w:t>
      </w:r>
    </w:p>
    <w:p w:rsidR="00B81EAB" w:rsidRPr="00EF7FF5" w14:paraId="6FE20C06" w14:textId="77777777">
      <w:pPr>
        <w:tabs>
          <w:tab w:val="left" w:pos="-720"/>
        </w:tabs>
        <w:suppressAutoHyphens/>
        <w:rPr>
          <w:rFonts w:ascii="Times New Roman" w:hAnsi="Times New Roman"/>
          <w:szCs w:val="24"/>
        </w:rPr>
      </w:pPr>
    </w:p>
    <w:sectPr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E78EC" w14:paraId="775024A0" w14:textId="77777777">
      <w:pPr>
        <w:spacing w:line="20" w:lineRule="exact"/>
      </w:pPr>
    </w:p>
  </w:endnote>
  <w:endnote w:type="continuationSeparator" w:id="1">
    <w:p w:rsidR="00FE78EC" w14:paraId="26671DD2" w14:textId="77777777">
      <w:r>
        <w:t xml:space="preserve"> </w:t>
      </w:r>
    </w:p>
  </w:endnote>
  <w:endnote w:type="continuationNotice" w:id="2">
    <w:p w:rsidR="00FE78EC" w14:paraId="75271BA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2427705" w14:textId="77777777">
    <w:pPr>
      <w:spacing w:before="140" w:line="100" w:lineRule="exact"/>
      <w:rPr>
        <w:sz w:val="10"/>
      </w:rPr>
    </w:pPr>
  </w:p>
  <w:p w:rsidR="00386054" w14:paraId="5ADCEEBB" w14:textId="77777777">
    <w:pPr>
      <w:tabs>
        <w:tab w:val="left" w:pos="0"/>
      </w:tabs>
      <w:suppressAutoHyphens/>
    </w:pPr>
  </w:p>
  <w:p w:rsidR="00386054" w14:paraId="68BF55B2"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095AA3">
                            <w:fldChar w:fldCharType="begin"/>
                          </w:r>
                          <w:r w:rsidR="00095AA3">
                            <w:instrText>page \* arabic</w:instrText>
                          </w:r>
                          <w:r w:rsidR="00095AA3">
                            <w:fldChar w:fldCharType="separate"/>
                          </w:r>
                          <w:r w:rsidR="00AA6805">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7237E026" w14:textId="77777777">
                    <w:pPr>
                      <w:tabs>
                        <w:tab w:val="center" w:pos="4650"/>
                      </w:tabs>
                      <w:suppressAutoHyphens/>
                      <w:jc w:val="both"/>
                    </w:pPr>
                    <w:r>
                      <w:tab/>
                    </w:r>
                    <w:r w:rsidR="00095AA3">
                      <w:fldChar w:fldCharType="begin"/>
                    </w:r>
                    <w:r w:rsidR="00095AA3">
                      <w:instrText>page \* arabic</w:instrText>
                    </w:r>
                    <w:r w:rsidR="00095AA3">
                      <w:fldChar w:fldCharType="separate"/>
                    </w:r>
                    <w:r w:rsidR="00AA6805">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78EC" w14:paraId="58A1BC27" w14:textId="77777777">
      <w:r>
        <w:separator/>
      </w:r>
    </w:p>
  </w:footnote>
  <w:footnote w:type="continuationSeparator" w:id="1">
    <w:p w:rsidR="00FE78EC" w14:paraId="7DC0F9B8" w14:textId="77777777">
      <w:r>
        <w:continuationSeparator/>
      </w:r>
    </w:p>
  </w:footnote>
  <w:footnote w:id="2">
    <w:p w:rsidR="00386054" w14:paraId="23A98268"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38FC886E" w14:textId="77777777">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F11" w:rsidP="002F2F11" w14:paraId="3315CE6A" w14:textId="77777777">
    <w:pPr>
      <w:pStyle w:val="Header"/>
      <w:rPr>
        <w:rFonts w:ascii="Times New Roman" w:hAnsi="Times New Roman"/>
        <w:sz w:val="20"/>
      </w:rPr>
    </w:pPr>
    <w:r>
      <w:rPr>
        <w:rFonts w:ascii="Times New Roman" w:hAnsi="Times New Roman"/>
        <w:sz w:val="20"/>
      </w:rPr>
      <w:t xml:space="preserve">OMB Control Number: </w:t>
    </w:r>
    <w:r w:rsidRPr="00F622BF">
      <w:rPr>
        <w:rFonts w:ascii="Times New Roman" w:hAnsi="Times New Roman"/>
        <w:sz w:val="20"/>
      </w:rPr>
      <w:t xml:space="preserve"> 12</w:t>
    </w:r>
    <w:r w:rsidR="0094556A">
      <w:rPr>
        <w:rFonts w:ascii="Times New Roman" w:hAnsi="Times New Roman"/>
        <w:sz w:val="20"/>
      </w:rPr>
      <w:t>25</w:t>
    </w:r>
    <w:r w:rsidRPr="00F622BF">
      <w:rPr>
        <w:rFonts w:ascii="Times New Roman" w:hAnsi="Times New Roman"/>
        <w:sz w:val="20"/>
      </w:rPr>
      <w:t>-0</w:t>
    </w:r>
    <w:r>
      <w:rPr>
        <w:rFonts w:ascii="Times New Roman" w:hAnsi="Times New Roman"/>
        <w:sz w:val="20"/>
      </w:rPr>
      <w:t>093</w:t>
    </w:r>
  </w:p>
  <w:p w:rsidR="002F2F11" w:rsidP="002F2F11" w14:paraId="669C7905" w14:textId="77777777">
    <w:pPr>
      <w:pStyle w:val="Header"/>
      <w:rPr>
        <w:rFonts w:ascii="Times New Roman" w:hAnsi="Times New Roman"/>
        <w:sz w:val="20"/>
      </w:rPr>
    </w:pPr>
    <w:r>
      <w:rPr>
        <w:rFonts w:ascii="Times New Roman" w:hAnsi="Times New Roman"/>
        <w:sz w:val="20"/>
      </w:rPr>
      <w:t>OMB Expiration Date:  2/29/24</w:t>
    </w:r>
  </w:p>
  <w:p w:rsidR="002F2F11" w:rsidP="002F2F11" w14:paraId="1BDB9DB8" w14:textId="77777777">
    <w:pPr>
      <w:pStyle w:val="Header"/>
      <w:rPr>
        <w:rFonts w:ascii="Times New Roman" w:hAnsi="Times New Roman"/>
        <w:sz w:val="20"/>
      </w:rPr>
    </w:pPr>
    <w:r w:rsidRPr="002F2F11">
      <w:rPr>
        <w:rFonts w:ascii="Times New Roman" w:hAnsi="Times New Roman"/>
        <w:sz w:val="20"/>
      </w:rPr>
      <w:t>Improving Customer Experience (OMB Circular A-11, Section 280 Implementation) for the Department of Labor (DOL)</w:t>
    </w:r>
  </w:p>
  <w:p w:rsidR="00DE7122" w:rsidRPr="0096787B" w14:paraId="533E5AB5" w14:textId="77777777">
    <w:pPr>
      <w:pStyle w:val="Header"/>
      <w:rPr>
        <w:rFonts w:ascii="Times New Roman" w:hAnsi="Times New Roman"/>
        <w:sz w:val="20"/>
      </w:rPr>
    </w:pPr>
    <w:r w:rsidRPr="0096787B">
      <w:rPr>
        <w:rFonts w:ascii="Times New Roman" w:hAnsi="Times New Roman"/>
        <w:sz w:val="20"/>
      </w:rPr>
      <w:tab/>
    </w:r>
  </w:p>
  <w:p w:rsidR="00386054" w:rsidRPr="00386054" w14:paraId="1A2ABACE" w14:textId="77777777">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2967210">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080597132">
    <w:abstractNumId w:val="9"/>
  </w:num>
  <w:num w:numId="3" w16cid:durableId="2040691920">
    <w:abstractNumId w:val="6"/>
  </w:num>
  <w:num w:numId="4" w16cid:durableId="854728977">
    <w:abstractNumId w:val="15"/>
  </w:num>
  <w:num w:numId="5" w16cid:durableId="1419401307">
    <w:abstractNumId w:val="1"/>
  </w:num>
  <w:num w:numId="6" w16cid:durableId="722365772">
    <w:abstractNumId w:val="3"/>
  </w:num>
  <w:num w:numId="7" w16cid:durableId="279803217">
    <w:abstractNumId w:val="11"/>
  </w:num>
  <w:num w:numId="8" w16cid:durableId="2024016806">
    <w:abstractNumId w:val="10"/>
  </w:num>
  <w:num w:numId="9" w16cid:durableId="513501631">
    <w:abstractNumId w:val="13"/>
  </w:num>
  <w:num w:numId="10" w16cid:durableId="697853964">
    <w:abstractNumId w:val="17"/>
  </w:num>
  <w:num w:numId="11" w16cid:durableId="685519282">
    <w:abstractNumId w:val="7"/>
  </w:num>
  <w:num w:numId="12" w16cid:durableId="1894541601">
    <w:abstractNumId w:val="14"/>
  </w:num>
  <w:num w:numId="13" w16cid:durableId="958727674">
    <w:abstractNumId w:val="5"/>
  </w:num>
  <w:num w:numId="14" w16cid:durableId="1133476095">
    <w:abstractNumId w:val="4"/>
  </w:num>
  <w:num w:numId="15" w16cid:durableId="728840572">
    <w:abstractNumId w:val="8"/>
  </w:num>
  <w:num w:numId="16" w16cid:durableId="2071072959">
    <w:abstractNumId w:val="16"/>
  </w:num>
  <w:num w:numId="17" w16cid:durableId="1834253673">
    <w:abstractNumId w:val="18"/>
  </w:num>
  <w:num w:numId="18" w16cid:durableId="429280522">
    <w:abstractNumId w:val="12"/>
  </w:num>
  <w:num w:numId="19" w16cid:durableId="1245067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1742"/>
    <w:rsid w:val="00053043"/>
    <w:rsid w:val="00073050"/>
    <w:rsid w:val="000909E0"/>
    <w:rsid w:val="00095AA3"/>
    <w:rsid w:val="000A0900"/>
    <w:rsid w:val="000B14D8"/>
    <w:rsid w:val="000B3DEB"/>
    <w:rsid w:val="000B7179"/>
    <w:rsid w:val="000C12C6"/>
    <w:rsid w:val="000E2638"/>
    <w:rsid w:val="000E592D"/>
    <w:rsid w:val="000F0B1A"/>
    <w:rsid w:val="000F175B"/>
    <w:rsid w:val="001054A1"/>
    <w:rsid w:val="001172C5"/>
    <w:rsid w:val="0014500F"/>
    <w:rsid w:val="00152287"/>
    <w:rsid w:val="00153F20"/>
    <w:rsid w:val="001634D4"/>
    <w:rsid w:val="001743A5"/>
    <w:rsid w:val="00181D65"/>
    <w:rsid w:val="0018279C"/>
    <w:rsid w:val="001839A4"/>
    <w:rsid w:val="00184F57"/>
    <w:rsid w:val="0019742E"/>
    <w:rsid w:val="001B609E"/>
    <w:rsid w:val="001C2CED"/>
    <w:rsid w:val="001D7524"/>
    <w:rsid w:val="001F54C1"/>
    <w:rsid w:val="00201DCB"/>
    <w:rsid w:val="00207148"/>
    <w:rsid w:val="002130F6"/>
    <w:rsid w:val="002151DE"/>
    <w:rsid w:val="002206BD"/>
    <w:rsid w:val="00232212"/>
    <w:rsid w:val="00237C58"/>
    <w:rsid w:val="00240947"/>
    <w:rsid w:val="0024181C"/>
    <w:rsid w:val="002473CE"/>
    <w:rsid w:val="0025064E"/>
    <w:rsid w:val="00260B5F"/>
    <w:rsid w:val="00263EC8"/>
    <w:rsid w:val="0027077A"/>
    <w:rsid w:val="00271C21"/>
    <w:rsid w:val="002725BA"/>
    <w:rsid w:val="0027569A"/>
    <w:rsid w:val="0027712F"/>
    <w:rsid w:val="0027749F"/>
    <w:rsid w:val="002819D8"/>
    <w:rsid w:val="002834D6"/>
    <w:rsid w:val="002841A9"/>
    <w:rsid w:val="00287BEA"/>
    <w:rsid w:val="002903E3"/>
    <w:rsid w:val="00294BEF"/>
    <w:rsid w:val="00294CFE"/>
    <w:rsid w:val="002968EE"/>
    <w:rsid w:val="00297C42"/>
    <w:rsid w:val="00297C5E"/>
    <w:rsid w:val="002A2495"/>
    <w:rsid w:val="002A3AA8"/>
    <w:rsid w:val="002B0412"/>
    <w:rsid w:val="002B0A95"/>
    <w:rsid w:val="002B106F"/>
    <w:rsid w:val="002F2F11"/>
    <w:rsid w:val="002F32F1"/>
    <w:rsid w:val="002F3537"/>
    <w:rsid w:val="00311AA2"/>
    <w:rsid w:val="00314769"/>
    <w:rsid w:val="00315604"/>
    <w:rsid w:val="0032493C"/>
    <w:rsid w:val="00326C47"/>
    <w:rsid w:val="0033524A"/>
    <w:rsid w:val="00335AF9"/>
    <w:rsid w:val="00344D9C"/>
    <w:rsid w:val="0035309F"/>
    <w:rsid w:val="0036070A"/>
    <w:rsid w:val="0036704C"/>
    <w:rsid w:val="00367339"/>
    <w:rsid w:val="00382804"/>
    <w:rsid w:val="00386054"/>
    <w:rsid w:val="00386C0F"/>
    <w:rsid w:val="0039003A"/>
    <w:rsid w:val="0039757D"/>
    <w:rsid w:val="003B3FFA"/>
    <w:rsid w:val="003C09D7"/>
    <w:rsid w:val="003C29C2"/>
    <w:rsid w:val="003C7F70"/>
    <w:rsid w:val="003D3254"/>
    <w:rsid w:val="003D5D70"/>
    <w:rsid w:val="003D69B2"/>
    <w:rsid w:val="003E2383"/>
    <w:rsid w:val="003E285A"/>
    <w:rsid w:val="003E3B05"/>
    <w:rsid w:val="00402E02"/>
    <w:rsid w:val="00421F7C"/>
    <w:rsid w:val="00425F9A"/>
    <w:rsid w:val="00427645"/>
    <w:rsid w:val="004312AA"/>
    <w:rsid w:val="00433146"/>
    <w:rsid w:val="0043408A"/>
    <w:rsid w:val="0043546C"/>
    <w:rsid w:val="00443178"/>
    <w:rsid w:val="004577EC"/>
    <w:rsid w:val="00484EA0"/>
    <w:rsid w:val="004A2DBB"/>
    <w:rsid w:val="004B79A9"/>
    <w:rsid w:val="004E23D9"/>
    <w:rsid w:val="004F692A"/>
    <w:rsid w:val="004F78C6"/>
    <w:rsid w:val="00511091"/>
    <w:rsid w:val="00512598"/>
    <w:rsid w:val="00532879"/>
    <w:rsid w:val="00533CC3"/>
    <w:rsid w:val="0053417E"/>
    <w:rsid w:val="00561272"/>
    <w:rsid w:val="00563CCF"/>
    <w:rsid w:val="00570F4A"/>
    <w:rsid w:val="00572524"/>
    <w:rsid w:val="0059392D"/>
    <w:rsid w:val="00593C1E"/>
    <w:rsid w:val="005946CF"/>
    <w:rsid w:val="005A1566"/>
    <w:rsid w:val="005A1DFC"/>
    <w:rsid w:val="005A4185"/>
    <w:rsid w:val="005B14F9"/>
    <w:rsid w:val="005B1AF2"/>
    <w:rsid w:val="005C2529"/>
    <w:rsid w:val="005D21ED"/>
    <w:rsid w:val="005D2B0F"/>
    <w:rsid w:val="005D2E7B"/>
    <w:rsid w:val="005D4609"/>
    <w:rsid w:val="00605ADE"/>
    <w:rsid w:val="0060670C"/>
    <w:rsid w:val="00611E54"/>
    <w:rsid w:val="00622ED0"/>
    <w:rsid w:val="00626BFD"/>
    <w:rsid w:val="006340E3"/>
    <w:rsid w:val="0063484C"/>
    <w:rsid w:val="00634BD4"/>
    <w:rsid w:val="00654305"/>
    <w:rsid w:val="00657299"/>
    <w:rsid w:val="006737C0"/>
    <w:rsid w:val="00677BC2"/>
    <w:rsid w:val="006A1D49"/>
    <w:rsid w:val="006A3B5C"/>
    <w:rsid w:val="006A530B"/>
    <w:rsid w:val="006A761C"/>
    <w:rsid w:val="006A7CA8"/>
    <w:rsid w:val="006B2A3E"/>
    <w:rsid w:val="006C01D0"/>
    <w:rsid w:val="006E4747"/>
    <w:rsid w:val="006F2BFD"/>
    <w:rsid w:val="006F5FAD"/>
    <w:rsid w:val="006F7F24"/>
    <w:rsid w:val="0070490E"/>
    <w:rsid w:val="0072384A"/>
    <w:rsid w:val="0074756F"/>
    <w:rsid w:val="00747C54"/>
    <w:rsid w:val="00751216"/>
    <w:rsid w:val="00751AB3"/>
    <w:rsid w:val="00751AE8"/>
    <w:rsid w:val="0075201D"/>
    <w:rsid w:val="007661D9"/>
    <w:rsid w:val="0077440A"/>
    <w:rsid w:val="00777BB9"/>
    <w:rsid w:val="00786680"/>
    <w:rsid w:val="0078679E"/>
    <w:rsid w:val="0079662C"/>
    <w:rsid w:val="007A6E6B"/>
    <w:rsid w:val="007B14E8"/>
    <w:rsid w:val="007B1D42"/>
    <w:rsid w:val="007C12B5"/>
    <w:rsid w:val="007C597C"/>
    <w:rsid w:val="007D2DB5"/>
    <w:rsid w:val="007D588C"/>
    <w:rsid w:val="007E6D44"/>
    <w:rsid w:val="007E77FA"/>
    <w:rsid w:val="007F1478"/>
    <w:rsid w:val="007F4417"/>
    <w:rsid w:val="007F68D6"/>
    <w:rsid w:val="008011B6"/>
    <w:rsid w:val="0081784F"/>
    <w:rsid w:val="00822C98"/>
    <w:rsid w:val="00823C86"/>
    <w:rsid w:val="0083061C"/>
    <w:rsid w:val="00831B18"/>
    <w:rsid w:val="00835F9D"/>
    <w:rsid w:val="00842A85"/>
    <w:rsid w:val="00850C4A"/>
    <w:rsid w:val="008552C9"/>
    <w:rsid w:val="008A348F"/>
    <w:rsid w:val="008A3D41"/>
    <w:rsid w:val="008E7D7E"/>
    <w:rsid w:val="008F3062"/>
    <w:rsid w:val="008F7445"/>
    <w:rsid w:val="00905009"/>
    <w:rsid w:val="00913D44"/>
    <w:rsid w:val="009212F2"/>
    <w:rsid w:val="00921A3B"/>
    <w:rsid w:val="00921CB1"/>
    <w:rsid w:val="009275D0"/>
    <w:rsid w:val="00936E46"/>
    <w:rsid w:val="0094556A"/>
    <w:rsid w:val="009544A3"/>
    <w:rsid w:val="0096787B"/>
    <w:rsid w:val="009710ED"/>
    <w:rsid w:val="00985873"/>
    <w:rsid w:val="009949A8"/>
    <w:rsid w:val="00995458"/>
    <w:rsid w:val="009A1449"/>
    <w:rsid w:val="009B6889"/>
    <w:rsid w:val="009B6952"/>
    <w:rsid w:val="009D10E5"/>
    <w:rsid w:val="009E1130"/>
    <w:rsid w:val="009F1B1F"/>
    <w:rsid w:val="009F6230"/>
    <w:rsid w:val="009F711A"/>
    <w:rsid w:val="00A01331"/>
    <w:rsid w:val="00A1260A"/>
    <w:rsid w:val="00A22BD9"/>
    <w:rsid w:val="00A27E08"/>
    <w:rsid w:val="00A41F2C"/>
    <w:rsid w:val="00A51A99"/>
    <w:rsid w:val="00A7662C"/>
    <w:rsid w:val="00A82E61"/>
    <w:rsid w:val="00A87724"/>
    <w:rsid w:val="00A87940"/>
    <w:rsid w:val="00A94CCB"/>
    <w:rsid w:val="00AA03C5"/>
    <w:rsid w:val="00AA0E12"/>
    <w:rsid w:val="00AA4823"/>
    <w:rsid w:val="00AA5C59"/>
    <w:rsid w:val="00AA6805"/>
    <w:rsid w:val="00AA6B10"/>
    <w:rsid w:val="00AB0D7D"/>
    <w:rsid w:val="00AC1FA8"/>
    <w:rsid w:val="00AC3176"/>
    <w:rsid w:val="00AE792F"/>
    <w:rsid w:val="00B1656C"/>
    <w:rsid w:val="00B16DB3"/>
    <w:rsid w:val="00B23EC0"/>
    <w:rsid w:val="00B413E9"/>
    <w:rsid w:val="00B5058C"/>
    <w:rsid w:val="00B81EAB"/>
    <w:rsid w:val="00B927B8"/>
    <w:rsid w:val="00B94E3D"/>
    <w:rsid w:val="00BA7481"/>
    <w:rsid w:val="00BB63CD"/>
    <w:rsid w:val="00BB72D7"/>
    <w:rsid w:val="00BB7BC0"/>
    <w:rsid w:val="00BC244F"/>
    <w:rsid w:val="00BC4134"/>
    <w:rsid w:val="00BD1325"/>
    <w:rsid w:val="00BD13BE"/>
    <w:rsid w:val="00BD1E9D"/>
    <w:rsid w:val="00BF1E7E"/>
    <w:rsid w:val="00BF2A6A"/>
    <w:rsid w:val="00C0373B"/>
    <w:rsid w:val="00C14DAF"/>
    <w:rsid w:val="00C22384"/>
    <w:rsid w:val="00C23052"/>
    <w:rsid w:val="00C25189"/>
    <w:rsid w:val="00C32E01"/>
    <w:rsid w:val="00C33C0E"/>
    <w:rsid w:val="00C41A2A"/>
    <w:rsid w:val="00C444A0"/>
    <w:rsid w:val="00C4679F"/>
    <w:rsid w:val="00C641E9"/>
    <w:rsid w:val="00C65C62"/>
    <w:rsid w:val="00C723C2"/>
    <w:rsid w:val="00C772ED"/>
    <w:rsid w:val="00C77712"/>
    <w:rsid w:val="00C82161"/>
    <w:rsid w:val="00C84CFA"/>
    <w:rsid w:val="00CB0C21"/>
    <w:rsid w:val="00CC6F25"/>
    <w:rsid w:val="00CD40F8"/>
    <w:rsid w:val="00CD50AA"/>
    <w:rsid w:val="00CE72AF"/>
    <w:rsid w:val="00CE7431"/>
    <w:rsid w:val="00CF46CC"/>
    <w:rsid w:val="00D0506C"/>
    <w:rsid w:val="00D115BF"/>
    <w:rsid w:val="00D269C3"/>
    <w:rsid w:val="00D47479"/>
    <w:rsid w:val="00D52676"/>
    <w:rsid w:val="00D5290B"/>
    <w:rsid w:val="00D63A95"/>
    <w:rsid w:val="00D65A5B"/>
    <w:rsid w:val="00D91910"/>
    <w:rsid w:val="00D962F5"/>
    <w:rsid w:val="00DB546A"/>
    <w:rsid w:val="00DB72AE"/>
    <w:rsid w:val="00DC23FA"/>
    <w:rsid w:val="00DD2345"/>
    <w:rsid w:val="00DD5DEB"/>
    <w:rsid w:val="00DE6D75"/>
    <w:rsid w:val="00DE6F6D"/>
    <w:rsid w:val="00DE7122"/>
    <w:rsid w:val="00DF5E68"/>
    <w:rsid w:val="00E023B7"/>
    <w:rsid w:val="00E03202"/>
    <w:rsid w:val="00E03EA0"/>
    <w:rsid w:val="00E07290"/>
    <w:rsid w:val="00E10433"/>
    <w:rsid w:val="00E141BC"/>
    <w:rsid w:val="00E15CE1"/>
    <w:rsid w:val="00E204FC"/>
    <w:rsid w:val="00E274C4"/>
    <w:rsid w:val="00E41535"/>
    <w:rsid w:val="00E416E5"/>
    <w:rsid w:val="00E54EAB"/>
    <w:rsid w:val="00E7107B"/>
    <w:rsid w:val="00E809A4"/>
    <w:rsid w:val="00E910A4"/>
    <w:rsid w:val="00EA33A3"/>
    <w:rsid w:val="00EA3C1F"/>
    <w:rsid w:val="00EA5328"/>
    <w:rsid w:val="00EB3D17"/>
    <w:rsid w:val="00EB5166"/>
    <w:rsid w:val="00EC168B"/>
    <w:rsid w:val="00EC2CC4"/>
    <w:rsid w:val="00ED241A"/>
    <w:rsid w:val="00EE088E"/>
    <w:rsid w:val="00EF78D5"/>
    <w:rsid w:val="00EF7FF5"/>
    <w:rsid w:val="00F10045"/>
    <w:rsid w:val="00F103A8"/>
    <w:rsid w:val="00F13131"/>
    <w:rsid w:val="00F30CEE"/>
    <w:rsid w:val="00F313DF"/>
    <w:rsid w:val="00F41B23"/>
    <w:rsid w:val="00F45FED"/>
    <w:rsid w:val="00F57AF7"/>
    <w:rsid w:val="00F622BF"/>
    <w:rsid w:val="00F64EBF"/>
    <w:rsid w:val="00F83133"/>
    <w:rsid w:val="00F9209D"/>
    <w:rsid w:val="00FA0A64"/>
    <w:rsid w:val="00FA4F77"/>
    <w:rsid w:val="00FB3E61"/>
    <w:rsid w:val="00FB660B"/>
    <w:rsid w:val="00FC0F8D"/>
    <w:rsid w:val="00FC38C8"/>
    <w:rsid w:val="00FD22E9"/>
    <w:rsid w:val="00FE4DD6"/>
    <w:rsid w:val="00FE78EC"/>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B49AE3D"/>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2F2F11"/>
    <w:rPr>
      <w:rFonts w:ascii="Courier" w:hAnsi="Courier"/>
      <w:sz w:val="24"/>
      <w:szCs w:val="20"/>
    </w:rPr>
  </w:style>
  <w:style w:type="character" w:styleId="FollowedHyperlink">
    <w:name w:val="FollowedHyperlink"/>
    <w:basedOn w:val="DefaultParagraphFont"/>
    <w:uiPriority w:val="99"/>
    <w:semiHidden/>
    <w:unhideWhenUsed/>
    <w:rsid w:val="00995458"/>
    <w:rPr>
      <w:color w:val="800080" w:themeColor="followedHyperlink"/>
      <w:u w:val="single"/>
    </w:rPr>
  </w:style>
  <w:style w:type="character" w:styleId="UnresolvedMention">
    <w:name w:val="Unresolved Mention"/>
    <w:basedOn w:val="DefaultParagraphFont"/>
    <w:uiPriority w:val="99"/>
    <w:semiHidden/>
    <w:unhideWhenUsed/>
    <w:rsid w:val="00DE6F6D"/>
    <w:rPr>
      <w:color w:val="605E5C"/>
      <w:shd w:val="clear" w:color="auto" w:fill="E1DFDD"/>
    </w:rPr>
  </w:style>
  <w:style w:type="character" w:customStyle="1" w:styleId="cf01">
    <w:name w:val="cf01"/>
    <w:basedOn w:val="DefaultParagraphFont"/>
    <w:rsid w:val="00402E02"/>
    <w:rPr>
      <w:rFonts w:ascii="Segoe UI" w:hAnsi="Segoe UI" w:cs="Segoe UI" w:hint="default"/>
      <w:color w:val="0033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sa.gov/cdnstatic/HCD-Discovery-Guide-Interagency-v12-1.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cfb132efb6c4fc138e38b80d42714776">
  <xsd:schema xmlns:xsd="http://www.w3.org/2001/XMLSchema" xmlns:xs="http://www.w3.org/2001/XMLSchema" xmlns:p="http://schemas.microsoft.com/office/2006/metadata/properties" xmlns:ns3="bff4c704-432d-4070-8c1d-cb7493b0e4fc" targetNamespace="http://schemas.microsoft.com/office/2006/metadata/properties" ma:root="true" ma:fieldsID="2622c1ba04517abf3e0268ca5c803879"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140F2-66FE-4D9C-BD70-25CE2D54899D}">
  <ds:schemaRefs>
    <ds:schemaRef ds:uri="http://schemas.microsoft.com/sharepoint/v3/contenttype/forms"/>
  </ds:schemaRefs>
</ds:datastoreItem>
</file>

<file path=customXml/itemProps2.xml><?xml version="1.0" encoding="utf-8"?>
<ds:datastoreItem xmlns:ds="http://schemas.openxmlformats.org/officeDocument/2006/customXml" ds:itemID="{6EAC6161-08A1-40DD-8298-1362B90E7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A5DC3-B244-41A6-8DA5-685CF7B34ED5}">
  <ds:schemaRefs>
    <ds:schemaRef ds:uri="http://schemas.openxmlformats.org/officeDocument/2006/bibliography"/>
  </ds:schemaRefs>
</ds:datastoreItem>
</file>

<file path=customXml/itemProps4.xml><?xml version="1.0" encoding="utf-8"?>
<ds:datastoreItem xmlns:ds="http://schemas.openxmlformats.org/officeDocument/2006/customXml" ds:itemID="{F18E9B04-B828-4524-A126-5F50C5A889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5239</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Hernandez, Nora - OASAM OCIO</cp:lastModifiedBy>
  <cp:revision>2</cp:revision>
  <cp:lastPrinted>2016-05-23T15:22:00Z</cp:lastPrinted>
  <dcterms:created xsi:type="dcterms:W3CDTF">2024-01-19T18:47:00Z</dcterms:created>
  <dcterms:modified xsi:type="dcterms:W3CDTF">2024-01-19T18:47:00Z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