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371A" w:rsidRPr="00983B52" w:rsidP="00EB6976" w14:paraId="144F7406" w14:textId="77777777">
      <w:pPr>
        <w:tabs>
          <w:tab w:val="center" w:pos="4680"/>
        </w:tabs>
        <w:jc w:val="center"/>
        <w:rPr>
          <w:rFonts w:ascii="Times New Roman" w:hAnsi="Times New Roman"/>
          <w:b/>
          <w:bCs/>
        </w:rPr>
      </w:pPr>
      <w:r w:rsidRPr="00983B52">
        <w:rPr>
          <w:rFonts w:ascii="Times New Roman" w:hAnsi="Times New Roman"/>
          <w:b/>
          <w:bCs/>
        </w:rPr>
        <w:t>SUPPORTING STATEMENT</w:t>
      </w:r>
    </w:p>
    <w:p w:rsidR="004D647B" w:rsidRPr="006C6A90" w:rsidP="00EB6976" w14:paraId="4722CC7E" w14:textId="77777777">
      <w:pPr>
        <w:tabs>
          <w:tab w:val="center" w:pos="4680"/>
        </w:tabs>
        <w:jc w:val="center"/>
        <w:rPr>
          <w:rFonts w:ascii="Times New Roman" w:hAnsi="Times New Roman"/>
        </w:rPr>
      </w:pPr>
      <w:r w:rsidRPr="006C6A90">
        <w:rPr>
          <w:rFonts w:ascii="Times New Roman" w:hAnsi="Times New Roman"/>
        </w:rPr>
        <w:t>Internal Revenue Service</w:t>
      </w:r>
    </w:p>
    <w:p w:rsidR="00F769CE" w:rsidRPr="006C6A90" w:rsidP="00EB6976" w14:paraId="12E78736" w14:textId="45FBE3FD">
      <w:pPr>
        <w:tabs>
          <w:tab w:val="center" w:pos="4680"/>
        </w:tabs>
        <w:jc w:val="center"/>
        <w:rPr>
          <w:rFonts w:ascii="Times New Roman" w:hAnsi="Times New Roman"/>
        </w:rPr>
      </w:pPr>
      <w:r w:rsidRPr="006C6A90">
        <w:rPr>
          <w:rFonts w:ascii="Times New Roman" w:hAnsi="Times New Roman"/>
        </w:rPr>
        <w:t>S Corporation Shareholder Stock and Debt Basis Limitations</w:t>
      </w:r>
      <w:r w:rsidRPr="006C6A90" w:rsidR="002B049F">
        <w:rPr>
          <w:rFonts w:ascii="Times New Roman" w:hAnsi="Times New Roman"/>
        </w:rPr>
        <w:t xml:space="preserve"> </w:t>
      </w:r>
    </w:p>
    <w:p w:rsidR="00B03085" w:rsidRPr="006C6A90" w:rsidP="00EB6976" w14:paraId="4B14A903" w14:textId="400B772B">
      <w:pPr>
        <w:tabs>
          <w:tab w:val="center" w:pos="4680"/>
        </w:tabs>
        <w:jc w:val="center"/>
        <w:rPr>
          <w:rFonts w:ascii="Times New Roman" w:hAnsi="Times New Roman"/>
        </w:rPr>
      </w:pPr>
      <w:r w:rsidRPr="006C6A90">
        <w:rPr>
          <w:rFonts w:ascii="Times New Roman" w:hAnsi="Times New Roman"/>
        </w:rPr>
        <w:t xml:space="preserve">OMB Control Number </w:t>
      </w:r>
      <w:r w:rsidRPr="00983B52">
        <w:rPr>
          <w:rFonts w:ascii="Times New Roman" w:hAnsi="Times New Roman"/>
          <w:b/>
          <w:bCs/>
        </w:rPr>
        <w:t>1545-</w:t>
      </w:r>
      <w:r w:rsidRPr="00983B52" w:rsidR="003B154E">
        <w:rPr>
          <w:rFonts w:ascii="Times New Roman" w:hAnsi="Times New Roman"/>
          <w:b/>
          <w:bCs/>
        </w:rPr>
        <w:t>2302</w:t>
      </w:r>
    </w:p>
    <w:p w:rsidR="00FF371A" w:rsidRPr="006C6A90" w:rsidP="00FF19C2" w14:paraId="72A4AC3B" w14:textId="77777777">
      <w:pPr>
        <w:tabs>
          <w:tab w:val="center" w:pos="4680"/>
        </w:tabs>
        <w:spacing w:line="360" w:lineRule="auto"/>
        <w:jc w:val="center"/>
        <w:rPr>
          <w:rFonts w:ascii="Times New Roman" w:hAnsi="Times New Roman"/>
          <w:b/>
          <w:bCs/>
        </w:rPr>
      </w:pPr>
      <w:r w:rsidRPr="006C6A90">
        <w:rPr>
          <w:rFonts w:ascii="Times New Roman" w:hAnsi="Times New Roman"/>
          <w:b/>
          <w:bCs/>
        </w:rPr>
        <w:t xml:space="preserve"> </w:t>
      </w:r>
    </w:p>
    <w:p w:rsidR="00FF371A" w:rsidRPr="006C6A90" w:rsidP="0033390A" w14:paraId="327052F6" w14:textId="77777777">
      <w:pPr>
        <w:pStyle w:val="Level1"/>
        <w:tabs>
          <w:tab w:val="left" w:pos="-1440"/>
          <w:tab w:val="num" w:pos="720"/>
        </w:tabs>
        <w:ind w:left="720" w:hanging="720"/>
        <w:rPr>
          <w:rFonts w:ascii="Times New Roman" w:hAnsi="Times New Roman"/>
        </w:rPr>
      </w:pPr>
      <w:r w:rsidRPr="006C6A90">
        <w:rPr>
          <w:rFonts w:ascii="Times New Roman" w:hAnsi="Times New Roman"/>
          <w:u w:val="single"/>
        </w:rPr>
        <w:t>CIRCUMSTANCES NECESSITATING COLLECTION OF INFORMATION</w:t>
      </w:r>
    </w:p>
    <w:p w:rsidR="00FF371A" w:rsidRPr="006C6A90" w14:paraId="1A2B8734" w14:textId="77777777">
      <w:pPr>
        <w:rPr>
          <w:rFonts w:ascii="Times New Roman" w:hAnsi="Times New Roman"/>
        </w:rPr>
      </w:pPr>
    </w:p>
    <w:p w:rsidR="003059A3" w:rsidRPr="006C6A90" w:rsidP="006E0982" w14:paraId="368A4DF0" w14:textId="2F7BDAB2">
      <w:pPr>
        <w:ind w:left="720"/>
        <w:rPr>
          <w:rFonts w:ascii="Times New Roman" w:hAnsi="Times New Roman"/>
          <w:bCs/>
        </w:rPr>
      </w:pPr>
      <w:bookmarkStart w:id="0" w:name="_Hlk65069127"/>
      <w:r w:rsidRPr="006C6A90">
        <w:rPr>
          <w:rFonts w:ascii="Times New Roman" w:hAnsi="Times New Roman"/>
        </w:rPr>
        <w:t xml:space="preserve">Internal Revenue Code (IRC) </w:t>
      </w:r>
      <w:r w:rsidRPr="006C6A90" w:rsidR="00DE2EB0">
        <w:rPr>
          <w:rFonts w:ascii="Times New Roman" w:hAnsi="Times New Roman"/>
        </w:rPr>
        <w:t>s</w:t>
      </w:r>
      <w:r w:rsidRPr="006C6A90">
        <w:rPr>
          <w:rFonts w:ascii="Times New Roman" w:hAnsi="Times New Roman"/>
        </w:rPr>
        <w:t xml:space="preserve">ection 1366 determines the shareholder’s tax liability from an S corporation. IRC </w:t>
      </w:r>
      <w:r w:rsidRPr="006C6A90" w:rsidR="00DE2EB0">
        <w:rPr>
          <w:rFonts w:ascii="Times New Roman" w:hAnsi="Times New Roman"/>
        </w:rPr>
        <w:t>s</w:t>
      </w:r>
      <w:r w:rsidRPr="006C6A90">
        <w:rPr>
          <w:rFonts w:ascii="Times New Roman" w:hAnsi="Times New Roman"/>
        </w:rPr>
        <w:t xml:space="preserve">ection 1367 details the adjustments to basis including the increase and decrease in basis, income items included in basis, the basis of indebtedness, and the basis of inherited stock. </w:t>
      </w:r>
    </w:p>
    <w:p w:rsidR="00DE2EB0" w:rsidRPr="006C6A90" w:rsidP="006E0982" w14:paraId="6F585F4E" w14:textId="2C4D34E3">
      <w:pPr>
        <w:ind w:left="720"/>
        <w:rPr>
          <w:rFonts w:ascii="Times New Roman" w:hAnsi="Times New Roman"/>
          <w:bCs/>
        </w:rPr>
      </w:pPr>
    </w:p>
    <w:p w:rsidR="00DE2EB0" w:rsidRPr="006C6A90" w:rsidP="006E0982" w14:paraId="28F2C48E" w14:textId="6E7D79EF">
      <w:pPr>
        <w:ind w:left="720"/>
        <w:rPr>
          <w:rFonts w:ascii="Times New Roman" w:hAnsi="Times New Roman"/>
          <w:bCs/>
        </w:rPr>
      </w:pPr>
      <w:r w:rsidRPr="006C6A90">
        <w:rPr>
          <w:rFonts w:ascii="Times New Roman" w:hAnsi="Times New Roman"/>
          <w:bCs/>
        </w:rPr>
        <w:t>Treasury Regulations section 1.1366-2 provide</w:t>
      </w:r>
      <w:r w:rsidRPr="006C6A90" w:rsidR="0063214E">
        <w:rPr>
          <w:rFonts w:ascii="Times New Roman" w:hAnsi="Times New Roman"/>
          <w:bCs/>
        </w:rPr>
        <w:t>s</w:t>
      </w:r>
      <w:r w:rsidRPr="006C6A90">
        <w:rPr>
          <w:rFonts w:ascii="Times New Roman" w:hAnsi="Times New Roman"/>
          <w:bCs/>
        </w:rPr>
        <w:t xml:space="preserve"> rules and guidance on limitations on deductions of passthrough items of an S corporation to its shareholders. Section 1.1367-1 provides rules relating to adjustments to the basis of a shareholder’s stock in an S corporation and a shareholder’s election </w:t>
      </w:r>
      <w:r w:rsidRPr="006C6A90" w:rsidR="0063214E">
        <w:rPr>
          <w:rFonts w:ascii="Times New Roman" w:hAnsi="Times New Roman"/>
          <w:bCs/>
        </w:rPr>
        <w:t xml:space="preserve">option </w:t>
      </w:r>
      <w:r w:rsidRPr="006C6A90">
        <w:rPr>
          <w:rFonts w:ascii="Times New Roman" w:hAnsi="Times New Roman"/>
          <w:bCs/>
        </w:rPr>
        <w:t>to decrease the basis. Section 1.1367-2</w:t>
      </w:r>
      <w:r w:rsidRPr="006C6A90" w:rsidR="0063214E">
        <w:rPr>
          <w:rFonts w:ascii="Times New Roman" w:hAnsi="Times New Roman"/>
          <w:bCs/>
        </w:rPr>
        <w:t xml:space="preserve"> provides rules relating to adjustments to the basis of indebtedness of an S corporation to a shareholder.</w:t>
      </w:r>
    </w:p>
    <w:p w:rsidR="00F26713" w:rsidRPr="006C6A90" w:rsidP="006E0982" w14:paraId="4235CDA5" w14:textId="251F1493">
      <w:pPr>
        <w:ind w:left="720"/>
        <w:rPr>
          <w:rFonts w:ascii="Times New Roman" w:hAnsi="Times New Roman"/>
          <w:bCs/>
        </w:rPr>
      </w:pPr>
    </w:p>
    <w:p w:rsidR="00F26713" w:rsidRPr="006C6A90" w:rsidP="00F26713" w14:paraId="346518E1" w14:textId="1AF476BC">
      <w:pPr>
        <w:ind w:left="720"/>
        <w:rPr>
          <w:rFonts w:ascii="Times New Roman" w:hAnsi="Times New Roman"/>
          <w:bCs/>
        </w:rPr>
      </w:pPr>
      <w:r w:rsidRPr="006C6A90">
        <w:rPr>
          <w:rFonts w:ascii="Times New Roman" w:hAnsi="Times New Roman"/>
          <w:bCs/>
        </w:rPr>
        <w:t xml:space="preserve">Form 7203 </w:t>
      </w:r>
      <w:r w:rsidRPr="006C6A90" w:rsidR="005778F5">
        <w:rPr>
          <w:rFonts w:ascii="Times New Roman" w:hAnsi="Times New Roman"/>
          <w:bCs/>
        </w:rPr>
        <w:t>is used by S corporation shareholders to figure potential limitations of their share of the S corporation’s deductions, credits, and other items that can be deducted on the shareholder’s tax return</w:t>
      </w:r>
      <w:r w:rsidRPr="006C6A90">
        <w:rPr>
          <w:rFonts w:ascii="Times New Roman" w:hAnsi="Times New Roman"/>
          <w:bCs/>
        </w:rPr>
        <w:t>.</w:t>
      </w:r>
    </w:p>
    <w:p w:rsidR="00C3701E" w:rsidRPr="006C6A90" w:rsidP="00996948" w14:paraId="2CD81E08" w14:textId="77777777">
      <w:pPr>
        <w:ind w:left="720"/>
        <w:rPr>
          <w:rFonts w:ascii="Times New Roman" w:hAnsi="Times New Roman"/>
        </w:rPr>
      </w:pPr>
    </w:p>
    <w:bookmarkEnd w:id="0"/>
    <w:p w:rsidR="00236C10" w:rsidRPr="006C6A90" w14:paraId="2A79501D" w14:textId="77777777">
      <w:pPr>
        <w:ind w:left="720"/>
        <w:rPr>
          <w:rFonts w:ascii="Times New Roman" w:hAnsi="Times New Roman"/>
        </w:rPr>
        <w:sectPr w:rsidSect="00966B75">
          <w:pgSz w:w="12240" w:h="15840"/>
          <w:pgMar w:top="1440" w:right="1440" w:bottom="1440" w:left="1440" w:header="1440" w:footer="1440" w:gutter="0"/>
          <w:cols w:space="720"/>
          <w:noEndnote/>
          <w:docGrid w:linePitch="326"/>
        </w:sectPr>
      </w:pPr>
    </w:p>
    <w:p w:rsidR="00FF371A" w:rsidRPr="006C6A90" w:rsidP="0033390A" w14:paraId="0B032F59" w14:textId="622530A9">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USE OF DATA</w:t>
      </w:r>
    </w:p>
    <w:p w:rsidR="00FF371A" w:rsidRPr="006C6A90" w14:paraId="143C0F66" w14:textId="77777777">
      <w:pPr>
        <w:rPr>
          <w:rFonts w:ascii="Times New Roman" w:hAnsi="Times New Roman"/>
        </w:rPr>
      </w:pPr>
    </w:p>
    <w:p w:rsidR="003059A3" w:rsidRPr="006C6A90" w:rsidP="003059A3" w14:paraId="5896245F" w14:textId="2360FB04">
      <w:pPr>
        <w:ind w:left="720"/>
        <w:rPr>
          <w:rFonts w:ascii="Times New Roman" w:hAnsi="Times New Roman"/>
          <w:bCs/>
        </w:rPr>
      </w:pPr>
      <w:r w:rsidRPr="006C6A90">
        <w:rPr>
          <w:rFonts w:ascii="Times New Roman" w:hAnsi="Times New Roman"/>
          <w:bCs/>
        </w:rPr>
        <w:t xml:space="preserve">The information is used by the </w:t>
      </w:r>
      <w:r w:rsidRPr="006C6A90" w:rsidR="001F36C3">
        <w:rPr>
          <w:rFonts w:ascii="Times New Roman" w:hAnsi="Times New Roman"/>
          <w:bCs/>
        </w:rPr>
        <w:t>Internal Revenue Service (IRS)</w:t>
      </w:r>
      <w:r w:rsidRPr="006C6A90">
        <w:rPr>
          <w:rFonts w:ascii="Times New Roman" w:hAnsi="Times New Roman"/>
          <w:bCs/>
        </w:rPr>
        <w:t xml:space="preserve"> </w:t>
      </w:r>
      <w:r w:rsidRPr="006C6A90" w:rsidR="009862E9">
        <w:rPr>
          <w:rFonts w:ascii="Times New Roman" w:hAnsi="Times New Roman"/>
          <w:bCs/>
        </w:rPr>
        <w:t xml:space="preserve">and taxpayers </w:t>
      </w:r>
      <w:r w:rsidRPr="006C6A90">
        <w:rPr>
          <w:rFonts w:ascii="Times New Roman" w:hAnsi="Times New Roman"/>
          <w:bCs/>
        </w:rPr>
        <w:t>to verify the stock and debt basis limitations claimed by shareholders</w:t>
      </w:r>
      <w:r w:rsidRPr="006C6A90" w:rsidR="009862E9">
        <w:rPr>
          <w:rFonts w:ascii="Times New Roman" w:hAnsi="Times New Roman"/>
          <w:bCs/>
        </w:rPr>
        <w:t>, ensuring the proper basis computations are reported and claimed</w:t>
      </w:r>
      <w:r w:rsidRPr="006C6A90">
        <w:rPr>
          <w:rFonts w:ascii="Times New Roman" w:hAnsi="Times New Roman"/>
          <w:bCs/>
        </w:rPr>
        <w:t>.</w:t>
      </w:r>
    </w:p>
    <w:p w:rsidR="00FF371A" w:rsidRPr="006C6A90" w14:paraId="0880F3FA" w14:textId="77777777">
      <w:pPr>
        <w:rPr>
          <w:rFonts w:ascii="Times New Roman" w:hAnsi="Times New Roman"/>
        </w:rPr>
      </w:pPr>
    </w:p>
    <w:p w:rsidR="00FF371A" w:rsidRPr="006C6A90" w:rsidP="0033390A" w14:paraId="561C6F59"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USE OF IMPROVED INFORMATION TECHNOLOGY TO REDUCE BURDEN</w:t>
      </w:r>
    </w:p>
    <w:p w:rsidR="00FF371A" w:rsidRPr="006C6A90" w14:paraId="1BE885A5" w14:textId="77777777">
      <w:pPr>
        <w:rPr>
          <w:rFonts w:ascii="Times New Roman" w:hAnsi="Times New Roman"/>
        </w:rPr>
      </w:pPr>
    </w:p>
    <w:p w:rsidR="00FF371A" w:rsidRPr="006C6A90" w14:paraId="425BDC63" w14:textId="24F94A1E">
      <w:pPr>
        <w:ind w:left="720"/>
        <w:rPr>
          <w:rFonts w:ascii="Times New Roman" w:hAnsi="Times New Roman"/>
        </w:rPr>
      </w:pPr>
      <w:r w:rsidRPr="006C6A90">
        <w:rPr>
          <w:rFonts w:ascii="Times New Roman" w:hAnsi="Times New Roman"/>
        </w:rPr>
        <w:t xml:space="preserve">Electronic filing of </w:t>
      </w:r>
      <w:r w:rsidRPr="006C6A90" w:rsidR="00092965">
        <w:rPr>
          <w:rFonts w:ascii="Times New Roman" w:hAnsi="Times New Roman"/>
        </w:rPr>
        <w:t>F</w:t>
      </w:r>
      <w:r w:rsidRPr="006C6A90" w:rsidR="003059A3">
        <w:rPr>
          <w:rFonts w:ascii="Times New Roman" w:hAnsi="Times New Roman"/>
        </w:rPr>
        <w:t xml:space="preserve">orm 7203 </w:t>
      </w:r>
      <w:r w:rsidRPr="006C6A90">
        <w:rPr>
          <w:rFonts w:ascii="Times New Roman" w:hAnsi="Times New Roman"/>
        </w:rPr>
        <w:t>is currently available.</w:t>
      </w:r>
    </w:p>
    <w:p w:rsidR="00FF371A" w:rsidRPr="006C6A90" w14:paraId="5922ACD0" w14:textId="77777777">
      <w:pPr>
        <w:rPr>
          <w:rFonts w:ascii="Times New Roman" w:hAnsi="Times New Roman"/>
        </w:rPr>
      </w:pPr>
    </w:p>
    <w:p w:rsidR="00FF371A" w:rsidRPr="006C6A90" w:rsidP="0033390A" w14:paraId="224C8227"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EFFORTS TO IDENTIFY DUPLICATION</w:t>
      </w:r>
    </w:p>
    <w:p w:rsidR="00FF371A" w:rsidRPr="006C6A90" w14:paraId="6C29DCCB" w14:textId="77777777">
      <w:pPr>
        <w:rPr>
          <w:rFonts w:ascii="Times New Roman" w:hAnsi="Times New Roman"/>
        </w:rPr>
      </w:pPr>
    </w:p>
    <w:p w:rsidR="001E76CF" w:rsidRPr="006C6A90" w:rsidP="001E76CF" w14:paraId="1D0854A7" w14:textId="77777777">
      <w:pPr>
        <w:ind w:left="720"/>
        <w:rPr>
          <w:rFonts w:ascii="Times New Roman" w:hAnsi="Times New Roman"/>
          <w:iCs/>
        </w:rPr>
      </w:pPr>
      <w:r w:rsidRPr="006C6A90">
        <w:rPr>
          <w:rFonts w:ascii="Times New Roman" w:hAnsi="Times New Roman"/>
          <w:iCs/>
        </w:rPr>
        <w:t xml:space="preserve">The </w:t>
      </w:r>
      <w:r w:rsidRPr="006C6A90">
        <w:rPr>
          <w:rFonts w:ascii="Times New Roman" w:hAnsi="Times New Roman"/>
          <w:iCs/>
        </w:rPr>
        <w:t>information obtained through this collection is unique and is not already available for use or adaptation from another source.</w:t>
      </w:r>
    </w:p>
    <w:p w:rsidR="00FF371A" w:rsidRPr="006C6A90" w14:paraId="63A45CB6" w14:textId="77777777">
      <w:pPr>
        <w:ind w:left="720"/>
        <w:rPr>
          <w:rFonts w:ascii="Times New Roman" w:hAnsi="Times New Roman"/>
        </w:rPr>
      </w:pPr>
      <w:r w:rsidRPr="006C6A90">
        <w:rPr>
          <w:rFonts w:ascii="Times New Roman" w:hAnsi="Times New Roman"/>
        </w:rPr>
        <w:t xml:space="preserve">  </w:t>
      </w:r>
    </w:p>
    <w:p w:rsidR="00FF371A" w:rsidRPr="006C6A90" w:rsidP="0033390A" w14:paraId="2A7E6C51"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METHODS TO MINIMIZE BURDEN ON SMALL BUSINESSES OR OTHER</w:t>
      </w:r>
      <w:r w:rsidRPr="006C6A90" w:rsidR="00844713">
        <w:rPr>
          <w:rFonts w:ascii="Times New Roman" w:hAnsi="Times New Roman"/>
          <w:u w:val="single"/>
        </w:rPr>
        <w:t xml:space="preserve"> </w:t>
      </w:r>
      <w:r w:rsidRPr="006C6A90">
        <w:rPr>
          <w:rFonts w:ascii="Times New Roman" w:hAnsi="Times New Roman"/>
          <w:u w:val="single"/>
        </w:rPr>
        <w:t>SMALL ENTITIES</w:t>
      </w:r>
    </w:p>
    <w:p w:rsidR="00FF371A" w:rsidRPr="006C6A90" w14:paraId="4F0E2D0D" w14:textId="77777777">
      <w:pPr>
        <w:rPr>
          <w:rFonts w:ascii="Times New Roman" w:hAnsi="Times New Roman"/>
        </w:rPr>
      </w:pPr>
    </w:p>
    <w:p w:rsidR="004F012A" w:rsidRPr="006C6A90" w:rsidP="004F012A" w14:paraId="10E8FC8B" w14:textId="0A9D1FC4">
      <w:pPr>
        <w:ind w:left="720"/>
        <w:rPr>
          <w:rFonts w:ascii="Times New Roman" w:hAnsi="Times New Roman"/>
        </w:rPr>
      </w:pPr>
      <w:r w:rsidRPr="006C6A90">
        <w:rPr>
          <w:rFonts w:ascii="Times New Roman" w:hAnsi="Times New Roman"/>
        </w:rPr>
        <w:t>The IRS proactively works with both internal and external stakeholders to minimize the burden on small businesses, while maintaining tax compliance. The Agency also seeks input regarding the burden estimates from the public via notices and tax product instructions. This information collection is for individual</w:t>
      </w:r>
      <w:r w:rsidRPr="006C6A90" w:rsidR="00A709DA">
        <w:rPr>
          <w:rFonts w:ascii="Times New Roman" w:hAnsi="Times New Roman"/>
        </w:rPr>
        <w:t>, trust/estates, and tax-exempt</w:t>
      </w:r>
      <w:r w:rsidRPr="006C6A90">
        <w:rPr>
          <w:rFonts w:ascii="Times New Roman" w:hAnsi="Times New Roman"/>
        </w:rPr>
        <w:t xml:space="preserve"> taxpayers; therefore, there will be minimal if any impact to small businesses. The forms </w:t>
      </w:r>
      <w:r w:rsidRPr="006C6A90">
        <w:rPr>
          <w:rFonts w:ascii="Times New Roman" w:hAnsi="Times New Roman"/>
        </w:rPr>
        <w:t xml:space="preserve">can be filed electronically, which further reduces any burden to small businesses. </w:t>
      </w:r>
    </w:p>
    <w:p w:rsidR="00FF371A" w:rsidRPr="006C6A90" w14:paraId="3F2D4B16" w14:textId="77777777">
      <w:pPr>
        <w:ind w:left="720"/>
        <w:rPr>
          <w:rFonts w:ascii="Times New Roman" w:hAnsi="Times New Roman"/>
        </w:rPr>
      </w:pPr>
    </w:p>
    <w:p w:rsidR="00FF371A" w:rsidRPr="006C6A90" w:rsidP="0033390A" w14:paraId="561809CF"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CONSEQUENCES OF LESS FREQUENT COLLECTION ON FEDERAL PROGRAMS OR POLICY ACTIVITIES</w:t>
      </w:r>
    </w:p>
    <w:p w:rsidR="00FF371A" w:rsidRPr="006C6A90" w14:paraId="733D22FD" w14:textId="77777777">
      <w:pPr>
        <w:rPr>
          <w:rFonts w:ascii="Times New Roman" w:hAnsi="Times New Roman"/>
        </w:rPr>
      </w:pPr>
    </w:p>
    <w:p w:rsidR="00FF371A" w:rsidRPr="006C6A90" w14:paraId="0B74271E" w14:textId="13426F69">
      <w:pPr>
        <w:ind w:left="720"/>
        <w:rPr>
          <w:rFonts w:ascii="Times New Roman" w:hAnsi="Times New Roman"/>
        </w:rPr>
      </w:pPr>
      <w:bookmarkStart w:id="1" w:name="_Hlk65067650"/>
      <w:r w:rsidRPr="006C6A90">
        <w:rPr>
          <w:rFonts w:ascii="Times New Roman" w:hAnsi="Times New Roman"/>
        </w:rPr>
        <w:t>A</w:t>
      </w:r>
      <w:r w:rsidRPr="006C6A90" w:rsidR="00A75E63">
        <w:rPr>
          <w:rFonts w:ascii="Times New Roman" w:hAnsi="Times New Roman"/>
        </w:rPr>
        <w:t xml:space="preserve"> less frequent collection would result in</w:t>
      </w:r>
      <w:r w:rsidRPr="006C6A90" w:rsidR="000B0C8D">
        <w:rPr>
          <w:rFonts w:ascii="Times New Roman" w:hAnsi="Times New Roman"/>
        </w:rPr>
        <w:t xml:space="preserve"> </w:t>
      </w:r>
      <w:r w:rsidRPr="006C6A90" w:rsidR="000B0C8D">
        <w:rPr>
          <w:rFonts w:ascii="Times New Roman" w:hAnsi="Times New Roman"/>
          <w:color w:val="333333"/>
        </w:rPr>
        <w:t>the</w:t>
      </w:r>
      <w:r w:rsidRPr="006C6A90" w:rsidR="009C29F1">
        <w:rPr>
          <w:rFonts w:ascii="Times New Roman" w:hAnsi="Times New Roman"/>
          <w:color w:val="333333"/>
        </w:rPr>
        <w:t xml:space="preserve"> IRS being</w:t>
      </w:r>
      <w:r w:rsidRPr="006C6A90" w:rsidR="00966B75">
        <w:rPr>
          <w:rFonts w:ascii="Times New Roman" w:hAnsi="Times New Roman"/>
          <w:color w:val="333333"/>
        </w:rPr>
        <w:t xml:space="preserve"> </w:t>
      </w:r>
      <w:r w:rsidRPr="006C6A90" w:rsidR="009F4550">
        <w:rPr>
          <w:rFonts w:ascii="Times New Roman" w:hAnsi="Times New Roman"/>
          <w:color w:val="333333"/>
        </w:rPr>
        <w:t>unable</w:t>
      </w:r>
      <w:r w:rsidRPr="006C6A90" w:rsidR="001625D0">
        <w:rPr>
          <w:rFonts w:ascii="Times New Roman" w:hAnsi="Times New Roman"/>
          <w:color w:val="333333"/>
        </w:rPr>
        <w:t xml:space="preserve"> to </w:t>
      </w:r>
      <w:r w:rsidRPr="006C6A90" w:rsidR="00966B75">
        <w:rPr>
          <w:rFonts w:ascii="Times New Roman" w:hAnsi="Times New Roman"/>
          <w:color w:val="333333"/>
        </w:rPr>
        <w:t>ensure shareholders are claiming the correct stock and debt basis</w:t>
      </w:r>
      <w:r w:rsidRPr="006C6A90" w:rsidR="005072DD">
        <w:rPr>
          <w:rFonts w:ascii="Times New Roman" w:hAnsi="Times New Roman"/>
          <w:color w:val="333333"/>
        </w:rPr>
        <w:t xml:space="preserve"> </w:t>
      </w:r>
      <w:r w:rsidRPr="006C6A90">
        <w:rPr>
          <w:rFonts w:ascii="Times New Roman" w:hAnsi="Times New Roman"/>
          <w:color w:val="333333"/>
        </w:rPr>
        <w:t xml:space="preserve">limitations </w:t>
      </w:r>
      <w:r w:rsidRPr="006C6A90" w:rsidR="005072DD">
        <w:rPr>
          <w:rFonts w:ascii="Times New Roman" w:hAnsi="Times New Roman"/>
          <w:color w:val="333333"/>
        </w:rPr>
        <w:t>per feder</w:t>
      </w:r>
      <w:r w:rsidRPr="006C6A90" w:rsidR="001625D0">
        <w:rPr>
          <w:rFonts w:ascii="Times New Roman" w:hAnsi="Times New Roman"/>
          <w:color w:val="333333"/>
        </w:rPr>
        <w:t xml:space="preserve">al tax rules </w:t>
      </w:r>
      <w:r w:rsidRPr="006C6A90" w:rsidR="00E4620B">
        <w:rPr>
          <w:rFonts w:ascii="Times New Roman" w:hAnsi="Times New Roman"/>
          <w:color w:val="333333"/>
        </w:rPr>
        <w:t>under section</w:t>
      </w:r>
      <w:r w:rsidRPr="006C6A90" w:rsidR="005072DD">
        <w:rPr>
          <w:rFonts w:ascii="Times New Roman" w:hAnsi="Times New Roman"/>
          <w:color w:val="333333"/>
        </w:rPr>
        <w:t>s</w:t>
      </w:r>
      <w:r w:rsidRPr="006C6A90" w:rsidR="00E4620B">
        <w:rPr>
          <w:rFonts w:ascii="Times New Roman" w:hAnsi="Times New Roman"/>
          <w:color w:val="333333"/>
        </w:rPr>
        <w:t xml:space="preserve"> </w:t>
      </w:r>
      <w:r w:rsidRPr="006C6A90" w:rsidR="005072DD">
        <w:rPr>
          <w:rFonts w:ascii="Times New Roman" w:hAnsi="Times New Roman"/>
          <w:color w:val="333333"/>
        </w:rPr>
        <w:t>1366 and 1367</w:t>
      </w:r>
      <w:r w:rsidRPr="006C6A90" w:rsidR="009F4550">
        <w:rPr>
          <w:rFonts w:ascii="Times New Roman" w:hAnsi="Times New Roman"/>
          <w:color w:val="333333"/>
        </w:rPr>
        <w:t xml:space="preserve">, thereby engendering the </w:t>
      </w:r>
      <w:r w:rsidRPr="006C6A90">
        <w:rPr>
          <w:rFonts w:ascii="Times New Roman" w:hAnsi="Times New Roman"/>
          <w:color w:val="333333"/>
        </w:rPr>
        <w:t>in</w:t>
      </w:r>
      <w:r w:rsidRPr="006C6A90" w:rsidR="009F4550">
        <w:rPr>
          <w:rFonts w:ascii="Times New Roman" w:hAnsi="Times New Roman"/>
          <w:color w:val="333333"/>
        </w:rPr>
        <w:t>ability of the IRS to meet its mission</w:t>
      </w:r>
      <w:r w:rsidRPr="006C6A90" w:rsidR="001625D0">
        <w:rPr>
          <w:rFonts w:ascii="Times New Roman" w:hAnsi="Times New Roman"/>
          <w:color w:val="333333"/>
        </w:rPr>
        <w:t>.</w:t>
      </w:r>
    </w:p>
    <w:bookmarkEnd w:id="1"/>
    <w:p w:rsidR="00FF371A" w:rsidRPr="006C6A90" w14:paraId="020D7043" w14:textId="77777777">
      <w:pPr>
        <w:rPr>
          <w:rFonts w:ascii="Times New Roman" w:hAnsi="Times New Roman"/>
        </w:rPr>
      </w:pPr>
    </w:p>
    <w:p w:rsidR="00FF371A" w:rsidRPr="006C6A90" w:rsidP="0033390A" w14:paraId="58985CF5"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SPECIAL CIRCUMSTANCES REQUIRING DATA COLLECTION TO BE INCONSISTENT WITH GUIDELINES IN 5 CFR 1320.5(d)(2)</w:t>
      </w:r>
    </w:p>
    <w:p w:rsidR="00FF371A" w:rsidRPr="006C6A90" w14:paraId="6832F9B2" w14:textId="77777777">
      <w:pPr>
        <w:rPr>
          <w:rFonts w:ascii="Times New Roman" w:hAnsi="Times New Roman"/>
        </w:rPr>
      </w:pPr>
    </w:p>
    <w:p w:rsidR="004D4F2F" w:rsidRPr="006C6A90" w:rsidP="004D4F2F" w14:paraId="06A21894" w14:textId="7C2E986C">
      <w:pPr>
        <w:ind w:left="720"/>
        <w:rPr>
          <w:rFonts w:ascii="Times New Roman" w:hAnsi="Times New Roman"/>
        </w:rPr>
      </w:pPr>
      <w:r w:rsidRPr="006C6A90">
        <w:rPr>
          <w:rFonts w:ascii="Times New Roman" w:hAnsi="Times New Roman"/>
        </w:rPr>
        <w:t xml:space="preserve">There are no special circumstances requiring data collection to be inconsistent with </w:t>
      </w:r>
      <w:r w:rsidR="001E49A0">
        <w:rPr>
          <w:rFonts w:ascii="Times New Roman" w:hAnsi="Times New Roman"/>
        </w:rPr>
        <w:t>g</w:t>
      </w:r>
      <w:r w:rsidRPr="006C6A90">
        <w:rPr>
          <w:rFonts w:ascii="Times New Roman" w:hAnsi="Times New Roman"/>
        </w:rPr>
        <w:t>uidelines in 5 CFR 1320.5(d)(2).</w:t>
      </w:r>
    </w:p>
    <w:p w:rsidR="00FF371A" w:rsidRPr="006C6A90" w14:paraId="6EA8BFBC" w14:textId="77777777">
      <w:pPr>
        <w:rPr>
          <w:rFonts w:ascii="Times New Roman" w:hAnsi="Times New Roman"/>
        </w:rPr>
      </w:pPr>
    </w:p>
    <w:p w:rsidR="00FF371A" w:rsidRPr="006C6A90" w:rsidP="0033390A" w14:paraId="5AD07BCB" w14:textId="777838C0">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CONSULTATION WITH INDIVIDUALS OUTSIDE OF THE AGENCY ON</w:t>
      </w:r>
      <w:r w:rsidRPr="006C6A90" w:rsidR="002E18CF">
        <w:rPr>
          <w:rFonts w:ascii="Times New Roman" w:hAnsi="Times New Roman"/>
          <w:u w:val="single"/>
        </w:rPr>
        <w:t xml:space="preserve"> </w:t>
      </w:r>
      <w:r w:rsidRPr="006C6A90">
        <w:rPr>
          <w:rFonts w:ascii="Times New Roman" w:hAnsi="Times New Roman"/>
          <w:u w:val="single"/>
        </w:rPr>
        <w:t>AVAILABILITY OF DATA, FREQUENCY OF COLLECTION, CLARITY OF</w:t>
      </w:r>
      <w:r w:rsidRPr="006C6A90" w:rsidR="0033390A">
        <w:rPr>
          <w:rFonts w:ascii="Times New Roman" w:hAnsi="Times New Roman"/>
          <w:u w:val="single"/>
        </w:rPr>
        <w:t xml:space="preserve"> </w:t>
      </w:r>
      <w:r w:rsidRPr="006C6A90">
        <w:rPr>
          <w:rFonts w:ascii="Times New Roman" w:hAnsi="Times New Roman"/>
          <w:u w:val="single"/>
        </w:rPr>
        <w:t>INSTRUCTIONS AND FORMS, AND DATA ELEMENTS</w:t>
      </w:r>
    </w:p>
    <w:p w:rsidR="00FF371A" w:rsidRPr="006C6A90" w14:paraId="0B29F530" w14:textId="77777777">
      <w:pPr>
        <w:rPr>
          <w:rFonts w:ascii="Times New Roman" w:hAnsi="Times New Roman"/>
        </w:rPr>
      </w:pPr>
    </w:p>
    <w:p w:rsidR="00E5567E" w:rsidRPr="006C6A90" w:rsidP="00983B52" w14:paraId="2006549D" w14:textId="229A6305">
      <w:pPr>
        <w:ind w:left="720"/>
        <w:rPr>
          <w:rFonts w:ascii="Times New Roman" w:hAnsi="Times New Roman"/>
        </w:rPr>
      </w:pPr>
      <w:r w:rsidRPr="006C6A90">
        <w:rPr>
          <w:rFonts w:ascii="Times New Roman" w:hAnsi="Times New Roman"/>
        </w:rPr>
        <w:t>In response to the Federal Register notice (</w:t>
      </w:r>
      <w:r w:rsidR="001E49A0">
        <w:rPr>
          <w:rFonts w:ascii="Times New Roman" w:hAnsi="Times New Roman"/>
        </w:rPr>
        <w:t>90</w:t>
      </w:r>
      <w:r w:rsidRPr="006C6A90">
        <w:rPr>
          <w:rFonts w:ascii="Times New Roman" w:hAnsi="Times New Roman"/>
        </w:rPr>
        <w:t xml:space="preserve"> FR </w:t>
      </w:r>
      <w:r w:rsidR="0063110E">
        <w:rPr>
          <w:rFonts w:ascii="Times New Roman" w:hAnsi="Times New Roman"/>
        </w:rPr>
        <w:t>8839</w:t>
      </w:r>
      <w:r w:rsidRPr="006C6A90">
        <w:rPr>
          <w:rFonts w:ascii="Times New Roman" w:hAnsi="Times New Roman"/>
        </w:rPr>
        <w:t xml:space="preserve">), dated </w:t>
      </w:r>
      <w:r w:rsidR="0063110E">
        <w:rPr>
          <w:rFonts w:ascii="Times New Roman" w:hAnsi="Times New Roman"/>
        </w:rPr>
        <w:t>February 3</w:t>
      </w:r>
      <w:r w:rsidRPr="006C6A90">
        <w:rPr>
          <w:rFonts w:ascii="Times New Roman" w:hAnsi="Times New Roman"/>
        </w:rPr>
        <w:t>, 202</w:t>
      </w:r>
      <w:r w:rsidR="00983B52">
        <w:rPr>
          <w:rFonts w:ascii="Times New Roman" w:hAnsi="Times New Roman"/>
        </w:rPr>
        <w:t>5</w:t>
      </w:r>
      <w:r w:rsidRPr="006C6A90">
        <w:rPr>
          <w:rFonts w:ascii="Times New Roman" w:hAnsi="Times New Roman"/>
        </w:rPr>
        <w:t xml:space="preserve">, the IRS received </w:t>
      </w:r>
      <w:r w:rsidR="00983B52">
        <w:rPr>
          <w:rFonts w:ascii="Times New Roman" w:hAnsi="Times New Roman"/>
        </w:rPr>
        <w:t>no</w:t>
      </w:r>
      <w:r w:rsidRPr="006C6A90">
        <w:rPr>
          <w:rFonts w:ascii="Times New Roman" w:hAnsi="Times New Roman"/>
        </w:rPr>
        <w:t xml:space="preserve"> comment</w:t>
      </w:r>
      <w:r w:rsidR="00983B52">
        <w:rPr>
          <w:rFonts w:ascii="Times New Roman" w:hAnsi="Times New Roman"/>
        </w:rPr>
        <w:t xml:space="preserve">s </w:t>
      </w:r>
      <w:r w:rsidRPr="006C6A90">
        <w:rPr>
          <w:rFonts w:ascii="Times New Roman" w:hAnsi="Times New Roman"/>
        </w:rPr>
        <w:t xml:space="preserve">during the comment period for this collection of information. </w:t>
      </w:r>
    </w:p>
    <w:p w:rsidR="00FF371A" w:rsidRPr="006C6A90" w14:paraId="19F7A320" w14:textId="77777777">
      <w:pPr>
        <w:rPr>
          <w:rFonts w:ascii="Times New Roman" w:hAnsi="Times New Roman"/>
        </w:rPr>
      </w:pPr>
      <w:r w:rsidRPr="006C6A90">
        <w:rPr>
          <w:rFonts w:ascii="Times New Roman" w:hAnsi="Times New Roman"/>
          <w:b/>
        </w:rPr>
        <w:t xml:space="preserve"> </w:t>
      </w:r>
    </w:p>
    <w:p w:rsidR="00FF371A" w:rsidRPr="006C6A90" w:rsidP="0033390A" w14:paraId="4C39CC21" w14:textId="25C19CB6">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EXPLANATION OF DECISION TO PROVIDE ANY PAYMENT OR GIFT TO RESPONDENTS</w:t>
      </w:r>
    </w:p>
    <w:p w:rsidR="00FF371A" w:rsidRPr="006C6A90" w14:paraId="6058EF18" w14:textId="77777777">
      <w:pPr>
        <w:rPr>
          <w:rFonts w:ascii="Times New Roman" w:hAnsi="Times New Roman"/>
        </w:rPr>
      </w:pPr>
    </w:p>
    <w:p w:rsidR="00FF371A" w:rsidRPr="006C6A90" w14:paraId="4ED95524" w14:textId="62BA44D3">
      <w:pPr>
        <w:ind w:left="720"/>
        <w:rPr>
          <w:rFonts w:ascii="Times New Roman" w:hAnsi="Times New Roman"/>
        </w:rPr>
      </w:pPr>
      <w:r w:rsidRPr="001E49A0">
        <w:rPr>
          <w:rFonts w:ascii="Times New Roman" w:hAnsi="Times New Roman"/>
        </w:rPr>
        <w:t>No payment or gift will be provided to any respondents.</w:t>
      </w:r>
    </w:p>
    <w:p w:rsidR="00FF371A" w:rsidRPr="006C6A90" w14:paraId="02A435BA" w14:textId="77777777">
      <w:pPr>
        <w:rPr>
          <w:rFonts w:ascii="Times New Roman" w:hAnsi="Times New Roman"/>
        </w:rPr>
      </w:pPr>
    </w:p>
    <w:p w:rsidR="00FF371A" w:rsidRPr="006C6A90" w:rsidP="0033390A" w14:paraId="70ADC668"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ASSURANCE OF CONFIDENTIALITY OF RESPONSES</w:t>
      </w:r>
    </w:p>
    <w:p w:rsidR="00FF371A" w:rsidRPr="006C6A90" w14:paraId="55A17992" w14:textId="77777777">
      <w:pPr>
        <w:rPr>
          <w:rFonts w:ascii="Times New Roman" w:hAnsi="Times New Roman"/>
        </w:rPr>
      </w:pPr>
    </w:p>
    <w:p w:rsidR="00FF371A" w:rsidRPr="006C6A90" w14:paraId="2EC1B546" w14:textId="5EF5C67B">
      <w:pPr>
        <w:ind w:left="720"/>
        <w:rPr>
          <w:rFonts w:ascii="Times New Roman" w:hAnsi="Times New Roman"/>
        </w:rPr>
      </w:pPr>
      <w:r w:rsidRPr="006C6A90">
        <w:rPr>
          <w:rFonts w:ascii="Times New Roman" w:hAnsi="Times New Roman"/>
        </w:rPr>
        <w:t>Generally, tax returns and tax return information are confidential as required by 26 U</w:t>
      </w:r>
      <w:r w:rsidRPr="006C6A90" w:rsidR="00E55C29">
        <w:rPr>
          <w:rFonts w:ascii="Times New Roman" w:hAnsi="Times New Roman"/>
        </w:rPr>
        <w:t>.</w:t>
      </w:r>
      <w:r w:rsidRPr="006C6A90">
        <w:rPr>
          <w:rFonts w:ascii="Times New Roman" w:hAnsi="Times New Roman"/>
        </w:rPr>
        <w:t>S</w:t>
      </w:r>
      <w:r w:rsidRPr="006C6A90" w:rsidR="00E55C29">
        <w:rPr>
          <w:rFonts w:ascii="Times New Roman" w:hAnsi="Times New Roman"/>
        </w:rPr>
        <w:t>.</w:t>
      </w:r>
      <w:r w:rsidRPr="006C6A90">
        <w:rPr>
          <w:rFonts w:ascii="Times New Roman" w:hAnsi="Times New Roman"/>
        </w:rPr>
        <w:t>C</w:t>
      </w:r>
      <w:r w:rsidRPr="006C6A90" w:rsidR="00E55C29">
        <w:rPr>
          <w:rFonts w:ascii="Times New Roman" w:hAnsi="Times New Roman"/>
        </w:rPr>
        <w:t>.</w:t>
      </w:r>
      <w:r w:rsidRPr="006C6A90">
        <w:rPr>
          <w:rFonts w:ascii="Times New Roman" w:hAnsi="Times New Roman"/>
        </w:rPr>
        <w:t xml:space="preserve"> 6103.</w:t>
      </w:r>
    </w:p>
    <w:p w:rsidR="00FF371A" w:rsidRPr="006C6A90" w14:paraId="58541319" w14:textId="77777777">
      <w:pPr>
        <w:rPr>
          <w:rFonts w:ascii="Times New Roman" w:hAnsi="Times New Roman"/>
        </w:rPr>
      </w:pPr>
    </w:p>
    <w:p w:rsidR="00FF371A" w:rsidRPr="006C6A90" w:rsidP="0033390A" w14:paraId="2C6D89AA" w14:textId="7777777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JUSTIFICATION OF SENSITIVE QUESTIONS</w:t>
      </w:r>
    </w:p>
    <w:p w:rsidR="00FF371A" w:rsidRPr="006C6A90" w14:paraId="01470199" w14:textId="77777777">
      <w:pPr>
        <w:rPr>
          <w:rFonts w:ascii="Times New Roman" w:hAnsi="Times New Roman"/>
          <w:u w:val="single"/>
        </w:rPr>
      </w:pPr>
    </w:p>
    <w:p w:rsidR="00FA24EB" w:rsidRPr="006C6A90" w:rsidP="000E650E" w14:paraId="1C14FEF6" w14:textId="3BCCE60D">
      <w:pPr>
        <w:ind w:left="720"/>
        <w:rPr>
          <w:rFonts w:ascii="Times New Roman" w:hAnsi="Times New Roman"/>
        </w:rPr>
      </w:pPr>
      <w:r w:rsidRPr="006C6A90">
        <w:rPr>
          <w:rFonts w:ascii="Times New Roman" w:hAnsi="Times New Roman"/>
        </w:rPr>
        <w:t>A privacy impact assessment (PIA) has been conducted for</w:t>
      </w:r>
      <w:r w:rsidRPr="006C6A90" w:rsidR="002C5DA3">
        <w:rPr>
          <w:rFonts w:ascii="Times New Roman" w:hAnsi="Times New Roman"/>
        </w:rPr>
        <w:t xml:space="preserve"> </w:t>
      </w:r>
      <w:r w:rsidRPr="006C6A90">
        <w:rPr>
          <w:rFonts w:ascii="Times New Roman" w:hAnsi="Times New Roman"/>
        </w:rPr>
        <w:t xml:space="preserve">information collected under </w:t>
      </w:r>
      <w:r w:rsidRPr="006C6A90" w:rsidR="002C5DA3">
        <w:rPr>
          <w:rFonts w:ascii="Times New Roman" w:hAnsi="Times New Roman"/>
        </w:rPr>
        <w:t xml:space="preserve">                 </w:t>
      </w:r>
      <w:r w:rsidRPr="006C6A90">
        <w:rPr>
          <w:rFonts w:ascii="Times New Roman" w:hAnsi="Times New Roman"/>
        </w:rPr>
        <w:t>this request as part of the</w:t>
      </w:r>
      <w:r w:rsidRPr="006C6A90" w:rsidR="002C5DA3">
        <w:rPr>
          <w:rFonts w:ascii="Times New Roman" w:hAnsi="Times New Roman"/>
        </w:rPr>
        <w:t xml:space="preserve"> </w:t>
      </w:r>
      <w:r w:rsidRPr="006C6A90">
        <w:rPr>
          <w:rFonts w:ascii="Times New Roman" w:hAnsi="Times New Roman"/>
        </w:rPr>
        <w:t>“</w:t>
      </w:r>
      <w:r w:rsidRPr="006C6A90" w:rsidR="00DF7836">
        <w:rPr>
          <w:rFonts w:ascii="Times New Roman" w:hAnsi="Times New Roman"/>
          <w:color w:val="000000"/>
        </w:rPr>
        <w:t>Individual</w:t>
      </w:r>
      <w:r w:rsidRPr="006C6A90">
        <w:rPr>
          <w:rFonts w:ascii="Times New Roman" w:hAnsi="Times New Roman"/>
          <w:color w:val="000000"/>
        </w:rPr>
        <w:t xml:space="preserve"> Master File (</w:t>
      </w:r>
      <w:r w:rsidRPr="006C6A90" w:rsidR="00DF7836">
        <w:rPr>
          <w:rFonts w:ascii="Times New Roman" w:hAnsi="Times New Roman"/>
          <w:color w:val="000000"/>
        </w:rPr>
        <w:t>I</w:t>
      </w:r>
      <w:r w:rsidRPr="006C6A90">
        <w:rPr>
          <w:rFonts w:ascii="Times New Roman" w:hAnsi="Times New Roman"/>
          <w:color w:val="000000"/>
        </w:rPr>
        <w:t>MF)</w:t>
      </w:r>
      <w:r w:rsidRPr="006C6A90">
        <w:rPr>
          <w:rFonts w:ascii="Times New Roman" w:hAnsi="Times New Roman"/>
        </w:rPr>
        <w:t xml:space="preserve">” system and a Privacy Act System of Records notice (SORN) has been issued for </w:t>
      </w:r>
      <w:r w:rsidRPr="006C6A90" w:rsidR="00DF7836">
        <w:rPr>
          <w:rFonts w:ascii="Times New Roman" w:hAnsi="Times New Roman"/>
          <w:bCs/>
        </w:rPr>
        <w:t xml:space="preserve">these systems under Treasury/IRS 22.062 - Electronic Filing Records; Treasury/IRS 24.030 - Customer Account Data Engine (CADE) Individual Master File; IRS 24.046 - CADE Business Master File (BMF); Treasury/IRS 34.037 - Audit Trail and Security Records. </w:t>
      </w:r>
      <w:bookmarkStart w:id="2" w:name="_Hlk90540730"/>
      <w:r w:rsidRPr="006C6A90" w:rsidR="00DF7836">
        <w:rPr>
          <w:rFonts w:ascii="Times New Roman" w:hAnsi="Times New Roman"/>
          <w:bCs/>
        </w:rPr>
        <w:t xml:space="preserve">The Internal Revenue Service PIAs can be found at </w:t>
      </w:r>
      <w:bookmarkStart w:id="3" w:name="_Hlk90530558"/>
      <w:hyperlink r:id="rId5" w:history="1">
        <w:r w:rsidRPr="006C6A90" w:rsidR="00DF7836">
          <w:rPr>
            <w:rStyle w:val="Hyperlink"/>
            <w:rFonts w:ascii="Times New Roman" w:hAnsi="Times New Roman"/>
            <w:bCs/>
          </w:rPr>
          <w:t>https://www.irs.gov/privacy-disclosure/privacy-impact-assessments-pia</w:t>
        </w:r>
      </w:hyperlink>
      <w:bookmarkEnd w:id="3"/>
      <w:r w:rsidRPr="006C6A90" w:rsidR="00DF7836">
        <w:rPr>
          <w:rFonts w:ascii="Times New Roman" w:hAnsi="Times New Roman"/>
          <w:bCs/>
        </w:rPr>
        <w:t>.</w:t>
      </w:r>
      <w:bookmarkEnd w:id="2"/>
    </w:p>
    <w:p w:rsidR="00FA24EB" w:rsidRPr="006C6A90" w:rsidP="00FA24EB" w14:paraId="6C85D591" w14:textId="77777777">
      <w:pPr>
        <w:pStyle w:val="ListParagraph"/>
      </w:pPr>
    </w:p>
    <w:p w:rsidR="00FF371A" w:rsidRPr="006C6A90" w:rsidP="00FA24EB" w14:paraId="655F1BD7" w14:textId="7A54BDBB">
      <w:pPr>
        <w:ind w:left="720"/>
        <w:rPr>
          <w:rFonts w:ascii="Times New Roman" w:hAnsi="Times New Roman"/>
        </w:rPr>
      </w:pPr>
      <w:r w:rsidRPr="006C6A90">
        <w:rPr>
          <w:rFonts w:ascii="Times New Roman" w:hAnsi="Times New Roman"/>
        </w:rPr>
        <w:t>Title 26 U</w:t>
      </w:r>
      <w:r w:rsidRPr="006C6A90" w:rsidR="00DF7836">
        <w:rPr>
          <w:rFonts w:ascii="Times New Roman" w:hAnsi="Times New Roman"/>
        </w:rPr>
        <w:t>.</w:t>
      </w:r>
      <w:r w:rsidRPr="006C6A90">
        <w:rPr>
          <w:rFonts w:ascii="Times New Roman" w:hAnsi="Times New Roman"/>
        </w:rPr>
        <w:t>S</w:t>
      </w:r>
      <w:r w:rsidRPr="006C6A90" w:rsidR="00DF7836">
        <w:rPr>
          <w:rFonts w:ascii="Times New Roman" w:hAnsi="Times New Roman"/>
        </w:rPr>
        <w:t>.</w:t>
      </w:r>
      <w:r w:rsidRPr="006C6A90">
        <w:rPr>
          <w:rFonts w:ascii="Times New Roman" w:hAnsi="Times New Roman"/>
        </w:rPr>
        <w:t>C</w:t>
      </w:r>
      <w:r w:rsidRPr="006C6A90" w:rsidR="00DF7836">
        <w:rPr>
          <w:rFonts w:ascii="Times New Roman" w:hAnsi="Times New Roman"/>
        </w:rPr>
        <w:t>.</w:t>
      </w:r>
      <w:r w:rsidRPr="006C6A90">
        <w:rPr>
          <w:rFonts w:ascii="Times New Roman" w:hAnsi="Times New Roman"/>
        </w:rPr>
        <w:t xml:space="preserve"> 6109 requires inclusion of identifying numbers in returns, statements, or </w:t>
      </w:r>
      <w:r w:rsidRPr="006C6A90">
        <w:rPr>
          <w:rFonts w:ascii="Times New Roman" w:hAnsi="Times New Roman"/>
        </w:rPr>
        <w:t>other documents for securing proper identification of persons required to make such returns, statements, or documents and is the authority for social security numbers (SSNs) in IRS systems. </w:t>
      </w:r>
    </w:p>
    <w:p w:rsidR="00E55C29" w:rsidRPr="006C6A90" w:rsidP="00FA24EB" w14:paraId="682FB910" w14:textId="09DB94F3">
      <w:pPr>
        <w:ind w:left="720"/>
        <w:rPr>
          <w:rFonts w:ascii="Times New Roman" w:hAnsi="Times New Roman"/>
        </w:rPr>
      </w:pPr>
    </w:p>
    <w:p w:rsidR="00E55C29" w:rsidRPr="006C6A90" w:rsidP="00FA24EB" w14:paraId="47EDE49A" w14:textId="49E9E13A">
      <w:pPr>
        <w:ind w:left="720"/>
        <w:rPr>
          <w:rFonts w:ascii="Times New Roman" w:hAnsi="Times New Roman"/>
        </w:rPr>
      </w:pPr>
      <w:r w:rsidRPr="006C6A90">
        <w:rPr>
          <w:rFonts w:ascii="Times New Roman" w:hAnsi="Times New Roman"/>
        </w:rPr>
        <w:t xml:space="preserve">This is an attachment to the </w:t>
      </w:r>
      <w:r w:rsidRPr="006C6A90" w:rsidR="00295786">
        <w:rPr>
          <w:rFonts w:ascii="Times New Roman" w:hAnsi="Times New Roman"/>
        </w:rPr>
        <w:t>f</w:t>
      </w:r>
      <w:r w:rsidRPr="006C6A90">
        <w:rPr>
          <w:rFonts w:ascii="Times New Roman" w:hAnsi="Times New Roman"/>
        </w:rPr>
        <w:t xml:space="preserve">ederal tax return. The Privacy Act statement associated with this </w:t>
      </w:r>
      <w:r w:rsidRPr="006C6A90" w:rsidR="00295786">
        <w:rPr>
          <w:rFonts w:ascii="Times New Roman" w:hAnsi="Times New Roman"/>
        </w:rPr>
        <w:t>f</w:t>
      </w:r>
      <w:r w:rsidRPr="006C6A90">
        <w:rPr>
          <w:rFonts w:ascii="Times New Roman" w:hAnsi="Times New Roman"/>
        </w:rPr>
        <w:t xml:space="preserve">orm is listed in the </w:t>
      </w:r>
      <w:r w:rsidRPr="006C6A90" w:rsidR="00295786">
        <w:rPr>
          <w:rFonts w:ascii="Times New Roman" w:hAnsi="Times New Roman"/>
        </w:rPr>
        <w:t>f</w:t>
      </w:r>
      <w:r w:rsidRPr="006C6A90">
        <w:rPr>
          <w:rFonts w:ascii="Times New Roman" w:hAnsi="Times New Roman"/>
        </w:rPr>
        <w:t>ederal tax return instructions.</w:t>
      </w:r>
    </w:p>
    <w:p w:rsidR="00ED7ED3" w:rsidRPr="006C6A90" w14:paraId="72EB547E" w14:textId="77777777">
      <w:pPr>
        <w:rPr>
          <w:rFonts w:ascii="Times New Roman" w:hAnsi="Times New Roman"/>
        </w:rPr>
      </w:pPr>
    </w:p>
    <w:p w:rsidR="00FF371A" w:rsidRPr="006C6A90" w:rsidP="0033390A" w14:paraId="1FD6A866" w14:textId="607EC0A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ESTIMATED BURDEN OF INFORMATION COLLECTION</w:t>
      </w:r>
    </w:p>
    <w:p w:rsidR="00333706" w:rsidRPr="006C6A90" w:rsidP="00333706" w14:paraId="79B1A320" w14:textId="77777777">
      <w:pPr>
        <w:pStyle w:val="Level1"/>
        <w:numPr>
          <w:ilvl w:val="0"/>
          <w:numId w:val="0"/>
        </w:numPr>
        <w:tabs>
          <w:tab w:val="left" w:pos="-1440"/>
        </w:tabs>
        <w:ind w:left="720"/>
        <w:rPr>
          <w:rFonts w:ascii="Times New Roman" w:hAnsi="Times New Roman"/>
          <w:u w:val="single"/>
        </w:rPr>
      </w:pPr>
    </w:p>
    <w:p w:rsidR="00E757E7" w:rsidRPr="006C6A90" w:rsidP="006C4382" w14:paraId="2AAA9D81" w14:textId="6182D546">
      <w:pPr>
        <w:ind w:left="720"/>
        <w:rPr>
          <w:rFonts w:ascii="Times New Roman" w:hAnsi="Times New Roman"/>
        </w:rPr>
      </w:pPr>
      <w:r w:rsidRPr="006C6A90">
        <w:rPr>
          <w:rFonts w:ascii="Times New Roman" w:hAnsi="Times New Roman"/>
        </w:rPr>
        <w:t>The estimated burdens for individual and tax-exempt filers are included in the estimates for OMB control numbers 1545-0074 and 1545-0047.</w:t>
      </w:r>
    </w:p>
    <w:p w:rsidR="00E757E7" w:rsidRPr="006C6A90" w:rsidP="006C4382" w14:paraId="1D0F1379" w14:textId="77777777">
      <w:pPr>
        <w:ind w:left="720"/>
        <w:rPr>
          <w:rFonts w:ascii="Times New Roman" w:hAnsi="Times New Roman"/>
        </w:rPr>
      </w:pPr>
    </w:p>
    <w:p w:rsidR="006C4382" w:rsidRPr="006C6A90" w:rsidP="006C4382" w14:paraId="4FD23313" w14:textId="4969A124">
      <w:pPr>
        <w:ind w:left="720"/>
        <w:rPr>
          <w:rFonts w:ascii="Times New Roman" w:hAnsi="Times New Roman"/>
        </w:rPr>
      </w:pPr>
      <w:r w:rsidRPr="006C6A90">
        <w:rPr>
          <w:rFonts w:ascii="Times New Roman" w:hAnsi="Times New Roman"/>
        </w:rPr>
        <w:t xml:space="preserve">This collection includes the estimated burden for estate and trust filers </w:t>
      </w:r>
      <w:r w:rsidRPr="006C6A90">
        <w:rPr>
          <w:rFonts w:ascii="Times New Roman" w:hAnsi="Times New Roman"/>
        </w:rPr>
        <w:t>required to file Form 7203 with their tax return. The IRS anticipates that there will be approximately 70,000 respondents annually, with a total estimated burden of 2</w:t>
      </w:r>
      <w:r w:rsidR="00EB6E86">
        <w:rPr>
          <w:rFonts w:ascii="Times New Roman" w:hAnsi="Times New Roman"/>
        </w:rPr>
        <w:t>14,200</w:t>
      </w:r>
      <w:r w:rsidRPr="006C6A90">
        <w:rPr>
          <w:rFonts w:ascii="Times New Roman" w:hAnsi="Times New Roman"/>
        </w:rPr>
        <w:t xml:space="preserve"> hours annually. The estimated burden is shown below.</w:t>
      </w:r>
    </w:p>
    <w:p w:rsidR="00E55C29" w:rsidRPr="006C6A90" w:rsidP="006C4382" w14:paraId="29EC2813" w14:textId="63CA193F">
      <w:pPr>
        <w:ind w:left="720"/>
        <w:rPr>
          <w:rFonts w:ascii="Times New Roman" w:hAnsi="Times New Roman"/>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403"/>
        <w:gridCol w:w="1523"/>
        <w:gridCol w:w="1430"/>
        <w:gridCol w:w="1270"/>
        <w:gridCol w:w="1177"/>
        <w:gridCol w:w="996"/>
      </w:tblGrid>
      <w:tr w14:paraId="0C768626" w14:textId="77777777" w:rsidTr="00025382">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E55C29" w:rsidRPr="006C6A90" w:rsidP="00025382" w14:paraId="79CA0CED" w14:textId="77777777">
            <w:pPr>
              <w:keepNext/>
              <w:keepLines/>
              <w:numPr>
                <w:ilvl w:val="12"/>
                <w:numId w:val="0"/>
              </w:numPr>
              <w:jc w:val="center"/>
              <w:rPr>
                <w:rFonts w:ascii="Times New Roman" w:hAnsi="Times New Roman"/>
                <w:b/>
              </w:rPr>
            </w:pPr>
            <w:r w:rsidRPr="006C6A90">
              <w:rPr>
                <w:rFonts w:ascii="Times New Roman" w:hAnsi="Times New Roman"/>
                <w:b/>
              </w:rPr>
              <w:t>Authority</w:t>
            </w:r>
          </w:p>
        </w:tc>
        <w:tc>
          <w:tcPr>
            <w:tcW w:w="1916" w:type="dxa"/>
            <w:vAlign w:val="bottom"/>
          </w:tcPr>
          <w:p w:rsidR="00E55C29" w:rsidRPr="006C6A90" w:rsidP="00025382" w14:paraId="575EC6AC" w14:textId="77777777">
            <w:pPr>
              <w:keepNext/>
              <w:keepLines/>
              <w:numPr>
                <w:ilvl w:val="12"/>
                <w:numId w:val="0"/>
              </w:numPr>
              <w:jc w:val="center"/>
              <w:rPr>
                <w:rFonts w:ascii="Times New Roman" w:hAnsi="Times New Roman"/>
                <w:b/>
              </w:rPr>
            </w:pPr>
            <w:r w:rsidRPr="006C6A90">
              <w:rPr>
                <w:rFonts w:ascii="Times New Roman" w:hAnsi="Times New Roman"/>
                <w:b/>
              </w:rPr>
              <w:t>Description</w:t>
            </w:r>
          </w:p>
        </w:tc>
        <w:tc>
          <w:tcPr>
            <w:tcW w:w="1170" w:type="dxa"/>
            <w:vAlign w:val="bottom"/>
          </w:tcPr>
          <w:p w:rsidR="00E55C29" w:rsidRPr="006C6A90" w:rsidP="00025382" w14:paraId="69F8A7F2" w14:textId="77777777">
            <w:pPr>
              <w:keepNext/>
              <w:keepLines/>
              <w:numPr>
                <w:ilvl w:val="12"/>
                <w:numId w:val="0"/>
              </w:numPr>
              <w:jc w:val="center"/>
              <w:rPr>
                <w:rFonts w:ascii="Times New Roman" w:hAnsi="Times New Roman"/>
                <w:b/>
              </w:rPr>
            </w:pPr>
            <w:r w:rsidRPr="006C6A90">
              <w:rPr>
                <w:rFonts w:ascii="Times New Roman" w:hAnsi="Times New Roman"/>
                <w:b/>
              </w:rPr>
              <w:t># of Respondents</w:t>
            </w:r>
          </w:p>
        </w:tc>
        <w:tc>
          <w:tcPr>
            <w:tcW w:w="1170" w:type="dxa"/>
            <w:vAlign w:val="bottom"/>
          </w:tcPr>
          <w:p w:rsidR="00E55C29" w:rsidRPr="006C6A90" w:rsidP="00025382" w14:paraId="034FEB99" w14:textId="77777777">
            <w:pPr>
              <w:keepNext/>
              <w:keepLines/>
              <w:numPr>
                <w:ilvl w:val="12"/>
                <w:numId w:val="0"/>
              </w:numPr>
              <w:jc w:val="center"/>
              <w:rPr>
                <w:rFonts w:ascii="Times New Roman" w:hAnsi="Times New Roman"/>
                <w:b/>
              </w:rPr>
            </w:pPr>
            <w:r w:rsidRPr="006C6A90">
              <w:rPr>
                <w:rFonts w:ascii="Times New Roman" w:hAnsi="Times New Roman"/>
                <w:b/>
              </w:rPr>
              <w:t># Responses per Respondent</w:t>
            </w:r>
          </w:p>
        </w:tc>
        <w:tc>
          <w:tcPr>
            <w:tcW w:w="1080" w:type="dxa"/>
            <w:shd w:val="clear" w:color="auto" w:fill="auto"/>
            <w:vAlign w:val="bottom"/>
          </w:tcPr>
          <w:p w:rsidR="00E55C29" w:rsidRPr="006C6A90" w:rsidP="00025382" w14:paraId="2C0E09A6" w14:textId="77777777">
            <w:pPr>
              <w:keepNext/>
              <w:keepLines/>
              <w:numPr>
                <w:ilvl w:val="12"/>
                <w:numId w:val="0"/>
              </w:numPr>
              <w:jc w:val="center"/>
              <w:rPr>
                <w:rFonts w:ascii="Times New Roman" w:hAnsi="Times New Roman"/>
                <w:b/>
              </w:rPr>
            </w:pPr>
            <w:r w:rsidRPr="006C6A90">
              <w:rPr>
                <w:rFonts w:ascii="Times New Roman" w:hAnsi="Times New Roman"/>
                <w:b/>
              </w:rPr>
              <w:t>Annual Responses</w:t>
            </w:r>
          </w:p>
        </w:tc>
        <w:tc>
          <w:tcPr>
            <w:tcW w:w="1170" w:type="dxa"/>
            <w:vAlign w:val="bottom"/>
          </w:tcPr>
          <w:p w:rsidR="00E55C29" w:rsidRPr="006C6A90" w:rsidP="00025382" w14:paraId="31950092" w14:textId="77777777">
            <w:pPr>
              <w:keepNext/>
              <w:keepLines/>
              <w:numPr>
                <w:ilvl w:val="12"/>
                <w:numId w:val="0"/>
              </w:numPr>
              <w:jc w:val="center"/>
              <w:rPr>
                <w:rFonts w:ascii="Times New Roman" w:hAnsi="Times New Roman"/>
                <w:b/>
              </w:rPr>
            </w:pPr>
            <w:r w:rsidRPr="006C6A90">
              <w:rPr>
                <w:rFonts w:ascii="Times New Roman" w:hAnsi="Times New Roman"/>
                <w:b/>
              </w:rPr>
              <w:t>Hours per Response</w:t>
            </w:r>
          </w:p>
        </w:tc>
        <w:tc>
          <w:tcPr>
            <w:tcW w:w="1170" w:type="dxa"/>
            <w:shd w:val="clear" w:color="auto" w:fill="auto"/>
            <w:vAlign w:val="bottom"/>
          </w:tcPr>
          <w:p w:rsidR="00E55C29" w:rsidRPr="006C6A90" w:rsidP="00025382" w14:paraId="3C43B4A9" w14:textId="77777777">
            <w:pPr>
              <w:keepNext/>
              <w:keepLines/>
              <w:numPr>
                <w:ilvl w:val="12"/>
                <w:numId w:val="0"/>
              </w:numPr>
              <w:jc w:val="center"/>
              <w:rPr>
                <w:rFonts w:ascii="Times New Roman" w:hAnsi="Times New Roman"/>
                <w:b/>
              </w:rPr>
            </w:pPr>
            <w:r w:rsidRPr="006C6A90">
              <w:rPr>
                <w:rFonts w:ascii="Times New Roman" w:hAnsi="Times New Roman"/>
                <w:b/>
              </w:rPr>
              <w:t>Total Burden</w:t>
            </w:r>
          </w:p>
        </w:tc>
      </w:tr>
      <w:tr w14:paraId="7B4DE114" w14:textId="77777777" w:rsidTr="00025382">
        <w:tblPrEx>
          <w:tblW w:w="8934" w:type="dxa"/>
          <w:tblInd w:w="468" w:type="dxa"/>
          <w:tblLook w:val="04A0"/>
        </w:tblPrEx>
        <w:tc>
          <w:tcPr>
            <w:tcW w:w="1258" w:type="dxa"/>
            <w:shd w:val="clear" w:color="auto" w:fill="auto"/>
            <w:vAlign w:val="bottom"/>
          </w:tcPr>
          <w:p w:rsidR="00E55C29" w:rsidRPr="006C6A90" w:rsidP="00025382" w14:paraId="3A050F9C" w14:textId="08AA7A8C">
            <w:pPr>
              <w:keepNext/>
              <w:keepLines/>
              <w:numPr>
                <w:ilvl w:val="12"/>
                <w:numId w:val="0"/>
              </w:numPr>
              <w:jc w:val="center"/>
              <w:rPr>
                <w:rFonts w:ascii="Times New Roman" w:hAnsi="Times New Roman"/>
              </w:rPr>
            </w:pPr>
            <w:r w:rsidRPr="006C6A90">
              <w:rPr>
                <w:rFonts w:ascii="Times New Roman" w:hAnsi="Times New Roman"/>
              </w:rPr>
              <w:t>IRC 1366 and 1367</w:t>
            </w:r>
          </w:p>
        </w:tc>
        <w:tc>
          <w:tcPr>
            <w:tcW w:w="1916" w:type="dxa"/>
            <w:vAlign w:val="bottom"/>
          </w:tcPr>
          <w:p w:rsidR="00E55C29" w:rsidRPr="006C6A90" w:rsidP="00025382" w14:paraId="6F34A92A" w14:textId="0CF867A8">
            <w:pPr>
              <w:keepNext/>
              <w:keepLines/>
              <w:numPr>
                <w:ilvl w:val="12"/>
                <w:numId w:val="0"/>
              </w:numPr>
              <w:jc w:val="center"/>
              <w:rPr>
                <w:rFonts w:ascii="Times New Roman" w:hAnsi="Times New Roman"/>
              </w:rPr>
            </w:pPr>
            <w:r w:rsidRPr="006C6A90">
              <w:rPr>
                <w:rFonts w:ascii="Times New Roman" w:hAnsi="Times New Roman"/>
              </w:rPr>
              <w:t>Form 7203</w:t>
            </w:r>
          </w:p>
        </w:tc>
        <w:tc>
          <w:tcPr>
            <w:tcW w:w="1170" w:type="dxa"/>
            <w:vAlign w:val="bottom"/>
          </w:tcPr>
          <w:p w:rsidR="00E55C29" w:rsidRPr="006C6A90" w:rsidP="00025382" w14:paraId="524A93C3" w14:textId="544A1563">
            <w:pPr>
              <w:keepNext/>
              <w:keepLines/>
              <w:numPr>
                <w:ilvl w:val="12"/>
                <w:numId w:val="0"/>
              </w:numPr>
              <w:jc w:val="center"/>
              <w:rPr>
                <w:rFonts w:ascii="Times New Roman" w:hAnsi="Times New Roman"/>
              </w:rPr>
            </w:pPr>
            <w:r w:rsidRPr="006C6A90">
              <w:rPr>
                <w:rFonts w:ascii="Times New Roman" w:hAnsi="Times New Roman"/>
              </w:rPr>
              <w:t>70,000</w:t>
            </w:r>
          </w:p>
        </w:tc>
        <w:tc>
          <w:tcPr>
            <w:tcW w:w="1170" w:type="dxa"/>
            <w:vAlign w:val="bottom"/>
          </w:tcPr>
          <w:p w:rsidR="00E55C29" w:rsidRPr="006C6A90" w:rsidP="00025382" w14:paraId="12138213" w14:textId="3923663C">
            <w:pPr>
              <w:keepNext/>
              <w:keepLines/>
              <w:numPr>
                <w:ilvl w:val="12"/>
                <w:numId w:val="0"/>
              </w:numPr>
              <w:jc w:val="center"/>
              <w:rPr>
                <w:rFonts w:ascii="Times New Roman" w:hAnsi="Times New Roman"/>
              </w:rPr>
            </w:pPr>
            <w:r w:rsidRPr="006C6A90">
              <w:rPr>
                <w:rFonts w:ascii="Times New Roman" w:hAnsi="Times New Roman"/>
              </w:rPr>
              <w:t>1</w:t>
            </w:r>
          </w:p>
        </w:tc>
        <w:tc>
          <w:tcPr>
            <w:tcW w:w="1080" w:type="dxa"/>
            <w:shd w:val="clear" w:color="auto" w:fill="auto"/>
            <w:vAlign w:val="bottom"/>
          </w:tcPr>
          <w:p w:rsidR="00E55C29" w:rsidRPr="006C6A90" w:rsidP="00025382" w14:paraId="1171CB67" w14:textId="1624D869">
            <w:pPr>
              <w:keepNext/>
              <w:keepLines/>
              <w:numPr>
                <w:ilvl w:val="12"/>
                <w:numId w:val="0"/>
              </w:numPr>
              <w:jc w:val="center"/>
              <w:rPr>
                <w:rFonts w:ascii="Times New Roman" w:hAnsi="Times New Roman"/>
              </w:rPr>
            </w:pPr>
            <w:r w:rsidRPr="006C6A90">
              <w:rPr>
                <w:rFonts w:ascii="Times New Roman" w:hAnsi="Times New Roman"/>
              </w:rPr>
              <w:t>70,000</w:t>
            </w:r>
          </w:p>
        </w:tc>
        <w:tc>
          <w:tcPr>
            <w:tcW w:w="1170" w:type="dxa"/>
            <w:vAlign w:val="bottom"/>
          </w:tcPr>
          <w:p w:rsidR="00E55C29" w:rsidRPr="006C6A90" w:rsidP="00025382" w14:paraId="5594E03F" w14:textId="244DAFA4">
            <w:pPr>
              <w:keepNext/>
              <w:keepLines/>
              <w:numPr>
                <w:ilvl w:val="12"/>
                <w:numId w:val="0"/>
              </w:numPr>
              <w:jc w:val="center"/>
              <w:rPr>
                <w:rFonts w:ascii="Times New Roman" w:hAnsi="Times New Roman"/>
              </w:rPr>
            </w:pPr>
            <w:r>
              <w:rPr>
                <w:rFonts w:ascii="Times New Roman" w:hAnsi="Times New Roman"/>
              </w:rPr>
              <w:t>3.06</w:t>
            </w:r>
          </w:p>
        </w:tc>
        <w:tc>
          <w:tcPr>
            <w:tcW w:w="1170" w:type="dxa"/>
            <w:shd w:val="clear" w:color="auto" w:fill="auto"/>
            <w:vAlign w:val="bottom"/>
          </w:tcPr>
          <w:p w:rsidR="00E55C29" w:rsidRPr="006C6A90" w:rsidP="00025382" w14:paraId="4B6BA2B5" w14:textId="70790ED9">
            <w:pPr>
              <w:keepNext/>
              <w:keepLines/>
              <w:numPr>
                <w:ilvl w:val="12"/>
                <w:numId w:val="0"/>
              </w:numPr>
              <w:jc w:val="center"/>
              <w:rPr>
                <w:rFonts w:ascii="Times New Roman" w:hAnsi="Times New Roman"/>
              </w:rPr>
            </w:pPr>
            <w:r>
              <w:rPr>
                <w:rFonts w:ascii="Times New Roman" w:hAnsi="Times New Roman"/>
              </w:rPr>
              <w:t>214,200</w:t>
            </w:r>
          </w:p>
        </w:tc>
      </w:tr>
      <w:tr w14:paraId="02E22516" w14:textId="77777777" w:rsidTr="00025382">
        <w:tblPrEx>
          <w:tblW w:w="8934" w:type="dxa"/>
          <w:tblInd w:w="468" w:type="dxa"/>
          <w:tblLook w:val="04A0"/>
        </w:tblPrEx>
        <w:tc>
          <w:tcPr>
            <w:tcW w:w="1258" w:type="dxa"/>
            <w:shd w:val="clear" w:color="auto" w:fill="auto"/>
            <w:vAlign w:val="bottom"/>
          </w:tcPr>
          <w:p w:rsidR="00E55C29" w:rsidRPr="006C6A90" w:rsidP="00025382" w14:paraId="75C0A89C" w14:textId="77777777">
            <w:pPr>
              <w:keepNext/>
              <w:keepLines/>
              <w:numPr>
                <w:ilvl w:val="12"/>
                <w:numId w:val="0"/>
              </w:numPr>
              <w:jc w:val="center"/>
              <w:rPr>
                <w:rFonts w:ascii="Times New Roman" w:hAnsi="Times New Roman"/>
              </w:rPr>
            </w:pPr>
            <w:r w:rsidRPr="006C6A90">
              <w:rPr>
                <w:rFonts w:ascii="Times New Roman" w:hAnsi="Times New Roman"/>
              </w:rPr>
              <w:t>Totals</w:t>
            </w:r>
          </w:p>
        </w:tc>
        <w:tc>
          <w:tcPr>
            <w:tcW w:w="1916" w:type="dxa"/>
            <w:vAlign w:val="bottom"/>
          </w:tcPr>
          <w:p w:rsidR="00E55C29" w:rsidRPr="006C6A90" w:rsidP="00025382" w14:paraId="7B115BAF" w14:textId="77777777">
            <w:pPr>
              <w:keepNext/>
              <w:keepLines/>
              <w:numPr>
                <w:ilvl w:val="12"/>
                <w:numId w:val="0"/>
              </w:numPr>
              <w:jc w:val="center"/>
              <w:rPr>
                <w:rFonts w:ascii="Times New Roman" w:hAnsi="Times New Roman"/>
              </w:rPr>
            </w:pPr>
          </w:p>
        </w:tc>
        <w:tc>
          <w:tcPr>
            <w:tcW w:w="1170" w:type="dxa"/>
            <w:vAlign w:val="bottom"/>
          </w:tcPr>
          <w:p w:rsidR="00E55C29" w:rsidRPr="006C6A90" w:rsidP="00025382" w14:paraId="63F741E2" w14:textId="606D7389">
            <w:pPr>
              <w:keepNext/>
              <w:keepLines/>
              <w:numPr>
                <w:ilvl w:val="12"/>
                <w:numId w:val="0"/>
              </w:numPr>
              <w:jc w:val="center"/>
              <w:rPr>
                <w:rFonts w:ascii="Times New Roman" w:hAnsi="Times New Roman"/>
              </w:rPr>
            </w:pPr>
            <w:r w:rsidRPr="006C6A90">
              <w:rPr>
                <w:rFonts w:ascii="Times New Roman" w:hAnsi="Times New Roman"/>
              </w:rPr>
              <w:t>70,000</w:t>
            </w:r>
          </w:p>
        </w:tc>
        <w:tc>
          <w:tcPr>
            <w:tcW w:w="1170" w:type="dxa"/>
            <w:vAlign w:val="bottom"/>
          </w:tcPr>
          <w:p w:rsidR="00E55C29" w:rsidRPr="006C6A90" w:rsidP="00025382" w14:paraId="1FA757F1" w14:textId="77777777">
            <w:pPr>
              <w:keepNext/>
              <w:keepLines/>
              <w:numPr>
                <w:ilvl w:val="12"/>
                <w:numId w:val="0"/>
              </w:numPr>
              <w:jc w:val="center"/>
              <w:rPr>
                <w:rFonts w:ascii="Times New Roman" w:hAnsi="Times New Roman"/>
              </w:rPr>
            </w:pPr>
          </w:p>
        </w:tc>
        <w:tc>
          <w:tcPr>
            <w:tcW w:w="1080" w:type="dxa"/>
            <w:shd w:val="clear" w:color="auto" w:fill="auto"/>
            <w:vAlign w:val="bottom"/>
          </w:tcPr>
          <w:p w:rsidR="00E55C29" w:rsidRPr="006C6A90" w:rsidP="00025382" w14:paraId="71E56E0C" w14:textId="5C749774">
            <w:pPr>
              <w:keepNext/>
              <w:keepLines/>
              <w:numPr>
                <w:ilvl w:val="12"/>
                <w:numId w:val="0"/>
              </w:numPr>
              <w:jc w:val="center"/>
              <w:rPr>
                <w:rFonts w:ascii="Times New Roman" w:hAnsi="Times New Roman"/>
              </w:rPr>
            </w:pPr>
            <w:r w:rsidRPr="006C6A90">
              <w:rPr>
                <w:rFonts w:ascii="Times New Roman" w:hAnsi="Times New Roman"/>
              </w:rPr>
              <w:t>70,000</w:t>
            </w:r>
          </w:p>
        </w:tc>
        <w:tc>
          <w:tcPr>
            <w:tcW w:w="1170" w:type="dxa"/>
            <w:vAlign w:val="bottom"/>
          </w:tcPr>
          <w:p w:rsidR="00E55C29" w:rsidRPr="006C6A90" w:rsidP="00025382" w14:paraId="09BBB6BA" w14:textId="77777777">
            <w:pPr>
              <w:keepNext/>
              <w:keepLines/>
              <w:numPr>
                <w:ilvl w:val="12"/>
                <w:numId w:val="0"/>
              </w:numPr>
              <w:jc w:val="center"/>
              <w:rPr>
                <w:rFonts w:ascii="Times New Roman" w:hAnsi="Times New Roman"/>
              </w:rPr>
            </w:pPr>
          </w:p>
        </w:tc>
        <w:tc>
          <w:tcPr>
            <w:tcW w:w="1170" w:type="dxa"/>
            <w:shd w:val="clear" w:color="auto" w:fill="auto"/>
            <w:vAlign w:val="bottom"/>
          </w:tcPr>
          <w:p w:rsidR="00E55C29" w:rsidRPr="006C6A90" w:rsidP="00025382" w14:paraId="015DB47F" w14:textId="21CAE9D2">
            <w:pPr>
              <w:keepNext/>
              <w:keepLines/>
              <w:numPr>
                <w:ilvl w:val="12"/>
                <w:numId w:val="0"/>
              </w:numPr>
              <w:jc w:val="center"/>
              <w:rPr>
                <w:rFonts w:ascii="Times New Roman" w:hAnsi="Times New Roman"/>
              </w:rPr>
            </w:pPr>
            <w:r>
              <w:rPr>
                <w:rFonts w:ascii="Times New Roman" w:hAnsi="Times New Roman"/>
              </w:rPr>
              <w:t>214,200</w:t>
            </w:r>
          </w:p>
        </w:tc>
      </w:tr>
    </w:tbl>
    <w:p w:rsidR="00E55C29" w:rsidRPr="006C6A90" w:rsidP="006C4382" w14:paraId="5B377681" w14:textId="77777777">
      <w:pPr>
        <w:ind w:left="720"/>
        <w:rPr>
          <w:rFonts w:ascii="Times New Roman" w:hAnsi="Times New Roman"/>
        </w:rPr>
      </w:pPr>
    </w:p>
    <w:p w:rsidR="00D243CE" w:rsidRPr="006C6A90" w:rsidP="00333706" w14:paraId="268EFA28" w14:textId="7F4739BA">
      <w:pPr>
        <w:tabs>
          <w:tab w:val="left" w:pos="-1440"/>
        </w:tabs>
        <w:rPr>
          <w:rFonts w:ascii="Times New Roman" w:hAnsi="Times New Roman"/>
        </w:rPr>
      </w:pPr>
      <w:r w:rsidRPr="006C6A90">
        <w:rPr>
          <w:rFonts w:ascii="Times New Roman" w:hAnsi="Times New Roman"/>
        </w:rPr>
        <w:t xml:space="preserve">                                                </w:t>
      </w:r>
      <w:r w:rsidRPr="006C6A90" w:rsidR="00FF371A">
        <w:rPr>
          <w:rFonts w:ascii="Times New Roman" w:hAnsi="Times New Roman"/>
        </w:rPr>
        <w:tab/>
        <w:t xml:space="preserve"> </w:t>
      </w:r>
    </w:p>
    <w:p w:rsidR="00FF371A" w:rsidRPr="006C6A90" w14:paraId="561F9F5B" w14:textId="1C10170B">
      <w:pPr>
        <w:ind w:left="720"/>
        <w:rPr>
          <w:rFonts w:ascii="Times New Roman" w:hAnsi="Times New Roman"/>
        </w:rPr>
      </w:pPr>
      <w:bookmarkStart w:id="4" w:name="_Hlk65079402"/>
      <w:r w:rsidRPr="006C6A90">
        <w:rPr>
          <w:rFonts w:ascii="Times New Roman" w:hAnsi="Times New Roman"/>
        </w:rPr>
        <w:t>The following regulations impose no additional burden. Please continue to assign OMB number 1545-</w:t>
      </w:r>
      <w:r w:rsidRPr="006C6A90" w:rsidR="00E757E7">
        <w:rPr>
          <w:rFonts w:ascii="Times New Roman" w:hAnsi="Times New Roman"/>
        </w:rPr>
        <w:t>7203</w:t>
      </w:r>
      <w:r w:rsidRPr="006C6A90">
        <w:rPr>
          <w:rFonts w:ascii="Times New Roman" w:hAnsi="Times New Roman"/>
        </w:rPr>
        <w:t xml:space="preserve"> to these regulations.</w:t>
      </w:r>
    </w:p>
    <w:p w:rsidR="00E757E7" w:rsidRPr="006C6A90" w14:paraId="3050D4EB" w14:textId="2804FFA2">
      <w:pPr>
        <w:ind w:left="720"/>
        <w:rPr>
          <w:rFonts w:ascii="Times New Roman" w:hAnsi="Times New Roman"/>
        </w:rPr>
      </w:pPr>
    </w:p>
    <w:p w:rsidR="00E757E7" w:rsidRPr="006C6A90" w14:paraId="409CC483" w14:textId="77777777">
      <w:pPr>
        <w:ind w:left="720"/>
        <w:rPr>
          <w:rFonts w:ascii="Times New Roman" w:hAnsi="Times New Roman"/>
        </w:rPr>
        <w:sectPr w:rsidSect="00FF371A">
          <w:headerReference w:type="default" r:id="rId6"/>
          <w:type w:val="continuous"/>
          <w:pgSz w:w="12240" w:h="15840"/>
          <w:pgMar w:top="1440" w:right="1440" w:bottom="1440" w:left="1440" w:header="1440" w:footer="1440" w:gutter="0"/>
          <w:cols w:space="720"/>
          <w:noEndnote/>
        </w:sectPr>
      </w:pPr>
    </w:p>
    <w:p w:rsidR="00E757E7" w:rsidRPr="006C6A90" w14:paraId="62CFAF88" w14:textId="6299C80F">
      <w:pPr>
        <w:ind w:left="720"/>
        <w:rPr>
          <w:rFonts w:ascii="Times New Roman" w:hAnsi="Times New Roman"/>
        </w:rPr>
      </w:pPr>
      <w:r w:rsidRPr="006C6A90">
        <w:rPr>
          <w:rFonts w:ascii="Times New Roman" w:hAnsi="Times New Roman"/>
        </w:rPr>
        <w:t>1.1366-2</w:t>
      </w:r>
    </w:p>
    <w:p w:rsidR="00E757E7" w:rsidRPr="006C6A90" w14:paraId="25318315" w14:textId="4FCC9F80">
      <w:pPr>
        <w:ind w:left="720"/>
        <w:rPr>
          <w:rFonts w:ascii="Times New Roman" w:hAnsi="Times New Roman"/>
        </w:rPr>
      </w:pPr>
      <w:r w:rsidRPr="006C6A90">
        <w:rPr>
          <w:rFonts w:ascii="Times New Roman" w:hAnsi="Times New Roman"/>
        </w:rPr>
        <w:t>1.1367-1</w:t>
      </w:r>
    </w:p>
    <w:p w:rsidR="00E757E7" w:rsidRPr="006C6A90" w14:paraId="780FD35A" w14:textId="043FAE72">
      <w:pPr>
        <w:ind w:left="720"/>
        <w:rPr>
          <w:rFonts w:ascii="Times New Roman" w:hAnsi="Times New Roman"/>
        </w:rPr>
      </w:pPr>
      <w:r w:rsidRPr="006C6A90">
        <w:rPr>
          <w:rFonts w:ascii="Times New Roman" w:hAnsi="Times New Roman"/>
        </w:rPr>
        <w:t>1.1367-2</w:t>
      </w:r>
    </w:p>
    <w:p w:rsidR="00E757E7" w:rsidRPr="006C6A90" w14:paraId="79A5BB45" w14:textId="77777777">
      <w:pPr>
        <w:ind w:left="720"/>
        <w:rPr>
          <w:rFonts w:ascii="Times New Roman" w:hAnsi="Times New Roman"/>
        </w:rPr>
        <w:sectPr w:rsidSect="00E757E7">
          <w:type w:val="continuous"/>
          <w:pgSz w:w="12240" w:h="15840"/>
          <w:pgMar w:top="1440" w:right="1440" w:bottom="1440" w:left="1440" w:header="1440" w:footer="1440" w:gutter="0"/>
          <w:cols w:num="3" w:space="720"/>
          <w:noEndnote/>
        </w:sectPr>
      </w:pPr>
    </w:p>
    <w:p w:rsidR="00333706" w:rsidRPr="006C6A90" w14:paraId="4FD70CF3" w14:textId="77777777">
      <w:pPr>
        <w:ind w:left="720"/>
        <w:rPr>
          <w:rFonts w:ascii="Times New Roman" w:hAnsi="Times New Roman"/>
        </w:rPr>
      </w:pPr>
    </w:p>
    <w:bookmarkEnd w:id="4"/>
    <w:p w:rsidR="00FF371A" w:rsidRPr="006C6A90" w:rsidP="0033390A" w14:paraId="6C02F18D" w14:textId="78224DA2">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ESTIMATED TOTAL ANNUAL COST BURDEN TO RESPONDENTS</w:t>
      </w:r>
    </w:p>
    <w:p w:rsidR="00FF371A" w:rsidRPr="006C6A90" w14:paraId="47F9A07D" w14:textId="77777777">
      <w:pPr>
        <w:rPr>
          <w:rFonts w:ascii="Times New Roman" w:hAnsi="Times New Roman"/>
        </w:rPr>
      </w:pPr>
      <w:r w:rsidRPr="006C6A90">
        <w:rPr>
          <w:rFonts w:ascii="Times New Roman" w:hAnsi="Times New Roman"/>
        </w:rPr>
        <w:t xml:space="preserve">    </w:t>
      </w:r>
    </w:p>
    <w:p w:rsidR="00925789" w:rsidRPr="006C6A90" w:rsidP="00925789" w14:paraId="075A6AAB" w14:textId="5D1C143C">
      <w:pPr>
        <w:ind w:left="720"/>
        <w:rPr>
          <w:rFonts w:ascii="Times New Roman" w:hAnsi="Times New Roman"/>
          <w:bCs/>
        </w:rPr>
      </w:pPr>
      <w:r w:rsidRPr="0063110E">
        <w:rPr>
          <w:rFonts w:ascii="Times New Roman" w:hAnsi="Times New Roman"/>
        </w:rPr>
        <w:t xml:space="preserve">From our Federal Register notice dated </w:t>
      </w:r>
      <w:r>
        <w:rPr>
          <w:rFonts w:ascii="Times New Roman" w:hAnsi="Times New Roman"/>
        </w:rPr>
        <w:t>February 3, 2025</w:t>
      </w:r>
      <w:r w:rsidRPr="0063110E">
        <w:rPr>
          <w:rFonts w:ascii="Times New Roman" w:hAnsi="Times New Roman"/>
        </w:rPr>
        <w:t xml:space="preserve">, no public comments were received on the estimates of cost burden that are not captured in the estimates of burden hours, </w:t>
      </w:r>
      <w:r w:rsidRPr="0063110E">
        <w:rPr>
          <w:rFonts w:ascii="Times New Roman" w:hAnsi="Times New Roman"/>
        </w:rPr>
        <w:t>i.e., estimates of capital or start-up costs and costs of operation, maintenance, and purchase of services to provide information.  As a result, estimates of these cost burdens are considered nominal</w:t>
      </w:r>
      <w:r w:rsidRPr="006C6A90" w:rsidR="00E757E7">
        <w:rPr>
          <w:rFonts w:ascii="Times New Roman" w:hAnsi="Times New Roman"/>
        </w:rPr>
        <w:t>.</w:t>
      </w:r>
    </w:p>
    <w:p w:rsidR="00FF371A" w:rsidRPr="006C6A90" w14:paraId="36FDEFE8" w14:textId="77777777">
      <w:pPr>
        <w:ind w:left="720"/>
        <w:rPr>
          <w:rFonts w:ascii="Times New Roman" w:hAnsi="Times New Roman"/>
        </w:rPr>
      </w:pPr>
      <w:r w:rsidRPr="006C6A90">
        <w:rPr>
          <w:rFonts w:ascii="Times New Roman" w:hAnsi="Times New Roman"/>
        </w:rPr>
        <w:t xml:space="preserve">  </w:t>
      </w:r>
    </w:p>
    <w:p w:rsidR="00FF371A" w:rsidRPr="006C6A90" w:rsidP="0033390A" w14:paraId="46E96641" w14:textId="0A175BDC">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ESTIMATED ANNUALIZED COST TO THE FEDERAL GOVERNMENT</w:t>
      </w:r>
    </w:p>
    <w:p w:rsidR="00FF371A" w:rsidRPr="006C6A90" w14:paraId="0304B6B1" w14:textId="77777777">
      <w:pPr>
        <w:ind w:left="720"/>
        <w:rPr>
          <w:rFonts w:ascii="Times New Roman" w:hAnsi="Times New Roman"/>
        </w:rPr>
      </w:pPr>
    </w:p>
    <w:p w:rsidR="00983B52" w:rsidRPr="00983B52" w:rsidP="00983B52" w14:paraId="1533FF5C" w14:textId="77777777">
      <w:pPr>
        <w:ind w:left="720"/>
        <w:rPr>
          <w:rFonts w:ascii="Times New Roman" w:hAnsi="Times New Roman"/>
        </w:rPr>
      </w:pPr>
      <w:r w:rsidRPr="00983B52">
        <w:rPr>
          <w:rFonts w:ascii="Times New Roman" w:hAnsi="Times New Roman"/>
        </w:rPr>
        <w:t xml:space="preserve">The estimated annualized cost to the Federal Government is based on a model that considers the following three factors for each information product:  aggregate labor costs </w:t>
      </w:r>
      <w:r w:rsidRPr="00983B52">
        <w:rPr>
          <w:rFonts w:ascii="Times New Roman" w:hAnsi="Times New Roman"/>
        </w:rPr>
        <w:t xml:space="preserve">for development, including annualized start -up expenses, operating and maintenance expenses, and distribution of the product that collects the information.  </w:t>
      </w:r>
    </w:p>
    <w:p w:rsidR="00983B52" w:rsidRPr="00983B52" w:rsidP="00983B52" w14:paraId="06D81EA1" w14:textId="77777777">
      <w:pPr>
        <w:ind w:left="720"/>
        <w:rPr>
          <w:rFonts w:ascii="Times New Roman" w:hAnsi="Times New Roman"/>
        </w:rPr>
      </w:pPr>
    </w:p>
    <w:p w:rsidR="00983B52" w:rsidRPr="00983B52" w:rsidP="00983B52" w14:paraId="2C1BAE6D" w14:textId="77777777">
      <w:pPr>
        <w:ind w:left="720"/>
        <w:rPr>
          <w:rFonts w:ascii="Times New Roman" w:hAnsi="Times New Roman"/>
        </w:rPr>
      </w:pPr>
      <w:r w:rsidRPr="00983B52">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w:t>
      </w:r>
      <w:r w:rsidRPr="00983B52">
        <w:rPr>
          <w:rFonts w:ascii="Times New Roman" w:hAnsi="Times New Roman"/>
        </w:rPr>
        <w:t>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Federal Government estimated annualized cost per product.</w:t>
      </w:r>
    </w:p>
    <w:p w:rsidR="00983B52" w:rsidRPr="00983B52" w:rsidP="00983B52" w14:paraId="3CFF5E52" w14:textId="77777777">
      <w:pPr>
        <w:ind w:left="720"/>
        <w:rPr>
          <w:rFonts w:ascii="Times New Roman" w:hAnsi="Times New Roman"/>
        </w:rPr>
      </w:pPr>
    </w:p>
    <w:p w:rsidR="00983B52" w:rsidRPr="00983B52" w:rsidP="00983B52" w14:paraId="2BD237A6" w14:textId="77777777">
      <w:pPr>
        <w:ind w:left="720"/>
        <w:rPr>
          <w:rFonts w:ascii="Times New Roman" w:hAnsi="Times New Roman"/>
        </w:rPr>
      </w:pPr>
    </w:p>
    <w:p w:rsidR="00983B52" w:rsidRPr="00983B52" w:rsidP="00983B52" w14:paraId="3AAD9633" w14:textId="77777777">
      <w:pPr>
        <w:ind w:left="720"/>
        <w:rPr>
          <w:rFonts w:ascii="Times New Roman" w:hAnsi="Times New Roman"/>
        </w:rPr>
      </w:pPr>
      <w:r w:rsidRPr="00983B52">
        <w:rPr>
          <w:rFonts w:ascii="Times New Roman" w:hAnsi="Times New Roman"/>
        </w:rPr>
        <w:t xml:space="preserve">    The federal government estimated annualized cost is as follows:</w:t>
      </w:r>
    </w:p>
    <w:p w:rsidR="00983B52" w:rsidRPr="00983B52" w:rsidP="00983B52" w14:paraId="3067F387" w14:textId="77777777">
      <w:pPr>
        <w:ind w:left="720"/>
        <w:rPr>
          <w:rFonts w:ascii="Times New Roman" w:hAnsi="Times New Roman"/>
        </w:rPr>
      </w:pPr>
    </w:p>
    <w:tbl>
      <w:tblPr>
        <w:tblW w:w="8498" w:type="dxa"/>
        <w:tblInd w:w="620" w:type="dxa"/>
        <w:tblCellMar>
          <w:left w:w="0" w:type="dxa"/>
          <w:right w:w="0" w:type="dxa"/>
        </w:tblCellMar>
        <w:tblLook w:val="04A0"/>
      </w:tblPr>
      <w:tblGrid>
        <w:gridCol w:w="1710"/>
        <w:gridCol w:w="2250"/>
        <w:gridCol w:w="540"/>
        <w:gridCol w:w="1530"/>
        <w:gridCol w:w="477"/>
        <w:gridCol w:w="1991"/>
      </w:tblGrid>
      <w:tr w14:paraId="0D1F2E32" w14:textId="77777777" w:rsidTr="00EE58D4">
        <w:tblPrEx>
          <w:tblW w:w="8498" w:type="dxa"/>
          <w:tblInd w:w="620" w:type="dxa"/>
          <w:tblCellMar>
            <w:left w:w="0" w:type="dxa"/>
            <w:right w:w="0" w:type="dxa"/>
          </w:tblCellMar>
          <w:tblLook w:val="04A0"/>
        </w:tblPrEx>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83B52" w:rsidRPr="00EE58D4" w:rsidP="00EE58D4" w14:paraId="1EF64315" w14:textId="77777777">
            <w:pPr>
              <w:keepNext/>
              <w:keepLines/>
              <w:jc w:val="center"/>
              <w:rPr>
                <w:rFonts w:ascii="Arial Narrow" w:hAnsi="Arial Narrow"/>
                <w:b/>
                <w:sz w:val="20"/>
                <w:szCs w:val="20"/>
                <w:u w:val="single"/>
              </w:rPr>
            </w:pPr>
            <w:r w:rsidRPr="00EE58D4">
              <w:rPr>
                <w:rFonts w:ascii="Arial Narrow" w:hAnsi="Arial Narrow"/>
                <w:b/>
                <w:sz w:val="20"/>
                <w:szCs w:val="20"/>
                <w:u w:val="single"/>
              </w:rPr>
              <w:t>Product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3B52" w:rsidRPr="00EE58D4" w:rsidP="00EE58D4" w14:paraId="68784994" w14:textId="77777777">
            <w:pPr>
              <w:keepNext/>
              <w:keepLines/>
              <w:jc w:val="center"/>
              <w:rPr>
                <w:rFonts w:ascii="Arial Narrow" w:hAnsi="Arial Narrow"/>
                <w:b/>
                <w:sz w:val="20"/>
                <w:szCs w:val="20"/>
                <w:u w:val="single"/>
              </w:rPr>
            </w:pPr>
            <w:r w:rsidRPr="00EE58D4">
              <w:rPr>
                <w:rFonts w:ascii="Arial Narrow" w:hAnsi="Arial Narrow"/>
                <w:b/>
                <w:sz w:val="20"/>
                <w:szCs w:val="20"/>
                <w:u w:val="single"/>
              </w:rPr>
              <w:t>Aggregate Cost per Product (factor applied)</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B52" w:rsidRPr="00EE58D4" w:rsidP="00EE58D4" w14:paraId="69ABA182" w14:textId="77777777">
            <w:pPr>
              <w:keepNext/>
              <w:keepLines/>
              <w:jc w:val="center"/>
              <w:rPr>
                <w:rFonts w:ascii="Arial Narrow" w:hAnsi="Arial Narrow"/>
                <w:b/>
                <w:sz w:val="20"/>
                <w:szCs w:val="20"/>
                <w:u w:val="single"/>
              </w:rPr>
            </w:pP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3B52" w:rsidRPr="00EE58D4" w:rsidP="00EE58D4" w14:paraId="785FE3E5" w14:textId="77777777">
            <w:pPr>
              <w:keepNext/>
              <w:keepLines/>
              <w:jc w:val="center"/>
              <w:rPr>
                <w:rFonts w:ascii="Arial Narrow" w:hAnsi="Arial Narrow"/>
                <w:b/>
                <w:sz w:val="20"/>
                <w:szCs w:val="20"/>
                <w:u w:val="single"/>
              </w:rPr>
            </w:pPr>
            <w:r w:rsidRPr="00EE58D4">
              <w:rPr>
                <w:rFonts w:ascii="Arial Narrow" w:hAnsi="Arial Narrow"/>
                <w:b/>
                <w:sz w:val="20"/>
                <w:szCs w:val="20"/>
                <w:u w:val="single"/>
              </w:rPr>
              <w:t>Printing and Distribution</w:t>
            </w:r>
          </w:p>
        </w:tc>
        <w:tc>
          <w:tcPr>
            <w:tcW w:w="4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3B52" w:rsidRPr="00EE58D4" w:rsidP="00EE58D4" w14:paraId="11B6C912" w14:textId="77777777">
            <w:pPr>
              <w:keepNext/>
              <w:keepLines/>
              <w:jc w:val="center"/>
              <w:rPr>
                <w:rFonts w:ascii="Arial Narrow" w:hAnsi="Arial Narrow"/>
                <w:b/>
                <w:sz w:val="20"/>
                <w:szCs w:val="20"/>
                <w:u w:val="single"/>
              </w:rPr>
            </w:pP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83B52" w:rsidRPr="00EE58D4" w:rsidP="00EE58D4" w14:paraId="2C4C7B33" w14:textId="77777777">
            <w:pPr>
              <w:keepNext/>
              <w:keepLines/>
              <w:jc w:val="center"/>
              <w:rPr>
                <w:rFonts w:ascii="Arial Narrow" w:hAnsi="Arial Narrow"/>
                <w:b/>
                <w:sz w:val="20"/>
                <w:szCs w:val="20"/>
                <w:u w:val="single"/>
              </w:rPr>
            </w:pPr>
            <w:r w:rsidRPr="00EE58D4">
              <w:rPr>
                <w:rFonts w:ascii="Arial Narrow" w:hAnsi="Arial Narrow"/>
                <w:b/>
                <w:sz w:val="20"/>
                <w:szCs w:val="20"/>
                <w:u w:val="single"/>
              </w:rPr>
              <w:t>Government Cost Estimate per Product</w:t>
            </w:r>
          </w:p>
        </w:tc>
      </w:tr>
      <w:tr w14:paraId="7726039F" w14:textId="77777777" w:rsidTr="00EE58D4">
        <w:tblPrEx>
          <w:tblW w:w="8498" w:type="dxa"/>
          <w:tblInd w:w="620" w:type="dxa"/>
          <w:tblCellMar>
            <w:left w:w="0" w:type="dxa"/>
            <w:right w:w="0" w:type="dxa"/>
          </w:tblCellMar>
          <w:tblLook w:val="04A0"/>
        </w:tblPrEx>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83B52" w:rsidRPr="00EE58D4" w:rsidP="00EE58D4" w14:paraId="003BDF67" w14:textId="287A1C4E">
            <w:pPr>
              <w:keepNext/>
              <w:keepLines/>
              <w:jc w:val="center"/>
              <w:rPr>
                <w:rFonts w:ascii="Arial Narrow" w:hAnsi="Arial Narrow"/>
                <w:bCs/>
                <w:sz w:val="20"/>
                <w:szCs w:val="20"/>
              </w:rPr>
            </w:pPr>
            <w:r w:rsidRPr="00EE58D4">
              <w:rPr>
                <w:rFonts w:ascii="Arial Narrow" w:hAnsi="Arial Narrow"/>
                <w:bCs/>
                <w:sz w:val="20"/>
                <w:szCs w:val="20"/>
              </w:rPr>
              <w:t xml:space="preserve">Form </w:t>
            </w:r>
            <w:r w:rsidRPr="00EE58D4" w:rsidR="00651A81">
              <w:rPr>
                <w:rFonts w:ascii="Arial Narrow" w:hAnsi="Arial Narrow"/>
                <w:bCs/>
                <w:sz w:val="20"/>
                <w:szCs w:val="20"/>
              </w:rPr>
              <w:t>7203</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13F61E7B" w14:textId="1AD5F7AB">
            <w:pPr>
              <w:keepNext/>
              <w:keepLines/>
              <w:jc w:val="center"/>
              <w:rPr>
                <w:rFonts w:ascii="Arial Narrow" w:hAnsi="Arial Narrow"/>
                <w:bCs/>
                <w:sz w:val="20"/>
                <w:szCs w:val="20"/>
              </w:rPr>
            </w:pPr>
            <w:r>
              <w:rPr>
                <w:rFonts w:ascii="Arial Narrow" w:hAnsi="Arial Narrow"/>
                <w:bCs/>
                <w:sz w:val="20"/>
                <w:szCs w:val="20"/>
              </w:rPr>
              <w:t>$</w:t>
            </w:r>
            <w:r w:rsidRPr="00EE58D4" w:rsidR="00EE58D4">
              <w:rPr>
                <w:rFonts w:ascii="Arial Narrow" w:hAnsi="Arial Narrow"/>
                <w:bCs/>
                <w:sz w:val="20"/>
                <w:szCs w:val="20"/>
              </w:rPr>
              <w:t>19,417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63FC00AB" w14:textId="77777777">
            <w:pPr>
              <w:keepNext/>
              <w:keepLines/>
              <w:jc w:val="center"/>
              <w:rPr>
                <w:rFonts w:ascii="Arial Narrow" w:hAnsi="Arial Narrow"/>
                <w:bCs/>
                <w:sz w:val="20"/>
                <w:szCs w:val="20"/>
              </w:rPr>
            </w:pPr>
            <w:r w:rsidRPr="00EE58D4">
              <w:rPr>
                <w:rFonts w:ascii="Arial Narrow" w:hAnsi="Arial Narrow"/>
                <w:bCs/>
                <w:sz w:val="20"/>
                <w:szCs w:val="20"/>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55B279DE" w14:textId="3819C8F8">
            <w:pPr>
              <w:keepNext/>
              <w:keepLines/>
              <w:jc w:val="center"/>
              <w:rPr>
                <w:rFonts w:ascii="Arial Narrow" w:hAnsi="Arial Narrow"/>
                <w:bCs/>
                <w:sz w:val="20"/>
                <w:szCs w:val="20"/>
              </w:rPr>
            </w:pPr>
            <w:r>
              <w:rPr>
                <w:rFonts w:ascii="Arial Narrow" w:hAnsi="Arial Narrow"/>
                <w:bCs/>
                <w:sz w:val="20"/>
                <w:szCs w:val="20"/>
              </w:rPr>
              <w:t>$</w:t>
            </w:r>
            <w:r w:rsidRPr="00EE58D4" w:rsidR="00EE58D4">
              <w:rPr>
                <w:rFonts w:ascii="Arial Narrow" w:hAnsi="Arial Narrow"/>
                <w:bCs/>
                <w:sz w:val="20"/>
                <w:szCs w:val="20"/>
              </w:rPr>
              <w:t>0</w:t>
            </w:r>
          </w:p>
        </w:tc>
        <w:tc>
          <w:tcPr>
            <w:tcW w:w="477"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3AFA0C38" w14:textId="77777777">
            <w:pPr>
              <w:keepNext/>
              <w:keepLines/>
              <w:jc w:val="center"/>
              <w:rPr>
                <w:rFonts w:ascii="Arial Narrow" w:hAnsi="Arial Narrow"/>
                <w:bCs/>
                <w:sz w:val="20"/>
                <w:szCs w:val="20"/>
              </w:rPr>
            </w:pPr>
            <w:r w:rsidRPr="00EE58D4">
              <w:rPr>
                <w:rFonts w:ascii="Arial Narrow" w:hAnsi="Arial Narrow"/>
                <w:bCs/>
                <w:sz w:val="20"/>
                <w:szCs w:val="20"/>
              </w:rPr>
              <w:t>=</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25B3A0A1" w14:textId="46ADDD1D">
            <w:pPr>
              <w:keepNext/>
              <w:keepLines/>
              <w:jc w:val="center"/>
              <w:rPr>
                <w:rFonts w:ascii="Arial Narrow" w:hAnsi="Arial Narrow"/>
                <w:bCs/>
                <w:sz w:val="20"/>
                <w:szCs w:val="20"/>
              </w:rPr>
            </w:pPr>
            <w:r>
              <w:rPr>
                <w:rFonts w:ascii="Arial Narrow" w:hAnsi="Arial Narrow"/>
                <w:bCs/>
                <w:sz w:val="20"/>
                <w:szCs w:val="20"/>
              </w:rPr>
              <w:t>$</w:t>
            </w:r>
            <w:r w:rsidRPr="00EE58D4" w:rsidR="00EE58D4">
              <w:rPr>
                <w:rFonts w:ascii="Arial Narrow" w:hAnsi="Arial Narrow"/>
                <w:bCs/>
                <w:sz w:val="20"/>
                <w:szCs w:val="20"/>
              </w:rPr>
              <w:t>19,417</w:t>
            </w:r>
          </w:p>
        </w:tc>
      </w:tr>
      <w:tr w14:paraId="7108D980" w14:textId="77777777" w:rsidTr="00EE58D4">
        <w:tblPrEx>
          <w:tblW w:w="8498" w:type="dxa"/>
          <w:tblInd w:w="620" w:type="dxa"/>
          <w:tblCellMar>
            <w:left w:w="0" w:type="dxa"/>
            <w:right w:w="0" w:type="dxa"/>
          </w:tblCellMar>
          <w:tblLook w:val="04A0"/>
        </w:tblPrEx>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983B52" w:rsidRPr="00EE58D4" w:rsidP="00EE58D4" w14:paraId="0865E160" w14:textId="51FB6F05">
            <w:pPr>
              <w:keepNext/>
              <w:keepLines/>
              <w:jc w:val="center"/>
              <w:rPr>
                <w:rFonts w:ascii="Arial Narrow" w:hAnsi="Arial Narrow"/>
                <w:bCs/>
                <w:sz w:val="20"/>
                <w:szCs w:val="20"/>
              </w:rPr>
            </w:pPr>
            <w:r w:rsidRPr="00EE58D4">
              <w:rPr>
                <w:rFonts w:ascii="Arial Narrow" w:hAnsi="Arial Narrow"/>
                <w:bCs/>
                <w:sz w:val="20"/>
                <w:szCs w:val="20"/>
              </w:rPr>
              <w:t>Instructions</w:t>
            </w:r>
            <w:r w:rsidRPr="00EE58D4" w:rsidR="00651A81">
              <w:rPr>
                <w:rFonts w:ascii="Arial Narrow" w:hAnsi="Arial Narrow"/>
                <w:bCs/>
                <w:sz w:val="20"/>
                <w:szCs w:val="20"/>
              </w:rPr>
              <w:t xml:space="preserve"> for 7203</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4783E808" w14:textId="47152070">
            <w:pPr>
              <w:keepNext/>
              <w:keepLines/>
              <w:jc w:val="center"/>
              <w:rPr>
                <w:rFonts w:ascii="Arial Narrow" w:hAnsi="Arial Narrow"/>
                <w:bCs/>
                <w:sz w:val="20"/>
                <w:szCs w:val="20"/>
              </w:rPr>
            </w:pPr>
            <w:r>
              <w:rPr>
                <w:rFonts w:ascii="Arial Narrow" w:hAnsi="Arial Narrow"/>
                <w:bCs/>
                <w:sz w:val="20"/>
                <w:szCs w:val="20"/>
              </w:rPr>
              <w:t>$</w:t>
            </w:r>
            <w:r w:rsidRPr="00EE58D4" w:rsidR="00EE58D4">
              <w:rPr>
                <w:rFonts w:ascii="Arial Narrow" w:hAnsi="Arial Narrow"/>
                <w:bCs/>
                <w:sz w:val="20"/>
                <w:szCs w:val="20"/>
              </w:rPr>
              <w:t>4,854</w:t>
            </w:r>
          </w:p>
        </w:tc>
        <w:tc>
          <w:tcPr>
            <w:tcW w:w="540"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2A6951AD" w14:textId="77777777">
            <w:pPr>
              <w:keepNext/>
              <w:keepLines/>
              <w:jc w:val="center"/>
              <w:rPr>
                <w:rFonts w:ascii="Arial Narrow" w:hAnsi="Arial Narrow"/>
                <w:bCs/>
                <w:sz w:val="20"/>
                <w:szCs w:val="20"/>
              </w:rPr>
            </w:pPr>
            <w:r w:rsidRPr="00EE58D4">
              <w:rPr>
                <w:rFonts w:ascii="Arial Narrow" w:hAnsi="Arial Narrow"/>
                <w:bCs/>
                <w:sz w:val="20"/>
                <w:szCs w:val="20"/>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256F1A5D" w14:textId="16136EFE">
            <w:pPr>
              <w:keepNext/>
              <w:keepLines/>
              <w:jc w:val="center"/>
              <w:rPr>
                <w:rFonts w:ascii="Arial Narrow" w:hAnsi="Arial Narrow"/>
                <w:bCs/>
                <w:sz w:val="20"/>
                <w:szCs w:val="20"/>
              </w:rPr>
            </w:pPr>
            <w:r>
              <w:rPr>
                <w:rFonts w:ascii="Arial Narrow" w:hAnsi="Arial Narrow"/>
                <w:bCs/>
                <w:sz w:val="20"/>
                <w:szCs w:val="20"/>
              </w:rPr>
              <w:t>$</w:t>
            </w:r>
            <w:r w:rsidRPr="00EE58D4" w:rsidR="00EE58D4">
              <w:rPr>
                <w:rFonts w:ascii="Arial Narrow" w:hAnsi="Arial Narrow"/>
                <w:bCs/>
                <w:sz w:val="20"/>
                <w:szCs w:val="20"/>
              </w:rPr>
              <w:t>0</w:t>
            </w:r>
          </w:p>
        </w:tc>
        <w:tc>
          <w:tcPr>
            <w:tcW w:w="477"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32532453" w14:textId="77777777">
            <w:pPr>
              <w:keepNext/>
              <w:keepLines/>
              <w:jc w:val="center"/>
              <w:rPr>
                <w:rFonts w:ascii="Arial Narrow" w:hAnsi="Arial Narrow"/>
                <w:bCs/>
                <w:sz w:val="20"/>
                <w:szCs w:val="20"/>
              </w:rPr>
            </w:pPr>
            <w:r w:rsidRPr="00EE58D4">
              <w:rPr>
                <w:rFonts w:ascii="Arial Narrow" w:hAnsi="Arial Narrow"/>
                <w:bCs/>
                <w:sz w:val="20"/>
                <w:szCs w:val="20"/>
              </w:rPr>
              <w:t>=</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3AA54305" w14:textId="614C60A1">
            <w:pPr>
              <w:keepNext/>
              <w:keepLines/>
              <w:jc w:val="center"/>
              <w:rPr>
                <w:rFonts w:ascii="Arial Narrow" w:hAnsi="Arial Narrow"/>
                <w:bCs/>
                <w:sz w:val="20"/>
                <w:szCs w:val="20"/>
              </w:rPr>
            </w:pPr>
            <w:r>
              <w:rPr>
                <w:rFonts w:ascii="Arial Narrow" w:hAnsi="Arial Narrow"/>
                <w:bCs/>
                <w:sz w:val="20"/>
                <w:szCs w:val="20"/>
              </w:rPr>
              <w:t>$</w:t>
            </w:r>
            <w:r w:rsidRPr="00EE58D4" w:rsidR="00DD1C8C">
              <w:rPr>
                <w:rFonts w:ascii="Arial Narrow" w:hAnsi="Arial Narrow"/>
                <w:bCs/>
                <w:sz w:val="20"/>
                <w:szCs w:val="20"/>
              </w:rPr>
              <w:t>4,854</w:t>
            </w:r>
          </w:p>
        </w:tc>
      </w:tr>
      <w:tr w14:paraId="30D870BA" w14:textId="77777777" w:rsidTr="00EE58D4">
        <w:tblPrEx>
          <w:tblW w:w="8498" w:type="dxa"/>
          <w:tblInd w:w="620" w:type="dxa"/>
          <w:tblCellMar>
            <w:left w:w="0" w:type="dxa"/>
            <w:right w:w="0" w:type="dxa"/>
          </w:tblCellMar>
          <w:tblLook w:val="04A0"/>
        </w:tblPrEx>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B52" w:rsidRPr="00EE58D4" w:rsidP="00EE58D4" w14:paraId="45E9437E" w14:textId="77777777">
            <w:pPr>
              <w:keepNext/>
              <w:keepLines/>
              <w:jc w:val="center"/>
              <w:rPr>
                <w:rFonts w:ascii="Arial Narrow" w:hAnsi="Arial Narrow"/>
                <w:b/>
                <w:sz w:val="20"/>
                <w:szCs w:val="20"/>
              </w:rPr>
            </w:pPr>
            <w:r w:rsidRPr="00EE58D4">
              <w:rPr>
                <w:rFonts w:ascii="Arial Narrow" w:hAnsi="Arial Narrow"/>
                <w:b/>
                <w:sz w:val="20"/>
                <w:szCs w:val="20"/>
              </w:rPr>
              <w:t>Grand Total</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20CF1251" w14:textId="669FBE64">
            <w:pPr>
              <w:keepNext/>
              <w:keepLines/>
              <w:jc w:val="center"/>
              <w:rPr>
                <w:rFonts w:ascii="Arial Narrow" w:hAnsi="Arial Narrow"/>
                <w:b/>
                <w:sz w:val="20"/>
                <w:szCs w:val="20"/>
              </w:rPr>
            </w:pPr>
            <w:r>
              <w:rPr>
                <w:rFonts w:ascii="Arial Narrow" w:hAnsi="Arial Narrow"/>
                <w:b/>
                <w:sz w:val="20"/>
                <w:szCs w:val="20"/>
              </w:rPr>
              <w:t>$</w:t>
            </w:r>
            <w:r w:rsidRPr="00EE58D4" w:rsidR="00EE58D4">
              <w:rPr>
                <w:rFonts w:ascii="Arial Narrow" w:hAnsi="Arial Narrow"/>
                <w:b/>
                <w:sz w:val="20"/>
                <w:szCs w:val="20"/>
              </w:rPr>
              <w:t>24,271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42FE6339" w14:textId="77777777">
            <w:pPr>
              <w:keepNext/>
              <w:keepLines/>
              <w:jc w:val="center"/>
              <w:rPr>
                <w:rFonts w:ascii="Arial Narrow" w:hAnsi="Arial Narrow"/>
                <w:b/>
                <w:sz w:val="20"/>
                <w:szCs w:val="20"/>
              </w:rPr>
            </w:pPr>
            <w:r w:rsidRPr="00EE58D4">
              <w:rPr>
                <w:rFonts w:ascii="Arial Narrow" w:hAnsi="Arial Narrow"/>
                <w:b/>
                <w:sz w:val="20"/>
                <w:szCs w:val="20"/>
              </w:rPr>
              <w: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34316B95" w14:textId="7876ACE9">
            <w:pPr>
              <w:keepNext/>
              <w:keepLines/>
              <w:jc w:val="center"/>
              <w:rPr>
                <w:rFonts w:ascii="Arial Narrow" w:hAnsi="Arial Narrow"/>
                <w:b/>
                <w:sz w:val="20"/>
                <w:szCs w:val="20"/>
              </w:rPr>
            </w:pPr>
            <w:r>
              <w:rPr>
                <w:rFonts w:ascii="Arial Narrow" w:hAnsi="Arial Narrow"/>
                <w:b/>
                <w:sz w:val="20"/>
                <w:szCs w:val="20"/>
              </w:rPr>
              <w:t>$</w:t>
            </w:r>
            <w:r w:rsidRPr="00EE58D4" w:rsidR="00EE58D4">
              <w:rPr>
                <w:rFonts w:ascii="Arial Narrow" w:hAnsi="Arial Narrow"/>
                <w:b/>
                <w:sz w:val="20"/>
                <w:szCs w:val="20"/>
              </w:rPr>
              <w:t>0</w:t>
            </w:r>
          </w:p>
        </w:tc>
        <w:tc>
          <w:tcPr>
            <w:tcW w:w="477" w:type="dxa"/>
            <w:tcBorders>
              <w:top w:val="nil"/>
              <w:left w:val="nil"/>
              <w:bottom w:val="single" w:sz="8" w:space="0" w:color="auto"/>
              <w:right w:val="single" w:sz="8" w:space="0" w:color="auto"/>
            </w:tcBorders>
            <w:tcMar>
              <w:top w:w="0" w:type="dxa"/>
              <w:left w:w="108" w:type="dxa"/>
              <w:bottom w:w="0" w:type="dxa"/>
              <w:right w:w="108" w:type="dxa"/>
            </w:tcMar>
          </w:tcPr>
          <w:p w:rsidR="00983B52" w:rsidRPr="00EE58D4" w:rsidP="00EE58D4" w14:paraId="66F8FFDA" w14:textId="77777777">
            <w:pPr>
              <w:keepNext/>
              <w:keepLines/>
              <w:jc w:val="center"/>
              <w:rPr>
                <w:rFonts w:ascii="Arial Narrow" w:hAnsi="Arial Narrow"/>
                <w:b/>
                <w:sz w:val="20"/>
                <w:szCs w:val="20"/>
              </w:rPr>
            </w:pPr>
            <w:r w:rsidRPr="00EE58D4">
              <w:rPr>
                <w:rFonts w:ascii="Arial Narrow" w:hAnsi="Arial Narrow"/>
                <w:b/>
                <w:sz w:val="20"/>
                <w:szCs w:val="20"/>
              </w:rPr>
              <w:t>=</w:t>
            </w:r>
          </w:p>
        </w:tc>
        <w:tc>
          <w:tcPr>
            <w:tcW w:w="1991" w:type="dxa"/>
            <w:tcBorders>
              <w:top w:val="nil"/>
              <w:left w:val="nil"/>
              <w:bottom w:val="single" w:sz="8" w:space="0" w:color="auto"/>
              <w:right w:val="single" w:sz="8" w:space="0" w:color="auto"/>
            </w:tcBorders>
            <w:tcMar>
              <w:top w:w="0" w:type="dxa"/>
              <w:left w:w="108" w:type="dxa"/>
              <w:bottom w:w="0" w:type="dxa"/>
              <w:right w:w="108" w:type="dxa"/>
            </w:tcMar>
            <w:hideMark/>
          </w:tcPr>
          <w:p w:rsidR="00983B52" w:rsidRPr="00EE58D4" w:rsidP="00EE58D4" w14:paraId="797C4E65" w14:textId="6B15E02B">
            <w:pPr>
              <w:keepNext/>
              <w:keepLines/>
              <w:jc w:val="center"/>
              <w:rPr>
                <w:rFonts w:ascii="Arial Narrow" w:hAnsi="Arial Narrow"/>
                <w:b/>
                <w:sz w:val="20"/>
                <w:szCs w:val="20"/>
              </w:rPr>
            </w:pPr>
            <w:r>
              <w:rPr>
                <w:rFonts w:ascii="Arial Narrow" w:hAnsi="Arial Narrow"/>
                <w:b/>
                <w:sz w:val="20"/>
                <w:szCs w:val="20"/>
              </w:rPr>
              <w:t>$</w:t>
            </w:r>
            <w:r w:rsidRPr="00EE58D4" w:rsidR="00EE58D4">
              <w:rPr>
                <w:rFonts w:ascii="Arial Narrow" w:hAnsi="Arial Narrow"/>
                <w:b/>
                <w:sz w:val="20"/>
                <w:szCs w:val="20"/>
              </w:rPr>
              <w:t>24,271</w:t>
            </w:r>
          </w:p>
        </w:tc>
      </w:tr>
      <w:tr w14:paraId="38F23356" w14:textId="77777777" w:rsidTr="00EE58D4">
        <w:tblPrEx>
          <w:tblW w:w="8498" w:type="dxa"/>
          <w:tblInd w:w="620" w:type="dxa"/>
          <w:tblCellMar>
            <w:left w:w="0" w:type="dxa"/>
            <w:right w:w="0" w:type="dxa"/>
          </w:tblCellMar>
          <w:tblLook w:val="04A0"/>
        </w:tblPrEx>
        <w:tc>
          <w:tcPr>
            <w:tcW w:w="849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B52" w:rsidRPr="00EE58D4" w:rsidP="00EE58D4" w14:paraId="7A69691B" w14:textId="3535AF56">
            <w:pPr>
              <w:keepNext/>
              <w:keepLines/>
              <w:rPr>
                <w:rFonts w:ascii="Arial Narrow" w:hAnsi="Arial Narrow"/>
                <w:sz w:val="20"/>
                <w:szCs w:val="20"/>
              </w:rPr>
            </w:pPr>
            <w:r w:rsidRPr="00EE58D4">
              <w:rPr>
                <w:rFonts w:ascii="Arial Narrow" w:hAnsi="Arial Narrow"/>
                <w:sz w:val="20"/>
                <w:szCs w:val="20"/>
              </w:rPr>
              <w:t xml:space="preserve">Table costs are based on </w:t>
            </w:r>
            <w:r w:rsidRPr="00EE58D4">
              <w:rPr>
                <w:rFonts w:ascii="Arial Narrow" w:hAnsi="Arial Narrow"/>
                <w:sz w:val="20"/>
                <w:szCs w:val="20"/>
              </w:rPr>
              <w:t>202</w:t>
            </w:r>
            <w:r w:rsidRPr="00EE58D4" w:rsidR="001E49A0">
              <w:rPr>
                <w:rFonts w:ascii="Arial Narrow" w:hAnsi="Arial Narrow"/>
                <w:sz w:val="20"/>
                <w:szCs w:val="20"/>
              </w:rPr>
              <w:t>3</w:t>
            </w:r>
            <w:r w:rsidRPr="00EE58D4">
              <w:rPr>
                <w:rFonts w:ascii="Arial Narrow" w:hAnsi="Arial Narrow"/>
                <w:sz w:val="20"/>
                <w:szCs w:val="20"/>
              </w:rPr>
              <w:t xml:space="preserve"> actuals obtained from IRS Chief Financial Office and Media and Publications</w:t>
            </w:r>
          </w:p>
        </w:tc>
      </w:tr>
    </w:tbl>
    <w:p w:rsidR="00AC7617" w:rsidRPr="006C6A90" w14:paraId="58877A2A" w14:textId="77777777">
      <w:pPr>
        <w:ind w:left="720"/>
        <w:rPr>
          <w:rFonts w:ascii="Times New Roman" w:hAnsi="Times New Roman"/>
        </w:rPr>
      </w:pPr>
    </w:p>
    <w:p w:rsidR="00FF371A" w:rsidRPr="006C6A90" w:rsidP="0033390A" w14:paraId="60667599" w14:textId="00EEF0F3">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REASONS FOR CHANGE IN BURDE</w:t>
      </w:r>
      <w:r w:rsidRPr="006C6A90" w:rsidR="0033390A">
        <w:rPr>
          <w:rFonts w:ascii="Times New Roman" w:hAnsi="Times New Roman"/>
          <w:u w:val="single"/>
        </w:rPr>
        <w:t>N</w:t>
      </w:r>
    </w:p>
    <w:p w:rsidR="00FF371A" w:rsidRPr="006C6A90" w14:paraId="55BA4E57" w14:textId="77777777">
      <w:pPr>
        <w:rPr>
          <w:rFonts w:ascii="Times New Roman" w:hAnsi="Times New Roman"/>
        </w:rPr>
      </w:pPr>
    </w:p>
    <w:p w:rsidR="00925789" w:rsidP="00925789" w14:paraId="2DB0241C" w14:textId="4398A1EC">
      <w:pPr>
        <w:ind w:left="720"/>
        <w:rPr>
          <w:rFonts w:ascii="Times New Roman" w:hAnsi="Times New Roman"/>
          <w:bCs/>
        </w:rPr>
      </w:pPr>
      <w:r w:rsidRPr="006C6A90">
        <w:rPr>
          <w:rFonts w:ascii="Times New Roman" w:hAnsi="Times New Roman"/>
          <w:bCs/>
        </w:rPr>
        <w:t xml:space="preserve">There </w:t>
      </w:r>
      <w:r w:rsidR="00EB6E86">
        <w:rPr>
          <w:rFonts w:ascii="Times New Roman" w:hAnsi="Times New Roman"/>
          <w:bCs/>
        </w:rPr>
        <w:t>are</w:t>
      </w:r>
      <w:r w:rsidRPr="006C6A90">
        <w:rPr>
          <w:rFonts w:ascii="Times New Roman" w:hAnsi="Times New Roman"/>
          <w:bCs/>
        </w:rPr>
        <w:t xml:space="preserve"> no change</w:t>
      </w:r>
      <w:r w:rsidR="00EB6E86">
        <w:rPr>
          <w:rFonts w:ascii="Times New Roman" w:hAnsi="Times New Roman"/>
          <w:bCs/>
        </w:rPr>
        <w:t>s</w:t>
      </w:r>
      <w:r w:rsidRPr="006C6A90">
        <w:rPr>
          <w:rFonts w:ascii="Times New Roman" w:hAnsi="Times New Roman"/>
          <w:bCs/>
        </w:rPr>
        <w:t xml:space="preserve"> in the </w:t>
      </w:r>
      <w:r w:rsidR="00EB6E86">
        <w:rPr>
          <w:rFonts w:ascii="Times New Roman" w:hAnsi="Times New Roman"/>
          <w:bCs/>
        </w:rPr>
        <w:t xml:space="preserve">form </w:t>
      </w:r>
      <w:r w:rsidRPr="006C6A90">
        <w:rPr>
          <w:rFonts w:ascii="Times New Roman" w:hAnsi="Times New Roman"/>
          <w:bCs/>
        </w:rPr>
        <w:t xml:space="preserve">previously approved by OMB. </w:t>
      </w:r>
      <w:r w:rsidR="00EB6E86">
        <w:rPr>
          <w:rFonts w:ascii="Times New Roman" w:hAnsi="Times New Roman"/>
          <w:bCs/>
        </w:rPr>
        <w:t xml:space="preserve">However, updates in the burden computation will result in a burden decrease of 51,100 hours.  </w:t>
      </w:r>
      <w:r w:rsidRPr="006C6A90">
        <w:rPr>
          <w:rFonts w:ascii="Times New Roman" w:hAnsi="Times New Roman"/>
          <w:bCs/>
        </w:rPr>
        <w:t>The IRS is making this submission to renew the OMB approval.</w:t>
      </w:r>
    </w:p>
    <w:p w:rsidR="00EB6E86" w:rsidP="00925789" w14:paraId="40543916" w14:textId="77777777">
      <w:pPr>
        <w:ind w:left="720"/>
        <w:rPr>
          <w:rFonts w:ascii="Times New Roman" w:hAnsi="Times New Roman"/>
          <w:bCs/>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315"/>
        <w:gridCol w:w="1382"/>
        <w:gridCol w:w="1375"/>
        <w:gridCol w:w="1211"/>
        <w:gridCol w:w="1356"/>
        <w:gridCol w:w="1428"/>
        <w:gridCol w:w="1277"/>
      </w:tblGrid>
      <w:tr w14:paraId="626A14AB" w14:textId="77777777" w:rsidTr="00EB6E86">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210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0E7303BD"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 </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6D6332CA" w14:textId="7A9D9670">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 xml:space="preserve">Total </w:t>
            </w:r>
            <w:r w:rsidR="00F76D4F">
              <w:rPr>
                <w:rFonts w:ascii="Arial" w:hAnsi="Arial" w:cs="Arial"/>
                <w:b/>
                <w:bCs/>
                <w:color w:val="FFFFFF"/>
                <w:sz w:val="17"/>
                <w:szCs w:val="17"/>
              </w:rPr>
              <w:t>Requested</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11A05404"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Previously Approved</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4EC3CED5"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Change Due to New Statute</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48E28FC1"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Change Due to Agency Discretion</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36B1B8CE"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Change Due to Adjustment in Estimate</w:t>
            </w:r>
          </w:p>
        </w:tc>
        <w:tc>
          <w:tcPr>
            <w:tcW w:w="2280" w:type="dxa"/>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B6E86" w:rsidRPr="00EB6E86" w:rsidP="00EB6E86" w14:paraId="5B0B7A92" w14:textId="77777777">
            <w:pPr>
              <w:widowControl/>
              <w:autoSpaceDE/>
              <w:autoSpaceDN/>
              <w:adjustRightInd/>
              <w:spacing w:line="195" w:lineRule="atLeast"/>
              <w:jc w:val="center"/>
              <w:rPr>
                <w:rFonts w:ascii="Arial" w:hAnsi="Arial" w:cs="Arial"/>
                <w:b/>
                <w:bCs/>
                <w:color w:val="FFFFFF"/>
                <w:sz w:val="17"/>
                <w:szCs w:val="17"/>
              </w:rPr>
            </w:pPr>
            <w:r w:rsidRPr="00EB6E86">
              <w:rPr>
                <w:rFonts w:ascii="Arial" w:hAnsi="Arial" w:cs="Arial"/>
                <w:b/>
                <w:bCs/>
                <w:color w:val="FFFFFF"/>
                <w:sz w:val="17"/>
                <w:szCs w:val="17"/>
              </w:rPr>
              <w:t>Change Due to Potential Violation of the PRA</w:t>
            </w:r>
          </w:p>
        </w:tc>
      </w:tr>
      <w:tr w14:paraId="491DE4D5" w14:textId="77777777" w:rsidTr="00EB6E86">
        <w:tblPrEx>
          <w:tblW w:w="5000" w:type="pct"/>
          <w:tblCellMar>
            <w:left w:w="0" w:type="dxa"/>
            <w:right w:w="0" w:type="dxa"/>
          </w:tblCellMar>
          <w:tblLook w:val="04A0"/>
        </w:tblPrEx>
        <w:trPr>
          <w:trHeight w:val="375"/>
        </w:trPr>
        <w:tc>
          <w:tcPr>
            <w:tcW w:w="2100" w:type="dxa"/>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1AA7D7F6"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Annual Number of Responses</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3414CB2A"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70,000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1CC2D916"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70,000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7A0ED7C3"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26784B94"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6FF82A6E"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1E80AA9C"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r>
      <w:tr w14:paraId="4AD472B2" w14:textId="77777777" w:rsidTr="00EB6E86">
        <w:tblPrEx>
          <w:tblW w:w="5000" w:type="pct"/>
          <w:tblCellMar>
            <w:left w:w="0" w:type="dxa"/>
            <w:right w:w="0" w:type="dxa"/>
          </w:tblCellMar>
          <w:tblLook w:val="04A0"/>
        </w:tblPrEx>
        <w:trPr>
          <w:trHeight w:val="375"/>
        </w:trPr>
        <w:tc>
          <w:tcPr>
            <w:tcW w:w="2100" w:type="dxa"/>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1AE0A822"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Annual Time Burden (Hr)</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379ED148" w14:textId="6E32A157">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214,200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62CF8215"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265,300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4DBE520B"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195E57D9"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535CF03B" w14:textId="2B3DC1F0">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-51,100</w:t>
            </w:r>
          </w:p>
        </w:tc>
        <w:tc>
          <w:tcPr>
            <w:tcW w:w="0" w:type="auto"/>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B6E86" w:rsidRPr="00EB6E86" w:rsidP="00EB6E86" w14:paraId="2F78DD74" w14:textId="77777777">
            <w:pPr>
              <w:widowControl/>
              <w:autoSpaceDE/>
              <w:autoSpaceDN/>
              <w:adjustRightInd/>
              <w:spacing w:line="225" w:lineRule="atLeast"/>
              <w:rPr>
                <w:rFonts w:ascii="Arial" w:hAnsi="Arial" w:cs="Arial"/>
                <w:color w:val="56606F"/>
                <w:sz w:val="17"/>
                <w:szCs w:val="17"/>
              </w:rPr>
            </w:pPr>
            <w:r w:rsidRPr="00EB6E86">
              <w:rPr>
                <w:rFonts w:ascii="Arial" w:hAnsi="Arial" w:cs="Arial"/>
                <w:color w:val="56606F"/>
                <w:sz w:val="17"/>
                <w:szCs w:val="17"/>
              </w:rPr>
              <w:t>0</w:t>
            </w:r>
          </w:p>
        </w:tc>
      </w:tr>
    </w:tbl>
    <w:p w:rsidR="00C143D6" w:rsidP="003F6074" w14:paraId="63AC9B47" w14:textId="77777777">
      <w:pPr>
        <w:ind w:left="720"/>
        <w:rPr>
          <w:rFonts w:ascii="Times New Roman" w:hAnsi="Times New Roman"/>
        </w:rPr>
      </w:pPr>
    </w:p>
    <w:p w:rsidR="0063110E" w:rsidP="003F6074" w14:paraId="7271E683" w14:textId="77777777">
      <w:pPr>
        <w:ind w:left="720"/>
        <w:rPr>
          <w:rFonts w:ascii="Times New Roman" w:hAnsi="Times New Roman"/>
        </w:rPr>
      </w:pPr>
    </w:p>
    <w:p w:rsidR="0063110E" w:rsidRPr="006C6A90" w:rsidP="003F6074" w14:paraId="5960F97D" w14:textId="77777777">
      <w:pPr>
        <w:ind w:left="720"/>
        <w:rPr>
          <w:rFonts w:ascii="Times New Roman" w:hAnsi="Times New Roman"/>
        </w:rPr>
      </w:pPr>
    </w:p>
    <w:p w:rsidR="00FF371A" w:rsidRPr="006C6A90" w:rsidP="0033390A" w14:paraId="44AF7FB5" w14:textId="77255917">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PLANS FOR TABULATION, STATISTICAL ANALYSIS AND PUBLICATION</w:t>
      </w:r>
    </w:p>
    <w:p w:rsidR="00FF371A" w:rsidRPr="006C6A90" w14:paraId="1BC32211" w14:textId="77777777">
      <w:pPr>
        <w:rPr>
          <w:rFonts w:ascii="Times New Roman" w:hAnsi="Times New Roman"/>
        </w:rPr>
      </w:pPr>
    </w:p>
    <w:p w:rsidR="00FF371A" w:rsidRPr="006C6A90" w14:paraId="27FE9B74" w14:textId="208D719C">
      <w:pPr>
        <w:ind w:left="720"/>
        <w:rPr>
          <w:rFonts w:ascii="Times New Roman" w:hAnsi="Times New Roman"/>
        </w:rPr>
      </w:pPr>
      <w:r w:rsidRPr="006C6A90">
        <w:rPr>
          <w:rFonts w:ascii="Times New Roman" w:hAnsi="Times New Roman"/>
        </w:rPr>
        <w:t xml:space="preserve">There are no plans for tabulation, statistical </w:t>
      </w:r>
      <w:r w:rsidRPr="006C6A90" w:rsidR="00651A81">
        <w:rPr>
          <w:rFonts w:ascii="Times New Roman" w:hAnsi="Times New Roman"/>
        </w:rPr>
        <w:t>analysis,</w:t>
      </w:r>
      <w:r w:rsidRPr="006C6A90">
        <w:rPr>
          <w:rFonts w:ascii="Times New Roman" w:hAnsi="Times New Roman"/>
        </w:rPr>
        <w:t xml:space="preserve"> and publication.</w:t>
      </w:r>
    </w:p>
    <w:p w:rsidR="00FF371A" w:rsidRPr="006C6A90" w14:paraId="6D9E6A3C" w14:textId="77777777">
      <w:pPr>
        <w:rPr>
          <w:rFonts w:ascii="Times New Roman" w:hAnsi="Times New Roman"/>
        </w:rPr>
      </w:pPr>
    </w:p>
    <w:p w:rsidR="00FF371A" w:rsidRPr="006C6A90" w:rsidP="0033390A" w14:paraId="715E695E" w14:textId="64F8E2C0">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REASONS WHY DISPLAYING THE OMB EXPIRATION DATE IS</w:t>
      </w:r>
      <w:r w:rsidRPr="006C6A90" w:rsidR="000B253F">
        <w:rPr>
          <w:rFonts w:ascii="Times New Roman" w:hAnsi="Times New Roman"/>
          <w:u w:val="single"/>
        </w:rPr>
        <w:t xml:space="preserve"> </w:t>
      </w:r>
      <w:r w:rsidRPr="006C6A90">
        <w:rPr>
          <w:rFonts w:ascii="Times New Roman" w:hAnsi="Times New Roman"/>
          <w:u w:val="single"/>
        </w:rPr>
        <w:t>INAPPROPRIATE</w:t>
      </w:r>
    </w:p>
    <w:p w:rsidR="00FF371A" w:rsidRPr="006C6A90" w14:paraId="4DFD38CD" w14:textId="77777777">
      <w:pPr>
        <w:rPr>
          <w:rFonts w:ascii="Times New Roman" w:hAnsi="Times New Roman"/>
        </w:rPr>
      </w:pPr>
    </w:p>
    <w:p w:rsidR="00F020D8" w:rsidRPr="006C6A90" w:rsidP="00F020D8" w14:paraId="067901D8" w14:textId="787AC566">
      <w:pPr>
        <w:ind w:left="720"/>
        <w:rPr>
          <w:rFonts w:ascii="Times New Roman" w:hAnsi="Times New Roman"/>
        </w:rPr>
      </w:pPr>
      <w:r w:rsidRPr="006C6A90">
        <w:rPr>
          <w:rFonts w:ascii="Times New Roman" w:hAnsi="Times New Roman"/>
        </w:rPr>
        <w:t>The IRS believes that displaying the OMB expiration date is inappropriate because it could cause confusion by leading taxpayers to believe that the form sunsets as of the expiration date. Taxpayers are not likely to be aware that the IRS intends to request renewal of the OMB approval and obtain a new expiration date before the old one expires.</w:t>
      </w:r>
    </w:p>
    <w:p w:rsidR="00F020D8" w:rsidRPr="006C6A90" w:rsidP="00F020D8" w14:paraId="6B486820" w14:textId="77777777">
      <w:pPr>
        <w:jc w:val="both"/>
        <w:rPr>
          <w:rFonts w:ascii="Times New Roman" w:hAnsi="Times New Roman"/>
        </w:rPr>
      </w:pPr>
    </w:p>
    <w:p w:rsidR="00FF371A" w:rsidRPr="006C6A90" w:rsidP="0033390A" w14:paraId="53CF775B" w14:textId="41FF5D05">
      <w:pPr>
        <w:pStyle w:val="Level1"/>
        <w:tabs>
          <w:tab w:val="left" w:pos="-1440"/>
          <w:tab w:val="num" w:pos="720"/>
        </w:tabs>
        <w:ind w:left="720" w:hanging="720"/>
        <w:rPr>
          <w:rFonts w:ascii="Times New Roman" w:hAnsi="Times New Roman"/>
          <w:u w:val="single"/>
        </w:rPr>
      </w:pPr>
      <w:r w:rsidRPr="006C6A90">
        <w:rPr>
          <w:rFonts w:ascii="Times New Roman" w:hAnsi="Times New Roman"/>
          <w:u w:val="single"/>
        </w:rPr>
        <w:t xml:space="preserve">EXCEPTIONS TO THE CERTIFICATION STATEMENT </w:t>
      </w:r>
    </w:p>
    <w:p w:rsidR="00FF371A" w:rsidRPr="006C6A90" w14:paraId="5922AEE8" w14:textId="77777777">
      <w:pPr>
        <w:rPr>
          <w:rFonts w:ascii="Times New Roman" w:hAnsi="Times New Roman"/>
        </w:rPr>
      </w:pPr>
    </w:p>
    <w:p w:rsidR="00FF371A" w:rsidRPr="006C6A90" w14:paraId="229CD3BF" w14:textId="77777777">
      <w:pPr>
        <w:ind w:left="720"/>
        <w:rPr>
          <w:rFonts w:ascii="Times New Roman" w:hAnsi="Times New Roman"/>
        </w:rPr>
      </w:pPr>
      <w:r w:rsidRPr="006C6A90">
        <w:rPr>
          <w:rFonts w:ascii="Times New Roman" w:hAnsi="Times New Roman"/>
        </w:rPr>
        <w:t>There are no exceptions to the certification statement for this collection.</w:t>
      </w:r>
    </w:p>
    <w:p w:rsidR="00FF371A" w:rsidRPr="006C6A90" w:rsidP="005E2529" w14:paraId="75741B94" w14:textId="77777777">
      <w:pPr>
        <w:ind w:left="720"/>
        <w:rPr>
          <w:rFonts w:ascii="Times New Roman" w:hAnsi="Times New Roman"/>
        </w:rPr>
      </w:pPr>
    </w:p>
    <w:p w:rsidR="00FF371A" w:rsidRPr="006C6A90" w14:paraId="7DA2A6CB" w14:textId="77777777">
      <w:pPr>
        <w:rPr>
          <w:rFonts w:ascii="Times New Roman" w:hAnsi="Times New Roman"/>
        </w:rPr>
      </w:pPr>
    </w:p>
    <w:p w:rsidR="00FF371A" w:rsidRPr="006C6A90" w14:paraId="63E5C0C4" w14:textId="77777777">
      <w:pPr>
        <w:rPr>
          <w:rFonts w:ascii="Times New Roman" w:hAnsi="Times New Roman"/>
        </w:rPr>
      </w:pPr>
    </w:p>
    <w:sectPr w:rsidSect="00FF371A">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4CF" w14:paraId="0EB347CE" w14:textId="77777777">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Pr>
        <w:rFonts w:cs="Courier"/>
        <w:b/>
        <w:bCs/>
        <w:noProof/>
      </w:rPr>
      <w:t>6</w:t>
    </w:r>
    <w:r>
      <w:rPr>
        <w:rFonts w:cs="Courier"/>
        <w:b/>
        <w:bCs/>
      </w:rPr>
      <w:fldChar w:fldCharType="end"/>
    </w:r>
  </w:p>
  <w:p w:rsidR="003B54CF" w:rsidP="00D243CE" w14:paraId="0ED65DD7" w14:textId="77777777"/>
  <w:p w:rsidR="003B54CF" w14:paraId="50DAB6D4"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8443C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4AF23E4"/>
    <w:multiLevelType w:val="multilevel"/>
    <w:tmpl w:val="42C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9256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5BB27347"/>
    <w:multiLevelType w:val="hybridMultilevel"/>
    <w:tmpl w:val="5C98AB44"/>
    <w:lvl w:ilvl="0">
      <w:start w:val="18"/>
      <w:numFmt w:val="decimal"/>
      <w:lvlText w:val="%1)"/>
      <w:lvlJc w:val="left"/>
      <w:pPr>
        <w:tabs>
          <w:tab w:val="num" w:pos="780"/>
        </w:tabs>
        <w:ind w:left="780" w:hanging="4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85145BB"/>
    <w:multiLevelType w:val="hybridMultilevel"/>
    <w:tmpl w:val="50125934"/>
    <w:lvl w:ilvl="0">
      <w:start w:val="17"/>
      <w:numFmt w:val="decimal"/>
      <w:lvlText w:val="%1)"/>
      <w:lvlJc w:val="left"/>
      <w:pPr>
        <w:tabs>
          <w:tab w:val="num" w:pos="780"/>
        </w:tabs>
        <w:ind w:left="780" w:hanging="42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51354278">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522739570">
    <w:abstractNumId w:val="3"/>
  </w:num>
  <w:num w:numId="3" w16cid:durableId="1708751625">
    <w:abstractNumId w:val="1"/>
  </w:num>
  <w:num w:numId="4" w16cid:durableId="247737344">
    <w:abstractNumId w:val="5"/>
  </w:num>
  <w:num w:numId="5" w16cid:durableId="2052802055">
    <w:abstractNumId w:val="4"/>
  </w:num>
  <w:num w:numId="6" w16cid:durableId="1666930724">
    <w:abstractNumId w:val="2"/>
  </w:num>
  <w:num w:numId="7" w16cid:durableId="179902949">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96009970">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16cid:durableId="1743673308">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150752498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16cid:durableId="37979285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35252755">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3" w16cid:durableId="1256132819">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16cid:durableId="688991525">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16cid:durableId="368384466">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1605458452">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761419674">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16cid:durableId="2076929715">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174826601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16cid:durableId="885987260">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97012667">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39223456">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96301560">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16cid:durableId="7485965">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680163746">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116418309">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1163085637">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869759705">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2002999368">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0" w16cid:durableId="1041396419">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1" w16cid:durableId="1430811321">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724255034">
    <w:abstractNumId w:val="0"/>
    <w:lvlOverride w:ilvl="0">
      <w:lvl w:ilvl="0">
        <w:start w:val="1"/>
        <w:numFmt w:val="decimal"/>
        <w:pStyle w:val="Level1"/>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1A"/>
    <w:rsid w:val="000006C5"/>
    <w:rsid w:val="00003082"/>
    <w:rsid w:val="00017249"/>
    <w:rsid w:val="00025382"/>
    <w:rsid w:val="00040EFE"/>
    <w:rsid w:val="000656DB"/>
    <w:rsid w:val="000828DE"/>
    <w:rsid w:val="00092965"/>
    <w:rsid w:val="000B0C8D"/>
    <w:rsid w:val="000B253F"/>
    <w:rsid w:val="000B2C78"/>
    <w:rsid w:val="000C17E3"/>
    <w:rsid w:val="000E2FE6"/>
    <w:rsid w:val="000E650E"/>
    <w:rsid w:val="000F25D8"/>
    <w:rsid w:val="001049C5"/>
    <w:rsid w:val="00120D9B"/>
    <w:rsid w:val="00121A88"/>
    <w:rsid w:val="00121D28"/>
    <w:rsid w:val="00153934"/>
    <w:rsid w:val="001625D0"/>
    <w:rsid w:val="00166428"/>
    <w:rsid w:val="00167DAD"/>
    <w:rsid w:val="001923DE"/>
    <w:rsid w:val="001961EA"/>
    <w:rsid w:val="001A0A6D"/>
    <w:rsid w:val="001A786B"/>
    <w:rsid w:val="001D25D2"/>
    <w:rsid w:val="001E49A0"/>
    <w:rsid w:val="001E76CF"/>
    <w:rsid w:val="001F36C3"/>
    <w:rsid w:val="001F4182"/>
    <w:rsid w:val="00204EE1"/>
    <w:rsid w:val="002104D7"/>
    <w:rsid w:val="00236C10"/>
    <w:rsid w:val="00237328"/>
    <w:rsid w:val="002419D8"/>
    <w:rsid w:val="00252FA7"/>
    <w:rsid w:val="0025519D"/>
    <w:rsid w:val="00262E51"/>
    <w:rsid w:val="00264BC9"/>
    <w:rsid w:val="00291558"/>
    <w:rsid w:val="00295786"/>
    <w:rsid w:val="002A7DBA"/>
    <w:rsid w:val="002B049F"/>
    <w:rsid w:val="002C5DA3"/>
    <w:rsid w:val="002E18CF"/>
    <w:rsid w:val="002E5770"/>
    <w:rsid w:val="0030174E"/>
    <w:rsid w:val="003059A3"/>
    <w:rsid w:val="00306491"/>
    <w:rsid w:val="00306D72"/>
    <w:rsid w:val="00321016"/>
    <w:rsid w:val="00321BAF"/>
    <w:rsid w:val="00331EE8"/>
    <w:rsid w:val="00333706"/>
    <w:rsid w:val="0033390A"/>
    <w:rsid w:val="003354C3"/>
    <w:rsid w:val="0034179A"/>
    <w:rsid w:val="003734E3"/>
    <w:rsid w:val="00376F3B"/>
    <w:rsid w:val="003956E2"/>
    <w:rsid w:val="003B154E"/>
    <w:rsid w:val="003B54CF"/>
    <w:rsid w:val="003C37AB"/>
    <w:rsid w:val="003D2131"/>
    <w:rsid w:val="003D3EE7"/>
    <w:rsid w:val="003F444F"/>
    <w:rsid w:val="003F6074"/>
    <w:rsid w:val="004038E6"/>
    <w:rsid w:val="00405E3E"/>
    <w:rsid w:val="004159B3"/>
    <w:rsid w:val="00433298"/>
    <w:rsid w:val="004335AA"/>
    <w:rsid w:val="004504D4"/>
    <w:rsid w:val="00452C94"/>
    <w:rsid w:val="0047304C"/>
    <w:rsid w:val="00474606"/>
    <w:rsid w:val="00474D14"/>
    <w:rsid w:val="004838DB"/>
    <w:rsid w:val="00491388"/>
    <w:rsid w:val="004916D1"/>
    <w:rsid w:val="00497351"/>
    <w:rsid w:val="004B3797"/>
    <w:rsid w:val="004B7BBB"/>
    <w:rsid w:val="004D4F2F"/>
    <w:rsid w:val="004D647B"/>
    <w:rsid w:val="004D6F23"/>
    <w:rsid w:val="004F012A"/>
    <w:rsid w:val="004F0557"/>
    <w:rsid w:val="0050237A"/>
    <w:rsid w:val="005036EC"/>
    <w:rsid w:val="005070D6"/>
    <w:rsid w:val="005072DD"/>
    <w:rsid w:val="005075D0"/>
    <w:rsid w:val="00510B08"/>
    <w:rsid w:val="0054740E"/>
    <w:rsid w:val="00562F09"/>
    <w:rsid w:val="0057053C"/>
    <w:rsid w:val="005778F5"/>
    <w:rsid w:val="00591636"/>
    <w:rsid w:val="005A28D4"/>
    <w:rsid w:val="005C61E8"/>
    <w:rsid w:val="005D3AB8"/>
    <w:rsid w:val="005E2529"/>
    <w:rsid w:val="005F07B9"/>
    <w:rsid w:val="005F0B68"/>
    <w:rsid w:val="005F2C13"/>
    <w:rsid w:val="005F67A4"/>
    <w:rsid w:val="005F7032"/>
    <w:rsid w:val="00610E71"/>
    <w:rsid w:val="00611D3D"/>
    <w:rsid w:val="0063110E"/>
    <w:rsid w:val="0063214E"/>
    <w:rsid w:val="00635E0E"/>
    <w:rsid w:val="006418F6"/>
    <w:rsid w:val="00645E6E"/>
    <w:rsid w:val="00651A81"/>
    <w:rsid w:val="00662726"/>
    <w:rsid w:val="006A34DB"/>
    <w:rsid w:val="006A55EE"/>
    <w:rsid w:val="006B20D5"/>
    <w:rsid w:val="006C2FBF"/>
    <w:rsid w:val="006C4382"/>
    <w:rsid w:val="006C6A90"/>
    <w:rsid w:val="006D1DC6"/>
    <w:rsid w:val="006E0982"/>
    <w:rsid w:val="006E3E87"/>
    <w:rsid w:val="0070205D"/>
    <w:rsid w:val="00761142"/>
    <w:rsid w:val="00764739"/>
    <w:rsid w:val="00774C0D"/>
    <w:rsid w:val="00793189"/>
    <w:rsid w:val="007B02C3"/>
    <w:rsid w:val="007B7115"/>
    <w:rsid w:val="007D2FA2"/>
    <w:rsid w:val="007F2B9F"/>
    <w:rsid w:val="007F6D99"/>
    <w:rsid w:val="008139B8"/>
    <w:rsid w:val="00820D8E"/>
    <w:rsid w:val="00824072"/>
    <w:rsid w:val="0083403A"/>
    <w:rsid w:val="00844713"/>
    <w:rsid w:val="008475EF"/>
    <w:rsid w:val="00877EC1"/>
    <w:rsid w:val="008831F4"/>
    <w:rsid w:val="00886EBD"/>
    <w:rsid w:val="00887F0F"/>
    <w:rsid w:val="00896A50"/>
    <w:rsid w:val="00897FD1"/>
    <w:rsid w:val="008C08DB"/>
    <w:rsid w:val="008C1099"/>
    <w:rsid w:val="008C179D"/>
    <w:rsid w:val="008D3E3B"/>
    <w:rsid w:val="008E5AF8"/>
    <w:rsid w:val="008F283F"/>
    <w:rsid w:val="008F5CD0"/>
    <w:rsid w:val="00904263"/>
    <w:rsid w:val="00925789"/>
    <w:rsid w:val="00951C10"/>
    <w:rsid w:val="00962E2E"/>
    <w:rsid w:val="00964633"/>
    <w:rsid w:val="00966B75"/>
    <w:rsid w:val="00967178"/>
    <w:rsid w:val="00973582"/>
    <w:rsid w:val="00983B52"/>
    <w:rsid w:val="009862E9"/>
    <w:rsid w:val="00990904"/>
    <w:rsid w:val="009932B1"/>
    <w:rsid w:val="00996948"/>
    <w:rsid w:val="009B3013"/>
    <w:rsid w:val="009C29F1"/>
    <w:rsid w:val="009D0512"/>
    <w:rsid w:val="009E601C"/>
    <w:rsid w:val="009F4397"/>
    <w:rsid w:val="009F4550"/>
    <w:rsid w:val="009F6D05"/>
    <w:rsid w:val="009F7685"/>
    <w:rsid w:val="00A12E01"/>
    <w:rsid w:val="00A46B2A"/>
    <w:rsid w:val="00A62979"/>
    <w:rsid w:val="00A709DA"/>
    <w:rsid w:val="00A75E63"/>
    <w:rsid w:val="00A82883"/>
    <w:rsid w:val="00A82D28"/>
    <w:rsid w:val="00A8460E"/>
    <w:rsid w:val="00A907D4"/>
    <w:rsid w:val="00AA7E4B"/>
    <w:rsid w:val="00AA7F27"/>
    <w:rsid w:val="00AC6CB7"/>
    <w:rsid w:val="00AC7617"/>
    <w:rsid w:val="00AD1410"/>
    <w:rsid w:val="00AD14C4"/>
    <w:rsid w:val="00AD5BC8"/>
    <w:rsid w:val="00AE1918"/>
    <w:rsid w:val="00AE4346"/>
    <w:rsid w:val="00AF3AB1"/>
    <w:rsid w:val="00B03085"/>
    <w:rsid w:val="00B35A11"/>
    <w:rsid w:val="00B4673A"/>
    <w:rsid w:val="00B555AC"/>
    <w:rsid w:val="00B63CFF"/>
    <w:rsid w:val="00B643D3"/>
    <w:rsid w:val="00B70FF1"/>
    <w:rsid w:val="00B736D3"/>
    <w:rsid w:val="00B74404"/>
    <w:rsid w:val="00B74A1F"/>
    <w:rsid w:val="00BA0A6B"/>
    <w:rsid w:val="00BC2D29"/>
    <w:rsid w:val="00BC3FCC"/>
    <w:rsid w:val="00BD14C3"/>
    <w:rsid w:val="00BE0439"/>
    <w:rsid w:val="00BE175F"/>
    <w:rsid w:val="00BF4473"/>
    <w:rsid w:val="00C135D0"/>
    <w:rsid w:val="00C143D6"/>
    <w:rsid w:val="00C1781F"/>
    <w:rsid w:val="00C22637"/>
    <w:rsid w:val="00C3701E"/>
    <w:rsid w:val="00C409A1"/>
    <w:rsid w:val="00C65BCE"/>
    <w:rsid w:val="00C83862"/>
    <w:rsid w:val="00C8758B"/>
    <w:rsid w:val="00C96A56"/>
    <w:rsid w:val="00CA7666"/>
    <w:rsid w:val="00CB4D3D"/>
    <w:rsid w:val="00CC225B"/>
    <w:rsid w:val="00CC2FE2"/>
    <w:rsid w:val="00CC50AF"/>
    <w:rsid w:val="00CD499E"/>
    <w:rsid w:val="00CE72C2"/>
    <w:rsid w:val="00D07173"/>
    <w:rsid w:val="00D12865"/>
    <w:rsid w:val="00D157D9"/>
    <w:rsid w:val="00D243CE"/>
    <w:rsid w:val="00D24DD9"/>
    <w:rsid w:val="00D41B59"/>
    <w:rsid w:val="00D42785"/>
    <w:rsid w:val="00D500B9"/>
    <w:rsid w:val="00D7411A"/>
    <w:rsid w:val="00D97790"/>
    <w:rsid w:val="00DB2B82"/>
    <w:rsid w:val="00DB507C"/>
    <w:rsid w:val="00DD1C8C"/>
    <w:rsid w:val="00DE06B0"/>
    <w:rsid w:val="00DE2EB0"/>
    <w:rsid w:val="00DE63ED"/>
    <w:rsid w:val="00DF5ADB"/>
    <w:rsid w:val="00DF7836"/>
    <w:rsid w:val="00E165B5"/>
    <w:rsid w:val="00E304E7"/>
    <w:rsid w:val="00E33B85"/>
    <w:rsid w:val="00E42690"/>
    <w:rsid w:val="00E4620B"/>
    <w:rsid w:val="00E5567E"/>
    <w:rsid w:val="00E55C29"/>
    <w:rsid w:val="00E60D71"/>
    <w:rsid w:val="00E6445D"/>
    <w:rsid w:val="00E650F1"/>
    <w:rsid w:val="00E757E7"/>
    <w:rsid w:val="00E92E12"/>
    <w:rsid w:val="00E9523F"/>
    <w:rsid w:val="00EA10D2"/>
    <w:rsid w:val="00EA1D20"/>
    <w:rsid w:val="00EB6976"/>
    <w:rsid w:val="00EB6E86"/>
    <w:rsid w:val="00EC3AD1"/>
    <w:rsid w:val="00ED6C0B"/>
    <w:rsid w:val="00ED7ED3"/>
    <w:rsid w:val="00EE58D4"/>
    <w:rsid w:val="00EF0349"/>
    <w:rsid w:val="00EF065B"/>
    <w:rsid w:val="00F020D8"/>
    <w:rsid w:val="00F26713"/>
    <w:rsid w:val="00F42693"/>
    <w:rsid w:val="00F43691"/>
    <w:rsid w:val="00F55110"/>
    <w:rsid w:val="00F62C7D"/>
    <w:rsid w:val="00F744EB"/>
    <w:rsid w:val="00F769CE"/>
    <w:rsid w:val="00F76D4F"/>
    <w:rsid w:val="00F82A93"/>
    <w:rsid w:val="00F82DE0"/>
    <w:rsid w:val="00F87440"/>
    <w:rsid w:val="00FA24EB"/>
    <w:rsid w:val="00FC7747"/>
    <w:rsid w:val="00FD13AC"/>
    <w:rsid w:val="00FE33A0"/>
    <w:rsid w:val="00FF19C2"/>
    <w:rsid w:val="00FF3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85CC49"/>
  <w15:chartTrackingRefBased/>
  <w15:docId w15:val="{3100DA0B-3141-4B40-A371-5BCE42F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outlineLvl w:val="0"/>
    </w:pPr>
  </w:style>
  <w:style w:type="character" w:styleId="Hyperlink">
    <w:name w:val="Hyperlink"/>
    <w:uiPriority w:val="99"/>
    <w:unhideWhenUsed/>
    <w:rsid w:val="00FA24EB"/>
    <w:rPr>
      <w:color w:val="0000FF"/>
      <w:u w:val="single"/>
    </w:rPr>
  </w:style>
  <w:style w:type="paragraph" w:styleId="ListParagraph">
    <w:name w:val="List Paragraph"/>
    <w:basedOn w:val="Normal"/>
    <w:uiPriority w:val="34"/>
    <w:qFormat/>
    <w:rsid w:val="00FA24EB"/>
    <w:pPr>
      <w:widowControl/>
      <w:autoSpaceDE/>
      <w:autoSpaceDN/>
      <w:adjustRightInd/>
      <w:ind w:left="720"/>
    </w:pPr>
    <w:rPr>
      <w:rFonts w:ascii="Times New Roman" w:eastAsia="Calibri" w:hAnsi="Times New Roman"/>
    </w:rPr>
  </w:style>
  <w:style w:type="paragraph" w:styleId="Header">
    <w:name w:val="header"/>
    <w:basedOn w:val="Normal"/>
    <w:link w:val="HeaderChar"/>
    <w:rsid w:val="00D243CE"/>
    <w:pPr>
      <w:tabs>
        <w:tab w:val="center" w:pos="4680"/>
        <w:tab w:val="right" w:pos="9360"/>
      </w:tabs>
    </w:pPr>
  </w:style>
  <w:style w:type="character" w:customStyle="1" w:styleId="HeaderChar">
    <w:name w:val="Header Char"/>
    <w:link w:val="Header"/>
    <w:rsid w:val="00D243CE"/>
    <w:rPr>
      <w:rFonts w:ascii="Courier" w:hAnsi="Courier"/>
      <w:sz w:val="24"/>
      <w:szCs w:val="24"/>
    </w:rPr>
  </w:style>
  <w:style w:type="paragraph" w:styleId="Footer">
    <w:name w:val="footer"/>
    <w:basedOn w:val="Normal"/>
    <w:link w:val="FooterChar"/>
    <w:uiPriority w:val="99"/>
    <w:rsid w:val="00D243CE"/>
    <w:pPr>
      <w:tabs>
        <w:tab w:val="center" w:pos="4680"/>
        <w:tab w:val="right" w:pos="9360"/>
      </w:tabs>
    </w:pPr>
  </w:style>
  <w:style w:type="character" w:customStyle="1" w:styleId="FooterChar">
    <w:name w:val="Footer Char"/>
    <w:link w:val="Footer"/>
    <w:uiPriority w:val="99"/>
    <w:rsid w:val="00D243CE"/>
    <w:rPr>
      <w:rFonts w:ascii="Courier" w:hAnsi="Courier"/>
      <w:sz w:val="24"/>
      <w:szCs w:val="24"/>
    </w:rPr>
  </w:style>
  <w:style w:type="paragraph" w:styleId="BalloonText">
    <w:name w:val="Balloon Text"/>
    <w:basedOn w:val="Normal"/>
    <w:link w:val="BalloonTextChar"/>
    <w:rsid w:val="002B049F"/>
    <w:rPr>
      <w:rFonts w:ascii="Segoe UI" w:hAnsi="Segoe UI" w:cs="Segoe UI"/>
      <w:sz w:val="18"/>
      <w:szCs w:val="18"/>
    </w:rPr>
  </w:style>
  <w:style w:type="character" w:customStyle="1" w:styleId="BalloonTextChar">
    <w:name w:val="Balloon Text Char"/>
    <w:link w:val="BalloonText"/>
    <w:rsid w:val="002B049F"/>
    <w:rPr>
      <w:rFonts w:ascii="Segoe UI" w:hAnsi="Segoe UI" w:cs="Segoe UI"/>
      <w:sz w:val="18"/>
      <w:szCs w:val="18"/>
    </w:rPr>
  </w:style>
  <w:style w:type="character" w:styleId="UnresolvedMention">
    <w:name w:val="Unresolved Mention"/>
    <w:uiPriority w:val="99"/>
    <w:semiHidden/>
    <w:unhideWhenUsed/>
    <w:rsid w:val="0034179A"/>
    <w:rPr>
      <w:color w:val="605E5C"/>
      <w:shd w:val="clear" w:color="auto" w:fill="E1DFDD"/>
    </w:rPr>
  </w:style>
  <w:style w:type="character" w:styleId="CommentReference">
    <w:name w:val="annotation reference"/>
    <w:rsid w:val="003354C3"/>
    <w:rPr>
      <w:sz w:val="16"/>
      <w:szCs w:val="16"/>
    </w:rPr>
  </w:style>
  <w:style w:type="paragraph" w:styleId="CommentText">
    <w:name w:val="annotation text"/>
    <w:basedOn w:val="Normal"/>
    <w:link w:val="CommentTextChar"/>
    <w:rsid w:val="003354C3"/>
    <w:rPr>
      <w:sz w:val="20"/>
      <w:szCs w:val="20"/>
    </w:rPr>
  </w:style>
  <w:style w:type="character" w:customStyle="1" w:styleId="CommentTextChar">
    <w:name w:val="Comment Text Char"/>
    <w:link w:val="CommentText"/>
    <w:rsid w:val="003354C3"/>
    <w:rPr>
      <w:rFonts w:ascii="Courier" w:hAnsi="Courier"/>
    </w:rPr>
  </w:style>
  <w:style w:type="paragraph" w:styleId="CommentSubject">
    <w:name w:val="annotation subject"/>
    <w:basedOn w:val="CommentText"/>
    <w:next w:val="CommentText"/>
    <w:link w:val="CommentSubjectChar"/>
    <w:rsid w:val="003354C3"/>
    <w:rPr>
      <w:b/>
      <w:bCs/>
    </w:rPr>
  </w:style>
  <w:style w:type="character" w:customStyle="1" w:styleId="CommentSubjectChar">
    <w:name w:val="Comment Subject Char"/>
    <w:link w:val="CommentSubject"/>
    <w:rsid w:val="003354C3"/>
    <w:rPr>
      <w:rFonts w:ascii="Courier" w:hAnsi="Courier"/>
      <w:b/>
      <w:bCs/>
    </w:rPr>
  </w:style>
  <w:style w:type="character" w:styleId="FollowedHyperlink">
    <w:name w:val="FollowedHyperlink"/>
    <w:rsid w:val="009C29F1"/>
    <w:rPr>
      <w:color w:val="954F72"/>
      <w:u w:val="single"/>
    </w:rPr>
  </w:style>
  <w:style w:type="table" w:styleId="TableGrid">
    <w:name w:val="Table Grid"/>
    <w:basedOn w:val="TableNormal"/>
    <w:rsid w:val="0033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9A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rs.gov/privacy-disclosure/privacy-impact-assessments-pia"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4EF9-8ABE-48CB-9F1C-373B23FE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qhrfb</dc:creator>
  <cp:lastModifiedBy>Jon R. Callahan</cp:lastModifiedBy>
  <cp:revision>3</cp:revision>
  <dcterms:created xsi:type="dcterms:W3CDTF">2025-06-20T13:46:00Z</dcterms:created>
  <dcterms:modified xsi:type="dcterms:W3CDTF">2025-06-20T13:46:00Z</dcterms:modified>
</cp:coreProperties>
</file>