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C22C2" w:rsidRPr="00543971" w:rsidP="000914BD" w14:paraId="2D3DCF19" w14:textId="77777777">
      <w:pPr>
        <w:widowControl/>
        <w:tabs>
          <w:tab w:val="left" w:pos="-1200"/>
          <w:tab w:val="left" w:pos="-720"/>
          <w:tab w:val="left" w:pos="720"/>
        </w:tabs>
        <w:spacing w:line="276" w:lineRule="auto"/>
        <w:jc w:val="center"/>
        <w:rPr>
          <w:rFonts w:ascii="Calibri" w:hAnsi="Calibri" w:cs="Courier New"/>
          <w:bCs/>
          <w:sz w:val="22"/>
          <w:szCs w:val="22"/>
        </w:rPr>
      </w:pPr>
      <w:r w:rsidRPr="00543971">
        <w:rPr>
          <w:rFonts w:ascii="Calibri" w:hAnsi="Calibri" w:cs="Courier New"/>
          <w:bCs/>
          <w:sz w:val="22"/>
          <w:szCs w:val="22"/>
        </w:rPr>
        <w:t>SUPPORTING STATEMENT</w:t>
      </w:r>
    </w:p>
    <w:p w:rsidR="008849A7" w:rsidRPr="00543971" w:rsidP="000914BD" w14:paraId="373EB90A" w14:textId="77777777">
      <w:pPr>
        <w:widowControl/>
        <w:tabs>
          <w:tab w:val="left" w:pos="-1200"/>
          <w:tab w:val="left" w:pos="-720"/>
          <w:tab w:val="left" w:pos="720"/>
        </w:tabs>
        <w:spacing w:line="276" w:lineRule="auto"/>
        <w:jc w:val="center"/>
        <w:rPr>
          <w:rFonts w:ascii="Calibri" w:hAnsi="Calibri" w:cs="Courier New"/>
          <w:bCs/>
          <w:sz w:val="22"/>
          <w:szCs w:val="22"/>
        </w:rPr>
      </w:pPr>
      <w:r w:rsidRPr="00543971">
        <w:rPr>
          <w:rFonts w:ascii="Calibri" w:hAnsi="Calibri" w:cs="Courier New"/>
          <w:bCs/>
          <w:sz w:val="22"/>
          <w:szCs w:val="22"/>
        </w:rPr>
        <w:t>Internal Revenue Service</w:t>
      </w:r>
    </w:p>
    <w:p w:rsidR="00CE0F78" w:rsidRPr="00543971" w:rsidP="000914BD" w14:paraId="7C4D8EFE" w14:textId="77777777">
      <w:pPr>
        <w:widowControl/>
        <w:tabs>
          <w:tab w:val="left" w:pos="-1200"/>
          <w:tab w:val="left" w:pos="-720"/>
          <w:tab w:val="left" w:pos="720"/>
        </w:tabs>
        <w:jc w:val="center"/>
        <w:rPr>
          <w:rFonts w:ascii="Calibri" w:hAnsi="Calibri" w:cs="Courier New"/>
          <w:bCs/>
          <w:sz w:val="22"/>
          <w:szCs w:val="22"/>
        </w:rPr>
      </w:pPr>
      <w:r w:rsidRPr="00543971">
        <w:rPr>
          <w:rFonts w:ascii="Calibri" w:hAnsi="Calibri" w:cs="Courier New"/>
          <w:bCs/>
          <w:sz w:val="22"/>
          <w:szCs w:val="22"/>
        </w:rPr>
        <w:t>26 U.S. Code § 475 - Mark to market accounting method for dealers in securities</w:t>
      </w:r>
    </w:p>
    <w:p w:rsidR="00211349" w:rsidRPr="00543971" w:rsidP="000914BD" w14:paraId="4673A8B9" w14:textId="77777777">
      <w:pPr>
        <w:widowControl/>
        <w:tabs>
          <w:tab w:val="left" w:pos="-1200"/>
          <w:tab w:val="left" w:pos="-720"/>
          <w:tab w:val="left" w:pos="720"/>
        </w:tabs>
        <w:jc w:val="center"/>
        <w:rPr>
          <w:rFonts w:ascii="Calibri" w:hAnsi="Calibri" w:cs="Courier New"/>
          <w:bCs/>
          <w:sz w:val="22"/>
          <w:szCs w:val="22"/>
        </w:rPr>
      </w:pPr>
      <w:r w:rsidRPr="00543971">
        <w:rPr>
          <w:rFonts w:ascii="Calibri" w:hAnsi="Calibri" w:cs="Courier New"/>
          <w:bCs/>
          <w:sz w:val="22"/>
          <w:szCs w:val="22"/>
        </w:rPr>
        <w:t>OMB # 1545-1945</w:t>
      </w:r>
    </w:p>
    <w:p w:rsidR="00FB65F2" w:rsidRPr="00543971" w:rsidP="000914BD" w14:paraId="5E1CA430" w14:textId="77777777">
      <w:pPr>
        <w:widowControl/>
        <w:tabs>
          <w:tab w:val="left" w:pos="-1200"/>
          <w:tab w:val="left" w:pos="-720"/>
          <w:tab w:val="left" w:pos="720"/>
        </w:tabs>
        <w:jc w:val="center"/>
        <w:rPr>
          <w:rFonts w:ascii="Calibri" w:hAnsi="Calibri" w:cs="Courier New"/>
          <w:bCs/>
          <w:sz w:val="22"/>
          <w:szCs w:val="22"/>
        </w:rPr>
      </w:pPr>
    </w:p>
    <w:p w:rsidR="000914BD" w:rsidRPr="00EB3093" w:rsidP="000914BD" w14:paraId="0BD39D42" w14:textId="77777777">
      <w:pPr>
        <w:widowControl/>
        <w:tabs>
          <w:tab w:val="left" w:pos="-1200"/>
          <w:tab w:val="left" w:pos="-720"/>
          <w:tab w:val="left" w:pos="720"/>
        </w:tabs>
        <w:rPr>
          <w:rFonts w:ascii="Calibri" w:hAnsi="Calibri" w:cs="Courier New"/>
          <w:sz w:val="22"/>
          <w:szCs w:val="22"/>
        </w:rPr>
      </w:pPr>
    </w:p>
    <w:p w:rsidR="004A4486" w:rsidRPr="00EB3093" w:rsidP="00D50BB6" w14:paraId="50449BF5" w14:textId="77777777">
      <w:pPr>
        <w:widowControl/>
        <w:numPr>
          <w:ilvl w:val="0"/>
          <w:numId w:val="14"/>
        </w:numPr>
        <w:ind w:left="360"/>
        <w:rPr>
          <w:rFonts w:ascii="Calibri" w:hAnsi="Calibri" w:cs="Courier New"/>
          <w:sz w:val="22"/>
          <w:szCs w:val="22"/>
        </w:rPr>
      </w:pPr>
      <w:r w:rsidRPr="00EB3093">
        <w:rPr>
          <w:rFonts w:ascii="Calibri" w:hAnsi="Calibri" w:cs="Courier New"/>
          <w:sz w:val="22"/>
          <w:szCs w:val="22"/>
          <w:u w:val="single"/>
        </w:rPr>
        <w:t>CIRCUMSTANCES NECESSITIATING COLLECTION OF INFORMATION</w:t>
      </w:r>
    </w:p>
    <w:p w:rsidR="00DF014F" w:rsidRPr="00EB3093" w:rsidP="002A2E8B" w14:paraId="731FDB92" w14:textId="77777777">
      <w:pPr>
        <w:tabs>
          <w:tab w:val="left" w:pos="0"/>
        </w:tabs>
        <w:ind w:left="360" w:hanging="360"/>
        <w:rPr>
          <w:rFonts w:ascii="Calibri" w:hAnsi="Calibri" w:cs="Courier New"/>
          <w:sz w:val="22"/>
          <w:szCs w:val="22"/>
        </w:rPr>
      </w:pPr>
    </w:p>
    <w:p w:rsidR="008B7A8A" w:rsidRPr="00EB3093" w:rsidP="002A2E8B" w14:paraId="28375A84" w14:textId="74D78591">
      <w:pPr>
        <w:ind w:left="360"/>
        <w:rPr>
          <w:rFonts w:ascii="Calibri" w:hAnsi="Calibri" w:cs="Courier New"/>
          <w:sz w:val="22"/>
          <w:szCs w:val="22"/>
        </w:rPr>
      </w:pPr>
      <w:r w:rsidRPr="00EB3093">
        <w:rPr>
          <w:rFonts w:ascii="Calibri" w:hAnsi="Calibri" w:cs="Courier New"/>
          <w:sz w:val="22"/>
          <w:szCs w:val="22"/>
        </w:rPr>
        <w:t>Section 475 was added by section 13223</w:t>
      </w:r>
      <w:r w:rsidRPr="00EB3093" w:rsidR="00EC651E">
        <w:rPr>
          <w:rFonts w:ascii="Calibri" w:hAnsi="Calibri" w:cs="Courier New"/>
          <w:sz w:val="22"/>
          <w:szCs w:val="22"/>
        </w:rPr>
        <w:t>(a)</w:t>
      </w:r>
      <w:r w:rsidRPr="00EB3093">
        <w:rPr>
          <w:rFonts w:ascii="Calibri" w:hAnsi="Calibri" w:cs="Courier New"/>
          <w:sz w:val="22"/>
          <w:szCs w:val="22"/>
        </w:rPr>
        <w:t xml:space="preserve"> of the Revenue Reconciliation Act of 1993, Pub.</w:t>
      </w:r>
      <w:r w:rsidR="00FB3629">
        <w:rPr>
          <w:rFonts w:ascii="Calibri" w:hAnsi="Calibri" w:cs="Courier New"/>
          <w:sz w:val="22"/>
          <w:szCs w:val="22"/>
        </w:rPr>
        <w:t xml:space="preserve"> </w:t>
      </w:r>
      <w:r w:rsidRPr="00EB3093">
        <w:rPr>
          <w:rFonts w:ascii="Calibri" w:hAnsi="Calibri" w:cs="Courier New"/>
          <w:sz w:val="22"/>
          <w:szCs w:val="22"/>
        </w:rPr>
        <w:t>L. 103-66, 107 Stat.481, and is effective for all taxable years ending on or after December 31, 1993.</w:t>
      </w:r>
      <w:r w:rsidRPr="00EB3093" w:rsidR="00EC651E">
        <w:rPr>
          <w:rFonts w:ascii="Calibri" w:hAnsi="Calibri" w:cs="Courier New"/>
          <w:sz w:val="22"/>
          <w:szCs w:val="22"/>
        </w:rPr>
        <w:t xml:space="preserve">  Section 475(a) generally provides that the securities held by dealers in securities must be valued as of the last business day of the year at fair market value.  Section 475(e) allows dealers in commodities to elect similar treatment for their commodities.  Under section 475(f), if a person is engaged in a trade or business as a trader in securities or a trader in commodities, the person may elect for the section 475 mark-to-market regime to apply to their trade or business.  Section 475(g) directs the Secretary to prescribe regulations that may be necessary or appropriate to carry out the purposes of section 475. </w:t>
      </w:r>
      <w:r w:rsidRPr="00EB3093" w:rsidR="00F2169A">
        <w:rPr>
          <w:rFonts w:ascii="Calibri" w:hAnsi="Calibri" w:cs="Courier New"/>
          <w:sz w:val="22"/>
          <w:szCs w:val="22"/>
        </w:rPr>
        <w:t xml:space="preserve"> </w:t>
      </w:r>
      <w:r w:rsidRPr="00EB3093">
        <w:rPr>
          <w:rFonts w:ascii="Calibri" w:hAnsi="Calibri" w:cs="Courier New"/>
          <w:sz w:val="22"/>
          <w:szCs w:val="22"/>
        </w:rPr>
        <w:t xml:space="preserve">The statutory requirements under 26 U.S.C. 475 are codified under 26 CFR Part </w:t>
      </w:r>
      <w:r w:rsidRPr="00EB3093" w:rsidR="000F7CB0">
        <w:rPr>
          <w:rFonts w:ascii="Calibri" w:hAnsi="Calibri" w:cs="Courier New"/>
          <w:sz w:val="22"/>
          <w:szCs w:val="22"/>
        </w:rPr>
        <w:t xml:space="preserve">1, sections </w:t>
      </w:r>
      <w:r w:rsidRPr="00EB3093">
        <w:rPr>
          <w:rFonts w:ascii="Calibri" w:hAnsi="Calibri" w:cs="Courier New"/>
          <w:sz w:val="22"/>
          <w:szCs w:val="22"/>
        </w:rPr>
        <w:t>1.475</w:t>
      </w:r>
      <w:r w:rsidRPr="00EB3093" w:rsidR="000F7CB0">
        <w:rPr>
          <w:rFonts w:ascii="Calibri" w:hAnsi="Calibri" w:cs="Courier New"/>
          <w:sz w:val="22"/>
          <w:szCs w:val="22"/>
        </w:rPr>
        <w:t xml:space="preserve"> et al.</w:t>
      </w:r>
    </w:p>
    <w:p w:rsidR="00EC651E" w:rsidRPr="00EB3093" w:rsidP="000914BD" w14:paraId="6E9831C6" w14:textId="77777777">
      <w:pPr>
        <w:tabs>
          <w:tab w:val="left" w:pos="720"/>
        </w:tabs>
        <w:rPr>
          <w:rFonts w:ascii="Calibri" w:hAnsi="Calibri" w:cs="Courier New"/>
          <w:sz w:val="22"/>
          <w:szCs w:val="22"/>
        </w:rPr>
      </w:pPr>
    </w:p>
    <w:p w:rsidR="00125A76" w:rsidRPr="00EB3093" w:rsidP="00D50BB6" w14:paraId="5FBA5F21" w14:textId="77777777">
      <w:pPr>
        <w:ind w:left="360"/>
        <w:rPr>
          <w:rFonts w:ascii="Calibri" w:hAnsi="Calibri" w:cs="Courier New"/>
          <w:sz w:val="22"/>
          <w:szCs w:val="22"/>
        </w:rPr>
      </w:pPr>
      <w:r w:rsidRPr="00EB3093">
        <w:rPr>
          <w:rFonts w:ascii="Calibri" w:hAnsi="Calibri" w:cs="Courier New"/>
          <w:sz w:val="22"/>
          <w:szCs w:val="22"/>
        </w:rPr>
        <w:t>Section 1.475(a)-4</w:t>
      </w:r>
      <w:r w:rsidRPr="00EB3093" w:rsidR="00AB0990">
        <w:rPr>
          <w:rFonts w:ascii="Calibri" w:hAnsi="Calibri" w:cs="Courier New"/>
          <w:sz w:val="22"/>
          <w:szCs w:val="22"/>
        </w:rPr>
        <w:t xml:space="preserve"> set</w:t>
      </w:r>
      <w:r w:rsidRPr="00EB3093" w:rsidR="00402B04">
        <w:rPr>
          <w:rFonts w:ascii="Calibri" w:hAnsi="Calibri" w:cs="Courier New"/>
          <w:sz w:val="22"/>
          <w:szCs w:val="22"/>
        </w:rPr>
        <w:t xml:space="preserve"> forth </w:t>
      </w:r>
      <w:r w:rsidRPr="00EB3093" w:rsidR="00AB0990">
        <w:rPr>
          <w:rFonts w:ascii="Calibri" w:hAnsi="Calibri" w:cs="Courier New"/>
          <w:sz w:val="22"/>
          <w:szCs w:val="22"/>
        </w:rPr>
        <w:t xml:space="preserve">a safe harbor election </w:t>
      </w:r>
      <w:r w:rsidRPr="00EB3093" w:rsidR="00402B04">
        <w:rPr>
          <w:rFonts w:ascii="Calibri" w:hAnsi="Calibri" w:cs="Courier New"/>
          <w:sz w:val="22"/>
          <w:szCs w:val="22"/>
        </w:rPr>
        <w:t xml:space="preserve">that permits dealers in securities and dealers in commodities to elect to use the values of positions reported on certain financial statements as the fair market values of those positions for purposes of section 475. </w:t>
      </w:r>
      <w:r w:rsidRPr="00EB3093" w:rsidR="000F7CB0">
        <w:rPr>
          <w:rFonts w:ascii="Calibri" w:hAnsi="Calibri" w:cs="Courier New"/>
          <w:sz w:val="22"/>
          <w:szCs w:val="22"/>
        </w:rPr>
        <w:t xml:space="preserve"> </w:t>
      </w:r>
      <w:r w:rsidRPr="00EB3093" w:rsidR="00402B04">
        <w:rPr>
          <w:rFonts w:ascii="Calibri" w:hAnsi="Calibri" w:cs="Courier New"/>
          <w:sz w:val="22"/>
          <w:szCs w:val="22"/>
        </w:rPr>
        <w:t xml:space="preserve">This safe harbor is intended to reduce the compliance burden on taxpayers and to improve the administrability of the valuation requirement of section 475 for the </w:t>
      </w:r>
      <w:r w:rsidRPr="00EB3093" w:rsidR="000F7CB0">
        <w:rPr>
          <w:rFonts w:ascii="Calibri" w:hAnsi="Calibri" w:cs="Courier New"/>
          <w:sz w:val="22"/>
          <w:szCs w:val="22"/>
        </w:rPr>
        <w:t>Internal Revenue Service</w:t>
      </w:r>
      <w:r w:rsidRPr="00EB3093" w:rsidR="00402B04">
        <w:rPr>
          <w:rFonts w:ascii="Calibri" w:hAnsi="Calibri" w:cs="Courier New"/>
          <w:sz w:val="22"/>
          <w:szCs w:val="22"/>
        </w:rPr>
        <w:t xml:space="preserve">. </w:t>
      </w:r>
    </w:p>
    <w:p w:rsidR="002F0602" w:rsidRPr="00EB3093" w:rsidP="00D50BB6" w14:paraId="0BE06BE7" w14:textId="77777777">
      <w:pPr>
        <w:ind w:left="360"/>
        <w:rPr>
          <w:rFonts w:ascii="Calibri" w:hAnsi="Calibri" w:cs="Courier New"/>
          <w:sz w:val="22"/>
          <w:szCs w:val="22"/>
        </w:rPr>
      </w:pPr>
    </w:p>
    <w:p w:rsidR="00270EF6" w:rsidRPr="00D50BB6" w:rsidP="00D50BB6" w14:paraId="3B983A82" w14:textId="77777777">
      <w:pPr>
        <w:ind w:left="360"/>
        <w:rPr>
          <w:rFonts w:ascii="Calibri" w:hAnsi="Calibri" w:cs="Courier New"/>
          <w:sz w:val="22"/>
          <w:szCs w:val="22"/>
        </w:rPr>
      </w:pPr>
      <w:r w:rsidRPr="00EB3093">
        <w:rPr>
          <w:rFonts w:ascii="Calibri" w:hAnsi="Calibri" w:cs="Courier New"/>
          <w:sz w:val="22"/>
          <w:szCs w:val="22"/>
        </w:rPr>
        <w:t>T</w:t>
      </w:r>
      <w:r w:rsidRPr="00D50BB6" w:rsidR="00CE0F78">
        <w:rPr>
          <w:rFonts w:ascii="Calibri" w:hAnsi="Calibri" w:cs="Courier New"/>
          <w:sz w:val="22"/>
          <w:szCs w:val="22"/>
        </w:rPr>
        <w:t>axpayers that are dealers in securities (as defined in section 475(c)(1)) are required to mark</w:t>
      </w:r>
      <w:r w:rsidRPr="00D50BB6">
        <w:rPr>
          <w:rFonts w:ascii="Calibri" w:hAnsi="Calibri" w:cs="Courier New"/>
          <w:sz w:val="22"/>
          <w:szCs w:val="22"/>
        </w:rPr>
        <w:t>-</w:t>
      </w:r>
      <w:r w:rsidRPr="00D50BB6" w:rsidR="00CE0F78">
        <w:rPr>
          <w:rFonts w:ascii="Calibri" w:hAnsi="Calibri" w:cs="Courier New"/>
          <w:sz w:val="22"/>
          <w:szCs w:val="22"/>
        </w:rPr>
        <w:t>to</w:t>
      </w:r>
      <w:r w:rsidRPr="00D50BB6">
        <w:rPr>
          <w:rFonts w:ascii="Calibri" w:hAnsi="Calibri" w:cs="Courier New"/>
          <w:sz w:val="22"/>
          <w:szCs w:val="22"/>
        </w:rPr>
        <w:t>-</w:t>
      </w:r>
      <w:r w:rsidRPr="00D50BB6" w:rsidR="00CE0F78">
        <w:rPr>
          <w:rFonts w:ascii="Calibri" w:hAnsi="Calibri" w:cs="Courier New"/>
          <w:sz w:val="22"/>
          <w:szCs w:val="22"/>
        </w:rPr>
        <w:t>market securities (as defined in section 475(c)(2)) held by them, with certain exceptions.  The exceptions are for any security held for investment (section 475(b)(1)(A)), certain debt instruments not held for sale (section 475(b)(1)(B)), and certain hedges (section 475(b)(1)(C)).  Section 475(b)(2) states "A security shall not be treated as described in subparagraph (A),(B), or (C) of paragraph (1), as the case may be, unless such security is clearly identified in the dealer's records as being described in such subparagraph before the close of the day on which the securities are acquired</w:t>
      </w:r>
      <w:r w:rsidRPr="00D50BB6">
        <w:rPr>
          <w:rFonts w:ascii="Calibri" w:hAnsi="Calibri" w:cs="Courier New"/>
          <w:sz w:val="22"/>
          <w:szCs w:val="22"/>
        </w:rPr>
        <w:t>.</w:t>
      </w:r>
    </w:p>
    <w:p w:rsidR="00CE0F78" w:rsidRPr="00D50BB6" w:rsidP="00D50BB6" w14:paraId="5A0972E7" w14:textId="77777777">
      <w:pPr>
        <w:ind w:left="360"/>
        <w:rPr>
          <w:rFonts w:ascii="Calibri" w:hAnsi="Calibri" w:cs="Courier New"/>
          <w:sz w:val="22"/>
          <w:szCs w:val="22"/>
        </w:rPr>
      </w:pPr>
    </w:p>
    <w:p w:rsidR="00CE0F78" w:rsidRPr="00D50BB6" w:rsidP="00D50BB6" w14:paraId="3789F46A" w14:textId="77777777">
      <w:pPr>
        <w:ind w:left="360"/>
        <w:rPr>
          <w:rFonts w:ascii="Calibri" w:hAnsi="Calibri" w:cs="Courier New"/>
          <w:sz w:val="22"/>
          <w:szCs w:val="22"/>
        </w:rPr>
      </w:pPr>
      <w:r w:rsidRPr="00D50BB6">
        <w:rPr>
          <w:rFonts w:ascii="Calibri" w:hAnsi="Calibri" w:cs="Courier New"/>
          <w:sz w:val="22"/>
          <w:szCs w:val="22"/>
        </w:rPr>
        <w:t>Section 1.475(b)-</w:t>
      </w:r>
      <w:r w:rsidRPr="00D50BB6" w:rsidR="00C646DA">
        <w:rPr>
          <w:rFonts w:ascii="Calibri" w:hAnsi="Calibri" w:cs="Courier New"/>
          <w:sz w:val="22"/>
          <w:szCs w:val="22"/>
        </w:rPr>
        <w:t>2</w:t>
      </w:r>
      <w:r w:rsidRPr="00D50BB6">
        <w:rPr>
          <w:rFonts w:ascii="Calibri" w:hAnsi="Calibri" w:cs="Courier New"/>
          <w:sz w:val="22"/>
          <w:szCs w:val="22"/>
        </w:rPr>
        <w:t>(a) requires a taxpayer to identify which of the three subparagraphs of section 475(b)(1) allow the taxpayer to identify a particular security as exempt from the mark-to-market requirements of section 475.  This requirement was explicitly stated because the statute itself requires that the subparagraph be stated, but informal telephone contacts between I.R.S. and Treasury employees and taxpayer's representatives strongly suggested that many taxpayers were claiming exemption without meeting that statutory requirement.  If we do not make it clear that they must meet the statutory requirement, many taxpayers will continue to make identifications that do not meet the statutory requirement.  If that happens, agents could properly disallow those identifications.</w:t>
      </w:r>
    </w:p>
    <w:p w:rsidR="00CE0F78" w:rsidRPr="00D50BB6" w:rsidP="00D50BB6" w14:paraId="427260F2" w14:textId="77777777">
      <w:pPr>
        <w:ind w:left="360"/>
        <w:rPr>
          <w:rFonts w:ascii="Calibri" w:hAnsi="Calibri" w:cs="Courier New"/>
          <w:sz w:val="22"/>
          <w:szCs w:val="22"/>
        </w:rPr>
      </w:pPr>
    </w:p>
    <w:p w:rsidR="00F67356" w:rsidRPr="00EB3093" w:rsidP="00D50BB6" w14:paraId="38FE06F8" w14:textId="77777777">
      <w:pPr>
        <w:ind w:left="360"/>
        <w:rPr>
          <w:rFonts w:ascii="Calibri" w:hAnsi="Calibri" w:cs="Courier New"/>
          <w:bCs/>
          <w:sz w:val="22"/>
          <w:szCs w:val="22"/>
        </w:rPr>
      </w:pPr>
      <w:r w:rsidRPr="00D50BB6">
        <w:rPr>
          <w:rFonts w:ascii="Calibri" w:hAnsi="Calibri" w:cs="Courier New"/>
          <w:sz w:val="22"/>
          <w:szCs w:val="22"/>
        </w:rPr>
        <w:t>Section 1.475(b)-</w:t>
      </w:r>
      <w:r w:rsidRPr="00D50BB6" w:rsidR="00C646DA">
        <w:rPr>
          <w:rFonts w:ascii="Calibri" w:hAnsi="Calibri" w:cs="Courier New"/>
          <w:sz w:val="22"/>
          <w:szCs w:val="22"/>
        </w:rPr>
        <w:t>2</w:t>
      </w:r>
      <w:r w:rsidRPr="00D50BB6">
        <w:rPr>
          <w:rFonts w:ascii="Calibri" w:hAnsi="Calibri" w:cs="Courier New"/>
          <w:sz w:val="22"/>
          <w:szCs w:val="22"/>
        </w:rPr>
        <w:t>(b) clarifies that a taxpayer may make a timely identification of a security that qualifies for one of the exceptions described above on the day it acquires that security, even though its basis in that security is determined by reference to the basis of that security in the</w:t>
      </w:r>
      <w:r w:rsidRPr="00EB3093">
        <w:rPr>
          <w:rFonts w:ascii="Calibri" w:hAnsi="Calibri" w:cs="Courier New"/>
          <w:bCs/>
          <w:sz w:val="22"/>
          <w:szCs w:val="22"/>
        </w:rPr>
        <w:t xml:space="preserve"> hands of the person from whom it was acquired or by reference to the basis of other property in the hands of the taxpayer. </w:t>
      </w:r>
    </w:p>
    <w:p w:rsidR="00CE0F78" w:rsidRPr="00EB3093" w:rsidP="000914BD" w14:paraId="045E36E2" w14:textId="77777777">
      <w:pPr>
        <w:tabs>
          <w:tab w:val="left" w:pos="720"/>
        </w:tabs>
        <w:rPr>
          <w:rFonts w:ascii="Calibri" w:hAnsi="Calibri" w:cs="Courier New"/>
          <w:bCs/>
          <w:sz w:val="22"/>
          <w:szCs w:val="22"/>
        </w:rPr>
      </w:pPr>
      <w:r w:rsidRPr="00EB3093">
        <w:rPr>
          <w:rFonts w:ascii="Calibri" w:hAnsi="Calibri" w:cs="Courier New"/>
          <w:bCs/>
          <w:sz w:val="22"/>
          <w:szCs w:val="22"/>
        </w:rPr>
        <w:t xml:space="preserve"> </w:t>
      </w:r>
    </w:p>
    <w:p w:rsidR="00CE0F78" w:rsidRPr="00D50BB6" w:rsidP="00D50BB6" w14:paraId="2D6C26F6" w14:textId="77777777">
      <w:pPr>
        <w:ind w:left="360"/>
        <w:rPr>
          <w:rFonts w:ascii="Calibri" w:hAnsi="Calibri" w:cs="Courier New"/>
          <w:sz w:val="22"/>
          <w:szCs w:val="22"/>
        </w:rPr>
      </w:pPr>
      <w:r w:rsidRPr="00D50BB6">
        <w:rPr>
          <w:rFonts w:ascii="Calibri" w:hAnsi="Calibri" w:cs="Courier New"/>
          <w:sz w:val="22"/>
          <w:szCs w:val="22"/>
        </w:rPr>
        <w:t>Section 1.475(b)-</w:t>
      </w:r>
      <w:r w:rsidRPr="00D50BB6" w:rsidR="00B0727B">
        <w:rPr>
          <w:rFonts w:ascii="Calibri" w:hAnsi="Calibri" w:cs="Courier New"/>
          <w:sz w:val="22"/>
          <w:szCs w:val="22"/>
        </w:rPr>
        <w:t>2</w:t>
      </w:r>
      <w:r w:rsidRPr="00D50BB6">
        <w:rPr>
          <w:rFonts w:ascii="Calibri" w:hAnsi="Calibri" w:cs="Courier New"/>
          <w:sz w:val="22"/>
          <w:szCs w:val="22"/>
        </w:rPr>
        <w:t xml:space="preserve">(c) specifies the date on which </w:t>
      </w:r>
      <w:r w:rsidRPr="00D50BB6" w:rsidR="000914BD">
        <w:rPr>
          <w:rFonts w:ascii="Calibri" w:hAnsi="Calibri" w:cs="Courier New"/>
          <w:sz w:val="22"/>
          <w:szCs w:val="22"/>
        </w:rPr>
        <w:t>identification</w:t>
      </w:r>
      <w:r w:rsidRPr="00D50BB6">
        <w:rPr>
          <w:rFonts w:ascii="Calibri" w:hAnsi="Calibri" w:cs="Courier New"/>
          <w:sz w:val="22"/>
          <w:szCs w:val="22"/>
        </w:rPr>
        <w:t xml:space="preserve"> may be timely made when a taxpayer legs in to or legs out of certain synthetic debt instruments.  This section of the regulation imposes a recordkeeping requirement only in that it states how the statutory identification requirements apply to this type of security.</w:t>
      </w:r>
    </w:p>
    <w:p w:rsidR="00CE0F78" w:rsidRPr="00D50BB6" w:rsidP="00D50BB6" w14:paraId="291F8150" w14:textId="77777777">
      <w:pPr>
        <w:ind w:left="360"/>
        <w:rPr>
          <w:rFonts w:ascii="Calibri" w:hAnsi="Calibri" w:cs="Courier New"/>
          <w:sz w:val="22"/>
          <w:szCs w:val="22"/>
        </w:rPr>
      </w:pPr>
    </w:p>
    <w:p w:rsidR="00CE0F78" w:rsidRPr="00D50BB6" w:rsidP="00D50BB6" w14:paraId="38B09AA7" w14:textId="77777777">
      <w:pPr>
        <w:ind w:left="360"/>
        <w:rPr>
          <w:rFonts w:ascii="Calibri" w:hAnsi="Calibri" w:cs="Courier New"/>
          <w:sz w:val="22"/>
          <w:szCs w:val="22"/>
        </w:rPr>
      </w:pPr>
      <w:r w:rsidRPr="00D50BB6">
        <w:rPr>
          <w:rFonts w:ascii="Calibri" w:hAnsi="Calibri" w:cs="Courier New"/>
          <w:sz w:val="22"/>
          <w:szCs w:val="22"/>
        </w:rPr>
        <w:t xml:space="preserve">The dealer definition is based on whether a taxpayer engages in certain types of transactions with </w:t>
      </w:r>
      <w:r w:rsidRPr="00D50BB6" w:rsidR="00375F15">
        <w:rPr>
          <w:rFonts w:ascii="Calibri" w:hAnsi="Calibri" w:cs="Courier New"/>
          <w:sz w:val="22"/>
          <w:szCs w:val="22"/>
        </w:rPr>
        <w:t>“customers.”</w:t>
      </w:r>
      <w:r w:rsidRPr="00D50BB6">
        <w:rPr>
          <w:rFonts w:ascii="Calibri" w:hAnsi="Calibri" w:cs="Courier New"/>
          <w:sz w:val="22"/>
          <w:szCs w:val="22"/>
        </w:rPr>
        <w:t xml:space="preserve">  The regulations clarify that a taxpayer's transactions with members of its consolidated g</w:t>
      </w:r>
      <w:r w:rsidRPr="00D50BB6" w:rsidR="000914BD">
        <w:rPr>
          <w:rFonts w:ascii="Calibri" w:hAnsi="Calibri" w:cs="Courier New"/>
          <w:sz w:val="22"/>
          <w:szCs w:val="22"/>
        </w:rPr>
        <w:t xml:space="preserve">roup or other taxpayers may be </w:t>
      </w:r>
      <w:r w:rsidRPr="00D50BB6">
        <w:rPr>
          <w:rFonts w:ascii="Calibri" w:hAnsi="Calibri" w:cs="Courier New"/>
          <w:sz w:val="22"/>
          <w:szCs w:val="22"/>
        </w:rPr>
        <w:t>transactions with customers for purposes of section 475.  Thus, a taxpayer may be a dealer in securities for purposes of section 475 based solely on transactions with other members of its consolidated group. Section 1.475(c)-1(a)(3)(iii) makes noncustomer status the default and requires taxpayers to make an affirmative election to consider intermember transactions when applying the dealer definition.  The election is made by attaching an appropriate statement to the taxpayer's return.</w:t>
      </w:r>
    </w:p>
    <w:p w:rsidR="00CE0F78" w:rsidRPr="00EB3093" w:rsidP="000914BD" w14:paraId="6A29C22C" w14:textId="77777777">
      <w:pPr>
        <w:rPr>
          <w:rFonts w:ascii="Calibri" w:hAnsi="Calibri" w:cs="Courier New"/>
          <w:bCs/>
          <w:sz w:val="22"/>
          <w:szCs w:val="22"/>
        </w:rPr>
      </w:pPr>
    </w:p>
    <w:p w:rsidR="000150AF" w:rsidRPr="00EB3093" w:rsidP="00CC3DC5" w14:paraId="5F0AF317" w14:textId="77777777">
      <w:pPr>
        <w:widowControl/>
        <w:numPr>
          <w:ilvl w:val="0"/>
          <w:numId w:val="14"/>
        </w:numPr>
        <w:ind w:left="360"/>
        <w:rPr>
          <w:rFonts w:ascii="Calibri" w:hAnsi="Calibri" w:cs="Courier New"/>
          <w:sz w:val="22"/>
          <w:szCs w:val="22"/>
          <w:u w:val="single"/>
        </w:rPr>
      </w:pPr>
      <w:r w:rsidRPr="00EB3093">
        <w:rPr>
          <w:rFonts w:ascii="Calibri" w:hAnsi="Calibri" w:cs="Courier New"/>
          <w:sz w:val="22"/>
          <w:szCs w:val="22"/>
          <w:u w:val="single"/>
        </w:rPr>
        <w:t xml:space="preserve">USE OF DATA </w:t>
      </w:r>
    </w:p>
    <w:p w:rsidR="00985B62" w:rsidRPr="00EB3093" w:rsidP="00D50BB6" w14:paraId="421CA2C8" w14:textId="77777777">
      <w:pPr>
        <w:ind w:left="360"/>
        <w:rPr>
          <w:rFonts w:ascii="Calibri" w:hAnsi="Calibri" w:cs="Courier New"/>
          <w:sz w:val="22"/>
          <w:szCs w:val="22"/>
        </w:rPr>
      </w:pPr>
    </w:p>
    <w:p w:rsidR="007E15FD" w:rsidRPr="00EB3093" w:rsidP="00D50BB6" w14:paraId="5F9D9BEF" w14:textId="77777777">
      <w:pPr>
        <w:ind w:left="360"/>
        <w:rPr>
          <w:rFonts w:ascii="Calibri" w:hAnsi="Calibri" w:cs="Courier New"/>
          <w:sz w:val="22"/>
          <w:szCs w:val="22"/>
        </w:rPr>
      </w:pPr>
      <w:r w:rsidRPr="00EB3093">
        <w:rPr>
          <w:rFonts w:ascii="Calibri" w:hAnsi="Calibri" w:cs="Courier New"/>
          <w:sz w:val="22"/>
          <w:szCs w:val="22"/>
        </w:rPr>
        <w:t>Th</w:t>
      </w:r>
      <w:r w:rsidRPr="00EB3093" w:rsidR="00F67356">
        <w:rPr>
          <w:rFonts w:ascii="Calibri" w:hAnsi="Calibri" w:cs="Courier New"/>
          <w:sz w:val="22"/>
          <w:szCs w:val="22"/>
        </w:rPr>
        <w:t>e</w:t>
      </w:r>
      <w:r w:rsidRPr="00EB3093">
        <w:rPr>
          <w:rFonts w:ascii="Calibri" w:hAnsi="Calibri" w:cs="Courier New"/>
          <w:sz w:val="22"/>
          <w:szCs w:val="22"/>
        </w:rPr>
        <w:t xml:space="preserve"> information</w:t>
      </w:r>
      <w:r w:rsidRPr="00EB3093" w:rsidR="00F67356">
        <w:rPr>
          <w:rFonts w:ascii="Calibri" w:hAnsi="Calibri" w:cs="Courier New"/>
          <w:sz w:val="22"/>
          <w:szCs w:val="22"/>
        </w:rPr>
        <w:t xml:space="preserve"> </w:t>
      </w:r>
      <w:r w:rsidRPr="00EB3093">
        <w:rPr>
          <w:rFonts w:ascii="Calibri" w:hAnsi="Calibri" w:cs="Courier New"/>
          <w:sz w:val="22"/>
          <w:szCs w:val="22"/>
        </w:rPr>
        <w:t xml:space="preserve">is required by the IRS to avoid any uncertainty about whether a taxpayer has made an election and to </w:t>
      </w:r>
      <w:r w:rsidRPr="00EB3093" w:rsidR="00AB0990">
        <w:rPr>
          <w:rFonts w:ascii="Calibri" w:hAnsi="Calibri" w:cs="Courier New"/>
          <w:sz w:val="22"/>
          <w:szCs w:val="22"/>
        </w:rPr>
        <w:t>verify</w:t>
      </w:r>
      <w:r w:rsidRPr="00EB3093">
        <w:rPr>
          <w:rFonts w:ascii="Calibri" w:hAnsi="Calibri" w:cs="Courier New"/>
          <w:sz w:val="22"/>
          <w:szCs w:val="22"/>
        </w:rPr>
        <w:t xml:space="preserve"> compliance with section 475.  The information will be used to facilitate examination of returns and to determine whether the amount of tax has been calculated correctly.  The collection of the information is required to properly determine the amount of income or deduction to be taken into accounts.</w:t>
      </w:r>
    </w:p>
    <w:p w:rsidR="000150AF" w:rsidRPr="00EB3093" w:rsidP="00D50BB6" w14:paraId="3C741264" w14:textId="77777777">
      <w:pPr>
        <w:ind w:left="360"/>
        <w:rPr>
          <w:rFonts w:ascii="Calibri" w:hAnsi="Calibri" w:cs="Courier New"/>
          <w:sz w:val="22"/>
          <w:szCs w:val="22"/>
        </w:rPr>
      </w:pPr>
    </w:p>
    <w:p w:rsidR="00EC26A7" w:rsidRPr="00D50BB6" w:rsidP="00D50BB6" w14:paraId="4BF255C0" w14:textId="77777777">
      <w:pPr>
        <w:ind w:left="360"/>
        <w:rPr>
          <w:rFonts w:ascii="Calibri" w:hAnsi="Calibri" w:cs="Courier New"/>
          <w:sz w:val="22"/>
          <w:szCs w:val="22"/>
        </w:rPr>
      </w:pPr>
      <w:r w:rsidRPr="00D50BB6">
        <w:rPr>
          <w:rFonts w:ascii="Calibri" w:hAnsi="Calibri" w:cs="Courier New"/>
          <w:sz w:val="22"/>
          <w:szCs w:val="22"/>
        </w:rPr>
        <w:t xml:space="preserve">The </w:t>
      </w:r>
      <w:r w:rsidRPr="00D50BB6" w:rsidR="007E15FD">
        <w:rPr>
          <w:rFonts w:ascii="Calibri" w:hAnsi="Calibri" w:cs="Courier New"/>
          <w:sz w:val="22"/>
          <w:szCs w:val="22"/>
        </w:rPr>
        <w:t xml:space="preserve">recordkeeping </w:t>
      </w:r>
      <w:r w:rsidRPr="00D50BB6">
        <w:rPr>
          <w:rFonts w:ascii="Calibri" w:hAnsi="Calibri" w:cs="Courier New"/>
          <w:sz w:val="22"/>
          <w:szCs w:val="22"/>
        </w:rPr>
        <w:t>timely identification requirement</w:t>
      </w:r>
      <w:r w:rsidRPr="00D50BB6" w:rsidR="00C60042">
        <w:rPr>
          <w:rFonts w:ascii="Calibri" w:hAnsi="Calibri" w:cs="Courier New"/>
          <w:sz w:val="22"/>
          <w:szCs w:val="22"/>
        </w:rPr>
        <w:t>s are</w:t>
      </w:r>
      <w:r w:rsidRPr="00D50BB6">
        <w:rPr>
          <w:rFonts w:ascii="Calibri" w:hAnsi="Calibri" w:cs="Courier New"/>
          <w:sz w:val="22"/>
          <w:szCs w:val="22"/>
        </w:rPr>
        <w:t xml:space="preserve"> designed to aid the IRS in administering the law and to prevent manipulation, such as recharacterization of why a taxpayer held securities in view of later developments.  This information will be used to verify that a taxpayer is properly reporting whether its securities are subject to mark</w:t>
      </w:r>
      <w:r w:rsidRPr="00D50BB6" w:rsidR="007E15FD">
        <w:rPr>
          <w:rFonts w:ascii="Calibri" w:hAnsi="Calibri" w:cs="Courier New"/>
          <w:sz w:val="22"/>
          <w:szCs w:val="22"/>
        </w:rPr>
        <w:t>-</w:t>
      </w:r>
      <w:r w:rsidRPr="00D50BB6">
        <w:rPr>
          <w:rFonts w:ascii="Calibri" w:hAnsi="Calibri" w:cs="Courier New"/>
          <w:sz w:val="22"/>
          <w:szCs w:val="22"/>
        </w:rPr>
        <w:t xml:space="preserve">to-market treatment.  </w:t>
      </w:r>
    </w:p>
    <w:p w:rsidR="000914BD" w:rsidRPr="00EB3093" w:rsidP="000914BD" w14:paraId="2AD09545" w14:textId="77777777">
      <w:pPr>
        <w:rPr>
          <w:rFonts w:ascii="Calibri" w:hAnsi="Calibri" w:cs="Courier New"/>
          <w:sz w:val="22"/>
          <w:szCs w:val="22"/>
        </w:rPr>
      </w:pPr>
    </w:p>
    <w:p w:rsidR="004A4486" w:rsidRPr="00CC3DC5" w:rsidP="00CC3DC5" w14:paraId="1EFB4ED6" w14:textId="77777777">
      <w:pPr>
        <w:widowControl/>
        <w:numPr>
          <w:ilvl w:val="0"/>
          <w:numId w:val="14"/>
        </w:numPr>
        <w:ind w:left="360"/>
        <w:rPr>
          <w:rFonts w:ascii="Calibri" w:hAnsi="Calibri" w:cs="Courier New"/>
          <w:sz w:val="22"/>
          <w:szCs w:val="22"/>
          <w:u w:val="single"/>
        </w:rPr>
      </w:pPr>
      <w:r w:rsidRPr="00EB3093">
        <w:rPr>
          <w:rFonts w:ascii="Calibri" w:hAnsi="Calibri" w:cs="Courier New"/>
          <w:sz w:val="22"/>
          <w:szCs w:val="22"/>
          <w:u w:val="single"/>
        </w:rPr>
        <w:t>USE OF IMPROVED INFORMATION TECHNOLOGY TO REDUCE BURDEN</w:t>
      </w:r>
    </w:p>
    <w:p w:rsidR="000914BD" w:rsidRPr="00EB3093" w:rsidP="00D50BB6" w14:paraId="2A0C2842" w14:textId="77777777">
      <w:pPr>
        <w:ind w:left="360"/>
        <w:rPr>
          <w:rFonts w:ascii="Calibri" w:hAnsi="Calibri" w:cs="Courier New"/>
          <w:sz w:val="22"/>
          <w:szCs w:val="22"/>
        </w:rPr>
      </w:pPr>
    </w:p>
    <w:p w:rsidR="004A4486" w:rsidRPr="00EB3093" w:rsidP="00D50BB6" w14:paraId="2F712E84" w14:textId="6FDA0745">
      <w:pPr>
        <w:ind w:left="360"/>
        <w:rPr>
          <w:rFonts w:ascii="Calibri" w:hAnsi="Calibri" w:cs="Courier New"/>
          <w:sz w:val="22"/>
          <w:szCs w:val="22"/>
        </w:rPr>
      </w:pPr>
      <w:r>
        <w:rPr>
          <w:rFonts w:ascii="Calibri" w:hAnsi="Calibri" w:cs="Courier New"/>
          <w:sz w:val="22"/>
          <w:szCs w:val="22"/>
        </w:rPr>
        <w:t>The IRS has no plans to offer electronic filing as these are narrative statements and recordkeeping requirements</w:t>
      </w:r>
      <w:r w:rsidRPr="00EB3093" w:rsidR="00364434">
        <w:rPr>
          <w:rFonts w:ascii="Calibri" w:hAnsi="Calibri" w:cs="Courier New"/>
          <w:sz w:val="22"/>
          <w:szCs w:val="22"/>
        </w:rPr>
        <w:t>.</w:t>
      </w:r>
    </w:p>
    <w:p w:rsidR="000914BD" w:rsidRPr="00EB3093" w:rsidP="000914BD" w14:paraId="24123CD2" w14:textId="77777777">
      <w:pPr>
        <w:rPr>
          <w:rFonts w:ascii="Calibri" w:hAnsi="Calibri" w:cs="Courier New"/>
          <w:sz w:val="22"/>
          <w:szCs w:val="22"/>
        </w:rPr>
      </w:pPr>
    </w:p>
    <w:p w:rsidR="004A4486" w:rsidRPr="00CC3DC5" w:rsidP="00CC3DC5" w14:paraId="6AB406F9" w14:textId="77777777">
      <w:pPr>
        <w:widowControl/>
        <w:numPr>
          <w:ilvl w:val="0"/>
          <w:numId w:val="14"/>
        </w:numPr>
        <w:ind w:left="360"/>
        <w:rPr>
          <w:rFonts w:ascii="Calibri" w:hAnsi="Calibri" w:cs="Courier New"/>
          <w:sz w:val="22"/>
          <w:szCs w:val="22"/>
          <w:u w:val="single"/>
        </w:rPr>
      </w:pPr>
      <w:r w:rsidRPr="00EB3093">
        <w:rPr>
          <w:rFonts w:ascii="Calibri" w:hAnsi="Calibri" w:cs="Courier New"/>
          <w:sz w:val="22"/>
          <w:szCs w:val="22"/>
          <w:u w:val="single"/>
        </w:rPr>
        <w:t>EFFORTS TO IDENTIFY DUPLICATION</w:t>
      </w:r>
    </w:p>
    <w:p w:rsidR="000914BD" w:rsidRPr="00EB3093" w:rsidP="000914BD" w14:paraId="177C71A0" w14:textId="77777777">
      <w:pPr>
        <w:rPr>
          <w:rFonts w:ascii="Calibri" w:hAnsi="Calibri" w:cs="Courier New"/>
          <w:sz w:val="22"/>
          <w:szCs w:val="22"/>
        </w:rPr>
      </w:pPr>
    </w:p>
    <w:p w:rsidR="00F60282" w:rsidRPr="00EB3093" w:rsidP="00D50BB6" w14:paraId="1C1FC192" w14:textId="77777777">
      <w:pPr>
        <w:ind w:left="360"/>
        <w:rPr>
          <w:rFonts w:ascii="Calibri" w:hAnsi="Calibri" w:cs="Courier New"/>
          <w:sz w:val="22"/>
          <w:szCs w:val="22"/>
        </w:rPr>
      </w:pPr>
      <w:r w:rsidRPr="00EB3093">
        <w:rPr>
          <w:rFonts w:ascii="Calibri" w:hAnsi="Calibri" w:cs="Courier New"/>
          <w:sz w:val="22"/>
          <w:szCs w:val="22"/>
        </w:rPr>
        <w:t>The information obtained through this collection is unique and is not readily available for use or adaptation from another source</w:t>
      </w:r>
      <w:r w:rsidRPr="00EB3093" w:rsidR="004A4486">
        <w:rPr>
          <w:rFonts w:ascii="Calibri" w:hAnsi="Calibri" w:cs="Courier New"/>
          <w:sz w:val="22"/>
          <w:szCs w:val="22"/>
        </w:rPr>
        <w:t xml:space="preserve">.  </w:t>
      </w:r>
    </w:p>
    <w:p w:rsidR="000914BD" w:rsidRPr="00EB3093" w:rsidP="00D50BB6" w14:paraId="0951CB98" w14:textId="77777777">
      <w:pPr>
        <w:ind w:left="360"/>
        <w:rPr>
          <w:rFonts w:ascii="Calibri" w:hAnsi="Calibri" w:cs="Courier New"/>
          <w:sz w:val="22"/>
          <w:szCs w:val="22"/>
        </w:rPr>
      </w:pPr>
    </w:p>
    <w:p w:rsidR="004127FB" w:rsidRPr="00EB3093" w:rsidP="00D50BB6" w14:paraId="21FC399F" w14:textId="77777777">
      <w:pPr>
        <w:ind w:left="360"/>
        <w:rPr>
          <w:rFonts w:ascii="Calibri" w:hAnsi="Calibri" w:cs="Courier New"/>
          <w:sz w:val="22"/>
          <w:szCs w:val="22"/>
        </w:rPr>
      </w:pPr>
      <w:r w:rsidRPr="00EB3093">
        <w:rPr>
          <w:rFonts w:ascii="Calibri" w:hAnsi="Calibri" w:cs="Courier New"/>
          <w:sz w:val="22"/>
          <w:szCs w:val="22"/>
        </w:rPr>
        <w:t xml:space="preserve">The regulations have been amended </w:t>
      </w:r>
      <w:r w:rsidRPr="00EB3093" w:rsidR="004A4486">
        <w:rPr>
          <w:rFonts w:ascii="Calibri" w:hAnsi="Calibri" w:cs="Courier New"/>
          <w:sz w:val="22"/>
          <w:szCs w:val="22"/>
        </w:rPr>
        <w:t xml:space="preserve">to reduce complexity </w:t>
      </w:r>
      <w:r w:rsidRPr="00EB3093" w:rsidR="00FE326E">
        <w:rPr>
          <w:rFonts w:ascii="Calibri" w:hAnsi="Calibri" w:cs="Courier New"/>
          <w:sz w:val="22"/>
          <w:szCs w:val="22"/>
        </w:rPr>
        <w:t xml:space="preserve">of valuations under section 475 </w:t>
      </w:r>
      <w:r w:rsidRPr="00EB3093" w:rsidR="004A4486">
        <w:rPr>
          <w:rFonts w:ascii="Calibri" w:hAnsi="Calibri" w:cs="Courier New"/>
          <w:sz w:val="22"/>
          <w:szCs w:val="22"/>
        </w:rPr>
        <w:t>by accepting financial statement reporting values</w:t>
      </w:r>
      <w:r w:rsidRPr="00EB3093" w:rsidR="00FE326E">
        <w:rPr>
          <w:rFonts w:ascii="Calibri" w:hAnsi="Calibri" w:cs="Courier New"/>
          <w:sz w:val="22"/>
          <w:szCs w:val="22"/>
        </w:rPr>
        <w:t xml:space="preserve"> for tax reporting purposes.  T</w:t>
      </w:r>
      <w:r w:rsidRPr="00EB3093" w:rsidR="004A4486">
        <w:rPr>
          <w:rFonts w:ascii="Calibri" w:hAnsi="Calibri" w:cs="Courier New"/>
          <w:sz w:val="22"/>
          <w:szCs w:val="22"/>
        </w:rPr>
        <w:t xml:space="preserve">axpayers </w:t>
      </w:r>
      <w:r w:rsidRPr="00EB3093" w:rsidR="00FE326E">
        <w:rPr>
          <w:rFonts w:ascii="Calibri" w:hAnsi="Calibri" w:cs="Courier New"/>
          <w:sz w:val="22"/>
          <w:szCs w:val="22"/>
        </w:rPr>
        <w:t xml:space="preserve">may </w:t>
      </w:r>
      <w:r w:rsidRPr="00EB3093" w:rsidR="004A4486">
        <w:rPr>
          <w:rFonts w:ascii="Calibri" w:hAnsi="Calibri" w:cs="Courier New"/>
          <w:sz w:val="22"/>
          <w:szCs w:val="22"/>
        </w:rPr>
        <w:t>use the same values for book and tax purposes</w:t>
      </w:r>
      <w:r w:rsidRPr="00EB3093" w:rsidR="003A6404">
        <w:rPr>
          <w:rFonts w:ascii="Calibri" w:hAnsi="Calibri" w:cs="Courier New"/>
          <w:sz w:val="22"/>
          <w:szCs w:val="22"/>
        </w:rPr>
        <w:t xml:space="preserve"> </w:t>
      </w:r>
      <w:r w:rsidRPr="00EB3093" w:rsidR="00FE326E">
        <w:rPr>
          <w:rFonts w:ascii="Calibri" w:hAnsi="Calibri" w:cs="Courier New"/>
          <w:sz w:val="22"/>
          <w:szCs w:val="22"/>
        </w:rPr>
        <w:t>if they meet all the requirements of the safe harbor.</w:t>
      </w:r>
    </w:p>
    <w:p w:rsidR="000914BD" w:rsidRPr="00EB3093" w:rsidP="000914BD" w14:paraId="643B5377" w14:textId="77777777">
      <w:pPr>
        <w:rPr>
          <w:rFonts w:ascii="Calibri" w:hAnsi="Calibri" w:cs="Courier New"/>
          <w:sz w:val="22"/>
          <w:szCs w:val="22"/>
        </w:rPr>
      </w:pPr>
    </w:p>
    <w:p w:rsidR="004A4486" w:rsidRPr="00CC3DC5" w:rsidP="00CC3DC5" w14:paraId="52FDD9BD" w14:textId="77777777">
      <w:pPr>
        <w:widowControl/>
        <w:numPr>
          <w:ilvl w:val="0"/>
          <w:numId w:val="14"/>
        </w:numPr>
        <w:ind w:left="360"/>
        <w:rPr>
          <w:rFonts w:ascii="Calibri" w:hAnsi="Calibri" w:cs="Courier New"/>
          <w:sz w:val="22"/>
          <w:szCs w:val="22"/>
          <w:u w:val="single"/>
        </w:rPr>
      </w:pPr>
      <w:r w:rsidRPr="00EB3093">
        <w:rPr>
          <w:rFonts w:ascii="Calibri" w:hAnsi="Calibri" w:cs="Courier New"/>
          <w:sz w:val="22"/>
          <w:szCs w:val="22"/>
          <w:u w:val="single"/>
        </w:rPr>
        <w:t>METHODS TO MINIMIZE BURDEN ON SMALL BUSINESSES OR OTHER</w:t>
      </w:r>
      <w:r w:rsidRPr="00EB3093" w:rsidR="004127FB">
        <w:rPr>
          <w:rFonts w:ascii="Calibri" w:hAnsi="Calibri" w:cs="Courier New"/>
          <w:sz w:val="22"/>
          <w:szCs w:val="22"/>
          <w:u w:val="single"/>
        </w:rPr>
        <w:t xml:space="preserve"> </w:t>
      </w:r>
      <w:r w:rsidRPr="00EB3093">
        <w:rPr>
          <w:rFonts w:ascii="Calibri" w:hAnsi="Calibri" w:cs="Courier New"/>
          <w:sz w:val="22"/>
          <w:szCs w:val="22"/>
          <w:u w:val="single"/>
        </w:rPr>
        <w:t>SMALL ENTITIES</w:t>
      </w:r>
      <w:r w:rsidRPr="00CC3DC5">
        <w:rPr>
          <w:rFonts w:ascii="Calibri" w:hAnsi="Calibri" w:cs="Courier New"/>
          <w:sz w:val="22"/>
          <w:szCs w:val="22"/>
          <w:u w:val="single"/>
        </w:rPr>
        <w:t xml:space="preserve">  </w:t>
      </w:r>
    </w:p>
    <w:p w:rsidR="000914BD" w:rsidRPr="00EB3093" w:rsidP="000914BD" w14:paraId="6F971BDF" w14:textId="77777777">
      <w:pPr>
        <w:tabs>
          <w:tab w:val="left" w:pos="720"/>
        </w:tabs>
        <w:rPr>
          <w:rFonts w:ascii="Calibri" w:hAnsi="Calibri" w:cs="Courier New"/>
          <w:sz w:val="22"/>
          <w:szCs w:val="22"/>
        </w:rPr>
      </w:pPr>
    </w:p>
    <w:p w:rsidR="004A4486" w:rsidRPr="00EB3093" w:rsidP="00D50BB6" w14:paraId="13152FA7" w14:textId="11CBC6CB">
      <w:pPr>
        <w:ind w:left="360"/>
        <w:rPr>
          <w:rFonts w:ascii="Calibri" w:hAnsi="Calibri" w:cs="Courier New"/>
          <w:sz w:val="22"/>
          <w:szCs w:val="22"/>
        </w:rPr>
      </w:pPr>
      <w:r w:rsidRPr="00EB3093">
        <w:rPr>
          <w:rFonts w:ascii="Calibri" w:hAnsi="Calibri" w:cs="Courier New"/>
          <w:sz w:val="22"/>
          <w:szCs w:val="22"/>
        </w:rPr>
        <w:t>The collection of information requirement</w:t>
      </w:r>
      <w:r w:rsidR="00805C0D">
        <w:rPr>
          <w:rFonts w:ascii="Calibri" w:hAnsi="Calibri" w:cs="Courier New"/>
          <w:sz w:val="22"/>
          <w:szCs w:val="22"/>
        </w:rPr>
        <w:t xml:space="preserve"> under section 475</w:t>
      </w:r>
      <w:r w:rsidRPr="00EB3093" w:rsidR="00D51C88">
        <w:rPr>
          <w:rFonts w:ascii="Calibri" w:hAnsi="Calibri" w:cs="Courier New"/>
          <w:sz w:val="22"/>
          <w:szCs w:val="22"/>
        </w:rPr>
        <w:t xml:space="preserve"> will not have a significant economic impact on a substantial number of small entities</w:t>
      </w:r>
      <w:r w:rsidR="00805C0D">
        <w:rPr>
          <w:rFonts w:ascii="Calibri" w:hAnsi="Calibri" w:cs="Courier New"/>
          <w:sz w:val="22"/>
          <w:szCs w:val="22"/>
        </w:rPr>
        <w:t xml:space="preserve"> under this collection</w:t>
      </w:r>
      <w:r w:rsidRPr="00EB3093">
        <w:rPr>
          <w:rFonts w:ascii="Calibri" w:hAnsi="Calibri" w:cs="Courier New"/>
          <w:sz w:val="22"/>
          <w:szCs w:val="22"/>
        </w:rPr>
        <w:t>.</w:t>
      </w:r>
    </w:p>
    <w:p w:rsidR="000914BD" w:rsidRPr="00EB3093" w:rsidP="000914BD" w14:paraId="2ED1D40A" w14:textId="77777777">
      <w:pPr>
        <w:tabs>
          <w:tab w:val="left" w:pos="720"/>
        </w:tabs>
        <w:rPr>
          <w:rFonts w:ascii="Calibri" w:hAnsi="Calibri" w:cs="Courier New"/>
          <w:sz w:val="22"/>
          <w:szCs w:val="22"/>
        </w:rPr>
      </w:pPr>
    </w:p>
    <w:p w:rsidR="004A4486" w:rsidRPr="00EB3093" w:rsidP="00CC3DC5" w14:paraId="42C04A37" w14:textId="7FBD6188">
      <w:pPr>
        <w:widowControl/>
        <w:numPr>
          <w:ilvl w:val="0"/>
          <w:numId w:val="14"/>
        </w:numPr>
        <w:ind w:left="360"/>
        <w:rPr>
          <w:rFonts w:ascii="Calibri" w:hAnsi="Calibri" w:cs="Courier New"/>
          <w:sz w:val="22"/>
          <w:szCs w:val="22"/>
          <w:u w:val="single"/>
        </w:rPr>
      </w:pPr>
      <w:r w:rsidRPr="00EB3093">
        <w:rPr>
          <w:rFonts w:ascii="Calibri" w:hAnsi="Calibri" w:cs="Courier New"/>
          <w:sz w:val="22"/>
          <w:szCs w:val="22"/>
          <w:u w:val="single"/>
        </w:rPr>
        <w:t>CONSEQUENCES OF LESS FREQUENT COLLECTION ON FEDERAL PROGRAMS OR POLICY</w:t>
      </w:r>
      <w:r w:rsidR="00E70A69">
        <w:rPr>
          <w:rFonts w:ascii="Calibri" w:hAnsi="Calibri" w:cs="Courier New"/>
          <w:sz w:val="22"/>
          <w:szCs w:val="22"/>
          <w:u w:val="single"/>
        </w:rPr>
        <w:t xml:space="preserve"> </w:t>
      </w:r>
      <w:r w:rsidRPr="00EB3093">
        <w:rPr>
          <w:rFonts w:ascii="Calibri" w:hAnsi="Calibri" w:cs="Courier New"/>
          <w:sz w:val="22"/>
          <w:szCs w:val="22"/>
          <w:u w:val="single"/>
        </w:rPr>
        <w:t xml:space="preserve">ACTIVITIES </w:t>
      </w:r>
    </w:p>
    <w:p w:rsidR="000914BD" w:rsidRPr="00EB3093" w:rsidP="000914BD" w14:paraId="65EBFDDD" w14:textId="77777777">
      <w:pPr>
        <w:tabs>
          <w:tab w:val="left" w:pos="720"/>
        </w:tabs>
        <w:rPr>
          <w:rFonts w:ascii="Calibri" w:hAnsi="Calibri" w:cs="Courier New"/>
          <w:sz w:val="22"/>
          <w:szCs w:val="22"/>
        </w:rPr>
      </w:pPr>
    </w:p>
    <w:p w:rsidR="00D05AE4" w:rsidRPr="00D50BB6" w:rsidP="00D50BB6" w14:paraId="2976F7FB" w14:textId="77777777">
      <w:pPr>
        <w:ind w:left="360"/>
        <w:rPr>
          <w:rFonts w:ascii="Calibri" w:hAnsi="Calibri" w:cs="Courier New"/>
          <w:sz w:val="22"/>
          <w:szCs w:val="22"/>
        </w:rPr>
      </w:pPr>
      <w:r w:rsidRPr="00EB3093">
        <w:rPr>
          <w:rFonts w:ascii="Calibri" w:hAnsi="Calibri" w:cs="Courier New"/>
          <w:sz w:val="22"/>
          <w:szCs w:val="22"/>
        </w:rPr>
        <w:t>The information required is needed to verify compliance with 26 U.S.C. 475.  A less frequent collection of taxes and tax information could adversely affect the government’s effectiveness and would reduce the oversight of the public in ensuring compliance with the Internal Revenue Code and hinder the IRS from meeting its mission.</w:t>
      </w:r>
    </w:p>
    <w:p w:rsidR="009C11D1" w:rsidRPr="00EB3093" w:rsidP="000914BD" w14:paraId="541412DA" w14:textId="77777777">
      <w:pPr>
        <w:tabs>
          <w:tab w:val="left" w:pos="720"/>
        </w:tabs>
        <w:rPr>
          <w:rFonts w:ascii="Calibri" w:hAnsi="Calibri" w:cs="Courier New"/>
          <w:sz w:val="22"/>
          <w:szCs w:val="22"/>
        </w:rPr>
      </w:pPr>
    </w:p>
    <w:p w:rsidR="004A4486" w:rsidRPr="00EB3093" w:rsidP="00CC3DC5" w14:paraId="212417A7" w14:textId="16BF6C4B">
      <w:pPr>
        <w:widowControl/>
        <w:numPr>
          <w:ilvl w:val="0"/>
          <w:numId w:val="14"/>
        </w:numPr>
        <w:ind w:left="360"/>
        <w:rPr>
          <w:rFonts w:ascii="Calibri" w:hAnsi="Calibri" w:cs="Courier New"/>
          <w:sz w:val="22"/>
          <w:szCs w:val="22"/>
          <w:u w:val="single"/>
        </w:rPr>
      </w:pPr>
      <w:r w:rsidRPr="00EB3093">
        <w:rPr>
          <w:rFonts w:ascii="Calibri" w:hAnsi="Calibri" w:cs="Courier New"/>
          <w:sz w:val="22"/>
          <w:szCs w:val="22"/>
          <w:u w:val="single"/>
        </w:rPr>
        <w:t>SPECIAL CIRCUMSTANCES REQUIRING DATA COLLECTION TO BE INCONSISTENT WITH</w:t>
      </w:r>
      <w:r w:rsidR="008957A4">
        <w:rPr>
          <w:rFonts w:ascii="Calibri" w:hAnsi="Calibri" w:cs="Courier New"/>
          <w:sz w:val="22"/>
          <w:szCs w:val="22"/>
          <w:u w:val="single"/>
        </w:rPr>
        <w:t xml:space="preserve"> </w:t>
      </w:r>
      <w:r w:rsidRPr="00EB3093">
        <w:rPr>
          <w:rFonts w:ascii="Calibri" w:hAnsi="Calibri" w:cs="Courier New"/>
          <w:sz w:val="22"/>
          <w:szCs w:val="22"/>
          <w:u w:val="single"/>
        </w:rPr>
        <w:t xml:space="preserve">GUIDELINES IN 5 CFR 1320.5(d)(2)  </w:t>
      </w:r>
    </w:p>
    <w:p w:rsidR="000914BD" w:rsidRPr="00EB3093" w:rsidP="00D50BB6" w14:paraId="00AC2F13" w14:textId="77777777">
      <w:pPr>
        <w:ind w:left="360"/>
        <w:rPr>
          <w:rFonts w:ascii="Calibri" w:hAnsi="Calibri" w:cs="Courier New"/>
          <w:sz w:val="22"/>
          <w:szCs w:val="22"/>
        </w:rPr>
      </w:pPr>
    </w:p>
    <w:p w:rsidR="004A4486" w:rsidRPr="00EB3093" w:rsidP="00D50BB6" w14:paraId="6896915D" w14:textId="77777777">
      <w:pPr>
        <w:ind w:left="360"/>
        <w:rPr>
          <w:rFonts w:ascii="Calibri" w:hAnsi="Calibri" w:cs="Courier New"/>
          <w:sz w:val="22"/>
          <w:szCs w:val="22"/>
        </w:rPr>
      </w:pPr>
      <w:r w:rsidRPr="00EB3093">
        <w:rPr>
          <w:rFonts w:ascii="Calibri" w:hAnsi="Calibri" w:cs="Courier New"/>
          <w:sz w:val="22"/>
          <w:szCs w:val="22"/>
        </w:rPr>
        <w:t xml:space="preserve">There </w:t>
      </w:r>
      <w:r w:rsidRPr="00EB3093" w:rsidR="00172136">
        <w:rPr>
          <w:rFonts w:ascii="Calibri" w:hAnsi="Calibri" w:cs="Courier New"/>
          <w:sz w:val="22"/>
          <w:szCs w:val="22"/>
        </w:rPr>
        <w:t xml:space="preserve">are </w:t>
      </w:r>
      <w:r w:rsidRPr="00EB3093">
        <w:rPr>
          <w:rFonts w:ascii="Calibri" w:hAnsi="Calibri" w:cs="Courier New"/>
          <w:sz w:val="22"/>
          <w:szCs w:val="22"/>
        </w:rPr>
        <w:t>no special circumstances requiring data collection to be inconsistent with guidelines in 5 CFR 1320.5(d)(2).</w:t>
      </w:r>
    </w:p>
    <w:p w:rsidR="000914BD" w:rsidRPr="00EB3093" w:rsidP="000914BD" w14:paraId="73539618" w14:textId="77777777">
      <w:pPr>
        <w:tabs>
          <w:tab w:val="left" w:pos="720"/>
        </w:tabs>
        <w:rPr>
          <w:rFonts w:ascii="Calibri" w:hAnsi="Calibri" w:cs="Courier New"/>
          <w:sz w:val="22"/>
          <w:szCs w:val="22"/>
        </w:rPr>
      </w:pPr>
    </w:p>
    <w:p w:rsidR="004A4486" w:rsidRPr="00EB3093" w:rsidP="00CC3DC5" w14:paraId="68B1FEF1" w14:textId="77777777">
      <w:pPr>
        <w:widowControl/>
        <w:numPr>
          <w:ilvl w:val="0"/>
          <w:numId w:val="14"/>
        </w:numPr>
        <w:ind w:left="360"/>
        <w:rPr>
          <w:rFonts w:ascii="Calibri" w:hAnsi="Calibri" w:cs="Courier New"/>
          <w:sz w:val="22"/>
          <w:szCs w:val="22"/>
          <w:u w:val="single"/>
        </w:rPr>
      </w:pPr>
      <w:r w:rsidRPr="00EB3093">
        <w:rPr>
          <w:rFonts w:ascii="Calibri" w:hAnsi="Calibri" w:cs="Courier New"/>
          <w:sz w:val="22"/>
          <w:szCs w:val="22"/>
          <w:u w:val="single"/>
        </w:rPr>
        <w:t>CONSULTATION WITH INDIVIDUALS OUTSIDE OF THE AGENCY ON AVAILABILITY OF DATA, FREQUENCY OF COLLECTION, CLARITY OF INSTRUCTIONS AND FORMS, AND DATA ELEMENTS</w:t>
      </w:r>
    </w:p>
    <w:p w:rsidR="000914BD" w:rsidRPr="00EB3093" w:rsidP="000914BD" w14:paraId="0F8E56DE" w14:textId="77777777">
      <w:pPr>
        <w:rPr>
          <w:rFonts w:ascii="Calibri" w:hAnsi="Calibri" w:cs="Courier New"/>
          <w:sz w:val="22"/>
          <w:szCs w:val="22"/>
        </w:rPr>
      </w:pPr>
    </w:p>
    <w:p w:rsidR="00A322CB" w:rsidRPr="00EB3093" w:rsidP="00D50BB6" w14:paraId="7EE916D8" w14:textId="6C96D726">
      <w:pPr>
        <w:ind w:left="360"/>
        <w:rPr>
          <w:rFonts w:ascii="Calibri" w:hAnsi="Calibri" w:cs="Courier New"/>
          <w:sz w:val="22"/>
          <w:szCs w:val="22"/>
        </w:rPr>
      </w:pPr>
      <w:r w:rsidRPr="00D50BB6">
        <w:rPr>
          <w:rFonts w:ascii="Calibri" w:hAnsi="Calibri" w:cs="Courier New"/>
          <w:sz w:val="22"/>
          <w:szCs w:val="22"/>
        </w:rPr>
        <w:t xml:space="preserve">We received no comments during the comment period in response to the Federal Register notice </w:t>
      </w:r>
      <w:r w:rsidRPr="00D50BB6" w:rsidR="00556F3E">
        <w:rPr>
          <w:rFonts w:ascii="Calibri" w:hAnsi="Calibri" w:cs="Courier New"/>
          <w:sz w:val="22"/>
          <w:szCs w:val="22"/>
        </w:rPr>
        <w:t>(</w:t>
      </w:r>
      <w:r w:rsidRPr="00D50BB6" w:rsidR="008B084B">
        <w:rPr>
          <w:rFonts w:ascii="Calibri" w:hAnsi="Calibri" w:cs="Courier New"/>
          <w:sz w:val="22"/>
          <w:szCs w:val="22"/>
        </w:rPr>
        <w:t>90</w:t>
      </w:r>
      <w:r w:rsidRPr="00D50BB6" w:rsidR="00D02979">
        <w:rPr>
          <w:rFonts w:ascii="Calibri" w:hAnsi="Calibri" w:cs="Courier New"/>
          <w:sz w:val="22"/>
          <w:szCs w:val="22"/>
        </w:rPr>
        <w:t xml:space="preserve"> </w:t>
      </w:r>
      <w:r w:rsidRPr="00D50BB6" w:rsidR="00556F3E">
        <w:rPr>
          <w:rFonts w:ascii="Calibri" w:hAnsi="Calibri" w:cs="Courier New"/>
          <w:sz w:val="22"/>
          <w:szCs w:val="22"/>
        </w:rPr>
        <w:t xml:space="preserve">FR </w:t>
      </w:r>
      <w:r w:rsidRPr="00D50BB6" w:rsidR="008B084B">
        <w:rPr>
          <w:rFonts w:ascii="Calibri" w:hAnsi="Calibri" w:cs="Courier New"/>
          <w:sz w:val="22"/>
          <w:szCs w:val="22"/>
        </w:rPr>
        <w:t>11461</w:t>
      </w:r>
      <w:r w:rsidRPr="00D50BB6" w:rsidR="00556F3E">
        <w:rPr>
          <w:rFonts w:ascii="Calibri" w:hAnsi="Calibri" w:cs="Courier New"/>
          <w:sz w:val="22"/>
          <w:szCs w:val="22"/>
        </w:rPr>
        <w:t>)</w:t>
      </w:r>
      <w:r w:rsidRPr="00D50BB6">
        <w:rPr>
          <w:rFonts w:ascii="Calibri" w:hAnsi="Calibri" w:cs="Courier New"/>
          <w:sz w:val="22"/>
          <w:szCs w:val="22"/>
        </w:rPr>
        <w:t xml:space="preserve">, dated </w:t>
      </w:r>
      <w:r w:rsidRPr="00D50BB6" w:rsidR="0081213D">
        <w:rPr>
          <w:rFonts w:ascii="Calibri" w:hAnsi="Calibri" w:cs="Courier New"/>
          <w:sz w:val="22"/>
          <w:szCs w:val="22"/>
        </w:rPr>
        <w:t>March 6, 2025</w:t>
      </w:r>
      <w:r w:rsidRPr="00D50BB6" w:rsidR="00805C0D">
        <w:rPr>
          <w:rFonts w:ascii="Calibri" w:hAnsi="Calibri" w:cs="Courier New"/>
          <w:sz w:val="22"/>
          <w:szCs w:val="22"/>
        </w:rPr>
        <w:t>, regarding TD 8700 and TD 9328 under Section 475</w:t>
      </w:r>
      <w:r w:rsidRPr="00D50BB6" w:rsidR="00D83B45">
        <w:rPr>
          <w:rFonts w:ascii="Calibri" w:hAnsi="Calibri" w:cs="Courier New"/>
          <w:sz w:val="22"/>
          <w:szCs w:val="22"/>
        </w:rPr>
        <w:t xml:space="preserve"> Mark to market accounting method for dealers in securities.</w:t>
      </w:r>
      <w:r w:rsidRPr="00D50BB6" w:rsidR="00805C0D">
        <w:rPr>
          <w:rFonts w:ascii="Calibri" w:hAnsi="Calibri" w:cs="Courier New"/>
          <w:sz w:val="22"/>
          <w:szCs w:val="22"/>
        </w:rPr>
        <w:t xml:space="preserve"> </w:t>
      </w:r>
      <w:r w:rsidRPr="00D83B45" w:rsidR="00805C0D">
        <w:rPr>
          <w:rFonts w:ascii="Calibri" w:hAnsi="Calibri" w:cs="Courier New"/>
          <w:sz w:val="22"/>
          <w:szCs w:val="22"/>
        </w:rPr>
        <w:t xml:space="preserve"> </w:t>
      </w:r>
      <w:r w:rsidRPr="00EB3093">
        <w:rPr>
          <w:rFonts w:ascii="Calibri" w:hAnsi="Calibri" w:cs="Courier New"/>
          <w:sz w:val="22"/>
          <w:szCs w:val="22"/>
        </w:rPr>
        <w:t xml:space="preserve"> </w:t>
      </w:r>
    </w:p>
    <w:p w:rsidR="00BE500F" w:rsidRPr="00EB3093" w:rsidP="000914BD" w14:paraId="4F1E5B66" w14:textId="77777777">
      <w:pPr>
        <w:rPr>
          <w:rFonts w:ascii="Calibri" w:hAnsi="Calibri" w:cs="Courier New"/>
          <w:sz w:val="22"/>
          <w:szCs w:val="22"/>
        </w:rPr>
      </w:pPr>
    </w:p>
    <w:p w:rsidR="004A4486" w:rsidRPr="00CC3DC5" w:rsidP="00CC3DC5" w14:paraId="5AA52681" w14:textId="77777777">
      <w:pPr>
        <w:widowControl/>
        <w:numPr>
          <w:ilvl w:val="0"/>
          <w:numId w:val="14"/>
        </w:numPr>
        <w:ind w:left="360"/>
        <w:rPr>
          <w:rFonts w:ascii="Calibri" w:hAnsi="Calibri" w:cs="Courier New"/>
          <w:sz w:val="22"/>
          <w:szCs w:val="22"/>
          <w:u w:val="single"/>
        </w:rPr>
      </w:pPr>
      <w:r w:rsidRPr="00EB3093">
        <w:rPr>
          <w:rFonts w:ascii="Calibri" w:hAnsi="Calibri" w:cs="Courier New"/>
          <w:sz w:val="22"/>
          <w:szCs w:val="22"/>
          <w:u w:val="single"/>
        </w:rPr>
        <w:t>EXPLANATION OF DECISION TO PROVIDE ANY PAYMENT OR GIFT TO RESPONDENTS</w:t>
      </w:r>
    </w:p>
    <w:p w:rsidR="000914BD" w:rsidRPr="00EB3093" w:rsidP="00D50BB6" w14:paraId="0CC30386" w14:textId="77777777">
      <w:pPr>
        <w:ind w:left="360"/>
        <w:rPr>
          <w:rFonts w:ascii="Calibri" w:hAnsi="Calibri" w:cs="Courier New"/>
          <w:sz w:val="22"/>
          <w:szCs w:val="22"/>
        </w:rPr>
      </w:pPr>
    </w:p>
    <w:p w:rsidR="004A4486" w:rsidRPr="00EB3093" w:rsidP="00D50BB6" w14:paraId="306AEB4C" w14:textId="77777777">
      <w:pPr>
        <w:ind w:left="360"/>
        <w:rPr>
          <w:rFonts w:ascii="Calibri" w:hAnsi="Calibri" w:cs="Courier New"/>
          <w:sz w:val="22"/>
          <w:szCs w:val="22"/>
        </w:rPr>
      </w:pPr>
      <w:r w:rsidRPr="00EB3093">
        <w:rPr>
          <w:rFonts w:ascii="Calibri" w:hAnsi="Calibri" w:cs="Courier New"/>
          <w:sz w:val="22"/>
          <w:szCs w:val="22"/>
        </w:rPr>
        <w:t>No payment or gift has been provided to the respondents.</w:t>
      </w:r>
    </w:p>
    <w:p w:rsidR="000914BD" w:rsidRPr="00EB3093" w:rsidP="000914BD" w14:paraId="10D17E41" w14:textId="77777777">
      <w:pPr>
        <w:tabs>
          <w:tab w:val="left" w:pos="720"/>
        </w:tabs>
        <w:rPr>
          <w:rFonts w:ascii="Calibri" w:hAnsi="Calibri" w:cs="Courier New"/>
          <w:sz w:val="22"/>
          <w:szCs w:val="22"/>
        </w:rPr>
      </w:pPr>
    </w:p>
    <w:p w:rsidR="004A4486" w:rsidRPr="00CC3DC5" w:rsidP="00CC3DC5" w14:paraId="4FE54D91" w14:textId="77777777">
      <w:pPr>
        <w:widowControl/>
        <w:numPr>
          <w:ilvl w:val="0"/>
          <w:numId w:val="14"/>
        </w:numPr>
        <w:ind w:left="360"/>
        <w:rPr>
          <w:rFonts w:ascii="Calibri" w:hAnsi="Calibri" w:cs="Courier New"/>
          <w:sz w:val="22"/>
          <w:szCs w:val="22"/>
          <w:u w:val="single"/>
        </w:rPr>
      </w:pPr>
      <w:r w:rsidRPr="00EB3093">
        <w:rPr>
          <w:rFonts w:ascii="Calibri" w:hAnsi="Calibri" w:cs="Courier New"/>
          <w:sz w:val="22"/>
          <w:szCs w:val="22"/>
          <w:u w:val="single"/>
        </w:rPr>
        <w:t>ASSURANCE OF CONFIDENTIALTY OF RESPONSES</w:t>
      </w:r>
    </w:p>
    <w:p w:rsidR="000914BD" w:rsidRPr="00EB3093" w:rsidP="00D50BB6" w14:paraId="2ADD983B" w14:textId="77777777">
      <w:pPr>
        <w:ind w:left="360"/>
        <w:rPr>
          <w:rFonts w:ascii="Calibri" w:hAnsi="Calibri" w:cs="Courier New"/>
          <w:sz w:val="22"/>
          <w:szCs w:val="22"/>
        </w:rPr>
      </w:pPr>
    </w:p>
    <w:p w:rsidR="004A4486" w:rsidRPr="00EB3093" w:rsidP="00D50BB6" w14:paraId="1225E022" w14:textId="77777777">
      <w:pPr>
        <w:ind w:left="360"/>
        <w:rPr>
          <w:rFonts w:ascii="Calibri" w:hAnsi="Calibri" w:cs="Courier New"/>
          <w:sz w:val="22"/>
          <w:szCs w:val="22"/>
        </w:rPr>
      </w:pPr>
      <w:r w:rsidRPr="00EB3093">
        <w:rPr>
          <w:rFonts w:ascii="Calibri" w:hAnsi="Calibri" w:cs="Courier New"/>
          <w:sz w:val="22"/>
          <w:szCs w:val="22"/>
        </w:rPr>
        <w:t>Generally, tax returns and tax return information are confidential as required by 26 U.S.C. 6103.</w:t>
      </w:r>
    </w:p>
    <w:p w:rsidR="000914BD" w:rsidRPr="00EB3093" w:rsidP="000914BD" w14:paraId="521443E1" w14:textId="77777777">
      <w:pPr>
        <w:tabs>
          <w:tab w:val="left" w:pos="0"/>
        </w:tabs>
        <w:rPr>
          <w:rFonts w:ascii="Calibri" w:hAnsi="Calibri" w:cs="Courier New"/>
          <w:sz w:val="22"/>
          <w:szCs w:val="22"/>
        </w:rPr>
      </w:pPr>
    </w:p>
    <w:p w:rsidR="004A4486" w:rsidRPr="00EB3093" w:rsidP="00CC3DC5" w14:paraId="6E7CEC2C" w14:textId="77777777">
      <w:pPr>
        <w:widowControl/>
        <w:numPr>
          <w:ilvl w:val="0"/>
          <w:numId w:val="14"/>
        </w:numPr>
        <w:ind w:left="360"/>
        <w:rPr>
          <w:rFonts w:ascii="Calibri" w:hAnsi="Calibri" w:cs="Courier New"/>
          <w:sz w:val="22"/>
          <w:szCs w:val="22"/>
          <w:u w:val="single"/>
        </w:rPr>
      </w:pPr>
      <w:r w:rsidRPr="00EB3093">
        <w:rPr>
          <w:rFonts w:ascii="Calibri" w:hAnsi="Calibri" w:cs="Courier New"/>
          <w:sz w:val="22"/>
          <w:szCs w:val="22"/>
          <w:u w:val="single"/>
        </w:rPr>
        <w:t>JUSTIFICATION OF SENSITIVE QUESTIONS</w:t>
      </w:r>
    </w:p>
    <w:p w:rsidR="000914BD" w:rsidRPr="00EB3093" w:rsidP="000914BD" w14:paraId="497D413B" w14:textId="77777777">
      <w:pPr>
        <w:tabs>
          <w:tab w:val="left" w:pos="720"/>
        </w:tabs>
        <w:rPr>
          <w:rFonts w:ascii="Calibri" w:hAnsi="Calibri" w:cs="Courier New"/>
          <w:sz w:val="22"/>
          <w:szCs w:val="22"/>
        </w:rPr>
      </w:pPr>
    </w:p>
    <w:p w:rsidR="005F735B" w:rsidRPr="00EB3093" w:rsidP="00D50BB6" w14:paraId="653C47FA" w14:textId="15E7ADB6">
      <w:pPr>
        <w:ind w:left="360"/>
        <w:rPr>
          <w:rFonts w:ascii="Calibri" w:hAnsi="Calibri" w:cs="Courier New"/>
          <w:sz w:val="22"/>
          <w:szCs w:val="22"/>
        </w:rPr>
      </w:pPr>
      <w:r w:rsidRPr="00EB3093">
        <w:rPr>
          <w:rFonts w:ascii="Calibri" w:hAnsi="Calibri" w:cs="Courier New"/>
          <w:sz w:val="22"/>
          <w:szCs w:val="22"/>
        </w:rPr>
        <w:t>There is no sensitive personally identifiable information (PII) in this collection.</w:t>
      </w:r>
    </w:p>
    <w:p w:rsidR="000914BD" w:rsidRPr="00EB3093" w:rsidP="000914BD" w14:paraId="54A22FF7" w14:textId="77777777">
      <w:pPr>
        <w:tabs>
          <w:tab w:val="left" w:pos="720"/>
        </w:tabs>
        <w:rPr>
          <w:rFonts w:ascii="Calibri" w:hAnsi="Calibri" w:cs="Courier New"/>
          <w:sz w:val="22"/>
          <w:szCs w:val="22"/>
        </w:rPr>
      </w:pPr>
    </w:p>
    <w:p w:rsidR="004A4486" w:rsidRPr="00EB3093" w:rsidP="00CC3DC5" w14:paraId="6D16F104" w14:textId="77777777">
      <w:pPr>
        <w:widowControl/>
        <w:numPr>
          <w:ilvl w:val="0"/>
          <w:numId w:val="14"/>
        </w:numPr>
        <w:ind w:left="360"/>
        <w:rPr>
          <w:rFonts w:ascii="Calibri" w:hAnsi="Calibri" w:cs="Courier New"/>
          <w:sz w:val="22"/>
          <w:szCs w:val="22"/>
          <w:u w:val="single"/>
        </w:rPr>
      </w:pPr>
      <w:r w:rsidRPr="00EB3093">
        <w:rPr>
          <w:rFonts w:ascii="Calibri" w:hAnsi="Calibri" w:cs="Courier New"/>
          <w:sz w:val="22"/>
          <w:szCs w:val="22"/>
          <w:u w:val="single"/>
        </w:rPr>
        <w:t>ESTIMATED BURDEN OF INFORMATION COLLECTION</w:t>
      </w:r>
    </w:p>
    <w:p w:rsidR="000914BD" w:rsidRPr="00EB3093" w:rsidP="00D50BB6" w14:paraId="242921F0" w14:textId="77777777">
      <w:pPr>
        <w:ind w:left="360"/>
        <w:rPr>
          <w:rFonts w:ascii="Calibri" w:hAnsi="Calibri" w:cs="Courier New"/>
          <w:sz w:val="22"/>
          <w:szCs w:val="22"/>
        </w:rPr>
      </w:pPr>
    </w:p>
    <w:p w:rsidR="00D342B9" w:rsidRPr="00EB3093" w:rsidP="00D50BB6" w14:paraId="5907B4D9" w14:textId="3E97CC50">
      <w:pPr>
        <w:ind w:left="360"/>
        <w:rPr>
          <w:rFonts w:ascii="Calibri" w:hAnsi="Calibri" w:cs="Courier New"/>
          <w:sz w:val="22"/>
          <w:szCs w:val="22"/>
        </w:rPr>
      </w:pPr>
      <w:r w:rsidRPr="00EB3093">
        <w:rPr>
          <w:rFonts w:ascii="Calibri" w:hAnsi="Calibri" w:cs="Courier New"/>
          <w:sz w:val="22"/>
          <w:szCs w:val="22"/>
        </w:rPr>
        <w:t>A taxpayer must attach to its return for the first year covered by the election a statement that it is making the election and a list or description of the financial statement to be treated as its applicable financial statement.  Section 1.475(a)-4(f) requires the taxpayer to attach this information to the tax return.  If a taxpayer elects this safe harbor, the taxpayer must comply with recordkeeping and reporting requirements.  A taxpayer must also maintain and provide to the Service, if requested, all books and records underlying its financial statement and statements reconciling book and tax reporting.  Section 1.475(a)-4(k) sets forth the recordkeeping and production requirements.  Estimates of annual reporting and recordkeeping burden vary from 2 to 6 hours per respondent.  The estimated number of respondent</w:t>
      </w:r>
      <w:r w:rsidRPr="00EB3093" w:rsidR="00720A73">
        <w:rPr>
          <w:rFonts w:ascii="Calibri" w:hAnsi="Calibri" w:cs="Courier New"/>
          <w:sz w:val="22"/>
          <w:szCs w:val="22"/>
        </w:rPr>
        <w:t>s</w:t>
      </w:r>
      <w:r w:rsidRPr="00EB3093">
        <w:rPr>
          <w:rFonts w:ascii="Calibri" w:hAnsi="Calibri" w:cs="Courier New"/>
          <w:sz w:val="22"/>
          <w:szCs w:val="22"/>
        </w:rPr>
        <w:t xml:space="preserve"> is 12,308.  The estimated total annual hours for the reporting and recordkeeping </w:t>
      </w:r>
      <w:r w:rsidRPr="00EB3093" w:rsidR="0019623B">
        <w:rPr>
          <w:rFonts w:ascii="Calibri" w:hAnsi="Calibri" w:cs="Courier New"/>
          <w:sz w:val="22"/>
          <w:szCs w:val="22"/>
        </w:rPr>
        <w:t>are</w:t>
      </w:r>
      <w:r w:rsidRPr="00EB3093">
        <w:rPr>
          <w:rFonts w:ascii="Calibri" w:hAnsi="Calibri" w:cs="Courier New"/>
          <w:sz w:val="22"/>
          <w:szCs w:val="22"/>
        </w:rPr>
        <w:t xml:space="preserve"> 49,232, which is based upon an average of the estimated hours per respondent times the number of respondents.</w:t>
      </w:r>
    </w:p>
    <w:p w:rsidR="00BD604F" w:rsidRPr="00EB3093" w:rsidP="000914BD" w14:paraId="17B1DFAC" w14:textId="77777777">
      <w:pPr>
        <w:rPr>
          <w:rFonts w:ascii="Calibri" w:hAnsi="Calibri" w:cs="Courier New"/>
          <w:sz w:val="22"/>
          <w:szCs w:val="22"/>
        </w:rPr>
      </w:pPr>
    </w:p>
    <w:p w:rsidR="00BD604F" w:rsidRPr="00D50BB6" w:rsidP="00D50BB6" w14:paraId="1DDE801C" w14:textId="77777777">
      <w:pPr>
        <w:ind w:left="360"/>
        <w:rPr>
          <w:rFonts w:ascii="Calibri" w:hAnsi="Calibri" w:cs="Courier New"/>
          <w:sz w:val="22"/>
          <w:szCs w:val="22"/>
        </w:rPr>
      </w:pPr>
      <w:r w:rsidRPr="00D50BB6">
        <w:rPr>
          <w:rFonts w:ascii="Calibri" w:hAnsi="Calibri" w:cs="Courier New"/>
          <w:sz w:val="22"/>
          <w:szCs w:val="22"/>
        </w:rPr>
        <w:t>Additional</w:t>
      </w:r>
      <w:r w:rsidRPr="00D50BB6" w:rsidR="002C5A54">
        <w:rPr>
          <w:rFonts w:ascii="Calibri" w:hAnsi="Calibri" w:cs="Courier New"/>
          <w:sz w:val="22"/>
          <w:szCs w:val="22"/>
        </w:rPr>
        <w:t>,</w:t>
      </w:r>
      <w:r w:rsidRPr="00D50BB6">
        <w:rPr>
          <w:rFonts w:ascii="Calibri" w:hAnsi="Calibri" w:cs="Courier New"/>
          <w:sz w:val="22"/>
          <w:szCs w:val="22"/>
        </w:rPr>
        <w:t xml:space="preserve"> recordkeeping requirements are provided in §1.475(b)-</w:t>
      </w:r>
      <w:r w:rsidRPr="00D50BB6" w:rsidR="00CB2DC2">
        <w:rPr>
          <w:rFonts w:ascii="Calibri" w:hAnsi="Calibri" w:cs="Courier New"/>
          <w:sz w:val="22"/>
          <w:szCs w:val="22"/>
        </w:rPr>
        <w:t>2</w:t>
      </w:r>
      <w:r w:rsidRPr="00D50BB6" w:rsidR="002C5A54">
        <w:rPr>
          <w:rFonts w:ascii="Calibri" w:hAnsi="Calibri" w:cs="Courier New"/>
          <w:sz w:val="22"/>
          <w:szCs w:val="22"/>
        </w:rPr>
        <w:t xml:space="preserve"> (</w:t>
      </w:r>
      <w:r w:rsidRPr="00D50BB6">
        <w:rPr>
          <w:rFonts w:ascii="Calibri" w:hAnsi="Calibri" w:cs="Courier New"/>
          <w:sz w:val="22"/>
          <w:szCs w:val="22"/>
        </w:rPr>
        <w:t>a</w:t>
      </w:r>
      <w:r w:rsidRPr="00D50BB6" w:rsidR="002C5A54">
        <w:rPr>
          <w:rFonts w:ascii="Calibri" w:hAnsi="Calibri" w:cs="Courier New"/>
          <w:sz w:val="22"/>
          <w:szCs w:val="22"/>
        </w:rPr>
        <w:t>)-(c)</w:t>
      </w:r>
      <w:r w:rsidRPr="00D50BB6">
        <w:rPr>
          <w:rFonts w:ascii="Calibri" w:hAnsi="Calibri" w:cs="Courier New"/>
          <w:sz w:val="22"/>
          <w:szCs w:val="22"/>
        </w:rPr>
        <w:t>.  We estimate that 2,500 businesses or other for-profit institutions will make the identification requirement under section 1.475(b)-</w:t>
      </w:r>
      <w:r w:rsidRPr="00D50BB6" w:rsidR="00CB2DC2">
        <w:rPr>
          <w:rFonts w:ascii="Calibri" w:hAnsi="Calibri" w:cs="Courier New"/>
          <w:sz w:val="22"/>
          <w:szCs w:val="22"/>
        </w:rPr>
        <w:t xml:space="preserve">2 </w:t>
      </w:r>
      <w:r w:rsidRPr="00D50BB6">
        <w:rPr>
          <w:rFonts w:ascii="Calibri" w:hAnsi="Calibri" w:cs="Courier New"/>
          <w:sz w:val="22"/>
          <w:szCs w:val="22"/>
        </w:rPr>
        <w:t xml:space="preserve">of the regulation, with an estimated annual burden per </w:t>
      </w:r>
      <w:r w:rsidRPr="00D50BB6" w:rsidR="0007413C">
        <w:rPr>
          <w:rFonts w:ascii="Calibri" w:hAnsi="Calibri" w:cs="Courier New"/>
          <w:sz w:val="22"/>
          <w:szCs w:val="22"/>
        </w:rPr>
        <w:t>recordkeeper</w:t>
      </w:r>
      <w:r w:rsidRPr="00D50BB6">
        <w:rPr>
          <w:rFonts w:ascii="Calibri" w:hAnsi="Calibri" w:cs="Courier New"/>
          <w:sz w:val="22"/>
          <w:szCs w:val="22"/>
        </w:rPr>
        <w:t xml:space="preserve"> of 1 hour, with an estimated total annual recordkeeping burden of 2,500</w:t>
      </w:r>
      <w:r w:rsidRPr="00D50BB6" w:rsidR="002C5A54">
        <w:rPr>
          <w:rFonts w:ascii="Calibri" w:hAnsi="Calibri" w:cs="Courier New"/>
          <w:sz w:val="22"/>
          <w:szCs w:val="22"/>
        </w:rPr>
        <w:t xml:space="preserve"> </w:t>
      </w:r>
      <w:r w:rsidRPr="00D50BB6">
        <w:rPr>
          <w:rFonts w:ascii="Calibri" w:hAnsi="Calibri" w:cs="Courier New"/>
          <w:sz w:val="22"/>
          <w:szCs w:val="22"/>
        </w:rPr>
        <w:t>hours.</w:t>
      </w:r>
    </w:p>
    <w:p w:rsidR="00BD604F" w:rsidRPr="00D50BB6" w:rsidP="00D50BB6" w14:paraId="7BE5759B" w14:textId="77777777">
      <w:pPr>
        <w:ind w:left="360"/>
        <w:rPr>
          <w:rFonts w:ascii="Calibri" w:hAnsi="Calibri" w:cs="Courier New"/>
          <w:sz w:val="22"/>
          <w:szCs w:val="22"/>
        </w:rPr>
      </w:pPr>
    </w:p>
    <w:p w:rsidR="00BD604F" w:rsidRPr="00EB3093" w:rsidP="00D50BB6" w14:paraId="2CDDA76E" w14:textId="10AD29D3">
      <w:pPr>
        <w:ind w:left="360"/>
        <w:rPr>
          <w:rFonts w:ascii="Calibri" w:hAnsi="Calibri" w:cs="Courier New"/>
          <w:sz w:val="22"/>
          <w:szCs w:val="22"/>
        </w:rPr>
      </w:pPr>
      <w:r w:rsidRPr="00D50BB6">
        <w:rPr>
          <w:rFonts w:ascii="Calibri" w:hAnsi="Calibri" w:cs="Courier New"/>
          <w:sz w:val="22"/>
          <w:szCs w:val="22"/>
        </w:rPr>
        <w:t xml:space="preserve">Section 1.475(c)-1(a)(3)(iii) makes noncustomer status the default and requires taxpayers to make an affirmative election to consider intermember transactions when applying the dealer definition.  The election is made by attaching an appropriate statement to the taxpayer's return.  We estimate that 900 consolidated groups will make this election and that it will take approximately .5 hours to prepare the statement.  The burden for this requirement is 450 hours. </w:t>
      </w:r>
    </w:p>
    <w:p w:rsidR="000914BD" w:rsidRPr="00EB3093" w:rsidP="000914BD" w14:paraId="4E6D04FF" w14:textId="77777777">
      <w:pPr>
        <w:rPr>
          <w:rFonts w:ascii="Calibri" w:hAnsi="Calibri" w:cs="Courier New"/>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1530"/>
        <w:gridCol w:w="1350"/>
        <w:gridCol w:w="1440"/>
        <w:gridCol w:w="1260"/>
        <w:gridCol w:w="1008"/>
      </w:tblGrid>
      <w:tr w14:paraId="130E54FE" w14:textId="77777777" w:rsidTr="00C64C73">
        <w:tblPrEx>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20" w:type="dxa"/>
            <w:shd w:val="clear" w:color="auto" w:fill="auto"/>
            <w:vAlign w:val="center"/>
          </w:tcPr>
          <w:p w:rsidR="008B367E" w:rsidRPr="00EB3093" w:rsidP="00AA63EC" w14:paraId="476582E7" w14:textId="77777777">
            <w:pPr>
              <w:jc w:val="center"/>
              <w:rPr>
                <w:rFonts w:ascii="Calibri" w:hAnsi="Calibri" w:cs="Arial"/>
                <w:sz w:val="22"/>
                <w:szCs w:val="22"/>
              </w:rPr>
            </w:pPr>
            <w:r w:rsidRPr="00EB3093">
              <w:rPr>
                <w:rFonts w:ascii="Calibri" w:hAnsi="Calibri" w:cs="Arial"/>
                <w:sz w:val="22"/>
                <w:szCs w:val="22"/>
              </w:rPr>
              <w:t>26 CFR</w:t>
            </w:r>
          </w:p>
        </w:tc>
        <w:tc>
          <w:tcPr>
            <w:tcW w:w="1530" w:type="dxa"/>
            <w:shd w:val="clear" w:color="auto" w:fill="auto"/>
            <w:vAlign w:val="center"/>
          </w:tcPr>
          <w:p w:rsidR="008B367E" w:rsidRPr="00EB3093" w:rsidP="00AA63EC" w14:paraId="1C5BB0B6" w14:textId="77777777">
            <w:pPr>
              <w:jc w:val="center"/>
              <w:rPr>
                <w:rFonts w:ascii="Calibri" w:hAnsi="Calibri" w:cs="Arial"/>
                <w:sz w:val="22"/>
                <w:szCs w:val="22"/>
              </w:rPr>
            </w:pPr>
            <w:r w:rsidRPr="00EB3093">
              <w:rPr>
                <w:rFonts w:ascii="Calibri" w:hAnsi="Calibri" w:cs="Arial"/>
                <w:sz w:val="22"/>
                <w:szCs w:val="22"/>
              </w:rPr>
              <w:t># Respondents</w:t>
            </w:r>
          </w:p>
        </w:tc>
        <w:tc>
          <w:tcPr>
            <w:tcW w:w="1350" w:type="dxa"/>
            <w:shd w:val="clear" w:color="auto" w:fill="auto"/>
            <w:vAlign w:val="center"/>
          </w:tcPr>
          <w:p w:rsidR="008B367E" w:rsidRPr="00EB3093" w:rsidP="00AA63EC" w14:paraId="0496F2F7" w14:textId="77777777">
            <w:pPr>
              <w:jc w:val="center"/>
              <w:rPr>
                <w:rFonts w:ascii="Calibri" w:hAnsi="Calibri" w:cs="Arial"/>
                <w:sz w:val="22"/>
                <w:szCs w:val="22"/>
              </w:rPr>
            </w:pPr>
            <w:r w:rsidRPr="00EB3093">
              <w:rPr>
                <w:rFonts w:ascii="Calibri" w:hAnsi="Calibri" w:cs="Arial"/>
                <w:sz w:val="22"/>
                <w:szCs w:val="22"/>
              </w:rPr>
              <w:t># Responses Per Respondent</w:t>
            </w:r>
          </w:p>
        </w:tc>
        <w:tc>
          <w:tcPr>
            <w:tcW w:w="1440" w:type="dxa"/>
            <w:shd w:val="clear" w:color="auto" w:fill="auto"/>
            <w:vAlign w:val="center"/>
          </w:tcPr>
          <w:p w:rsidR="008B367E" w:rsidRPr="00EB3093" w:rsidP="00AA63EC" w14:paraId="2DF38DBA" w14:textId="77777777">
            <w:pPr>
              <w:jc w:val="center"/>
              <w:rPr>
                <w:rFonts w:ascii="Calibri" w:hAnsi="Calibri" w:cs="Arial"/>
                <w:sz w:val="22"/>
                <w:szCs w:val="22"/>
              </w:rPr>
            </w:pPr>
            <w:r w:rsidRPr="00EB3093">
              <w:rPr>
                <w:rFonts w:ascii="Calibri" w:hAnsi="Calibri" w:cs="Arial"/>
                <w:sz w:val="22"/>
                <w:szCs w:val="22"/>
              </w:rPr>
              <w:t># Annual Responses</w:t>
            </w:r>
          </w:p>
        </w:tc>
        <w:tc>
          <w:tcPr>
            <w:tcW w:w="1260" w:type="dxa"/>
            <w:shd w:val="clear" w:color="auto" w:fill="auto"/>
            <w:vAlign w:val="center"/>
          </w:tcPr>
          <w:p w:rsidR="008B367E" w:rsidRPr="00EB3093" w:rsidP="00AA63EC" w14:paraId="7390E18C" w14:textId="77777777">
            <w:pPr>
              <w:jc w:val="center"/>
              <w:rPr>
                <w:rFonts w:ascii="Calibri" w:hAnsi="Calibri" w:cs="Arial"/>
                <w:sz w:val="22"/>
                <w:szCs w:val="22"/>
              </w:rPr>
            </w:pPr>
            <w:r w:rsidRPr="00EB3093">
              <w:rPr>
                <w:rFonts w:ascii="Calibri" w:hAnsi="Calibri" w:cs="Arial"/>
                <w:sz w:val="22"/>
                <w:szCs w:val="22"/>
              </w:rPr>
              <w:t>Hours per Response</w:t>
            </w:r>
          </w:p>
        </w:tc>
        <w:tc>
          <w:tcPr>
            <w:tcW w:w="1008" w:type="dxa"/>
            <w:shd w:val="clear" w:color="auto" w:fill="auto"/>
            <w:vAlign w:val="center"/>
          </w:tcPr>
          <w:p w:rsidR="008B367E" w:rsidRPr="00EB3093" w:rsidP="00AA63EC" w14:paraId="1829B4EB" w14:textId="77777777">
            <w:pPr>
              <w:jc w:val="center"/>
              <w:rPr>
                <w:rFonts w:ascii="Calibri" w:hAnsi="Calibri" w:cs="Arial"/>
                <w:sz w:val="22"/>
                <w:szCs w:val="22"/>
              </w:rPr>
            </w:pPr>
            <w:r w:rsidRPr="00EB3093">
              <w:rPr>
                <w:rFonts w:ascii="Calibri" w:hAnsi="Calibri" w:cs="Arial"/>
                <w:sz w:val="22"/>
                <w:szCs w:val="22"/>
              </w:rPr>
              <w:t>Total Burden</w:t>
            </w:r>
          </w:p>
        </w:tc>
      </w:tr>
      <w:tr w14:paraId="4E6BEB5B" w14:textId="77777777" w:rsidTr="00C64C73">
        <w:tblPrEx>
          <w:tblW w:w="0" w:type="auto"/>
          <w:tblInd w:w="468" w:type="dxa"/>
          <w:tblLook w:val="04A0"/>
        </w:tblPrEx>
        <w:tc>
          <w:tcPr>
            <w:tcW w:w="2520" w:type="dxa"/>
            <w:shd w:val="clear" w:color="auto" w:fill="auto"/>
            <w:vAlign w:val="center"/>
          </w:tcPr>
          <w:p w:rsidR="008B367E" w:rsidRPr="00EB3093" w:rsidP="00D50BB6" w14:paraId="27DF61E7" w14:textId="77777777">
            <w:pPr>
              <w:jc w:val="center"/>
              <w:rPr>
                <w:rFonts w:ascii="Calibri" w:hAnsi="Calibri" w:cs="Arial"/>
                <w:sz w:val="22"/>
                <w:szCs w:val="22"/>
              </w:rPr>
            </w:pPr>
            <w:r w:rsidRPr="00EB3093">
              <w:rPr>
                <w:rFonts w:ascii="Calibri" w:hAnsi="Calibri" w:cs="Arial"/>
                <w:sz w:val="22"/>
                <w:szCs w:val="22"/>
              </w:rPr>
              <w:t>§ 1.475(a)-4(f)</w:t>
            </w:r>
          </w:p>
          <w:p w:rsidR="008B367E" w:rsidRPr="00EB3093" w:rsidP="00D50BB6" w14:paraId="3FBB954A" w14:textId="77777777">
            <w:pPr>
              <w:jc w:val="center"/>
              <w:rPr>
                <w:rFonts w:ascii="Calibri" w:hAnsi="Calibri" w:cs="Arial"/>
                <w:sz w:val="22"/>
                <w:szCs w:val="22"/>
              </w:rPr>
            </w:pPr>
            <w:r w:rsidRPr="00EB3093">
              <w:rPr>
                <w:rFonts w:ascii="Calibri" w:hAnsi="Calibri" w:cs="Arial"/>
                <w:sz w:val="22"/>
                <w:szCs w:val="22"/>
              </w:rPr>
              <w:t>§ 1.475(a)-4(k)</w:t>
            </w:r>
          </w:p>
          <w:p w:rsidR="00C60042" w:rsidRPr="00EB3093" w:rsidP="00D50BB6" w14:paraId="1A5AFE78" w14:textId="77777777">
            <w:pPr>
              <w:jc w:val="center"/>
              <w:rPr>
                <w:rFonts w:ascii="Calibri" w:hAnsi="Calibri"/>
                <w:i/>
                <w:sz w:val="22"/>
                <w:szCs w:val="22"/>
              </w:rPr>
            </w:pPr>
            <w:r w:rsidRPr="00EB3093">
              <w:rPr>
                <w:rFonts w:ascii="Calibri" w:hAnsi="Calibri"/>
                <w:i/>
                <w:sz w:val="22"/>
                <w:szCs w:val="22"/>
              </w:rPr>
              <w:t>(TD 9328)</w:t>
            </w:r>
          </w:p>
        </w:tc>
        <w:tc>
          <w:tcPr>
            <w:tcW w:w="1530" w:type="dxa"/>
            <w:shd w:val="clear" w:color="auto" w:fill="auto"/>
            <w:vAlign w:val="center"/>
          </w:tcPr>
          <w:p w:rsidR="008B367E" w:rsidRPr="00EB3093" w:rsidP="00CB321D" w14:paraId="2FE0F91E" w14:textId="77777777">
            <w:pPr>
              <w:jc w:val="center"/>
              <w:rPr>
                <w:rFonts w:ascii="Calibri" w:hAnsi="Calibri" w:cs="Arial"/>
                <w:sz w:val="22"/>
                <w:szCs w:val="22"/>
              </w:rPr>
            </w:pPr>
            <w:r w:rsidRPr="00EB3093">
              <w:rPr>
                <w:rFonts w:ascii="Calibri" w:hAnsi="Calibri" w:cs="Arial"/>
                <w:sz w:val="22"/>
                <w:szCs w:val="22"/>
              </w:rPr>
              <w:t>12,308</w:t>
            </w:r>
          </w:p>
        </w:tc>
        <w:tc>
          <w:tcPr>
            <w:tcW w:w="1350" w:type="dxa"/>
            <w:shd w:val="clear" w:color="auto" w:fill="auto"/>
            <w:vAlign w:val="center"/>
          </w:tcPr>
          <w:p w:rsidR="008B367E" w:rsidRPr="00EB3093" w:rsidP="00CB321D" w14:paraId="64C1BE3A" w14:textId="77777777">
            <w:pPr>
              <w:jc w:val="center"/>
              <w:rPr>
                <w:rFonts w:ascii="Calibri" w:hAnsi="Calibri" w:cs="Arial"/>
                <w:sz w:val="22"/>
                <w:szCs w:val="22"/>
              </w:rPr>
            </w:pPr>
            <w:r w:rsidRPr="00EB3093">
              <w:rPr>
                <w:rFonts w:ascii="Calibri" w:hAnsi="Calibri" w:cs="Arial"/>
                <w:sz w:val="22"/>
                <w:szCs w:val="22"/>
              </w:rPr>
              <w:t>1</w:t>
            </w:r>
          </w:p>
        </w:tc>
        <w:tc>
          <w:tcPr>
            <w:tcW w:w="1440" w:type="dxa"/>
            <w:shd w:val="clear" w:color="auto" w:fill="auto"/>
            <w:vAlign w:val="center"/>
          </w:tcPr>
          <w:p w:rsidR="008B367E" w:rsidRPr="00EB3093" w:rsidP="00CB321D" w14:paraId="77AB9819" w14:textId="77777777">
            <w:pPr>
              <w:jc w:val="center"/>
              <w:rPr>
                <w:rFonts w:ascii="Calibri" w:hAnsi="Calibri" w:cs="Arial"/>
                <w:sz w:val="22"/>
                <w:szCs w:val="22"/>
              </w:rPr>
            </w:pPr>
            <w:r w:rsidRPr="00EB3093">
              <w:rPr>
                <w:rFonts w:ascii="Calibri" w:hAnsi="Calibri" w:cs="Arial"/>
                <w:sz w:val="22"/>
                <w:szCs w:val="22"/>
              </w:rPr>
              <w:t>12,308</w:t>
            </w:r>
          </w:p>
        </w:tc>
        <w:tc>
          <w:tcPr>
            <w:tcW w:w="1260" w:type="dxa"/>
            <w:shd w:val="clear" w:color="auto" w:fill="auto"/>
            <w:vAlign w:val="center"/>
          </w:tcPr>
          <w:p w:rsidR="008B367E" w:rsidRPr="00EB3093" w:rsidP="00474A70" w14:paraId="0CF6FFE8" w14:textId="77777777">
            <w:pPr>
              <w:tabs>
                <w:tab w:val="decimal" w:pos="0"/>
              </w:tabs>
              <w:jc w:val="center"/>
              <w:rPr>
                <w:rFonts w:ascii="Calibri" w:hAnsi="Calibri" w:cs="Arial"/>
                <w:sz w:val="22"/>
                <w:szCs w:val="22"/>
              </w:rPr>
            </w:pPr>
            <w:r w:rsidRPr="00EB3093">
              <w:rPr>
                <w:rFonts w:ascii="Calibri" w:hAnsi="Calibri" w:cs="Arial"/>
                <w:sz w:val="22"/>
                <w:szCs w:val="22"/>
              </w:rPr>
              <w:t>4.0</w:t>
            </w:r>
          </w:p>
        </w:tc>
        <w:tc>
          <w:tcPr>
            <w:tcW w:w="1008" w:type="dxa"/>
            <w:shd w:val="clear" w:color="auto" w:fill="auto"/>
            <w:vAlign w:val="center"/>
          </w:tcPr>
          <w:p w:rsidR="008B367E" w:rsidRPr="00EB3093" w:rsidP="00CB321D" w14:paraId="7AC40E77" w14:textId="77777777">
            <w:pPr>
              <w:jc w:val="center"/>
              <w:rPr>
                <w:rFonts w:ascii="Calibri" w:hAnsi="Calibri" w:cs="Arial"/>
                <w:sz w:val="22"/>
                <w:szCs w:val="22"/>
              </w:rPr>
            </w:pPr>
            <w:r w:rsidRPr="00EB3093">
              <w:rPr>
                <w:rFonts w:ascii="Calibri" w:hAnsi="Calibri" w:cs="Arial"/>
                <w:sz w:val="22"/>
                <w:szCs w:val="22"/>
              </w:rPr>
              <w:t>49,232</w:t>
            </w:r>
          </w:p>
        </w:tc>
      </w:tr>
      <w:tr w14:paraId="49E373E7" w14:textId="77777777" w:rsidTr="00C64C73">
        <w:tblPrEx>
          <w:tblW w:w="0" w:type="auto"/>
          <w:tblInd w:w="468" w:type="dxa"/>
          <w:tblLook w:val="04A0"/>
        </w:tblPrEx>
        <w:tc>
          <w:tcPr>
            <w:tcW w:w="2520" w:type="dxa"/>
            <w:shd w:val="clear" w:color="auto" w:fill="auto"/>
            <w:vAlign w:val="center"/>
          </w:tcPr>
          <w:p w:rsidR="008B367E" w:rsidRPr="00EB3093" w:rsidP="00D50BB6" w14:paraId="79F1AFE0" w14:textId="6C539B7C">
            <w:pPr>
              <w:jc w:val="center"/>
              <w:rPr>
                <w:rFonts w:ascii="Calibri" w:hAnsi="Calibri" w:cs="Arial"/>
                <w:bCs/>
                <w:sz w:val="22"/>
                <w:szCs w:val="22"/>
              </w:rPr>
            </w:pPr>
            <w:r w:rsidRPr="00EB3093">
              <w:rPr>
                <w:rFonts w:ascii="Calibri" w:hAnsi="Calibri" w:cs="Arial"/>
                <w:bCs/>
                <w:sz w:val="22"/>
                <w:szCs w:val="22"/>
              </w:rPr>
              <w:t>§1.475(b)-</w:t>
            </w:r>
            <w:r w:rsidRPr="00EB3093" w:rsidR="00CB2DC2">
              <w:rPr>
                <w:rFonts w:ascii="Calibri" w:hAnsi="Calibri" w:cs="Arial"/>
                <w:bCs/>
                <w:sz w:val="22"/>
                <w:szCs w:val="22"/>
              </w:rPr>
              <w:t>2</w:t>
            </w:r>
            <w:r w:rsidRPr="00EB3093">
              <w:rPr>
                <w:rFonts w:ascii="Calibri" w:hAnsi="Calibri" w:cs="Arial"/>
                <w:bCs/>
                <w:sz w:val="22"/>
                <w:szCs w:val="22"/>
              </w:rPr>
              <w:t>(a)-(c)</w:t>
            </w:r>
          </w:p>
          <w:p w:rsidR="00C60042" w:rsidRPr="00EB3093" w:rsidP="00D50BB6" w14:paraId="47F51059" w14:textId="77777777">
            <w:pPr>
              <w:jc w:val="center"/>
              <w:rPr>
                <w:rFonts w:ascii="Calibri" w:hAnsi="Calibri" w:cs="Arial"/>
                <w:sz w:val="22"/>
                <w:szCs w:val="22"/>
              </w:rPr>
            </w:pPr>
            <w:r w:rsidRPr="00EB3093">
              <w:rPr>
                <w:rFonts w:ascii="Calibri" w:hAnsi="Calibri"/>
                <w:i/>
                <w:sz w:val="22"/>
                <w:szCs w:val="22"/>
              </w:rPr>
              <w:t>(TD 8700)</w:t>
            </w:r>
          </w:p>
        </w:tc>
        <w:tc>
          <w:tcPr>
            <w:tcW w:w="1530" w:type="dxa"/>
            <w:shd w:val="clear" w:color="auto" w:fill="auto"/>
            <w:vAlign w:val="center"/>
          </w:tcPr>
          <w:p w:rsidR="008B367E" w:rsidRPr="00EB3093" w:rsidP="00CB321D" w14:paraId="1F80F66F" w14:textId="77777777">
            <w:pPr>
              <w:jc w:val="center"/>
              <w:rPr>
                <w:rFonts w:ascii="Calibri" w:hAnsi="Calibri" w:cs="Arial"/>
                <w:sz w:val="22"/>
                <w:szCs w:val="22"/>
              </w:rPr>
            </w:pPr>
            <w:r w:rsidRPr="00EB3093">
              <w:rPr>
                <w:rFonts w:ascii="Calibri" w:hAnsi="Calibri" w:cs="Arial"/>
                <w:sz w:val="22"/>
                <w:szCs w:val="22"/>
              </w:rPr>
              <w:t>2,500</w:t>
            </w:r>
          </w:p>
        </w:tc>
        <w:tc>
          <w:tcPr>
            <w:tcW w:w="1350" w:type="dxa"/>
            <w:shd w:val="clear" w:color="auto" w:fill="auto"/>
            <w:vAlign w:val="center"/>
          </w:tcPr>
          <w:p w:rsidR="008B367E" w:rsidRPr="00EB3093" w:rsidP="00CB321D" w14:paraId="317ABA78" w14:textId="77777777">
            <w:pPr>
              <w:jc w:val="center"/>
              <w:rPr>
                <w:rFonts w:ascii="Calibri" w:hAnsi="Calibri" w:cs="Arial"/>
                <w:sz w:val="22"/>
                <w:szCs w:val="22"/>
              </w:rPr>
            </w:pPr>
            <w:r w:rsidRPr="00EB3093">
              <w:rPr>
                <w:rFonts w:ascii="Calibri" w:hAnsi="Calibri" w:cs="Arial"/>
                <w:sz w:val="22"/>
                <w:szCs w:val="22"/>
              </w:rPr>
              <w:t>1</w:t>
            </w:r>
          </w:p>
        </w:tc>
        <w:tc>
          <w:tcPr>
            <w:tcW w:w="1440" w:type="dxa"/>
            <w:shd w:val="clear" w:color="auto" w:fill="auto"/>
            <w:vAlign w:val="center"/>
          </w:tcPr>
          <w:p w:rsidR="008B367E" w:rsidRPr="00EB3093" w:rsidP="00CB321D" w14:paraId="4C5065A2" w14:textId="77777777">
            <w:pPr>
              <w:jc w:val="center"/>
              <w:rPr>
                <w:rFonts w:ascii="Calibri" w:hAnsi="Calibri" w:cs="Arial"/>
                <w:sz w:val="22"/>
                <w:szCs w:val="22"/>
              </w:rPr>
            </w:pPr>
            <w:r w:rsidRPr="00EB3093">
              <w:rPr>
                <w:rFonts w:ascii="Calibri" w:hAnsi="Calibri" w:cs="Arial"/>
                <w:sz w:val="22"/>
                <w:szCs w:val="22"/>
              </w:rPr>
              <w:t>2,500</w:t>
            </w:r>
          </w:p>
        </w:tc>
        <w:tc>
          <w:tcPr>
            <w:tcW w:w="1260" w:type="dxa"/>
            <w:shd w:val="clear" w:color="auto" w:fill="auto"/>
            <w:vAlign w:val="center"/>
          </w:tcPr>
          <w:p w:rsidR="008B367E" w:rsidRPr="00EB3093" w:rsidP="00474A70" w14:paraId="4357E21A" w14:textId="77777777">
            <w:pPr>
              <w:tabs>
                <w:tab w:val="decimal" w:pos="0"/>
              </w:tabs>
              <w:jc w:val="center"/>
              <w:rPr>
                <w:rFonts w:ascii="Calibri" w:hAnsi="Calibri" w:cs="Arial"/>
                <w:sz w:val="22"/>
                <w:szCs w:val="22"/>
              </w:rPr>
            </w:pPr>
            <w:r w:rsidRPr="00EB3093">
              <w:rPr>
                <w:rFonts w:ascii="Calibri" w:hAnsi="Calibri" w:cs="Arial"/>
                <w:sz w:val="22"/>
                <w:szCs w:val="22"/>
              </w:rPr>
              <w:t>1.0</w:t>
            </w:r>
          </w:p>
        </w:tc>
        <w:tc>
          <w:tcPr>
            <w:tcW w:w="1008" w:type="dxa"/>
            <w:shd w:val="clear" w:color="auto" w:fill="auto"/>
            <w:vAlign w:val="center"/>
          </w:tcPr>
          <w:p w:rsidR="008B367E" w:rsidRPr="00EB3093" w:rsidP="00CB321D" w14:paraId="1D89C8A7" w14:textId="77777777">
            <w:pPr>
              <w:jc w:val="center"/>
              <w:rPr>
                <w:rFonts w:ascii="Calibri" w:hAnsi="Calibri" w:cs="Arial"/>
                <w:sz w:val="22"/>
                <w:szCs w:val="22"/>
              </w:rPr>
            </w:pPr>
            <w:r w:rsidRPr="00EB3093">
              <w:rPr>
                <w:rFonts w:ascii="Calibri" w:hAnsi="Calibri" w:cs="Arial"/>
                <w:sz w:val="22"/>
                <w:szCs w:val="22"/>
              </w:rPr>
              <w:t>2,500</w:t>
            </w:r>
          </w:p>
        </w:tc>
      </w:tr>
      <w:tr w14:paraId="68B873C7" w14:textId="77777777" w:rsidTr="00C64C73">
        <w:tblPrEx>
          <w:tblW w:w="0" w:type="auto"/>
          <w:tblInd w:w="468" w:type="dxa"/>
          <w:tblLook w:val="04A0"/>
        </w:tblPrEx>
        <w:tc>
          <w:tcPr>
            <w:tcW w:w="2520" w:type="dxa"/>
            <w:shd w:val="clear" w:color="auto" w:fill="auto"/>
            <w:vAlign w:val="center"/>
          </w:tcPr>
          <w:p w:rsidR="008B367E" w:rsidRPr="00EB3093" w:rsidP="00D50BB6" w14:paraId="35E23877" w14:textId="77777777">
            <w:pPr>
              <w:jc w:val="center"/>
              <w:rPr>
                <w:rFonts w:ascii="Calibri" w:hAnsi="Calibri" w:cs="Arial"/>
                <w:bCs/>
                <w:sz w:val="22"/>
                <w:szCs w:val="22"/>
              </w:rPr>
            </w:pPr>
            <w:r w:rsidRPr="00EB3093">
              <w:rPr>
                <w:rFonts w:ascii="Calibri" w:hAnsi="Calibri" w:cs="Arial"/>
                <w:bCs/>
                <w:sz w:val="22"/>
                <w:szCs w:val="22"/>
              </w:rPr>
              <w:t>§1.475(c)-1(a)(3)(iii)</w:t>
            </w:r>
          </w:p>
          <w:p w:rsidR="00C60042" w:rsidRPr="00EB3093" w:rsidP="00D50BB6" w14:paraId="429CF503" w14:textId="77777777">
            <w:pPr>
              <w:jc w:val="center"/>
              <w:rPr>
                <w:rFonts w:ascii="Calibri" w:hAnsi="Calibri" w:cs="Arial"/>
                <w:sz w:val="22"/>
                <w:szCs w:val="22"/>
              </w:rPr>
            </w:pPr>
            <w:r w:rsidRPr="00EB3093">
              <w:rPr>
                <w:rFonts w:ascii="Calibri" w:hAnsi="Calibri"/>
                <w:i/>
                <w:sz w:val="22"/>
                <w:szCs w:val="22"/>
              </w:rPr>
              <w:t>(TD 8700)</w:t>
            </w:r>
          </w:p>
        </w:tc>
        <w:tc>
          <w:tcPr>
            <w:tcW w:w="1530" w:type="dxa"/>
            <w:shd w:val="clear" w:color="auto" w:fill="auto"/>
            <w:vAlign w:val="center"/>
          </w:tcPr>
          <w:p w:rsidR="008B367E" w:rsidRPr="00EB3093" w:rsidP="00CB321D" w14:paraId="1A704E62" w14:textId="77777777">
            <w:pPr>
              <w:jc w:val="center"/>
              <w:rPr>
                <w:rFonts w:ascii="Calibri" w:hAnsi="Calibri" w:cs="Arial"/>
                <w:sz w:val="22"/>
                <w:szCs w:val="22"/>
              </w:rPr>
            </w:pPr>
            <w:r w:rsidRPr="00EB3093">
              <w:rPr>
                <w:rFonts w:ascii="Calibri" w:hAnsi="Calibri" w:cs="Arial"/>
                <w:sz w:val="22"/>
                <w:szCs w:val="22"/>
              </w:rPr>
              <w:t>900</w:t>
            </w:r>
          </w:p>
        </w:tc>
        <w:tc>
          <w:tcPr>
            <w:tcW w:w="1350" w:type="dxa"/>
            <w:shd w:val="clear" w:color="auto" w:fill="auto"/>
            <w:vAlign w:val="center"/>
          </w:tcPr>
          <w:p w:rsidR="008B367E" w:rsidRPr="00EB3093" w:rsidP="00CB321D" w14:paraId="617BB45B" w14:textId="77777777">
            <w:pPr>
              <w:jc w:val="center"/>
              <w:rPr>
                <w:rFonts w:ascii="Calibri" w:hAnsi="Calibri" w:cs="Arial"/>
                <w:sz w:val="22"/>
                <w:szCs w:val="22"/>
              </w:rPr>
            </w:pPr>
            <w:r w:rsidRPr="00EB3093">
              <w:rPr>
                <w:rFonts w:ascii="Calibri" w:hAnsi="Calibri" w:cs="Arial"/>
                <w:sz w:val="22"/>
                <w:szCs w:val="22"/>
              </w:rPr>
              <w:t>1</w:t>
            </w:r>
          </w:p>
        </w:tc>
        <w:tc>
          <w:tcPr>
            <w:tcW w:w="1440" w:type="dxa"/>
            <w:shd w:val="clear" w:color="auto" w:fill="auto"/>
            <w:vAlign w:val="center"/>
          </w:tcPr>
          <w:p w:rsidR="008B367E" w:rsidRPr="00EB3093" w:rsidP="00CB321D" w14:paraId="61C2EE15" w14:textId="77777777">
            <w:pPr>
              <w:jc w:val="center"/>
              <w:rPr>
                <w:rFonts w:ascii="Calibri" w:hAnsi="Calibri" w:cs="Arial"/>
                <w:sz w:val="22"/>
                <w:szCs w:val="22"/>
              </w:rPr>
            </w:pPr>
            <w:r w:rsidRPr="00EB3093">
              <w:rPr>
                <w:rFonts w:ascii="Calibri" w:hAnsi="Calibri" w:cs="Arial"/>
                <w:sz w:val="22"/>
                <w:szCs w:val="22"/>
              </w:rPr>
              <w:t>900</w:t>
            </w:r>
          </w:p>
        </w:tc>
        <w:tc>
          <w:tcPr>
            <w:tcW w:w="1260" w:type="dxa"/>
            <w:shd w:val="clear" w:color="auto" w:fill="auto"/>
            <w:vAlign w:val="center"/>
          </w:tcPr>
          <w:p w:rsidR="008B367E" w:rsidRPr="00EB3093" w:rsidP="00474A70" w14:paraId="0E349278" w14:textId="77777777">
            <w:pPr>
              <w:tabs>
                <w:tab w:val="decimal" w:pos="0"/>
              </w:tabs>
              <w:jc w:val="center"/>
              <w:rPr>
                <w:rFonts w:ascii="Calibri" w:hAnsi="Calibri" w:cs="Arial"/>
                <w:sz w:val="22"/>
                <w:szCs w:val="22"/>
              </w:rPr>
            </w:pPr>
            <w:r w:rsidRPr="00EB3093">
              <w:rPr>
                <w:rFonts w:ascii="Calibri" w:hAnsi="Calibri" w:cs="Arial"/>
                <w:sz w:val="22"/>
                <w:szCs w:val="22"/>
              </w:rPr>
              <w:t>0.5</w:t>
            </w:r>
          </w:p>
        </w:tc>
        <w:tc>
          <w:tcPr>
            <w:tcW w:w="1008" w:type="dxa"/>
            <w:shd w:val="clear" w:color="auto" w:fill="auto"/>
            <w:vAlign w:val="center"/>
          </w:tcPr>
          <w:p w:rsidR="008B367E" w:rsidRPr="00EB3093" w:rsidP="00CB321D" w14:paraId="11E3BC38" w14:textId="77777777">
            <w:pPr>
              <w:jc w:val="center"/>
              <w:rPr>
                <w:rFonts w:ascii="Calibri" w:hAnsi="Calibri" w:cs="Arial"/>
                <w:sz w:val="22"/>
                <w:szCs w:val="22"/>
              </w:rPr>
            </w:pPr>
            <w:r w:rsidRPr="00EB3093">
              <w:rPr>
                <w:rFonts w:ascii="Calibri" w:hAnsi="Calibri" w:cs="Arial"/>
                <w:sz w:val="22"/>
                <w:szCs w:val="22"/>
              </w:rPr>
              <w:t>450</w:t>
            </w:r>
          </w:p>
        </w:tc>
      </w:tr>
      <w:tr w14:paraId="56E90C41" w14:textId="77777777" w:rsidTr="00C64C73">
        <w:tblPrEx>
          <w:tblW w:w="0" w:type="auto"/>
          <w:tblInd w:w="468" w:type="dxa"/>
          <w:tblLook w:val="04A0"/>
        </w:tblPrEx>
        <w:trPr>
          <w:trHeight w:val="323"/>
        </w:trPr>
        <w:tc>
          <w:tcPr>
            <w:tcW w:w="2520" w:type="dxa"/>
            <w:shd w:val="clear" w:color="auto" w:fill="auto"/>
            <w:vAlign w:val="center"/>
          </w:tcPr>
          <w:p w:rsidR="008B367E" w:rsidRPr="00B37362" w:rsidP="00BD15EF" w14:paraId="073E856B" w14:textId="77777777">
            <w:pPr>
              <w:jc w:val="right"/>
              <w:rPr>
                <w:rFonts w:ascii="Calibri" w:hAnsi="Calibri" w:cs="Arial"/>
                <w:b/>
                <w:sz w:val="22"/>
                <w:szCs w:val="22"/>
              </w:rPr>
            </w:pPr>
            <w:r w:rsidRPr="00B37362">
              <w:rPr>
                <w:rFonts w:ascii="Calibri" w:hAnsi="Calibri" w:cs="Arial"/>
                <w:b/>
                <w:sz w:val="22"/>
                <w:szCs w:val="22"/>
              </w:rPr>
              <w:t>TOTAL</w:t>
            </w:r>
          </w:p>
        </w:tc>
        <w:tc>
          <w:tcPr>
            <w:tcW w:w="1530" w:type="dxa"/>
            <w:shd w:val="clear" w:color="auto" w:fill="auto"/>
            <w:vAlign w:val="center"/>
          </w:tcPr>
          <w:p w:rsidR="008B367E" w:rsidRPr="00B37362" w:rsidP="00CB321D" w14:paraId="04911179" w14:textId="77777777">
            <w:pPr>
              <w:jc w:val="center"/>
              <w:rPr>
                <w:rFonts w:ascii="Calibri" w:hAnsi="Calibri" w:cs="Arial"/>
                <w:b/>
                <w:sz w:val="22"/>
                <w:szCs w:val="22"/>
              </w:rPr>
            </w:pPr>
            <w:r w:rsidRPr="00B37362">
              <w:rPr>
                <w:rFonts w:ascii="Calibri" w:hAnsi="Calibri" w:cs="Arial"/>
                <w:b/>
                <w:sz w:val="22"/>
                <w:szCs w:val="22"/>
              </w:rPr>
              <w:t>15,708</w:t>
            </w:r>
          </w:p>
        </w:tc>
        <w:tc>
          <w:tcPr>
            <w:tcW w:w="1350" w:type="dxa"/>
            <w:shd w:val="clear" w:color="auto" w:fill="auto"/>
            <w:vAlign w:val="center"/>
          </w:tcPr>
          <w:p w:rsidR="008B367E" w:rsidRPr="00B37362" w:rsidP="00CB321D" w14:paraId="4C57F9E4" w14:textId="003B8611">
            <w:pPr>
              <w:jc w:val="center"/>
              <w:rPr>
                <w:rFonts w:ascii="Calibri" w:hAnsi="Calibri" w:cs="Arial"/>
                <w:b/>
                <w:sz w:val="22"/>
                <w:szCs w:val="22"/>
              </w:rPr>
            </w:pPr>
          </w:p>
        </w:tc>
        <w:tc>
          <w:tcPr>
            <w:tcW w:w="1440" w:type="dxa"/>
            <w:shd w:val="clear" w:color="auto" w:fill="auto"/>
            <w:vAlign w:val="center"/>
          </w:tcPr>
          <w:p w:rsidR="008B367E" w:rsidRPr="00B37362" w:rsidP="00CB321D" w14:paraId="661A7CBD" w14:textId="77777777">
            <w:pPr>
              <w:jc w:val="center"/>
              <w:rPr>
                <w:rFonts w:ascii="Calibri" w:hAnsi="Calibri" w:cs="Arial"/>
                <w:b/>
                <w:sz w:val="22"/>
                <w:szCs w:val="22"/>
              </w:rPr>
            </w:pPr>
            <w:r w:rsidRPr="00B37362">
              <w:rPr>
                <w:rFonts w:ascii="Calibri" w:hAnsi="Calibri" w:cs="Arial"/>
                <w:b/>
                <w:sz w:val="22"/>
                <w:szCs w:val="22"/>
              </w:rPr>
              <w:t>15,708</w:t>
            </w:r>
          </w:p>
        </w:tc>
        <w:tc>
          <w:tcPr>
            <w:tcW w:w="1260" w:type="dxa"/>
            <w:shd w:val="clear" w:color="auto" w:fill="auto"/>
            <w:vAlign w:val="center"/>
          </w:tcPr>
          <w:p w:rsidR="008B367E" w:rsidRPr="00B37362" w:rsidP="00474A70" w14:paraId="2130417E" w14:textId="0B1022F2">
            <w:pPr>
              <w:tabs>
                <w:tab w:val="decimal" w:pos="0"/>
              </w:tabs>
              <w:jc w:val="center"/>
              <w:rPr>
                <w:rFonts w:ascii="Calibri" w:hAnsi="Calibri" w:cs="Arial"/>
                <w:b/>
                <w:sz w:val="22"/>
                <w:szCs w:val="22"/>
              </w:rPr>
            </w:pPr>
          </w:p>
        </w:tc>
        <w:tc>
          <w:tcPr>
            <w:tcW w:w="1008" w:type="dxa"/>
            <w:shd w:val="clear" w:color="auto" w:fill="auto"/>
            <w:vAlign w:val="center"/>
          </w:tcPr>
          <w:p w:rsidR="008B367E" w:rsidRPr="00B37362" w:rsidP="00CB321D" w14:paraId="534D48A7" w14:textId="77777777">
            <w:pPr>
              <w:jc w:val="center"/>
              <w:rPr>
                <w:rFonts w:ascii="Calibri" w:hAnsi="Calibri" w:cs="Arial"/>
                <w:b/>
                <w:sz w:val="22"/>
                <w:szCs w:val="22"/>
              </w:rPr>
            </w:pPr>
            <w:r w:rsidRPr="00B37362">
              <w:rPr>
                <w:rFonts w:ascii="Calibri" w:hAnsi="Calibri" w:cs="Arial"/>
                <w:b/>
                <w:sz w:val="22"/>
                <w:szCs w:val="22"/>
              </w:rPr>
              <w:t>52,</w:t>
            </w:r>
            <w:r w:rsidRPr="00B37362" w:rsidR="00E16F60">
              <w:rPr>
                <w:rFonts w:ascii="Calibri" w:hAnsi="Calibri" w:cs="Arial"/>
                <w:b/>
                <w:sz w:val="22"/>
                <w:szCs w:val="22"/>
              </w:rPr>
              <w:t>182</w:t>
            </w:r>
          </w:p>
        </w:tc>
      </w:tr>
    </w:tbl>
    <w:p w:rsidR="008B367E" w:rsidRPr="00EB3093" w:rsidP="008B367E" w14:paraId="4587EE6F" w14:textId="77777777">
      <w:pPr>
        <w:rPr>
          <w:rFonts w:ascii="Calibri" w:hAnsi="Calibri" w:cs="Courier New"/>
          <w:sz w:val="22"/>
          <w:szCs w:val="22"/>
        </w:rPr>
      </w:pPr>
    </w:p>
    <w:p w:rsidR="008B367E" w:rsidRPr="00EB3093" w:rsidP="000914BD" w14:paraId="0AD2E37B" w14:textId="77777777">
      <w:pPr>
        <w:rPr>
          <w:rFonts w:ascii="Calibri" w:hAnsi="Calibri" w:cs="Courier New"/>
          <w:sz w:val="22"/>
          <w:szCs w:val="22"/>
        </w:rPr>
      </w:pPr>
    </w:p>
    <w:p w:rsidR="004A4486" w:rsidRPr="00CC3DC5" w:rsidP="00CC3DC5" w14:paraId="576DA047" w14:textId="77777777">
      <w:pPr>
        <w:widowControl/>
        <w:numPr>
          <w:ilvl w:val="0"/>
          <w:numId w:val="14"/>
        </w:numPr>
        <w:ind w:left="360"/>
        <w:rPr>
          <w:rFonts w:ascii="Calibri" w:hAnsi="Calibri" w:cs="Courier New"/>
          <w:sz w:val="22"/>
          <w:szCs w:val="22"/>
          <w:u w:val="single"/>
        </w:rPr>
      </w:pPr>
      <w:r w:rsidRPr="00EB3093">
        <w:rPr>
          <w:rFonts w:ascii="Calibri" w:hAnsi="Calibri" w:cs="Courier New"/>
          <w:sz w:val="22"/>
          <w:szCs w:val="22"/>
          <w:u w:val="single"/>
        </w:rPr>
        <w:t>ESTIMATED TOTAL ANNUAL COST BURDEN TO RESPONDENTS</w:t>
      </w:r>
      <w:r w:rsidRPr="00CC3DC5">
        <w:rPr>
          <w:rFonts w:ascii="Calibri" w:hAnsi="Calibri" w:cs="Courier New"/>
          <w:sz w:val="22"/>
          <w:szCs w:val="22"/>
          <w:u w:val="single"/>
        </w:rPr>
        <w:t xml:space="preserve">  </w:t>
      </w:r>
    </w:p>
    <w:p w:rsidR="000914BD" w:rsidRPr="00EB3093" w:rsidP="000914BD" w14:paraId="23AA9F48" w14:textId="77777777">
      <w:pPr>
        <w:rPr>
          <w:rFonts w:ascii="Calibri" w:hAnsi="Calibri" w:cs="Courier New"/>
          <w:sz w:val="22"/>
          <w:szCs w:val="22"/>
        </w:rPr>
      </w:pPr>
    </w:p>
    <w:p w:rsidR="0062726E" w:rsidRPr="0062726E" w:rsidP="0062726E" w14:paraId="673F7F5B" w14:textId="731F0EAA">
      <w:pPr>
        <w:ind w:left="360"/>
        <w:rPr>
          <w:rFonts w:ascii="Calibri" w:hAnsi="Calibri" w:cs="Courier New"/>
          <w:sz w:val="22"/>
          <w:szCs w:val="22"/>
        </w:rPr>
      </w:pPr>
      <w:r w:rsidRPr="0062726E">
        <w:rPr>
          <w:rFonts w:ascii="Calibri" w:hAnsi="Calibri" w:cs="Courier New"/>
          <w:sz w:val="22"/>
          <w:szCs w:val="22"/>
        </w:rPr>
        <w:t xml:space="preserve">This information collection and its </w:t>
      </w:r>
      <w:r>
        <w:rPr>
          <w:rFonts w:ascii="Calibri" w:hAnsi="Calibri" w:cs="Courier New"/>
          <w:sz w:val="22"/>
          <w:szCs w:val="22"/>
        </w:rPr>
        <w:t>cost</w:t>
      </w:r>
      <w:r w:rsidRPr="0062726E">
        <w:rPr>
          <w:rFonts w:ascii="Calibri" w:hAnsi="Calibri" w:cs="Courier New"/>
          <w:sz w:val="22"/>
          <w:szCs w:val="22"/>
        </w:rPr>
        <w:t xml:space="preserve"> will be accounted for in the consolidated OMB submission for business returns during the next annual submission.</w:t>
      </w:r>
    </w:p>
    <w:p w:rsidR="000914BD" w:rsidRPr="00EB3093" w:rsidP="000914BD" w14:paraId="0D1604AB" w14:textId="77777777">
      <w:pPr>
        <w:rPr>
          <w:rFonts w:ascii="Calibri" w:hAnsi="Calibri" w:cs="Courier New"/>
          <w:sz w:val="22"/>
          <w:szCs w:val="22"/>
        </w:rPr>
      </w:pPr>
    </w:p>
    <w:p w:rsidR="004A4486" w:rsidRPr="00CC3DC5" w:rsidP="00CC3DC5" w14:paraId="20BDC43A" w14:textId="77777777">
      <w:pPr>
        <w:widowControl/>
        <w:numPr>
          <w:ilvl w:val="0"/>
          <w:numId w:val="14"/>
        </w:numPr>
        <w:ind w:left="360"/>
        <w:rPr>
          <w:rFonts w:ascii="Calibri" w:hAnsi="Calibri" w:cs="Courier New"/>
          <w:sz w:val="22"/>
          <w:szCs w:val="22"/>
          <w:u w:val="single"/>
        </w:rPr>
      </w:pPr>
      <w:r w:rsidRPr="00EB3093">
        <w:rPr>
          <w:rFonts w:ascii="Calibri" w:hAnsi="Calibri" w:cs="Courier New"/>
          <w:sz w:val="22"/>
          <w:szCs w:val="22"/>
          <w:u w:val="single"/>
        </w:rPr>
        <w:t>ESTIMATED ANNUALIZED COST TO THE FEDERAL GOVERNMENT</w:t>
      </w:r>
    </w:p>
    <w:p w:rsidR="000914BD" w:rsidP="000914BD" w14:paraId="2B1DB013" w14:textId="1CF10B8E">
      <w:pPr>
        <w:rPr>
          <w:rFonts w:ascii="Calibri" w:hAnsi="Calibri" w:cs="Courier New"/>
          <w:sz w:val="22"/>
          <w:szCs w:val="22"/>
        </w:rPr>
      </w:pPr>
    </w:p>
    <w:p w:rsidR="006635A6" w:rsidRPr="00EB3093" w:rsidP="00D50BB6" w14:paraId="110F597D" w14:textId="4EA2D521">
      <w:pPr>
        <w:ind w:left="360"/>
        <w:rPr>
          <w:rFonts w:ascii="Calibri" w:hAnsi="Calibri" w:cs="Courier New"/>
          <w:sz w:val="22"/>
          <w:szCs w:val="22"/>
        </w:rPr>
      </w:pPr>
      <w:r>
        <w:rPr>
          <w:rFonts w:ascii="Calibri" w:hAnsi="Calibri" w:cs="Courier New"/>
          <w:sz w:val="22"/>
          <w:szCs w:val="22"/>
        </w:rPr>
        <w:t>There is no start-up, development, or operation and maintenance cost to the government as these are narrative statements and recordkeeping requirements</w:t>
      </w:r>
      <w:r w:rsidRPr="00EB3093" w:rsidR="00364434">
        <w:rPr>
          <w:rFonts w:ascii="Calibri" w:hAnsi="Calibri" w:cs="Courier New"/>
          <w:sz w:val="22"/>
          <w:szCs w:val="22"/>
        </w:rPr>
        <w:t>.</w:t>
      </w:r>
    </w:p>
    <w:p w:rsidR="002A2FB7" w:rsidRPr="00CC3DC5" w:rsidP="00CC3DC5" w14:paraId="35D85E6B" w14:textId="77777777">
      <w:pPr>
        <w:widowControl/>
        <w:rPr>
          <w:rFonts w:ascii="Calibri" w:hAnsi="Calibri" w:cs="Courier New"/>
          <w:sz w:val="22"/>
          <w:szCs w:val="22"/>
          <w:u w:val="single"/>
        </w:rPr>
      </w:pPr>
      <w:bookmarkStart w:id="0" w:name="_Hlk523834409"/>
    </w:p>
    <w:bookmarkEnd w:id="0"/>
    <w:p w:rsidR="004A4486" w:rsidRPr="00CC3DC5" w:rsidP="00CC3DC5" w14:paraId="26587FF3" w14:textId="77777777">
      <w:pPr>
        <w:widowControl/>
        <w:numPr>
          <w:ilvl w:val="0"/>
          <w:numId w:val="14"/>
        </w:numPr>
        <w:ind w:left="360"/>
        <w:rPr>
          <w:rFonts w:ascii="Calibri" w:hAnsi="Calibri" w:cs="Courier New"/>
          <w:sz w:val="22"/>
          <w:szCs w:val="22"/>
          <w:u w:val="single"/>
        </w:rPr>
      </w:pPr>
      <w:r w:rsidRPr="00EB3093">
        <w:rPr>
          <w:rFonts w:ascii="Calibri" w:hAnsi="Calibri" w:cs="Courier New"/>
          <w:sz w:val="22"/>
          <w:szCs w:val="22"/>
          <w:u w:val="single"/>
        </w:rPr>
        <w:t>REASONS FOR CHANGE IN BURDEN</w:t>
      </w:r>
    </w:p>
    <w:p w:rsidR="000914BD" w:rsidRPr="00EB3093" w:rsidP="000914BD" w14:paraId="2C3154D6" w14:textId="77777777">
      <w:pPr>
        <w:rPr>
          <w:rFonts w:ascii="Calibri" w:hAnsi="Calibri" w:cs="Courier New"/>
          <w:sz w:val="22"/>
          <w:szCs w:val="22"/>
        </w:rPr>
      </w:pPr>
    </w:p>
    <w:p w:rsidR="00415C52" w:rsidRPr="00EB3093" w:rsidP="00D50BB6" w14:paraId="7B905B1F" w14:textId="77777777">
      <w:pPr>
        <w:ind w:left="360"/>
        <w:rPr>
          <w:rFonts w:ascii="Calibri" w:hAnsi="Calibri" w:cs="Courier New"/>
          <w:sz w:val="22"/>
          <w:szCs w:val="22"/>
        </w:rPr>
      </w:pPr>
      <w:r w:rsidRPr="00EB3093">
        <w:rPr>
          <w:rFonts w:ascii="Calibri" w:hAnsi="Calibri" w:cs="Courier New"/>
          <w:sz w:val="22"/>
          <w:szCs w:val="22"/>
        </w:rPr>
        <w:t>There is no change in the paperwork burden previously approved by OMB.  We are making this submission to renew the OMB approval.</w:t>
      </w:r>
    </w:p>
    <w:p w:rsidR="000914BD" w:rsidRPr="00EB3093" w:rsidP="000914BD" w14:paraId="6C04BC1B" w14:textId="77777777">
      <w:pPr>
        <w:rPr>
          <w:rFonts w:ascii="Calibri" w:hAnsi="Calibri" w:cs="Courier New"/>
          <w:sz w:val="22"/>
          <w:szCs w:val="22"/>
        </w:rPr>
      </w:pPr>
    </w:p>
    <w:p w:rsidR="004A4486" w:rsidRPr="00CC3DC5" w:rsidP="00CC3DC5" w14:paraId="0CB13DCA" w14:textId="77777777">
      <w:pPr>
        <w:widowControl/>
        <w:numPr>
          <w:ilvl w:val="0"/>
          <w:numId w:val="14"/>
        </w:numPr>
        <w:ind w:left="360"/>
        <w:rPr>
          <w:rFonts w:ascii="Calibri" w:hAnsi="Calibri" w:cs="Courier New"/>
          <w:sz w:val="22"/>
          <w:szCs w:val="22"/>
          <w:u w:val="single"/>
        </w:rPr>
      </w:pPr>
      <w:r w:rsidRPr="00EB3093">
        <w:rPr>
          <w:rFonts w:ascii="Calibri" w:hAnsi="Calibri" w:cs="Courier New"/>
          <w:sz w:val="22"/>
          <w:szCs w:val="22"/>
          <w:u w:val="single"/>
        </w:rPr>
        <w:t>PLANS FOR TABULATION, STATISTICAL ANALYSIS AND PUBLICATION</w:t>
      </w:r>
      <w:r w:rsidRPr="00CC3DC5">
        <w:rPr>
          <w:rFonts w:ascii="Calibri" w:hAnsi="Calibri" w:cs="Courier New"/>
          <w:sz w:val="22"/>
          <w:szCs w:val="22"/>
          <w:u w:val="single"/>
        </w:rPr>
        <w:t xml:space="preserve"> </w:t>
      </w:r>
    </w:p>
    <w:p w:rsidR="000914BD" w:rsidRPr="00EB3093" w:rsidP="000914BD" w14:paraId="069C2A1B" w14:textId="77777777">
      <w:pPr>
        <w:tabs>
          <w:tab w:val="left" w:pos="720"/>
        </w:tabs>
        <w:rPr>
          <w:rFonts w:ascii="Calibri" w:hAnsi="Calibri" w:cs="Courier New"/>
          <w:sz w:val="22"/>
          <w:szCs w:val="22"/>
        </w:rPr>
      </w:pPr>
    </w:p>
    <w:p w:rsidR="004A4486" w:rsidRPr="00EB3093" w:rsidP="00D50BB6" w14:paraId="3007F85F" w14:textId="6C0FD6C0">
      <w:pPr>
        <w:ind w:left="360"/>
        <w:rPr>
          <w:rFonts w:ascii="Calibri" w:hAnsi="Calibri" w:cs="Courier New"/>
          <w:sz w:val="22"/>
          <w:szCs w:val="22"/>
        </w:rPr>
      </w:pPr>
      <w:r w:rsidRPr="00EB3093">
        <w:rPr>
          <w:rFonts w:ascii="Calibri" w:hAnsi="Calibri" w:cs="Courier New"/>
          <w:sz w:val="22"/>
          <w:szCs w:val="22"/>
        </w:rPr>
        <w:t>There are no plans for tabulation, statistical analysis and publication.</w:t>
      </w:r>
    </w:p>
    <w:p w:rsidR="000914BD" w:rsidRPr="00EB3093" w:rsidP="000914BD" w14:paraId="3CD00E95" w14:textId="77777777">
      <w:pPr>
        <w:tabs>
          <w:tab w:val="left" w:pos="720"/>
        </w:tabs>
        <w:rPr>
          <w:rFonts w:ascii="Calibri" w:hAnsi="Calibri" w:cs="Courier New"/>
          <w:sz w:val="22"/>
          <w:szCs w:val="22"/>
        </w:rPr>
      </w:pPr>
    </w:p>
    <w:p w:rsidR="004A4486" w:rsidRPr="00CC3DC5" w:rsidP="00CC3DC5" w14:paraId="14CC3B34" w14:textId="77777777">
      <w:pPr>
        <w:widowControl/>
        <w:numPr>
          <w:ilvl w:val="0"/>
          <w:numId w:val="14"/>
        </w:numPr>
        <w:ind w:left="360"/>
        <w:rPr>
          <w:rFonts w:ascii="Calibri" w:hAnsi="Calibri" w:cs="Courier New"/>
          <w:sz w:val="22"/>
          <w:szCs w:val="22"/>
          <w:u w:val="single"/>
        </w:rPr>
      </w:pPr>
      <w:r w:rsidRPr="00EB3093">
        <w:rPr>
          <w:rFonts w:ascii="Calibri" w:hAnsi="Calibri" w:cs="Courier New"/>
          <w:sz w:val="22"/>
          <w:szCs w:val="22"/>
          <w:u w:val="single"/>
        </w:rPr>
        <w:t>REASONS WHY DISPLAYING THE OMB EXPIRATION DATE IS INAPPROPRIATE</w:t>
      </w:r>
    </w:p>
    <w:p w:rsidR="000914BD" w:rsidRPr="00EB3093" w:rsidP="000914BD" w14:paraId="7A0801E5" w14:textId="77777777">
      <w:pPr>
        <w:tabs>
          <w:tab w:val="left" w:pos="720"/>
        </w:tabs>
        <w:rPr>
          <w:rFonts w:ascii="Calibri" w:hAnsi="Calibri" w:cs="Courier New"/>
          <w:sz w:val="22"/>
          <w:szCs w:val="22"/>
        </w:rPr>
      </w:pPr>
    </w:p>
    <w:p w:rsidR="00A322CB" w:rsidRPr="00EB3093" w:rsidP="00D50BB6" w14:paraId="203D9D63" w14:textId="6A37241B">
      <w:pPr>
        <w:ind w:left="360"/>
        <w:rPr>
          <w:rFonts w:ascii="Calibri" w:hAnsi="Calibri" w:cs="Courier New"/>
          <w:sz w:val="22"/>
          <w:szCs w:val="22"/>
        </w:rPr>
      </w:pPr>
      <w:r>
        <w:rPr>
          <w:rFonts w:ascii="Calibri" w:hAnsi="Calibri" w:cs="Courier New"/>
          <w:sz w:val="22"/>
          <w:szCs w:val="22"/>
        </w:rPr>
        <w:t>The IRS</w:t>
      </w:r>
      <w:r w:rsidRPr="00EB3093" w:rsidR="00364434">
        <w:rPr>
          <w:rFonts w:ascii="Calibri" w:hAnsi="Calibri" w:cs="Courier New"/>
          <w:sz w:val="22"/>
          <w:szCs w:val="22"/>
        </w:rPr>
        <w:t xml:space="preserve"> believe</w:t>
      </w:r>
      <w:r>
        <w:rPr>
          <w:rFonts w:ascii="Calibri" w:hAnsi="Calibri" w:cs="Courier New"/>
          <w:sz w:val="22"/>
          <w:szCs w:val="22"/>
        </w:rPr>
        <w:t>s</w:t>
      </w:r>
      <w:r w:rsidRPr="00EB3093" w:rsidR="00364434">
        <w:rPr>
          <w:rFonts w:ascii="Calibri" w:hAnsi="Calibri" w:cs="Courier New"/>
          <w:sz w:val="22"/>
          <w:szCs w:val="22"/>
        </w:rPr>
        <w:t xml:space="preserve"> that displaying the OMB expiration date is inappropriate because it could cause confusion by leading taxpayers to believe that the </w:t>
      </w:r>
      <w:r>
        <w:rPr>
          <w:rFonts w:ascii="Calibri" w:hAnsi="Calibri" w:cs="Courier New"/>
          <w:sz w:val="22"/>
          <w:szCs w:val="22"/>
        </w:rPr>
        <w:t>collections</w:t>
      </w:r>
      <w:r w:rsidRPr="00EB3093" w:rsidR="00364434">
        <w:rPr>
          <w:rFonts w:ascii="Calibri" w:hAnsi="Calibri" w:cs="Courier New"/>
          <w:sz w:val="22"/>
          <w:szCs w:val="22"/>
        </w:rPr>
        <w:t xml:space="preserve"> sunset as of the expiration date.  Taxpayers are not likely to be aware that the </w:t>
      </w:r>
      <w:r>
        <w:rPr>
          <w:rFonts w:ascii="Calibri" w:hAnsi="Calibri" w:cs="Courier New"/>
          <w:sz w:val="22"/>
          <w:szCs w:val="22"/>
        </w:rPr>
        <w:t>IRS</w:t>
      </w:r>
      <w:r w:rsidRPr="00EB3093" w:rsidR="00364434">
        <w:rPr>
          <w:rFonts w:ascii="Calibri" w:hAnsi="Calibri" w:cs="Courier New"/>
          <w:sz w:val="22"/>
          <w:szCs w:val="22"/>
        </w:rPr>
        <w:t xml:space="preserve"> intends to request renewal of the OMB approval and obtain a new expiration date before the old one expires.</w:t>
      </w:r>
    </w:p>
    <w:p w:rsidR="000914BD" w:rsidRPr="00EB3093" w:rsidP="000914BD" w14:paraId="76CBA7B8" w14:textId="77777777">
      <w:pPr>
        <w:tabs>
          <w:tab w:val="left" w:pos="720"/>
        </w:tabs>
        <w:rPr>
          <w:rFonts w:ascii="Calibri" w:hAnsi="Calibri" w:cs="Courier New"/>
          <w:sz w:val="22"/>
          <w:szCs w:val="22"/>
        </w:rPr>
      </w:pPr>
    </w:p>
    <w:p w:rsidR="000045AD" w:rsidRPr="00EB3093" w:rsidP="00CC3DC5" w14:paraId="7DEE25FE" w14:textId="77777777">
      <w:pPr>
        <w:widowControl/>
        <w:numPr>
          <w:ilvl w:val="0"/>
          <w:numId w:val="14"/>
        </w:numPr>
        <w:ind w:left="360"/>
        <w:rPr>
          <w:rFonts w:ascii="Calibri" w:hAnsi="Calibri" w:cs="Courier New"/>
          <w:sz w:val="22"/>
          <w:szCs w:val="22"/>
          <w:u w:val="single"/>
        </w:rPr>
      </w:pPr>
      <w:r w:rsidRPr="00EB3093">
        <w:rPr>
          <w:rFonts w:ascii="Calibri" w:hAnsi="Calibri" w:cs="Courier New"/>
          <w:sz w:val="22"/>
          <w:szCs w:val="22"/>
          <w:u w:val="single"/>
        </w:rPr>
        <w:t xml:space="preserve">EXCEPTIONS TO THE CERTIFICATION STATEMENT </w:t>
      </w:r>
    </w:p>
    <w:p w:rsidR="000914BD" w:rsidRPr="00EB3093" w:rsidP="000914BD" w14:paraId="34346DB2" w14:textId="77777777">
      <w:pPr>
        <w:rPr>
          <w:rFonts w:ascii="Calibri" w:hAnsi="Calibri" w:cs="Courier New"/>
          <w:sz w:val="22"/>
          <w:szCs w:val="22"/>
        </w:rPr>
      </w:pPr>
    </w:p>
    <w:p w:rsidR="004A4486" w:rsidRPr="00EB3093" w:rsidP="00D50BB6" w14:paraId="5A611935" w14:textId="45C9F72E">
      <w:pPr>
        <w:ind w:left="360"/>
        <w:rPr>
          <w:rFonts w:ascii="Calibri" w:hAnsi="Calibri" w:cs="Courier New"/>
          <w:sz w:val="22"/>
          <w:szCs w:val="22"/>
        </w:rPr>
      </w:pPr>
      <w:r w:rsidRPr="00EB3093">
        <w:rPr>
          <w:rFonts w:ascii="Calibri" w:hAnsi="Calibri" w:cs="Courier New"/>
          <w:sz w:val="22"/>
          <w:szCs w:val="22"/>
        </w:rPr>
        <w:t>There are no exceptions to the certification statement.</w:t>
      </w:r>
    </w:p>
    <w:sectPr w:rsidSect="000914BD">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14BD" w:rsidRPr="000914BD" w14:paraId="065A976B" w14:textId="77777777">
    <w:pPr>
      <w:pStyle w:val="Footer"/>
      <w:jc w:val="right"/>
      <w:rPr>
        <w:rFonts w:ascii="Courier New" w:hAnsi="Courier New" w:cs="Courier New"/>
        <w:sz w:val="24"/>
        <w:szCs w:val="24"/>
      </w:rPr>
    </w:pPr>
    <w:r w:rsidRPr="000914BD">
      <w:rPr>
        <w:rFonts w:ascii="Courier New" w:hAnsi="Courier New" w:cs="Courier New"/>
        <w:sz w:val="24"/>
        <w:szCs w:val="24"/>
      </w:rPr>
      <w:fldChar w:fldCharType="begin"/>
    </w:r>
    <w:r w:rsidRPr="000914BD">
      <w:rPr>
        <w:rFonts w:ascii="Courier New" w:hAnsi="Courier New" w:cs="Courier New"/>
        <w:sz w:val="24"/>
        <w:szCs w:val="24"/>
      </w:rPr>
      <w:instrText xml:space="preserve"> PAGE   \* MERGEFORMAT </w:instrText>
    </w:r>
    <w:r w:rsidRPr="000914BD">
      <w:rPr>
        <w:rFonts w:ascii="Courier New" w:hAnsi="Courier New" w:cs="Courier New"/>
        <w:sz w:val="24"/>
        <w:szCs w:val="24"/>
      </w:rPr>
      <w:fldChar w:fldCharType="separate"/>
    </w:r>
    <w:r w:rsidR="00EB3093">
      <w:rPr>
        <w:rFonts w:ascii="Courier New" w:hAnsi="Courier New" w:cs="Courier New"/>
        <w:noProof/>
        <w:sz w:val="24"/>
        <w:szCs w:val="24"/>
      </w:rPr>
      <w:t>5</w:t>
    </w:r>
    <w:r w:rsidRPr="000914BD">
      <w:rPr>
        <w:rFonts w:ascii="Courier New" w:hAnsi="Courier New" w:cs="Courier New"/>
        <w:noProof/>
        <w:sz w:val="24"/>
        <w:szCs w:val="24"/>
      </w:rPr>
      <w:fldChar w:fldCharType="end"/>
    </w:r>
  </w:p>
  <w:p w:rsidR="000914BD" w14:paraId="5C6F98F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62133"/>
    <w:multiLevelType w:val="hybridMultilevel"/>
    <w:tmpl w:val="A0BE208C"/>
    <w:lvl w:ilvl="0">
      <w:start w:val="11"/>
      <w:numFmt w:val="decimal"/>
      <w:lvlText w:val="%1."/>
      <w:lvlJc w:val="left"/>
      <w:pPr>
        <w:tabs>
          <w:tab w:val="num" w:pos="1095"/>
        </w:tabs>
        <w:ind w:left="1095" w:hanging="735"/>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A5E49A4"/>
    <w:multiLevelType w:val="hybridMultilevel"/>
    <w:tmpl w:val="0A86114C"/>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E1312BD"/>
    <w:multiLevelType w:val="hybridMultilevel"/>
    <w:tmpl w:val="9CEC966A"/>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FA4427F"/>
    <w:multiLevelType w:val="hybridMultilevel"/>
    <w:tmpl w:val="DE66AA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35A27E7"/>
    <w:multiLevelType w:val="hybridMultilevel"/>
    <w:tmpl w:val="4A7253F0"/>
    <w:lvl w:ilvl="0">
      <w:start w:val="2"/>
      <w:numFmt w:val="decimal"/>
      <w:lvlText w:val="%1."/>
      <w:lvlJc w:val="left"/>
      <w:pPr>
        <w:tabs>
          <w:tab w:val="num" w:pos="945"/>
        </w:tabs>
        <w:ind w:left="945" w:hanging="585"/>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95C1693"/>
    <w:multiLevelType w:val="hybridMultilevel"/>
    <w:tmpl w:val="F4C4B4E2"/>
    <w:lvl w:ilvl="0">
      <w:start w:val="8"/>
      <w:numFmt w:val="decimal"/>
      <w:lvlText w:val="%1."/>
      <w:lvlJc w:val="left"/>
      <w:pPr>
        <w:tabs>
          <w:tab w:val="num" w:pos="945"/>
        </w:tabs>
        <w:ind w:left="945" w:hanging="585"/>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9FD3188"/>
    <w:multiLevelType w:val="hybridMultilevel"/>
    <w:tmpl w:val="5636E968"/>
    <w:lvl w:ilvl="0">
      <w:start w:val="2"/>
      <w:numFmt w:val="decimal"/>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28F776F"/>
    <w:multiLevelType w:val="hybridMultilevel"/>
    <w:tmpl w:val="FAC04F90"/>
    <w:lvl w:ilvl="0">
      <w:start w:val="8"/>
      <w:numFmt w:val="decimal"/>
      <w:lvlText w:val="%1."/>
      <w:lvlJc w:val="left"/>
      <w:pPr>
        <w:tabs>
          <w:tab w:val="num" w:pos="945"/>
        </w:tabs>
        <w:ind w:left="945" w:hanging="58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6F421F"/>
    <w:multiLevelType w:val="hybridMultilevel"/>
    <w:tmpl w:val="E284750C"/>
    <w:lvl w:ilvl="0">
      <w:start w:val="16"/>
      <w:numFmt w:val="decimal"/>
      <w:lvlText w:val="%1."/>
      <w:lvlJc w:val="left"/>
      <w:pPr>
        <w:tabs>
          <w:tab w:val="num" w:pos="1095"/>
        </w:tabs>
        <w:ind w:left="1095" w:hanging="7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6E1040F"/>
    <w:multiLevelType w:val="hybridMultilevel"/>
    <w:tmpl w:val="9F284278"/>
    <w:lvl w:ilvl="0">
      <w:start w:val="16"/>
      <w:numFmt w:val="decimal"/>
      <w:lvlText w:val="%1."/>
      <w:lvlJc w:val="left"/>
      <w:pPr>
        <w:tabs>
          <w:tab w:val="num" w:pos="795"/>
        </w:tabs>
        <w:ind w:left="795" w:hanging="435"/>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6E185163"/>
    <w:multiLevelType w:val="hybridMultilevel"/>
    <w:tmpl w:val="F12CE1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2254991"/>
    <w:multiLevelType w:val="hybridMultilevel"/>
    <w:tmpl w:val="13B672EC"/>
    <w:lvl w:ilvl="0">
      <w:start w:val="5"/>
      <w:numFmt w:val="decimal"/>
      <w:lvlText w:val="%1."/>
      <w:lvlJc w:val="left"/>
      <w:pPr>
        <w:tabs>
          <w:tab w:val="num" w:pos="945"/>
        </w:tabs>
        <w:ind w:left="945" w:hanging="585"/>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74D154AD"/>
    <w:multiLevelType w:val="hybridMultilevel"/>
    <w:tmpl w:val="4442F5C4"/>
    <w:lvl w:ilvl="0">
      <w:start w:val="2"/>
      <w:numFmt w:val="decimal"/>
      <w:lvlText w:val="%1."/>
      <w:lvlJc w:val="left"/>
      <w:pPr>
        <w:tabs>
          <w:tab w:val="num" w:pos="945"/>
        </w:tabs>
        <w:ind w:left="945" w:hanging="585"/>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79451DC2"/>
    <w:multiLevelType w:val="hybridMultilevel"/>
    <w:tmpl w:val="25580778"/>
    <w:lvl w:ilvl="0">
      <w:start w:val="4"/>
      <w:numFmt w:val="decimal"/>
      <w:lvlText w:val="%1."/>
      <w:lvlJc w:val="left"/>
      <w:pPr>
        <w:tabs>
          <w:tab w:val="num" w:pos="945"/>
        </w:tabs>
        <w:ind w:left="945" w:hanging="58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EA41F67"/>
    <w:multiLevelType w:val="hybridMultilevel"/>
    <w:tmpl w:val="4A982FA8"/>
    <w:lvl w:ilvl="0">
      <w:start w:val="2"/>
      <w:numFmt w:val="decimal"/>
      <w:lvlText w:val="%1."/>
      <w:lvlJc w:val="left"/>
      <w:pPr>
        <w:tabs>
          <w:tab w:val="num" w:pos="945"/>
        </w:tabs>
        <w:ind w:left="945" w:hanging="58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137216328">
    <w:abstractNumId w:val="4"/>
  </w:num>
  <w:num w:numId="2" w16cid:durableId="1580600714">
    <w:abstractNumId w:val="2"/>
  </w:num>
  <w:num w:numId="3" w16cid:durableId="439683470">
    <w:abstractNumId w:val="12"/>
  </w:num>
  <w:num w:numId="4" w16cid:durableId="1609660517">
    <w:abstractNumId w:val="14"/>
  </w:num>
  <w:num w:numId="5" w16cid:durableId="627322798">
    <w:abstractNumId w:val="6"/>
  </w:num>
  <w:num w:numId="6" w16cid:durableId="1148018314">
    <w:abstractNumId w:val="13"/>
  </w:num>
  <w:num w:numId="7" w16cid:durableId="472716930">
    <w:abstractNumId w:val="11"/>
  </w:num>
  <w:num w:numId="8" w16cid:durableId="793400790">
    <w:abstractNumId w:val="1"/>
  </w:num>
  <w:num w:numId="9" w16cid:durableId="285819346">
    <w:abstractNumId w:val="5"/>
  </w:num>
  <w:num w:numId="10" w16cid:durableId="1374691175">
    <w:abstractNumId w:val="7"/>
  </w:num>
  <w:num w:numId="11" w16cid:durableId="1556503871">
    <w:abstractNumId w:val="0"/>
  </w:num>
  <w:num w:numId="12" w16cid:durableId="1513566556">
    <w:abstractNumId w:val="8"/>
  </w:num>
  <w:num w:numId="13" w16cid:durableId="2039966516">
    <w:abstractNumId w:val="9"/>
  </w:num>
  <w:num w:numId="14" w16cid:durableId="1185750247">
    <w:abstractNumId w:val="3"/>
  </w:num>
  <w:num w:numId="15" w16cid:durableId="2077896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F0239E"/>
    <w:rsid w:val="000045AD"/>
    <w:rsid w:val="000061CC"/>
    <w:rsid w:val="00006989"/>
    <w:rsid w:val="000150AF"/>
    <w:rsid w:val="00030424"/>
    <w:rsid w:val="0006167E"/>
    <w:rsid w:val="00071A15"/>
    <w:rsid w:val="0007413C"/>
    <w:rsid w:val="000914BD"/>
    <w:rsid w:val="000B1504"/>
    <w:rsid w:val="000C27EF"/>
    <w:rsid w:val="000D146E"/>
    <w:rsid w:val="000F21DC"/>
    <w:rsid w:val="000F7CB0"/>
    <w:rsid w:val="00102BAF"/>
    <w:rsid w:val="00115E1E"/>
    <w:rsid w:val="00116875"/>
    <w:rsid w:val="00125A76"/>
    <w:rsid w:val="00135E7D"/>
    <w:rsid w:val="00172136"/>
    <w:rsid w:val="00182348"/>
    <w:rsid w:val="0019375C"/>
    <w:rsid w:val="0019623B"/>
    <w:rsid w:val="001B3BF8"/>
    <w:rsid w:val="001C1377"/>
    <w:rsid w:val="001E7102"/>
    <w:rsid w:val="00211349"/>
    <w:rsid w:val="00231009"/>
    <w:rsid w:val="00236B9D"/>
    <w:rsid w:val="002412B7"/>
    <w:rsid w:val="002419E2"/>
    <w:rsid w:val="0026691F"/>
    <w:rsid w:val="00267C75"/>
    <w:rsid w:val="00270EF6"/>
    <w:rsid w:val="00281CB6"/>
    <w:rsid w:val="00284CB3"/>
    <w:rsid w:val="002A1708"/>
    <w:rsid w:val="002A1EE6"/>
    <w:rsid w:val="002A2E8B"/>
    <w:rsid w:val="002A2FB7"/>
    <w:rsid w:val="002A6FEB"/>
    <w:rsid w:val="002B20AA"/>
    <w:rsid w:val="002B24F7"/>
    <w:rsid w:val="002B5B91"/>
    <w:rsid w:val="002C5A54"/>
    <w:rsid w:val="002F0602"/>
    <w:rsid w:val="003078A3"/>
    <w:rsid w:val="00311099"/>
    <w:rsid w:val="003270DE"/>
    <w:rsid w:val="00364434"/>
    <w:rsid w:val="00375F15"/>
    <w:rsid w:val="00380CC6"/>
    <w:rsid w:val="003A1768"/>
    <w:rsid w:val="003A6404"/>
    <w:rsid w:val="003B76B2"/>
    <w:rsid w:val="00402B04"/>
    <w:rsid w:val="004127FB"/>
    <w:rsid w:val="00414660"/>
    <w:rsid w:val="00415C52"/>
    <w:rsid w:val="00423F36"/>
    <w:rsid w:val="00436D71"/>
    <w:rsid w:val="004613A3"/>
    <w:rsid w:val="00474A70"/>
    <w:rsid w:val="004A286E"/>
    <w:rsid w:val="004A4486"/>
    <w:rsid w:val="004A78D1"/>
    <w:rsid w:val="004B1BA2"/>
    <w:rsid w:val="004D627D"/>
    <w:rsid w:val="004E5C7E"/>
    <w:rsid w:val="005344BE"/>
    <w:rsid w:val="00543971"/>
    <w:rsid w:val="005475F5"/>
    <w:rsid w:val="00555C88"/>
    <w:rsid w:val="00556F3E"/>
    <w:rsid w:val="005963DD"/>
    <w:rsid w:val="005972A6"/>
    <w:rsid w:val="005B2AE9"/>
    <w:rsid w:val="005C6B1F"/>
    <w:rsid w:val="005D2212"/>
    <w:rsid w:val="005F735B"/>
    <w:rsid w:val="0062726E"/>
    <w:rsid w:val="006416C3"/>
    <w:rsid w:val="0065030E"/>
    <w:rsid w:val="00651C1D"/>
    <w:rsid w:val="006635A6"/>
    <w:rsid w:val="006738FD"/>
    <w:rsid w:val="006C5908"/>
    <w:rsid w:val="006E081E"/>
    <w:rsid w:val="006E7003"/>
    <w:rsid w:val="00720A73"/>
    <w:rsid w:val="00722E6D"/>
    <w:rsid w:val="00731F84"/>
    <w:rsid w:val="00747342"/>
    <w:rsid w:val="007E15FD"/>
    <w:rsid w:val="007E6AFA"/>
    <w:rsid w:val="007F5513"/>
    <w:rsid w:val="00805C0D"/>
    <w:rsid w:val="0081213D"/>
    <w:rsid w:val="00823E2E"/>
    <w:rsid w:val="00833F86"/>
    <w:rsid w:val="008849A7"/>
    <w:rsid w:val="008957A4"/>
    <w:rsid w:val="0089625E"/>
    <w:rsid w:val="008A2D4E"/>
    <w:rsid w:val="008B084B"/>
    <w:rsid w:val="008B367E"/>
    <w:rsid w:val="008B7A8A"/>
    <w:rsid w:val="008F6D0A"/>
    <w:rsid w:val="009472E9"/>
    <w:rsid w:val="00985B62"/>
    <w:rsid w:val="009C11D1"/>
    <w:rsid w:val="009C22C2"/>
    <w:rsid w:val="009E57E1"/>
    <w:rsid w:val="00A017AB"/>
    <w:rsid w:val="00A322CB"/>
    <w:rsid w:val="00A40E02"/>
    <w:rsid w:val="00A41630"/>
    <w:rsid w:val="00A54F21"/>
    <w:rsid w:val="00A624BB"/>
    <w:rsid w:val="00A74126"/>
    <w:rsid w:val="00A81F02"/>
    <w:rsid w:val="00A9157F"/>
    <w:rsid w:val="00A91A53"/>
    <w:rsid w:val="00A96C6E"/>
    <w:rsid w:val="00AA63EC"/>
    <w:rsid w:val="00AB0990"/>
    <w:rsid w:val="00AB3C5E"/>
    <w:rsid w:val="00AC5760"/>
    <w:rsid w:val="00B0727B"/>
    <w:rsid w:val="00B37362"/>
    <w:rsid w:val="00B5448F"/>
    <w:rsid w:val="00B57547"/>
    <w:rsid w:val="00B60F0C"/>
    <w:rsid w:val="00B8038C"/>
    <w:rsid w:val="00B82D65"/>
    <w:rsid w:val="00B83DE3"/>
    <w:rsid w:val="00BA2643"/>
    <w:rsid w:val="00BB5E90"/>
    <w:rsid w:val="00BC0AA1"/>
    <w:rsid w:val="00BD15EF"/>
    <w:rsid w:val="00BD2508"/>
    <w:rsid w:val="00BD604F"/>
    <w:rsid w:val="00BE0C51"/>
    <w:rsid w:val="00BE500F"/>
    <w:rsid w:val="00C51211"/>
    <w:rsid w:val="00C60042"/>
    <w:rsid w:val="00C63709"/>
    <w:rsid w:val="00C646DA"/>
    <w:rsid w:val="00C64C73"/>
    <w:rsid w:val="00C66709"/>
    <w:rsid w:val="00CA07A8"/>
    <w:rsid w:val="00CB2DC2"/>
    <w:rsid w:val="00CB321D"/>
    <w:rsid w:val="00CC3DC5"/>
    <w:rsid w:val="00CD345D"/>
    <w:rsid w:val="00CE0F78"/>
    <w:rsid w:val="00D02979"/>
    <w:rsid w:val="00D05AE4"/>
    <w:rsid w:val="00D12315"/>
    <w:rsid w:val="00D342B9"/>
    <w:rsid w:val="00D50BB6"/>
    <w:rsid w:val="00D51C88"/>
    <w:rsid w:val="00D66EE2"/>
    <w:rsid w:val="00D70496"/>
    <w:rsid w:val="00D83B45"/>
    <w:rsid w:val="00DB318F"/>
    <w:rsid w:val="00DC3E96"/>
    <w:rsid w:val="00DC5D65"/>
    <w:rsid w:val="00DD007D"/>
    <w:rsid w:val="00DF014F"/>
    <w:rsid w:val="00DF418A"/>
    <w:rsid w:val="00E16F60"/>
    <w:rsid w:val="00E2527C"/>
    <w:rsid w:val="00E60243"/>
    <w:rsid w:val="00E70A69"/>
    <w:rsid w:val="00E82A05"/>
    <w:rsid w:val="00E9014B"/>
    <w:rsid w:val="00E906AB"/>
    <w:rsid w:val="00EB282E"/>
    <w:rsid w:val="00EB3093"/>
    <w:rsid w:val="00EC26A7"/>
    <w:rsid w:val="00EC651E"/>
    <w:rsid w:val="00EF11A6"/>
    <w:rsid w:val="00F0239E"/>
    <w:rsid w:val="00F035F0"/>
    <w:rsid w:val="00F05920"/>
    <w:rsid w:val="00F2169A"/>
    <w:rsid w:val="00F30E4E"/>
    <w:rsid w:val="00F35AE3"/>
    <w:rsid w:val="00F60282"/>
    <w:rsid w:val="00F67356"/>
    <w:rsid w:val="00F914B7"/>
    <w:rsid w:val="00F92D9C"/>
    <w:rsid w:val="00FB3629"/>
    <w:rsid w:val="00FB65F2"/>
    <w:rsid w:val="00FE32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EC62F9F"/>
  <w15:chartTrackingRefBased/>
  <w15:docId w15:val="{3A07B1DE-45C1-471D-8D6E-5B00D451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C11D1"/>
    <w:rPr>
      <w:rFonts w:ascii="Tahoma" w:hAnsi="Tahoma" w:cs="Tahoma"/>
      <w:sz w:val="16"/>
      <w:szCs w:val="16"/>
    </w:rPr>
  </w:style>
  <w:style w:type="paragraph" w:styleId="Header">
    <w:name w:val="header"/>
    <w:basedOn w:val="Normal"/>
    <w:link w:val="HeaderChar"/>
    <w:rsid w:val="000914BD"/>
    <w:pPr>
      <w:tabs>
        <w:tab w:val="center" w:pos="4680"/>
        <w:tab w:val="right" w:pos="9360"/>
      </w:tabs>
    </w:pPr>
  </w:style>
  <w:style w:type="character" w:customStyle="1" w:styleId="HeaderChar">
    <w:name w:val="Header Char"/>
    <w:basedOn w:val="DefaultParagraphFont"/>
    <w:link w:val="Header"/>
    <w:rsid w:val="000914BD"/>
  </w:style>
  <w:style w:type="paragraph" w:styleId="Footer">
    <w:name w:val="footer"/>
    <w:basedOn w:val="Normal"/>
    <w:link w:val="FooterChar"/>
    <w:uiPriority w:val="99"/>
    <w:rsid w:val="000914BD"/>
    <w:pPr>
      <w:tabs>
        <w:tab w:val="center" w:pos="4680"/>
        <w:tab w:val="right" w:pos="9360"/>
      </w:tabs>
    </w:pPr>
  </w:style>
  <w:style w:type="character" w:customStyle="1" w:styleId="FooterChar">
    <w:name w:val="Footer Char"/>
    <w:basedOn w:val="DefaultParagraphFont"/>
    <w:link w:val="Footer"/>
    <w:uiPriority w:val="99"/>
    <w:rsid w:val="000914BD"/>
  </w:style>
  <w:style w:type="character" w:styleId="CommentReference">
    <w:name w:val="annotation reference"/>
    <w:rsid w:val="00F2169A"/>
    <w:rPr>
      <w:sz w:val="16"/>
      <w:szCs w:val="16"/>
    </w:rPr>
  </w:style>
  <w:style w:type="paragraph" w:styleId="CommentText">
    <w:name w:val="annotation text"/>
    <w:basedOn w:val="Normal"/>
    <w:link w:val="CommentTextChar"/>
    <w:rsid w:val="00F2169A"/>
  </w:style>
  <w:style w:type="character" w:customStyle="1" w:styleId="CommentTextChar">
    <w:name w:val="Comment Text Char"/>
    <w:basedOn w:val="DefaultParagraphFont"/>
    <w:link w:val="CommentText"/>
    <w:rsid w:val="00F2169A"/>
  </w:style>
  <w:style w:type="paragraph" w:styleId="CommentSubject">
    <w:name w:val="annotation subject"/>
    <w:basedOn w:val="CommentText"/>
    <w:next w:val="CommentText"/>
    <w:link w:val="CommentSubjectChar"/>
    <w:rsid w:val="00F2169A"/>
    <w:rPr>
      <w:b/>
      <w:bCs/>
    </w:rPr>
  </w:style>
  <w:style w:type="character" w:customStyle="1" w:styleId="CommentSubjectChar">
    <w:name w:val="Comment Subject Char"/>
    <w:link w:val="CommentSubject"/>
    <w:rsid w:val="00F2169A"/>
    <w:rPr>
      <w:b/>
      <w:bCs/>
    </w:rPr>
  </w:style>
  <w:style w:type="table" w:styleId="TableGrid">
    <w:name w:val="Table Grid"/>
    <w:basedOn w:val="TableNormal"/>
    <w:rsid w:val="00EC2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017AB"/>
    <w:rPr>
      <w:color w:val="0563C1" w:themeColor="hyperlink"/>
      <w:u w:val="single"/>
    </w:rPr>
  </w:style>
  <w:style w:type="character" w:styleId="UnresolvedMention">
    <w:name w:val="Unresolved Mention"/>
    <w:basedOn w:val="DefaultParagraphFont"/>
    <w:uiPriority w:val="99"/>
    <w:semiHidden/>
    <w:unhideWhenUsed/>
    <w:rsid w:val="00A01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BB839-6737-44B8-B565-F86286FF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REG-1004200-03</vt:lpstr>
    </vt:vector>
  </TitlesOfParts>
  <Company>Department of the Treasury</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REG-1004200-03</dc:title>
  <dc:creator>Employee Name</dc:creator>
  <cp:lastModifiedBy>Stasko Molly J</cp:lastModifiedBy>
  <cp:revision>26</cp:revision>
  <cp:lastPrinted>2017-11-01T20:22:00Z</cp:lastPrinted>
  <dcterms:created xsi:type="dcterms:W3CDTF">2025-04-08T16:37:00Z</dcterms:created>
  <dcterms:modified xsi:type="dcterms:W3CDTF">2025-06-10T16:37:00Z</dcterms:modified>
</cp:coreProperties>
</file>