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4B3F" w:rsidRPr="00FC5F64" w:rsidP="005C2DC9" w14:paraId="498EA2EF" w14:textId="2E266097">
      <w:pPr>
        <w:pStyle w:val="CM12"/>
        <w:jc w:val="center"/>
        <w:rPr>
          <w:rFonts w:ascii="Times New Roman" w:hAnsi="Times New Roman"/>
          <w:b/>
          <w:color w:val="000000"/>
        </w:rPr>
      </w:pPr>
      <w:r w:rsidRPr="00FC5F64">
        <w:rPr>
          <w:rFonts w:ascii="Times New Roman" w:hAnsi="Times New Roman"/>
          <w:b/>
          <w:color w:val="000000"/>
        </w:rPr>
        <w:t>SUPPORTING STATEMENT</w:t>
      </w:r>
    </w:p>
    <w:p w:rsidR="00001ED6" w:rsidRPr="00FC5F64" w:rsidP="005C2DC9" w14:paraId="000D9347" w14:textId="79C5C755">
      <w:pPr>
        <w:pStyle w:val="Default"/>
        <w:jc w:val="center"/>
        <w:rPr>
          <w:rFonts w:ascii="Times New Roman" w:hAnsi="Times New Roman" w:cs="Times New Roman"/>
          <w:bCs/>
        </w:rPr>
      </w:pPr>
      <w:r w:rsidRPr="00FC5F64">
        <w:rPr>
          <w:rFonts w:ascii="Times New Roman" w:hAnsi="Times New Roman" w:cs="Times New Roman"/>
          <w:bCs/>
        </w:rPr>
        <w:t>Internal Revenue Service</w:t>
      </w:r>
    </w:p>
    <w:p w:rsidR="00161EAC" w:rsidRPr="00161EAC" w:rsidP="00161EAC" w14:paraId="09BCE24B" w14:textId="77777777">
      <w:pPr>
        <w:pStyle w:val="CM12"/>
        <w:ind w:firstLine="720"/>
        <w:jc w:val="center"/>
        <w:rPr>
          <w:rFonts w:ascii="Times New Roman" w:hAnsi="Times New Roman"/>
          <w:bCs/>
          <w:color w:val="000000"/>
        </w:rPr>
      </w:pPr>
      <w:r w:rsidRPr="00161EAC">
        <w:rPr>
          <w:rFonts w:ascii="Times New Roman" w:hAnsi="Times New Roman"/>
          <w:bCs/>
          <w:color w:val="000000"/>
        </w:rPr>
        <w:t>Form 13751, Consistent Agreement of Partnership Items and Partnership-Level Determinations as to Penalties, Additions to Tax, and Additional Amounts</w:t>
      </w:r>
    </w:p>
    <w:p w:rsidR="00794B3F" w:rsidRPr="00FC5F64" w:rsidP="00161EAC" w14:paraId="3954C819" w14:textId="2E41FC43">
      <w:pPr>
        <w:pStyle w:val="CM12"/>
        <w:jc w:val="center"/>
        <w:rPr>
          <w:rFonts w:ascii="Times New Roman" w:hAnsi="Times New Roman"/>
          <w:color w:val="000000"/>
        </w:rPr>
      </w:pPr>
      <w:r w:rsidRPr="00161EAC">
        <w:rPr>
          <w:rFonts w:ascii="Times New Roman" w:hAnsi="Times New Roman"/>
          <w:bCs/>
          <w:color w:val="000000"/>
        </w:rPr>
        <w:t>OMB Control Number 1545-1969</w:t>
      </w:r>
    </w:p>
    <w:p w:rsidR="00794B3F" w:rsidRPr="00FC5F64" w:rsidP="00794B3F" w14:paraId="048D38E8" w14:textId="77777777">
      <w:pPr>
        <w:pStyle w:val="Default"/>
        <w:rPr>
          <w:rFonts w:ascii="Times New Roman" w:hAnsi="Times New Roman" w:cs="Times New Roman"/>
        </w:rPr>
      </w:pPr>
    </w:p>
    <w:p w:rsidR="00794B3F" w:rsidRPr="00FC5F64" w:rsidP="00E2237D" w14:paraId="38CCDD3F"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CIRCUMSTANCES NECESSITATING COLLECTION OF INFORMATION </w:t>
      </w:r>
    </w:p>
    <w:p w:rsidR="00794B3F" w:rsidRPr="00FC5F64" w:rsidP="00794B3F" w14:paraId="26507FDF" w14:textId="77777777">
      <w:pPr>
        <w:pStyle w:val="Default"/>
        <w:tabs>
          <w:tab w:val="left" w:pos="540"/>
        </w:tabs>
        <w:ind w:left="540" w:hanging="540"/>
        <w:rPr>
          <w:rFonts w:ascii="Times New Roman" w:hAnsi="Times New Roman" w:cs="Times New Roman"/>
        </w:rPr>
      </w:pPr>
    </w:p>
    <w:p w:rsidR="00161EAC" w:rsidP="00161EAC" w14:paraId="074CFBE8" w14:textId="77777777">
      <w:pPr>
        <w:ind w:left="720"/>
      </w:pPr>
      <w:r>
        <w:t xml:space="preserve">Internal Revenue Code (IRC) Section 6404(g) is required to effectively resolve large groups of abusive tax avoidance transactions in a single initiative. </w:t>
      </w:r>
    </w:p>
    <w:p w:rsidR="00161EAC" w:rsidP="00161EAC" w14:paraId="2F68B00D" w14:textId="77777777">
      <w:pPr>
        <w:ind w:left="720"/>
      </w:pPr>
    </w:p>
    <w:p w:rsidR="00161EAC" w:rsidP="00161EAC" w14:paraId="5E36A21C" w14:textId="47193701">
      <w:pPr>
        <w:ind w:left="720"/>
      </w:pPr>
      <w:r>
        <w:t>Information is required to apply the terms of the settlement initiative and determine the suitable amount of any penalties. Collecting information is required to obtain the benefit described. The likely respondents are individuals who are ineligible to participate in the settlement initiative, but whose partnership interest in a TEFRA (Tax Equity and Fiscal Responsibility Act of 1982), IRC Section. 6224(b) as in effect on December 31, 2017, partnership could preclude the other partners from participating, even though they would be otherwise eligible.</w:t>
      </w:r>
    </w:p>
    <w:p w:rsidR="00161EAC" w:rsidP="00161EAC" w14:paraId="70F5FFA2" w14:textId="77777777">
      <w:pPr>
        <w:ind w:left="720"/>
      </w:pPr>
    </w:p>
    <w:p w:rsidR="00794B3F" w:rsidP="00161EAC" w14:paraId="19786881" w14:textId="57937BC9">
      <w:pPr>
        <w:ind w:left="720"/>
      </w:pPr>
      <w:r>
        <w:t>Form 13751, Waiver of Right to Consistent Agreement of Partnership Items and Partnership-Level Determinations as to Penalties, Additions to Tax, and Additional Amounts, is used by partners in a TEFRA partnership who elect to waive their rights to consistent settlement under IRC Section 6224(c)(2). It may be used by a partner who is an ineligible partner under the terms of a settlement initiative to allow eligible partners to participate in the settlement. It may also be used in other situations where a partner elects to waive their rights to consistent settlement. It may be used when a taxpayer is in examination or Appeals.</w:t>
      </w:r>
    </w:p>
    <w:p w:rsidR="00161EAC" w:rsidRPr="00FC5F64" w:rsidP="00161EAC" w14:paraId="4387FC5A" w14:textId="77777777">
      <w:pPr>
        <w:ind w:left="720"/>
      </w:pPr>
    </w:p>
    <w:p w:rsidR="00794B3F" w:rsidRPr="00FC5F64" w:rsidP="00E2237D" w14:paraId="3B4DCEC4"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USE OF DATA </w:t>
      </w:r>
      <w:r w:rsidRPr="00FC5F64" w:rsidR="00BE2FF6">
        <w:rPr>
          <w:rFonts w:ascii="Times New Roman" w:hAnsi="Times New Roman"/>
          <w:b/>
          <w:u w:val="single"/>
        </w:rPr>
        <w:t xml:space="preserve"> </w:t>
      </w:r>
    </w:p>
    <w:p w:rsidR="00794B3F" w:rsidRPr="00FC5F64" w:rsidP="00005F14" w14:paraId="33020DFF" w14:textId="77777777">
      <w:pPr>
        <w:ind w:left="720"/>
      </w:pPr>
    </w:p>
    <w:p w:rsidR="00794B3F" w:rsidP="00005F14" w14:paraId="4FE8B10A" w14:textId="34D741FB">
      <w:pPr>
        <w:ind w:left="720"/>
      </w:pPr>
      <w:r w:rsidRPr="00161EAC">
        <w:t xml:space="preserve">The information is used by the </w:t>
      </w:r>
      <w:r>
        <w:t>Internal Revenue Service (IRS)</w:t>
      </w:r>
      <w:r w:rsidRPr="00161EAC">
        <w:t xml:space="preserve"> to determine the eligibility for participation in the settlement initiative of taxpayers related through TEFRA partnerships to ineligible applicants.</w:t>
      </w:r>
    </w:p>
    <w:p w:rsidR="00161EAC" w:rsidRPr="00FC5F64" w:rsidP="00005F14" w14:paraId="05A23734" w14:textId="77777777">
      <w:pPr>
        <w:ind w:left="720"/>
      </w:pPr>
    </w:p>
    <w:p w:rsidR="00794B3F" w:rsidRPr="00FC5F64" w:rsidP="00E2237D" w14:paraId="2CDCBC0D"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USE OF IMPROVED INFORMATION TECHNOLOGY TO REDUCE BURDEN </w:t>
      </w:r>
    </w:p>
    <w:p w:rsidR="00794B3F" w:rsidRPr="00FC5F64" w:rsidP="00005F14" w14:paraId="2B271C62" w14:textId="77777777">
      <w:pPr>
        <w:ind w:left="720"/>
      </w:pPr>
    </w:p>
    <w:p w:rsidR="00794B3F" w:rsidP="00005F14" w14:paraId="600530C1" w14:textId="0DA017C5">
      <w:pPr>
        <w:ind w:left="720"/>
      </w:pPr>
      <w:r w:rsidRPr="00161EAC">
        <w:t>The IRS has no plans at this time to offer electronic filing due to the low number of filers.</w:t>
      </w:r>
    </w:p>
    <w:p w:rsidR="00161EAC" w:rsidRPr="00FC5F64" w:rsidP="00005F14" w14:paraId="4AAD99FD" w14:textId="77777777">
      <w:pPr>
        <w:ind w:left="720"/>
      </w:pPr>
    </w:p>
    <w:p w:rsidR="00794B3F" w:rsidRPr="00FC5F64" w:rsidP="00E2237D" w14:paraId="422C3414"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EFFORTS TO IDENTIFY DUPLICATION </w:t>
      </w:r>
    </w:p>
    <w:p w:rsidR="00794B3F" w:rsidRPr="00FC5F64" w:rsidP="00005F14" w14:paraId="34D6C68C" w14:textId="77777777">
      <w:pPr>
        <w:ind w:left="720"/>
      </w:pPr>
    </w:p>
    <w:p w:rsidR="00794B3F" w:rsidRPr="00FC5F64" w:rsidP="00005F14" w14:paraId="2E8BB630" w14:textId="737B449A">
      <w:pPr>
        <w:ind w:left="720"/>
      </w:pPr>
      <w:r w:rsidRPr="00FC5F64">
        <w:t>The information obtained through this collection is unique and is not already available for use or adaptation from another source.</w:t>
      </w:r>
    </w:p>
    <w:p w:rsidR="00794B3F" w:rsidRPr="00FC5F64" w:rsidP="00005F14" w14:paraId="40D9144C" w14:textId="77777777">
      <w:pPr>
        <w:ind w:left="720"/>
      </w:pPr>
    </w:p>
    <w:p w:rsidR="00794B3F" w:rsidRPr="00FC5F64" w:rsidP="00E2237D" w14:paraId="62EC7EAD"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METHODS TO MINIMIZE BURDEN ON SMALL BUSINESSES OR OTHER SMALL ENTITIES </w:t>
      </w:r>
    </w:p>
    <w:p w:rsidR="00794B3F" w:rsidRPr="00FC5F64" w:rsidP="00005F14" w14:paraId="25C48F3C" w14:textId="77777777">
      <w:pPr>
        <w:ind w:left="720"/>
      </w:pPr>
    </w:p>
    <w:p w:rsidR="00794B3F" w:rsidRPr="00FC5F64" w:rsidP="00005F14" w14:paraId="00B7C937" w14:textId="5A05A8C6">
      <w:pPr>
        <w:ind w:left="720"/>
      </w:pPr>
      <w:r w:rsidRPr="00FC5F64">
        <w:t>The</w:t>
      </w:r>
      <w:r w:rsidR="00161EAC">
        <w:t xml:space="preserve">re are no small entities affected by this collection. </w:t>
      </w:r>
      <w:r w:rsidRPr="00FC5F64">
        <w:t xml:space="preserve"> </w:t>
      </w:r>
    </w:p>
    <w:p w:rsidR="00794B3F" w:rsidRPr="00FC5F64" w:rsidP="00005F14" w14:paraId="25AF0359" w14:textId="77777777">
      <w:pPr>
        <w:ind w:left="720"/>
        <w:rPr>
          <w:b/>
        </w:rPr>
      </w:pPr>
    </w:p>
    <w:p w:rsidR="00794B3F" w:rsidRPr="00FC5F64" w:rsidP="00E2237D" w14:paraId="462021EF" w14:textId="63FCA870">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CONSEQUENCES OF LESS FREQUENT COLLECTION ON FEDERAL PROGRAMS OR POLICY</w:t>
      </w:r>
      <w:r w:rsidRPr="00FC5F64" w:rsidR="00E2237D">
        <w:rPr>
          <w:rFonts w:ascii="Times New Roman" w:hAnsi="Times New Roman"/>
          <w:b/>
          <w:u w:val="single"/>
        </w:rPr>
        <w:t xml:space="preserve"> </w:t>
      </w:r>
      <w:r w:rsidRPr="00FC5F64">
        <w:rPr>
          <w:rFonts w:ascii="Times New Roman" w:hAnsi="Times New Roman"/>
          <w:b/>
          <w:u w:val="single"/>
        </w:rPr>
        <w:t xml:space="preserve">ACTIVITIES </w:t>
      </w:r>
    </w:p>
    <w:p w:rsidR="00794B3F" w:rsidRPr="00FC5F64" w:rsidP="00005F14" w14:paraId="59C2A06E" w14:textId="77777777">
      <w:pPr>
        <w:ind w:left="720"/>
      </w:pPr>
    </w:p>
    <w:p w:rsidR="00161EAC" w:rsidP="00161EAC" w14:paraId="293F3A0D" w14:textId="1F1A4AA0">
      <w:pPr>
        <w:ind w:left="720"/>
      </w:pPr>
      <w:r>
        <w:t xml:space="preserve">The collection of information and determinations will involve partnership items and partnership-level determinations, as well as the calculation of tax liabilities resolved under this initiative, including penalties and interest. The collection of information, prescribed by Sec. 6404(g), is required to effectively resolve large groups of abusive tax avoidance transactions in a single initiative. Tax avoidance transactions negatively affect the collection of revenue needed to support government programs. </w:t>
      </w:r>
    </w:p>
    <w:p w:rsidR="00161EAC" w:rsidP="00161EAC" w14:paraId="79A2DA96" w14:textId="77777777">
      <w:pPr>
        <w:ind w:left="720"/>
      </w:pPr>
      <w:r>
        <w:t xml:space="preserve">          </w:t>
      </w:r>
    </w:p>
    <w:p w:rsidR="00794B3F" w:rsidRPr="00FC5F64" w:rsidP="00161EAC" w14:paraId="1A9192F3" w14:textId="1DE1AFCF">
      <w:pPr>
        <w:ind w:left="720"/>
      </w:pPr>
      <w:r>
        <w:t>The information required is needed to verify compliance with Section 4401 of the IRC and the Treasury Regulations. A less frequent collection of taxes and tax information could adversely affect the government’s effectiveness and would reduce the oversight of the public in ensuring compliance with IRC and hinder the IRS from meeting its mission</w:t>
      </w:r>
      <w:r w:rsidRPr="00FC5F64" w:rsidR="002A5A43">
        <w:t>.</w:t>
      </w:r>
      <w:r w:rsidRPr="00FC5F64">
        <w:t xml:space="preserve"> </w:t>
      </w:r>
    </w:p>
    <w:p w:rsidR="00794B3F" w:rsidRPr="00FC5F64" w:rsidP="00005F14" w14:paraId="5DBF38D6" w14:textId="77777777">
      <w:pPr>
        <w:ind w:left="720"/>
      </w:pPr>
    </w:p>
    <w:p w:rsidR="00794B3F" w:rsidRPr="00FC5F64" w:rsidP="00E2237D" w14:paraId="0BF44B4D"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SPECIAL CIRCUMSTANCES REQUIRING DATA COLLECTION TO BE INCONSISTENT WITH GUIDELINES IN 5 CFR 1320.5(d)(2) </w:t>
      </w:r>
    </w:p>
    <w:p w:rsidR="00794B3F" w:rsidRPr="00FC5F64" w:rsidP="00005F14" w14:paraId="35F98F7B" w14:textId="77777777">
      <w:pPr>
        <w:ind w:left="720"/>
      </w:pPr>
    </w:p>
    <w:p w:rsidR="00794B3F" w:rsidRPr="00FC5F64" w:rsidP="00005F14" w14:paraId="4202389A" w14:textId="77777777">
      <w:pPr>
        <w:ind w:left="720"/>
      </w:pPr>
      <w:r w:rsidRPr="00FC5F64">
        <w:t>There are no special circumstances requiring data collection to be inconsistent with guidelines in 5 CFR 1320.5(d)(2).</w:t>
      </w:r>
    </w:p>
    <w:p w:rsidR="00794B3F" w:rsidRPr="00FC5F64" w:rsidP="00005F14" w14:paraId="09C7155A" w14:textId="77777777">
      <w:pPr>
        <w:ind w:left="720"/>
      </w:pPr>
    </w:p>
    <w:p w:rsidR="00794B3F" w:rsidRPr="001D26C5" w:rsidP="00E2237D" w14:paraId="358ADD4F" w14:textId="77777777">
      <w:pPr>
        <w:pStyle w:val="Level1"/>
        <w:numPr>
          <w:ilvl w:val="0"/>
          <w:numId w:val="1"/>
        </w:numPr>
        <w:tabs>
          <w:tab w:val="left" w:pos="-1440"/>
          <w:tab w:val="num" w:pos="720"/>
        </w:tabs>
        <w:ind w:hanging="720"/>
        <w:rPr>
          <w:rFonts w:ascii="Times New Roman" w:hAnsi="Times New Roman"/>
          <w:b/>
          <w:u w:val="single"/>
        </w:rPr>
      </w:pPr>
      <w:r w:rsidRPr="001D26C5">
        <w:rPr>
          <w:rFonts w:ascii="Times New Roman" w:hAnsi="Times New Roman"/>
          <w:b/>
          <w:u w:val="single"/>
        </w:rPr>
        <w:t>CONSULTATION WITH INDIVIDUALS OUTSIDE OF THE AGENCY ON AVAILABILITY OF DATA, FREQUENCY OF COLLECTION, CLARITY OF INSTRUCTIONS AND FORMS, AND DATA ELEMENTS</w:t>
      </w:r>
    </w:p>
    <w:p w:rsidR="00794B3F" w:rsidRPr="001D26C5" w:rsidP="00005F14" w14:paraId="2B5901B5" w14:textId="77777777">
      <w:pPr>
        <w:ind w:left="720"/>
      </w:pPr>
    </w:p>
    <w:p w:rsidR="00794B3F" w:rsidRPr="00FC5F64" w:rsidP="00005F14" w14:paraId="10A346B6" w14:textId="1C2F9174">
      <w:pPr>
        <w:ind w:left="720"/>
      </w:pPr>
      <w:r w:rsidRPr="001D26C5">
        <w:t>We received no comments during the public comment period in response to the Federal Register notice (</w:t>
      </w:r>
      <w:r w:rsidRPr="001D26C5" w:rsidR="001D26C5">
        <w:t>90</w:t>
      </w:r>
      <w:r w:rsidRPr="001D26C5">
        <w:t xml:space="preserve"> FR </w:t>
      </w:r>
      <w:r w:rsidRPr="001D26C5" w:rsidR="001D26C5">
        <w:t>1</w:t>
      </w:r>
      <w:r w:rsidR="00161EAC">
        <w:t>8000</w:t>
      </w:r>
      <w:r w:rsidRPr="001D26C5">
        <w:t xml:space="preserve">), dated </w:t>
      </w:r>
      <w:r w:rsidR="00161EAC">
        <w:t>April 30</w:t>
      </w:r>
      <w:r w:rsidRPr="001D26C5" w:rsidR="001D26C5">
        <w:t>,</w:t>
      </w:r>
      <w:r w:rsidRPr="001D26C5">
        <w:t xml:space="preserve"> 202</w:t>
      </w:r>
      <w:r w:rsidRPr="001D26C5" w:rsidR="001D26C5">
        <w:t>5</w:t>
      </w:r>
      <w:r w:rsidRPr="001D26C5">
        <w:t>.</w:t>
      </w:r>
    </w:p>
    <w:p w:rsidR="00794B3F" w:rsidRPr="00FC5F64" w:rsidP="00005F14" w14:paraId="62DC724E" w14:textId="77777777">
      <w:pPr>
        <w:ind w:left="720"/>
      </w:pPr>
    </w:p>
    <w:p w:rsidR="00794B3F" w:rsidRPr="00FC5F64" w:rsidP="00E2237D" w14:paraId="3E1A1166"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EXPLANATION OF DECISION TO PROVIDE ANY PAYMENT OR GIFT TO RESPONDENTS </w:t>
      </w:r>
    </w:p>
    <w:p w:rsidR="00794B3F" w:rsidRPr="00FC5F64" w:rsidP="00005F14" w14:paraId="091A4196" w14:textId="77777777">
      <w:pPr>
        <w:ind w:left="720"/>
      </w:pPr>
    </w:p>
    <w:p w:rsidR="00794B3F" w:rsidRPr="00FC5F64" w:rsidP="00005F14" w14:paraId="4F52CE90" w14:textId="77777777">
      <w:pPr>
        <w:ind w:left="720"/>
      </w:pPr>
      <w:r w:rsidRPr="00FC5F64">
        <w:t xml:space="preserve">No payment or gift has been provided to any respondents. </w:t>
      </w:r>
    </w:p>
    <w:p w:rsidR="00794B3F" w:rsidRPr="00FC5F64" w:rsidP="00005F14" w14:paraId="36CB578F" w14:textId="77777777">
      <w:pPr>
        <w:ind w:left="720"/>
      </w:pPr>
    </w:p>
    <w:p w:rsidR="00794B3F" w:rsidRPr="00FC5F64" w:rsidP="00E2237D" w14:paraId="31EADC58"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ASSURANCE OF CONFIDENTIALITY OF RESPONSES </w:t>
      </w:r>
    </w:p>
    <w:p w:rsidR="00794B3F" w:rsidRPr="00FC5F64" w:rsidP="00005F14" w14:paraId="1A13FC2E" w14:textId="77777777">
      <w:pPr>
        <w:ind w:left="720"/>
      </w:pPr>
    </w:p>
    <w:p w:rsidR="00794B3F" w:rsidRPr="00FC5F64" w:rsidP="00005F14" w14:paraId="0BBE2CE2" w14:textId="368769DD">
      <w:pPr>
        <w:ind w:left="720"/>
      </w:pPr>
      <w:r w:rsidRPr="00FC5F64">
        <w:t>Generally, tax returns and tax return information are confidential as required by 26 U</w:t>
      </w:r>
      <w:r w:rsidRPr="00FC5F64" w:rsidR="002A5A43">
        <w:t>.</w:t>
      </w:r>
      <w:r w:rsidRPr="00FC5F64">
        <w:t>S</w:t>
      </w:r>
      <w:r w:rsidRPr="00FC5F64" w:rsidR="002A5A43">
        <w:t>.</w:t>
      </w:r>
      <w:r w:rsidRPr="00FC5F64">
        <w:t>C</w:t>
      </w:r>
      <w:r w:rsidRPr="00FC5F64" w:rsidR="002A5A43">
        <w:t>.</w:t>
      </w:r>
      <w:r w:rsidRPr="00FC5F64">
        <w:t xml:space="preserve"> 6103. </w:t>
      </w:r>
    </w:p>
    <w:p w:rsidR="00794B3F" w:rsidRPr="00FC5F64" w:rsidP="00005F14" w14:paraId="19CC881C" w14:textId="77777777">
      <w:pPr>
        <w:ind w:left="720"/>
      </w:pPr>
    </w:p>
    <w:p w:rsidR="00794B3F" w:rsidRPr="00FC5F64" w:rsidP="00E2237D" w14:paraId="568E61E1"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JUSTIFICATION OF SENSITIVE QUESTIONS </w:t>
      </w:r>
    </w:p>
    <w:p w:rsidR="00794B3F" w:rsidRPr="00FC5F64" w:rsidP="00005F14" w14:paraId="2F4DC80F" w14:textId="77777777">
      <w:pPr>
        <w:ind w:left="720"/>
      </w:pPr>
    </w:p>
    <w:p w:rsidR="002A5A43" w:rsidRPr="00FC5F64" w:rsidP="002A5A43" w14:paraId="50BA840E" w14:textId="534DE51F">
      <w:pPr>
        <w:ind w:left="720"/>
      </w:pPr>
      <w:bookmarkStart w:id="0" w:name="_Hlk90530558"/>
      <w:bookmarkStart w:id="1" w:name="_Hlk90540730"/>
      <w:bookmarkStart w:id="2" w:name="_Hlk96425022"/>
      <w:r w:rsidRPr="00161EAC">
        <w:t xml:space="preserve">A privacy impact assessment (PIA) has been conducted for information collected under this request as part of the “Individual Master File (IMF)” system and a Privacy Act System of Records notice (SORN) has been issued for this system under: Treas/IRS 24.030 CADE Individual Master File, and Treas/IRS 34.037 IRS Audit Trail and Security </w:t>
      </w:r>
      <w:r w:rsidRPr="00161EAC">
        <w:t>Records System. The Internal Revenue Service PIAs can be found at</w:t>
      </w:r>
      <w:r>
        <w:t xml:space="preserve"> </w:t>
      </w:r>
      <w:hyperlink r:id="rId4" w:history="1">
        <w:r w:rsidRPr="00FC5F64">
          <w:rPr>
            <w:rStyle w:val="Hyperlink"/>
            <w:bCs/>
          </w:rPr>
          <w:t>https://www.irs.gov/privacy-disclosure/privacy-impact-assessments-pia</w:t>
        </w:r>
      </w:hyperlink>
      <w:bookmarkEnd w:id="0"/>
      <w:r w:rsidRPr="00FC5F64">
        <w:rPr>
          <w:bCs/>
        </w:rPr>
        <w:t>.</w:t>
      </w:r>
      <w:bookmarkEnd w:id="1"/>
      <w:bookmarkEnd w:id="2"/>
      <w:r w:rsidRPr="00FC5F64">
        <w:t xml:space="preserve"> </w:t>
      </w:r>
    </w:p>
    <w:p w:rsidR="002A5A43" w:rsidRPr="00FC5F64" w:rsidP="002A5A43" w14:paraId="1E68EE45" w14:textId="77777777">
      <w:pPr>
        <w:ind w:left="720"/>
      </w:pPr>
    </w:p>
    <w:p w:rsidR="00794B3F" w:rsidRPr="00FC5F64" w:rsidP="002A5A43" w14:paraId="2122A2DA" w14:textId="3A899719">
      <w:pPr>
        <w:ind w:left="720"/>
      </w:pPr>
      <w:r w:rsidRPr="00FC5F64">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94B3F" w:rsidRPr="00FC5F64" w:rsidP="00005F14" w14:paraId="48CE507F" w14:textId="77777777">
      <w:pPr>
        <w:ind w:left="720"/>
      </w:pPr>
    </w:p>
    <w:p w:rsidR="00794B3F" w:rsidRPr="00FC5F64" w:rsidP="00E2237D" w14:paraId="2DF30708"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ESTIMATED BURDEN OF INFORMATION COLLECTION </w:t>
      </w:r>
    </w:p>
    <w:p w:rsidR="00794B3F" w:rsidRPr="00FC5F64" w:rsidP="00005F14" w14:paraId="5F619126" w14:textId="77777777">
      <w:pPr>
        <w:ind w:left="720"/>
      </w:pPr>
    </w:p>
    <w:p w:rsidR="002A5A43" w:rsidRPr="00FC5F64" w:rsidP="002A5A43" w14:paraId="7EA9CBF6" w14:textId="2FFBBCCE">
      <w:pPr>
        <w:ind w:left="720"/>
      </w:pPr>
      <w:r w:rsidRPr="00FC5F64">
        <w:t xml:space="preserve">The IRS anticipates that there will be </w:t>
      </w:r>
      <w:r w:rsidR="00F772B8">
        <w:t>25</w:t>
      </w:r>
      <w:r w:rsidRPr="00FC5F64" w:rsidR="00F772B8">
        <w:t xml:space="preserve"> </w:t>
      </w:r>
      <w:r w:rsidRPr="00FC5F64">
        <w:t xml:space="preserve">respondents annually, for a total estimated burden of </w:t>
      </w:r>
      <w:r w:rsidR="00F772B8">
        <w:t>25</w:t>
      </w:r>
      <w:r w:rsidRPr="00FC5F64">
        <w:t xml:space="preserve"> hours annually.</w:t>
      </w:r>
    </w:p>
    <w:p w:rsidR="002A5A43" w:rsidRPr="00FC5F64" w:rsidP="002A5A43" w14:paraId="53029274" w14:textId="77777777">
      <w:pPr>
        <w:ind w:left="720"/>
      </w:pPr>
    </w:p>
    <w:p w:rsidR="002A5A43" w:rsidRPr="00FC5F64" w:rsidP="002A5A43" w14:paraId="24B9502C" w14:textId="77777777">
      <w:pPr>
        <w:ind w:left="720"/>
      </w:pPr>
      <w:r w:rsidRPr="00FC5F64">
        <w:t>The burden estimate is as follows:</w:t>
      </w:r>
    </w:p>
    <w:p w:rsidR="002A5A43" w:rsidRPr="00FC5F64" w:rsidP="002A5A43" w14:paraId="74456E44" w14:textId="77777777">
      <w:pPr>
        <w:ind w:left="720"/>
      </w:pPr>
    </w:p>
    <w:tbl>
      <w:tblPr>
        <w:tblW w:w="912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gridCol w:w="1403"/>
        <w:gridCol w:w="1523"/>
        <w:gridCol w:w="1430"/>
        <w:gridCol w:w="1270"/>
        <w:gridCol w:w="1177"/>
        <w:gridCol w:w="990"/>
      </w:tblGrid>
      <w:tr w14:paraId="0A513940" w14:textId="77777777" w:rsidTr="00BA1C0D">
        <w:tblPrEx>
          <w:tblW w:w="912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30" w:type="dxa"/>
            <w:tcBorders>
              <w:top w:val="single" w:sz="4" w:space="0" w:color="auto"/>
              <w:left w:val="single" w:sz="4" w:space="0" w:color="auto"/>
              <w:bottom w:val="single" w:sz="4" w:space="0" w:color="auto"/>
              <w:right w:val="single" w:sz="4" w:space="0" w:color="auto"/>
            </w:tcBorders>
            <w:vAlign w:val="bottom"/>
            <w:hideMark/>
          </w:tcPr>
          <w:p w:rsidR="002A5A43" w:rsidRPr="00FC5F64" w14:paraId="26A40F15" w14:textId="77777777">
            <w:pPr>
              <w:keepNext/>
              <w:keepLines/>
              <w:numPr>
                <w:ilvl w:val="12"/>
                <w:numId w:val="0"/>
              </w:numPr>
              <w:jc w:val="center"/>
              <w:rPr>
                <w:b/>
              </w:rPr>
            </w:pPr>
            <w:bookmarkStart w:id="3" w:name="_Hlk90530245"/>
            <w:r w:rsidRPr="00FC5F64">
              <w:rPr>
                <w:b/>
              </w:rPr>
              <w:t>Authority</w:t>
            </w:r>
          </w:p>
        </w:tc>
        <w:tc>
          <w:tcPr>
            <w:tcW w:w="1403" w:type="dxa"/>
            <w:tcBorders>
              <w:top w:val="single" w:sz="4" w:space="0" w:color="auto"/>
              <w:left w:val="single" w:sz="4" w:space="0" w:color="auto"/>
              <w:bottom w:val="single" w:sz="4" w:space="0" w:color="auto"/>
              <w:right w:val="single" w:sz="4" w:space="0" w:color="auto"/>
            </w:tcBorders>
            <w:vAlign w:val="bottom"/>
            <w:hideMark/>
          </w:tcPr>
          <w:p w:rsidR="002A5A43" w:rsidRPr="00FC5F64" w14:paraId="7EE34D26" w14:textId="77777777">
            <w:pPr>
              <w:keepNext/>
              <w:keepLines/>
              <w:numPr>
                <w:ilvl w:val="12"/>
                <w:numId w:val="0"/>
              </w:numPr>
              <w:jc w:val="center"/>
              <w:rPr>
                <w:b/>
              </w:rPr>
            </w:pPr>
            <w:r w:rsidRPr="00FC5F64">
              <w:rPr>
                <w:b/>
              </w:rPr>
              <w:t>Description</w:t>
            </w:r>
          </w:p>
        </w:tc>
        <w:tc>
          <w:tcPr>
            <w:tcW w:w="1523" w:type="dxa"/>
            <w:tcBorders>
              <w:top w:val="single" w:sz="4" w:space="0" w:color="auto"/>
              <w:left w:val="single" w:sz="4" w:space="0" w:color="auto"/>
              <w:bottom w:val="single" w:sz="4" w:space="0" w:color="auto"/>
              <w:right w:val="single" w:sz="4" w:space="0" w:color="auto"/>
            </w:tcBorders>
            <w:vAlign w:val="bottom"/>
            <w:hideMark/>
          </w:tcPr>
          <w:p w:rsidR="002A5A43" w:rsidRPr="00FC5F64" w14:paraId="7113B7AB" w14:textId="77777777">
            <w:pPr>
              <w:keepNext/>
              <w:keepLines/>
              <w:numPr>
                <w:ilvl w:val="12"/>
                <w:numId w:val="0"/>
              </w:numPr>
              <w:jc w:val="center"/>
              <w:rPr>
                <w:b/>
              </w:rPr>
            </w:pPr>
            <w:r w:rsidRPr="00FC5F64">
              <w:rPr>
                <w:b/>
              </w:rPr>
              <w:t># of Respondents</w:t>
            </w:r>
          </w:p>
        </w:tc>
        <w:tc>
          <w:tcPr>
            <w:tcW w:w="1430" w:type="dxa"/>
            <w:tcBorders>
              <w:top w:val="single" w:sz="4" w:space="0" w:color="auto"/>
              <w:left w:val="single" w:sz="4" w:space="0" w:color="auto"/>
              <w:bottom w:val="single" w:sz="4" w:space="0" w:color="auto"/>
              <w:right w:val="single" w:sz="4" w:space="0" w:color="auto"/>
            </w:tcBorders>
            <w:vAlign w:val="bottom"/>
            <w:hideMark/>
          </w:tcPr>
          <w:p w:rsidR="002A5A43" w:rsidRPr="00FC5F64" w14:paraId="1C7A078B" w14:textId="0419EF33">
            <w:pPr>
              <w:keepNext/>
              <w:keepLines/>
              <w:numPr>
                <w:ilvl w:val="12"/>
                <w:numId w:val="0"/>
              </w:numPr>
              <w:jc w:val="center"/>
              <w:rPr>
                <w:b/>
              </w:rPr>
            </w:pPr>
            <w:r w:rsidRPr="00FC5F64">
              <w:rPr>
                <w:b/>
              </w:rPr>
              <w:t xml:space="preserve"># </w:t>
            </w:r>
            <w:r w:rsidR="00161EAC">
              <w:rPr>
                <w:b/>
              </w:rPr>
              <w:t xml:space="preserve">of </w:t>
            </w:r>
            <w:r w:rsidRPr="00FC5F64">
              <w:rPr>
                <w:b/>
              </w:rPr>
              <w:t>Responses per Respondent</w:t>
            </w:r>
          </w:p>
        </w:tc>
        <w:tc>
          <w:tcPr>
            <w:tcW w:w="1270" w:type="dxa"/>
            <w:tcBorders>
              <w:top w:val="single" w:sz="4" w:space="0" w:color="auto"/>
              <w:left w:val="single" w:sz="4" w:space="0" w:color="auto"/>
              <w:bottom w:val="single" w:sz="4" w:space="0" w:color="auto"/>
              <w:right w:val="single" w:sz="4" w:space="0" w:color="auto"/>
            </w:tcBorders>
            <w:vAlign w:val="bottom"/>
            <w:hideMark/>
          </w:tcPr>
          <w:p w:rsidR="002A5A43" w:rsidRPr="00FC5F64" w14:paraId="1080330B" w14:textId="77777777">
            <w:pPr>
              <w:keepNext/>
              <w:keepLines/>
              <w:numPr>
                <w:ilvl w:val="12"/>
                <w:numId w:val="0"/>
              </w:numPr>
              <w:jc w:val="center"/>
              <w:rPr>
                <w:b/>
              </w:rPr>
            </w:pPr>
            <w:r w:rsidRPr="00FC5F64">
              <w:rPr>
                <w:b/>
              </w:rPr>
              <w:t>Annual Responses</w:t>
            </w:r>
          </w:p>
        </w:tc>
        <w:tc>
          <w:tcPr>
            <w:tcW w:w="1177" w:type="dxa"/>
            <w:tcBorders>
              <w:top w:val="single" w:sz="4" w:space="0" w:color="auto"/>
              <w:left w:val="single" w:sz="4" w:space="0" w:color="auto"/>
              <w:bottom w:val="single" w:sz="4" w:space="0" w:color="auto"/>
              <w:right w:val="single" w:sz="4" w:space="0" w:color="auto"/>
            </w:tcBorders>
            <w:vAlign w:val="bottom"/>
            <w:hideMark/>
          </w:tcPr>
          <w:p w:rsidR="002A5A43" w:rsidRPr="00FC5F64" w14:paraId="2132F4C8" w14:textId="77777777">
            <w:pPr>
              <w:keepNext/>
              <w:keepLines/>
              <w:numPr>
                <w:ilvl w:val="12"/>
                <w:numId w:val="0"/>
              </w:numPr>
              <w:jc w:val="center"/>
              <w:rPr>
                <w:b/>
              </w:rPr>
            </w:pPr>
            <w:r w:rsidRPr="00FC5F64">
              <w:rPr>
                <w:b/>
              </w:rPr>
              <w:t>Hours per Response</w:t>
            </w:r>
          </w:p>
        </w:tc>
        <w:tc>
          <w:tcPr>
            <w:tcW w:w="990" w:type="dxa"/>
            <w:tcBorders>
              <w:top w:val="single" w:sz="4" w:space="0" w:color="auto"/>
              <w:left w:val="single" w:sz="4" w:space="0" w:color="auto"/>
              <w:bottom w:val="single" w:sz="4" w:space="0" w:color="auto"/>
              <w:right w:val="single" w:sz="4" w:space="0" w:color="auto"/>
            </w:tcBorders>
            <w:vAlign w:val="bottom"/>
            <w:hideMark/>
          </w:tcPr>
          <w:p w:rsidR="002A5A43" w:rsidRPr="00FC5F64" w14:paraId="3AE55095" w14:textId="77777777">
            <w:pPr>
              <w:keepNext/>
              <w:keepLines/>
              <w:numPr>
                <w:ilvl w:val="12"/>
                <w:numId w:val="0"/>
              </w:numPr>
              <w:jc w:val="center"/>
              <w:rPr>
                <w:b/>
              </w:rPr>
            </w:pPr>
            <w:r w:rsidRPr="00FC5F64">
              <w:rPr>
                <w:b/>
              </w:rPr>
              <w:t>Total Burden Hours</w:t>
            </w:r>
          </w:p>
        </w:tc>
      </w:tr>
      <w:tr w14:paraId="0BC77022" w14:textId="77777777" w:rsidTr="00BA1C0D">
        <w:tblPrEx>
          <w:tblW w:w="9123" w:type="dxa"/>
          <w:tblInd w:w="715" w:type="dxa"/>
          <w:tblLook w:val="04A0"/>
        </w:tblPrEx>
        <w:tc>
          <w:tcPr>
            <w:tcW w:w="1330" w:type="dxa"/>
            <w:tcBorders>
              <w:top w:val="single" w:sz="4" w:space="0" w:color="auto"/>
              <w:left w:val="single" w:sz="4" w:space="0" w:color="auto"/>
              <w:bottom w:val="single" w:sz="4" w:space="0" w:color="auto"/>
              <w:right w:val="single" w:sz="4" w:space="0" w:color="auto"/>
            </w:tcBorders>
            <w:vAlign w:val="bottom"/>
            <w:hideMark/>
          </w:tcPr>
          <w:p w:rsidR="002A5A43" w:rsidRPr="00FC5F64" w14:paraId="690E0CE9" w14:textId="4DC05A36">
            <w:pPr>
              <w:keepNext/>
              <w:keepLines/>
              <w:numPr>
                <w:ilvl w:val="12"/>
                <w:numId w:val="0"/>
              </w:numPr>
              <w:jc w:val="center"/>
            </w:pPr>
            <w:r>
              <w:t xml:space="preserve">IRC </w:t>
            </w:r>
            <w:r w:rsidRPr="00161EAC">
              <w:t>§</w:t>
            </w:r>
            <w:r>
              <w:t xml:space="preserve"> 6224</w:t>
            </w:r>
          </w:p>
        </w:tc>
        <w:tc>
          <w:tcPr>
            <w:tcW w:w="1403" w:type="dxa"/>
            <w:tcBorders>
              <w:top w:val="single" w:sz="4" w:space="0" w:color="auto"/>
              <w:left w:val="single" w:sz="4" w:space="0" w:color="auto"/>
              <w:bottom w:val="single" w:sz="4" w:space="0" w:color="auto"/>
              <w:right w:val="single" w:sz="4" w:space="0" w:color="auto"/>
            </w:tcBorders>
            <w:vAlign w:val="bottom"/>
            <w:hideMark/>
          </w:tcPr>
          <w:p w:rsidR="002A5A43" w:rsidRPr="00FC5F64" w14:paraId="5B123D7B" w14:textId="3B3D4634">
            <w:pPr>
              <w:keepNext/>
              <w:keepLines/>
              <w:numPr>
                <w:ilvl w:val="12"/>
                <w:numId w:val="0"/>
              </w:numPr>
              <w:jc w:val="center"/>
            </w:pPr>
            <w:r w:rsidRPr="00FC5F64">
              <w:t xml:space="preserve">Form </w:t>
            </w:r>
            <w:r w:rsidR="00161EAC">
              <w:t>13751</w:t>
            </w:r>
          </w:p>
        </w:tc>
        <w:tc>
          <w:tcPr>
            <w:tcW w:w="1523" w:type="dxa"/>
            <w:tcBorders>
              <w:top w:val="single" w:sz="4" w:space="0" w:color="auto"/>
              <w:left w:val="single" w:sz="4" w:space="0" w:color="auto"/>
              <w:bottom w:val="single" w:sz="4" w:space="0" w:color="auto"/>
              <w:right w:val="single" w:sz="4" w:space="0" w:color="auto"/>
            </w:tcBorders>
            <w:vAlign w:val="bottom"/>
            <w:hideMark/>
          </w:tcPr>
          <w:p w:rsidR="002A5A43" w:rsidRPr="00FC5F64" w14:paraId="65CD74AB" w14:textId="49D8BBD0">
            <w:pPr>
              <w:keepNext/>
              <w:keepLines/>
              <w:numPr>
                <w:ilvl w:val="12"/>
                <w:numId w:val="0"/>
              </w:numPr>
              <w:jc w:val="center"/>
            </w:pPr>
            <w:r w:rsidRPr="00FC5F64">
              <w:t>2</w:t>
            </w:r>
            <w:r w:rsidR="00161EAC">
              <w:t>5</w:t>
            </w:r>
          </w:p>
        </w:tc>
        <w:tc>
          <w:tcPr>
            <w:tcW w:w="1430" w:type="dxa"/>
            <w:tcBorders>
              <w:top w:val="single" w:sz="4" w:space="0" w:color="auto"/>
              <w:left w:val="single" w:sz="4" w:space="0" w:color="auto"/>
              <w:bottom w:val="single" w:sz="4" w:space="0" w:color="auto"/>
              <w:right w:val="single" w:sz="4" w:space="0" w:color="auto"/>
            </w:tcBorders>
            <w:vAlign w:val="bottom"/>
            <w:hideMark/>
          </w:tcPr>
          <w:p w:rsidR="002A5A43" w:rsidRPr="00FC5F64" w14:paraId="1601ADEC" w14:textId="77777777">
            <w:pPr>
              <w:keepNext/>
              <w:keepLines/>
              <w:numPr>
                <w:ilvl w:val="12"/>
                <w:numId w:val="0"/>
              </w:numPr>
              <w:jc w:val="center"/>
            </w:pPr>
            <w:r w:rsidRPr="00FC5F64">
              <w:t>1</w:t>
            </w:r>
          </w:p>
        </w:tc>
        <w:tc>
          <w:tcPr>
            <w:tcW w:w="1270" w:type="dxa"/>
            <w:tcBorders>
              <w:top w:val="single" w:sz="4" w:space="0" w:color="auto"/>
              <w:left w:val="single" w:sz="4" w:space="0" w:color="auto"/>
              <w:bottom w:val="single" w:sz="4" w:space="0" w:color="auto"/>
              <w:right w:val="single" w:sz="4" w:space="0" w:color="auto"/>
            </w:tcBorders>
            <w:vAlign w:val="bottom"/>
            <w:hideMark/>
          </w:tcPr>
          <w:p w:rsidR="002A5A43" w:rsidRPr="00FC5F64" w14:paraId="5979FC7E" w14:textId="49E9F913">
            <w:pPr>
              <w:keepNext/>
              <w:keepLines/>
              <w:numPr>
                <w:ilvl w:val="12"/>
                <w:numId w:val="0"/>
              </w:numPr>
              <w:jc w:val="center"/>
            </w:pPr>
            <w:r w:rsidRPr="00FC5F64">
              <w:t>2</w:t>
            </w:r>
            <w:r w:rsidR="00161EAC">
              <w:t>5</w:t>
            </w:r>
          </w:p>
        </w:tc>
        <w:tc>
          <w:tcPr>
            <w:tcW w:w="1177" w:type="dxa"/>
            <w:tcBorders>
              <w:top w:val="single" w:sz="4" w:space="0" w:color="auto"/>
              <w:left w:val="single" w:sz="4" w:space="0" w:color="auto"/>
              <w:bottom w:val="single" w:sz="4" w:space="0" w:color="auto"/>
              <w:right w:val="single" w:sz="4" w:space="0" w:color="auto"/>
            </w:tcBorders>
            <w:vAlign w:val="bottom"/>
            <w:hideMark/>
          </w:tcPr>
          <w:p w:rsidR="002A5A43" w:rsidRPr="00FC5F64" w14:paraId="37D84BBC" w14:textId="73315311">
            <w:pPr>
              <w:keepNext/>
              <w:keepLines/>
              <w:numPr>
                <w:ilvl w:val="12"/>
                <w:numId w:val="0"/>
              </w:numPr>
              <w:jc w:val="center"/>
            </w:pPr>
            <w:r w:rsidRPr="00FC5F64">
              <w:t>1</w:t>
            </w:r>
          </w:p>
        </w:tc>
        <w:tc>
          <w:tcPr>
            <w:tcW w:w="990" w:type="dxa"/>
            <w:tcBorders>
              <w:top w:val="single" w:sz="4" w:space="0" w:color="auto"/>
              <w:left w:val="single" w:sz="4" w:space="0" w:color="auto"/>
              <w:bottom w:val="single" w:sz="4" w:space="0" w:color="auto"/>
              <w:right w:val="single" w:sz="4" w:space="0" w:color="auto"/>
            </w:tcBorders>
            <w:vAlign w:val="bottom"/>
            <w:hideMark/>
          </w:tcPr>
          <w:p w:rsidR="002A5A43" w:rsidRPr="00FC5F64" w14:paraId="7FDE3C97" w14:textId="19BADADA">
            <w:pPr>
              <w:keepNext/>
              <w:keepLines/>
              <w:numPr>
                <w:ilvl w:val="12"/>
                <w:numId w:val="0"/>
              </w:numPr>
              <w:jc w:val="center"/>
            </w:pPr>
            <w:r w:rsidRPr="00FC5F64">
              <w:t>2</w:t>
            </w:r>
            <w:r w:rsidR="00161EAC">
              <w:t>5</w:t>
            </w:r>
          </w:p>
        </w:tc>
      </w:tr>
      <w:tr w14:paraId="19988F49" w14:textId="77777777" w:rsidTr="00BA1C0D">
        <w:tblPrEx>
          <w:tblW w:w="9123" w:type="dxa"/>
          <w:tblInd w:w="715" w:type="dxa"/>
          <w:tblLook w:val="04A0"/>
        </w:tblPrEx>
        <w:tc>
          <w:tcPr>
            <w:tcW w:w="1330" w:type="dxa"/>
            <w:tcBorders>
              <w:top w:val="single" w:sz="4" w:space="0" w:color="auto"/>
              <w:left w:val="single" w:sz="4" w:space="0" w:color="auto"/>
              <w:bottom w:val="single" w:sz="4" w:space="0" w:color="auto"/>
              <w:right w:val="single" w:sz="4" w:space="0" w:color="auto"/>
            </w:tcBorders>
            <w:vAlign w:val="bottom"/>
            <w:hideMark/>
          </w:tcPr>
          <w:p w:rsidR="002A5A43" w:rsidRPr="00FC5F64" w14:paraId="208AD4A9" w14:textId="77777777">
            <w:pPr>
              <w:keepNext/>
              <w:keepLines/>
              <w:numPr>
                <w:ilvl w:val="12"/>
                <w:numId w:val="0"/>
              </w:numPr>
              <w:jc w:val="center"/>
              <w:rPr>
                <w:b/>
                <w:bCs/>
              </w:rPr>
            </w:pPr>
            <w:r w:rsidRPr="00FC5F64">
              <w:rPr>
                <w:b/>
                <w:bCs/>
              </w:rPr>
              <w:t>Totals</w:t>
            </w:r>
          </w:p>
        </w:tc>
        <w:tc>
          <w:tcPr>
            <w:tcW w:w="1403" w:type="dxa"/>
            <w:tcBorders>
              <w:top w:val="single" w:sz="4" w:space="0" w:color="auto"/>
              <w:left w:val="single" w:sz="4" w:space="0" w:color="auto"/>
              <w:bottom w:val="single" w:sz="4" w:space="0" w:color="auto"/>
              <w:right w:val="single" w:sz="4" w:space="0" w:color="auto"/>
            </w:tcBorders>
            <w:vAlign w:val="bottom"/>
          </w:tcPr>
          <w:p w:rsidR="002A5A43" w:rsidRPr="00FC5F64" w14:paraId="090D0E65" w14:textId="77777777">
            <w:pPr>
              <w:keepNext/>
              <w:keepLines/>
              <w:numPr>
                <w:ilvl w:val="12"/>
                <w:numId w:val="0"/>
              </w:numPr>
              <w:jc w:val="center"/>
              <w:rPr>
                <w:b/>
                <w:bCs/>
              </w:rPr>
            </w:pPr>
          </w:p>
        </w:tc>
        <w:tc>
          <w:tcPr>
            <w:tcW w:w="1523" w:type="dxa"/>
            <w:tcBorders>
              <w:top w:val="single" w:sz="4" w:space="0" w:color="auto"/>
              <w:left w:val="single" w:sz="4" w:space="0" w:color="auto"/>
              <w:bottom w:val="single" w:sz="4" w:space="0" w:color="auto"/>
              <w:right w:val="single" w:sz="4" w:space="0" w:color="auto"/>
            </w:tcBorders>
            <w:vAlign w:val="bottom"/>
            <w:hideMark/>
          </w:tcPr>
          <w:p w:rsidR="002A5A43" w:rsidRPr="00FC5F64" w14:paraId="54EDF89B" w14:textId="459D3938">
            <w:pPr>
              <w:keepNext/>
              <w:keepLines/>
              <w:numPr>
                <w:ilvl w:val="12"/>
                <w:numId w:val="0"/>
              </w:numPr>
              <w:jc w:val="center"/>
              <w:rPr>
                <w:b/>
                <w:bCs/>
              </w:rPr>
            </w:pPr>
            <w:r w:rsidRPr="00FC5F64">
              <w:rPr>
                <w:b/>
                <w:bCs/>
              </w:rPr>
              <w:t>2</w:t>
            </w:r>
            <w:r w:rsidR="00161EAC">
              <w:rPr>
                <w:b/>
                <w:bCs/>
              </w:rPr>
              <w:t>5</w:t>
            </w:r>
          </w:p>
        </w:tc>
        <w:tc>
          <w:tcPr>
            <w:tcW w:w="1430" w:type="dxa"/>
            <w:tcBorders>
              <w:top w:val="single" w:sz="4" w:space="0" w:color="auto"/>
              <w:left w:val="single" w:sz="4" w:space="0" w:color="auto"/>
              <w:bottom w:val="single" w:sz="4" w:space="0" w:color="auto"/>
              <w:right w:val="single" w:sz="4" w:space="0" w:color="auto"/>
            </w:tcBorders>
            <w:vAlign w:val="bottom"/>
          </w:tcPr>
          <w:p w:rsidR="002A5A43" w:rsidRPr="00FC5F64" w14:paraId="486729D3" w14:textId="77777777">
            <w:pPr>
              <w:keepNext/>
              <w:keepLines/>
              <w:numPr>
                <w:ilvl w:val="12"/>
                <w:numId w:val="0"/>
              </w:numPr>
              <w:jc w:val="center"/>
              <w:rPr>
                <w:b/>
                <w:bCs/>
              </w:rPr>
            </w:pPr>
          </w:p>
        </w:tc>
        <w:tc>
          <w:tcPr>
            <w:tcW w:w="1270" w:type="dxa"/>
            <w:tcBorders>
              <w:top w:val="single" w:sz="4" w:space="0" w:color="auto"/>
              <w:left w:val="single" w:sz="4" w:space="0" w:color="auto"/>
              <w:bottom w:val="single" w:sz="4" w:space="0" w:color="auto"/>
              <w:right w:val="single" w:sz="4" w:space="0" w:color="auto"/>
            </w:tcBorders>
            <w:vAlign w:val="bottom"/>
            <w:hideMark/>
          </w:tcPr>
          <w:p w:rsidR="002A5A43" w:rsidRPr="00FC5F64" w14:paraId="38BC637D" w14:textId="0D7AD87F">
            <w:pPr>
              <w:keepNext/>
              <w:keepLines/>
              <w:numPr>
                <w:ilvl w:val="12"/>
                <w:numId w:val="0"/>
              </w:numPr>
              <w:jc w:val="center"/>
              <w:rPr>
                <w:b/>
                <w:bCs/>
              </w:rPr>
            </w:pPr>
            <w:r w:rsidRPr="00FC5F64">
              <w:rPr>
                <w:b/>
                <w:bCs/>
              </w:rPr>
              <w:t>2</w:t>
            </w:r>
            <w:r w:rsidR="00161EAC">
              <w:rPr>
                <w:b/>
                <w:bCs/>
              </w:rPr>
              <w:t>5</w:t>
            </w:r>
          </w:p>
        </w:tc>
        <w:tc>
          <w:tcPr>
            <w:tcW w:w="1177" w:type="dxa"/>
            <w:tcBorders>
              <w:top w:val="single" w:sz="4" w:space="0" w:color="auto"/>
              <w:left w:val="single" w:sz="4" w:space="0" w:color="auto"/>
              <w:bottom w:val="single" w:sz="4" w:space="0" w:color="auto"/>
              <w:right w:val="single" w:sz="4" w:space="0" w:color="auto"/>
            </w:tcBorders>
            <w:vAlign w:val="bottom"/>
          </w:tcPr>
          <w:p w:rsidR="002A5A43" w:rsidRPr="00FC5F64" w14:paraId="2E41721A" w14:textId="77777777">
            <w:pPr>
              <w:keepNext/>
              <w:keepLines/>
              <w:numPr>
                <w:ilvl w:val="12"/>
                <w:numId w:val="0"/>
              </w:numPr>
              <w:jc w:val="center"/>
              <w:rPr>
                <w:b/>
                <w:bCs/>
              </w:rPr>
            </w:pPr>
          </w:p>
        </w:tc>
        <w:tc>
          <w:tcPr>
            <w:tcW w:w="990" w:type="dxa"/>
            <w:tcBorders>
              <w:top w:val="single" w:sz="4" w:space="0" w:color="auto"/>
              <w:left w:val="single" w:sz="4" w:space="0" w:color="auto"/>
              <w:bottom w:val="single" w:sz="4" w:space="0" w:color="auto"/>
              <w:right w:val="single" w:sz="4" w:space="0" w:color="auto"/>
            </w:tcBorders>
            <w:vAlign w:val="bottom"/>
            <w:hideMark/>
          </w:tcPr>
          <w:p w:rsidR="002A5A43" w:rsidRPr="00FC5F64" w14:paraId="1FC3120F" w14:textId="48107113">
            <w:pPr>
              <w:keepNext/>
              <w:keepLines/>
              <w:numPr>
                <w:ilvl w:val="12"/>
                <w:numId w:val="0"/>
              </w:numPr>
              <w:jc w:val="center"/>
              <w:rPr>
                <w:b/>
                <w:bCs/>
              </w:rPr>
            </w:pPr>
            <w:r w:rsidRPr="00FC5F64">
              <w:rPr>
                <w:b/>
                <w:bCs/>
              </w:rPr>
              <w:t>2</w:t>
            </w:r>
            <w:r w:rsidR="00161EAC">
              <w:rPr>
                <w:b/>
                <w:bCs/>
              </w:rPr>
              <w:t>5</w:t>
            </w:r>
          </w:p>
        </w:tc>
        <w:bookmarkEnd w:id="3"/>
      </w:tr>
    </w:tbl>
    <w:p w:rsidR="00290AFC" w:rsidRPr="00FC5F64" w:rsidP="00005F14" w14:paraId="39FE84AE" w14:textId="77777777">
      <w:pPr>
        <w:ind w:left="720"/>
      </w:pPr>
    </w:p>
    <w:p w:rsidR="00794B3F" w:rsidRPr="00FC5F64" w:rsidP="00E2237D" w14:paraId="7434CEEA"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ESTIMATED TOTAL ANNUAL COST BURDEN TO RESPONDENTS</w:t>
      </w:r>
    </w:p>
    <w:p w:rsidR="00794B3F" w:rsidRPr="00FC5F64" w:rsidP="00005F14" w14:paraId="28F2E0B1" w14:textId="77777777">
      <w:pPr>
        <w:ind w:left="720"/>
      </w:pPr>
    </w:p>
    <w:p w:rsidR="00E43DB2" w:rsidP="00005F14" w14:paraId="02CA6EF7" w14:textId="5DEA2D2B">
      <w:pPr>
        <w:ind w:left="720"/>
      </w:pPr>
      <w:r w:rsidRPr="00161EAC">
        <w:t>There are no start-up or maintenance costs for this collection. The collection does not require respondents to obtain specialized equipment or professional services.</w:t>
      </w:r>
    </w:p>
    <w:p w:rsidR="00161EAC" w:rsidRPr="00FC5F64" w:rsidP="00005F14" w14:paraId="064CBB83" w14:textId="77777777">
      <w:pPr>
        <w:ind w:left="720"/>
      </w:pPr>
    </w:p>
    <w:p w:rsidR="00794B3F" w:rsidRPr="00FC5F64" w:rsidP="00E2237D" w14:paraId="1AC09AAF"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ESTIMATED ANNUALIZED COST TO THE FEDERAL GOVERNMENT </w:t>
      </w:r>
    </w:p>
    <w:p w:rsidR="00794B3F" w:rsidRPr="00FC5F64" w:rsidP="00005F14" w14:paraId="69FAED22" w14:textId="77777777">
      <w:pPr>
        <w:ind w:left="720"/>
      </w:pPr>
    </w:p>
    <w:p w:rsidR="00794B3F" w:rsidP="00005F14" w14:paraId="0E0CD0ED" w14:textId="3DC06114">
      <w:pPr>
        <w:ind w:left="720"/>
      </w:pPr>
      <w:r w:rsidRPr="00161EAC">
        <w:t>There is no annualized cost to the federal government</w:t>
      </w:r>
      <w:r w:rsidR="0015232B">
        <w:t xml:space="preserve"> outside </w:t>
      </w:r>
      <w:r w:rsidR="009A57A8">
        <w:t>of regular agency activities such as taxpayer assistance and enforcement</w:t>
      </w:r>
      <w:r w:rsidRPr="00161EAC">
        <w:t xml:space="preserve">. </w:t>
      </w:r>
    </w:p>
    <w:p w:rsidR="00161EAC" w:rsidRPr="00FC5F64" w:rsidP="00005F14" w14:paraId="4A899A9F" w14:textId="77777777">
      <w:pPr>
        <w:ind w:left="720"/>
      </w:pPr>
    </w:p>
    <w:p w:rsidR="00794B3F" w:rsidRPr="00FC5F64" w:rsidP="00E2237D" w14:paraId="1CB7C9D3"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REASONS FOR CHANGE IN BURDEN </w:t>
      </w:r>
    </w:p>
    <w:p w:rsidR="00794B3F" w:rsidRPr="00FC5F64" w:rsidP="00005F14" w14:paraId="51C66032" w14:textId="77777777">
      <w:pPr>
        <w:ind w:left="720"/>
      </w:pPr>
    </w:p>
    <w:p w:rsidR="00997C77" w:rsidRPr="00FC5F64" w:rsidP="00005F14" w14:paraId="6EF9DF20" w14:textId="32F1BDE8">
      <w:pPr>
        <w:ind w:left="720"/>
      </w:pPr>
      <w:r w:rsidRPr="00E43DB2">
        <w:t>There were no changes made to the forms that resulted in any change to the burden previously reported to OMB.</w:t>
      </w:r>
    </w:p>
    <w:p w:rsidR="00794B3F" w:rsidRPr="00FC5F64" w:rsidP="00005F14" w14:paraId="3EC95F8E" w14:textId="77777777">
      <w:pPr>
        <w:ind w:left="720"/>
      </w:pPr>
    </w:p>
    <w:p w:rsidR="00794B3F" w:rsidRPr="00FC5F64" w:rsidP="00E2237D" w14:paraId="4E639FC7"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PLANS FOR TABULATION, STATISTICAL ANALYSIS AND PUBLICATION </w:t>
      </w:r>
    </w:p>
    <w:p w:rsidR="00794B3F" w:rsidRPr="00FC5F64" w:rsidP="00005F14" w14:paraId="5EF58349" w14:textId="77777777">
      <w:pPr>
        <w:ind w:left="720"/>
      </w:pPr>
    </w:p>
    <w:p w:rsidR="00794B3F" w:rsidRPr="00FC5F64" w:rsidP="00005F14" w14:paraId="0BBA7A3D" w14:textId="77777777">
      <w:pPr>
        <w:ind w:left="720"/>
      </w:pPr>
      <w:r w:rsidRPr="00FC5F64">
        <w:t>There are no plans for tabulation, statistical analysis and publication.</w:t>
      </w:r>
    </w:p>
    <w:p w:rsidR="00794B3F" w:rsidRPr="00FC5F64" w:rsidP="00005F14" w14:paraId="0BF02D29" w14:textId="77777777">
      <w:pPr>
        <w:ind w:left="720"/>
      </w:pPr>
    </w:p>
    <w:p w:rsidR="00794B3F" w:rsidRPr="00FC5F64" w:rsidP="00E2237D" w14:paraId="18013DD0"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REASONS WHY DISPLAYING THE OMB EXPIRATION DATE IS INAPPROPRIATE </w:t>
      </w:r>
    </w:p>
    <w:p w:rsidR="00794B3F" w:rsidRPr="00FC5F64" w:rsidP="00005F14" w14:paraId="02AD05B8" w14:textId="77777777">
      <w:pPr>
        <w:ind w:left="720"/>
      </w:pPr>
    </w:p>
    <w:p w:rsidR="00794B3F" w:rsidRPr="00FC5F64" w:rsidP="00005F14" w14:paraId="42C11D50" w14:textId="21AEE4AA">
      <w:pPr>
        <w:ind w:left="720"/>
      </w:pPr>
      <w:bookmarkStart w:id="4" w:name="_Hlk91075794"/>
      <w:r w:rsidRPr="00FC5F64">
        <w:t xml:space="preserve">IRS believes that displaying the OMB expiration date is inappropriate because it could </w:t>
      </w:r>
      <w:r w:rsidRPr="00FC5F64">
        <w:t>cause confusion by leading taxpayers to believe that the form sunsets as of the expiration date. Taxpayers are not likely to be aware that the IRS intends to request renewal of the OMB approval and obtain a new expiration date before the old one expires.</w:t>
      </w:r>
      <w:bookmarkEnd w:id="4"/>
    </w:p>
    <w:p w:rsidR="009B27ED" w:rsidRPr="00FC5F64" w:rsidP="00005F14" w14:paraId="058E6C1F" w14:textId="77777777">
      <w:pPr>
        <w:ind w:left="720"/>
      </w:pPr>
    </w:p>
    <w:p w:rsidR="00794B3F" w:rsidRPr="00FC5F64" w:rsidP="00E2237D" w14:paraId="43D69483"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EXCEPTIONS TO THE CERTIFICATION STATEMENT </w:t>
      </w:r>
    </w:p>
    <w:p w:rsidR="00794B3F" w:rsidRPr="00FC5F64" w:rsidP="00005F14" w14:paraId="1A0C48B9" w14:textId="77777777">
      <w:pPr>
        <w:ind w:left="720"/>
      </w:pPr>
    </w:p>
    <w:p w:rsidR="00794B3F" w:rsidRPr="00FC5F64" w:rsidP="00E43DB2" w14:paraId="431381A1" w14:textId="4D870847">
      <w:pPr>
        <w:ind w:left="720"/>
      </w:pPr>
      <w:bookmarkStart w:id="5" w:name="_Hlk95714878"/>
      <w:r w:rsidRPr="00FC5F64">
        <w:t>There are no exceptions to the certification statement.</w:t>
      </w:r>
      <w:bookmarkEnd w:id="5"/>
    </w:p>
    <w:sectPr w:rsidSect="00AC362E">
      <w:head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FKKP C+ 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7277474"/>
      <w:docPartObj>
        <w:docPartGallery w:val="Page Numbers (Top of Page)"/>
        <w:docPartUnique/>
      </w:docPartObj>
    </w:sdtPr>
    <w:sdtEndPr>
      <w:rPr>
        <w:noProof/>
      </w:rPr>
    </w:sdtEndPr>
    <w:sdtContent>
      <w:p w:rsidR="00AC362E" w14:paraId="5426DD06" w14:textId="230496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C362E" w14:paraId="5EE199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AF1743"/>
    <w:multiLevelType w:val="hybridMultilevel"/>
    <w:tmpl w:val="13CCE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831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3F"/>
    <w:rsid w:val="00001ED6"/>
    <w:rsid w:val="00005F14"/>
    <w:rsid w:val="0000669F"/>
    <w:rsid w:val="0001108A"/>
    <w:rsid w:val="000D0586"/>
    <w:rsid w:val="0015232B"/>
    <w:rsid w:val="001603FD"/>
    <w:rsid w:val="00161EAC"/>
    <w:rsid w:val="001A13C7"/>
    <w:rsid w:val="001D26C5"/>
    <w:rsid w:val="001F3254"/>
    <w:rsid w:val="0024263C"/>
    <w:rsid w:val="002755AC"/>
    <w:rsid w:val="00285111"/>
    <w:rsid w:val="00286546"/>
    <w:rsid w:val="00290AFC"/>
    <w:rsid w:val="002A5A43"/>
    <w:rsid w:val="002B6E78"/>
    <w:rsid w:val="002E69D8"/>
    <w:rsid w:val="00340C9D"/>
    <w:rsid w:val="00376E05"/>
    <w:rsid w:val="00383DC1"/>
    <w:rsid w:val="00391EDD"/>
    <w:rsid w:val="003948EA"/>
    <w:rsid w:val="003B56F1"/>
    <w:rsid w:val="003B721D"/>
    <w:rsid w:val="003D69CE"/>
    <w:rsid w:val="003E1BA0"/>
    <w:rsid w:val="00464045"/>
    <w:rsid w:val="004F1C54"/>
    <w:rsid w:val="005C2DC9"/>
    <w:rsid w:val="005C4332"/>
    <w:rsid w:val="00643600"/>
    <w:rsid w:val="0066121E"/>
    <w:rsid w:val="006964C7"/>
    <w:rsid w:val="006C39A1"/>
    <w:rsid w:val="006E55FE"/>
    <w:rsid w:val="007014B7"/>
    <w:rsid w:val="007249AE"/>
    <w:rsid w:val="007653FB"/>
    <w:rsid w:val="00767962"/>
    <w:rsid w:val="00790091"/>
    <w:rsid w:val="00794B3F"/>
    <w:rsid w:val="007B32F9"/>
    <w:rsid w:val="00823729"/>
    <w:rsid w:val="00894624"/>
    <w:rsid w:val="008E0FD4"/>
    <w:rsid w:val="008F18B1"/>
    <w:rsid w:val="009203C1"/>
    <w:rsid w:val="0092789D"/>
    <w:rsid w:val="00966085"/>
    <w:rsid w:val="00997C77"/>
    <w:rsid w:val="009A57A8"/>
    <w:rsid w:val="009B27ED"/>
    <w:rsid w:val="00A4056C"/>
    <w:rsid w:val="00A4667A"/>
    <w:rsid w:val="00A857AA"/>
    <w:rsid w:val="00AA529A"/>
    <w:rsid w:val="00AC362E"/>
    <w:rsid w:val="00B11178"/>
    <w:rsid w:val="00B212E1"/>
    <w:rsid w:val="00B22519"/>
    <w:rsid w:val="00B91BFE"/>
    <w:rsid w:val="00BA1C0D"/>
    <w:rsid w:val="00BD68CF"/>
    <w:rsid w:val="00BE2FF6"/>
    <w:rsid w:val="00BE4A39"/>
    <w:rsid w:val="00C16AFC"/>
    <w:rsid w:val="00C17E10"/>
    <w:rsid w:val="00CB06AF"/>
    <w:rsid w:val="00CB38C3"/>
    <w:rsid w:val="00CB400A"/>
    <w:rsid w:val="00CC4922"/>
    <w:rsid w:val="00D140A2"/>
    <w:rsid w:val="00D920EC"/>
    <w:rsid w:val="00DB0C94"/>
    <w:rsid w:val="00DD17FC"/>
    <w:rsid w:val="00DF57DE"/>
    <w:rsid w:val="00E15AA0"/>
    <w:rsid w:val="00E2237D"/>
    <w:rsid w:val="00E378C3"/>
    <w:rsid w:val="00E43DB2"/>
    <w:rsid w:val="00E911C8"/>
    <w:rsid w:val="00EB435C"/>
    <w:rsid w:val="00F064A4"/>
    <w:rsid w:val="00F2205E"/>
    <w:rsid w:val="00F226E2"/>
    <w:rsid w:val="00F772B8"/>
    <w:rsid w:val="00F94FC9"/>
    <w:rsid w:val="00FC5CEF"/>
    <w:rsid w:val="00FC5F64"/>
    <w:rsid w:val="00FD045A"/>
    <w:rsid w:val="00FE4970"/>
    <w:rsid w:val="00FF5F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14488C"/>
  <w15:docId w15:val="{246DA655-154B-40C8-A2CC-4D278538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B3F"/>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94B3F"/>
    <w:pPr>
      <w:widowControl w:val="0"/>
      <w:autoSpaceDE w:val="0"/>
      <w:autoSpaceDN w:val="0"/>
      <w:adjustRightInd w:val="0"/>
    </w:pPr>
    <w:rPr>
      <w:rFonts w:ascii="OFKKP C+ Arial MT" w:eastAsia="Times New Roman" w:hAnsi="OFKKP C+ Arial MT" w:cs="OFKKP C+ Arial MT"/>
      <w:color w:val="000000"/>
      <w:szCs w:val="24"/>
    </w:rPr>
  </w:style>
  <w:style w:type="paragraph" w:customStyle="1" w:styleId="CM11">
    <w:name w:val="CM11"/>
    <w:basedOn w:val="Default"/>
    <w:next w:val="Default"/>
    <w:uiPriority w:val="99"/>
    <w:rsid w:val="00794B3F"/>
    <w:rPr>
      <w:rFonts w:cs="Times New Roman"/>
      <w:color w:val="auto"/>
    </w:rPr>
  </w:style>
  <w:style w:type="paragraph" w:customStyle="1" w:styleId="CM12">
    <w:name w:val="CM12"/>
    <w:basedOn w:val="Default"/>
    <w:next w:val="Default"/>
    <w:uiPriority w:val="99"/>
    <w:rsid w:val="00794B3F"/>
    <w:rPr>
      <w:rFonts w:cs="Times New Roman"/>
      <w:color w:val="auto"/>
    </w:rPr>
  </w:style>
  <w:style w:type="paragraph" w:customStyle="1" w:styleId="CM2">
    <w:name w:val="CM2"/>
    <w:basedOn w:val="Default"/>
    <w:next w:val="Default"/>
    <w:uiPriority w:val="99"/>
    <w:rsid w:val="00794B3F"/>
    <w:pPr>
      <w:spacing w:line="266" w:lineRule="atLeast"/>
    </w:pPr>
    <w:rPr>
      <w:rFonts w:cs="Times New Roman"/>
      <w:color w:val="auto"/>
    </w:rPr>
  </w:style>
  <w:style w:type="paragraph" w:customStyle="1" w:styleId="CM13">
    <w:name w:val="CM13"/>
    <w:basedOn w:val="Default"/>
    <w:next w:val="Default"/>
    <w:uiPriority w:val="99"/>
    <w:rsid w:val="00794B3F"/>
    <w:rPr>
      <w:rFonts w:cs="Times New Roman"/>
      <w:color w:val="auto"/>
    </w:rPr>
  </w:style>
  <w:style w:type="paragraph" w:customStyle="1" w:styleId="CM3">
    <w:name w:val="CM3"/>
    <w:basedOn w:val="Default"/>
    <w:next w:val="Default"/>
    <w:uiPriority w:val="99"/>
    <w:rsid w:val="00794B3F"/>
    <w:rPr>
      <w:rFonts w:cs="Times New Roman"/>
      <w:color w:val="auto"/>
    </w:rPr>
  </w:style>
  <w:style w:type="paragraph" w:customStyle="1" w:styleId="CM4">
    <w:name w:val="CM4"/>
    <w:basedOn w:val="Default"/>
    <w:next w:val="Default"/>
    <w:uiPriority w:val="99"/>
    <w:rsid w:val="00794B3F"/>
    <w:pPr>
      <w:spacing w:line="268" w:lineRule="atLeast"/>
    </w:pPr>
    <w:rPr>
      <w:rFonts w:cs="Times New Roman"/>
      <w:color w:val="auto"/>
    </w:rPr>
  </w:style>
  <w:style w:type="paragraph" w:customStyle="1" w:styleId="CM14">
    <w:name w:val="CM14"/>
    <w:basedOn w:val="Default"/>
    <w:next w:val="Default"/>
    <w:uiPriority w:val="99"/>
    <w:rsid w:val="00794B3F"/>
    <w:rPr>
      <w:rFonts w:cs="Times New Roman"/>
      <w:color w:val="auto"/>
    </w:rPr>
  </w:style>
  <w:style w:type="paragraph" w:customStyle="1" w:styleId="CM15">
    <w:name w:val="CM15"/>
    <w:basedOn w:val="Default"/>
    <w:next w:val="Default"/>
    <w:uiPriority w:val="99"/>
    <w:rsid w:val="00794B3F"/>
    <w:rPr>
      <w:rFonts w:cs="Times New Roman"/>
      <w:color w:val="auto"/>
    </w:rPr>
  </w:style>
  <w:style w:type="paragraph" w:customStyle="1" w:styleId="CM5">
    <w:name w:val="CM5"/>
    <w:basedOn w:val="Default"/>
    <w:next w:val="Default"/>
    <w:uiPriority w:val="99"/>
    <w:rsid w:val="00794B3F"/>
    <w:rPr>
      <w:rFonts w:cs="Times New Roman"/>
      <w:color w:val="auto"/>
    </w:rPr>
  </w:style>
  <w:style w:type="paragraph" w:customStyle="1" w:styleId="CM16">
    <w:name w:val="CM16"/>
    <w:basedOn w:val="Default"/>
    <w:next w:val="Default"/>
    <w:uiPriority w:val="99"/>
    <w:rsid w:val="00794B3F"/>
    <w:rPr>
      <w:rFonts w:cs="Times New Roman"/>
      <w:color w:val="auto"/>
    </w:rPr>
  </w:style>
  <w:style w:type="paragraph" w:customStyle="1" w:styleId="CM6">
    <w:name w:val="CM6"/>
    <w:basedOn w:val="Default"/>
    <w:next w:val="Default"/>
    <w:uiPriority w:val="99"/>
    <w:rsid w:val="00794B3F"/>
    <w:rPr>
      <w:rFonts w:cs="Times New Roman"/>
      <w:color w:val="auto"/>
    </w:rPr>
  </w:style>
  <w:style w:type="paragraph" w:customStyle="1" w:styleId="CM8">
    <w:name w:val="CM8"/>
    <w:basedOn w:val="Default"/>
    <w:next w:val="Default"/>
    <w:uiPriority w:val="99"/>
    <w:rsid w:val="00794B3F"/>
    <w:pPr>
      <w:spacing w:line="266" w:lineRule="atLeast"/>
    </w:pPr>
    <w:rPr>
      <w:rFonts w:cs="Times New Roman"/>
      <w:color w:val="auto"/>
    </w:rPr>
  </w:style>
  <w:style w:type="paragraph" w:customStyle="1" w:styleId="CM10">
    <w:name w:val="CM10"/>
    <w:basedOn w:val="Default"/>
    <w:next w:val="Default"/>
    <w:uiPriority w:val="99"/>
    <w:rsid w:val="00794B3F"/>
    <w:pPr>
      <w:spacing w:line="268" w:lineRule="atLeast"/>
    </w:pPr>
    <w:rPr>
      <w:rFonts w:cs="Times New Roman"/>
      <w:color w:val="auto"/>
    </w:rPr>
  </w:style>
  <w:style w:type="paragraph" w:styleId="Header">
    <w:name w:val="header"/>
    <w:basedOn w:val="Normal"/>
    <w:link w:val="HeaderChar"/>
    <w:uiPriority w:val="99"/>
    <w:unhideWhenUsed/>
    <w:rsid w:val="00794B3F"/>
    <w:pPr>
      <w:tabs>
        <w:tab w:val="center" w:pos="4680"/>
        <w:tab w:val="right" w:pos="9360"/>
      </w:tabs>
    </w:pPr>
  </w:style>
  <w:style w:type="character" w:customStyle="1" w:styleId="HeaderChar">
    <w:name w:val="Header Char"/>
    <w:basedOn w:val="DefaultParagraphFont"/>
    <w:link w:val="Header"/>
    <w:uiPriority w:val="99"/>
    <w:rsid w:val="00794B3F"/>
    <w:rPr>
      <w:rFonts w:eastAsia="Times New Roman" w:cs="Times New Roman"/>
      <w:szCs w:val="24"/>
    </w:rPr>
  </w:style>
  <w:style w:type="paragraph" w:styleId="Footer">
    <w:name w:val="footer"/>
    <w:basedOn w:val="Normal"/>
    <w:link w:val="FooterChar"/>
    <w:uiPriority w:val="99"/>
    <w:unhideWhenUsed/>
    <w:rsid w:val="00794B3F"/>
    <w:pPr>
      <w:tabs>
        <w:tab w:val="center" w:pos="4680"/>
        <w:tab w:val="right" w:pos="9360"/>
      </w:tabs>
    </w:pPr>
  </w:style>
  <w:style w:type="character" w:customStyle="1" w:styleId="FooterChar">
    <w:name w:val="Footer Char"/>
    <w:basedOn w:val="DefaultParagraphFont"/>
    <w:link w:val="Footer"/>
    <w:uiPriority w:val="99"/>
    <w:rsid w:val="00794B3F"/>
    <w:rPr>
      <w:rFonts w:eastAsia="Times New Roman" w:cs="Times New Roman"/>
      <w:szCs w:val="24"/>
    </w:rPr>
  </w:style>
  <w:style w:type="paragraph" w:styleId="ListParagraph">
    <w:name w:val="List Paragraph"/>
    <w:basedOn w:val="Normal"/>
    <w:uiPriority w:val="34"/>
    <w:qFormat/>
    <w:rsid w:val="00794B3F"/>
    <w:pPr>
      <w:ind w:left="720"/>
      <w:contextualSpacing/>
    </w:pPr>
  </w:style>
  <w:style w:type="table" w:styleId="TableGrid">
    <w:name w:val="Table Grid"/>
    <w:basedOn w:val="TableNormal"/>
    <w:uiPriority w:val="59"/>
    <w:rsid w:val="0079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C9D"/>
    <w:rPr>
      <w:rFonts w:ascii="Tahoma" w:hAnsi="Tahoma" w:cs="Tahoma"/>
      <w:sz w:val="16"/>
      <w:szCs w:val="16"/>
    </w:rPr>
  </w:style>
  <w:style w:type="character" w:customStyle="1" w:styleId="BalloonTextChar">
    <w:name w:val="Balloon Text Char"/>
    <w:basedOn w:val="DefaultParagraphFont"/>
    <w:link w:val="BalloonText"/>
    <w:uiPriority w:val="99"/>
    <w:semiHidden/>
    <w:rsid w:val="00340C9D"/>
    <w:rPr>
      <w:rFonts w:ascii="Tahoma" w:eastAsia="Times New Roman" w:hAnsi="Tahoma" w:cs="Tahoma"/>
      <w:sz w:val="16"/>
      <w:szCs w:val="16"/>
    </w:rPr>
  </w:style>
  <w:style w:type="character" w:styleId="Hyperlink">
    <w:name w:val="Hyperlink"/>
    <w:basedOn w:val="DefaultParagraphFont"/>
    <w:uiPriority w:val="99"/>
    <w:unhideWhenUsed/>
    <w:rsid w:val="00767962"/>
    <w:rPr>
      <w:color w:val="0000FF"/>
      <w:u w:val="single"/>
    </w:rPr>
  </w:style>
  <w:style w:type="paragraph" w:customStyle="1" w:styleId="Level1">
    <w:name w:val="Level 1"/>
    <w:basedOn w:val="Normal"/>
    <w:rsid w:val="00E2237D"/>
    <w:pPr>
      <w:outlineLvl w:val="0"/>
    </w:pPr>
    <w:rPr>
      <w:rFonts w:ascii="Courier" w:hAnsi="Courier"/>
    </w:rPr>
  </w:style>
  <w:style w:type="character" w:styleId="UnresolvedMention">
    <w:name w:val="Unresolved Mention"/>
    <w:basedOn w:val="DefaultParagraphFont"/>
    <w:uiPriority w:val="99"/>
    <w:semiHidden/>
    <w:unhideWhenUsed/>
    <w:rsid w:val="001603FD"/>
    <w:rPr>
      <w:color w:val="605E5C"/>
      <w:shd w:val="clear" w:color="auto" w:fill="E1DFDD"/>
    </w:rPr>
  </w:style>
  <w:style w:type="character" w:styleId="CommentReference">
    <w:name w:val="annotation reference"/>
    <w:basedOn w:val="DefaultParagraphFont"/>
    <w:uiPriority w:val="99"/>
    <w:semiHidden/>
    <w:unhideWhenUsed/>
    <w:rsid w:val="0015232B"/>
    <w:rPr>
      <w:sz w:val="16"/>
      <w:szCs w:val="16"/>
    </w:rPr>
  </w:style>
  <w:style w:type="paragraph" w:styleId="CommentText">
    <w:name w:val="annotation text"/>
    <w:basedOn w:val="Normal"/>
    <w:link w:val="CommentTextChar"/>
    <w:uiPriority w:val="99"/>
    <w:unhideWhenUsed/>
    <w:rsid w:val="0015232B"/>
    <w:rPr>
      <w:sz w:val="20"/>
      <w:szCs w:val="20"/>
    </w:rPr>
  </w:style>
  <w:style w:type="character" w:customStyle="1" w:styleId="CommentTextChar">
    <w:name w:val="Comment Text Char"/>
    <w:basedOn w:val="DefaultParagraphFont"/>
    <w:link w:val="CommentText"/>
    <w:uiPriority w:val="99"/>
    <w:rsid w:val="0015232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232B"/>
    <w:rPr>
      <w:b/>
      <w:bCs/>
    </w:rPr>
  </w:style>
  <w:style w:type="character" w:customStyle="1" w:styleId="CommentSubjectChar">
    <w:name w:val="Comment Subject Char"/>
    <w:basedOn w:val="CommentTextChar"/>
    <w:link w:val="CommentSubject"/>
    <w:uiPriority w:val="99"/>
    <w:semiHidden/>
    <w:rsid w:val="0015232B"/>
    <w:rPr>
      <w:rFonts w:eastAsia="Times New Roman" w:cs="Times New Roman"/>
      <w:b/>
      <w:bCs/>
      <w:sz w:val="20"/>
      <w:szCs w:val="20"/>
    </w:rPr>
  </w:style>
  <w:style w:type="paragraph" w:styleId="Revision">
    <w:name w:val="Revision"/>
    <w:hidden/>
    <w:uiPriority w:val="99"/>
    <w:semiHidden/>
    <w:rsid w:val="0015232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Schoonmaker Jason M</cp:lastModifiedBy>
  <cp:revision>2</cp:revision>
  <cp:lastPrinted>2018-11-27T18:03:00Z</cp:lastPrinted>
  <dcterms:created xsi:type="dcterms:W3CDTF">2025-08-01T17:35:00Z</dcterms:created>
  <dcterms:modified xsi:type="dcterms:W3CDTF">2025-08-01T17:35:00Z</dcterms:modified>
</cp:coreProperties>
</file>