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3CBA" w:rsidRPr="00191B58" w:rsidP="00BE3CBA" w14:paraId="7FE24480" w14:textId="69724C4A">
      <w:pPr>
        <w:jc w:val="center"/>
        <w:rPr>
          <w:rFonts w:asciiTheme="minorHAnsi" w:hAnsiTheme="minorHAnsi" w:cstheme="minorHAnsi"/>
          <w:b/>
          <w:bCs/>
          <w:color w:val="000000" w:themeColor="text1"/>
        </w:rPr>
      </w:pPr>
      <w:r w:rsidRPr="00191B58">
        <w:rPr>
          <w:rFonts w:asciiTheme="minorHAnsi" w:hAnsiTheme="minorHAnsi" w:cstheme="minorHAnsi"/>
          <w:b/>
          <w:bCs/>
          <w:color w:val="000000" w:themeColor="text1"/>
        </w:rPr>
        <w:t>COMMENT MATRIX</w:t>
      </w:r>
    </w:p>
    <w:p w:rsidR="00BE3CBA" w:rsidRPr="00191B58" w14:paraId="6B3D7F84" w14:textId="77777777">
      <w:pPr>
        <w:rPr>
          <w:color w:val="000000" w:themeColor="text1"/>
        </w:rPr>
      </w:pPr>
    </w:p>
    <w:tbl>
      <w:tblPr>
        <w:tblStyle w:val="TableGrid"/>
        <w:tblW w:w="10345" w:type="dxa"/>
        <w:tblLayout w:type="fixed"/>
        <w:tblLook w:val="04A0"/>
      </w:tblPr>
      <w:tblGrid>
        <w:gridCol w:w="715"/>
        <w:gridCol w:w="4680"/>
        <w:gridCol w:w="4950"/>
      </w:tblGrid>
      <w:tr w14:paraId="1D3D2F3F" w14:textId="77777777" w:rsidTr="00CE533A">
        <w:tblPrEx>
          <w:tblW w:w="10345" w:type="dxa"/>
          <w:tblLayout w:type="fixed"/>
          <w:tblLook w:val="04A0"/>
        </w:tblPrEx>
        <w:tc>
          <w:tcPr>
            <w:tcW w:w="10345" w:type="dxa"/>
            <w:gridSpan w:val="3"/>
          </w:tcPr>
          <w:p w:rsidR="001114B2" w:rsidRPr="00191B58" w:rsidP="001114B2" w14:paraId="7F598E17" w14:textId="77777777">
            <w:pPr>
              <w:jc w:val="center"/>
              <w:rPr>
                <w:rFonts w:asciiTheme="minorHAnsi" w:hAnsiTheme="minorHAnsi" w:cstheme="minorHAnsi"/>
                <w:b/>
                <w:color w:val="000000" w:themeColor="text1"/>
                <w:sz w:val="22"/>
                <w:szCs w:val="22"/>
              </w:rPr>
            </w:pPr>
            <w:r w:rsidRPr="00191B58">
              <w:rPr>
                <w:rFonts w:asciiTheme="minorHAnsi" w:hAnsiTheme="minorHAnsi" w:cstheme="minorHAnsi"/>
                <w:b/>
                <w:color w:val="000000" w:themeColor="text1"/>
                <w:sz w:val="22"/>
                <w:szCs w:val="22"/>
              </w:rPr>
              <w:t xml:space="preserve">Groom Law Group Comments dated June 11, 2025, </w:t>
            </w:r>
            <w:r w:rsidRPr="00191B58">
              <w:rPr>
                <w:rFonts w:asciiTheme="minorHAnsi" w:hAnsiTheme="minorHAnsi" w:cstheme="minorHAnsi"/>
                <w:b/>
                <w:color w:val="000000" w:themeColor="text1"/>
                <w:sz w:val="22"/>
                <w:szCs w:val="22"/>
              </w:rPr>
              <w:br/>
              <w:t>Reporting Forms 1094- and 1095-B</w:t>
            </w:r>
          </w:p>
          <w:p w:rsidR="001114B2" w:rsidRPr="00191B58" w:rsidP="001114B2" w14:paraId="422B9698" w14:textId="29AD0D0E">
            <w:pPr>
              <w:rPr>
                <w:rFonts w:asciiTheme="minorHAnsi" w:hAnsiTheme="minorHAnsi" w:cstheme="minorHAnsi"/>
                <w:b/>
                <w:i/>
                <w:iCs/>
                <w:color w:val="000000" w:themeColor="text1"/>
                <w:sz w:val="22"/>
                <w:szCs w:val="22"/>
              </w:rPr>
            </w:pPr>
            <w:r w:rsidRPr="00191B58">
              <w:rPr>
                <w:rFonts w:asciiTheme="minorHAnsi" w:hAnsiTheme="minorHAnsi" w:cstheme="minorHAnsi"/>
                <w:bCs/>
                <w:i/>
                <w:iCs/>
                <w:color w:val="000000" w:themeColor="text1"/>
                <w:sz w:val="22"/>
                <w:szCs w:val="22"/>
              </w:rPr>
              <w:t>Note: Page numbers are based on the PDF document consisting of 8 pages (internal page numbering within that document differs).</w:t>
            </w:r>
          </w:p>
        </w:tc>
      </w:tr>
      <w:tr w14:paraId="1AE5FDAC" w14:textId="77777777" w:rsidTr="00D37F74">
        <w:tblPrEx>
          <w:tblW w:w="10345" w:type="dxa"/>
          <w:tblLayout w:type="fixed"/>
          <w:tblLook w:val="04A0"/>
        </w:tblPrEx>
        <w:tc>
          <w:tcPr>
            <w:tcW w:w="715" w:type="dxa"/>
          </w:tcPr>
          <w:p w:rsidR="00BF7092" w:rsidRPr="00191B58" w:rsidP="00D37F74" w14:paraId="05E94A2F" w14:textId="77777777">
            <w:pPr>
              <w:rPr>
                <w:rFonts w:asciiTheme="minorHAnsi" w:hAnsiTheme="minorHAnsi" w:cstheme="minorHAnsi"/>
                <w:b/>
                <w:color w:val="000000" w:themeColor="text1"/>
                <w:sz w:val="22"/>
                <w:szCs w:val="22"/>
              </w:rPr>
            </w:pPr>
            <w:r w:rsidRPr="00191B58">
              <w:rPr>
                <w:rFonts w:asciiTheme="minorHAnsi" w:hAnsiTheme="minorHAnsi" w:cstheme="minorHAnsi"/>
                <w:b/>
                <w:color w:val="000000" w:themeColor="text1"/>
                <w:sz w:val="22"/>
                <w:szCs w:val="22"/>
              </w:rPr>
              <w:t>Page no.</w:t>
            </w:r>
          </w:p>
        </w:tc>
        <w:tc>
          <w:tcPr>
            <w:tcW w:w="4680" w:type="dxa"/>
          </w:tcPr>
          <w:p w:rsidR="00BF7092" w:rsidRPr="00191B58" w:rsidP="00D37F74" w14:paraId="61CFB36E" w14:textId="77777777">
            <w:pPr>
              <w:rPr>
                <w:rFonts w:asciiTheme="minorHAnsi" w:hAnsiTheme="minorHAnsi" w:cstheme="minorHAnsi"/>
                <w:b/>
                <w:color w:val="000000" w:themeColor="text1"/>
                <w:sz w:val="22"/>
                <w:szCs w:val="22"/>
              </w:rPr>
            </w:pPr>
          </w:p>
          <w:p w:rsidR="00BF7092" w:rsidRPr="00191B58" w:rsidP="00D37F74" w14:paraId="7823724D" w14:textId="3730D0E0">
            <w:pPr>
              <w:rPr>
                <w:rFonts w:asciiTheme="minorHAnsi" w:hAnsiTheme="minorHAnsi" w:cstheme="minorHAnsi"/>
                <w:b/>
                <w:color w:val="000000" w:themeColor="text1"/>
                <w:sz w:val="22"/>
                <w:szCs w:val="22"/>
              </w:rPr>
            </w:pPr>
            <w:r w:rsidRPr="00191B58">
              <w:rPr>
                <w:rFonts w:asciiTheme="minorHAnsi" w:hAnsiTheme="minorHAnsi" w:cstheme="minorHAnsi"/>
                <w:b/>
                <w:color w:val="000000" w:themeColor="text1"/>
                <w:sz w:val="22"/>
                <w:szCs w:val="22"/>
              </w:rPr>
              <w:t>Summary of comment</w:t>
            </w:r>
          </w:p>
        </w:tc>
        <w:tc>
          <w:tcPr>
            <w:tcW w:w="4950" w:type="dxa"/>
          </w:tcPr>
          <w:p w:rsidR="00BF7092" w:rsidRPr="00191B58" w:rsidP="00D37F74" w14:paraId="02E4F108" w14:textId="77777777">
            <w:pPr>
              <w:rPr>
                <w:rFonts w:asciiTheme="minorHAnsi" w:hAnsiTheme="minorHAnsi" w:cstheme="minorHAnsi"/>
                <w:b/>
                <w:color w:val="000000" w:themeColor="text1"/>
                <w:sz w:val="22"/>
                <w:szCs w:val="22"/>
              </w:rPr>
            </w:pPr>
          </w:p>
          <w:p w:rsidR="00BF7092" w:rsidRPr="00191B58" w:rsidP="00D37F74" w14:paraId="23FF7987" w14:textId="1909C8F3">
            <w:pPr>
              <w:rPr>
                <w:rFonts w:asciiTheme="minorHAnsi" w:hAnsiTheme="minorHAnsi" w:cstheme="minorHAnsi"/>
                <w:b/>
                <w:color w:val="000000" w:themeColor="text1"/>
                <w:sz w:val="22"/>
                <w:szCs w:val="22"/>
              </w:rPr>
            </w:pPr>
            <w:r w:rsidRPr="00191B58">
              <w:rPr>
                <w:rFonts w:asciiTheme="minorHAnsi" w:hAnsiTheme="minorHAnsi" w:cstheme="minorHAnsi"/>
                <w:b/>
                <w:color w:val="000000" w:themeColor="text1"/>
                <w:sz w:val="22"/>
                <w:szCs w:val="22"/>
              </w:rPr>
              <w:t>IRS Response</w:t>
            </w:r>
          </w:p>
        </w:tc>
      </w:tr>
      <w:tr w14:paraId="3D775B4F" w14:textId="77777777" w:rsidTr="00D37F74">
        <w:tblPrEx>
          <w:tblW w:w="10345" w:type="dxa"/>
          <w:tblLayout w:type="fixed"/>
          <w:tblLook w:val="04A0"/>
        </w:tblPrEx>
        <w:tc>
          <w:tcPr>
            <w:tcW w:w="715" w:type="dxa"/>
          </w:tcPr>
          <w:p w:rsidR="00BF7092" w:rsidRPr="00191B58" w:rsidP="00D37F74" w14:paraId="044180DC" w14:textId="417991FB">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1-2</w:t>
            </w:r>
          </w:p>
        </w:tc>
        <w:tc>
          <w:tcPr>
            <w:tcW w:w="4680" w:type="dxa"/>
          </w:tcPr>
          <w:p w:rsidR="00BF7092" w:rsidRPr="00191B58" w:rsidP="00D37F74" w14:paraId="5FF93570" w14:textId="1D8F35E8">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Forms 1094-B and 1095-B are</w:t>
            </w:r>
            <w:r w:rsidRPr="00191B58" w:rsidR="00F50D99">
              <w:rPr>
                <w:rFonts w:asciiTheme="minorHAnsi" w:hAnsiTheme="minorHAnsi" w:cstheme="minorHAnsi"/>
                <w:bCs/>
                <w:color w:val="000000" w:themeColor="text1"/>
                <w:sz w:val="22"/>
                <w:szCs w:val="22"/>
              </w:rPr>
              <w:t xml:space="preserve"> duplicates of 1095-A, 1094-</w:t>
            </w:r>
            <w:r w:rsidRPr="00191B58" w:rsidR="00BB174B">
              <w:rPr>
                <w:rFonts w:asciiTheme="minorHAnsi" w:hAnsiTheme="minorHAnsi" w:cstheme="minorHAnsi"/>
                <w:bCs/>
                <w:color w:val="000000" w:themeColor="text1"/>
                <w:sz w:val="22"/>
                <w:szCs w:val="22"/>
              </w:rPr>
              <w:t>C</w:t>
            </w:r>
            <w:r w:rsidRPr="00191B58" w:rsidR="00F50D99">
              <w:rPr>
                <w:rFonts w:asciiTheme="minorHAnsi" w:hAnsiTheme="minorHAnsi" w:cstheme="minorHAnsi"/>
                <w:bCs/>
                <w:color w:val="000000" w:themeColor="text1"/>
                <w:sz w:val="22"/>
                <w:szCs w:val="22"/>
              </w:rPr>
              <w:t xml:space="preserve"> and </w:t>
            </w:r>
            <w:r w:rsidRPr="00191B58" w:rsidR="00BB174B">
              <w:rPr>
                <w:rFonts w:asciiTheme="minorHAnsi" w:hAnsiTheme="minorHAnsi" w:cstheme="minorHAnsi"/>
                <w:bCs/>
                <w:color w:val="000000" w:themeColor="text1"/>
                <w:sz w:val="22"/>
                <w:szCs w:val="22"/>
              </w:rPr>
              <w:t>1095-C</w:t>
            </w:r>
            <w:r w:rsidRPr="00191B58" w:rsidR="001D527F">
              <w:rPr>
                <w:rFonts w:asciiTheme="minorHAnsi" w:hAnsiTheme="minorHAnsi" w:cstheme="minorHAnsi"/>
                <w:bCs/>
                <w:color w:val="000000" w:themeColor="text1"/>
                <w:sz w:val="22"/>
                <w:szCs w:val="22"/>
              </w:rPr>
              <w:t>.</w:t>
            </w:r>
          </w:p>
        </w:tc>
        <w:tc>
          <w:tcPr>
            <w:tcW w:w="4950" w:type="dxa"/>
          </w:tcPr>
          <w:p w:rsidR="00BF7092" w:rsidRPr="00191B58" w:rsidP="00D37F74" w14:paraId="7683E865" w14:textId="5075635B">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The Form 1094-B and 1095-B are not duplicates, these are considered transmittals or cover sheets for the filing information </w:t>
            </w:r>
            <w:r w:rsidRPr="00191B58" w:rsidR="00663501">
              <w:rPr>
                <w:rFonts w:asciiTheme="minorHAnsi" w:hAnsiTheme="minorHAnsi" w:cstheme="minorHAnsi"/>
                <w:bCs/>
                <w:color w:val="000000" w:themeColor="text1"/>
                <w:sz w:val="22"/>
                <w:szCs w:val="22"/>
              </w:rPr>
              <w:t xml:space="preserve">required under </w:t>
            </w:r>
            <w:r w:rsidRPr="00191B58" w:rsidR="00BB708C">
              <w:rPr>
                <w:rFonts w:asciiTheme="minorHAnsi" w:hAnsiTheme="minorHAnsi" w:cstheme="minorHAnsi"/>
                <w:bCs/>
                <w:color w:val="000000" w:themeColor="text1"/>
                <w:sz w:val="22"/>
                <w:szCs w:val="22"/>
              </w:rPr>
              <w:t>S</w:t>
            </w:r>
            <w:r w:rsidRPr="00191B58" w:rsidR="00663501">
              <w:rPr>
                <w:rFonts w:asciiTheme="minorHAnsi" w:hAnsiTheme="minorHAnsi" w:cstheme="minorHAnsi"/>
                <w:bCs/>
                <w:color w:val="000000" w:themeColor="text1"/>
                <w:sz w:val="22"/>
                <w:szCs w:val="22"/>
              </w:rPr>
              <w:t>ection 6055 for providers of coverage. T</w:t>
            </w:r>
            <w:r w:rsidRPr="00191B58">
              <w:rPr>
                <w:rFonts w:asciiTheme="minorHAnsi" w:hAnsiTheme="minorHAnsi" w:cstheme="minorHAnsi"/>
                <w:bCs/>
                <w:color w:val="000000" w:themeColor="text1"/>
                <w:sz w:val="22"/>
                <w:szCs w:val="22"/>
              </w:rPr>
              <w:t>he Form</w:t>
            </w:r>
            <w:r w:rsidRPr="00191B58" w:rsidR="00663501">
              <w:rPr>
                <w:rFonts w:asciiTheme="minorHAnsi" w:hAnsiTheme="minorHAnsi" w:cstheme="minorHAnsi"/>
                <w:bCs/>
                <w:color w:val="000000" w:themeColor="text1"/>
                <w:sz w:val="22"/>
                <w:szCs w:val="22"/>
              </w:rPr>
              <w:t>s</w:t>
            </w:r>
            <w:r w:rsidRPr="00191B58">
              <w:rPr>
                <w:rFonts w:asciiTheme="minorHAnsi" w:hAnsiTheme="minorHAnsi" w:cstheme="minorHAnsi"/>
                <w:bCs/>
                <w:color w:val="000000" w:themeColor="text1"/>
                <w:sz w:val="22"/>
                <w:szCs w:val="22"/>
              </w:rPr>
              <w:t xml:space="preserve"> 1094-C and 1095-C</w:t>
            </w:r>
            <w:r w:rsidRPr="00191B58" w:rsidR="00663501">
              <w:rPr>
                <w:rFonts w:asciiTheme="minorHAnsi" w:hAnsiTheme="minorHAnsi" w:cstheme="minorHAnsi"/>
                <w:bCs/>
                <w:color w:val="000000" w:themeColor="text1"/>
                <w:sz w:val="22"/>
                <w:szCs w:val="22"/>
              </w:rPr>
              <w:t xml:space="preserve"> include the filing information required under </w:t>
            </w:r>
            <w:r w:rsidRPr="00191B58" w:rsidR="00BB708C">
              <w:rPr>
                <w:rFonts w:asciiTheme="minorHAnsi" w:hAnsiTheme="minorHAnsi" w:cstheme="minorHAnsi"/>
                <w:bCs/>
                <w:color w:val="000000" w:themeColor="text1"/>
                <w:sz w:val="22"/>
                <w:szCs w:val="22"/>
              </w:rPr>
              <w:t>S</w:t>
            </w:r>
            <w:r w:rsidRPr="00191B58" w:rsidR="00663501">
              <w:rPr>
                <w:rFonts w:asciiTheme="minorHAnsi" w:hAnsiTheme="minorHAnsi" w:cstheme="minorHAnsi"/>
                <w:bCs/>
                <w:color w:val="000000" w:themeColor="text1"/>
                <w:sz w:val="22"/>
                <w:szCs w:val="22"/>
              </w:rPr>
              <w:t>ection 6056 for applicable large employers</w:t>
            </w:r>
            <w:r w:rsidRPr="00191B58">
              <w:rPr>
                <w:rFonts w:asciiTheme="minorHAnsi" w:hAnsiTheme="minorHAnsi" w:cstheme="minorHAnsi"/>
                <w:bCs/>
                <w:color w:val="000000" w:themeColor="text1"/>
                <w:sz w:val="22"/>
                <w:szCs w:val="22"/>
              </w:rPr>
              <w:t>.</w:t>
            </w:r>
            <w:r w:rsidRPr="00191B58" w:rsidR="00CE623A">
              <w:rPr>
                <w:rFonts w:asciiTheme="minorHAnsi" w:hAnsiTheme="minorHAnsi" w:cstheme="minorHAnsi"/>
                <w:bCs/>
                <w:color w:val="000000" w:themeColor="text1"/>
                <w:sz w:val="22"/>
                <w:szCs w:val="22"/>
              </w:rPr>
              <w:t xml:space="preserve"> </w:t>
            </w:r>
            <w:r w:rsidRPr="00191B58" w:rsidR="00663501">
              <w:rPr>
                <w:rFonts w:asciiTheme="minorHAnsi" w:hAnsiTheme="minorHAnsi" w:cstheme="minorHAnsi"/>
                <w:bCs/>
                <w:color w:val="000000" w:themeColor="text1"/>
                <w:sz w:val="22"/>
                <w:szCs w:val="22"/>
              </w:rPr>
              <w:t xml:space="preserve">The Form 1095-A reports information from the Exchange about a qualified health plan and premiums for those plans. </w:t>
            </w:r>
          </w:p>
        </w:tc>
      </w:tr>
      <w:tr w14:paraId="42920A1B" w14:textId="77777777" w:rsidTr="00D37F74">
        <w:tblPrEx>
          <w:tblW w:w="10345" w:type="dxa"/>
          <w:tblLayout w:type="fixed"/>
          <w:tblLook w:val="04A0"/>
        </w:tblPrEx>
        <w:tc>
          <w:tcPr>
            <w:tcW w:w="715" w:type="dxa"/>
          </w:tcPr>
          <w:p w:rsidR="00BF7092" w:rsidRPr="00191B58" w:rsidP="00D37F74" w14:paraId="26F6BFD7" w14:textId="267D7092">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2</w:t>
            </w:r>
          </w:p>
        </w:tc>
        <w:tc>
          <w:tcPr>
            <w:tcW w:w="4680" w:type="dxa"/>
          </w:tcPr>
          <w:p w:rsidR="00BF7092" w:rsidRPr="00191B58" w:rsidP="00D37F74" w14:paraId="632A6249" w14:textId="1F15ACB4">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These form collections requirements are obsolete and </w:t>
            </w:r>
            <w:r w:rsidRPr="00191B58" w:rsidR="001D527F">
              <w:rPr>
                <w:rFonts w:asciiTheme="minorHAnsi" w:hAnsiTheme="minorHAnsi" w:cstheme="minorHAnsi"/>
                <w:bCs/>
                <w:color w:val="000000" w:themeColor="text1"/>
                <w:sz w:val="22"/>
                <w:szCs w:val="22"/>
              </w:rPr>
              <w:t>major burden to businesses.</w:t>
            </w:r>
          </w:p>
        </w:tc>
        <w:tc>
          <w:tcPr>
            <w:tcW w:w="4950" w:type="dxa"/>
          </w:tcPr>
          <w:p w:rsidR="003F6B02" w:rsidRPr="00191B58" w:rsidP="00D37F74" w14:paraId="3E9CF580" w14:textId="77777777">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Section</w:t>
            </w:r>
            <w:r w:rsidRPr="00191B58" w:rsidR="008E0EE3">
              <w:rPr>
                <w:rFonts w:asciiTheme="minorHAnsi" w:hAnsiTheme="minorHAnsi" w:cstheme="minorHAnsi"/>
                <w:bCs/>
                <w:color w:val="000000" w:themeColor="text1"/>
                <w:sz w:val="22"/>
                <w:szCs w:val="22"/>
              </w:rPr>
              <w:t xml:space="preserve"> 6055 </w:t>
            </w:r>
            <w:r w:rsidRPr="00191B58" w:rsidR="00CE623A">
              <w:rPr>
                <w:rFonts w:asciiTheme="minorHAnsi" w:hAnsiTheme="minorHAnsi" w:cstheme="minorHAnsi"/>
                <w:bCs/>
                <w:color w:val="000000" w:themeColor="text1"/>
                <w:sz w:val="22"/>
                <w:szCs w:val="22"/>
              </w:rPr>
              <w:t xml:space="preserve">and </w:t>
            </w:r>
            <w:r w:rsidRPr="00191B58" w:rsidR="008E0EE3">
              <w:rPr>
                <w:rFonts w:asciiTheme="minorHAnsi" w:hAnsiTheme="minorHAnsi" w:cstheme="minorHAnsi"/>
                <w:bCs/>
                <w:color w:val="000000" w:themeColor="text1"/>
                <w:sz w:val="22"/>
                <w:szCs w:val="22"/>
              </w:rPr>
              <w:t xml:space="preserve">6056 </w:t>
            </w:r>
            <w:r w:rsidRPr="00191B58" w:rsidR="00663501">
              <w:rPr>
                <w:rFonts w:asciiTheme="minorHAnsi" w:hAnsiTheme="minorHAnsi" w:cstheme="minorHAnsi"/>
                <w:bCs/>
                <w:color w:val="000000" w:themeColor="text1"/>
                <w:sz w:val="22"/>
                <w:szCs w:val="22"/>
              </w:rPr>
              <w:t>require certain information reporting and these forms are used to collect that information</w:t>
            </w:r>
            <w:r w:rsidRPr="00191B58" w:rsidR="00CE623A">
              <w:rPr>
                <w:rFonts w:asciiTheme="minorHAnsi" w:hAnsiTheme="minorHAnsi" w:cstheme="minorHAnsi"/>
                <w:bCs/>
                <w:color w:val="000000" w:themeColor="text1"/>
                <w:sz w:val="22"/>
                <w:szCs w:val="22"/>
              </w:rPr>
              <w:t>, neither of which are obsolete</w:t>
            </w:r>
            <w:r w:rsidRPr="00191B58" w:rsidR="008E0EE3">
              <w:rPr>
                <w:rFonts w:asciiTheme="minorHAnsi" w:hAnsiTheme="minorHAnsi" w:cstheme="minorHAnsi"/>
                <w:bCs/>
                <w:color w:val="000000" w:themeColor="text1"/>
                <w:sz w:val="22"/>
                <w:szCs w:val="22"/>
              </w:rPr>
              <w:t>.</w:t>
            </w:r>
            <w:r w:rsidRPr="00191B58" w:rsidR="00663501">
              <w:rPr>
                <w:rFonts w:asciiTheme="minorHAnsi" w:hAnsiTheme="minorHAnsi" w:cstheme="minorHAnsi"/>
                <w:bCs/>
                <w:color w:val="000000" w:themeColor="text1"/>
                <w:sz w:val="22"/>
                <w:szCs w:val="22"/>
              </w:rPr>
              <w:t xml:space="preserve"> </w:t>
            </w:r>
          </w:p>
          <w:p w:rsidR="003F6B02" w:rsidRPr="00191B58" w:rsidP="00D37F74" w14:paraId="3F56E701" w14:textId="77777777">
            <w:pPr>
              <w:rPr>
                <w:rFonts w:asciiTheme="minorHAnsi" w:hAnsiTheme="minorHAnsi" w:cstheme="minorHAnsi"/>
                <w:bCs/>
                <w:color w:val="000000" w:themeColor="text1"/>
                <w:sz w:val="22"/>
                <w:szCs w:val="22"/>
              </w:rPr>
            </w:pPr>
          </w:p>
          <w:p w:rsidR="00BF7092" w:rsidRPr="00191B58" w:rsidP="00D37F74" w14:paraId="6C0979C9" w14:textId="140540EA">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IRS cannot obsolete these forms without a change to the authorizing statute</w:t>
            </w:r>
            <w:r w:rsidRPr="00191B58" w:rsidR="004D2C25">
              <w:rPr>
                <w:rFonts w:asciiTheme="minorHAnsi" w:hAnsiTheme="minorHAnsi" w:cstheme="minorHAnsi"/>
                <w:bCs/>
                <w:color w:val="000000" w:themeColor="text1"/>
                <w:sz w:val="22"/>
                <w:szCs w:val="22"/>
              </w:rPr>
              <w:t>.</w:t>
            </w:r>
          </w:p>
        </w:tc>
      </w:tr>
      <w:tr w14:paraId="3C8DED3C" w14:textId="77777777" w:rsidTr="00D37F74">
        <w:tblPrEx>
          <w:tblW w:w="10345" w:type="dxa"/>
          <w:tblLayout w:type="fixed"/>
          <w:tblLook w:val="04A0"/>
        </w:tblPrEx>
        <w:tc>
          <w:tcPr>
            <w:tcW w:w="715" w:type="dxa"/>
          </w:tcPr>
          <w:p w:rsidR="00BF7092" w:rsidRPr="00191B58" w:rsidP="00D37F74" w14:paraId="779A91D6" w14:textId="632BA447">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3</w:t>
            </w:r>
          </w:p>
        </w:tc>
        <w:tc>
          <w:tcPr>
            <w:tcW w:w="4680" w:type="dxa"/>
          </w:tcPr>
          <w:p w:rsidR="00BF7092" w:rsidRPr="00191B58" w:rsidP="00D37F74" w14:paraId="7FD9AB62" w14:textId="2D48F0DF">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Form 1095-C </w:t>
            </w:r>
            <w:r w:rsidRPr="00191B58" w:rsidR="00016502">
              <w:rPr>
                <w:rFonts w:asciiTheme="minorHAnsi" w:hAnsiTheme="minorHAnsi" w:cstheme="minorHAnsi"/>
                <w:bCs/>
                <w:color w:val="000000" w:themeColor="text1"/>
                <w:sz w:val="22"/>
                <w:szCs w:val="22"/>
              </w:rPr>
              <w:t>coul</w:t>
            </w:r>
            <w:r w:rsidRPr="00191B58" w:rsidR="00C92DDA">
              <w:rPr>
                <w:rFonts w:asciiTheme="minorHAnsi" w:hAnsiTheme="minorHAnsi" w:cstheme="minorHAnsi"/>
                <w:bCs/>
                <w:color w:val="000000" w:themeColor="text1"/>
                <w:sz w:val="22"/>
                <w:szCs w:val="22"/>
              </w:rPr>
              <w:t>d</w:t>
            </w:r>
            <w:r w:rsidRPr="00191B58" w:rsidR="00016502">
              <w:rPr>
                <w:rFonts w:asciiTheme="minorHAnsi" w:hAnsiTheme="minorHAnsi" w:cstheme="minorHAnsi"/>
                <w:bCs/>
                <w:color w:val="000000" w:themeColor="text1"/>
                <w:sz w:val="22"/>
                <w:szCs w:val="22"/>
              </w:rPr>
              <w:t xml:space="preserve"> be revised by the </w:t>
            </w:r>
            <w:r w:rsidRPr="00191B58" w:rsidR="00016502">
              <w:rPr>
                <w:rFonts w:asciiTheme="minorHAnsi" w:hAnsiTheme="minorHAnsi" w:cstheme="minorHAnsi"/>
                <w:bCs/>
                <w:color w:val="000000" w:themeColor="text1"/>
                <w:sz w:val="22"/>
                <w:szCs w:val="22"/>
              </w:rPr>
              <w:t>IRS,</w:t>
            </w:r>
            <w:r w:rsidRPr="00191B58" w:rsidR="00016502">
              <w:rPr>
                <w:rFonts w:asciiTheme="minorHAnsi" w:hAnsiTheme="minorHAnsi" w:cstheme="minorHAnsi"/>
                <w:bCs/>
                <w:color w:val="000000" w:themeColor="text1"/>
                <w:sz w:val="22"/>
                <w:szCs w:val="22"/>
              </w:rPr>
              <w:t xml:space="preserve"> to </w:t>
            </w:r>
            <w:r w:rsidRPr="00191B58" w:rsidR="00681925">
              <w:rPr>
                <w:rFonts w:asciiTheme="minorHAnsi" w:hAnsiTheme="minorHAnsi" w:cstheme="minorHAnsi"/>
                <w:bCs/>
                <w:color w:val="000000" w:themeColor="text1"/>
                <w:sz w:val="22"/>
                <w:szCs w:val="22"/>
              </w:rPr>
              <w:t>incorporate</w:t>
            </w:r>
            <w:r w:rsidRPr="00191B58" w:rsidR="00016502">
              <w:rPr>
                <w:rFonts w:asciiTheme="minorHAnsi" w:hAnsiTheme="minorHAnsi" w:cstheme="minorHAnsi"/>
                <w:bCs/>
                <w:color w:val="000000" w:themeColor="text1"/>
                <w:sz w:val="22"/>
                <w:szCs w:val="22"/>
              </w:rPr>
              <w:t xml:space="preserve"> any information </w:t>
            </w:r>
            <w:r w:rsidRPr="00191B58" w:rsidR="00C92DDA">
              <w:rPr>
                <w:rFonts w:asciiTheme="minorHAnsi" w:hAnsiTheme="minorHAnsi" w:cstheme="minorHAnsi"/>
                <w:bCs/>
                <w:color w:val="000000" w:themeColor="text1"/>
                <w:sz w:val="22"/>
                <w:szCs w:val="22"/>
              </w:rPr>
              <w:t xml:space="preserve">the Agency feels is needed </w:t>
            </w:r>
            <w:r w:rsidRPr="00191B58" w:rsidR="00557CF6">
              <w:rPr>
                <w:rFonts w:asciiTheme="minorHAnsi" w:hAnsiTheme="minorHAnsi" w:cstheme="minorHAnsi"/>
                <w:bCs/>
                <w:color w:val="000000" w:themeColor="text1"/>
                <w:sz w:val="22"/>
                <w:szCs w:val="22"/>
              </w:rPr>
              <w:t>from Form 1095-B.</w:t>
            </w:r>
            <w:r w:rsidRPr="00191B58" w:rsidR="00681925">
              <w:rPr>
                <w:rFonts w:asciiTheme="minorHAnsi" w:hAnsiTheme="minorHAnsi" w:cstheme="minorHAnsi"/>
                <w:bCs/>
                <w:color w:val="000000" w:themeColor="text1"/>
                <w:sz w:val="22"/>
                <w:szCs w:val="22"/>
              </w:rPr>
              <w:t xml:space="preserve">  Eliminating the need for 2 forms.</w:t>
            </w:r>
            <w:r w:rsidRPr="00191B58" w:rsidR="00557CF6">
              <w:rPr>
                <w:rFonts w:asciiTheme="minorHAnsi" w:hAnsiTheme="minorHAnsi" w:cstheme="minorHAnsi"/>
                <w:bCs/>
                <w:color w:val="000000" w:themeColor="text1"/>
                <w:sz w:val="22"/>
                <w:szCs w:val="22"/>
              </w:rPr>
              <w:t xml:space="preserve">  </w:t>
            </w:r>
          </w:p>
        </w:tc>
        <w:tc>
          <w:tcPr>
            <w:tcW w:w="4950" w:type="dxa"/>
          </w:tcPr>
          <w:p w:rsidR="00BF7092" w:rsidRPr="00191B58" w:rsidP="00D37F74" w14:paraId="5C90DD7D" w14:textId="4B7F0110">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Section 6055 requires information reporting for providers of coverage</w:t>
            </w:r>
            <w:r w:rsidR="000C2BF0">
              <w:rPr>
                <w:rFonts w:asciiTheme="minorHAnsi" w:hAnsiTheme="minorHAnsi" w:cstheme="minorHAnsi"/>
                <w:bCs/>
                <w:color w:val="000000" w:themeColor="text1"/>
                <w:sz w:val="22"/>
                <w:szCs w:val="22"/>
              </w:rPr>
              <w:t>;</w:t>
            </w:r>
            <w:r w:rsidRPr="00191B58">
              <w:rPr>
                <w:rFonts w:asciiTheme="minorHAnsi" w:hAnsiTheme="minorHAnsi" w:cstheme="minorHAnsi"/>
                <w:bCs/>
                <w:color w:val="000000" w:themeColor="text1"/>
                <w:sz w:val="22"/>
                <w:szCs w:val="22"/>
              </w:rPr>
              <w:t xml:space="preserve"> and Section 6056 requires information reporting for applicable large employers.</w:t>
            </w:r>
            <w:r>
              <w:rPr>
                <w:rFonts w:asciiTheme="minorHAnsi" w:hAnsiTheme="minorHAnsi" w:cstheme="minorHAnsi"/>
                <w:bCs/>
                <w:color w:val="000000" w:themeColor="text1"/>
                <w:sz w:val="22"/>
                <w:szCs w:val="22"/>
              </w:rPr>
              <w:t xml:space="preserve"> </w:t>
            </w:r>
          </w:p>
        </w:tc>
      </w:tr>
      <w:tr w14:paraId="7B4DFB8A" w14:textId="77777777" w:rsidTr="00D37F74">
        <w:tblPrEx>
          <w:tblW w:w="10345" w:type="dxa"/>
          <w:tblLayout w:type="fixed"/>
          <w:tblLook w:val="04A0"/>
        </w:tblPrEx>
        <w:tc>
          <w:tcPr>
            <w:tcW w:w="715" w:type="dxa"/>
          </w:tcPr>
          <w:p w:rsidR="00BF7092" w:rsidRPr="00191B58" w:rsidP="00D37F74" w14:paraId="2BD2F50F" w14:textId="12AF1DE8">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4</w:t>
            </w:r>
          </w:p>
        </w:tc>
        <w:tc>
          <w:tcPr>
            <w:tcW w:w="4680" w:type="dxa"/>
          </w:tcPr>
          <w:p w:rsidR="00BF7092" w:rsidRPr="00191B58" w:rsidP="00D37F74" w14:paraId="1CF33B68" w14:textId="21D5322D">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 </w:t>
            </w:r>
            <w:r w:rsidRPr="00191B58" w:rsidR="00354DCD">
              <w:rPr>
                <w:rFonts w:asciiTheme="minorHAnsi" w:hAnsiTheme="minorHAnsi" w:cstheme="minorHAnsi"/>
                <w:bCs/>
                <w:color w:val="000000" w:themeColor="text1"/>
                <w:sz w:val="22"/>
                <w:szCs w:val="22"/>
              </w:rPr>
              <w:t xml:space="preserve">Amend </w:t>
            </w:r>
            <w:r w:rsidRPr="00191B58" w:rsidR="002656F5">
              <w:rPr>
                <w:rFonts w:asciiTheme="minorHAnsi" w:hAnsiTheme="minorHAnsi" w:cstheme="minorHAnsi"/>
                <w:bCs/>
                <w:color w:val="000000" w:themeColor="text1"/>
                <w:sz w:val="22"/>
                <w:szCs w:val="22"/>
              </w:rPr>
              <w:t>IRC 6055, because the regulations and guidance has become obsolete.</w:t>
            </w:r>
          </w:p>
        </w:tc>
        <w:tc>
          <w:tcPr>
            <w:tcW w:w="4950" w:type="dxa"/>
          </w:tcPr>
          <w:p w:rsidR="00BF7092" w:rsidRPr="00191B58" w:rsidP="00D37F74" w14:paraId="3A3AC2BF" w14:textId="461C8631">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Section</w:t>
            </w:r>
            <w:r w:rsidRPr="00191B58" w:rsidR="00CE623A">
              <w:rPr>
                <w:rFonts w:asciiTheme="minorHAnsi" w:hAnsiTheme="minorHAnsi" w:cstheme="minorHAnsi"/>
                <w:bCs/>
                <w:color w:val="000000" w:themeColor="text1"/>
                <w:sz w:val="22"/>
                <w:szCs w:val="22"/>
              </w:rPr>
              <w:t xml:space="preserve"> 6055 and 6056 are the tax law provisions that require the need for Form 1094-C and 1095-C, neither of which are obsolete.</w:t>
            </w:r>
            <w:r w:rsidRPr="00191B58" w:rsidR="00332813">
              <w:rPr>
                <w:rFonts w:asciiTheme="minorHAnsi" w:hAnsiTheme="minorHAnsi" w:cstheme="minorHAnsi"/>
                <w:bCs/>
                <w:color w:val="000000" w:themeColor="text1"/>
                <w:sz w:val="22"/>
                <w:szCs w:val="22"/>
              </w:rPr>
              <w:t xml:space="preserve"> </w:t>
            </w:r>
            <w:r w:rsidRPr="00191B58" w:rsidR="0099227B">
              <w:rPr>
                <w:rFonts w:asciiTheme="minorHAnsi" w:hAnsiTheme="minorHAnsi" w:cstheme="minorHAnsi"/>
                <w:bCs/>
                <w:color w:val="000000" w:themeColor="text1"/>
                <w:sz w:val="22"/>
                <w:szCs w:val="22"/>
              </w:rPr>
              <w:t>IRS cannot obsolete these forms without a change to the authorizing statute.</w:t>
            </w:r>
          </w:p>
        </w:tc>
      </w:tr>
      <w:tr w14:paraId="247A7669" w14:textId="77777777" w:rsidTr="00D37F74">
        <w:tblPrEx>
          <w:tblW w:w="10345" w:type="dxa"/>
          <w:tblLayout w:type="fixed"/>
          <w:tblLook w:val="04A0"/>
        </w:tblPrEx>
        <w:tc>
          <w:tcPr>
            <w:tcW w:w="715" w:type="dxa"/>
          </w:tcPr>
          <w:p w:rsidR="00BF7092" w:rsidRPr="00191B58" w:rsidP="00D37F74" w14:paraId="79B7DB62" w14:textId="3D5672A4">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5</w:t>
            </w:r>
          </w:p>
        </w:tc>
        <w:tc>
          <w:tcPr>
            <w:tcW w:w="4680" w:type="dxa"/>
          </w:tcPr>
          <w:p w:rsidR="00BF7092" w:rsidRPr="00191B58" w:rsidP="00D37F74" w14:paraId="439FF230" w14:textId="3376F3B1">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IRC 6055 and 6056 often overlap.</w:t>
            </w:r>
          </w:p>
        </w:tc>
        <w:tc>
          <w:tcPr>
            <w:tcW w:w="4950" w:type="dxa"/>
          </w:tcPr>
          <w:p w:rsidR="00BF7092" w:rsidRPr="00191B58" w:rsidP="00D37F74" w14:paraId="6A1AE2C4" w14:textId="3B6C96A4">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Section 6055 requires information reporting for providers of coverage and </w:t>
            </w:r>
            <w:r w:rsidRPr="00191B58" w:rsidR="00BB708C">
              <w:rPr>
                <w:rFonts w:asciiTheme="minorHAnsi" w:hAnsiTheme="minorHAnsi" w:cstheme="minorHAnsi"/>
                <w:bCs/>
                <w:color w:val="000000" w:themeColor="text1"/>
                <w:sz w:val="22"/>
                <w:szCs w:val="22"/>
              </w:rPr>
              <w:t>S</w:t>
            </w:r>
            <w:r w:rsidRPr="00191B58">
              <w:rPr>
                <w:rFonts w:asciiTheme="minorHAnsi" w:hAnsiTheme="minorHAnsi" w:cstheme="minorHAnsi"/>
                <w:bCs/>
                <w:color w:val="000000" w:themeColor="text1"/>
                <w:sz w:val="22"/>
                <w:szCs w:val="22"/>
              </w:rPr>
              <w:t>ection 6056 requires information reporting for applicable large employers.</w:t>
            </w:r>
          </w:p>
        </w:tc>
      </w:tr>
      <w:tr w14:paraId="45003603" w14:textId="77777777" w:rsidTr="008C7E77">
        <w:tblPrEx>
          <w:tblW w:w="10345" w:type="dxa"/>
          <w:tblLayout w:type="fixed"/>
          <w:tblLook w:val="04A0"/>
        </w:tblPrEx>
        <w:trPr>
          <w:trHeight w:val="440"/>
        </w:trPr>
        <w:tc>
          <w:tcPr>
            <w:tcW w:w="715" w:type="dxa"/>
          </w:tcPr>
          <w:p w:rsidR="00BF7092" w:rsidRPr="00191B58" w:rsidP="00D37F74" w14:paraId="091D61A1" w14:textId="015EF61D">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6</w:t>
            </w:r>
          </w:p>
        </w:tc>
        <w:tc>
          <w:tcPr>
            <w:tcW w:w="4680" w:type="dxa"/>
          </w:tcPr>
          <w:p w:rsidR="00BF7092" w:rsidRPr="00191B58" w:rsidP="00841589" w14:paraId="309C4608" w14:textId="012FD0C1">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Since </w:t>
            </w:r>
            <w:r w:rsidRPr="00191B58" w:rsidR="00F769F2">
              <w:rPr>
                <w:rFonts w:asciiTheme="minorHAnsi" w:hAnsiTheme="minorHAnsi" w:cstheme="minorHAnsi"/>
                <w:bCs/>
                <w:color w:val="000000" w:themeColor="text1"/>
                <w:sz w:val="22"/>
                <w:szCs w:val="22"/>
              </w:rPr>
              <w:t xml:space="preserve">2017, </w:t>
            </w:r>
            <w:r w:rsidRPr="00191B58" w:rsidR="008C7E77">
              <w:rPr>
                <w:rFonts w:asciiTheme="minorHAnsi" w:hAnsiTheme="minorHAnsi" w:cstheme="minorHAnsi"/>
                <w:bCs/>
                <w:color w:val="000000" w:themeColor="text1"/>
                <w:sz w:val="22"/>
                <w:szCs w:val="22"/>
              </w:rPr>
              <w:t>IRC 6055</w:t>
            </w:r>
            <w:r w:rsidRPr="00191B58" w:rsidR="00E00671">
              <w:rPr>
                <w:rFonts w:asciiTheme="minorHAnsi" w:hAnsiTheme="minorHAnsi" w:cstheme="minorHAnsi"/>
                <w:bCs/>
                <w:color w:val="000000" w:themeColor="text1"/>
                <w:sz w:val="22"/>
                <w:szCs w:val="22"/>
              </w:rPr>
              <w:t xml:space="preserve"> has a penalty of $0 for an individual’s failure </w:t>
            </w:r>
            <w:r w:rsidRPr="00191B58" w:rsidR="00841589">
              <w:rPr>
                <w:rFonts w:asciiTheme="minorHAnsi" w:hAnsiTheme="minorHAnsi" w:cstheme="minorHAnsi"/>
                <w:bCs/>
                <w:color w:val="000000" w:themeColor="text1"/>
                <w:sz w:val="22"/>
                <w:szCs w:val="22"/>
              </w:rPr>
              <w:t>to have minimum coverage.</w:t>
            </w:r>
          </w:p>
        </w:tc>
        <w:tc>
          <w:tcPr>
            <w:tcW w:w="4950" w:type="dxa"/>
          </w:tcPr>
          <w:p w:rsidR="00663501" w:rsidRPr="00191B58" w:rsidP="00663501" w14:paraId="70DA020E" w14:textId="200A2300">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The Tax Cuts and Jobs Act, Public Law 115-97, enacted December 22, 2017, reduced the individual shared responsibility payment penalty imposed by Section 5000A to zero percent. This is different and distinct from Section 6055, 6056, and Section 4980H which imposes information filing requirements and penalties on employers. </w:t>
            </w:r>
            <w:r w:rsidRPr="00191B58">
              <w:rPr>
                <w:rFonts w:asciiTheme="minorHAnsi" w:hAnsiTheme="minorHAnsi" w:cstheme="minorHAnsi"/>
                <w:bCs/>
                <w:color w:val="000000" w:themeColor="text1"/>
                <w:sz w:val="22"/>
                <w:szCs w:val="22"/>
              </w:rPr>
              <w:t xml:space="preserve"> </w:t>
            </w:r>
          </w:p>
          <w:p w:rsidR="00BF7092" w:rsidRPr="00191B58" w:rsidP="00D37F74" w14:paraId="76375D38" w14:textId="768DCFEA">
            <w:pPr>
              <w:rPr>
                <w:rFonts w:asciiTheme="minorHAnsi" w:hAnsiTheme="minorHAnsi" w:cstheme="minorHAnsi"/>
                <w:bCs/>
                <w:color w:val="000000" w:themeColor="text1"/>
                <w:sz w:val="22"/>
                <w:szCs w:val="22"/>
              </w:rPr>
            </w:pPr>
          </w:p>
        </w:tc>
      </w:tr>
      <w:tr w14:paraId="0C4BE2B2" w14:textId="77777777" w:rsidTr="00D37F74">
        <w:tblPrEx>
          <w:tblW w:w="10345" w:type="dxa"/>
          <w:tblLayout w:type="fixed"/>
          <w:tblLook w:val="04A0"/>
        </w:tblPrEx>
        <w:tc>
          <w:tcPr>
            <w:tcW w:w="715" w:type="dxa"/>
          </w:tcPr>
          <w:p w:rsidR="00BF7092" w:rsidRPr="00191B58" w:rsidP="00D37F74" w14:paraId="3424F6EB" w14:textId="26E102F7">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6</w:t>
            </w:r>
          </w:p>
        </w:tc>
        <w:tc>
          <w:tcPr>
            <w:tcW w:w="4680" w:type="dxa"/>
          </w:tcPr>
          <w:p w:rsidR="00BF7092" w:rsidRPr="00191B58" w:rsidP="00D37F74" w14:paraId="09216972" w14:textId="6296C747">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Health insurance providers currently must collect information related to </w:t>
            </w:r>
            <w:r w:rsidRPr="00191B58">
              <w:rPr>
                <w:rFonts w:asciiTheme="minorHAnsi" w:hAnsiTheme="minorHAnsi" w:cstheme="minorHAnsi"/>
                <w:bCs/>
                <w:color w:val="000000" w:themeColor="text1"/>
                <w:sz w:val="22"/>
                <w:szCs w:val="22"/>
              </w:rPr>
              <w:t>each individual’s</w:t>
            </w:r>
            <w:r w:rsidRPr="00191B58">
              <w:rPr>
                <w:rFonts w:asciiTheme="minorHAnsi" w:hAnsiTheme="minorHAnsi" w:cstheme="minorHAnsi"/>
                <w:bCs/>
                <w:color w:val="000000" w:themeColor="text1"/>
                <w:sz w:val="22"/>
                <w:szCs w:val="22"/>
              </w:rPr>
              <w:t xml:space="preserve"> health care coverage and submit it on an individual Form 1095-B. Many taxpayers must pay a service provider to assist with this reporting. The information, once gathered, must be provided to both the IRS and the individual, either by mail or electronically.</w:t>
            </w:r>
          </w:p>
        </w:tc>
        <w:tc>
          <w:tcPr>
            <w:tcW w:w="4950" w:type="dxa"/>
          </w:tcPr>
          <w:p w:rsidR="00BF7092" w:rsidRPr="00191B58" w:rsidP="00663501" w14:paraId="61D6E63F" w14:textId="43E8D93D">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The IRS may use the </w:t>
            </w:r>
            <w:r w:rsidRPr="00191B58" w:rsidR="00BB708C">
              <w:rPr>
                <w:rFonts w:asciiTheme="minorHAnsi" w:hAnsiTheme="minorHAnsi" w:cstheme="minorHAnsi"/>
                <w:bCs/>
                <w:color w:val="000000" w:themeColor="text1"/>
                <w:sz w:val="22"/>
                <w:szCs w:val="22"/>
              </w:rPr>
              <w:t>S</w:t>
            </w:r>
            <w:r w:rsidRPr="00191B58">
              <w:rPr>
                <w:rFonts w:asciiTheme="minorHAnsi" w:hAnsiTheme="minorHAnsi" w:cstheme="minorHAnsi"/>
                <w:bCs/>
                <w:color w:val="000000" w:themeColor="text1"/>
                <w:sz w:val="22"/>
                <w:szCs w:val="22"/>
              </w:rPr>
              <w:t>ection 6055 information reporting to determine whether individuals have other coverage that makes them ineligible for the PTC</w:t>
            </w:r>
            <w:r w:rsidRPr="00191B58" w:rsidR="005E1CE9">
              <w:rPr>
                <w:rFonts w:asciiTheme="minorHAnsi" w:hAnsiTheme="minorHAnsi" w:cstheme="minorHAnsi"/>
                <w:bCs/>
                <w:color w:val="000000" w:themeColor="text1"/>
                <w:sz w:val="22"/>
                <w:szCs w:val="22"/>
              </w:rPr>
              <w:t>.</w:t>
            </w:r>
          </w:p>
        </w:tc>
      </w:tr>
      <w:tr w14:paraId="01961C10" w14:textId="77777777" w:rsidTr="00D37F74">
        <w:tblPrEx>
          <w:tblW w:w="10345" w:type="dxa"/>
          <w:tblLayout w:type="fixed"/>
          <w:tblLook w:val="04A0"/>
        </w:tblPrEx>
        <w:tc>
          <w:tcPr>
            <w:tcW w:w="715" w:type="dxa"/>
          </w:tcPr>
          <w:p w:rsidR="00BF7092" w:rsidRPr="00191B58" w:rsidP="00D37F74" w14:paraId="0C73202B" w14:textId="5FA1A648">
            <w:pPr>
              <w:rPr>
                <w:rFonts w:asciiTheme="minorHAnsi" w:hAnsiTheme="minorHAnsi" w:cstheme="minorHAnsi"/>
                <w:bCs/>
                <w:color w:val="000000" w:themeColor="text1"/>
                <w:sz w:val="22"/>
                <w:szCs w:val="22"/>
              </w:rPr>
            </w:pPr>
            <w:bookmarkStart w:id="0" w:name="_Hlk83883647"/>
            <w:r w:rsidRPr="00191B58">
              <w:rPr>
                <w:rFonts w:asciiTheme="minorHAnsi" w:hAnsiTheme="minorHAnsi" w:cstheme="minorHAnsi"/>
                <w:bCs/>
                <w:color w:val="000000" w:themeColor="text1"/>
                <w:sz w:val="22"/>
                <w:szCs w:val="22"/>
              </w:rPr>
              <w:t>7-8</w:t>
            </w:r>
          </w:p>
        </w:tc>
        <w:tc>
          <w:tcPr>
            <w:tcW w:w="4680" w:type="dxa"/>
          </w:tcPr>
          <w:p w:rsidR="00BF7092" w:rsidRPr="00191B58" w:rsidP="00D37F74" w14:paraId="37A5D31C" w14:textId="605D91C3">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W</w:t>
            </w:r>
            <w:r w:rsidRPr="00191B58" w:rsidR="00CC5071">
              <w:rPr>
                <w:rFonts w:asciiTheme="minorHAnsi" w:hAnsiTheme="minorHAnsi" w:cstheme="minorHAnsi"/>
                <w:bCs/>
                <w:color w:val="000000" w:themeColor="text1"/>
                <w:sz w:val="22"/>
                <w:szCs w:val="22"/>
              </w:rPr>
              <w:t>e believe that this Administration can quickly and effectively relieve significant burden and save taxpayers millions of dollars and thousands of compliance hours by amending</w:t>
            </w:r>
            <w:r w:rsidRPr="00191B58">
              <w:rPr>
                <w:rFonts w:asciiTheme="minorHAnsi" w:hAnsiTheme="minorHAnsi" w:cstheme="minorHAnsi"/>
                <w:bCs/>
                <w:color w:val="000000" w:themeColor="text1"/>
                <w:sz w:val="22"/>
                <w:szCs w:val="22"/>
              </w:rPr>
              <w:t xml:space="preserve"> the current rules to eliminate unnecessary minimum essential coverage reporting. This would also eliminate the cost and burden on the IRS related to processing unnecessary Forms 1095-B. Alternatively, the Administration could issue a Notice or other </w:t>
            </w:r>
            <w:r w:rsidRPr="00191B58">
              <w:rPr>
                <w:rFonts w:asciiTheme="minorHAnsi" w:hAnsiTheme="minorHAnsi" w:cstheme="minorHAnsi"/>
                <w:bCs/>
                <w:color w:val="000000" w:themeColor="text1"/>
                <w:sz w:val="22"/>
                <w:szCs w:val="22"/>
              </w:rPr>
              <w:t>subregulatory</w:t>
            </w:r>
            <w:r w:rsidRPr="00191B58">
              <w:rPr>
                <w:rFonts w:asciiTheme="minorHAnsi" w:hAnsiTheme="minorHAnsi" w:cstheme="minorHAnsi"/>
                <w:bCs/>
                <w:color w:val="000000" w:themeColor="text1"/>
                <w:sz w:val="22"/>
                <w:szCs w:val="22"/>
              </w:rPr>
              <w:t xml:space="preserve"> guidance providing that unnecessary minimum essential coverage reporting is not required.</w:t>
            </w:r>
          </w:p>
        </w:tc>
        <w:tc>
          <w:tcPr>
            <w:tcW w:w="4950" w:type="dxa"/>
          </w:tcPr>
          <w:p w:rsidR="00BF7092" w:rsidRPr="00191B58" w:rsidP="00D37F74" w14:paraId="6FA0A991" w14:textId="4F54EC27">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This would require a change to the authorizing statute, which IRS cannot implement. </w:t>
            </w:r>
          </w:p>
        </w:tc>
      </w:tr>
      <w:bookmarkEnd w:id="0"/>
    </w:tbl>
    <w:p w:rsidR="00BF7092" w:rsidRPr="00191B58" w:rsidP="00BF7092" w14:paraId="4AAB133D" w14:textId="77777777">
      <w:pPr>
        <w:rPr>
          <w:rFonts w:asciiTheme="minorHAnsi" w:hAnsiTheme="minorHAnsi" w:cstheme="minorHAnsi"/>
          <w:bCs/>
          <w:color w:val="000000" w:themeColor="text1"/>
          <w:sz w:val="22"/>
          <w:szCs w:val="22"/>
        </w:rPr>
      </w:pPr>
    </w:p>
    <w:p w:rsidR="005A3E3B" w:rsidRPr="00191B58" w:rsidP="005A3E3B" w14:paraId="231427DD" w14:textId="0DF9DD73">
      <w:pPr>
        <w:rPr>
          <w:rFonts w:asciiTheme="minorHAnsi" w:hAnsiTheme="minorHAnsi" w:cstheme="minorHAnsi"/>
          <w:bCs/>
          <w:color w:val="000000" w:themeColor="text1"/>
          <w:sz w:val="22"/>
          <w:szCs w:val="22"/>
        </w:rPr>
      </w:pPr>
    </w:p>
    <w:tbl>
      <w:tblPr>
        <w:tblStyle w:val="TableGrid"/>
        <w:tblW w:w="10345" w:type="dxa"/>
        <w:tblLayout w:type="fixed"/>
        <w:tblLook w:val="04A0"/>
      </w:tblPr>
      <w:tblGrid>
        <w:gridCol w:w="5395"/>
        <w:gridCol w:w="4950"/>
      </w:tblGrid>
      <w:tr w14:paraId="4CA07DFC" w14:textId="77777777" w:rsidTr="00DE5176">
        <w:tblPrEx>
          <w:tblW w:w="10345" w:type="dxa"/>
          <w:tblLayout w:type="fixed"/>
          <w:tblLook w:val="04A0"/>
        </w:tblPrEx>
        <w:tc>
          <w:tcPr>
            <w:tcW w:w="10345" w:type="dxa"/>
            <w:gridSpan w:val="2"/>
          </w:tcPr>
          <w:p w:rsidR="00315A7B" w:rsidRPr="00191B58" w:rsidP="00315A7B" w14:paraId="1233145A" w14:textId="35451625">
            <w:pPr>
              <w:jc w:val="center"/>
              <w:rPr>
                <w:rFonts w:asciiTheme="minorHAnsi" w:hAnsiTheme="minorHAnsi" w:cstheme="minorHAnsi"/>
                <w:b/>
                <w:color w:val="000000" w:themeColor="text1"/>
                <w:sz w:val="22"/>
                <w:szCs w:val="22"/>
              </w:rPr>
            </w:pPr>
            <w:r w:rsidRPr="00191B58">
              <w:rPr>
                <w:rFonts w:asciiTheme="minorHAnsi" w:hAnsiTheme="minorHAnsi" w:cstheme="minorHAnsi"/>
                <w:b/>
                <w:color w:val="000000" w:themeColor="text1"/>
                <w:sz w:val="22"/>
                <w:szCs w:val="22"/>
              </w:rPr>
              <w:t xml:space="preserve">National Tax Office Comments dated July 2, 2025, </w:t>
            </w:r>
            <w:r w:rsidRPr="00191B58">
              <w:rPr>
                <w:rFonts w:asciiTheme="minorHAnsi" w:hAnsiTheme="minorHAnsi" w:cstheme="minorHAnsi"/>
                <w:b/>
                <w:color w:val="000000" w:themeColor="text1"/>
                <w:sz w:val="22"/>
                <w:szCs w:val="22"/>
              </w:rPr>
              <w:br/>
              <w:t>Reporting Forms 1094- and 1095-B</w:t>
            </w:r>
          </w:p>
        </w:tc>
      </w:tr>
      <w:tr w14:paraId="23D46DD6" w14:textId="77777777" w:rsidTr="00F95726">
        <w:tblPrEx>
          <w:tblW w:w="10345" w:type="dxa"/>
          <w:tblLayout w:type="fixed"/>
          <w:tblLook w:val="04A0"/>
        </w:tblPrEx>
        <w:tc>
          <w:tcPr>
            <w:tcW w:w="5395" w:type="dxa"/>
          </w:tcPr>
          <w:p w:rsidR="00315A7B" w:rsidRPr="00191B58" w:rsidP="004E5FC8" w14:paraId="4FA7F993" w14:textId="77777777">
            <w:pPr>
              <w:rPr>
                <w:rFonts w:asciiTheme="minorHAnsi" w:hAnsiTheme="minorHAnsi" w:cstheme="minorHAnsi"/>
                <w:b/>
                <w:color w:val="000000" w:themeColor="text1"/>
                <w:sz w:val="22"/>
                <w:szCs w:val="22"/>
              </w:rPr>
            </w:pPr>
          </w:p>
          <w:p w:rsidR="00315A7B" w:rsidRPr="00191B58" w:rsidP="004E5FC8" w14:paraId="7A1E6333" w14:textId="20B4125A">
            <w:pPr>
              <w:rPr>
                <w:rFonts w:asciiTheme="minorHAnsi" w:hAnsiTheme="minorHAnsi" w:cstheme="minorHAnsi"/>
                <w:b/>
                <w:color w:val="000000" w:themeColor="text1"/>
                <w:sz w:val="22"/>
                <w:szCs w:val="22"/>
              </w:rPr>
            </w:pPr>
            <w:r w:rsidRPr="00191B58">
              <w:rPr>
                <w:rFonts w:asciiTheme="minorHAnsi" w:hAnsiTheme="minorHAnsi" w:cstheme="minorHAnsi"/>
                <w:b/>
                <w:color w:val="000000" w:themeColor="text1"/>
                <w:sz w:val="22"/>
                <w:szCs w:val="22"/>
              </w:rPr>
              <w:t>Summary of comment</w:t>
            </w:r>
          </w:p>
        </w:tc>
        <w:tc>
          <w:tcPr>
            <w:tcW w:w="4950" w:type="dxa"/>
          </w:tcPr>
          <w:p w:rsidR="00315A7B" w:rsidRPr="00191B58" w:rsidP="004E5FC8" w14:paraId="7AD0A3D2" w14:textId="77777777">
            <w:pPr>
              <w:rPr>
                <w:rFonts w:asciiTheme="minorHAnsi" w:hAnsiTheme="minorHAnsi" w:cstheme="minorHAnsi"/>
                <w:b/>
                <w:color w:val="000000" w:themeColor="text1"/>
                <w:sz w:val="22"/>
                <w:szCs w:val="22"/>
              </w:rPr>
            </w:pPr>
          </w:p>
          <w:p w:rsidR="00315A7B" w:rsidRPr="00191B58" w:rsidP="004E5FC8" w14:paraId="660C5DC0" w14:textId="064130CD">
            <w:pPr>
              <w:rPr>
                <w:rFonts w:asciiTheme="minorHAnsi" w:hAnsiTheme="minorHAnsi" w:cstheme="minorHAnsi"/>
                <w:b/>
                <w:color w:val="000000" w:themeColor="text1"/>
                <w:sz w:val="22"/>
                <w:szCs w:val="22"/>
              </w:rPr>
            </w:pPr>
            <w:r w:rsidRPr="00191B58">
              <w:rPr>
                <w:rFonts w:asciiTheme="minorHAnsi" w:hAnsiTheme="minorHAnsi" w:cstheme="minorHAnsi"/>
                <w:b/>
                <w:color w:val="000000" w:themeColor="text1"/>
                <w:sz w:val="22"/>
                <w:szCs w:val="22"/>
              </w:rPr>
              <w:t>IRS Response</w:t>
            </w:r>
          </w:p>
          <w:p w:rsidR="00315A7B" w:rsidRPr="00191B58" w:rsidP="004E5FC8" w14:paraId="312998B7" w14:textId="77777777">
            <w:pPr>
              <w:rPr>
                <w:rFonts w:asciiTheme="minorHAnsi" w:hAnsiTheme="minorHAnsi" w:cstheme="minorHAnsi"/>
                <w:b/>
                <w:color w:val="000000" w:themeColor="text1"/>
                <w:sz w:val="22"/>
                <w:szCs w:val="22"/>
              </w:rPr>
            </w:pPr>
          </w:p>
        </w:tc>
      </w:tr>
      <w:tr w14:paraId="762D4323" w14:textId="77777777" w:rsidTr="00F95726">
        <w:tblPrEx>
          <w:tblW w:w="10345" w:type="dxa"/>
          <w:tblLayout w:type="fixed"/>
          <w:tblLook w:val="04A0"/>
        </w:tblPrEx>
        <w:tc>
          <w:tcPr>
            <w:tcW w:w="5395" w:type="dxa"/>
          </w:tcPr>
          <w:p w:rsidR="00315A7B" w:rsidRPr="00191B58" w:rsidP="004E5FC8" w14:paraId="31BE6E66" w14:textId="77777777">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The comment urged IRS to maintain the reporting requirements on Form 1094-B and 1095-B as they are essential for verifying whether an individual has minimum essential coverage, which is important information for the Marketplace and state-based exchanges to determine eligibility for Premium Tax Credits (PTC).  </w:t>
            </w:r>
          </w:p>
          <w:p w:rsidR="00315A7B" w:rsidRPr="00191B58" w:rsidP="004E5FC8" w14:paraId="58B8002A" w14:textId="77777777">
            <w:pPr>
              <w:rPr>
                <w:rFonts w:asciiTheme="minorHAnsi" w:hAnsiTheme="minorHAnsi" w:cstheme="minorHAnsi"/>
                <w:bCs/>
                <w:color w:val="000000" w:themeColor="text1"/>
                <w:sz w:val="22"/>
                <w:szCs w:val="22"/>
              </w:rPr>
            </w:pPr>
          </w:p>
          <w:p w:rsidR="00315A7B" w:rsidRPr="00191B58" w:rsidP="004E5FC8" w14:paraId="2707C2F6" w14:textId="3077D69F">
            <w:pPr>
              <w:rPr>
                <w:rFonts w:asciiTheme="minorHAnsi" w:hAnsiTheme="minorHAnsi" w:cstheme="minorHAnsi"/>
                <w:bCs/>
                <w:color w:val="000000" w:themeColor="text1"/>
                <w:sz w:val="22"/>
                <w:szCs w:val="22"/>
              </w:rPr>
            </w:pPr>
            <w:r w:rsidRPr="00191B58">
              <w:rPr>
                <w:rFonts w:asciiTheme="minorHAnsi" w:hAnsiTheme="minorHAnsi" w:cstheme="minorHAnsi"/>
                <w:bCs/>
                <w:color w:val="000000" w:themeColor="text1"/>
                <w:sz w:val="22"/>
                <w:szCs w:val="22"/>
              </w:rPr>
              <w:t xml:space="preserve">Additionally, many states have enacted their own individual mandates with associated </w:t>
            </w:r>
            <w:r w:rsidRPr="00191B58" w:rsidR="001114B2">
              <w:rPr>
                <w:rFonts w:asciiTheme="minorHAnsi" w:hAnsiTheme="minorHAnsi" w:cstheme="minorHAnsi"/>
                <w:bCs/>
                <w:color w:val="000000" w:themeColor="text1"/>
                <w:sz w:val="22"/>
                <w:szCs w:val="22"/>
              </w:rPr>
              <w:t>penalties and</w:t>
            </w:r>
            <w:r w:rsidRPr="00191B58">
              <w:rPr>
                <w:rFonts w:asciiTheme="minorHAnsi" w:hAnsiTheme="minorHAnsi" w:cstheme="minorHAnsi"/>
                <w:bCs/>
                <w:color w:val="000000" w:themeColor="text1"/>
                <w:sz w:val="22"/>
                <w:szCs w:val="22"/>
              </w:rPr>
              <w:t xml:space="preserve"> allow taxpayers to rely on the From 1095-B information. </w:t>
            </w:r>
          </w:p>
        </w:tc>
        <w:tc>
          <w:tcPr>
            <w:tcW w:w="4950" w:type="dxa"/>
          </w:tcPr>
          <w:p w:rsidR="00AB59ED" w:rsidRPr="00F95726" w:rsidP="004E5FC8" w14:paraId="6FCF1388" w14:textId="60ECD817">
            <w:pPr>
              <w:rPr>
                <w:rFonts w:asciiTheme="minorHAnsi" w:hAnsiTheme="minorHAnsi" w:cstheme="minorHAnsi"/>
                <w:bCs/>
                <w:color w:val="000000" w:themeColor="text1"/>
                <w:sz w:val="22"/>
                <w:szCs w:val="22"/>
              </w:rPr>
            </w:pPr>
            <w:r w:rsidRPr="00F95726">
              <w:rPr>
                <w:rFonts w:asciiTheme="minorHAnsi" w:hAnsiTheme="minorHAnsi" w:cstheme="minorHAnsi"/>
                <w:bCs/>
                <w:color w:val="000000" w:themeColor="text1"/>
                <w:sz w:val="22"/>
                <w:szCs w:val="22"/>
              </w:rPr>
              <w:t>The</w:t>
            </w:r>
            <w:r w:rsidRPr="00F95726" w:rsidR="00673F42">
              <w:rPr>
                <w:rFonts w:asciiTheme="minorHAnsi" w:hAnsiTheme="minorHAnsi" w:cstheme="minorHAnsi"/>
                <w:bCs/>
                <w:color w:val="000000" w:themeColor="text1"/>
                <w:sz w:val="22"/>
                <w:szCs w:val="22"/>
              </w:rPr>
              <w:t xml:space="preserve"> commentor is expressing support to </w:t>
            </w:r>
            <w:r w:rsidRPr="00F95726">
              <w:rPr>
                <w:rFonts w:asciiTheme="minorHAnsi" w:hAnsiTheme="minorHAnsi" w:cstheme="minorHAnsi"/>
                <w:bCs/>
                <w:color w:val="000000" w:themeColor="text1"/>
                <w:sz w:val="22"/>
                <w:szCs w:val="22"/>
              </w:rPr>
              <w:t>keep</w:t>
            </w:r>
            <w:r w:rsidRPr="00F95726" w:rsidR="00673F42">
              <w:rPr>
                <w:rFonts w:asciiTheme="minorHAnsi" w:hAnsiTheme="minorHAnsi" w:cstheme="minorHAnsi"/>
                <w:bCs/>
                <w:color w:val="000000" w:themeColor="text1"/>
                <w:sz w:val="22"/>
                <w:szCs w:val="22"/>
              </w:rPr>
              <w:t xml:space="preserve"> the forms. </w:t>
            </w:r>
          </w:p>
        </w:tc>
      </w:tr>
    </w:tbl>
    <w:p w:rsidR="005A3E3B" w:rsidRPr="00191B58" w:rsidP="00BF7092" w14:paraId="005D291E" w14:textId="77777777">
      <w:pPr>
        <w:rPr>
          <w:rFonts w:asciiTheme="minorHAnsi" w:hAnsiTheme="minorHAnsi" w:cstheme="minorHAnsi"/>
          <w:bCs/>
          <w:color w:val="000000" w:themeColor="text1"/>
          <w:sz w:val="22"/>
          <w:szCs w:val="22"/>
        </w:rPr>
      </w:pPr>
    </w:p>
    <w:sectPr w:rsidSect="00173479">
      <w:headerReference w:type="default" r:id="rId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0C9" w14:paraId="59E747A8"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0C15CE">
      <w:rPr>
        <w:rFonts w:cs="Courier"/>
        <w:b/>
        <w:bCs/>
        <w:noProof/>
      </w:rPr>
      <w:t>1</w:t>
    </w:r>
    <w:r>
      <w:rPr>
        <w:rFonts w:cs="Courier"/>
        <w:b/>
        <w:bCs/>
      </w:rPr>
      <w:fldChar w:fldCharType="end"/>
    </w:r>
  </w:p>
  <w:p w:rsidR="00A630C9" w14:paraId="18B4D4DF" w14:textId="77777777"/>
  <w:p w:rsidR="00A630C9" w14:paraId="6C57248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Elephant" w:hAnsi="Elephant" w:cs="Elephant"/>
        <w:b/>
        <w:bCs/>
        <w:sz w:val="24"/>
        <w:szCs w:val="24"/>
      </w:rPr>
    </w:lvl>
  </w:abstractNum>
  <w:abstractNum w:abstractNumId="1">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712080114">
    <w:abstractNumId w:val="0"/>
    <w:lvlOverride w:ilvl="0">
      <w:startOverride w:val="1"/>
      <w:lvl w:ilvl="0">
        <w:start w:val="1"/>
        <w:numFmt w:val="decimal"/>
        <w:pStyle w:val="Quick1"/>
        <w:lvlText w:val="%1."/>
        <w:lvlJc w:val="left"/>
      </w:lvl>
    </w:lvlOverride>
  </w:num>
  <w:num w:numId="2" w16cid:durableId="1200430285">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30613642">
    <w:abstractNumId w:val="0"/>
    <w:lvlOverride w:ilvl="0">
      <w:startOverride w:val="4"/>
      <w:lvl w:ilvl="0">
        <w:start w:val="4"/>
        <w:numFmt w:val="decimal"/>
        <w:pStyle w:val="Quick1"/>
        <w:lvlText w:val="%1."/>
        <w:lvlJc w:val="left"/>
      </w:lvl>
    </w:lvlOverride>
  </w:num>
  <w:num w:numId="4" w16cid:durableId="1698964161">
    <w:abstractNumId w:val="0"/>
    <w:lvlOverride w:ilvl="0">
      <w:startOverride w:val="6"/>
      <w:lvl w:ilvl="0">
        <w:start w:val="6"/>
        <w:numFmt w:val="decimal"/>
        <w:pStyle w:val="Quick1"/>
        <w:lvlText w:val="%1."/>
        <w:lvlJc w:val="left"/>
      </w:lvl>
    </w:lvlOverride>
  </w:num>
  <w:num w:numId="5" w16cid:durableId="753747749">
    <w:abstractNumId w:val="0"/>
    <w:lvlOverride w:ilvl="0">
      <w:startOverride w:val="8"/>
      <w:lvl w:ilvl="0">
        <w:start w:val="8"/>
        <w:numFmt w:val="decimal"/>
        <w:pStyle w:val="Quick1"/>
        <w:lvlText w:val="%1."/>
        <w:lvlJc w:val="left"/>
      </w:lvl>
    </w:lvlOverride>
  </w:num>
  <w:num w:numId="6" w16cid:durableId="1883247359">
    <w:abstractNumId w:val="0"/>
    <w:lvlOverride w:ilvl="0">
      <w:startOverride w:val="10"/>
      <w:lvl w:ilvl="0">
        <w:start w:val="10"/>
        <w:numFmt w:val="decimal"/>
        <w:pStyle w:val="Quick1"/>
        <w:lvlText w:val="%1."/>
        <w:lvlJc w:val="left"/>
      </w:lvl>
    </w:lvlOverride>
  </w:num>
  <w:num w:numId="7" w16cid:durableId="456870671">
    <w:abstractNumId w:val="0"/>
    <w:lvlOverride w:ilvl="0">
      <w:startOverride w:val="15"/>
      <w:lvl w:ilvl="0">
        <w:start w:val="15"/>
        <w:numFmt w:val="decimal"/>
        <w:pStyle w:val="Quick1"/>
        <w:lvlText w:val="%1."/>
        <w:lvlJc w:val="left"/>
      </w:lvl>
    </w:lvlOverride>
  </w:num>
  <w:num w:numId="8" w16cid:durableId="906063864">
    <w:abstractNumId w:val="0"/>
    <w:lvlOverride w:ilvl="0">
      <w:startOverride w:val="18"/>
      <w:lvl w:ilvl="0">
        <w:start w:val="18"/>
        <w:numFmt w:val="decimal"/>
        <w:pStyle w:val="Quick1"/>
        <w:lvlText w:val="%1."/>
        <w:lvlJc w:val="left"/>
      </w:lvl>
    </w:lvlOverride>
  </w:num>
  <w:num w:numId="9" w16cid:durableId="1212812487">
    <w:abstractNumId w:val="0"/>
    <w:lvlOverride w:ilvl="0">
      <w:startOverride w:val="17"/>
      <w:lvl w:ilvl="0">
        <w:start w:val="17"/>
        <w:numFmt w:val="decimal"/>
        <w:pStyle w:val="Quick1"/>
        <w:lvlText w:val="%1."/>
        <w:lvlJc w:val="left"/>
      </w:lvl>
    </w:lvlOverride>
  </w:num>
  <w:num w:numId="10" w16cid:durableId="379061622">
    <w:abstractNumId w:val="0"/>
    <w:lvlOverride w:ilvl="0">
      <w:startOverride w:val="15"/>
      <w:lvl w:ilvl="0">
        <w:start w:val="15"/>
        <w:numFmt w:val="decimal"/>
        <w:pStyle w:val="Quick1"/>
        <w:lvlText w:val="%1."/>
        <w:lvlJc w:val="left"/>
      </w:lvl>
    </w:lvlOverride>
  </w:num>
  <w:num w:numId="11" w16cid:durableId="1741052906">
    <w:abstractNumId w:val="0"/>
    <w:lvlOverride w:ilvl="0">
      <w:startOverride w:val="17"/>
      <w:lvl w:ilvl="0">
        <w:start w:val="17"/>
        <w:numFmt w:val="decimal"/>
        <w:pStyle w:val="Quick1"/>
        <w:lvlText w:val="%1."/>
        <w:lvlJc w:val="left"/>
      </w:lvl>
    </w:lvlOverride>
  </w:num>
  <w:num w:numId="12" w16cid:durableId="277337">
    <w:abstractNumId w:val="0"/>
    <w:lvlOverride w:ilvl="0">
      <w:startOverride w:val="17"/>
      <w:lvl w:ilvl="0">
        <w:start w:val="17"/>
        <w:numFmt w:val="decimal"/>
        <w:pStyle w:val="Quick1"/>
        <w:lvlText w:val="%1."/>
        <w:lvlJc w:val="left"/>
      </w:lvl>
    </w:lvlOverride>
  </w:num>
  <w:num w:numId="13" w16cid:durableId="205214948">
    <w:abstractNumId w:val="0"/>
    <w:lvlOverride w:ilvl="0">
      <w:startOverride w:val="17"/>
      <w:lvl w:ilvl="0">
        <w:start w:val="17"/>
        <w:numFmt w:val="decimal"/>
        <w:pStyle w:val="Quick1"/>
        <w:lvlText w:val="%1."/>
        <w:lvlJc w:val="left"/>
      </w:lvl>
    </w:lvlOverride>
  </w:num>
  <w:num w:numId="14" w16cid:durableId="822547411">
    <w:abstractNumId w:val="0"/>
    <w:lvlOverride w:ilvl="0">
      <w:startOverride w:val="17"/>
      <w:lvl w:ilvl="0">
        <w:start w:val="17"/>
        <w:numFmt w:val="decimal"/>
        <w:pStyle w:val="Quick1"/>
        <w:lvlText w:val="%1."/>
        <w:lvlJc w:val="left"/>
      </w:lvl>
    </w:lvlOverride>
  </w:num>
  <w:num w:numId="15" w16cid:durableId="205411209">
    <w:abstractNumId w:val="0"/>
    <w:lvlOverride w:ilvl="0">
      <w:startOverride w:val="17"/>
      <w:lvl w:ilvl="0">
        <w:start w:val="17"/>
        <w:numFmt w:val="decimal"/>
        <w:pStyle w:val="Quick1"/>
        <w:lvlText w:val="%1."/>
        <w:lvlJc w:val="left"/>
      </w:lvl>
    </w:lvlOverride>
  </w:num>
  <w:num w:numId="16" w16cid:durableId="2096248039">
    <w:abstractNumId w:val="0"/>
    <w:lvlOverride w:ilvl="0">
      <w:startOverride w:val="17"/>
      <w:lvl w:ilvl="0">
        <w:start w:val="17"/>
        <w:numFmt w:val="decimal"/>
        <w:pStyle w:val="Quick1"/>
        <w:lvlText w:val="%1."/>
        <w:lvlJc w:val="left"/>
      </w:lvl>
    </w:lvlOverride>
  </w:num>
  <w:num w:numId="17" w16cid:durableId="1085030712">
    <w:abstractNumId w:val="0"/>
    <w:lvlOverride w:ilvl="0">
      <w:startOverride w:val="17"/>
      <w:lvl w:ilvl="0">
        <w:start w:val="17"/>
        <w:numFmt w:val="decimal"/>
        <w:pStyle w:val="Quick1"/>
        <w:lvlText w:val="%1."/>
        <w:lvlJc w:val="left"/>
      </w:lvl>
    </w:lvlOverride>
  </w:num>
  <w:num w:numId="18" w16cid:durableId="131409600">
    <w:abstractNumId w:val="0"/>
    <w:lvlOverride w:ilvl="0">
      <w:startOverride w:val="18"/>
      <w:lvl w:ilvl="0">
        <w:start w:val="18"/>
        <w:numFmt w:val="decimal"/>
        <w:pStyle w:val="Quick1"/>
        <w:lvlText w:val="%1."/>
        <w:lvlJc w:val="left"/>
      </w:lvl>
    </w:lvlOverride>
  </w:num>
  <w:num w:numId="19" w16cid:durableId="534118469">
    <w:abstractNumId w:val="0"/>
    <w:lvlOverride w:ilvl="0">
      <w:startOverride w:val="18"/>
      <w:lvl w:ilvl="0">
        <w:start w:val="18"/>
        <w:numFmt w:val="decimal"/>
        <w:pStyle w:val="Quick1"/>
        <w:lvlText w:val="%1."/>
        <w:lvlJc w:val="left"/>
      </w:lvl>
    </w:lvlOverride>
  </w:num>
  <w:num w:numId="20" w16cid:durableId="1559626809">
    <w:abstractNumId w:val="0"/>
    <w:lvlOverride w:ilvl="0">
      <w:startOverride w:val="18"/>
      <w:lvl w:ilvl="0">
        <w:start w:val="18"/>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79"/>
    <w:rsid w:val="00016502"/>
    <w:rsid w:val="00030A2F"/>
    <w:rsid w:val="00033903"/>
    <w:rsid w:val="00065FD1"/>
    <w:rsid w:val="00071775"/>
    <w:rsid w:val="00092D7B"/>
    <w:rsid w:val="000A1B16"/>
    <w:rsid w:val="000B438E"/>
    <w:rsid w:val="000C15CE"/>
    <w:rsid w:val="000C1CDA"/>
    <w:rsid w:val="000C2292"/>
    <w:rsid w:val="000C2BF0"/>
    <w:rsid w:val="000D2FA9"/>
    <w:rsid w:val="000D419D"/>
    <w:rsid w:val="001016D4"/>
    <w:rsid w:val="001114B2"/>
    <w:rsid w:val="001237FF"/>
    <w:rsid w:val="001474E7"/>
    <w:rsid w:val="00152CF6"/>
    <w:rsid w:val="0015330B"/>
    <w:rsid w:val="001606C5"/>
    <w:rsid w:val="00164738"/>
    <w:rsid w:val="001707DE"/>
    <w:rsid w:val="00173479"/>
    <w:rsid w:val="00190C2E"/>
    <w:rsid w:val="00191B58"/>
    <w:rsid w:val="001B7274"/>
    <w:rsid w:val="001D527F"/>
    <w:rsid w:val="00200E96"/>
    <w:rsid w:val="00206C84"/>
    <w:rsid w:val="00213B68"/>
    <w:rsid w:val="002358B8"/>
    <w:rsid w:val="00260095"/>
    <w:rsid w:val="002656F5"/>
    <w:rsid w:val="002779E0"/>
    <w:rsid w:val="002847B2"/>
    <w:rsid w:val="00292D73"/>
    <w:rsid w:val="002A0B56"/>
    <w:rsid w:val="002B1A40"/>
    <w:rsid w:val="002B2145"/>
    <w:rsid w:val="002B6B88"/>
    <w:rsid w:val="002D22BB"/>
    <w:rsid w:val="002D2D2C"/>
    <w:rsid w:val="002E4F92"/>
    <w:rsid w:val="002E6D32"/>
    <w:rsid w:val="00304E9B"/>
    <w:rsid w:val="00315A7B"/>
    <w:rsid w:val="00321FCE"/>
    <w:rsid w:val="00327E5F"/>
    <w:rsid w:val="00332813"/>
    <w:rsid w:val="00333BAC"/>
    <w:rsid w:val="00354DCD"/>
    <w:rsid w:val="00361777"/>
    <w:rsid w:val="003936A1"/>
    <w:rsid w:val="003B0C37"/>
    <w:rsid w:val="003B1CE3"/>
    <w:rsid w:val="003B3FB9"/>
    <w:rsid w:val="003F5F42"/>
    <w:rsid w:val="003F6B02"/>
    <w:rsid w:val="00421473"/>
    <w:rsid w:val="00433558"/>
    <w:rsid w:val="00437CE2"/>
    <w:rsid w:val="00465D59"/>
    <w:rsid w:val="00467C49"/>
    <w:rsid w:val="00475554"/>
    <w:rsid w:val="00475638"/>
    <w:rsid w:val="004768E0"/>
    <w:rsid w:val="004800DB"/>
    <w:rsid w:val="004A7D00"/>
    <w:rsid w:val="004B18E9"/>
    <w:rsid w:val="004B2B6D"/>
    <w:rsid w:val="004D2C25"/>
    <w:rsid w:val="004E5FC8"/>
    <w:rsid w:val="00506EDF"/>
    <w:rsid w:val="0055300F"/>
    <w:rsid w:val="0055653B"/>
    <w:rsid w:val="00557CF6"/>
    <w:rsid w:val="00566008"/>
    <w:rsid w:val="00581C10"/>
    <w:rsid w:val="005863BD"/>
    <w:rsid w:val="00591AD2"/>
    <w:rsid w:val="005A3E3B"/>
    <w:rsid w:val="005D06EE"/>
    <w:rsid w:val="005E11CD"/>
    <w:rsid w:val="005E1CE9"/>
    <w:rsid w:val="005E1E93"/>
    <w:rsid w:val="005E2032"/>
    <w:rsid w:val="00603FD5"/>
    <w:rsid w:val="00624BEC"/>
    <w:rsid w:val="00634B8D"/>
    <w:rsid w:val="00647B9E"/>
    <w:rsid w:val="00651959"/>
    <w:rsid w:val="00663501"/>
    <w:rsid w:val="0066585B"/>
    <w:rsid w:val="00666B25"/>
    <w:rsid w:val="00673F42"/>
    <w:rsid w:val="006816F7"/>
    <w:rsid w:val="00681925"/>
    <w:rsid w:val="00682253"/>
    <w:rsid w:val="00692B58"/>
    <w:rsid w:val="006B7709"/>
    <w:rsid w:val="006C6236"/>
    <w:rsid w:val="006D0206"/>
    <w:rsid w:val="007369C1"/>
    <w:rsid w:val="00753AC1"/>
    <w:rsid w:val="007651B8"/>
    <w:rsid w:val="00771923"/>
    <w:rsid w:val="007775B1"/>
    <w:rsid w:val="0078535B"/>
    <w:rsid w:val="007B0A84"/>
    <w:rsid w:val="007B4596"/>
    <w:rsid w:val="007C287F"/>
    <w:rsid w:val="007C4C49"/>
    <w:rsid w:val="007C7FAB"/>
    <w:rsid w:val="007C7FE1"/>
    <w:rsid w:val="007D33A5"/>
    <w:rsid w:val="007E1090"/>
    <w:rsid w:val="007E3419"/>
    <w:rsid w:val="00812263"/>
    <w:rsid w:val="0081302F"/>
    <w:rsid w:val="00816A1D"/>
    <w:rsid w:val="00825B89"/>
    <w:rsid w:val="0084003A"/>
    <w:rsid w:val="00841589"/>
    <w:rsid w:val="00857687"/>
    <w:rsid w:val="00860006"/>
    <w:rsid w:val="00862BB4"/>
    <w:rsid w:val="00863CEC"/>
    <w:rsid w:val="0089410B"/>
    <w:rsid w:val="008A07DD"/>
    <w:rsid w:val="008C2CAD"/>
    <w:rsid w:val="008C5F92"/>
    <w:rsid w:val="008C75CD"/>
    <w:rsid w:val="008C77D2"/>
    <w:rsid w:val="008C7E77"/>
    <w:rsid w:val="008E0EE3"/>
    <w:rsid w:val="00906765"/>
    <w:rsid w:val="00906B57"/>
    <w:rsid w:val="00914CD4"/>
    <w:rsid w:val="009165E5"/>
    <w:rsid w:val="00937419"/>
    <w:rsid w:val="009517E1"/>
    <w:rsid w:val="00960704"/>
    <w:rsid w:val="00976159"/>
    <w:rsid w:val="0099227B"/>
    <w:rsid w:val="00994C90"/>
    <w:rsid w:val="009B7642"/>
    <w:rsid w:val="00A02ACF"/>
    <w:rsid w:val="00A0354D"/>
    <w:rsid w:val="00A043E2"/>
    <w:rsid w:val="00A209F0"/>
    <w:rsid w:val="00A21B4C"/>
    <w:rsid w:val="00A239E2"/>
    <w:rsid w:val="00A30310"/>
    <w:rsid w:val="00A31A6E"/>
    <w:rsid w:val="00A40D9A"/>
    <w:rsid w:val="00A55F64"/>
    <w:rsid w:val="00A630C9"/>
    <w:rsid w:val="00A6797B"/>
    <w:rsid w:val="00A7609F"/>
    <w:rsid w:val="00A9036B"/>
    <w:rsid w:val="00A90E71"/>
    <w:rsid w:val="00AA02ED"/>
    <w:rsid w:val="00AB492F"/>
    <w:rsid w:val="00AB59ED"/>
    <w:rsid w:val="00AF35F8"/>
    <w:rsid w:val="00AF36C7"/>
    <w:rsid w:val="00B24E6E"/>
    <w:rsid w:val="00B318CF"/>
    <w:rsid w:val="00B4212F"/>
    <w:rsid w:val="00B52BE8"/>
    <w:rsid w:val="00B97FF3"/>
    <w:rsid w:val="00BB174B"/>
    <w:rsid w:val="00BB351D"/>
    <w:rsid w:val="00BB708C"/>
    <w:rsid w:val="00BD41C5"/>
    <w:rsid w:val="00BE3CBA"/>
    <w:rsid w:val="00BE5FB0"/>
    <w:rsid w:val="00BF7092"/>
    <w:rsid w:val="00C33A8A"/>
    <w:rsid w:val="00C37208"/>
    <w:rsid w:val="00C44C05"/>
    <w:rsid w:val="00C44CC9"/>
    <w:rsid w:val="00C4613B"/>
    <w:rsid w:val="00C705AA"/>
    <w:rsid w:val="00C71C10"/>
    <w:rsid w:val="00C767D4"/>
    <w:rsid w:val="00C92DDA"/>
    <w:rsid w:val="00C9594F"/>
    <w:rsid w:val="00CA4421"/>
    <w:rsid w:val="00CB1886"/>
    <w:rsid w:val="00CB6EBE"/>
    <w:rsid w:val="00CC5071"/>
    <w:rsid w:val="00CE623A"/>
    <w:rsid w:val="00D37F74"/>
    <w:rsid w:val="00D4667A"/>
    <w:rsid w:val="00D72155"/>
    <w:rsid w:val="00D90BF5"/>
    <w:rsid w:val="00D966AF"/>
    <w:rsid w:val="00DA01BF"/>
    <w:rsid w:val="00DC0BF4"/>
    <w:rsid w:val="00DC5DE9"/>
    <w:rsid w:val="00DD3F01"/>
    <w:rsid w:val="00DE038A"/>
    <w:rsid w:val="00DF249F"/>
    <w:rsid w:val="00DF65EF"/>
    <w:rsid w:val="00E00671"/>
    <w:rsid w:val="00E04305"/>
    <w:rsid w:val="00E15A13"/>
    <w:rsid w:val="00E20541"/>
    <w:rsid w:val="00E2684E"/>
    <w:rsid w:val="00E2717A"/>
    <w:rsid w:val="00E60B2A"/>
    <w:rsid w:val="00E97F66"/>
    <w:rsid w:val="00EA141E"/>
    <w:rsid w:val="00EA435E"/>
    <w:rsid w:val="00ED584F"/>
    <w:rsid w:val="00EF6394"/>
    <w:rsid w:val="00EF6C5E"/>
    <w:rsid w:val="00EF7C72"/>
    <w:rsid w:val="00F104B5"/>
    <w:rsid w:val="00F11D28"/>
    <w:rsid w:val="00F50D99"/>
    <w:rsid w:val="00F53D96"/>
    <w:rsid w:val="00F63F73"/>
    <w:rsid w:val="00F65640"/>
    <w:rsid w:val="00F769F2"/>
    <w:rsid w:val="00F95726"/>
    <w:rsid w:val="00FA7343"/>
    <w:rsid w:val="00FB7331"/>
    <w:rsid w:val="00FC1CA3"/>
    <w:rsid w:val="00FF29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B4E29B"/>
  <w15:chartTrackingRefBased/>
  <w15:docId w15:val="{0AA3CCEE-A5C0-46FD-8B15-537F5482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0D419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paragraph" w:customStyle="1" w:styleId="Level1">
    <w:name w:val="Level 1"/>
    <w:basedOn w:val="Normal"/>
    <w:pPr>
      <w:numPr>
        <w:numId w:val="2"/>
      </w:numPr>
      <w:ind w:left="720" w:hanging="720"/>
      <w:outlineLvl w:val="0"/>
    </w:pPr>
  </w:style>
  <w:style w:type="character" w:styleId="Hyperlink">
    <w:name w:val="Hyperlink"/>
    <w:unhideWhenUsed/>
    <w:rsid w:val="0015330B"/>
    <w:rPr>
      <w:color w:val="0000FF"/>
      <w:u w:val="single"/>
    </w:rPr>
  </w:style>
  <w:style w:type="paragraph" w:styleId="PlainText">
    <w:name w:val="Plain Text"/>
    <w:basedOn w:val="Normal"/>
    <w:link w:val="PlainTextChar"/>
    <w:unhideWhenUsed/>
    <w:rsid w:val="00ED584F"/>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ED584F"/>
    <w:rPr>
      <w:rFonts w:ascii="Courier New" w:hAnsi="Courier New" w:cs="Courier New"/>
    </w:rPr>
  </w:style>
  <w:style w:type="character" w:customStyle="1" w:styleId="documentbody1">
    <w:name w:val="documentbody1"/>
    <w:rsid w:val="00ED584F"/>
    <w:rPr>
      <w:rFonts w:ascii="Verdana" w:hAnsi="Verdana" w:hint="default"/>
      <w:sz w:val="19"/>
      <w:szCs w:val="19"/>
    </w:rPr>
  </w:style>
  <w:style w:type="paragraph" w:styleId="NormalWeb">
    <w:name w:val="Normal (Web)"/>
    <w:basedOn w:val="Normal"/>
    <w:uiPriority w:val="99"/>
    <w:unhideWhenUsed/>
    <w:rsid w:val="00ED584F"/>
    <w:pPr>
      <w:widowControl/>
      <w:autoSpaceDE/>
      <w:autoSpaceDN/>
      <w:adjustRightInd/>
      <w:spacing w:before="150" w:after="150"/>
    </w:pPr>
    <w:rPr>
      <w:rFonts w:ascii="Times New Roman" w:hAnsi="Times New Roman"/>
    </w:rPr>
  </w:style>
  <w:style w:type="paragraph" w:styleId="BalloonText">
    <w:name w:val="Balloon Text"/>
    <w:basedOn w:val="Normal"/>
    <w:link w:val="BalloonTextChar"/>
    <w:rsid w:val="00C705AA"/>
    <w:rPr>
      <w:rFonts w:ascii="Segoe UI" w:hAnsi="Segoe UI" w:cs="Segoe UI"/>
      <w:sz w:val="18"/>
      <w:szCs w:val="18"/>
    </w:rPr>
  </w:style>
  <w:style w:type="character" w:customStyle="1" w:styleId="BalloonTextChar">
    <w:name w:val="Balloon Text Char"/>
    <w:link w:val="BalloonText"/>
    <w:rsid w:val="00C705AA"/>
    <w:rPr>
      <w:rFonts w:ascii="Segoe UI" w:hAnsi="Segoe UI" w:cs="Segoe UI"/>
      <w:sz w:val="18"/>
      <w:szCs w:val="18"/>
    </w:rPr>
  </w:style>
  <w:style w:type="character" w:styleId="CommentReference">
    <w:name w:val="annotation reference"/>
    <w:basedOn w:val="DefaultParagraphFont"/>
    <w:rsid w:val="002358B8"/>
    <w:rPr>
      <w:sz w:val="16"/>
      <w:szCs w:val="16"/>
    </w:rPr>
  </w:style>
  <w:style w:type="paragraph" w:styleId="CommentText">
    <w:name w:val="annotation text"/>
    <w:basedOn w:val="Normal"/>
    <w:link w:val="CommentTextChar"/>
    <w:rsid w:val="002358B8"/>
    <w:rPr>
      <w:sz w:val="20"/>
      <w:szCs w:val="20"/>
    </w:rPr>
  </w:style>
  <w:style w:type="character" w:customStyle="1" w:styleId="CommentTextChar">
    <w:name w:val="Comment Text Char"/>
    <w:basedOn w:val="DefaultParagraphFont"/>
    <w:link w:val="CommentText"/>
    <w:rsid w:val="002358B8"/>
    <w:rPr>
      <w:rFonts w:ascii="Courier" w:hAnsi="Courier"/>
    </w:rPr>
  </w:style>
  <w:style w:type="paragraph" w:styleId="CommentSubject">
    <w:name w:val="annotation subject"/>
    <w:basedOn w:val="CommentText"/>
    <w:next w:val="CommentText"/>
    <w:link w:val="CommentSubjectChar"/>
    <w:rsid w:val="002358B8"/>
    <w:rPr>
      <w:b/>
      <w:bCs/>
    </w:rPr>
  </w:style>
  <w:style w:type="character" w:customStyle="1" w:styleId="CommentSubjectChar">
    <w:name w:val="Comment Subject Char"/>
    <w:basedOn w:val="CommentTextChar"/>
    <w:link w:val="CommentSubject"/>
    <w:rsid w:val="002358B8"/>
    <w:rPr>
      <w:rFonts w:ascii="Courier" w:hAnsi="Courier"/>
      <w:b/>
      <w:bCs/>
    </w:rPr>
  </w:style>
  <w:style w:type="character" w:styleId="FollowedHyperlink">
    <w:name w:val="FollowedHyperlink"/>
    <w:basedOn w:val="DefaultParagraphFont"/>
    <w:rsid w:val="00A6797B"/>
    <w:rPr>
      <w:color w:val="954F72" w:themeColor="followedHyperlink"/>
      <w:u w:val="single"/>
    </w:rPr>
  </w:style>
  <w:style w:type="paragraph" w:customStyle="1" w:styleId="Default">
    <w:name w:val="Default"/>
    <w:rsid w:val="002B1A40"/>
    <w:pPr>
      <w:autoSpaceDE w:val="0"/>
      <w:autoSpaceDN w:val="0"/>
      <w:adjustRightInd w:val="0"/>
    </w:pPr>
    <w:rPr>
      <w:color w:val="000000"/>
      <w:sz w:val="24"/>
      <w:szCs w:val="24"/>
    </w:rPr>
  </w:style>
  <w:style w:type="table" w:styleId="TableGrid">
    <w:name w:val="Table Grid"/>
    <w:basedOn w:val="TableNormal"/>
    <w:uiPriority w:val="59"/>
    <w:rsid w:val="00E04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B56"/>
    <w:pPr>
      <w:widowControl/>
      <w:autoSpaceDE/>
      <w:autoSpaceDN/>
      <w:adjustRightInd/>
      <w:ind w:left="720"/>
      <w:contextualSpacing/>
    </w:pPr>
    <w:rPr>
      <w:rFonts w:ascii="Times New Roman" w:hAnsi="Times New Roman" w:eastAsiaTheme="minorHAnsi" w:cstheme="minorBidi"/>
      <w:szCs w:val="22"/>
    </w:rPr>
  </w:style>
  <w:style w:type="character" w:customStyle="1" w:styleId="Heading1Char">
    <w:name w:val="Heading 1 Char"/>
    <w:basedOn w:val="DefaultParagraphFont"/>
    <w:link w:val="Heading1"/>
    <w:rsid w:val="000D419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rsid w:val="00BE3CBA"/>
    <w:pPr>
      <w:tabs>
        <w:tab w:val="center" w:pos="4680"/>
        <w:tab w:val="right" w:pos="9360"/>
      </w:tabs>
    </w:pPr>
  </w:style>
  <w:style w:type="character" w:customStyle="1" w:styleId="HeaderChar">
    <w:name w:val="Header Char"/>
    <w:basedOn w:val="DefaultParagraphFont"/>
    <w:link w:val="Header"/>
    <w:rsid w:val="00BE3CBA"/>
    <w:rPr>
      <w:rFonts w:ascii="Courier" w:hAnsi="Courier"/>
      <w:sz w:val="24"/>
      <w:szCs w:val="24"/>
    </w:rPr>
  </w:style>
  <w:style w:type="paragraph" w:styleId="Footer">
    <w:name w:val="footer"/>
    <w:basedOn w:val="Normal"/>
    <w:link w:val="FooterChar"/>
    <w:rsid w:val="00BE3CBA"/>
    <w:pPr>
      <w:tabs>
        <w:tab w:val="center" w:pos="4680"/>
        <w:tab w:val="right" w:pos="9360"/>
      </w:tabs>
    </w:pPr>
  </w:style>
  <w:style w:type="character" w:customStyle="1" w:styleId="FooterChar">
    <w:name w:val="Footer Char"/>
    <w:basedOn w:val="DefaultParagraphFont"/>
    <w:link w:val="Footer"/>
    <w:rsid w:val="00BE3CBA"/>
    <w:rPr>
      <w:rFonts w:ascii="Courier" w:hAnsi="Courier"/>
      <w:sz w:val="24"/>
      <w:szCs w:val="24"/>
    </w:rPr>
  </w:style>
  <w:style w:type="paragraph" w:styleId="Revision">
    <w:name w:val="Revision"/>
    <w:hidden/>
    <w:uiPriority w:val="99"/>
    <w:semiHidden/>
    <w:rsid w:val="003F6B0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Stasko Molly J</cp:lastModifiedBy>
  <cp:revision>13</cp:revision>
  <cp:lastPrinted>2019-05-28T18:38:00Z</cp:lastPrinted>
  <dcterms:created xsi:type="dcterms:W3CDTF">2025-08-28T17:33:00Z</dcterms:created>
  <dcterms:modified xsi:type="dcterms:W3CDTF">2025-08-28T17:42:00Z</dcterms:modified>
</cp:coreProperties>
</file>