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658" w:rsidRPr="00A57658" w:rsidP="00A57658" w14:paraId="5EBE657F" w14:textId="77777777">
      <w:pPr>
        <w:widowControl/>
        <w:tabs>
          <w:tab w:val="center" w:pos="4680"/>
        </w:tabs>
        <w:jc w:val="center"/>
        <w:rPr>
          <w:rFonts w:cs="Arial"/>
          <w:b/>
          <w:bCs/>
        </w:rPr>
      </w:pPr>
      <w:r w:rsidRPr="00A57658">
        <w:rPr>
          <w:rFonts w:cs="Arial"/>
          <w:b/>
          <w:bCs/>
        </w:rPr>
        <w:t>Internal Revenue Service</w:t>
      </w:r>
    </w:p>
    <w:p w:rsidR="00812555" w:rsidRPr="00A57658" w:rsidP="006E5215" w14:paraId="0F0DAD57" w14:textId="77777777">
      <w:pPr>
        <w:widowControl/>
        <w:tabs>
          <w:tab w:val="center" w:pos="4680"/>
        </w:tabs>
        <w:jc w:val="center"/>
        <w:rPr>
          <w:rFonts w:cs="Arial"/>
        </w:rPr>
      </w:pPr>
      <w:r w:rsidRPr="00A57658">
        <w:rPr>
          <w:rFonts w:cs="Arial"/>
        </w:rPr>
        <w:t>Supporting Statement</w:t>
      </w:r>
    </w:p>
    <w:p w:rsidR="00DA5AD0" w:rsidRPr="00A57658" w:rsidP="006E5215" w14:paraId="2E0B3810" w14:textId="77777777">
      <w:pPr>
        <w:widowControl/>
        <w:tabs>
          <w:tab w:val="center" w:pos="4680"/>
        </w:tabs>
        <w:jc w:val="center"/>
        <w:rPr>
          <w:rFonts w:cs="Arial"/>
        </w:rPr>
      </w:pPr>
      <w:r w:rsidRPr="00A57658">
        <w:rPr>
          <w:rFonts w:cs="Arial"/>
        </w:rPr>
        <w:t>Electronic Tax Administration Advisory Committee Membership Application</w:t>
      </w:r>
    </w:p>
    <w:p w:rsidR="00DA5AD0" w:rsidRPr="00A57658" w:rsidP="006E5215" w14:paraId="7F729553" w14:textId="77777777">
      <w:pPr>
        <w:widowControl/>
        <w:tabs>
          <w:tab w:val="center" w:pos="4680"/>
        </w:tabs>
        <w:jc w:val="center"/>
        <w:rPr>
          <w:rFonts w:cs="Arial"/>
        </w:rPr>
      </w:pPr>
      <w:r w:rsidRPr="00A57658">
        <w:rPr>
          <w:rFonts w:cs="Arial"/>
        </w:rPr>
        <w:t xml:space="preserve">OMB Control Number </w:t>
      </w:r>
      <w:r w:rsidRPr="00A57658">
        <w:rPr>
          <w:rFonts w:cs="Arial"/>
          <w:b/>
          <w:bCs/>
        </w:rPr>
        <w:t>1545-2231</w:t>
      </w:r>
    </w:p>
    <w:p w:rsidR="00812555" w:rsidRPr="00A57658" w14:paraId="69D79759" w14:textId="77777777">
      <w:pPr>
        <w:widowControl/>
        <w:rPr>
          <w:rFonts w:cs="Arial"/>
        </w:rPr>
      </w:pPr>
    </w:p>
    <w:p w:rsidR="00812555" w:rsidRPr="00870A3F" w:rsidP="00030FC1" w14:paraId="0ED61776" w14:textId="44B62EF8">
      <w:pPr>
        <w:pStyle w:val="ListParagraph"/>
        <w:widowControl/>
        <w:numPr>
          <w:ilvl w:val="0"/>
          <w:numId w:val="4"/>
        </w:numPr>
        <w:ind w:left="360" w:right="-288"/>
        <w:rPr>
          <w:rFonts w:cs="Arial"/>
          <w:sz w:val="22"/>
          <w:szCs w:val="22"/>
          <w:u w:val="single"/>
        </w:rPr>
      </w:pPr>
      <w:r w:rsidRPr="00870A3F">
        <w:rPr>
          <w:rFonts w:cs="Arial"/>
          <w:sz w:val="22"/>
          <w:szCs w:val="22"/>
          <w:u w:val="single"/>
        </w:rPr>
        <w:t>CIRCUMSTANCES NECESSITATING COLLECTION OF INFORMATION</w:t>
      </w:r>
    </w:p>
    <w:p w:rsidR="002807C9" w:rsidRPr="002A765F" w:rsidP="006E5215" w14:paraId="464ED372" w14:textId="77777777">
      <w:pPr>
        <w:widowControl/>
        <w:tabs>
          <w:tab w:val="left" w:pos="-1440"/>
        </w:tabs>
        <w:ind w:left="-288"/>
        <w:rPr>
          <w:rFonts w:cs="Arial"/>
          <w:sz w:val="22"/>
          <w:szCs w:val="22"/>
        </w:rPr>
      </w:pPr>
    </w:p>
    <w:p w:rsidR="00367545" w:rsidRPr="002A765F" w:rsidP="00ED58C6" w14:paraId="3B3D34B7" w14:textId="689859AC">
      <w:pPr>
        <w:ind w:left="360"/>
        <w:rPr>
          <w:rFonts w:cs="Arial"/>
          <w:sz w:val="22"/>
          <w:szCs w:val="22"/>
        </w:rPr>
      </w:pPr>
      <w:r w:rsidRPr="002A765F">
        <w:rPr>
          <w:rFonts w:cs="Arial"/>
          <w:sz w:val="22"/>
          <w:szCs w:val="22"/>
        </w:rPr>
        <w:t xml:space="preserve">The Internal Revenue Service Restructuring and Reform Act of 1998 (RRA 98) authorized the creation of the Electronic Tax Administration Advisory Committee (ETAAC). ETAAC has a primary duty of providing input to the Internal Revenue Service (IRS) on its strategic plan for electronic tax administration. Accordingly, ETAAC’s responsibilities involve researching, </w:t>
      </w:r>
      <w:r w:rsidRPr="002A765F" w:rsidR="00A26114">
        <w:rPr>
          <w:rFonts w:cs="Arial"/>
          <w:sz w:val="22"/>
          <w:szCs w:val="22"/>
        </w:rPr>
        <w:t>analyzing,</w:t>
      </w:r>
      <w:r w:rsidRPr="002A765F">
        <w:rPr>
          <w:rFonts w:cs="Arial"/>
          <w:sz w:val="22"/>
          <w:szCs w:val="22"/>
        </w:rPr>
        <w:t xml:space="preserve"> and making recommendations on a wide range of electronic tax administration issues.</w:t>
      </w:r>
    </w:p>
    <w:p w:rsidR="0025112B" w:rsidRPr="002A765F" w:rsidP="00A57658" w14:paraId="066C94E1" w14:textId="77777777">
      <w:pPr>
        <w:ind w:left="180"/>
        <w:rPr>
          <w:rFonts w:cs="Arial"/>
          <w:sz w:val="22"/>
          <w:szCs w:val="22"/>
        </w:rPr>
      </w:pPr>
    </w:p>
    <w:p w:rsidR="00367545" w:rsidRPr="002A765F" w:rsidP="00ED58C6" w14:paraId="361C1A23" w14:textId="77777777">
      <w:pPr>
        <w:ind w:left="360"/>
        <w:rPr>
          <w:rFonts w:cs="Arial"/>
          <w:sz w:val="22"/>
          <w:szCs w:val="22"/>
        </w:rPr>
      </w:pPr>
      <w:r w:rsidRPr="002A765F">
        <w:rPr>
          <w:rFonts w:cs="Arial"/>
          <w:sz w:val="22"/>
          <w:szCs w:val="22"/>
        </w:rPr>
        <w:t>The Electronic Tax Administration Advisory Committee (ETAAC) provides an organized public forum for discussion of electronic tax administration issues in support of the overriding goal that paperless filing should be the preferred and most convenient method of filing tax and information returns. ETAAC members convey the public’s perception of the IRS electronic tax administration activities, offer constructive observations about current or proposed policies, programs, and procedures, and suggest improvements.</w:t>
      </w:r>
    </w:p>
    <w:p w:rsidR="00367545" w:rsidRPr="002A765F" w:rsidP="00ED58C6" w14:paraId="6F237965" w14:textId="77777777">
      <w:pPr>
        <w:ind w:left="360"/>
        <w:rPr>
          <w:rFonts w:cs="Arial"/>
          <w:sz w:val="22"/>
          <w:szCs w:val="22"/>
        </w:rPr>
      </w:pPr>
    </w:p>
    <w:p w:rsidR="00367545" w:rsidRPr="002A765F" w:rsidP="00ED58C6" w14:paraId="3EF4F8E0" w14:textId="7A9BAB1D">
      <w:pPr>
        <w:ind w:left="360"/>
        <w:rPr>
          <w:rFonts w:cs="Arial"/>
          <w:sz w:val="22"/>
          <w:szCs w:val="22"/>
        </w:rPr>
      </w:pPr>
      <w:r w:rsidRPr="002A765F">
        <w:rPr>
          <w:rFonts w:cs="Arial"/>
          <w:sz w:val="22"/>
          <w:szCs w:val="22"/>
        </w:rPr>
        <w:t xml:space="preserve">Each </w:t>
      </w:r>
      <w:r w:rsidR="00586F74">
        <w:rPr>
          <w:rFonts w:cs="Arial"/>
          <w:sz w:val="22"/>
          <w:szCs w:val="22"/>
        </w:rPr>
        <w:t>y</w:t>
      </w:r>
      <w:r w:rsidRPr="002A765F" w:rsidR="0089604C">
        <w:rPr>
          <w:rFonts w:cs="Arial"/>
          <w:sz w:val="22"/>
          <w:szCs w:val="22"/>
        </w:rPr>
        <w:t>ear</w:t>
      </w:r>
      <w:r w:rsidRPr="002A765F">
        <w:rPr>
          <w:rFonts w:cs="Arial"/>
          <w:sz w:val="22"/>
          <w:szCs w:val="22"/>
        </w:rPr>
        <w:t>, the IRS will solicit applications for membership to maintain a balance of new and returning members. Open season will be announced with a notice in the Federal Register. This is a volunteer position with a time commitment of approximately 150 hours, excluding travel. Volunteers should have experience in electronic tax administration. See the application for a detailed list of skills and qualifications. Applicants may be nominated by individuals and/or associations.</w:t>
      </w:r>
    </w:p>
    <w:p w:rsidR="00812555" w:rsidRPr="002A765F" w:rsidP="002807C9" w14:paraId="56FC737A" w14:textId="77777777">
      <w:pPr>
        <w:rPr>
          <w:rFonts w:cs="Arial"/>
          <w:sz w:val="22"/>
          <w:szCs w:val="22"/>
        </w:rPr>
      </w:pPr>
    </w:p>
    <w:p w:rsidR="00812555" w:rsidRPr="002A765F" w:rsidP="00030FC1" w14:paraId="123D5105" w14:textId="55F3D5FD">
      <w:pPr>
        <w:pStyle w:val="ListParagraph"/>
        <w:widowControl/>
        <w:numPr>
          <w:ilvl w:val="0"/>
          <w:numId w:val="4"/>
        </w:numPr>
        <w:ind w:left="360" w:right="-288"/>
        <w:rPr>
          <w:rFonts w:cs="Arial"/>
          <w:sz w:val="22"/>
          <w:szCs w:val="22"/>
          <w:u w:val="single"/>
        </w:rPr>
      </w:pPr>
      <w:r w:rsidRPr="002A765F">
        <w:rPr>
          <w:rFonts w:cs="Arial"/>
          <w:sz w:val="22"/>
          <w:szCs w:val="22"/>
          <w:u w:val="single"/>
        </w:rPr>
        <w:t>USE OF DATA</w:t>
      </w:r>
    </w:p>
    <w:p w:rsidR="00812555" w:rsidRPr="002A765F" w14:paraId="5559F918" w14:textId="77777777">
      <w:pPr>
        <w:widowControl/>
        <w:rPr>
          <w:rFonts w:cs="Arial"/>
          <w:sz w:val="22"/>
          <w:szCs w:val="22"/>
          <w:u w:val="single"/>
        </w:rPr>
      </w:pPr>
    </w:p>
    <w:p w:rsidR="003E03B7" w:rsidRPr="002A765F" w:rsidP="00ED58C6" w14:paraId="18B08308" w14:textId="38983042">
      <w:pPr>
        <w:ind w:left="360"/>
        <w:rPr>
          <w:rFonts w:cs="Arial"/>
          <w:sz w:val="22"/>
          <w:szCs w:val="22"/>
        </w:rPr>
      </w:pPr>
      <w:r w:rsidRPr="002A765F">
        <w:rPr>
          <w:rFonts w:cs="Arial"/>
          <w:sz w:val="22"/>
          <w:szCs w:val="22"/>
        </w:rPr>
        <w:t xml:space="preserve">The agency will use the information </w:t>
      </w:r>
      <w:r w:rsidRPr="002A765F" w:rsidR="00A26114">
        <w:rPr>
          <w:rFonts w:cs="Arial"/>
          <w:sz w:val="22"/>
          <w:szCs w:val="22"/>
        </w:rPr>
        <w:t>to</w:t>
      </w:r>
      <w:r w:rsidRPr="002A765F">
        <w:rPr>
          <w:rFonts w:cs="Arial"/>
          <w:sz w:val="22"/>
          <w:szCs w:val="22"/>
        </w:rPr>
        <w:t xml:space="preserve"> perform Federal Income Tax, FBI, and practitioner check as required of all members and applicants to the Committees.</w:t>
      </w:r>
      <w:r w:rsidRPr="002A765F" w:rsidR="00346734">
        <w:rPr>
          <w:rFonts w:cs="Arial"/>
          <w:sz w:val="22"/>
          <w:szCs w:val="22"/>
        </w:rPr>
        <w:t xml:space="preserve"> </w:t>
      </w:r>
      <w:r w:rsidRPr="002A765F" w:rsidR="00503DF0">
        <w:rPr>
          <w:rFonts w:cs="Arial"/>
          <w:sz w:val="22"/>
          <w:szCs w:val="22"/>
        </w:rPr>
        <w:t xml:space="preserve"> </w:t>
      </w:r>
    </w:p>
    <w:p w:rsidR="00041B8A" w:rsidRPr="002A765F" w:rsidP="00F24463" w14:paraId="17FCF093" w14:textId="77777777">
      <w:pPr>
        <w:rPr>
          <w:rFonts w:cs="Arial"/>
          <w:sz w:val="22"/>
          <w:szCs w:val="22"/>
        </w:rPr>
      </w:pPr>
    </w:p>
    <w:p w:rsidR="00812555" w:rsidRPr="002A765F" w:rsidP="00030FC1" w14:paraId="5DA5E82E" w14:textId="0F3F87D8">
      <w:pPr>
        <w:pStyle w:val="ListParagraph"/>
        <w:widowControl/>
        <w:numPr>
          <w:ilvl w:val="0"/>
          <w:numId w:val="4"/>
        </w:numPr>
        <w:ind w:left="360" w:right="-288"/>
        <w:rPr>
          <w:rFonts w:cs="Arial"/>
          <w:sz w:val="22"/>
          <w:szCs w:val="22"/>
          <w:u w:val="single"/>
        </w:rPr>
      </w:pPr>
      <w:r w:rsidRPr="002A765F">
        <w:rPr>
          <w:rFonts w:cs="Arial"/>
          <w:sz w:val="22"/>
          <w:szCs w:val="22"/>
          <w:u w:val="single"/>
        </w:rPr>
        <w:t>USE OF IMPROVED INFORMATION TECHNOLOGY TO REDUCE BURDEN</w:t>
      </w:r>
    </w:p>
    <w:p w:rsidR="00812555" w:rsidRPr="002A765F" w:rsidP="00842F59" w14:paraId="40C91011" w14:textId="77777777">
      <w:pPr>
        <w:keepNext/>
        <w:keepLines/>
        <w:widowControl/>
        <w:ind w:left="-288"/>
        <w:rPr>
          <w:rFonts w:cs="Arial"/>
          <w:sz w:val="22"/>
          <w:szCs w:val="22"/>
          <w:u w:val="single"/>
        </w:rPr>
      </w:pPr>
    </w:p>
    <w:p w:rsidR="00812555" w:rsidRPr="002A765F" w:rsidP="00ED58C6" w14:paraId="7C7A3077" w14:textId="00B4D7CE">
      <w:pPr>
        <w:ind w:left="360"/>
        <w:rPr>
          <w:rFonts w:cs="Arial"/>
          <w:sz w:val="22"/>
          <w:szCs w:val="22"/>
        </w:rPr>
      </w:pPr>
      <w:r>
        <w:rPr>
          <w:rFonts w:cs="Arial"/>
          <w:sz w:val="22"/>
          <w:szCs w:val="22"/>
        </w:rPr>
        <w:t xml:space="preserve">All </w:t>
      </w:r>
      <w:r w:rsidRPr="002A765F" w:rsidR="00C47B3E">
        <w:rPr>
          <w:rFonts w:cs="Arial"/>
          <w:sz w:val="22"/>
          <w:szCs w:val="22"/>
        </w:rPr>
        <w:t xml:space="preserve">required information </w:t>
      </w:r>
      <w:r w:rsidRPr="002A765F" w:rsidR="00772D58">
        <w:rPr>
          <w:rFonts w:cs="Arial"/>
          <w:sz w:val="22"/>
          <w:szCs w:val="22"/>
        </w:rPr>
        <w:t>and supporting documentation for the membership application</w:t>
      </w:r>
      <w:r w:rsidRPr="002A765F" w:rsidR="003A442F">
        <w:rPr>
          <w:rFonts w:cs="Arial"/>
          <w:sz w:val="22"/>
          <w:szCs w:val="22"/>
        </w:rPr>
        <w:t xml:space="preserve"> </w:t>
      </w:r>
      <w:r w:rsidR="007023C9">
        <w:rPr>
          <w:rFonts w:cs="Arial"/>
          <w:sz w:val="22"/>
          <w:szCs w:val="22"/>
        </w:rPr>
        <w:t>can be</w:t>
      </w:r>
      <w:r w:rsidRPr="002A765F" w:rsidR="00BE7BF1">
        <w:rPr>
          <w:rFonts w:cs="Arial"/>
          <w:sz w:val="22"/>
          <w:szCs w:val="22"/>
        </w:rPr>
        <w:t xml:space="preserve"> emailed to </w:t>
      </w:r>
      <w:hyperlink r:id="rId4" w:history="1">
        <w:r w:rsidRPr="002A765F" w:rsidR="00772D58">
          <w:rPr>
            <w:rStyle w:val="Hyperlink"/>
            <w:rFonts w:cs="Arial"/>
            <w:sz w:val="22"/>
            <w:szCs w:val="22"/>
          </w:rPr>
          <w:t>publicliaison@irs.gov</w:t>
        </w:r>
      </w:hyperlink>
      <w:r w:rsidRPr="002A765F" w:rsidR="003A442F">
        <w:rPr>
          <w:rFonts w:cs="Arial"/>
          <w:sz w:val="22"/>
          <w:szCs w:val="22"/>
        </w:rPr>
        <w:t xml:space="preserve"> or </w:t>
      </w:r>
      <w:r w:rsidR="007023C9">
        <w:rPr>
          <w:rFonts w:cs="Arial"/>
          <w:sz w:val="22"/>
          <w:szCs w:val="22"/>
        </w:rPr>
        <w:t xml:space="preserve">via </w:t>
      </w:r>
      <w:r w:rsidRPr="002A765F" w:rsidR="003A442F">
        <w:rPr>
          <w:rFonts w:cs="Arial"/>
          <w:sz w:val="22"/>
          <w:szCs w:val="22"/>
        </w:rPr>
        <w:t xml:space="preserve">FAX </w:t>
      </w:r>
      <w:r w:rsidR="007023C9">
        <w:rPr>
          <w:rFonts w:cs="Arial"/>
          <w:sz w:val="22"/>
          <w:szCs w:val="22"/>
        </w:rPr>
        <w:t>at</w:t>
      </w:r>
      <w:r w:rsidRPr="002A765F" w:rsidR="003A442F">
        <w:rPr>
          <w:rFonts w:cs="Arial"/>
          <w:sz w:val="22"/>
          <w:szCs w:val="22"/>
        </w:rPr>
        <w:t xml:space="preserve"> </w:t>
      </w:r>
      <w:r w:rsidR="007023C9">
        <w:rPr>
          <w:rFonts w:cs="Arial"/>
          <w:sz w:val="22"/>
          <w:szCs w:val="22"/>
        </w:rPr>
        <w:t>1-</w:t>
      </w:r>
      <w:r w:rsidRPr="002A765F" w:rsidR="003A442F">
        <w:rPr>
          <w:rFonts w:cs="Arial"/>
          <w:sz w:val="22"/>
          <w:szCs w:val="22"/>
        </w:rPr>
        <w:t xml:space="preserve">855-811-8020. </w:t>
      </w:r>
      <w:r w:rsidRPr="002A765F" w:rsidR="00772D58">
        <w:rPr>
          <w:rFonts w:cs="Arial"/>
          <w:sz w:val="22"/>
          <w:szCs w:val="22"/>
        </w:rPr>
        <w:t xml:space="preserve"> </w:t>
      </w:r>
    </w:p>
    <w:p w:rsidR="00842F59" w:rsidRPr="002A765F" w:rsidP="00A57658" w14:paraId="4C4B4E1B" w14:textId="77777777">
      <w:pPr>
        <w:keepLines/>
        <w:widowControl/>
        <w:ind w:left="180"/>
        <w:rPr>
          <w:rFonts w:cs="Arial"/>
          <w:sz w:val="22"/>
          <w:szCs w:val="22"/>
        </w:rPr>
      </w:pPr>
    </w:p>
    <w:p w:rsidR="00812555" w:rsidRPr="002A765F" w:rsidP="00030FC1" w14:paraId="00003AC1" w14:textId="5F1D9E26">
      <w:pPr>
        <w:pStyle w:val="ListParagraph"/>
        <w:widowControl/>
        <w:numPr>
          <w:ilvl w:val="0"/>
          <w:numId w:val="4"/>
        </w:numPr>
        <w:ind w:left="360" w:right="-288"/>
        <w:rPr>
          <w:rFonts w:cs="Arial"/>
          <w:sz w:val="22"/>
          <w:szCs w:val="22"/>
          <w:u w:val="single"/>
        </w:rPr>
      </w:pPr>
      <w:r w:rsidRPr="002A765F">
        <w:rPr>
          <w:rFonts w:cs="Arial"/>
          <w:sz w:val="22"/>
          <w:szCs w:val="22"/>
          <w:u w:val="single"/>
        </w:rPr>
        <w:t>EFFORTS TO IDENTIFY DUPLICATION</w:t>
      </w:r>
    </w:p>
    <w:p w:rsidR="00812555" w:rsidRPr="002A765F" w:rsidP="00F24463" w14:paraId="23DAA288" w14:textId="77777777">
      <w:pPr>
        <w:widowControl/>
        <w:ind w:left="-180"/>
        <w:rPr>
          <w:rFonts w:cs="Arial"/>
          <w:sz w:val="22"/>
          <w:szCs w:val="22"/>
          <w:u w:val="single"/>
        </w:rPr>
      </w:pPr>
    </w:p>
    <w:p w:rsidR="00146BD1" w:rsidRPr="002A765F" w:rsidP="00ED58C6" w14:paraId="1599F987" w14:textId="77777777">
      <w:pPr>
        <w:ind w:left="360"/>
        <w:rPr>
          <w:rFonts w:cs="Arial"/>
          <w:sz w:val="22"/>
          <w:szCs w:val="22"/>
        </w:rPr>
      </w:pPr>
      <w:r w:rsidRPr="00ED58C6">
        <w:rPr>
          <w:rFonts w:cs="Arial"/>
          <w:sz w:val="22"/>
          <w:szCs w:val="22"/>
        </w:rPr>
        <w:t>The information obtained through this collection is unique and is not already available for use or adaptation from another source.</w:t>
      </w:r>
    </w:p>
    <w:p w:rsidR="00812555" w:rsidRPr="002A765F" w14:paraId="42CB9AFF" w14:textId="77777777">
      <w:pPr>
        <w:widowControl/>
        <w:rPr>
          <w:rFonts w:cs="Arial"/>
          <w:sz w:val="22"/>
          <w:szCs w:val="22"/>
        </w:rPr>
      </w:pPr>
    </w:p>
    <w:p w:rsidR="00812555" w:rsidRPr="002A765F" w:rsidP="00030FC1" w14:paraId="18060EB1" w14:textId="238E1B18">
      <w:pPr>
        <w:pStyle w:val="ListParagraph"/>
        <w:widowControl/>
        <w:numPr>
          <w:ilvl w:val="0"/>
          <w:numId w:val="4"/>
        </w:numPr>
        <w:ind w:left="360" w:right="-288"/>
        <w:rPr>
          <w:rFonts w:cs="Arial"/>
          <w:sz w:val="22"/>
          <w:szCs w:val="22"/>
          <w:u w:val="single"/>
        </w:rPr>
      </w:pPr>
      <w:r w:rsidRPr="002A765F">
        <w:rPr>
          <w:rFonts w:cs="Arial"/>
          <w:sz w:val="22"/>
          <w:szCs w:val="22"/>
          <w:u w:val="single"/>
        </w:rPr>
        <w:t>METHODS TO MINIMIZE BURDEN ON SMALL BUSINESSES OR OTHER SMALL ENTITIES</w:t>
      </w:r>
    </w:p>
    <w:p w:rsidR="00812555" w:rsidRPr="002A765F" w:rsidP="00EA4D93" w14:paraId="3B6E5EEA" w14:textId="77777777">
      <w:pPr>
        <w:widowControl/>
        <w:ind w:left="288"/>
        <w:rPr>
          <w:rFonts w:cs="Arial"/>
          <w:sz w:val="22"/>
          <w:szCs w:val="22"/>
          <w:u w:val="single"/>
        </w:rPr>
      </w:pPr>
    </w:p>
    <w:p w:rsidR="00146BD1" w:rsidRPr="002A765F" w:rsidP="00ED58C6" w14:paraId="143BFCD8" w14:textId="6F4EFC55">
      <w:pPr>
        <w:ind w:left="360"/>
        <w:rPr>
          <w:rFonts w:cs="Arial"/>
          <w:sz w:val="22"/>
          <w:szCs w:val="22"/>
        </w:rPr>
      </w:pPr>
      <w:r w:rsidRPr="00ED58C6">
        <w:rPr>
          <w:rFonts w:cs="Arial"/>
          <w:sz w:val="22"/>
          <w:szCs w:val="22"/>
        </w:rPr>
        <w:t xml:space="preserve">There is </w:t>
      </w:r>
      <w:r w:rsidRPr="00ED58C6" w:rsidR="00BD42AB">
        <w:rPr>
          <w:rFonts w:cs="Arial"/>
          <w:sz w:val="22"/>
          <w:szCs w:val="22"/>
        </w:rPr>
        <w:t xml:space="preserve">minimal or </w:t>
      </w:r>
      <w:r w:rsidRPr="00ED58C6">
        <w:rPr>
          <w:rFonts w:cs="Arial"/>
          <w:sz w:val="22"/>
          <w:szCs w:val="22"/>
        </w:rPr>
        <w:t xml:space="preserve">no burden on small businesses or entities by this collection due to the </w:t>
      </w:r>
      <w:r w:rsidRPr="00ED58C6" w:rsidR="00754DA9">
        <w:rPr>
          <w:rFonts w:cs="Arial"/>
          <w:sz w:val="22"/>
          <w:szCs w:val="22"/>
        </w:rPr>
        <w:t xml:space="preserve">IRS Restructuring Act of 1998 </w:t>
      </w:r>
      <w:r w:rsidRPr="00ED58C6">
        <w:rPr>
          <w:rFonts w:cs="Arial"/>
          <w:sz w:val="22"/>
          <w:szCs w:val="22"/>
        </w:rPr>
        <w:t>to this type of entity.</w:t>
      </w:r>
    </w:p>
    <w:p w:rsidR="00812555" w:rsidRPr="002A765F" w:rsidP="00EA4D93" w14:paraId="5C5FA908" w14:textId="77777777">
      <w:pPr>
        <w:widowControl/>
        <w:rPr>
          <w:rFonts w:cs="Arial"/>
          <w:sz w:val="22"/>
          <w:szCs w:val="22"/>
        </w:rPr>
      </w:pPr>
    </w:p>
    <w:p w:rsidR="00812555" w:rsidRPr="002A765F" w:rsidP="00147E17" w14:paraId="5CE48B72" w14:textId="49E72A87">
      <w:pPr>
        <w:pStyle w:val="ListParagraph"/>
        <w:widowControl/>
        <w:numPr>
          <w:ilvl w:val="0"/>
          <w:numId w:val="4"/>
        </w:numPr>
        <w:ind w:left="360" w:right="-288"/>
        <w:rPr>
          <w:rFonts w:cs="Arial"/>
          <w:sz w:val="22"/>
          <w:szCs w:val="22"/>
          <w:u w:val="single"/>
        </w:rPr>
      </w:pPr>
      <w:r w:rsidRPr="002A765F">
        <w:rPr>
          <w:rFonts w:cs="Arial"/>
          <w:sz w:val="22"/>
          <w:szCs w:val="22"/>
          <w:u w:val="single"/>
        </w:rPr>
        <w:t>CONSEQUENCES OF LESS FREQUENT COLLECTION ON FEDERAL PROGRAMS OR POLICY ACTIVITIES</w:t>
      </w:r>
    </w:p>
    <w:p w:rsidR="00147E17" w:rsidP="00A57658" w14:paraId="46739168" w14:textId="77777777">
      <w:pPr>
        <w:widowControl/>
        <w:ind w:left="180"/>
        <w:rPr>
          <w:rFonts w:cs="Arial"/>
          <w:sz w:val="22"/>
          <w:szCs w:val="22"/>
          <w:u w:val="single"/>
        </w:rPr>
      </w:pPr>
    </w:p>
    <w:p w:rsidR="00E21483" w:rsidRPr="002A765F" w:rsidP="00ED58C6" w14:paraId="4604BF56" w14:textId="71A79E5F">
      <w:pPr>
        <w:ind w:left="360"/>
        <w:rPr>
          <w:rFonts w:cs="Arial"/>
          <w:sz w:val="22"/>
          <w:szCs w:val="22"/>
        </w:rPr>
      </w:pPr>
      <w:r w:rsidRPr="002A765F">
        <w:rPr>
          <w:rFonts w:cs="Arial"/>
          <w:sz w:val="22"/>
          <w:szCs w:val="22"/>
        </w:rPr>
        <w:t xml:space="preserve">Applications are accepted once a year and each member </w:t>
      </w:r>
      <w:r w:rsidRPr="002A765F" w:rsidR="001370FE">
        <w:rPr>
          <w:rFonts w:cs="Arial"/>
          <w:sz w:val="22"/>
          <w:szCs w:val="22"/>
        </w:rPr>
        <w:t>are</w:t>
      </w:r>
      <w:r w:rsidRPr="002A765F">
        <w:rPr>
          <w:rFonts w:cs="Arial"/>
          <w:sz w:val="22"/>
          <w:szCs w:val="22"/>
        </w:rPr>
        <w:t xml:space="preserve"> generally appointed to a </w:t>
      </w:r>
      <w:r w:rsidRPr="002A765F" w:rsidR="00050CE5">
        <w:rPr>
          <w:rFonts w:cs="Arial"/>
          <w:sz w:val="22"/>
          <w:szCs w:val="22"/>
        </w:rPr>
        <w:t>three-year</w:t>
      </w:r>
      <w:r w:rsidRPr="002A765F">
        <w:rPr>
          <w:rFonts w:cs="Arial"/>
          <w:sz w:val="22"/>
          <w:szCs w:val="22"/>
        </w:rPr>
        <w:t xml:space="preserve"> term. Terms are staggered so that approximately one-third of the committee membership changes each year. Less frequent collection would not allow for the appointment of the appropriate number of committee members. In addition, members are drawn from diverse backgrounds. Members represent the taxpaying public, tax professional community, small and large businesses, colleges and universities, state tax administrations, banks, insurance companies, foreign financial institutions, and the software and payroll industries. Collecting applications annually allows for balance membership from substantially diverse backgrounds when membership seats become available.   </w:t>
      </w:r>
    </w:p>
    <w:p w:rsidR="00812555" w:rsidRPr="002A765F" w:rsidP="00EA4D93" w14:paraId="3F2D21E1" w14:textId="77777777">
      <w:pPr>
        <w:widowControl/>
        <w:ind w:left="288"/>
        <w:rPr>
          <w:rFonts w:cs="Arial"/>
          <w:sz w:val="22"/>
          <w:szCs w:val="22"/>
        </w:rPr>
      </w:pPr>
    </w:p>
    <w:p w:rsidR="00812555" w:rsidRPr="002A765F" w:rsidP="00147E17" w14:paraId="41799432" w14:textId="22F3CF91">
      <w:pPr>
        <w:pStyle w:val="ListParagraph"/>
        <w:widowControl/>
        <w:numPr>
          <w:ilvl w:val="0"/>
          <w:numId w:val="4"/>
        </w:numPr>
        <w:ind w:left="360" w:right="-288"/>
        <w:rPr>
          <w:rFonts w:cs="Arial"/>
          <w:sz w:val="22"/>
          <w:szCs w:val="22"/>
          <w:u w:val="single"/>
        </w:rPr>
      </w:pPr>
      <w:r w:rsidRPr="002A765F">
        <w:rPr>
          <w:rFonts w:cs="Arial"/>
          <w:sz w:val="22"/>
          <w:szCs w:val="22"/>
          <w:u w:val="single"/>
        </w:rPr>
        <w:t>SPECIAL CIRCUMSTANCES REQUIRING DATA COLLECTION TO BE INCONSISTENT WITH GUIDELINES IN 5 CFR 1320.5(d)(2)</w:t>
      </w:r>
    </w:p>
    <w:p w:rsidR="00812555" w:rsidRPr="002A765F" w:rsidP="000809DD" w14:paraId="70372BBC" w14:textId="77777777">
      <w:pPr>
        <w:widowControl/>
        <w:ind w:left="-288"/>
        <w:rPr>
          <w:rFonts w:cs="Arial"/>
          <w:sz w:val="22"/>
          <w:szCs w:val="22"/>
          <w:u w:val="single"/>
        </w:rPr>
      </w:pPr>
    </w:p>
    <w:p w:rsidR="00812555" w:rsidRPr="002A765F" w:rsidP="00ED58C6" w14:paraId="0F95C8E1" w14:textId="12B9D931">
      <w:pPr>
        <w:ind w:left="360"/>
        <w:rPr>
          <w:rFonts w:cs="Arial"/>
          <w:sz w:val="22"/>
          <w:szCs w:val="22"/>
        </w:rPr>
      </w:pPr>
      <w:r w:rsidRPr="002A765F">
        <w:rPr>
          <w:rFonts w:cs="Arial"/>
          <w:sz w:val="22"/>
          <w:szCs w:val="22"/>
        </w:rPr>
        <w:t>There are no special circumstances requiring data collection to be inconsistent with Guidelines in 5 CFR 1320.5(d)(2).</w:t>
      </w:r>
    </w:p>
    <w:p w:rsidR="00812555" w:rsidRPr="002A765F" w:rsidP="00EA4D93" w14:paraId="004823B4" w14:textId="77777777">
      <w:pPr>
        <w:widowControl/>
        <w:ind w:left="288"/>
        <w:rPr>
          <w:rFonts w:cs="Arial"/>
          <w:sz w:val="22"/>
          <w:szCs w:val="22"/>
        </w:rPr>
      </w:pPr>
    </w:p>
    <w:p w:rsidR="00812555" w:rsidRPr="002A765F" w:rsidP="00147E17" w14:paraId="6A8E5A33" w14:textId="1591AD54">
      <w:pPr>
        <w:pStyle w:val="ListParagraph"/>
        <w:widowControl/>
        <w:numPr>
          <w:ilvl w:val="0"/>
          <w:numId w:val="4"/>
        </w:numPr>
        <w:ind w:left="360" w:right="-288"/>
        <w:rPr>
          <w:rFonts w:cs="Arial"/>
          <w:sz w:val="22"/>
          <w:szCs w:val="22"/>
          <w:u w:val="single"/>
        </w:rPr>
      </w:pPr>
      <w:r w:rsidRPr="002A765F">
        <w:rPr>
          <w:rFonts w:cs="Arial"/>
          <w:sz w:val="22"/>
          <w:szCs w:val="22"/>
          <w:u w:val="single"/>
        </w:rPr>
        <w:t xml:space="preserve">CONSULTATION WITH INDIVIDUALS OUTSIDE OF THE AGENCY ON AVAILABILITY OF </w:t>
      </w:r>
      <w:r w:rsidRPr="002A765F" w:rsidR="008F3764">
        <w:rPr>
          <w:rFonts w:cs="Arial"/>
          <w:sz w:val="22"/>
          <w:szCs w:val="22"/>
          <w:u w:val="single"/>
        </w:rPr>
        <w:t>DATA</w:t>
      </w:r>
      <w:r w:rsidRPr="00147E17" w:rsidR="008F3764">
        <w:rPr>
          <w:rFonts w:cs="Arial"/>
          <w:sz w:val="22"/>
          <w:szCs w:val="22"/>
          <w:u w:val="single"/>
        </w:rPr>
        <w:t xml:space="preserve">, </w:t>
      </w:r>
      <w:r w:rsidRPr="002A765F">
        <w:rPr>
          <w:rFonts w:cs="Arial"/>
          <w:sz w:val="22"/>
          <w:szCs w:val="22"/>
          <w:u w:val="single"/>
        </w:rPr>
        <w:t>FREQUENCY OF COLLECTION, CLARITY OF INSTRUCTIONS AND FORMS, AND DATA</w:t>
      </w:r>
      <w:r w:rsidRPr="00147E17" w:rsidR="008F3764">
        <w:rPr>
          <w:rFonts w:cs="Arial"/>
          <w:sz w:val="22"/>
          <w:szCs w:val="22"/>
          <w:u w:val="single"/>
        </w:rPr>
        <w:t xml:space="preserve"> </w:t>
      </w:r>
      <w:r w:rsidRPr="002A765F">
        <w:rPr>
          <w:rFonts w:cs="Arial"/>
          <w:sz w:val="22"/>
          <w:szCs w:val="22"/>
          <w:u w:val="single"/>
        </w:rPr>
        <w:t>ELEMENTS</w:t>
      </w:r>
    </w:p>
    <w:p w:rsidR="00812555" w:rsidRPr="002A765F" w:rsidP="00EA4D93" w14:paraId="72273E01" w14:textId="77777777">
      <w:pPr>
        <w:widowControl/>
        <w:ind w:left="288"/>
        <w:rPr>
          <w:rFonts w:cs="Arial"/>
          <w:sz w:val="22"/>
          <w:szCs w:val="22"/>
          <w:u w:val="single"/>
        </w:rPr>
      </w:pPr>
    </w:p>
    <w:p w:rsidR="00630FC8" w:rsidRPr="002A765F" w:rsidP="00ED58C6" w14:paraId="39A81BF3" w14:textId="064D4233">
      <w:pPr>
        <w:ind w:left="360"/>
        <w:rPr>
          <w:rFonts w:cs="Arial"/>
          <w:sz w:val="22"/>
          <w:szCs w:val="22"/>
        </w:rPr>
      </w:pPr>
      <w:r w:rsidRPr="002A765F">
        <w:rPr>
          <w:rFonts w:cs="Arial"/>
          <w:sz w:val="22"/>
          <w:szCs w:val="22"/>
        </w:rPr>
        <w:t xml:space="preserve">In response to the </w:t>
      </w:r>
      <w:r w:rsidRPr="00ED58C6">
        <w:rPr>
          <w:rFonts w:cs="Arial"/>
          <w:sz w:val="22"/>
          <w:szCs w:val="22"/>
        </w:rPr>
        <w:t>Federal Register</w:t>
      </w:r>
      <w:r w:rsidRPr="002A765F">
        <w:rPr>
          <w:rFonts w:cs="Arial"/>
          <w:sz w:val="22"/>
          <w:szCs w:val="22"/>
        </w:rPr>
        <w:t xml:space="preserve"> notice (</w:t>
      </w:r>
      <w:r w:rsidR="00993994">
        <w:rPr>
          <w:rFonts w:cs="Arial"/>
          <w:sz w:val="22"/>
          <w:szCs w:val="22"/>
        </w:rPr>
        <w:t>90</w:t>
      </w:r>
      <w:r w:rsidRPr="002A765F">
        <w:rPr>
          <w:rFonts w:cs="Arial"/>
          <w:sz w:val="22"/>
          <w:szCs w:val="22"/>
        </w:rPr>
        <w:t xml:space="preserve"> FR </w:t>
      </w:r>
      <w:r w:rsidR="007023C9">
        <w:rPr>
          <w:rFonts w:cs="Arial"/>
          <w:sz w:val="22"/>
          <w:szCs w:val="22"/>
        </w:rPr>
        <w:t>9803</w:t>
      </w:r>
      <w:r w:rsidRPr="002A765F">
        <w:rPr>
          <w:rFonts w:cs="Arial"/>
          <w:sz w:val="22"/>
          <w:szCs w:val="22"/>
        </w:rPr>
        <w:t xml:space="preserve">), dated </w:t>
      </w:r>
      <w:r w:rsidR="007023C9">
        <w:rPr>
          <w:rFonts w:cs="Arial"/>
          <w:sz w:val="22"/>
          <w:szCs w:val="22"/>
        </w:rPr>
        <w:t>February 18</w:t>
      </w:r>
      <w:r w:rsidRPr="002A765F" w:rsidR="00DA5AD0">
        <w:rPr>
          <w:rFonts w:cs="Arial"/>
          <w:sz w:val="22"/>
          <w:szCs w:val="22"/>
        </w:rPr>
        <w:t xml:space="preserve">, </w:t>
      </w:r>
      <w:r w:rsidRPr="002A765F" w:rsidR="00A26114">
        <w:rPr>
          <w:rFonts w:cs="Arial"/>
          <w:sz w:val="22"/>
          <w:szCs w:val="22"/>
        </w:rPr>
        <w:t>202</w:t>
      </w:r>
      <w:r w:rsidR="00993994">
        <w:rPr>
          <w:rFonts w:cs="Arial"/>
          <w:sz w:val="22"/>
          <w:szCs w:val="22"/>
        </w:rPr>
        <w:t>5</w:t>
      </w:r>
      <w:r w:rsidRPr="002A765F">
        <w:rPr>
          <w:rFonts w:cs="Arial"/>
          <w:sz w:val="22"/>
          <w:szCs w:val="22"/>
        </w:rPr>
        <w:t xml:space="preserve">, we received </w:t>
      </w:r>
      <w:r w:rsidRPr="002A765F" w:rsidR="00A26114">
        <w:rPr>
          <w:rFonts w:cs="Arial"/>
          <w:sz w:val="22"/>
          <w:szCs w:val="22"/>
        </w:rPr>
        <w:t>no comments</w:t>
      </w:r>
      <w:r w:rsidRPr="002A765F">
        <w:rPr>
          <w:rFonts w:cs="Arial"/>
          <w:sz w:val="22"/>
          <w:szCs w:val="22"/>
        </w:rPr>
        <w:t xml:space="preserve"> during the comment period regarding </w:t>
      </w:r>
      <w:r w:rsidRPr="002A765F" w:rsidR="00146BD1">
        <w:rPr>
          <w:rFonts w:cs="Arial"/>
          <w:sz w:val="22"/>
          <w:szCs w:val="22"/>
        </w:rPr>
        <w:t>Form 13768</w:t>
      </w:r>
      <w:r w:rsidRPr="002A765F">
        <w:rPr>
          <w:rFonts w:cs="Arial"/>
          <w:sz w:val="22"/>
          <w:szCs w:val="22"/>
        </w:rPr>
        <w:t>.</w:t>
      </w:r>
    </w:p>
    <w:p w:rsidR="00367545" w:rsidRPr="002A765F" w:rsidP="00EA4D93" w14:paraId="01450D5A" w14:textId="77777777">
      <w:pPr>
        <w:widowControl/>
        <w:ind w:left="288"/>
        <w:rPr>
          <w:rFonts w:cs="Arial"/>
          <w:sz w:val="22"/>
          <w:szCs w:val="22"/>
        </w:rPr>
      </w:pPr>
    </w:p>
    <w:p w:rsidR="00812555" w:rsidRPr="002A765F" w:rsidP="00147E17" w14:paraId="511DE187" w14:textId="3ED3945F">
      <w:pPr>
        <w:pStyle w:val="ListParagraph"/>
        <w:widowControl/>
        <w:numPr>
          <w:ilvl w:val="0"/>
          <w:numId w:val="4"/>
        </w:numPr>
        <w:ind w:left="360" w:right="-288"/>
        <w:rPr>
          <w:rFonts w:cs="Arial"/>
          <w:sz w:val="22"/>
          <w:szCs w:val="22"/>
          <w:u w:val="single"/>
        </w:rPr>
      </w:pPr>
      <w:r w:rsidRPr="002A765F">
        <w:rPr>
          <w:rFonts w:cs="Arial"/>
          <w:sz w:val="22"/>
          <w:szCs w:val="22"/>
          <w:u w:val="single"/>
        </w:rPr>
        <w:t>EXPLANATION OF DECISION TO PROVIDE ANY PAYMENT OR GIFT TO RESPONDENTS</w:t>
      </w:r>
    </w:p>
    <w:p w:rsidR="00812555" w:rsidRPr="002A765F" w:rsidP="00EA4D93" w14:paraId="0261DBDA" w14:textId="77777777">
      <w:pPr>
        <w:widowControl/>
        <w:ind w:left="288"/>
        <w:rPr>
          <w:rFonts w:cs="Arial"/>
          <w:sz w:val="22"/>
          <w:szCs w:val="22"/>
          <w:u w:val="single"/>
        </w:rPr>
      </w:pPr>
    </w:p>
    <w:p w:rsidR="00812555" w:rsidRPr="002A765F" w:rsidP="00ED58C6" w14:paraId="7F3BF709" w14:textId="46601BA8">
      <w:pPr>
        <w:ind w:left="360"/>
        <w:rPr>
          <w:rFonts w:cs="Arial"/>
          <w:sz w:val="22"/>
          <w:szCs w:val="22"/>
        </w:rPr>
      </w:pPr>
      <w:r w:rsidRPr="002A765F">
        <w:rPr>
          <w:rFonts w:cs="Arial"/>
          <w:sz w:val="22"/>
          <w:szCs w:val="22"/>
        </w:rPr>
        <w:t>No payment or gift has been provided to any respondents.</w:t>
      </w:r>
    </w:p>
    <w:p w:rsidR="00812555" w:rsidRPr="002A765F" w:rsidP="00EF622B" w14:paraId="3A8100FE" w14:textId="77777777">
      <w:pPr>
        <w:widowControl/>
        <w:ind w:left="-144"/>
        <w:rPr>
          <w:rFonts w:cs="Arial"/>
          <w:sz w:val="22"/>
          <w:szCs w:val="22"/>
        </w:rPr>
      </w:pPr>
    </w:p>
    <w:p w:rsidR="00812555" w:rsidRPr="002A765F" w:rsidP="00147E17" w14:paraId="020FF043" w14:textId="6A109C91">
      <w:pPr>
        <w:pStyle w:val="ListParagraph"/>
        <w:widowControl/>
        <w:numPr>
          <w:ilvl w:val="0"/>
          <w:numId w:val="4"/>
        </w:numPr>
        <w:ind w:left="360" w:right="-288"/>
        <w:rPr>
          <w:rFonts w:cs="Arial"/>
          <w:sz w:val="22"/>
          <w:szCs w:val="22"/>
          <w:u w:val="single"/>
        </w:rPr>
      </w:pPr>
      <w:r w:rsidRPr="002A765F">
        <w:rPr>
          <w:rFonts w:cs="Arial"/>
          <w:sz w:val="22"/>
          <w:szCs w:val="22"/>
          <w:u w:val="single"/>
        </w:rPr>
        <w:t>ASSURANCE OF CONFIDENTIALITY OF RESPONSES</w:t>
      </w:r>
    </w:p>
    <w:p w:rsidR="00812555" w:rsidRPr="002A765F" w:rsidP="00147E17" w14:paraId="3880E19A" w14:textId="77777777">
      <w:pPr>
        <w:keepNext/>
        <w:keepLines/>
        <w:widowControl/>
        <w:rPr>
          <w:rFonts w:cs="Arial"/>
          <w:sz w:val="22"/>
          <w:szCs w:val="22"/>
          <w:u w:val="single"/>
        </w:rPr>
      </w:pPr>
    </w:p>
    <w:p w:rsidR="00812555" w:rsidRPr="002A765F" w:rsidP="00ED58C6" w14:paraId="435BB1AE" w14:textId="4D3951CF">
      <w:pPr>
        <w:ind w:left="360"/>
        <w:rPr>
          <w:rFonts w:cs="Arial"/>
          <w:sz w:val="22"/>
          <w:szCs w:val="22"/>
        </w:rPr>
      </w:pPr>
      <w:r w:rsidRPr="002A765F">
        <w:rPr>
          <w:rFonts w:cs="Arial"/>
          <w:sz w:val="22"/>
          <w:szCs w:val="22"/>
        </w:rPr>
        <w:t>Generally, tax returns and tax return information are confidential as required by 26 U.S.C. 6103.</w:t>
      </w:r>
    </w:p>
    <w:p w:rsidR="00812555" w:rsidRPr="002A765F" w14:paraId="2FBC3DCC" w14:textId="77777777">
      <w:pPr>
        <w:keepLines/>
        <w:widowControl/>
        <w:rPr>
          <w:rFonts w:cs="Arial"/>
          <w:sz w:val="22"/>
          <w:szCs w:val="22"/>
        </w:rPr>
      </w:pPr>
    </w:p>
    <w:p w:rsidR="00812555" w:rsidRPr="002A765F" w:rsidP="00147E17" w14:paraId="639B8FED" w14:textId="6A7671F1">
      <w:pPr>
        <w:pStyle w:val="ListParagraph"/>
        <w:widowControl/>
        <w:numPr>
          <w:ilvl w:val="0"/>
          <w:numId w:val="4"/>
        </w:numPr>
        <w:ind w:left="360" w:right="-288"/>
        <w:rPr>
          <w:rFonts w:cs="Arial"/>
          <w:sz w:val="22"/>
          <w:szCs w:val="22"/>
          <w:u w:val="single"/>
        </w:rPr>
      </w:pPr>
      <w:r w:rsidRPr="002A765F">
        <w:rPr>
          <w:rFonts w:cs="Arial"/>
          <w:sz w:val="22"/>
          <w:szCs w:val="22"/>
          <w:u w:val="single"/>
        </w:rPr>
        <w:t>JUSTIFICATION OF SENSITIVE QUESTIONS</w:t>
      </w:r>
    </w:p>
    <w:p w:rsidR="00B44125" w:rsidRPr="002A765F" w14:paraId="61ED689D" w14:textId="77777777">
      <w:pPr>
        <w:widowControl/>
        <w:tabs>
          <w:tab w:val="left" w:pos="-1440"/>
        </w:tabs>
        <w:ind w:left="720" w:hanging="720"/>
        <w:rPr>
          <w:rFonts w:cs="Arial"/>
          <w:sz w:val="22"/>
          <w:szCs w:val="22"/>
          <w:u w:val="single"/>
        </w:rPr>
      </w:pPr>
    </w:p>
    <w:p w:rsidR="00B44125" w:rsidRPr="002A765F" w:rsidP="00ED58C6" w14:paraId="6BD32FFD" w14:textId="392839E6">
      <w:pPr>
        <w:widowControl/>
        <w:tabs>
          <w:tab w:val="left" w:pos="-1440"/>
        </w:tabs>
        <w:ind w:left="360"/>
        <w:rPr>
          <w:rFonts w:cs="Arial"/>
          <w:color w:val="4472C4"/>
          <w:sz w:val="22"/>
          <w:szCs w:val="22"/>
        </w:rPr>
      </w:pPr>
      <w:r w:rsidRPr="002A765F">
        <w:rPr>
          <w:rFonts w:cs="Arial"/>
          <w:sz w:val="22"/>
          <w:szCs w:val="22"/>
        </w:rPr>
        <w:t xml:space="preserve">A privacy impact assessment (PIA) has been conducted for information collected under this request </w:t>
      </w:r>
      <w:r w:rsidRPr="002A765F" w:rsidR="00156E2D">
        <w:rPr>
          <w:rFonts w:cs="Arial"/>
          <w:sz w:val="22"/>
          <w:szCs w:val="22"/>
        </w:rPr>
        <w:t xml:space="preserve">as part of the “Business Master File (BMF) system </w:t>
      </w:r>
      <w:r w:rsidRPr="002A765F">
        <w:rPr>
          <w:rFonts w:cs="Arial"/>
          <w:sz w:val="22"/>
          <w:szCs w:val="22"/>
        </w:rPr>
        <w:t>and a Privacy Act System of Records notice (SORN) has been issued for this system</w:t>
      </w:r>
      <w:r w:rsidRPr="002A765F" w:rsidR="00156E2D">
        <w:rPr>
          <w:rFonts w:cs="Arial"/>
          <w:sz w:val="22"/>
          <w:szCs w:val="22"/>
        </w:rPr>
        <w:t xml:space="preserve"> under IRS 24-046- CADE Business Master </w:t>
      </w:r>
      <w:r w:rsidRPr="002A765F" w:rsidR="000F5AF2">
        <w:rPr>
          <w:rFonts w:cs="Arial"/>
          <w:sz w:val="22"/>
          <w:szCs w:val="22"/>
        </w:rPr>
        <w:t xml:space="preserve">  </w:t>
      </w:r>
      <w:r w:rsidRPr="002A765F" w:rsidR="00156E2D">
        <w:rPr>
          <w:rFonts w:cs="Arial"/>
          <w:sz w:val="22"/>
          <w:szCs w:val="22"/>
        </w:rPr>
        <w:t>File and IRS 34.037 - IRS Audit Trail and Security Records System</w:t>
      </w:r>
      <w:r w:rsidRPr="002A765F">
        <w:rPr>
          <w:rFonts w:cs="Arial"/>
          <w:sz w:val="22"/>
          <w:szCs w:val="22"/>
        </w:rPr>
        <w:t xml:space="preserve">. The Internal Revenue Service PIAs can be found at </w:t>
      </w:r>
      <w:hyperlink r:id="rId5" w:history="1">
        <w:r w:rsidRPr="002A765F" w:rsidR="00A26114">
          <w:rPr>
            <w:rStyle w:val="Hyperlink"/>
            <w:rFonts w:cs="Arial"/>
            <w:color w:val="4472C4"/>
            <w:sz w:val="22"/>
            <w:szCs w:val="22"/>
          </w:rPr>
          <w:t>https://www.irs.gov/uac/Privacy-Impact-Assessments-PIA</w:t>
        </w:r>
      </w:hyperlink>
      <w:r w:rsidRPr="002A765F" w:rsidR="004A7A70">
        <w:rPr>
          <w:rFonts w:cs="Arial"/>
          <w:color w:val="4472C4"/>
          <w:sz w:val="22"/>
          <w:szCs w:val="22"/>
        </w:rPr>
        <w:t xml:space="preserve">. </w:t>
      </w:r>
    </w:p>
    <w:p w:rsidR="00B44125" w:rsidRPr="002A765F" w:rsidP="00F24463" w14:paraId="1FE4FEC3" w14:textId="77777777">
      <w:pPr>
        <w:widowControl/>
        <w:tabs>
          <w:tab w:val="left" w:pos="-1440"/>
        </w:tabs>
        <w:ind w:left="90" w:hanging="720"/>
        <w:rPr>
          <w:rFonts w:cs="Arial"/>
          <w:color w:val="4472C4"/>
          <w:sz w:val="22"/>
          <w:szCs w:val="22"/>
        </w:rPr>
      </w:pPr>
    </w:p>
    <w:p w:rsidR="00812555" w:rsidRPr="002A765F" w:rsidP="00ED58C6" w14:paraId="2F0E5070" w14:textId="66C0307C">
      <w:pPr>
        <w:widowControl/>
        <w:tabs>
          <w:tab w:val="left" w:pos="-1440"/>
        </w:tabs>
        <w:ind w:left="360"/>
        <w:rPr>
          <w:rFonts w:cs="Arial"/>
          <w:sz w:val="22"/>
          <w:szCs w:val="22"/>
        </w:rPr>
      </w:pPr>
      <w:r w:rsidRPr="002A765F">
        <w:rPr>
          <w:rFonts w:cs="Arial"/>
          <w:sz w:val="22"/>
          <w:szCs w:val="22"/>
        </w:rPr>
        <w:t>Title 26 USC 6109 requires inclusion of identifying numbers in returns, statements, or other</w:t>
      </w:r>
      <w:r w:rsidRPr="002A765F" w:rsidR="00A57658">
        <w:rPr>
          <w:rFonts w:cs="Arial"/>
          <w:sz w:val="22"/>
          <w:szCs w:val="22"/>
        </w:rPr>
        <w:t xml:space="preserve"> </w:t>
      </w:r>
      <w:r w:rsidRPr="002A765F">
        <w:rPr>
          <w:rFonts w:cs="Arial"/>
          <w:sz w:val="22"/>
          <w:szCs w:val="22"/>
        </w:rPr>
        <w:t>documents for securing proper identification of persons required to make such</w:t>
      </w:r>
      <w:r w:rsidRPr="002A765F" w:rsidR="006913D4">
        <w:rPr>
          <w:rFonts w:cs="Arial"/>
          <w:sz w:val="22"/>
          <w:szCs w:val="22"/>
        </w:rPr>
        <w:t xml:space="preserve"> </w:t>
      </w:r>
      <w:r w:rsidRPr="002A765F" w:rsidR="00D30AE1">
        <w:rPr>
          <w:rFonts w:cs="Arial"/>
          <w:sz w:val="22"/>
          <w:szCs w:val="22"/>
        </w:rPr>
        <w:t xml:space="preserve">returns, </w:t>
      </w:r>
      <w:r w:rsidRPr="002A765F">
        <w:rPr>
          <w:rFonts w:cs="Arial"/>
          <w:sz w:val="22"/>
          <w:szCs w:val="22"/>
        </w:rPr>
        <w:t>statements, or documents and is the authority for social security numbers (SSNs) in IRS systems.</w:t>
      </w:r>
    </w:p>
    <w:p w:rsidR="00812555" w:rsidRPr="002A765F" w:rsidP="00C01B68" w14:paraId="5330AB1C" w14:textId="77777777">
      <w:pPr>
        <w:widowControl/>
        <w:ind w:left="288"/>
        <w:rPr>
          <w:rFonts w:cs="Arial"/>
          <w:sz w:val="22"/>
          <w:szCs w:val="22"/>
        </w:rPr>
      </w:pPr>
    </w:p>
    <w:p w:rsidR="00812555" w:rsidRPr="002A765F" w:rsidP="00147E17" w14:paraId="0D212386" w14:textId="36730784">
      <w:pPr>
        <w:pStyle w:val="ListParagraph"/>
        <w:widowControl/>
        <w:numPr>
          <w:ilvl w:val="0"/>
          <w:numId w:val="4"/>
        </w:numPr>
        <w:ind w:left="360" w:right="-288"/>
        <w:rPr>
          <w:rFonts w:cs="Arial"/>
          <w:sz w:val="22"/>
          <w:szCs w:val="22"/>
          <w:u w:val="single"/>
        </w:rPr>
      </w:pPr>
      <w:r w:rsidRPr="002A765F">
        <w:rPr>
          <w:rFonts w:cs="Arial"/>
          <w:sz w:val="22"/>
          <w:szCs w:val="22"/>
          <w:u w:val="single"/>
        </w:rPr>
        <w:t>ESTIMATED BURDEN OF INFORMATION COLLECTION</w:t>
      </w:r>
    </w:p>
    <w:p w:rsidR="009F07F1" w:rsidRPr="002A765F" w14:paraId="4B5C70B2" w14:textId="77777777">
      <w:pPr>
        <w:keepNext/>
        <w:keepLines/>
        <w:widowControl/>
        <w:rPr>
          <w:rFonts w:cs="Arial"/>
          <w:sz w:val="22"/>
          <w:szCs w:val="22"/>
          <w:u w:val="single"/>
        </w:rPr>
      </w:pPr>
    </w:p>
    <w:p w:rsidR="00932735" w:rsidRPr="002A765F" w:rsidP="00ED58C6" w14:paraId="345C2C2A" w14:textId="54878D98">
      <w:pPr>
        <w:widowControl/>
        <w:tabs>
          <w:tab w:val="left" w:pos="-1440"/>
        </w:tabs>
        <w:ind w:left="360"/>
        <w:rPr>
          <w:rFonts w:cs="Arial"/>
          <w:sz w:val="22"/>
          <w:szCs w:val="22"/>
        </w:rPr>
      </w:pPr>
      <w:r w:rsidRPr="002A765F">
        <w:rPr>
          <w:rFonts w:cs="Arial"/>
          <w:sz w:val="22"/>
          <w:szCs w:val="22"/>
        </w:rPr>
        <w:t xml:space="preserve">The Internal Revenue Service Restructuring and Reform Act of 1998 (RRA 98) authorized the creation of the Electronic Tax Administration Advisory Committee (ETAAC). </w:t>
      </w:r>
      <w:r w:rsidRPr="002A765F" w:rsidR="0048725C">
        <w:rPr>
          <w:rFonts w:cs="Arial"/>
          <w:sz w:val="22"/>
          <w:szCs w:val="22"/>
        </w:rPr>
        <w:t xml:space="preserve"> </w:t>
      </w:r>
      <w:r w:rsidRPr="002A765F">
        <w:rPr>
          <w:rFonts w:cs="Arial"/>
          <w:sz w:val="22"/>
          <w:szCs w:val="22"/>
        </w:rPr>
        <w:t xml:space="preserve"> </w:t>
      </w:r>
    </w:p>
    <w:p w:rsidR="00932735" w:rsidRPr="002A765F" w:rsidP="00F24463" w14:paraId="4F171662" w14:textId="77777777">
      <w:pPr>
        <w:keepNext/>
        <w:keepLines/>
        <w:widowControl/>
        <w:ind w:left="90"/>
        <w:rPr>
          <w:rFonts w:cs="Arial"/>
          <w:sz w:val="22"/>
          <w:szCs w:val="22"/>
        </w:rPr>
      </w:pPr>
      <w:r w:rsidRPr="002A765F">
        <w:rPr>
          <w:rFonts w:cs="Arial"/>
          <w:sz w:val="22"/>
          <w:szCs w:val="22"/>
        </w:rPr>
        <w:t xml:space="preserve">           </w:t>
      </w:r>
    </w:p>
    <w:p w:rsidR="009F07F1" w:rsidRPr="002A765F" w:rsidP="00ED58C6" w14:paraId="43C2803F" w14:textId="2DEA92CF">
      <w:pPr>
        <w:widowControl/>
        <w:tabs>
          <w:tab w:val="left" w:pos="-1440"/>
        </w:tabs>
        <w:ind w:left="360"/>
        <w:rPr>
          <w:rFonts w:cs="Arial"/>
          <w:sz w:val="22"/>
          <w:szCs w:val="22"/>
        </w:rPr>
      </w:pPr>
      <w:r w:rsidRPr="002A765F">
        <w:rPr>
          <w:rFonts w:cs="Arial"/>
          <w:sz w:val="22"/>
          <w:szCs w:val="22"/>
        </w:rPr>
        <w:t>The burden estimate is as follows:</w:t>
      </w:r>
    </w:p>
    <w:p w:rsidR="009F07F1" w:rsidRPr="002A765F" w:rsidP="009F07F1" w14:paraId="17BED824" w14:textId="77777777">
      <w:pPr>
        <w:rPr>
          <w:rFonts w:cs="Arial"/>
          <w:sz w:val="22"/>
          <w:szCs w:val="22"/>
        </w:rPr>
      </w:pPr>
    </w:p>
    <w:tbl>
      <w:tblPr>
        <w:tblW w:w="9070" w:type="dxa"/>
        <w:tblInd w:w="350" w:type="dxa"/>
        <w:tblLayout w:type="fixed"/>
        <w:tblLook w:val="04A0"/>
      </w:tblPr>
      <w:tblGrid>
        <w:gridCol w:w="1440"/>
        <w:gridCol w:w="1620"/>
        <w:gridCol w:w="1620"/>
        <w:gridCol w:w="1620"/>
        <w:gridCol w:w="1350"/>
        <w:gridCol w:w="1420"/>
      </w:tblGrid>
      <w:tr w14:paraId="2CA8F1AF" w14:textId="77777777" w:rsidTr="002C535E">
        <w:tblPrEx>
          <w:tblW w:w="9070" w:type="dxa"/>
          <w:tblInd w:w="350" w:type="dxa"/>
          <w:tblLayout w:type="fixed"/>
          <w:tblLook w:val="04A0"/>
        </w:tblPrEx>
        <w:trPr>
          <w:trHeight w:val="583"/>
        </w:trPr>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56E2D" w:rsidRPr="002A765F" w:rsidP="00B43467" w14:paraId="0F769C19" w14:textId="77777777">
            <w:pPr>
              <w:jc w:val="center"/>
              <w:rPr>
                <w:rFonts w:cs="Arial"/>
                <w:sz w:val="22"/>
                <w:szCs w:val="22"/>
                <w:u w:val="single"/>
              </w:rPr>
            </w:pPr>
            <w:bookmarkStart w:id="0" w:name="RANGE!B4"/>
            <w:r w:rsidRPr="002A765F">
              <w:rPr>
                <w:rFonts w:cs="Arial"/>
                <w:sz w:val="22"/>
                <w:szCs w:val="22"/>
                <w:u w:val="single"/>
              </w:rPr>
              <w:t>Form</w:t>
            </w:r>
            <w:bookmarkEnd w:id="0"/>
          </w:p>
        </w:tc>
        <w:tc>
          <w:tcPr>
            <w:tcW w:w="1620" w:type="dxa"/>
            <w:tcBorders>
              <w:top w:val="single" w:sz="8" w:space="0" w:color="auto"/>
              <w:left w:val="nil"/>
              <w:bottom w:val="single" w:sz="4" w:space="0" w:color="auto"/>
              <w:right w:val="single" w:sz="8" w:space="0" w:color="auto"/>
            </w:tcBorders>
            <w:shd w:val="clear" w:color="auto" w:fill="auto"/>
            <w:vAlign w:val="bottom"/>
            <w:hideMark/>
          </w:tcPr>
          <w:p w:rsidR="00156E2D" w:rsidRPr="002A765F" w:rsidP="00B43467" w14:paraId="544F1557" w14:textId="77777777">
            <w:pPr>
              <w:jc w:val="center"/>
              <w:rPr>
                <w:rFonts w:cs="Arial"/>
                <w:sz w:val="22"/>
                <w:szCs w:val="22"/>
                <w:u w:val="single"/>
              </w:rPr>
            </w:pPr>
            <w:r w:rsidRPr="002A765F">
              <w:rPr>
                <w:rFonts w:cs="Arial"/>
                <w:sz w:val="22"/>
                <w:szCs w:val="22"/>
                <w:u w:val="single"/>
              </w:rPr>
              <w:t>Number of Respondents</w:t>
            </w:r>
          </w:p>
        </w:tc>
        <w:tc>
          <w:tcPr>
            <w:tcW w:w="1620" w:type="dxa"/>
            <w:tcBorders>
              <w:top w:val="single" w:sz="8" w:space="0" w:color="auto"/>
              <w:left w:val="nil"/>
              <w:bottom w:val="single" w:sz="4" w:space="0" w:color="auto"/>
              <w:right w:val="single" w:sz="8" w:space="0" w:color="auto"/>
            </w:tcBorders>
            <w:shd w:val="clear" w:color="auto" w:fill="auto"/>
            <w:vAlign w:val="bottom"/>
            <w:hideMark/>
          </w:tcPr>
          <w:p w:rsidR="00156E2D" w:rsidRPr="002A765F" w:rsidP="00B43467" w14:paraId="78F29586" w14:textId="77777777">
            <w:pPr>
              <w:jc w:val="center"/>
              <w:rPr>
                <w:rFonts w:cs="Arial"/>
                <w:sz w:val="22"/>
                <w:szCs w:val="22"/>
                <w:u w:val="single"/>
              </w:rPr>
            </w:pPr>
            <w:r w:rsidRPr="002A765F">
              <w:rPr>
                <w:rFonts w:cs="Arial"/>
                <w:sz w:val="22"/>
                <w:szCs w:val="22"/>
                <w:u w:val="single"/>
              </w:rPr>
              <w:t>Responses per Respondent</w:t>
            </w:r>
          </w:p>
        </w:tc>
        <w:tc>
          <w:tcPr>
            <w:tcW w:w="1620" w:type="dxa"/>
            <w:tcBorders>
              <w:top w:val="single" w:sz="8" w:space="0" w:color="auto"/>
              <w:left w:val="nil"/>
              <w:bottom w:val="single" w:sz="4" w:space="0" w:color="auto"/>
              <w:right w:val="single" w:sz="8" w:space="0" w:color="auto"/>
            </w:tcBorders>
            <w:shd w:val="clear" w:color="auto" w:fill="auto"/>
            <w:vAlign w:val="bottom"/>
            <w:hideMark/>
          </w:tcPr>
          <w:p w:rsidR="00156E2D" w:rsidRPr="002A765F" w:rsidP="00B43467" w14:paraId="0D5F3D9A" w14:textId="77777777">
            <w:pPr>
              <w:jc w:val="center"/>
              <w:rPr>
                <w:rFonts w:cs="Arial"/>
                <w:sz w:val="22"/>
                <w:szCs w:val="22"/>
                <w:u w:val="single"/>
              </w:rPr>
            </w:pPr>
            <w:r w:rsidRPr="002A765F">
              <w:rPr>
                <w:rFonts w:cs="Arial"/>
                <w:sz w:val="22"/>
                <w:szCs w:val="22"/>
                <w:u w:val="single"/>
              </w:rPr>
              <w:t>Annual Responses</w:t>
            </w:r>
          </w:p>
        </w:tc>
        <w:tc>
          <w:tcPr>
            <w:tcW w:w="1350" w:type="dxa"/>
            <w:tcBorders>
              <w:top w:val="single" w:sz="8" w:space="0" w:color="auto"/>
              <w:left w:val="nil"/>
              <w:bottom w:val="single" w:sz="4" w:space="0" w:color="auto"/>
              <w:right w:val="single" w:sz="8" w:space="0" w:color="auto"/>
            </w:tcBorders>
            <w:shd w:val="clear" w:color="auto" w:fill="auto"/>
            <w:vAlign w:val="bottom"/>
            <w:hideMark/>
          </w:tcPr>
          <w:p w:rsidR="00156E2D" w:rsidRPr="002A765F" w:rsidP="00B43467" w14:paraId="19CB039B" w14:textId="77777777">
            <w:pPr>
              <w:jc w:val="center"/>
              <w:rPr>
                <w:rFonts w:cs="Arial"/>
                <w:sz w:val="22"/>
                <w:szCs w:val="22"/>
                <w:u w:val="single"/>
              </w:rPr>
            </w:pPr>
            <w:r w:rsidRPr="002A765F">
              <w:rPr>
                <w:rFonts w:cs="Arial"/>
                <w:sz w:val="22"/>
                <w:szCs w:val="22"/>
                <w:u w:val="single"/>
              </w:rPr>
              <w:t>Hours per Response</w:t>
            </w:r>
          </w:p>
        </w:tc>
        <w:tc>
          <w:tcPr>
            <w:tcW w:w="1420" w:type="dxa"/>
            <w:tcBorders>
              <w:top w:val="single" w:sz="8" w:space="0" w:color="auto"/>
              <w:left w:val="nil"/>
              <w:bottom w:val="single" w:sz="4" w:space="0" w:color="auto"/>
              <w:right w:val="single" w:sz="8" w:space="0" w:color="auto"/>
            </w:tcBorders>
            <w:shd w:val="clear" w:color="auto" w:fill="auto"/>
            <w:vAlign w:val="bottom"/>
            <w:hideMark/>
          </w:tcPr>
          <w:p w:rsidR="00156E2D" w:rsidRPr="002A765F" w:rsidP="00B43467" w14:paraId="1C560FCD" w14:textId="77777777">
            <w:pPr>
              <w:jc w:val="center"/>
              <w:rPr>
                <w:rFonts w:cs="Arial"/>
                <w:sz w:val="22"/>
                <w:szCs w:val="22"/>
                <w:u w:val="single"/>
              </w:rPr>
            </w:pPr>
            <w:r w:rsidRPr="002A765F">
              <w:rPr>
                <w:rFonts w:cs="Arial"/>
                <w:sz w:val="22"/>
                <w:szCs w:val="22"/>
                <w:u w:val="single"/>
              </w:rPr>
              <w:t>Total Burden</w:t>
            </w:r>
          </w:p>
        </w:tc>
      </w:tr>
      <w:tr w14:paraId="79006923" w14:textId="77777777" w:rsidTr="002C535E">
        <w:tblPrEx>
          <w:tblW w:w="9070" w:type="dxa"/>
          <w:tblInd w:w="350" w:type="dxa"/>
          <w:tblLayout w:type="fixed"/>
          <w:tblLook w:val="04A0"/>
        </w:tblPrEx>
        <w:trPr>
          <w:trHeight w:val="302"/>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156E2D" w:rsidRPr="002A765F" w:rsidP="00B44BC5" w14:paraId="5A156955" w14:textId="01D23B47">
            <w:pPr>
              <w:jc w:val="center"/>
              <w:rPr>
                <w:rFonts w:cs="Arial"/>
                <w:sz w:val="22"/>
                <w:szCs w:val="22"/>
              </w:rPr>
            </w:pPr>
            <w:r w:rsidRPr="002A765F">
              <w:rPr>
                <w:rFonts w:cs="Arial"/>
                <w:sz w:val="22"/>
                <w:szCs w:val="22"/>
              </w:rPr>
              <w:t>Form 13768</w:t>
            </w:r>
          </w:p>
        </w:tc>
        <w:tc>
          <w:tcPr>
            <w:tcW w:w="1620" w:type="dxa"/>
            <w:tcBorders>
              <w:top w:val="nil"/>
              <w:left w:val="nil"/>
              <w:bottom w:val="single" w:sz="8" w:space="0" w:color="auto"/>
              <w:right w:val="single" w:sz="8" w:space="0" w:color="auto"/>
            </w:tcBorders>
            <w:shd w:val="clear" w:color="auto" w:fill="auto"/>
            <w:noWrap/>
            <w:vAlign w:val="center"/>
            <w:hideMark/>
          </w:tcPr>
          <w:p w:rsidR="00156E2D" w:rsidRPr="002A765F" w:rsidP="00B44BC5" w14:paraId="0276C10B" w14:textId="306B0DE8">
            <w:pPr>
              <w:jc w:val="center"/>
              <w:rPr>
                <w:rFonts w:cs="Arial"/>
                <w:sz w:val="22"/>
                <w:szCs w:val="22"/>
              </w:rPr>
            </w:pPr>
            <w:r>
              <w:rPr>
                <w:rFonts w:cs="Arial"/>
                <w:sz w:val="22"/>
                <w:szCs w:val="22"/>
              </w:rPr>
              <w:t>40</w:t>
            </w:r>
          </w:p>
        </w:tc>
        <w:tc>
          <w:tcPr>
            <w:tcW w:w="1620" w:type="dxa"/>
            <w:tcBorders>
              <w:top w:val="nil"/>
              <w:left w:val="nil"/>
              <w:bottom w:val="single" w:sz="8" w:space="0" w:color="auto"/>
              <w:right w:val="single" w:sz="8" w:space="0" w:color="auto"/>
            </w:tcBorders>
            <w:shd w:val="clear" w:color="auto" w:fill="auto"/>
            <w:noWrap/>
            <w:vAlign w:val="center"/>
            <w:hideMark/>
          </w:tcPr>
          <w:p w:rsidR="00156E2D" w:rsidRPr="002A765F" w:rsidP="00B44BC5" w14:paraId="20D86A56" w14:textId="77777777">
            <w:pPr>
              <w:jc w:val="center"/>
              <w:rPr>
                <w:rFonts w:cs="Arial"/>
                <w:sz w:val="22"/>
                <w:szCs w:val="22"/>
              </w:rPr>
            </w:pPr>
            <w:r w:rsidRPr="002A765F">
              <w:rPr>
                <w:rFonts w:cs="Arial"/>
                <w:sz w:val="22"/>
                <w:szCs w:val="22"/>
              </w:rPr>
              <w:t>1</w:t>
            </w:r>
          </w:p>
        </w:tc>
        <w:tc>
          <w:tcPr>
            <w:tcW w:w="1620" w:type="dxa"/>
            <w:tcBorders>
              <w:top w:val="nil"/>
              <w:left w:val="nil"/>
              <w:bottom w:val="single" w:sz="8" w:space="0" w:color="auto"/>
              <w:right w:val="single" w:sz="8" w:space="0" w:color="auto"/>
            </w:tcBorders>
            <w:shd w:val="clear" w:color="auto" w:fill="auto"/>
            <w:noWrap/>
            <w:vAlign w:val="center"/>
            <w:hideMark/>
          </w:tcPr>
          <w:p w:rsidR="00156E2D" w:rsidRPr="002A765F" w:rsidP="00B44BC5" w14:paraId="29742695" w14:textId="35D14BA4">
            <w:pPr>
              <w:jc w:val="center"/>
              <w:rPr>
                <w:rFonts w:cs="Arial"/>
                <w:sz w:val="22"/>
                <w:szCs w:val="22"/>
              </w:rPr>
            </w:pPr>
            <w:r>
              <w:rPr>
                <w:rFonts w:cs="Arial"/>
                <w:sz w:val="22"/>
                <w:szCs w:val="22"/>
              </w:rPr>
              <w:t>40</w:t>
            </w:r>
          </w:p>
        </w:tc>
        <w:tc>
          <w:tcPr>
            <w:tcW w:w="1350" w:type="dxa"/>
            <w:tcBorders>
              <w:top w:val="nil"/>
              <w:left w:val="nil"/>
              <w:bottom w:val="single" w:sz="8" w:space="0" w:color="auto"/>
              <w:right w:val="single" w:sz="8" w:space="0" w:color="auto"/>
            </w:tcBorders>
            <w:shd w:val="clear" w:color="auto" w:fill="auto"/>
            <w:noWrap/>
            <w:vAlign w:val="center"/>
            <w:hideMark/>
          </w:tcPr>
          <w:p w:rsidR="00156E2D" w:rsidRPr="002A765F" w:rsidP="00B44BC5" w14:paraId="67F8FB97" w14:textId="77777777">
            <w:pPr>
              <w:jc w:val="center"/>
              <w:rPr>
                <w:rFonts w:cs="Arial"/>
                <w:sz w:val="22"/>
                <w:szCs w:val="22"/>
              </w:rPr>
            </w:pPr>
            <w:r w:rsidRPr="002A765F">
              <w:rPr>
                <w:rFonts w:cs="Arial"/>
                <w:sz w:val="22"/>
                <w:szCs w:val="22"/>
              </w:rPr>
              <w:t>1.5</w:t>
            </w:r>
          </w:p>
        </w:tc>
        <w:tc>
          <w:tcPr>
            <w:tcW w:w="1420" w:type="dxa"/>
            <w:tcBorders>
              <w:top w:val="nil"/>
              <w:left w:val="nil"/>
              <w:bottom w:val="single" w:sz="8" w:space="0" w:color="auto"/>
              <w:right w:val="single" w:sz="8" w:space="0" w:color="auto"/>
            </w:tcBorders>
            <w:shd w:val="clear" w:color="auto" w:fill="auto"/>
            <w:noWrap/>
            <w:vAlign w:val="center"/>
            <w:hideMark/>
          </w:tcPr>
          <w:p w:rsidR="00156E2D" w:rsidRPr="002A765F" w:rsidP="00B44BC5" w14:paraId="55D8CB69" w14:textId="46CA6D07">
            <w:pPr>
              <w:jc w:val="center"/>
              <w:rPr>
                <w:rFonts w:cs="Arial"/>
                <w:sz w:val="22"/>
                <w:szCs w:val="22"/>
              </w:rPr>
            </w:pPr>
            <w:r>
              <w:rPr>
                <w:rFonts w:cs="Arial"/>
                <w:sz w:val="22"/>
                <w:szCs w:val="22"/>
              </w:rPr>
              <w:t>60</w:t>
            </w:r>
          </w:p>
        </w:tc>
      </w:tr>
      <w:tr w14:paraId="630FE15F" w14:textId="77777777" w:rsidTr="002C535E">
        <w:tblPrEx>
          <w:tblW w:w="9070" w:type="dxa"/>
          <w:tblInd w:w="350" w:type="dxa"/>
          <w:tblLayout w:type="fixed"/>
          <w:tblLook w:val="04A0"/>
        </w:tblPrEx>
        <w:trPr>
          <w:trHeight w:val="302"/>
        </w:trPr>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56E2D" w:rsidRPr="00993994" w:rsidP="00B43467" w14:paraId="1FCE566F" w14:textId="77777777">
            <w:pPr>
              <w:contextualSpacing/>
              <w:rPr>
                <w:rFonts w:cs="Arial"/>
                <w:b/>
                <w:bCs/>
                <w:sz w:val="22"/>
                <w:szCs w:val="22"/>
              </w:rPr>
            </w:pPr>
            <w:r w:rsidRPr="00993994">
              <w:rPr>
                <w:rFonts w:cs="Arial"/>
                <w:b/>
                <w:bCs/>
                <w:sz w:val="22"/>
                <w:szCs w:val="22"/>
              </w:rPr>
              <w:t> Totals</w:t>
            </w:r>
          </w:p>
        </w:tc>
        <w:tc>
          <w:tcPr>
            <w:tcW w:w="1620" w:type="dxa"/>
            <w:tcBorders>
              <w:top w:val="single" w:sz="8" w:space="0" w:color="auto"/>
              <w:left w:val="nil"/>
              <w:bottom w:val="single" w:sz="4" w:space="0" w:color="auto"/>
              <w:right w:val="single" w:sz="8" w:space="0" w:color="auto"/>
            </w:tcBorders>
            <w:shd w:val="clear" w:color="auto" w:fill="auto"/>
            <w:noWrap/>
            <w:vAlign w:val="bottom"/>
            <w:hideMark/>
          </w:tcPr>
          <w:p w:rsidR="00156E2D" w:rsidRPr="00993994" w:rsidP="00B43467" w14:paraId="49D69765" w14:textId="32D2537C">
            <w:pPr>
              <w:contextualSpacing/>
              <w:jc w:val="center"/>
              <w:rPr>
                <w:rFonts w:cs="Arial"/>
                <w:b/>
                <w:bCs/>
                <w:sz w:val="22"/>
                <w:szCs w:val="22"/>
              </w:rPr>
            </w:pPr>
            <w:r w:rsidRPr="00993994">
              <w:rPr>
                <w:rFonts w:cs="Arial"/>
                <w:b/>
                <w:bCs/>
                <w:sz w:val="22"/>
                <w:szCs w:val="22"/>
              </w:rPr>
              <w:t>40</w:t>
            </w:r>
          </w:p>
        </w:tc>
        <w:tc>
          <w:tcPr>
            <w:tcW w:w="1620" w:type="dxa"/>
            <w:tcBorders>
              <w:top w:val="single" w:sz="8" w:space="0" w:color="auto"/>
              <w:left w:val="nil"/>
              <w:bottom w:val="single" w:sz="4" w:space="0" w:color="auto"/>
              <w:right w:val="single" w:sz="8" w:space="0" w:color="auto"/>
            </w:tcBorders>
            <w:shd w:val="clear" w:color="auto" w:fill="auto"/>
            <w:noWrap/>
            <w:vAlign w:val="bottom"/>
            <w:hideMark/>
          </w:tcPr>
          <w:p w:rsidR="00156E2D" w:rsidRPr="00993994" w:rsidP="00B43467" w14:paraId="487AEAF0" w14:textId="5CC9BF6E">
            <w:pPr>
              <w:contextualSpacing/>
              <w:jc w:val="center"/>
              <w:rPr>
                <w:rFonts w:cs="Arial"/>
                <w:b/>
                <w:bCs/>
                <w:sz w:val="22"/>
                <w:szCs w:val="22"/>
              </w:rPr>
            </w:pPr>
          </w:p>
        </w:tc>
        <w:tc>
          <w:tcPr>
            <w:tcW w:w="1620" w:type="dxa"/>
            <w:tcBorders>
              <w:top w:val="single" w:sz="8" w:space="0" w:color="auto"/>
              <w:left w:val="nil"/>
              <w:bottom w:val="single" w:sz="4" w:space="0" w:color="auto"/>
              <w:right w:val="single" w:sz="8" w:space="0" w:color="auto"/>
            </w:tcBorders>
            <w:shd w:val="clear" w:color="auto" w:fill="auto"/>
            <w:noWrap/>
            <w:vAlign w:val="bottom"/>
            <w:hideMark/>
          </w:tcPr>
          <w:p w:rsidR="00156E2D" w:rsidRPr="00993994" w:rsidP="00F24463" w14:paraId="2E93CC96" w14:textId="4E383157">
            <w:pPr>
              <w:contextualSpacing/>
              <w:jc w:val="center"/>
              <w:rPr>
                <w:rFonts w:cs="Arial"/>
                <w:b/>
                <w:bCs/>
                <w:sz w:val="22"/>
                <w:szCs w:val="22"/>
              </w:rPr>
            </w:pPr>
            <w:r w:rsidRPr="00993994">
              <w:rPr>
                <w:rFonts w:cs="Arial"/>
                <w:b/>
                <w:bCs/>
                <w:sz w:val="22"/>
                <w:szCs w:val="22"/>
              </w:rPr>
              <w:t>40</w:t>
            </w:r>
          </w:p>
        </w:tc>
        <w:tc>
          <w:tcPr>
            <w:tcW w:w="1350" w:type="dxa"/>
            <w:tcBorders>
              <w:top w:val="single" w:sz="8" w:space="0" w:color="auto"/>
              <w:left w:val="nil"/>
              <w:bottom w:val="single" w:sz="4" w:space="0" w:color="auto"/>
              <w:right w:val="single" w:sz="8" w:space="0" w:color="auto"/>
            </w:tcBorders>
            <w:shd w:val="clear" w:color="auto" w:fill="auto"/>
            <w:noWrap/>
            <w:vAlign w:val="bottom"/>
            <w:hideMark/>
          </w:tcPr>
          <w:p w:rsidR="00156E2D" w:rsidRPr="00993994" w:rsidP="00B43467" w14:paraId="771C5055" w14:textId="77777777">
            <w:pPr>
              <w:contextualSpacing/>
              <w:jc w:val="center"/>
              <w:rPr>
                <w:rFonts w:cs="Arial"/>
                <w:b/>
                <w:bCs/>
                <w:sz w:val="22"/>
                <w:szCs w:val="22"/>
              </w:rPr>
            </w:pPr>
            <w:r w:rsidRPr="00993994">
              <w:rPr>
                <w:rFonts w:cs="Arial"/>
                <w:b/>
                <w:bCs/>
                <w:sz w:val="22"/>
                <w:szCs w:val="22"/>
              </w:rPr>
              <w:t> </w:t>
            </w:r>
          </w:p>
        </w:tc>
        <w:tc>
          <w:tcPr>
            <w:tcW w:w="1420" w:type="dxa"/>
            <w:tcBorders>
              <w:top w:val="single" w:sz="8" w:space="0" w:color="auto"/>
              <w:left w:val="nil"/>
              <w:bottom w:val="single" w:sz="4" w:space="0" w:color="auto"/>
              <w:right w:val="single" w:sz="8" w:space="0" w:color="auto"/>
            </w:tcBorders>
            <w:shd w:val="clear" w:color="auto" w:fill="auto"/>
            <w:noWrap/>
            <w:vAlign w:val="bottom"/>
            <w:hideMark/>
          </w:tcPr>
          <w:p w:rsidR="00156E2D" w:rsidRPr="00993994" w:rsidP="00B43467" w14:paraId="1442D5C7" w14:textId="118B6662">
            <w:pPr>
              <w:contextualSpacing/>
              <w:jc w:val="center"/>
              <w:rPr>
                <w:rFonts w:cs="Arial"/>
                <w:b/>
                <w:bCs/>
                <w:sz w:val="22"/>
                <w:szCs w:val="22"/>
              </w:rPr>
            </w:pPr>
            <w:r w:rsidRPr="00993994">
              <w:rPr>
                <w:rFonts w:cs="Arial"/>
                <w:b/>
                <w:bCs/>
                <w:sz w:val="22"/>
                <w:szCs w:val="22"/>
              </w:rPr>
              <w:t>60</w:t>
            </w:r>
          </w:p>
        </w:tc>
      </w:tr>
    </w:tbl>
    <w:p w:rsidR="00DA5AD0" w:rsidRPr="002A765F" w:rsidP="002A765F" w14:paraId="3E6138CB" w14:textId="61AE7F27">
      <w:pPr>
        <w:widowControl/>
        <w:ind w:left="720"/>
        <w:rPr>
          <w:rFonts w:cs="Arial"/>
          <w:sz w:val="22"/>
          <w:szCs w:val="22"/>
        </w:rPr>
      </w:pPr>
      <w:r w:rsidRPr="002A765F">
        <w:rPr>
          <w:rFonts w:cs="Arial"/>
          <w:sz w:val="22"/>
          <w:szCs w:val="22"/>
        </w:rPr>
        <w:t xml:space="preserve">         </w:t>
      </w:r>
    </w:p>
    <w:p w:rsidR="00812555" w:rsidRPr="002A765F" w:rsidP="00147E17" w14:paraId="32CC951F" w14:textId="756DC109">
      <w:pPr>
        <w:pStyle w:val="ListParagraph"/>
        <w:widowControl/>
        <w:numPr>
          <w:ilvl w:val="0"/>
          <w:numId w:val="4"/>
        </w:numPr>
        <w:ind w:left="360" w:right="-288"/>
        <w:rPr>
          <w:rFonts w:cs="Arial"/>
          <w:sz w:val="22"/>
          <w:szCs w:val="22"/>
          <w:u w:val="single"/>
        </w:rPr>
      </w:pPr>
      <w:r w:rsidRPr="002A765F">
        <w:rPr>
          <w:rFonts w:cs="Arial"/>
          <w:sz w:val="22"/>
          <w:szCs w:val="22"/>
          <w:u w:val="single"/>
        </w:rPr>
        <w:t>ESTIMATED TOTAL ANNUAL COST BURDEN TO RESPONDENTS</w:t>
      </w:r>
    </w:p>
    <w:p w:rsidR="00812555" w:rsidRPr="002A765F" w14:paraId="6D8183C7" w14:textId="77777777">
      <w:pPr>
        <w:widowControl/>
        <w:rPr>
          <w:rFonts w:cs="Arial"/>
          <w:sz w:val="22"/>
          <w:szCs w:val="22"/>
          <w:u w:val="single"/>
        </w:rPr>
      </w:pPr>
    </w:p>
    <w:p w:rsidR="002A765F" w:rsidRPr="002A765F" w:rsidP="00ED58C6" w14:paraId="70522FE5" w14:textId="2545A5A2">
      <w:pPr>
        <w:widowControl/>
        <w:tabs>
          <w:tab w:val="left" w:pos="-1440"/>
        </w:tabs>
        <w:ind w:left="360"/>
        <w:rPr>
          <w:rFonts w:cs="Arial"/>
          <w:sz w:val="22"/>
          <w:szCs w:val="22"/>
        </w:rPr>
      </w:pPr>
      <w:r>
        <w:rPr>
          <w:rFonts w:cs="Arial"/>
          <w:sz w:val="22"/>
          <w:szCs w:val="22"/>
        </w:rPr>
        <w:t xml:space="preserve">The IRS estimates the cost burden on respondents to be nominal. There are no start-up or maintenance costs for this collection.  The collection does not require respondents to obtain specialized equipment or professional services. </w:t>
      </w:r>
    </w:p>
    <w:p w:rsidR="002A765F" w:rsidRPr="002A765F" w:rsidP="000E211D" w14:paraId="6ED450B6" w14:textId="77777777">
      <w:pPr>
        <w:widowControl/>
        <w:ind w:left="720"/>
        <w:rPr>
          <w:rFonts w:cs="Arial"/>
          <w:sz w:val="22"/>
          <w:szCs w:val="22"/>
        </w:rPr>
      </w:pPr>
    </w:p>
    <w:p w:rsidR="00812555" w:rsidRPr="002A765F" w:rsidP="00ED58C6" w14:paraId="586F1066" w14:textId="7E9008DE">
      <w:pPr>
        <w:pStyle w:val="ListParagraph"/>
        <w:widowControl/>
        <w:numPr>
          <w:ilvl w:val="0"/>
          <w:numId w:val="4"/>
        </w:numPr>
        <w:ind w:left="360" w:right="-288"/>
        <w:rPr>
          <w:rFonts w:cs="Arial"/>
          <w:sz w:val="22"/>
          <w:szCs w:val="22"/>
          <w:u w:val="single"/>
        </w:rPr>
      </w:pPr>
      <w:r w:rsidRPr="002A765F">
        <w:rPr>
          <w:rFonts w:cs="Arial"/>
          <w:sz w:val="22"/>
          <w:szCs w:val="22"/>
          <w:u w:val="single"/>
        </w:rPr>
        <w:t>ESTIMATED ANNUALIZED COST TO THE FEDERAL GOVERNMENT</w:t>
      </w:r>
    </w:p>
    <w:p w:rsidR="00812555" w:rsidRPr="002A765F" w:rsidP="00EF622B" w14:paraId="37D500AE" w14:textId="77777777">
      <w:pPr>
        <w:widowControl/>
        <w:rPr>
          <w:rFonts w:cs="Arial"/>
          <w:sz w:val="22"/>
          <w:szCs w:val="22"/>
          <w:u w:val="single"/>
        </w:rPr>
      </w:pPr>
    </w:p>
    <w:p w:rsidR="001F15AE" w:rsidRPr="002A765F" w:rsidP="00ED58C6" w14:paraId="3D9A88D4" w14:textId="36164550">
      <w:pPr>
        <w:widowControl/>
        <w:tabs>
          <w:tab w:val="left" w:pos="-1440"/>
        </w:tabs>
        <w:ind w:left="360"/>
        <w:rPr>
          <w:rFonts w:cs="Arial"/>
          <w:sz w:val="22"/>
          <w:szCs w:val="22"/>
        </w:rPr>
      </w:pPr>
      <w:r w:rsidRPr="002A765F">
        <w:rPr>
          <w:rFonts w:cs="Arial"/>
          <w:sz w:val="22"/>
          <w:szCs w:val="22"/>
        </w:rPr>
        <w:t>There is no annualized cost to the federal government</w:t>
      </w:r>
      <w:r w:rsidR="007B7A7E">
        <w:rPr>
          <w:rFonts w:cs="Arial"/>
          <w:sz w:val="22"/>
          <w:szCs w:val="22"/>
        </w:rPr>
        <w:t xml:space="preserve">, outside of </w:t>
      </w:r>
      <w:r w:rsidR="00AA67FF">
        <w:rPr>
          <w:rFonts w:cs="Arial"/>
          <w:sz w:val="22"/>
          <w:szCs w:val="22"/>
        </w:rPr>
        <w:t>regular agency activities such as taxpayer assistance</w:t>
      </w:r>
      <w:r w:rsidRPr="002A765F">
        <w:rPr>
          <w:rFonts w:cs="Arial"/>
          <w:sz w:val="22"/>
          <w:szCs w:val="22"/>
        </w:rPr>
        <w:t>.</w:t>
      </w:r>
    </w:p>
    <w:p w:rsidR="001F15AE" w:rsidRPr="002A765F" w:rsidP="005B2854" w14:paraId="065A53D2" w14:textId="77777777">
      <w:pPr>
        <w:widowControl/>
        <w:rPr>
          <w:rFonts w:cs="Arial"/>
          <w:sz w:val="22"/>
          <w:szCs w:val="22"/>
        </w:rPr>
      </w:pPr>
    </w:p>
    <w:p w:rsidR="00812555" w:rsidRPr="002A765F" w:rsidP="00ED58C6" w14:paraId="18B18763" w14:textId="35C7160E">
      <w:pPr>
        <w:pStyle w:val="ListParagraph"/>
        <w:widowControl/>
        <w:numPr>
          <w:ilvl w:val="0"/>
          <w:numId w:val="4"/>
        </w:numPr>
        <w:ind w:left="360" w:right="-288"/>
        <w:rPr>
          <w:rFonts w:cs="Arial"/>
          <w:sz w:val="22"/>
          <w:szCs w:val="22"/>
          <w:u w:val="single"/>
        </w:rPr>
      </w:pPr>
      <w:r w:rsidRPr="002A765F">
        <w:rPr>
          <w:rFonts w:cs="Arial"/>
          <w:sz w:val="22"/>
          <w:szCs w:val="22"/>
          <w:u w:val="single"/>
        </w:rPr>
        <w:t>REASONS FOR CHANGE IN BURDEN</w:t>
      </w:r>
    </w:p>
    <w:p w:rsidR="00812555" w:rsidRPr="002A765F" w:rsidP="005B2854" w14:paraId="6DA39603" w14:textId="77777777">
      <w:pPr>
        <w:widowControl/>
        <w:ind w:left="-144"/>
        <w:rPr>
          <w:rFonts w:cs="Arial"/>
          <w:sz w:val="22"/>
          <w:szCs w:val="22"/>
          <w:u w:val="single"/>
        </w:rPr>
      </w:pPr>
    </w:p>
    <w:p w:rsidR="00906E12" w:rsidRPr="002A765F" w:rsidP="00ED58C6" w14:paraId="11CEE59E" w14:textId="4A778A9F">
      <w:pPr>
        <w:widowControl/>
        <w:tabs>
          <w:tab w:val="left" w:pos="-1440"/>
        </w:tabs>
        <w:ind w:left="360"/>
        <w:rPr>
          <w:rFonts w:cs="Arial"/>
          <w:sz w:val="22"/>
          <w:szCs w:val="22"/>
        </w:rPr>
      </w:pPr>
      <w:r w:rsidRPr="002A765F">
        <w:rPr>
          <w:rFonts w:cs="Arial"/>
          <w:sz w:val="22"/>
          <w:szCs w:val="22"/>
        </w:rPr>
        <w:t xml:space="preserve">There are no material changes </w:t>
      </w:r>
      <w:r w:rsidR="00993994">
        <w:rPr>
          <w:rFonts w:cs="Arial"/>
          <w:sz w:val="22"/>
          <w:szCs w:val="22"/>
        </w:rPr>
        <w:t xml:space="preserve">to the form </w:t>
      </w:r>
      <w:r w:rsidRPr="002A765F">
        <w:rPr>
          <w:rFonts w:cs="Arial"/>
          <w:sz w:val="22"/>
          <w:szCs w:val="22"/>
        </w:rPr>
        <w:t xml:space="preserve">previously approved by OMB. However, </w:t>
      </w:r>
      <w:r w:rsidR="00993994">
        <w:rPr>
          <w:rFonts w:cs="Arial"/>
          <w:sz w:val="22"/>
          <w:szCs w:val="22"/>
        </w:rPr>
        <w:t>updated filing estimates will in</w:t>
      </w:r>
      <w:r w:rsidRPr="002A765F">
        <w:rPr>
          <w:rFonts w:cs="Arial"/>
          <w:sz w:val="22"/>
          <w:szCs w:val="22"/>
        </w:rPr>
        <w:t xml:space="preserve">crease </w:t>
      </w:r>
      <w:r w:rsidR="00993994">
        <w:rPr>
          <w:rFonts w:cs="Arial"/>
          <w:sz w:val="22"/>
          <w:szCs w:val="22"/>
        </w:rPr>
        <w:t>the annual burden</w:t>
      </w:r>
      <w:r w:rsidRPr="002A765F">
        <w:rPr>
          <w:rFonts w:cs="Arial"/>
          <w:sz w:val="22"/>
          <w:szCs w:val="22"/>
        </w:rPr>
        <w:t>. Th</w:t>
      </w:r>
      <w:r w:rsidRPr="002A765F" w:rsidR="005F33E3">
        <w:rPr>
          <w:rFonts w:cs="Arial"/>
          <w:sz w:val="22"/>
          <w:szCs w:val="22"/>
        </w:rPr>
        <w:t xml:space="preserve">e number of </w:t>
      </w:r>
      <w:r w:rsidR="00993994">
        <w:rPr>
          <w:rFonts w:cs="Arial"/>
          <w:sz w:val="22"/>
          <w:szCs w:val="22"/>
        </w:rPr>
        <w:t xml:space="preserve">annual </w:t>
      </w:r>
      <w:r w:rsidRPr="002A765F" w:rsidR="005F33E3">
        <w:rPr>
          <w:rFonts w:cs="Arial"/>
          <w:sz w:val="22"/>
          <w:szCs w:val="22"/>
        </w:rPr>
        <w:t xml:space="preserve">responses </w:t>
      </w:r>
      <w:r w:rsidR="00993994">
        <w:rPr>
          <w:rFonts w:cs="Arial"/>
          <w:sz w:val="22"/>
          <w:szCs w:val="22"/>
        </w:rPr>
        <w:t xml:space="preserve">will increase to 40.  This will increase the estimated </w:t>
      </w:r>
      <w:r w:rsidRPr="002A765F" w:rsidR="005F33E3">
        <w:rPr>
          <w:rFonts w:cs="Arial"/>
          <w:sz w:val="22"/>
          <w:szCs w:val="22"/>
        </w:rPr>
        <w:t xml:space="preserve">burden hours by </w:t>
      </w:r>
      <w:r w:rsidR="00993994">
        <w:rPr>
          <w:rFonts w:cs="Arial"/>
          <w:sz w:val="22"/>
          <w:szCs w:val="22"/>
        </w:rPr>
        <w:t>13 hours</w:t>
      </w:r>
      <w:r w:rsidRPr="002A765F">
        <w:rPr>
          <w:rFonts w:cs="Arial"/>
          <w:sz w:val="22"/>
          <w:szCs w:val="22"/>
        </w:rPr>
        <w:t xml:space="preserve">. </w:t>
      </w:r>
    </w:p>
    <w:tbl>
      <w:tblPr>
        <w:tblpPr w:leftFromText="180" w:rightFromText="180" w:vertAnchor="text" w:horzAnchor="margin" w:tblpX="352" w:tblpY="358"/>
        <w:tblW w:w="4913" w:type="pct"/>
        <w:tblBorders>
          <w:top w:val="single" w:sz="6" w:space="0" w:color="C5DBEC"/>
          <w:left w:val="single" w:sz="6" w:space="0" w:color="C5DBEC"/>
          <w:bottom w:val="single" w:sz="6" w:space="0" w:color="C5DBEC"/>
          <w:right w:val="single" w:sz="6" w:space="0" w:color="C5DBEC"/>
        </w:tblBorders>
        <w:tblLook w:val="04A0"/>
      </w:tblPr>
      <w:tblGrid>
        <w:gridCol w:w="1117"/>
        <w:gridCol w:w="1095"/>
        <w:gridCol w:w="1402"/>
        <w:gridCol w:w="1410"/>
        <w:gridCol w:w="1498"/>
        <w:gridCol w:w="1596"/>
        <w:gridCol w:w="1063"/>
      </w:tblGrid>
      <w:tr w14:paraId="4698B6E0" w14:textId="77777777" w:rsidTr="00B44BC5">
        <w:tblPrEx>
          <w:tblW w:w="4913" w:type="pct"/>
          <w:tblBorders>
            <w:top w:val="single" w:sz="6" w:space="0" w:color="C5DBEC"/>
            <w:left w:val="single" w:sz="6" w:space="0" w:color="C5DBEC"/>
            <w:bottom w:val="single" w:sz="6" w:space="0" w:color="C5DBEC"/>
            <w:right w:val="single" w:sz="6" w:space="0" w:color="C5DBEC"/>
          </w:tblBorders>
          <w:tblLook w:val="04A0"/>
        </w:tblPrEx>
        <w:trPr>
          <w:trHeight w:val="706"/>
        </w:trPr>
        <w:tc>
          <w:tcPr>
            <w:tcW w:w="6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7A5C7C66" w14:textId="77777777">
            <w:pPr>
              <w:ind w:left="-144"/>
              <w:rPr>
                <w:rFonts w:cs="Arial"/>
                <w:bCs/>
                <w:sz w:val="20"/>
                <w:szCs w:val="20"/>
              </w:rPr>
            </w:pPr>
          </w:p>
        </w:tc>
        <w:tc>
          <w:tcPr>
            <w:tcW w:w="5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491D5183" w14:textId="77777777">
            <w:pPr>
              <w:widowControl/>
              <w:autoSpaceDE/>
              <w:adjustRightInd/>
              <w:jc w:val="center"/>
              <w:rPr>
                <w:rFonts w:cs="Arial"/>
                <w:sz w:val="20"/>
                <w:szCs w:val="20"/>
              </w:rPr>
            </w:pPr>
            <w:r w:rsidRPr="00993994">
              <w:rPr>
                <w:rFonts w:cs="Arial"/>
                <w:sz w:val="20"/>
                <w:szCs w:val="20"/>
              </w:rPr>
              <w:t>Requested</w:t>
            </w:r>
          </w:p>
        </w:tc>
        <w:tc>
          <w:tcPr>
            <w:tcW w:w="7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04CCDD32" w14:textId="77777777">
            <w:pPr>
              <w:widowControl/>
              <w:autoSpaceDE/>
              <w:adjustRightInd/>
              <w:ind w:left="-14"/>
              <w:jc w:val="center"/>
              <w:rPr>
                <w:rFonts w:cs="Arial"/>
                <w:sz w:val="20"/>
                <w:szCs w:val="20"/>
              </w:rPr>
            </w:pPr>
            <w:r w:rsidRPr="00993994">
              <w:rPr>
                <w:rFonts w:cs="Arial"/>
                <w:sz w:val="20"/>
                <w:szCs w:val="20"/>
              </w:rPr>
              <w:t>Program Change Due to New Statute</w:t>
            </w:r>
          </w:p>
        </w:tc>
        <w:tc>
          <w:tcPr>
            <w:tcW w:w="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424E6908" w14:textId="77777777">
            <w:pPr>
              <w:widowControl/>
              <w:autoSpaceDE/>
              <w:adjustRightInd/>
              <w:ind w:left="-14" w:right="30"/>
              <w:jc w:val="center"/>
              <w:rPr>
                <w:rFonts w:cs="Arial"/>
                <w:sz w:val="20"/>
                <w:szCs w:val="20"/>
              </w:rPr>
            </w:pPr>
            <w:r w:rsidRPr="00993994">
              <w:rPr>
                <w:rFonts w:cs="Arial"/>
                <w:sz w:val="20"/>
                <w:szCs w:val="20"/>
              </w:rPr>
              <w:t>Program Change Due to Agency Discretion</w:t>
            </w:r>
          </w:p>
        </w:tc>
        <w:tc>
          <w:tcPr>
            <w:tcW w:w="8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552035A4" w14:textId="77777777">
            <w:pPr>
              <w:widowControl/>
              <w:autoSpaceDE/>
              <w:adjustRightInd/>
              <w:ind w:right="75"/>
              <w:jc w:val="center"/>
              <w:rPr>
                <w:rFonts w:cs="Arial"/>
                <w:sz w:val="20"/>
                <w:szCs w:val="20"/>
              </w:rPr>
            </w:pPr>
            <w:r w:rsidRPr="00993994">
              <w:rPr>
                <w:rFonts w:cs="Arial"/>
                <w:sz w:val="20"/>
                <w:szCs w:val="20"/>
              </w:rPr>
              <w:t>Change Due to Adjustment in Agency Estimate</w:t>
            </w:r>
          </w:p>
        </w:tc>
        <w:tc>
          <w:tcPr>
            <w:tcW w:w="8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4FB6B755" w14:textId="77777777">
            <w:pPr>
              <w:widowControl/>
              <w:autoSpaceDE/>
              <w:adjustRightInd/>
              <w:ind w:left="-14" w:right="75"/>
              <w:jc w:val="center"/>
              <w:rPr>
                <w:rFonts w:cs="Arial"/>
                <w:sz w:val="20"/>
                <w:szCs w:val="20"/>
              </w:rPr>
            </w:pPr>
            <w:r w:rsidRPr="00993994">
              <w:rPr>
                <w:rFonts w:cs="Arial"/>
                <w:sz w:val="20"/>
                <w:szCs w:val="20"/>
              </w:rPr>
              <w:t>Change Due to Potential Violation of the PRA</w:t>
            </w:r>
          </w:p>
        </w:tc>
        <w:tc>
          <w:tcPr>
            <w:tcW w:w="5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2FA42128" w14:textId="77777777">
            <w:pPr>
              <w:widowControl/>
              <w:autoSpaceDE/>
              <w:adjustRightInd/>
              <w:ind w:left="-14"/>
              <w:jc w:val="center"/>
              <w:rPr>
                <w:rFonts w:cs="Arial"/>
                <w:sz w:val="20"/>
                <w:szCs w:val="20"/>
              </w:rPr>
            </w:pPr>
            <w:r w:rsidRPr="00993994">
              <w:rPr>
                <w:rFonts w:cs="Arial"/>
                <w:sz w:val="20"/>
                <w:szCs w:val="20"/>
              </w:rPr>
              <w:t>Previously Approved</w:t>
            </w:r>
          </w:p>
        </w:tc>
      </w:tr>
      <w:tr w14:paraId="3A99B529" w14:textId="77777777" w:rsidTr="00B44BC5">
        <w:tblPrEx>
          <w:tblW w:w="4913" w:type="pct"/>
          <w:tblLook w:val="04A0"/>
        </w:tblPrEx>
        <w:trPr>
          <w:trHeight w:val="294"/>
        </w:trPr>
        <w:tc>
          <w:tcPr>
            <w:tcW w:w="6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93994" w:rsidRPr="00993994" w:rsidP="00B44BC5" w14:paraId="6BAC83D1" w14:textId="77777777">
            <w:pPr>
              <w:widowControl/>
              <w:autoSpaceDE/>
              <w:adjustRightInd/>
              <w:rPr>
                <w:rFonts w:cs="Arial"/>
                <w:sz w:val="20"/>
                <w:szCs w:val="20"/>
              </w:rPr>
            </w:pPr>
            <w:r w:rsidRPr="00993994">
              <w:rPr>
                <w:rFonts w:cs="Arial"/>
                <w:sz w:val="20"/>
                <w:szCs w:val="20"/>
              </w:rPr>
              <w:t>Annual Number of Responses</w:t>
            </w:r>
          </w:p>
        </w:tc>
        <w:tc>
          <w:tcPr>
            <w:tcW w:w="5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5449DDF6" w14:textId="23C117F8">
            <w:pPr>
              <w:widowControl/>
              <w:autoSpaceDE/>
              <w:adjustRightInd/>
              <w:jc w:val="center"/>
              <w:rPr>
                <w:rFonts w:cs="Arial"/>
                <w:sz w:val="20"/>
                <w:szCs w:val="20"/>
              </w:rPr>
            </w:pPr>
            <w:r>
              <w:rPr>
                <w:rFonts w:cs="Arial"/>
                <w:sz w:val="20"/>
                <w:szCs w:val="20"/>
              </w:rPr>
              <w:t>40</w:t>
            </w:r>
          </w:p>
        </w:tc>
        <w:tc>
          <w:tcPr>
            <w:tcW w:w="7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30D51C15" w14:textId="77777777">
            <w:pPr>
              <w:widowControl/>
              <w:tabs>
                <w:tab w:val="center" w:pos="801"/>
              </w:tabs>
              <w:autoSpaceDE/>
              <w:adjustRightInd/>
              <w:ind w:left="-14"/>
              <w:jc w:val="center"/>
              <w:rPr>
                <w:rFonts w:cs="Arial"/>
                <w:sz w:val="20"/>
                <w:szCs w:val="20"/>
              </w:rPr>
            </w:pPr>
            <w:r w:rsidRPr="00993994">
              <w:rPr>
                <w:rFonts w:cs="Arial"/>
                <w:sz w:val="20"/>
                <w:szCs w:val="20"/>
              </w:rPr>
              <w:t>0</w:t>
            </w:r>
          </w:p>
        </w:tc>
        <w:tc>
          <w:tcPr>
            <w:tcW w:w="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7AA312D0" w14:textId="77777777">
            <w:pPr>
              <w:widowControl/>
              <w:autoSpaceDE/>
              <w:adjustRightInd/>
              <w:ind w:right="30"/>
              <w:jc w:val="center"/>
              <w:rPr>
                <w:rFonts w:cs="Arial"/>
                <w:sz w:val="20"/>
                <w:szCs w:val="20"/>
              </w:rPr>
            </w:pPr>
            <w:r w:rsidRPr="00993994">
              <w:rPr>
                <w:rFonts w:cs="Arial"/>
                <w:sz w:val="20"/>
                <w:szCs w:val="20"/>
              </w:rPr>
              <w:t>0</w:t>
            </w:r>
          </w:p>
        </w:tc>
        <w:tc>
          <w:tcPr>
            <w:tcW w:w="8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5D15B6D0" w14:textId="50C8A7C2">
            <w:pPr>
              <w:widowControl/>
              <w:autoSpaceDE/>
              <w:adjustRightInd/>
              <w:ind w:right="75"/>
              <w:jc w:val="center"/>
              <w:rPr>
                <w:rFonts w:cs="Arial"/>
                <w:sz w:val="20"/>
                <w:szCs w:val="20"/>
              </w:rPr>
            </w:pPr>
            <w:r>
              <w:rPr>
                <w:rFonts w:cs="Arial"/>
                <w:sz w:val="20"/>
                <w:szCs w:val="20"/>
              </w:rPr>
              <w:t>9</w:t>
            </w:r>
          </w:p>
        </w:tc>
        <w:tc>
          <w:tcPr>
            <w:tcW w:w="8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25133024" w14:textId="77777777">
            <w:pPr>
              <w:widowControl/>
              <w:tabs>
                <w:tab w:val="center" w:pos="815"/>
              </w:tabs>
              <w:autoSpaceDE/>
              <w:adjustRightInd/>
              <w:ind w:left="-14" w:right="75"/>
              <w:jc w:val="center"/>
              <w:rPr>
                <w:rFonts w:cs="Arial"/>
                <w:sz w:val="20"/>
                <w:szCs w:val="20"/>
              </w:rPr>
            </w:pPr>
            <w:r w:rsidRPr="00993994">
              <w:rPr>
                <w:rFonts w:cs="Arial"/>
                <w:sz w:val="20"/>
                <w:szCs w:val="20"/>
              </w:rPr>
              <w:t>0</w:t>
            </w:r>
          </w:p>
        </w:tc>
        <w:tc>
          <w:tcPr>
            <w:tcW w:w="5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6C2AA21A" w14:textId="7AA591DC">
            <w:pPr>
              <w:widowControl/>
              <w:autoSpaceDE/>
              <w:adjustRightInd/>
              <w:ind w:left="-14"/>
              <w:jc w:val="center"/>
              <w:rPr>
                <w:rFonts w:cs="Arial"/>
                <w:sz w:val="20"/>
                <w:szCs w:val="20"/>
              </w:rPr>
            </w:pPr>
            <w:r>
              <w:rPr>
                <w:rFonts w:cs="Arial"/>
                <w:sz w:val="20"/>
                <w:szCs w:val="20"/>
              </w:rPr>
              <w:t>31</w:t>
            </w:r>
          </w:p>
        </w:tc>
      </w:tr>
      <w:tr w14:paraId="35685D0D" w14:textId="77777777" w:rsidTr="00B44BC5">
        <w:tblPrEx>
          <w:tblW w:w="4913" w:type="pct"/>
          <w:tblLook w:val="04A0"/>
        </w:tblPrEx>
        <w:trPr>
          <w:trHeight w:val="147"/>
        </w:trPr>
        <w:tc>
          <w:tcPr>
            <w:tcW w:w="6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93994" w:rsidRPr="00993994" w:rsidP="00B44BC5" w14:paraId="35C7A728" w14:textId="77777777">
            <w:pPr>
              <w:widowControl/>
              <w:autoSpaceDE/>
              <w:adjustRightInd/>
              <w:rPr>
                <w:rFonts w:cs="Arial"/>
                <w:sz w:val="20"/>
                <w:szCs w:val="20"/>
              </w:rPr>
            </w:pPr>
            <w:r w:rsidRPr="00993994">
              <w:rPr>
                <w:rFonts w:cs="Arial"/>
                <w:sz w:val="20"/>
                <w:szCs w:val="20"/>
              </w:rPr>
              <w:t>Annual Time Burden</w:t>
            </w:r>
          </w:p>
        </w:tc>
        <w:tc>
          <w:tcPr>
            <w:tcW w:w="59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47648B63" w14:textId="2E22A592">
            <w:pPr>
              <w:widowControl/>
              <w:autoSpaceDE/>
              <w:adjustRightInd/>
              <w:jc w:val="center"/>
              <w:rPr>
                <w:rFonts w:cs="Arial"/>
                <w:sz w:val="20"/>
                <w:szCs w:val="20"/>
              </w:rPr>
            </w:pPr>
            <w:r>
              <w:rPr>
                <w:rFonts w:cs="Arial"/>
                <w:sz w:val="20"/>
                <w:szCs w:val="20"/>
              </w:rPr>
              <w:t>60</w:t>
            </w:r>
          </w:p>
        </w:tc>
        <w:tc>
          <w:tcPr>
            <w:tcW w:w="7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77443758" w14:textId="77777777">
            <w:pPr>
              <w:widowControl/>
              <w:tabs>
                <w:tab w:val="center" w:pos="801"/>
              </w:tabs>
              <w:autoSpaceDE/>
              <w:adjustRightInd/>
              <w:ind w:left="-14"/>
              <w:jc w:val="center"/>
              <w:rPr>
                <w:rFonts w:cs="Arial"/>
                <w:sz w:val="20"/>
                <w:szCs w:val="20"/>
              </w:rPr>
            </w:pPr>
            <w:r w:rsidRPr="00993994">
              <w:rPr>
                <w:rFonts w:cs="Arial"/>
                <w:sz w:val="20"/>
                <w:szCs w:val="20"/>
              </w:rPr>
              <w:t>0</w:t>
            </w:r>
          </w:p>
        </w:tc>
        <w:tc>
          <w:tcPr>
            <w:tcW w:w="7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0F0C17C5" w14:textId="77777777">
            <w:pPr>
              <w:widowControl/>
              <w:autoSpaceDE/>
              <w:adjustRightInd/>
              <w:ind w:left="-14" w:right="30"/>
              <w:jc w:val="center"/>
              <w:rPr>
                <w:rFonts w:cs="Arial"/>
                <w:sz w:val="20"/>
                <w:szCs w:val="20"/>
              </w:rPr>
            </w:pPr>
            <w:r w:rsidRPr="00993994">
              <w:rPr>
                <w:rFonts w:cs="Arial"/>
                <w:sz w:val="20"/>
                <w:szCs w:val="20"/>
              </w:rPr>
              <w:t>0</w:t>
            </w:r>
          </w:p>
        </w:tc>
        <w:tc>
          <w:tcPr>
            <w:tcW w:w="8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5DF88A26" w14:textId="64187092">
            <w:pPr>
              <w:widowControl/>
              <w:autoSpaceDE/>
              <w:adjustRightInd/>
              <w:ind w:right="75"/>
              <w:jc w:val="center"/>
              <w:rPr>
                <w:rFonts w:cs="Arial"/>
                <w:sz w:val="20"/>
                <w:szCs w:val="20"/>
              </w:rPr>
            </w:pPr>
            <w:r>
              <w:rPr>
                <w:rFonts w:cs="Arial"/>
                <w:sz w:val="20"/>
                <w:szCs w:val="20"/>
              </w:rPr>
              <w:t>13</w:t>
            </w:r>
          </w:p>
        </w:tc>
        <w:tc>
          <w:tcPr>
            <w:tcW w:w="8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22D8CCBE" w14:textId="77777777">
            <w:pPr>
              <w:widowControl/>
              <w:tabs>
                <w:tab w:val="center" w:pos="815"/>
              </w:tabs>
              <w:autoSpaceDE/>
              <w:adjustRightInd/>
              <w:ind w:left="-14" w:right="75"/>
              <w:jc w:val="center"/>
              <w:rPr>
                <w:rFonts w:cs="Arial"/>
                <w:sz w:val="20"/>
                <w:szCs w:val="20"/>
              </w:rPr>
            </w:pPr>
            <w:r w:rsidRPr="00993994">
              <w:rPr>
                <w:rFonts w:cs="Arial"/>
                <w:sz w:val="20"/>
                <w:szCs w:val="20"/>
              </w:rPr>
              <w:t>0</w:t>
            </w:r>
          </w:p>
        </w:tc>
        <w:tc>
          <w:tcPr>
            <w:tcW w:w="5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93994" w:rsidRPr="00993994" w:rsidP="00B44BC5" w14:paraId="72334EF1" w14:textId="2A2A4578">
            <w:pPr>
              <w:widowControl/>
              <w:autoSpaceDE/>
              <w:adjustRightInd/>
              <w:ind w:left="-14"/>
              <w:jc w:val="center"/>
              <w:rPr>
                <w:rFonts w:cs="Arial"/>
                <w:sz w:val="20"/>
                <w:szCs w:val="20"/>
              </w:rPr>
            </w:pPr>
            <w:r>
              <w:rPr>
                <w:rFonts w:cs="Arial"/>
                <w:sz w:val="20"/>
                <w:szCs w:val="20"/>
              </w:rPr>
              <w:t>47</w:t>
            </w:r>
          </w:p>
        </w:tc>
      </w:tr>
    </w:tbl>
    <w:p w:rsidR="00993994" w:rsidP="00F24463" w14:paraId="7720A109" w14:textId="77777777">
      <w:pPr>
        <w:tabs>
          <w:tab w:val="left" w:pos="-1440"/>
          <w:tab w:val="left" w:pos="540"/>
        </w:tabs>
        <w:rPr>
          <w:rFonts w:cs="Arial"/>
          <w:sz w:val="22"/>
          <w:szCs w:val="22"/>
        </w:rPr>
      </w:pPr>
    </w:p>
    <w:p w:rsidR="00993994" w:rsidP="00F24463" w14:paraId="1BE54CE7" w14:textId="77777777">
      <w:pPr>
        <w:tabs>
          <w:tab w:val="left" w:pos="-1440"/>
          <w:tab w:val="left" w:pos="540"/>
        </w:tabs>
        <w:rPr>
          <w:rFonts w:cs="Arial"/>
          <w:sz w:val="22"/>
          <w:szCs w:val="22"/>
        </w:rPr>
      </w:pPr>
    </w:p>
    <w:p w:rsidR="00746723" w:rsidP="00F24463" w14:paraId="5CBE14CC" w14:textId="77777777">
      <w:pPr>
        <w:tabs>
          <w:tab w:val="left" w:pos="-1440"/>
          <w:tab w:val="left" w:pos="540"/>
        </w:tabs>
        <w:rPr>
          <w:rFonts w:cs="Arial"/>
          <w:sz w:val="22"/>
          <w:szCs w:val="22"/>
        </w:rPr>
      </w:pPr>
    </w:p>
    <w:p w:rsidR="00815ED3" w:rsidRPr="002A765F" w:rsidP="00F24463" w14:paraId="0F495F86" w14:textId="77777777">
      <w:pPr>
        <w:tabs>
          <w:tab w:val="left" w:pos="-1440"/>
          <w:tab w:val="left" w:pos="540"/>
        </w:tabs>
        <w:rPr>
          <w:rFonts w:cs="Arial"/>
          <w:sz w:val="22"/>
          <w:szCs w:val="22"/>
        </w:rPr>
      </w:pPr>
    </w:p>
    <w:p w:rsidR="00812555" w:rsidRPr="002A765F" w:rsidP="00ED58C6" w14:paraId="226F1297" w14:textId="6D521D17">
      <w:pPr>
        <w:pStyle w:val="ListParagraph"/>
        <w:widowControl/>
        <w:numPr>
          <w:ilvl w:val="0"/>
          <w:numId w:val="4"/>
        </w:numPr>
        <w:ind w:left="360" w:right="-288"/>
        <w:rPr>
          <w:rFonts w:cs="Arial"/>
          <w:sz w:val="22"/>
          <w:szCs w:val="22"/>
          <w:u w:val="single"/>
        </w:rPr>
      </w:pPr>
      <w:r w:rsidRPr="002A765F">
        <w:rPr>
          <w:rFonts w:cs="Arial"/>
          <w:sz w:val="22"/>
          <w:szCs w:val="22"/>
          <w:u w:val="single"/>
        </w:rPr>
        <w:t xml:space="preserve">PLANS FOR TABULATION, STATISTICAL ANALYSIS AND PUBLICATION </w:t>
      </w:r>
    </w:p>
    <w:p w:rsidR="00812555" w:rsidRPr="002A765F" w:rsidP="00DE02BC" w14:paraId="1A28E753" w14:textId="77777777">
      <w:pPr>
        <w:widowControl/>
        <w:rPr>
          <w:rFonts w:cs="Arial"/>
          <w:sz w:val="22"/>
          <w:szCs w:val="22"/>
          <w:u w:val="single"/>
        </w:rPr>
      </w:pPr>
    </w:p>
    <w:p w:rsidR="00812555" w:rsidRPr="002A765F" w:rsidP="00ED58C6" w14:paraId="2E3F2508" w14:textId="168F00D8">
      <w:pPr>
        <w:widowControl/>
        <w:tabs>
          <w:tab w:val="left" w:pos="-1440"/>
        </w:tabs>
        <w:ind w:left="360"/>
        <w:rPr>
          <w:rFonts w:cs="Arial"/>
          <w:sz w:val="22"/>
          <w:szCs w:val="22"/>
        </w:rPr>
      </w:pPr>
      <w:r w:rsidRPr="002A765F">
        <w:rPr>
          <w:rFonts w:cs="Arial"/>
          <w:sz w:val="22"/>
          <w:szCs w:val="22"/>
        </w:rPr>
        <w:t xml:space="preserve">There are no plans for tabulation, statistical </w:t>
      </w:r>
      <w:r w:rsidRPr="002A765F" w:rsidR="001F15AE">
        <w:rPr>
          <w:rFonts w:cs="Arial"/>
          <w:sz w:val="22"/>
          <w:szCs w:val="22"/>
        </w:rPr>
        <w:t>analysis,</w:t>
      </w:r>
      <w:r w:rsidRPr="002A765F">
        <w:rPr>
          <w:rFonts w:cs="Arial"/>
          <w:sz w:val="22"/>
          <w:szCs w:val="22"/>
        </w:rPr>
        <w:t xml:space="preserve"> and publication</w:t>
      </w:r>
    </w:p>
    <w:p w:rsidR="00812555" w:rsidRPr="002A765F" w:rsidP="00DE02BC" w14:paraId="477C817E" w14:textId="77777777">
      <w:pPr>
        <w:widowControl/>
        <w:rPr>
          <w:rFonts w:cs="Arial"/>
          <w:sz w:val="22"/>
          <w:szCs w:val="22"/>
        </w:rPr>
      </w:pPr>
    </w:p>
    <w:p w:rsidR="00812555" w:rsidRPr="002A765F" w:rsidP="00ED58C6" w14:paraId="0E809398" w14:textId="6946753F">
      <w:pPr>
        <w:pStyle w:val="ListParagraph"/>
        <w:widowControl/>
        <w:numPr>
          <w:ilvl w:val="0"/>
          <w:numId w:val="4"/>
        </w:numPr>
        <w:ind w:left="360" w:right="-288"/>
        <w:rPr>
          <w:rFonts w:cs="Arial"/>
          <w:sz w:val="22"/>
          <w:szCs w:val="22"/>
          <w:u w:val="single"/>
        </w:rPr>
      </w:pPr>
      <w:r w:rsidRPr="002A765F">
        <w:rPr>
          <w:rFonts w:cs="Arial"/>
          <w:sz w:val="22"/>
          <w:szCs w:val="22"/>
          <w:u w:val="single"/>
        </w:rPr>
        <w:t>REASONS WHY DISPLAYING THE OMB EXPIRATION DATE IS INAPPROPRIATE</w:t>
      </w:r>
    </w:p>
    <w:p w:rsidR="00812555" w:rsidRPr="002A765F" w:rsidP="00DE02BC" w14:paraId="75AAF95E" w14:textId="77777777">
      <w:pPr>
        <w:widowControl/>
        <w:rPr>
          <w:rFonts w:cs="Arial"/>
          <w:sz w:val="22"/>
          <w:szCs w:val="22"/>
          <w:u w:val="single"/>
        </w:rPr>
      </w:pPr>
    </w:p>
    <w:p w:rsidR="00B64C0E" w:rsidRPr="002A765F" w:rsidP="00ED58C6" w14:paraId="5E58E13B" w14:textId="0F6DD194">
      <w:pPr>
        <w:widowControl/>
        <w:tabs>
          <w:tab w:val="left" w:pos="-1440"/>
        </w:tabs>
        <w:ind w:left="360"/>
        <w:rPr>
          <w:rFonts w:cs="Arial"/>
          <w:sz w:val="22"/>
          <w:szCs w:val="22"/>
        </w:rPr>
      </w:pPr>
      <w:r w:rsidRPr="002A765F">
        <w:rPr>
          <w:rFonts w:cs="Arial"/>
          <w:sz w:val="22"/>
          <w:szCs w:val="22"/>
        </w:rPr>
        <w:t>We believe that displaying the OMB expiration date is inappropriate because it could cause</w:t>
      </w:r>
      <w:r w:rsidRPr="002A765F" w:rsidR="001F15AE">
        <w:rPr>
          <w:rFonts w:cs="Arial"/>
          <w:sz w:val="22"/>
          <w:szCs w:val="22"/>
        </w:rPr>
        <w:t xml:space="preserve"> </w:t>
      </w:r>
      <w:r w:rsidRPr="002A765F">
        <w:rPr>
          <w:rFonts w:cs="Arial"/>
          <w:sz w:val="22"/>
          <w:szCs w:val="22"/>
        </w:rPr>
        <w:t xml:space="preserve">confusion by leading taxpayers to believe that the </w:t>
      </w:r>
      <w:r w:rsidR="00290AD9">
        <w:rPr>
          <w:rFonts w:cs="Arial"/>
          <w:sz w:val="22"/>
          <w:szCs w:val="22"/>
        </w:rPr>
        <w:t>collection</w:t>
      </w:r>
      <w:r w:rsidRPr="002A765F" w:rsidR="00290AD9">
        <w:rPr>
          <w:rFonts w:cs="Arial"/>
          <w:sz w:val="22"/>
          <w:szCs w:val="22"/>
        </w:rPr>
        <w:t xml:space="preserve"> </w:t>
      </w:r>
      <w:r w:rsidRPr="002A765F">
        <w:rPr>
          <w:rFonts w:cs="Arial"/>
          <w:sz w:val="22"/>
          <w:szCs w:val="22"/>
        </w:rPr>
        <w:t xml:space="preserve">sunsets as of the expiration date.  Taxpayers are not likely to be aware that the </w:t>
      </w:r>
      <w:r w:rsidRPr="002A765F" w:rsidR="0025112B">
        <w:rPr>
          <w:rFonts w:cs="Arial"/>
          <w:sz w:val="22"/>
          <w:szCs w:val="22"/>
        </w:rPr>
        <w:t>IRS</w:t>
      </w:r>
      <w:r w:rsidRPr="002A765F">
        <w:rPr>
          <w:rFonts w:cs="Arial"/>
          <w:sz w:val="22"/>
          <w:szCs w:val="22"/>
        </w:rPr>
        <w:t xml:space="preserve"> intends to request renewal of the OMB</w:t>
      </w:r>
      <w:r w:rsidRPr="002A765F" w:rsidR="001F15AE">
        <w:rPr>
          <w:rFonts w:cs="Arial"/>
          <w:sz w:val="22"/>
          <w:szCs w:val="22"/>
        </w:rPr>
        <w:t xml:space="preserve"> </w:t>
      </w:r>
      <w:r w:rsidRPr="002A765F">
        <w:rPr>
          <w:rFonts w:cs="Arial"/>
          <w:sz w:val="22"/>
          <w:szCs w:val="22"/>
        </w:rPr>
        <w:t>approval and obtain a new expiration date before the old one expires.</w:t>
      </w:r>
    </w:p>
    <w:p w:rsidR="00DA5AD0" w:rsidRPr="00ED58C6" w:rsidP="00ED58C6" w14:paraId="12C573E5" w14:textId="77777777">
      <w:pPr>
        <w:pStyle w:val="ListParagraph"/>
        <w:widowControl/>
        <w:ind w:left="360" w:right="-288"/>
        <w:rPr>
          <w:rFonts w:cs="Arial"/>
          <w:sz w:val="22"/>
          <w:szCs w:val="22"/>
          <w:u w:val="single"/>
        </w:rPr>
      </w:pPr>
    </w:p>
    <w:p w:rsidR="00812555" w:rsidRPr="002A765F" w:rsidP="00ED58C6" w14:paraId="3BFBDB67" w14:textId="5E55E389">
      <w:pPr>
        <w:pStyle w:val="ListParagraph"/>
        <w:widowControl/>
        <w:numPr>
          <w:ilvl w:val="0"/>
          <w:numId w:val="4"/>
        </w:numPr>
        <w:ind w:left="360" w:right="-288"/>
        <w:rPr>
          <w:rFonts w:cs="Arial"/>
          <w:sz w:val="22"/>
          <w:szCs w:val="22"/>
          <w:u w:val="single"/>
        </w:rPr>
      </w:pPr>
      <w:r w:rsidRPr="002A765F">
        <w:rPr>
          <w:rFonts w:cs="Arial"/>
          <w:sz w:val="22"/>
          <w:szCs w:val="22"/>
          <w:u w:val="single"/>
        </w:rPr>
        <w:t>EXCEPTIONS TO THE CERTIFICATION STATEMENT</w:t>
      </w:r>
    </w:p>
    <w:p w:rsidR="00812555" w:rsidRPr="002A765F" w:rsidP="00DE02BC" w14:paraId="481CD5A2" w14:textId="77777777">
      <w:pPr>
        <w:widowControl/>
        <w:ind w:left="-288"/>
        <w:rPr>
          <w:rFonts w:cs="Arial"/>
          <w:sz w:val="22"/>
          <w:szCs w:val="22"/>
          <w:u w:val="single"/>
        </w:rPr>
      </w:pPr>
    </w:p>
    <w:p w:rsidR="00812555" w:rsidRPr="002A765F" w:rsidP="00ED58C6" w14:paraId="153C922E" w14:textId="792FFC6D">
      <w:pPr>
        <w:widowControl/>
        <w:tabs>
          <w:tab w:val="left" w:pos="-1440"/>
        </w:tabs>
        <w:ind w:left="360"/>
        <w:rPr>
          <w:rFonts w:cs="Arial"/>
          <w:sz w:val="22"/>
          <w:szCs w:val="22"/>
        </w:rPr>
      </w:pPr>
      <w:r w:rsidRPr="002A765F">
        <w:rPr>
          <w:rFonts w:cs="Arial"/>
          <w:sz w:val="22"/>
          <w:szCs w:val="22"/>
        </w:rPr>
        <w:t>There are no exceptions to the certification statement.</w:t>
      </w:r>
    </w:p>
    <w:sectPr w:rsidSect="00812555">
      <w:head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960" w:rsidRPr="00B43467" w14:paraId="3F159C9B" w14:textId="77777777">
    <w:pPr>
      <w:framePr w:w="9361" w:wrap="notBeside" w:vAnchor="text" w:hAnchor="text" w:x="1" w:y="1"/>
      <w:jc w:val="center"/>
      <w:rPr>
        <w:rFonts w:ascii="Calibri Light" w:hAnsi="Calibri Light" w:cs="Arial"/>
      </w:rPr>
    </w:pPr>
    <w:r w:rsidRPr="00B43467">
      <w:rPr>
        <w:rFonts w:ascii="Calibri Light" w:hAnsi="Calibri Light" w:cs="Arial"/>
      </w:rPr>
      <w:t>-</w:t>
    </w:r>
    <w:r w:rsidRPr="00B43467">
      <w:rPr>
        <w:rFonts w:ascii="Calibri Light" w:hAnsi="Calibri Light" w:cs="Arial"/>
      </w:rPr>
      <w:fldChar w:fldCharType="begin"/>
    </w:r>
    <w:r w:rsidRPr="00B43467">
      <w:rPr>
        <w:rFonts w:ascii="Calibri Light" w:hAnsi="Calibri Light" w:cs="Arial"/>
      </w:rPr>
      <w:instrText xml:space="preserve">PAGE </w:instrText>
    </w:r>
    <w:r w:rsidRPr="00B43467">
      <w:rPr>
        <w:rFonts w:ascii="Calibri Light" w:hAnsi="Calibri Light" w:cs="Arial"/>
      </w:rPr>
      <w:fldChar w:fldCharType="separate"/>
    </w:r>
    <w:r w:rsidRPr="00B43467" w:rsidR="00E21483">
      <w:rPr>
        <w:rFonts w:ascii="Calibri Light" w:hAnsi="Calibri Light" w:cs="Arial"/>
        <w:noProof/>
      </w:rPr>
      <w:t>2</w:t>
    </w:r>
    <w:r w:rsidRPr="00B43467">
      <w:rPr>
        <w:rFonts w:ascii="Calibri Light" w:hAnsi="Calibri Light" w:cs="Arial"/>
      </w:rPr>
      <w:fldChar w:fldCharType="end"/>
    </w:r>
    <w:r w:rsidRPr="00B43467">
      <w:rPr>
        <w:rFonts w:ascii="Calibri Light" w:hAnsi="Calibri Light" w:cs="Arial"/>
      </w:rPr>
      <w:t>-</w:t>
    </w:r>
  </w:p>
  <w:p w:rsidR="00D22960" w14:paraId="3B25C731" w14:textId="77777777"/>
  <w:p w:rsidR="00D22960" w14:paraId="3357775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C49B9"/>
    <w:multiLevelType w:val="hybridMultilevel"/>
    <w:tmpl w:val="344497B6"/>
    <w:lvl w:ilvl="0">
      <w:start w:val="1"/>
      <w:numFmt w:val="decimal"/>
      <w:lvlText w:val="%1."/>
      <w:lvlJc w:val="left"/>
      <w:pPr>
        <w:ind w:left="-86" w:hanging="360"/>
      </w:pPr>
      <w:rPr>
        <w:rFonts w:hint="default"/>
      </w:rPr>
    </w:lvl>
    <w:lvl w:ilvl="1" w:tentative="1">
      <w:start w:val="1"/>
      <w:numFmt w:val="lowerLetter"/>
      <w:lvlText w:val="%2."/>
      <w:lvlJc w:val="left"/>
      <w:pPr>
        <w:ind w:left="634" w:hanging="360"/>
      </w:pPr>
    </w:lvl>
    <w:lvl w:ilvl="2" w:tentative="1">
      <w:start w:val="1"/>
      <w:numFmt w:val="lowerRoman"/>
      <w:lvlText w:val="%3."/>
      <w:lvlJc w:val="right"/>
      <w:pPr>
        <w:ind w:left="1354" w:hanging="180"/>
      </w:p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abstractNum w:abstractNumId="1">
    <w:nsid w:val="4FE954D5"/>
    <w:multiLevelType w:val="hybridMultilevel"/>
    <w:tmpl w:val="2326D096"/>
    <w:lvl w:ilvl="0">
      <w:start w:val="1"/>
      <w:numFmt w:val="decimal"/>
      <w:lvlText w:val="%1."/>
      <w:lvlJc w:val="left"/>
      <w:pPr>
        <w:ind w:left="-90" w:hanging="36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
    <w:nsid w:val="71504E25"/>
    <w:multiLevelType w:val="hybridMultilevel"/>
    <w:tmpl w:val="9DE859E8"/>
    <w:lvl w:ilvl="0">
      <w:start w:val="1"/>
      <w:numFmt w:val="decimal"/>
      <w:lvlText w:val="%1."/>
      <w:lvlJc w:val="left"/>
      <w:pPr>
        <w:ind w:left="360" w:hanging="432"/>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E2524B1"/>
    <w:multiLevelType w:val="hybridMultilevel"/>
    <w:tmpl w:val="CD6A0CB2"/>
    <w:lvl w:ilvl="0">
      <w:start w:val="1"/>
      <w:numFmt w:val="decimal"/>
      <w:lvlText w:val="%1."/>
      <w:lvlJc w:val="left"/>
      <w:pPr>
        <w:ind w:left="-86" w:hanging="360"/>
      </w:pPr>
      <w:rPr>
        <w:rFonts w:hint="default"/>
        <w:sz w:val="24"/>
        <w:u w:val="none"/>
      </w:rPr>
    </w:lvl>
    <w:lvl w:ilvl="1" w:tentative="1">
      <w:start w:val="1"/>
      <w:numFmt w:val="lowerLetter"/>
      <w:lvlText w:val="%2."/>
      <w:lvlJc w:val="left"/>
      <w:pPr>
        <w:ind w:left="634" w:hanging="360"/>
      </w:pPr>
    </w:lvl>
    <w:lvl w:ilvl="2" w:tentative="1">
      <w:start w:val="1"/>
      <w:numFmt w:val="lowerRoman"/>
      <w:lvlText w:val="%3."/>
      <w:lvlJc w:val="right"/>
      <w:pPr>
        <w:ind w:left="1354" w:hanging="180"/>
      </w:p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num w:numId="1" w16cid:durableId="1673025284">
    <w:abstractNumId w:val="2"/>
  </w:num>
  <w:num w:numId="2" w16cid:durableId="1735621647">
    <w:abstractNumId w:val="1"/>
  </w:num>
  <w:num w:numId="3" w16cid:durableId="51008988">
    <w:abstractNumId w:val="0"/>
  </w:num>
  <w:num w:numId="4" w16cid:durableId="99352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2386E"/>
    <w:rsid w:val="00030FC1"/>
    <w:rsid w:val="000329D6"/>
    <w:rsid w:val="00032A9B"/>
    <w:rsid w:val="000339F0"/>
    <w:rsid w:val="00041B8A"/>
    <w:rsid w:val="00050CE5"/>
    <w:rsid w:val="00051585"/>
    <w:rsid w:val="000809DD"/>
    <w:rsid w:val="000B1D05"/>
    <w:rsid w:val="000E211D"/>
    <w:rsid w:val="000F5AF2"/>
    <w:rsid w:val="00110525"/>
    <w:rsid w:val="00136B3A"/>
    <w:rsid w:val="001370FE"/>
    <w:rsid w:val="00146BD1"/>
    <w:rsid w:val="00147E17"/>
    <w:rsid w:val="00151BC1"/>
    <w:rsid w:val="0015479B"/>
    <w:rsid w:val="00156E2D"/>
    <w:rsid w:val="001614BD"/>
    <w:rsid w:val="001B25E1"/>
    <w:rsid w:val="001E1DD1"/>
    <w:rsid w:val="001F1582"/>
    <w:rsid w:val="001F15AE"/>
    <w:rsid w:val="001F3C61"/>
    <w:rsid w:val="002046CD"/>
    <w:rsid w:val="00204989"/>
    <w:rsid w:val="00212496"/>
    <w:rsid w:val="00222312"/>
    <w:rsid w:val="0025112B"/>
    <w:rsid w:val="002671EB"/>
    <w:rsid w:val="002704F4"/>
    <w:rsid w:val="002739FE"/>
    <w:rsid w:val="002807C9"/>
    <w:rsid w:val="00290AD9"/>
    <w:rsid w:val="002A765F"/>
    <w:rsid w:val="002C535E"/>
    <w:rsid w:val="002D55BF"/>
    <w:rsid w:val="002E46A5"/>
    <w:rsid w:val="00300AE7"/>
    <w:rsid w:val="003210E7"/>
    <w:rsid w:val="003408AB"/>
    <w:rsid w:val="00346734"/>
    <w:rsid w:val="00363599"/>
    <w:rsid w:val="00367545"/>
    <w:rsid w:val="003745B3"/>
    <w:rsid w:val="00385FC1"/>
    <w:rsid w:val="00386CD0"/>
    <w:rsid w:val="003A442F"/>
    <w:rsid w:val="003D0E76"/>
    <w:rsid w:val="003E03B7"/>
    <w:rsid w:val="00406513"/>
    <w:rsid w:val="00420573"/>
    <w:rsid w:val="00421411"/>
    <w:rsid w:val="00433D0D"/>
    <w:rsid w:val="0043448F"/>
    <w:rsid w:val="0043787B"/>
    <w:rsid w:val="00451146"/>
    <w:rsid w:val="00465B15"/>
    <w:rsid w:val="0048725C"/>
    <w:rsid w:val="004A7A70"/>
    <w:rsid w:val="00503DF0"/>
    <w:rsid w:val="00505FC7"/>
    <w:rsid w:val="00515606"/>
    <w:rsid w:val="00531241"/>
    <w:rsid w:val="0057273D"/>
    <w:rsid w:val="00586F74"/>
    <w:rsid w:val="005A1CFC"/>
    <w:rsid w:val="005B2854"/>
    <w:rsid w:val="005F33E3"/>
    <w:rsid w:val="005F5192"/>
    <w:rsid w:val="006101A7"/>
    <w:rsid w:val="00630FC8"/>
    <w:rsid w:val="00646579"/>
    <w:rsid w:val="00666BC5"/>
    <w:rsid w:val="00682831"/>
    <w:rsid w:val="006913D4"/>
    <w:rsid w:val="006C56ED"/>
    <w:rsid w:val="006E5215"/>
    <w:rsid w:val="006F2C9C"/>
    <w:rsid w:val="007023C9"/>
    <w:rsid w:val="0070376E"/>
    <w:rsid w:val="00716FCD"/>
    <w:rsid w:val="00733D5B"/>
    <w:rsid w:val="00746723"/>
    <w:rsid w:val="00754DA9"/>
    <w:rsid w:val="00772D58"/>
    <w:rsid w:val="007A35B6"/>
    <w:rsid w:val="007B2152"/>
    <w:rsid w:val="007B7567"/>
    <w:rsid w:val="007B7A7E"/>
    <w:rsid w:val="007C7213"/>
    <w:rsid w:val="007E2E45"/>
    <w:rsid w:val="007F2F19"/>
    <w:rsid w:val="00812555"/>
    <w:rsid w:val="00815ED3"/>
    <w:rsid w:val="008248C0"/>
    <w:rsid w:val="008312F2"/>
    <w:rsid w:val="008316C4"/>
    <w:rsid w:val="008369A3"/>
    <w:rsid w:val="00842F59"/>
    <w:rsid w:val="00850ED6"/>
    <w:rsid w:val="00870A3F"/>
    <w:rsid w:val="008917DD"/>
    <w:rsid w:val="0089604C"/>
    <w:rsid w:val="008D760C"/>
    <w:rsid w:val="008E3D2F"/>
    <w:rsid w:val="008E4EB5"/>
    <w:rsid w:val="008F3764"/>
    <w:rsid w:val="00904BB5"/>
    <w:rsid w:val="00906E12"/>
    <w:rsid w:val="00910110"/>
    <w:rsid w:val="00932735"/>
    <w:rsid w:val="00945524"/>
    <w:rsid w:val="0095095B"/>
    <w:rsid w:val="00956059"/>
    <w:rsid w:val="00967225"/>
    <w:rsid w:val="009717E1"/>
    <w:rsid w:val="00975764"/>
    <w:rsid w:val="00993994"/>
    <w:rsid w:val="009B7271"/>
    <w:rsid w:val="009D7C54"/>
    <w:rsid w:val="009F07F1"/>
    <w:rsid w:val="00A00773"/>
    <w:rsid w:val="00A14435"/>
    <w:rsid w:val="00A15A49"/>
    <w:rsid w:val="00A17581"/>
    <w:rsid w:val="00A25E0A"/>
    <w:rsid w:val="00A26114"/>
    <w:rsid w:val="00A30509"/>
    <w:rsid w:val="00A405CC"/>
    <w:rsid w:val="00A57658"/>
    <w:rsid w:val="00A62CE7"/>
    <w:rsid w:val="00A673BF"/>
    <w:rsid w:val="00A749EF"/>
    <w:rsid w:val="00AA3732"/>
    <w:rsid w:val="00AA4524"/>
    <w:rsid w:val="00AA5D1C"/>
    <w:rsid w:val="00AA67FF"/>
    <w:rsid w:val="00AE0536"/>
    <w:rsid w:val="00AE58C8"/>
    <w:rsid w:val="00AE7926"/>
    <w:rsid w:val="00B01ADB"/>
    <w:rsid w:val="00B2607E"/>
    <w:rsid w:val="00B43467"/>
    <w:rsid w:val="00B44125"/>
    <w:rsid w:val="00B44BC5"/>
    <w:rsid w:val="00B64C0E"/>
    <w:rsid w:val="00B95570"/>
    <w:rsid w:val="00BA5FA9"/>
    <w:rsid w:val="00BC16BC"/>
    <w:rsid w:val="00BD42AB"/>
    <w:rsid w:val="00BE001B"/>
    <w:rsid w:val="00BE7BF1"/>
    <w:rsid w:val="00BF6EA4"/>
    <w:rsid w:val="00C01B68"/>
    <w:rsid w:val="00C03984"/>
    <w:rsid w:val="00C1621B"/>
    <w:rsid w:val="00C2616C"/>
    <w:rsid w:val="00C33194"/>
    <w:rsid w:val="00C44508"/>
    <w:rsid w:val="00C47B3E"/>
    <w:rsid w:val="00C62232"/>
    <w:rsid w:val="00C70392"/>
    <w:rsid w:val="00C72F76"/>
    <w:rsid w:val="00C800DE"/>
    <w:rsid w:val="00C90B78"/>
    <w:rsid w:val="00D01B79"/>
    <w:rsid w:val="00D17CDF"/>
    <w:rsid w:val="00D22960"/>
    <w:rsid w:val="00D30AE1"/>
    <w:rsid w:val="00D600DB"/>
    <w:rsid w:val="00D86E61"/>
    <w:rsid w:val="00D916F0"/>
    <w:rsid w:val="00DA1098"/>
    <w:rsid w:val="00DA5AD0"/>
    <w:rsid w:val="00DE02BC"/>
    <w:rsid w:val="00DE6952"/>
    <w:rsid w:val="00E03952"/>
    <w:rsid w:val="00E21483"/>
    <w:rsid w:val="00E2425A"/>
    <w:rsid w:val="00E31C8B"/>
    <w:rsid w:val="00E363D9"/>
    <w:rsid w:val="00E42283"/>
    <w:rsid w:val="00E44FA4"/>
    <w:rsid w:val="00E54095"/>
    <w:rsid w:val="00E96321"/>
    <w:rsid w:val="00EA4D93"/>
    <w:rsid w:val="00EA636D"/>
    <w:rsid w:val="00EA67A0"/>
    <w:rsid w:val="00EC1C25"/>
    <w:rsid w:val="00ED58C6"/>
    <w:rsid w:val="00ED6097"/>
    <w:rsid w:val="00EF622B"/>
    <w:rsid w:val="00F1641B"/>
    <w:rsid w:val="00F24463"/>
    <w:rsid w:val="00F26197"/>
    <w:rsid w:val="00F3741C"/>
    <w:rsid w:val="00F51A23"/>
    <w:rsid w:val="00F70F05"/>
    <w:rsid w:val="00FA4115"/>
    <w:rsid w:val="00FD615F"/>
    <w:rsid w:val="00FE719B"/>
    <w:rsid w:val="00FF2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DCB5164"/>
  <w15:chartTrackingRefBased/>
  <w15:docId w15:val="{CC5EA3CC-BD1F-46DE-A281-86ED673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904BB5"/>
    <w:rPr>
      <w:color w:val="0000FF"/>
      <w:u w:val="single"/>
    </w:rPr>
  </w:style>
  <w:style w:type="character" w:styleId="UnresolvedMention">
    <w:name w:val="Unresolved Mention"/>
    <w:uiPriority w:val="99"/>
    <w:semiHidden/>
    <w:unhideWhenUsed/>
    <w:rsid w:val="00772D58"/>
    <w:rPr>
      <w:color w:val="605E5C"/>
      <w:shd w:val="clear" w:color="auto" w:fill="E1DFDD"/>
    </w:rPr>
  </w:style>
  <w:style w:type="character" w:styleId="FollowedHyperlink">
    <w:name w:val="FollowedHyperlink"/>
    <w:rsid w:val="00A26114"/>
    <w:rPr>
      <w:color w:val="954F72"/>
      <w:u w:val="single"/>
    </w:rPr>
  </w:style>
  <w:style w:type="paragraph" w:styleId="ListParagraph">
    <w:name w:val="List Paragraph"/>
    <w:basedOn w:val="Normal"/>
    <w:uiPriority w:val="34"/>
    <w:qFormat/>
    <w:rsid w:val="003E03B7"/>
    <w:pPr>
      <w:ind w:left="720"/>
      <w:contextualSpacing/>
    </w:pPr>
  </w:style>
  <w:style w:type="character" w:styleId="CommentReference">
    <w:name w:val="annotation reference"/>
    <w:basedOn w:val="DefaultParagraphFont"/>
    <w:rsid w:val="0025112B"/>
    <w:rPr>
      <w:sz w:val="16"/>
      <w:szCs w:val="16"/>
    </w:rPr>
  </w:style>
  <w:style w:type="paragraph" w:styleId="CommentText">
    <w:name w:val="annotation text"/>
    <w:basedOn w:val="Normal"/>
    <w:link w:val="CommentTextChar"/>
    <w:rsid w:val="0025112B"/>
    <w:rPr>
      <w:sz w:val="20"/>
      <w:szCs w:val="20"/>
    </w:rPr>
  </w:style>
  <w:style w:type="character" w:customStyle="1" w:styleId="CommentTextChar">
    <w:name w:val="Comment Text Char"/>
    <w:basedOn w:val="DefaultParagraphFont"/>
    <w:link w:val="CommentText"/>
    <w:rsid w:val="0025112B"/>
    <w:rPr>
      <w:rFonts w:ascii="Arial" w:hAnsi="Arial"/>
    </w:rPr>
  </w:style>
  <w:style w:type="paragraph" w:styleId="CommentSubject">
    <w:name w:val="annotation subject"/>
    <w:basedOn w:val="CommentText"/>
    <w:next w:val="CommentText"/>
    <w:link w:val="CommentSubjectChar"/>
    <w:rsid w:val="0025112B"/>
    <w:rPr>
      <w:b/>
      <w:bCs/>
    </w:rPr>
  </w:style>
  <w:style w:type="character" w:customStyle="1" w:styleId="CommentSubjectChar">
    <w:name w:val="Comment Subject Char"/>
    <w:basedOn w:val="CommentTextChar"/>
    <w:link w:val="CommentSubject"/>
    <w:rsid w:val="0025112B"/>
    <w:rPr>
      <w:rFonts w:ascii="Arial" w:hAnsi="Arial"/>
      <w:b/>
      <w:bCs/>
    </w:rPr>
  </w:style>
  <w:style w:type="paragraph" w:styleId="Revision">
    <w:name w:val="Revision"/>
    <w:hidden/>
    <w:uiPriority w:val="99"/>
    <w:semiHidden/>
    <w:rsid w:val="0042141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ublicliaison@irs.gov" TargetMode="Externa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1018</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Durbala R Joseph</cp:lastModifiedBy>
  <cp:revision>22</cp:revision>
  <cp:lastPrinted>2005-08-15T16:21:00Z</cp:lastPrinted>
  <dcterms:created xsi:type="dcterms:W3CDTF">2025-08-01T19:27:00Z</dcterms:created>
  <dcterms:modified xsi:type="dcterms:W3CDTF">2025-08-04T11:39:00Z</dcterms:modified>
</cp:coreProperties>
</file>