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5C70" w:rsidRPr="00F055B3" w14:paraId="41D6797D" w14:textId="77777777">
      <w:pPr>
        <w:tabs>
          <w:tab w:val="center" w:pos="4680"/>
        </w:tabs>
        <w:jc w:val="center"/>
        <w:rPr>
          <w:rFonts w:asciiTheme="minorHAnsi" w:hAnsiTheme="minorHAnsi" w:cstheme="minorHAnsi"/>
          <w:sz w:val="22"/>
          <w:szCs w:val="22"/>
        </w:rPr>
      </w:pPr>
      <w:r w:rsidRPr="00F055B3">
        <w:rPr>
          <w:rFonts w:asciiTheme="minorHAnsi" w:hAnsiTheme="minorHAnsi" w:cstheme="minorHAnsi"/>
          <w:sz w:val="22"/>
          <w:szCs w:val="22"/>
        </w:rPr>
        <w:t>SUPPORTING STATEMENT</w:t>
      </w:r>
    </w:p>
    <w:p w:rsidR="00225C70" w:rsidRPr="00F055B3" w14:paraId="5BFF8F1E" w14:textId="2204215C">
      <w:pPr>
        <w:tabs>
          <w:tab w:val="center" w:pos="4680"/>
        </w:tabs>
        <w:jc w:val="center"/>
        <w:rPr>
          <w:rFonts w:asciiTheme="minorHAnsi" w:hAnsiTheme="minorHAnsi" w:cstheme="minorHAnsi"/>
          <w:sz w:val="22"/>
          <w:szCs w:val="22"/>
        </w:rPr>
      </w:pPr>
      <w:r w:rsidRPr="00F055B3">
        <w:rPr>
          <w:rFonts w:asciiTheme="minorHAnsi" w:hAnsiTheme="minorHAnsi" w:cstheme="minorHAnsi"/>
          <w:sz w:val="22"/>
          <w:szCs w:val="22"/>
        </w:rPr>
        <w:t>Internal Revenue Service</w:t>
      </w:r>
      <w:r w:rsidRPr="00F055B3" w:rsidR="008007F5">
        <w:rPr>
          <w:rFonts w:asciiTheme="minorHAnsi" w:hAnsiTheme="minorHAnsi" w:cstheme="minorHAnsi"/>
          <w:sz w:val="22"/>
          <w:szCs w:val="22"/>
        </w:rPr>
        <w:t xml:space="preserve"> (IRS)</w:t>
      </w:r>
    </w:p>
    <w:p w:rsidR="00225C70" w:rsidRPr="00F055B3" w14:paraId="202A3C05" w14:textId="302AA092">
      <w:pPr>
        <w:tabs>
          <w:tab w:val="center" w:pos="4680"/>
        </w:tabs>
        <w:jc w:val="center"/>
        <w:rPr>
          <w:rFonts w:asciiTheme="minorHAnsi" w:hAnsiTheme="minorHAnsi" w:cstheme="minorHAnsi"/>
          <w:sz w:val="22"/>
          <w:szCs w:val="22"/>
        </w:rPr>
      </w:pPr>
      <w:bookmarkStart w:id="0" w:name="_Hlk209097174"/>
      <w:r w:rsidRPr="00F055B3">
        <w:rPr>
          <w:rFonts w:asciiTheme="minorHAnsi" w:hAnsiTheme="minorHAnsi" w:cstheme="minorHAnsi"/>
          <w:sz w:val="22"/>
          <w:szCs w:val="22"/>
        </w:rPr>
        <w:t xml:space="preserve">Procedures for </w:t>
      </w:r>
      <w:r w:rsidRPr="00F055B3" w:rsidR="00FF7235">
        <w:rPr>
          <w:rFonts w:asciiTheme="minorHAnsi" w:hAnsiTheme="minorHAnsi" w:cstheme="minorHAnsi"/>
          <w:sz w:val="22"/>
          <w:szCs w:val="22"/>
        </w:rPr>
        <w:t>Letter</w:t>
      </w:r>
      <w:r w:rsidRPr="00F055B3">
        <w:rPr>
          <w:rFonts w:asciiTheme="minorHAnsi" w:hAnsiTheme="minorHAnsi" w:cstheme="minorHAnsi"/>
          <w:sz w:val="22"/>
          <w:szCs w:val="22"/>
        </w:rPr>
        <w:t xml:space="preserve"> Rulings issued by Commissioner, Tax Exempt and Government Entities Division, Employee Plans Rulings and Agreements Office</w:t>
      </w:r>
    </w:p>
    <w:bookmarkEnd w:id="0"/>
    <w:p w:rsidR="00225C70" w:rsidRPr="00F055B3" w14:paraId="0F4D4C2F" w14:textId="77777777">
      <w:pPr>
        <w:tabs>
          <w:tab w:val="center" w:pos="4680"/>
        </w:tabs>
        <w:jc w:val="center"/>
        <w:rPr>
          <w:rFonts w:asciiTheme="minorHAnsi" w:hAnsiTheme="minorHAnsi" w:cstheme="minorHAnsi"/>
          <w:sz w:val="22"/>
          <w:szCs w:val="22"/>
        </w:rPr>
      </w:pPr>
      <w:r w:rsidRPr="00F055B3">
        <w:rPr>
          <w:rFonts w:asciiTheme="minorHAnsi" w:hAnsiTheme="minorHAnsi" w:cstheme="minorHAnsi"/>
          <w:sz w:val="22"/>
          <w:szCs w:val="22"/>
        </w:rPr>
        <w:t>OMB# 1545-1520</w:t>
      </w:r>
    </w:p>
    <w:p w:rsidR="00225C70" w:rsidRPr="00F055B3" w14:paraId="23705BAD" w14:textId="77777777">
      <w:pPr>
        <w:rPr>
          <w:rFonts w:asciiTheme="minorHAnsi" w:hAnsiTheme="minorHAnsi" w:cstheme="minorHAnsi"/>
          <w:sz w:val="22"/>
          <w:szCs w:val="22"/>
        </w:rPr>
      </w:pPr>
    </w:p>
    <w:p w:rsidR="00225C70" w:rsidRPr="00F055B3" w14:paraId="2879C2F5" w14:textId="77777777">
      <w:pPr>
        <w:rPr>
          <w:rFonts w:asciiTheme="minorHAnsi" w:hAnsiTheme="minorHAnsi" w:cstheme="minorHAnsi"/>
          <w:sz w:val="22"/>
          <w:szCs w:val="22"/>
        </w:rPr>
      </w:pPr>
    </w:p>
    <w:p w:rsidR="00225C70" w:rsidRPr="00F055B3" w:rsidP="00CF62B5" w14:paraId="6238F2F0" w14:textId="604F9B66">
      <w:pPr>
        <w:pStyle w:val="Level1"/>
        <w:numPr>
          <w:ilvl w:val="0"/>
          <w:numId w:val="1"/>
        </w:numPr>
        <w:tabs>
          <w:tab w:val="left" w:pos="-1440"/>
          <w:tab w:val="num" w:pos="720"/>
        </w:tabs>
        <w:jc w:val="both"/>
        <w:rPr>
          <w:rFonts w:asciiTheme="minorHAnsi" w:hAnsiTheme="minorHAnsi" w:cstheme="minorHAnsi"/>
          <w:sz w:val="22"/>
          <w:szCs w:val="22"/>
        </w:rPr>
      </w:pPr>
      <w:r w:rsidRPr="00F055B3">
        <w:rPr>
          <w:rFonts w:asciiTheme="minorHAnsi" w:hAnsiTheme="minorHAnsi" w:cstheme="minorHAnsi"/>
          <w:sz w:val="22"/>
          <w:szCs w:val="22"/>
          <w:u w:val="single"/>
        </w:rPr>
        <w:t>CIRCUMSTANCES NECESSITATING COLLECTION OF INFORMATION</w:t>
      </w:r>
    </w:p>
    <w:p w:rsidR="00225C70" w:rsidRPr="00F055B3" w14:paraId="3DCCDB65" w14:textId="77777777">
      <w:pPr>
        <w:rPr>
          <w:rFonts w:asciiTheme="minorHAnsi" w:hAnsiTheme="minorHAnsi" w:cstheme="minorHAnsi"/>
          <w:sz w:val="22"/>
          <w:szCs w:val="22"/>
        </w:rPr>
      </w:pPr>
    </w:p>
    <w:p w:rsidR="00225C70" w:rsidRPr="00F055B3" w:rsidP="006B5D45" w14:paraId="77099558" w14:textId="0FDF572B">
      <w:pPr>
        <w:ind w:left="720"/>
        <w:rPr>
          <w:rFonts w:asciiTheme="minorHAnsi" w:hAnsiTheme="minorHAnsi" w:cstheme="minorHAnsi"/>
          <w:sz w:val="22"/>
          <w:szCs w:val="22"/>
        </w:rPr>
      </w:pPr>
      <w:r w:rsidRPr="00F055B3">
        <w:rPr>
          <w:rFonts w:asciiTheme="minorHAnsi" w:hAnsiTheme="minorHAnsi" w:cstheme="minorHAnsi"/>
          <w:sz w:val="22"/>
          <w:szCs w:val="22"/>
        </w:rPr>
        <w:t xml:space="preserve">Treasury Regulation § 601.201(a)(1)) provides that it is the practice of the IRS to answer inquiries of individuals and organizations, whenever appropriate in the interest of sound tax administration, as to their status for tax purposes and as to the tax effects of their acts or transactions. Under </w:t>
      </w:r>
      <w:r w:rsidRPr="00F055B3" w:rsidR="00322747">
        <w:rPr>
          <w:rFonts w:asciiTheme="minorHAnsi" w:hAnsiTheme="minorHAnsi" w:cstheme="minorHAnsi"/>
          <w:sz w:val="22"/>
          <w:szCs w:val="22"/>
        </w:rPr>
        <w:t>R</w:t>
      </w:r>
      <w:r w:rsidRPr="00F055B3">
        <w:rPr>
          <w:rFonts w:asciiTheme="minorHAnsi" w:hAnsiTheme="minorHAnsi" w:cstheme="minorHAnsi"/>
          <w:sz w:val="22"/>
          <w:szCs w:val="22"/>
        </w:rPr>
        <w:t xml:space="preserve">evenue </w:t>
      </w:r>
      <w:r w:rsidRPr="00F055B3" w:rsidR="00322747">
        <w:rPr>
          <w:rFonts w:asciiTheme="minorHAnsi" w:hAnsiTheme="minorHAnsi" w:cstheme="minorHAnsi"/>
          <w:sz w:val="22"/>
          <w:szCs w:val="22"/>
        </w:rPr>
        <w:t>P</w:t>
      </w:r>
      <w:r w:rsidRPr="00F055B3">
        <w:rPr>
          <w:rFonts w:asciiTheme="minorHAnsi" w:hAnsiTheme="minorHAnsi" w:cstheme="minorHAnsi"/>
          <w:sz w:val="22"/>
          <w:szCs w:val="22"/>
        </w:rPr>
        <w:t>rocedure 202</w:t>
      </w:r>
      <w:r w:rsidRPr="00F055B3" w:rsidR="00F53773">
        <w:rPr>
          <w:rFonts w:asciiTheme="minorHAnsi" w:hAnsiTheme="minorHAnsi" w:cstheme="minorHAnsi"/>
          <w:sz w:val="22"/>
          <w:szCs w:val="22"/>
        </w:rPr>
        <w:t>5</w:t>
      </w:r>
      <w:r w:rsidRPr="00F055B3">
        <w:rPr>
          <w:rFonts w:asciiTheme="minorHAnsi" w:hAnsiTheme="minorHAnsi" w:cstheme="minorHAnsi"/>
          <w:sz w:val="22"/>
          <w:szCs w:val="22"/>
        </w:rPr>
        <w:t xml:space="preserve">-4 (and successor guidance), taxpayers can request letter rulings from the Commissioner, Tax Exempt and Government Entities, Employee Plans Office (“Employee Plans”) on how the tax laws apply to them. Employee Plans requires information from taxpayers </w:t>
      </w:r>
      <w:r w:rsidRPr="00F055B3" w:rsidR="00CF62B5">
        <w:rPr>
          <w:rFonts w:asciiTheme="minorHAnsi" w:hAnsiTheme="minorHAnsi" w:cstheme="minorHAnsi"/>
          <w:sz w:val="22"/>
          <w:szCs w:val="22"/>
        </w:rPr>
        <w:t>to</w:t>
      </w:r>
      <w:r w:rsidRPr="00F055B3">
        <w:rPr>
          <w:rFonts w:asciiTheme="minorHAnsi" w:hAnsiTheme="minorHAnsi" w:cstheme="minorHAnsi"/>
          <w:sz w:val="22"/>
          <w:szCs w:val="22"/>
        </w:rPr>
        <w:t xml:space="preserve"> process these requests.</w:t>
      </w:r>
      <w:r w:rsidRPr="00F055B3" w:rsidR="006B5D45">
        <w:rPr>
          <w:rFonts w:asciiTheme="minorHAnsi" w:hAnsiTheme="minorHAnsi" w:cstheme="minorHAnsi"/>
          <w:sz w:val="22"/>
          <w:szCs w:val="22"/>
        </w:rPr>
        <w:t xml:space="preserve"> Form 15662 will simplify and standardize the application process for Private Letter Rulings issued under Rev. Proc. 2025-4 and it’s successors.</w:t>
      </w:r>
    </w:p>
    <w:p w:rsidR="00E52492" w:rsidRPr="00F055B3" w14:paraId="6BF4932D" w14:textId="77777777">
      <w:pPr>
        <w:ind w:left="720"/>
        <w:rPr>
          <w:rFonts w:asciiTheme="minorHAnsi" w:hAnsiTheme="minorHAnsi" w:cstheme="minorHAnsi"/>
          <w:sz w:val="22"/>
          <w:szCs w:val="22"/>
        </w:rPr>
      </w:pPr>
    </w:p>
    <w:p w:rsidR="00E52492" w:rsidRPr="00F055B3" w14:paraId="0401A3FF" w14:textId="5AFF9FD0">
      <w:pPr>
        <w:ind w:left="720"/>
        <w:rPr>
          <w:rFonts w:asciiTheme="minorHAnsi" w:hAnsiTheme="minorHAnsi" w:cstheme="minorHAnsi"/>
          <w:sz w:val="22"/>
          <w:szCs w:val="22"/>
        </w:rPr>
      </w:pPr>
      <w:r w:rsidRPr="00F055B3">
        <w:rPr>
          <w:rFonts w:asciiTheme="minorHAnsi" w:hAnsiTheme="minorHAnsi" w:cstheme="minorHAnsi"/>
          <w:sz w:val="22"/>
          <w:szCs w:val="22"/>
        </w:rPr>
        <w:t>IRS issues</w:t>
      </w:r>
      <w:r w:rsidRPr="00F055B3" w:rsidR="00F53773">
        <w:rPr>
          <w:rFonts w:asciiTheme="minorHAnsi" w:hAnsiTheme="minorHAnsi" w:cstheme="minorHAnsi"/>
          <w:sz w:val="22"/>
          <w:szCs w:val="22"/>
        </w:rPr>
        <w:t xml:space="preserve"> </w:t>
      </w:r>
      <w:r w:rsidRPr="00F055B3">
        <w:rPr>
          <w:rFonts w:asciiTheme="minorHAnsi" w:hAnsiTheme="minorHAnsi" w:cstheme="minorHAnsi"/>
          <w:sz w:val="22"/>
          <w:szCs w:val="22"/>
        </w:rPr>
        <w:t>letter</w:t>
      </w:r>
      <w:r w:rsidRPr="00F055B3" w:rsidR="00F53773">
        <w:rPr>
          <w:rFonts w:asciiTheme="minorHAnsi" w:hAnsiTheme="minorHAnsi" w:cstheme="minorHAnsi"/>
          <w:sz w:val="22"/>
          <w:szCs w:val="22"/>
        </w:rPr>
        <w:t xml:space="preserve"> rulings </w:t>
      </w:r>
      <w:r w:rsidRPr="00F055B3" w:rsidR="009F082D">
        <w:rPr>
          <w:rFonts w:asciiTheme="minorHAnsi" w:hAnsiTheme="minorHAnsi" w:cstheme="minorHAnsi"/>
          <w:sz w:val="22"/>
          <w:szCs w:val="22"/>
        </w:rPr>
        <w:t xml:space="preserve">which interpret and apply the tax laws to a specific set of facts as they relate </w:t>
      </w:r>
      <w:r w:rsidRPr="00F055B3" w:rsidR="00322747">
        <w:rPr>
          <w:rFonts w:asciiTheme="minorHAnsi" w:hAnsiTheme="minorHAnsi" w:cstheme="minorHAnsi"/>
          <w:sz w:val="22"/>
          <w:szCs w:val="22"/>
        </w:rPr>
        <w:t>to certain matters specified in Revenue Procedure 2025-4, Section 24</w:t>
      </w:r>
      <w:r w:rsidRPr="00F055B3" w:rsidR="009F082D">
        <w:rPr>
          <w:rFonts w:asciiTheme="minorHAnsi" w:hAnsiTheme="minorHAnsi" w:cstheme="minorHAnsi"/>
          <w:sz w:val="22"/>
          <w:szCs w:val="22"/>
        </w:rPr>
        <w:t>.</w:t>
      </w:r>
      <w:r w:rsidRPr="00F055B3" w:rsidR="00AF1A64">
        <w:rPr>
          <w:rFonts w:asciiTheme="minorHAnsi" w:hAnsiTheme="minorHAnsi" w:cstheme="minorHAnsi"/>
          <w:sz w:val="22"/>
          <w:szCs w:val="22"/>
        </w:rPr>
        <w:t xml:space="preserve"> </w:t>
      </w:r>
    </w:p>
    <w:p w:rsidR="00225C70" w:rsidRPr="00F055B3" w14:paraId="45B34123" w14:textId="77777777">
      <w:pPr>
        <w:ind w:left="720"/>
        <w:rPr>
          <w:rFonts w:asciiTheme="minorHAnsi" w:hAnsiTheme="minorHAnsi" w:cstheme="minorHAnsi"/>
          <w:sz w:val="22"/>
          <w:szCs w:val="22"/>
        </w:rPr>
      </w:pPr>
    </w:p>
    <w:p w:rsidR="00225C70" w:rsidRPr="00F055B3" w14:paraId="08D6B269" w14:textId="77777777">
      <w:pPr>
        <w:pStyle w:val="Level1"/>
        <w:numPr>
          <w:ilvl w:val="0"/>
          <w:numId w:val="1"/>
        </w:numPr>
        <w:tabs>
          <w:tab w:val="left" w:pos="-1440"/>
          <w:tab w:val="num" w:pos="720"/>
        </w:tabs>
        <w:rPr>
          <w:rFonts w:asciiTheme="minorHAnsi" w:hAnsiTheme="minorHAnsi" w:cstheme="minorHAnsi"/>
          <w:sz w:val="22"/>
          <w:szCs w:val="22"/>
        </w:rPr>
      </w:pPr>
      <w:r w:rsidRPr="00F055B3">
        <w:rPr>
          <w:rFonts w:asciiTheme="minorHAnsi" w:hAnsiTheme="minorHAnsi" w:cstheme="minorHAnsi"/>
          <w:sz w:val="22"/>
          <w:szCs w:val="22"/>
          <w:u w:val="single"/>
        </w:rPr>
        <w:t>USE OF DATA</w:t>
      </w:r>
      <w:r w:rsidRPr="00F055B3">
        <w:rPr>
          <w:rFonts w:asciiTheme="minorHAnsi" w:hAnsiTheme="minorHAnsi" w:cstheme="minorHAnsi"/>
          <w:sz w:val="22"/>
          <w:szCs w:val="22"/>
        </w:rPr>
        <w:t xml:space="preserve"> </w:t>
      </w:r>
    </w:p>
    <w:p w:rsidR="00225C70" w:rsidRPr="00F055B3" w14:paraId="2F871FB1" w14:textId="77777777">
      <w:pPr>
        <w:rPr>
          <w:rFonts w:asciiTheme="minorHAnsi" w:hAnsiTheme="minorHAnsi" w:cstheme="minorHAnsi"/>
          <w:sz w:val="22"/>
          <w:szCs w:val="22"/>
        </w:rPr>
      </w:pPr>
    </w:p>
    <w:p w:rsidR="00225C70" w:rsidRPr="00F055B3" w14:paraId="6DD78FF5" w14:textId="3CE5F9D9">
      <w:pPr>
        <w:ind w:left="720"/>
        <w:rPr>
          <w:rFonts w:asciiTheme="minorHAnsi" w:hAnsiTheme="minorHAnsi" w:cstheme="minorHAnsi"/>
          <w:sz w:val="22"/>
          <w:szCs w:val="22"/>
        </w:rPr>
      </w:pPr>
      <w:r w:rsidRPr="00F055B3">
        <w:rPr>
          <w:rFonts w:asciiTheme="minorHAnsi" w:hAnsiTheme="minorHAnsi" w:cstheme="minorHAnsi"/>
          <w:sz w:val="22"/>
          <w:szCs w:val="22"/>
        </w:rPr>
        <w:t xml:space="preserve">The information collected will be used by Employee Plans to evaluate a taxpayer's request for a letter ruling (including the requested deletions and limitation of retroactive effect, if any). </w:t>
      </w:r>
    </w:p>
    <w:p w:rsidR="00225C70" w:rsidRPr="00F055B3" w14:paraId="01BA8EDD" w14:textId="77777777">
      <w:pPr>
        <w:rPr>
          <w:rFonts w:asciiTheme="minorHAnsi" w:hAnsiTheme="minorHAnsi" w:cstheme="minorHAnsi"/>
          <w:sz w:val="22"/>
          <w:szCs w:val="22"/>
        </w:rPr>
      </w:pPr>
    </w:p>
    <w:p w:rsidR="00225C70" w:rsidRPr="00F055B3" w14:paraId="6D075447" w14:textId="77777777">
      <w:pPr>
        <w:pStyle w:val="Level1"/>
        <w:numPr>
          <w:ilvl w:val="0"/>
          <w:numId w:val="2"/>
        </w:numPr>
        <w:tabs>
          <w:tab w:val="left" w:pos="-1440"/>
          <w:tab w:val="num" w:pos="720"/>
        </w:tabs>
        <w:rPr>
          <w:rFonts w:asciiTheme="minorHAnsi" w:hAnsiTheme="minorHAnsi" w:cstheme="minorHAnsi"/>
          <w:sz w:val="22"/>
          <w:szCs w:val="22"/>
        </w:rPr>
      </w:pPr>
      <w:r w:rsidRPr="00F055B3">
        <w:rPr>
          <w:rFonts w:asciiTheme="minorHAnsi" w:hAnsiTheme="minorHAnsi" w:cstheme="minorHAnsi"/>
          <w:sz w:val="22"/>
          <w:szCs w:val="22"/>
          <w:u w:val="single"/>
        </w:rPr>
        <w:t>USE OF IMPROVED INFORMATION TECHNOLOGY TO REDUCE BURDEN</w:t>
      </w:r>
    </w:p>
    <w:p w:rsidR="00CF62B5" w:rsidRPr="00F055B3" w:rsidP="007255FB" w14:paraId="68BA8F3E" w14:textId="77777777">
      <w:pPr>
        <w:rPr>
          <w:rFonts w:asciiTheme="minorHAnsi" w:hAnsiTheme="minorHAnsi" w:cstheme="minorHAnsi"/>
          <w:sz w:val="22"/>
          <w:szCs w:val="22"/>
          <w:lang w:val="en"/>
        </w:rPr>
      </w:pPr>
    </w:p>
    <w:p w:rsidR="007255FB" w:rsidP="002405BC" w14:paraId="081367DE" w14:textId="4D90C302">
      <w:pPr>
        <w:ind w:left="180"/>
        <w:rPr>
          <w:rFonts w:asciiTheme="minorHAnsi" w:hAnsiTheme="minorHAnsi" w:cstheme="minorHAnsi"/>
          <w:sz w:val="22"/>
          <w:szCs w:val="22"/>
          <w:lang w:val="en"/>
        </w:rPr>
      </w:pPr>
      <w:r w:rsidRPr="00F055B3">
        <w:rPr>
          <w:rFonts w:asciiTheme="minorHAnsi" w:hAnsiTheme="minorHAnsi" w:cstheme="minorHAnsi"/>
          <w:sz w:val="22"/>
          <w:szCs w:val="22"/>
          <w:lang w:val="en"/>
        </w:rPr>
        <w:t xml:space="preserve">          </w:t>
      </w:r>
      <w:r w:rsidRPr="00F055B3" w:rsidR="003F0281">
        <w:rPr>
          <w:rFonts w:asciiTheme="minorHAnsi" w:hAnsiTheme="minorHAnsi" w:cstheme="minorHAnsi"/>
          <w:sz w:val="22"/>
          <w:szCs w:val="22"/>
          <w:lang w:val="en"/>
        </w:rPr>
        <w:t xml:space="preserve"> IRS has no plans to offer electronic filing due to the low number of filers.</w:t>
      </w:r>
    </w:p>
    <w:p w:rsidR="00445E9E" w:rsidRPr="00F055B3" w:rsidP="002405BC" w14:paraId="36AD85EF" w14:textId="77777777">
      <w:pPr>
        <w:ind w:left="180"/>
        <w:rPr>
          <w:rFonts w:asciiTheme="minorHAnsi" w:hAnsiTheme="minorHAnsi" w:cstheme="minorHAnsi"/>
          <w:sz w:val="22"/>
          <w:szCs w:val="22"/>
          <w:lang w:val="en"/>
        </w:rPr>
      </w:pPr>
    </w:p>
    <w:p w:rsidR="00225C70" w:rsidRPr="00F055B3" w14:paraId="315C2449" w14:textId="77777777">
      <w:pPr>
        <w:pStyle w:val="Level1"/>
        <w:numPr>
          <w:ilvl w:val="0"/>
          <w:numId w:val="2"/>
        </w:numPr>
        <w:tabs>
          <w:tab w:val="left" w:pos="-1440"/>
          <w:tab w:val="num" w:pos="720"/>
        </w:tabs>
        <w:rPr>
          <w:rFonts w:asciiTheme="minorHAnsi" w:hAnsiTheme="minorHAnsi" w:cstheme="minorHAnsi"/>
          <w:sz w:val="22"/>
          <w:szCs w:val="22"/>
        </w:rPr>
      </w:pPr>
      <w:r w:rsidRPr="00F055B3">
        <w:rPr>
          <w:rFonts w:asciiTheme="minorHAnsi" w:hAnsiTheme="minorHAnsi" w:cstheme="minorHAnsi"/>
          <w:sz w:val="22"/>
          <w:szCs w:val="22"/>
          <w:u w:val="single"/>
        </w:rPr>
        <w:t>EFFORTS TO IDENTIFY DUPLICATION</w:t>
      </w:r>
    </w:p>
    <w:p w:rsidR="00225C70" w:rsidRPr="00F055B3" w14:paraId="36E8C34F" w14:textId="77777777">
      <w:pPr>
        <w:rPr>
          <w:rFonts w:asciiTheme="minorHAnsi" w:hAnsiTheme="minorHAnsi" w:cstheme="minorHAnsi"/>
          <w:sz w:val="22"/>
          <w:szCs w:val="22"/>
        </w:rPr>
      </w:pPr>
    </w:p>
    <w:p w:rsidR="00225C70" w:rsidRPr="00F055B3" w14:paraId="1A998FC8" w14:textId="77777777">
      <w:pPr>
        <w:ind w:left="720"/>
        <w:rPr>
          <w:rFonts w:asciiTheme="minorHAnsi" w:hAnsiTheme="minorHAnsi" w:cstheme="minorHAnsi"/>
          <w:sz w:val="22"/>
          <w:szCs w:val="22"/>
        </w:rPr>
      </w:pPr>
      <w:r w:rsidRPr="00F055B3">
        <w:rPr>
          <w:rFonts w:asciiTheme="minorHAnsi" w:hAnsiTheme="minorHAnsi" w:cstheme="minorHAnsi"/>
          <w:sz w:val="22"/>
          <w:szCs w:val="22"/>
        </w:rPr>
        <w:t>The information obtained through this collection is unique and is not already available for use or adaptation from another source.</w:t>
      </w:r>
    </w:p>
    <w:p w:rsidR="00543B19" w:rsidRPr="00F055B3" w14:paraId="7C7DE915" w14:textId="77777777">
      <w:pPr>
        <w:ind w:left="720"/>
        <w:rPr>
          <w:rFonts w:asciiTheme="minorHAnsi" w:hAnsiTheme="minorHAnsi" w:cstheme="minorHAnsi"/>
          <w:sz w:val="22"/>
          <w:szCs w:val="22"/>
        </w:rPr>
      </w:pPr>
    </w:p>
    <w:p w:rsidR="00225C70" w:rsidRPr="00F055B3" w:rsidP="001B29A9" w14:paraId="45A85A33" w14:textId="52B83AFB">
      <w:pPr>
        <w:pStyle w:val="Level1"/>
        <w:keepNext/>
        <w:numPr>
          <w:ilvl w:val="0"/>
          <w:numId w:val="2"/>
        </w:numPr>
        <w:tabs>
          <w:tab w:val="left" w:pos="-1440"/>
          <w:tab w:val="num" w:pos="720"/>
        </w:tabs>
        <w:rPr>
          <w:rFonts w:asciiTheme="minorHAnsi" w:hAnsiTheme="minorHAnsi" w:cstheme="minorHAnsi"/>
          <w:sz w:val="22"/>
          <w:szCs w:val="22"/>
        </w:rPr>
      </w:pPr>
      <w:r w:rsidRPr="00F055B3">
        <w:rPr>
          <w:rFonts w:asciiTheme="minorHAnsi" w:hAnsiTheme="minorHAnsi" w:cstheme="minorHAnsi"/>
          <w:sz w:val="22"/>
          <w:szCs w:val="22"/>
          <w:u w:val="single"/>
        </w:rPr>
        <w:t>METHODS TO MINIMIZE BURDEN ON SMALL BUSINESSES OR OTHER</w:t>
      </w:r>
      <w:r w:rsidRPr="00F055B3">
        <w:rPr>
          <w:rFonts w:asciiTheme="minorHAnsi" w:hAnsiTheme="minorHAnsi" w:cstheme="minorHAnsi"/>
          <w:sz w:val="22"/>
          <w:szCs w:val="22"/>
        </w:rPr>
        <w:t xml:space="preserve"> </w:t>
      </w:r>
      <w:r w:rsidRPr="00F055B3">
        <w:rPr>
          <w:rFonts w:asciiTheme="minorHAnsi" w:hAnsiTheme="minorHAnsi" w:cstheme="minorHAnsi"/>
          <w:sz w:val="22"/>
          <w:szCs w:val="22"/>
          <w:u w:val="single"/>
        </w:rPr>
        <w:t>SMALL ENTITIES</w:t>
      </w:r>
    </w:p>
    <w:p w:rsidR="00225C70" w:rsidRPr="00F055B3" w:rsidP="001B29A9" w14:paraId="66992799" w14:textId="77777777">
      <w:pPr>
        <w:keepNext/>
        <w:rPr>
          <w:rFonts w:asciiTheme="minorHAnsi" w:hAnsiTheme="minorHAnsi" w:cstheme="minorHAnsi"/>
          <w:sz w:val="22"/>
          <w:szCs w:val="22"/>
        </w:rPr>
      </w:pPr>
    </w:p>
    <w:p w:rsidR="00225C70" w:rsidP="00384920" w14:paraId="02C4877A" w14:textId="77777777">
      <w:pPr>
        <w:keepNext/>
        <w:ind w:left="720"/>
        <w:rPr>
          <w:rFonts w:asciiTheme="minorHAnsi" w:hAnsiTheme="minorHAnsi" w:cstheme="minorHAnsi"/>
          <w:sz w:val="22"/>
          <w:szCs w:val="22"/>
        </w:rPr>
      </w:pPr>
      <w:r w:rsidRPr="00F055B3">
        <w:rPr>
          <w:rFonts w:asciiTheme="minorHAnsi" w:hAnsiTheme="minorHAnsi" w:cstheme="minorHAnsi"/>
          <w:sz w:val="22"/>
          <w:szCs w:val="22"/>
        </w:rPr>
        <w:t xml:space="preserve">Small businesses should not be disadvantaged as the form has been structured to request the least amount of information while still satisfying the requirements of the statute and the needs </w:t>
      </w:r>
      <w:r w:rsidRPr="00F055B3">
        <w:rPr>
          <w:rFonts w:asciiTheme="minorHAnsi" w:hAnsiTheme="minorHAnsi" w:cstheme="minorHAnsi"/>
          <w:sz w:val="22"/>
          <w:szCs w:val="22"/>
        </w:rPr>
        <w:t xml:space="preserve">of the IRS.  </w:t>
      </w:r>
    </w:p>
    <w:p w:rsidR="00FB4CCC" w:rsidRPr="00F055B3" w:rsidP="00384920" w14:paraId="2411402E" w14:textId="77777777">
      <w:pPr>
        <w:keepNext/>
        <w:ind w:left="720"/>
        <w:rPr>
          <w:rFonts w:asciiTheme="minorHAnsi" w:hAnsiTheme="minorHAnsi" w:cstheme="minorHAnsi"/>
          <w:sz w:val="22"/>
          <w:szCs w:val="22"/>
        </w:rPr>
      </w:pPr>
    </w:p>
    <w:p w:rsidR="00225C70" w:rsidRPr="00F055B3" w14:paraId="488DF5B6" w14:textId="77777777">
      <w:pPr>
        <w:pStyle w:val="Level1"/>
        <w:keepNext/>
        <w:widowControl/>
        <w:numPr>
          <w:ilvl w:val="0"/>
          <w:numId w:val="2"/>
        </w:numPr>
        <w:tabs>
          <w:tab w:val="left" w:pos="-1440"/>
          <w:tab w:val="num" w:pos="720"/>
        </w:tabs>
        <w:rPr>
          <w:rFonts w:asciiTheme="minorHAnsi" w:hAnsiTheme="minorHAnsi" w:cstheme="minorHAnsi"/>
          <w:sz w:val="22"/>
          <w:szCs w:val="22"/>
        </w:rPr>
      </w:pPr>
      <w:r w:rsidRPr="00F055B3">
        <w:rPr>
          <w:rFonts w:asciiTheme="minorHAnsi" w:hAnsiTheme="minorHAnsi" w:cstheme="minorHAnsi"/>
          <w:sz w:val="22"/>
          <w:szCs w:val="22"/>
          <w:u w:val="single"/>
        </w:rPr>
        <w:t>CONSEQUENCES OF LESS FREQUENT COLLECTION ON FEDERAL PROGRAMS OR POLICY ACTIVITIES</w:t>
      </w:r>
    </w:p>
    <w:p w:rsidR="00225C70" w:rsidRPr="00F055B3" w14:paraId="09182F46" w14:textId="77777777">
      <w:pPr>
        <w:keepNext/>
        <w:rPr>
          <w:rFonts w:asciiTheme="minorHAnsi" w:hAnsiTheme="minorHAnsi" w:cstheme="minorHAnsi"/>
          <w:sz w:val="22"/>
          <w:szCs w:val="22"/>
        </w:rPr>
      </w:pPr>
    </w:p>
    <w:p w:rsidR="00225C70" w:rsidRPr="00F055B3" w14:paraId="7FDA46F9" w14:textId="5E41AD4E">
      <w:pPr>
        <w:ind w:left="720"/>
        <w:rPr>
          <w:rFonts w:asciiTheme="minorHAnsi" w:hAnsiTheme="minorHAnsi" w:cstheme="minorHAnsi"/>
          <w:sz w:val="22"/>
          <w:szCs w:val="22"/>
        </w:rPr>
      </w:pPr>
      <w:r w:rsidRPr="00F055B3">
        <w:rPr>
          <w:rFonts w:asciiTheme="minorHAnsi" w:hAnsiTheme="minorHAnsi" w:cstheme="minorHAnsi"/>
          <w:sz w:val="22"/>
          <w:szCs w:val="22"/>
        </w:rPr>
        <w:t>A less frequent collection will not enable the IRS to respond to inquiries for letter</w:t>
      </w:r>
      <w:r w:rsidRPr="00F055B3" w:rsidR="00B6423E">
        <w:rPr>
          <w:rFonts w:asciiTheme="minorHAnsi" w:hAnsiTheme="minorHAnsi" w:cstheme="minorHAnsi"/>
          <w:sz w:val="22"/>
          <w:szCs w:val="22"/>
        </w:rPr>
        <w:t xml:space="preserve"> rulings</w:t>
      </w:r>
      <w:r w:rsidRPr="00F055B3">
        <w:rPr>
          <w:rFonts w:asciiTheme="minorHAnsi" w:hAnsiTheme="minorHAnsi" w:cstheme="minorHAnsi"/>
          <w:sz w:val="22"/>
          <w:szCs w:val="22"/>
        </w:rPr>
        <w:t xml:space="preserve"> specifying tax treatment in accordance with </w:t>
      </w:r>
      <w:r w:rsidRPr="00F055B3" w:rsidR="000E2BB2">
        <w:rPr>
          <w:rFonts w:asciiTheme="minorHAnsi" w:hAnsiTheme="minorHAnsi" w:cstheme="minorHAnsi"/>
          <w:sz w:val="22"/>
          <w:szCs w:val="22"/>
        </w:rPr>
        <w:t xml:space="preserve">Treasury </w:t>
      </w:r>
      <w:r w:rsidRPr="00F055B3" w:rsidR="0085780D">
        <w:rPr>
          <w:rFonts w:asciiTheme="minorHAnsi" w:hAnsiTheme="minorHAnsi" w:cstheme="minorHAnsi"/>
          <w:sz w:val="22"/>
          <w:szCs w:val="22"/>
        </w:rPr>
        <w:t>Regulation §</w:t>
      </w:r>
      <w:r w:rsidRPr="00F055B3">
        <w:rPr>
          <w:rFonts w:asciiTheme="minorHAnsi" w:hAnsiTheme="minorHAnsi" w:cstheme="minorHAnsi"/>
          <w:sz w:val="22"/>
          <w:szCs w:val="22"/>
        </w:rPr>
        <w:t> 601.201(</w:t>
      </w:r>
      <w:r w:rsidRPr="00F055B3" w:rsidR="00B6423E">
        <w:rPr>
          <w:rFonts w:asciiTheme="minorHAnsi" w:hAnsiTheme="minorHAnsi" w:cstheme="minorHAnsi"/>
          <w:sz w:val="22"/>
          <w:szCs w:val="22"/>
        </w:rPr>
        <w:t>b</w:t>
      </w:r>
      <w:r w:rsidRPr="00F055B3" w:rsidR="00212434">
        <w:rPr>
          <w:rFonts w:asciiTheme="minorHAnsi" w:hAnsiTheme="minorHAnsi" w:cstheme="minorHAnsi"/>
          <w:sz w:val="22"/>
          <w:szCs w:val="22"/>
        </w:rPr>
        <w:t>)(</w:t>
      </w:r>
      <w:r w:rsidRPr="00F055B3">
        <w:rPr>
          <w:rFonts w:asciiTheme="minorHAnsi" w:hAnsiTheme="minorHAnsi" w:cstheme="minorHAnsi"/>
          <w:sz w:val="22"/>
          <w:szCs w:val="22"/>
        </w:rPr>
        <w:t xml:space="preserve">1) and could result in being unable to meet its mission. </w:t>
      </w:r>
    </w:p>
    <w:p w:rsidR="00225C70" w:rsidRPr="00F055B3" w14:paraId="37B51B9F" w14:textId="77777777">
      <w:pPr>
        <w:rPr>
          <w:rFonts w:asciiTheme="minorHAnsi" w:hAnsiTheme="minorHAnsi" w:cstheme="minorHAnsi"/>
          <w:sz w:val="22"/>
          <w:szCs w:val="22"/>
        </w:rPr>
      </w:pPr>
    </w:p>
    <w:p w:rsidR="00225C70" w:rsidRPr="00F055B3" w14:paraId="39F18764" w14:textId="2990F677">
      <w:pPr>
        <w:pStyle w:val="Level1"/>
        <w:numPr>
          <w:ilvl w:val="0"/>
          <w:numId w:val="2"/>
        </w:numPr>
        <w:tabs>
          <w:tab w:val="left" w:pos="-1440"/>
          <w:tab w:val="num" w:pos="720"/>
        </w:tabs>
        <w:rPr>
          <w:rFonts w:asciiTheme="minorHAnsi" w:hAnsiTheme="minorHAnsi" w:cstheme="minorHAnsi"/>
          <w:sz w:val="22"/>
          <w:szCs w:val="22"/>
        </w:rPr>
      </w:pPr>
      <w:r w:rsidRPr="00F055B3">
        <w:rPr>
          <w:rFonts w:asciiTheme="minorHAnsi" w:hAnsiTheme="minorHAnsi" w:cstheme="minorHAnsi"/>
          <w:sz w:val="22"/>
          <w:szCs w:val="22"/>
          <w:u w:val="single"/>
        </w:rPr>
        <w:t>SPECIAL CIRCUMSTANCES REQUIRING DATA COLLECTION TO BE</w:t>
      </w:r>
      <w:r w:rsidRPr="00F055B3">
        <w:rPr>
          <w:rFonts w:asciiTheme="minorHAnsi" w:hAnsiTheme="minorHAnsi" w:cstheme="minorHAnsi"/>
          <w:sz w:val="22"/>
          <w:szCs w:val="22"/>
        </w:rPr>
        <w:t xml:space="preserve"> </w:t>
      </w:r>
      <w:r w:rsidRPr="00F055B3">
        <w:rPr>
          <w:rFonts w:asciiTheme="minorHAnsi" w:hAnsiTheme="minorHAnsi" w:cstheme="minorHAnsi"/>
          <w:sz w:val="22"/>
          <w:szCs w:val="22"/>
          <w:u w:val="single"/>
        </w:rPr>
        <w:t>INCONSISTENT WITH GUIDELINES IN 5 CFR 1320.5(d)(2)</w:t>
      </w:r>
    </w:p>
    <w:p w:rsidR="00225C70" w:rsidRPr="00F055B3" w14:paraId="01E3DF00" w14:textId="77777777">
      <w:pPr>
        <w:rPr>
          <w:rFonts w:asciiTheme="minorHAnsi" w:hAnsiTheme="minorHAnsi" w:cstheme="minorHAnsi"/>
          <w:sz w:val="22"/>
          <w:szCs w:val="22"/>
        </w:rPr>
      </w:pPr>
    </w:p>
    <w:p w:rsidR="00225C70" w:rsidRPr="00F055B3" w14:paraId="1DEEA40C" w14:textId="77777777">
      <w:pPr>
        <w:ind w:left="720"/>
        <w:rPr>
          <w:rFonts w:asciiTheme="minorHAnsi" w:hAnsiTheme="minorHAnsi" w:cstheme="minorHAnsi"/>
          <w:sz w:val="22"/>
          <w:szCs w:val="22"/>
        </w:rPr>
      </w:pPr>
      <w:r w:rsidRPr="00F055B3">
        <w:rPr>
          <w:rFonts w:asciiTheme="minorHAnsi" w:hAnsiTheme="minorHAnsi" w:cstheme="minorHAnsi"/>
          <w:sz w:val="22"/>
          <w:szCs w:val="22"/>
        </w:rPr>
        <w:t>There are no special circumstances requiring data collection to be inconsistent with guidelines in 5 CFR 1320.5(d)(2).</w:t>
      </w:r>
    </w:p>
    <w:p w:rsidR="00225C70" w:rsidRPr="00F055B3" w14:paraId="671817CE" w14:textId="77777777">
      <w:pPr>
        <w:ind w:left="720"/>
        <w:rPr>
          <w:rFonts w:asciiTheme="minorHAnsi" w:hAnsiTheme="minorHAnsi" w:cstheme="minorHAnsi"/>
          <w:sz w:val="22"/>
          <w:szCs w:val="22"/>
        </w:rPr>
      </w:pPr>
    </w:p>
    <w:p w:rsidR="00225C70" w:rsidRPr="00F055B3" w14:paraId="22563A91" w14:textId="77777777">
      <w:pPr>
        <w:pStyle w:val="Level1"/>
        <w:numPr>
          <w:ilvl w:val="0"/>
          <w:numId w:val="3"/>
        </w:numPr>
        <w:tabs>
          <w:tab w:val="left" w:pos="-1440"/>
          <w:tab w:val="num" w:pos="720"/>
        </w:tabs>
        <w:rPr>
          <w:rFonts w:asciiTheme="minorHAnsi" w:hAnsiTheme="minorHAnsi" w:cstheme="minorHAnsi"/>
          <w:sz w:val="22"/>
          <w:szCs w:val="22"/>
        </w:rPr>
      </w:pPr>
      <w:r w:rsidRPr="00F055B3">
        <w:rPr>
          <w:rFonts w:asciiTheme="minorHAnsi" w:hAnsiTheme="minorHAnsi" w:cstheme="minorHAnsi"/>
          <w:sz w:val="22"/>
          <w:szCs w:val="22"/>
          <w:u w:val="single"/>
        </w:rPr>
        <w:t>CONSULTATION WITH INDIVIDUALS OUTSIDE OF THE AGENCY ON</w:t>
      </w:r>
      <w:r w:rsidRPr="00F055B3">
        <w:rPr>
          <w:rFonts w:asciiTheme="minorHAnsi" w:hAnsiTheme="minorHAnsi" w:cstheme="minorHAnsi"/>
          <w:sz w:val="22"/>
          <w:szCs w:val="22"/>
        </w:rPr>
        <w:t xml:space="preserve"> </w:t>
      </w:r>
      <w:r w:rsidRPr="00F055B3">
        <w:rPr>
          <w:rFonts w:asciiTheme="minorHAnsi" w:hAnsiTheme="minorHAnsi" w:cstheme="minorHAnsi"/>
          <w:sz w:val="22"/>
          <w:szCs w:val="22"/>
          <w:u w:val="single"/>
        </w:rPr>
        <w:t>AVAILABILITY OF DATA, FREQUENCY OF COLLECTION, CLARITY</w:t>
      </w:r>
      <w:r w:rsidRPr="00F055B3">
        <w:rPr>
          <w:rFonts w:asciiTheme="minorHAnsi" w:hAnsiTheme="minorHAnsi" w:cstheme="minorHAnsi"/>
          <w:sz w:val="22"/>
          <w:szCs w:val="22"/>
        </w:rPr>
        <w:t xml:space="preserve"> </w:t>
      </w:r>
      <w:r w:rsidRPr="00F055B3">
        <w:rPr>
          <w:rFonts w:asciiTheme="minorHAnsi" w:hAnsiTheme="minorHAnsi" w:cstheme="minorHAnsi"/>
          <w:sz w:val="22"/>
          <w:szCs w:val="22"/>
          <w:u w:val="single"/>
        </w:rPr>
        <w:t>OF INSTRUCTIONS AND FORMS, AND DATA ELEMENTS</w:t>
      </w:r>
    </w:p>
    <w:p w:rsidR="00225C70" w:rsidRPr="00F055B3" w14:paraId="61118266" w14:textId="77777777">
      <w:pPr>
        <w:rPr>
          <w:rFonts w:asciiTheme="minorHAnsi" w:hAnsiTheme="minorHAnsi" w:cstheme="minorHAnsi"/>
          <w:sz w:val="22"/>
          <w:szCs w:val="22"/>
        </w:rPr>
      </w:pPr>
    </w:p>
    <w:p w:rsidR="00225C70" w:rsidP="00957D00" w14:paraId="44885F37" w14:textId="6C43CDEC">
      <w:pPr>
        <w:tabs>
          <w:tab w:val="center" w:pos="4680"/>
        </w:tabs>
        <w:ind w:left="720"/>
        <w:rPr>
          <w:rFonts w:asciiTheme="minorHAnsi" w:hAnsiTheme="minorHAnsi" w:cstheme="minorHAnsi"/>
          <w:sz w:val="22"/>
          <w:szCs w:val="22"/>
        </w:rPr>
      </w:pPr>
      <w:r w:rsidRPr="005D4206">
        <w:rPr>
          <w:rFonts w:asciiTheme="minorHAnsi" w:hAnsiTheme="minorHAnsi" w:cstheme="minorHAnsi"/>
          <w:sz w:val="22"/>
          <w:szCs w:val="22"/>
        </w:rPr>
        <w:t xml:space="preserve">In response to the Federal Register notice dated </w:t>
      </w:r>
      <w:r w:rsidR="006873ED">
        <w:rPr>
          <w:rFonts w:asciiTheme="minorHAnsi" w:hAnsiTheme="minorHAnsi" w:cstheme="minorHAnsi"/>
          <w:sz w:val="22"/>
          <w:szCs w:val="22"/>
        </w:rPr>
        <w:t>June 16, 2025,</w:t>
      </w:r>
      <w:r w:rsidRPr="005D4206">
        <w:rPr>
          <w:rFonts w:asciiTheme="minorHAnsi" w:hAnsiTheme="minorHAnsi" w:cstheme="minorHAnsi"/>
          <w:sz w:val="22"/>
          <w:szCs w:val="22"/>
        </w:rPr>
        <w:t xml:space="preserve"> </w:t>
      </w:r>
      <w:r w:rsidR="006873ED">
        <w:rPr>
          <w:rFonts w:asciiTheme="minorHAnsi" w:hAnsiTheme="minorHAnsi" w:cstheme="minorHAnsi"/>
          <w:sz w:val="22"/>
          <w:szCs w:val="22"/>
        </w:rPr>
        <w:t>90</w:t>
      </w:r>
      <w:r w:rsidRPr="005D4206">
        <w:rPr>
          <w:rFonts w:asciiTheme="minorHAnsi" w:hAnsiTheme="minorHAnsi" w:cstheme="minorHAnsi"/>
          <w:sz w:val="22"/>
          <w:szCs w:val="22"/>
        </w:rPr>
        <w:t xml:space="preserve"> FR </w:t>
      </w:r>
      <w:r w:rsidRPr="006873ED" w:rsidR="006873ED">
        <w:rPr>
          <w:rFonts w:asciiTheme="minorHAnsi" w:hAnsiTheme="minorHAnsi" w:cstheme="minorHAnsi"/>
          <w:sz w:val="22"/>
          <w:szCs w:val="22"/>
        </w:rPr>
        <w:t>25429</w:t>
      </w:r>
      <w:r w:rsidR="006873ED">
        <w:rPr>
          <w:rFonts w:asciiTheme="minorHAnsi" w:hAnsiTheme="minorHAnsi" w:cstheme="minorHAnsi"/>
          <w:sz w:val="22"/>
          <w:szCs w:val="22"/>
        </w:rPr>
        <w:t>,</w:t>
      </w:r>
      <w:r w:rsidRPr="005D4206">
        <w:rPr>
          <w:rFonts w:asciiTheme="minorHAnsi" w:hAnsiTheme="minorHAnsi" w:cstheme="minorHAnsi"/>
          <w:sz w:val="22"/>
          <w:szCs w:val="22"/>
        </w:rPr>
        <w:t xml:space="preserve"> we received </w:t>
      </w:r>
      <w:r w:rsidR="006873ED">
        <w:rPr>
          <w:rFonts w:asciiTheme="minorHAnsi" w:hAnsiTheme="minorHAnsi" w:cstheme="minorHAnsi"/>
          <w:sz w:val="22"/>
          <w:szCs w:val="22"/>
        </w:rPr>
        <w:t>no</w:t>
      </w:r>
      <w:r w:rsidRPr="005D4206">
        <w:rPr>
          <w:rFonts w:asciiTheme="minorHAnsi" w:hAnsiTheme="minorHAnsi" w:cstheme="minorHAnsi"/>
          <w:sz w:val="22"/>
          <w:szCs w:val="22"/>
        </w:rPr>
        <w:t xml:space="preserve"> comments during the comment period regarding</w:t>
      </w:r>
      <w:r w:rsidR="002405BC">
        <w:t xml:space="preserve"> </w:t>
      </w:r>
      <w:r w:rsidRPr="002405BC" w:rsidR="002405BC">
        <w:rPr>
          <w:rFonts w:asciiTheme="minorHAnsi" w:hAnsiTheme="minorHAnsi" w:cstheme="minorHAnsi"/>
          <w:sz w:val="22"/>
          <w:szCs w:val="22"/>
        </w:rPr>
        <w:t>Procedures for Letter Rulings issued by Commissioner, Tax Exempt and Government Entities Division, Employee Plans Rulings and Agreements Office</w:t>
      </w:r>
      <w:r w:rsidR="002405BC">
        <w:rPr>
          <w:rFonts w:asciiTheme="minorHAnsi" w:hAnsiTheme="minorHAnsi" w:cstheme="minorHAnsi"/>
          <w:sz w:val="22"/>
          <w:szCs w:val="22"/>
        </w:rPr>
        <w:t xml:space="preserve">.  </w:t>
      </w:r>
      <w:r w:rsidRPr="005D4206">
        <w:rPr>
          <w:rFonts w:asciiTheme="minorHAnsi" w:hAnsiTheme="minorHAnsi" w:cstheme="minorHAnsi"/>
          <w:sz w:val="22"/>
          <w:szCs w:val="22"/>
        </w:rPr>
        <w:t xml:space="preserve"> </w:t>
      </w:r>
    </w:p>
    <w:p w:rsidR="0066439D" w:rsidRPr="005D4206" w:rsidP="00384920" w14:paraId="53545666" w14:textId="77777777">
      <w:pPr>
        <w:tabs>
          <w:tab w:val="center" w:pos="4680"/>
        </w:tabs>
        <w:ind w:left="720"/>
        <w:rPr>
          <w:rFonts w:asciiTheme="minorHAnsi" w:hAnsiTheme="minorHAnsi" w:cstheme="minorHAnsi"/>
          <w:sz w:val="22"/>
          <w:szCs w:val="22"/>
        </w:rPr>
      </w:pPr>
    </w:p>
    <w:p w:rsidR="00225C70" w:rsidRPr="00F055B3" w14:paraId="3EB99A85" w14:textId="18F9C153">
      <w:pPr>
        <w:pStyle w:val="Level1"/>
        <w:numPr>
          <w:ilvl w:val="0"/>
          <w:numId w:val="3"/>
        </w:numPr>
        <w:tabs>
          <w:tab w:val="left" w:pos="-1440"/>
          <w:tab w:val="num" w:pos="720"/>
        </w:tabs>
        <w:rPr>
          <w:rFonts w:asciiTheme="minorHAnsi" w:hAnsiTheme="minorHAnsi" w:cstheme="minorHAnsi"/>
          <w:sz w:val="22"/>
          <w:szCs w:val="22"/>
        </w:rPr>
      </w:pPr>
      <w:r w:rsidRPr="00F055B3">
        <w:rPr>
          <w:rFonts w:asciiTheme="minorHAnsi" w:hAnsiTheme="minorHAnsi" w:cstheme="minorHAnsi"/>
          <w:sz w:val="22"/>
          <w:szCs w:val="22"/>
          <w:u w:val="single"/>
        </w:rPr>
        <w:t>EXPLANATION OF DECISION TO PROVIDE ANY PAYMENT OR GIFT TO</w:t>
      </w:r>
      <w:r w:rsidRPr="00F055B3">
        <w:rPr>
          <w:rFonts w:asciiTheme="minorHAnsi" w:hAnsiTheme="minorHAnsi" w:cstheme="minorHAnsi"/>
          <w:sz w:val="22"/>
          <w:szCs w:val="22"/>
        </w:rPr>
        <w:t xml:space="preserve"> </w:t>
      </w:r>
      <w:r w:rsidRPr="00F055B3" w:rsidR="00D14357">
        <w:rPr>
          <w:rFonts w:asciiTheme="minorHAnsi" w:hAnsiTheme="minorHAnsi" w:cstheme="minorHAnsi"/>
          <w:sz w:val="22"/>
          <w:szCs w:val="22"/>
          <w:u w:val="single"/>
        </w:rPr>
        <w:t>RESPONDENTS.</w:t>
      </w:r>
    </w:p>
    <w:p w:rsidR="00225C70" w:rsidRPr="00F055B3" w14:paraId="7169BC7A" w14:textId="77777777">
      <w:pPr>
        <w:rPr>
          <w:rFonts w:asciiTheme="minorHAnsi" w:hAnsiTheme="minorHAnsi" w:cstheme="minorHAnsi"/>
          <w:sz w:val="22"/>
          <w:szCs w:val="22"/>
        </w:rPr>
      </w:pPr>
    </w:p>
    <w:p w:rsidR="00225C70" w:rsidRPr="00F055B3" w14:paraId="00707E33" w14:textId="77777777">
      <w:pPr>
        <w:ind w:left="720"/>
        <w:rPr>
          <w:rFonts w:asciiTheme="minorHAnsi" w:hAnsiTheme="minorHAnsi" w:cstheme="minorHAnsi"/>
          <w:sz w:val="22"/>
          <w:szCs w:val="22"/>
        </w:rPr>
      </w:pPr>
      <w:r w:rsidRPr="00F055B3">
        <w:rPr>
          <w:rFonts w:asciiTheme="minorHAnsi" w:hAnsiTheme="minorHAnsi" w:cstheme="minorHAnsi"/>
          <w:sz w:val="22"/>
          <w:szCs w:val="22"/>
        </w:rPr>
        <w:t>No payment or gift has been provided to any respondents.</w:t>
      </w:r>
    </w:p>
    <w:p w:rsidR="00225C70" w:rsidRPr="00F055B3" w14:paraId="5BE5B48A" w14:textId="77777777">
      <w:pPr>
        <w:rPr>
          <w:rFonts w:asciiTheme="minorHAnsi" w:hAnsiTheme="minorHAnsi" w:cstheme="minorHAnsi"/>
          <w:sz w:val="22"/>
          <w:szCs w:val="22"/>
        </w:rPr>
      </w:pPr>
    </w:p>
    <w:p w:rsidR="00225C70" w:rsidRPr="00F055B3" w14:paraId="164BEB3A" w14:textId="77777777">
      <w:pPr>
        <w:tabs>
          <w:tab w:val="left" w:pos="-1440"/>
        </w:tabs>
        <w:ind w:left="720" w:hanging="720"/>
        <w:rPr>
          <w:rFonts w:asciiTheme="minorHAnsi" w:hAnsiTheme="minorHAnsi" w:cstheme="minorHAnsi"/>
          <w:sz w:val="22"/>
          <w:szCs w:val="22"/>
        </w:rPr>
      </w:pPr>
      <w:r w:rsidRPr="00F055B3">
        <w:rPr>
          <w:rFonts w:asciiTheme="minorHAnsi" w:hAnsiTheme="minorHAnsi" w:cstheme="minorHAnsi"/>
          <w:sz w:val="22"/>
          <w:szCs w:val="22"/>
        </w:rPr>
        <w:t>10</w:t>
      </w:r>
      <w:r w:rsidRPr="00F055B3">
        <w:rPr>
          <w:rFonts w:asciiTheme="minorHAnsi" w:hAnsiTheme="minorHAnsi" w:cstheme="minorHAnsi"/>
          <w:sz w:val="22"/>
          <w:szCs w:val="22"/>
        </w:rPr>
        <w:tab/>
      </w:r>
      <w:r w:rsidRPr="00F055B3">
        <w:rPr>
          <w:rFonts w:asciiTheme="minorHAnsi" w:hAnsiTheme="minorHAnsi" w:cstheme="minorHAnsi"/>
          <w:sz w:val="22"/>
          <w:szCs w:val="22"/>
          <w:u w:val="single"/>
        </w:rPr>
        <w:t>ASSURANCE OF CONFIDENTIALITY OF RESPONSES</w:t>
      </w:r>
    </w:p>
    <w:p w:rsidR="00225C70" w:rsidRPr="00F055B3" w14:paraId="798BC26B" w14:textId="77777777">
      <w:pPr>
        <w:rPr>
          <w:rFonts w:asciiTheme="minorHAnsi" w:hAnsiTheme="minorHAnsi" w:cstheme="minorHAnsi"/>
          <w:sz w:val="22"/>
          <w:szCs w:val="22"/>
        </w:rPr>
      </w:pPr>
    </w:p>
    <w:p w:rsidR="00225C70" w:rsidRPr="00F055B3" w14:paraId="01AE857A" w14:textId="19E8A78A">
      <w:pPr>
        <w:ind w:left="720"/>
        <w:rPr>
          <w:rFonts w:asciiTheme="minorHAnsi" w:hAnsiTheme="minorHAnsi" w:cstheme="minorHAnsi"/>
          <w:sz w:val="22"/>
          <w:szCs w:val="22"/>
        </w:rPr>
      </w:pPr>
      <w:r w:rsidRPr="00F055B3">
        <w:rPr>
          <w:rFonts w:asciiTheme="minorHAnsi" w:hAnsiTheme="minorHAnsi" w:cstheme="minorHAnsi"/>
          <w:sz w:val="22"/>
          <w:szCs w:val="22"/>
        </w:rPr>
        <w:t>Submissions under</w:t>
      </w:r>
      <w:r w:rsidRPr="00F055B3" w:rsidR="00D569F8">
        <w:rPr>
          <w:rFonts w:asciiTheme="minorHAnsi" w:hAnsiTheme="minorHAnsi" w:cstheme="minorHAnsi"/>
          <w:sz w:val="22"/>
          <w:szCs w:val="22"/>
        </w:rPr>
        <w:t xml:space="preserve"> Form 15662 and R</w:t>
      </w:r>
      <w:r w:rsidRPr="00F055B3">
        <w:rPr>
          <w:rFonts w:asciiTheme="minorHAnsi" w:hAnsiTheme="minorHAnsi" w:cstheme="minorHAnsi"/>
          <w:sz w:val="22"/>
          <w:szCs w:val="22"/>
        </w:rPr>
        <w:t xml:space="preserve">evenue </w:t>
      </w:r>
      <w:r w:rsidRPr="00F055B3" w:rsidR="00D569F8">
        <w:rPr>
          <w:rFonts w:asciiTheme="minorHAnsi" w:hAnsiTheme="minorHAnsi" w:cstheme="minorHAnsi"/>
          <w:sz w:val="22"/>
          <w:szCs w:val="22"/>
        </w:rPr>
        <w:t>P</w:t>
      </w:r>
      <w:r w:rsidRPr="00F055B3">
        <w:rPr>
          <w:rFonts w:asciiTheme="minorHAnsi" w:hAnsiTheme="minorHAnsi" w:cstheme="minorHAnsi"/>
          <w:sz w:val="22"/>
          <w:szCs w:val="22"/>
        </w:rPr>
        <w:t xml:space="preserve">rocedure </w:t>
      </w:r>
      <w:r w:rsidRPr="00F055B3" w:rsidR="00D569F8">
        <w:rPr>
          <w:rFonts w:asciiTheme="minorHAnsi" w:hAnsiTheme="minorHAnsi" w:cstheme="minorHAnsi"/>
          <w:sz w:val="22"/>
          <w:szCs w:val="22"/>
        </w:rPr>
        <w:t xml:space="preserve">2025-4 </w:t>
      </w:r>
      <w:r w:rsidRPr="00F055B3">
        <w:rPr>
          <w:rFonts w:asciiTheme="minorHAnsi" w:hAnsiTheme="minorHAnsi" w:cstheme="minorHAnsi"/>
          <w:sz w:val="22"/>
          <w:szCs w:val="22"/>
        </w:rPr>
        <w:t xml:space="preserve">are considered tax returns and tax return information, which are confidential as required by 26 U.S.C. § 6103. In general, certain matters relating to taxability and deductibility are allowed to be disclosed under 26 U.S.C. 6104 or 26 U.S.C. 6110. </w:t>
      </w:r>
    </w:p>
    <w:p w:rsidR="00225C70" w:rsidRPr="00F055B3" w14:paraId="719B9A2A" w14:textId="77777777">
      <w:pPr>
        <w:rPr>
          <w:rFonts w:asciiTheme="minorHAnsi" w:hAnsiTheme="minorHAnsi" w:cstheme="minorHAnsi"/>
          <w:sz w:val="22"/>
          <w:szCs w:val="22"/>
        </w:rPr>
      </w:pPr>
    </w:p>
    <w:p w:rsidR="00225C70" w:rsidRPr="00F055B3" w14:paraId="79762A5A" w14:textId="77777777">
      <w:pPr>
        <w:pStyle w:val="Level1"/>
        <w:numPr>
          <w:ilvl w:val="0"/>
          <w:numId w:val="4"/>
        </w:numPr>
        <w:tabs>
          <w:tab w:val="left" w:pos="-1440"/>
          <w:tab w:val="num" w:pos="720"/>
        </w:tabs>
        <w:rPr>
          <w:rFonts w:asciiTheme="minorHAnsi" w:hAnsiTheme="minorHAnsi" w:cstheme="minorHAnsi"/>
          <w:sz w:val="22"/>
          <w:szCs w:val="22"/>
          <w:u w:val="single"/>
        </w:rPr>
      </w:pPr>
      <w:r w:rsidRPr="00F055B3">
        <w:rPr>
          <w:rFonts w:asciiTheme="minorHAnsi" w:hAnsiTheme="minorHAnsi" w:cstheme="minorHAnsi"/>
          <w:sz w:val="22"/>
          <w:szCs w:val="22"/>
          <w:u w:val="single"/>
        </w:rPr>
        <w:t>JUSTIFICATION OF SENSITIVE QUESTIONS</w:t>
      </w:r>
    </w:p>
    <w:p w:rsidR="00225C70" w:rsidRPr="00F055B3" w14:paraId="4543AA84" w14:textId="77777777">
      <w:pPr>
        <w:rPr>
          <w:rFonts w:asciiTheme="minorHAnsi" w:hAnsiTheme="minorHAnsi" w:cstheme="minorHAnsi"/>
          <w:sz w:val="22"/>
          <w:szCs w:val="22"/>
          <w:u w:val="single"/>
        </w:rPr>
      </w:pPr>
    </w:p>
    <w:p w:rsidR="00225C70" w:rsidRPr="00F055B3" w14:paraId="7CC19B11" w14:textId="77777777">
      <w:pPr>
        <w:ind w:left="720"/>
        <w:rPr>
          <w:rFonts w:asciiTheme="minorHAnsi" w:hAnsiTheme="minorHAnsi" w:cstheme="minorHAnsi"/>
          <w:sz w:val="22"/>
          <w:szCs w:val="22"/>
        </w:rPr>
      </w:pPr>
      <w:r w:rsidRPr="00F055B3">
        <w:rPr>
          <w:rFonts w:asciiTheme="minorHAnsi" w:hAnsiTheme="minorHAnsi" w:cstheme="minorHAnsi"/>
          <w:sz w:val="22"/>
          <w:szCs w:val="22"/>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http://www.irs.gov/uac/Privacy-Impact-Assessments-PIA.  </w:t>
      </w:r>
    </w:p>
    <w:p w:rsidR="00225C70" w:rsidRPr="00F055B3" w14:paraId="2A66D8D5" w14:textId="77777777">
      <w:pPr>
        <w:rPr>
          <w:rFonts w:asciiTheme="minorHAnsi" w:hAnsiTheme="minorHAnsi" w:cstheme="minorHAnsi"/>
          <w:sz w:val="22"/>
          <w:szCs w:val="22"/>
        </w:rPr>
      </w:pPr>
    </w:p>
    <w:p w:rsidR="00225C70" w:rsidRPr="00F055B3" w14:paraId="46992E62" w14:textId="77777777">
      <w:pPr>
        <w:ind w:left="720"/>
        <w:rPr>
          <w:rFonts w:asciiTheme="minorHAnsi" w:hAnsiTheme="minorHAnsi" w:cstheme="minorHAnsi"/>
          <w:sz w:val="22"/>
          <w:szCs w:val="22"/>
        </w:rPr>
      </w:pPr>
      <w:r w:rsidRPr="00F055B3">
        <w:rPr>
          <w:rFonts w:asciiTheme="minorHAnsi" w:hAnsiTheme="minorHAnsi" w:cstheme="minorHAnsi"/>
          <w:sz w:val="22"/>
          <w:szCs w:val="22"/>
        </w:rPr>
        <w:t xml:space="preserve">Title 26 USC 6109 requires inclusion of identifying numbers in returns, statements, or other documents for securing proper identification of persons required to make such returns, </w:t>
      </w:r>
      <w:r w:rsidRPr="00F055B3">
        <w:rPr>
          <w:rFonts w:asciiTheme="minorHAnsi" w:hAnsiTheme="minorHAnsi" w:cstheme="minorHAnsi"/>
          <w:sz w:val="22"/>
          <w:szCs w:val="22"/>
        </w:rPr>
        <w:t>statements, or documents and is the authority for social security numbers (SSNs) in IRS systems.</w:t>
      </w:r>
    </w:p>
    <w:p w:rsidR="00225C70" w14:paraId="7D95389E" w14:textId="77777777">
      <w:pPr>
        <w:ind w:left="720"/>
        <w:rPr>
          <w:rFonts w:ascii="Arial" w:hAnsi="Arial" w:cs="Arial"/>
        </w:rPr>
      </w:pPr>
    </w:p>
    <w:p w:rsidR="00225C70" w:rsidRPr="00F055B3" w14:paraId="60AA0F7D" w14:textId="77777777">
      <w:pPr>
        <w:pStyle w:val="Level1"/>
        <w:numPr>
          <w:ilvl w:val="0"/>
          <w:numId w:val="4"/>
        </w:numPr>
        <w:tabs>
          <w:tab w:val="left" w:pos="-1440"/>
          <w:tab w:val="num" w:pos="720"/>
        </w:tabs>
        <w:rPr>
          <w:rFonts w:asciiTheme="minorHAnsi" w:hAnsiTheme="minorHAnsi" w:cstheme="minorHAnsi"/>
          <w:sz w:val="22"/>
          <w:szCs w:val="22"/>
        </w:rPr>
      </w:pPr>
      <w:r w:rsidRPr="00F055B3">
        <w:rPr>
          <w:rFonts w:asciiTheme="minorHAnsi" w:hAnsiTheme="minorHAnsi" w:cstheme="minorHAnsi"/>
          <w:sz w:val="22"/>
          <w:szCs w:val="22"/>
          <w:u w:val="single"/>
        </w:rPr>
        <w:t>ESTIMATED BURDEN OF INFORMATION COLLECTION</w:t>
      </w:r>
    </w:p>
    <w:p w:rsidR="00225C70" w:rsidRPr="00F055B3" w14:paraId="7721259E" w14:textId="77777777">
      <w:pPr>
        <w:rPr>
          <w:rFonts w:asciiTheme="minorHAnsi" w:hAnsiTheme="minorHAnsi" w:cstheme="minorHAnsi"/>
          <w:sz w:val="22"/>
          <w:szCs w:val="22"/>
        </w:rPr>
      </w:pPr>
    </w:p>
    <w:p w:rsidR="00F055B3" w:rsidRPr="00F055B3" w:rsidP="00F055B3" w14:paraId="0FBD4B42" w14:textId="77777777">
      <w:pPr>
        <w:ind w:firstLine="720"/>
        <w:rPr>
          <w:rFonts w:asciiTheme="minorHAnsi" w:hAnsiTheme="minorHAnsi" w:cstheme="minorHAnsi"/>
          <w:sz w:val="22"/>
          <w:szCs w:val="22"/>
        </w:rPr>
      </w:pPr>
      <w:r w:rsidRPr="00F055B3">
        <w:rPr>
          <w:rFonts w:asciiTheme="minorHAnsi" w:hAnsiTheme="minorHAnsi" w:cstheme="minorHAnsi"/>
          <w:sz w:val="22"/>
          <w:szCs w:val="22"/>
        </w:rPr>
        <w:t xml:space="preserve">The total burden for this submission is 38,836 hours with 12,733 responses. </w:t>
      </w:r>
    </w:p>
    <w:p w:rsidR="00F055B3" w:rsidRPr="00F055B3" w:rsidP="00F055B3" w14:paraId="6BFCCCC9" w14:textId="77777777">
      <w:pPr>
        <w:rPr>
          <w:rFonts w:asciiTheme="minorHAnsi" w:hAnsiTheme="minorHAnsi" w:cstheme="minorHAnsi"/>
          <w:b/>
          <w:sz w:val="22"/>
          <w:szCs w:val="22"/>
        </w:rPr>
      </w:pPr>
    </w:p>
    <w:tbl>
      <w:tblPr>
        <w:tblStyle w:val="TableGrid"/>
        <w:tblW w:w="8887" w:type="dxa"/>
        <w:tblInd w:w="715" w:type="dxa"/>
        <w:tblLook w:val="04A0"/>
      </w:tblPr>
      <w:tblGrid>
        <w:gridCol w:w="1314"/>
        <w:gridCol w:w="1655"/>
        <w:gridCol w:w="1201"/>
        <w:gridCol w:w="1117"/>
        <w:gridCol w:w="1170"/>
        <w:gridCol w:w="1080"/>
        <w:gridCol w:w="1350"/>
      </w:tblGrid>
      <w:tr w14:paraId="2C3F92DC" w14:textId="77777777" w:rsidTr="008308B7">
        <w:tblPrEx>
          <w:tblW w:w="8887" w:type="dxa"/>
          <w:tblInd w:w="715" w:type="dxa"/>
          <w:tblLook w:val="04A0"/>
        </w:tblPrEx>
        <w:tc>
          <w:tcPr>
            <w:tcW w:w="1314" w:type="dxa"/>
            <w:vAlign w:val="center"/>
          </w:tcPr>
          <w:p w:rsidR="00F055B3" w:rsidRPr="00970E8A" w:rsidP="008308B7" w14:paraId="5C49227E" w14:textId="77777777">
            <w:pPr>
              <w:jc w:val="center"/>
              <w:rPr>
                <w:rFonts w:ascii="Arial Narrow" w:hAnsi="Arial Narrow" w:cs="Arial"/>
                <w:b/>
                <w:sz w:val="20"/>
                <w:szCs w:val="20"/>
              </w:rPr>
            </w:pPr>
            <w:r w:rsidRPr="00970E8A">
              <w:rPr>
                <w:rFonts w:ascii="Arial Narrow" w:hAnsi="Arial Narrow" w:cs="Arial"/>
                <w:b/>
                <w:sz w:val="20"/>
                <w:szCs w:val="20"/>
              </w:rPr>
              <w:t>Authority</w:t>
            </w:r>
          </w:p>
        </w:tc>
        <w:tc>
          <w:tcPr>
            <w:tcW w:w="1655" w:type="dxa"/>
            <w:vAlign w:val="center"/>
          </w:tcPr>
          <w:p w:rsidR="00F055B3" w:rsidRPr="00970E8A" w:rsidP="008308B7" w14:paraId="7CBD3621" w14:textId="77777777">
            <w:pPr>
              <w:jc w:val="center"/>
              <w:rPr>
                <w:rFonts w:ascii="Arial Narrow" w:hAnsi="Arial Narrow" w:cs="Arial"/>
                <w:b/>
                <w:sz w:val="20"/>
                <w:szCs w:val="20"/>
              </w:rPr>
            </w:pPr>
            <w:r w:rsidRPr="00970E8A">
              <w:rPr>
                <w:rFonts w:ascii="Arial Narrow" w:hAnsi="Arial Narrow" w:cs="Arial"/>
                <w:b/>
                <w:sz w:val="20"/>
                <w:szCs w:val="20"/>
              </w:rPr>
              <w:t>Type of Request</w:t>
            </w:r>
          </w:p>
        </w:tc>
        <w:tc>
          <w:tcPr>
            <w:tcW w:w="1201" w:type="dxa"/>
            <w:vAlign w:val="center"/>
          </w:tcPr>
          <w:p w:rsidR="00F055B3" w:rsidRPr="00970E8A" w:rsidP="008308B7" w14:paraId="01D28195" w14:textId="77777777">
            <w:pPr>
              <w:jc w:val="center"/>
              <w:rPr>
                <w:rFonts w:ascii="Arial Narrow" w:hAnsi="Arial Narrow" w:cs="Arial"/>
                <w:b/>
                <w:sz w:val="20"/>
                <w:szCs w:val="20"/>
              </w:rPr>
            </w:pPr>
            <w:r w:rsidRPr="00970E8A">
              <w:rPr>
                <w:rFonts w:ascii="Arial Narrow" w:hAnsi="Arial Narrow" w:cs="Arial"/>
                <w:b/>
                <w:sz w:val="20"/>
                <w:szCs w:val="20"/>
              </w:rPr>
              <w:t>Number of respondents</w:t>
            </w:r>
          </w:p>
        </w:tc>
        <w:tc>
          <w:tcPr>
            <w:tcW w:w="1117" w:type="dxa"/>
            <w:vAlign w:val="center"/>
          </w:tcPr>
          <w:p w:rsidR="00F055B3" w:rsidRPr="00970E8A" w:rsidP="008308B7" w14:paraId="03C1F2B2" w14:textId="77777777">
            <w:pPr>
              <w:jc w:val="center"/>
              <w:rPr>
                <w:rFonts w:ascii="Arial Narrow" w:hAnsi="Arial Narrow" w:cs="Arial"/>
                <w:b/>
                <w:sz w:val="20"/>
                <w:szCs w:val="20"/>
              </w:rPr>
            </w:pPr>
            <w:r w:rsidRPr="00970E8A">
              <w:rPr>
                <w:rFonts w:ascii="Arial Narrow" w:hAnsi="Arial Narrow" w:cs="Arial"/>
                <w:b/>
                <w:sz w:val="20"/>
                <w:szCs w:val="20"/>
              </w:rPr>
              <w:t>Responses per year</w:t>
            </w:r>
          </w:p>
        </w:tc>
        <w:tc>
          <w:tcPr>
            <w:tcW w:w="1170" w:type="dxa"/>
            <w:vAlign w:val="center"/>
          </w:tcPr>
          <w:p w:rsidR="00F055B3" w:rsidRPr="00970E8A" w:rsidP="008308B7" w14:paraId="428847AB" w14:textId="77777777">
            <w:pPr>
              <w:jc w:val="center"/>
              <w:rPr>
                <w:rFonts w:ascii="Arial Narrow" w:hAnsi="Arial Narrow" w:cs="Arial"/>
                <w:b/>
                <w:sz w:val="20"/>
                <w:szCs w:val="20"/>
              </w:rPr>
            </w:pPr>
            <w:r w:rsidRPr="00970E8A">
              <w:rPr>
                <w:rFonts w:ascii="Arial Narrow" w:hAnsi="Arial Narrow" w:cs="Arial"/>
                <w:b/>
                <w:sz w:val="20"/>
                <w:szCs w:val="20"/>
              </w:rPr>
              <w:t xml:space="preserve">Number of </w:t>
            </w:r>
            <w:r>
              <w:rPr>
                <w:rFonts w:ascii="Arial Narrow" w:hAnsi="Arial Narrow" w:cs="Arial"/>
                <w:b/>
                <w:sz w:val="20"/>
                <w:szCs w:val="20"/>
              </w:rPr>
              <w:t>r</w:t>
            </w:r>
            <w:r w:rsidRPr="00970E8A">
              <w:rPr>
                <w:rFonts w:ascii="Arial Narrow" w:hAnsi="Arial Narrow" w:cs="Arial"/>
                <w:b/>
                <w:sz w:val="20"/>
                <w:szCs w:val="20"/>
              </w:rPr>
              <w:t>esponses</w:t>
            </w:r>
          </w:p>
        </w:tc>
        <w:tc>
          <w:tcPr>
            <w:tcW w:w="1080" w:type="dxa"/>
            <w:vAlign w:val="center"/>
          </w:tcPr>
          <w:p w:rsidR="00F055B3" w:rsidRPr="00970E8A" w:rsidP="008308B7" w14:paraId="01325404" w14:textId="77777777">
            <w:pPr>
              <w:jc w:val="center"/>
              <w:rPr>
                <w:rFonts w:ascii="Arial Narrow" w:hAnsi="Arial Narrow" w:cs="Arial"/>
                <w:b/>
                <w:sz w:val="20"/>
                <w:szCs w:val="20"/>
              </w:rPr>
            </w:pPr>
            <w:r w:rsidRPr="00970E8A">
              <w:rPr>
                <w:rFonts w:ascii="Arial Narrow" w:hAnsi="Arial Narrow" w:cs="Arial"/>
                <w:b/>
                <w:sz w:val="20"/>
                <w:szCs w:val="20"/>
              </w:rPr>
              <w:t xml:space="preserve">Hours per </w:t>
            </w:r>
            <w:r>
              <w:rPr>
                <w:rFonts w:ascii="Arial Narrow" w:hAnsi="Arial Narrow" w:cs="Arial"/>
                <w:b/>
                <w:sz w:val="20"/>
                <w:szCs w:val="20"/>
              </w:rPr>
              <w:t>r</w:t>
            </w:r>
            <w:r w:rsidRPr="00970E8A">
              <w:rPr>
                <w:rFonts w:ascii="Arial Narrow" w:hAnsi="Arial Narrow" w:cs="Arial"/>
                <w:b/>
                <w:sz w:val="20"/>
                <w:szCs w:val="20"/>
              </w:rPr>
              <w:t>esponse</w:t>
            </w:r>
          </w:p>
        </w:tc>
        <w:tc>
          <w:tcPr>
            <w:tcW w:w="1350" w:type="dxa"/>
            <w:vAlign w:val="center"/>
          </w:tcPr>
          <w:p w:rsidR="00F055B3" w:rsidRPr="00970E8A" w:rsidP="008308B7" w14:paraId="02CDCD09" w14:textId="77777777">
            <w:pPr>
              <w:jc w:val="center"/>
              <w:rPr>
                <w:rFonts w:ascii="Arial Narrow" w:hAnsi="Arial Narrow" w:cs="Arial"/>
                <w:b/>
                <w:sz w:val="20"/>
                <w:szCs w:val="20"/>
              </w:rPr>
            </w:pPr>
            <w:r w:rsidRPr="00970E8A">
              <w:rPr>
                <w:rFonts w:ascii="Arial Narrow" w:hAnsi="Arial Narrow" w:cs="Arial"/>
                <w:b/>
                <w:sz w:val="20"/>
                <w:szCs w:val="20"/>
              </w:rPr>
              <w:t>Burden Hours</w:t>
            </w:r>
          </w:p>
        </w:tc>
      </w:tr>
      <w:tr w14:paraId="477274C2" w14:textId="77777777" w:rsidTr="008308B7">
        <w:tblPrEx>
          <w:tblW w:w="8887" w:type="dxa"/>
          <w:tblInd w:w="715" w:type="dxa"/>
          <w:tblLook w:val="04A0"/>
        </w:tblPrEx>
        <w:tc>
          <w:tcPr>
            <w:tcW w:w="1314" w:type="dxa"/>
          </w:tcPr>
          <w:p w:rsidR="00F055B3" w:rsidRPr="00970E8A" w:rsidP="008308B7" w14:paraId="1DF1D6EE" w14:textId="4E9E764E">
            <w:pPr>
              <w:rPr>
                <w:rFonts w:ascii="Arial Narrow" w:hAnsi="Arial Narrow" w:cs="Arial"/>
                <w:i/>
                <w:sz w:val="20"/>
                <w:szCs w:val="20"/>
              </w:rPr>
            </w:pPr>
            <w:r w:rsidRPr="00970E8A">
              <w:rPr>
                <w:rFonts w:ascii="Arial Narrow" w:hAnsi="Arial Narrow" w:cs="Arial"/>
                <w:sz w:val="20"/>
                <w:szCs w:val="20"/>
              </w:rPr>
              <w:t>601.201(</w:t>
            </w:r>
            <w:r>
              <w:rPr>
                <w:rFonts w:ascii="Arial Narrow" w:hAnsi="Arial Narrow" w:cs="Arial"/>
                <w:sz w:val="20"/>
                <w:szCs w:val="20"/>
              </w:rPr>
              <w:t>b</w:t>
            </w:r>
            <w:r w:rsidRPr="00970E8A">
              <w:rPr>
                <w:rFonts w:ascii="Arial Narrow" w:hAnsi="Arial Narrow" w:cs="Arial"/>
                <w:sz w:val="20"/>
                <w:szCs w:val="20"/>
              </w:rPr>
              <w:t>)(1)</w:t>
            </w:r>
          </w:p>
        </w:tc>
        <w:tc>
          <w:tcPr>
            <w:tcW w:w="1655" w:type="dxa"/>
          </w:tcPr>
          <w:p w:rsidR="00F055B3" w:rsidP="008308B7" w14:paraId="3B4C9AC7" w14:textId="77777777">
            <w:pPr>
              <w:jc w:val="center"/>
              <w:rPr>
                <w:rFonts w:ascii="Arial Narrow" w:hAnsi="Arial Narrow" w:cs="Arial"/>
                <w:sz w:val="20"/>
                <w:szCs w:val="20"/>
              </w:rPr>
            </w:pPr>
            <w:r>
              <w:rPr>
                <w:rFonts w:ascii="Arial Narrow" w:hAnsi="Arial Narrow" w:cs="Arial"/>
                <w:sz w:val="20"/>
                <w:szCs w:val="20"/>
              </w:rPr>
              <w:t>Form 15662</w:t>
            </w:r>
          </w:p>
          <w:p w:rsidR="00F055B3" w:rsidRPr="00970E8A" w:rsidP="008308B7" w14:paraId="61CF1AD9" w14:textId="76B5E62F">
            <w:pPr>
              <w:jc w:val="center"/>
              <w:rPr>
                <w:rFonts w:ascii="Arial Narrow" w:hAnsi="Arial Narrow" w:cs="Arial"/>
                <w:sz w:val="20"/>
                <w:szCs w:val="20"/>
              </w:rPr>
            </w:pPr>
            <w:r w:rsidRPr="00970E8A">
              <w:rPr>
                <w:rFonts w:ascii="Arial Narrow" w:hAnsi="Arial Narrow" w:cs="Arial"/>
                <w:sz w:val="20"/>
                <w:szCs w:val="20"/>
              </w:rPr>
              <w:t>Letter Ruling</w:t>
            </w:r>
          </w:p>
        </w:tc>
        <w:tc>
          <w:tcPr>
            <w:tcW w:w="1201" w:type="dxa"/>
          </w:tcPr>
          <w:p w:rsidR="00F055B3" w:rsidRPr="00970E8A" w:rsidP="008308B7" w14:paraId="6145E9BC" w14:textId="77777777">
            <w:pPr>
              <w:jc w:val="center"/>
              <w:rPr>
                <w:rFonts w:ascii="Arial Narrow" w:hAnsi="Arial Narrow" w:cs="Arial"/>
                <w:sz w:val="20"/>
                <w:szCs w:val="20"/>
              </w:rPr>
            </w:pPr>
            <w:r w:rsidRPr="00970E8A">
              <w:rPr>
                <w:rFonts w:ascii="Arial Narrow" w:hAnsi="Arial Narrow" w:cs="Arial"/>
                <w:sz w:val="20"/>
                <w:szCs w:val="20"/>
              </w:rPr>
              <w:t>128</w:t>
            </w:r>
          </w:p>
        </w:tc>
        <w:tc>
          <w:tcPr>
            <w:tcW w:w="1117" w:type="dxa"/>
          </w:tcPr>
          <w:p w:rsidR="00F055B3" w:rsidRPr="00970E8A" w:rsidP="008308B7" w14:paraId="5224ACDC" w14:textId="77777777">
            <w:pPr>
              <w:jc w:val="center"/>
              <w:rPr>
                <w:rFonts w:ascii="Arial Narrow" w:hAnsi="Arial Narrow" w:cs="Arial"/>
                <w:sz w:val="20"/>
                <w:szCs w:val="20"/>
              </w:rPr>
            </w:pPr>
            <w:r w:rsidRPr="00970E8A">
              <w:rPr>
                <w:rFonts w:ascii="Arial Narrow" w:hAnsi="Arial Narrow" w:cs="Arial"/>
                <w:sz w:val="20"/>
                <w:szCs w:val="20"/>
              </w:rPr>
              <w:t>1</w:t>
            </w:r>
          </w:p>
        </w:tc>
        <w:tc>
          <w:tcPr>
            <w:tcW w:w="1170" w:type="dxa"/>
          </w:tcPr>
          <w:p w:rsidR="00F055B3" w:rsidRPr="00970E8A" w:rsidP="008308B7" w14:paraId="64084C69" w14:textId="77777777">
            <w:pPr>
              <w:jc w:val="center"/>
              <w:rPr>
                <w:rFonts w:ascii="Arial Narrow" w:hAnsi="Arial Narrow" w:cs="Arial"/>
                <w:sz w:val="20"/>
                <w:szCs w:val="20"/>
              </w:rPr>
            </w:pPr>
            <w:r w:rsidRPr="00970E8A">
              <w:rPr>
                <w:rFonts w:ascii="Arial Narrow" w:hAnsi="Arial Narrow" w:cs="Arial"/>
                <w:sz w:val="20"/>
                <w:szCs w:val="20"/>
              </w:rPr>
              <w:t>128</w:t>
            </w:r>
          </w:p>
        </w:tc>
        <w:tc>
          <w:tcPr>
            <w:tcW w:w="1080" w:type="dxa"/>
          </w:tcPr>
          <w:p w:rsidR="00F055B3" w:rsidRPr="00970E8A" w:rsidP="008308B7" w14:paraId="2D6845D7" w14:textId="77777777">
            <w:pPr>
              <w:jc w:val="center"/>
              <w:rPr>
                <w:rFonts w:ascii="Arial Narrow" w:hAnsi="Arial Narrow" w:cs="Arial"/>
                <w:sz w:val="20"/>
                <w:szCs w:val="20"/>
              </w:rPr>
            </w:pPr>
            <w:r w:rsidRPr="00970E8A">
              <w:rPr>
                <w:rFonts w:ascii="Arial Narrow" w:hAnsi="Arial Narrow" w:cs="Arial"/>
                <w:sz w:val="20"/>
                <w:szCs w:val="20"/>
              </w:rPr>
              <w:t>6.01</w:t>
            </w:r>
          </w:p>
        </w:tc>
        <w:tc>
          <w:tcPr>
            <w:tcW w:w="1350" w:type="dxa"/>
          </w:tcPr>
          <w:p w:rsidR="00F055B3" w:rsidRPr="00970E8A" w:rsidP="008308B7" w14:paraId="144C1FF3" w14:textId="77777777">
            <w:pPr>
              <w:jc w:val="center"/>
              <w:rPr>
                <w:rFonts w:ascii="Arial Narrow" w:hAnsi="Arial Narrow" w:cs="Arial"/>
                <w:sz w:val="20"/>
                <w:szCs w:val="20"/>
              </w:rPr>
            </w:pPr>
            <w:r w:rsidRPr="00970E8A">
              <w:rPr>
                <w:rFonts w:ascii="Arial Narrow" w:hAnsi="Arial Narrow" w:cs="Arial"/>
                <w:sz w:val="20"/>
                <w:szCs w:val="20"/>
              </w:rPr>
              <w:t>769</w:t>
            </w:r>
          </w:p>
        </w:tc>
      </w:tr>
      <w:tr w14:paraId="37DF8BB7" w14:textId="77777777" w:rsidTr="008308B7">
        <w:tblPrEx>
          <w:tblW w:w="8887" w:type="dxa"/>
          <w:tblInd w:w="715" w:type="dxa"/>
          <w:tblLook w:val="04A0"/>
        </w:tblPrEx>
        <w:tc>
          <w:tcPr>
            <w:tcW w:w="1314" w:type="dxa"/>
          </w:tcPr>
          <w:p w:rsidR="00F055B3" w:rsidRPr="00970E8A" w:rsidP="008308B7" w14:paraId="0CF61B42" w14:textId="77777777">
            <w:pPr>
              <w:rPr>
                <w:rFonts w:ascii="Arial Narrow" w:hAnsi="Arial Narrow" w:cs="Arial"/>
                <w:i/>
                <w:sz w:val="20"/>
                <w:szCs w:val="20"/>
              </w:rPr>
            </w:pPr>
            <w:r w:rsidRPr="00970E8A">
              <w:rPr>
                <w:rFonts w:ascii="Arial Narrow" w:hAnsi="Arial Narrow" w:cs="Arial"/>
                <w:sz w:val="20"/>
                <w:szCs w:val="20"/>
              </w:rPr>
              <w:t>601.201(a)(1)</w:t>
            </w:r>
          </w:p>
        </w:tc>
        <w:tc>
          <w:tcPr>
            <w:tcW w:w="1655" w:type="dxa"/>
          </w:tcPr>
          <w:p w:rsidR="00F055B3" w:rsidRPr="00970E8A" w:rsidP="008308B7" w14:paraId="58807237" w14:textId="77777777">
            <w:pPr>
              <w:jc w:val="center"/>
              <w:rPr>
                <w:rFonts w:ascii="Arial Narrow" w:hAnsi="Arial Narrow" w:cs="Arial"/>
                <w:sz w:val="20"/>
                <w:szCs w:val="20"/>
              </w:rPr>
            </w:pPr>
            <w:r w:rsidRPr="00970E8A">
              <w:rPr>
                <w:rFonts w:ascii="Arial Narrow" w:hAnsi="Arial Narrow" w:cs="Arial"/>
                <w:sz w:val="20"/>
                <w:szCs w:val="20"/>
              </w:rPr>
              <w:t>Determination letter</w:t>
            </w:r>
          </w:p>
        </w:tc>
        <w:tc>
          <w:tcPr>
            <w:tcW w:w="1201" w:type="dxa"/>
          </w:tcPr>
          <w:p w:rsidR="00F055B3" w:rsidRPr="00970E8A" w:rsidP="008308B7" w14:paraId="52AA8D82" w14:textId="77777777">
            <w:pPr>
              <w:jc w:val="center"/>
              <w:rPr>
                <w:rFonts w:ascii="Arial Narrow" w:hAnsi="Arial Narrow" w:cs="Arial"/>
                <w:sz w:val="20"/>
                <w:szCs w:val="20"/>
              </w:rPr>
            </w:pPr>
            <w:r>
              <w:rPr>
                <w:rFonts w:ascii="Arial Narrow" w:hAnsi="Arial Narrow" w:cs="Arial"/>
                <w:sz w:val="20"/>
                <w:szCs w:val="20"/>
              </w:rPr>
              <w:t>12,605</w:t>
            </w:r>
          </w:p>
        </w:tc>
        <w:tc>
          <w:tcPr>
            <w:tcW w:w="1117" w:type="dxa"/>
          </w:tcPr>
          <w:p w:rsidR="00F055B3" w:rsidRPr="00970E8A" w:rsidP="008308B7" w14:paraId="740392C9" w14:textId="77777777">
            <w:pPr>
              <w:jc w:val="center"/>
              <w:rPr>
                <w:rFonts w:ascii="Arial Narrow" w:hAnsi="Arial Narrow" w:cs="Arial"/>
                <w:sz w:val="20"/>
                <w:szCs w:val="20"/>
              </w:rPr>
            </w:pPr>
            <w:r w:rsidRPr="00970E8A">
              <w:rPr>
                <w:rFonts w:ascii="Arial Narrow" w:hAnsi="Arial Narrow" w:cs="Arial"/>
                <w:sz w:val="20"/>
                <w:szCs w:val="20"/>
              </w:rPr>
              <w:t>1</w:t>
            </w:r>
          </w:p>
        </w:tc>
        <w:tc>
          <w:tcPr>
            <w:tcW w:w="1170" w:type="dxa"/>
          </w:tcPr>
          <w:p w:rsidR="00F055B3" w:rsidRPr="00970E8A" w:rsidP="008308B7" w14:paraId="48230BB3" w14:textId="77777777">
            <w:pPr>
              <w:jc w:val="center"/>
              <w:rPr>
                <w:rFonts w:ascii="Arial Narrow" w:hAnsi="Arial Narrow" w:cs="Arial"/>
                <w:sz w:val="20"/>
                <w:szCs w:val="20"/>
              </w:rPr>
            </w:pPr>
            <w:r>
              <w:rPr>
                <w:rFonts w:ascii="Arial Narrow" w:hAnsi="Arial Narrow" w:cs="Arial"/>
                <w:sz w:val="20"/>
                <w:szCs w:val="20"/>
              </w:rPr>
              <w:t>12</w:t>
            </w:r>
            <w:r w:rsidRPr="00970E8A">
              <w:rPr>
                <w:rFonts w:ascii="Arial Narrow" w:hAnsi="Arial Narrow" w:cs="Arial"/>
                <w:sz w:val="20"/>
                <w:szCs w:val="20"/>
              </w:rPr>
              <w:t>,605</w:t>
            </w:r>
          </w:p>
        </w:tc>
        <w:tc>
          <w:tcPr>
            <w:tcW w:w="1080" w:type="dxa"/>
          </w:tcPr>
          <w:p w:rsidR="00F055B3" w:rsidRPr="00970E8A" w:rsidP="008308B7" w14:paraId="0384B46A" w14:textId="77777777">
            <w:pPr>
              <w:jc w:val="center"/>
              <w:rPr>
                <w:rFonts w:ascii="Arial Narrow" w:hAnsi="Arial Narrow" w:cs="Arial"/>
                <w:sz w:val="20"/>
                <w:szCs w:val="20"/>
              </w:rPr>
            </w:pPr>
            <w:r>
              <w:rPr>
                <w:rFonts w:ascii="Arial Narrow" w:hAnsi="Arial Narrow" w:cs="Arial"/>
                <w:sz w:val="20"/>
                <w:szCs w:val="20"/>
              </w:rPr>
              <w:t>3</w:t>
            </w:r>
            <w:r w:rsidRPr="00970E8A">
              <w:rPr>
                <w:rFonts w:ascii="Arial Narrow" w:hAnsi="Arial Narrow" w:cs="Arial"/>
                <w:sz w:val="20"/>
                <w:szCs w:val="20"/>
              </w:rPr>
              <w:t>.02</w:t>
            </w:r>
          </w:p>
        </w:tc>
        <w:tc>
          <w:tcPr>
            <w:tcW w:w="1350" w:type="dxa"/>
          </w:tcPr>
          <w:p w:rsidR="00F055B3" w:rsidRPr="00970E8A" w:rsidP="008308B7" w14:paraId="1509E694" w14:textId="77777777">
            <w:pPr>
              <w:jc w:val="center"/>
              <w:rPr>
                <w:rFonts w:ascii="Arial Narrow" w:hAnsi="Arial Narrow" w:cs="Arial"/>
                <w:sz w:val="20"/>
                <w:szCs w:val="20"/>
              </w:rPr>
            </w:pPr>
            <w:r w:rsidRPr="00970E8A">
              <w:rPr>
                <w:rFonts w:ascii="Arial Narrow" w:hAnsi="Arial Narrow" w:cs="Arial"/>
                <w:sz w:val="20"/>
                <w:szCs w:val="20"/>
              </w:rPr>
              <w:t>38,067</w:t>
            </w:r>
          </w:p>
        </w:tc>
      </w:tr>
      <w:tr w14:paraId="73313588" w14:textId="77777777" w:rsidTr="008308B7">
        <w:tblPrEx>
          <w:tblW w:w="8887" w:type="dxa"/>
          <w:tblInd w:w="715" w:type="dxa"/>
          <w:tblLook w:val="04A0"/>
        </w:tblPrEx>
        <w:tc>
          <w:tcPr>
            <w:tcW w:w="1314" w:type="dxa"/>
          </w:tcPr>
          <w:p w:rsidR="00F055B3" w:rsidRPr="00970E8A" w:rsidP="008308B7" w14:paraId="15FFBE0E" w14:textId="77777777">
            <w:pPr>
              <w:rPr>
                <w:rFonts w:ascii="Arial Narrow" w:hAnsi="Arial Narrow" w:cs="Arial"/>
                <w:b/>
                <w:i/>
                <w:sz w:val="20"/>
                <w:szCs w:val="20"/>
              </w:rPr>
            </w:pPr>
          </w:p>
        </w:tc>
        <w:tc>
          <w:tcPr>
            <w:tcW w:w="1655" w:type="dxa"/>
          </w:tcPr>
          <w:p w:rsidR="00F055B3" w:rsidRPr="00970E8A" w:rsidP="008308B7" w14:paraId="0F2AD902" w14:textId="77777777">
            <w:pPr>
              <w:rPr>
                <w:rFonts w:ascii="Arial Narrow" w:hAnsi="Arial Narrow" w:cs="Arial"/>
                <w:b/>
                <w:sz w:val="20"/>
                <w:szCs w:val="20"/>
              </w:rPr>
            </w:pPr>
            <w:r w:rsidRPr="00970E8A">
              <w:rPr>
                <w:rFonts w:ascii="Arial Narrow" w:hAnsi="Arial Narrow" w:cs="Arial"/>
                <w:b/>
                <w:sz w:val="20"/>
                <w:szCs w:val="20"/>
              </w:rPr>
              <w:t>Total</w:t>
            </w:r>
          </w:p>
        </w:tc>
        <w:tc>
          <w:tcPr>
            <w:tcW w:w="1201" w:type="dxa"/>
          </w:tcPr>
          <w:p w:rsidR="00F055B3" w:rsidRPr="00970E8A" w:rsidP="008308B7" w14:paraId="79D3E4DC" w14:textId="77777777">
            <w:pPr>
              <w:jc w:val="center"/>
              <w:rPr>
                <w:rFonts w:ascii="Arial Narrow" w:hAnsi="Arial Narrow" w:cs="Arial"/>
                <w:b/>
                <w:sz w:val="20"/>
                <w:szCs w:val="20"/>
              </w:rPr>
            </w:pPr>
          </w:p>
        </w:tc>
        <w:tc>
          <w:tcPr>
            <w:tcW w:w="1117" w:type="dxa"/>
          </w:tcPr>
          <w:p w:rsidR="00F055B3" w:rsidRPr="00970E8A" w:rsidP="008308B7" w14:paraId="50FFC288" w14:textId="77777777">
            <w:pPr>
              <w:jc w:val="center"/>
              <w:rPr>
                <w:rFonts w:ascii="Arial Narrow" w:hAnsi="Arial Narrow" w:cs="Arial"/>
                <w:b/>
                <w:sz w:val="20"/>
                <w:szCs w:val="20"/>
              </w:rPr>
            </w:pPr>
          </w:p>
        </w:tc>
        <w:tc>
          <w:tcPr>
            <w:tcW w:w="1170" w:type="dxa"/>
          </w:tcPr>
          <w:p w:rsidR="00F055B3" w:rsidRPr="00970E8A" w:rsidP="008308B7" w14:paraId="7ED6C9EC" w14:textId="77777777">
            <w:pPr>
              <w:jc w:val="center"/>
              <w:rPr>
                <w:rFonts w:ascii="Arial Narrow" w:hAnsi="Arial Narrow" w:cs="Arial"/>
                <w:b/>
                <w:sz w:val="20"/>
                <w:szCs w:val="20"/>
              </w:rPr>
            </w:pPr>
            <w:r>
              <w:rPr>
                <w:rFonts w:ascii="Arial Narrow" w:hAnsi="Arial Narrow" w:cs="Arial"/>
                <w:b/>
                <w:sz w:val="20"/>
                <w:szCs w:val="20"/>
              </w:rPr>
              <w:t>12</w:t>
            </w:r>
            <w:r w:rsidRPr="00970E8A">
              <w:rPr>
                <w:rFonts w:ascii="Arial Narrow" w:hAnsi="Arial Narrow" w:cs="Arial"/>
                <w:b/>
                <w:sz w:val="20"/>
                <w:szCs w:val="20"/>
              </w:rPr>
              <w:t>,733</w:t>
            </w:r>
          </w:p>
        </w:tc>
        <w:tc>
          <w:tcPr>
            <w:tcW w:w="1080" w:type="dxa"/>
          </w:tcPr>
          <w:p w:rsidR="00F055B3" w:rsidRPr="00970E8A" w:rsidP="008308B7" w14:paraId="110D5FDE" w14:textId="77777777">
            <w:pPr>
              <w:jc w:val="center"/>
              <w:rPr>
                <w:rFonts w:ascii="Arial Narrow" w:hAnsi="Arial Narrow" w:cs="Arial"/>
                <w:b/>
                <w:sz w:val="20"/>
                <w:szCs w:val="20"/>
              </w:rPr>
            </w:pPr>
          </w:p>
        </w:tc>
        <w:tc>
          <w:tcPr>
            <w:tcW w:w="1350" w:type="dxa"/>
          </w:tcPr>
          <w:p w:rsidR="00F055B3" w:rsidRPr="00970E8A" w:rsidP="008308B7" w14:paraId="49238850" w14:textId="77777777">
            <w:pPr>
              <w:jc w:val="center"/>
              <w:rPr>
                <w:rFonts w:ascii="Arial Narrow" w:hAnsi="Arial Narrow" w:cs="Arial"/>
                <w:b/>
                <w:sz w:val="20"/>
                <w:szCs w:val="20"/>
              </w:rPr>
            </w:pPr>
            <w:r>
              <w:rPr>
                <w:rFonts w:ascii="Arial Narrow" w:hAnsi="Arial Narrow" w:cs="Arial"/>
                <w:b/>
                <w:sz w:val="20"/>
                <w:szCs w:val="20"/>
              </w:rPr>
              <w:t>38,836</w:t>
            </w:r>
          </w:p>
        </w:tc>
      </w:tr>
    </w:tbl>
    <w:p w:rsidR="00F055B3" w:rsidRPr="00F055B3" w:rsidP="00F055B3" w14:paraId="57C6263F" w14:textId="77777777">
      <w:pPr>
        <w:pStyle w:val="Level1"/>
        <w:keepNext/>
        <w:widowControl/>
        <w:numPr>
          <w:ilvl w:val="0"/>
          <w:numId w:val="0"/>
        </w:numPr>
        <w:tabs>
          <w:tab w:val="left" w:pos="-1440"/>
        </w:tabs>
        <w:rPr>
          <w:rFonts w:ascii="Arial" w:hAnsi="Arial" w:cs="Arial"/>
        </w:rPr>
      </w:pPr>
    </w:p>
    <w:p w:rsidR="00225C70" w:rsidRPr="00F055B3" w14:paraId="4A17CCAC" w14:textId="302D5FEF">
      <w:pPr>
        <w:pStyle w:val="Level1"/>
        <w:keepNext/>
        <w:widowControl/>
        <w:numPr>
          <w:ilvl w:val="0"/>
          <w:numId w:val="4"/>
        </w:numPr>
        <w:tabs>
          <w:tab w:val="left" w:pos="-1440"/>
          <w:tab w:val="num" w:pos="720"/>
        </w:tabs>
        <w:rPr>
          <w:rFonts w:asciiTheme="minorHAnsi" w:hAnsiTheme="minorHAnsi" w:cstheme="minorHAnsi"/>
          <w:sz w:val="22"/>
          <w:szCs w:val="22"/>
        </w:rPr>
      </w:pPr>
      <w:r w:rsidRPr="00F055B3">
        <w:rPr>
          <w:rFonts w:asciiTheme="minorHAnsi" w:hAnsiTheme="minorHAnsi" w:cstheme="minorHAnsi"/>
          <w:sz w:val="22"/>
          <w:szCs w:val="22"/>
          <w:u w:val="single"/>
        </w:rPr>
        <w:t>ESTIMATED TOTAL ANNUAL COST BURDEN TO RESPONDENTS</w:t>
      </w:r>
    </w:p>
    <w:p w:rsidR="00225C70" w:rsidRPr="00F055B3" w14:paraId="0E13C34C" w14:textId="77777777">
      <w:pPr>
        <w:keepNext/>
        <w:widowControl/>
        <w:rPr>
          <w:rFonts w:asciiTheme="minorHAnsi" w:hAnsiTheme="minorHAnsi" w:cstheme="minorHAnsi"/>
          <w:sz w:val="22"/>
          <w:szCs w:val="22"/>
        </w:rPr>
      </w:pPr>
    </w:p>
    <w:p w:rsidR="00384920" w:rsidRPr="002B43D5" w:rsidP="002B43D5" w14:paraId="225E894E" w14:textId="09388B67">
      <w:pPr>
        <w:ind w:left="720"/>
        <w:rPr>
          <w:rFonts w:asciiTheme="minorHAnsi" w:hAnsiTheme="minorHAnsi" w:cstheme="minorHAnsi"/>
          <w:sz w:val="22"/>
          <w:szCs w:val="22"/>
        </w:rPr>
      </w:pPr>
      <w:r w:rsidRPr="002B43D5">
        <w:rPr>
          <w:rFonts w:asciiTheme="minorHAnsi" w:hAnsiTheme="minorHAnsi" w:cstheme="minorHAnsi"/>
          <w:sz w:val="22"/>
          <w:szCs w:val="22"/>
        </w:rPr>
        <w:t>There is a user fee associated with requesting rulings and determination letters outlined in Rev. Proc. 2025-</w:t>
      </w:r>
      <w:r w:rsidR="00E87421">
        <w:rPr>
          <w:rFonts w:asciiTheme="minorHAnsi" w:hAnsiTheme="minorHAnsi" w:cstheme="minorHAnsi"/>
          <w:sz w:val="22"/>
          <w:szCs w:val="22"/>
        </w:rPr>
        <w:t>4</w:t>
      </w:r>
      <w:r w:rsidRPr="002B43D5">
        <w:rPr>
          <w:rFonts w:asciiTheme="minorHAnsi" w:hAnsiTheme="minorHAnsi" w:cstheme="minorHAnsi"/>
          <w:sz w:val="22"/>
          <w:szCs w:val="22"/>
        </w:rPr>
        <w:t>. The fee ranges from $0 to $</w:t>
      </w:r>
      <w:r w:rsidR="00957308">
        <w:rPr>
          <w:rFonts w:asciiTheme="minorHAnsi" w:hAnsiTheme="minorHAnsi" w:cstheme="minorHAnsi"/>
          <w:sz w:val="22"/>
          <w:szCs w:val="22"/>
        </w:rPr>
        <w:t>32,000</w:t>
      </w:r>
      <w:r w:rsidRPr="002B43D5">
        <w:rPr>
          <w:rFonts w:asciiTheme="minorHAnsi" w:hAnsiTheme="minorHAnsi" w:cstheme="minorHAnsi"/>
          <w:sz w:val="22"/>
          <w:szCs w:val="22"/>
        </w:rPr>
        <w:t>. The Secretary of the Treasury (Secretary) is to provide for exemptions and reduced fees under the program as the Secretary determines to be appropriate, but the average fee applicable to each category or subcategory must not be less than the amount specified in IRC § 7528(b)(3).</w:t>
      </w:r>
    </w:p>
    <w:p w:rsidR="00384920" w:rsidRPr="002B43D5" w:rsidP="002B43D5" w14:paraId="1FC62CEF" w14:textId="77777777">
      <w:pPr>
        <w:ind w:left="720"/>
        <w:rPr>
          <w:rFonts w:asciiTheme="minorHAnsi" w:hAnsiTheme="minorHAnsi" w:cstheme="minorHAnsi"/>
          <w:sz w:val="22"/>
          <w:szCs w:val="22"/>
        </w:rPr>
      </w:pPr>
    </w:p>
    <w:tbl>
      <w:tblPr>
        <w:tblStyle w:val="TableGrid"/>
        <w:tblW w:w="5935" w:type="dxa"/>
        <w:jc w:val="center"/>
        <w:tblLook w:val="04A0"/>
      </w:tblPr>
      <w:tblGrid>
        <w:gridCol w:w="4315"/>
        <w:gridCol w:w="1620"/>
      </w:tblGrid>
      <w:tr w14:paraId="5DC3C2D0" w14:textId="77777777" w:rsidTr="00C34AEC">
        <w:tblPrEx>
          <w:tblW w:w="5935" w:type="dxa"/>
          <w:jc w:val="center"/>
          <w:tblLook w:val="04A0"/>
        </w:tblPrEx>
        <w:trPr>
          <w:jc w:val="center"/>
        </w:trPr>
        <w:tc>
          <w:tcPr>
            <w:tcW w:w="4315" w:type="dxa"/>
            <w:hideMark/>
          </w:tcPr>
          <w:p w:rsidR="00384920" w:rsidRPr="002B43D5" w:rsidP="002B43D5" w14:paraId="10B69E20" w14:textId="77777777">
            <w:pPr>
              <w:widowControl/>
              <w:autoSpaceDE/>
              <w:autoSpaceDN/>
              <w:adjustRightInd/>
              <w:spacing w:line="300" w:lineRule="atLeast"/>
              <w:jc w:val="center"/>
              <w:rPr>
                <w:rFonts w:eastAsia="Times New Roman" w:asciiTheme="minorHAnsi" w:hAnsiTheme="minorHAnsi" w:cstheme="minorHAnsi"/>
                <w:b/>
                <w:bCs/>
                <w:sz w:val="22"/>
                <w:szCs w:val="22"/>
              </w:rPr>
            </w:pPr>
            <w:r w:rsidRPr="002B43D5">
              <w:rPr>
                <w:rFonts w:eastAsia="Times New Roman" w:asciiTheme="minorHAnsi" w:hAnsiTheme="minorHAnsi" w:cstheme="minorHAnsi"/>
                <w:b/>
                <w:bCs/>
                <w:sz w:val="22"/>
                <w:szCs w:val="22"/>
              </w:rPr>
              <w:t>Category</w:t>
            </w:r>
          </w:p>
        </w:tc>
        <w:tc>
          <w:tcPr>
            <w:tcW w:w="1620" w:type="dxa"/>
            <w:hideMark/>
          </w:tcPr>
          <w:p w:rsidR="00384920" w:rsidRPr="002B43D5" w:rsidP="002B43D5" w14:paraId="48DCE82C" w14:textId="77777777">
            <w:pPr>
              <w:widowControl/>
              <w:autoSpaceDE/>
              <w:autoSpaceDN/>
              <w:adjustRightInd/>
              <w:spacing w:line="300" w:lineRule="atLeast"/>
              <w:jc w:val="center"/>
              <w:rPr>
                <w:rFonts w:eastAsia="Times New Roman" w:asciiTheme="minorHAnsi" w:hAnsiTheme="minorHAnsi" w:cstheme="minorHAnsi"/>
                <w:b/>
                <w:bCs/>
                <w:sz w:val="22"/>
                <w:szCs w:val="22"/>
              </w:rPr>
            </w:pPr>
            <w:r w:rsidRPr="002B43D5">
              <w:rPr>
                <w:rFonts w:eastAsia="Times New Roman" w:asciiTheme="minorHAnsi" w:hAnsiTheme="minorHAnsi" w:cstheme="minorHAnsi"/>
                <w:b/>
                <w:bCs/>
                <w:sz w:val="22"/>
                <w:szCs w:val="22"/>
              </w:rPr>
              <w:t>Average Fee</w:t>
            </w:r>
          </w:p>
        </w:tc>
      </w:tr>
      <w:tr w14:paraId="2CDB4D0E" w14:textId="77777777" w:rsidTr="00C34AEC">
        <w:tblPrEx>
          <w:tblW w:w="5935" w:type="dxa"/>
          <w:jc w:val="center"/>
          <w:tblLook w:val="04A0"/>
        </w:tblPrEx>
        <w:trPr>
          <w:jc w:val="center"/>
        </w:trPr>
        <w:tc>
          <w:tcPr>
            <w:tcW w:w="4315" w:type="dxa"/>
            <w:hideMark/>
          </w:tcPr>
          <w:p w:rsidR="00384920" w:rsidRPr="002B43D5" w:rsidP="005E223B" w14:paraId="3A1595CE" w14:textId="77777777">
            <w:pPr>
              <w:widowControl/>
              <w:autoSpaceDE/>
              <w:autoSpaceDN/>
              <w:adjustRightInd/>
              <w:spacing w:line="300" w:lineRule="atLeast"/>
              <w:rPr>
                <w:rFonts w:eastAsia="Times New Roman" w:asciiTheme="minorHAnsi" w:hAnsiTheme="minorHAnsi" w:cstheme="minorHAnsi"/>
                <w:sz w:val="22"/>
                <w:szCs w:val="22"/>
              </w:rPr>
            </w:pPr>
            <w:r w:rsidRPr="002B43D5">
              <w:rPr>
                <w:rFonts w:eastAsia="Times New Roman" w:asciiTheme="minorHAnsi" w:hAnsiTheme="minorHAnsi" w:cstheme="minorHAnsi"/>
                <w:sz w:val="22"/>
                <w:szCs w:val="22"/>
              </w:rPr>
              <w:t>Employee plan ruling and opinion</w:t>
            </w:r>
          </w:p>
        </w:tc>
        <w:tc>
          <w:tcPr>
            <w:tcW w:w="1620" w:type="dxa"/>
            <w:hideMark/>
          </w:tcPr>
          <w:p w:rsidR="00384920" w:rsidRPr="002B43D5" w:rsidP="005E223B" w14:paraId="6920DD6B" w14:textId="77777777">
            <w:pPr>
              <w:widowControl/>
              <w:autoSpaceDE/>
              <w:autoSpaceDN/>
              <w:adjustRightInd/>
              <w:spacing w:line="300" w:lineRule="atLeast"/>
              <w:jc w:val="center"/>
              <w:rPr>
                <w:rFonts w:eastAsia="Times New Roman" w:asciiTheme="minorHAnsi" w:hAnsiTheme="minorHAnsi" w:cstheme="minorHAnsi"/>
                <w:sz w:val="22"/>
                <w:szCs w:val="22"/>
              </w:rPr>
            </w:pPr>
            <w:r w:rsidRPr="002B43D5">
              <w:rPr>
                <w:rFonts w:eastAsia="Times New Roman" w:asciiTheme="minorHAnsi" w:hAnsiTheme="minorHAnsi" w:cstheme="minorHAnsi"/>
                <w:sz w:val="22"/>
                <w:szCs w:val="22"/>
              </w:rPr>
              <w:t>$250</w:t>
            </w:r>
          </w:p>
        </w:tc>
      </w:tr>
      <w:tr w14:paraId="3B44B089" w14:textId="77777777" w:rsidTr="00C34AEC">
        <w:tblPrEx>
          <w:tblW w:w="5935" w:type="dxa"/>
          <w:jc w:val="center"/>
          <w:tblLook w:val="04A0"/>
        </w:tblPrEx>
        <w:trPr>
          <w:jc w:val="center"/>
        </w:trPr>
        <w:tc>
          <w:tcPr>
            <w:tcW w:w="4315" w:type="dxa"/>
            <w:hideMark/>
          </w:tcPr>
          <w:p w:rsidR="00384920" w:rsidRPr="002B43D5" w:rsidP="005E223B" w14:paraId="7427DD3C" w14:textId="77777777">
            <w:pPr>
              <w:widowControl/>
              <w:autoSpaceDE/>
              <w:autoSpaceDN/>
              <w:adjustRightInd/>
              <w:spacing w:line="300" w:lineRule="atLeast"/>
              <w:rPr>
                <w:rFonts w:eastAsia="Times New Roman" w:asciiTheme="minorHAnsi" w:hAnsiTheme="minorHAnsi" w:cstheme="minorHAnsi"/>
                <w:sz w:val="22"/>
                <w:szCs w:val="22"/>
              </w:rPr>
            </w:pPr>
            <w:r w:rsidRPr="002B43D5">
              <w:rPr>
                <w:rFonts w:eastAsia="Times New Roman" w:asciiTheme="minorHAnsi" w:hAnsiTheme="minorHAnsi" w:cstheme="minorHAnsi"/>
                <w:sz w:val="22"/>
                <w:szCs w:val="22"/>
              </w:rPr>
              <w:t>Exempt organization ruling</w:t>
            </w:r>
          </w:p>
        </w:tc>
        <w:tc>
          <w:tcPr>
            <w:tcW w:w="1620" w:type="dxa"/>
            <w:hideMark/>
          </w:tcPr>
          <w:p w:rsidR="00384920" w:rsidRPr="002B43D5" w:rsidP="005E223B" w14:paraId="385F4E1E" w14:textId="77777777">
            <w:pPr>
              <w:widowControl/>
              <w:autoSpaceDE/>
              <w:autoSpaceDN/>
              <w:adjustRightInd/>
              <w:spacing w:line="300" w:lineRule="atLeast"/>
              <w:jc w:val="center"/>
              <w:rPr>
                <w:rFonts w:eastAsia="Times New Roman" w:asciiTheme="minorHAnsi" w:hAnsiTheme="minorHAnsi" w:cstheme="minorHAnsi"/>
                <w:sz w:val="22"/>
                <w:szCs w:val="22"/>
              </w:rPr>
            </w:pPr>
            <w:r w:rsidRPr="002B43D5">
              <w:rPr>
                <w:rFonts w:eastAsia="Times New Roman" w:asciiTheme="minorHAnsi" w:hAnsiTheme="minorHAnsi" w:cstheme="minorHAnsi"/>
                <w:sz w:val="22"/>
                <w:szCs w:val="22"/>
              </w:rPr>
              <w:t>$350</w:t>
            </w:r>
          </w:p>
        </w:tc>
      </w:tr>
      <w:tr w14:paraId="57F6D228" w14:textId="77777777" w:rsidTr="00C34AEC">
        <w:tblPrEx>
          <w:tblW w:w="5935" w:type="dxa"/>
          <w:jc w:val="center"/>
          <w:tblLook w:val="04A0"/>
        </w:tblPrEx>
        <w:trPr>
          <w:jc w:val="center"/>
        </w:trPr>
        <w:tc>
          <w:tcPr>
            <w:tcW w:w="4315" w:type="dxa"/>
            <w:hideMark/>
          </w:tcPr>
          <w:p w:rsidR="00384920" w:rsidRPr="002B43D5" w:rsidP="005E223B" w14:paraId="5535573A" w14:textId="77777777">
            <w:pPr>
              <w:widowControl/>
              <w:autoSpaceDE/>
              <w:autoSpaceDN/>
              <w:adjustRightInd/>
              <w:spacing w:line="300" w:lineRule="atLeast"/>
              <w:rPr>
                <w:rFonts w:eastAsia="Times New Roman" w:asciiTheme="minorHAnsi" w:hAnsiTheme="minorHAnsi" w:cstheme="minorHAnsi"/>
                <w:sz w:val="22"/>
                <w:szCs w:val="22"/>
              </w:rPr>
            </w:pPr>
            <w:r w:rsidRPr="002B43D5">
              <w:rPr>
                <w:rFonts w:eastAsia="Times New Roman" w:asciiTheme="minorHAnsi" w:hAnsiTheme="minorHAnsi" w:cstheme="minorHAnsi"/>
                <w:sz w:val="22"/>
                <w:szCs w:val="22"/>
              </w:rPr>
              <w:t>Employee plan determination</w:t>
            </w:r>
          </w:p>
        </w:tc>
        <w:tc>
          <w:tcPr>
            <w:tcW w:w="1620" w:type="dxa"/>
            <w:hideMark/>
          </w:tcPr>
          <w:p w:rsidR="00384920" w:rsidRPr="002B43D5" w:rsidP="005E223B" w14:paraId="7A6035A4" w14:textId="77777777">
            <w:pPr>
              <w:widowControl/>
              <w:autoSpaceDE/>
              <w:autoSpaceDN/>
              <w:adjustRightInd/>
              <w:spacing w:line="300" w:lineRule="atLeast"/>
              <w:jc w:val="center"/>
              <w:rPr>
                <w:rFonts w:eastAsia="Times New Roman" w:asciiTheme="minorHAnsi" w:hAnsiTheme="minorHAnsi" w:cstheme="minorHAnsi"/>
                <w:sz w:val="22"/>
                <w:szCs w:val="22"/>
              </w:rPr>
            </w:pPr>
            <w:r w:rsidRPr="002B43D5">
              <w:rPr>
                <w:rFonts w:eastAsia="Times New Roman" w:asciiTheme="minorHAnsi" w:hAnsiTheme="minorHAnsi" w:cstheme="minorHAnsi"/>
                <w:sz w:val="22"/>
                <w:szCs w:val="22"/>
              </w:rPr>
              <w:t>$300</w:t>
            </w:r>
          </w:p>
        </w:tc>
      </w:tr>
      <w:tr w14:paraId="31A4AC69" w14:textId="77777777" w:rsidTr="002B43D5">
        <w:tblPrEx>
          <w:tblW w:w="5935" w:type="dxa"/>
          <w:jc w:val="center"/>
          <w:tblLook w:val="04A0"/>
        </w:tblPrEx>
        <w:trPr>
          <w:trHeight w:val="215"/>
          <w:jc w:val="center"/>
        </w:trPr>
        <w:tc>
          <w:tcPr>
            <w:tcW w:w="4315" w:type="dxa"/>
            <w:hideMark/>
          </w:tcPr>
          <w:p w:rsidR="00384920" w:rsidRPr="002B43D5" w:rsidP="005E223B" w14:paraId="32E932DB" w14:textId="77777777">
            <w:pPr>
              <w:widowControl/>
              <w:autoSpaceDE/>
              <w:autoSpaceDN/>
              <w:adjustRightInd/>
              <w:spacing w:line="300" w:lineRule="atLeast"/>
              <w:rPr>
                <w:rFonts w:eastAsia="Times New Roman" w:asciiTheme="minorHAnsi" w:hAnsiTheme="minorHAnsi" w:cstheme="minorHAnsi"/>
                <w:sz w:val="22"/>
                <w:szCs w:val="22"/>
              </w:rPr>
            </w:pPr>
            <w:r w:rsidRPr="002B43D5">
              <w:rPr>
                <w:rFonts w:eastAsia="Times New Roman" w:asciiTheme="minorHAnsi" w:hAnsiTheme="minorHAnsi" w:cstheme="minorHAnsi"/>
                <w:sz w:val="22"/>
                <w:szCs w:val="22"/>
              </w:rPr>
              <w:t>Exempt organization determination</w:t>
            </w:r>
          </w:p>
        </w:tc>
        <w:tc>
          <w:tcPr>
            <w:tcW w:w="1620" w:type="dxa"/>
            <w:hideMark/>
          </w:tcPr>
          <w:p w:rsidR="00384920" w:rsidRPr="002B43D5" w:rsidP="005E223B" w14:paraId="3750CBBC" w14:textId="77777777">
            <w:pPr>
              <w:widowControl/>
              <w:autoSpaceDE/>
              <w:autoSpaceDN/>
              <w:adjustRightInd/>
              <w:spacing w:line="300" w:lineRule="atLeast"/>
              <w:jc w:val="center"/>
              <w:rPr>
                <w:rFonts w:eastAsia="Times New Roman" w:asciiTheme="minorHAnsi" w:hAnsiTheme="minorHAnsi" w:cstheme="minorHAnsi"/>
                <w:sz w:val="22"/>
                <w:szCs w:val="22"/>
              </w:rPr>
            </w:pPr>
            <w:r w:rsidRPr="002B43D5">
              <w:rPr>
                <w:rFonts w:eastAsia="Times New Roman" w:asciiTheme="minorHAnsi" w:hAnsiTheme="minorHAnsi" w:cstheme="minorHAnsi"/>
                <w:sz w:val="22"/>
                <w:szCs w:val="22"/>
              </w:rPr>
              <w:t>$275</w:t>
            </w:r>
          </w:p>
        </w:tc>
      </w:tr>
      <w:tr w14:paraId="67E20A5E" w14:textId="77777777" w:rsidTr="00C34AEC">
        <w:tblPrEx>
          <w:tblW w:w="5935" w:type="dxa"/>
          <w:jc w:val="center"/>
          <w:tblLook w:val="04A0"/>
        </w:tblPrEx>
        <w:trPr>
          <w:jc w:val="center"/>
        </w:trPr>
        <w:tc>
          <w:tcPr>
            <w:tcW w:w="4315" w:type="dxa"/>
            <w:hideMark/>
          </w:tcPr>
          <w:p w:rsidR="00384920" w:rsidRPr="002B43D5" w:rsidP="005E223B" w14:paraId="15770C11" w14:textId="77777777">
            <w:pPr>
              <w:widowControl/>
              <w:autoSpaceDE/>
              <w:autoSpaceDN/>
              <w:adjustRightInd/>
              <w:spacing w:line="300" w:lineRule="atLeast"/>
              <w:rPr>
                <w:rFonts w:eastAsia="Times New Roman" w:asciiTheme="minorHAnsi" w:hAnsiTheme="minorHAnsi" w:cstheme="minorHAnsi"/>
                <w:sz w:val="22"/>
                <w:szCs w:val="22"/>
              </w:rPr>
            </w:pPr>
            <w:r w:rsidRPr="002B43D5">
              <w:rPr>
                <w:rFonts w:eastAsia="Times New Roman" w:asciiTheme="minorHAnsi" w:hAnsiTheme="minorHAnsi" w:cstheme="minorHAnsi"/>
                <w:sz w:val="22"/>
                <w:szCs w:val="22"/>
              </w:rPr>
              <w:t>Chief counsel ruling</w:t>
            </w:r>
          </w:p>
        </w:tc>
        <w:tc>
          <w:tcPr>
            <w:tcW w:w="1620" w:type="dxa"/>
            <w:hideMark/>
          </w:tcPr>
          <w:p w:rsidR="00384920" w:rsidRPr="002B43D5" w:rsidP="005E223B" w14:paraId="1316AC70" w14:textId="77777777">
            <w:pPr>
              <w:widowControl/>
              <w:autoSpaceDE/>
              <w:autoSpaceDN/>
              <w:adjustRightInd/>
              <w:spacing w:line="300" w:lineRule="atLeast"/>
              <w:jc w:val="center"/>
              <w:rPr>
                <w:rFonts w:eastAsia="Times New Roman" w:asciiTheme="minorHAnsi" w:hAnsiTheme="minorHAnsi" w:cstheme="minorHAnsi"/>
                <w:sz w:val="22"/>
                <w:szCs w:val="22"/>
              </w:rPr>
            </w:pPr>
            <w:r w:rsidRPr="002B43D5">
              <w:rPr>
                <w:rFonts w:eastAsia="Times New Roman" w:asciiTheme="minorHAnsi" w:hAnsiTheme="minorHAnsi" w:cstheme="minorHAnsi"/>
                <w:sz w:val="22"/>
                <w:szCs w:val="22"/>
              </w:rPr>
              <w:t xml:space="preserve">$200  </w:t>
            </w:r>
          </w:p>
        </w:tc>
      </w:tr>
    </w:tbl>
    <w:p w:rsidR="00384920" w:rsidRPr="002B43D5" w:rsidP="002B43D5" w14:paraId="65B4B580" w14:textId="77777777">
      <w:pPr>
        <w:ind w:left="720"/>
        <w:rPr>
          <w:rFonts w:asciiTheme="minorHAnsi" w:hAnsiTheme="minorHAnsi" w:cstheme="minorHAnsi"/>
          <w:sz w:val="22"/>
          <w:szCs w:val="22"/>
        </w:rPr>
      </w:pPr>
    </w:p>
    <w:p w:rsidR="00384920" w:rsidRPr="002B43D5" w:rsidP="002B43D5" w14:paraId="60A3EB48" w14:textId="48746B7A">
      <w:pPr>
        <w:ind w:left="720"/>
        <w:rPr>
          <w:rFonts w:asciiTheme="minorHAnsi" w:hAnsiTheme="minorHAnsi" w:cstheme="minorHAnsi"/>
          <w:sz w:val="22"/>
          <w:szCs w:val="22"/>
        </w:rPr>
      </w:pPr>
      <w:r w:rsidRPr="002B43D5">
        <w:rPr>
          <w:rFonts w:asciiTheme="minorHAnsi" w:hAnsiTheme="minorHAnsi" w:cstheme="minorHAnsi"/>
          <w:sz w:val="22"/>
          <w:szCs w:val="22"/>
        </w:rPr>
        <w:t>The IRS calculates the minimum average fee as $275 and a total possible cost to respondents of $</w:t>
      </w:r>
      <w:r w:rsidR="0066493E">
        <w:rPr>
          <w:rFonts w:asciiTheme="minorHAnsi" w:hAnsiTheme="minorHAnsi" w:cstheme="minorHAnsi"/>
          <w:sz w:val="22"/>
          <w:szCs w:val="22"/>
        </w:rPr>
        <w:t>3,501,575</w:t>
      </w:r>
      <w:r w:rsidRPr="002B43D5">
        <w:rPr>
          <w:rFonts w:asciiTheme="minorHAnsi" w:hAnsiTheme="minorHAnsi" w:cstheme="minorHAnsi"/>
          <w:sz w:val="22"/>
          <w:szCs w:val="22"/>
        </w:rPr>
        <w:t xml:space="preserve"> (</w:t>
      </w:r>
      <w:r w:rsidR="0066493E">
        <w:rPr>
          <w:rFonts w:asciiTheme="minorHAnsi" w:hAnsiTheme="minorHAnsi" w:cstheme="minorHAnsi"/>
          <w:sz w:val="22"/>
          <w:szCs w:val="22"/>
        </w:rPr>
        <w:t>12,733</w:t>
      </w:r>
      <w:r w:rsidRPr="002B43D5">
        <w:rPr>
          <w:rFonts w:asciiTheme="minorHAnsi" w:hAnsiTheme="minorHAnsi" w:cstheme="minorHAnsi"/>
          <w:sz w:val="22"/>
          <w:szCs w:val="22"/>
        </w:rPr>
        <w:t xml:space="preserve"> responses x $275).</w:t>
      </w:r>
    </w:p>
    <w:p w:rsidR="00CF62B5" w:rsidRPr="00CF62B5" w:rsidP="00CF62B5" w14:paraId="7A251684" w14:textId="77777777">
      <w:pPr>
        <w:ind w:left="720"/>
        <w:rPr>
          <w:rFonts w:asciiTheme="minorHAnsi" w:hAnsiTheme="minorHAnsi" w:cstheme="minorHAnsi"/>
          <w:sz w:val="22"/>
          <w:szCs w:val="22"/>
        </w:rPr>
      </w:pPr>
    </w:p>
    <w:p w:rsidR="00225C70" w:rsidRPr="00F055B3" w14:paraId="56D2E414" w14:textId="77777777">
      <w:pPr>
        <w:pStyle w:val="Level1"/>
        <w:numPr>
          <w:ilvl w:val="0"/>
          <w:numId w:val="4"/>
        </w:numPr>
        <w:tabs>
          <w:tab w:val="left" w:pos="-1440"/>
          <w:tab w:val="num" w:pos="720"/>
        </w:tabs>
        <w:rPr>
          <w:rFonts w:asciiTheme="minorHAnsi" w:hAnsiTheme="minorHAnsi" w:cstheme="minorHAnsi"/>
          <w:sz w:val="22"/>
          <w:szCs w:val="22"/>
        </w:rPr>
      </w:pPr>
      <w:r w:rsidRPr="00F055B3">
        <w:rPr>
          <w:rFonts w:asciiTheme="minorHAnsi" w:hAnsiTheme="minorHAnsi" w:cstheme="minorHAnsi"/>
          <w:sz w:val="22"/>
          <w:szCs w:val="22"/>
          <w:u w:val="single"/>
        </w:rPr>
        <w:t>ESTIMATED ANNUALIZED COST TO THE FEDERAL GOVERNMENT</w:t>
      </w:r>
    </w:p>
    <w:p w:rsidR="00225C70" w:rsidRPr="00F055B3" w14:paraId="7384B0C6" w14:textId="77777777">
      <w:pPr>
        <w:rPr>
          <w:rFonts w:asciiTheme="minorHAnsi" w:hAnsiTheme="minorHAnsi" w:cstheme="minorHAnsi"/>
          <w:sz w:val="22"/>
          <w:szCs w:val="22"/>
        </w:rPr>
      </w:pPr>
    </w:p>
    <w:p w:rsidR="00AA519E" w:rsidP="00EA125C" w14:paraId="69618B02" w14:textId="60512F11">
      <w:pPr>
        <w:ind w:left="720"/>
        <w:rPr>
          <w:rFonts w:asciiTheme="minorHAnsi" w:hAnsiTheme="minorHAnsi" w:cstheme="minorHAnsi"/>
          <w:sz w:val="22"/>
          <w:szCs w:val="22"/>
        </w:rPr>
      </w:pPr>
      <w:r w:rsidRPr="00AA519E">
        <w:rPr>
          <w:rFonts w:asciiTheme="minorHAnsi" w:hAnsiTheme="minorHAnsi" w:cstheme="minorHAnsi"/>
          <w:sz w:val="22"/>
          <w:szCs w:val="22"/>
        </w:rPr>
        <w:t xml:space="preserve">Cost estimate for product development is based on a model </w:t>
      </w:r>
      <w:r w:rsidRPr="00AA519E">
        <w:rPr>
          <w:rFonts w:asciiTheme="minorHAnsi" w:hAnsiTheme="minorHAnsi" w:cstheme="minorHAnsi"/>
          <w:sz w:val="22"/>
          <w:szCs w:val="22"/>
        </w:rPr>
        <w:t xml:space="preserve">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 These costs do not include any activities such as taxpayer assistance and enforcement. IRS estimates have determined that </w:t>
      </w:r>
      <w:r w:rsidRPr="00AA519E">
        <w:rPr>
          <w:rFonts w:asciiTheme="minorHAnsi" w:hAnsiTheme="minorHAnsi" w:cstheme="minorHAnsi"/>
          <w:sz w:val="22"/>
          <w:szCs w:val="22"/>
        </w:rPr>
        <w:t>the cost of developing, printing, distribution and overhead for the form is $</w:t>
      </w:r>
      <w:r>
        <w:rPr>
          <w:rFonts w:asciiTheme="minorHAnsi" w:hAnsiTheme="minorHAnsi" w:cstheme="minorHAnsi"/>
          <w:sz w:val="22"/>
          <w:szCs w:val="22"/>
        </w:rPr>
        <w:t>14,131</w:t>
      </w:r>
      <w:r w:rsidRPr="00AA519E">
        <w:rPr>
          <w:rFonts w:asciiTheme="minorHAnsi" w:hAnsiTheme="minorHAnsi" w:cstheme="minorHAnsi"/>
          <w:sz w:val="22"/>
          <w:szCs w:val="22"/>
        </w:rPr>
        <w:t>.</w:t>
      </w:r>
    </w:p>
    <w:p w:rsidR="00AA519E" w:rsidP="00EA125C" w14:paraId="5110A9E3" w14:textId="77777777">
      <w:pPr>
        <w:ind w:left="720"/>
        <w:rPr>
          <w:rFonts w:asciiTheme="minorHAnsi" w:hAnsiTheme="minorHAnsi" w:cstheme="minorHAnsi"/>
          <w:sz w:val="22"/>
          <w:szCs w:val="22"/>
        </w:rPr>
      </w:pPr>
    </w:p>
    <w:p w:rsidR="00115AD4" w:rsidP="00EA125C" w14:paraId="7EB17C3B" w14:textId="77777777">
      <w:pPr>
        <w:ind w:left="720"/>
        <w:rPr>
          <w:rFonts w:asciiTheme="minorHAnsi" w:hAnsiTheme="minorHAnsi" w:cstheme="minorHAnsi"/>
          <w:sz w:val="22"/>
          <w:szCs w:val="22"/>
        </w:rPr>
      </w:pPr>
    </w:p>
    <w:p w:rsidR="00115AD4" w:rsidP="00EA125C" w14:paraId="46EBAD96" w14:textId="77777777">
      <w:pPr>
        <w:ind w:left="720"/>
        <w:rPr>
          <w:rFonts w:asciiTheme="minorHAnsi" w:hAnsiTheme="minorHAnsi" w:cstheme="minorHAnsi"/>
          <w:sz w:val="22"/>
          <w:szCs w:val="22"/>
        </w:rPr>
      </w:pPr>
    </w:p>
    <w:p w:rsidR="00225C70" w:rsidRPr="00F055B3" w14:paraId="51E0EEEF" w14:textId="77777777">
      <w:pPr>
        <w:pStyle w:val="Level1"/>
        <w:numPr>
          <w:ilvl w:val="0"/>
          <w:numId w:val="4"/>
        </w:numPr>
        <w:tabs>
          <w:tab w:val="left" w:pos="-1440"/>
          <w:tab w:val="num" w:pos="720"/>
        </w:tabs>
        <w:rPr>
          <w:rFonts w:asciiTheme="minorHAnsi" w:hAnsiTheme="minorHAnsi" w:cstheme="minorHAnsi"/>
          <w:sz w:val="22"/>
          <w:szCs w:val="22"/>
        </w:rPr>
      </w:pPr>
      <w:r w:rsidRPr="00F055B3">
        <w:rPr>
          <w:rFonts w:asciiTheme="minorHAnsi" w:hAnsiTheme="minorHAnsi" w:cstheme="minorHAnsi"/>
          <w:sz w:val="22"/>
          <w:szCs w:val="22"/>
          <w:u w:val="single"/>
        </w:rPr>
        <w:t>REASONS FOR CHANGE IN BURDEN</w:t>
      </w:r>
    </w:p>
    <w:p w:rsidR="00225C70" w:rsidRPr="00F055B3" w14:paraId="3D3B21B6" w14:textId="77777777">
      <w:pPr>
        <w:rPr>
          <w:rFonts w:asciiTheme="minorHAnsi" w:hAnsiTheme="minorHAnsi" w:cstheme="minorHAnsi"/>
          <w:sz w:val="22"/>
          <w:szCs w:val="22"/>
        </w:rPr>
      </w:pPr>
    </w:p>
    <w:p w:rsidR="00225C70" w:rsidRPr="00F055B3" w:rsidP="001B29A9" w14:paraId="2089299F" w14:textId="6F94F42E">
      <w:pPr>
        <w:ind w:left="720"/>
        <w:rPr>
          <w:rFonts w:asciiTheme="minorHAnsi" w:hAnsiTheme="minorHAnsi" w:cstheme="minorHAnsi"/>
          <w:sz w:val="22"/>
          <w:szCs w:val="22"/>
        </w:rPr>
      </w:pPr>
      <w:r w:rsidRPr="00F055B3">
        <w:rPr>
          <w:rFonts w:asciiTheme="minorHAnsi" w:hAnsiTheme="minorHAnsi" w:cstheme="minorHAnsi"/>
          <w:sz w:val="22"/>
          <w:szCs w:val="22"/>
        </w:rPr>
        <w:t xml:space="preserve">This submission is to </w:t>
      </w:r>
      <w:r w:rsidRPr="00F055B3" w:rsidR="00BA29F9">
        <w:rPr>
          <w:rFonts w:asciiTheme="minorHAnsi" w:hAnsiTheme="minorHAnsi" w:cstheme="minorHAnsi"/>
          <w:sz w:val="22"/>
          <w:szCs w:val="22"/>
        </w:rPr>
        <w:t xml:space="preserve">introduce Form 15662 to the letter ruling process described in Revenue Procedure 2025-04. </w:t>
      </w:r>
      <w:r w:rsidRPr="00F055B3">
        <w:rPr>
          <w:rFonts w:asciiTheme="minorHAnsi" w:hAnsiTheme="minorHAnsi" w:cstheme="minorHAnsi"/>
          <w:sz w:val="22"/>
          <w:szCs w:val="22"/>
        </w:rPr>
        <w:t xml:space="preserve"> </w:t>
      </w:r>
      <w:r w:rsidR="00F055B3">
        <w:rPr>
          <w:rFonts w:asciiTheme="minorHAnsi" w:hAnsiTheme="minorHAnsi" w:cstheme="minorHAnsi"/>
          <w:sz w:val="22"/>
          <w:szCs w:val="22"/>
        </w:rPr>
        <w:t>There is no change in burden as the form is being added to the letter ruling information collection as an instrument.</w:t>
      </w:r>
    </w:p>
    <w:p w:rsidR="00225C70" w:rsidRPr="00F055B3" w14:paraId="4A0B286A" w14:textId="77777777">
      <w:pPr>
        <w:rPr>
          <w:rFonts w:asciiTheme="minorHAnsi" w:hAnsiTheme="minorHAnsi" w:cstheme="minorHAnsi"/>
          <w:sz w:val="22"/>
          <w:szCs w:val="22"/>
        </w:rPr>
      </w:pPr>
    </w:p>
    <w:p w:rsidR="00225C70" w:rsidRPr="00F055B3" w14:paraId="291A5176" w14:textId="77777777">
      <w:pPr>
        <w:pStyle w:val="Level1"/>
        <w:numPr>
          <w:ilvl w:val="0"/>
          <w:numId w:val="4"/>
        </w:numPr>
        <w:tabs>
          <w:tab w:val="left" w:pos="-1440"/>
          <w:tab w:val="num" w:pos="720"/>
        </w:tabs>
        <w:rPr>
          <w:rFonts w:asciiTheme="minorHAnsi" w:hAnsiTheme="minorHAnsi" w:cstheme="minorHAnsi"/>
          <w:sz w:val="22"/>
          <w:szCs w:val="22"/>
        </w:rPr>
      </w:pPr>
      <w:r w:rsidRPr="00F055B3">
        <w:rPr>
          <w:rFonts w:asciiTheme="minorHAnsi" w:hAnsiTheme="minorHAnsi" w:cstheme="minorHAnsi"/>
          <w:sz w:val="22"/>
          <w:szCs w:val="22"/>
          <w:u w:val="single"/>
        </w:rPr>
        <w:t>PLANS FOR TABULATION, STATISTICAL ANALYSIS AND PUBLICATION</w:t>
      </w:r>
    </w:p>
    <w:p w:rsidR="00225C70" w:rsidRPr="00F055B3" w14:paraId="71B3E55E" w14:textId="77777777">
      <w:pPr>
        <w:rPr>
          <w:rFonts w:asciiTheme="minorHAnsi" w:hAnsiTheme="minorHAnsi" w:cstheme="minorHAnsi"/>
          <w:sz w:val="22"/>
          <w:szCs w:val="22"/>
        </w:rPr>
      </w:pPr>
    </w:p>
    <w:p w:rsidR="00225C70" w:rsidRPr="00F055B3" w14:paraId="1D734E9F" w14:textId="767E593F">
      <w:pPr>
        <w:ind w:left="720"/>
        <w:rPr>
          <w:rFonts w:asciiTheme="minorHAnsi" w:hAnsiTheme="minorHAnsi" w:cstheme="minorHAnsi"/>
          <w:sz w:val="22"/>
          <w:szCs w:val="22"/>
        </w:rPr>
      </w:pPr>
      <w:r w:rsidRPr="00F055B3">
        <w:rPr>
          <w:rFonts w:asciiTheme="minorHAnsi" w:hAnsiTheme="minorHAnsi" w:cstheme="minorHAnsi"/>
          <w:sz w:val="22"/>
          <w:szCs w:val="22"/>
        </w:rPr>
        <w:t>There are no plans for tabulation, statistical analysis</w:t>
      </w:r>
      <w:r w:rsidRPr="00F055B3" w:rsidR="003F0281">
        <w:rPr>
          <w:rFonts w:asciiTheme="minorHAnsi" w:hAnsiTheme="minorHAnsi" w:cstheme="minorHAnsi"/>
          <w:sz w:val="22"/>
          <w:szCs w:val="22"/>
        </w:rPr>
        <w:t>,</w:t>
      </w:r>
      <w:r w:rsidRPr="00F055B3">
        <w:rPr>
          <w:rFonts w:asciiTheme="minorHAnsi" w:hAnsiTheme="minorHAnsi" w:cstheme="minorHAnsi"/>
          <w:sz w:val="22"/>
          <w:szCs w:val="22"/>
        </w:rPr>
        <w:t xml:space="preserve"> and publication.</w:t>
      </w:r>
    </w:p>
    <w:p w:rsidR="00225C70" w:rsidRPr="00F055B3" w14:paraId="6B9BECD2" w14:textId="77777777">
      <w:pPr>
        <w:rPr>
          <w:rFonts w:asciiTheme="minorHAnsi" w:hAnsiTheme="minorHAnsi" w:cstheme="minorHAnsi"/>
          <w:sz w:val="22"/>
          <w:szCs w:val="22"/>
        </w:rPr>
      </w:pPr>
    </w:p>
    <w:p w:rsidR="00225C70" w:rsidRPr="00F055B3" w14:paraId="57D923EE" w14:textId="1D7AE14E">
      <w:pPr>
        <w:tabs>
          <w:tab w:val="left" w:pos="-1440"/>
        </w:tabs>
        <w:ind w:left="720" w:hanging="720"/>
        <w:rPr>
          <w:rFonts w:asciiTheme="minorHAnsi" w:hAnsiTheme="minorHAnsi" w:cstheme="minorHAnsi"/>
          <w:sz w:val="22"/>
          <w:szCs w:val="22"/>
        </w:rPr>
      </w:pPr>
      <w:r w:rsidRPr="00F055B3">
        <w:rPr>
          <w:rFonts w:asciiTheme="minorHAnsi" w:hAnsiTheme="minorHAnsi" w:cstheme="minorHAnsi"/>
          <w:sz w:val="22"/>
          <w:szCs w:val="22"/>
        </w:rPr>
        <w:t xml:space="preserve">17. </w:t>
      </w:r>
      <w:r w:rsidRPr="00F055B3">
        <w:rPr>
          <w:rFonts w:asciiTheme="minorHAnsi" w:hAnsiTheme="minorHAnsi" w:cstheme="minorHAnsi"/>
          <w:sz w:val="22"/>
          <w:szCs w:val="22"/>
        </w:rPr>
        <w:tab/>
      </w:r>
      <w:r w:rsidRPr="00F055B3">
        <w:rPr>
          <w:rFonts w:asciiTheme="minorHAnsi" w:hAnsiTheme="minorHAnsi" w:cstheme="minorHAnsi"/>
          <w:sz w:val="22"/>
          <w:szCs w:val="22"/>
          <w:u w:val="single"/>
        </w:rPr>
        <w:t>REASONS WHY DISPLAYING THE OMB EXPIRATION DATE IS</w:t>
      </w:r>
      <w:r w:rsidRPr="00F055B3">
        <w:rPr>
          <w:rFonts w:asciiTheme="minorHAnsi" w:hAnsiTheme="minorHAnsi" w:cstheme="minorHAnsi"/>
          <w:sz w:val="22"/>
          <w:szCs w:val="22"/>
        </w:rPr>
        <w:t xml:space="preserve"> </w:t>
      </w:r>
      <w:r w:rsidRPr="00F055B3">
        <w:rPr>
          <w:rFonts w:asciiTheme="minorHAnsi" w:hAnsiTheme="minorHAnsi" w:cstheme="minorHAnsi"/>
          <w:sz w:val="22"/>
          <w:szCs w:val="22"/>
          <w:u w:val="single"/>
        </w:rPr>
        <w:t>INAPPROPRIATE</w:t>
      </w:r>
    </w:p>
    <w:p w:rsidR="00225C70" w:rsidRPr="00F055B3" w14:paraId="4044542D" w14:textId="77777777">
      <w:pPr>
        <w:rPr>
          <w:rFonts w:asciiTheme="minorHAnsi" w:hAnsiTheme="minorHAnsi" w:cstheme="minorHAnsi"/>
          <w:sz w:val="22"/>
          <w:szCs w:val="22"/>
        </w:rPr>
      </w:pPr>
    </w:p>
    <w:p w:rsidR="00225C70" w:rsidRPr="00F055B3" w14:paraId="185E1FB6" w14:textId="4AD26242">
      <w:pPr>
        <w:ind w:left="720"/>
        <w:rPr>
          <w:rFonts w:asciiTheme="minorHAnsi" w:hAnsiTheme="minorHAnsi" w:cstheme="minorHAnsi"/>
          <w:sz w:val="22"/>
          <w:szCs w:val="22"/>
        </w:rPr>
      </w:pPr>
      <w:r w:rsidRPr="00F055B3">
        <w:rPr>
          <w:rFonts w:asciiTheme="minorHAnsi" w:hAnsiTheme="minorHAnsi" w:cstheme="minorHAnsi"/>
          <w:sz w:val="22"/>
          <w:szCs w:val="22"/>
        </w:rPr>
        <w:t xml:space="preserve">The </w:t>
      </w:r>
      <w:r w:rsidRPr="00F055B3" w:rsidR="004526CF">
        <w:rPr>
          <w:rFonts w:asciiTheme="minorHAnsi" w:hAnsiTheme="minorHAnsi" w:cstheme="minorHAnsi"/>
          <w:sz w:val="22"/>
          <w:szCs w:val="22"/>
        </w:rPr>
        <w:t xml:space="preserve">IRS believes that displaying the OMB expiration date is inappropriate because it could cause confusion by leading taxpayers to believe that the </w:t>
      </w:r>
      <w:r w:rsidRPr="00F055B3" w:rsidR="00D569F8">
        <w:rPr>
          <w:rFonts w:asciiTheme="minorHAnsi" w:hAnsiTheme="minorHAnsi" w:cstheme="minorHAnsi"/>
          <w:sz w:val="22"/>
          <w:szCs w:val="22"/>
        </w:rPr>
        <w:t xml:space="preserve">Form </w:t>
      </w:r>
      <w:r w:rsidRPr="00F055B3" w:rsidR="0067590E">
        <w:rPr>
          <w:rFonts w:asciiTheme="minorHAnsi" w:hAnsiTheme="minorHAnsi" w:cstheme="minorHAnsi"/>
          <w:sz w:val="22"/>
          <w:szCs w:val="22"/>
        </w:rPr>
        <w:t>15662</w:t>
      </w:r>
      <w:r w:rsidRPr="00F055B3" w:rsidR="004679AA">
        <w:rPr>
          <w:rFonts w:asciiTheme="minorHAnsi" w:hAnsiTheme="minorHAnsi" w:cstheme="minorHAnsi"/>
          <w:sz w:val="22"/>
          <w:szCs w:val="22"/>
        </w:rPr>
        <w:t xml:space="preserve"> expires</w:t>
      </w:r>
      <w:r w:rsidRPr="00F055B3" w:rsidR="004526CF">
        <w:rPr>
          <w:rFonts w:asciiTheme="minorHAnsi" w:hAnsiTheme="minorHAnsi" w:cstheme="minorHAnsi"/>
          <w:sz w:val="22"/>
          <w:szCs w:val="22"/>
        </w:rPr>
        <w:t xml:space="preserve"> as of the expiration date. Taxpayers are not likely to be aware that the IRS intends to request renewal of the OMB approval and obtain a new expiration date before the old one expires.</w:t>
      </w:r>
    </w:p>
    <w:p w:rsidR="00225C70" w:rsidRPr="00F055B3" w14:paraId="6DF34907" w14:textId="77777777">
      <w:pPr>
        <w:rPr>
          <w:rFonts w:asciiTheme="minorHAnsi" w:hAnsiTheme="minorHAnsi" w:cstheme="minorHAnsi"/>
          <w:sz w:val="22"/>
          <w:szCs w:val="22"/>
        </w:rPr>
      </w:pPr>
    </w:p>
    <w:p w:rsidR="00225C70" w:rsidRPr="00F055B3" w14:paraId="29458F6D" w14:textId="3663A91A">
      <w:pPr>
        <w:pStyle w:val="Level1"/>
        <w:tabs>
          <w:tab w:val="left" w:pos="-1440"/>
          <w:tab w:val="num" w:pos="720"/>
        </w:tabs>
        <w:rPr>
          <w:rFonts w:asciiTheme="minorHAnsi" w:hAnsiTheme="minorHAnsi" w:cstheme="minorHAnsi"/>
          <w:sz w:val="22"/>
          <w:szCs w:val="22"/>
        </w:rPr>
      </w:pPr>
      <w:r w:rsidRPr="00F055B3">
        <w:rPr>
          <w:rFonts w:asciiTheme="minorHAnsi" w:hAnsiTheme="minorHAnsi" w:cstheme="minorHAnsi"/>
          <w:sz w:val="22"/>
          <w:szCs w:val="22"/>
          <w:u w:val="single"/>
        </w:rPr>
        <w:t xml:space="preserve">EXCEPTIONS TO THE CERTIFICATION STATEMENT </w:t>
      </w:r>
    </w:p>
    <w:p w:rsidR="00225C70" w:rsidRPr="00F055B3" w14:paraId="6C9C0211" w14:textId="77777777">
      <w:pPr>
        <w:pStyle w:val="Level1"/>
        <w:numPr>
          <w:ilvl w:val="0"/>
          <w:numId w:val="0"/>
        </w:numPr>
        <w:tabs>
          <w:tab w:val="left" w:pos="-1440"/>
        </w:tabs>
        <w:rPr>
          <w:rFonts w:asciiTheme="minorHAnsi" w:hAnsiTheme="minorHAnsi" w:cstheme="minorHAnsi"/>
          <w:sz w:val="22"/>
          <w:szCs w:val="22"/>
        </w:rPr>
      </w:pPr>
    </w:p>
    <w:p w:rsidR="00225C70" w:rsidRPr="00F055B3" w14:paraId="38082C3B" w14:textId="77777777">
      <w:pPr>
        <w:tabs>
          <w:tab w:val="left" w:pos="-1440"/>
        </w:tabs>
        <w:ind w:left="720"/>
        <w:rPr>
          <w:rFonts w:asciiTheme="minorHAnsi" w:hAnsiTheme="minorHAnsi" w:cstheme="minorHAnsi"/>
          <w:sz w:val="22"/>
          <w:szCs w:val="22"/>
        </w:rPr>
      </w:pPr>
      <w:r w:rsidRPr="00F055B3">
        <w:rPr>
          <w:rFonts w:asciiTheme="minorHAnsi" w:hAnsiTheme="minorHAnsi" w:cstheme="minorHAnsi"/>
          <w:sz w:val="22"/>
          <w:szCs w:val="22"/>
        </w:rPr>
        <w:t>There are no exceptions to the certification statement.</w:t>
      </w:r>
    </w:p>
    <w:p w:rsidR="00225C70" w:rsidRPr="00F055B3" w14:paraId="2C959632" w14:textId="77777777">
      <w:pPr>
        <w:rPr>
          <w:rFonts w:asciiTheme="minorHAnsi" w:hAnsiTheme="minorHAnsi" w:cstheme="minorHAnsi"/>
          <w:sz w:val="22"/>
          <w:szCs w:val="22"/>
        </w:rPr>
      </w:pPr>
    </w:p>
    <w:p w:rsidR="00225C70" w:rsidRPr="00F055B3" w14:paraId="4AC69254" w14:textId="77777777">
      <w:pPr>
        <w:rPr>
          <w:rFonts w:asciiTheme="minorHAnsi" w:hAnsiTheme="minorHAnsi" w:cstheme="minorHAnsi"/>
          <w:sz w:val="22"/>
          <w:szCs w:val="22"/>
        </w:rPr>
      </w:pPr>
    </w:p>
    <w:sectPr>
      <w:footerReference w:type="default" r:id="rId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5C70" w14:paraId="5C84F8BD" w14:textId="77777777">
    <w:pPr>
      <w:spacing w:line="240" w:lineRule="exact"/>
    </w:pPr>
  </w:p>
  <w:p w:rsidR="00225C70" w14:paraId="7447440C" w14:textId="77777777">
    <w:pPr>
      <w:framePr w:w="9361" w:wrap="notBeside" w:vAnchor="text" w:hAnchor="text" w:x="1" w:y="1"/>
      <w:jc w:val="center"/>
    </w:pPr>
    <w:r>
      <w:fldChar w:fldCharType="begin"/>
    </w:r>
    <w:r>
      <w:instrText xml:space="preserve">PAGE </w:instrText>
    </w:r>
    <w:r>
      <w:fldChar w:fldCharType="separate"/>
    </w:r>
    <w:r>
      <w:rPr>
        <w:noProof/>
      </w:rPr>
      <w:t>1</w:t>
    </w:r>
    <w:r>
      <w:fldChar w:fldCharType="end"/>
    </w:r>
  </w:p>
  <w:p w:rsidR="00225C70" w14:paraId="6D0A74F2"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5"/>
    <w:multiLevelType w:val="multilevel"/>
    <w:tmpl w:val="00000000"/>
    <w:name w:val="AutoList5"/>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3C457435"/>
    <w:multiLevelType w:val="hybridMultilevel"/>
    <w:tmpl w:val="AAF2ABE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
    <w:nsid w:val="5E73265D"/>
    <w:multiLevelType w:val="hybridMultilevel"/>
    <w:tmpl w:val="F74E044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63602BDB"/>
    <w:multiLevelType w:val="hybridMultilevel"/>
    <w:tmpl w:val="3C922C2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
    <w:nsid w:val="65511855"/>
    <w:multiLevelType w:val="hybridMultilevel"/>
    <w:tmpl w:val="6742C41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9">
    <w:nsid w:val="695F30FA"/>
    <w:multiLevelType w:val="hybridMultilevel"/>
    <w:tmpl w:val="691024E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0">
    <w:nsid w:val="7DDF1A8B"/>
    <w:multiLevelType w:val="hybridMultilevel"/>
    <w:tmpl w:val="048E284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42068239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45965041">
    <w:abstractNumId w:val="1"/>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466316214">
    <w:abstractNumId w:val="2"/>
    <w:lvlOverride w:ilvl="0">
      <w:startOverride w:val="8"/>
      <w:lvl w:ilvl="0">
        <w:start w:val="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912961641">
    <w:abstractNumId w:val="3"/>
    <w:lvlOverride w:ilvl="0">
      <w:startOverride w:val="11"/>
      <w:lvl w:ilvl="0">
        <w:start w:val="1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229846136">
    <w:abstractNumId w:val="4"/>
    <w:lvlOverride w:ilvl="0">
      <w:startOverride w:val="18"/>
      <w:lvl w:ilvl="0">
        <w:start w:val="1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014649640">
    <w:abstractNumId w:val="10"/>
  </w:num>
  <w:num w:numId="7" w16cid:durableId="2137673377">
    <w:abstractNumId w:val="5"/>
  </w:num>
  <w:num w:numId="8" w16cid:durableId="1023244395">
    <w:abstractNumId w:val="9"/>
  </w:num>
  <w:num w:numId="9" w16cid:durableId="1659115266">
    <w:abstractNumId w:val="8"/>
  </w:num>
  <w:num w:numId="10" w16cid:durableId="319969540">
    <w:abstractNumId w:val="7"/>
  </w:num>
  <w:num w:numId="11" w16cid:durableId="12797272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C70"/>
    <w:rsid w:val="00044DAD"/>
    <w:rsid w:val="0008681A"/>
    <w:rsid w:val="000C365D"/>
    <w:rsid w:val="000D4568"/>
    <w:rsid w:val="000E2BB2"/>
    <w:rsid w:val="00115AD4"/>
    <w:rsid w:val="00121C5C"/>
    <w:rsid w:val="001550AB"/>
    <w:rsid w:val="00161CD4"/>
    <w:rsid w:val="00164D2E"/>
    <w:rsid w:val="001667C5"/>
    <w:rsid w:val="00175CE2"/>
    <w:rsid w:val="00185A75"/>
    <w:rsid w:val="00194A0A"/>
    <w:rsid w:val="001A0AC0"/>
    <w:rsid w:val="001B29A9"/>
    <w:rsid w:val="00212434"/>
    <w:rsid w:val="0022093C"/>
    <w:rsid w:val="00225C70"/>
    <w:rsid w:val="002405BC"/>
    <w:rsid w:val="0029052B"/>
    <w:rsid w:val="002A04B1"/>
    <w:rsid w:val="002B0503"/>
    <w:rsid w:val="002B43D5"/>
    <w:rsid w:val="002D4D72"/>
    <w:rsid w:val="00304491"/>
    <w:rsid w:val="00305A6F"/>
    <w:rsid w:val="00322747"/>
    <w:rsid w:val="0033318D"/>
    <w:rsid w:val="0034660A"/>
    <w:rsid w:val="00354B75"/>
    <w:rsid w:val="003705B0"/>
    <w:rsid w:val="00384920"/>
    <w:rsid w:val="003A5D22"/>
    <w:rsid w:val="003B1AE9"/>
    <w:rsid w:val="003F0281"/>
    <w:rsid w:val="00415910"/>
    <w:rsid w:val="00434A5B"/>
    <w:rsid w:val="00445E9E"/>
    <w:rsid w:val="004526CF"/>
    <w:rsid w:val="00461229"/>
    <w:rsid w:val="004679AA"/>
    <w:rsid w:val="00477DC7"/>
    <w:rsid w:val="00497AF9"/>
    <w:rsid w:val="004A204B"/>
    <w:rsid w:val="004C3254"/>
    <w:rsid w:val="004C5C35"/>
    <w:rsid w:val="004C7982"/>
    <w:rsid w:val="004C7CFC"/>
    <w:rsid w:val="004D2F72"/>
    <w:rsid w:val="004E0B18"/>
    <w:rsid w:val="004E497B"/>
    <w:rsid w:val="004F299A"/>
    <w:rsid w:val="00517E5B"/>
    <w:rsid w:val="00543B19"/>
    <w:rsid w:val="005837CB"/>
    <w:rsid w:val="005B7401"/>
    <w:rsid w:val="005D4206"/>
    <w:rsid w:val="005D66C5"/>
    <w:rsid w:val="005E223B"/>
    <w:rsid w:val="00610379"/>
    <w:rsid w:val="00640411"/>
    <w:rsid w:val="00642C27"/>
    <w:rsid w:val="00654EE0"/>
    <w:rsid w:val="00655ECA"/>
    <w:rsid w:val="0066439D"/>
    <w:rsid w:val="0066493E"/>
    <w:rsid w:val="0067590E"/>
    <w:rsid w:val="006873ED"/>
    <w:rsid w:val="006B5D45"/>
    <w:rsid w:val="006C1073"/>
    <w:rsid w:val="006C534C"/>
    <w:rsid w:val="006D66A4"/>
    <w:rsid w:val="00716E59"/>
    <w:rsid w:val="007255FB"/>
    <w:rsid w:val="00726610"/>
    <w:rsid w:val="007821C5"/>
    <w:rsid w:val="007E609E"/>
    <w:rsid w:val="008007F5"/>
    <w:rsid w:val="008308B7"/>
    <w:rsid w:val="008347EF"/>
    <w:rsid w:val="00842853"/>
    <w:rsid w:val="0085780D"/>
    <w:rsid w:val="00865F76"/>
    <w:rsid w:val="00894685"/>
    <w:rsid w:val="008B1D65"/>
    <w:rsid w:val="008D6ECF"/>
    <w:rsid w:val="00931D55"/>
    <w:rsid w:val="00957308"/>
    <w:rsid w:val="00957D00"/>
    <w:rsid w:val="009677D6"/>
    <w:rsid w:val="00970E8A"/>
    <w:rsid w:val="00985DD6"/>
    <w:rsid w:val="009B35FD"/>
    <w:rsid w:val="009C3547"/>
    <w:rsid w:val="009C7216"/>
    <w:rsid w:val="009D4CF6"/>
    <w:rsid w:val="009F082D"/>
    <w:rsid w:val="009F6DC4"/>
    <w:rsid w:val="00A10FF6"/>
    <w:rsid w:val="00A362FD"/>
    <w:rsid w:val="00A47A0B"/>
    <w:rsid w:val="00A5001B"/>
    <w:rsid w:val="00AA519E"/>
    <w:rsid w:val="00AB72A6"/>
    <w:rsid w:val="00AD082A"/>
    <w:rsid w:val="00AF1A64"/>
    <w:rsid w:val="00B11013"/>
    <w:rsid w:val="00B42FAF"/>
    <w:rsid w:val="00B6423E"/>
    <w:rsid w:val="00BA29F9"/>
    <w:rsid w:val="00BA599B"/>
    <w:rsid w:val="00BB1132"/>
    <w:rsid w:val="00C63807"/>
    <w:rsid w:val="00C6694D"/>
    <w:rsid w:val="00CB1BF1"/>
    <w:rsid w:val="00CF62B5"/>
    <w:rsid w:val="00D14357"/>
    <w:rsid w:val="00D3712F"/>
    <w:rsid w:val="00D569F8"/>
    <w:rsid w:val="00D74185"/>
    <w:rsid w:val="00D917C5"/>
    <w:rsid w:val="00DF5B17"/>
    <w:rsid w:val="00DF7683"/>
    <w:rsid w:val="00E03B48"/>
    <w:rsid w:val="00E11A1D"/>
    <w:rsid w:val="00E52492"/>
    <w:rsid w:val="00E87421"/>
    <w:rsid w:val="00E976EC"/>
    <w:rsid w:val="00EA125C"/>
    <w:rsid w:val="00EA249B"/>
    <w:rsid w:val="00EA2807"/>
    <w:rsid w:val="00ED06B9"/>
    <w:rsid w:val="00F055B3"/>
    <w:rsid w:val="00F14FC4"/>
    <w:rsid w:val="00F35376"/>
    <w:rsid w:val="00F53773"/>
    <w:rsid w:val="00FA53AD"/>
    <w:rsid w:val="00FA5AAA"/>
    <w:rsid w:val="00FB4CCC"/>
    <w:rsid w:val="00FD2BF1"/>
    <w:rsid w:val="00FF7235"/>
    <w:rsid w:val="00FF77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FC0B7BF"/>
  <w15:docId w15:val="{714C29DD-804A-4FDD-B5A1-8D70F3311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5"/>
      </w:numPr>
      <w:ind w:left="720" w:hanging="720"/>
      <w:outlineLvl w:val="0"/>
    </w:p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Shruti" w:hAnsi="Shruti"/>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Shruti" w:hAnsi="Shruti"/>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FootnoteText">
    <w:name w:val="footnote text"/>
    <w:basedOn w:val="Normal"/>
    <w:link w:val="FootnoteTextChar"/>
    <w:uiPriority w:val="99"/>
    <w:unhideWhenUsed/>
    <w:pPr>
      <w:widowControl/>
      <w:autoSpaceDE/>
      <w:autoSpaceDN/>
      <w:adjustRightInd/>
    </w:pPr>
    <w:rPr>
      <w:rFonts w:ascii="Calibri" w:eastAsia="Calibri" w:hAnsi="Calibri" w:cs="Calibri"/>
      <w:sz w:val="20"/>
      <w:szCs w:val="20"/>
    </w:rPr>
  </w:style>
  <w:style w:type="character" w:customStyle="1" w:styleId="FootnoteTextChar">
    <w:name w:val="Footnote Text Char"/>
    <w:link w:val="FootnoteText"/>
    <w:uiPriority w:val="99"/>
    <w:rPr>
      <w:rFonts w:ascii="Calibri" w:eastAsia="Calibri" w:hAnsi="Calibri" w:cs="Calibri"/>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ascii="Shruti" w:hAnsi="Shruti"/>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ascii="Shruti" w:hAnsi="Shruti"/>
      <w:sz w:val="24"/>
      <w:szCs w:val="24"/>
    </w:rPr>
  </w:style>
  <w:style w:type="table" w:styleId="TableGrid">
    <w:name w:val="Table Grid"/>
    <w:basedOn w:val="TableNormal"/>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Shruti" w:hAnsi="Shruti"/>
      <w:sz w:val="24"/>
      <w:szCs w:val="24"/>
    </w:rPr>
  </w:style>
  <w:style w:type="character" w:styleId="Hyperlink">
    <w:name w:val="Hyperlink"/>
    <w:basedOn w:val="DefaultParagraphFont"/>
    <w:uiPriority w:val="99"/>
    <w:unhideWhenUsed/>
    <w:rsid w:val="004D2F72"/>
    <w:rPr>
      <w:strike w:val="0"/>
      <w:dstrike w:val="0"/>
      <w:color w:val="336699"/>
      <w:u w:val="none"/>
      <w:effect w:val="none"/>
    </w:rPr>
  </w:style>
  <w:style w:type="character" w:styleId="UnresolvedMention">
    <w:name w:val="Unresolved Mention"/>
    <w:basedOn w:val="DefaultParagraphFont"/>
    <w:uiPriority w:val="99"/>
    <w:semiHidden/>
    <w:unhideWhenUsed/>
    <w:rsid w:val="00D91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396D8-757F-48B9-8078-4EBA4D7C9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Carrington Angelique V</dc:creator>
  <cp:lastModifiedBy>Garcia Andres</cp:lastModifiedBy>
  <cp:revision>3</cp:revision>
  <cp:lastPrinted>2025-04-16T10:59:00Z</cp:lastPrinted>
  <dcterms:created xsi:type="dcterms:W3CDTF">2025-09-19T13:15:00Z</dcterms:created>
  <dcterms:modified xsi:type="dcterms:W3CDTF">2025-09-19T13:16:00Z</dcterms:modified>
</cp:coreProperties>
</file>