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5B79" w:rsidRPr="00266182" w:rsidP="00E30478" w14:paraId="4540EA66" w14:textId="77777777">
      <w:pPr>
        <w:pStyle w:val="Footer"/>
        <w:tabs>
          <w:tab w:val="clear" w:pos="4320"/>
          <w:tab w:val="center" w:pos="4680"/>
          <w:tab w:val="clear" w:pos="8640"/>
        </w:tabs>
        <w:jc w:val="center"/>
        <w:rPr>
          <w:rFonts w:ascii="Times New Roman" w:hAnsi="Times New Roman"/>
          <w:b/>
          <w:bCs/>
          <w:sz w:val="24"/>
          <w:szCs w:val="24"/>
        </w:rPr>
      </w:pPr>
      <w:r w:rsidRPr="00266182">
        <w:rPr>
          <w:rFonts w:ascii="Times New Roman" w:hAnsi="Times New Roman"/>
          <w:b/>
          <w:bCs/>
          <w:sz w:val="24"/>
          <w:szCs w:val="24"/>
        </w:rPr>
        <w:t>Supporting Statement</w:t>
      </w:r>
    </w:p>
    <w:p w:rsidR="00C25B79" w:rsidRPr="00266182" w14:paraId="666D35AD" w14:textId="614F49E8">
      <w:pPr>
        <w:tabs>
          <w:tab w:val="center" w:pos="4680"/>
        </w:tabs>
        <w:rPr>
          <w:rFonts w:ascii="Times New Roman" w:hAnsi="Times New Roman"/>
          <w:b/>
          <w:bCs/>
          <w:sz w:val="24"/>
          <w:szCs w:val="24"/>
        </w:rPr>
      </w:pPr>
      <w:r w:rsidRPr="00266182">
        <w:rPr>
          <w:rFonts w:ascii="Times New Roman" w:hAnsi="Times New Roman"/>
          <w:b/>
          <w:bCs/>
          <w:sz w:val="24"/>
          <w:szCs w:val="24"/>
        </w:rPr>
        <w:tab/>
      </w:r>
      <w:r w:rsidRPr="00266182" w:rsidR="002D6456">
        <w:rPr>
          <w:rFonts w:ascii="Times New Roman" w:hAnsi="Times New Roman"/>
          <w:b/>
          <w:bCs/>
          <w:sz w:val="24"/>
          <w:szCs w:val="24"/>
        </w:rPr>
        <w:t>C</w:t>
      </w:r>
      <w:r w:rsidRPr="00266182" w:rsidR="00AF2778">
        <w:rPr>
          <w:rFonts w:ascii="Times New Roman" w:hAnsi="Times New Roman"/>
          <w:b/>
          <w:bCs/>
          <w:sz w:val="24"/>
          <w:szCs w:val="24"/>
        </w:rPr>
        <w:t>overed Savings Association</w:t>
      </w:r>
      <w:r w:rsidRPr="00266182" w:rsidR="002D215C">
        <w:rPr>
          <w:rFonts w:ascii="Times New Roman" w:hAnsi="Times New Roman"/>
          <w:b/>
          <w:bCs/>
          <w:sz w:val="24"/>
          <w:szCs w:val="24"/>
        </w:rPr>
        <w:t>s</w:t>
      </w:r>
      <w:r w:rsidRPr="00266182" w:rsidR="00AF2778">
        <w:rPr>
          <w:rFonts w:ascii="Times New Roman" w:hAnsi="Times New Roman"/>
          <w:b/>
          <w:bCs/>
          <w:sz w:val="24"/>
          <w:szCs w:val="24"/>
        </w:rPr>
        <w:t xml:space="preserve"> Notice</w:t>
      </w:r>
      <w:r w:rsidRPr="00266182" w:rsidR="00D441A5">
        <w:rPr>
          <w:rFonts w:ascii="Times New Roman" w:hAnsi="Times New Roman"/>
          <w:b/>
          <w:bCs/>
          <w:sz w:val="24"/>
          <w:szCs w:val="24"/>
        </w:rPr>
        <w:t xml:space="preserve"> </w:t>
      </w:r>
      <w:r w:rsidRPr="00266182" w:rsidR="00D2656D">
        <w:rPr>
          <w:rFonts w:ascii="Times New Roman" w:hAnsi="Times New Roman"/>
          <w:b/>
          <w:bCs/>
          <w:sz w:val="24"/>
          <w:szCs w:val="24"/>
        </w:rPr>
        <w:t xml:space="preserve">– </w:t>
      </w:r>
      <w:r w:rsidRPr="00266182" w:rsidR="00D441A5">
        <w:rPr>
          <w:rFonts w:ascii="Times New Roman" w:hAnsi="Times New Roman"/>
          <w:b/>
          <w:bCs/>
          <w:sz w:val="24"/>
          <w:szCs w:val="24"/>
        </w:rPr>
        <w:t xml:space="preserve">12 CFR Part </w:t>
      </w:r>
      <w:r w:rsidRPr="00266182" w:rsidR="00E951CD">
        <w:rPr>
          <w:rFonts w:ascii="Times New Roman" w:hAnsi="Times New Roman"/>
          <w:b/>
          <w:bCs/>
          <w:sz w:val="24"/>
          <w:szCs w:val="24"/>
        </w:rPr>
        <w:t>101</w:t>
      </w:r>
    </w:p>
    <w:p w:rsidR="002B6AAE" w:rsidRPr="00266182" w:rsidP="002B6AAE" w14:paraId="06B119E6" w14:textId="77777777">
      <w:pPr>
        <w:jc w:val="center"/>
        <w:outlineLvl w:val="0"/>
        <w:rPr>
          <w:rFonts w:ascii="Times New Roman" w:hAnsi="Times New Roman"/>
          <w:b/>
          <w:bCs/>
          <w:sz w:val="24"/>
          <w:szCs w:val="24"/>
        </w:rPr>
      </w:pPr>
      <w:r w:rsidRPr="00266182">
        <w:rPr>
          <w:rFonts w:ascii="Times New Roman" w:hAnsi="Times New Roman"/>
          <w:b/>
          <w:bCs/>
          <w:sz w:val="24"/>
          <w:szCs w:val="24"/>
        </w:rPr>
        <w:t>OMB Control No. 1557-0341</w:t>
      </w:r>
    </w:p>
    <w:p w:rsidR="002B6AAE" w:rsidRPr="00266182" w:rsidP="002B6AAE" w14:paraId="533B3D2F" w14:textId="77777777">
      <w:pPr>
        <w:rPr>
          <w:rFonts w:ascii="Times New Roman" w:hAnsi="Times New Roman"/>
          <w:sz w:val="24"/>
          <w:szCs w:val="24"/>
        </w:rPr>
      </w:pPr>
    </w:p>
    <w:p w:rsidR="00C25B79" w:rsidRPr="00266182" w14:paraId="22A7097F" w14:textId="77777777">
      <w:pPr>
        <w:rPr>
          <w:rFonts w:ascii="Times New Roman" w:hAnsi="Times New Roman"/>
          <w:sz w:val="24"/>
          <w:szCs w:val="24"/>
        </w:rPr>
      </w:pPr>
    </w:p>
    <w:p w:rsidR="00C25B79" w:rsidRPr="00266182" w14:paraId="7D24034E" w14:textId="77777777">
      <w:pPr>
        <w:rPr>
          <w:rFonts w:ascii="Times New Roman" w:hAnsi="Times New Roman"/>
          <w:b/>
          <w:bCs/>
          <w:i/>
          <w:sz w:val="24"/>
          <w:szCs w:val="24"/>
        </w:rPr>
      </w:pPr>
      <w:r w:rsidRPr="00266182">
        <w:rPr>
          <w:rFonts w:ascii="Times New Roman" w:hAnsi="Times New Roman"/>
          <w:b/>
          <w:bCs/>
          <w:i/>
          <w:sz w:val="24"/>
          <w:szCs w:val="24"/>
        </w:rPr>
        <w:t>A.</w:t>
      </w:r>
      <w:r w:rsidRPr="00266182">
        <w:rPr>
          <w:rFonts w:ascii="Times New Roman" w:hAnsi="Times New Roman"/>
          <w:b/>
          <w:bCs/>
          <w:i/>
          <w:sz w:val="24"/>
          <w:szCs w:val="24"/>
        </w:rPr>
        <w:tab/>
        <w:t>Justification</w:t>
      </w:r>
      <w:r w:rsidRPr="00266182" w:rsidR="00F335AE">
        <w:rPr>
          <w:rFonts w:ascii="Times New Roman" w:hAnsi="Times New Roman"/>
          <w:b/>
          <w:bCs/>
          <w:i/>
          <w:sz w:val="24"/>
          <w:szCs w:val="24"/>
        </w:rPr>
        <w:t>.</w:t>
      </w:r>
    </w:p>
    <w:p w:rsidR="00C25B79" w:rsidRPr="00266182" w14:paraId="699FD40D" w14:textId="77777777">
      <w:pPr>
        <w:rPr>
          <w:rFonts w:ascii="Times New Roman" w:hAnsi="Times New Roman"/>
          <w:sz w:val="24"/>
          <w:szCs w:val="24"/>
        </w:rPr>
      </w:pPr>
    </w:p>
    <w:p w:rsidR="001A33BF" w:rsidRPr="00266182" w:rsidP="001A33BF" w14:paraId="3396D55C" w14:textId="77777777">
      <w:pPr>
        <w:rPr>
          <w:rFonts w:ascii="Times New Roman" w:hAnsi="Times New Roman"/>
          <w:b/>
          <w:i/>
          <w:sz w:val="24"/>
          <w:szCs w:val="24"/>
        </w:rPr>
      </w:pPr>
      <w:r w:rsidRPr="00266182">
        <w:rPr>
          <w:rFonts w:ascii="Times New Roman" w:hAnsi="Times New Roman"/>
          <w:b/>
          <w:bCs/>
          <w:i/>
          <w:iCs/>
          <w:sz w:val="24"/>
          <w:szCs w:val="24"/>
        </w:rPr>
        <w:t>1.</w:t>
      </w:r>
      <w:r w:rsidRPr="00266182">
        <w:rPr>
          <w:rFonts w:ascii="Times New Roman" w:hAnsi="Times New Roman"/>
          <w:b/>
          <w:bCs/>
          <w:i/>
          <w:iCs/>
          <w:sz w:val="24"/>
          <w:szCs w:val="24"/>
        </w:rPr>
        <w:tab/>
      </w:r>
      <w:r w:rsidRPr="00266182" w:rsidR="00E30478">
        <w:rPr>
          <w:rFonts w:ascii="Times New Roman" w:hAnsi="Times New Roman"/>
          <w:b/>
          <w:i/>
          <w:sz w:val="24"/>
          <w:szCs w:val="24"/>
        </w:rPr>
        <w:t>Circumstances that make the collection necessary:</w:t>
      </w:r>
    </w:p>
    <w:p w:rsidR="00266182" w:rsidRPr="00266182" w:rsidP="00266182" w14:paraId="50BE328B" w14:textId="77777777">
      <w:pPr>
        <w:tabs>
          <w:tab w:val="num" w:pos="770"/>
          <w:tab w:val="left" w:pos="2534"/>
          <w:tab w:val="left" w:pos="6233"/>
        </w:tabs>
        <w:rPr>
          <w:rFonts w:ascii="Times New Roman" w:hAnsi="Times New Roman"/>
          <w:sz w:val="24"/>
          <w:szCs w:val="24"/>
        </w:rPr>
      </w:pPr>
      <w:r w:rsidRPr="00266182">
        <w:rPr>
          <w:rFonts w:ascii="Times New Roman" w:hAnsi="Times New Roman"/>
          <w:b/>
          <w:i/>
          <w:sz w:val="24"/>
          <w:szCs w:val="24"/>
        </w:rPr>
        <w:tab/>
      </w:r>
    </w:p>
    <w:p w:rsidR="00266182" w:rsidP="00266182" w14:paraId="034D2A5B" w14:textId="170889DD">
      <w:pPr>
        <w:tabs>
          <w:tab w:val="num" w:pos="770"/>
          <w:tab w:val="left" w:pos="2534"/>
          <w:tab w:val="left" w:pos="6233"/>
        </w:tabs>
        <w:rPr>
          <w:rFonts w:ascii="Times New Roman" w:hAnsi="Times New Roman"/>
          <w:sz w:val="24"/>
          <w:szCs w:val="24"/>
        </w:rPr>
      </w:pPr>
      <w:r w:rsidRPr="00266182">
        <w:rPr>
          <w:rFonts w:ascii="Times New Roman" w:hAnsi="Times New Roman"/>
          <w:sz w:val="24"/>
          <w:szCs w:val="24"/>
        </w:rPr>
        <w:tab/>
        <w:t xml:space="preserve">The Home Owners’ Loan Act (HOLA), as amended by the Economic Growth, Regulatory Relief, and Consumer Protection Act (EGRRCPA), allows a Federal savings association (FSA) with total consolidated assets of $20 billion or less, as of December 31, 2017, to elect to operate as a covered savings association (CSA).  This section of HOLA requires the OCC to issue rules that, among other things, establish streamlined standards and procedures for FSA elections to operate as CSAs and clarify the requirements for the treatment of CSAs.  A CSA has the same rights and privileges as a national bank and is subject to the same duties and restrictions as a national bank.  </w:t>
      </w:r>
    </w:p>
    <w:p w:rsidR="00C25B79" w:rsidP="00266182" w14:paraId="24D3DB64" w14:textId="77777777">
      <w:pPr>
        <w:tabs>
          <w:tab w:val="num" w:pos="770"/>
          <w:tab w:val="left" w:pos="2534"/>
          <w:tab w:val="left" w:pos="6233"/>
        </w:tabs>
        <w:rPr>
          <w:rFonts w:ascii="Times New Roman" w:hAnsi="Times New Roman"/>
          <w:sz w:val="24"/>
        </w:rPr>
      </w:pPr>
    </w:p>
    <w:p w:rsidR="001A33BF" w:rsidP="001A33BF" w14:paraId="6E945BE0" w14:textId="77777777">
      <w:pPr>
        <w:pStyle w:val="BodyText"/>
        <w:widowControl w:val="0"/>
        <w:ind w:right="162"/>
        <w:jc w:val="both"/>
        <w:rPr>
          <w:rFonts w:ascii="Times New Roman" w:hAnsi="Times New Roman"/>
          <w:b/>
          <w:i/>
          <w:u w:val="none"/>
        </w:rPr>
      </w:pPr>
      <w:r>
        <w:rPr>
          <w:rFonts w:ascii="Times New Roman" w:hAnsi="Times New Roman"/>
          <w:b/>
          <w:bCs/>
          <w:i/>
          <w:iCs/>
          <w:u w:val="none"/>
        </w:rPr>
        <w:t>2.</w:t>
      </w:r>
      <w:r>
        <w:rPr>
          <w:rFonts w:ascii="Times New Roman" w:hAnsi="Times New Roman"/>
          <w:b/>
          <w:bCs/>
          <w:i/>
          <w:iCs/>
          <w:u w:val="none"/>
        </w:rPr>
        <w:tab/>
      </w:r>
      <w:r w:rsidR="00E30478">
        <w:rPr>
          <w:rFonts w:ascii="Times New Roman" w:hAnsi="Times New Roman"/>
          <w:b/>
          <w:i/>
          <w:spacing w:val="-1"/>
          <w:u w:val="none"/>
        </w:rPr>
        <w:t>Use of the information:</w:t>
      </w:r>
    </w:p>
    <w:p w:rsidR="005F740E" w:rsidP="00A32A8F" w14:paraId="4C958454" w14:textId="77777777">
      <w:pPr>
        <w:pStyle w:val="BodyText"/>
        <w:widowControl w:val="0"/>
        <w:tabs>
          <w:tab w:val="left" w:pos="720"/>
        </w:tabs>
        <w:ind w:right="205"/>
        <w:rPr>
          <w:rFonts w:ascii="Times New Roman" w:hAnsi="Times New Roman"/>
          <w:bCs/>
          <w:iCs/>
          <w:u w:val="none"/>
        </w:rPr>
      </w:pPr>
    </w:p>
    <w:p w:rsidR="00266182" w:rsidP="00266182" w14:paraId="413180D5" w14:textId="2852A82A">
      <w:pPr>
        <w:ind w:firstLine="720"/>
        <w:rPr>
          <w:rFonts w:ascii="Times New Roman" w:hAnsi="Times New Roman"/>
          <w:sz w:val="24"/>
          <w:szCs w:val="24"/>
        </w:rPr>
      </w:pPr>
      <w:r w:rsidRPr="00266182">
        <w:rPr>
          <w:rFonts w:ascii="Times New Roman" w:hAnsi="Times New Roman"/>
          <w:sz w:val="24"/>
          <w:szCs w:val="24"/>
        </w:rPr>
        <w:t>Twelve CFR part 101 allows FSAs to elect national bank powers and operate as CSAs.  An FSA seeking to operate as a CSA is required under 12 CFR 101.3(a) to submit a notice making an election to the OCC that: (1) is signed by a duly authorized officer of the FSA and (2) identifies and describes any nonconforming subsidiaries, assets, or activities that the FSA operates, holds, or conducts at the time it submits its notice.</w:t>
      </w:r>
    </w:p>
    <w:p w:rsidR="00266182" w:rsidRPr="00266182" w:rsidP="00266182" w14:paraId="232833B0" w14:textId="77777777">
      <w:pPr>
        <w:ind w:firstLine="720"/>
        <w:rPr>
          <w:rFonts w:ascii="Times New Roman" w:hAnsi="Times New Roman"/>
          <w:sz w:val="24"/>
          <w:szCs w:val="24"/>
        </w:rPr>
      </w:pPr>
    </w:p>
    <w:p w:rsidR="00266182" w:rsidP="00266182" w14:paraId="5853A547" w14:textId="77777777">
      <w:pPr>
        <w:ind w:firstLine="720"/>
        <w:rPr>
          <w:rFonts w:ascii="Times New Roman" w:hAnsi="Times New Roman"/>
          <w:sz w:val="24"/>
          <w:szCs w:val="24"/>
        </w:rPr>
      </w:pPr>
      <w:r w:rsidRPr="00266182">
        <w:rPr>
          <w:rFonts w:ascii="Times New Roman" w:hAnsi="Times New Roman"/>
          <w:sz w:val="24"/>
          <w:szCs w:val="24"/>
        </w:rPr>
        <w:t xml:space="preserve">Under 12 CFR 101.5(a), the OCC may require a CSA to submit a plan to divest, conform, or discontinue a nonconforming subsidiary, asset, or activity. </w:t>
      </w:r>
    </w:p>
    <w:p w:rsidR="00266182" w:rsidRPr="00266182" w:rsidP="00266182" w14:paraId="1BF8736E" w14:textId="77777777">
      <w:pPr>
        <w:ind w:firstLine="720"/>
        <w:rPr>
          <w:rFonts w:ascii="Times New Roman" w:hAnsi="Times New Roman"/>
          <w:sz w:val="24"/>
          <w:szCs w:val="24"/>
        </w:rPr>
      </w:pPr>
    </w:p>
    <w:p w:rsidR="00266182" w:rsidRPr="00266182" w:rsidP="00266182" w14:paraId="25710640" w14:textId="4401DBAA">
      <w:pPr>
        <w:ind w:firstLine="720"/>
        <w:rPr>
          <w:rFonts w:ascii="Times New Roman" w:hAnsi="Times New Roman"/>
          <w:sz w:val="24"/>
          <w:szCs w:val="24"/>
        </w:rPr>
      </w:pPr>
      <w:r w:rsidRPr="00266182">
        <w:rPr>
          <w:rFonts w:ascii="Times New Roman" w:hAnsi="Times New Roman"/>
          <w:sz w:val="24"/>
          <w:szCs w:val="24"/>
        </w:rPr>
        <w:t>A CSA may submit a notice to terminate its election to operate as a CSA under 12</w:t>
      </w:r>
      <w:r w:rsidR="00F35981">
        <w:rPr>
          <w:rFonts w:ascii="Times New Roman" w:hAnsi="Times New Roman"/>
          <w:sz w:val="24"/>
          <w:szCs w:val="24"/>
        </w:rPr>
        <w:t> </w:t>
      </w:r>
      <w:r w:rsidRPr="00266182">
        <w:rPr>
          <w:rFonts w:ascii="Times New Roman" w:hAnsi="Times New Roman"/>
          <w:sz w:val="24"/>
          <w:szCs w:val="24"/>
        </w:rPr>
        <w:t>CFR</w:t>
      </w:r>
      <w:r w:rsidR="00F35981">
        <w:rPr>
          <w:rFonts w:ascii="Times New Roman" w:hAnsi="Times New Roman"/>
          <w:sz w:val="24"/>
          <w:szCs w:val="24"/>
        </w:rPr>
        <w:t> </w:t>
      </w:r>
      <w:r w:rsidRPr="00266182">
        <w:rPr>
          <w:rFonts w:ascii="Times New Roman" w:hAnsi="Times New Roman"/>
          <w:sz w:val="24"/>
          <w:szCs w:val="24"/>
        </w:rPr>
        <w:t xml:space="preserve">101.6 using procedures </w:t>
      </w:r>
      <w:r w:rsidR="00856C69">
        <w:rPr>
          <w:rFonts w:ascii="Times New Roman" w:hAnsi="Times New Roman"/>
          <w:sz w:val="24"/>
          <w:szCs w:val="24"/>
        </w:rPr>
        <w:t xml:space="preserve">similar </w:t>
      </w:r>
      <w:r w:rsidRPr="00266182">
        <w:rPr>
          <w:rFonts w:ascii="Times New Roman" w:hAnsi="Times New Roman"/>
          <w:sz w:val="24"/>
          <w:szCs w:val="24"/>
        </w:rPr>
        <w:t>to</w:t>
      </w:r>
      <w:r w:rsidRPr="00266182">
        <w:rPr>
          <w:rFonts w:ascii="Times New Roman" w:hAnsi="Times New Roman"/>
          <w:sz w:val="24"/>
          <w:szCs w:val="24"/>
        </w:rPr>
        <w:t xml:space="preserve"> those for an election. In addition, after a period of five years, an FSA that has terminated its election to operate as a CSA may submit a notice under 12</w:t>
      </w:r>
      <w:r w:rsidR="00F35981">
        <w:rPr>
          <w:rFonts w:ascii="Times New Roman" w:hAnsi="Times New Roman"/>
          <w:sz w:val="24"/>
          <w:szCs w:val="24"/>
        </w:rPr>
        <w:t> </w:t>
      </w:r>
      <w:r w:rsidRPr="00266182">
        <w:rPr>
          <w:rFonts w:ascii="Times New Roman" w:hAnsi="Times New Roman"/>
          <w:sz w:val="24"/>
          <w:szCs w:val="24"/>
        </w:rPr>
        <w:t>CFR 101.7 to reelect using the same procedures used for its original election.</w:t>
      </w:r>
    </w:p>
    <w:p w:rsidR="00A32A8F" w:rsidP="005F740E" w14:paraId="65098248" w14:textId="77777777">
      <w:pPr>
        <w:ind w:firstLine="720"/>
        <w:rPr>
          <w:rFonts w:ascii="Times New Roman" w:hAnsi="Times New Roman"/>
          <w:sz w:val="24"/>
          <w:szCs w:val="24"/>
        </w:rPr>
      </w:pPr>
    </w:p>
    <w:p w:rsidR="001A33BF" w:rsidP="001A33BF" w14:paraId="38D7DDD9" w14:textId="77777777">
      <w:pPr>
        <w:pStyle w:val="BodyText"/>
        <w:widowControl w:val="0"/>
        <w:tabs>
          <w:tab w:val="left" w:pos="720"/>
        </w:tabs>
        <w:ind w:left="100" w:right="205"/>
        <w:rPr>
          <w:rFonts w:ascii="Times New Roman" w:hAnsi="Times New Roman"/>
          <w:b/>
          <w:i/>
          <w:u w:val="none"/>
        </w:rPr>
      </w:pPr>
      <w:r>
        <w:rPr>
          <w:rFonts w:ascii="Times New Roman" w:hAnsi="Times New Roman"/>
          <w:b/>
          <w:bCs/>
          <w:i/>
          <w:iCs/>
          <w:u w:val="none"/>
        </w:rPr>
        <w:t>3.</w:t>
      </w:r>
      <w:r>
        <w:rPr>
          <w:rFonts w:ascii="Times New Roman" w:hAnsi="Times New Roman"/>
          <w:b/>
          <w:bCs/>
          <w:i/>
          <w:iCs/>
          <w:u w:val="none"/>
        </w:rPr>
        <w:tab/>
      </w:r>
      <w:r w:rsidR="00B021B1">
        <w:rPr>
          <w:rFonts w:ascii="Times New Roman" w:hAnsi="Times New Roman"/>
          <w:b/>
          <w:i/>
          <w:spacing w:val="-1"/>
          <w:u w:val="none"/>
        </w:rPr>
        <w:t>Consideration of the use of improved information technology:</w:t>
      </w:r>
    </w:p>
    <w:p w:rsidR="00C25B79" w14:paraId="4C669191" w14:textId="77777777">
      <w:pPr>
        <w:rPr>
          <w:rFonts w:ascii="Times New Roman" w:hAnsi="Times New Roman"/>
          <w:sz w:val="24"/>
        </w:rPr>
      </w:pPr>
    </w:p>
    <w:p w:rsidR="00C25B79" w:rsidP="002C1147" w14:paraId="15EB494F" w14:textId="77777777">
      <w:pPr>
        <w:ind w:firstLine="720"/>
        <w:rPr>
          <w:rFonts w:ascii="Times New Roman" w:hAnsi="Times New Roman"/>
          <w:sz w:val="24"/>
        </w:rPr>
      </w:pPr>
      <w:r>
        <w:rPr>
          <w:rFonts w:ascii="Times New Roman" w:hAnsi="Times New Roman"/>
          <w:sz w:val="24"/>
        </w:rPr>
        <w:t>FSAs may use any improved information technology that allows them to meet the requirements of the rule.</w:t>
      </w:r>
      <w:r>
        <w:rPr>
          <w:rFonts w:ascii="Times New Roman" w:hAnsi="Times New Roman"/>
          <w:sz w:val="24"/>
        </w:rPr>
        <w:t xml:space="preserve">  </w:t>
      </w:r>
    </w:p>
    <w:p w:rsidR="00C25B79" w14:paraId="7E68292C" w14:textId="77777777">
      <w:pPr>
        <w:rPr>
          <w:rFonts w:ascii="Times New Roman" w:hAnsi="Times New Roman"/>
          <w:sz w:val="24"/>
        </w:rPr>
      </w:pPr>
    </w:p>
    <w:p w:rsidR="001A33BF" w:rsidP="001A33BF" w14:paraId="7D007624" w14:textId="77777777">
      <w:pPr>
        <w:pStyle w:val="BodyText"/>
        <w:widowControl w:val="0"/>
        <w:ind w:left="100" w:right="141"/>
        <w:jc w:val="both"/>
        <w:rPr>
          <w:rFonts w:ascii="Times New Roman" w:hAnsi="Times New Roman"/>
          <w:b/>
          <w:i/>
          <w:u w:val="none"/>
        </w:rPr>
      </w:pPr>
      <w:r>
        <w:rPr>
          <w:rFonts w:ascii="Times New Roman" w:hAnsi="Times New Roman"/>
          <w:b/>
          <w:bCs/>
          <w:i/>
          <w:iCs/>
          <w:u w:val="none"/>
        </w:rPr>
        <w:t>4.</w:t>
      </w:r>
      <w:r>
        <w:rPr>
          <w:rFonts w:ascii="Times New Roman" w:hAnsi="Times New Roman"/>
          <w:b/>
          <w:bCs/>
          <w:i/>
          <w:iCs/>
          <w:u w:val="none"/>
        </w:rPr>
        <w:tab/>
      </w:r>
      <w:r w:rsidR="00B021B1">
        <w:rPr>
          <w:rFonts w:ascii="Times New Roman" w:hAnsi="Times New Roman"/>
          <w:b/>
          <w:i/>
          <w:spacing w:val="-1"/>
          <w:u w:val="none"/>
        </w:rPr>
        <w:t>Efforts to identify duplication:</w:t>
      </w:r>
    </w:p>
    <w:p w:rsidR="00C25B79" w14:paraId="15C13858" w14:textId="77777777">
      <w:pPr>
        <w:rPr>
          <w:rFonts w:ascii="Times New Roman" w:hAnsi="Times New Roman"/>
          <w:sz w:val="24"/>
        </w:rPr>
      </w:pPr>
    </w:p>
    <w:p w:rsidR="00C25B79" w:rsidP="002C1147" w14:paraId="309B45C9" w14:textId="77777777">
      <w:pPr>
        <w:ind w:firstLine="720"/>
        <w:rPr>
          <w:rFonts w:ascii="Times New Roman" w:hAnsi="Times New Roman"/>
          <w:sz w:val="24"/>
        </w:rPr>
      </w:pPr>
      <w:r>
        <w:rPr>
          <w:rFonts w:ascii="Times New Roman" w:hAnsi="Times New Roman"/>
          <w:sz w:val="24"/>
        </w:rPr>
        <w:t>This information is not duplicated elsewhere.</w:t>
      </w:r>
    </w:p>
    <w:p w:rsidR="00C25B79" w14:paraId="4FD1043D" w14:textId="77777777">
      <w:pPr>
        <w:rPr>
          <w:rFonts w:ascii="Times New Roman" w:hAnsi="Times New Roman"/>
          <w:sz w:val="24"/>
        </w:rPr>
      </w:pPr>
    </w:p>
    <w:p w:rsidR="00F35981" w14:paraId="58D193F6" w14:textId="77777777">
      <w:pPr>
        <w:rPr>
          <w:rFonts w:ascii="Times New Roman" w:hAnsi="Times New Roman"/>
          <w:b/>
          <w:bCs/>
          <w:i/>
          <w:iCs/>
          <w:sz w:val="24"/>
        </w:rPr>
      </w:pPr>
      <w:r>
        <w:rPr>
          <w:rFonts w:ascii="Times New Roman" w:hAnsi="Times New Roman"/>
          <w:b/>
          <w:bCs/>
          <w:i/>
          <w:iCs/>
          <w:sz w:val="24"/>
        </w:rPr>
        <w:br w:type="page"/>
      </w:r>
    </w:p>
    <w:p w:rsidR="00B021B1" w:rsidRPr="00B021B1" w:rsidP="00B021B1" w14:paraId="209C784C" w14:textId="78FB3949">
      <w:pPr>
        <w:rPr>
          <w:rFonts w:ascii="Times New Roman" w:hAnsi="Times New Roman"/>
          <w:b/>
          <w:bCs/>
          <w:i/>
          <w:iCs/>
          <w:sz w:val="24"/>
        </w:rPr>
      </w:pPr>
      <w:r w:rsidRPr="00B021B1">
        <w:rPr>
          <w:rFonts w:ascii="Times New Roman" w:hAnsi="Times New Roman"/>
          <w:b/>
          <w:bCs/>
          <w:i/>
          <w:iCs/>
          <w:sz w:val="24"/>
        </w:rPr>
        <w:t>5.</w:t>
      </w:r>
      <w:r w:rsidRPr="00B021B1">
        <w:rPr>
          <w:rFonts w:ascii="Times New Roman" w:hAnsi="Times New Roman"/>
          <w:b/>
          <w:bCs/>
          <w:i/>
          <w:iCs/>
          <w:sz w:val="24"/>
        </w:rPr>
        <w:tab/>
        <w:t>If the collection of information impacts small businesses or other small entities, describe any methods used to minimize burden.</w:t>
      </w:r>
    </w:p>
    <w:p w:rsidR="00B021B1" w:rsidP="00B021B1" w14:paraId="2DBFB0CF" w14:textId="77777777">
      <w:pPr>
        <w:rPr>
          <w:rFonts w:ascii="Times New Roman" w:hAnsi="Times New Roman"/>
          <w:b/>
          <w:bCs/>
          <w:i/>
          <w:iCs/>
          <w:sz w:val="24"/>
        </w:rPr>
      </w:pPr>
    </w:p>
    <w:p w:rsidR="003A79B3" w:rsidP="003A79B3" w14:paraId="2DEECDB1" w14:textId="22743675">
      <w:pPr>
        <w:rPr>
          <w:rFonts w:ascii="Calibri" w:hAnsi="Calibri"/>
          <w:color w:val="1F497D"/>
        </w:rPr>
      </w:pPr>
      <w:r>
        <w:rPr>
          <w:rFonts w:ascii="Times New Roman" w:hAnsi="Times New Roman"/>
          <w:b/>
          <w:bCs/>
          <w:iCs/>
          <w:sz w:val="24"/>
        </w:rPr>
        <w:tab/>
      </w:r>
      <w:r>
        <w:rPr>
          <w:rFonts w:ascii="Times New Roman" w:hAnsi="Times New Roman"/>
          <w:sz w:val="24"/>
          <w:szCs w:val="24"/>
        </w:rPr>
        <w:t>This collection allows small FSAs (with total consolidated assets of $20 billion or less</w:t>
      </w:r>
      <w:r w:rsidR="00F62272">
        <w:rPr>
          <w:rFonts w:ascii="Times New Roman" w:hAnsi="Times New Roman"/>
          <w:sz w:val="24"/>
          <w:szCs w:val="24"/>
        </w:rPr>
        <w:t>,</w:t>
      </w:r>
      <w:r w:rsidR="00086948">
        <w:rPr>
          <w:rFonts w:ascii="Times New Roman" w:hAnsi="Times New Roman"/>
          <w:sz w:val="24"/>
          <w:szCs w:val="24"/>
        </w:rPr>
        <w:t xml:space="preserve"> as of</w:t>
      </w:r>
      <w:r w:rsidR="00F62272">
        <w:rPr>
          <w:rFonts w:ascii="Times New Roman" w:hAnsi="Times New Roman"/>
          <w:sz w:val="24"/>
          <w:szCs w:val="24"/>
        </w:rPr>
        <w:t xml:space="preserve"> December 31, 2017</w:t>
      </w:r>
      <w:r>
        <w:rPr>
          <w:rFonts w:ascii="Times New Roman" w:hAnsi="Times New Roman"/>
          <w:sz w:val="24"/>
          <w:szCs w:val="24"/>
        </w:rPr>
        <w:t xml:space="preserve">) to elect to operate as </w:t>
      </w:r>
      <w:r w:rsidR="0048217E">
        <w:rPr>
          <w:rFonts w:ascii="Times New Roman" w:hAnsi="Times New Roman"/>
          <w:sz w:val="24"/>
          <w:szCs w:val="24"/>
        </w:rPr>
        <w:t>CSAs</w:t>
      </w:r>
      <w:r>
        <w:rPr>
          <w:rFonts w:ascii="Times New Roman" w:hAnsi="Times New Roman"/>
          <w:sz w:val="24"/>
          <w:szCs w:val="24"/>
        </w:rPr>
        <w:t xml:space="preserve"> through a notice process.  The notice process collects the minimum amount of information necessary to determine whether an FSA is eligible to operate as a </w:t>
      </w:r>
      <w:r w:rsidR="0048217E">
        <w:rPr>
          <w:rFonts w:ascii="Times New Roman" w:hAnsi="Times New Roman"/>
          <w:sz w:val="24"/>
          <w:szCs w:val="24"/>
        </w:rPr>
        <w:t>CSA</w:t>
      </w:r>
      <w:r>
        <w:rPr>
          <w:rFonts w:ascii="Times New Roman" w:hAnsi="Times New Roman"/>
          <w:sz w:val="24"/>
          <w:szCs w:val="24"/>
        </w:rPr>
        <w:t>.</w:t>
      </w:r>
    </w:p>
    <w:p w:rsidR="00C25B79" w14:paraId="3D55C6A2" w14:textId="77777777">
      <w:pPr>
        <w:rPr>
          <w:rFonts w:ascii="Times New Roman" w:hAnsi="Times New Roman"/>
          <w:sz w:val="24"/>
        </w:rPr>
      </w:pPr>
    </w:p>
    <w:p w:rsidR="001A33BF" w:rsidP="001A33BF" w14:paraId="1EB20BB2" w14:textId="2927E51D">
      <w:pPr>
        <w:pStyle w:val="BodyText"/>
        <w:widowControl w:val="0"/>
        <w:tabs>
          <w:tab w:val="left" w:pos="340"/>
          <w:tab w:val="left" w:pos="630"/>
        </w:tabs>
        <w:ind w:left="100" w:right="205"/>
        <w:rPr>
          <w:rFonts w:ascii="Times New Roman" w:hAnsi="Times New Roman"/>
          <w:b/>
          <w:i/>
          <w:u w:val="none"/>
        </w:rPr>
      </w:pPr>
      <w:r>
        <w:rPr>
          <w:rFonts w:ascii="Times New Roman" w:hAnsi="Times New Roman"/>
          <w:b/>
          <w:bCs/>
          <w:i/>
          <w:iCs/>
          <w:u w:val="none"/>
        </w:rPr>
        <w:t>6.</w:t>
      </w:r>
      <w:r>
        <w:rPr>
          <w:rFonts w:ascii="Times New Roman" w:hAnsi="Times New Roman"/>
          <w:b/>
          <w:bCs/>
          <w:i/>
          <w:iCs/>
          <w:u w:val="none"/>
        </w:rPr>
        <w:tab/>
        <w:t xml:space="preserve">     </w:t>
      </w:r>
      <w:r w:rsidR="00A05D30">
        <w:rPr>
          <w:rFonts w:ascii="Times New Roman" w:hAnsi="Times New Roman"/>
          <w:b/>
          <w:i/>
          <w:spacing w:val="-1"/>
          <w:u w:val="none"/>
        </w:rPr>
        <w:t xml:space="preserve">Consequences to the </w:t>
      </w:r>
      <w:r w:rsidR="0048217E">
        <w:rPr>
          <w:rFonts w:ascii="Times New Roman" w:hAnsi="Times New Roman"/>
          <w:b/>
          <w:i/>
          <w:spacing w:val="-1"/>
          <w:u w:val="none"/>
        </w:rPr>
        <w:t>F</w:t>
      </w:r>
      <w:r w:rsidR="00A05D30">
        <w:rPr>
          <w:rFonts w:ascii="Times New Roman" w:hAnsi="Times New Roman"/>
          <w:b/>
          <w:i/>
          <w:spacing w:val="-1"/>
          <w:u w:val="none"/>
        </w:rPr>
        <w:t>ederal program if the collection were conducted less frequently:</w:t>
      </w:r>
    </w:p>
    <w:p w:rsidR="00C25B79" w14:paraId="2F777326" w14:textId="77777777">
      <w:pPr>
        <w:rPr>
          <w:rFonts w:ascii="Times New Roman" w:hAnsi="Times New Roman"/>
          <w:sz w:val="24"/>
        </w:rPr>
      </w:pPr>
    </w:p>
    <w:p w:rsidR="00C25B79" w:rsidP="002C1147" w14:paraId="14893739" w14:textId="7A8D4600">
      <w:pPr>
        <w:ind w:firstLine="720"/>
        <w:rPr>
          <w:rFonts w:ascii="Times New Roman" w:hAnsi="Times New Roman"/>
          <w:sz w:val="24"/>
        </w:rPr>
      </w:pPr>
      <w:r>
        <w:rPr>
          <w:rFonts w:ascii="Times New Roman" w:hAnsi="Times New Roman"/>
          <w:sz w:val="24"/>
        </w:rPr>
        <w:t xml:space="preserve">If the collection were conducted less frequently, FSAs would </w:t>
      </w:r>
      <w:r w:rsidR="00BE1787">
        <w:rPr>
          <w:rFonts w:ascii="Times New Roman" w:hAnsi="Times New Roman"/>
          <w:sz w:val="24"/>
        </w:rPr>
        <w:t xml:space="preserve">not be able to avail themselves of the benefits of </w:t>
      </w:r>
      <w:r w:rsidR="00320E20">
        <w:rPr>
          <w:rFonts w:ascii="Times New Roman" w:hAnsi="Times New Roman"/>
          <w:sz w:val="24"/>
        </w:rPr>
        <w:t xml:space="preserve">electing to operate as </w:t>
      </w:r>
      <w:r w:rsidR="0048217E">
        <w:rPr>
          <w:rFonts w:ascii="Times New Roman" w:hAnsi="Times New Roman"/>
          <w:sz w:val="24"/>
        </w:rPr>
        <w:t>CSA</w:t>
      </w:r>
      <w:r w:rsidR="0075464E">
        <w:rPr>
          <w:rFonts w:ascii="Times New Roman" w:hAnsi="Times New Roman"/>
          <w:sz w:val="24"/>
        </w:rPr>
        <w:t>s</w:t>
      </w:r>
      <w:r w:rsidR="00320E20">
        <w:rPr>
          <w:rFonts w:ascii="Times New Roman" w:hAnsi="Times New Roman"/>
          <w:sz w:val="24"/>
        </w:rPr>
        <w:t xml:space="preserve"> </w:t>
      </w:r>
      <w:r w:rsidR="00BE1787">
        <w:rPr>
          <w:rFonts w:ascii="Times New Roman" w:hAnsi="Times New Roman"/>
          <w:sz w:val="24"/>
        </w:rPr>
        <w:t>in a timely manner.</w:t>
      </w:r>
      <w:r>
        <w:rPr>
          <w:rFonts w:ascii="Times New Roman" w:hAnsi="Times New Roman"/>
          <w:sz w:val="24"/>
        </w:rPr>
        <w:t xml:space="preserve"> </w:t>
      </w:r>
    </w:p>
    <w:p w:rsidR="00C25B79" w14:paraId="6F1844F2" w14:textId="77777777">
      <w:pPr>
        <w:rPr>
          <w:rFonts w:ascii="Times New Roman" w:hAnsi="Times New Roman"/>
          <w:sz w:val="24"/>
        </w:rPr>
      </w:pPr>
    </w:p>
    <w:p w:rsidR="001A33BF" w:rsidRPr="001A33BF" w:rsidP="001A33BF" w14:paraId="1119DD72" w14:textId="77777777">
      <w:pPr>
        <w:rPr>
          <w:rFonts w:ascii="Times New Roman" w:hAnsi="Times New Roman"/>
          <w:b/>
          <w:bCs/>
          <w:i/>
          <w:iCs/>
          <w:sz w:val="24"/>
          <w:szCs w:val="24"/>
        </w:rPr>
      </w:pPr>
      <w:r w:rsidRPr="001A33BF">
        <w:rPr>
          <w:rFonts w:ascii="Times New Roman" w:hAnsi="Times New Roman"/>
          <w:b/>
          <w:bCs/>
          <w:i/>
          <w:iCs/>
          <w:sz w:val="24"/>
          <w:szCs w:val="24"/>
        </w:rPr>
        <w:t xml:space="preserve">7.        </w:t>
      </w:r>
      <w:r w:rsidR="00A05D30">
        <w:rPr>
          <w:rFonts w:ascii="Times New Roman" w:hAnsi="Times New Roman"/>
          <w:b/>
          <w:bCs/>
          <w:i/>
          <w:iCs/>
          <w:sz w:val="24"/>
          <w:szCs w:val="24"/>
        </w:rPr>
        <w:t>Special circumstances that would cause an information collection to be conducted in a manner inconsistent with 12 CFR part 1320:</w:t>
      </w:r>
    </w:p>
    <w:p w:rsidR="00C25B79" w14:paraId="285116B0" w14:textId="77777777">
      <w:pPr>
        <w:rPr>
          <w:rFonts w:ascii="Times New Roman" w:hAnsi="Times New Roman"/>
          <w:sz w:val="24"/>
        </w:rPr>
      </w:pPr>
    </w:p>
    <w:p w:rsidR="00C25B79" w:rsidP="002C1147" w14:paraId="49E02139" w14:textId="77777777">
      <w:pPr>
        <w:ind w:firstLine="720"/>
        <w:rPr>
          <w:rFonts w:ascii="Times New Roman" w:hAnsi="Times New Roman"/>
          <w:sz w:val="24"/>
        </w:rPr>
      </w:pPr>
      <w:r>
        <w:rPr>
          <w:rFonts w:ascii="Times New Roman" w:hAnsi="Times New Roman"/>
          <w:sz w:val="24"/>
        </w:rPr>
        <w:t>Not applicable.</w:t>
      </w:r>
    </w:p>
    <w:p w:rsidR="00C25B79" w14:paraId="366765E5" w14:textId="77777777">
      <w:pPr>
        <w:rPr>
          <w:rFonts w:ascii="Times New Roman" w:hAnsi="Times New Roman"/>
          <w:sz w:val="24"/>
        </w:rPr>
      </w:pPr>
    </w:p>
    <w:p w:rsidR="001A33BF" w:rsidP="001A33BF" w14:paraId="37BCC208" w14:textId="77777777">
      <w:pPr>
        <w:pStyle w:val="BodyText"/>
        <w:ind w:right="270"/>
        <w:rPr>
          <w:u w:val="none"/>
        </w:rPr>
      </w:pPr>
      <w:r>
        <w:rPr>
          <w:rFonts w:ascii="Times New Roman" w:hAnsi="Times New Roman"/>
          <w:b/>
          <w:bCs/>
          <w:i/>
          <w:iCs/>
          <w:u w:val="none"/>
        </w:rPr>
        <w:t>8.</w:t>
      </w:r>
      <w:r>
        <w:rPr>
          <w:rFonts w:ascii="Times New Roman" w:hAnsi="Times New Roman"/>
          <w:b/>
          <w:bCs/>
          <w:i/>
          <w:iCs/>
          <w:u w:val="none"/>
        </w:rPr>
        <w:tab/>
      </w:r>
      <w:r w:rsidR="00A05D30">
        <w:rPr>
          <w:rFonts w:ascii="Times New Roman" w:hAnsi="Times New Roman"/>
          <w:b/>
          <w:i/>
          <w:spacing w:val="-1"/>
          <w:u w:val="none"/>
        </w:rPr>
        <w:t>Efforts to consult with persons outside the agency:</w:t>
      </w:r>
    </w:p>
    <w:p w:rsidR="00C377AB" w:rsidRPr="00C377AB" w:rsidP="00C377AB" w14:paraId="27FD9763" w14:textId="77777777">
      <w:pPr>
        <w:ind w:firstLine="720"/>
        <w:rPr>
          <w:rFonts w:ascii="Times New Roman" w:hAnsi="Times New Roman"/>
          <w:bCs/>
          <w:sz w:val="24"/>
        </w:rPr>
      </w:pPr>
      <w:r>
        <w:rPr>
          <w:rFonts w:ascii="Times New Roman" w:hAnsi="Times New Roman"/>
          <w:sz w:val="24"/>
        </w:rPr>
        <w:tab/>
      </w:r>
      <w:bookmarkStart w:id="0" w:name="_Hlk160007020"/>
    </w:p>
    <w:p w:rsidR="00C377AB" w:rsidRPr="00C377AB" w:rsidP="00C377AB" w14:paraId="792E49C9" w14:textId="0C3AB7DA">
      <w:pPr>
        <w:ind w:firstLine="720"/>
        <w:rPr>
          <w:rFonts w:ascii="Times New Roman" w:hAnsi="Times New Roman"/>
          <w:bCs/>
          <w:sz w:val="24"/>
        </w:rPr>
      </w:pPr>
      <w:r w:rsidRPr="00C377AB">
        <w:rPr>
          <w:rFonts w:ascii="Times New Roman" w:hAnsi="Times New Roman"/>
          <w:bCs/>
          <w:sz w:val="24"/>
        </w:rPr>
        <w:t xml:space="preserve">The OCC issued a 60-day </w:t>
      </w:r>
      <w:r w:rsidRPr="00C377AB">
        <w:rPr>
          <w:rFonts w:ascii="Times New Roman" w:hAnsi="Times New Roman"/>
          <w:bCs/>
          <w:i/>
          <w:sz w:val="24"/>
        </w:rPr>
        <w:t xml:space="preserve">Federal Register </w:t>
      </w:r>
      <w:r w:rsidRPr="00C377AB">
        <w:rPr>
          <w:rFonts w:ascii="Times New Roman" w:hAnsi="Times New Roman"/>
          <w:bCs/>
          <w:sz w:val="24"/>
        </w:rPr>
        <w:t>notice on</w:t>
      </w:r>
      <w:r w:rsidR="00E6407F">
        <w:rPr>
          <w:rFonts w:ascii="Times New Roman" w:hAnsi="Times New Roman"/>
          <w:bCs/>
          <w:sz w:val="24"/>
        </w:rPr>
        <w:t xml:space="preserve"> February 11</w:t>
      </w:r>
      <w:r w:rsidRPr="00C377AB">
        <w:rPr>
          <w:rFonts w:ascii="Times New Roman" w:hAnsi="Times New Roman"/>
          <w:bCs/>
          <w:sz w:val="24"/>
        </w:rPr>
        <w:t>, 202</w:t>
      </w:r>
      <w:r w:rsidR="00086948">
        <w:rPr>
          <w:rFonts w:ascii="Times New Roman" w:hAnsi="Times New Roman"/>
          <w:bCs/>
          <w:sz w:val="24"/>
        </w:rPr>
        <w:t>5</w:t>
      </w:r>
      <w:r w:rsidRPr="00C377AB">
        <w:rPr>
          <w:rFonts w:ascii="Times New Roman" w:hAnsi="Times New Roman"/>
          <w:bCs/>
          <w:sz w:val="24"/>
        </w:rPr>
        <w:t>,</w:t>
      </w:r>
      <w:r w:rsidR="00E6407F">
        <w:rPr>
          <w:rFonts w:ascii="Times New Roman" w:hAnsi="Times New Roman"/>
          <w:bCs/>
          <w:sz w:val="24"/>
        </w:rPr>
        <w:t xml:space="preserve"> 90 </w:t>
      </w:r>
      <w:r w:rsidRPr="00C377AB">
        <w:rPr>
          <w:rFonts w:ascii="Times New Roman" w:hAnsi="Times New Roman"/>
          <w:bCs/>
          <w:sz w:val="24"/>
        </w:rPr>
        <w:t>FR</w:t>
      </w:r>
      <w:r w:rsidR="00E6407F">
        <w:rPr>
          <w:rFonts w:ascii="Times New Roman" w:hAnsi="Times New Roman"/>
          <w:bCs/>
          <w:sz w:val="24"/>
        </w:rPr>
        <w:t xml:space="preserve"> 9355</w:t>
      </w:r>
      <w:r w:rsidRPr="00C377AB">
        <w:rPr>
          <w:rFonts w:ascii="Times New Roman" w:hAnsi="Times New Roman"/>
          <w:bCs/>
          <w:sz w:val="24"/>
        </w:rPr>
        <w:t>.</w:t>
      </w:r>
      <w:r w:rsidR="00F35981">
        <w:rPr>
          <w:rFonts w:ascii="Times New Roman" w:hAnsi="Times New Roman"/>
          <w:bCs/>
          <w:sz w:val="24"/>
        </w:rPr>
        <w:t xml:space="preserve"> </w:t>
      </w:r>
      <w:r w:rsidRPr="00C377AB">
        <w:rPr>
          <w:rFonts w:ascii="Times New Roman" w:hAnsi="Times New Roman"/>
          <w:bCs/>
          <w:sz w:val="24"/>
        </w:rPr>
        <w:t xml:space="preserve"> </w:t>
      </w:r>
      <w:r w:rsidR="00E6407F">
        <w:rPr>
          <w:rFonts w:ascii="Times New Roman" w:hAnsi="Times New Roman"/>
          <w:bCs/>
          <w:sz w:val="24"/>
        </w:rPr>
        <w:t xml:space="preserve">No </w:t>
      </w:r>
      <w:r w:rsidRPr="00C377AB">
        <w:rPr>
          <w:rFonts w:ascii="Times New Roman" w:hAnsi="Times New Roman"/>
          <w:bCs/>
          <w:sz w:val="24"/>
        </w:rPr>
        <w:t xml:space="preserve">comments were received.  </w:t>
      </w:r>
    </w:p>
    <w:bookmarkEnd w:id="0"/>
    <w:p w:rsidR="00476ECA" w:rsidP="00C377AB" w14:paraId="3AEB1166" w14:textId="77777777">
      <w:pPr>
        <w:rPr>
          <w:rFonts w:ascii="Times New Roman" w:hAnsi="Times New Roman"/>
          <w:sz w:val="24"/>
          <w:szCs w:val="24"/>
        </w:rPr>
      </w:pPr>
    </w:p>
    <w:p w:rsidR="001A33BF" w:rsidP="001A33BF" w14:paraId="67073C2F" w14:textId="77777777">
      <w:pPr>
        <w:pStyle w:val="BodyText"/>
        <w:widowControl w:val="0"/>
        <w:ind w:right="982" w:firstLine="100"/>
        <w:rPr>
          <w:rFonts w:ascii="Times New Roman" w:hAnsi="Times New Roman"/>
          <w:b/>
          <w:i/>
          <w:u w:val="none"/>
        </w:rPr>
      </w:pPr>
      <w:r>
        <w:rPr>
          <w:rFonts w:ascii="Times New Roman" w:hAnsi="Times New Roman"/>
          <w:b/>
          <w:bCs/>
          <w:i/>
          <w:iCs/>
          <w:u w:val="none"/>
        </w:rPr>
        <w:t>9.</w:t>
      </w:r>
      <w:r>
        <w:rPr>
          <w:rFonts w:ascii="Times New Roman" w:hAnsi="Times New Roman"/>
          <w:b/>
          <w:bCs/>
          <w:i/>
          <w:iCs/>
          <w:u w:val="none"/>
        </w:rPr>
        <w:tab/>
      </w:r>
      <w:r w:rsidR="00134D5D">
        <w:rPr>
          <w:rFonts w:ascii="Times New Roman" w:hAnsi="Times New Roman"/>
          <w:b/>
          <w:i/>
          <w:u w:val="none"/>
        </w:rPr>
        <w:t>Payment or gift to respondents:</w:t>
      </w:r>
    </w:p>
    <w:p w:rsidR="00C25B79" w14:paraId="1B9CD7E1" w14:textId="77777777">
      <w:pPr>
        <w:rPr>
          <w:rFonts w:ascii="Times New Roman" w:hAnsi="Times New Roman"/>
          <w:sz w:val="24"/>
        </w:rPr>
      </w:pPr>
    </w:p>
    <w:p w:rsidR="00C25B79" w:rsidP="002C1147" w14:paraId="6B128F6E" w14:textId="77777777">
      <w:pPr>
        <w:ind w:firstLine="720"/>
        <w:rPr>
          <w:rFonts w:ascii="Times New Roman" w:hAnsi="Times New Roman"/>
          <w:sz w:val="24"/>
        </w:rPr>
      </w:pPr>
      <w:r>
        <w:rPr>
          <w:rFonts w:ascii="Times New Roman" w:hAnsi="Times New Roman"/>
          <w:sz w:val="24"/>
        </w:rPr>
        <w:t>None.</w:t>
      </w:r>
    </w:p>
    <w:p w:rsidR="0020046C" w:rsidP="001A33BF" w14:paraId="42154DBF" w14:textId="77777777">
      <w:pPr>
        <w:pStyle w:val="BodyText"/>
        <w:widowControl w:val="0"/>
        <w:tabs>
          <w:tab w:val="left" w:pos="460"/>
        </w:tabs>
        <w:ind w:right="410"/>
        <w:rPr>
          <w:rFonts w:ascii="Times New Roman" w:hAnsi="Times New Roman"/>
          <w:b/>
          <w:bCs/>
          <w:i/>
          <w:iCs/>
          <w:u w:val="none"/>
        </w:rPr>
      </w:pPr>
    </w:p>
    <w:p w:rsidR="001A33BF" w:rsidP="001A33BF" w14:paraId="465469AF" w14:textId="77777777">
      <w:pPr>
        <w:pStyle w:val="BodyText"/>
        <w:widowControl w:val="0"/>
        <w:tabs>
          <w:tab w:val="left" w:pos="460"/>
        </w:tabs>
        <w:ind w:right="410"/>
        <w:rPr>
          <w:rFonts w:ascii="Times New Roman" w:hAnsi="Times New Roman"/>
          <w:b/>
          <w:i/>
          <w:u w:val="none"/>
        </w:rPr>
      </w:pPr>
      <w:r>
        <w:rPr>
          <w:rFonts w:ascii="Times New Roman" w:hAnsi="Times New Roman"/>
          <w:b/>
          <w:bCs/>
          <w:i/>
          <w:iCs/>
          <w:u w:val="none"/>
        </w:rPr>
        <w:t>10.</w:t>
      </w:r>
      <w:r>
        <w:rPr>
          <w:rFonts w:ascii="Times New Roman" w:hAnsi="Times New Roman"/>
          <w:b/>
          <w:bCs/>
          <w:i/>
          <w:iCs/>
          <w:u w:val="none"/>
        </w:rPr>
        <w:tab/>
        <w:t xml:space="preserve">    </w:t>
      </w:r>
      <w:r w:rsidR="00134D5D">
        <w:rPr>
          <w:rFonts w:ascii="Times New Roman" w:hAnsi="Times New Roman"/>
          <w:b/>
          <w:i/>
          <w:spacing w:val="-1"/>
          <w:u w:val="none"/>
        </w:rPr>
        <w:t>Any assurance of confidentiality:</w:t>
      </w:r>
    </w:p>
    <w:p w:rsidR="00C25B79" w14:paraId="2F673B7D" w14:textId="77777777">
      <w:pPr>
        <w:rPr>
          <w:rFonts w:ascii="Times New Roman" w:hAnsi="Times New Roman"/>
          <w:sz w:val="24"/>
        </w:rPr>
      </w:pPr>
    </w:p>
    <w:p w:rsidR="00C25B79" w:rsidP="002C1147" w14:paraId="2661E6E1" w14:textId="77777777">
      <w:pPr>
        <w:ind w:firstLine="720"/>
        <w:rPr>
          <w:rFonts w:ascii="Times New Roman" w:hAnsi="Times New Roman"/>
          <w:sz w:val="24"/>
        </w:rPr>
      </w:pPr>
      <w:r>
        <w:rPr>
          <w:rFonts w:ascii="Times New Roman" w:hAnsi="Times New Roman"/>
          <w:sz w:val="24"/>
        </w:rPr>
        <w:t>The information will be kept private to the extent permitted by law.</w:t>
      </w:r>
    </w:p>
    <w:p w:rsidR="00C25B79" w14:paraId="14E30F9F" w14:textId="77777777">
      <w:pPr>
        <w:rPr>
          <w:rFonts w:ascii="Times New Roman" w:hAnsi="Times New Roman"/>
          <w:sz w:val="24"/>
        </w:rPr>
      </w:pPr>
    </w:p>
    <w:p w:rsidR="001A33BF" w:rsidP="001A33BF" w14:paraId="65DAFDFB" w14:textId="77777777">
      <w:pPr>
        <w:pStyle w:val="BodyText"/>
        <w:widowControl w:val="0"/>
        <w:tabs>
          <w:tab w:val="left" w:pos="460"/>
        </w:tabs>
        <w:spacing w:before="69"/>
        <w:ind w:right="205"/>
        <w:rPr>
          <w:rFonts w:ascii="Times New Roman" w:hAnsi="Times New Roman"/>
          <w:b/>
          <w:i/>
          <w:spacing w:val="-1"/>
          <w:u w:val="none"/>
        </w:rPr>
      </w:pPr>
      <w:r>
        <w:rPr>
          <w:rFonts w:ascii="Times New Roman" w:hAnsi="Times New Roman"/>
          <w:b/>
          <w:bCs/>
          <w:i/>
          <w:iCs/>
          <w:u w:val="none"/>
        </w:rPr>
        <w:t>11.</w:t>
      </w:r>
      <w:r>
        <w:rPr>
          <w:rFonts w:ascii="Times New Roman" w:hAnsi="Times New Roman"/>
          <w:b/>
          <w:bCs/>
          <w:i/>
          <w:iCs/>
          <w:u w:val="none"/>
        </w:rPr>
        <w:tab/>
      </w:r>
      <w:r w:rsidR="00134D5D">
        <w:rPr>
          <w:rFonts w:ascii="Times New Roman" w:hAnsi="Times New Roman"/>
          <w:b/>
          <w:bCs/>
          <w:i/>
          <w:iCs/>
          <w:u w:val="none"/>
        </w:rPr>
        <w:t>Justification for questions of a sensitive nature:</w:t>
      </w:r>
    </w:p>
    <w:p w:rsidR="00C25B79" w14:paraId="1D4E815E" w14:textId="77777777">
      <w:pPr>
        <w:rPr>
          <w:rFonts w:ascii="Times New Roman" w:hAnsi="Times New Roman"/>
          <w:sz w:val="24"/>
        </w:rPr>
      </w:pPr>
    </w:p>
    <w:p w:rsidR="00C25B79" w:rsidRPr="00F35981" w:rsidP="002C1147" w14:paraId="67C5BE4D" w14:textId="77777777">
      <w:pPr>
        <w:ind w:firstLine="720"/>
        <w:rPr>
          <w:rFonts w:ascii="Times New Roman" w:hAnsi="Times New Roman"/>
          <w:sz w:val="24"/>
        </w:rPr>
      </w:pPr>
      <w:r w:rsidRPr="00F35981">
        <w:rPr>
          <w:rFonts w:ascii="Times New Roman" w:hAnsi="Times New Roman"/>
          <w:sz w:val="24"/>
        </w:rPr>
        <w:t>There are no questions of a sensitive nature.</w:t>
      </w:r>
    </w:p>
    <w:p w:rsidR="00C25B79" w:rsidRPr="00F35981" w14:paraId="282270EF" w14:textId="77777777">
      <w:pPr>
        <w:rPr>
          <w:rFonts w:ascii="Times New Roman" w:hAnsi="Times New Roman"/>
          <w:sz w:val="24"/>
        </w:rPr>
      </w:pPr>
    </w:p>
    <w:p w:rsidR="00B21879" w:rsidRPr="00F35981" w:rsidP="00B21879" w14:paraId="4C5335F3" w14:textId="77777777">
      <w:pPr>
        <w:rPr>
          <w:rFonts w:ascii="Times New Roman" w:hAnsi="Times New Roman"/>
          <w:b/>
          <w:bCs/>
          <w:i/>
          <w:iCs/>
          <w:sz w:val="24"/>
          <w:szCs w:val="24"/>
        </w:rPr>
      </w:pPr>
      <w:r w:rsidRPr="00F35981">
        <w:rPr>
          <w:rFonts w:ascii="Times New Roman" w:hAnsi="Times New Roman"/>
          <w:b/>
          <w:bCs/>
          <w:i/>
          <w:iCs/>
          <w:sz w:val="24"/>
          <w:szCs w:val="24"/>
        </w:rPr>
        <w:t xml:space="preserve">12.       </w:t>
      </w:r>
      <w:r w:rsidRPr="00F35981" w:rsidR="00327B9F">
        <w:rPr>
          <w:rFonts w:ascii="Times New Roman" w:hAnsi="Times New Roman"/>
          <w:b/>
          <w:bCs/>
          <w:i/>
          <w:iCs/>
          <w:sz w:val="24"/>
          <w:szCs w:val="24"/>
        </w:rPr>
        <w:t>Burden estimate:</w:t>
      </w:r>
    </w:p>
    <w:p w:rsidR="00DE1569" w:rsidRPr="00F35981" w:rsidP="00B21879" w14:paraId="2F497CCD" w14:textId="77777777">
      <w:pPr>
        <w:rPr>
          <w:rFonts w:ascii="Times New Roman" w:hAnsi="Times New Roman"/>
          <w:bCs/>
          <w:iCs/>
          <w:sz w:val="24"/>
          <w:szCs w:val="24"/>
        </w:rPr>
      </w:pPr>
    </w:p>
    <w:p w:rsidR="002443DB" w:rsidRPr="00F35981" w:rsidP="002443DB" w14:paraId="31458FED" w14:textId="77777777">
      <w:pPr>
        <w:spacing w:line="480" w:lineRule="auto"/>
        <w:ind w:firstLine="720"/>
        <w:rPr>
          <w:rFonts w:ascii="Times New Roman" w:hAnsi="Times New Roman"/>
          <w:b/>
          <w:sz w:val="24"/>
          <w:szCs w:val="24"/>
        </w:rPr>
      </w:pPr>
      <w:r w:rsidRPr="00F35981">
        <w:rPr>
          <w:rFonts w:ascii="Times New Roman" w:hAnsi="Times New Roman"/>
          <w:b/>
          <w:sz w:val="24"/>
          <w:szCs w:val="24"/>
          <w:u w:val="single"/>
        </w:rPr>
        <w:t>Election, Termination, Reelection</w:t>
      </w:r>
      <w:r w:rsidRPr="00F35981">
        <w:rPr>
          <w:rFonts w:ascii="Times New Roman" w:hAnsi="Times New Roman"/>
          <w:b/>
          <w:sz w:val="24"/>
          <w:szCs w:val="24"/>
        </w:rPr>
        <w:t>:</w:t>
      </w:r>
    </w:p>
    <w:p w:rsidR="002443DB" w:rsidRPr="00F35981" w:rsidP="002443DB" w14:paraId="54AF4D90" w14:textId="74456685">
      <w:pPr>
        <w:spacing w:line="480" w:lineRule="auto"/>
        <w:ind w:firstLine="720"/>
        <w:rPr>
          <w:rFonts w:ascii="Times New Roman" w:hAnsi="Times New Roman"/>
          <w:sz w:val="24"/>
          <w:szCs w:val="24"/>
        </w:rPr>
      </w:pPr>
      <w:r w:rsidRPr="00F35981">
        <w:rPr>
          <w:rFonts w:ascii="Times New Roman" w:hAnsi="Times New Roman"/>
          <w:sz w:val="24"/>
          <w:szCs w:val="24"/>
        </w:rPr>
        <w:t xml:space="preserve">Estimated Number of Respondents: </w:t>
      </w:r>
      <w:r w:rsidRPr="00F35981" w:rsidR="008B4396">
        <w:rPr>
          <w:rFonts w:ascii="Times New Roman" w:hAnsi="Times New Roman"/>
          <w:sz w:val="24"/>
          <w:szCs w:val="24"/>
        </w:rPr>
        <w:t>2</w:t>
      </w:r>
      <w:r w:rsidRPr="00F35981" w:rsidR="00573ED8">
        <w:rPr>
          <w:rFonts w:ascii="Times New Roman" w:hAnsi="Times New Roman"/>
          <w:sz w:val="24"/>
          <w:szCs w:val="24"/>
        </w:rPr>
        <w:t>34</w:t>
      </w:r>
    </w:p>
    <w:p w:rsidR="002443DB" w:rsidRPr="00F35981" w:rsidP="002443DB" w14:paraId="643F7EAD" w14:textId="3C28B7AC">
      <w:pPr>
        <w:spacing w:line="480" w:lineRule="auto"/>
        <w:ind w:firstLine="720"/>
        <w:rPr>
          <w:rFonts w:ascii="Times New Roman" w:hAnsi="Times New Roman"/>
          <w:sz w:val="24"/>
          <w:szCs w:val="24"/>
        </w:rPr>
      </w:pPr>
      <w:r w:rsidRPr="00F35981">
        <w:rPr>
          <w:rFonts w:ascii="Times New Roman" w:hAnsi="Times New Roman"/>
          <w:sz w:val="24"/>
          <w:szCs w:val="24"/>
        </w:rPr>
        <w:t>Estimated Burden per Respondent</w:t>
      </w:r>
      <w:r w:rsidRPr="00F35981" w:rsidR="00001911">
        <w:rPr>
          <w:rFonts w:ascii="Times New Roman" w:hAnsi="Times New Roman"/>
          <w:sz w:val="24"/>
          <w:szCs w:val="24"/>
        </w:rPr>
        <w:t>: 1</w:t>
      </w:r>
      <w:r w:rsidRPr="00F35981">
        <w:rPr>
          <w:rFonts w:ascii="Times New Roman" w:hAnsi="Times New Roman"/>
          <w:sz w:val="24"/>
          <w:szCs w:val="24"/>
        </w:rPr>
        <w:t xml:space="preserve"> hour</w:t>
      </w:r>
    </w:p>
    <w:p w:rsidR="002443DB" w:rsidRPr="00F35981" w:rsidP="002443DB" w14:paraId="72EBAC3B" w14:textId="257AE272">
      <w:pPr>
        <w:spacing w:line="480" w:lineRule="auto"/>
        <w:ind w:firstLine="720"/>
        <w:rPr>
          <w:rFonts w:ascii="Times New Roman" w:hAnsi="Times New Roman"/>
          <w:sz w:val="24"/>
          <w:szCs w:val="24"/>
        </w:rPr>
      </w:pPr>
      <w:r w:rsidRPr="00F35981">
        <w:rPr>
          <w:rFonts w:ascii="Times New Roman" w:hAnsi="Times New Roman"/>
          <w:sz w:val="24"/>
          <w:szCs w:val="24"/>
        </w:rPr>
        <w:t>Estimated</w:t>
      </w:r>
      <w:r w:rsidRPr="00F35981" w:rsidR="00AD0DA0">
        <w:rPr>
          <w:rFonts w:ascii="Times New Roman" w:hAnsi="Times New Roman"/>
          <w:sz w:val="24"/>
          <w:szCs w:val="24"/>
        </w:rPr>
        <w:t xml:space="preserve"> </w:t>
      </w:r>
      <w:r w:rsidRPr="00F35981">
        <w:rPr>
          <w:rFonts w:ascii="Times New Roman" w:hAnsi="Times New Roman"/>
          <w:sz w:val="24"/>
          <w:szCs w:val="24"/>
        </w:rPr>
        <w:t>Annual Burden</w:t>
      </w:r>
      <w:r w:rsidRPr="00F35981" w:rsidR="00001911">
        <w:rPr>
          <w:rFonts w:ascii="Times New Roman" w:hAnsi="Times New Roman"/>
          <w:sz w:val="24"/>
          <w:szCs w:val="24"/>
        </w:rPr>
        <w:t xml:space="preserve">: </w:t>
      </w:r>
      <w:r w:rsidRPr="00F35981" w:rsidR="008B4396">
        <w:rPr>
          <w:rFonts w:ascii="Times New Roman" w:hAnsi="Times New Roman"/>
          <w:sz w:val="24"/>
          <w:szCs w:val="24"/>
        </w:rPr>
        <w:t>2</w:t>
      </w:r>
      <w:r w:rsidRPr="00F35981" w:rsidR="0046059C">
        <w:rPr>
          <w:rFonts w:ascii="Times New Roman" w:hAnsi="Times New Roman"/>
          <w:sz w:val="24"/>
          <w:szCs w:val="24"/>
        </w:rPr>
        <w:t>34</w:t>
      </w:r>
      <w:r w:rsidRPr="00F35981">
        <w:rPr>
          <w:rFonts w:ascii="Times New Roman" w:hAnsi="Times New Roman"/>
          <w:sz w:val="24"/>
          <w:szCs w:val="24"/>
        </w:rPr>
        <w:t xml:space="preserve"> hours</w:t>
      </w:r>
    </w:p>
    <w:p w:rsidR="00F35981" w:rsidRPr="00F35981" w:rsidP="002443DB" w14:paraId="02CED5AA" w14:textId="77777777">
      <w:pPr>
        <w:spacing w:line="480" w:lineRule="auto"/>
        <w:ind w:firstLine="720"/>
        <w:rPr>
          <w:rFonts w:ascii="Times New Roman" w:hAnsi="Times New Roman"/>
          <w:b/>
          <w:sz w:val="24"/>
          <w:szCs w:val="24"/>
        </w:rPr>
      </w:pPr>
    </w:p>
    <w:p w:rsidR="002443DB" w:rsidRPr="00F35981" w:rsidP="002443DB" w14:paraId="563B372A" w14:textId="068DA3BA">
      <w:pPr>
        <w:spacing w:line="480" w:lineRule="auto"/>
        <w:ind w:firstLine="720"/>
        <w:rPr>
          <w:rFonts w:ascii="Times New Roman" w:hAnsi="Times New Roman"/>
          <w:b/>
          <w:sz w:val="24"/>
          <w:szCs w:val="24"/>
        </w:rPr>
      </w:pPr>
      <w:r w:rsidRPr="00F35981">
        <w:rPr>
          <w:rFonts w:ascii="Times New Roman" w:hAnsi="Times New Roman"/>
          <w:b/>
          <w:sz w:val="24"/>
          <w:szCs w:val="24"/>
          <w:u w:val="single"/>
        </w:rPr>
        <w:t>Plan to Divest</w:t>
      </w:r>
      <w:r w:rsidRPr="00F35981">
        <w:rPr>
          <w:rFonts w:ascii="Times New Roman" w:hAnsi="Times New Roman"/>
          <w:b/>
          <w:sz w:val="24"/>
          <w:szCs w:val="24"/>
        </w:rPr>
        <w:t>:</w:t>
      </w:r>
    </w:p>
    <w:p w:rsidR="002443DB" w:rsidRPr="00F35981" w:rsidP="002443DB" w14:paraId="38C0171B" w14:textId="77777777">
      <w:pPr>
        <w:spacing w:line="480" w:lineRule="auto"/>
        <w:ind w:firstLine="720"/>
        <w:rPr>
          <w:rFonts w:ascii="Times New Roman" w:hAnsi="Times New Roman"/>
          <w:sz w:val="24"/>
          <w:szCs w:val="24"/>
        </w:rPr>
      </w:pPr>
      <w:r w:rsidRPr="00F35981">
        <w:rPr>
          <w:rFonts w:ascii="Times New Roman" w:hAnsi="Times New Roman"/>
          <w:sz w:val="24"/>
          <w:szCs w:val="24"/>
        </w:rPr>
        <w:t>Estimated Number of Respondents: 25</w:t>
      </w:r>
    </w:p>
    <w:p w:rsidR="002443DB" w:rsidRPr="00F35981" w:rsidP="002443DB" w14:paraId="3C434046" w14:textId="77777777">
      <w:pPr>
        <w:spacing w:line="480" w:lineRule="auto"/>
        <w:ind w:firstLine="720"/>
        <w:rPr>
          <w:rFonts w:ascii="Times New Roman" w:hAnsi="Times New Roman"/>
          <w:sz w:val="24"/>
          <w:szCs w:val="24"/>
        </w:rPr>
      </w:pPr>
      <w:r w:rsidRPr="00F35981">
        <w:rPr>
          <w:rFonts w:ascii="Times New Roman" w:hAnsi="Times New Roman"/>
          <w:sz w:val="24"/>
          <w:szCs w:val="24"/>
        </w:rPr>
        <w:t>Estimated Burden per Respondent: 2 hours</w:t>
      </w:r>
    </w:p>
    <w:p w:rsidR="002443DB" w:rsidRPr="00F35981" w:rsidP="002443DB" w14:paraId="7B05929F" w14:textId="77777777">
      <w:pPr>
        <w:spacing w:line="480" w:lineRule="auto"/>
        <w:ind w:firstLine="720"/>
        <w:rPr>
          <w:rFonts w:ascii="Times New Roman" w:hAnsi="Times New Roman"/>
          <w:sz w:val="24"/>
          <w:szCs w:val="24"/>
        </w:rPr>
      </w:pPr>
      <w:r w:rsidRPr="00F35981">
        <w:rPr>
          <w:rFonts w:ascii="Times New Roman" w:hAnsi="Times New Roman"/>
          <w:sz w:val="24"/>
          <w:szCs w:val="24"/>
        </w:rPr>
        <w:t xml:space="preserve">Estimated </w:t>
      </w:r>
      <w:r w:rsidRPr="00F35981">
        <w:rPr>
          <w:rFonts w:ascii="Times New Roman" w:hAnsi="Times New Roman"/>
          <w:sz w:val="24"/>
          <w:szCs w:val="24"/>
        </w:rPr>
        <w:t>Annual Burden: 50 hours</w:t>
      </w:r>
    </w:p>
    <w:p w:rsidR="00176315" w:rsidRPr="00F35981" w:rsidP="00AD0DA0" w14:paraId="30CB2266" w14:textId="10E6653F">
      <w:pPr>
        <w:spacing w:line="480" w:lineRule="auto"/>
        <w:rPr>
          <w:rFonts w:ascii="Times New Roman" w:hAnsi="Times New Roman"/>
          <w:b/>
          <w:sz w:val="24"/>
          <w:szCs w:val="24"/>
        </w:rPr>
      </w:pPr>
      <w:r w:rsidRPr="00F35981">
        <w:rPr>
          <w:rFonts w:ascii="Times New Roman" w:hAnsi="Times New Roman"/>
          <w:b/>
          <w:sz w:val="24"/>
          <w:szCs w:val="24"/>
        </w:rPr>
        <w:t>Total Annual Respondents:</w:t>
      </w:r>
      <w:r w:rsidRPr="00DD2FDB">
        <w:rPr>
          <w:rFonts w:ascii="Times New Roman" w:hAnsi="Times New Roman"/>
          <w:b/>
          <w:sz w:val="24"/>
          <w:szCs w:val="24"/>
        </w:rPr>
        <w:t xml:space="preserve">  </w:t>
      </w:r>
      <w:r w:rsidRPr="00DD2FDB" w:rsidR="00DD60B7">
        <w:rPr>
          <w:rFonts w:ascii="Times New Roman" w:hAnsi="Times New Roman"/>
          <w:b/>
          <w:sz w:val="24"/>
          <w:szCs w:val="24"/>
        </w:rPr>
        <w:t>2</w:t>
      </w:r>
      <w:r w:rsidRPr="00F35981" w:rsidR="002D78D6">
        <w:rPr>
          <w:rFonts w:ascii="Times New Roman" w:hAnsi="Times New Roman"/>
          <w:b/>
          <w:sz w:val="24"/>
          <w:szCs w:val="24"/>
        </w:rPr>
        <w:t>59</w:t>
      </w:r>
    </w:p>
    <w:p w:rsidR="00AD0DA0" w:rsidRPr="00F35981" w:rsidP="00AD0DA0" w14:paraId="1FD6CBC2" w14:textId="2858F039">
      <w:pPr>
        <w:spacing w:line="480" w:lineRule="auto"/>
        <w:rPr>
          <w:rFonts w:ascii="Times New Roman" w:hAnsi="Times New Roman"/>
          <w:sz w:val="24"/>
          <w:szCs w:val="24"/>
        </w:rPr>
      </w:pPr>
      <w:r w:rsidRPr="00F35981">
        <w:rPr>
          <w:rFonts w:ascii="Times New Roman" w:hAnsi="Times New Roman"/>
          <w:b/>
          <w:sz w:val="24"/>
          <w:szCs w:val="24"/>
        </w:rPr>
        <w:t>Total Annual Burden:</w:t>
      </w:r>
      <w:r w:rsidRPr="00DD2FDB">
        <w:rPr>
          <w:rFonts w:ascii="Times New Roman" w:hAnsi="Times New Roman"/>
          <w:b/>
          <w:sz w:val="24"/>
          <w:szCs w:val="24"/>
        </w:rPr>
        <w:t xml:space="preserve">  </w:t>
      </w:r>
      <w:r w:rsidRPr="00F35981" w:rsidR="003F29FB">
        <w:rPr>
          <w:rFonts w:ascii="Times New Roman" w:hAnsi="Times New Roman"/>
          <w:b/>
          <w:sz w:val="24"/>
          <w:szCs w:val="24"/>
        </w:rPr>
        <w:t>284</w:t>
      </w:r>
      <w:r w:rsidRPr="00DD2FDB">
        <w:rPr>
          <w:rFonts w:ascii="Times New Roman" w:hAnsi="Times New Roman"/>
          <w:b/>
          <w:sz w:val="24"/>
          <w:szCs w:val="24"/>
        </w:rPr>
        <w:t xml:space="preserve"> hours</w:t>
      </w:r>
    </w:p>
    <w:p w:rsidR="00C25B79" w:rsidRPr="00F35981" w:rsidP="00B21879" w14:paraId="0E539DD5" w14:textId="77777777">
      <w:pPr>
        <w:rPr>
          <w:rFonts w:ascii="Times New Roman" w:hAnsi="Times New Roman"/>
          <w:sz w:val="24"/>
        </w:rPr>
      </w:pPr>
      <w:r w:rsidRPr="00F35981">
        <w:rPr>
          <w:rFonts w:ascii="Times New Roman" w:hAnsi="Times New Roman"/>
          <w:sz w:val="24"/>
        </w:rPr>
        <w:t xml:space="preserve"> </w:t>
      </w:r>
    </w:p>
    <w:p w:rsidR="00C25B79" w:rsidRPr="00F35981" w14:paraId="38DAAB61" w14:textId="77777777">
      <w:pPr>
        <w:pStyle w:val="BodyText3"/>
      </w:pPr>
      <w:r w:rsidRPr="00F35981">
        <w:t xml:space="preserve">Cost of Hour Burden </w:t>
      </w:r>
    </w:p>
    <w:p w:rsidR="00957818" w:rsidRPr="00F35981" w14:paraId="37ED6827" w14:textId="77777777">
      <w:pPr>
        <w:pStyle w:val="BodyText3"/>
      </w:pPr>
    </w:p>
    <w:p w:rsidR="00957818" w14:paraId="29C177B0" w14:textId="709509ED">
      <w:pPr>
        <w:pStyle w:val="BodyText3"/>
      </w:pPr>
      <w:r w:rsidRPr="00F35981">
        <w:t>284</w:t>
      </w:r>
      <w:r w:rsidRPr="00F35981" w:rsidR="00B21879">
        <w:t xml:space="preserve"> x </w:t>
      </w:r>
      <w:r w:rsidRPr="00F35981" w:rsidR="00163D92">
        <w:t>$</w:t>
      </w:r>
      <w:r w:rsidRPr="00F35981" w:rsidR="00C377AB">
        <w:t>129.40</w:t>
      </w:r>
      <w:r w:rsidRPr="00F35981" w:rsidR="000E5EBB">
        <w:t xml:space="preserve"> = $</w:t>
      </w:r>
      <w:r w:rsidRPr="00F35981" w:rsidR="005B747B">
        <w:t>36,749.60</w:t>
      </w:r>
    </w:p>
    <w:p w:rsidR="00C25B79" w14:paraId="7E195467" w14:textId="77777777">
      <w:pPr>
        <w:rPr>
          <w:rFonts w:ascii="Times New Roman" w:hAnsi="Times New Roman"/>
          <w:b/>
          <w:bCs/>
          <w:sz w:val="24"/>
        </w:rPr>
      </w:pPr>
    </w:p>
    <w:p w:rsidR="00C377AB" w:rsidRPr="00DD2FDB" w:rsidP="004329A7" w14:paraId="3644C7B2" w14:textId="7B5513AD">
      <w:pPr>
        <w:rPr>
          <w:rFonts w:ascii="Times New Roman" w:hAnsi="Times New Roman"/>
          <w:color w:val="000000"/>
          <w:sz w:val="24"/>
          <w:szCs w:val="24"/>
        </w:rPr>
      </w:pPr>
      <w:r w:rsidRPr="00DD2FDB">
        <w:rPr>
          <w:rFonts w:ascii="Times New Roman" w:hAnsi="Times New Roman"/>
          <w:color w:val="000000"/>
          <w:sz w:val="24"/>
          <w:szCs w:val="24"/>
        </w:rPr>
        <w:t>To estimate wages the OCC reviewed May 2023 data for wages (by industry and occupation) from the U.S. Bureau of Labor Statistics (BLS) for credit intermediation and related activities (NAICS 5220A1).  To estimate compensation costs associated with the rule, the OCC uses $129.40 per hour, which is based on the average of the 90th percentile for six occupations adjusted for inflation (4.3 percent as of Q1 2024), plus an additional 34.6 percent for benefits (based on the percent of total compensation allocated to benefits as of Q4 2023 for NAICS 522: credit intermediation and related activities).</w:t>
      </w:r>
    </w:p>
    <w:p w:rsidR="008E0623" w14:paraId="0FAE7782" w14:textId="77777777">
      <w:pPr>
        <w:tabs>
          <w:tab w:val="left" w:pos="-1440"/>
        </w:tabs>
        <w:ind w:left="720" w:hanging="720"/>
        <w:rPr>
          <w:rFonts w:ascii="Times New Roman" w:hAnsi="Times New Roman"/>
          <w:b/>
          <w:bCs/>
          <w:i/>
          <w:iCs/>
          <w:sz w:val="24"/>
        </w:rPr>
      </w:pPr>
    </w:p>
    <w:p w:rsidR="001A33BF" w:rsidRPr="00843CCE" w:rsidP="001A33BF" w14:paraId="332B63A2" w14:textId="77777777">
      <w:pPr>
        <w:tabs>
          <w:tab w:val="left" w:pos="-1440"/>
        </w:tabs>
        <w:ind w:left="720" w:hanging="720"/>
        <w:rPr>
          <w:rFonts w:ascii="Times New Roman" w:hAnsi="Times New Roman"/>
          <w:b/>
          <w:bCs/>
          <w:i/>
          <w:sz w:val="24"/>
          <w:szCs w:val="24"/>
        </w:rPr>
      </w:pPr>
      <w:r w:rsidRPr="00843CCE">
        <w:rPr>
          <w:rFonts w:ascii="Times New Roman" w:hAnsi="Times New Roman"/>
          <w:b/>
          <w:bCs/>
          <w:i/>
          <w:iCs/>
          <w:sz w:val="24"/>
          <w:szCs w:val="24"/>
        </w:rPr>
        <w:t>13.</w:t>
      </w:r>
      <w:r w:rsidRPr="00843CCE">
        <w:rPr>
          <w:rFonts w:ascii="Times New Roman" w:hAnsi="Times New Roman"/>
          <w:b/>
          <w:bCs/>
          <w:i/>
          <w:iCs/>
          <w:sz w:val="24"/>
          <w:szCs w:val="24"/>
        </w:rPr>
        <w:tab/>
      </w:r>
      <w:r w:rsidR="00185894">
        <w:rPr>
          <w:rFonts w:ascii="Times New Roman" w:hAnsi="Times New Roman"/>
          <w:b/>
          <w:bCs/>
          <w:i/>
          <w:sz w:val="24"/>
          <w:szCs w:val="24"/>
        </w:rPr>
        <w:t>Estimate of total annual cost to respondents (excluding cost of hour burden in Item #12):</w:t>
      </w:r>
      <w:r w:rsidRPr="00843CCE">
        <w:rPr>
          <w:rFonts w:ascii="Times New Roman" w:hAnsi="Times New Roman"/>
          <w:b/>
          <w:bCs/>
          <w:i/>
          <w:sz w:val="24"/>
          <w:szCs w:val="24"/>
        </w:rPr>
        <w:t xml:space="preserve"> </w:t>
      </w:r>
    </w:p>
    <w:p w:rsidR="00C25B79" w:rsidRPr="00843CCE" w14:paraId="229A1A8A" w14:textId="77777777">
      <w:pPr>
        <w:tabs>
          <w:tab w:val="left" w:pos="-1440"/>
        </w:tabs>
        <w:ind w:left="720" w:hanging="720"/>
        <w:rPr>
          <w:rFonts w:ascii="Times New Roman" w:hAnsi="Times New Roman"/>
          <w:sz w:val="24"/>
          <w:szCs w:val="24"/>
        </w:rPr>
      </w:pPr>
    </w:p>
    <w:p w:rsidR="00C25B79" w:rsidRPr="00843CCE" w:rsidP="002C1147" w14:paraId="0CF8EE10" w14:textId="77777777">
      <w:pPr>
        <w:ind w:firstLine="720"/>
        <w:rPr>
          <w:rFonts w:ascii="Times New Roman" w:hAnsi="Times New Roman"/>
          <w:sz w:val="24"/>
          <w:szCs w:val="24"/>
        </w:rPr>
      </w:pPr>
      <w:r w:rsidRPr="00843CCE">
        <w:rPr>
          <w:rFonts w:ascii="Times New Roman" w:hAnsi="Times New Roman"/>
          <w:sz w:val="24"/>
          <w:szCs w:val="24"/>
        </w:rPr>
        <w:t>Not applicable.</w:t>
      </w:r>
    </w:p>
    <w:p w:rsidR="00C25B79" w:rsidRPr="00843CCE" w14:paraId="44D18BB1" w14:textId="77777777">
      <w:pPr>
        <w:rPr>
          <w:rFonts w:ascii="Times New Roman" w:hAnsi="Times New Roman"/>
          <w:sz w:val="24"/>
          <w:szCs w:val="24"/>
        </w:rPr>
      </w:pPr>
    </w:p>
    <w:p w:rsidR="001A33BF" w:rsidRPr="00843CCE" w:rsidP="001A33BF" w14:paraId="35E8E1C3" w14:textId="77777777">
      <w:pPr>
        <w:rPr>
          <w:rFonts w:ascii="Times New Roman" w:hAnsi="Times New Roman"/>
          <w:b/>
          <w:bCs/>
          <w:i/>
          <w:iCs/>
          <w:sz w:val="24"/>
          <w:szCs w:val="24"/>
        </w:rPr>
      </w:pPr>
      <w:r w:rsidRPr="00843CCE">
        <w:rPr>
          <w:rFonts w:ascii="Times New Roman" w:hAnsi="Times New Roman"/>
          <w:b/>
          <w:bCs/>
          <w:i/>
          <w:iCs/>
          <w:sz w:val="24"/>
          <w:szCs w:val="24"/>
        </w:rPr>
        <w:t>14.</w:t>
      </w:r>
      <w:r w:rsidRPr="00843CCE">
        <w:rPr>
          <w:rFonts w:ascii="Times New Roman" w:hAnsi="Times New Roman"/>
          <w:b/>
          <w:bCs/>
          <w:i/>
          <w:iCs/>
          <w:sz w:val="24"/>
          <w:szCs w:val="24"/>
        </w:rPr>
        <w:tab/>
      </w:r>
      <w:r w:rsidR="00185894">
        <w:rPr>
          <w:rFonts w:ascii="Times New Roman" w:hAnsi="Times New Roman"/>
          <w:b/>
          <w:bCs/>
          <w:i/>
          <w:iCs/>
          <w:sz w:val="24"/>
          <w:szCs w:val="24"/>
        </w:rPr>
        <w:t xml:space="preserve">Estimates of annualized costs to the </w:t>
      </w:r>
      <w:r w:rsidR="005117FC">
        <w:rPr>
          <w:rFonts w:ascii="Times New Roman" w:hAnsi="Times New Roman"/>
          <w:b/>
          <w:bCs/>
          <w:i/>
          <w:iCs/>
          <w:sz w:val="24"/>
          <w:szCs w:val="24"/>
        </w:rPr>
        <w:t>f</w:t>
      </w:r>
      <w:r w:rsidR="00185894">
        <w:rPr>
          <w:rFonts w:ascii="Times New Roman" w:hAnsi="Times New Roman"/>
          <w:b/>
          <w:bCs/>
          <w:i/>
          <w:iCs/>
          <w:sz w:val="24"/>
          <w:szCs w:val="24"/>
        </w:rPr>
        <w:t>ederal government:</w:t>
      </w:r>
    </w:p>
    <w:p w:rsidR="00C25B79" w14:paraId="4229D539" w14:textId="77777777">
      <w:pPr>
        <w:rPr>
          <w:rFonts w:ascii="Times New Roman" w:hAnsi="Times New Roman"/>
          <w:sz w:val="24"/>
        </w:rPr>
      </w:pPr>
    </w:p>
    <w:p w:rsidR="00C25B79" w:rsidP="002C1147" w14:paraId="59E5CE50" w14:textId="77777777">
      <w:pPr>
        <w:ind w:firstLine="720"/>
        <w:rPr>
          <w:rFonts w:ascii="Times New Roman" w:hAnsi="Times New Roman"/>
          <w:sz w:val="24"/>
        </w:rPr>
      </w:pPr>
      <w:r>
        <w:rPr>
          <w:rFonts w:ascii="Times New Roman" w:hAnsi="Times New Roman"/>
          <w:sz w:val="24"/>
        </w:rPr>
        <w:t>Not applicable.</w:t>
      </w:r>
    </w:p>
    <w:p w:rsidR="00C25B79" w14:paraId="6028AE66" w14:textId="77777777">
      <w:pPr>
        <w:rPr>
          <w:rFonts w:ascii="Times New Roman" w:hAnsi="Times New Roman"/>
          <w:sz w:val="24"/>
        </w:rPr>
      </w:pPr>
    </w:p>
    <w:p w:rsidR="001A33BF" w:rsidRPr="0085720D" w:rsidP="001A33BF" w14:paraId="13B76902" w14:textId="77777777">
      <w:pPr>
        <w:rPr>
          <w:rFonts w:ascii="Times New Roman" w:hAnsi="Times New Roman"/>
          <w:b/>
          <w:bCs/>
          <w:i/>
          <w:iCs/>
          <w:sz w:val="24"/>
          <w:szCs w:val="24"/>
        </w:rPr>
      </w:pPr>
      <w:r w:rsidRPr="0085720D">
        <w:rPr>
          <w:rFonts w:ascii="Times New Roman" w:hAnsi="Times New Roman"/>
          <w:b/>
          <w:bCs/>
          <w:i/>
          <w:iCs/>
          <w:sz w:val="24"/>
          <w:szCs w:val="24"/>
        </w:rPr>
        <w:t>15.</w:t>
      </w:r>
      <w:r w:rsidRPr="0085720D">
        <w:rPr>
          <w:rFonts w:ascii="Times New Roman" w:hAnsi="Times New Roman"/>
          <w:b/>
          <w:bCs/>
          <w:i/>
          <w:iCs/>
          <w:sz w:val="24"/>
          <w:szCs w:val="24"/>
        </w:rPr>
        <w:tab/>
      </w:r>
      <w:r w:rsidRPr="0085720D" w:rsidR="0085720D">
        <w:rPr>
          <w:rFonts w:ascii="Times New Roman" w:hAnsi="Times New Roman"/>
          <w:b/>
          <w:bCs/>
          <w:i/>
          <w:iCs/>
          <w:sz w:val="24"/>
          <w:szCs w:val="24"/>
        </w:rPr>
        <w:t>Change in burden:</w:t>
      </w:r>
    </w:p>
    <w:p w:rsidR="00C25B79" w14:paraId="7E441F0E" w14:textId="77777777">
      <w:pPr>
        <w:rPr>
          <w:rFonts w:ascii="Times New Roman" w:hAnsi="Times New Roman"/>
          <w:sz w:val="24"/>
        </w:rPr>
      </w:pPr>
    </w:p>
    <w:p w:rsidR="00C25B79" w:rsidP="00B30265" w14:paraId="1668582C" w14:textId="09E0C238">
      <w:pPr>
        <w:ind w:firstLine="720"/>
        <w:rPr>
          <w:rFonts w:ascii="Times New Roman" w:hAnsi="Times New Roman"/>
          <w:sz w:val="24"/>
        </w:rPr>
      </w:pPr>
      <w:r>
        <w:rPr>
          <w:rFonts w:ascii="Times New Roman" w:hAnsi="Times New Roman"/>
          <w:sz w:val="24"/>
        </w:rPr>
        <w:t xml:space="preserve">Prior Burden:  </w:t>
      </w:r>
      <w:r w:rsidR="00F35981">
        <w:rPr>
          <w:rFonts w:ascii="Times New Roman" w:hAnsi="Times New Roman"/>
          <w:sz w:val="24"/>
        </w:rPr>
        <w:t xml:space="preserve">    </w:t>
      </w:r>
      <w:r w:rsidR="00C377AB">
        <w:rPr>
          <w:rFonts w:ascii="Times New Roman" w:hAnsi="Times New Roman"/>
          <w:sz w:val="24"/>
        </w:rPr>
        <w:t>317</w:t>
      </w:r>
      <w:r>
        <w:rPr>
          <w:rFonts w:ascii="Times New Roman" w:hAnsi="Times New Roman"/>
          <w:sz w:val="24"/>
        </w:rPr>
        <w:t xml:space="preserve"> hours.</w:t>
      </w:r>
    </w:p>
    <w:p w:rsidR="00AA6144" w:rsidP="00B30265" w14:paraId="3C0B3BAB" w14:textId="0E87A741">
      <w:pPr>
        <w:ind w:firstLine="720"/>
        <w:rPr>
          <w:rFonts w:ascii="Times New Roman" w:hAnsi="Times New Roman"/>
          <w:sz w:val="24"/>
        </w:rPr>
      </w:pPr>
      <w:r>
        <w:rPr>
          <w:rFonts w:ascii="Times New Roman" w:hAnsi="Times New Roman"/>
          <w:sz w:val="24"/>
        </w:rPr>
        <w:t>Current Burden:</w:t>
      </w:r>
      <w:r w:rsidR="006F51D9">
        <w:rPr>
          <w:rFonts w:ascii="Times New Roman" w:hAnsi="Times New Roman"/>
          <w:sz w:val="24"/>
        </w:rPr>
        <w:t xml:space="preserve">  </w:t>
      </w:r>
      <w:r w:rsidRPr="00F35981" w:rsidR="002D352B">
        <w:rPr>
          <w:rFonts w:ascii="Times New Roman" w:hAnsi="Times New Roman"/>
          <w:sz w:val="24"/>
          <w:u w:val="single"/>
        </w:rPr>
        <w:t>284</w:t>
      </w:r>
      <w:r w:rsidRPr="00F35981" w:rsidR="006F51D9">
        <w:rPr>
          <w:rFonts w:ascii="Times New Roman" w:hAnsi="Times New Roman"/>
          <w:sz w:val="24"/>
          <w:u w:val="single"/>
        </w:rPr>
        <w:t xml:space="preserve"> hours</w:t>
      </w:r>
    </w:p>
    <w:p w:rsidR="00AA6144" w:rsidP="00B30265" w14:paraId="15FCE4FE" w14:textId="4016BEB1">
      <w:pPr>
        <w:ind w:firstLine="720"/>
        <w:rPr>
          <w:rFonts w:ascii="Times New Roman" w:hAnsi="Times New Roman"/>
          <w:sz w:val="24"/>
        </w:rPr>
      </w:pPr>
      <w:r>
        <w:rPr>
          <w:rFonts w:ascii="Times New Roman" w:hAnsi="Times New Roman"/>
          <w:sz w:val="24"/>
        </w:rPr>
        <w:t>Difference:</w:t>
      </w:r>
      <w:r w:rsidR="006F51D9">
        <w:rPr>
          <w:rFonts w:ascii="Times New Roman" w:hAnsi="Times New Roman"/>
          <w:sz w:val="24"/>
        </w:rPr>
        <w:t xml:space="preserve"> </w:t>
      </w:r>
      <w:r w:rsidR="00F35981">
        <w:rPr>
          <w:rFonts w:ascii="Times New Roman" w:hAnsi="Times New Roman"/>
          <w:sz w:val="24"/>
        </w:rPr>
        <w:t xml:space="preserve">         </w:t>
      </w:r>
      <w:r w:rsidR="006F51D9">
        <w:rPr>
          <w:rFonts w:ascii="Times New Roman" w:hAnsi="Times New Roman"/>
          <w:sz w:val="24"/>
        </w:rPr>
        <w:t xml:space="preserve"> </w:t>
      </w:r>
      <w:r w:rsidR="002D352B">
        <w:rPr>
          <w:rFonts w:ascii="Times New Roman" w:hAnsi="Times New Roman"/>
          <w:sz w:val="24"/>
        </w:rPr>
        <w:t>-33</w:t>
      </w:r>
      <w:r w:rsidR="008B4396">
        <w:rPr>
          <w:rFonts w:ascii="Times New Roman" w:hAnsi="Times New Roman"/>
          <w:sz w:val="24"/>
        </w:rPr>
        <w:t xml:space="preserve"> hours</w:t>
      </w:r>
    </w:p>
    <w:p w:rsidR="005670AD" w:rsidP="00B30265" w14:paraId="71889E6A" w14:textId="21323408">
      <w:pPr>
        <w:ind w:firstLine="720"/>
        <w:rPr>
          <w:rFonts w:ascii="Times New Roman" w:hAnsi="Times New Roman"/>
          <w:sz w:val="24"/>
        </w:rPr>
      </w:pPr>
    </w:p>
    <w:p w:rsidR="005670AD" w:rsidP="00B30265" w14:paraId="1E02E38F" w14:textId="7FA6BBB2">
      <w:pPr>
        <w:ind w:firstLine="720"/>
        <w:rPr>
          <w:rFonts w:ascii="Times New Roman" w:hAnsi="Times New Roman"/>
          <w:sz w:val="24"/>
        </w:rPr>
      </w:pPr>
      <w:r>
        <w:rPr>
          <w:rFonts w:ascii="Times New Roman" w:hAnsi="Times New Roman"/>
          <w:sz w:val="24"/>
        </w:rPr>
        <w:t>The decrease is due to more accurate burden estimates.</w:t>
      </w:r>
    </w:p>
    <w:p w:rsidR="001C651B" w14:paraId="21E99DE5" w14:textId="77777777">
      <w:pPr>
        <w:rPr>
          <w:rFonts w:ascii="Times New Roman" w:hAnsi="Times New Roman"/>
          <w:sz w:val="24"/>
        </w:rPr>
      </w:pPr>
    </w:p>
    <w:p w:rsidR="001A33BF" w:rsidRPr="00843CCE" w:rsidP="001A33BF" w14:paraId="1A5B27D2" w14:textId="77777777">
      <w:pPr>
        <w:rPr>
          <w:rFonts w:ascii="Times New Roman" w:hAnsi="Times New Roman"/>
          <w:sz w:val="24"/>
          <w:szCs w:val="24"/>
        </w:rPr>
      </w:pPr>
      <w:r w:rsidRPr="00843CCE">
        <w:rPr>
          <w:rFonts w:ascii="Times New Roman" w:hAnsi="Times New Roman"/>
          <w:b/>
          <w:i/>
          <w:sz w:val="24"/>
          <w:szCs w:val="24"/>
        </w:rPr>
        <w:t>16.</w:t>
      </w:r>
      <w:r w:rsidRPr="00843CCE">
        <w:rPr>
          <w:rFonts w:ascii="Times New Roman" w:hAnsi="Times New Roman"/>
          <w:sz w:val="24"/>
          <w:szCs w:val="24"/>
        </w:rPr>
        <w:tab/>
      </w:r>
      <w:r w:rsidR="00B83BBE">
        <w:rPr>
          <w:rFonts w:ascii="Times New Roman" w:hAnsi="Times New Roman"/>
          <w:b/>
          <w:i/>
          <w:sz w:val="24"/>
          <w:szCs w:val="24"/>
        </w:rPr>
        <w:t>Information regarding collections whose results are to be published for statistical use:</w:t>
      </w:r>
    </w:p>
    <w:p w:rsidR="00C25B79" w14:paraId="36135DA9" w14:textId="77777777">
      <w:pPr>
        <w:rPr>
          <w:rFonts w:ascii="Times New Roman" w:hAnsi="Times New Roman"/>
          <w:sz w:val="24"/>
        </w:rPr>
      </w:pPr>
    </w:p>
    <w:p w:rsidR="00C25B79" w:rsidP="00B30265" w14:paraId="1FFCE2FB" w14:textId="77777777">
      <w:pPr>
        <w:ind w:firstLine="720"/>
        <w:rPr>
          <w:rFonts w:ascii="Times New Roman" w:hAnsi="Times New Roman"/>
          <w:sz w:val="24"/>
        </w:rPr>
      </w:pPr>
      <w:r>
        <w:rPr>
          <w:rFonts w:ascii="Times New Roman" w:hAnsi="Times New Roman"/>
          <w:sz w:val="24"/>
        </w:rPr>
        <w:t>Not applicable.</w:t>
      </w:r>
    </w:p>
    <w:p w:rsidR="001C651B" w:rsidP="00B30265" w14:paraId="439C6EB5" w14:textId="77777777">
      <w:pPr>
        <w:outlineLvl w:val="0"/>
        <w:rPr>
          <w:rFonts w:ascii="Times New Roman" w:hAnsi="Times New Roman"/>
          <w:b/>
          <w:i/>
          <w:spacing w:val="-2"/>
          <w:szCs w:val="24"/>
        </w:rPr>
      </w:pPr>
      <w:r>
        <w:rPr>
          <w:rFonts w:ascii="Times New Roman" w:hAnsi="Times New Roman"/>
          <w:szCs w:val="24"/>
        </w:rPr>
        <w:t xml:space="preserve">        </w:t>
      </w:r>
    </w:p>
    <w:p w:rsidR="00F35981" w14:paraId="164F848C" w14:textId="77777777">
      <w:pPr>
        <w:rPr>
          <w:rFonts w:ascii="Times New Roman" w:hAnsi="Times New Roman"/>
          <w:b/>
          <w:i/>
          <w:spacing w:val="-2"/>
          <w:sz w:val="24"/>
          <w:szCs w:val="24"/>
        </w:rPr>
      </w:pPr>
      <w:r>
        <w:rPr>
          <w:rFonts w:ascii="Times New Roman" w:hAnsi="Times New Roman"/>
          <w:b/>
          <w:i/>
          <w:spacing w:val="-2"/>
          <w:szCs w:val="24"/>
        </w:rPr>
        <w:br w:type="page"/>
      </w:r>
    </w:p>
    <w:p w:rsidR="001A33BF" w:rsidP="001A33BF" w14:paraId="634FE015" w14:textId="43650A78">
      <w:pPr>
        <w:pStyle w:val="BodyText"/>
        <w:widowControl w:val="0"/>
        <w:tabs>
          <w:tab w:val="left" w:pos="462"/>
        </w:tabs>
        <w:ind w:left="100" w:right="861" w:hanging="100"/>
        <w:rPr>
          <w:rFonts w:ascii="Times New Roman" w:hAnsi="Times New Roman"/>
          <w:b/>
          <w:i/>
          <w:spacing w:val="-1"/>
          <w:szCs w:val="24"/>
          <w:u w:val="none"/>
        </w:rPr>
      </w:pPr>
      <w:r>
        <w:rPr>
          <w:rFonts w:ascii="Times New Roman" w:hAnsi="Times New Roman"/>
          <w:b/>
          <w:i/>
          <w:spacing w:val="-2"/>
          <w:szCs w:val="24"/>
          <w:u w:val="none"/>
        </w:rPr>
        <w:t xml:space="preserve">17.     </w:t>
      </w:r>
      <w:r w:rsidR="00B83BBE">
        <w:rPr>
          <w:rFonts w:ascii="Times New Roman" w:hAnsi="Times New Roman"/>
          <w:b/>
          <w:i/>
          <w:spacing w:val="-2"/>
          <w:szCs w:val="24"/>
          <w:u w:val="none"/>
        </w:rPr>
        <w:t>Reasons for not displaying OMB expiration date:</w:t>
      </w:r>
    </w:p>
    <w:p w:rsidR="00C25B79" w14:paraId="0A5466AA" w14:textId="77777777">
      <w:pPr>
        <w:rPr>
          <w:rFonts w:ascii="Times New Roman" w:hAnsi="Times New Roman"/>
          <w:sz w:val="24"/>
        </w:rPr>
      </w:pPr>
    </w:p>
    <w:p w:rsidR="00C25B79" w:rsidP="002C1147" w14:paraId="62F343D9" w14:textId="77777777">
      <w:pPr>
        <w:ind w:firstLine="720"/>
        <w:rPr>
          <w:rFonts w:ascii="Times New Roman" w:hAnsi="Times New Roman"/>
          <w:sz w:val="24"/>
        </w:rPr>
      </w:pPr>
      <w:r>
        <w:rPr>
          <w:rFonts w:ascii="Times New Roman" w:hAnsi="Times New Roman"/>
          <w:sz w:val="24"/>
        </w:rPr>
        <w:t>Not applicable.</w:t>
      </w:r>
    </w:p>
    <w:p w:rsidR="00C25B79" w14:paraId="297ECF99" w14:textId="77777777">
      <w:pPr>
        <w:rPr>
          <w:rFonts w:ascii="Times New Roman" w:hAnsi="Times New Roman"/>
          <w:sz w:val="24"/>
        </w:rPr>
      </w:pPr>
    </w:p>
    <w:p w:rsidR="001A33BF" w:rsidP="007F4D96" w14:paraId="00EEEC6A" w14:textId="77777777">
      <w:pPr>
        <w:pStyle w:val="BodyText"/>
        <w:widowControl w:val="0"/>
        <w:tabs>
          <w:tab w:val="left" w:pos="0"/>
        </w:tabs>
        <w:ind w:left="459" w:hanging="459"/>
        <w:rPr>
          <w:rFonts w:ascii="Times New Roman" w:hAnsi="Times New Roman"/>
          <w:b/>
          <w:i/>
          <w:szCs w:val="24"/>
          <w:u w:val="none"/>
        </w:rPr>
      </w:pPr>
      <w:r>
        <w:rPr>
          <w:rFonts w:ascii="Times New Roman" w:hAnsi="Times New Roman"/>
          <w:b/>
          <w:i/>
          <w:szCs w:val="24"/>
          <w:u w:val="none"/>
        </w:rPr>
        <w:t xml:space="preserve">18.  </w:t>
      </w:r>
      <w:r w:rsidR="007F4D96">
        <w:rPr>
          <w:rFonts w:ascii="Times New Roman" w:hAnsi="Times New Roman"/>
          <w:b/>
          <w:i/>
          <w:szCs w:val="24"/>
          <w:u w:val="none"/>
        </w:rPr>
        <w:t xml:space="preserve"> Exceptions to the certification statement:</w:t>
      </w:r>
    </w:p>
    <w:p w:rsidR="00C25B79" w14:paraId="68F04B17" w14:textId="77777777">
      <w:pPr>
        <w:rPr>
          <w:rFonts w:ascii="Times New Roman" w:hAnsi="Times New Roman"/>
          <w:sz w:val="24"/>
        </w:rPr>
      </w:pPr>
    </w:p>
    <w:p w:rsidR="00C25B79" w:rsidP="002C1147" w14:paraId="657D8E1E" w14:textId="77777777">
      <w:pPr>
        <w:ind w:firstLine="720"/>
        <w:rPr>
          <w:rFonts w:ascii="Times New Roman" w:hAnsi="Times New Roman"/>
          <w:sz w:val="24"/>
        </w:rPr>
      </w:pPr>
      <w:r>
        <w:rPr>
          <w:rFonts w:ascii="Times New Roman" w:hAnsi="Times New Roman"/>
          <w:sz w:val="24"/>
        </w:rPr>
        <w:t>Not applicable.</w:t>
      </w:r>
    </w:p>
    <w:p w:rsidR="00C25B79" w:rsidRPr="007F4D96" w14:paraId="1CC1F542" w14:textId="77777777">
      <w:pPr>
        <w:rPr>
          <w:rFonts w:ascii="Times New Roman" w:hAnsi="Times New Roman"/>
          <w:b/>
          <w:sz w:val="24"/>
        </w:rPr>
      </w:pPr>
    </w:p>
    <w:p w:rsidR="00C25B79" w:rsidRPr="007F4D96" w14:paraId="57EAAF14" w14:textId="77777777">
      <w:pPr>
        <w:rPr>
          <w:rFonts w:ascii="Times New Roman" w:hAnsi="Times New Roman"/>
          <w:b/>
          <w:i/>
          <w:sz w:val="24"/>
          <w:u w:val="single"/>
        </w:rPr>
      </w:pPr>
      <w:r w:rsidRPr="007F4D96">
        <w:rPr>
          <w:rFonts w:ascii="Times New Roman" w:hAnsi="Times New Roman"/>
          <w:b/>
          <w:i/>
          <w:sz w:val="24"/>
        </w:rPr>
        <w:t xml:space="preserve">B.  </w:t>
      </w:r>
      <w:r w:rsidRPr="007F4D96">
        <w:rPr>
          <w:rFonts w:ascii="Times New Roman" w:hAnsi="Times New Roman"/>
          <w:b/>
          <w:bCs/>
          <w:i/>
          <w:sz w:val="24"/>
        </w:rPr>
        <w:t>Collections of Information Employing Statistical Methods</w:t>
      </w:r>
      <w:r w:rsidRPr="007F4D96" w:rsidR="00F335AE">
        <w:rPr>
          <w:rFonts w:ascii="Times New Roman" w:hAnsi="Times New Roman"/>
          <w:b/>
          <w:bCs/>
          <w:i/>
          <w:sz w:val="24"/>
        </w:rPr>
        <w:t>.</w:t>
      </w:r>
    </w:p>
    <w:p w:rsidR="00C25B79" w14:paraId="614B84C1" w14:textId="77777777">
      <w:pPr>
        <w:rPr>
          <w:rFonts w:ascii="Times New Roman" w:hAnsi="Times New Roman"/>
          <w:sz w:val="24"/>
          <w:u w:val="single"/>
        </w:rPr>
      </w:pPr>
    </w:p>
    <w:p w:rsidR="001A33BF" w:rsidP="00B3625A" w14:paraId="446F82D6" w14:textId="37BFE2A2">
      <w:pPr>
        <w:ind w:firstLine="720"/>
        <w:rPr>
          <w:rFonts w:ascii="Times New Roman" w:hAnsi="Times New Roman"/>
          <w:szCs w:val="24"/>
        </w:rPr>
      </w:pPr>
      <w:r>
        <w:rPr>
          <w:rFonts w:ascii="Times New Roman" w:hAnsi="Times New Roman"/>
          <w:sz w:val="24"/>
        </w:rPr>
        <w:t>Not applicable.</w:t>
      </w:r>
    </w:p>
    <w:sectPr>
      <w:footerReference w:type="even" r:id="rId5"/>
      <w:footerReference w:type="default" r:id="rId6"/>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10CD" w14:paraId="7DBED1A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310CD" w14:paraId="1C7EB6E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10CD" w:rsidRPr="00D67402" w14:paraId="46221B1A" w14:textId="77777777">
    <w:pPr>
      <w:pStyle w:val="Footer"/>
      <w:framePr w:wrap="around" w:vAnchor="text" w:hAnchor="margin" w:xAlign="center" w:y="1"/>
      <w:rPr>
        <w:rStyle w:val="PageNumber"/>
        <w:rFonts w:ascii="Times New Roman" w:hAnsi="Times New Roman"/>
        <w:sz w:val="22"/>
      </w:rPr>
    </w:pPr>
    <w:r w:rsidRPr="00D67402">
      <w:rPr>
        <w:rStyle w:val="PageNumber"/>
        <w:rFonts w:ascii="Times New Roman" w:hAnsi="Times New Roman"/>
        <w:sz w:val="22"/>
      </w:rPr>
      <w:fldChar w:fldCharType="begin"/>
    </w:r>
    <w:r w:rsidRPr="00D67402">
      <w:rPr>
        <w:rStyle w:val="PageNumber"/>
        <w:rFonts w:ascii="Times New Roman" w:hAnsi="Times New Roman"/>
        <w:sz w:val="22"/>
      </w:rPr>
      <w:instrText xml:space="preserve">PAGE  </w:instrText>
    </w:r>
    <w:r w:rsidRPr="00D67402">
      <w:rPr>
        <w:rStyle w:val="PageNumber"/>
        <w:rFonts w:ascii="Times New Roman" w:hAnsi="Times New Roman"/>
        <w:sz w:val="22"/>
      </w:rPr>
      <w:fldChar w:fldCharType="separate"/>
    </w:r>
    <w:r w:rsidR="009D0B76">
      <w:rPr>
        <w:rStyle w:val="PageNumber"/>
        <w:rFonts w:ascii="Times New Roman" w:hAnsi="Times New Roman"/>
        <w:noProof/>
        <w:sz w:val="22"/>
      </w:rPr>
      <w:t>2</w:t>
    </w:r>
    <w:r w:rsidRPr="00D67402">
      <w:rPr>
        <w:rStyle w:val="PageNumber"/>
        <w:rFonts w:ascii="Times New Roman" w:hAnsi="Times New Roman"/>
        <w:sz w:val="22"/>
      </w:rPr>
      <w:fldChar w:fldCharType="end"/>
    </w:r>
  </w:p>
  <w:p w:rsidR="00C310CD" w:rsidP="00B3625A" w14:paraId="25768A8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15B02C6B"/>
    <w:multiLevelType w:val="hybridMultilevel"/>
    <w:tmpl w:val="72E05B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7CE7B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CE64119"/>
    <w:multiLevelType w:val="hybridMultilevel"/>
    <w:tmpl w:val="38E056A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E9A08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F83788D"/>
    <w:multiLevelType w:val="hybridMultilevel"/>
    <w:tmpl w:val="09F8B45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nsid w:val="40F0671B"/>
    <w:multiLevelType w:val="hybridMultilevel"/>
    <w:tmpl w:val="6192A6F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54476B3E"/>
    <w:multiLevelType w:val="hybridMultilevel"/>
    <w:tmpl w:val="CFC40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60723C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8060C77"/>
    <w:multiLevelType w:val="hybridMultilevel"/>
    <w:tmpl w:val="B31007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761970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8A6577B"/>
    <w:multiLevelType w:val="hybridMultilevel"/>
    <w:tmpl w:val="A3BAB436"/>
    <w:lvl w:ilvl="0">
      <w:start w:val="1"/>
      <w:numFmt w:val="bullet"/>
      <w:lvlText w:val=""/>
      <w:lvlJc w:val="left"/>
      <w:pPr>
        <w:tabs>
          <w:tab w:val="num" w:pos="765"/>
        </w:tabs>
        <w:ind w:left="765" w:hanging="360"/>
      </w:pPr>
      <w:rPr>
        <w:rFonts w:ascii="Symbol" w:hAnsi="Symbol" w:hint="default"/>
      </w:rPr>
    </w:lvl>
    <w:lvl w:ilvl="1" w:tentative="1">
      <w:start w:val="1"/>
      <w:numFmt w:val="bullet"/>
      <w:lvlText w:val="o"/>
      <w:lvlJc w:val="left"/>
      <w:pPr>
        <w:tabs>
          <w:tab w:val="num" w:pos="1485"/>
        </w:tabs>
        <w:ind w:left="1485" w:hanging="360"/>
      </w:pPr>
      <w:rPr>
        <w:rFonts w:ascii="Courier New" w:hAnsi="Courier New" w:hint="default"/>
      </w:rPr>
    </w:lvl>
    <w:lvl w:ilvl="2" w:tentative="1">
      <w:start w:val="1"/>
      <w:numFmt w:val="bullet"/>
      <w:lvlText w:val=""/>
      <w:lvlJc w:val="left"/>
      <w:pPr>
        <w:tabs>
          <w:tab w:val="num" w:pos="2205"/>
        </w:tabs>
        <w:ind w:left="2205" w:hanging="360"/>
      </w:pPr>
      <w:rPr>
        <w:rFonts w:ascii="Wingdings" w:hAnsi="Wingdings" w:hint="default"/>
      </w:rPr>
    </w:lvl>
    <w:lvl w:ilvl="3" w:tentative="1">
      <w:start w:val="1"/>
      <w:numFmt w:val="bullet"/>
      <w:lvlText w:val=""/>
      <w:lvlJc w:val="left"/>
      <w:pPr>
        <w:tabs>
          <w:tab w:val="num" w:pos="2925"/>
        </w:tabs>
        <w:ind w:left="2925" w:hanging="360"/>
      </w:pPr>
      <w:rPr>
        <w:rFonts w:ascii="Symbol" w:hAnsi="Symbol" w:hint="default"/>
      </w:rPr>
    </w:lvl>
    <w:lvl w:ilvl="4" w:tentative="1">
      <w:start w:val="1"/>
      <w:numFmt w:val="bullet"/>
      <w:lvlText w:val="o"/>
      <w:lvlJc w:val="left"/>
      <w:pPr>
        <w:tabs>
          <w:tab w:val="num" w:pos="3645"/>
        </w:tabs>
        <w:ind w:left="3645" w:hanging="360"/>
      </w:pPr>
      <w:rPr>
        <w:rFonts w:ascii="Courier New" w:hAnsi="Courier New" w:hint="default"/>
      </w:rPr>
    </w:lvl>
    <w:lvl w:ilvl="5" w:tentative="1">
      <w:start w:val="1"/>
      <w:numFmt w:val="bullet"/>
      <w:lvlText w:val=""/>
      <w:lvlJc w:val="left"/>
      <w:pPr>
        <w:tabs>
          <w:tab w:val="num" w:pos="4365"/>
        </w:tabs>
        <w:ind w:left="4365" w:hanging="360"/>
      </w:pPr>
      <w:rPr>
        <w:rFonts w:ascii="Wingdings" w:hAnsi="Wingdings" w:hint="default"/>
      </w:rPr>
    </w:lvl>
    <w:lvl w:ilvl="6" w:tentative="1">
      <w:start w:val="1"/>
      <w:numFmt w:val="bullet"/>
      <w:lvlText w:val=""/>
      <w:lvlJc w:val="left"/>
      <w:pPr>
        <w:tabs>
          <w:tab w:val="num" w:pos="5085"/>
        </w:tabs>
        <w:ind w:left="5085" w:hanging="360"/>
      </w:pPr>
      <w:rPr>
        <w:rFonts w:ascii="Symbol" w:hAnsi="Symbol" w:hint="default"/>
      </w:rPr>
    </w:lvl>
    <w:lvl w:ilvl="7" w:tentative="1">
      <w:start w:val="1"/>
      <w:numFmt w:val="bullet"/>
      <w:lvlText w:val="o"/>
      <w:lvlJc w:val="left"/>
      <w:pPr>
        <w:tabs>
          <w:tab w:val="num" w:pos="5805"/>
        </w:tabs>
        <w:ind w:left="5805" w:hanging="360"/>
      </w:pPr>
      <w:rPr>
        <w:rFonts w:ascii="Courier New" w:hAnsi="Courier New" w:hint="default"/>
      </w:rPr>
    </w:lvl>
    <w:lvl w:ilvl="8" w:tentative="1">
      <w:start w:val="1"/>
      <w:numFmt w:val="bullet"/>
      <w:lvlText w:val=""/>
      <w:lvlJc w:val="left"/>
      <w:pPr>
        <w:tabs>
          <w:tab w:val="num" w:pos="6525"/>
        </w:tabs>
        <w:ind w:left="6525" w:hanging="360"/>
      </w:pPr>
      <w:rPr>
        <w:rFonts w:ascii="Wingdings" w:hAnsi="Wingdings" w:hint="default"/>
      </w:rPr>
    </w:lvl>
  </w:abstractNum>
  <w:abstractNum w:abstractNumId="14">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761488657">
    <w:abstractNumId w:val="0"/>
  </w:num>
  <w:num w:numId="2" w16cid:durableId="178351544">
    <w:abstractNumId w:val="14"/>
  </w:num>
  <w:num w:numId="3" w16cid:durableId="1146969075">
    <w:abstractNumId w:val="7"/>
  </w:num>
  <w:num w:numId="4" w16cid:durableId="212160251">
    <w:abstractNumId w:val="7"/>
  </w:num>
  <w:num w:numId="5" w16cid:durableId="270403993">
    <w:abstractNumId w:val="1"/>
  </w:num>
  <w:num w:numId="6" w16cid:durableId="1109007754">
    <w:abstractNumId w:val="1"/>
  </w:num>
  <w:num w:numId="7" w16cid:durableId="1986085646">
    <w:abstractNumId w:val="1"/>
  </w:num>
  <w:num w:numId="8" w16cid:durableId="1647127977">
    <w:abstractNumId w:val="1"/>
  </w:num>
  <w:num w:numId="9" w16cid:durableId="738867953">
    <w:abstractNumId w:val="1"/>
  </w:num>
  <w:num w:numId="10" w16cid:durableId="858543475">
    <w:abstractNumId w:val="1"/>
  </w:num>
  <w:num w:numId="11" w16cid:durableId="1929119786">
    <w:abstractNumId w:val="1"/>
  </w:num>
  <w:num w:numId="12" w16cid:durableId="2076197192">
    <w:abstractNumId w:val="1"/>
  </w:num>
  <w:num w:numId="13" w16cid:durableId="719213198">
    <w:abstractNumId w:val="7"/>
  </w:num>
  <w:num w:numId="14" w16cid:durableId="1825658897">
    <w:abstractNumId w:val="7"/>
  </w:num>
  <w:num w:numId="15" w16cid:durableId="1634211508">
    <w:abstractNumId w:val="7"/>
  </w:num>
  <w:num w:numId="16" w16cid:durableId="1491484907">
    <w:abstractNumId w:val="7"/>
  </w:num>
  <w:num w:numId="17" w16cid:durableId="77409299">
    <w:abstractNumId w:val="12"/>
  </w:num>
  <w:num w:numId="18" w16cid:durableId="160432337">
    <w:abstractNumId w:val="5"/>
  </w:num>
  <w:num w:numId="19" w16cid:durableId="448552615">
    <w:abstractNumId w:val="3"/>
  </w:num>
  <w:num w:numId="20" w16cid:durableId="108355797">
    <w:abstractNumId w:val="10"/>
  </w:num>
  <w:num w:numId="21" w16cid:durableId="1013188289">
    <w:abstractNumId w:val="11"/>
  </w:num>
  <w:num w:numId="22" w16cid:durableId="967006050">
    <w:abstractNumId w:val="8"/>
  </w:num>
  <w:num w:numId="23" w16cid:durableId="1927154903">
    <w:abstractNumId w:val="2"/>
  </w:num>
  <w:num w:numId="24" w16cid:durableId="410086550">
    <w:abstractNumId w:val="13"/>
  </w:num>
  <w:num w:numId="25" w16cid:durableId="655842555">
    <w:abstractNumId w:val="9"/>
  </w:num>
  <w:num w:numId="26" w16cid:durableId="1082873857">
    <w:abstractNumId w:val="6"/>
  </w:num>
  <w:num w:numId="27" w16cid:durableId="1685285640">
    <w:abstractNumId w:val="4"/>
  </w:num>
  <w:num w:numId="28" w16cid:durableId="45378920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10E"/>
    <w:rsid w:val="00000089"/>
    <w:rsid w:val="00001911"/>
    <w:rsid w:val="00005021"/>
    <w:rsid w:val="00043982"/>
    <w:rsid w:val="00054A2A"/>
    <w:rsid w:val="000561C9"/>
    <w:rsid w:val="00061842"/>
    <w:rsid w:val="00067EB7"/>
    <w:rsid w:val="00086948"/>
    <w:rsid w:val="000904BA"/>
    <w:rsid w:val="00093F33"/>
    <w:rsid w:val="000C4DBC"/>
    <w:rsid w:val="000E5EBB"/>
    <w:rsid w:val="000E6455"/>
    <w:rsid w:val="000F4A43"/>
    <w:rsid w:val="00101253"/>
    <w:rsid w:val="001177EC"/>
    <w:rsid w:val="00134D5D"/>
    <w:rsid w:val="001376DF"/>
    <w:rsid w:val="00143DD9"/>
    <w:rsid w:val="001552C2"/>
    <w:rsid w:val="00155E15"/>
    <w:rsid w:val="00160253"/>
    <w:rsid w:val="00163D92"/>
    <w:rsid w:val="00170888"/>
    <w:rsid w:val="00174079"/>
    <w:rsid w:val="00176315"/>
    <w:rsid w:val="00185894"/>
    <w:rsid w:val="001A0F53"/>
    <w:rsid w:val="001A33BF"/>
    <w:rsid w:val="001A6CFA"/>
    <w:rsid w:val="001A7DC5"/>
    <w:rsid w:val="001B36E8"/>
    <w:rsid w:val="001B56B7"/>
    <w:rsid w:val="001C638C"/>
    <w:rsid w:val="001C651B"/>
    <w:rsid w:val="001D340C"/>
    <w:rsid w:val="0020046C"/>
    <w:rsid w:val="0021173D"/>
    <w:rsid w:val="00216848"/>
    <w:rsid w:val="002214B8"/>
    <w:rsid w:val="00227003"/>
    <w:rsid w:val="002443DB"/>
    <w:rsid w:val="00265AD6"/>
    <w:rsid w:val="00266182"/>
    <w:rsid w:val="0029280A"/>
    <w:rsid w:val="002932F2"/>
    <w:rsid w:val="002B6AAE"/>
    <w:rsid w:val="002C1147"/>
    <w:rsid w:val="002C7A49"/>
    <w:rsid w:val="002D215C"/>
    <w:rsid w:val="002D352B"/>
    <w:rsid w:val="002D459A"/>
    <w:rsid w:val="002D6456"/>
    <w:rsid w:val="002D78D6"/>
    <w:rsid w:val="002E2E9C"/>
    <w:rsid w:val="002F6F09"/>
    <w:rsid w:val="003019D6"/>
    <w:rsid w:val="00320E20"/>
    <w:rsid w:val="00327B9F"/>
    <w:rsid w:val="00341155"/>
    <w:rsid w:val="003677A2"/>
    <w:rsid w:val="00367CA5"/>
    <w:rsid w:val="0037690D"/>
    <w:rsid w:val="003A79B3"/>
    <w:rsid w:val="003B1A95"/>
    <w:rsid w:val="003C3433"/>
    <w:rsid w:val="003F29FB"/>
    <w:rsid w:val="0040769D"/>
    <w:rsid w:val="00410335"/>
    <w:rsid w:val="004179FA"/>
    <w:rsid w:val="004329A7"/>
    <w:rsid w:val="0046059C"/>
    <w:rsid w:val="00476ECA"/>
    <w:rsid w:val="00477837"/>
    <w:rsid w:val="0048217E"/>
    <w:rsid w:val="004A6756"/>
    <w:rsid w:val="00502C2F"/>
    <w:rsid w:val="005117FC"/>
    <w:rsid w:val="00527B86"/>
    <w:rsid w:val="00534A75"/>
    <w:rsid w:val="00543B81"/>
    <w:rsid w:val="00550E50"/>
    <w:rsid w:val="00555DB1"/>
    <w:rsid w:val="005670AD"/>
    <w:rsid w:val="00573ED8"/>
    <w:rsid w:val="00592E78"/>
    <w:rsid w:val="005A3267"/>
    <w:rsid w:val="005A4D3B"/>
    <w:rsid w:val="005B747B"/>
    <w:rsid w:val="005B779C"/>
    <w:rsid w:val="005D00AE"/>
    <w:rsid w:val="005D6660"/>
    <w:rsid w:val="005E33E1"/>
    <w:rsid w:val="005F2EA4"/>
    <w:rsid w:val="005F740E"/>
    <w:rsid w:val="00604F84"/>
    <w:rsid w:val="0061235B"/>
    <w:rsid w:val="006166AA"/>
    <w:rsid w:val="006201DB"/>
    <w:rsid w:val="00630DCA"/>
    <w:rsid w:val="00644A28"/>
    <w:rsid w:val="00646323"/>
    <w:rsid w:val="006540BC"/>
    <w:rsid w:val="0068448C"/>
    <w:rsid w:val="00685240"/>
    <w:rsid w:val="00687A93"/>
    <w:rsid w:val="006A5E05"/>
    <w:rsid w:val="006A7A1D"/>
    <w:rsid w:val="006B6982"/>
    <w:rsid w:val="006B700D"/>
    <w:rsid w:val="006C1E03"/>
    <w:rsid w:val="006E3F1F"/>
    <w:rsid w:val="006F51D9"/>
    <w:rsid w:val="00702F20"/>
    <w:rsid w:val="007077EE"/>
    <w:rsid w:val="00716168"/>
    <w:rsid w:val="007332E1"/>
    <w:rsid w:val="0073562E"/>
    <w:rsid w:val="0074551A"/>
    <w:rsid w:val="0075464E"/>
    <w:rsid w:val="00764CFB"/>
    <w:rsid w:val="00774746"/>
    <w:rsid w:val="00777564"/>
    <w:rsid w:val="00784EB1"/>
    <w:rsid w:val="00794A0E"/>
    <w:rsid w:val="007B1C90"/>
    <w:rsid w:val="007C2A0D"/>
    <w:rsid w:val="007C3DC8"/>
    <w:rsid w:val="007C52CF"/>
    <w:rsid w:val="007D1D13"/>
    <w:rsid w:val="007D3141"/>
    <w:rsid w:val="007F2272"/>
    <w:rsid w:val="007F4D96"/>
    <w:rsid w:val="00837C3D"/>
    <w:rsid w:val="00842A9C"/>
    <w:rsid w:val="00843CCE"/>
    <w:rsid w:val="0085310E"/>
    <w:rsid w:val="00856AB6"/>
    <w:rsid w:val="00856C69"/>
    <w:rsid w:val="0085720D"/>
    <w:rsid w:val="00863A0A"/>
    <w:rsid w:val="00871407"/>
    <w:rsid w:val="00873095"/>
    <w:rsid w:val="008901E0"/>
    <w:rsid w:val="008A0BEC"/>
    <w:rsid w:val="008A53C2"/>
    <w:rsid w:val="008B4396"/>
    <w:rsid w:val="008B5F01"/>
    <w:rsid w:val="008C07E4"/>
    <w:rsid w:val="008C6958"/>
    <w:rsid w:val="008E0623"/>
    <w:rsid w:val="00920A87"/>
    <w:rsid w:val="00927D10"/>
    <w:rsid w:val="00955053"/>
    <w:rsid w:val="00957818"/>
    <w:rsid w:val="00960262"/>
    <w:rsid w:val="00965CC9"/>
    <w:rsid w:val="00980E7E"/>
    <w:rsid w:val="0098276E"/>
    <w:rsid w:val="00983DCC"/>
    <w:rsid w:val="00994226"/>
    <w:rsid w:val="009A00E6"/>
    <w:rsid w:val="009B56C5"/>
    <w:rsid w:val="009D0B76"/>
    <w:rsid w:val="009D29F0"/>
    <w:rsid w:val="009D3420"/>
    <w:rsid w:val="009D4C37"/>
    <w:rsid w:val="009F06D6"/>
    <w:rsid w:val="009F370B"/>
    <w:rsid w:val="009F45EE"/>
    <w:rsid w:val="00A007D0"/>
    <w:rsid w:val="00A05D30"/>
    <w:rsid w:val="00A10E34"/>
    <w:rsid w:val="00A13C62"/>
    <w:rsid w:val="00A14BD8"/>
    <w:rsid w:val="00A32A8F"/>
    <w:rsid w:val="00A34D18"/>
    <w:rsid w:val="00A35CD4"/>
    <w:rsid w:val="00A423A7"/>
    <w:rsid w:val="00A5176D"/>
    <w:rsid w:val="00A517D5"/>
    <w:rsid w:val="00A606C6"/>
    <w:rsid w:val="00A85B27"/>
    <w:rsid w:val="00A90170"/>
    <w:rsid w:val="00AA0419"/>
    <w:rsid w:val="00AA4EBB"/>
    <w:rsid w:val="00AA6144"/>
    <w:rsid w:val="00AA65D4"/>
    <w:rsid w:val="00AB6BBF"/>
    <w:rsid w:val="00AD0DA0"/>
    <w:rsid w:val="00AF26DC"/>
    <w:rsid w:val="00AF2778"/>
    <w:rsid w:val="00B021B1"/>
    <w:rsid w:val="00B13972"/>
    <w:rsid w:val="00B21879"/>
    <w:rsid w:val="00B30265"/>
    <w:rsid w:val="00B30653"/>
    <w:rsid w:val="00B3625A"/>
    <w:rsid w:val="00B52BC2"/>
    <w:rsid w:val="00B56E4A"/>
    <w:rsid w:val="00B83BBE"/>
    <w:rsid w:val="00B83EB5"/>
    <w:rsid w:val="00B868D9"/>
    <w:rsid w:val="00B903AF"/>
    <w:rsid w:val="00BA2ACB"/>
    <w:rsid w:val="00BB25D1"/>
    <w:rsid w:val="00BB3AF4"/>
    <w:rsid w:val="00BC7AFF"/>
    <w:rsid w:val="00BE1787"/>
    <w:rsid w:val="00BE7D73"/>
    <w:rsid w:val="00C21494"/>
    <w:rsid w:val="00C232BE"/>
    <w:rsid w:val="00C25B79"/>
    <w:rsid w:val="00C310CD"/>
    <w:rsid w:val="00C377AB"/>
    <w:rsid w:val="00C427A1"/>
    <w:rsid w:val="00C629AE"/>
    <w:rsid w:val="00C75424"/>
    <w:rsid w:val="00CA2E7C"/>
    <w:rsid w:val="00CA7873"/>
    <w:rsid w:val="00CD778E"/>
    <w:rsid w:val="00CE3DDA"/>
    <w:rsid w:val="00CE3E97"/>
    <w:rsid w:val="00CF1581"/>
    <w:rsid w:val="00D07F6D"/>
    <w:rsid w:val="00D2656D"/>
    <w:rsid w:val="00D4343D"/>
    <w:rsid w:val="00D441A5"/>
    <w:rsid w:val="00D509FC"/>
    <w:rsid w:val="00D548C1"/>
    <w:rsid w:val="00D55A2E"/>
    <w:rsid w:val="00D67402"/>
    <w:rsid w:val="00D81338"/>
    <w:rsid w:val="00DA14AA"/>
    <w:rsid w:val="00DB1367"/>
    <w:rsid w:val="00DC112B"/>
    <w:rsid w:val="00DC262C"/>
    <w:rsid w:val="00DD16D2"/>
    <w:rsid w:val="00DD2FDB"/>
    <w:rsid w:val="00DD60B7"/>
    <w:rsid w:val="00DE1569"/>
    <w:rsid w:val="00E136FE"/>
    <w:rsid w:val="00E13BCC"/>
    <w:rsid w:val="00E20BE7"/>
    <w:rsid w:val="00E30478"/>
    <w:rsid w:val="00E3308D"/>
    <w:rsid w:val="00E432D6"/>
    <w:rsid w:val="00E57B4A"/>
    <w:rsid w:val="00E60E13"/>
    <w:rsid w:val="00E6407F"/>
    <w:rsid w:val="00E826AF"/>
    <w:rsid w:val="00E951CD"/>
    <w:rsid w:val="00EB6AB3"/>
    <w:rsid w:val="00EB758F"/>
    <w:rsid w:val="00EC706C"/>
    <w:rsid w:val="00ED0559"/>
    <w:rsid w:val="00EE4CE1"/>
    <w:rsid w:val="00EE5650"/>
    <w:rsid w:val="00EF6C44"/>
    <w:rsid w:val="00F32141"/>
    <w:rsid w:val="00F335AE"/>
    <w:rsid w:val="00F35981"/>
    <w:rsid w:val="00F4270E"/>
    <w:rsid w:val="00F62272"/>
    <w:rsid w:val="00F64200"/>
    <w:rsid w:val="00F66D66"/>
    <w:rsid w:val="00F968FE"/>
    <w:rsid w:val="00FC0C0F"/>
    <w:rsid w:val="00FC6A4A"/>
    <w:rsid w:val="00FD3504"/>
    <w:rsid w:val="00FD5C62"/>
    <w:rsid w:val="00FF3A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393C6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Narrow" w:hAnsi="Arial Narrow"/>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outlineLvl w:val="4"/>
    </w:pPr>
    <w:rPr>
      <w:rFonts w:ascii="Times New Roman" w:hAnsi="Times New Roman"/>
      <w:b/>
      <w:bCs/>
    </w:rPr>
  </w:style>
  <w:style w:type="paragraph" w:styleId="Heading6">
    <w:name w:val="heading 6"/>
    <w:basedOn w:val="Normal"/>
    <w:next w:val="Normal"/>
    <w:qFormat/>
    <w:pPr>
      <w:keepNext/>
      <w:outlineLvl w:val="5"/>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12,Appel note de bas de p,BVI fnr,EN Footnote Reference,Footnote,Footnote Reference Superscript,Footnote reference number,Footnote symbol,Nota,SUPERS,Style 16,Style 19,Style 35,Voetnootverwijzing,fr,note TESI"/>
    <w:uiPriority w:val="99"/>
    <w:semiHidden/>
    <w:rPr>
      <w:vertAlign w:val="superscript"/>
    </w:rPr>
  </w:style>
  <w:style w:type="paragraph" w:styleId="FootnoteText">
    <w:name w:val="footnote text"/>
    <w:aliases w:val="ALTS FOOTNOTE,Car,Char,Footnote Text Char Char,Footnote Text Char Char Char Char,Footnote Text Char Char Char Char Char Char Char Char Char Char Char Char Char Char Char Char Char,Footnote Text Char1 Char Char,Fußnote,Style 15,fn,ft"/>
    <w:basedOn w:val="Normal"/>
    <w:link w:val="FootnoteTextChar"/>
    <w:uiPriority w:val="99"/>
    <w:semiHidden/>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qFormat/>
    <w:rPr>
      <w:sz w:val="24"/>
      <w:u w:val="single"/>
    </w:rPr>
  </w:style>
  <w:style w:type="paragraph" w:styleId="BodyText2">
    <w:name w:val="Body Text 2"/>
    <w:basedOn w:val="Normal"/>
    <w:rPr>
      <w:sz w:val="24"/>
    </w:rPr>
  </w:style>
  <w:style w:type="paragraph" w:styleId="BodyText3">
    <w:name w:val="Body Text 3"/>
    <w:basedOn w:val="Normal"/>
    <w:rPr>
      <w:rFonts w:ascii="Times New Roman" w:hAnsi="Times New Roman"/>
      <w:b/>
      <w:bCs/>
      <w:sz w:val="24"/>
    </w:rPr>
  </w:style>
  <w:style w:type="character" w:customStyle="1" w:styleId="documentbody1">
    <w:name w:val="documentbody1"/>
    <w:rPr>
      <w:rFonts w:ascii="Verdana" w:hAnsi="Verdana" w:hint="default"/>
      <w:sz w:val="19"/>
      <w:szCs w:val="19"/>
    </w:rPr>
  </w:style>
  <w:style w:type="paragraph" w:styleId="BalloonText">
    <w:name w:val="Balloon Text"/>
    <w:basedOn w:val="Normal"/>
    <w:semiHidden/>
    <w:rsid w:val="00BB3AF4"/>
    <w:rPr>
      <w:rFonts w:ascii="Tahoma" w:hAnsi="Tahoma" w:cs="Tahoma"/>
      <w:sz w:val="16"/>
      <w:szCs w:val="16"/>
    </w:rPr>
  </w:style>
  <w:style w:type="character" w:customStyle="1" w:styleId="BodyTextChar">
    <w:name w:val="Body Text Char"/>
    <w:link w:val="BodyText"/>
    <w:rsid w:val="002B6AAE"/>
    <w:rPr>
      <w:rFonts w:ascii="Arial Narrow" w:hAnsi="Arial Narrow"/>
      <w:sz w:val="24"/>
      <w:u w:val="single"/>
    </w:rPr>
  </w:style>
  <w:style w:type="character" w:customStyle="1" w:styleId="FootnoteTextChar">
    <w:name w:val="Footnote Text Char"/>
    <w:aliases w:val="Car Char,Footnote Text Char Char Char,Footnote Text Char Char Char Char Char,Footnote Text Char Char Char Char Char Char Char Char Char Char Char Char Char Char Char Char Char Char,Footnote Text Char1 Char Char Char,fn Char,ft Char"/>
    <w:link w:val="FootnoteText"/>
    <w:uiPriority w:val="99"/>
    <w:semiHidden/>
    <w:locked/>
    <w:rsid w:val="00D441A5"/>
    <w:rPr>
      <w:rFonts w:ascii="Arial Narrow" w:hAnsi="Arial Narrow"/>
    </w:rPr>
  </w:style>
  <w:style w:type="paragraph" w:styleId="CommentText">
    <w:name w:val="annotation text"/>
    <w:basedOn w:val="Normal"/>
    <w:link w:val="CommentTextChar"/>
    <w:uiPriority w:val="99"/>
    <w:unhideWhenUsed/>
    <w:rsid w:val="00D441A5"/>
    <w:rPr>
      <w:rFonts w:ascii="Times New Roman" w:hAnsi="Times New Roman"/>
    </w:rPr>
  </w:style>
  <w:style w:type="character" w:customStyle="1" w:styleId="CommentTextChar">
    <w:name w:val="Comment Text Char"/>
    <w:basedOn w:val="DefaultParagraphFont"/>
    <w:link w:val="CommentText"/>
    <w:uiPriority w:val="99"/>
    <w:rsid w:val="00D441A5"/>
  </w:style>
  <w:style w:type="character" w:styleId="CommentReference">
    <w:name w:val="annotation reference"/>
    <w:uiPriority w:val="99"/>
    <w:unhideWhenUsed/>
    <w:rsid w:val="00D441A5"/>
    <w:rPr>
      <w:sz w:val="16"/>
      <w:szCs w:val="16"/>
    </w:rPr>
  </w:style>
  <w:style w:type="paragraph" w:styleId="CommentSubject">
    <w:name w:val="annotation subject"/>
    <w:basedOn w:val="CommentText"/>
    <w:next w:val="CommentText"/>
    <w:link w:val="CommentSubjectChar"/>
    <w:rsid w:val="005F2EA4"/>
    <w:rPr>
      <w:rFonts w:ascii="Arial Narrow" w:hAnsi="Arial Narrow"/>
      <w:b/>
      <w:bCs/>
    </w:rPr>
  </w:style>
  <w:style w:type="character" w:customStyle="1" w:styleId="CommentSubjectChar">
    <w:name w:val="Comment Subject Char"/>
    <w:link w:val="CommentSubject"/>
    <w:rsid w:val="005F2EA4"/>
    <w:rPr>
      <w:rFonts w:ascii="Arial Narrow" w:hAnsi="Arial Narrow"/>
      <w:b/>
      <w:bCs/>
    </w:rPr>
  </w:style>
  <w:style w:type="paragraph" w:styleId="Revision">
    <w:name w:val="Revision"/>
    <w:hidden/>
    <w:uiPriority w:val="99"/>
    <w:semiHidden/>
    <w:rsid w:val="00C377AB"/>
    <w:rPr>
      <w:rFonts w:ascii="Arial Narrow" w:hAnsi="Arial Narrow"/>
    </w:rPr>
  </w:style>
  <w:style w:type="character" w:customStyle="1" w:styleId="FooterChar">
    <w:name w:val="Footer Char"/>
    <w:basedOn w:val="DefaultParagraphFont"/>
    <w:link w:val="Footer"/>
    <w:uiPriority w:val="99"/>
    <w:rsid w:val="00B3625A"/>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4F0D5-980B-4DE1-8879-16632D9B7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794</Words>
  <Characters>4271</Characters>
  <Application>Microsoft Office Word</Application>
  <DocSecurity>0</DocSecurity>
  <Lines>35</Lines>
  <Paragraphs>10</Paragraphs>
  <ScaleCrop>false</ScaleCrop>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2025-04-22T16:20:00Z</dcterms:created>
  <dcterms:modified xsi:type="dcterms:W3CDTF">2025-04-22T16:20:00Z</dcterms:modified>
</cp:coreProperties>
</file>