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EB35C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D13EA9">
        <w:rPr>
          <w:sz w:val="28"/>
        </w:rPr>
        <w:t>1652-0058</w:t>
      </w:r>
      <w:r w:rsidR="00F06866">
        <w:rPr>
          <w:sz w:val="28"/>
        </w:rPr>
        <w:t>)</w:t>
      </w:r>
    </w:p>
    <w:p w:rsidR="00E50293" w:rsidRPr="009239AA" w:rsidP="00434E33" w14:paraId="41F4DF1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3EA9">
        <w:t>Aviation Cybersecurity Initiative (ACI) Airports Working Group Survey</w:t>
      </w:r>
      <w:r w:rsidR="00783701">
        <w:t>.</w:t>
      </w:r>
    </w:p>
    <w:p w:rsidR="005E714A" w14:paraId="6A1EFFC5" w14:textId="77777777"/>
    <w:p w:rsidR="00BD47AC" w:rsidRPr="00511FA6" w:rsidP="00BD47AC" w14:paraId="42470BE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E26C58">
        <w:t>T</w:t>
      </w:r>
      <w:r w:rsidRPr="00511FA6" w:rsidR="00E26C58">
        <w:t xml:space="preserve">he </w:t>
      </w:r>
      <w:r w:rsidRPr="00D13EA9" w:rsidR="00E26C58">
        <w:t>Aviation Cybersecurity Initiative</w:t>
      </w:r>
      <w:r w:rsidR="00F327B7">
        <w:t xml:space="preserve">’s </w:t>
      </w:r>
      <w:r w:rsidR="00E26C58">
        <w:t>(</w:t>
      </w:r>
      <w:r w:rsidRPr="00511FA6" w:rsidR="00E26C58">
        <w:t>ACI</w:t>
      </w:r>
      <w:r w:rsidR="00E26C58">
        <w:t>)</w:t>
      </w:r>
      <w:r w:rsidRPr="00511FA6" w:rsidR="00E26C58">
        <w:t xml:space="preserve"> mission </w:t>
      </w:r>
      <w:r w:rsidR="00F327B7">
        <w:t xml:space="preserve">is to </w:t>
      </w:r>
      <w:r w:rsidR="00783701">
        <w:t>reduce</w:t>
      </w:r>
      <w:r w:rsidRPr="00511FA6" w:rsidR="00E26C58">
        <w:t xml:space="preserve"> cybersecurity risks and improv</w:t>
      </w:r>
      <w:r w:rsidR="00F327B7">
        <w:t xml:space="preserve">e </w:t>
      </w:r>
      <w:r w:rsidRPr="00511FA6" w:rsidR="00E26C58">
        <w:t>cyber resilience in the aviation ecosystem</w:t>
      </w:r>
      <w:r w:rsidR="00F327B7">
        <w:t>.</w:t>
      </w:r>
      <w:r w:rsidRPr="00511FA6" w:rsidR="00E26C58">
        <w:t xml:space="preserve"> </w:t>
      </w:r>
      <w:r w:rsidR="00F327B7">
        <w:t xml:space="preserve"> </w:t>
      </w:r>
      <w:r w:rsidRPr="00511FA6" w:rsidR="00E26C58">
        <w:t>The</w:t>
      </w:r>
      <w:r w:rsidRPr="00F327B7" w:rsidR="00F327B7">
        <w:t xml:space="preserve"> </w:t>
      </w:r>
      <w:r w:rsidR="00783701">
        <w:t xml:space="preserve">ACI </w:t>
      </w:r>
      <w:r w:rsidRPr="00783701" w:rsidR="00783701">
        <w:t xml:space="preserve">Airports Working Group </w:t>
      </w:r>
      <w:r w:rsidR="00F327B7">
        <w:t>(</w:t>
      </w:r>
      <w:r w:rsidRPr="00511FA6" w:rsidR="00E26C58">
        <w:t>ARPWG</w:t>
      </w:r>
      <w:r w:rsidR="00F327B7">
        <w:t>)</w:t>
      </w:r>
      <w:r w:rsidRPr="00511FA6" w:rsidR="00E26C58">
        <w:t xml:space="preserve"> is chartered to engage and collaborate with airport cyber aviation ecosystem stakeholders on activities for cyber risk reduction, improvement opportunities, and risk mitigation strategies.</w:t>
      </w:r>
      <w:r w:rsidR="00E26C58">
        <w:t xml:space="preserve"> </w:t>
      </w:r>
      <w:r w:rsidRPr="00511FA6" w:rsidR="00783701">
        <w:t xml:space="preserve">The ARPWG directly supports the ACI mission of reducing cybersecurity risks and improving cyber resilience in the aviation ecosystem, specifically in the airport environment.  </w:t>
      </w:r>
      <w:r w:rsidRPr="00511FA6">
        <w:t xml:space="preserve">This survey intends to gather feedback from aviation cyber stakeholders to inform the focus and efforts of the ACI ARPWG.  </w:t>
      </w:r>
    </w:p>
    <w:p w:rsidR="003A588A" w:rsidP="003A588A" w14:paraId="3AA13108" w14:textId="77777777">
      <w:pPr>
        <w:rPr>
          <w:b/>
        </w:rPr>
      </w:pPr>
    </w:p>
    <w:p w:rsidR="00434E33" w:rsidRPr="00434E33" w:rsidP="00434E33" w14:paraId="54E2C0A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="00B072C7">
        <w:t xml:space="preserve">: </w:t>
      </w:r>
      <w:r w:rsidRPr="00511FA6" w:rsidR="00E26C58">
        <w:t>The ACI is a task force led by the D</w:t>
      </w:r>
      <w:r w:rsidR="00E26C58">
        <w:t>epartments of Homeland Security (D</w:t>
      </w:r>
      <w:r w:rsidRPr="00511FA6" w:rsidR="00E26C58">
        <w:t>HS</w:t>
      </w:r>
      <w:r w:rsidR="00E26C58">
        <w:t>)</w:t>
      </w:r>
      <w:r w:rsidRPr="00511FA6" w:rsidR="00E26C58">
        <w:t xml:space="preserve">, </w:t>
      </w:r>
      <w:r w:rsidR="00E26C58">
        <w:t>Defense (</w:t>
      </w:r>
      <w:r w:rsidRPr="00511FA6" w:rsidR="00E26C58">
        <w:t>DoD</w:t>
      </w:r>
      <w:r w:rsidR="00E26C58">
        <w:t>)</w:t>
      </w:r>
      <w:r w:rsidRPr="00511FA6" w:rsidR="00E26C58">
        <w:t xml:space="preserve">, and </w:t>
      </w:r>
      <w:r w:rsidR="00E26C58">
        <w:t>Transportation (D</w:t>
      </w:r>
      <w:r w:rsidRPr="00511FA6" w:rsidR="00E26C58">
        <w:t>OT</w:t>
      </w:r>
      <w:r w:rsidR="00E26C58">
        <w:t>)</w:t>
      </w:r>
      <w:r w:rsidRPr="00511FA6" w:rsidR="00E26C58">
        <w:t xml:space="preserve">. </w:t>
      </w:r>
      <w:r w:rsidR="00783701">
        <w:t xml:space="preserve">The respondents include </w:t>
      </w:r>
      <w:r w:rsidR="00051D95">
        <w:t xml:space="preserve">Working Group federal government members and industry participants.  </w:t>
      </w:r>
      <w:r w:rsidR="00310A71">
        <w:t xml:space="preserve">Industry participants include </w:t>
      </w:r>
      <w:r w:rsidR="00796AC4">
        <w:t>Aviation Industry Cyber Professionals (e.g., Chief Information Security Officers (</w:t>
      </w:r>
      <w:r w:rsidR="00B072C7">
        <w:t>CISOs</w:t>
      </w:r>
      <w:r w:rsidR="00796AC4">
        <w:t>)</w:t>
      </w:r>
      <w:r w:rsidR="00B072C7">
        <w:t>, C</w:t>
      </w:r>
      <w:r w:rsidR="00796AC4">
        <w:t xml:space="preserve">hief </w:t>
      </w:r>
      <w:r w:rsidR="00B072C7">
        <w:t>I</w:t>
      </w:r>
      <w:r w:rsidR="00796AC4">
        <w:t>nformation Officers (CI</w:t>
      </w:r>
      <w:r w:rsidR="00B072C7">
        <w:t>Os</w:t>
      </w:r>
      <w:r w:rsidR="00796AC4">
        <w:t>)</w:t>
      </w:r>
      <w:r w:rsidR="00B072C7">
        <w:t xml:space="preserve">, </w:t>
      </w:r>
      <w:r w:rsidR="00796AC4">
        <w:t xml:space="preserve">and </w:t>
      </w:r>
      <w:r w:rsidR="00B072C7">
        <w:t>I</w:t>
      </w:r>
      <w:r w:rsidR="00796AC4">
        <w:t xml:space="preserve">nformation </w:t>
      </w:r>
      <w:r w:rsidR="00B072C7">
        <w:t>T</w:t>
      </w:r>
      <w:r w:rsidR="00796AC4">
        <w:t>echnology (IT)</w:t>
      </w:r>
      <w:r w:rsidR="00B072C7">
        <w:t xml:space="preserve"> Managers</w:t>
      </w:r>
      <w:r w:rsidR="00C453F4">
        <w:t xml:space="preserve"> for airport and aircraft operators</w:t>
      </w:r>
      <w:r w:rsidR="00796AC4">
        <w:t>)</w:t>
      </w:r>
      <w:r w:rsidR="00B072C7">
        <w:t>,</w:t>
      </w:r>
      <w:r w:rsidR="00ED3C34">
        <w:t xml:space="preserve"> Airport Facility Maintenance staff</w:t>
      </w:r>
      <w:r w:rsidR="00B072C7">
        <w:t xml:space="preserve"> </w:t>
      </w:r>
      <w:r w:rsidR="00310A71">
        <w:t xml:space="preserve">and </w:t>
      </w:r>
      <w:r w:rsidR="00B072C7">
        <w:t>Airport Association rep</w:t>
      </w:r>
      <w:r w:rsidR="00310A71">
        <w:t>resentatives.</w:t>
      </w:r>
    </w:p>
    <w:p w:rsidR="00F15956" w14:paraId="1A055163" w14:textId="77777777"/>
    <w:p w:rsidR="00C8488C" w14:paraId="590FF577" w14:textId="77777777"/>
    <w:p w:rsidR="00F15956" w14:paraId="5448C067" w14:textId="77777777"/>
    <w:p w:rsidR="00434E33" w14:paraId="060A1806" w14:textId="77777777"/>
    <w:p w:rsidR="00E26329" w14:paraId="4C48412C" w14:textId="77777777">
      <w:pPr>
        <w:rPr>
          <w:b/>
        </w:rPr>
      </w:pPr>
    </w:p>
    <w:p w:rsidR="00E26329" w14:paraId="0AF90829" w14:textId="77777777">
      <w:pPr>
        <w:rPr>
          <w:b/>
        </w:rPr>
      </w:pPr>
    </w:p>
    <w:p w:rsidR="00F06866" w:rsidRPr="00F06866" w14:paraId="0EBAB1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B45274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7007BA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 w:rsidRPr="00F06866">
        <w:rPr>
          <w:bCs/>
          <w:sz w:val="24"/>
        </w:rPr>
        <w:tab/>
        <w:t>[ ] Customer Satisfaction Survey</w:t>
      </w:r>
    </w:p>
    <w:p w:rsidR="0096108F" w:rsidP="0096108F" w14:paraId="08956E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33D2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7AE5F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A588A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3A588A">
        <w:rPr>
          <w:bCs/>
          <w:sz w:val="24"/>
          <w:u w:val="single"/>
        </w:rPr>
        <w:t>Feedback</w:t>
      </w:r>
    </w:p>
    <w:p w:rsidR="00434E33" w14:paraId="27991D1B" w14:textId="77777777">
      <w:pPr>
        <w:pStyle w:val="Header"/>
        <w:tabs>
          <w:tab w:val="clear" w:pos="4320"/>
          <w:tab w:val="clear" w:pos="8640"/>
        </w:tabs>
      </w:pPr>
    </w:p>
    <w:p w:rsidR="00CA2650" w14:paraId="37FE638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53E3B1E" w14:textId="77777777">
      <w:pPr>
        <w:rPr>
          <w:sz w:val="16"/>
          <w:szCs w:val="16"/>
        </w:rPr>
      </w:pPr>
    </w:p>
    <w:p w:rsidR="008101A5" w:rsidRPr="009C13B9" w:rsidP="008101A5" w14:paraId="2F6EC365" w14:textId="77777777">
      <w:r>
        <w:t>I certify the following to be true:</w:t>
      </w:r>
    </w:p>
    <w:p w:rsidR="008101A5" w:rsidP="008101A5" w14:paraId="474AB6D5" w14:textId="77777777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14:paraId="1854EB9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CDF9E8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79D19F9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79E4826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</w:p>
    <w:p w:rsidR="008101A5" w:rsidP="008101A5" w14:paraId="4E6B90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F9CB573" w14:textId="77777777"/>
    <w:p w:rsidR="00D13EA9" w:rsidP="009C13B9" w14:paraId="09E9A9E3" w14:textId="42D3B75C">
      <w:r>
        <w:t>Name:</w:t>
      </w:r>
      <w:r>
        <w:tab/>
      </w:r>
      <w:r>
        <w:tab/>
      </w:r>
      <w:r w:rsidR="00DD07A9">
        <w:rPr>
          <w:rFonts w:ascii="Segoe Script" w:hAnsi="Segoe Script"/>
          <w:u w:val="single"/>
        </w:rPr>
        <w:t>Jose Santiago Chaves</w:t>
      </w:r>
    </w:p>
    <w:p w:rsidR="00D13EA9" w:rsidP="009C13B9" w14:paraId="64272A47" w14:textId="5593A840">
      <w:r>
        <w:tab/>
      </w:r>
      <w:r>
        <w:tab/>
      </w:r>
      <w:r w:rsidR="00DD07A9">
        <w:t>Jose Santiago Chaves</w:t>
      </w:r>
    </w:p>
    <w:p w:rsidR="00D13EA9" w:rsidP="009C13B9" w14:paraId="4D8DC434" w14:textId="77777777">
      <w:r>
        <w:tab/>
      </w:r>
      <w:r>
        <w:tab/>
        <w:t>Policy, Plans, and Engagement</w:t>
      </w:r>
    </w:p>
    <w:p w:rsidR="009C13B9" w:rsidP="009C13B9" w14:paraId="52ACD3A2" w14:textId="77777777">
      <w:r>
        <w:tab/>
      </w:r>
      <w:r>
        <w:tab/>
        <w:t>Aviation Division</w:t>
      </w:r>
    </w:p>
    <w:p w:rsidR="009C13B9" w:rsidP="009C13B9" w14:paraId="4B3FD866" w14:textId="77777777">
      <w:pPr>
        <w:pStyle w:val="ListParagraph"/>
        <w:ind w:left="360"/>
      </w:pPr>
    </w:p>
    <w:p w:rsidR="009C13B9" w:rsidP="009C13B9" w14:paraId="6B5DA621" w14:textId="77777777">
      <w:r>
        <w:t>To assist review, please provide answers to the following question</w:t>
      </w:r>
      <w:r w:rsidR="00233D2F">
        <w:t>s</w:t>
      </w:r>
      <w:r>
        <w:t>:</w:t>
      </w:r>
    </w:p>
    <w:p w:rsidR="009C13B9" w:rsidP="009C13B9" w14:paraId="02BB4178" w14:textId="77777777">
      <w:pPr>
        <w:pStyle w:val="ListParagraph"/>
        <w:ind w:left="360"/>
      </w:pPr>
    </w:p>
    <w:p w:rsidR="009C13B9" w:rsidRPr="00C86E91" w:rsidP="00C86E91" w14:paraId="64CB474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57A287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A588A">
        <w:t>x</w:t>
      </w:r>
      <w:r w:rsidR="009239AA">
        <w:t>]  No</w:t>
      </w:r>
    </w:p>
    <w:p w:rsidR="00C86E91" w:rsidP="00C86E91" w14:paraId="1A702F0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[  ] No</w:t>
      </w:r>
    </w:p>
    <w:p w:rsidR="00C86E91" w:rsidP="00C86E91" w14:paraId="5CC8334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CF6542" w:rsidP="00C86E91" w14:paraId="0763CC37" w14:textId="77777777">
      <w:pPr>
        <w:pStyle w:val="ListParagraph"/>
        <w:ind w:left="0"/>
        <w:rPr>
          <w:b/>
        </w:rPr>
      </w:pPr>
    </w:p>
    <w:p w:rsidR="00C86E91" w:rsidRPr="00C86E91" w:rsidP="00C86E91" w14:paraId="1A9E0DE9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C885266" w14:textId="77777777">
      <w:r>
        <w:t>Is an incentive (e.g., money or reimbursement of expenses, token of appreciation) provided to participants?  [  ] Yes [</w:t>
      </w:r>
      <w:r w:rsidR="003A588A">
        <w:t>x</w:t>
      </w:r>
      <w:r>
        <w:t>] No</w:t>
      </w:r>
    </w:p>
    <w:p w:rsidR="004D6E14" w14:paraId="54CDFA15" w14:textId="77777777">
      <w:pPr>
        <w:rPr>
          <w:b/>
        </w:rPr>
      </w:pPr>
    </w:p>
    <w:p w:rsidR="00F24CFC" w14:paraId="7CFFC819" w14:textId="77777777">
      <w:pPr>
        <w:rPr>
          <w:b/>
        </w:rPr>
      </w:pPr>
    </w:p>
    <w:p w:rsidR="00C86E91" w14:paraId="7BAC6A6E" w14:textId="77777777">
      <w:pPr>
        <w:rPr>
          <w:b/>
        </w:rPr>
      </w:pPr>
    </w:p>
    <w:p w:rsidR="00C86E91" w14:paraId="207BE7D6" w14:textId="77777777">
      <w:pPr>
        <w:rPr>
          <w:b/>
        </w:rPr>
      </w:pPr>
    </w:p>
    <w:p w:rsidR="005E714A" w:rsidP="00C86E91" w14:paraId="4C79C98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="006832D9" w:rsidRPr="006832D9" w:rsidP="00F3170F" w14:paraId="7735BA4D" w14:textId="77777777">
      <w:pPr>
        <w:keepNext/>
        <w:keepLines/>
        <w:rPr>
          <w:b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4"/>
        <w:gridCol w:w="1560"/>
        <w:gridCol w:w="1743"/>
        <w:gridCol w:w="1022"/>
      </w:tblGrid>
      <w:tr w14:paraId="4DDB58DD" w14:textId="77777777" w:rsidTr="007412BE">
        <w:tblPrEx>
          <w:tblW w:w="98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6"/>
        </w:trPr>
        <w:tc>
          <w:tcPr>
            <w:tcW w:w="5524" w:type="dxa"/>
          </w:tcPr>
          <w:p w:rsidR="006832D9" w:rsidRPr="00AC2B2B" w:rsidP="00C8488C" w14:paraId="63390FE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Category of Respondent</w:t>
            </w:r>
            <w:r w:rsidRPr="00AC2B2B" w:rsidR="00EF20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6832D9" w:rsidRPr="00AC2B2B" w:rsidP="00843796" w14:paraId="1F23514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AC2B2B" w:rsidR="009F5923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Pr="00AC2B2B">
              <w:rPr>
                <w:rFonts w:ascii="Arial" w:hAnsi="Arial" w:cs="Arial"/>
                <w:b/>
                <w:sz w:val="18"/>
                <w:szCs w:val="18"/>
              </w:rPr>
              <w:t xml:space="preserve"> of Respondents</w:t>
            </w:r>
          </w:p>
        </w:tc>
        <w:tc>
          <w:tcPr>
            <w:tcW w:w="1743" w:type="dxa"/>
          </w:tcPr>
          <w:p w:rsidR="006832D9" w:rsidRPr="00AC2B2B" w:rsidP="00843796" w14:paraId="28F2EF0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Participation Time</w:t>
            </w:r>
          </w:p>
        </w:tc>
        <w:tc>
          <w:tcPr>
            <w:tcW w:w="1022" w:type="dxa"/>
          </w:tcPr>
          <w:p w:rsidR="006832D9" w:rsidRPr="00AC2B2B" w:rsidP="00843796" w14:paraId="0AC7F91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Burden</w:t>
            </w:r>
          </w:p>
          <w:p w:rsidR="007412BE" w:rsidRPr="00AC2B2B" w:rsidP="00843796" w14:paraId="34ACC22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(Hours)</w:t>
            </w:r>
          </w:p>
        </w:tc>
      </w:tr>
      <w:tr w14:paraId="740BE783" w14:textId="77777777" w:rsidTr="007412BE">
        <w:tblPrEx>
          <w:tblW w:w="9849" w:type="dxa"/>
          <w:tblLayout w:type="fixed"/>
          <w:tblLook w:val="01E0"/>
        </w:tblPrEx>
        <w:trPr>
          <w:trHeight w:val="286"/>
        </w:trPr>
        <w:tc>
          <w:tcPr>
            <w:tcW w:w="5524" w:type="dxa"/>
          </w:tcPr>
          <w:p w:rsidR="006832D9" w:rsidRPr="00AC2B2B" w:rsidP="00843796" w14:paraId="72ECEAC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Aviation Industry Cyber Professionals</w:t>
            </w:r>
          </w:p>
        </w:tc>
        <w:tc>
          <w:tcPr>
            <w:tcW w:w="1560" w:type="dxa"/>
          </w:tcPr>
          <w:p w:rsidR="006832D9" w:rsidRPr="00AC2B2B" w:rsidP="00843796" w14:paraId="05F8B6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43" w:type="dxa"/>
          </w:tcPr>
          <w:p w:rsidR="006832D9" w:rsidRPr="00AC2B2B" w:rsidP="00843796" w14:paraId="317D57D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10 minutes</w:t>
            </w:r>
          </w:p>
        </w:tc>
        <w:tc>
          <w:tcPr>
            <w:tcW w:w="1022" w:type="dxa"/>
          </w:tcPr>
          <w:p w:rsidR="006832D9" w:rsidRPr="00AC2B2B" w:rsidP="00843796" w14:paraId="309F8DB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</w:tr>
      <w:tr w14:paraId="5CDC8B78" w14:textId="77777777" w:rsidTr="007412BE">
        <w:tblPrEx>
          <w:tblW w:w="9849" w:type="dxa"/>
          <w:tblLayout w:type="fixed"/>
          <w:tblLook w:val="01E0"/>
        </w:tblPrEx>
        <w:trPr>
          <w:trHeight w:val="302"/>
        </w:trPr>
        <w:tc>
          <w:tcPr>
            <w:tcW w:w="5524" w:type="dxa"/>
          </w:tcPr>
          <w:p w:rsidR="006832D9" w:rsidRPr="00AC2B2B" w:rsidP="00843796" w14:paraId="07BD847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560" w:type="dxa"/>
          </w:tcPr>
          <w:p w:rsidR="006832D9" w:rsidRPr="00AC2B2B" w:rsidP="00843796" w14:paraId="0C9007C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743" w:type="dxa"/>
          </w:tcPr>
          <w:p w:rsidR="006832D9" w:rsidRPr="00AC2B2B" w:rsidP="00843796" w14:paraId="0C870D6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10 minutes</w:t>
            </w:r>
          </w:p>
        </w:tc>
        <w:tc>
          <w:tcPr>
            <w:tcW w:w="1022" w:type="dxa"/>
          </w:tcPr>
          <w:p w:rsidR="006832D9" w:rsidRPr="00AC2B2B" w:rsidP="00843796" w14:paraId="3419CD0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16.67</w:t>
            </w:r>
          </w:p>
        </w:tc>
      </w:tr>
    </w:tbl>
    <w:p w:rsidR="00F3170F" w:rsidP="00F3170F" w14:paraId="13DF5E54" w14:textId="77777777"/>
    <w:p w:rsidR="003A588A" w:rsidRPr="000D6AE6" w:rsidP="003A588A" w14:paraId="7B3266EC" w14:textId="3A972D6A">
      <w:r w:rsidRPr="000D6AE6">
        <w:t>TSA estimates the hour burden cost to the</w:t>
      </w:r>
      <w:r w:rsidR="008C3212">
        <w:t xml:space="preserve"> respondent Aviation Industry Cyber Professionals</w:t>
      </w:r>
      <w:r>
        <w:t>,</w:t>
      </w:r>
      <w:r w:rsidRPr="000D6AE6">
        <w:t xml:space="preserve"> by multiplying the hour burden times the fully loaded hourly compensation wage for </w:t>
      </w:r>
      <w:r w:rsidR="008C3212">
        <w:t>Aviation Industry Cyber Professionals</w:t>
      </w:r>
      <w:r w:rsidRPr="000D6AE6">
        <w:t>.</w:t>
      </w:r>
      <w:r>
        <w:rPr>
          <w:rStyle w:val="FootnoteReference"/>
        </w:rPr>
        <w:footnoteReference w:id="3"/>
      </w:r>
      <w:r w:rsidRPr="000D6AE6">
        <w:t xml:space="preserve"> </w:t>
      </w:r>
      <w:r w:rsidR="00233D2F">
        <w:t xml:space="preserve"> </w:t>
      </w:r>
      <w:r w:rsidRPr="000D6AE6">
        <w:t xml:space="preserve">TSA estimates an annual hour burden cost of </w:t>
      </w:r>
      <w:r w:rsidR="00E46A08">
        <w:t>$</w:t>
      </w:r>
      <w:r w:rsidR="008B0E80">
        <w:t>2,185.16</w:t>
      </w:r>
      <w:r w:rsidR="00E46A08">
        <w:t xml:space="preserve"> (16.67</w:t>
      </w:r>
      <w:r>
        <w:t xml:space="preserve"> </w:t>
      </w:r>
      <w:r w:rsidRPr="000D6AE6">
        <w:t>hours x $</w:t>
      </w:r>
      <w:r w:rsidR="00D053BF">
        <w:t>131.08</w:t>
      </w:r>
      <w:r w:rsidRPr="000D6AE6">
        <w:t xml:space="preserve"> compensation wage) to </w:t>
      </w:r>
      <w:r w:rsidR="007412BE">
        <w:t>Aviation Industry Cybersecurity Professionals</w:t>
      </w:r>
      <w:r w:rsidRPr="000D6AE6">
        <w:t xml:space="preserve"> for purposes of this ICR.</w:t>
      </w:r>
    </w:p>
    <w:p w:rsidR="003A588A" w:rsidP="00F3170F" w14:paraId="4CF2D2E6" w14:textId="77777777"/>
    <w:p w:rsidR="005E714A" w:rsidRPr="00470F80" w14:paraId="1A918D4F" w14:textId="07E861A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 w:rsidRPr="00470F80" w:rsidR="00FB7E27">
        <w:rPr>
          <w:b/>
        </w:rPr>
        <w:t>$</w:t>
      </w:r>
      <w:r w:rsidR="0015010A">
        <w:rPr>
          <w:b/>
        </w:rPr>
        <w:t>2,604</w:t>
      </w:r>
      <w:r w:rsidR="00DB75D6">
        <w:rPr>
          <w:b/>
        </w:rPr>
        <w:t>.36.</w:t>
      </w:r>
    </w:p>
    <w:p w:rsidR="005705D3" w:rsidP="003A588A" w14:paraId="5CE6DBAD" w14:textId="77777777"/>
    <w:p w:rsidR="003A588A" w:rsidP="003A588A" w14:paraId="1F865CBB" w14:textId="050DB672">
      <w:r w:rsidRPr="005E2D79">
        <w:t xml:space="preserve">TSA estimates a </w:t>
      </w:r>
      <w:r w:rsidR="00FB7E27">
        <w:t xml:space="preserve">J-band employee </w:t>
      </w:r>
      <w:r w:rsidRPr="005E2D79">
        <w:t xml:space="preserve">will spend </w:t>
      </w:r>
      <w:r w:rsidR="00CC4972">
        <w:t>5</w:t>
      </w:r>
      <w:r w:rsidRPr="005E2D79">
        <w:t xml:space="preserve"> minutes </w:t>
      </w:r>
      <w:r w:rsidR="00CC4972">
        <w:t xml:space="preserve">(0.083 hours) </w:t>
      </w:r>
      <w:r w:rsidRPr="005E2D79">
        <w:t xml:space="preserve">processing each </w:t>
      </w:r>
      <w:r>
        <w:t xml:space="preserve">feedback form, and a </w:t>
      </w:r>
      <w:r w:rsidR="003C5018">
        <w:t xml:space="preserve">J-Band </w:t>
      </w:r>
      <w:r>
        <w:t xml:space="preserve">will spend </w:t>
      </w:r>
      <w:r w:rsidR="00CC4972">
        <w:t>10</w:t>
      </w:r>
      <w:r>
        <w:t xml:space="preserve"> minutes </w:t>
      </w:r>
      <w:r w:rsidR="00CC4972">
        <w:t xml:space="preserve">(0.167 hours) </w:t>
      </w:r>
      <w:r>
        <w:t xml:space="preserve">reviewing </w:t>
      </w:r>
      <w:r w:rsidR="00CC4972">
        <w:t>each form</w:t>
      </w:r>
      <w:r>
        <w:t xml:space="preserve">. </w:t>
      </w:r>
      <w:r w:rsidR="00233D2F">
        <w:t xml:space="preserve"> </w:t>
      </w:r>
      <w:r w:rsidR="005705D3">
        <w:t>TSA uses $</w:t>
      </w:r>
      <w:r w:rsidR="00C859EC">
        <w:t>104.17</w:t>
      </w:r>
      <w:r w:rsidR="005705D3">
        <w:t xml:space="preserve"> to account for the J-Band’s fully-loaded pay rate. </w:t>
      </w:r>
      <w:r w:rsidR="00233D2F">
        <w:t xml:space="preserve"> </w:t>
      </w:r>
      <w:r>
        <w:t>See Table 2.</w:t>
      </w:r>
    </w:p>
    <w:p w:rsidR="003A588A" w:rsidP="003A588A" w14:paraId="00A04675" w14:textId="77777777"/>
    <w:p w:rsidR="00CC4972" w:rsidP="003A588A" w14:paraId="1FBBA5C9" w14:textId="77777777"/>
    <w:p w:rsidR="00CC4972" w:rsidP="003A588A" w14:paraId="7CD3DB18" w14:textId="77777777"/>
    <w:p w:rsidR="00CC4972" w:rsidP="003A588A" w14:paraId="66893392" w14:textId="77777777"/>
    <w:p w:rsidR="00CC4972" w:rsidP="003A588A" w14:paraId="388C5669" w14:textId="77777777"/>
    <w:p w:rsidR="00CC4972" w:rsidP="003A588A" w14:paraId="7ADBC2F9" w14:textId="77777777"/>
    <w:p w:rsidR="00CC4972" w:rsidP="003A588A" w14:paraId="5BD3B993" w14:textId="77777777"/>
    <w:p w:rsidR="003A588A" w:rsidP="003A588A" w14:paraId="648324A0" w14:textId="77777777">
      <w:pPr>
        <w:rPr>
          <w:b/>
        </w:rPr>
      </w:pPr>
      <w:r w:rsidRPr="005E2D79">
        <w:t>Table 2</w:t>
      </w:r>
    </w:p>
    <w:tbl>
      <w:tblPr>
        <w:tblW w:w="9483" w:type="dxa"/>
        <w:tblInd w:w="93" w:type="dxa"/>
        <w:tblLayout w:type="fixed"/>
        <w:tblLook w:val="04A0"/>
      </w:tblPr>
      <w:tblGrid>
        <w:gridCol w:w="2535"/>
        <w:gridCol w:w="1710"/>
        <w:gridCol w:w="1620"/>
        <w:gridCol w:w="1786"/>
        <w:gridCol w:w="1832"/>
      </w:tblGrid>
      <w:tr w14:paraId="447B91D4" w14:textId="77777777" w:rsidTr="00470F80">
        <w:tblPrEx>
          <w:tblW w:w="9483" w:type="dxa"/>
          <w:tblInd w:w="93" w:type="dxa"/>
          <w:tblLayout w:type="fixed"/>
          <w:tblLook w:val="04A0"/>
        </w:tblPrEx>
        <w:trPr>
          <w:trHeight w:val="96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88A" w:rsidRPr="00AC2B2B" w:rsidP="0045469B" w14:paraId="1621015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TSA Position and Grade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88A" w:rsidRPr="00AC2B2B" w:rsidP="0045469B" w14:paraId="0B3E349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588A" w:rsidRPr="00AC2B2B" w:rsidP="0045469B" w14:paraId="6C7341B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Estimated Number of Hours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88A" w:rsidRPr="00AC2B2B" w:rsidP="0045469B" w14:paraId="1CADF02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88A" w:rsidRPr="00AC2B2B" w:rsidP="0045469B" w14:paraId="57E3428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Estimated Annual Cost to the Federal Government</w:t>
            </w:r>
          </w:p>
        </w:tc>
      </w:tr>
      <w:tr w14:paraId="0D2F1A46" w14:textId="77777777" w:rsidTr="00AD705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45469B" w14:paraId="53963D9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Transportation Security Specialist (J-Band)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470F80" w14:paraId="45C6BACD" w14:textId="0B505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$</w:t>
            </w:r>
            <w:r w:rsidR="009E486C">
              <w:rPr>
                <w:rFonts w:ascii="Arial" w:hAnsi="Arial" w:cs="Arial"/>
                <w:sz w:val="18"/>
                <w:szCs w:val="18"/>
              </w:rPr>
              <w:t>104.72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972" w:rsidRPr="00AC2B2B" w:rsidP="003A588A" w14:paraId="73F9339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45469B" w14:paraId="3A3D485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45469B" w14:paraId="5C0D8188" w14:textId="7C8BC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$</w:t>
            </w:r>
            <w:r w:rsidR="009E486C">
              <w:rPr>
                <w:rFonts w:ascii="Arial" w:hAnsi="Arial" w:cs="Arial"/>
                <w:sz w:val="18"/>
                <w:szCs w:val="18"/>
              </w:rPr>
              <w:t>864.65</w:t>
            </w:r>
          </w:p>
        </w:tc>
      </w:tr>
      <w:tr w14:paraId="010ADA93" w14:textId="77777777" w:rsidTr="00AD705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CC4972" w14:paraId="630F971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Transportation Security Specialist (J-Band)</w:t>
            </w:r>
          </w:p>
        </w:tc>
        <w:tc>
          <w:tcPr>
            <w:tcW w:w="1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CC4972" w14:paraId="6823446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4972" w:rsidRPr="00AC2B2B" w:rsidP="00CC4972" w14:paraId="2C03624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B2B">
              <w:rPr>
                <w:rFonts w:ascii="Arial" w:hAnsi="Arial" w:cs="Arial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CC4972" w14:paraId="18DF2A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72" w:rsidRPr="00AC2B2B" w:rsidP="00CC4972" w14:paraId="445EB9CE" w14:textId="5D03F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2B">
              <w:rPr>
                <w:rFonts w:ascii="Arial" w:hAnsi="Arial" w:cs="Arial"/>
                <w:sz w:val="18"/>
                <w:szCs w:val="18"/>
              </w:rPr>
              <w:t>$</w:t>
            </w:r>
            <w:r w:rsidR="009E486C">
              <w:rPr>
                <w:rFonts w:ascii="Arial" w:hAnsi="Arial" w:cs="Arial"/>
                <w:sz w:val="18"/>
                <w:szCs w:val="18"/>
              </w:rPr>
              <w:t>1,7</w:t>
            </w:r>
            <w:r w:rsidR="00EA5093">
              <w:rPr>
                <w:rFonts w:ascii="Arial" w:hAnsi="Arial" w:cs="Arial"/>
                <w:sz w:val="18"/>
                <w:szCs w:val="18"/>
              </w:rPr>
              <w:t>39.71</w:t>
            </w:r>
          </w:p>
        </w:tc>
      </w:tr>
      <w:tr w14:paraId="54F6E33D" w14:textId="77777777" w:rsidTr="0045469B">
        <w:tblPrEx>
          <w:tblW w:w="9483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C4972" w:rsidRPr="00AC2B2B" w:rsidP="00CC4972" w14:paraId="186FD8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4972" w:rsidRPr="00AC2B2B" w:rsidP="00CC4972" w14:paraId="15D1689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sz w:val="18"/>
                <w:szCs w:val="18"/>
              </w:rPr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972" w:rsidRPr="00AC2B2B" w:rsidP="00CC4972" w14:paraId="1DA62FC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C4972" w:rsidRPr="00AC2B2B" w:rsidP="00CC4972" w14:paraId="0B83A8FF" w14:textId="2F6E69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B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  <w:r w:rsidR="00EA5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2,604.36</w:t>
            </w:r>
          </w:p>
        </w:tc>
      </w:tr>
    </w:tbl>
    <w:p w:rsidR="003A588A" w:rsidP="003A588A" w14:paraId="1E787DE1" w14:textId="77777777">
      <w:pPr>
        <w:rPr>
          <w:b/>
          <w:bCs/>
          <w:u w:val="single"/>
        </w:rPr>
      </w:pPr>
    </w:p>
    <w:p w:rsidR="00ED6492" w14:paraId="0F81F350" w14:textId="77777777">
      <w:pPr>
        <w:rPr>
          <w:b/>
          <w:bCs/>
          <w:u w:val="single"/>
        </w:rPr>
      </w:pPr>
    </w:p>
    <w:p w:rsidR="0069403B" w:rsidP="00F06866" w14:paraId="075FFDF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9403B" w:rsidP="00F06866" w14:paraId="089F6FB0" w14:textId="77777777">
      <w:pPr>
        <w:rPr>
          <w:b/>
        </w:rPr>
      </w:pPr>
    </w:p>
    <w:p w:rsidR="00F06866" w:rsidP="00F06866" w14:paraId="678C5CD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ED1D2B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E7A23">
        <w:t>x</w:t>
      </w:r>
      <w:r>
        <w:t xml:space="preserve"> ] Yes</w:t>
      </w:r>
      <w:r>
        <w:tab/>
        <w:t>[ ] No</w:t>
      </w:r>
    </w:p>
    <w:p w:rsidR="00636621" w:rsidP="00636621" w14:paraId="228E4619" w14:textId="77777777">
      <w:pPr>
        <w:pStyle w:val="ListParagraph"/>
      </w:pPr>
    </w:p>
    <w:p w:rsidR="00636621" w:rsidP="001B0AAA" w14:paraId="4723F1B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DE7A23" w14:paraId="48FCE201" w14:textId="77777777"/>
    <w:p w:rsidR="00A403BB" w:rsidP="00A403BB" w14:paraId="2877291D" w14:textId="77777777">
      <w:r>
        <w:t xml:space="preserve">The respondents will be selected from the distribution list for the </w:t>
      </w:r>
      <w:r w:rsidR="0004709C">
        <w:t>ARPWG</w:t>
      </w:r>
      <w:r>
        <w:t xml:space="preserve"> meetings.  </w:t>
      </w:r>
      <w:r w:rsidR="0079064E">
        <w:t>TSA will distribute t</w:t>
      </w:r>
      <w:r>
        <w:t xml:space="preserve">he </w:t>
      </w:r>
      <w:r w:rsidR="0079064E">
        <w:t>Survey Monkey link</w:t>
      </w:r>
      <w:r>
        <w:t xml:space="preserve"> </w:t>
      </w:r>
      <w:r w:rsidR="0079064E">
        <w:t xml:space="preserve">via email </w:t>
      </w:r>
      <w:r>
        <w:t xml:space="preserve">to each individual on the </w:t>
      </w:r>
      <w:r w:rsidR="0079064E">
        <w:t xml:space="preserve">ARPWG </w:t>
      </w:r>
      <w:r>
        <w:t>distribution list, including government and industry partners</w:t>
      </w:r>
      <w:r w:rsidR="0079064E">
        <w:t>.</w:t>
      </w:r>
      <w:r w:rsidR="002A3A30">
        <w:t xml:space="preserve"> </w:t>
      </w:r>
      <w:r w:rsidRPr="00811E6B" w:rsidR="00811E6B">
        <w:t xml:space="preserve">The collection of IP addresses </w:t>
      </w:r>
      <w:r w:rsidR="00811E6B">
        <w:t>will be</w:t>
      </w:r>
      <w:r w:rsidRPr="00811E6B" w:rsidR="00811E6B">
        <w:t xml:space="preserve"> disabled in the Survey Monkey tool.  </w:t>
      </w:r>
    </w:p>
    <w:p w:rsidR="00A403BB" w:rsidP="00A403BB" w14:paraId="7E7114D3" w14:textId="77777777"/>
    <w:p w:rsidR="004D6E14" w:rsidP="00A403BB" w14:paraId="5338D3F1" w14:textId="77777777">
      <w:pPr>
        <w:rPr>
          <w:b/>
        </w:rPr>
      </w:pPr>
    </w:p>
    <w:p w:rsidR="00A403BB" w:rsidP="00A403BB" w14:paraId="4627B6F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CA3099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5B36988" w14:textId="77777777">
      <w:pPr>
        <w:ind w:left="720"/>
      </w:pPr>
      <w:r>
        <w:t>[</w:t>
      </w:r>
      <w:r w:rsidR="002A3A30">
        <w:t>x</w:t>
      </w:r>
      <w:r>
        <w:t xml:space="preserve"> ] Web-based or other forms of Social Media</w:t>
      </w:r>
    </w:p>
    <w:p w:rsidR="001B0AAA" w:rsidP="001B0AAA" w14:paraId="1EE43623" w14:textId="77777777">
      <w:pPr>
        <w:ind w:left="720"/>
      </w:pPr>
      <w:r>
        <w:t>[  ] Telephone</w:t>
      </w:r>
    </w:p>
    <w:p w:rsidR="001B0AAA" w:rsidP="001B0AAA" w14:paraId="33FDAB3E" w14:textId="77777777">
      <w:pPr>
        <w:ind w:left="720"/>
      </w:pPr>
      <w:r>
        <w:t>[  ] In-person</w:t>
      </w:r>
    </w:p>
    <w:p w:rsidR="001B0AAA" w:rsidP="001B0AAA" w14:paraId="259F2ACA" w14:textId="77777777">
      <w:pPr>
        <w:ind w:left="720"/>
      </w:pPr>
      <w:r>
        <w:t>[  ] Mail</w:t>
      </w:r>
    </w:p>
    <w:p w:rsidR="001B0AAA" w:rsidP="001B0AAA" w14:paraId="663942E0" w14:textId="77777777">
      <w:pPr>
        <w:ind w:left="720"/>
      </w:pPr>
      <w:r>
        <w:t>[  ] Other, Explain</w:t>
      </w:r>
      <w:r w:rsidR="00846FB5">
        <w:t xml:space="preserve"> Word Document sent via email.</w:t>
      </w:r>
    </w:p>
    <w:p w:rsidR="00F24CFC" w:rsidP="00F24CFC" w14:paraId="3DC76DC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46FB5">
        <w:t>x</w:t>
      </w:r>
      <w:r>
        <w:t xml:space="preserve"> ] No</w:t>
      </w:r>
    </w:p>
    <w:p w:rsidR="00F24CFC" w:rsidP="00F24CFC" w14:paraId="26CA71E9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F80C79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8228C3" w:rsidP="008228C3" w14:paraId="4A75E4CA" w14:textId="77777777">
      <w:pPr>
        <w:rPr>
          <w:b/>
        </w:rPr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42F94E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1E6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F3D52" w14:paraId="35BB7B08" w14:textId="77777777">
      <w:r>
        <w:separator/>
      </w:r>
    </w:p>
  </w:footnote>
  <w:footnote w:type="continuationSeparator" w:id="1">
    <w:p w:rsidR="00DF3D52" w14:paraId="6198DC61" w14:textId="77777777">
      <w:r>
        <w:continuationSeparator/>
      </w:r>
    </w:p>
  </w:footnote>
  <w:footnote w:type="continuationNotice" w:id="2">
    <w:p w:rsidR="00DF3D52" w14:paraId="271C61CC" w14:textId="77777777"/>
  </w:footnote>
  <w:footnote w:id="3">
    <w:p w:rsidR="008C3212" w14:paraId="2B2616D5" w14:textId="78F3AD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03A9" w:rsidR="00D203A9">
        <w:t xml:space="preserve">The unloaded wage rate used is $90.03.  BLS. May 2024 National Industry-Specific Occupational Employment and Wage Estimates. NAICS 481000 - Air Transportation.  OCC 11-3021 Computer and Information Systems Managers.  Last modified April 2, 2025 (accessed August 18, 2025). </w:t>
      </w:r>
      <w:hyperlink r:id="rId1" w:history="1">
        <w:r w:rsidRPr="004914D7" w:rsidR="00D203A9">
          <w:rPr>
            <w:rStyle w:val="Hyperlink"/>
          </w:rPr>
          <w:t>https://data.bls.gov/oes/#/industry/481000</w:t>
        </w:r>
      </w:hyperlink>
      <w:r w:rsidRPr="00D203A9" w:rsidR="00D203A9">
        <w:t xml:space="preserve">.  To determine a fully-loaded (wage plus benefits) rate, TSA uses civilian workers compensation data (Table 2) from the Bureau of Labor Statistics, Employer Costs for Employee Compensation – March 2025 Release date June 13, 2025 (retrieved August 18, 2025) </w:t>
      </w:r>
      <w:hyperlink r:id="rId2" w:history="1">
        <w:r w:rsidRPr="004914D7" w:rsidR="00D203A9">
          <w:rPr>
            <w:rStyle w:val="Hyperlink"/>
          </w:rPr>
          <w:t>https://www.bls.gov/news.release/archives/ecec_06132025.htm</w:t>
        </w:r>
      </w:hyperlink>
      <w:r w:rsidRPr="00D203A9" w:rsidR="00D203A9">
        <w:t>. and obtained a load factor (Total Compensation/ Wages and Salaries) of 1.456 (1.456 = $47.92/$32.92). The fully loaded wage rate = $90.03 × 1.456 = $131.08.</w:t>
      </w:r>
      <w:r w:rsidR="004914D7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32066">
    <w:abstractNumId w:val="10"/>
  </w:num>
  <w:num w:numId="2" w16cid:durableId="204800147">
    <w:abstractNumId w:val="16"/>
  </w:num>
  <w:num w:numId="3" w16cid:durableId="1624339452">
    <w:abstractNumId w:val="15"/>
  </w:num>
  <w:num w:numId="4" w16cid:durableId="1892156253">
    <w:abstractNumId w:val="17"/>
  </w:num>
  <w:num w:numId="5" w16cid:durableId="1308434178">
    <w:abstractNumId w:val="3"/>
  </w:num>
  <w:num w:numId="6" w16cid:durableId="1838226737">
    <w:abstractNumId w:val="1"/>
  </w:num>
  <w:num w:numId="7" w16cid:durableId="696587355">
    <w:abstractNumId w:val="8"/>
  </w:num>
  <w:num w:numId="8" w16cid:durableId="1454250116">
    <w:abstractNumId w:val="13"/>
  </w:num>
  <w:num w:numId="9" w16cid:durableId="1928537937">
    <w:abstractNumId w:val="9"/>
  </w:num>
  <w:num w:numId="10" w16cid:durableId="162935251">
    <w:abstractNumId w:val="2"/>
  </w:num>
  <w:num w:numId="11" w16cid:durableId="1974290401">
    <w:abstractNumId w:val="6"/>
  </w:num>
  <w:num w:numId="12" w16cid:durableId="1447697432">
    <w:abstractNumId w:val="7"/>
  </w:num>
  <w:num w:numId="13" w16cid:durableId="1697540911">
    <w:abstractNumId w:val="0"/>
  </w:num>
  <w:num w:numId="14" w16cid:durableId="2124226283">
    <w:abstractNumId w:val="14"/>
  </w:num>
  <w:num w:numId="15" w16cid:durableId="904487826">
    <w:abstractNumId w:val="12"/>
  </w:num>
  <w:num w:numId="16" w16cid:durableId="965115879">
    <w:abstractNumId w:val="11"/>
  </w:num>
  <w:num w:numId="17" w16cid:durableId="69740133">
    <w:abstractNumId w:val="4"/>
  </w:num>
  <w:num w:numId="18" w16cid:durableId="6254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1E4"/>
    <w:rsid w:val="00023A57"/>
    <w:rsid w:val="00031730"/>
    <w:rsid w:val="00036BFC"/>
    <w:rsid w:val="0004709C"/>
    <w:rsid w:val="00047A64"/>
    <w:rsid w:val="00051D95"/>
    <w:rsid w:val="00067329"/>
    <w:rsid w:val="00073408"/>
    <w:rsid w:val="000753DF"/>
    <w:rsid w:val="000A6425"/>
    <w:rsid w:val="000B2838"/>
    <w:rsid w:val="000D44CA"/>
    <w:rsid w:val="000D6AE6"/>
    <w:rsid w:val="000E200B"/>
    <w:rsid w:val="000F2768"/>
    <w:rsid w:val="000F68BE"/>
    <w:rsid w:val="0015010A"/>
    <w:rsid w:val="00165C03"/>
    <w:rsid w:val="001927A4"/>
    <w:rsid w:val="00194AC6"/>
    <w:rsid w:val="001A23B0"/>
    <w:rsid w:val="001A25CC"/>
    <w:rsid w:val="001A4D9F"/>
    <w:rsid w:val="001B0AAA"/>
    <w:rsid w:val="001C39F7"/>
    <w:rsid w:val="00233D2F"/>
    <w:rsid w:val="00237B48"/>
    <w:rsid w:val="0024521E"/>
    <w:rsid w:val="00263C3D"/>
    <w:rsid w:val="00274D0B"/>
    <w:rsid w:val="002A3A30"/>
    <w:rsid w:val="002A7DBB"/>
    <w:rsid w:val="002B052D"/>
    <w:rsid w:val="002B34CD"/>
    <w:rsid w:val="002B3C95"/>
    <w:rsid w:val="002B7859"/>
    <w:rsid w:val="002D0B92"/>
    <w:rsid w:val="002D1792"/>
    <w:rsid w:val="00310A71"/>
    <w:rsid w:val="003424A4"/>
    <w:rsid w:val="003A588A"/>
    <w:rsid w:val="003B3D63"/>
    <w:rsid w:val="003C5018"/>
    <w:rsid w:val="003D5BBE"/>
    <w:rsid w:val="003E3C61"/>
    <w:rsid w:val="003F1C5B"/>
    <w:rsid w:val="0041242E"/>
    <w:rsid w:val="00434E33"/>
    <w:rsid w:val="00441434"/>
    <w:rsid w:val="00450455"/>
    <w:rsid w:val="0045264C"/>
    <w:rsid w:val="0045469B"/>
    <w:rsid w:val="004664CA"/>
    <w:rsid w:val="00470F80"/>
    <w:rsid w:val="00472AFA"/>
    <w:rsid w:val="004876EC"/>
    <w:rsid w:val="004914D7"/>
    <w:rsid w:val="004D6E14"/>
    <w:rsid w:val="005009B0"/>
    <w:rsid w:val="00511FA6"/>
    <w:rsid w:val="005705D3"/>
    <w:rsid w:val="005A1006"/>
    <w:rsid w:val="005E2D79"/>
    <w:rsid w:val="005E714A"/>
    <w:rsid w:val="005F693D"/>
    <w:rsid w:val="00602182"/>
    <w:rsid w:val="006140A0"/>
    <w:rsid w:val="00636621"/>
    <w:rsid w:val="00642B49"/>
    <w:rsid w:val="006832D9"/>
    <w:rsid w:val="00690405"/>
    <w:rsid w:val="0069403B"/>
    <w:rsid w:val="006C35E6"/>
    <w:rsid w:val="006F3DDE"/>
    <w:rsid w:val="00704678"/>
    <w:rsid w:val="00720D91"/>
    <w:rsid w:val="007412BE"/>
    <w:rsid w:val="007425E7"/>
    <w:rsid w:val="00783701"/>
    <w:rsid w:val="0079064E"/>
    <w:rsid w:val="00796AC4"/>
    <w:rsid w:val="007B3C10"/>
    <w:rsid w:val="007F2FFE"/>
    <w:rsid w:val="007F7080"/>
    <w:rsid w:val="00802607"/>
    <w:rsid w:val="008101A5"/>
    <w:rsid w:val="00811E6B"/>
    <w:rsid w:val="00822664"/>
    <w:rsid w:val="008228C3"/>
    <w:rsid w:val="00824E74"/>
    <w:rsid w:val="0083442D"/>
    <w:rsid w:val="00843796"/>
    <w:rsid w:val="00846FB5"/>
    <w:rsid w:val="00895229"/>
    <w:rsid w:val="008B0E80"/>
    <w:rsid w:val="008B2EB3"/>
    <w:rsid w:val="008C3212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E486C"/>
    <w:rsid w:val="009F31C7"/>
    <w:rsid w:val="009F5923"/>
    <w:rsid w:val="00A403BB"/>
    <w:rsid w:val="00A674DF"/>
    <w:rsid w:val="00A83AA6"/>
    <w:rsid w:val="00A934D6"/>
    <w:rsid w:val="00AC2B2B"/>
    <w:rsid w:val="00AC5D8D"/>
    <w:rsid w:val="00AD00D8"/>
    <w:rsid w:val="00AE1809"/>
    <w:rsid w:val="00AF2EA2"/>
    <w:rsid w:val="00B072C7"/>
    <w:rsid w:val="00B14BC4"/>
    <w:rsid w:val="00B80D76"/>
    <w:rsid w:val="00B824F4"/>
    <w:rsid w:val="00BA2105"/>
    <w:rsid w:val="00BA7E06"/>
    <w:rsid w:val="00BB43B5"/>
    <w:rsid w:val="00BB6219"/>
    <w:rsid w:val="00BD290F"/>
    <w:rsid w:val="00BD47AC"/>
    <w:rsid w:val="00BD78CA"/>
    <w:rsid w:val="00BF0315"/>
    <w:rsid w:val="00C14CC4"/>
    <w:rsid w:val="00C33C52"/>
    <w:rsid w:val="00C40D8B"/>
    <w:rsid w:val="00C453F4"/>
    <w:rsid w:val="00C8407A"/>
    <w:rsid w:val="00C8488C"/>
    <w:rsid w:val="00C859EC"/>
    <w:rsid w:val="00C86E91"/>
    <w:rsid w:val="00CA2650"/>
    <w:rsid w:val="00CB1078"/>
    <w:rsid w:val="00CC4972"/>
    <w:rsid w:val="00CC6FAF"/>
    <w:rsid w:val="00CF6542"/>
    <w:rsid w:val="00D00E0F"/>
    <w:rsid w:val="00D053BF"/>
    <w:rsid w:val="00D13EA9"/>
    <w:rsid w:val="00D203A9"/>
    <w:rsid w:val="00D24698"/>
    <w:rsid w:val="00D4226E"/>
    <w:rsid w:val="00D6383F"/>
    <w:rsid w:val="00DB59D0"/>
    <w:rsid w:val="00DB75D6"/>
    <w:rsid w:val="00DC33D3"/>
    <w:rsid w:val="00DD07A9"/>
    <w:rsid w:val="00DE7A23"/>
    <w:rsid w:val="00DF3D52"/>
    <w:rsid w:val="00E26329"/>
    <w:rsid w:val="00E26C58"/>
    <w:rsid w:val="00E40B50"/>
    <w:rsid w:val="00E44FC8"/>
    <w:rsid w:val="00E4522C"/>
    <w:rsid w:val="00E46A08"/>
    <w:rsid w:val="00E47652"/>
    <w:rsid w:val="00E50293"/>
    <w:rsid w:val="00E65FFC"/>
    <w:rsid w:val="00E744EA"/>
    <w:rsid w:val="00E80185"/>
    <w:rsid w:val="00E80951"/>
    <w:rsid w:val="00E854FE"/>
    <w:rsid w:val="00E86CC6"/>
    <w:rsid w:val="00EA5093"/>
    <w:rsid w:val="00EB3CA6"/>
    <w:rsid w:val="00EB56B3"/>
    <w:rsid w:val="00ED3C34"/>
    <w:rsid w:val="00ED6492"/>
    <w:rsid w:val="00EE1CD5"/>
    <w:rsid w:val="00EF2095"/>
    <w:rsid w:val="00F06866"/>
    <w:rsid w:val="00F15956"/>
    <w:rsid w:val="00F24CFC"/>
    <w:rsid w:val="00F3170F"/>
    <w:rsid w:val="00F327B7"/>
    <w:rsid w:val="00F51AC7"/>
    <w:rsid w:val="00F62569"/>
    <w:rsid w:val="00F83FA2"/>
    <w:rsid w:val="00F976B0"/>
    <w:rsid w:val="00FA6DE7"/>
    <w:rsid w:val="00FB7E2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B4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A5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588A"/>
  </w:style>
  <w:style w:type="character" w:styleId="FootnoteReference">
    <w:name w:val="footnote reference"/>
    <w:basedOn w:val="DefaultParagraphFont"/>
    <w:rsid w:val="003A588A"/>
    <w:rPr>
      <w:vertAlign w:val="superscript"/>
    </w:rPr>
  </w:style>
  <w:style w:type="character" w:styleId="Hyperlink">
    <w:name w:val="Hyperlink"/>
    <w:basedOn w:val="DefaultParagraphFont"/>
    <w:unhideWhenUsed/>
    <w:rsid w:val="003A588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8370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%23/industry/481000" TargetMode="External" /><Relationship Id="rId2" Type="http://schemas.openxmlformats.org/officeDocument/2006/relationships/hyperlink" Target="https://www.bls.gov/news.release/archives/ecec_0613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2025-12-11T21:22:00Z</dcterms:created>
  <dcterms:modified xsi:type="dcterms:W3CDTF">2025-12-11T21:23:00Z</dcterms:modified>
</cp:coreProperties>
</file>