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B56675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14:paraId="3CC6850A" w14:textId="77777777">
      <w:pPr>
        <w:rPr>
          <w:b/>
        </w:rPr>
      </w:pPr>
    </w:p>
    <w:p w:rsidR="00E50293" w:rsidRPr="009239AA" w:rsidP="00434E33" w14:paraId="26EA98CA" w14:textId="12A5DB2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85562E">
        <w:t>Aviation Domain Intelligence Integration and Analysis Cell</w:t>
      </w:r>
      <w:r w:rsidR="0016568E">
        <w:t xml:space="preserve"> </w:t>
      </w:r>
      <w:r w:rsidRPr="0084070C" w:rsidR="0084070C">
        <w:t>(ADIAC)</w:t>
      </w:r>
      <w:r w:rsidR="0084070C">
        <w:t xml:space="preserve"> </w:t>
      </w:r>
      <w:r w:rsidR="0085562E">
        <w:t>Current Industry Information Requirements Priority List</w:t>
      </w:r>
    </w:p>
    <w:p w:rsidR="005E714A" w:rsidP="00F75832" w14:paraId="10F45427" w14:textId="77777777">
      <w:pPr>
        <w:jc w:val="right"/>
      </w:pPr>
    </w:p>
    <w:p w:rsidR="00C8488C" w:rsidP="00293708" w14:paraId="084D1CAF" w14:textId="1C395C2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>
        <w:rPr>
          <w:b/>
        </w:rPr>
        <w:t xml:space="preserve"> </w:t>
      </w:r>
      <w:r w:rsidR="00CC54DB">
        <w:t>To gather</w:t>
      </w:r>
      <w:r w:rsidR="0085562E">
        <w:t xml:space="preserve"> and prioritize relevant industry</w:t>
      </w:r>
      <w:r w:rsidR="00E6176F">
        <w:t>-</w:t>
      </w:r>
      <w:r w:rsidR="0085562E">
        <w:t>focused</w:t>
      </w:r>
      <w:r w:rsidR="00CC54DB">
        <w:t xml:space="preserve"> information</w:t>
      </w:r>
      <w:r w:rsidR="00196796">
        <w:t xml:space="preserve"> requirements</w:t>
      </w:r>
      <w:r w:rsidR="00EF2899">
        <w:t xml:space="preserve">. </w:t>
      </w:r>
      <w:r w:rsidR="00697971">
        <w:t xml:space="preserve"> </w:t>
      </w:r>
      <w:r w:rsidR="00EF2899">
        <w:t xml:space="preserve">Respondents will </w:t>
      </w:r>
      <w:r w:rsidR="00D720D4">
        <w:t>rank</w:t>
      </w:r>
      <w:r w:rsidR="00196796">
        <w:t>, by priority,</w:t>
      </w:r>
      <w:r w:rsidR="00EF2899">
        <w:t xml:space="preserve"> the importance</w:t>
      </w:r>
      <w:r w:rsidR="00196796">
        <w:t xml:space="preserve"> of each primary survey question</w:t>
      </w:r>
      <w:r w:rsidR="00EF2899">
        <w:t xml:space="preserve"> </w:t>
      </w:r>
      <w:r w:rsidR="00D720D4">
        <w:t xml:space="preserve">to their organizations </w:t>
      </w:r>
      <w:r w:rsidR="00196796">
        <w:t>as related to threat decision making.</w:t>
      </w:r>
      <w:r w:rsidR="007E4E3A">
        <w:t xml:space="preserve">  </w:t>
      </w:r>
      <w:r w:rsidR="00196796">
        <w:t xml:space="preserve">Respondents are encouraged to add additional </w:t>
      </w:r>
      <w:r w:rsidR="00E7572F">
        <w:t xml:space="preserve">comments to questions </w:t>
      </w:r>
      <w:r w:rsidR="00196796">
        <w:t xml:space="preserve">as needed. </w:t>
      </w:r>
      <w:r w:rsidR="007E4E3A">
        <w:t xml:space="preserve"> </w:t>
      </w:r>
      <w:r w:rsidR="00196796">
        <w:t>Respondents will also</w:t>
      </w:r>
      <w:r w:rsidR="00EF2899">
        <w:t xml:space="preserve"> prioritize a sub-category of </w:t>
      </w:r>
      <w:r w:rsidR="00177A86">
        <w:t xml:space="preserve">survey </w:t>
      </w:r>
      <w:r w:rsidR="00EF2899">
        <w:t xml:space="preserve">questions that relate to each of the primary </w:t>
      </w:r>
      <w:r w:rsidR="00177A86">
        <w:t xml:space="preserve">survey </w:t>
      </w:r>
      <w:r w:rsidR="00EF2899">
        <w:t>questions</w:t>
      </w:r>
      <w:r w:rsidR="00196796">
        <w:t xml:space="preserve"> based on current interest to their organization</w:t>
      </w:r>
      <w:r w:rsidR="00EF2899">
        <w:t>.</w:t>
      </w:r>
    </w:p>
    <w:p w:rsidR="00293708" w:rsidP="00293708" w14:paraId="1152281D" w14:textId="77777777">
      <w:pPr>
        <w:rPr>
          <w:b/>
        </w:rPr>
      </w:pPr>
    </w:p>
    <w:p w:rsidR="00F15956" w:rsidP="00722663" w14:paraId="17D99F67" w14:textId="1D6AEFB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97971">
        <w:t>A</w:t>
      </w:r>
      <w:r w:rsidR="0085562E">
        <w:t xml:space="preserve">viation </w:t>
      </w:r>
      <w:r w:rsidR="00E6176F">
        <w:t>t</w:t>
      </w:r>
      <w:r w:rsidR="00CC54DB">
        <w:t xml:space="preserve">ransportation </w:t>
      </w:r>
      <w:r w:rsidR="00E6176F">
        <w:t>s</w:t>
      </w:r>
      <w:r w:rsidR="00CC54DB">
        <w:t xml:space="preserve">ecurity </w:t>
      </w:r>
      <w:r w:rsidR="00E6176F">
        <w:t>s</w:t>
      </w:r>
      <w:r w:rsidR="00CC54DB">
        <w:t>takeholders</w:t>
      </w:r>
      <w:r w:rsidR="009D0F80">
        <w:t xml:space="preserve">, </w:t>
      </w:r>
      <w:r w:rsidR="00196796">
        <w:t>representing</w:t>
      </w:r>
      <w:r w:rsidR="007E4E3A">
        <w:t xml:space="preserve"> </w:t>
      </w:r>
      <w:r w:rsidR="00196796">
        <w:t xml:space="preserve">private </w:t>
      </w:r>
      <w:r w:rsidR="009D0F80">
        <w:t>industry entities</w:t>
      </w:r>
      <w:r w:rsidR="00196796">
        <w:t xml:space="preserve"> who are members of the </w:t>
      </w:r>
      <w:r w:rsidRPr="0016568E" w:rsidR="0016568E">
        <w:t>ADIAC</w:t>
      </w:r>
      <w:r w:rsidR="009D0F80">
        <w:t>.</w:t>
      </w:r>
    </w:p>
    <w:p w:rsidR="00293708" w:rsidRPr="008A432D" w:rsidP="00722663" w14:paraId="12C4F51B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E26329" w14:paraId="28FBD99D" w14:textId="77777777">
      <w:pPr>
        <w:rPr>
          <w:b/>
        </w:rPr>
      </w:pPr>
    </w:p>
    <w:p w:rsidR="00F06866" w:rsidRPr="00F06866" w14:paraId="60D816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CE33A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43DE990" w14:textId="3842FD2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 Customer Comment Card/Complaint Form</w:t>
      </w:r>
      <w:r w:rsidRPr="00F06866">
        <w:rPr>
          <w:bCs/>
          <w:sz w:val="24"/>
        </w:rPr>
        <w:tab/>
        <w:t>[] Customer Satisfaction Survey</w:t>
      </w:r>
    </w:p>
    <w:p w:rsidR="0096108F" w:rsidP="0096108F" w14:paraId="26360405" w14:textId="51C0925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>[] Small Discussion Group</w:t>
      </w:r>
    </w:p>
    <w:p w:rsidR="00F06866" w:rsidRPr="00F06866" w:rsidP="0096108F" w14:paraId="0144EAF8" w14:textId="3E9F560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85562E">
        <w:rPr>
          <w:bCs/>
          <w:sz w:val="24"/>
        </w:rPr>
        <w:t>X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>__</w:t>
      </w:r>
      <w:r w:rsidR="0085562E">
        <w:rPr>
          <w:bCs/>
          <w:sz w:val="24"/>
          <w:u w:val="single"/>
        </w:rPr>
        <w:t>Ranking</w:t>
      </w:r>
      <w:r w:rsidR="0085562E">
        <w:rPr>
          <w:bCs/>
          <w:sz w:val="24"/>
          <w:u w:val="single"/>
        </w:rPr>
        <w:t xml:space="preserve"> Questions based on priority</w:t>
      </w:r>
      <w:r w:rsidRPr="00F06866">
        <w:rPr>
          <w:bCs/>
          <w:sz w:val="24"/>
          <w:u w:val="single"/>
        </w:rPr>
        <w:t>_________________</w:t>
      </w:r>
    </w:p>
    <w:p w:rsidR="00434E33" w14:paraId="4BF6D395" w14:textId="77777777">
      <w:pPr>
        <w:pStyle w:val="Header"/>
        <w:tabs>
          <w:tab w:val="clear" w:pos="4320"/>
          <w:tab w:val="clear" w:pos="8640"/>
        </w:tabs>
      </w:pPr>
    </w:p>
    <w:p w:rsidR="00CA2650" w14:paraId="571FCA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9A4BD76" w14:textId="77777777">
      <w:pPr>
        <w:rPr>
          <w:sz w:val="16"/>
          <w:szCs w:val="16"/>
        </w:rPr>
      </w:pPr>
    </w:p>
    <w:p w:rsidR="008101A5" w:rsidRPr="009C13B9" w:rsidP="008101A5" w14:paraId="40055539" w14:textId="7FC3F29C">
      <w:r>
        <w:t>I certify the following to be true:</w:t>
      </w:r>
    </w:p>
    <w:p w:rsidR="008101A5" w:rsidP="008101A5" w14:paraId="27A34134" w14:textId="16B245FE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14:paraId="3D0925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2DE8624" w14:textId="5726F23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DCCCB93" w14:textId="3C76FAC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44AA9E98" w14:textId="7856FF50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</w:p>
    <w:p w:rsidR="008101A5" w:rsidP="008101A5" w14:paraId="6092FF0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24F09F7" w14:textId="77777777"/>
    <w:p w:rsidR="00272C84" w:rsidP="00272C84" w14:paraId="2D3DE85A" w14:textId="73353043">
      <w:r>
        <w:t>Name</w:t>
      </w:r>
      <w:r w:rsidRPr="00CC54DB">
        <w:rPr>
          <w:u w:val="single"/>
        </w:rPr>
        <w:t>:</w:t>
      </w:r>
      <w:r w:rsidRPr="00272C84">
        <w:rPr>
          <w:rFonts w:ascii="Segoe Script" w:hAnsi="Segoe Script"/>
          <w:u w:val="single"/>
        </w:rPr>
        <w:t xml:space="preserve"> </w:t>
      </w:r>
      <w:r w:rsidR="00AE6F5F">
        <w:rPr>
          <w:rFonts w:ascii="Segoe Script" w:hAnsi="Segoe Script"/>
          <w:u w:val="single"/>
        </w:rPr>
        <w:t>Brittny Tisdale</w:t>
      </w:r>
    </w:p>
    <w:p w:rsidR="00272C84" w:rsidP="00272C84" w14:paraId="3B079133" w14:textId="5A89778B">
      <w:pPr>
        <w:ind w:left="720"/>
      </w:pPr>
      <w:r>
        <w:t>Brittny Tisdale</w:t>
      </w:r>
    </w:p>
    <w:p w:rsidR="00272C84" w:rsidRPr="00FF6DF1" w:rsidP="00272C84" w14:paraId="2C5A2D77" w14:textId="66BBFD6A">
      <w:pPr>
        <w:ind w:left="720"/>
        <w:rPr>
          <w:sz w:val="22"/>
          <w:szCs w:val="22"/>
        </w:rPr>
      </w:pPr>
      <w:r>
        <w:t>Feedback and Evaluations Program Analyst</w:t>
      </w:r>
    </w:p>
    <w:p w:rsidR="00D72249" w:rsidP="00272C84" w14:paraId="270BAC78" w14:textId="54F5B741">
      <w:pPr>
        <w:ind w:left="720"/>
      </w:pPr>
      <w:r w:rsidRPr="00FF6DF1">
        <w:t xml:space="preserve">Intelligence </w:t>
      </w:r>
      <w:r>
        <w:t>and</w:t>
      </w:r>
      <w:r w:rsidRPr="00FF6DF1">
        <w:t xml:space="preserve"> Analysis</w:t>
      </w:r>
    </w:p>
    <w:p w:rsidR="00272C84" w:rsidRPr="00FF6DF1" w:rsidP="00272C84" w14:paraId="7B7A949D" w14:textId="71841A18">
      <w:pPr>
        <w:ind w:left="720"/>
      </w:pPr>
      <w:r>
        <w:t>Intelligence Integration Branc</w:t>
      </w:r>
      <w:r w:rsidR="00B0632A">
        <w:t>h</w:t>
      </w:r>
      <w:r w:rsidRPr="00FF6DF1" w:rsidR="00371FFE">
        <w:t xml:space="preserve"> </w:t>
      </w:r>
    </w:p>
    <w:p w:rsidR="00272C84" w:rsidRPr="00FF6DF1" w:rsidP="00272C84" w14:paraId="28A44A1E" w14:textId="77777777">
      <w:pPr>
        <w:ind w:left="720"/>
      </w:pPr>
      <w:r w:rsidRPr="00FF6DF1">
        <w:t>Transportation Security Administration</w:t>
      </w:r>
    </w:p>
    <w:p w:rsidR="009C13B9" w:rsidP="00272C84" w14:paraId="41BC16C6" w14:textId="77777777"/>
    <w:p w:rsidR="009C13B9" w:rsidP="009C13B9" w14:paraId="67C27468" w14:textId="77777777">
      <w:r>
        <w:t>To assist review, please provide answers to the following question:</w:t>
      </w:r>
    </w:p>
    <w:p w:rsidR="009C13B9" w:rsidP="009C13B9" w14:paraId="29F8A8C0" w14:textId="77777777">
      <w:pPr>
        <w:pStyle w:val="ListParagraph"/>
        <w:ind w:left="360"/>
      </w:pPr>
    </w:p>
    <w:p w:rsidR="009C13B9" w:rsidRPr="00C86E91" w:rsidP="00C86E91" w14:paraId="436EA7F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72E7CE2" w14:textId="2CAEFA3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CD0196">
        <w:t xml:space="preserve"> </w:t>
      </w:r>
      <w:r w:rsidR="0085562E">
        <w:t>X</w:t>
      </w:r>
      <w:r w:rsidR="00CD0196">
        <w:t xml:space="preserve"> </w:t>
      </w:r>
      <w:r w:rsidR="009239AA">
        <w:t>]  No</w:t>
      </w:r>
    </w:p>
    <w:p w:rsidR="00C86E91" w:rsidP="00C86E91" w14:paraId="1D79AEE3" w14:textId="4319E79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[] Yes [] No</w:t>
      </w:r>
    </w:p>
    <w:p w:rsidR="00C86E91" w:rsidP="00C86E91" w14:paraId="60370A90" w14:textId="112B9427">
      <w:pPr>
        <w:pStyle w:val="ListParagraph"/>
        <w:numPr>
          <w:ilvl w:val="0"/>
          <w:numId w:val="18"/>
        </w:numPr>
      </w:pPr>
      <w:r>
        <w:t>If Applicable, has a System or Records Notice been published?  [] Yes  [] No</w:t>
      </w:r>
    </w:p>
    <w:p w:rsidR="00794B46" w:rsidP="00C86E91" w14:paraId="3A9D16D2" w14:textId="77777777">
      <w:pPr>
        <w:pStyle w:val="ListParagraph"/>
        <w:ind w:left="0"/>
        <w:rPr>
          <w:b/>
        </w:rPr>
      </w:pPr>
    </w:p>
    <w:p w:rsidR="00C86E91" w:rsidRPr="00C86E91" w:rsidP="00C86E91" w14:paraId="37814E5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76A6D6C3" w14:textId="3E8C93E9">
      <w:r>
        <w:t>Is an incentive (</w:t>
      </w:r>
      <w:r w:rsidR="009A4473">
        <w:t xml:space="preserve">such as </w:t>
      </w:r>
      <w:r>
        <w:t>money or reimbursement of expenses, token of appreciation) provided to participants?[] Yes [</w:t>
      </w:r>
      <w:r w:rsidR="00293708">
        <w:t xml:space="preserve"> </w:t>
      </w:r>
      <w:r w:rsidR="00CC54DB">
        <w:t>X</w:t>
      </w:r>
      <w:r w:rsidR="00293708">
        <w:t xml:space="preserve"> </w:t>
      </w:r>
      <w:r>
        <w:t>] No</w:t>
      </w:r>
    </w:p>
    <w:p w:rsidR="004D6E14" w14:paraId="7989E668" w14:textId="77777777">
      <w:pPr>
        <w:rPr>
          <w:b/>
        </w:rPr>
      </w:pPr>
    </w:p>
    <w:p w:rsidR="00C86E91" w14:paraId="3A590F74" w14:textId="77777777">
      <w:pPr>
        <w:rPr>
          <w:b/>
        </w:rPr>
      </w:pPr>
    </w:p>
    <w:p w:rsidR="00DF3F8C" w14:paraId="05B2AFBC" w14:textId="77777777">
      <w:pPr>
        <w:rPr>
          <w:b/>
        </w:rPr>
      </w:pPr>
    </w:p>
    <w:p w:rsidR="00DF3F8C" w14:paraId="330C6390" w14:textId="77777777">
      <w:pPr>
        <w:rPr>
          <w:b/>
        </w:rPr>
      </w:pPr>
    </w:p>
    <w:p w:rsidR="00DF3F8C" w14:paraId="7D5461DA" w14:textId="77777777">
      <w:pPr>
        <w:rPr>
          <w:b/>
        </w:rPr>
      </w:pPr>
    </w:p>
    <w:p w:rsidR="00DF3F8C" w14:paraId="293AE088" w14:textId="77777777">
      <w:pPr>
        <w:rPr>
          <w:b/>
        </w:rPr>
      </w:pPr>
    </w:p>
    <w:p w:rsidR="00DF3F8C" w14:paraId="52C49074" w14:textId="77777777">
      <w:pPr>
        <w:rPr>
          <w:b/>
        </w:rPr>
      </w:pPr>
    </w:p>
    <w:p w:rsidR="005E714A" w:rsidP="00C86E91" w14:paraId="59E6A42E" w14:textId="6EA7FA9A">
      <w:r>
        <w:rPr>
          <w:b/>
        </w:rPr>
        <w:t>BURDEN HOUR</w:t>
      </w:r>
      <w:r w:rsidR="00441434">
        <w:rPr>
          <w:b/>
        </w:rPr>
        <w:t>S</w:t>
      </w:r>
    </w:p>
    <w:p w:rsidR="005E2D79" w:rsidP="00C86E91" w14:paraId="00356416" w14:textId="77777777"/>
    <w:p w:rsidR="005E2D79" w:rsidRPr="005E2D79" w:rsidP="00C86E91" w14:paraId="1B4D5EA3" w14:textId="77777777">
      <w:pPr>
        <w:rPr>
          <w:i/>
        </w:rPr>
      </w:pPr>
      <w:r w:rsidRPr="005E2D79">
        <w:t>Table 1</w:t>
      </w:r>
    </w:p>
    <w:p w:rsidR="006832D9" w:rsidRPr="006832D9" w:rsidP="00F3170F" w14:paraId="02344100" w14:textId="77777777">
      <w:pPr>
        <w:keepNext/>
        <w:keepLines/>
        <w:rPr>
          <w:b/>
        </w:rPr>
      </w:pPr>
    </w:p>
    <w:tbl>
      <w:tblPr>
        <w:tblStyle w:val="TableGrid"/>
        <w:tblW w:w="5000" w:type="pct"/>
        <w:tblLook w:val="01E0"/>
      </w:tblPr>
      <w:tblGrid>
        <w:gridCol w:w="3633"/>
        <w:gridCol w:w="2251"/>
        <w:gridCol w:w="2207"/>
        <w:gridCol w:w="1259"/>
      </w:tblGrid>
      <w:tr w14:paraId="58C81F01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6832D9" w:rsidRPr="00406EBD" w:rsidP="00DF3F8C" w14:paraId="29AE5E30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Category of Respondent</w:t>
            </w:r>
            <w:r w:rsidRPr="00406EBD" w:rsidR="00EF209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04" w:type="pct"/>
          </w:tcPr>
          <w:p w:rsidR="006832D9" w:rsidRPr="00406EBD" w:rsidP="00DF3F8C" w14:paraId="21603254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406EBD" w:rsidR="009F5923">
              <w:rPr>
                <w:rFonts w:ascii="Arial Narrow" w:hAnsi="Arial Narrow" w:cs="Arial"/>
                <w:b/>
                <w:sz w:val="18"/>
                <w:szCs w:val="18"/>
              </w:rPr>
              <w:t>o.</w:t>
            </w: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 xml:space="preserve"> of Respondents</w:t>
            </w:r>
          </w:p>
        </w:tc>
        <w:tc>
          <w:tcPr>
            <w:tcW w:w="1180" w:type="pct"/>
          </w:tcPr>
          <w:p w:rsidR="006832D9" w:rsidRPr="00406EBD" w:rsidP="00DF3F8C" w14:paraId="027797A9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Participation Time</w:t>
            </w:r>
          </w:p>
          <w:p w:rsidR="00DF3F8C" w:rsidRPr="00406EBD" w:rsidP="00DF3F8C" w14:paraId="4101EB63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(Hours)</w:t>
            </w:r>
          </w:p>
        </w:tc>
        <w:tc>
          <w:tcPr>
            <w:tcW w:w="673" w:type="pct"/>
          </w:tcPr>
          <w:p w:rsidR="006832D9" w:rsidRPr="00406EBD" w:rsidP="00DF3F8C" w14:paraId="01B00944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Burden</w:t>
            </w:r>
          </w:p>
          <w:p w:rsidR="00DF3F8C" w:rsidRPr="00406EBD" w:rsidP="00DF3F8C" w14:paraId="59602714" w14:textId="7777777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(Hours)</w:t>
            </w:r>
          </w:p>
        </w:tc>
      </w:tr>
      <w:tr w14:paraId="11356F70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DB21AF" w:rsidRPr="00406EBD" w:rsidP="00DF3F8C" w14:paraId="105A5A0F" w14:textId="53B3CF07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Aviation Industry</w:t>
            </w:r>
          </w:p>
        </w:tc>
        <w:tc>
          <w:tcPr>
            <w:tcW w:w="1204" w:type="pct"/>
            <w:vAlign w:val="center"/>
          </w:tcPr>
          <w:p w:rsidR="00DB21AF" w:rsidRPr="00406EBD" w:rsidP="00600835" w14:paraId="753DAC1D" w14:textId="606BA285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pct"/>
            <w:vAlign w:val="center"/>
          </w:tcPr>
          <w:p w:rsidR="00DB21AF" w:rsidRPr="00406EBD" w:rsidP="008279D0" w14:paraId="5A00DD5A" w14:textId="232AE052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0.</w:t>
            </w:r>
            <w:r w:rsidRPr="00406EBD" w:rsidR="0085562E"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3" w:type="pct"/>
            <w:vAlign w:val="center"/>
          </w:tcPr>
          <w:p w:rsidR="00DB21AF" w:rsidRPr="00406EBD" w:rsidP="00600835" w14:paraId="6E38B99B" w14:textId="367BADB5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33.3</w:t>
            </w:r>
          </w:p>
        </w:tc>
      </w:tr>
      <w:tr w14:paraId="5C9DD11D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DB1DF0" w:rsidRPr="00406EBD" w:rsidP="00DF3F8C" w14:paraId="4A00E68A" w14:textId="77777777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Totals</w:t>
            </w:r>
          </w:p>
        </w:tc>
        <w:tc>
          <w:tcPr>
            <w:tcW w:w="1204" w:type="pct"/>
          </w:tcPr>
          <w:p w:rsidR="00DB1DF0" w:rsidRPr="00406EBD" w:rsidP="00600835" w14:paraId="1F992795" w14:textId="14BF32FA">
            <w:pPr>
              <w:keepNext/>
              <w:keepLines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1180" w:type="pct"/>
          </w:tcPr>
          <w:p w:rsidR="00DB1DF0" w:rsidRPr="00406EBD" w:rsidP="00600835" w14:paraId="519044BD" w14:textId="380D425A">
            <w:pPr>
              <w:keepNext/>
              <w:keepLines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0.16</w:t>
            </w:r>
          </w:p>
        </w:tc>
        <w:tc>
          <w:tcPr>
            <w:tcW w:w="673" w:type="pct"/>
          </w:tcPr>
          <w:p w:rsidR="00DB1DF0" w:rsidRPr="00406EBD" w:rsidP="00600835" w14:paraId="26A9D6AF" w14:textId="40377E1C">
            <w:pPr>
              <w:keepNext/>
              <w:keepLines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33.3</w:t>
            </w:r>
          </w:p>
        </w:tc>
      </w:tr>
    </w:tbl>
    <w:p w:rsidR="00F3170F" w:rsidP="00F3170F" w14:paraId="2D6C21B3" w14:textId="77777777"/>
    <w:p w:rsidR="000D6AE6" w:rsidRPr="000D6AE6" w:rsidP="000D6AE6" w14:paraId="7609E1DB" w14:textId="5E7472C0">
      <w:r w:rsidRPr="000D6AE6">
        <w:t>TSA estimates the hour burden cost to the</w:t>
      </w:r>
      <w:r w:rsidR="00DC6C4D">
        <w:t xml:space="preserve"> respondent</w:t>
      </w:r>
      <w:r w:rsidR="008F7BBE">
        <w:t xml:space="preserve"> </w:t>
      </w:r>
      <w:r w:rsidR="003476BA">
        <w:t>aviation</w:t>
      </w:r>
      <w:r w:rsidRPr="00C90FCD" w:rsidR="00C90FCD">
        <w:t xml:space="preserve"> industry entities</w:t>
      </w:r>
      <w:r w:rsidRPr="000D6AE6">
        <w:t xml:space="preserve"> by multiplying the hour burden times the fully loaded hourly compensation wage for State and </w:t>
      </w:r>
      <w:r w:rsidR="008F7BBE">
        <w:t>L</w:t>
      </w:r>
      <w:r w:rsidRPr="000D6AE6">
        <w:t xml:space="preserve">ocal government workers. </w:t>
      </w:r>
      <w:r w:rsidR="007E4E3A">
        <w:t xml:space="preserve"> </w:t>
      </w:r>
      <w:r w:rsidRPr="000D6AE6">
        <w:t>TSA uses a fully</w:t>
      </w:r>
      <w:r w:rsidR="007E4E3A">
        <w:t>-</w:t>
      </w:r>
      <w:r w:rsidRPr="000D6AE6">
        <w:t>loaded compensation wage of $</w:t>
      </w:r>
      <w:r w:rsidR="002A41E7">
        <w:t>35.82</w:t>
      </w:r>
      <w:r>
        <w:rPr>
          <w:vertAlign w:val="superscript"/>
        </w:rPr>
        <w:footnoteReference w:id="3"/>
      </w:r>
      <w:r w:rsidRPr="000D6AE6">
        <w:t xml:space="preserve"> to represent the respondents for purposes of this information collection request (ICR).  TSA estimates an annual hour burden cost of </w:t>
      </w:r>
      <w:r w:rsidR="00F364F9">
        <w:t>$</w:t>
      </w:r>
      <w:r w:rsidR="0054794B">
        <w:t>1,192.81</w:t>
      </w:r>
      <w:r w:rsidR="00177A86">
        <w:t xml:space="preserve"> </w:t>
      </w:r>
      <w:r w:rsidR="003A1952">
        <w:t>(</w:t>
      </w:r>
      <w:r w:rsidR="002E3E38">
        <w:t>33.3</w:t>
      </w:r>
      <w:r w:rsidR="00287112">
        <w:t xml:space="preserve"> </w:t>
      </w:r>
      <w:r w:rsidRPr="000D6AE6">
        <w:t>hours x $</w:t>
      </w:r>
      <w:r w:rsidR="0054794B">
        <w:t>35.82</w:t>
      </w:r>
      <w:r w:rsidRPr="000D6AE6">
        <w:t xml:space="preserve"> compensation wage) to </w:t>
      </w:r>
      <w:r w:rsidR="002E3E38">
        <w:t>Aviation Industry</w:t>
      </w:r>
      <w:r w:rsidRPr="000D6AE6">
        <w:t xml:space="preserve"> entities for purposes of this ICR.</w:t>
      </w:r>
    </w:p>
    <w:p w:rsidR="000D6AE6" w14:paraId="1FB3A097" w14:textId="77777777">
      <w:pPr>
        <w:rPr>
          <w:b/>
        </w:rPr>
      </w:pPr>
    </w:p>
    <w:p w:rsidR="005E714A" w14:paraId="49247AED" w14:textId="5623B9E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</w:t>
      </w:r>
      <w:r w:rsidRPr="005E2D79" w:rsidR="00C86E91">
        <w:t>is</w:t>
      </w:r>
      <w:r w:rsidR="002036D3">
        <w:t xml:space="preserve"> </w:t>
      </w:r>
      <w:r w:rsidRPr="005E2D79" w:rsidR="003E726E">
        <w:t>$</w:t>
      </w:r>
      <w:r w:rsidR="002B0DA0">
        <w:t>2,215.78</w:t>
      </w:r>
      <w:r w:rsidRPr="005E2D79" w:rsidR="005E2D79">
        <w:t>.</w:t>
      </w:r>
      <w:r w:rsidR="005E2D79">
        <w:rPr>
          <w:b/>
        </w:rPr>
        <w:t xml:space="preserve"> </w:t>
      </w:r>
      <w:r w:rsidR="007E4E3A">
        <w:rPr>
          <w:b/>
        </w:rPr>
        <w:t xml:space="preserve"> </w:t>
      </w:r>
      <w:r w:rsidRPr="00974570" w:rsidR="005E2D79">
        <w:t>TSA estimates a Program Analyst will spend 5 minutes processing each feedback form, and a Program Manager will spend 10 minutes reviewing one form each month.</w:t>
      </w:r>
      <w:r w:rsidR="005E2D79">
        <w:t xml:space="preserve"> </w:t>
      </w:r>
      <w:r w:rsidR="007E4E3A">
        <w:t xml:space="preserve"> </w:t>
      </w:r>
      <w:r w:rsidRPr="0016568E" w:rsidR="005E2D79">
        <w:rPr>
          <w:i/>
        </w:rPr>
        <w:t>See</w:t>
      </w:r>
      <w:r w:rsidR="005E2D79">
        <w:t xml:space="preserve"> Table 2.</w:t>
      </w:r>
    </w:p>
    <w:p w:rsidR="005E2D79" w14:paraId="178CA72C" w14:textId="77777777"/>
    <w:p w:rsidR="005E2D79" w:rsidRPr="005E2D79" w14:paraId="09F60AFE" w14:textId="77777777">
      <w:r w:rsidRPr="005E2D79">
        <w:t>Table 2</w:t>
      </w:r>
    </w:p>
    <w:p w:rsidR="003E726E" w14:paraId="3F107B1B" w14:textId="77777777">
      <w:pPr>
        <w:rPr>
          <w:b/>
        </w:rPr>
      </w:pPr>
    </w:p>
    <w:tbl>
      <w:tblPr>
        <w:tblW w:w="9483" w:type="dxa"/>
        <w:tblInd w:w="93" w:type="dxa"/>
        <w:tblLayout w:type="fixed"/>
        <w:tblLook w:val="04A0"/>
      </w:tblPr>
      <w:tblGrid>
        <w:gridCol w:w="2535"/>
        <w:gridCol w:w="1710"/>
        <w:gridCol w:w="1620"/>
        <w:gridCol w:w="1786"/>
        <w:gridCol w:w="1832"/>
      </w:tblGrid>
      <w:tr w14:paraId="108B846D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96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406EBD" w:rsidP="00121F52" w14:paraId="764F8390" w14:textId="7777777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TSA Position and Grade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406EBD" w:rsidP="00121F52" w14:paraId="63771376" w14:textId="7777777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1F52" w:rsidRPr="00406EBD" w:rsidP="00121F52" w14:paraId="6A328249" w14:textId="7777777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Estimated Number of Hours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406EBD" w:rsidP="00121F52" w14:paraId="2EBD245B" w14:textId="7777777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406EBD" w:rsidP="00121F52" w14:paraId="292877E0" w14:textId="7777777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Estimated Annual Cost to the Federal Government</w:t>
            </w:r>
          </w:p>
        </w:tc>
      </w:tr>
      <w:tr w14:paraId="7B922498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:rsidP="00A9259F" w14:paraId="5363F7FA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Program Manager/</w:t>
            </w:r>
          </w:p>
          <w:p w:rsidR="00DB21AF" w:rsidRPr="00406EBD" w:rsidP="00A9259F" w14:paraId="3D2D1C5E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K-Band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14:paraId="06A6273B" w14:textId="611C30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$</w:t>
            </w:r>
            <w:r w:rsidR="00810F5C">
              <w:rPr>
                <w:rFonts w:ascii="Arial Narrow" w:hAnsi="Arial Narrow" w:cs="Arial"/>
                <w:sz w:val="18"/>
                <w:szCs w:val="18"/>
              </w:rPr>
              <w:t>122.27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1AF" w:rsidRPr="00406EBD" w:rsidP="002E3E38" w14:paraId="2F3BB72F" w14:textId="3C9677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14:paraId="20EF5B1F" w14:textId="2B44AE8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:rsidP="002E3E38" w14:paraId="19876DF6" w14:textId="2AA2608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$</w:t>
            </w:r>
            <w:r w:rsidR="00803B5A">
              <w:rPr>
                <w:rFonts w:ascii="Arial Narrow" w:hAnsi="Arial Narrow" w:cs="Arial"/>
                <w:color w:val="000000"/>
                <w:sz w:val="18"/>
                <w:szCs w:val="18"/>
              </w:rPr>
              <w:t>1,626.23</w:t>
            </w:r>
          </w:p>
        </w:tc>
      </w:tr>
      <w:tr w14:paraId="02F67F6D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952" w:rsidRPr="00406EBD" w:rsidP="003A1952" w14:paraId="3092DE32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Program Analyst/</w:t>
            </w:r>
          </w:p>
          <w:p w:rsidR="00DB21AF" w:rsidRPr="00406EBD" w:rsidP="003A1952" w14:paraId="0D62EB20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I-Band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14:paraId="26E2DEA1" w14:textId="18F71E5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$</w:t>
            </w:r>
            <w:r w:rsidR="006869D8">
              <w:rPr>
                <w:rFonts w:ascii="Arial Narrow" w:hAnsi="Arial Narrow" w:cs="Arial"/>
                <w:sz w:val="18"/>
                <w:szCs w:val="18"/>
              </w:rPr>
              <w:t>88.39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1AF" w:rsidRPr="00406EBD" w:rsidP="0096766A" w14:paraId="68837C36" w14:textId="6C040ED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14:paraId="17410686" w14:textId="2270FB2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406EBD" w14:paraId="34A41387" w14:textId="58FADE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sz w:val="18"/>
                <w:szCs w:val="18"/>
              </w:rPr>
              <w:t>$</w:t>
            </w:r>
            <w:r w:rsidR="00803B5A">
              <w:rPr>
                <w:rFonts w:ascii="Arial Narrow" w:hAnsi="Arial Narrow" w:cs="Arial"/>
                <w:sz w:val="18"/>
                <w:szCs w:val="18"/>
              </w:rPr>
              <w:t>589.55</w:t>
            </w:r>
          </w:p>
          <w:p w:rsidR="00B116C9" w:rsidRPr="00406EBD" w14:paraId="158DFB83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0F866295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21F52" w:rsidRPr="00406EBD" w14:paraId="458319DE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52" w:rsidRPr="00406EBD" w14:paraId="51842601" w14:textId="7777777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sz w:val="18"/>
                <w:szCs w:val="18"/>
              </w:rPr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21D" w:rsidRPr="00406EBD" w14:paraId="55B2C25D" w14:textId="7777777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DB21AF" w:rsidRPr="00406EBD" w:rsidP="00DB21AF" w14:paraId="45D746FF" w14:textId="344776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406EB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$</w:t>
            </w:r>
            <w:r w:rsidR="00D534A0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2,215.78</w:t>
            </w:r>
          </w:p>
          <w:p w:rsidR="00121F52" w:rsidRPr="00406EBD" w14:paraId="6ECB7CFA" w14:textId="7777777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</w:tbl>
    <w:p w:rsidR="008A1C98" w14:paraId="3180A700" w14:textId="77777777">
      <w:pPr>
        <w:rPr>
          <w:b/>
          <w:bCs/>
          <w:u w:val="single"/>
        </w:rPr>
      </w:pPr>
    </w:p>
    <w:p w:rsidR="008A1C98" w14:paraId="2F937FAC" w14:textId="77777777">
      <w:pPr>
        <w:rPr>
          <w:b/>
          <w:bCs/>
          <w:u w:val="single"/>
        </w:rPr>
      </w:pPr>
    </w:p>
    <w:p w:rsidR="0069403B" w:rsidP="00F06866" w14:paraId="4895A6B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9403B" w:rsidP="00F06866" w14:paraId="30290A3A" w14:textId="77777777">
      <w:pPr>
        <w:rPr>
          <w:b/>
        </w:rPr>
      </w:pPr>
    </w:p>
    <w:p w:rsidR="00F06866" w:rsidP="00F06866" w14:paraId="317A2DC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3C36C4" w14:textId="5928772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54DB">
        <w:t>X</w:t>
      </w:r>
      <w:r>
        <w:t xml:space="preserve"> ] Yes</w:t>
      </w:r>
      <w:r>
        <w:tab/>
        <w:t>[] No</w:t>
      </w:r>
    </w:p>
    <w:p w:rsidR="00636621" w:rsidP="00636621" w14:paraId="1C0DCB81" w14:textId="77777777">
      <w:pPr>
        <w:pStyle w:val="ListParagraph"/>
      </w:pPr>
    </w:p>
    <w:p w:rsidR="002D58CC" w:rsidP="002D58CC" w14:paraId="5844E695" w14:textId="0733B45E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A3693" w:rsidP="002D58CC" w14:paraId="664ED059" w14:textId="77777777"/>
    <w:p w:rsidR="004010C9" w:rsidRPr="00CC54DB" w:rsidP="004010C9" w14:paraId="789BC796" w14:textId="76EB4B67">
      <w:r w:rsidRPr="00CC54DB">
        <w:t xml:space="preserve">For purposes of this collection, the </w:t>
      </w:r>
      <w:r w:rsidRPr="00CC54DB" w:rsidR="00CC54DB">
        <w:t>potential group of respondents consists of all</w:t>
      </w:r>
      <w:r w:rsidR="003476BA">
        <w:t xml:space="preserve"> private industry</w:t>
      </w:r>
      <w:r w:rsidRPr="00CC54DB" w:rsidR="00CC54DB">
        <w:t xml:space="preserve"> </w:t>
      </w:r>
      <w:r w:rsidR="00E6176F">
        <w:t>t</w:t>
      </w:r>
      <w:r w:rsidRPr="00CC54DB" w:rsidR="00CC54DB">
        <w:t xml:space="preserve">ransportation </w:t>
      </w:r>
      <w:r w:rsidR="00E6176F">
        <w:t>s</w:t>
      </w:r>
      <w:r w:rsidRPr="00CC54DB" w:rsidR="00CC54DB">
        <w:t xml:space="preserve">ecurity </w:t>
      </w:r>
      <w:r w:rsidR="00E6176F">
        <w:t>s</w:t>
      </w:r>
      <w:r w:rsidRPr="00CC54DB" w:rsidR="00CC54DB">
        <w:t>takeholders</w:t>
      </w:r>
      <w:r w:rsidR="003D195E">
        <w:t xml:space="preserve"> that </w:t>
      </w:r>
      <w:r w:rsidRPr="003D195E" w:rsidR="003D195E">
        <w:t>participate in the ADIAC threat information sharing effort</w:t>
      </w:r>
      <w:r w:rsidR="009D0F80">
        <w:t xml:space="preserve">. </w:t>
      </w:r>
      <w:r w:rsidR="00DF2F2B">
        <w:t xml:space="preserve"> </w:t>
      </w:r>
      <w:r w:rsidR="00AA3693">
        <w:t xml:space="preserve">Completing and submitting the survey is voluntary. </w:t>
      </w:r>
      <w:r w:rsidR="007E4E3A">
        <w:t xml:space="preserve"> </w:t>
      </w:r>
      <w:r w:rsidRPr="00CC54DB" w:rsidR="00CC54DB">
        <w:t>There is no sampling plan intended; all valid responses will be used.</w:t>
      </w:r>
      <w:r w:rsidR="006115CE">
        <w:t xml:space="preserve">  As indicated above, respondents will identify or rank the importance to their organizations of each of the 10 primary </w:t>
      </w:r>
      <w:r w:rsidR="00177A86">
        <w:t xml:space="preserve">survey </w:t>
      </w:r>
      <w:r w:rsidR="006115CE">
        <w:t xml:space="preserve">questions, as well as prioritize a sub-category of </w:t>
      </w:r>
      <w:r w:rsidR="00177A86">
        <w:t xml:space="preserve">survey </w:t>
      </w:r>
      <w:r w:rsidR="006115CE">
        <w:t xml:space="preserve">questions that relate to each of the primary </w:t>
      </w:r>
      <w:r w:rsidR="00177A86">
        <w:t xml:space="preserve">survey </w:t>
      </w:r>
      <w:r w:rsidR="006115CE">
        <w:t>questions</w:t>
      </w:r>
      <w:r w:rsidR="000F2920">
        <w:t>.</w:t>
      </w:r>
      <w:r w:rsidR="00054E80">
        <w:t xml:space="preserve">  </w:t>
      </w:r>
      <w:r w:rsidRPr="00054E80" w:rsidR="00054E80">
        <w:t xml:space="preserve">TSA will distribute the </w:t>
      </w:r>
      <w:r w:rsidR="00054E80">
        <w:t xml:space="preserve">survey via email, using a Survey Monkey link.  </w:t>
      </w:r>
      <w:r w:rsidRPr="00054E80" w:rsidR="00054E80">
        <w:t>The collection of IP addresses will be disabled in the Survey Monkey tool.</w:t>
      </w:r>
    </w:p>
    <w:p w:rsidR="004D6E14" w:rsidP="00A403BB" w14:paraId="0B44BCDB" w14:textId="77777777">
      <w:pPr>
        <w:rPr>
          <w:b/>
        </w:rPr>
      </w:pPr>
    </w:p>
    <w:p w:rsidR="00A403BB" w:rsidP="00A403BB" w14:paraId="670DDEA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A24406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7BC79A0A" w14:textId="7BF10097">
      <w:pPr>
        <w:ind w:left="720"/>
      </w:pPr>
      <w:r>
        <w:t>[</w:t>
      </w:r>
      <w:r w:rsidR="00293708">
        <w:t xml:space="preserve"> </w:t>
      </w:r>
      <w:r w:rsidR="00CC54DB">
        <w:t>X</w:t>
      </w:r>
      <w:r w:rsidR="00293708">
        <w:t xml:space="preserve"> </w:t>
      </w:r>
      <w:r w:rsidR="00A403BB">
        <w:t>] Web-based</w:t>
      </w:r>
      <w:r>
        <w:t xml:space="preserve"> or other forms of Social Media</w:t>
      </w:r>
    </w:p>
    <w:p w:rsidR="001B0AAA" w:rsidP="001B0AAA" w14:paraId="336D5DAE" w14:textId="037DB52F">
      <w:pPr>
        <w:ind w:left="720"/>
      </w:pPr>
      <w:r>
        <w:t>[] Telephone</w:t>
      </w:r>
    </w:p>
    <w:p w:rsidR="001B0AAA" w:rsidP="001B0AAA" w14:paraId="05AFB35B" w14:textId="257ADD7E">
      <w:pPr>
        <w:ind w:left="720"/>
      </w:pPr>
      <w:r>
        <w:t>[] In-person</w:t>
      </w:r>
    </w:p>
    <w:p w:rsidR="001B0AAA" w:rsidP="001B0AAA" w14:paraId="4080670D" w14:textId="4E6CAFFE">
      <w:pPr>
        <w:ind w:left="720"/>
      </w:pPr>
      <w:r>
        <w:t>[] Mail</w:t>
      </w:r>
    </w:p>
    <w:p w:rsidR="001B0AAA" w:rsidP="001B0AAA" w14:paraId="18FE3205" w14:textId="25DA42DC">
      <w:pPr>
        <w:ind w:left="720"/>
      </w:pPr>
      <w:r>
        <w:t>[] Other, Explain</w:t>
      </w:r>
    </w:p>
    <w:p w:rsidR="002D58CC" w:rsidP="004010C9" w14:paraId="6AD1AA8D" w14:textId="77777777"/>
    <w:p w:rsidR="00F24CFC" w:rsidP="00F24CFC" w14:paraId="0888E108" w14:textId="1854B16F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 xml:space="preserve">cilitators be used? [] Yes [ </w:t>
      </w:r>
      <w:r w:rsidR="00AA3693">
        <w:t>X</w:t>
      </w:r>
      <w:r>
        <w:t>] No</w:t>
      </w:r>
    </w:p>
    <w:p w:rsidR="00F24CFC" w:rsidP="00F24CFC" w14:paraId="062DA27D" w14:textId="77777777">
      <w:pPr>
        <w:pStyle w:val="ListParagraph"/>
        <w:ind w:left="360"/>
      </w:pPr>
      <w:r>
        <w:t xml:space="preserve"> </w:t>
      </w:r>
    </w:p>
    <w:p w:rsidR="0024521E" w:rsidP="0024521E" w14:paraId="1FBF39D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6068CD" w14:paraId="061A3823" w14:textId="77777777"/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E38" w14:paraId="6322B81E" w14:textId="5EB1E2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73E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675DC" w14:paraId="5812601F" w14:textId="77777777">
      <w:r>
        <w:separator/>
      </w:r>
    </w:p>
  </w:footnote>
  <w:footnote w:type="continuationSeparator" w:id="1">
    <w:p w:rsidR="008675DC" w14:paraId="63285C5F" w14:textId="77777777">
      <w:r>
        <w:continuationSeparator/>
      </w:r>
    </w:p>
  </w:footnote>
  <w:footnote w:type="continuationNotice" w:id="2">
    <w:p w:rsidR="008675DC" w14:paraId="456F75BF" w14:textId="77777777"/>
  </w:footnote>
  <w:footnote w:id="3">
    <w:p w:rsidR="000D6AE6" w:rsidP="000D6AE6" w14:paraId="235810E4" w14:textId="39B67B31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total compensation (fully-loaded wage) rate for </w:t>
      </w:r>
      <w:r w:rsidR="00F422B5">
        <w:t>Civilian Workers, Transportation and Material Moving,</w:t>
      </w:r>
      <w:r w:rsidR="003044AE">
        <w:t xml:space="preserve"> </w:t>
      </w:r>
      <w:r>
        <w:t xml:space="preserve">Table </w:t>
      </w:r>
      <w:r w:rsidR="003975A1">
        <w:t>2</w:t>
      </w:r>
      <w:r>
        <w:t xml:space="preserve">, U.S. Bureau of Labor Statistics.  Retrieved from </w:t>
      </w:r>
      <w:hyperlink r:id="rId1" w:history="1">
        <w:r w:rsidRPr="00CD53F5" w:rsidR="00246121">
          <w:rPr>
            <w:rStyle w:val="Hyperlink"/>
          </w:rPr>
          <w:t>https://www.bls.gov/news.release/archives/ecec_06132025.htm</w:t>
        </w:r>
      </w:hyperlink>
      <w:r w:rsidR="00246121">
        <w:t xml:space="preserve"> </w:t>
      </w:r>
      <w:r>
        <w:t>on</w:t>
      </w:r>
      <w:r w:rsidR="00AD0FC8">
        <w:t xml:space="preserve"> </w:t>
      </w:r>
      <w:r>
        <w:t>August 18,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359917">
    <w:abstractNumId w:val="10"/>
  </w:num>
  <w:num w:numId="2" w16cid:durableId="1318992225">
    <w:abstractNumId w:val="16"/>
  </w:num>
  <w:num w:numId="3" w16cid:durableId="1861897036">
    <w:abstractNumId w:val="15"/>
  </w:num>
  <w:num w:numId="4" w16cid:durableId="346100674">
    <w:abstractNumId w:val="17"/>
  </w:num>
  <w:num w:numId="5" w16cid:durableId="1881162374">
    <w:abstractNumId w:val="3"/>
  </w:num>
  <w:num w:numId="6" w16cid:durableId="598372725">
    <w:abstractNumId w:val="1"/>
  </w:num>
  <w:num w:numId="7" w16cid:durableId="43018941">
    <w:abstractNumId w:val="8"/>
  </w:num>
  <w:num w:numId="8" w16cid:durableId="1172917169">
    <w:abstractNumId w:val="13"/>
  </w:num>
  <w:num w:numId="9" w16cid:durableId="754472867">
    <w:abstractNumId w:val="9"/>
  </w:num>
  <w:num w:numId="10" w16cid:durableId="390733348">
    <w:abstractNumId w:val="2"/>
  </w:num>
  <w:num w:numId="11" w16cid:durableId="283074798">
    <w:abstractNumId w:val="6"/>
  </w:num>
  <w:num w:numId="12" w16cid:durableId="2081828347">
    <w:abstractNumId w:val="7"/>
  </w:num>
  <w:num w:numId="13" w16cid:durableId="1636911335">
    <w:abstractNumId w:val="0"/>
  </w:num>
  <w:num w:numId="14" w16cid:durableId="112329188">
    <w:abstractNumId w:val="14"/>
  </w:num>
  <w:num w:numId="15" w16cid:durableId="2122265057">
    <w:abstractNumId w:val="12"/>
  </w:num>
  <w:num w:numId="16" w16cid:durableId="651101486">
    <w:abstractNumId w:val="11"/>
  </w:num>
  <w:num w:numId="17" w16cid:durableId="1332754724">
    <w:abstractNumId w:val="4"/>
  </w:num>
  <w:num w:numId="18" w16cid:durableId="506331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74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BBC"/>
    <w:rsid w:val="00023A57"/>
    <w:rsid w:val="00047A64"/>
    <w:rsid w:val="00054E80"/>
    <w:rsid w:val="0005726A"/>
    <w:rsid w:val="00067329"/>
    <w:rsid w:val="0008673E"/>
    <w:rsid w:val="000B2838"/>
    <w:rsid w:val="000B717B"/>
    <w:rsid w:val="000D44CA"/>
    <w:rsid w:val="000D6AE6"/>
    <w:rsid w:val="000D769E"/>
    <w:rsid w:val="000E200B"/>
    <w:rsid w:val="000F2920"/>
    <w:rsid w:val="000F68BE"/>
    <w:rsid w:val="0010254D"/>
    <w:rsid w:val="00121F52"/>
    <w:rsid w:val="001377A2"/>
    <w:rsid w:val="001502C7"/>
    <w:rsid w:val="00152429"/>
    <w:rsid w:val="00157483"/>
    <w:rsid w:val="00161025"/>
    <w:rsid w:val="0016568E"/>
    <w:rsid w:val="00165C03"/>
    <w:rsid w:val="00177A86"/>
    <w:rsid w:val="001927A4"/>
    <w:rsid w:val="0019290C"/>
    <w:rsid w:val="00194AC6"/>
    <w:rsid w:val="00196796"/>
    <w:rsid w:val="001A23B0"/>
    <w:rsid w:val="001A25CC"/>
    <w:rsid w:val="001B0AAA"/>
    <w:rsid w:val="001C39F7"/>
    <w:rsid w:val="001F085F"/>
    <w:rsid w:val="002036D3"/>
    <w:rsid w:val="00216927"/>
    <w:rsid w:val="00216A06"/>
    <w:rsid w:val="002220BF"/>
    <w:rsid w:val="00237B48"/>
    <w:rsid w:val="0024521E"/>
    <w:rsid w:val="00246121"/>
    <w:rsid w:val="0025637E"/>
    <w:rsid w:val="00263C3D"/>
    <w:rsid w:val="00266988"/>
    <w:rsid w:val="00272C84"/>
    <w:rsid w:val="00274236"/>
    <w:rsid w:val="00274D0B"/>
    <w:rsid w:val="00285B78"/>
    <w:rsid w:val="00287112"/>
    <w:rsid w:val="002875A8"/>
    <w:rsid w:val="00293708"/>
    <w:rsid w:val="00297AEA"/>
    <w:rsid w:val="002A2358"/>
    <w:rsid w:val="002A41E7"/>
    <w:rsid w:val="002B0DA0"/>
    <w:rsid w:val="002B3C95"/>
    <w:rsid w:val="002D0B92"/>
    <w:rsid w:val="002D3438"/>
    <w:rsid w:val="002D58CC"/>
    <w:rsid w:val="002E3E38"/>
    <w:rsid w:val="00300219"/>
    <w:rsid w:val="003044AE"/>
    <w:rsid w:val="00321C38"/>
    <w:rsid w:val="003476BA"/>
    <w:rsid w:val="00352841"/>
    <w:rsid w:val="003544ED"/>
    <w:rsid w:val="0035704C"/>
    <w:rsid w:val="00367DB8"/>
    <w:rsid w:val="00371FFE"/>
    <w:rsid w:val="003975A1"/>
    <w:rsid w:val="003A1952"/>
    <w:rsid w:val="003B0AB5"/>
    <w:rsid w:val="003D195E"/>
    <w:rsid w:val="003D5BBE"/>
    <w:rsid w:val="003E3257"/>
    <w:rsid w:val="003E3C61"/>
    <w:rsid w:val="003E726E"/>
    <w:rsid w:val="003F1C5B"/>
    <w:rsid w:val="004010C9"/>
    <w:rsid w:val="00404D19"/>
    <w:rsid w:val="00406EBD"/>
    <w:rsid w:val="00434E33"/>
    <w:rsid w:val="00437676"/>
    <w:rsid w:val="00441434"/>
    <w:rsid w:val="0045264C"/>
    <w:rsid w:val="00480B94"/>
    <w:rsid w:val="0048767A"/>
    <w:rsid w:val="004876EC"/>
    <w:rsid w:val="004A4F1B"/>
    <w:rsid w:val="004B1462"/>
    <w:rsid w:val="004D6E14"/>
    <w:rsid w:val="004E6E38"/>
    <w:rsid w:val="004F0863"/>
    <w:rsid w:val="005009B0"/>
    <w:rsid w:val="0054794B"/>
    <w:rsid w:val="00554E68"/>
    <w:rsid w:val="00563CB6"/>
    <w:rsid w:val="005716B6"/>
    <w:rsid w:val="0057569A"/>
    <w:rsid w:val="00576243"/>
    <w:rsid w:val="00576E3A"/>
    <w:rsid w:val="005A1006"/>
    <w:rsid w:val="005C6653"/>
    <w:rsid w:val="005D1702"/>
    <w:rsid w:val="005D5BE2"/>
    <w:rsid w:val="005E2D79"/>
    <w:rsid w:val="005E714A"/>
    <w:rsid w:val="00600835"/>
    <w:rsid w:val="00602E36"/>
    <w:rsid w:val="006068CD"/>
    <w:rsid w:val="006115CE"/>
    <w:rsid w:val="00612398"/>
    <w:rsid w:val="006140A0"/>
    <w:rsid w:val="00615D0B"/>
    <w:rsid w:val="006310BF"/>
    <w:rsid w:val="00636621"/>
    <w:rsid w:val="00642B49"/>
    <w:rsid w:val="00642C5D"/>
    <w:rsid w:val="00671503"/>
    <w:rsid w:val="006832D9"/>
    <w:rsid w:val="006853D5"/>
    <w:rsid w:val="006869D8"/>
    <w:rsid w:val="0069403B"/>
    <w:rsid w:val="00697971"/>
    <w:rsid w:val="006D7566"/>
    <w:rsid w:val="006F3491"/>
    <w:rsid w:val="006F3DDE"/>
    <w:rsid w:val="00704678"/>
    <w:rsid w:val="00705288"/>
    <w:rsid w:val="00722663"/>
    <w:rsid w:val="00741AAD"/>
    <w:rsid w:val="007425E7"/>
    <w:rsid w:val="00764984"/>
    <w:rsid w:val="007707F3"/>
    <w:rsid w:val="00794B46"/>
    <w:rsid w:val="007B1363"/>
    <w:rsid w:val="007C4A27"/>
    <w:rsid w:val="007D33CF"/>
    <w:rsid w:val="007E0263"/>
    <w:rsid w:val="007E4E3A"/>
    <w:rsid w:val="00802607"/>
    <w:rsid w:val="00803B5A"/>
    <w:rsid w:val="008101A5"/>
    <w:rsid w:val="00810F5C"/>
    <w:rsid w:val="0081536C"/>
    <w:rsid w:val="00822664"/>
    <w:rsid w:val="008279D0"/>
    <w:rsid w:val="008360C3"/>
    <w:rsid w:val="0084070C"/>
    <w:rsid w:val="00842540"/>
    <w:rsid w:val="00843796"/>
    <w:rsid w:val="0085422D"/>
    <w:rsid w:val="0085562E"/>
    <w:rsid w:val="00855FEA"/>
    <w:rsid w:val="00865B43"/>
    <w:rsid w:val="008675DC"/>
    <w:rsid w:val="008743AF"/>
    <w:rsid w:val="00895229"/>
    <w:rsid w:val="008A1C98"/>
    <w:rsid w:val="008A432D"/>
    <w:rsid w:val="008E0960"/>
    <w:rsid w:val="008F0203"/>
    <w:rsid w:val="008F50D4"/>
    <w:rsid w:val="008F7BBE"/>
    <w:rsid w:val="00907716"/>
    <w:rsid w:val="009239AA"/>
    <w:rsid w:val="009359E8"/>
    <w:rsid w:val="00935ADA"/>
    <w:rsid w:val="00946B6C"/>
    <w:rsid w:val="00955A71"/>
    <w:rsid w:val="0096108F"/>
    <w:rsid w:val="0096766A"/>
    <w:rsid w:val="00974570"/>
    <w:rsid w:val="009844EE"/>
    <w:rsid w:val="009A06C6"/>
    <w:rsid w:val="009A4473"/>
    <w:rsid w:val="009A46D3"/>
    <w:rsid w:val="009C13B9"/>
    <w:rsid w:val="009C3D0A"/>
    <w:rsid w:val="009D01A2"/>
    <w:rsid w:val="009D0F80"/>
    <w:rsid w:val="009F5923"/>
    <w:rsid w:val="00A07F79"/>
    <w:rsid w:val="00A13D12"/>
    <w:rsid w:val="00A23D95"/>
    <w:rsid w:val="00A403BB"/>
    <w:rsid w:val="00A674DF"/>
    <w:rsid w:val="00A7590A"/>
    <w:rsid w:val="00A83AA6"/>
    <w:rsid w:val="00A8556C"/>
    <w:rsid w:val="00A9259F"/>
    <w:rsid w:val="00A966B0"/>
    <w:rsid w:val="00AA3693"/>
    <w:rsid w:val="00AB4283"/>
    <w:rsid w:val="00AD0FC8"/>
    <w:rsid w:val="00AE1809"/>
    <w:rsid w:val="00AE3782"/>
    <w:rsid w:val="00AE6F5F"/>
    <w:rsid w:val="00B0632A"/>
    <w:rsid w:val="00B116C9"/>
    <w:rsid w:val="00B252F6"/>
    <w:rsid w:val="00B42A3F"/>
    <w:rsid w:val="00B47EE6"/>
    <w:rsid w:val="00B80D76"/>
    <w:rsid w:val="00B81CDC"/>
    <w:rsid w:val="00B84281"/>
    <w:rsid w:val="00BA2105"/>
    <w:rsid w:val="00BA7E06"/>
    <w:rsid w:val="00BB43B5"/>
    <w:rsid w:val="00BB5350"/>
    <w:rsid w:val="00BB6219"/>
    <w:rsid w:val="00BB73E9"/>
    <w:rsid w:val="00BD290F"/>
    <w:rsid w:val="00BD2F8B"/>
    <w:rsid w:val="00C025E3"/>
    <w:rsid w:val="00C04EE1"/>
    <w:rsid w:val="00C0617D"/>
    <w:rsid w:val="00C14CC4"/>
    <w:rsid w:val="00C27F64"/>
    <w:rsid w:val="00C3154D"/>
    <w:rsid w:val="00C33C52"/>
    <w:rsid w:val="00C40D8B"/>
    <w:rsid w:val="00C444BC"/>
    <w:rsid w:val="00C467C4"/>
    <w:rsid w:val="00C47304"/>
    <w:rsid w:val="00C83FA6"/>
    <w:rsid w:val="00C8407A"/>
    <w:rsid w:val="00C8488C"/>
    <w:rsid w:val="00C86E91"/>
    <w:rsid w:val="00C90DA9"/>
    <w:rsid w:val="00C90FCD"/>
    <w:rsid w:val="00CA2650"/>
    <w:rsid w:val="00CB1078"/>
    <w:rsid w:val="00CB7377"/>
    <w:rsid w:val="00CC4B02"/>
    <w:rsid w:val="00CC54DB"/>
    <w:rsid w:val="00CC6FAF"/>
    <w:rsid w:val="00CD0196"/>
    <w:rsid w:val="00CD53F5"/>
    <w:rsid w:val="00D03938"/>
    <w:rsid w:val="00D11E55"/>
    <w:rsid w:val="00D24698"/>
    <w:rsid w:val="00D45544"/>
    <w:rsid w:val="00D50CB7"/>
    <w:rsid w:val="00D534A0"/>
    <w:rsid w:val="00D61819"/>
    <w:rsid w:val="00D6383F"/>
    <w:rsid w:val="00D71157"/>
    <w:rsid w:val="00D720D4"/>
    <w:rsid w:val="00D72249"/>
    <w:rsid w:val="00DB1DF0"/>
    <w:rsid w:val="00DB21AF"/>
    <w:rsid w:val="00DB59D0"/>
    <w:rsid w:val="00DC0976"/>
    <w:rsid w:val="00DC33D3"/>
    <w:rsid w:val="00DC6C4D"/>
    <w:rsid w:val="00DF2F2B"/>
    <w:rsid w:val="00DF341F"/>
    <w:rsid w:val="00DF3F8C"/>
    <w:rsid w:val="00DF7EE7"/>
    <w:rsid w:val="00E06E0F"/>
    <w:rsid w:val="00E13678"/>
    <w:rsid w:val="00E26329"/>
    <w:rsid w:val="00E3508D"/>
    <w:rsid w:val="00E40B50"/>
    <w:rsid w:val="00E50293"/>
    <w:rsid w:val="00E6176F"/>
    <w:rsid w:val="00E65FFC"/>
    <w:rsid w:val="00E74E8D"/>
    <w:rsid w:val="00E7572F"/>
    <w:rsid w:val="00E80932"/>
    <w:rsid w:val="00E80951"/>
    <w:rsid w:val="00E854FE"/>
    <w:rsid w:val="00E86CC6"/>
    <w:rsid w:val="00EA674F"/>
    <w:rsid w:val="00EB12A0"/>
    <w:rsid w:val="00EB2D63"/>
    <w:rsid w:val="00EB56B3"/>
    <w:rsid w:val="00ED6492"/>
    <w:rsid w:val="00EF2095"/>
    <w:rsid w:val="00EF268E"/>
    <w:rsid w:val="00EF2899"/>
    <w:rsid w:val="00EF38B1"/>
    <w:rsid w:val="00F06866"/>
    <w:rsid w:val="00F12B19"/>
    <w:rsid w:val="00F15956"/>
    <w:rsid w:val="00F24CFC"/>
    <w:rsid w:val="00F3170F"/>
    <w:rsid w:val="00F364F9"/>
    <w:rsid w:val="00F422B5"/>
    <w:rsid w:val="00F43996"/>
    <w:rsid w:val="00F65A9C"/>
    <w:rsid w:val="00F70081"/>
    <w:rsid w:val="00F722A2"/>
    <w:rsid w:val="00F75832"/>
    <w:rsid w:val="00F80345"/>
    <w:rsid w:val="00F83450"/>
    <w:rsid w:val="00F84BEB"/>
    <w:rsid w:val="00F976B0"/>
    <w:rsid w:val="00FA6DE7"/>
    <w:rsid w:val="00FB0476"/>
    <w:rsid w:val="00FC021D"/>
    <w:rsid w:val="00FC0A8E"/>
    <w:rsid w:val="00FD5D8A"/>
    <w:rsid w:val="00FE2FA6"/>
    <w:rsid w:val="00FE3DF2"/>
    <w:rsid w:val="00FF6D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94E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C0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021D"/>
  </w:style>
  <w:style w:type="character" w:styleId="FootnoteReference">
    <w:name w:val="footnote reference"/>
    <w:basedOn w:val="DefaultParagraphFont"/>
    <w:rsid w:val="00FC021D"/>
    <w:rPr>
      <w:vertAlign w:val="superscript"/>
    </w:rPr>
  </w:style>
  <w:style w:type="character" w:customStyle="1" w:styleId="Hyperlink1">
    <w:name w:val="Hyperlink1"/>
    <w:basedOn w:val="DefaultParagraphFont"/>
    <w:rsid w:val="000D6AE6"/>
    <w:rPr>
      <w:color w:val="0563C1"/>
      <w:u w:val="single"/>
    </w:rPr>
  </w:style>
  <w:style w:type="character" w:styleId="Hyperlink">
    <w:name w:val="Hyperlink"/>
    <w:basedOn w:val="DefaultParagraphFont"/>
    <w:unhideWhenUsed/>
    <w:rsid w:val="000D6A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1367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D0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archives/ecec_0613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2025-12-11T21:25:00Z</dcterms:created>
  <dcterms:modified xsi:type="dcterms:W3CDTF">2025-12-11T21:25:00Z</dcterms:modified>
</cp:coreProperties>
</file>