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633" w:rsidRPr="007E374B" w:rsidP="009F2633" w14:paraId="5D8C3DEA" w14:textId="77777777">
      <w:pPr>
        <w:keepNext/>
        <w:numPr>
          <w:ilvl w:val="0"/>
          <w:numId w:val="11"/>
        </w:numPr>
        <w:tabs>
          <w:tab w:val="left" w:pos="360"/>
        </w:tabs>
        <w:rPr>
          <w:rFonts w:cs="Times New Roman"/>
          <w:b/>
          <w:i/>
          <w:szCs w:val="24"/>
        </w:rPr>
      </w:pPr>
      <w:r w:rsidRPr="007E374B">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303432" w:rsidRPr="006C20FA" w:rsidP="00303432" w14:paraId="1269D866" w14:textId="77777777">
      <w:pPr>
        <w:rPr>
          <w:rFonts w:cs="Times New Roman"/>
          <w:color w:val="1F497D"/>
          <w:szCs w:val="24"/>
        </w:rPr>
      </w:pPr>
    </w:p>
    <w:p w:rsidR="00730238" w:rsidP="004879EC" w14:paraId="2B915C7C" w14:textId="6DAA96C5">
      <w:pPr>
        <w:pStyle w:val="FootnoteText"/>
        <w:ind w:left="360"/>
        <w:rPr>
          <w:sz w:val="24"/>
          <w:szCs w:val="24"/>
        </w:rPr>
      </w:pPr>
      <w:r>
        <w:rPr>
          <w:sz w:val="24"/>
          <w:szCs w:val="24"/>
        </w:rPr>
        <w:t>Pursuant to the Aviation and Transportation Security Act,</w:t>
      </w:r>
      <w:r>
        <w:rPr>
          <w:rStyle w:val="FootnoteReference"/>
          <w:sz w:val="24"/>
          <w:szCs w:val="24"/>
        </w:rPr>
        <w:footnoteReference w:id="3"/>
      </w:r>
      <w:r>
        <w:rPr>
          <w:sz w:val="24"/>
          <w:szCs w:val="24"/>
        </w:rPr>
        <w:t xml:space="preserve"> </w:t>
      </w:r>
      <w:r w:rsidRPr="00730238">
        <w:rPr>
          <w:sz w:val="24"/>
          <w:szCs w:val="24"/>
        </w:rPr>
        <w:t>and delegated authority from the Secretary of Homeland Security, TSA has broad responsibility and authority for “security in all modes of transportation including security responsibilities over modes of transportation that are exercised by the Department of Transportation</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Pr>
          <w:rStyle w:val="FootnoteReference"/>
          <w:sz w:val="24"/>
          <w:szCs w:val="24"/>
        </w:rPr>
        <w:footnoteReference w:id="4"/>
      </w:r>
      <w:r w:rsidRPr="00730238">
        <w:rPr>
          <w:sz w:val="24"/>
          <w:szCs w:val="24"/>
        </w:rPr>
        <w:t xml:space="preserve"> </w:t>
      </w:r>
      <w:r>
        <w:rPr>
          <w:sz w:val="24"/>
          <w:szCs w:val="24"/>
        </w:rPr>
        <w:t>recognizes this authority and further requires TSA to take specific actions related to pipeline security.</w:t>
      </w:r>
    </w:p>
    <w:p w:rsidR="00730238" w:rsidP="004879EC" w14:paraId="3416A5AD" w14:textId="77777777">
      <w:pPr>
        <w:pStyle w:val="FootnoteText"/>
        <w:ind w:left="360"/>
        <w:rPr>
          <w:sz w:val="24"/>
          <w:szCs w:val="24"/>
        </w:rPr>
      </w:pPr>
    </w:p>
    <w:p w:rsidR="00730238" w:rsidRPr="009C0E4E" w:rsidP="00467FF7" w14:paraId="2271F045" w14:textId="2041437D">
      <w:pPr>
        <w:pStyle w:val="FootnoteText"/>
        <w:ind w:left="360"/>
        <w:rPr>
          <w:szCs w:val="24"/>
        </w:rPr>
      </w:pPr>
      <w:r w:rsidRPr="009C0E4E">
        <w:rPr>
          <w:sz w:val="24"/>
          <w:szCs w:val="24"/>
        </w:rPr>
        <w:t xml:space="preserve">Consistent with these authorities and requirements, </w:t>
      </w:r>
      <w:r w:rsidRPr="009C0E4E" w:rsidR="00E24C6B">
        <w:rPr>
          <w:sz w:val="24"/>
          <w:szCs w:val="24"/>
        </w:rPr>
        <w:t xml:space="preserve">TSA </w:t>
      </w:r>
      <w:r w:rsidRPr="009C0E4E" w:rsidR="00BC6B28">
        <w:rPr>
          <w:sz w:val="24"/>
          <w:szCs w:val="24"/>
        </w:rPr>
        <w:t>issued</w:t>
      </w:r>
      <w:r w:rsidRPr="009C0E4E" w:rsidR="00E24C6B">
        <w:rPr>
          <w:sz w:val="24"/>
          <w:szCs w:val="24"/>
        </w:rPr>
        <w:t xml:space="preserve"> Pipeline Security Guidelines</w:t>
      </w:r>
      <w:r w:rsidRPr="009C0E4E" w:rsidR="00BC6B28">
        <w:rPr>
          <w:sz w:val="24"/>
          <w:szCs w:val="24"/>
        </w:rPr>
        <w:t xml:space="preserve"> in </w:t>
      </w:r>
      <w:r w:rsidRPr="009C0E4E" w:rsidR="00FF3A50">
        <w:rPr>
          <w:sz w:val="24"/>
          <w:szCs w:val="24"/>
        </w:rPr>
        <w:t xml:space="preserve">December 2010 and </w:t>
      </w:r>
      <w:r w:rsidRPr="009C0E4E" w:rsidR="00BC6B28">
        <w:rPr>
          <w:sz w:val="24"/>
          <w:szCs w:val="24"/>
        </w:rPr>
        <w:t>April 2011</w:t>
      </w:r>
      <w:r w:rsidRPr="009C0E4E" w:rsidR="00FF3A50">
        <w:rPr>
          <w:sz w:val="24"/>
          <w:szCs w:val="24"/>
        </w:rPr>
        <w:t>,</w:t>
      </w:r>
      <w:r w:rsidRPr="009C0E4E" w:rsidR="00303432">
        <w:rPr>
          <w:sz w:val="24"/>
          <w:szCs w:val="24"/>
        </w:rPr>
        <w:t xml:space="preserve"> and subsequently update</w:t>
      </w:r>
      <w:r w:rsidRPr="009C0E4E" w:rsidR="00FF3A50">
        <w:rPr>
          <w:sz w:val="24"/>
          <w:szCs w:val="24"/>
        </w:rPr>
        <w:t>d</w:t>
      </w:r>
      <w:r w:rsidRPr="009C0E4E" w:rsidR="00303432">
        <w:rPr>
          <w:sz w:val="24"/>
          <w:szCs w:val="24"/>
        </w:rPr>
        <w:t xml:space="preserve"> the Guidelines in </w:t>
      </w:r>
      <w:r w:rsidRPr="009C0E4E" w:rsidR="00FF3A50">
        <w:rPr>
          <w:sz w:val="24"/>
          <w:szCs w:val="24"/>
        </w:rPr>
        <w:t xml:space="preserve">March </w:t>
      </w:r>
      <w:r w:rsidRPr="009C0E4E" w:rsidR="00303432">
        <w:rPr>
          <w:sz w:val="24"/>
          <w:szCs w:val="24"/>
        </w:rPr>
        <w:t xml:space="preserve">2018 and </w:t>
      </w:r>
      <w:r w:rsidRPr="009C0E4E" w:rsidR="00FF3A50">
        <w:rPr>
          <w:sz w:val="24"/>
          <w:szCs w:val="24"/>
        </w:rPr>
        <w:t xml:space="preserve">April </w:t>
      </w:r>
      <w:r w:rsidRPr="009C0E4E" w:rsidR="00303432">
        <w:rPr>
          <w:sz w:val="24"/>
          <w:szCs w:val="24"/>
        </w:rPr>
        <w:t>2021</w:t>
      </w:r>
      <w:r w:rsidRPr="009C0E4E" w:rsidR="00E24C6B">
        <w:rPr>
          <w:sz w:val="24"/>
          <w:szCs w:val="24"/>
        </w:rPr>
        <w:t>.</w:t>
      </w:r>
      <w:r>
        <w:rPr>
          <w:rStyle w:val="FootnoteReference"/>
          <w:sz w:val="24"/>
          <w:szCs w:val="24"/>
        </w:rPr>
        <w:footnoteReference w:id="5"/>
      </w:r>
      <w:r w:rsidRPr="009C0E4E" w:rsidR="00646620">
        <w:rPr>
          <w:sz w:val="24"/>
          <w:szCs w:val="24"/>
        </w:rPr>
        <w:t xml:space="preserve"> </w:t>
      </w:r>
      <w:r w:rsidRPr="009C0E4E" w:rsidR="00786B21">
        <w:rPr>
          <w:sz w:val="24"/>
          <w:szCs w:val="24"/>
        </w:rPr>
        <w:t xml:space="preserve"> </w:t>
      </w:r>
      <w:r w:rsidRPr="009C0E4E" w:rsidR="00BC6B28">
        <w:rPr>
          <w:sz w:val="24"/>
          <w:szCs w:val="24"/>
        </w:rPr>
        <w:t>The</w:t>
      </w:r>
      <w:r w:rsidRPr="009C0E4E" w:rsidR="003518B9">
        <w:rPr>
          <w:sz w:val="24"/>
          <w:szCs w:val="24"/>
        </w:rPr>
        <w:t>se</w:t>
      </w:r>
      <w:r w:rsidRPr="009C0E4E" w:rsidR="00BC6B28">
        <w:rPr>
          <w:sz w:val="24"/>
          <w:szCs w:val="24"/>
        </w:rPr>
        <w:t xml:space="preserve"> </w:t>
      </w:r>
      <w:r w:rsidRPr="009C0E4E" w:rsidR="003518B9">
        <w:rPr>
          <w:sz w:val="24"/>
          <w:szCs w:val="24"/>
        </w:rPr>
        <w:t>voluntary g</w:t>
      </w:r>
      <w:r w:rsidRPr="009C0E4E" w:rsidR="00BC6B28">
        <w:rPr>
          <w:sz w:val="24"/>
          <w:szCs w:val="24"/>
        </w:rPr>
        <w:t xml:space="preserve">uidelines </w:t>
      </w:r>
      <w:r w:rsidRPr="009C0E4E" w:rsidR="00E24C6B">
        <w:rPr>
          <w:sz w:val="24"/>
          <w:szCs w:val="24"/>
        </w:rPr>
        <w:t xml:space="preserve">were developed with the assistance of industry and government members of the Pipeline Sector and Government Coordinating Councils, industry association representatives, and other interested parties.  </w:t>
      </w:r>
      <w:r w:rsidRPr="009C0E4E">
        <w:rPr>
          <w:sz w:val="24"/>
          <w:szCs w:val="24"/>
        </w:rPr>
        <w:t>These guidelines recommend</w:t>
      </w:r>
      <w:r w:rsidRPr="009C0E4E" w:rsidR="00BC6B28">
        <w:rPr>
          <w:sz w:val="24"/>
          <w:szCs w:val="24"/>
        </w:rPr>
        <w:t xml:space="preserve"> submission of </w:t>
      </w:r>
      <w:r w:rsidRPr="009C0E4E">
        <w:rPr>
          <w:sz w:val="24"/>
          <w:szCs w:val="24"/>
        </w:rPr>
        <w:t xml:space="preserve">security incident </w:t>
      </w:r>
      <w:r w:rsidRPr="009C0E4E" w:rsidR="00BC6B28">
        <w:rPr>
          <w:sz w:val="24"/>
          <w:szCs w:val="24"/>
        </w:rPr>
        <w:t>information to TSA.</w:t>
      </w:r>
    </w:p>
    <w:p w:rsidR="008E234E" w:rsidRPr="009402F8" w:rsidP="009402F8" w14:paraId="789B7F29" w14:textId="77777777">
      <w:pPr>
        <w:pStyle w:val="Index1"/>
        <w:rPr>
          <w:color w:val="000000" w:themeColor="text1"/>
        </w:rPr>
      </w:pPr>
    </w:p>
    <w:p w:rsidR="008E234E" w:rsidRPr="009402F8" w:rsidP="008E234E" w14:paraId="6A126170" w14:textId="6F13BFEA">
      <w:pPr>
        <w:ind w:left="360"/>
        <w:rPr>
          <w:color w:val="000000" w:themeColor="text1"/>
        </w:rPr>
      </w:pPr>
      <w:r>
        <w:rPr>
          <w:color w:val="000000" w:themeColor="text1"/>
        </w:rPr>
        <w:t>I</w:t>
      </w:r>
      <w:r w:rsidR="00DC3441">
        <w:rPr>
          <w:color w:val="000000" w:themeColor="text1"/>
        </w:rPr>
        <w:t xml:space="preserve">n May 2021, </w:t>
      </w:r>
      <w:r w:rsidR="00BB50EE">
        <w:rPr>
          <w:color w:val="000000" w:themeColor="text1"/>
        </w:rPr>
        <w:t xml:space="preserve">in response to </w:t>
      </w:r>
      <w:r w:rsidR="002351AE">
        <w:rPr>
          <w:color w:val="000000" w:themeColor="text1"/>
        </w:rPr>
        <w:t xml:space="preserve">a </w:t>
      </w:r>
      <w:r w:rsidR="004A1E92">
        <w:rPr>
          <w:color w:val="000000" w:themeColor="text1"/>
        </w:rPr>
        <w:t>ransomware</w:t>
      </w:r>
      <w:r w:rsidR="002351AE">
        <w:rPr>
          <w:color w:val="000000" w:themeColor="text1"/>
        </w:rPr>
        <w:t xml:space="preserve"> attack </w:t>
      </w:r>
      <w:r w:rsidR="004A1E92">
        <w:rPr>
          <w:color w:val="000000" w:themeColor="text1"/>
        </w:rPr>
        <w:t>on</w:t>
      </w:r>
      <w:r w:rsidR="002351AE">
        <w:rPr>
          <w:color w:val="000000" w:themeColor="text1"/>
        </w:rPr>
        <w:t xml:space="preserve"> </w:t>
      </w:r>
      <w:r w:rsidR="00716A05">
        <w:rPr>
          <w:color w:val="000000" w:themeColor="text1"/>
        </w:rPr>
        <w:t xml:space="preserve">the </w:t>
      </w:r>
      <w:r w:rsidR="002351AE">
        <w:rPr>
          <w:color w:val="000000" w:themeColor="text1"/>
        </w:rPr>
        <w:t>Colonial Pipeline</w:t>
      </w:r>
      <w:r w:rsidR="004A1E92">
        <w:rPr>
          <w:color w:val="000000" w:themeColor="text1"/>
        </w:rPr>
        <w:t xml:space="preserve"> Company</w:t>
      </w:r>
      <w:r w:rsidR="002351AE">
        <w:rPr>
          <w:color w:val="000000" w:themeColor="text1"/>
        </w:rPr>
        <w:t xml:space="preserve">, </w:t>
      </w:r>
      <w:r w:rsidR="00730238">
        <w:rPr>
          <w:color w:val="000000" w:themeColor="text1"/>
        </w:rPr>
        <w:t>T</w:t>
      </w:r>
      <w:r w:rsidRPr="009402F8">
        <w:rPr>
          <w:color w:val="000000" w:themeColor="text1"/>
        </w:rPr>
        <w:t>SA issue</w:t>
      </w:r>
      <w:r w:rsidR="007E374B">
        <w:rPr>
          <w:color w:val="000000" w:themeColor="text1"/>
        </w:rPr>
        <w:t>d</w:t>
      </w:r>
      <w:r w:rsidRPr="009402F8">
        <w:rPr>
          <w:color w:val="000000" w:themeColor="text1"/>
        </w:rPr>
        <w:t xml:space="preserve"> a Security Directive (SD)</w:t>
      </w:r>
      <w:r w:rsidR="00DC3441">
        <w:rPr>
          <w:color w:val="000000" w:themeColor="text1"/>
        </w:rPr>
        <w:t xml:space="preserve"> series</w:t>
      </w:r>
      <w:r w:rsidRPr="009402F8">
        <w:rPr>
          <w:color w:val="000000" w:themeColor="text1"/>
        </w:rPr>
        <w:t xml:space="preserve"> with requirements for TSA-specified </w:t>
      </w:r>
      <w:r w:rsidRPr="009402F8" w:rsidR="003518B9">
        <w:rPr>
          <w:color w:val="000000" w:themeColor="text1"/>
        </w:rPr>
        <w:t>c</w:t>
      </w:r>
      <w:r w:rsidRPr="009402F8">
        <w:rPr>
          <w:color w:val="000000" w:themeColor="text1"/>
        </w:rPr>
        <w:t xml:space="preserve">ritical </w:t>
      </w:r>
      <w:r w:rsidRPr="009402F8" w:rsidR="003518B9">
        <w:rPr>
          <w:color w:val="000000" w:themeColor="text1"/>
        </w:rPr>
        <w:t>p</w:t>
      </w:r>
      <w:r w:rsidRPr="009402F8">
        <w:rPr>
          <w:color w:val="000000" w:themeColor="text1"/>
        </w:rPr>
        <w:t xml:space="preserve">ipeline </w:t>
      </w:r>
      <w:r w:rsidRPr="009402F8" w:rsidR="00096FAC">
        <w:rPr>
          <w:color w:val="000000" w:themeColor="text1"/>
        </w:rPr>
        <w:t xml:space="preserve">owner/operators </w:t>
      </w:r>
      <w:r w:rsidRPr="009402F8">
        <w:rPr>
          <w:color w:val="000000" w:themeColor="text1"/>
        </w:rPr>
        <w:t>of hazardous liquid and natural gas pipelines and liquefied natural gas facilities.</w:t>
      </w:r>
      <w:r>
        <w:rPr>
          <w:rStyle w:val="FootnoteReference"/>
          <w:color w:val="000000" w:themeColor="text1"/>
        </w:rPr>
        <w:footnoteReference w:id="6"/>
      </w:r>
      <w:r w:rsidRPr="009402F8">
        <w:rPr>
          <w:color w:val="000000" w:themeColor="text1"/>
        </w:rPr>
        <w:t xml:space="preserve">  </w:t>
      </w:r>
      <w:r w:rsidR="00730238">
        <w:rPr>
          <w:color w:val="000000" w:themeColor="text1"/>
        </w:rPr>
        <w:t xml:space="preserve">The </w:t>
      </w:r>
      <w:r w:rsidR="00DC3441">
        <w:rPr>
          <w:color w:val="000000" w:themeColor="text1"/>
        </w:rPr>
        <w:t xml:space="preserve">SD series included </w:t>
      </w:r>
      <w:r w:rsidR="00730238">
        <w:rPr>
          <w:color w:val="000000" w:themeColor="text1"/>
        </w:rPr>
        <w:t xml:space="preserve">two </w:t>
      </w:r>
      <w:r w:rsidR="00DC3441">
        <w:rPr>
          <w:color w:val="000000" w:themeColor="text1"/>
        </w:rPr>
        <w:t xml:space="preserve">mandatory </w:t>
      </w:r>
      <w:r w:rsidR="008166A5">
        <w:rPr>
          <w:color w:val="000000" w:themeColor="text1"/>
        </w:rPr>
        <w:t>information collections</w:t>
      </w:r>
      <w:r w:rsidR="00D077B2">
        <w:rPr>
          <w:color w:val="000000" w:themeColor="text1"/>
        </w:rPr>
        <w:t>.</w:t>
      </w:r>
      <w:r>
        <w:rPr>
          <w:rStyle w:val="FootnoteReference"/>
          <w:color w:val="000000" w:themeColor="text1"/>
        </w:rPr>
        <w:footnoteReference w:id="7"/>
      </w:r>
      <w:r w:rsidR="00C30B7A">
        <w:rPr>
          <w:color w:val="000000" w:themeColor="text1"/>
        </w:rPr>
        <w:t xml:space="preserve"> </w:t>
      </w:r>
      <w:r w:rsidR="007646BE">
        <w:rPr>
          <w:color w:val="000000" w:themeColor="text1"/>
        </w:rPr>
        <w:t xml:space="preserve"> </w:t>
      </w:r>
      <w:r w:rsidR="00D077B2">
        <w:rPr>
          <w:color w:val="000000" w:themeColor="text1"/>
        </w:rPr>
        <w:t>First,</w:t>
      </w:r>
      <w:r w:rsidR="00C30B7A">
        <w:rPr>
          <w:color w:val="000000" w:themeColor="text1"/>
        </w:rPr>
        <w:t xml:space="preserve"> TSA requires all </w:t>
      </w:r>
      <w:r w:rsidRPr="009402F8" w:rsidR="00096FAC">
        <w:rPr>
          <w:color w:val="000000" w:themeColor="text1"/>
        </w:rPr>
        <w:t xml:space="preserve">owner/operators </w:t>
      </w:r>
      <w:r w:rsidRPr="009402F8" w:rsidR="003518B9">
        <w:rPr>
          <w:color w:val="000000" w:themeColor="text1"/>
        </w:rPr>
        <w:t xml:space="preserve">subject to the SD’s </w:t>
      </w:r>
      <w:r w:rsidRPr="009402F8" w:rsidR="0013310F">
        <w:rPr>
          <w:color w:val="000000" w:themeColor="text1"/>
        </w:rPr>
        <w:t>requirements</w:t>
      </w:r>
      <w:r w:rsidRPr="009402F8" w:rsidR="003518B9">
        <w:rPr>
          <w:color w:val="000000" w:themeColor="text1"/>
        </w:rPr>
        <w:t xml:space="preserve"> </w:t>
      </w:r>
      <w:r w:rsidRPr="009402F8">
        <w:rPr>
          <w:color w:val="000000" w:themeColor="text1"/>
        </w:rPr>
        <w:t xml:space="preserve">to report cybersecurity incidents or potential cybersecurity incidents on their </w:t>
      </w:r>
      <w:r w:rsidR="00C30B7A">
        <w:rPr>
          <w:color w:val="000000" w:themeColor="text1"/>
        </w:rPr>
        <w:t xml:space="preserve">information and operational technology </w:t>
      </w:r>
      <w:r w:rsidRPr="009402F8" w:rsidR="00C30B7A">
        <w:rPr>
          <w:color w:val="000000" w:themeColor="text1"/>
        </w:rPr>
        <w:t>systems</w:t>
      </w:r>
      <w:r w:rsidRPr="009402F8">
        <w:rPr>
          <w:color w:val="000000" w:themeColor="text1"/>
        </w:rPr>
        <w:t xml:space="preserve"> to the</w:t>
      </w:r>
      <w:r w:rsidR="00EE166F">
        <w:rPr>
          <w:color w:val="000000" w:themeColor="text1"/>
        </w:rPr>
        <w:t xml:space="preserve"> </w:t>
      </w:r>
      <w:r w:rsidR="002D0F33">
        <w:rPr>
          <w:color w:val="000000" w:themeColor="text1"/>
        </w:rPr>
        <w:t>Cybersecurity and Infrastructure Security Agency</w:t>
      </w:r>
      <w:r w:rsidRPr="009402F8">
        <w:rPr>
          <w:color w:val="000000" w:themeColor="text1"/>
        </w:rPr>
        <w:t xml:space="preserve"> </w:t>
      </w:r>
      <w:r w:rsidR="00EE166F">
        <w:rPr>
          <w:color w:val="000000" w:themeColor="text1"/>
        </w:rPr>
        <w:t>(</w:t>
      </w:r>
      <w:r w:rsidRPr="009402F8" w:rsidR="003518B9">
        <w:rPr>
          <w:color w:val="000000" w:themeColor="text1"/>
        </w:rPr>
        <w:t>C</w:t>
      </w:r>
      <w:r w:rsidRPr="009402F8">
        <w:rPr>
          <w:color w:val="000000" w:themeColor="text1"/>
        </w:rPr>
        <w:t>ISA</w:t>
      </w:r>
      <w:r w:rsidR="00EE166F">
        <w:rPr>
          <w:color w:val="000000" w:themeColor="text1"/>
        </w:rPr>
        <w:t>)</w:t>
      </w:r>
      <w:r w:rsidRPr="009402F8">
        <w:rPr>
          <w:color w:val="000000" w:themeColor="text1"/>
        </w:rPr>
        <w:t xml:space="preserve"> within </w:t>
      </w:r>
      <w:r w:rsidR="00907849">
        <w:rPr>
          <w:color w:val="000000" w:themeColor="text1"/>
        </w:rPr>
        <w:t>24</w:t>
      </w:r>
      <w:r w:rsidRPr="009402F8" w:rsidR="00907849">
        <w:rPr>
          <w:color w:val="000000" w:themeColor="text1"/>
        </w:rPr>
        <w:t xml:space="preserve"> </w:t>
      </w:r>
      <w:r w:rsidRPr="009402F8">
        <w:rPr>
          <w:color w:val="000000" w:themeColor="text1"/>
        </w:rPr>
        <w:t xml:space="preserve">hours of </w:t>
      </w:r>
      <w:r w:rsidR="00FF3A50">
        <w:rPr>
          <w:bCs/>
        </w:rPr>
        <w:t xml:space="preserve">identification of a cybersecurity incident </w:t>
      </w:r>
      <w:r w:rsidRPr="009402F8" w:rsidR="000F6953">
        <w:rPr>
          <w:color w:val="000000" w:themeColor="text1"/>
        </w:rPr>
        <w:t>using the CISA Reporting System</w:t>
      </w:r>
      <w:r w:rsidR="003A1FBB">
        <w:rPr>
          <w:color w:val="000000" w:themeColor="text1"/>
        </w:rPr>
        <w:t xml:space="preserve">.  </w:t>
      </w:r>
      <w:r w:rsidR="00D077B2">
        <w:rPr>
          <w:color w:val="000000" w:themeColor="text1"/>
        </w:rPr>
        <w:t>Second</w:t>
      </w:r>
      <w:r w:rsidRPr="009402F8" w:rsidR="003518B9">
        <w:rPr>
          <w:color w:val="000000" w:themeColor="text1"/>
        </w:rPr>
        <w:t>,</w:t>
      </w:r>
      <w:r w:rsidRPr="009402F8">
        <w:rPr>
          <w:color w:val="000000" w:themeColor="text1"/>
        </w:rPr>
        <w:t xml:space="preserve"> </w:t>
      </w:r>
      <w:r w:rsidR="00D077B2">
        <w:rPr>
          <w:color w:val="000000" w:themeColor="text1"/>
        </w:rPr>
        <w:t>t</w:t>
      </w:r>
      <w:r w:rsidR="00C30B7A">
        <w:rPr>
          <w:color w:val="000000" w:themeColor="text1"/>
        </w:rPr>
        <w:t xml:space="preserve">he SD requires </w:t>
      </w:r>
      <w:r w:rsidRPr="009402F8">
        <w:rPr>
          <w:color w:val="000000" w:themeColor="text1"/>
        </w:rPr>
        <w:t>critical pipeline owner</w:t>
      </w:r>
      <w:r w:rsidR="001E626A">
        <w:rPr>
          <w:color w:val="000000" w:themeColor="text1"/>
        </w:rPr>
        <w:t>/</w:t>
      </w:r>
      <w:r w:rsidRPr="009402F8">
        <w:rPr>
          <w:color w:val="000000" w:themeColor="text1"/>
        </w:rPr>
        <w:t>operators to appoint cybersecurity coordinators</w:t>
      </w:r>
      <w:r w:rsidR="00FF3A50">
        <w:rPr>
          <w:color w:val="000000" w:themeColor="text1"/>
        </w:rPr>
        <w:t xml:space="preserve">, </w:t>
      </w:r>
      <w:r w:rsidR="00FF3A50">
        <w:rPr>
          <w:bCs/>
        </w:rPr>
        <w:t xml:space="preserve">who must be available to TSA and CISA 24/7 to coordinate cybersecurity practices and address any incidents that arise, </w:t>
      </w:r>
      <w:r w:rsidRPr="009402F8" w:rsidR="003518B9">
        <w:rPr>
          <w:color w:val="000000" w:themeColor="text1"/>
        </w:rPr>
        <w:t xml:space="preserve">and to provide contact information for the coordinators to TSA.  </w:t>
      </w:r>
      <w:r w:rsidRPr="009402F8" w:rsidR="007505DB">
        <w:rPr>
          <w:color w:val="000000" w:themeColor="text1"/>
        </w:rPr>
        <w:t>To ensure that information reported pursuant to the SD is identifiable within the system, TSA require</w:t>
      </w:r>
      <w:r w:rsidR="001E626A">
        <w:rPr>
          <w:color w:val="000000" w:themeColor="text1"/>
        </w:rPr>
        <w:t>s</w:t>
      </w:r>
      <w:r w:rsidR="00C30B7A">
        <w:rPr>
          <w:color w:val="000000" w:themeColor="text1"/>
        </w:rPr>
        <w:t xml:space="preserve"> </w:t>
      </w:r>
      <w:r w:rsidR="007A6753">
        <w:rPr>
          <w:color w:val="000000" w:themeColor="text1"/>
        </w:rPr>
        <w:t xml:space="preserve">these </w:t>
      </w:r>
      <w:r w:rsidRPr="009402F8" w:rsidR="007A6753">
        <w:rPr>
          <w:color w:val="000000" w:themeColor="text1"/>
        </w:rPr>
        <w:t>owners/operators</w:t>
      </w:r>
      <w:r w:rsidRPr="009402F8" w:rsidR="007505DB">
        <w:rPr>
          <w:color w:val="000000" w:themeColor="text1"/>
        </w:rPr>
        <w:t xml:space="preserve"> to indicate that they are providing the information pursuant </w:t>
      </w:r>
      <w:r w:rsidR="00FF3A50">
        <w:rPr>
          <w:color w:val="000000" w:themeColor="text1"/>
        </w:rPr>
        <w:t xml:space="preserve">to </w:t>
      </w:r>
      <w:r w:rsidRPr="009402F8" w:rsidR="007505DB">
        <w:rPr>
          <w:color w:val="000000" w:themeColor="text1"/>
        </w:rPr>
        <w:t>the SD.</w:t>
      </w:r>
    </w:p>
    <w:p w:rsidR="00303432" w:rsidRPr="00D3561A" w:rsidP="00D3561A" w14:paraId="7A7BF738" w14:textId="77777777">
      <w:pPr>
        <w:pStyle w:val="Index1"/>
      </w:pPr>
    </w:p>
    <w:p w:rsidR="009F2633" w:rsidP="009F2633" w14:paraId="00C82B3D"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14:paraId="1A2F7B6F" w14:textId="77777777">
      <w:pPr>
        <w:keepNext/>
        <w:numPr>
          <w:ilvl w:val="12"/>
          <w:numId w:val="0"/>
        </w:numPr>
        <w:ind w:left="360"/>
      </w:pPr>
    </w:p>
    <w:p w:rsidR="003A5D31" w:rsidP="003A5D31" w14:paraId="2A9F149D" w14:textId="40A68E67">
      <w:pPr>
        <w:keepNext/>
        <w:numPr>
          <w:ilvl w:val="12"/>
          <w:numId w:val="0"/>
        </w:numPr>
        <w:ind w:left="360"/>
      </w:pPr>
      <w:r w:rsidRPr="006C20FA">
        <w:rPr>
          <w:i/>
        </w:rPr>
        <w:t>Voluntary Collection</w:t>
      </w:r>
      <w:r>
        <w:rPr>
          <w:i/>
        </w:rPr>
        <w:t>.</w:t>
      </w:r>
      <w:r w:rsidR="00D077B2">
        <w:rPr>
          <w:i/>
        </w:rPr>
        <w:t xml:space="preserve">  </w:t>
      </w:r>
      <w:r>
        <w:t xml:space="preserve">As the lead Federal agency for pipeline security, TSA </w:t>
      </w:r>
      <w:r w:rsidR="002547A3">
        <w:t>requests</w:t>
      </w:r>
      <w:r>
        <w:t xml:space="preserve"> to be notified of all security incidents involving pipeline facilities or systems.  TSA currently asks </w:t>
      </w:r>
      <w:r w:rsidR="00766319">
        <w:t xml:space="preserve">all </w:t>
      </w:r>
      <w:r>
        <w:t>pipeline owner</w:t>
      </w:r>
      <w:r w:rsidR="00FF3A50">
        <w:t>/</w:t>
      </w:r>
      <w:r>
        <w:t xml:space="preserve">operators to </w:t>
      </w:r>
      <w:r w:rsidR="00766319">
        <w:t xml:space="preserve">voluntarily </w:t>
      </w:r>
      <w:r>
        <w:t>report suspicious activities or security incident data</w:t>
      </w:r>
      <w:r w:rsidRPr="003A5D31">
        <w:t xml:space="preserve"> to the TSA Transportation Security Operations Center (TSOC). </w:t>
      </w:r>
      <w:r>
        <w:t xml:space="preserve"> </w:t>
      </w:r>
      <w:r w:rsidR="007505DB">
        <w:t xml:space="preserve">The scope of the request includes all incidents </w:t>
      </w:r>
      <w:r w:rsidR="004536CE">
        <w:t>that are</w:t>
      </w:r>
      <w:r w:rsidR="007505DB">
        <w:t xml:space="preserve"> indicative of a possible deliberate attempt to disrupt pipeline operations or activities that could be precursors to such an attempt.  Examples of the types of incidents are provided in the </w:t>
      </w:r>
      <w:r w:rsidRPr="009A5F5B" w:rsidR="009C0E4E">
        <w:rPr>
          <w:rFonts w:cs="Times New Roman"/>
          <w:color w:val="auto"/>
          <w:szCs w:val="24"/>
        </w:rPr>
        <w:t>Pipeline Security Guidelines</w:t>
      </w:r>
      <w:r w:rsidR="007505DB">
        <w:t>.  The scope of the voluntary reporting applies to any type of security incident</w:t>
      </w:r>
      <w:r w:rsidR="00657897">
        <w:t>, to include physical or cybersecurity,</w:t>
      </w:r>
      <w:r w:rsidR="007505DB">
        <w:t xml:space="preserve"> affecting </w:t>
      </w:r>
      <w:r w:rsidR="009D0372">
        <w:t xml:space="preserve">all </w:t>
      </w:r>
      <w:r w:rsidR="007505DB">
        <w:t>pipeline system</w:t>
      </w:r>
      <w:r w:rsidR="00657897">
        <w:t>s</w:t>
      </w:r>
      <w:r w:rsidR="007505DB">
        <w:t xml:space="preserve"> or </w:t>
      </w:r>
      <w:r w:rsidR="0013310F">
        <w:t xml:space="preserve">facilities. </w:t>
      </w:r>
      <w:r w:rsidR="00285C3B">
        <w:t xml:space="preserve"> </w:t>
      </w:r>
      <w:r w:rsidR="0013310F">
        <w:t>TSA</w:t>
      </w:r>
      <w:r>
        <w:t xml:space="preserve"> </w:t>
      </w:r>
      <w:r w:rsidR="003518B9">
        <w:t xml:space="preserve">uses the information voluntarily submitted, including </w:t>
      </w:r>
      <w:r>
        <w:t>the security incident and suspicious activity information</w:t>
      </w:r>
      <w:r w:rsidR="003518B9">
        <w:t>,</w:t>
      </w:r>
      <w:r>
        <w:t xml:space="preserve"> for vulnerability identification/analysis and trend analysis.  The information, with company-specific data redacted, may also be included in TSA’s intelligence-derived reports.</w:t>
      </w:r>
    </w:p>
    <w:p w:rsidR="003A5D31" w:rsidP="003A5D31" w14:paraId="33E68E5C" w14:textId="77777777">
      <w:pPr>
        <w:keepNext/>
        <w:numPr>
          <w:ilvl w:val="12"/>
          <w:numId w:val="0"/>
        </w:numPr>
        <w:ind w:left="360"/>
      </w:pPr>
      <w:r>
        <w:tab/>
      </w:r>
    </w:p>
    <w:p w:rsidR="00A329AA" w:rsidP="00A329AA" w14:paraId="3F2C1F0F" w14:textId="7430D8BF">
      <w:pPr>
        <w:numPr>
          <w:ilvl w:val="12"/>
          <w:numId w:val="0"/>
        </w:numPr>
        <w:ind w:left="360"/>
      </w:pPr>
      <w:r w:rsidRPr="006C20FA">
        <w:rPr>
          <w:i/>
        </w:rPr>
        <w:t>Mandatory Collection.</w:t>
      </w:r>
      <w:r w:rsidR="00D077B2">
        <w:rPr>
          <w:i/>
        </w:rPr>
        <w:t xml:space="preserve">  </w:t>
      </w:r>
      <w:r w:rsidR="008E234E">
        <w:t>P</w:t>
      </w:r>
      <w:r w:rsidR="002F0DB1">
        <w:t>ursuant to the SD</w:t>
      </w:r>
      <w:r w:rsidR="00286F04">
        <w:t xml:space="preserve"> series</w:t>
      </w:r>
      <w:r>
        <w:t>,</w:t>
      </w:r>
      <w:r w:rsidR="002F0DB1">
        <w:t xml:space="preserve"> </w:t>
      </w:r>
      <w:r w:rsidR="003518B9">
        <w:t xml:space="preserve">TSA </w:t>
      </w:r>
      <w:r>
        <w:t>require</w:t>
      </w:r>
      <w:r>
        <w:t>s</w:t>
      </w:r>
      <w:r>
        <w:t xml:space="preserve"> </w:t>
      </w:r>
      <w:r w:rsidRPr="00D02ABA" w:rsidR="006F5D15">
        <w:t>TSA-specified critical pipeline owner/operators of hazardous liquid and natural gas pipelines and liquefied natural gas facilities</w:t>
      </w:r>
      <w:r w:rsidR="006F5D15">
        <w:t xml:space="preserve"> </w:t>
      </w:r>
      <w:r>
        <w:t xml:space="preserve">to appoint </w:t>
      </w:r>
      <w:r w:rsidRPr="00A329AA">
        <w:t xml:space="preserve">a </w:t>
      </w:r>
      <w:r w:rsidR="00926629">
        <w:t xml:space="preserve">U.S. Citizen </w:t>
      </w:r>
      <w:r w:rsidRPr="00A329AA" w:rsidR="002F0DB1">
        <w:t>Cyber</w:t>
      </w:r>
      <w:r w:rsidR="00152E6F">
        <w:t>security Coordinator</w:t>
      </w:r>
      <w:r w:rsidR="003A5D31">
        <w:t xml:space="preserve"> </w:t>
      </w:r>
      <w:r w:rsidR="00DE0199">
        <w:t xml:space="preserve">and alternate </w:t>
      </w:r>
      <w:r w:rsidR="003A5D31">
        <w:t>who must submit contact information</w:t>
      </w:r>
      <w:r w:rsidR="003D089C">
        <w:t xml:space="preserve">; </w:t>
      </w:r>
      <w:r w:rsidR="00CD7998">
        <w:t>in addition to being U.S. Citizens, these individuals</w:t>
      </w:r>
      <w:r w:rsidR="003370A8">
        <w:t xml:space="preserve"> must be eligible for a security clearance</w:t>
      </w:r>
      <w:r w:rsidR="00152E6F">
        <w:t xml:space="preserve">.  </w:t>
      </w:r>
      <w:r w:rsidRPr="00786B21">
        <w:t>The Cybersecurity Coordinator serve</w:t>
      </w:r>
      <w:r>
        <w:t>s</w:t>
      </w:r>
      <w:r w:rsidRPr="00786B21">
        <w:t xml:space="preserve"> as the primary contact for </w:t>
      </w:r>
      <w:r w:rsidRPr="00152E6F">
        <w:t>cyber-related intelligence information and cybersecurity-related activiti</w:t>
      </w:r>
      <w:r w:rsidRPr="006F3570">
        <w:t>es and communications with TSA</w:t>
      </w:r>
      <w:r>
        <w:t xml:space="preserve"> and CISA</w:t>
      </w:r>
      <w:r w:rsidRPr="006F3570">
        <w:t>;</w:t>
      </w:r>
      <w:r>
        <w:t xml:space="preserve"> </w:t>
      </w:r>
      <w:r w:rsidR="00FF3A50">
        <w:t xml:space="preserve">must </w:t>
      </w:r>
      <w:r>
        <w:t>b</w:t>
      </w:r>
      <w:r w:rsidRPr="006F3570">
        <w:t xml:space="preserve">e accessible to TSA </w:t>
      </w:r>
      <w:r>
        <w:t xml:space="preserve">and CISA </w:t>
      </w:r>
      <w:r w:rsidRPr="006F3570">
        <w:t xml:space="preserve">24 hours a day, </w:t>
      </w:r>
      <w:r w:rsidR="003B45A2">
        <w:t>7</w:t>
      </w:r>
      <w:r w:rsidRPr="006F3570" w:rsidR="003B45A2">
        <w:t xml:space="preserve"> </w:t>
      </w:r>
      <w:r w:rsidRPr="006F3570">
        <w:t>days a week;</w:t>
      </w:r>
      <w:r>
        <w:t xml:space="preserve"> </w:t>
      </w:r>
      <w:r w:rsidR="00FF3A50">
        <w:t xml:space="preserve">must </w:t>
      </w:r>
      <w:r>
        <w:t>c</w:t>
      </w:r>
      <w:r w:rsidRPr="006F3570">
        <w:t>oordinate cyber and related security practices and procedures internally; and</w:t>
      </w:r>
      <w:r>
        <w:t xml:space="preserve"> </w:t>
      </w:r>
      <w:r w:rsidR="00FF3A50">
        <w:t xml:space="preserve">must </w:t>
      </w:r>
      <w:r>
        <w:t>w</w:t>
      </w:r>
      <w:r w:rsidRPr="006F3570">
        <w:t>ork with appropriate law enforcement and emergency response agencies.</w:t>
      </w:r>
    </w:p>
    <w:p w:rsidR="00786B21" w:rsidP="00A329AA" w14:paraId="1AB05EC3" w14:textId="77777777">
      <w:pPr>
        <w:numPr>
          <w:ilvl w:val="12"/>
          <w:numId w:val="0"/>
        </w:numPr>
        <w:ind w:left="360"/>
      </w:pPr>
    </w:p>
    <w:p w:rsidR="00A329AA" w:rsidRPr="006F3570" w:rsidP="00786B21" w14:paraId="7B303049" w14:textId="694050F9">
      <w:pPr>
        <w:numPr>
          <w:ilvl w:val="12"/>
          <w:numId w:val="0"/>
        </w:numPr>
        <w:ind w:left="360"/>
      </w:pPr>
      <w:r>
        <w:t xml:space="preserve">In addition, </w:t>
      </w:r>
      <w:r>
        <w:t xml:space="preserve">Pipeline owner/operators </w:t>
      </w:r>
      <w:r>
        <w:t xml:space="preserve">must </w:t>
      </w:r>
      <w:r>
        <w:t xml:space="preserve">report actual and potential cybersecurity incidents to </w:t>
      </w:r>
      <w:r w:rsidR="00786B21">
        <w:t xml:space="preserve">CISA </w:t>
      </w:r>
      <w:r>
        <w:t>wit</w:t>
      </w:r>
      <w:r w:rsidR="00786B21">
        <w:t xml:space="preserve">hin </w:t>
      </w:r>
      <w:r w:rsidR="00907849">
        <w:t xml:space="preserve">24 </w:t>
      </w:r>
      <w:r w:rsidR="00786B21">
        <w:t>hours</w:t>
      </w:r>
      <w:r w:rsidR="007505DB">
        <w:t xml:space="preserve"> of </w:t>
      </w:r>
      <w:r w:rsidR="00FF3A50">
        <w:rPr>
          <w:bCs/>
        </w:rPr>
        <w:t>identification of a cybersecurity incident</w:t>
      </w:r>
      <w:r w:rsidR="00786B21">
        <w:t>.  The information provided to</w:t>
      </w:r>
      <w:r w:rsidRPr="006F3570">
        <w:t xml:space="preserve"> CISA pursuant to th</w:t>
      </w:r>
      <w:r w:rsidR="00786B21">
        <w:t>e SD</w:t>
      </w:r>
      <w:r w:rsidRPr="006F3570">
        <w:t xml:space="preserve"> </w:t>
      </w:r>
      <w:r w:rsidR="005B53FF">
        <w:t xml:space="preserve">is </w:t>
      </w:r>
      <w:r w:rsidRPr="006F3570">
        <w:t>shared with TSA and may also be shared with the National Response Center</w:t>
      </w:r>
      <w:r w:rsidR="0013310F">
        <w:t xml:space="preserve"> (NRC)</w:t>
      </w:r>
      <w:r w:rsidR="00FF3A50">
        <w:t xml:space="preserve"> and other agencies as appropriate</w:t>
      </w:r>
      <w:r w:rsidRPr="006F3570">
        <w:t xml:space="preserve">.  Conversely, information provided to TSA pursuant to this directive </w:t>
      </w:r>
      <w:r w:rsidR="005B53FF">
        <w:t>is</w:t>
      </w:r>
      <w:r w:rsidRPr="006F3570">
        <w:t xml:space="preserve"> shared with CISA and may also be shared with the </w:t>
      </w:r>
      <w:r w:rsidR="0013310F">
        <w:t>NRC</w:t>
      </w:r>
      <w:r w:rsidR="00FF3A50">
        <w:t xml:space="preserve"> and other agencies as appropriate</w:t>
      </w:r>
      <w:r w:rsidRPr="006F3570">
        <w:t>.</w:t>
      </w:r>
    </w:p>
    <w:p w:rsidR="00A329AA" w:rsidRPr="006F3570" w:rsidP="00A329AA" w14:paraId="02B94B5F" w14:textId="77777777"/>
    <w:p w:rsidR="00A329AA" w:rsidRPr="006F3570" w:rsidP="00786B21" w14:paraId="198D2FE4" w14:textId="73A0C4E5">
      <w:pPr>
        <w:ind w:left="360"/>
      </w:pPr>
      <w:r w:rsidRPr="006F3570">
        <w:t xml:space="preserve">TSA may </w:t>
      </w:r>
      <w:r w:rsidR="007505DB">
        <w:t xml:space="preserve">also </w:t>
      </w:r>
      <w:r w:rsidRPr="006F3570">
        <w:t>use this information to</w:t>
      </w:r>
      <w:r w:rsidR="007505DB">
        <w:t xml:space="preserve"> identify the need to</w:t>
      </w:r>
      <w:r w:rsidRPr="006F3570">
        <w:t xml:space="preserve"> impose additional security measures as appropriate or necessary.  TSA may also use the information, with company-specific data redacted, for TSA’s intelligence-derived reports.  TSA and CISA may use information submitted for vulnerability identification, trend analysis, or to generate anonymized indicators of compromise or other cybersecurity products to prevent other cybersecurity incidents.  All</w:t>
      </w:r>
      <w:r w:rsidRPr="006F3570">
        <w:rPr>
          <w:rFonts w:eastAsia="Calibri"/>
        </w:rPr>
        <w:t xml:space="preserve"> reported information will be protected in a manner appropriate for the sensitivity and criticality of the information.</w:t>
      </w:r>
    </w:p>
    <w:p w:rsidR="00AB1826" w:rsidP="00AB1826" w14:paraId="39D7925B" w14:textId="77777777">
      <w:pPr>
        <w:numPr>
          <w:ilvl w:val="12"/>
          <w:numId w:val="0"/>
        </w:numPr>
        <w:ind w:firstLine="360"/>
      </w:pPr>
    </w:p>
    <w:p w:rsidR="009F2633" w:rsidP="009F2633" w14:paraId="1E16772A" w14:textId="16796AFE">
      <w:pPr>
        <w:keepNext/>
        <w:numPr>
          <w:ilvl w:val="0"/>
          <w:numId w:val="1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P="00BB78AB" w14:paraId="5EE65262" w14:textId="77777777">
      <w:pPr>
        <w:keepNext/>
        <w:numPr>
          <w:ilvl w:val="12"/>
          <w:numId w:val="0"/>
        </w:numPr>
        <w:ind w:left="360"/>
      </w:pPr>
    </w:p>
    <w:p w:rsidR="00A329AA" w:rsidP="004B5D1D" w14:paraId="44F3686C" w14:textId="0CEA4C06">
      <w:pPr>
        <w:ind w:left="360"/>
      </w:pPr>
      <w:r>
        <w:t>TSA, pursuant to the SD, collect</w:t>
      </w:r>
      <w:r w:rsidR="005B53FF">
        <w:t>s</w:t>
      </w:r>
      <w:r>
        <w:t xml:space="preserve"> </w:t>
      </w:r>
      <w:r w:rsidRPr="00786B21">
        <w:t>Pipeline Cybe</w:t>
      </w:r>
      <w:r w:rsidR="00786B21">
        <w:t xml:space="preserve">rsecurity Coordinator </w:t>
      </w:r>
      <w:r w:rsidR="00DE5EE4">
        <w:t xml:space="preserve">and alternate </w:t>
      </w:r>
      <w:r w:rsidR="00786B21">
        <w:t>contact information, submitted to TSA via email or regular mail.</w:t>
      </w:r>
    </w:p>
    <w:p w:rsidR="00786B21" w:rsidP="004B5D1D" w14:paraId="48F9C383" w14:textId="77777777">
      <w:pPr>
        <w:ind w:left="360"/>
      </w:pPr>
    </w:p>
    <w:p w:rsidR="004B5D1D" w:rsidRPr="00B1500D" w:rsidP="004B5D1D" w14:paraId="50197445" w14:textId="67450FA3">
      <w:pPr>
        <w:ind w:left="360"/>
        <w:rPr>
          <w:color w:val="auto"/>
        </w:rPr>
      </w:pPr>
      <w:r>
        <w:t>Cybersecurity incident reports</w:t>
      </w:r>
      <w:r w:rsidR="003B542D">
        <w:t xml:space="preserve"> </w:t>
      </w:r>
      <w:r w:rsidR="005B53FF">
        <w:t>are</w:t>
      </w:r>
      <w:r w:rsidR="003B542D">
        <w:t xml:space="preserve"> submitted using the</w:t>
      </w:r>
      <w:r>
        <w:t xml:space="preserve"> </w:t>
      </w:r>
      <w:r w:rsidRPr="003B542D" w:rsidR="003B542D">
        <w:t xml:space="preserve">CISA Reporting System form </w:t>
      </w:r>
      <w:r w:rsidRPr="009402F8" w:rsidR="003B542D">
        <w:rPr>
          <w:color w:val="000000" w:themeColor="text1"/>
        </w:rPr>
        <w:t>at:</w:t>
      </w:r>
      <w:r w:rsidR="007505DB">
        <w:rPr>
          <w:color w:val="000000" w:themeColor="text1"/>
        </w:rPr>
        <w:t xml:space="preserve"> </w:t>
      </w:r>
      <w:hyperlink r:id="rId6" w:history="1">
        <w:r w:rsidRPr="009402F8" w:rsidR="007505DB">
          <w:rPr>
            <w:rStyle w:val="Hyperlink"/>
            <w:color w:val="000000" w:themeColor="text1"/>
          </w:rPr>
          <w:t>https://us-cert.cisa.gov/forms/report</w:t>
        </w:r>
      </w:hyperlink>
      <w:r w:rsidR="008F4D8F">
        <w:t xml:space="preserve">.  </w:t>
      </w:r>
      <w:r w:rsidR="0013310F">
        <w:t>Incident</w:t>
      </w:r>
      <w:r w:rsidR="008F4D8F">
        <w:t xml:space="preserve"> reports can also be reported </w:t>
      </w:r>
      <w:r w:rsidRPr="008F4D8F" w:rsidR="008F4D8F">
        <w:t>by calling (888) 282-0870</w:t>
      </w:r>
      <w:r w:rsidR="008F4D8F">
        <w:t xml:space="preserve">. </w:t>
      </w:r>
      <w:r w:rsidR="00D077B2">
        <w:t xml:space="preserve"> </w:t>
      </w:r>
      <w:r w:rsidR="00831300">
        <w:t xml:space="preserve">In compliance with </w:t>
      </w:r>
      <w:r w:rsidR="00470DF4">
        <w:t xml:space="preserve">the </w:t>
      </w:r>
      <w:r w:rsidRPr="00467FF7" w:rsidR="00470DF4">
        <w:rPr>
          <w:snapToGrid w:val="0"/>
        </w:rPr>
        <w:t>Government Paperwork Elimination Act</w:t>
      </w:r>
      <w:r w:rsidR="00831300">
        <w:t xml:space="preserve">, a fully electronic reporting option is available for pipeline </w:t>
      </w:r>
      <w:r w:rsidR="00996C17">
        <w:t>owner/</w:t>
      </w:r>
      <w:r w:rsidR="00831300">
        <w:t>operators to provide suspicious incident information to TSA.</w:t>
      </w:r>
      <w:r>
        <w:t xml:space="preserve">  </w:t>
      </w:r>
      <w:r w:rsidRPr="009237B9">
        <w:rPr>
          <w:color w:val="auto"/>
        </w:rPr>
        <w:t>Information</w:t>
      </w:r>
      <w:r>
        <w:t xml:space="preserve"> regarding incidents which are indicative of a </w:t>
      </w:r>
      <w:r w:rsidR="00EA0F1D">
        <w:t xml:space="preserve">possible </w:t>
      </w:r>
      <w:r>
        <w:t xml:space="preserve">deliberate attempt to disrupt pipeline operations or activities that could be precursors to such an attempt may be submitted to the TSOC by email </w:t>
      </w:r>
      <w:r w:rsidRPr="00A73DB2">
        <w:rPr>
          <w:rFonts w:cs="Times New Roman"/>
        </w:rPr>
        <w:t xml:space="preserve">at </w:t>
      </w:r>
      <w:hyperlink r:id="rId7" w:history="1">
        <w:r w:rsidRPr="00B1500D" w:rsidR="00153FF7">
          <w:rPr>
            <w:rStyle w:val="Hyperlink"/>
            <w:rFonts w:cs="Times New Roman"/>
            <w:color w:val="auto"/>
          </w:rPr>
          <w:t>TSOC.ST@dhs.gov</w:t>
        </w:r>
      </w:hyperlink>
      <w:r w:rsidRPr="00B1500D">
        <w:rPr>
          <w:color w:val="auto"/>
        </w:rPr>
        <w:t>.</w:t>
      </w:r>
    </w:p>
    <w:p w:rsidR="00153FF7" w:rsidP="004B5D1D" w14:paraId="3B8BFE99" w14:textId="77777777">
      <w:pPr>
        <w:ind w:left="360"/>
      </w:pPr>
    </w:p>
    <w:p w:rsidR="009134B7" w:rsidP="009134B7" w14:paraId="1DF5D73E" w14:textId="296C5A5F">
      <w:pPr>
        <w:ind w:left="360"/>
      </w:pPr>
      <w:r w:rsidRPr="00F20BFB">
        <w:rPr>
          <w:u w:val="single"/>
        </w:rPr>
        <w:t>Usability Testing Requirement</w:t>
      </w:r>
      <w:r w:rsidRPr="00E60D05">
        <w:t xml:space="preserve">: Pursuant to a </w:t>
      </w:r>
      <w:r w:rsidR="001B20CD">
        <w:t>2023</w:t>
      </w:r>
      <w:r w:rsidRPr="00E60D05">
        <w:t xml:space="preserve"> DHS requirement, all Information Collection requests must undergo usability testing prior to submission to OMB.  </w:t>
      </w:r>
      <w:r w:rsidRPr="0051641B">
        <w:rPr>
          <w:i/>
          <w:iCs/>
        </w:rPr>
        <w:t xml:space="preserve">See </w:t>
      </w:r>
      <w:r w:rsidRPr="00E60D05">
        <w:t>DHS Fiscal Year 2024 Burden Reduction Plan Memorandum dated, September 2</w:t>
      </w:r>
      <w:r w:rsidR="001B20CD">
        <w:t>9</w:t>
      </w:r>
      <w:r w:rsidRPr="00E60D05">
        <w:t>, 2023.</w:t>
      </w:r>
    </w:p>
    <w:p w:rsidR="00982480" w:rsidP="00435B03" w14:paraId="63097033" w14:textId="77777777">
      <w:pPr>
        <w:ind w:left="360"/>
        <w:rPr>
          <w:rFonts w:cs="Times New Roman"/>
          <w:szCs w:val="24"/>
        </w:rPr>
      </w:pPr>
    </w:p>
    <w:p w:rsidR="00982480" w:rsidP="00435B03" w14:paraId="10094D74" w14:textId="4B809407">
      <w:pPr>
        <w:ind w:left="360"/>
        <w:rPr>
          <w:rFonts w:cs="Times New Roman"/>
          <w:szCs w:val="24"/>
        </w:rPr>
      </w:pPr>
      <w:r>
        <w:rPr>
          <w:rFonts w:cs="Times New Roman"/>
          <w:szCs w:val="24"/>
        </w:rPr>
        <w:t xml:space="preserve">TSA completed </w:t>
      </w:r>
      <w:r w:rsidRPr="00E60D05" w:rsidR="00A73DB2">
        <w:t>usability testing</w:t>
      </w:r>
      <w:r>
        <w:rPr>
          <w:rFonts w:cs="Times New Roman"/>
          <w:szCs w:val="24"/>
        </w:rPr>
        <w:t xml:space="preserve"> on the information collection</w:t>
      </w:r>
      <w:r>
        <w:rPr>
          <w:rFonts w:cs="Times New Roman"/>
          <w:szCs w:val="24"/>
        </w:rPr>
        <w:t xml:space="preserve"> </w:t>
      </w:r>
      <w:r>
        <w:rPr>
          <w:rFonts w:cs="Times New Roman"/>
          <w:szCs w:val="24"/>
        </w:rPr>
        <w:t xml:space="preserve">TSA Pipeline Security Guidelines </w:t>
      </w:r>
      <w:r w:rsidRPr="00746415">
        <w:rPr>
          <w:rFonts w:cs="Times New Roman"/>
          <w:i/>
          <w:iCs/>
          <w:szCs w:val="24"/>
        </w:rPr>
        <w:t>Appendix B</w:t>
      </w:r>
      <w:r>
        <w:rPr>
          <w:rFonts w:cs="Times New Roman"/>
          <w:szCs w:val="24"/>
        </w:rPr>
        <w:t xml:space="preserve"> – TSA Notification Criteria (Appendix B).  The purpose of the test was to determine whether Appendix B used plain language.  </w:t>
      </w:r>
      <w:r w:rsidRPr="007A299F">
        <w:rPr>
          <w:rFonts w:cs="Times New Roman"/>
          <w:szCs w:val="24"/>
        </w:rPr>
        <w:t>The test included seven</w:t>
      </w:r>
      <w:r w:rsidRPr="007A299F" w:rsidR="001317A0">
        <w:rPr>
          <w:rFonts w:cs="Times New Roman"/>
          <w:szCs w:val="24"/>
        </w:rPr>
        <w:t xml:space="preserve"> </w:t>
      </w:r>
      <w:r w:rsidRPr="007A299F">
        <w:rPr>
          <w:rFonts w:cs="Times New Roman"/>
          <w:szCs w:val="24"/>
        </w:rPr>
        <w:t>participants.  All of the participants were not familiar with the information being collected.</w:t>
      </w:r>
    </w:p>
    <w:p w:rsidR="00982480" w:rsidP="00435B03" w14:paraId="6E4ED486" w14:textId="77777777">
      <w:pPr>
        <w:ind w:left="360"/>
        <w:rPr>
          <w:rFonts w:cs="Times New Roman"/>
          <w:szCs w:val="24"/>
        </w:rPr>
      </w:pPr>
    </w:p>
    <w:p w:rsidR="00435B03" w:rsidP="00435B03" w14:paraId="3FB05072" w14:textId="2E6A143E">
      <w:pPr>
        <w:ind w:left="360"/>
      </w:pPr>
      <w:r w:rsidRPr="00435B03">
        <w:t xml:space="preserve">Participants </w:t>
      </w:r>
      <w:r w:rsidR="00D12065">
        <w:t xml:space="preserve">found that Appendix B </w:t>
      </w:r>
      <w:r w:rsidRPr="00435B03">
        <w:t>use</w:t>
      </w:r>
      <w:r w:rsidR="00D12065">
        <w:t>d</w:t>
      </w:r>
      <w:r w:rsidRPr="00435B03">
        <w:t xml:space="preserve"> plain language, </w:t>
      </w:r>
      <w:r w:rsidR="00D12065">
        <w:t xml:space="preserve">was </w:t>
      </w:r>
      <w:r w:rsidRPr="00435B03">
        <w:t>well-</w:t>
      </w:r>
      <w:r w:rsidR="00D12065">
        <w:t>structured</w:t>
      </w:r>
      <w:r w:rsidRPr="00435B03">
        <w:t xml:space="preserve">, and </w:t>
      </w:r>
      <w:r w:rsidR="00D12065">
        <w:t>presented the information</w:t>
      </w:r>
      <w:r w:rsidRPr="00435B03">
        <w:t xml:space="preserve"> clear</w:t>
      </w:r>
      <w:r w:rsidR="00D12065">
        <w:t>ly</w:t>
      </w:r>
      <w:r w:rsidRPr="00435B03">
        <w:t xml:space="preserve">, particularly through </w:t>
      </w:r>
      <w:r w:rsidR="00E25442">
        <w:t xml:space="preserve">the use of </w:t>
      </w:r>
      <w:r w:rsidRPr="00435B03">
        <w:t xml:space="preserve">bullet points.  </w:t>
      </w:r>
      <w:r w:rsidR="008F5C28">
        <w:t>T</w:t>
      </w:r>
      <w:r w:rsidRPr="00435B03">
        <w:t>he streamlined design and organization</w:t>
      </w:r>
      <w:r w:rsidR="00E25442">
        <w:t xml:space="preserve"> also</w:t>
      </w:r>
      <w:r w:rsidR="008F5C28">
        <w:t xml:space="preserve"> </w:t>
      </w:r>
      <w:r w:rsidR="00E54FD5">
        <w:t xml:space="preserve">led to </w:t>
      </w:r>
      <w:r w:rsidR="00E25442">
        <w:t xml:space="preserve">a clear </w:t>
      </w:r>
      <w:r w:rsidRPr="00435B03">
        <w:t>presentation</w:t>
      </w:r>
      <w:r w:rsidR="00563A64">
        <w:t xml:space="preserve"> of the notification</w:t>
      </w:r>
      <w:r w:rsidRPr="00435B03">
        <w:t>.</w:t>
      </w:r>
    </w:p>
    <w:p w:rsidR="001317A0" w:rsidRPr="00435B03" w:rsidP="00435B03" w14:paraId="7EFABA1C" w14:textId="77777777">
      <w:pPr>
        <w:ind w:left="360"/>
      </w:pPr>
    </w:p>
    <w:p w:rsidR="00435B03" w14:paraId="6A0AEC72" w14:textId="0A670DDB">
      <w:pPr>
        <w:keepNext/>
        <w:keepLines/>
        <w:ind w:left="360"/>
      </w:pPr>
      <w:r>
        <w:t>In addition, participants</w:t>
      </w:r>
      <w:r>
        <w:t xml:space="preserve"> recommend</w:t>
      </w:r>
      <w:r>
        <w:t xml:space="preserve">ed TSA </w:t>
      </w:r>
      <w:r w:rsidR="008B57C5">
        <w:t>ensur</w:t>
      </w:r>
      <w:r>
        <w:t>e</w:t>
      </w:r>
      <w:r w:rsidR="008B57C5">
        <w:t xml:space="preserve"> the use of </w:t>
      </w:r>
      <w:r w:rsidR="79084B38">
        <w:t>acronyms align</w:t>
      </w:r>
      <w:r>
        <w:t xml:space="preserve"> with the TSA Style Guide.  </w:t>
      </w:r>
      <w:r w:rsidR="00855D28">
        <w:t xml:space="preserve">Participants </w:t>
      </w:r>
      <w:r>
        <w:t xml:space="preserve">also recommended to introduce “e.g.” before abbreviations like SCADA, PCS, and DCS for clarity, along with spelling out these acronyms the first time they appear.  For content clarity, definitions for SCADA, PCS, and DCS should be included when they </w:t>
      </w:r>
      <w:r w:rsidR="00855D28">
        <w:t>we</w:t>
      </w:r>
      <w:r>
        <w:t xml:space="preserve">re introduced to help readers who may not be familiar with them.  In the Pipeline Security section, </w:t>
      </w:r>
      <w:r w:rsidR="00855D28">
        <w:t>participants</w:t>
      </w:r>
      <w:r>
        <w:t xml:space="preserve"> suggested to reference the Pipeline Security Directive early in the document to provide context.  </w:t>
      </w:r>
      <w:r w:rsidR="00855D28">
        <w:t>L</w:t>
      </w:r>
      <w:r>
        <w:t xml:space="preserve">astly, </w:t>
      </w:r>
      <w:r w:rsidR="00855D28">
        <w:t xml:space="preserve">participants </w:t>
      </w:r>
      <w:r w:rsidR="00123007">
        <w:t xml:space="preserve">recommended that </w:t>
      </w:r>
      <w:r>
        <w:t>the cyber incident reporting section could be improved by adding a header such as “Pipeline Security Incidents Reported to CISA” above the final paragraph and clarifying CISA Central’s role by stating, “CISA Central will notify TSA of these incidents.”</w:t>
      </w:r>
    </w:p>
    <w:p w:rsidR="00123007" w:rsidRPr="00435B03" w:rsidP="00E86F44" w14:paraId="02696B6C" w14:textId="77777777">
      <w:pPr>
        <w:keepNext/>
        <w:keepLines/>
        <w:ind w:left="360"/>
      </w:pPr>
    </w:p>
    <w:p w:rsidR="00435B03" w14:paraId="401DB2BF" w14:textId="3BEF0570">
      <w:pPr>
        <w:keepNext/>
        <w:keepLines/>
        <w:ind w:left="360"/>
      </w:pPr>
      <w:r w:rsidRPr="00435B03">
        <w:t>TSA concurs with the</w:t>
      </w:r>
      <w:r w:rsidR="00123007">
        <w:t>se</w:t>
      </w:r>
      <w:r w:rsidRPr="00435B03">
        <w:t xml:space="preserve"> recommendations and will update </w:t>
      </w:r>
      <w:r w:rsidR="00123007">
        <w:t xml:space="preserve">Appendix B </w:t>
      </w:r>
      <w:r w:rsidRPr="00435B03">
        <w:t xml:space="preserve">in the next iteration of the </w:t>
      </w:r>
      <w:r w:rsidR="00123007">
        <w:t>G</w:t>
      </w:r>
      <w:r w:rsidRPr="00435B03">
        <w:t>uidelines.</w:t>
      </w:r>
    </w:p>
    <w:p w:rsidR="00DE209E" w:rsidP="00E86F44" w14:paraId="0E05CC9A" w14:textId="77777777"/>
    <w:p w:rsidR="007D404D" w:rsidP="004B5D1D" w14:paraId="7B8E5E7E" w14:textId="77777777"/>
    <w:p w:rsidR="009F2633" w:rsidP="009F2633" w14:paraId="1FCC0967"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14:paraId="7191712F" w14:textId="77777777">
      <w:pPr>
        <w:keepNext/>
        <w:numPr>
          <w:ilvl w:val="12"/>
          <w:numId w:val="0"/>
        </w:numPr>
        <w:ind w:left="360"/>
      </w:pPr>
    </w:p>
    <w:p w:rsidR="007D404D" w14:paraId="73AFFDD3" w14:textId="2CBBEDAB">
      <w:pPr>
        <w:ind w:left="360"/>
      </w:pPr>
      <w:r>
        <w:t>This collection effort will not duplicat</w:t>
      </w:r>
      <w:r w:rsidR="006A5F51">
        <w:t>e the efforts of other agencies</w:t>
      </w:r>
      <w:r>
        <w:t>.</w:t>
      </w:r>
    </w:p>
    <w:p w:rsidR="00705467" w:rsidP="00705467" w14:paraId="41A97B44" w14:textId="77777777">
      <w:pPr>
        <w:ind w:left="360" w:firstLine="360"/>
      </w:pPr>
    </w:p>
    <w:p w:rsidR="007D404D" w14:paraId="1DEAC409" w14:textId="722C449E">
      <w:pPr>
        <w:ind w:left="360"/>
      </w:pPr>
      <w:r w:rsidRPr="007C7BDD">
        <w:t xml:space="preserve">TSA desires </w:t>
      </w:r>
      <w:r>
        <w:t xml:space="preserve">information regarding </w:t>
      </w:r>
      <w:r w:rsidRPr="007C7BDD">
        <w:t xml:space="preserve">all incidents </w:t>
      </w:r>
      <w:r>
        <w:t>that</w:t>
      </w:r>
      <w:r w:rsidRPr="007C7BDD">
        <w:t xml:space="preserve"> indicate a </w:t>
      </w:r>
      <w:r w:rsidR="00EA0F1D">
        <w:t xml:space="preserve">possible </w:t>
      </w:r>
      <w:r w:rsidRPr="007C7BDD">
        <w:t>deliberate attempt to disrupt pipeline operations or</w:t>
      </w:r>
      <w:r w:rsidRPr="00E02AE1">
        <w:t xml:space="preserve"> </w:t>
      </w:r>
      <w:r>
        <w:t>a</w:t>
      </w:r>
      <w:r w:rsidRPr="00957C0D">
        <w:t>ctivities that could be precursors to such an attempt</w:t>
      </w:r>
      <w:r w:rsidRPr="007C7BDD">
        <w:t>.</w:t>
      </w:r>
      <w:r>
        <w:t xml:space="preserve">  </w:t>
      </w:r>
      <w:r w:rsidR="007505DB">
        <w:t xml:space="preserve">TSA’s </w:t>
      </w:r>
      <w:r w:rsidR="00D17D03">
        <w:t xml:space="preserve">Pipeline Security Guidelines </w:t>
      </w:r>
      <w:r w:rsidR="001D5E3C">
        <w:t xml:space="preserve">recommend </w:t>
      </w:r>
      <w:r w:rsidR="00D17D03">
        <w:t xml:space="preserve">that </w:t>
      </w:r>
      <w:r w:rsidR="00991B93">
        <w:t xml:space="preserve">all </w:t>
      </w:r>
      <w:r w:rsidR="00D17D03">
        <w:t xml:space="preserve">pipeline companies </w:t>
      </w:r>
      <w:r w:rsidR="00BA2CDD">
        <w:t xml:space="preserve">voluntarily </w:t>
      </w:r>
      <w:r w:rsidR="00D17D03">
        <w:t xml:space="preserve">notify the TSOC of </w:t>
      </w:r>
      <w:r w:rsidR="00C47555">
        <w:t xml:space="preserve">security incidents and </w:t>
      </w:r>
      <w:r w:rsidR="00D17D03">
        <w:t>suspicious activities involving their systems</w:t>
      </w:r>
      <w:r w:rsidR="006159AE">
        <w:t>, to include both physical and cybersecurity incidents</w:t>
      </w:r>
      <w:r w:rsidR="00D17D03">
        <w:t>.</w:t>
      </w:r>
    </w:p>
    <w:p w:rsidR="00467FF7" w14:paraId="49B1B486" w14:textId="77777777">
      <w:pPr>
        <w:ind w:left="360"/>
      </w:pPr>
    </w:p>
    <w:p w:rsidR="00467FF7" w:rsidP="00467FF7" w14:paraId="6A1B9B9E" w14:textId="4591A71F">
      <w:pPr>
        <w:numPr>
          <w:ilvl w:val="12"/>
          <w:numId w:val="0"/>
        </w:numPr>
        <w:ind w:left="360"/>
      </w:pPr>
      <w:r w:rsidRPr="00467FF7">
        <w:t xml:space="preserve">The Cybersecurity Information Sharing Act of 2015 requires DHS, in consultation with interagency partners, to establish the Federal Government’s capability and process for receiving cyber threat indicators and defensive measures and directs DHS to further share cyber threat indicators and defensive measures it receives with certain </w:t>
      </w:r>
      <w:r w:rsidR="008F0F07">
        <w:t>F</w:t>
      </w:r>
      <w:r w:rsidRPr="00467FF7">
        <w:t>ederal entities in an automated and real-time manner.</w:t>
      </w:r>
      <w:r w:rsidR="00493BD2">
        <w:t xml:space="preserve"> </w:t>
      </w:r>
      <w:r w:rsidRPr="00467FF7">
        <w:t xml:space="preserve"> 6 U.S.C. § 1504(c).</w:t>
      </w:r>
    </w:p>
    <w:p w:rsidR="003B5207" w:rsidP="003B5207" w14:paraId="7F1CD35F" w14:textId="77777777">
      <w:pPr>
        <w:ind w:left="360"/>
      </w:pPr>
    </w:p>
    <w:p w:rsidR="00810A2C" w:rsidP="001D5E3C" w14:paraId="1C727DD7" w14:textId="66FFE7F2">
      <w:pPr>
        <w:numPr>
          <w:ilvl w:val="12"/>
          <w:numId w:val="0"/>
        </w:numPr>
        <w:ind w:left="360"/>
        <w:rPr>
          <w:szCs w:val="24"/>
        </w:rPr>
      </w:pPr>
      <w:r>
        <w:t>T</w:t>
      </w:r>
      <w:r w:rsidR="00D17D03">
        <w:t xml:space="preserve">he </w:t>
      </w:r>
      <w:r w:rsidR="00DE22B8">
        <w:t>NRC</w:t>
      </w:r>
      <w:r w:rsidR="007463DC">
        <w:t xml:space="preserve"> </w:t>
      </w:r>
      <w:r w:rsidRPr="00AF71BE" w:rsidR="007463DC">
        <w:t>serve</w:t>
      </w:r>
      <w:r w:rsidR="007463DC">
        <w:t>s</w:t>
      </w:r>
      <w:r w:rsidRPr="00AF71BE" w:rsidR="007463DC">
        <w:t xml:space="preserve"> as the national point of contact for reporting all oil, chemical, radiological, biological, and etiological discharges into the environment anywhere in the United States and its territories</w:t>
      </w:r>
      <w:r w:rsidR="007463DC">
        <w:t xml:space="preserve">.  </w:t>
      </w:r>
      <w:r>
        <w:rPr>
          <w:szCs w:val="24"/>
        </w:rPr>
        <w:t>A limited number of pipeline facilities falling under the provisions of the Maritime Transportation Security Act (MTSA) are required to report suspicious activities to t</w:t>
      </w:r>
      <w:r w:rsidRPr="002D4B12">
        <w:rPr>
          <w:szCs w:val="24"/>
        </w:rPr>
        <w:t>he NRC</w:t>
      </w:r>
      <w:r>
        <w:rPr>
          <w:szCs w:val="24"/>
        </w:rPr>
        <w:t>.</w:t>
      </w:r>
      <w:r>
        <w:rPr>
          <w:rStyle w:val="FootnoteReference"/>
          <w:szCs w:val="24"/>
        </w:rPr>
        <w:footnoteReference w:id="8"/>
      </w:r>
      <w:r>
        <w:rPr>
          <w:szCs w:val="24"/>
        </w:rPr>
        <w:t xml:space="preserve">  Duplicative reporting could occur if an operator chose to make a voluntary report to TSOC in addition to the mandated NRC report.  </w:t>
      </w:r>
      <w:r w:rsidRPr="0049353E">
        <w:rPr>
          <w:szCs w:val="24"/>
        </w:rPr>
        <w:t xml:space="preserve">Given the small population of pipeline facilities that are subject to MTSA requirements, TSA does not </w:t>
      </w:r>
      <w:r>
        <w:rPr>
          <w:szCs w:val="24"/>
        </w:rPr>
        <w:t>anticipate</w:t>
      </w:r>
      <w:r w:rsidRPr="0049353E">
        <w:rPr>
          <w:szCs w:val="24"/>
        </w:rPr>
        <w:t xml:space="preserve"> </w:t>
      </w:r>
      <w:r>
        <w:rPr>
          <w:szCs w:val="24"/>
        </w:rPr>
        <w:t xml:space="preserve">a </w:t>
      </w:r>
      <w:r w:rsidRPr="0049353E">
        <w:rPr>
          <w:szCs w:val="24"/>
        </w:rPr>
        <w:t>large volume of duplicate reporting to TSOC and NRC.</w:t>
      </w:r>
      <w:r>
        <w:rPr>
          <w:szCs w:val="24"/>
        </w:rPr>
        <w:t xml:space="preserve">  That expectation is based on the actual incident reporting patterns TSA has observed from MTSA</w:t>
      </w:r>
      <w:r w:rsidR="00EA0F1D">
        <w:rPr>
          <w:szCs w:val="24"/>
        </w:rPr>
        <w:t>-</w:t>
      </w:r>
      <w:r>
        <w:rPr>
          <w:szCs w:val="24"/>
        </w:rPr>
        <w:t>regulated pipeline facilities.  TSOC has coordinated with the NRC to obtain pipeline incident reports that may be of concern to TSA, in the event that a MTSA-regulated pipeline operator submits a report only to the NRC.</w:t>
      </w:r>
    </w:p>
    <w:p w:rsidR="00467FF7" w:rsidP="001D5E3C" w14:paraId="027226BA" w14:textId="77777777">
      <w:pPr>
        <w:numPr>
          <w:ilvl w:val="12"/>
          <w:numId w:val="0"/>
        </w:numPr>
        <w:ind w:left="360"/>
      </w:pPr>
    </w:p>
    <w:p w:rsidR="007D404D" w:rsidP="001D5E3C" w14:paraId="47102C72" w14:textId="14BE50FF">
      <w:pPr>
        <w:numPr>
          <w:ilvl w:val="12"/>
          <w:numId w:val="0"/>
        </w:numPr>
        <w:ind w:left="360"/>
        <w:rPr>
          <w:szCs w:val="24"/>
        </w:rPr>
      </w:pPr>
      <w:r w:rsidRPr="0074340A">
        <w:t xml:space="preserve">The NRC </w:t>
      </w:r>
      <w:r w:rsidRPr="0074340A" w:rsidR="00810A2C">
        <w:t xml:space="preserve">also </w:t>
      </w:r>
      <w:r w:rsidRPr="0074340A" w:rsidR="00AC6969">
        <w:t>receives report</w:t>
      </w:r>
      <w:r w:rsidR="0074340A">
        <w:t>able</w:t>
      </w:r>
      <w:r w:rsidRPr="0074340A" w:rsidR="00AC6969">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Pr="0074340A" w:rsidR="00AC6969">
        <w:rPr>
          <w:rFonts w:cs="Times New Roman"/>
          <w:color w:val="auto"/>
          <w:szCs w:val="24"/>
        </w:rPr>
        <w:t>Department of Transportation</w:t>
      </w:r>
      <w:r w:rsidRPr="0074340A" w:rsidR="00AC6969">
        <w:rPr>
          <w:color w:val="auto"/>
        </w:rPr>
        <w:t xml:space="preserve"> </w:t>
      </w:r>
      <w:r w:rsidRPr="0074340A" w:rsidR="00AC6969">
        <w:t xml:space="preserve">under </w:t>
      </w:r>
      <w:r w:rsidRPr="00F83216" w:rsidR="00AC6969">
        <w:rPr>
          <w:rFonts w:cs="Times New Roman"/>
          <w:color w:val="auto"/>
          <w:szCs w:val="24"/>
        </w:rPr>
        <w:t xml:space="preserve">49 CFR </w:t>
      </w:r>
      <w:r w:rsidRPr="00F83216" w:rsidR="001D5E3C">
        <w:rPr>
          <w:rFonts w:cs="Times New Roman"/>
          <w:color w:val="auto"/>
          <w:szCs w:val="24"/>
        </w:rPr>
        <w:t xml:space="preserve">part </w:t>
      </w:r>
      <w:r w:rsidRPr="00F83216" w:rsidR="00AC6969">
        <w:rPr>
          <w:rFonts w:cs="Times New Roman"/>
          <w:color w:val="auto"/>
          <w:szCs w:val="24"/>
        </w:rPr>
        <w:t>191</w:t>
      </w:r>
      <w:r w:rsidRPr="00F83216" w:rsidR="00AC6969">
        <w:rPr>
          <w:color w:val="auto"/>
        </w:rPr>
        <w:t xml:space="preserve"> for natural gas and other gases transported by pipeline and </w:t>
      </w:r>
      <w:r w:rsidRPr="00F83216" w:rsidR="00AC6969">
        <w:rPr>
          <w:rFonts w:cs="Times New Roman"/>
          <w:color w:val="auto"/>
          <w:szCs w:val="24"/>
        </w:rPr>
        <w:t xml:space="preserve">49 CFR </w:t>
      </w:r>
      <w:r w:rsidRPr="00F83216" w:rsidR="00810A2C">
        <w:rPr>
          <w:rFonts w:cs="Times New Roman"/>
          <w:color w:val="auto"/>
          <w:szCs w:val="24"/>
        </w:rPr>
        <w:t xml:space="preserve">part </w:t>
      </w:r>
      <w:r w:rsidRPr="00F83216" w:rsidR="00AC6969">
        <w:rPr>
          <w:rFonts w:cs="Times New Roman"/>
          <w:color w:val="auto"/>
          <w:szCs w:val="24"/>
        </w:rPr>
        <w:t>195</w:t>
      </w:r>
      <w:r w:rsidRPr="0074340A" w:rsidR="00AC6969">
        <w:rPr>
          <w:color w:val="auto"/>
        </w:rPr>
        <w:t xml:space="preserve"> for liquids transported by pipeline.</w:t>
      </w:r>
      <w:r>
        <w:rPr>
          <w:rStyle w:val="FootnoteReference"/>
          <w:color w:val="auto"/>
        </w:rPr>
        <w:footnoteReference w:id="9"/>
      </w:r>
      <w:r w:rsidRPr="0074340A" w:rsidR="00AC6969">
        <w:rPr>
          <w:color w:val="auto"/>
        </w:rPr>
        <w:t xml:space="preserve">  </w:t>
      </w:r>
      <w:r w:rsidRPr="0074340A" w:rsidR="007F5E4C">
        <w:rPr>
          <w:color w:val="auto"/>
        </w:rPr>
        <w:t>Although</w:t>
      </w:r>
      <w:r w:rsidRPr="0074340A" w:rsidR="007F5E4C">
        <w:rPr>
          <w:rFonts w:cs="Times New Roman"/>
          <w:color w:val="auto"/>
          <w:szCs w:val="24"/>
        </w:rPr>
        <w:t xml:space="preserve"> the NRC does </w:t>
      </w:r>
      <w:r w:rsidRPr="0074340A" w:rsidR="005F09AD">
        <w:rPr>
          <w:rFonts w:cs="Times New Roman"/>
          <w:color w:val="auto"/>
          <w:szCs w:val="24"/>
        </w:rPr>
        <w:t>accept</w:t>
      </w:r>
      <w:r w:rsidRPr="0074340A" w:rsidR="007F5E4C">
        <w:rPr>
          <w:rFonts w:cs="Times New Roman"/>
          <w:color w:val="auto"/>
          <w:szCs w:val="24"/>
        </w:rPr>
        <w:t xml:space="preserve"> suspicious</w:t>
      </w:r>
      <w:r w:rsidRPr="007F5E4C" w:rsid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is not </w:t>
      </w:r>
      <w:r w:rsidR="0074340A">
        <w:rPr>
          <w:color w:val="auto"/>
        </w:rPr>
        <w:t xml:space="preserve">the type of incident for which reporting is </w:t>
      </w:r>
      <w:r w:rsidR="007F5E4C">
        <w:rPr>
          <w:color w:val="auto"/>
        </w:rPr>
        <w:t>mandated</w:t>
      </w:r>
      <w:r w:rsidR="00625D6F">
        <w:rPr>
          <w:color w:val="auto"/>
        </w:rPr>
        <w:t xml:space="preserve"> </w:t>
      </w:r>
      <w:r w:rsidR="007F5E4C">
        <w:rPr>
          <w:color w:val="auto"/>
        </w:rPr>
        <w:t>under the</w:t>
      </w:r>
      <w:r w:rsidR="00830D5E">
        <w:rPr>
          <w:color w:val="auto"/>
        </w:rPr>
        <w:t xml:space="preserve"> </w:t>
      </w:r>
      <w:r w:rsidR="0051474E">
        <w:rPr>
          <w:color w:val="auto"/>
        </w:rPr>
        <w:t xml:space="preserve">PHMSA </w:t>
      </w:r>
      <w:r w:rsidR="005F09AD">
        <w:rPr>
          <w:color w:val="auto"/>
        </w:rPr>
        <w:t xml:space="preserve">pipeline </w:t>
      </w:r>
      <w:r w:rsidR="007F5E4C">
        <w:rPr>
          <w:color w:val="auto"/>
        </w:rPr>
        <w:t>regulations.</w:t>
      </w:r>
      <w:r w:rsidR="00810A2C">
        <w:rPr>
          <w:color w:val="auto"/>
        </w:rPr>
        <w:t xml:space="preserve">  </w:t>
      </w:r>
      <w:r w:rsidRPr="002D4B12" w:rsidR="00810A2C">
        <w:rPr>
          <w:szCs w:val="24"/>
        </w:rPr>
        <w:t xml:space="preserve">To the extent that terrorist activity resulted in an incident meeting the reporting criteria of </w:t>
      </w:r>
      <w:r w:rsidR="0074340A">
        <w:rPr>
          <w:szCs w:val="24"/>
        </w:rPr>
        <w:t>the PHMSA</w:t>
      </w:r>
      <w:r w:rsidRPr="002D4B12" w:rsidR="00810A2C">
        <w:rPr>
          <w:szCs w:val="24"/>
        </w:rPr>
        <w:t xml:space="preserve"> regulations, duplicative reporting could occur should an operator choose to contact both the NRC and TSOC.  </w:t>
      </w:r>
      <w:r w:rsidR="00810A2C">
        <w:rPr>
          <w:szCs w:val="24"/>
        </w:rPr>
        <w:t>TSA does</w:t>
      </w:r>
      <w:r w:rsidRPr="002D4B12" w:rsidR="00810A2C">
        <w:rPr>
          <w:szCs w:val="24"/>
        </w:rPr>
        <w:t xml:space="preserve"> not anticipate that this will be a common event.</w:t>
      </w:r>
    </w:p>
    <w:p w:rsidR="003B542D" w:rsidP="001D5E3C" w14:paraId="5285DC1E" w14:textId="77777777">
      <w:pPr>
        <w:numPr>
          <w:ilvl w:val="12"/>
          <w:numId w:val="0"/>
        </w:numPr>
        <w:ind w:left="360"/>
        <w:rPr>
          <w:szCs w:val="24"/>
        </w:rPr>
      </w:pPr>
    </w:p>
    <w:p w:rsidR="00D077B2" w:rsidP="00D077B2" w14:paraId="50EFCADE" w14:textId="752FC32D">
      <w:pPr>
        <w:ind w:left="360"/>
      </w:pPr>
      <w:r>
        <w:rPr>
          <w:szCs w:val="24"/>
        </w:rPr>
        <w:t xml:space="preserve">For the mandatory requirements, </w:t>
      </w:r>
      <w:r>
        <w:t xml:space="preserve">TSA’s </w:t>
      </w:r>
      <w:r w:rsidR="00DC7102">
        <w:t>SD</w:t>
      </w:r>
      <w:r>
        <w:t xml:space="preserve"> also requires appointment of a </w:t>
      </w:r>
      <w:r w:rsidR="00FC301C">
        <w:t>C</w:t>
      </w:r>
      <w:r>
        <w:t xml:space="preserve">ybersecurity </w:t>
      </w:r>
      <w:r w:rsidR="00FC301C">
        <w:t>C</w:t>
      </w:r>
      <w:r>
        <w:t xml:space="preserve">oordinator </w:t>
      </w:r>
      <w:r w:rsidR="00CF4041">
        <w:t xml:space="preserve">and alternate </w:t>
      </w:r>
      <w:r w:rsidRPr="00AC5426" w:rsidR="00FC301C">
        <w:t>Cybersecurity Coordinator(s)</w:t>
      </w:r>
      <w:r w:rsidR="00FC301C">
        <w:t xml:space="preserve"> </w:t>
      </w:r>
      <w:r>
        <w:t xml:space="preserve">and submission of contact information to TSA.  </w:t>
      </w:r>
      <w:r w:rsidR="002533BF">
        <w:t>TSA has</w:t>
      </w:r>
      <w:r>
        <w:t xml:space="preserve"> a consolidated listing of contact information for pipeline Cybersecurity Coordinators.  This collection effort will not duplicate the efforts of other agencies.</w:t>
      </w:r>
    </w:p>
    <w:p w:rsidR="00D077B2" w:rsidP="00D077B2" w14:paraId="7FD03355" w14:textId="77777777">
      <w:pPr>
        <w:numPr>
          <w:ilvl w:val="12"/>
          <w:numId w:val="0"/>
        </w:numPr>
        <w:ind w:left="360"/>
        <w:rPr>
          <w:szCs w:val="24"/>
        </w:rPr>
      </w:pPr>
    </w:p>
    <w:p w:rsidR="00EF47CE" w:rsidRPr="00EF47CE" w:rsidP="00D077B2" w14:paraId="77B967A2" w14:textId="1E770A70">
      <w:pPr>
        <w:numPr>
          <w:ilvl w:val="12"/>
          <w:numId w:val="0"/>
        </w:numPr>
        <w:ind w:left="360"/>
        <w:rPr>
          <w:szCs w:val="24"/>
        </w:rPr>
      </w:pPr>
      <w:r>
        <w:rPr>
          <w:szCs w:val="24"/>
        </w:rPr>
        <w:t>C</w:t>
      </w:r>
      <w:r w:rsidR="005B53FF">
        <w:rPr>
          <w:szCs w:val="24"/>
        </w:rPr>
        <w:t>ybersecurity</w:t>
      </w:r>
      <w:r w:rsidRPr="003B542D" w:rsidR="003B542D">
        <w:rPr>
          <w:szCs w:val="24"/>
        </w:rPr>
        <w:t xml:space="preserve"> incidents and potential cybersecurity incidents </w:t>
      </w:r>
      <w:r w:rsidR="005B53FF">
        <w:rPr>
          <w:szCs w:val="24"/>
        </w:rPr>
        <w:t xml:space="preserve">are reported </w:t>
      </w:r>
      <w:r w:rsidRPr="003B542D" w:rsidR="003B542D">
        <w:rPr>
          <w:szCs w:val="24"/>
        </w:rPr>
        <w:t>to CISA.</w:t>
      </w:r>
      <w:r w:rsidR="007505DB">
        <w:rPr>
          <w:szCs w:val="24"/>
        </w:rPr>
        <w:t xml:space="preserve">  </w:t>
      </w:r>
      <w:r w:rsidRPr="003B542D" w:rsidR="003B542D">
        <w:rPr>
          <w:szCs w:val="24"/>
        </w:rPr>
        <w:t xml:space="preserve">To avoid duplicate reporting, information provided to CISA pursuant to </w:t>
      </w:r>
      <w:r>
        <w:rPr>
          <w:szCs w:val="24"/>
        </w:rPr>
        <w:t xml:space="preserve">the SD </w:t>
      </w:r>
      <w:r w:rsidRPr="003B542D" w:rsidR="003B542D">
        <w:rPr>
          <w:szCs w:val="24"/>
        </w:rPr>
        <w:t>will be shared with TSA and may also be shared with the NRC</w:t>
      </w:r>
      <w:r w:rsidR="006F6ECC">
        <w:rPr>
          <w:szCs w:val="24"/>
        </w:rPr>
        <w:t xml:space="preserve"> </w:t>
      </w:r>
      <w:r w:rsidR="006F6ECC">
        <w:t>and other agencies as appropriate</w:t>
      </w:r>
      <w:r w:rsidRPr="003B542D" w:rsidR="003B542D">
        <w:rPr>
          <w:szCs w:val="24"/>
        </w:rPr>
        <w:t>.</w:t>
      </w:r>
      <w:r>
        <w:rPr>
          <w:szCs w:val="24"/>
        </w:rPr>
        <w:t xml:space="preserve"> </w:t>
      </w:r>
      <w:r w:rsidR="00B5201B">
        <w:rPr>
          <w:szCs w:val="24"/>
        </w:rPr>
        <w:t xml:space="preserve"> </w:t>
      </w:r>
      <w:r w:rsidRPr="00EF47CE">
        <w:rPr>
          <w:szCs w:val="24"/>
        </w:rPr>
        <w:t xml:space="preserve">Similarly, </w:t>
      </w:r>
      <w:r>
        <w:rPr>
          <w:szCs w:val="24"/>
        </w:rPr>
        <w:t xml:space="preserve">any relevant </w:t>
      </w:r>
      <w:r w:rsidRPr="00EF47CE">
        <w:rPr>
          <w:szCs w:val="24"/>
        </w:rPr>
        <w:t>information provided to TSA pursuant to th</w:t>
      </w:r>
      <w:r>
        <w:rPr>
          <w:szCs w:val="24"/>
        </w:rPr>
        <w:t>e</w:t>
      </w:r>
      <w:r w:rsidRPr="00EF47CE">
        <w:rPr>
          <w:szCs w:val="24"/>
        </w:rPr>
        <w:t xml:space="preserve"> directive will be shared with CISA and may also be shared with the N</w:t>
      </w:r>
      <w:r>
        <w:rPr>
          <w:szCs w:val="24"/>
        </w:rPr>
        <w:t>RC</w:t>
      </w:r>
      <w:r w:rsidR="00B5201B">
        <w:rPr>
          <w:szCs w:val="24"/>
        </w:rPr>
        <w:t xml:space="preserve"> </w:t>
      </w:r>
      <w:r w:rsidRPr="00EF47CE">
        <w:rPr>
          <w:szCs w:val="24"/>
        </w:rPr>
        <w:t>and other agencies as appropriate.  All reported information will be protected using appropriate system controls.</w:t>
      </w:r>
    </w:p>
    <w:p w:rsidR="00B5201B" w:rsidP="00EF47CE" w14:paraId="5BA21429" w14:textId="77777777">
      <w:pPr>
        <w:ind w:left="360"/>
        <w:rPr>
          <w:szCs w:val="24"/>
        </w:rPr>
      </w:pPr>
    </w:p>
    <w:p w:rsidR="007505DB" w:rsidP="003B5207" w14:paraId="06B0C5B0" w14:textId="61CB8DF9">
      <w:pPr>
        <w:ind w:left="360"/>
      </w:pPr>
      <w:r w:rsidRPr="00EF47CE">
        <w:rPr>
          <w:szCs w:val="24"/>
        </w:rPr>
        <w:t>TSA may use the information, with company-specific data redacted, for TSA’s intelligence-derived reports.  TSA and CISA also may use information submitted for vulnerability identification, trend analysis, or to generate anonymized indicators of compromise or other cybersecurity products to prevent other cybersecurity incidents.</w:t>
      </w:r>
    </w:p>
    <w:p w:rsidR="00E1310C" w:rsidRPr="00AF71BE" w:rsidP="002E5A70" w14:paraId="4698B1FF" w14:textId="77777777">
      <w:pPr>
        <w:numPr>
          <w:ilvl w:val="12"/>
          <w:numId w:val="0"/>
        </w:numPr>
        <w:ind w:left="360" w:firstLine="360"/>
        <w:rPr>
          <w:color w:val="auto"/>
        </w:rPr>
      </w:pPr>
    </w:p>
    <w:p w:rsidR="009F2633" w:rsidP="009F2633" w14:paraId="6AF152F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14:paraId="47097519" w14:textId="77777777">
      <w:pPr>
        <w:keepNext/>
        <w:numPr>
          <w:ilvl w:val="12"/>
          <w:numId w:val="0"/>
        </w:numPr>
        <w:ind w:left="360"/>
      </w:pPr>
    </w:p>
    <w:p w:rsidR="007D404D" w14:paraId="50DE1B1F" w14:textId="3070748A">
      <w:pPr>
        <w:numPr>
          <w:ilvl w:val="12"/>
          <w:numId w:val="0"/>
        </w:numPr>
        <w:ind w:left="360"/>
      </w:pPr>
      <w:r>
        <w:t>This collection is not expected to have a significant impact on small businesses or other small entities.</w:t>
      </w:r>
    </w:p>
    <w:p w:rsidR="009F2633" w:rsidP="00BB78AB" w14:paraId="73C34256" w14:textId="77777777">
      <w:pPr>
        <w:numPr>
          <w:ilvl w:val="12"/>
          <w:numId w:val="0"/>
        </w:numPr>
      </w:pPr>
    </w:p>
    <w:p w:rsidR="009F2633" w:rsidP="009F2633" w14:paraId="24D4C1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22B6F" w14:paraId="110D2088" w14:textId="7604826E">
      <w:pPr>
        <w:pStyle w:val="NormalWeb"/>
        <w:ind w:left="360"/>
        <w:rPr>
          <w:color w:val="auto"/>
        </w:rPr>
      </w:pPr>
      <w:r>
        <w:t xml:space="preserve">As the lead Federal agency for pipeline security, </w:t>
      </w:r>
      <w:r w:rsidRPr="002D4B12">
        <w:t>TSA</w:t>
      </w:r>
      <w:r>
        <w:t xml:space="preserve"> must maintain situational awareness of the industry in order to execute its security responsibilities.  </w:t>
      </w:r>
      <w:r w:rsidR="00A94539">
        <w:t xml:space="preserve">TSOC is </w:t>
      </w:r>
      <w:r w:rsidRPr="004854CA" w:rsidR="00A94539">
        <w:rPr>
          <w:color w:val="auto"/>
        </w:rPr>
        <w:t xml:space="preserve">TSA's </w:t>
      </w:r>
      <w:r w:rsidR="00A94539">
        <w:rPr>
          <w:color w:val="auto"/>
        </w:rPr>
        <w:t xml:space="preserve">24/7 </w:t>
      </w:r>
      <w:r w:rsidRPr="004854CA" w:rsidR="00A94539">
        <w:rPr>
          <w:color w:val="auto"/>
        </w:rPr>
        <w:t>coordination center during security incidents.</w:t>
      </w:r>
      <w:r w:rsidR="00A94539">
        <w:rPr>
          <w:color w:val="auto"/>
        </w:rPr>
        <w:t xml:space="preserve"> </w:t>
      </w:r>
      <w:r w:rsidR="00B71986">
        <w:rPr>
          <w:color w:val="auto"/>
        </w:rPr>
        <w:t xml:space="preserve"> </w:t>
      </w:r>
      <w:r w:rsidR="00752376">
        <w:rPr>
          <w:color w:val="auto"/>
        </w:rPr>
        <w:t>If incident information is not reported, the ability of the TSOC to coordinate any required agency involvement/response to the event may be inhibited.</w:t>
      </w:r>
    </w:p>
    <w:p w:rsidR="00152E6F" w:rsidP="00152E6F" w14:paraId="3FA5C225" w14:textId="2D2E80F3">
      <w:pPr>
        <w:pStyle w:val="NormalWeb"/>
        <w:ind w:left="360"/>
        <w:rPr>
          <w:color w:val="auto"/>
        </w:rPr>
      </w:pPr>
      <w:r>
        <w:t>With regard to cyber</w:t>
      </w:r>
      <w:r w:rsidR="003B5207">
        <w:t xml:space="preserve">security </w:t>
      </w:r>
      <w:r>
        <w:t>incident reporting</w:t>
      </w:r>
      <w:r w:rsidR="00D077B2">
        <w:t xml:space="preserve"> pursuant to the SD</w:t>
      </w:r>
      <w:r>
        <w:t xml:space="preserve">, it is critical that CISA and TSA are aware of cybersecurity incidents </w:t>
      </w:r>
      <w:r w:rsidR="003B5207">
        <w:t xml:space="preserve">and potential cybersecurity incidents </w:t>
      </w:r>
      <w:r>
        <w:t xml:space="preserve">which may impact critical infrastructure and </w:t>
      </w:r>
      <w:r w:rsidR="0013310F">
        <w:t>pipeline</w:t>
      </w:r>
      <w:r>
        <w:t xml:space="preserve"> product delivery.  CISA is DHS’s</w:t>
      </w:r>
      <w:r w:rsidRPr="004854CA">
        <w:rPr>
          <w:color w:val="auto"/>
        </w:rPr>
        <w:t xml:space="preserve"> </w:t>
      </w:r>
      <w:r>
        <w:rPr>
          <w:color w:val="auto"/>
        </w:rPr>
        <w:t xml:space="preserve">24/7 </w:t>
      </w:r>
      <w:r w:rsidRPr="004854CA">
        <w:rPr>
          <w:color w:val="auto"/>
        </w:rPr>
        <w:t xml:space="preserve">coordination center </w:t>
      </w:r>
      <w:r>
        <w:rPr>
          <w:color w:val="auto"/>
        </w:rPr>
        <w:t>for cyber s</w:t>
      </w:r>
      <w:r w:rsidRPr="004854CA">
        <w:rPr>
          <w:color w:val="auto"/>
        </w:rPr>
        <w:t>ecurity incidents.</w:t>
      </w:r>
      <w:r>
        <w:rPr>
          <w:color w:val="auto"/>
        </w:rPr>
        <w:t xml:space="preserve">  If incident information is not reported, the ability of CISA to coordinate any required agency involvement/response to the event may be inhibited. </w:t>
      </w:r>
      <w:r w:rsidR="007505DB">
        <w:rPr>
          <w:color w:val="auto"/>
        </w:rPr>
        <w:t xml:space="preserve"> Information received by CISA may be shared with other agencies as necessary to </w:t>
      </w:r>
      <w:r w:rsidR="004536CE">
        <w:rPr>
          <w:color w:val="auto"/>
        </w:rPr>
        <w:t>support.</w:t>
      </w:r>
    </w:p>
    <w:p w:rsidR="005B1857" w14:paraId="42C7A2F7" w14:textId="066FA459">
      <w:pPr>
        <w:pStyle w:val="NormalWeb"/>
        <w:ind w:left="360"/>
        <w:rPr>
          <w:color w:val="auto"/>
        </w:rPr>
      </w:pPr>
      <w:r>
        <w:rPr>
          <w:color w:val="auto"/>
        </w:rPr>
        <w:t xml:space="preserve">DHS </w:t>
      </w:r>
      <w:r w:rsidR="00152E6F">
        <w:rPr>
          <w:color w:val="auto"/>
        </w:rPr>
        <w:t>must be able to coordinate cybersecurity incident information quickly and accurately with a pipeline owner/operator.  For this reason, TSA must have a point of contact at each critical pipeline company to ensure communication regarding cybersecurity.</w:t>
      </w:r>
    </w:p>
    <w:p w:rsidR="007505DB" w:rsidP="007505DB" w14:paraId="093F80B5" w14:textId="129C5DBE">
      <w:pPr>
        <w:pStyle w:val="NormalWeb"/>
        <w:ind w:left="360"/>
        <w:rPr>
          <w:color w:val="auto"/>
        </w:rPr>
      </w:pPr>
      <w:r>
        <w:rPr>
          <w:color w:val="auto"/>
        </w:rPr>
        <w:t xml:space="preserve">Additionally, </w:t>
      </w:r>
      <w:r w:rsidR="002E7459">
        <w:rPr>
          <w:color w:val="auto"/>
        </w:rPr>
        <w:t xml:space="preserve">if the information were not reported, </w:t>
      </w:r>
      <w:r w:rsidR="00D077B2">
        <w:t xml:space="preserve">DHS </w:t>
      </w:r>
      <w:r w:rsidR="0074340A">
        <w:t xml:space="preserve">may not otherwise become aware of </w:t>
      </w:r>
      <w:r w:rsidR="00152E6F">
        <w:t xml:space="preserve">security </w:t>
      </w:r>
      <w:r w:rsidR="0074340A">
        <w:t>incident</w:t>
      </w:r>
      <w:r w:rsidR="00152E6F">
        <w:t>s</w:t>
      </w:r>
      <w:r w:rsidR="0074340A">
        <w:t xml:space="preserve">, which would affect the ability of the </w:t>
      </w:r>
      <w:r w:rsidR="00D077B2">
        <w:t xml:space="preserve">department </w:t>
      </w:r>
      <w:r w:rsidR="0074340A">
        <w:t xml:space="preserve">to meet its statutory obligation to </w:t>
      </w:r>
      <w:r>
        <w:rPr>
          <w:color w:val="auto"/>
        </w:rPr>
        <w:t xml:space="preserve">analyze potential </w:t>
      </w:r>
      <w:r w:rsidR="00D077B2">
        <w:rPr>
          <w:color w:val="auto"/>
        </w:rPr>
        <w:t xml:space="preserve">cybersecurity </w:t>
      </w:r>
      <w:r>
        <w:rPr>
          <w:color w:val="auto"/>
        </w:rPr>
        <w:t xml:space="preserve">threats across all </w:t>
      </w:r>
      <w:r w:rsidR="00D077B2">
        <w:rPr>
          <w:color w:val="auto"/>
        </w:rPr>
        <w:t>critical infrastructure</w:t>
      </w:r>
      <w:r>
        <w:rPr>
          <w:color w:val="auto"/>
        </w:rPr>
        <w:t xml:space="preserve">.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w:t>
      </w:r>
      <w:r w:rsidR="00D077B2">
        <w:rPr>
          <w:color w:val="auto"/>
        </w:rPr>
        <w:t xml:space="preserve"> and CISA</w:t>
      </w:r>
      <w:r w:rsidR="00EF2CBF">
        <w:rPr>
          <w:color w:val="auto"/>
        </w:rPr>
        <w:t xml:space="preserve">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Pr="001A421C" w:rsidR="005B6A74">
        <w:t>Transportation Security and Industry Report</w:t>
      </w:r>
      <w:r w:rsidR="005B6A74">
        <w:t xml:space="preserve">, Pipeline </w:t>
      </w:r>
      <w:r w:rsidRPr="001A421C" w:rsidR="005B6A74">
        <w:t>Threat Assessments</w:t>
      </w:r>
      <w:r w:rsidR="005B6A74">
        <w:t xml:space="preserve">, and </w:t>
      </w:r>
      <w:r w:rsidRPr="001A421C" w:rsidR="005B6A74">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r>
        <w:t xml:space="preserve">The Cybersecurity Information Sharing Act of 2015 </w:t>
      </w:r>
      <w:r w:rsidRPr="00640F5F">
        <w:t>r</w:t>
      </w:r>
      <w:r>
        <w:t>equires</w:t>
      </w:r>
      <w:r w:rsidRPr="00640F5F">
        <w:t xml:space="preserve"> DHS, in consultation with interagency partners, to establish </w:t>
      </w:r>
      <w:r>
        <w:t xml:space="preserve">the Federal Government’s </w:t>
      </w:r>
      <w:r w:rsidRPr="00640F5F">
        <w:t xml:space="preserve">capability and process for </w:t>
      </w:r>
      <w:r>
        <w:t xml:space="preserve">receiving </w:t>
      </w:r>
      <w:r w:rsidRPr="00640F5F">
        <w:t xml:space="preserve">cyber threat indicators </w:t>
      </w:r>
      <w:r>
        <w:t xml:space="preserve">and defensive measures, and directs DHS to further share cyber threat indicators and defensive measures it receives with certain </w:t>
      </w:r>
      <w:r w:rsidRPr="00640F5F">
        <w:t>federal entities</w:t>
      </w:r>
      <w:r w:rsidRPr="001D2931">
        <w:t xml:space="preserve"> </w:t>
      </w:r>
      <w:r w:rsidRPr="00640F5F">
        <w:t>in an auto</w:t>
      </w:r>
      <w:r>
        <w:t>mated and real-time manner</w:t>
      </w:r>
      <w:r w:rsidRPr="00640F5F">
        <w:t>.</w:t>
      </w:r>
      <w:r w:rsidR="00493BD2">
        <w:t xml:space="preserve"> </w:t>
      </w:r>
      <w:r w:rsidRPr="00640F5F">
        <w:t xml:space="preserve"> </w:t>
      </w:r>
      <w:r>
        <w:t>6 U.S.C. § 1504(c).</w:t>
      </w:r>
      <w:r w:rsidRPr="00640F5F">
        <w:t xml:space="preserve"> </w:t>
      </w:r>
      <w:r>
        <w:rPr>
          <w:color w:val="auto"/>
        </w:rPr>
        <w:t xml:space="preserve"> If the information is not reported, CISA will not be able to alert other agencies that need the information to identify</w:t>
      </w:r>
      <w:r w:rsidR="00E9747A">
        <w:rPr>
          <w:color w:val="auto"/>
        </w:rPr>
        <w:t>.</w:t>
      </w:r>
    </w:p>
    <w:p w:rsidR="009F2633" w:rsidP="00B71986" w14:paraId="5CEAA4AB"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P="00BB78AB" w14:paraId="30BC2DA8" w14:textId="77777777">
      <w:pPr>
        <w:keepNext/>
        <w:numPr>
          <w:ilvl w:val="12"/>
          <w:numId w:val="0"/>
        </w:numPr>
        <w:ind w:left="360"/>
      </w:pPr>
    </w:p>
    <w:p w:rsidR="009F2633" w14:paraId="29E2172C" w14:textId="500193F2">
      <w:pPr>
        <w:numPr>
          <w:ilvl w:val="12"/>
          <w:numId w:val="0"/>
        </w:numPr>
        <w:ind w:left="360"/>
      </w:pPr>
      <w:r>
        <w:t>This</w:t>
      </w:r>
      <w:r w:rsidR="00B545F1">
        <w:t xml:space="preserve"> </w:t>
      </w:r>
      <w:r>
        <w:t>collection will be conducted consistent with the information collection guidelines</w:t>
      </w:r>
      <w:r w:rsidR="00C43172">
        <w:t>, except for</w:t>
      </w:r>
      <w:r w:rsidR="00D077B2">
        <w:t xml:space="preserve"> those in 5 CFR 1</w:t>
      </w:r>
      <w:r w:rsidR="00834B61">
        <w:t>3</w:t>
      </w:r>
      <w:r w:rsidR="00D077B2">
        <w:t>20.5</w:t>
      </w:r>
      <w:r w:rsidR="00C43172">
        <w:t>(d)(2)(i)</w:t>
      </w:r>
      <w:r w:rsidR="00D077B2">
        <w:t>, which requires</w:t>
      </w:r>
      <w:r w:rsidRPr="00C43172" w:rsidR="00C43172">
        <w:t xml:space="preserve"> respondents to report information to the agency more often than quarterl</w:t>
      </w:r>
      <w:r w:rsidR="00D077B2">
        <w:t xml:space="preserve">y.  Quarterly reporting would not meet the security needs that is the basis for this information collection.  DHS needs </w:t>
      </w:r>
      <w:r w:rsidR="006C20FA">
        <w:t>o</w:t>
      </w:r>
      <w:r w:rsidR="00C43172">
        <w:t>wner</w:t>
      </w:r>
      <w:r w:rsidR="00834B61">
        <w:t>/</w:t>
      </w:r>
      <w:r w:rsidR="00C43172">
        <w:t xml:space="preserve">operators </w:t>
      </w:r>
      <w:r w:rsidR="00D077B2">
        <w:t xml:space="preserve">to </w:t>
      </w:r>
      <w:r w:rsidR="00C43172">
        <w:t xml:space="preserve">report cybersecurity incident information </w:t>
      </w:r>
      <w:r w:rsidRPr="00C43172" w:rsidR="00C43172">
        <w:t>as soon as practicable</w:t>
      </w:r>
      <w:r w:rsidR="00D077B2">
        <w:t xml:space="preserve">.  For required reporting, information must be provided </w:t>
      </w:r>
      <w:r w:rsidRPr="00C43172" w:rsidR="00C43172">
        <w:t>no later than 12 hours after a cybersecurity incident is discovered, or within 12 hours of recognition of a potential cybersecurity incident.</w:t>
      </w:r>
    </w:p>
    <w:p w:rsidR="009F2633" w:rsidP="00BB78AB" w14:paraId="619FC69A" w14:textId="77777777">
      <w:pPr>
        <w:numPr>
          <w:ilvl w:val="12"/>
          <w:numId w:val="0"/>
        </w:numPr>
      </w:pPr>
    </w:p>
    <w:p w:rsidR="009F2633" w:rsidP="009F2633" w14:paraId="4992F70F"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1949" w:rsidP="00BB78AB" w14:paraId="261CD09E" w14:textId="77777777">
      <w:pPr>
        <w:numPr>
          <w:ilvl w:val="12"/>
          <w:numId w:val="0"/>
        </w:numPr>
        <w:ind w:left="360"/>
      </w:pPr>
    </w:p>
    <w:p w:rsidR="00152E6F" w:rsidP="00504C02" w14:paraId="3A7C12E4" w14:textId="63DB5F06">
      <w:pPr>
        <w:numPr>
          <w:ilvl w:val="12"/>
          <w:numId w:val="0"/>
        </w:numPr>
        <w:ind w:left="360"/>
      </w:pPr>
      <w:r>
        <w:t xml:space="preserve">In </w:t>
      </w:r>
      <w:r w:rsidR="00937644">
        <w:t>SD</w:t>
      </w:r>
      <w:r w:rsidR="00D077B2">
        <w:t xml:space="preserve"> Pipeline-2021-01, </w:t>
      </w:r>
      <w:r>
        <w:t>Enhancing Pipeline Cybersecurity</w:t>
      </w:r>
      <w:r w:rsidR="00D077B2">
        <w:t xml:space="preserve">, TSA provided detailed definitions, requirements and instructions related to </w:t>
      </w:r>
      <w:r>
        <w:t>cyber</w:t>
      </w:r>
      <w:r w:rsidR="004536CE">
        <w:t xml:space="preserve">security </w:t>
      </w:r>
      <w:r>
        <w:t>incident reporting and the appointment of pipeline Cybersecurity Coordinators.</w:t>
      </w:r>
    </w:p>
    <w:p w:rsidR="00152E6F" w:rsidP="00504C02" w14:paraId="44ED9855" w14:textId="77777777">
      <w:pPr>
        <w:numPr>
          <w:ilvl w:val="12"/>
          <w:numId w:val="0"/>
        </w:numPr>
        <w:ind w:left="360"/>
      </w:pPr>
    </w:p>
    <w:p w:rsidR="002371BF" w:rsidP="009402F8" w14:paraId="2FC73D34" w14:textId="3F90C73F">
      <w:pPr>
        <w:numPr>
          <w:ilvl w:val="12"/>
          <w:numId w:val="0"/>
        </w:numPr>
        <w:ind w:left="360"/>
      </w:pPr>
      <w:r w:rsidRPr="006C20FA">
        <w:t xml:space="preserve">TSA invited public comment on this information collection requirement, a 60-day notice was published in the </w:t>
      </w:r>
      <w:r w:rsidRPr="006C20FA">
        <w:rPr>
          <w:i/>
        </w:rPr>
        <w:t>Federal Register</w:t>
      </w:r>
      <w:r w:rsidRPr="006C20FA">
        <w:t xml:space="preserve"> on </w:t>
      </w:r>
      <w:r w:rsidRPr="00E86F44" w:rsidR="005D3B11">
        <w:t>November</w:t>
      </w:r>
      <w:r w:rsidRPr="00F65C02" w:rsidR="005D3B11">
        <w:t xml:space="preserve"> </w:t>
      </w:r>
      <w:r w:rsidRPr="00B117E1" w:rsidR="005D3B11">
        <w:t>15</w:t>
      </w:r>
      <w:r w:rsidRPr="00F65C02">
        <w:t xml:space="preserve">, </w:t>
      </w:r>
      <w:r w:rsidRPr="00F65C02" w:rsidR="005D3B11">
        <w:t>202</w:t>
      </w:r>
      <w:r w:rsidRPr="00E86F44" w:rsidR="005D3B11">
        <w:t>4</w:t>
      </w:r>
      <w:r w:rsidRPr="00F65C02" w:rsidR="005D3B11">
        <w:t xml:space="preserve"> </w:t>
      </w:r>
      <w:r w:rsidRPr="00F65C02">
        <w:t>(</w:t>
      </w:r>
      <w:r w:rsidRPr="00F65C02" w:rsidR="005D3B11">
        <w:t>8</w:t>
      </w:r>
      <w:r w:rsidRPr="00E86F44" w:rsidR="005D3B11">
        <w:t>9</w:t>
      </w:r>
      <w:r w:rsidRPr="00F65C02" w:rsidR="005D3B11">
        <w:t xml:space="preserve"> </w:t>
      </w:r>
      <w:r w:rsidRPr="00F65C02">
        <w:t xml:space="preserve">FR </w:t>
      </w:r>
      <w:r w:rsidRPr="00B117E1" w:rsidR="005D3B11">
        <w:t>90305</w:t>
      </w:r>
      <w:r w:rsidRPr="00F65C02">
        <w:t>)</w:t>
      </w:r>
      <w:r w:rsidR="00937644">
        <w:t>,</w:t>
      </w:r>
      <w:r w:rsidRPr="006C20FA">
        <w:t xml:space="preserve"> and a 30-day notice was published </w:t>
      </w:r>
      <w:r w:rsidRPr="00911D35">
        <w:t xml:space="preserve">on </w:t>
      </w:r>
      <w:r w:rsidR="00091CB0">
        <w:t>June 2</w:t>
      </w:r>
      <w:r w:rsidRPr="00B117E1" w:rsidR="00F65C02">
        <w:t>,</w:t>
      </w:r>
      <w:r w:rsidRPr="00F65C02">
        <w:t xml:space="preserve"> 202</w:t>
      </w:r>
      <w:r w:rsidRPr="00B117E1" w:rsidR="00F65C02">
        <w:t>5</w:t>
      </w:r>
      <w:r w:rsidRPr="00F65C02">
        <w:t xml:space="preserve"> (</w:t>
      </w:r>
      <w:r w:rsidRPr="00E86F44" w:rsidR="00F65C02">
        <w:t>90</w:t>
      </w:r>
      <w:r w:rsidRPr="00F65C02" w:rsidR="00F65C02">
        <w:t xml:space="preserve"> </w:t>
      </w:r>
      <w:r w:rsidRPr="00F65C02">
        <w:t xml:space="preserve">FR </w:t>
      </w:r>
      <w:r w:rsidR="00822983">
        <w:t>23353</w:t>
      </w:r>
      <w:r w:rsidRPr="00F65C02">
        <w:t>).</w:t>
      </w:r>
      <w:r w:rsidRPr="006C20FA">
        <w:t xml:space="preserve">  </w:t>
      </w:r>
      <w:r w:rsidRPr="00370F2A" w:rsidR="00F65C02">
        <w:t>TSA received no comments on the notices.</w:t>
      </w:r>
    </w:p>
    <w:p w:rsidR="002371BF" w:rsidP="009402F8" w14:paraId="516F6519" w14:textId="77777777">
      <w:pPr>
        <w:numPr>
          <w:ilvl w:val="12"/>
          <w:numId w:val="0"/>
        </w:numPr>
        <w:ind w:left="360"/>
      </w:pPr>
    </w:p>
    <w:p w:rsidR="009F2633" w:rsidP="00BB78AB" w14:paraId="0AAC071A" w14:textId="77777777">
      <w:pPr>
        <w:pStyle w:val="IndexHeading"/>
        <w:keepNext w:val="0"/>
        <w:numPr>
          <w:ilvl w:val="12"/>
          <w:numId w:val="0"/>
        </w:numPr>
        <w:spacing w:line="240" w:lineRule="auto"/>
        <w:rPr>
          <w:rFonts w:ascii="Times New Roman" w:hAnsi="Times New Roman"/>
          <w:spacing w:val="0"/>
        </w:rPr>
      </w:pPr>
    </w:p>
    <w:p w:rsidR="009F2633" w:rsidP="009F2633" w14:paraId="04991BE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14:paraId="00D05440" w14:textId="77777777">
      <w:pPr>
        <w:keepNext/>
        <w:numPr>
          <w:ilvl w:val="12"/>
          <w:numId w:val="0"/>
        </w:numPr>
        <w:ind w:left="360"/>
      </w:pPr>
    </w:p>
    <w:p w:rsidR="009F2633" w:rsidP="00322A84" w14:paraId="533CBADE" w14:textId="77777777">
      <w:pPr>
        <w:numPr>
          <w:ilvl w:val="12"/>
          <w:numId w:val="0"/>
        </w:numPr>
        <w:ind w:firstLine="360"/>
      </w:pPr>
      <w:r>
        <w:t>No payment or gift will be provided to respondents.</w:t>
      </w:r>
    </w:p>
    <w:p w:rsidR="009F2633" w:rsidP="00BB78AB" w14:paraId="5BD9C983" w14:textId="77777777">
      <w:pPr>
        <w:numPr>
          <w:ilvl w:val="12"/>
          <w:numId w:val="0"/>
        </w:numPr>
      </w:pPr>
    </w:p>
    <w:p w:rsidR="009F2633" w:rsidP="009F2633" w14:paraId="4D149D5A"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BB78AB" w14:paraId="2AE55BB7" w14:textId="77777777">
      <w:pPr>
        <w:keepNext/>
        <w:numPr>
          <w:ilvl w:val="12"/>
          <w:numId w:val="0"/>
        </w:numPr>
        <w:ind w:left="360"/>
      </w:pPr>
    </w:p>
    <w:p w:rsidR="00742563" w:rsidP="009D0D32" w14:paraId="3FB2DE9A" w14:textId="38ECCA85">
      <w:pPr>
        <w:ind w:left="360"/>
      </w:pPr>
      <w:r>
        <w:t>While there is no assurance of confidentiality provided to Cybersecurity Coordinators,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and/or Personally Identifiable Information, consistent with the requirements of 49 CFR part 1520 and OMB Guidance, M-07-16.</w:t>
      </w:r>
    </w:p>
    <w:p w:rsidR="00742563" w:rsidP="009D0D32" w14:paraId="206410F9" w14:textId="77777777">
      <w:pPr>
        <w:ind w:left="360"/>
      </w:pPr>
    </w:p>
    <w:p w:rsidR="0013310F" w:rsidP="0013310F" w14:paraId="39343266" w14:textId="4E126E20">
      <w:pPr>
        <w:autoSpaceDE w:val="0"/>
        <w:autoSpaceDN w:val="0"/>
        <w:adjustRightInd w:val="0"/>
        <w:ind w:left="360"/>
        <w:rPr>
          <w:rFonts w:cs="Times New Roman"/>
          <w:color w:val="auto"/>
        </w:rPr>
      </w:pPr>
      <w:r w:rsidRPr="00742563">
        <w:t>To the extent permissible under the law, DHS will seek to protect the trade secrets and commercial and financial information of the pipeline owner/operators.</w:t>
      </w:r>
      <w:r w:rsidR="00D077B2">
        <w:t xml:space="preserve">  </w:t>
      </w:r>
      <w:r w:rsidR="00D077B2">
        <w:rPr>
          <w:i/>
        </w:rPr>
        <w:t>See</w:t>
      </w:r>
      <w:r w:rsidR="00D077B2">
        <w:t xml:space="preserve"> 49 CFR part 1520.  </w:t>
      </w:r>
      <w:r w:rsidRPr="53D5643C" w:rsidR="0076409E">
        <w:rPr>
          <w:rFonts w:cs="Times New Roman"/>
          <w:color w:val="auto"/>
        </w:rPr>
        <w:t>In addition</w:t>
      </w:r>
      <w:r w:rsidRPr="53D5643C">
        <w:rPr>
          <w:rFonts w:cs="Times New Roman"/>
          <w:color w:val="auto"/>
        </w:rPr>
        <w:t xml:space="preserve">, </w:t>
      </w:r>
      <w:r w:rsidRPr="53D5643C" w:rsidR="00393ED7">
        <w:rPr>
          <w:rFonts w:cs="Times New Roman"/>
          <w:color w:val="auto"/>
        </w:rPr>
        <w:t xml:space="preserve">any </w:t>
      </w:r>
      <w:r w:rsidR="00937644">
        <w:t>Personally Identifiable Information</w:t>
      </w:r>
      <w:r w:rsidRPr="53D5643C" w:rsidR="00937644">
        <w:rPr>
          <w:rFonts w:cs="Times New Roman"/>
          <w:color w:val="auto"/>
        </w:rPr>
        <w:t xml:space="preserve"> </w:t>
      </w:r>
      <w:r w:rsidRPr="53D5643C" w:rsidR="00393ED7">
        <w:rPr>
          <w:rFonts w:cs="Times New Roman"/>
          <w:color w:val="auto"/>
        </w:rPr>
        <w:t xml:space="preserve">associated with reported incidents is handled </w:t>
      </w:r>
      <w:r w:rsidRPr="53D5643C">
        <w:rPr>
          <w:rFonts w:cs="Times New Roman"/>
          <w:color w:val="auto"/>
        </w:rPr>
        <w:t xml:space="preserve">in accordance with the System of Records Notices for DHS/TSA-001 Transportation Security Enforcement Record System </w:t>
      </w:r>
      <w:r w:rsidR="008E1206">
        <w:rPr>
          <w:rFonts w:cs="Times New Roman"/>
          <w:color w:val="auto"/>
        </w:rPr>
        <w:t>8</w:t>
      </w:r>
      <w:r w:rsidR="007554D0">
        <w:rPr>
          <w:rFonts w:cs="Times New Roman"/>
          <w:color w:val="auto"/>
        </w:rPr>
        <w:t>3</w:t>
      </w:r>
      <w:r w:rsidRPr="53D5643C" w:rsidR="00B62693">
        <w:rPr>
          <w:rFonts w:cs="Times New Roman"/>
          <w:color w:val="auto"/>
        </w:rPr>
        <w:t xml:space="preserve"> </w:t>
      </w:r>
      <w:r w:rsidRPr="53D5643C">
        <w:rPr>
          <w:rFonts w:cs="Times New Roman"/>
          <w:color w:val="auto"/>
        </w:rPr>
        <w:t xml:space="preserve">FR </w:t>
      </w:r>
      <w:r w:rsidR="007554D0">
        <w:rPr>
          <w:rFonts w:cs="Times New Roman"/>
          <w:color w:val="auto"/>
        </w:rPr>
        <w:t>4388</w:t>
      </w:r>
      <w:r w:rsidR="00B62693">
        <w:rPr>
          <w:rFonts w:cs="Times New Roman"/>
          <w:color w:val="auto"/>
        </w:rPr>
        <w:t>8</w:t>
      </w:r>
      <w:r w:rsidRPr="53D5643C" w:rsidR="00B62693">
        <w:rPr>
          <w:rFonts w:cs="Times New Roman"/>
          <w:color w:val="auto"/>
        </w:rPr>
        <w:t xml:space="preserve"> </w:t>
      </w:r>
      <w:r w:rsidRPr="53D5643C">
        <w:rPr>
          <w:rFonts w:cs="Times New Roman"/>
          <w:color w:val="auto"/>
        </w:rPr>
        <w:t>(</w:t>
      </w:r>
      <w:r w:rsidR="007554D0">
        <w:rPr>
          <w:rFonts w:cs="Times New Roman"/>
          <w:color w:val="auto"/>
        </w:rPr>
        <w:t>August 28,</w:t>
      </w:r>
      <w:r w:rsidRPr="53D5643C" w:rsidR="00516C2F">
        <w:rPr>
          <w:rFonts w:cs="Times New Roman"/>
          <w:color w:val="auto"/>
        </w:rPr>
        <w:t>201</w:t>
      </w:r>
      <w:r w:rsidR="00E9377D">
        <w:rPr>
          <w:rFonts w:cs="Times New Roman"/>
          <w:color w:val="auto"/>
        </w:rPr>
        <w:t>8</w:t>
      </w:r>
      <w:r w:rsidRPr="53D5643C">
        <w:rPr>
          <w:rFonts w:cs="Times New Roman"/>
          <w:color w:val="auto"/>
        </w:rPr>
        <w:t xml:space="preserve">); and DHS/TSA 011 - Transportation Security Intelligence Service Files, 75 FR 18867 (April 13, 2010).  </w:t>
      </w:r>
      <w:r w:rsidRPr="53D5643C" w:rsidR="00CA0096">
        <w:rPr>
          <w:rFonts w:cs="Times New Roman"/>
          <w:color w:val="auto"/>
        </w:rPr>
        <w:t xml:space="preserve">This </w:t>
      </w:r>
      <w:r w:rsidRPr="53D5643C" w:rsidR="0066785A">
        <w:rPr>
          <w:rFonts w:cs="Times New Roman"/>
          <w:color w:val="auto"/>
        </w:rPr>
        <w:t xml:space="preserve">collection is also covered by </w:t>
      </w:r>
      <w:r w:rsidRPr="53D5643C" w:rsidR="00DE481C">
        <w:rPr>
          <w:rFonts w:cs="Times New Roman"/>
          <w:color w:val="auto"/>
        </w:rPr>
        <w:t xml:space="preserve">DHS/ALL/PIA-006 DHS General Contacts </w:t>
      </w:r>
      <w:r w:rsidRPr="53D5643C" w:rsidR="00E4046A">
        <w:rPr>
          <w:rFonts w:cs="Times New Roman"/>
          <w:color w:val="auto"/>
        </w:rPr>
        <w:t xml:space="preserve">(June 15, 2007) </w:t>
      </w:r>
      <w:r w:rsidRPr="53D5643C" w:rsidR="00DE481C">
        <w:rPr>
          <w:rFonts w:cs="Times New Roman"/>
          <w:color w:val="auto"/>
        </w:rPr>
        <w:t>and DHS/TSA/PIA-029 Operations Center Incident Management System (for incidents)</w:t>
      </w:r>
      <w:r w:rsidRPr="53D5643C" w:rsidR="004E43E7">
        <w:rPr>
          <w:rFonts w:cs="Times New Roman"/>
          <w:color w:val="auto"/>
        </w:rPr>
        <w:t xml:space="preserve"> (August 25, 2015)</w:t>
      </w:r>
      <w:r w:rsidRPr="53D5643C" w:rsidR="00DE481C">
        <w:rPr>
          <w:rFonts w:cs="Times New Roman"/>
          <w:color w:val="auto"/>
        </w:rPr>
        <w:t>.</w:t>
      </w:r>
    </w:p>
    <w:p w:rsidR="00BA5133" w:rsidP="00021398" w14:paraId="46F2427C" w14:textId="1C6A947E">
      <w:pPr>
        <w:autoSpaceDE w:val="0"/>
        <w:autoSpaceDN w:val="0"/>
        <w:adjustRightInd w:val="0"/>
        <w:ind w:left="360"/>
        <w:rPr>
          <w:rFonts w:ascii="Arial" w:hAnsi="Arial"/>
          <w:color w:val="auto"/>
          <w:sz w:val="20"/>
        </w:rPr>
      </w:pPr>
    </w:p>
    <w:p w:rsidR="00BA5133" w:rsidP="69EC68A0" w14:paraId="1E0BD1FD" w14:textId="6E330B5B">
      <w:pPr>
        <w:shd w:val="clear" w:color="auto" w:fill="FFFFFF" w:themeFill="background1"/>
        <w:suppressAutoHyphens/>
        <w:ind w:left="360"/>
      </w:pPr>
      <w:r w:rsidRPr="69EC68A0">
        <w:t>For defensive measures and indicators shared under CISA</w:t>
      </w:r>
      <w:r w:rsidRPr="69EC68A0" w:rsidR="00B52643">
        <w:t>’s framework</w:t>
      </w:r>
      <w:r w:rsidRPr="69EC68A0">
        <w:t xml:space="preserve">, </w:t>
      </w:r>
      <w:r w:rsidRPr="69EC68A0" w:rsidR="00B52643">
        <w:t>f</w:t>
      </w:r>
      <w:r w:rsidRPr="69EC68A0">
        <w:t>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w:t>
      </w:r>
      <w:r w:rsidR="00937644">
        <w:t xml:space="preserve"> </w:t>
      </w:r>
      <w:r w:rsidRPr="69EC68A0">
        <w:t xml:space="preserve"> 6 U.S.C. § 1504(b).</w:t>
      </w:r>
    </w:p>
    <w:p w:rsidR="009F2633" w:rsidP="00BB78AB" w14:paraId="6406A9E5" w14:textId="77777777">
      <w:pPr>
        <w:numPr>
          <w:ilvl w:val="12"/>
          <w:numId w:val="0"/>
        </w:numPr>
      </w:pPr>
    </w:p>
    <w:p w:rsidR="009F2633" w:rsidP="009F2633" w14:paraId="6EB0AD5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14:paraId="0AF64204" w14:textId="77777777">
      <w:pPr>
        <w:keepNext/>
        <w:numPr>
          <w:ilvl w:val="12"/>
          <w:numId w:val="0"/>
        </w:numPr>
        <w:ind w:left="360"/>
      </w:pPr>
    </w:p>
    <w:p w:rsidR="009F2633" w:rsidP="00021398" w14:paraId="244F467B" w14:textId="77777777">
      <w:pPr>
        <w:numPr>
          <w:ilvl w:val="12"/>
          <w:numId w:val="0"/>
        </w:numPr>
        <w:ind w:firstLine="360"/>
      </w:pPr>
      <w:r>
        <w:t xml:space="preserve">No </w:t>
      </w:r>
      <w:r w:rsidR="000504BA">
        <w:t xml:space="preserve">personal </w:t>
      </w:r>
      <w:r>
        <w:t>questions of a sensitive nature are posed.</w:t>
      </w:r>
    </w:p>
    <w:p w:rsidR="009F2633" w:rsidP="00BB78AB" w14:paraId="104FAAE9" w14:textId="77777777">
      <w:pPr>
        <w:numPr>
          <w:ilvl w:val="12"/>
          <w:numId w:val="0"/>
        </w:numPr>
      </w:pPr>
    </w:p>
    <w:p w:rsidR="009F2633" w:rsidP="009F2633" w14:paraId="5B5C7865" w14:textId="77777777">
      <w:pPr>
        <w:keepNext/>
        <w:numPr>
          <w:ilvl w:val="0"/>
          <w:numId w:val="11"/>
        </w:numPr>
        <w:tabs>
          <w:tab w:val="left" w:pos="360"/>
        </w:tabs>
        <w:rPr>
          <w:b/>
          <w:i/>
        </w:rPr>
      </w:pPr>
      <w:r>
        <w:rPr>
          <w:b/>
          <w:i/>
        </w:rPr>
        <w:t>Provide estimates of hour burden of the collection of information.</w:t>
      </w:r>
    </w:p>
    <w:p w:rsidR="009F2633" w:rsidP="00BB78AB" w14:paraId="0583AD09" w14:textId="77777777">
      <w:pPr>
        <w:keepNext/>
        <w:numPr>
          <w:ilvl w:val="12"/>
          <w:numId w:val="0"/>
        </w:numPr>
        <w:ind w:left="360"/>
      </w:pPr>
    </w:p>
    <w:p w:rsidR="00AD7A9E" w:rsidP="00F6007A" w14:paraId="071E5306" w14:textId="77777777">
      <w:pPr>
        <w:ind w:left="360"/>
      </w:pPr>
      <w:r>
        <w:t xml:space="preserve">TSA estimates that </w:t>
      </w:r>
      <w:r w:rsidR="00934E7A">
        <w:t>there will be 100 pipeline operator respondents</w:t>
      </w:r>
      <w:r w:rsidR="007C271C">
        <w:t xml:space="preserve"> and an estimated annual burden hours of </w:t>
      </w:r>
      <w:r>
        <w:t>726 as discussed below:</w:t>
      </w:r>
    </w:p>
    <w:p w:rsidR="00AD7A9E" w:rsidP="00F6007A" w14:paraId="6FE2917A" w14:textId="77777777">
      <w:pPr>
        <w:ind w:left="360"/>
      </w:pPr>
    </w:p>
    <w:p w:rsidR="00F6007A" w:rsidP="00F6007A" w14:paraId="05D28850" w14:textId="2D830420">
      <w:pPr>
        <w:ind w:left="360"/>
      </w:pPr>
      <w:r>
        <w:t xml:space="preserve">Based on previous reporting under OMB approval, TSA anticipates </w:t>
      </w:r>
      <w:r w:rsidR="00C50F84">
        <w:t xml:space="preserve">voluntary </w:t>
      </w:r>
      <w:r>
        <w:t xml:space="preserve">reporting of pipeline security incidents will occur on an irregular basis.  TSA estimates that </w:t>
      </w:r>
      <w:r w:rsidRPr="004E0895">
        <w:rPr>
          <w:color w:val="auto"/>
        </w:rPr>
        <w:t xml:space="preserve">approximately </w:t>
      </w:r>
      <w:r w:rsidR="00C50F84">
        <w:rPr>
          <w:color w:val="auto"/>
        </w:rPr>
        <w:t>118</w:t>
      </w:r>
      <w:r w:rsidRPr="004E0895">
        <w:rPr>
          <w:color w:val="auto"/>
        </w:rPr>
        <w:t xml:space="preserve"> </w:t>
      </w:r>
      <w:r>
        <w:t xml:space="preserve">incidents will be reported annually, requiring a maximum of 30 minutes </w:t>
      </w:r>
      <w:r>
        <w:t>(0.5 hours) to collect, review, and submit event information</w:t>
      </w:r>
      <w:r w:rsidRPr="009F0958">
        <w:t xml:space="preserve"> by the respondent’s Corporate Security Manager or equivalent</w:t>
      </w:r>
      <w:r>
        <w:t xml:space="preserve">.  The annual burden hours are estimated at </w:t>
      </w:r>
      <w:r w:rsidR="00C50F84">
        <w:t>59</w:t>
      </w:r>
      <w:r>
        <w:t xml:space="preserve"> hours</w:t>
      </w:r>
      <w:r w:rsidRPr="009F0958">
        <w:t>.</w:t>
      </w:r>
    </w:p>
    <w:p w:rsidR="00F6007A" w:rsidP="00F6007A" w14:paraId="78C41264" w14:textId="77777777">
      <w:pPr>
        <w:ind w:left="360"/>
      </w:pPr>
    </w:p>
    <w:p w:rsidR="00F6007A" w:rsidRPr="007B68B3" w:rsidP="00F6007A" w14:paraId="1502826A" w14:textId="3B7D7E11">
      <w:pPr>
        <w:ind w:left="360"/>
      </w:pPr>
      <w:r>
        <w:t xml:space="preserve">TSA expects the mandatory reporting of pipeline cybersecurity incidents to CISA using CISA Reporting System will occur 20 times per year per pipeline operator. </w:t>
      </w:r>
      <w:r w:rsidR="00A532EE">
        <w:t xml:space="preserve"> </w:t>
      </w:r>
      <w:r>
        <w:t xml:space="preserve">Each incident takes approximately </w:t>
      </w:r>
      <w:r w:rsidR="59D9DD8F">
        <w:t>20 minutes (.33</w:t>
      </w:r>
      <w:r w:rsidRPr="007B68B3">
        <w:t xml:space="preserve"> hours</w:t>
      </w:r>
      <w:r w:rsidR="59D9DD8F">
        <w:t xml:space="preserve">) </w:t>
      </w:r>
      <w:r>
        <w:t xml:space="preserve">to gather the appropriate information and submit the report, therefore the annual burden to the public for this task is 100 </w:t>
      </w:r>
      <w:r w:rsidRPr="5713E0C0" w:rsidR="00C50F84">
        <w:rPr>
          <w:rFonts w:cs="Times New Roman"/>
        </w:rPr>
        <w:t>×</w:t>
      </w:r>
      <w:r>
        <w:t xml:space="preserve"> 20 </w:t>
      </w:r>
      <w:r w:rsidRPr="5713E0C0" w:rsidR="00C50F84">
        <w:rPr>
          <w:rFonts w:cs="Times New Roman"/>
        </w:rPr>
        <w:t>×</w:t>
      </w:r>
      <w:r>
        <w:t xml:space="preserve"> </w:t>
      </w:r>
      <w:r w:rsidR="253D9EF7">
        <w:t>.33</w:t>
      </w:r>
      <w:r>
        <w:t xml:space="preserve"> hours = </w:t>
      </w:r>
      <w:r w:rsidR="45CE0B2B">
        <w:t>667</w:t>
      </w:r>
      <w:r>
        <w:t xml:space="preserve"> hours (2,000 hours over 3 years).</w:t>
      </w:r>
    </w:p>
    <w:p w:rsidR="00F6007A" w:rsidP="00F6007A" w14:paraId="1C51C832" w14:textId="77777777">
      <w:pPr>
        <w:ind w:left="360"/>
      </w:pPr>
    </w:p>
    <w:p w:rsidR="00F6007A" w:rsidP="00F6007A" w14:paraId="0879D5AC" w14:textId="6D3D87CB">
      <w:pPr>
        <w:ind w:left="360"/>
      </w:pPr>
      <w:r>
        <w:t xml:space="preserve">TSA estimates </w:t>
      </w:r>
      <w:r w:rsidR="007A4EE8">
        <w:t xml:space="preserve">one </w:t>
      </w:r>
      <w:r>
        <w:t xml:space="preserve">pipeline </w:t>
      </w:r>
      <w:r w:rsidR="00E9747A">
        <w:t>owner/</w:t>
      </w:r>
      <w:r>
        <w:t xml:space="preserve">operator will update their cybersecurity </w:t>
      </w:r>
      <w:r w:rsidR="007F3FDD">
        <w:t>coordinator</w:t>
      </w:r>
      <w:r>
        <w:t xml:space="preserve"> and/or alternate </w:t>
      </w:r>
      <w:r w:rsidR="007A4EE8">
        <w:t>point of contact (</w:t>
      </w:r>
      <w:r>
        <w:t>POC</w:t>
      </w:r>
      <w:r w:rsidR="007A4EE8">
        <w:t>)</w:t>
      </w:r>
      <w:r>
        <w:t xml:space="preserve"> information each year due to turnover</w:t>
      </w:r>
      <w:r w:rsidR="00C50F84">
        <w:t xml:space="preserve"> or other change in POC information</w:t>
      </w:r>
      <w:r>
        <w:t>, and it will take approximately 30 minutes (0.50 hour</w:t>
      </w:r>
      <w:r w:rsidR="00C50F84">
        <w:t>s</w:t>
      </w:r>
      <w:r>
        <w:t xml:space="preserve">) to do so. </w:t>
      </w:r>
      <w:r w:rsidR="00A532EE">
        <w:t xml:space="preserve"> </w:t>
      </w:r>
      <w:r>
        <w:t>T</w:t>
      </w:r>
      <w:r w:rsidRPr="007B68B3">
        <w:t>he</w:t>
      </w:r>
      <w:r>
        <w:t xml:space="preserve"> </w:t>
      </w:r>
      <w:r w:rsidR="003A1FBB">
        <w:t xml:space="preserve">total </w:t>
      </w:r>
      <w:r w:rsidRPr="007B68B3" w:rsidR="003A1FBB">
        <w:t>burden</w:t>
      </w:r>
      <w:r w:rsidRPr="007B68B3">
        <w:t xml:space="preserve"> for this task </w:t>
      </w:r>
      <w:r>
        <w:t xml:space="preserve">over </w:t>
      </w:r>
      <w:r w:rsidR="007A4EE8">
        <w:t xml:space="preserve">3 </w:t>
      </w:r>
      <w:r>
        <w:t xml:space="preserve">years </w:t>
      </w:r>
      <w:r w:rsidRPr="007B68B3">
        <w:t>is</w:t>
      </w:r>
      <w:r w:rsidR="00C50F84">
        <w:t xml:space="preserve"> </w:t>
      </w:r>
      <w:r w:rsidR="00C61B8C">
        <w:t>1</w:t>
      </w:r>
      <w:r w:rsidR="00C50F84">
        <w:t>.50 hours.</w:t>
      </w:r>
      <w:r>
        <w:rPr>
          <w:rStyle w:val="FootnoteReference"/>
        </w:rPr>
        <w:footnoteReference w:id="10"/>
      </w:r>
    </w:p>
    <w:p w:rsidR="00F6007A" w:rsidP="00F6007A" w14:paraId="4506E11B" w14:textId="77777777">
      <w:pPr>
        <w:ind w:left="360"/>
      </w:pPr>
    </w:p>
    <w:p w:rsidR="00F6007A" w:rsidP="00F6007A" w14:paraId="33F6966F" w14:textId="29A84A6D">
      <w:pPr>
        <w:ind w:left="360"/>
        <w:rPr>
          <w:rFonts w:ascii="Calibri" w:hAnsi="Calibri" w:cs="Calibri"/>
          <w:b/>
          <w:bCs/>
          <w:sz w:val="22"/>
          <w:szCs w:val="22"/>
        </w:rPr>
        <w:sectPr w:rsidSect="009F2633">
          <w:head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pPr>
      <w:r>
        <w:t>T</w:t>
      </w:r>
      <w:r w:rsidRPr="007B68B3">
        <w:t xml:space="preserve">he </w:t>
      </w:r>
      <w:r>
        <w:t xml:space="preserve">average </w:t>
      </w:r>
      <w:r w:rsidRPr="007B68B3">
        <w:t xml:space="preserve">total </w:t>
      </w:r>
      <w:r>
        <w:t xml:space="preserve">time </w:t>
      </w:r>
      <w:r w:rsidRPr="007B68B3">
        <w:t xml:space="preserve">burden to the public for this information collection request is estimated to be </w:t>
      </w:r>
      <w:r w:rsidR="00C50F84">
        <w:t>59</w:t>
      </w:r>
      <w:r>
        <w:t xml:space="preserve"> hours + </w:t>
      </w:r>
      <w:r w:rsidR="544254DD">
        <w:t>667</w:t>
      </w:r>
      <w:r>
        <w:t xml:space="preserve"> hours + </w:t>
      </w:r>
      <w:r w:rsidR="00C61B8C">
        <w:t>0.50</w:t>
      </w:r>
      <w:r w:rsidRPr="007B68B3">
        <w:t xml:space="preserve"> hours = </w:t>
      </w:r>
      <w:r w:rsidRPr="007B68B3" w:rsidR="063D0009">
        <w:t>726</w:t>
      </w:r>
      <w:r w:rsidRPr="007B68B3">
        <w:t xml:space="preserve"> hours annually</w:t>
      </w:r>
      <w:r>
        <w:t xml:space="preserve"> (2,</w:t>
      </w:r>
      <w:r w:rsidR="00C61B8C">
        <w:t>179</w:t>
      </w:r>
      <w:r>
        <w:t xml:space="preserve"> hours over 3 years)</w:t>
      </w:r>
      <w:r w:rsidR="00CF7164">
        <w:t xml:space="preserve"> for an estimated 100 estimated respondents annually</w:t>
      </w:r>
      <w:r w:rsidRPr="007B68B3">
        <w:t>.</w:t>
      </w:r>
      <w:r>
        <w:t xml:space="preserve"> </w:t>
      </w:r>
      <w:r w:rsidR="00A532EE">
        <w:t xml:space="preserve"> </w:t>
      </w:r>
      <w:r w:rsidRPr="009F0958">
        <w:t xml:space="preserve">Based on the respondent’s Corporate Security Manager’s </w:t>
      </w:r>
      <w:r>
        <w:t>fully-loaded</w:t>
      </w:r>
      <w:r>
        <w:rPr>
          <w:rStyle w:val="FootnoteReference"/>
        </w:rPr>
        <w:footnoteReference w:id="11"/>
      </w:r>
      <w:r>
        <w:t xml:space="preserve"> </w:t>
      </w:r>
      <w:r w:rsidRPr="009F0958">
        <w:t>average hourly loaded wage rate of $</w:t>
      </w:r>
      <w:r w:rsidR="00C61B8C">
        <w:t>114.44</w:t>
      </w:r>
      <w:r w:rsidRPr="009F0958">
        <w:t>,</w:t>
      </w:r>
      <w:r>
        <w:rPr>
          <w:rStyle w:val="FootnoteReference"/>
        </w:rPr>
        <w:footnoteReference w:id="12"/>
      </w:r>
      <w:r w:rsidRPr="009F0958">
        <w:t xml:space="preserve"> TSA estimates a</w:t>
      </w:r>
      <w:r>
        <w:t>n average</w:t>
      </w:r>
      <w:r w:rsidRPr="009F0958">
        <w:t xml:space="preserve"> total cost of $</w:t>
      </w:r>
      <w:r w:rsidRPr="009F0958" w:rsidR="1FCDA634">
        <w:t>249,314</w:t>
      </w:r>
      <w:r w:rsidRPr="009F0958">
        <w:t xml:space="preserve"> annually</w:t>
      </w:r>
      <w:r>
        <w:t xml:space="preserve"> ($</w:t>
      </w:r>
      <w:r w:rsidR="1E75703F">
        <w:t>747,943</w:t>
      </w:r>
      <w:r>
        <w:t xml:space="preserve"> over </w:t>
      </w:r>
      <w:r w:rsidR="007A4EE8">
        <w:t xml:space="preserve">3 </w:t>
      </w:r>
      <w:r>
        <w:t>years)</w:t>
      </w:r>
      <w:r w:rsidRPr="009F0958">
        <w:t>.</w:t>
      </w:r>
      <w:r>
        <w:t xml:space="preserve"> </w:t>
      </w:r>
      <w:r w:rsidR="00A532EE">
        <w:t xml:space="preserve"> </w:t>
      </w:r>
      <w:r>
        <w:t>Table 1 summarizes these calculations.</w:t>
      </w:r>
    </w:p>
    <w:p w:rsidR="0013310F" w:rsidP="0013310F" w14:paraId="73566BE4" w14:textId="77777777">
      <w:pPr>
        <w:ind w:left="360"/>
      </w:pPr>
    </w:p>
    <w:p w:rsidR="0013310F" w:rsidP="0013310F" w14:paraId="7EB18D09" w14:textId="05612A86">
      <w:pPr>
        <w:ind w:left="360"/>
      </w:pPr>
    </w:p>
    <w:tbl>
      <w:tblPr>
        <w:tblW w:w="5000" w:type="pct"/>
        <w:tblLook w:val="04A0"/>
      </w:tblPr>
      <w:tblGrid>
        <w:gridCol w:w="808"/>
        <w:gridCol w:w="981"/>
        <w:gridCol w:w="836"/>
        <w:gridCol w:w="972"/>
        <w:gridCol w:w="1271"/>
        <w:gridCol w:w="1271"/>
        <w:gridCol w:w="1271"/>
        <w:gridCol w:w="1271"/>
        <w:gridCol w:w="778"/>
        <w:gridCol w:w="972"/>
        <w:gridCol w:w="1163"/>
        <w:gridCol w:w="1366"/>
      </w:tblGrid>
      <w:tr w14:paraId="491F6E04" w14:textId="77777777" w:rsidTr="00120BE9">
        <w:tblPrEx>
          <w:tblW w:w="5000" w:type="pct"/>
          <w:tblLook w:val="04A0"/>
        </w:tblPrEx>
        <w:trPr>
          <w:trHeight w:val="292"/>
        </w:trPr>
        <w:tc>
          <w:tcPr>
            <w:tcW w:w="5000" w:type="pct"/>
            <w:gridSpan w:val="12"/>
            <w:tcBorders>
              <w:top w:val="nil"/>
              <w:left w:val="nil"/>
              <w:bottom w:val="single" w:sz="4" w:space="0" w:color="auto"/>
              <w:right w:val="nil"/>
            </w:tcBorders>
            <w:shd w:val="clear" w:color="auto" w:fill="auto"/>
            <w:noWrap/>
            <w:vAlign w:val="bottom"/>
            <w:hideMark/>
          </w:tcPr>
          <w:p w:rsidR="00F6007A" w:rsidRPr="00A926A6" w14:paraId="3A361DBB" w14:textId="55AA9767">
            <w:pPr>
              <w:keepNext/>
              <w:keepLines/>
              <w:rPr>
                <w:rFonts w:cs="Times New Roman"/>
                <w:b/>
                <w:bCs/>
                <w:sz w:val="20"/>
              </w:rPr>
            </w:pPr>
            <w:r w:rsidRPr="00A926A6">
              <w:rPr>
                <w:rFonts w:cs="Times New Roman"/>
                <w:b/>
                <w:bCs/>
                <w:sz w:val="20"/>
              </w:rPr>
              <w:t>Table 1: Public Time Burden and Cost</w:t>
            </w:r>
          </w:p>
        </w:tc>
      </w:tr>
      <w:tr w14:paraId="58381AA9" w14:textId="77777777" w:rsidTr="00120BE9">
        <w:tblPrEx>
          <w:tblW w:w="5000" w:type="pct"/>
          <w:tblLook w:val="04A0"/>
        </w:tblPrEx>
        <w:trPr>
          <w:trHeight w:val="1422"/>
        </w:trPr>
        <w:tc>
          <w:tcPr>
            <w:tcW w:w="537" w:type="pct"/>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5CC7C8C" w14:textId="77777777">
            <w:pPr>
              <w:keepNext/>
              <w:keepLines/>
              <w:jc w:val="center"/>
              <w:rPr>
                <w:rFonts w:cs="Times New Roman"/>
                <w:b/>
                <w:bCs/>
                <w:sz w:val="20"/>
              </w:rPr>
            </w:pPr>
            <w:r w:rsidRPr="00A926A6">
              <w:rPr>
                <w:rFonts w:cs="Times New Roman"/>
                <w:b/>
                <w:bCs/>
                <w:sz w:val="20"/>
              </w:rPr>
              <w:t>Year</w:t>
            </w:r>
          </w:p>
        </w:tc>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20D2F2AF" w14:textId="77777777">
            <w:pPr>
              <w:keepNext/>
              <w:keepLines/>
              <w:jc w:val="center"/>
              <w:rPr>
                <w:rFonts w:cs="Times New Roman"/>
                <w:b/>
                <w:bCs/>
                <w:sz w:val="20"/>
              </w:rPr>
            </w:pPr>
            <w:r w:rsidRPr="00A926A6">
              <w:rPr>
                <w:rFonts w:cs="Times New Roman"/>
                <w:b/>
                <w:bCs/>
                <w:sz w:val="20"/>
              </w:rPr>
              <w:t>Security Incident Responses</w:t>
            </w:r>
          </w:p>
        </w:tc>
        <w:tc>
          <w:tcPr>
            <w:tcW w:w="317"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7B4E5A9" w14:textId="77777777">
            <w:pPr>
              <w:keepNext/>
              <w:keepLines/>
              <w:jc w:val="center"/>
              <w:rPr>
                <w:rFonts w:cs="Times New Roman"/>
                <w:b/>
                <w:bCs/>
                <w:sz w:val="20"/>
              </w:rPr>
            </w:pPr>
            <w:r w:rsidRPr="00A926A6">
              <w:rPr>
                <w:rFonts w:cs="Times New Roman"/>
                <w:b/>
                <w:bCs/>
                <w:sz w:val="20"/>
              </w:rPr>
              <w:t>Time Burden Per Security Incident Report (Hrs)</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51DB662D" w14:textId="77777777">
            <w:pPr>
              <w:keepNext/>
              <w:keepLines/>
              <w:jc w:val="center"/>
              <w:rPr>
                <w:rFonts w:cs="Times New Roman"/>
                <w:b/>
                <w:bCs/>
                <w:sz w:val="20"/>
              </w:rPr>
            </w:pPr>
            <w:r w:rsidRPr="00A926A6">
              <w:rPr>
                <w:rFonts w:cs="Times New Roman"/>
                <w:b/>
                <w:bCs/>
                <w:sz w:val="20"/>
              </w:rPr>
              <w:t>Security Incident Reporting Time Burden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68EBA7C2" w14:textId="77777777">
            <w:pPr>
              <w:keepNext/>
              <w:keepLines/>
              <w:jc w:val="center"/>
              <w:rPr>
                <w:rFonts w:cs="Times New Roman"/>
                <w:b/>
                <w:bCs/>
                <w:sz w:val="20"/>
              </w:rPr>
            </w:pPr>
            <w:r w:rsidRPr="00A926A6">
              <w:rPr>
                <w:rFonts w:cs="Times New Roman"/>
                <w:b/>
                <w:bCs/>
                <w:sz w:val="20"/>
              </w:rPr>
              <w:t>Cybersecurity Incident Responses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338FAE65" w14:textId="77777777">
            <w:pPr>
              <w:keepNext/>
              <w:keepLines/>
              <w:jc w:val="center"/>
              <w:rPr>
                <w:rFonts w:cs="Times New Roman"/>
                <w:b/>
                <w:bCs/>
                <w:sz w:val="20"/>
              </w:rPr>
            </w:pPr>
            <w:r w:rsidRPr="00A926A6">
              <w:rPr>
                <w:rFonts w:cs="Times New Roman"/>
                <w:b/>
                <w:bCs/>
                <w:sz w:val="20"/>
              </w:rPr>
              <w:t>Time Burden Per Cybersecurity Incident Report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2A222844" w14:textId="77777777">
            <w:pPr>
              <w:keepNext/>
              <w:keepLines/>
              <w:jc w:val="center"/>
              <w:rPr>
                <w:rFonts w:cs="Times New Roman"/>
                <w:b/>
                <w:bCs/>
                <w:sz w:val="20"/>
              </w:rPr>
            </w:pPr>
            <w:r w:rsidRPr="00A926A6">
              <w:rPr>
                <w:rFonts w:cs="Times New Roman"/>
                <w:b/>
                <w:bCs/>
                <w:sz w:val="20"/>
              </w:rPr>
              <w:t>Cybersecurity Incident Report Time Burden (Hrs)</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14:paraId="7B6F8ECB" w14:textId="77777777">
            <w:pPr>
              <w:keepNext/>
              <w:keepLines/>
              <w:jc w:val="center"/>
              <w:rPr>
                <w:rFonts w:cs="Times New Roman"/>
                <w:b/>
                <w:bCs/>
                <w:sz w:val="20"/>
              </w:rPr>
            </w:pPr>
            <w:r w:rsidRPr="00A926A6">
              <w:rPr>
                <w:rFonts w:cs="Times New Roman"/>
                <w:b/>
                <w:bCs/>
                <w:sz w:val="20"/>
              </w:rPr>
              <w:t>Cybersecurity Manager POC Info Responses</w:t>
            </w:r>
          </w:p>
        </w:tc>
        <w:tc>
          <w:tcPr>
            <w:tcW w:w="321"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01C5F6A3" w14:textId="77777777">
            <w:pPr>
              <w:keepNext/>
              <w:keepLines/>
              <w:jc w:val="center"/>
              <w:rPr>
                <w:rFonts w:cs="Times New Roman"/>
                <w:b/>
                <w:bCs/>
                <w:sz w:val="20"/>
              </w:rPr>
            </w:pPr>
            <w:r w:rsidRPr="00A926A6">
              <w:rPr>
                <w:rFonts w:cs="Times New Roman"/>
                <w:b/>
                <w:bCs/>
                <w:sz w:val="20"/>
              </w:rPr>
              <w:t>Time Burden Per POC Report (Hrs)</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22938C7B" w14:textId="77777777">
            <w:pPr>
              <w:keepNext/>
              <w:keepLines/>
              <w:jc w:val="center"/>
              <w:rPr>
                <w:rFonts w:cs="Times New Roman"/>
                <w:b/>
                <w:bCs/>
                <w:sz w:val="20"/>
              </w:rPr>
            </w:pPr>
            <w:r w:rsidRPr="00A926A6">
              <w:rPr>
                <w:rFonts w:cs="Times New Roman"/>
                <w:b/>
                <w:bCs/>
                <w:sz w:val="20"/>
              </w:rPr>
              <w:t>POC Reporting Time Burden (Hrs)</w:t>
            </w:r>
          </w:p>
        </w:tc>
        <w:tc>
          <w:tcPr>
            <w:tcW w:w="294"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1181062F" w14:textId="77777777">
            <w:pPr>
              <w:keepNext/>
              <w:keepLines/>
              <w:jc w:val="center"/>
              <w:rPr>
                <w:rFonts w:cs="Times New Roman"/>
                <w:b/>
                <w:bCs/>
                <w:sz w:val="20"/>
              </w:rPr>
            </w:pPr>
            <w:r w:rsidRPr="00A926A6">
              <w:rPr>
                <w:rFonts w:cs="Times New Roman"/>
                <w:b/>
                <w:bCs/>
                <w:sz w:val="20"/>
              </w:rPr>
              <w:t>Total Annual Time Burden (Hrs)</w:t>
            </w:r>
          </w:p>
        </w:tc>
        <w:tc>
          <w:tcPr>
            <w:tcW w:w="467"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A926A6" w14:paraId="1DD6E5BC" w14:textId="77777777">
            <w:pPr>
              <w:keepNext/>
              <w:keepLines/>
              <w:jc w:val="center"/>
              <w:rPr>
                <w:rFonts w:cs="Times New Roman"/>
                <w:b/>
                <w:bCs/>
                <w:sz w:val="20"/>
              </w:rPr>
            </w:pPr>
            <w:r w:rsidRPr="00A926A6">
              <w:rPr>
                <w:rFonts w:cs="Times New Roman"/>
                <w:b/>
                <w:bCs/>
                <w:sz w:val="20"/>
              </w:rPr>
              <w:t>Annual Time Burden Cost</w:t>
            </w:r>
          </w:p>
        </w:tc>
      </w:tr>
      <w:tr w14:paraId="4127D45F" w14:textId="77777777" w:rsidTr="00120BE9">
        <w:tblPrEx>
          <w:tblW w:w="5000" w:type="pct"/>
          <w:tblLook w:val="04A0"/>
        </w:tblPrEx>
        <w:trPr>
          <w:trHeight w:val="292"/>
        </w:trPr>
        <w:tc>
          <w:tcPr>
            <w:tcW w:w="537" w:type="pct"/>
            <w:vMerge/>
            <w:tcBorders>
              <w:top w:val="single" w:sz="4" w:space="0" w:color="auto"/>
              <w:left w:val="single" w:sz="4" w:space="0" w:color="auto"/>
              <w:bottom w:val="single" w:sz="4" w:space="0" w:color="auto"/>
              <w:right w:val="single" w:sz="4" w:space="0" w:color="auto"/>
            </w:tcBorders>
            <w:vAlign w:val="center"/>
            <w:hideMark/>
          </w:tcPr>
          <w:p w:rsidR="00F6007A" w:rsidRPr="00A926A6" w:rsidP="006C20FA" w14:paraId="7B63BC87" w14:textId="77777777">
            <w:pPr>
              <w:keepNext/>
              <w:keepLines/>
              <w:rPr>
                <w:rFonts w:cs="Times New Roman"/>
                <w:b/>
                <w:bCs/>
                <w:sz w:val="20"/>
              </w:rPr>
            </w:pPr>
          </w:p>
        </w:tc>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3C447FE7" w14:textId="77777777">
            <w:pPr>
              <w:keepNext/>
              <w:keepLines/>
              <w:jc w:val="center"/>
              <w:rPr>
                <w:rFonts w:cs="Times New Roman"/>
                <w:b/>
                <w:bCs/>
                <w:sz w:val="20"/>
              </w:rPr>
            </w:pPr>
            <w:r w:rsidRPr="00A926A6">
              <w:rPr>
                <w:rFonts w:cs="Times New Roman"/>
                <w:b/>
                <w:bCs/>
                <w:sz w:val="20"/>
              </w:rPr>
              <w:t>A</w:t>
            </w:r>
          </w:p>
        </w:tc>
        <w:tc>
          <w:tcPr>
            <w:tcW w:w="317"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AEB9A4F" w14:textId="77777777">
            <w:pPr>
              <w:keepNext/>
              <w:keepLines/>
              <w:jc w:val="center"/>
              <w:rPr>
                <w:rFonts w:cs="Times New Roman"/>
                <w:b/>
                <w:bCs/>
                <w:sz w:val="20"/>
              </w:rPr>
            </w:pPr>
            <w:r w:rsidRPr="00A926A6">
              <w:rPr>
                <w:rFonts w:cs="Times New Roman"/>
                <w:b/>
                <w:bCs/>
                <w:sz w:val="20"/>
              </w:rPr>
              <w:t>B = 0.5</w:t>
            </w:r>
          </w:p>
        </w:tc>
        <w:tc>
          <w:tcPr>
            <w:tcW w:w="370"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B8B96ED" w14:textId="77777777">
            <w:pPr>
              <w:keepNext/>
              <w:keepLines/>
              <w:jc w:val="center"/>
              <w:rPr>
                <w:rFonts w:cs="Times New Roman"/>
                <w:b/>
                <w:bCs/>
                <w:sz w:val="20"/>
              </w:rPr>
            </w:pPr>
            <w:r w:rsidRPr="00A926A6">
              <w:rPr>
                <w:rFonts w:cs="Times New Roman"/>
                <w:b/>
                <w:bCs/>
                <w:sz w:val="20"/>
              </w:rPr>
              <w:t>C = A x B</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2529CDDA" w14:textId="77777777">
            <w:pPr>
              <w:keepNext/>
              <w:keepLines/>
              <w:jc w:val="center"/>
              <w:rPr>
                <w:rFonts w:cs="Times New Roman"/>
                <w:b/>
                <w:bCs/>
                <w:sz w:val="20"/>
              </w:rPr>
            </w:pPr>
            <w:r w:rsidRPr="00A926A6">
              <w:rPr>
                <w:rFonts w:cs="Times New Roman"/>
                <w:b/>
                <w:bCs/>
                <w:sz w:val="20"/>
              </w:rPr>
              <w:t>D</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4FCAF02C" w14:textId="2823FF71">
            <w:pPr>
              <w:keepNext/>
              <w:keepLines/>
              <w:jc w:val="center"/>
              <w:rPr>
                <w:rFonts w:cs="Times New Roman"/>
                <w:b/>
                <w:bCs/>
                <w:sz w:val="20"/>
              </w:rPr>
            </w:pPr>
            <w:r w:rsidRPr="00A926A6">
              <w:rPr>
                <w:rFonts w:cs="Times New Roman"/>
                <w:b/>
                <w:bCs/>
                <w:sz w:val="20"/>
              </w:rPr>
              <w:t xml:space="preserve">E = </w:t>
            </w:r>
            <w:r w:rsidRPr="00A926A6" w:rsidR="009B2321">
              <w:rPr>
                <w:rFonts w:cs="Times New Roman"/>
                <w:b/>
                <w:bCs/>
                <w:sz w:val="20"/>
              </w:rPr>
              <w:t>.33</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376CA8DE" w14:textId="77777777">
            <w:pPr>
              <w:keepNext/>
              <w:keepLines/>
              <w:jc w:val="center"/>
              <w:rPr>
                <w:rFonts w:cs="Times New Roman"/>
                <w:b/>
                <w:bCs/>
                <w:sz w:val="20"/>
              </w:rPr>
            </w:pPr>
            <w:r w:rsidRPr="00A926A6">
              <w:rPr>
                <w:rFonts w:cs="Times New Roman"/>
                <w:b/>
                <w:bCs/>
                <w:sz w:val="20"/>
              </w:rPr>
              <w:t>F = D x E</w:t>
            </w:r>
          </w:p>
        </w:tc>
        <w:tc>
          <w:tcPr>
            <w:tcW w:w="488" w:type="pc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A926A6" w:rsidP="006C20FA" w14:paraId="5E97212A" w14:textId="77777777">
            <w:pPr>
              <w:keepNext/>
              <w:keepLines/>
              <w:jc w:val="center"/>
              <w:rPr>
                <w:rFonts w:cs="Times New Roman"/>
                <w:b/>
                <w:bCs/>
                <w:sz w:val="20"/>
              </w:rPr>
            </w:pPr>
            <w:r w:rsidRPr="00A926A6">
              <w:rPr>
                <w:rFonts w:cs="Times New Roman"/>
                <w:b/>
                <w:bCs/>
                <w:sz w:val="20"/>
              </w:rPr>
              <w:t>G</w:t>
            </w:r>
          </w:p>
        </w:tc>
        <w:tc>
          <w:tcPr>
            <w:tcW w:w="321"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66E04443" w14:textId="77777777">
            <w:pPr>
              <w:keepNext/>
              <w:keepLines/>
              <w:jc w:val="center"/>
              <w:rPr>
                <w:rFonts w:cs="Times New Roman"/>
                <w:b/>
                <w:bCs/>
                <w:sz w:val="20"/>
              </w:rPr>
            </w:pPr>
            <w:r w:rsidRPr="00A926A6">
              <w:rPr>
                <w:rFonts w:cs="Times New Roman"/>
                <w:b/>
                <w:bCs/>
                <w:sz w:val="20"/>
              </w:rPr>
              <w:t>H = 0.5</w:t>
            </w:r>
          </w:p>
        </w:tc>
        <w:tc>
          <w:tcPr>
            <w:tcW w:w="370"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44A7AFC8" w14:textId="77777777">
            <w:pPr>
              <w:keepNext/>
              <w:keepLines/>
              <w:jc w:val="center"/>
              <w:rPr>
                <w:rFonts w:cs="Times New Roman"/>
                <w:b/>
                <w:bCs/>
                <w:sz w:val="20"/>
              </w:rPr>
            </w:pPr>
            <w:r w:rsidRPr="00A926A6">
              <w:rPr>
                <w:rFonts w:cs="Times New Roman"/>
                <w:b/>
                <w:bCs/>
                <w:sz w:val="20"/>
              </w:rPr>
              <w:t>I = G x H</w:t>
            </w:r>
          </w:p>
        </w:tc>
        <w:tc>
          <w:tcPr>
            <w:tcW w:w="294"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700F65A4" w14:textId="77777777">
            <w:pPr>
              <w:keepNext/>
              <w:keepLines/>
              <w:jc w:val="center"/>
              <w:rPr>
                <w:rFonts w:cs="Times New Roman"/>
                <w:b/>
                <w:bCs/>
                <w:sz w:val="20"/>
              </w:rPr>
            </w:pPr>
            <w:r w:rsidRPr="00A926A6">
              <w:rPr>
                <w:rFonts w:cs="Times New Roman"/>
                <w:b/>
                <w:bCs/>
                <w:sz w:val="20"/>
              </w:rPr>
              <w:t>J = C + F + I</w:t>
            </w:r>
          </w:p>
        </w:tc>
        <w:tc>
          <w:tcPr>
            <w:tcW w:w="467"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A926A6" w:rsidP="006C20FA" w14:paraId="19BB4A8D" w14:textId="5BAB4FBB">
            <w:pPr>
              <w:keepNext/>
              <w:keepLines/>
              <w:jc w:val="center"/>
              <w:rPr>
                <w:rFonts w:cs="Times New Roman"/>
                <w:b/>
                <w:bCs/>
                <w:sz w:val="20"/>
              </w:rPr>
            </w:pPr>
            <w:r w:rsidRPr="00A926A6">
              <w:rPr>
                <w:rFonts w:cs="Times New Roman"/>
                <w:b/>
                <w:bCs/>
                <w:sz w:val="20"/>
              </w:rPr>
              <w:t>K = J x $</w:t>
            </w:r>
            <w:r w:rsidRPr="00A926A6" w:rsidR="00F258FF">
              <w:rPr>
                <w:rFonts w:cs="Times New Roman"/>
                <w:b/>
                <w:bCs/>
                <w:sz w:val="20"/>
              </w:rPr>
              <w:t>114.44</w:t>
            </w:r>
          </w:p>
        </w:tc>
      </w:tr>
      <w:tr w14:paraId="71AD7148"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300B0F7D" w14:textId="209469B0">
            <w:pPr>
              <w:keepNext/>
              <w:keepLines/>
              <w:jc w:val="right"/>
              <w:rPr>
                <w:rFonts w:cs="Times New Roman"/>
                <w:sz w:val="20"/>
              </w:rPr>
            </w:pPr>
            <w:r w:rsidRPr="00A926A6">
              <w:rPr>
                <w:rFonts w:cs="Times New Roman"/>
                <w:sz w:val="20"/>
              </w:rPr>
              <w:t>2024</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35DF31F" w14:textId="642AA2B2">
            <w:pPr>
              <w:keepNext/>
              <w:keepLines/>
              <w:jc w:val="right"/>
              <w:rPr>
                <w:rFonts w:cs="Times New Roman"/>
                <w:sz w:val="20"/>
              </w:rPr>
            </w:pPr>
            <w:r w:rsidRPr="00A926A6">
              <w:rPr>
                <w:rFonts w:cs="Times New Roman"/>
                <w:sz w:val="20"/>
              </w:rPr>
              <w:t>118</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85E" w:rsidRPr="00A926A6" w:rsidP="0075085E" w14:paraId="3644B565" w14:textId="77777777">
            <w:pPr>
              <w:keepNext/>
              <w:keepLines/>
              <w:jc w:val="center"/>
              <w:rPr>
                <w:rFonts w:cs="Times New Roman"/>
                <w:sz w:val="20"/>
              </w:rPr>
            </w:pPr>
            <w:r w:rsidRPr="00A926A6">
              <w:rPr>
                <w:rFonts w:cs="Times New Roman"/>
                <w:sz w:val="20"/>
              </w:rPr>
              <w:t>0.5</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04EFA1F6" w14:textId="623CB222">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78250BAB" w14:textId="3CCAAFA3">
            <w:pPr>
              <w:keepNext/>
              <w:keepLines/>
              <w:jc w:val="right"/>
              <w:rPr>
                <w:rFonts w:cs="Times New Roman"/>
                <w:sz w:val="20"/>
              </w:rPr>
            </w:pPr>
            <w:r w:rsidRPr="00A926A6">
              <w:rPr>
                <w:rFonts w:cs="Times New Roman"/>
                <w:sz w:val="20"/>
              </w:rPr>
              <w:t xml:space="preserve">                 2,000</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85E" w:rsidRPr="00A926A6" w:rsidP="0075085E" w14:paraId="403D8CE4" w14:textId="2B696CE9">
            <w:pPr>
              <w:keepNext/>
              <w:keepLines/>
              <w:jc w:val="center"/>
              <w:rPr>
                <w:rFonts w:cs="Times New Roman"/>
                <w:sz w:val="20"/>
              </w:rPr>
            </w:pPr>
            <w:r w:rsidRPr="00A926A6">
              <w:rPr>
                <w:rFonts w:cs="Times New Roman"/>
                <w:sz w:val="20"/>
              </w:rPr>
              <w:t>.33</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1452E4B7" w14:textId="51C339C2">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B1D0ACF" w14:textId="2F27DEB9">
            <w:pPr>
              <w:keepNext/>
              <w:keepLines/>
              <w:jc w:val="right"/>
              <w:rPr>
                <w:rFonts w:cs="Times New Roman"/>
                <w:sz w:val="20"/>
              </w:rPr>
            </w:pPr>
            <w:r w:rsidRPr="00A926A6">
              <w:rPr>
                <w:rFonts w:cs="Times New Roman"/>
                <w:sz w:val="20"/>
              </w:rPr>
              <w:t>1</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85E" w:rsidRPr="00A926A6" w:rsidP="0075085E" w14:paraId="3434883B" w14:textId="77777777">
            <w:pPr>
              <w:keepNext/>
              <w:keepLines/>
              <w:jc w:val="center"/>
              <w:rPr>
                <w:rFonts w:cs="Times New Roman"/>
                <w:sz w:val="20"/>
              </w:rPr>
            </w:pPr>
            <w:r w:rsidRPr="00A926A6">
              <w:rPr>
                <w:rFonts w:cs="Times New Roman"/>
                <w:sz w:val="20"/>
              </w:rPr>
              <w:t>0.5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5E5B21E3" w14:textId="561C93ED">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692FF53A" w14:textId="139295E4">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6FDFA442" w14:textId="7CA674C7">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385188D9"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25DFDA5C" w14:textId="187631F9">
            <w:pPr>
              <w:keepNext/>
              <w:keepLines/>
              <w:jc w:val="right"/>
              <w:rPr>
                <w:rFonts w:cs="Times New Roman"/>
                <w:sz w:val="20"/>
              </w:rPr>
            </w:pPr>
            <w:r w:rsidRPr="00A926A6">
              <w:rPr>
                <w:rFonts w:cs="Times New Roman"/>
                <w:sz w:val="20"/>
              </w:rPr>
              <w:t>2025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7C8B100" w14:textId="6CE6E284">
            <w:pPr>
              <w:keepNext/>
              <w:keepLines/>
              <w:jc w:val="right"/>
              <w:rPr>
                <w:rFonts w:cs="Times New Roman"/>
                <w:sz w:val="20"/>
              </w:rPr>
            </w:pPr>
            <w:r w:rsidRPr="00A926A6">
              <w:rPr>
                <w:rFonts w:cs="Times New Roman"/>
                <w:sz w:val="20"/>
              </w:rPr>
              <w:t>118</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093AFB9C"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6D34266" w14:textId="15D7D6D0">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1A71BC5" w14:textId="674B8CBE">
            <w:pPr>
              <w:keepNext/>
              <w:keepLines/>
              <w:jc w:val="right"/>
              <w:rPr>
                <w:rFonts w:cs="Times New Roman"/>
                <w:sz w:val="20"/>
              </w:rPr>
            </w:pPr>
            <w:r w:rsidRPr="00A926A6">
              <w:rPr>
                <w:rFonts w:cs="Times New Roman"/>
                <w:sz w:val="20"/>
              </w:rPr>
              <w:t xml:space="preserve">                 2,000</w:t>
            </w: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62E130CD" w14:textId="77777777">
            <w:pPr>
              <w:keepNext/>
              <w:keepLines/>
              <w:rPr>
                <w:rFonts w:cs="Times New Roman"/>
                <w:sz w:val="20"/>
              </w:rPr>
            </w:pP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741A1950" w14:textId="498B9806">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284A0108" w14:textId="4DD221D1">
            <w:pPr>
              <w:keepNext/>
              <w:keepLines/>
              <w:jc w:val="right"/>
              <w:rPr>
                <w:rFonts w:cs="Times New Roman"/>
                <w:sz w:val="20"/>
              </w:rPr>
            </w:pPr>
            <w:r w:rsidRPr="00A926A6">
              <w:rPr>
                <w:rFonts w:cs="Times New Roman"/>
                <w:sz w:val="20"/>
              </w:rPr>
              <w:t>1</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3A166A32"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08F4D549" w14:textId="2F9DF50A">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33A7122F" w14:textId="219F462C">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2B71658C" w14:textId="1918BEE4">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0DDD033A" w14:textId="77777777" w:rsidTr="00120BE9">
        <w:tblPrEx>
          <w:tblW w:w="5000" w:type="pct"/>
          <w:tblLook w:val="04A0"/>
        </w:tblPrEx>
        <w:trPr>
          <w:trHeight w:val="292"/>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2AFBB045" w14:textId="2E7057F5">
            <w:pPr>
              <w:keepNext/>
              <w:keepLines/>
              <w:jc w:val="right"/>
              <w:rPr>
                <w:rFonts w:cs="Times New Roman"/>
                <w:sz w:val="20"/>
              </w:rPr>
            </w:pPr>
            <w:r w:rsidRPr="00A926A6">
              <w:rPr>
                <w:rFonts w:cs="Times New Roman"/>
                <w:sz w:val="20"/>
              </w:rPr>
              <w:t>2026</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4A60CD4" w14:textId="7BF190DD">
            <w:pPr>
              <w:keepNext/>
              <w:keepLines/>
              <w:jc w:val="right"/>
              <w:rPr>
                <w:rFonts w:cs="Times New Roman"/>
                <w:sz w:val="20"/>
              </w:rPr>
            </w:pPr>
            <w:r w:rsidRPr="00A926A6">
              <w:rPr>
                <w:rFonts w:cs="Times New Roman"/>
                <w:sz w:val="20"/>
              </w:rPr>
              <w:t>118</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4146D89D"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55F0D055" w14:textId="02FC6AEA">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27529CB" w14:textId="0ED5E0A4">
            <w:pPr>
              <w:keepNext/>
              <w:keepLines/>
              <w:jc w:val="right"/>
              <w:rPr>
                <w:rFonts w:cs="Times New Roman"/>
                <w:sz w:val="20"/>
              </w:rPr>
            </w:pPr>
            <w:r w:rsidRPr="00A926A6">
              <w:rPr>
                <w:rFonts w:cs="Times New Roman"/>
                <w:sz w:val="20"/>
              </w:rPr>
              <w:t xml:space="preserve">                 2,000</w:t>
            </w: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33D10D37" w14:textId="77777777">
            <w:pPr>
              <w:keepNext/>
              <w:keepLines/>
              <w:rPr>
                <w:rFonts w:cs="Times New Roman"/>
                <w:sz w:val="20"/>
              </w:rPr>
            </w:pP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75F4C0DB" w14:textId="0B540223">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9979582" w14:textId="29BD6B19">
            <w:pPr>
              <w:keepNext/>
              <w:keepLines/>
              <w:jc w:val="right"/>
              <w:rPr>
                <w:rFonts w:cs="Times New Roman"/>
                <w:sz w:val="20"/>
              </w:rPr>
            </w:pPr>
            <w:r w:rsidRPr="00A926A6">
              <w:rPr>
                <w:rFonts w:cs="Times New Roman"/>
                <w:sz w:val="20"/>
              </w:rPr>
              <w:t>1</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75085E" w:rsidRPr="00A926A6" w:rsidP="0075085E" w14:paraId="574F711F" w14:textId="77777777">
            <w:pPr>
              <w:keepNext/>
              <w:keepLines/>
              <w:rPr>
                <w:rFonts w:cs="Times New Roman"/>
                <w:sz w:val="20"/>
              </w:rPr>
            </w:pP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1DB38463" w14:textId="0DD8A44C">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0AEA8071" w14:textId="0997465F">
            <w:pPr>
              <w:keepNext/>
              <w:keepLines/>
              <w:jc w:val="center"/>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614E248C" w14:textId="280384D1">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r w14:paraId="0C023A49" w14:textId="77777777" w:rsidTr="00120BE9">
        <w:tblPrEx>
          <w:tblW w:w="5000" w:type="pct"/>
          <w:tblLook w:val="04A0"/>
        </w:tblPrEx>
        <w:trPr>
          <w:trHeight w:val="283"/>
        </w:trPr>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5085E" w:rsidRPr="00A926A6" w:rsidP="0075085E" w14:paraId="72D17EEA" w14:textId="20CB49CE">
            <w:pPr>
              <w:keepNext/>
              <w:keepLines/>
              <w:rPr>
                <w:rFonts w:cs="Times New Roman"/>
                <w:sz w:val="20"/>
              </w:rPr>
            </w:pPr>
            <w:r w:rsidRPr="00A926A6">
              <w:rPr>
                <w:rFonts w:cs="Times New Roman"/>
                <w:sz w:val="20"/>
              </w:rPr>
              <w:t>Total</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9FED5B6" w14:textId="104D1B54">
            <w:pPr>
              <w:keepNext/>
              <w:keepLines/>
              <w:jc w:val="right"/>
              <w:rPr>
                <w:rFonts w:cs="Times New Roman"/>
                <w:sz w:val="20"/>
              </w:rPr>
            </w:pPr>
            <w:r w:rsidRPr="00A926A6">
              <w:rPr>
                <w:rFonts w:cs="Times New Roman"/>
                <w:sz w:val="20"/>
              </w:rPr>
              <w:t>354</w:t>
            </w:r>
          </w:p>
        </w:tc>
        <w:tc>
          <w:tcPr>
            <w:tcW w:w="317"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705986F3"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359AFE55" w14:textId="74592F4D">
            <w:pPr>
              <w:keepNext/>
              <w:keepLines/>
              <w:jc w:val="right"/>
              <w:rPr>
                <w:rFonts w:cs="Times New Roman"/>
                <w:sz w:val="20"/>
              </w:rPr>
            </w:pPr>
            <w:r w:rsidRPr="00A926A6">
              <w:rPr>
                <w:rFonts w:cs="Times New Roman"/>
                <w:sz w:val="20"/>
              </w:rPr>
              <w:t>177</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61BC5A5" w14:textId="77777777">
            <w:pPr>
              <w:keepNext/>
              <w:keepLines/>
              <w:jc w:val="right"/>
              <w:rPr>
                <w:rFonts w:cs="Times New Roman"/>
                <w:sz w:val="20"/>
              </w:rPr>
            </w:pPr>
            <w:r w:rsidRPr="00A926A6">
              <w:rPr>
                <w:rFonts w:cs="Times New Roman"/>
                <w:sz w:val="20"/>
              </w:rPr>
              <w:t>6000</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4279F859" w14:textId="77777777">
            <w:pPr>
              <w:keepNext/>
              <w:keepLines/>
              <w:rPr>
                <w:rFonts w:cs="Times New Roman"/>
                <w:sz w:val="20"/>
              </w:rPr>
            </w:pPr>
            <w:r w:rsidRPr="00A926A6">
              <w:rPr>
                <w:rFonts w:cs="Times New Roman"/>
                <w:sz w:val="20"/>
              </w:rPr>
              <w:t> </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672E84" w14:paraId="5C394B04" w14:textId="04BAD10B">
            <w:pPr>
              <w:keepNext/>
              <w:keepLines/>
              <w:jc w:val="center"/>
              <w:rPr>
                <w:rFonts w:cs="Times New Roman"/>
                <w:sz w:val="20"/>
              </w:rPr>
            </w:pPr>
            <w:r w:rsidRPr="00A926A6">
              <w:rPr>
                <w:rFonts w:cs="Times New Roman"/>
                <w:sz w:val="20"/>
              </w:rPr>
              <w:t>2,000</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CFFCCBF" w14:textId="543D7011">
            <w:pPr>
              <w:keepNext/>
              <w:keepLines/>
              <w:jc w:val="right"/>
              <w:rPr>
                <w:rFonts w:cs="Times New Roman"/>
                <w:sz w:val="20"/>
              </w:rPr>
            </w:pPr>
            <w:r w:rsidRPr="00A926A6">
              <w:rPr>
                <w:rFonts w:cs="Times New Roman"/>
                <w:sz w:val="20"/>
              </w:rPr>
              <w:t>3</w:t>
            </w:r>
          </w:p>
        </w:tc>
        <w:tc>
          <w:tcPr>
            <w:tcW w:w="321"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1C5E6B45"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6D45EC2A" w14:textId="67546D01">
            <w:pPr>
              <w:keepNext/>
              <w:keepLines/>
              <w:jc w:val="right"/>
              <w:rPr>
                <w:rFonts w:cs="Times New Roman"/>
                <w:sz w:val="20"/>
              </w:rPr>
            </w:pPr>
            <w:r w:rsidRPr="00A926A6">
              <w:rPr>
                <w:rFonts w:cs="Times New Roman"/>
                <w:sz w:val="20"/>
              </w:rPr>
              <w:t>1.5</w:t>
            </w:r>
          </w:p>
        </w:tc>
        <w:tc>
          <w:tcPr>
            <w:tcW w:w="294" w:type="pct"/>
            <w:tcBorders>
              <w:top w:val="single" w:sz="4" w:space="0" w:color="auto"/>
              <w:left w:val="nil"/>
              <w:bottom w:val="single" w:sz="4" w:space="0" w:color="auto"/>
              <w:right w:val="single" w:sz="4" w:space="0" w:color="auto"/>
            </w:tcBorders>
            <w:shd w:val="clear" w:color="auto" w:fill="auto"/>
            <w:vAlign w:val="bottom"/>
            <w:hideMark/>
          </w:tcPr>
          <w:p w:rsidR="0075085E" w:rsidRPr="00A926A6" w:rsidP="0075085E" w14:paraId="2E81E6A5" w14:textId="3356AA47">
            <w:pPr>
              <w:keepNext/>
              <w:keepLines/>
              <w:rPr>
                <w:rFonts w:cs="Times New Roman"/>
                <w:sz w:val="20"/>
              </w:rPr>
            </w:pPr>
            <w:r w:rsidRPr="00A926A6">
              <w:rPr>
                <w:rFonts w:cs="Times New Roman"/>
                <w:sz w:val="20"/>
              </w:rPr>
              <w:t xml:space="preserve">          2,179 </w:t>
            </w:r>
          </w:p>
        </w:tc>
        <w:tc>
          <w:tcPr>
            <w:tcW w:w="467" w:type="pct"/>
            <w:tcBorders>
              <w:top w:val="single" w:sz="4" w:space="0" w:color="auto"/>
              <w:left w:val="nil"/>
              <w:bottom w:val="single" w:sz="4" w:space="0" w:color="auto"/>
              <w:right w:val="single" w:sz="4" w:space="0" w:color="auto"/>
            </w:tcBorders>
            <w:shd w:val="clear" w:color="auto" w:fill="auto"/>
            <w:vAlign w:val="bottom"/>
          </w:tcPr>
          <w:p w:rsidR="0075085E" w:rsidRPr="00A926A6" w:rsidP="0075085E" w14:paraId="487A0442" w14:textId="0503AB36">
            <w:pPr>
              <w:keepNext/>
              <w:keepLines/>
              <w:jc w:val="right"/>
              <w:rPr>
                <w:rFonts w:cs="Times New Roman"/>
                <w:sz w:val="20"/>
              </w:rPr>
            </w:pPr>
            <w:r w:rsidRPr="00A926A6">
              <w:rPr>
                <w:rFonts w:cs="Times New Roman"/>
                <w:sz w:val="20"/>
              </w:rPr>
              <w:t>$</w:t>
            </w:r>
            <w:r w:rsidRPr="00A926A6" w:rsidR="002E4F18">
              <w:rPr>
                <w:rFonts w:cs="Times New Roman"/>
                <w:sz w:val="20"/>
              </w:rPr>
              <w:t>249,314.25</w:t>
            </w:r>
          </w:p>
        </w:tc>
      </w:tr>
      <w:tr w14:paraId="63D2A475" w14:textId="77777777" w:rsidTr="00120BE9">
        <w:tblPrEx>
          <w:tblW w:w="5000" w:type="pct"/>
          <w:tblLook w:val="04A0"/>
        </w:tblPrEx>
        <w:trPr>
          <w:trHeight w:val="292"/>
        </w:trPr>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85E" w:rsidRPr="00A926A6" w:rsidP="0075085E" w14:paraId="4C82C1FC" w14:textId="20EDA2BF">
            <w:pPr>
              <w:keepNext/>
              <w:keepLines/>
              <w:rPr>
                <w:rFonts w:cs="Times New Roman"/>
                <w:sz w:val="20"/>
              </w:rPr>
            </w:pPr>
            <w:r w:rsidRPr="00A926A6">
              <w:rPr>
                <w:rFonts w:cs="Times New Roman"/>
                <w:sz w:val="20"/>
              </w:rPr>
              <w:t>Average</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4F58B49E" w14:textId="4131AE43">
            <w:pPr>
              <w:keepNext/>
              <w:keepLines/>
              <w:jc w:val="right"/>
              <w:rPr>
                <w:rFonts w:cs="Times New Roman"/>
                <w:sz w:val="20"/>
              </w:rPr>
            </w:pPr>
            <w:r w:rsidRPr="00A926A6">
              <w:rPr>
                <w:rFonts w:cs="Times New Roman"/>
                <w:sz w:val="20"/>
              </w:rPr>
              <w:t>118</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1915E399"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7C92205" w14:textId="11807359">
            <w:pPr>
              <w:keepNext/>
              <w:keepLines/>
              <w:jc w:val="right"/>
              <w:rPr>
                <w:rFonts w:cs="Times New Roman"/>
                <w:sz w:val="20"/>
              </w:rPr>
            </w:pPr>
            <w:r w:rsidRPr="00A926A6">
              <w:rPr>
                <w:rFonts w:cs="Times New Roman"/>
                <w:sz w:val="20"/>
              </w:rPr>
              <w:t>59</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A2B17EB" w14:textId="77777777">
            <w:pPr>
              <w:keepNext/>
              <w:keepLines/>
              <w:jc w:val="right"/>
              <w:rPr>
                <w:rFonts w:cs="Times New Roman"/>
                <w:sz w:val="20"/>
              </w:rPr>
            </w:pPr>
            <w:r w:rsidRPr="00A926A6">
              <w:rPr>
                <w:rFonts w:cs="Times New Roman"/>
                <w:sz w:val="20"/>
              </w:rPr>
              <w:t>2000</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6241872F" w14:textId="77777777">
            <w:pPr>
              <w:keepNext/>
              <w:keepLines/>
              <w:jc w:val="center"/>
              <w:rPr>
                <w:rFonts w:cs="Times New Roman"/>
                <w:sz w:val="20"/>
              </w:rPr>
            </w:pPr>
            <w:r w:rsidRPr="00A926A6">
              <w:rPr>
                <w:rFonts w:cs="Times New Roman"/>
                <w:sz w:val="20"/>
              </w:rPr>
              <w:t> </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672E84" w14:paraId="06EBF6CF" w14:textId="0DF24713">
            <w:pPr>
              <w:keepNext/>
              <w:keepLines/>
              <w:jc w:val="center"/>
              <w:rPr>
                <w:rFonts w:cs="Times New Roman"/>
                <w:sz w:val="20"/>
              </w:rPr>
            </w:pPr>
            <w:r w:rsidRPr="00A926A6">
              <w:rPr>
                <w:rFonts w:cs="Times New Roman"/>
                <w:sz w:val="20"/>
              </w:rPr>
              <w:t>667</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256829C9" w14:textId="505DAEE3">
            <w:pPr>
              <w:keepNext/>
              <w:keepLines/>
              <w:jc w:val="right"/>
              <w:rPr>
                <w:rFonts w:cs="Times New Roman"/>
                <w:sz w:val="20"/>
              </w:rPr>
            </w:pPr>
            <w:r w:rsidRPr="00A926A6">
              <w:rPr>
                <w:rFonts w:cs="Times New Roman"/>
                <w:sz w:val="20"/>
              </w:rPr>
              <w:t>1</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2817BB8B" w14:textId="77777777">
            <w:pPr>
              <w:keepNext/>
              <w:keepLines/>
              <w:rPr>
                <w:rFonts w:cs="Times New Roman"/>
                <w:sz w:val="20"/>
              </w:rPr>
            </w:pPr>
            <w:r w:rsidRPr="00A926A6">
              <w:rPr>
                <w:rFonts w:cs="Times New Roman"/>
                <w:sz w:val="20"/>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31828DD3" w14:textId="06D259FB">
            <w:pPr>
              <w:keepNext/>
              <w:keepLines/>
              <w:jc w:val="right"/>
              <w:rPr>
                <w:rFonts w:cs="Times New Roman"/>
                <w:sz w:val="20"/>
              </w:rPr>
            </w:pPr>
            <w:r w:rsidRPr="00A926A6">
              <w:rPr>
                <w:rFonts w:cs="Times New Roman"/>
                <w:sz w:val="20"/>
              </w:rPr>
              <w:t>0.5</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rsidR="0075085E" w:rsidRPr="00A926A6" w:rsidP="0075085E" w14:paraId="7887B8AE" w14:textId="0963A54E">
            <w:pPr>
              <w:keepNext/>
              <w:keepLines/>
              <w:rPr>
                <w:rFonts w:cs="Times New Roman"/>
                <w:sz w:val="20"/>
              </w:rPr>
            </w:pPr>
            <w:r w:rsidRPr="00A926A6">
              <w:rPr>
                <w:rFonts w:cs="Times New Roman"/>
                <w:sz w:val="20"/>
              </w:rPr>
              <w:t xml:space="preserve">            </w:t>
            </w:r>
            <w:r w:rsidRPr="00A926A6" w:rsidR="00EF25D2">
              <w:rPr>
                <w:rFonts w:cs="Times New Roman"/>
                <w:sz w:val="20"/>
              </w:rPr>
              <w:t>726</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085E" w:rsidRPr="00A926A6" w:rsidP="0075085E" w14:paraId="09C4F409" w14:textId="00F35827">
            <w:pPr>
              <w:keepNext/>
              <w:keepLines/>
              <w:jc w:val="right"/>
              <w:rPr>
                <w:rFonts w:cs="Times New Roman"/>
                <w:sz w:val="20"/>
              </w:rPr>
            </w:pPr>
            <w:r w:rsidRPr="00A926A6">
              <w:rPr>
                <w:rFonts w:cs="Times New Roman"/>
                <w:sz w:val="20"/>
              </w:rPr>
              <w:t>$</w:t>
            </w:r>
            <w:r w:rsidRPr="00A926A6" w:rsidR="00E93C2E">
              <w:rPr>
                <w:rFonts w:cs="Times New Roman"/>
                <w:sz w:val="20"/>
              </w:rPr>
              <w:t>83,104.75</w:t>
            </w:r>
          </w:p>
        </w:tc>
      </w:tr>
    </w:tbl>
    <w:p w:rsidR="0013310F" w:rsidP="0013310F" w14:paraId="7BA8FFAA" w14:textId="77777777">
      <w:pPr>
        <w:ind w:left="360"/>
      </w:pPr>
    </w:p>
    <w:p w:rsidR="00F6007A" w:rsidP="009F0958" w14:paraId="3CCD2190" w14:textId="77777777">
      <w:pPr>
        <w:ind w:left="360"/>
        <w:sectPr w:rsidSect="006C20FA">
          <w:headerReference w:type="default" r:id="rId11"/>
          <w:headerReference w:type="first" r:id="rId12"/>
          <w:footerReference w:type="first" r:id="rId13"/>
          <w:pgSz w:w="15840" w:h="12240" w:orient="landscape" w:code="1"/>
          <w:pgMar w:top="1440" w:right="1440" w:bottom="1440" w:left="1440" w:header="720" w:footer="720" w:gutter="0"/>
          <w:pgNumType w:start="1"/>
          <w:cols w:space="720"/>
          <w:titlePg/>
          <w:docGrid w:linePitch="360"/>
        </w:sectPr>
      </w:pPr>
    </w:p>
    <w:p w:rsidR="00A94539" w:rsidP="00A94539" w14:paraId="1DF66365" w14:textId="77777777"/>
    <w:p w:rsidR="009F2633" w:rsidP="009F2633" w14:paraId="104FCD52" w14:textId="77777777">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Pr="005623A8" w:rsidR="005623A8">
        <w:rPr>
          <w:b/>
          <w:i/>
        </w:rPr>
        <w:t>(Do not include the cost of any hour burden shown in Items 12 and 14).</w:t>
      </w:r>
    </w:p>
    <w:p w:rsidR="009F2633" w:rsidP="00BB78AB" w14:paraId="60847C08" w14:textId="77777777">
      <w:pPr>
        <w:keepNext/>
        <w:numPr>
          <w:ilvl w:val="12"/>
          <w:numId w:val="0"/>
        </w:numPr>
        <w:ind w:left="360"/>
      </w:pPr>
    </w:p>
    <w:p w:rsidR="002E738C" w:rsidP="002E738C" w14:paraId="5597366A" w14:textId="77777777">
      <w:pPr>
        <w:numPr>
          <w:ilvl w:val="12"/>
          <w:numId w:val="0"/>
        </w:numPr>
        <w:ind w:left="360"/>
      </w:pPr>
      <w:r>
        <w:t>TSA does not estimate a cost to the industry beyond the burden detailed in answer 12.</w:t>
      </w:r>
    </w:p>
    <w:p w:rsidR="00A94539" w:rsidRPr="00A94539" w:rsidP="00A94539" w14:paraId="250F75D9" w14:textId="77777777">
      <w:pPr>
        <w:pStyle w:val="Index1"/>
      </w:pPr>
    </w:p>
    <w:p w:rsidR="009F2633" w:rsidP="009F2633" w14:paraId="5D28CA8A"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14:paraId="00EEFFA1" w14:textId="77777777">
      <w:pPr>
        <w:keepNext/>
        <w:numPr>
          <w:ilvl w:val="12"/>
          <w:numId w:val="0"/>
        </w:numPr>
        <w:ind w:left="360"/>
      </w:pPr>
    </w:p>
    <w:p w:rsidR="00F6007A" w:rsidP="00F6007A" w14:paraId="02FCBA17" w14:textId="4F308F65">
      <w:pPr>
        <w:pStyle w:val="IndexHeading"/>
        <w:keepNext w:val="0"/>
        <w:numPr>
          <w:ilvl w:val="12"/>
          <w:numId w:val="0"/>
        </w:numPr>
        <w:spacing w:line="240" w:lineRule="auto"/>
        <w:ind w:left="360"/>
        <w:rPr>
          <w:rFonts w:ascii="Times New Roman" w:hAnsi="Times New Roman"/>
          <w:spacing w:val="0"/>
        </w:rPr>
      </w:pPr>
      <w:r w:rsidRPr="00D328B0">
        <w:rPr>
          <w:rFonts w:ascii="Times New Roman" w:hAnsi="Times New Roman"/>
          <w:spacing w:val="0"/>
        </w:rPr>
        <w:t xml:space="preserve">Based on previous reporting under OMB approval, </w:t>
      </w:r>
      <w:r w:rsidRPr="004E0895">
        <w:rPr>
          <w:rFonts w:ascii="Times New Roman" w:hAnsi="Times New Roman"/>
          <w:spacing w:val="0"/>
        </w:rPr>
        <w:t xml:space="preserve">TSA estimates that approximately </w:t>
      </w:r>
      <w:r>
        <w:rPr>
          <w:rFonts w:ascii="Times New Roman" w:hAnsi="Times New Roman"/>
          <w:spacing w:val="0"/>
        </w:rPr>
        <w:t>32 security</w:t>
      </w:r>
      <w:r w:rsidRPr="004E0895">
        <w:rPr>
          <w:rFonts w:ascii="Times New Roman" w:hAnsi="Times New Roman"/>
          <w:spacing w:val="0"/>
        </w:rPr>
        <w:t xml:space="preserve"> incidents will be </w:t>
      </w:r>
      <w:r w:rsidR="00B52643">
        <w:rPr>
          <w:rFonts w:ascii="Times New Roman" w:hAnsi="Times New Roman"/>
          <w:spacing w:val="0"/>
        </w:rPr>
        <w:t xml:space="preserve">voluntarily </w:t>
      </w:r>
      <w:r w:rsidRPr="004E0895">
        <w:rPr>
          <w:rFonts w:ascii="Times New Roman" w:hAnsi="Times New Roman"/>
          <w:spacing w:val="0"/>
        </w:rPr>
        <w:t>reported annually to TSOC, requiring a maximum of 30 minutes (0.5 hours) to process the information provided by the respondents</w:t>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 xml:space="preserve">The report is taken and processed by an H-Band TSA employee. </w:t>
      </w:r>
      <w:r w:rsidR="00A60FE5">
        <w:rPr>
          <w:rFonts w:ascii="Times New Roman" w:hAnsi="Times New Roman"/>
          <w:spacing w:val="0"/>
        </w:rPr>
        <w:t xml:space="preserve"> </w:t>
      </w:r>
      <w:r>
        <w:rPr>
          <w:rFonts w:ascii="Times New Roman" w:hAnsi="Times New Roman"/>
          <w:spacing w:val="0"/>
        </w:rPr>
        <w:t>The fully-loaded wage rate for an H-Band employee is $</w:t>
      </w:r>
      <w:r w:rsidR="00E313EA">
        <w:rPr>
          <w:rFonts w:ascii="Times New Roman" w:hAnsi="Times New Roman"/>
          <w:spacing w:val="0"/>
        </w:rPr>
        <w:t>74.32</w:t>
      </w:r>
      <w:r>
        <w:rPr>
          <w:rFonts w:ascii="Times New Roman" w:hAnsi="Times New Roman"/>
          <w:spacing w:val="0"/>
        </w:rPr>
        <w:t>.</w:t>
      </w:r>
      <w:r>
        <w:rPr>
          <w:rStyle w:val="FootnoteReference"/>
          <w:rFonts w:ascii="Times New Roman" w:hAnsi="Times New Roman"/>
          <w:spacing w:val="0"/>
        </w:rPr>
        <w:footnoteReference w:id="13"/>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TSA estimates 2,000 cybersecurity incidents will be reported annually to CISA</w:t>
      </w:r>
      <w:r w:rsidR="00B52643">
        <w:rPr>
          <w:rFonts w:ascii="Times New Roman" w:hAnsi="Times New Roman"/>
          <w:spacing w:val="0"/>
        </w:rPr>
        <w:t xml:space="preserve"> under the SD’s requirements</w:t>
      </w:r>
      <w:r>
        <w:rPr>
          <w:rFonts w:ascii="Times New Roman" w:hAnsi="Times New Roman"/>
          <w:spacing w:val="0"/>
        </w:rPr>
        <w:t xml:space="preserve">, and that it will take a maximum of 30 minutes (0.5 hours) to process these reports. </w:t>
      </w:r>
      <w:r w:rsidR="00A926A6">
        <w:rPr>
          <w:rFonts w:ascii="Times New Roman" w:hAnsi="Times New Roman"/>
          <w:spacing w:val="0"/>
        </w:rPr>
        <w:t xml:space="preserve"> </w:t>
      </w:r>
      <w:r>
        <w:rPr>
          <w:rFonts w:ascii="Times New Roman" w:hAnsi="Times New Roman"/>
          <w:spacing w:val="0"/>
        </w:rPr>
        <w:t xml:space="preserve">TSA will receive an average of </w:t>
      </w:r>
      <w:r w:rsidR="00A926A6">
        <w:rPr>
          <w:rFonts w:ascii="Times New Roman" w:hAnsi="Times New Roman"/>
          <w:spacing w:val="0"/>
        </w:rPr>
        <w:t xml:space="preserve">one </w:t>
      </w:r>
      <w:r>
        <w:rPr>
          <w:rFonts w:ascii="Times New Roman" w:hAnsi="Times New Roman"/>
          <w:spacing w:val="0"/>
        </w:rPr>
        <w:t xml:space="preserve">Cybersecurity POC report, but the time burden to TSA to process the POC information is negligible. </w:t>
      </w:r>
      <w:r w:rsidR="00A60FE5">
        <w:rPr>
          <w:rFonts w:ascii="Times New Roman" w:hAnsi="Times New Roman"/>
          <w:spacing w:val="0"/>
        </w:rPr>
        <w:t xml:space="preserve"> </w:t>
      </w:r>
      <w:r w:rsidR="003A1FBB">
        <w:rPr>
          <w:rFonts w:ascii="Times New Roman" w:hAnsi="Times New Roman"/>
          <w:spacing w:val="0"/>
        </w:rPr>
        <w:t>The total</w:t>
      </w:r>
      <w:r>
        <w:rPr>
          <w:rFonts w:ascii="Times New Roman" w:hAnsi="Times New Roman"/>
          <w:spacing w:val="0"/>
        </w:rPr>
        <w:t xml:space="preserve"> time burden to government is estimated to be </w:t>
      </w:r>
      <w:r w:rsidR="00DA3FF3">
        <w:rPr>
          <w:rFonts w:ascii="Times New Roman" w:hAnsi="Times New Roman"/>
          <w:spacing w:val="0"/>
        </w:rPr>
        <w:t>1,059</w:t>
      </w:r>
      <w:r>
        <w:rPr>
          <w:rFonts w:ascii="Times New Roman" w:hAnsi="Times New Roman"/>
          <w:spacing w:val="0"/>
        </w:rPr>
        <w:t xml:space="preserve"> hours (3,</w:t>
      </w:r>
      <w:r w:rsidR="00F81E27">
        <w:rPr>
          <w:rFonts w:ascii="Times New Roman" w:hAnsi="Times New Roman"/>
          <w:spacing w:val="0"/>
        </w:rPr>
        <w:t>177</w:t>
      </w:r>
      <w:r>
        <w:rPr>
          <w:rFonts w:ascii="Times New Roman" w:hAnsi="Times New Roman"/>
          <w:spacing w:val="0"/>
        </w:rPr>
        <w:t xml:space="preserve"> over </w:t>
      </w:r>
      <w:r w:rsidR="00A926A6">
        <w:rPr>
          <w:rFonts w:ascii="Times New Roman" w:hAnsi="Times New Roman"/>
          <w:spacing w:val="0"/>
        </w:rPr>
        <w:t xml:space="preserve">3 </w:t>
      </w:r>
      <w:r>
        <w:rPr>
          <w:rFonts w:ascii="Times New Roman" w:hAnsi="Times New Roman"/>
          <w:spacing w:val="0"/>
        </w:rPr>
        <w:t>years)</w:t>
      </w:r>
      <w:r w:rsidRPr="004E0895">
        <w:rPr>
          <w:rFonts w:ascii="Times New Roman" w:hAnsi="Times New Roman"/>
          <w:spacing w:val="0"/>
        </w:rPr>
        <w:t xml:space="preserve">.  </w:t>
      </w:r>
      <w:r>
        <w:rPr>
          <w:rFonts w:ascii="Times New Roman" w:hAnsi="Times New Roman"/>
          <w:spacing w:val="0"/>
        </w:rPr>
        <w:t>TSA applies the fully-loaded wage rate of an H-Band employee of $</w:t>
      </w:r>
      <w:r w:rsidR="00086142">
        <w:rPr>
          <w:rFonts w:ascii="Times New Roman" w:hAnsi="Times New Roman"/>
          <w:spacing w:val="0"/>
        </w:rPr>
        <w:t>74.32</w:t>
      </w:r>
      <w:r>
        <w:rPr>
          <w:rFonts w:ascii="Times New Roman" w:hAnsi="Times New Roman"/>
          <w:spacing w:val="0"/>
        </w:rPr>
        <w:t xml:space="preserve"> to estimate the cost of the time burden to government. </w:t>
      </w:r>
      <w:r w:rsidR="00A60FE5">
        <w:rPr>
          <w:rFonts w:ascii="Times New Roman" w:hAnsi="Times New Roman"/>
          <w:spacing w:val="0"/>
        </w:rPr>
        <w:t xml:space="preserve"> </w:t>
      </w:r>
      <w:r>
        <w:rPr>
          <w:rFonts w:ascii="Times New Roman" w:hAnsi="Times New Roman"/>
          <w:spacing w:val="0"/>
        </w:rPr>
        <w:t>TSA estimates the total TSA burden to be $</w:t>
      </w:r>
      <w:r w:rsidR="00345664">
        <w:rPr>
          <w:rFonts w:ascii="Times New Roman" w:hAnsi="Times New Roman"/>
          <w:spacing w:val="0"/>
        </w:rPr>
        <w:t>78,706</w:t>
      </w:r>
      <w:r>
        <w:rPr>
          <w:rFonts w:ascii="Times New Roman" w:hAnsi="Times New Roman"/>
          <w:spacing w:val="0"/>
        </w:rPr>
        <w:t xml:space="preserve"> per year ($</w:t>
      </w:r>
      <w:r w:rsidR="00517F40">
        <w:rPr>
          <w:rFonts w:ascii="Times New Roman" w:hAnsi="Times New Roman"/>
          <w:spacing w:val="0"/>
        </w:rPr>
        <w:t>236,119</w:t>
      </w:r>
      <w:r>
        <w:rPr>
          <w:rFonts w:ascii="Times New Roman" w:hAnsi="Times New Roman"/>
          <w:spacing w:val="0"/>
        </w:rPr>
        <w:t xml:space="preserve"> over </w:t>
      </w:r>
      <w:r w:rsidR="00A926A6">
        <w:rPr>
          <w:rFonts w:ascii="Times New Roman" w:hAnsi="Times New Roman"/>
          <w:spacing w:val="0"/>
        </w:rPr>
        <w:t xml:space="preserve">3 </w:t>
      </w:r>
      <w:r>
        <w:rPr>
          <w:rFonts w:ascii="Times New Roman" w:hAnsi="Times New Roman"/>
          <w:spacing w:val="0"/>
        </w:rPr>
        <w:t xml:space="preserve">years). </w:t>
      </w:r>
      <w:r w:rsidR="00A60FE5">
        <w:rPr>
          <w:rFonts w:ascii="Times New Roman" w:hAnsi="Times New Roman"/>
          <w:spacing w:val="0"/>
        </w:rPr>
        <w:t xml:space="preserve"> </w:t>
      </w:r>
      <w:r>
        <w:rPr>
          <w:rFonts w:ascii="Times New Roman" w:hAnsi="Times New Roman"/>
          <w:spacing w:val="0"/>
        </w:rPr>
        <w:t>Table 2 summarizes these calculations.</w:t>
      </w:r>
    </w:p>
    <w:p w:rsidR="00F6007A" w:rsidP="00F6007A" w14:paraId="347BB835" w14:textId="77777777">
      <w:pPr>
        <w:pStyle w:val="Index1"/>
      </w:pPr>
    </w:p>
    <w:tbl>
      <w:tblPr>
        <w:tblW w:w="6876" w:type="dxa"/>
        <w:tblLook w:val="04A0"/>
      </w:tblPr>
      <w:tblGrid>
        <w:gridCol w:w="1524"/>
        <w:gridCol w:w="1371"/>
        <w:gridCol w:w="1246"/>
        <w:gridCol w:w="1255"/>
        <w:gridCol w:w="1480"/>
      </w:tblGrid>
      <w:tr w14:paraId="59FB4C91" w14:textId="77777777" w:rsidTr="00136493">
        <w:tblPrEx>
          <w:tblW w:w="6876" w:type="dxa"/>
          <w:tblLook w:val="04A0"/>
        </w:tblPrEx>
        <w:trPr>
          <w:trHeight w:val="300"/>
        </w:trPr>
        <w:tc>
          <w:tcPr>
            <w:tcW w:w="6876" w:type="dxa"/>
            <w:gridSpan w:val="5"/>
            <w:tcBorders>
              <w:top w:val="nil"/>
              <w:left w:val="nil"/>
              <w:bottom w:val="single" w:sz="4" w:space="0" w:color="auto"/>
              <w:right w:val="nil"/>
            </w:tcBorders>
            <w:shd w:val="clear" w:color="auto" w:fill="auto"/>
            <w:noWrap/>
            <w:vAlign w:val="bottom"/>
            <w:hideMark/>
          </w:tcPr>
          <w:p w:rsidR="00F6007A" w:rsidRPr="00FF11BA" w:rsidP="00F6007A" w14:paraId="09569769" w14:textId="77777777">
            <w:pPr>
              <w:keepNext/>
              <w:keepLines/>
              <w:rPr>
                <w:rFonts w:cs="Times New Roman"/>
                <w:b/>
                <w:bCs/>
                <w:sz w:val="22"/>
                <w:szCs w:val="22"/>
              </w:rPr>
            </w:pPr>
            <w:r w:rsidRPr="00FF11BA">
              <w:rPr>
                <w:rFonts w:cs="Times New Roman"/>
                <w:b/>
                <w:bCs/>
                <w:sz w:val="22"/>
                <w:szCs w:val="22"/>
              </w:rPr>
              <w:t>Table 2: Federal Government Time Burden and Cost</w:t>
            </w:r>
          </w:p>
        </w:tc>
      </w:tr>
      <w:tr w14:paraId="7741D991" w14:textId="77777777" w:rsidTr="00136493">
        <w:tblPrEx>
          <w:tblW w:w="6876" w:type="dxa"/>
          <w:tblLook w:val="04A0"/>
        </w:tblPrEx>
        <w:trPr>
          <w:trHeight w:val="580"/>
        </w:trPr>
        <w:tc>
          <w:tcPr>
            <w:tcW w:w="152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F6007A" w:rsidRPr="00FF11BA" w:rsidP="00F6007A" w14:paraId="18B54413" w14:textId="77777777">
            <w:pPr>
              <w:keepNext/>
              <w:keepLines/>
              <w:jc w:val="center"/>
              <w:rPr>
                <w:rFonts w:cs="Times New Roman"/>
                <w:b/>
                <w:bCs/>
                <w:sz w:val="22"/>
                <w:szCs w:val="22"/>
              </w:rPr>
            </w:pPr>
            <w:r w:rsidRPr="00FF11BA">
              <w:rPr>
                <w:rFonts w:cs="Times New Roman"/>
                <w:b/>
                <w:bCs/>
                <w:sz w:val="22"/>
                <w:szCs w:val="22"/>
              </w:rPr>
              <w:t>Type of Information Reported</w:t>
            </w:r>
          </w:p>
        </w:tc>
        <w:tc>
          <w:tcPr>
            <w:tcW w:w="1371"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7D0147DE" w14:textId="77777777">
            <w:pPr>
              <w:keepNext/>
              <w:keepLines/>
              <w:rPr>
                <w:rFonts w:cs="Times New Roman"/>
                <w:b/>
                <w:bCs/>
                <w:sz w:val="22"/>
                <w:szCs w:val="22"/>
              </w:rPr>
            </w:pPr>
            <w:r w:rsidRPr="00FF11BA">
              <w:rPr>
                <w:rFonts w:cs="Times New Roman"/>
                <w:b/>
                <w:bCs/>
                <w:sz w:val="22"/>
                <w:szCs w:val="22"/>
              </w:rPr>
              <w:t>Number of Reported Security Incidents</w:t>
            </w:r>
          </w:p>
        </w:tc>
        <w:tc>
          <w:tcPr>
            <w:tcW w:w="1246"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352F0DFB" w14:textId="77777777">
            <w:pPr>
              <w:keepNext/>
              <w:keepLines/>
              <w:rPr>
                <w:rFonts w:cs="Times New Roman"/>
                <w:b/>
                <w:bCs/>
                <w:sz w:val="22"/>
                <w:szCs w:val="22"/>
              </w:rPr>
            </w:pPr>
            <w:r w:rsidRPr="00FF11BA">
              <w:rPr>
                <w:rFonts w:cs="Times New Roman"/>
                <w:b/>
                <w:bCs/>
                <w:sz w:val="22"/>
                <w:szCs w:val="22"/>
              </w:rPr>
              <w:t>Hour Burden to Process Report</w:t>
            </w:r>
          </w:p>
        </w:tc>
        <w:tc>
          <w:tcPr>
            <w:tcW w:w="1255"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6938133F" w14:textId="77777777">
            <w:pPr>
              <w:keepNext/>
              <w:keepLines/>
              <w:rPr>
                <w:rFonts w:cs="Times New Roman"/>
                <w:b/>
                <w:bCs/>
                <w:sz w:val="22"/>
                <w:szCs w:val="22"/>
              </w:rPr>
            </w:pPr>
            <w:r w:rsidRPr="00FF11BA">
              <w:rPr>
                <w:rFonts w:cs="Times New Roman"/>
                <w:b/>
                <w:bCs/>
                <w:sz w:val="22"/>
                <w:szCs w:val="22"/>
              </w:rPr>
              <w:t>Annual Hour Burden</w:t>
            </w:r>
          </w:p>
        </w:tc>
        <w:tc>
          <w:tcPr>
            <w:tcW w:w="1480"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F6007A" w:rsidRPr="00FF11BA" w:rsidP="00F6007A" w14:paraId="27475984" w14:textId="77777777">
            <w:pPr>
              <w:keepNext/>
              <w:keepLines/>
              <w:rPr>
                <w:rFonts w:cs="Times New Roman"/>
                <w:b/>
                <w:bCs/>
                <w:sz w:val="22"/>
                <w:szCs w:val="22"/>
              </w:rPr>
            </w:pPr>
            <w:r w:rsidRPr="00FF11BA">
              <w:rPr>
                <w:rFonts w:cs="Times New Roman"/>
                <w:b/>
                <w:bCs/>
                <w:sz w:val="22"/>
                <w:szCs w:val="22"/>
              </w:rPr>
              <w:t>Annual Hour Burden Cost</w:t>
            </w:r>
          </w:p>
        </w:tc>
      </w:tr>
      <w:tr w14:paraId="63A355D4" w14:textId="77777777" w:rsidTr="00136493">
        <w:tblPrEx>
          <w:tblW w:w="6876" w:type="dxa"/>
          <w:tblLook w:val="04A0"/>
        </w:tblPrEx>
        <w:trPr>
          <w:trHeight w:val="197"/>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F6007A" w:rsidRPr="006C20FA" w:rsidP="006C20FA" w14:paraId="34448DDB" w14:textId="77777777">
            <w:pPr>
              <w:keepNext/>
              <w:keepLines/>
              <w:rPr>
                <w:rFonts w:cs="Times New Roman"/>
                <w:b/>
                <w:bCs/>
                <w:sz w:val="22"/>
                <w:szCs w:val="22"/>
              </w:rPr>
            </w:pPr>
          </w:p>
        </w:tc>
        <w:tc>
          <w:tcPr>
            <w:tcW w:w="137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4502DFE7" w14:textId="77777777">
            <w:pPr>
              <w:keepNext/>
              <w:keepLines/>
              <w:jc w:val="center"/>
              <w:rPr>
                <w:rFonts w:cs="Times New Roman"/>
                <w:b/>
                <w:bCs/>
                <w:sz w:val="22"/>
                <w:szCs w:val="22"/>
              </w:rPr>
            </w:pPr>
            <w:r w:rsidRPr="006C20FA">
              <w:rPr>
                <w:rFonts w:cs="Times New Roman"/>
                <w:b/>
                <w:bCs/>
                <w:sz w:val="22"/>
                <w:szCs w:val="22"/>
              </w:rPr>
              <w:t>A</w:t>
            </w:r>
          </w:p>
        </w:tc>
        <w:tc>
          <w:tcPr>
            <w:tcW w:w="124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1A54767D" w14:textId="77777777">
            <w:pPr>
              <w:keepNext/>
              <w:keepLines/>
              <w:jc w:val="center"/>
              <w:rPr>
                <w:rFonts w:cs="Times New Roman"/>
                <w:b/>
                <w:bCs/>
                <w:sz w:val="22"/>
                <w:szCs w:val="22"/>
              </w:rPr>
            </w:pPr>
            <w:r w:rsidRPr="006C20FA">
              <w:rPr>
                <w:rFonts w:cs="Times New Roman"/>
                <w:b/>
                <w:bCs/>
                <w:sz w:val="22"/>
                <w:szCs w:val="22"/>
              </w:rPr>
              <w:t>B</w:t>
            </w:r>
          </w:p>
        </w:tc>
        <w:tc>
          <w:tcPr>
            <w:tcW w:w="125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35525D85" w14:textId="77777777">
            <w:pPr>
              <w:keepNext/>
              <w:keepLines/>
              <w:jc w:val="center"/>
              <w:rPr>
                <w:rFonts w:cs="Times New Roman"/>
                <w:b/>
                <w:bCs/>
                <w:sz w:val="22"/>
                <w:szCs w:val="22"/>
              </w:rPr>
            </w:pPr>
            <w:r w:rsidRPr="006C20FA">
              <w:rPr>
                <w:rFonts w:cs="Times New Roman"/>
                <w:b/>
                <w:bCs/>
                <w:sz w:val="22"/>
                <w:szCs w:val="22"/>
              </w:rPr>
              <w:t>C = A x B</w:t>
            </w:r>
          </w:p>
        </w:tc>
        <w:tc>
          <w:tcPr>
            <w:tcW w:w="14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F6007A" w:rsidRPr="006C20FA" w:rsidP="006C20FA" w14:paraId="33DA956D" w14:textId="7E39DF5F">
            <w:pPr>
              <w:keepNext/>
              <w:keepLines/>
              <w:jc w:val="center"/>
              <w:rPr>
                <w:rFonts w:cs="Times New Roman"/>
                <w:b/>
                <w:bCs/>
                <w:sz w:val="22"/>
                <w:szCs w:val="22"/>
              </w:rPr>
            </w:pPr>
            <w:r w:rsidRPr="006C20FA">
              <w:rPr>
                <w:rFonts w:cs="Times New Roman"/>
                <w:b/>
                <w:bCs/>
                <w:sz w:val="22"/>
                <w:szCs w:val="22"/>
              </w:rPr>
              <w:t>D = C x $</w:t>
            </w:r>
            <w:r w:rsidR="00F97A5A">
              <w:rPr>
                <w:rFonts w:cs="Times New Roman"/>
                <w:b/>
                <w:bCs/>
                <w:sz w:val="22"/>
                <w:szCs w:val="22"/>
              </w:rPr>
              <w:t>74.32</w:t>
            </w:r>
          </w:p>
        </w:tc>
      </w:tr>
      <w:tr w14:paraId="4026EE4E" w14:textId="77777777" w:rsidTr="00136493">
        <w:tblPrEx>
          <w:tblW w:w="6876" w:type="dxa"/>
          <w:tblLook w:val="04A0"/>
        </w:tblPrEx>
        <w:trPr>
          <w:trHeight w:val="926"/>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C20A10D" w14:textId="77777777">
            <w:pPr>
              <w:keepNext/>
              <w:keepLines/>
              <w:rPr>
                <w:rFonts w:cs="Times New Roman"/>
                <w:sz w:val="22"/>
                <w:szCs w:val="22"/>
              </w:rPr>
            </w:pPr>
            <w:r w:rsidRPr="00FF11BA">
              <w:rPr>
                <w:rFonts w:cs="Times New Roman"/>
                <w:sz w:val="22"/>
                <w:szCs w:val="22"/>
              </w:rPr>
              <w:t>Security (Non-Cybersecurity) Incidents</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ACF2CF0" w14:textId="693943D5">
            <w:pPr>
              <w:keepNext/>
              <w:keepLines/>
              <w:jc w:val="right"/>
              <w:rPr>
                <w:rFonts w:cs="Times New Roman"/>
                <w:sz w:val="22"/>
                <w:szCs w:val="22"/>
              </w:rPr>
            </w:pPr>
            <w:r w:rsidRPr="004206DA">
              <w:rPr>
                <w:sz w:val="22"/>
                <w:szCs w:val="22"/>
              </w:rPr>
              <w:t>118</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8FBDC63" w14:textId="77777777">
            <w:pPr>
              <w:keepNext/>
              <w:keepLines/>
              <w:jc w:val="right"/>
              <w:rPr>
                <w:rFonts w:cs="Times New Roman"/>
                <w:sz w:val="22"/>
                <w:szCs w:val="22"/>
              </w:rPr>
            </w:pPr>
            <w:r w:rsidRPr="004206DA">
              <w:rPr>
                <w:rFonts w:cs="Times New Roman"/>
                <w:sz w:val="22"/>
                <w:szCs w:val="22"/>
              </w:rPr>
              <w:t>0.5</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51429CB4" w14:textId="027907CF">
            <w:pPr>
              <w:keepNext/>
              <w:keepLines/>
              <w:jc w:val="right"/>
              <w:rPr>
                <w:rFonts w:cs="Times New Roman"/>
                <w:sz w:val="22"/>
                <w:szCs w:val="22"/>
              </w:rPr>
            </w:pPr>
            <w:r w:rsidRPr="004206DA">
              <w:rPr>
                <w:sz w:val="22"/>
                <w:szCs w:val="22"/>
              </w:rPr>
              <w:t>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03827DF6" w14:textId="1E21064A">
            <w:pPr>
              <w:keepNext/>
              <w:keepLines/>
              <w:jc w:val="right"/>
              <w:rPr>
                <w:rFonts w:cs="Times New Roman"/>
                <w:sz w:val="22"/>
                <w:szCs w:val="22"/>
              </w:rPr>
            </w:pPr>
            <w:r w:rsidRPr="004206DA">
              <w:rPr>
                <w:sz w:val="22"/>
                <w:szCs w:val="22"/>
              </w:rPr>
              <w:t>$4,384.97</w:t>
            </w:r>
          </w:p>
        </w:tc>
      </w:tr>
      <w:tr w14:paraId="7D5D568D" w14:textId="77777777" w:rsidTr="00136493">
        <w:tblPrEx>
          <w:tblW w:w="6876" w:type="dxa"/>
          <w:tblLook w:val="04A0"/>
        </w:tblPrEx>
        <w:trPr>
          <w:trHeight w:val="29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3090F90F" w14:textId="77777777">
            <w:pPr>
              <w:keepNext/>
              <w:keepLines/>
              <w:rPr>
                <w:rFonts w:cs="Times New Roman"/>
                <w:sz w:val="22"/>
                <w:szCs w:val="22"/>
              </w:rPr>
            </w:pPr>
            <w:r w:rsidRPr="00FF11BA">
              <w:rPr>
                <w:rFonts w:cs="Times New Roman"/>
                <w:sz w:val="22"/>
                <w:szCs w:val="22"/>
              </w:rPr>
              <w:t>Cybersecurity Incidents</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4AF7C4E" w14:textId="20F54939">
            <w:pPr>
              <w:keepNext/>
              <w:keepLines/>
              <w:jc w:val="right"/>
              <w:rPr>
                <w:rFonts w:cs="Times New Roman"/>
                <w:sz w:val="22"/>
                <w:szCs w:val="22"/>
              </w:rPr>
            </w:pPr>
            <w:r w:rsidRPr="004206DA">
              <w:rPr>
                <w:sz w:val="22"/>
                <w:szCs w:val="22"/>
              </w:rPr>
              <w:t>2000</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1B409D98" w14:textId="77777777">
            <w:pPr>
              <w:keepNext/>
              <w:keepLines/>
              <w:jc w:val="right"/>
              <w:rPr>
                <w:rFonts w:cs="Times New Roman"/>
                <w:sz w:val="22"/>
                <w:szCs w:val="22"/>
              </w:rPr>
            </w:pPr>
            <w:r w:rsidRPr="004206DA">
              <w:rPr>
                <w:rFonts w:cs="Times New Roman"/>
                <w:sz w:val="22"/>
                <w:szCs w:val="22"/>
              </w:rPr>
              <w:t>0.5</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18EAA138" w14:textId="6C7C622F">
            <w:pPr>
              <w:keepNext/>
              <w:keepLines/>
              <w:jc w:val="right"/>
              <w:rPr>
                <w:rFonts w:cs="Times New Roman"/>
                <w:sz w:val="22"/>
                <w:szCs w:val="22"/>
              </w:rPr>
            </w:pPr>
            <w:r w:rsidRPr="004206DA">
              <w:rPr>
                <w:sz w:val="22"/>
                <w:szCs w:val="22"/>
              </w:rPr>
              <w:t>1</w:t>
            </w:r>
            <w:r>
              <w:rPr>
                <w:sz w:val="22"/>
                <w:szCs w:val="22"/>
              </w:rPr>
              <w:t>,</w:t>
            </w:r>
            <w:r w:rsidRPr="004206DA">
              <w:rPr>
                <w:sz w:val="22"/>
                <w:szCs w:val="22"/>
              </w:rPr>
              <w:t>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7C37A261" w14:textId="35387416">
            <w:pPr>
              <w:keepNext/>
              <w:keepLines/>
              <w:jc w:val="right"/>
              <w:rPr>
                <w:rFonts w:cs="Times New Roman"/>
                <w:sz w:val="22"/>
                <w:szCs w:val="22"/>
              </w:rPr>
            </w:pPr>
            <w:r w:rsidRPr="004206DA">
              <w:rPr>
                <w:sz w:val="22"/>
                <w:szCs w:val="22"/>
              </w:rPr>
              <w:t>$74,321.51</w:t>
            </w:r>
          </w:p>
        </w:tc>
      </w:tr>
      <w:tr w14:paraId="35DD8B8C" w14:textId="77777777" w:rsidTr="00136493">
        <w:tblPrEx>
          <w:tblW w:w="6876" w:type="dxa"/>
          <w:tblLook w:val="04A0"/>
        </w:tblPrEx>
        <w:trPr>
          <w:trHeight w:val="58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0CE4E0C" w14:textId="77777777">
            <w:pPr>
              <w:keepNext/>
              <w:keepLines/>
              <w:rPr>
                <w:rFonts w:cs="Times New Roman"/>
                <w:sz w:val="22"/>
                <w:szCs w:val="22"/>
              </w:rPr>
            </w:pPr>
            <w:r w:rsidRPr="00FF11BA">
              <w:rPr>
                <w:rFonts w:cs="Times New Roman"/>
                <w:sz w:val="22"/>
                <w:szCs w:val="22"/>
              </w:rPr>
              <w:t>Cybersecurity POC Info (Year 1)</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0594C85A" w14:textId="117F8F7E">
            <w:pPr>
              <w:keepNext/>
              <w:keepLines/>
              <w:jc w:val="right"/>
              <w:rPr>
                <w:rFonts w:cs="Times New Roman"/>
                <w:sz w:val="22"/>
                <w:szCs w:val="22"/>
              </w:rPr>
            </w:pPr>
            <w:r w:rsidRPr="004206DA">
              <w:rPr>
                <w:sz w:val="22"/>
                <w:szCs w:val="22"/>
              </w:rPr>
              <w:t>1</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37D6DBB2" w14:textId="77777777">
            <w:pPr>
              <w:keepNext/>
              <w:keepLines/>
              <w:jc w:val="right"/>
              <w:rPr>
                <w:rFonts w:cs="Times New Roman"/>
                <w:sz w:val="22"/>
                <w:szCs w:val="22"/>
              </w:rPr>
            </w:pPr>
            <w:r w:rsidRPr="004206DA">
              <w:rPr>
                <w:rFonts w:cs="Times New Roman"/>
                <w:sz w:val="22"/>
                <w:szCs w:val="22"/>
              </w:rPr>
              <w:t>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8B70713" w14:textId="01201A7B">
            <w:pPr>
              <w:keepNext/>
              <w:keepLines/>
              <w:jc w:val="right"/>
              <w:rPr>
                <w:rFonts w:cs="Times New Roman"/>
                <w:sz w:val="22"/>
                <w:szCs w:val="22"/>
              </w:rPr>
            </w:pPr>
            <w:r w:rsidRPr="004206DA">
              <w:rPr>
                <w:sz w:val="22"/>
                <w:szCs w:val="22"/>
              </w:rPr>
              <w:t>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30974277" w14:textId="05403798">
            <w:pPr>
              <w:keepNext/>
              <w:keepLines/>
              <w:jc w:val="right"/>
              <w:rPr>
                <w:rFonts w:cs="Times New Roman"/>
                <w:sz w:val="22"/>
                <w:szCs w:val="22"/>
              </w:rPr>
            </w:pPr>
            <w:r w:rsidRPr="004206DA">
              <w:rPr>
                <w:sz w:val="22"/>
                <w:szCs w:val="22"/>
              </w:rPr>
              <w:t>$0.00</w:t>
            </w:r>
          </w:p>
        </w:tc>
      </w:tr>
      <w:tr w14:paraId="48416E26" w14:textId="77777777" w:rsidTr="00A47797">
        <w:tblPrEx>
          <w:tblW w:w="6876" w:type="dxa"/>
          <w:tblLook w:val="04A0"/>
        </w:tblPrEx>
        <w:trPr>
          <w:trHeight w:val="152"/>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FF11BA" w:rsidP="004206DA" w14:paraId="0F3F5C2B" w14:textId="419E1161">
            <w:pPr>
              <w:keepNext/>
              <w:keepLines/>
              <w:rPr>
                <w:rFonts w:cs="Times New Roman"/>
                <w:sz w:val="22"/>
                <w:szCs w:val="22"/>
              </w:rPr>
            </w:pPr>
            <w:r w:rsidRPr="00FF11BA">
              <w:rPr>
                <w:rFonts w:cs="Times New Roman"/>
                <w:sz w:val="22"/>
                <w:szCs w:val="22"/>
              </w:rPr>
              <w:t>Total</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0CBF9D17" w14:textId="59147A0B">
            <w:pPr>
              <w:keepNext/>
              <w:keepLines/>
              <w:jc w:val="right"/>
              <w:rPr>
                <w:rFonts w:cs="Times New Roman"/>
                <w:sz w:val="22"/>
                <w:szCs w:val="22"/>
              </w:rPr>
            </w:pPr>
            <w:r w:rsidRPr="004206DA">
              <w:rPr>
                <w:sz w:val="22"/>
                <w:szCs w:val="22"/>
              </w:rPr>
              <w:t>2119</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2DFA2910" w14:textId="77777777">
            <w:pPr>
              <w:keepNext/>
              <w:keepLines/>
              <w:rPr>
                <w:rFonts w:cs="Times New Roman"/>
                <w:sz w:val="22"/>
                <w:szCs w:val="22"/>
              </w:rPr>
            </w:pPr>
            <w:r w:rsidRPr="004206DA">
              <w:rPr>
                <w:rFonts w:cs="Times New Roman"/>
                <w:sz w:val="22"/>
                <w:szCs w:val="22"/>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71061D02" w14:textId="682B3A2A">
            <w:pPr>
              <w:keepNext/>
              <w:keepLines/>
              <w:jc w:val="right"/>
              <w:rPr>
                <w:rFonts w:cs="Times New Roman"/>
                <w:sz w:val="22"/>
                <w:szCs w:val="22"/>
              </w:rPr>
            </w:pPr>
            <w:r w:rsidRPr="004206DA">
              <w:rPr>
                <w:sz w:val="22"/>
                <w:szCs w:val="22"/>
              </w:rPr>
              <w:t>1</w:t>
            </w:r>
            <w:r>
              <w:rPr>
                <w:sz w:val="22"/>
                <w:szCs w:val="22"/>
              </w:rPr>
              <w:t>,</w:t>
            </w:r>
            <w:r w:rsidRPr="004206DA">
              <w:rPr>
                <w:sz w:val="22"/>
                <w:szCs w:val="22"/>
              </w:rPr>
              <w:t>059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1293B989" w14:textId="519A0C9D">
            <w:pPr>
              <w:keepNext/>
              <w:keepLines/>
              <w:jc w:val="right"/>
              <w:rPr>
                <w:rFonts w:cs="Times New Roman"/>
                <w:sz w:val="22"/>
                <w:szCs w:val="22"/>
              </w:rPr>
            </w:pPr>
            <w:r w:rsidRPr="004206DA">
              <w:rPr>
                <w:sz w:val="22"/>
                <w:szCs w:val="22"/>
              </w:rPr>
              <w:t>$78,706.48</w:t>
            </w:r>
          </w:p>
        </w:tc>
      </w:tr>
      <w:tr w14:paraId="73E309F1" w14:textId="77777777" w:rsidTr="00A47797">
        <w:tblPrEx>
          <w:tblW w:w="6876" w:type="dxa"/>
          <w:tblLook w:val="04A0"/>
        </w:tblPrEx>
        <w:trPr>
          <w:trHeight w:val="50"/>
        </w:trPr>
        <w:tc>
          <w:tcPr>
            <w:tcW w:w="1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6DA" w:rsidRPr="00C44530" w:rsidP="004206DA" w14:paraId="112B762F" w14:textId="77777777">
            <w:pPr>
              <w:keepNext/>
              <w:keepLines/>
              <w:rPr>
                <w:rFonts w:cs="Times New Roman"/>
                <w:sz w:val="22"/>
                <w:szCs w:val="22"/>
              </w:rPr>
            </w:pPr>
            <w:r w:rsidRPr="00C44530">
              <w:rPr>
                <w:rFonts w:cs="Times New Roman"/>
                <w:sz w:val="22"/>
                <w:szCs w:val="22"/>
              </w:rPr>
              <w:t>Average</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B619C66" w14:textId="601493AF">
            <w:pPr>
              <w:keepNext/>
              <w:keepLines/>
              <w:jc w:val="right"/>
              <w:rPr>
                <w:rFonts w:cs="Times New Roman"/>
                <w:sz w:val="22"/>
                <w:szCs w:val="22"/>
              </w:rPr>
            </w:pPr>
            <w:r w:rsidRPr="004206DA">
              <w:rPr>
                <w:sz w:val="22"/>
                <w:szCs w:val="22"/>
              </w:rPr>
              <w:t>706.33</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7AB9DF26" w14:textId="77777777">
            <w:pPr>
              <w:keepNext/>
              <w:keepLines/>
              <w:rPr>
                <w:rFonts w:cs="Times New Roman"/>
                <w:sz w:val="22"/>
                <w:szCs w:val="22"/>
              </w:rPr>
            </w:pPr>
            <w:r w:rsidRPr="004206DA">
              <w:rPr>
                <w:rFonts w:cs="Times New Roman"/>
                <w:sz w:val="22"/>
                <w:szCs w:val="22"/>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4206DA" w:rsidRPr="004206DA" w:rsidP="004206DA" w14:paraId="47B2BCCD" w14:textId="779D2423">
            <w:pPr>
              <w:keepNext/>
              <w:keepLines/>
              <w:jc w:val="right"/>
              <w:rPr>
                <w:rFonts w:cs="Times New Roman"/>
                <w:sz w:val="22"/>
                <w:szCs w:val="22"/>
              </w:rPr>
            </w:pPr>
            <w:r w:rsidRPr="004206DA">
              <w:rPr>
                <w:sz w:val="22"/>
                <w:szCs w:val="22"/>
              </w:rPr>
              <w:t>3177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6DA" w:rsidRPr="004206DA" w:rsidP="004206DA" w14:paraId="2F01D206" w14:textId="3882FC9D">
            <w:pPr>
              <w:keepNext/>
              <w:keepLines/>
              <w:jc w:val="right"/>
              <w:rPr>
                <w:rFonts w:cs="Times New Roman"/>
                <w:sz w:val="22"/>
                <w:szCs w:val="22"/>
              </w:rPr>
            </w:pPr>
            <w:r w:rsidRPr="004206DA">
              <w:rPr>
                <w:sz w:val="22"/>
                <w:szCs w:val="22"/>
              </w:rPr>
              <w:t>$236,119.45</w:t>
            </w:r>
          </w:p>
        </w:tc>
      </w:tr>
    </w:tbl>
    <w:p w:rsidR="004B1951" w:rsidRPr="004B1951" w:rsidP="004B1951" w14:paraId="5F6BA0C7" w14:textId="77777777">
      <w:pPr>
        <w:pStyle w:val="Index1"/>
      </w:pPr>
    </w:p>
    <w:p w:rsidR="009F2633" w:rsidP="009F2633" w14:paraId="3F03EB9A" w14:textId="77777777">
      <w:pPr>
        <w:keepNext/>
        <w:numPr>
          <w:ilvl w:val="0"/>
          <w:numId w:val="11"/>
        </w:numPr>
        <w:tabs>
          <w:tab w:val="left" w:pos="360"/>
        </w:tabs>
        <w:rPr>
          <w:b/>
          <w:i/>
        </w:rPr>
      </w:pPr>
      <w:r>
        <w:rPr>
          <w:b/>
          <w:i/>
        </w:rPr>
        <w:t>Explain the reasons for any program changes or adjustments reported in Items 13 or 14 of the OMB Form 83-I.</w:t>
      </w:r>
    </w:p>
    <w:p w:rsidR="009F2633" w:rsidP="00BB78AB" w14:paraId="14724FB6" w14:textId="77777777">
      <w:pPr>
        <w:keepNext/>
        <w:numPr>
          <w:ilvl w:val="12"/>
          <w:numId w:val="0"/>
        </w:numPr>
        <w:ind w:left="360"/>
      </w:pPr>
    </w:p>
    <w:p w:rsidR="001C0C71" w:rsidP="009402F8" w14:paraId="0068A7A7" w14:textId="01CA8E8D">
      <w:pPr>
        <w:pStyle w:val="IndexHeading"/>
        <w:keepNext w:val="0"/>
        <w:numPr>
          <w:ilvl w:val="12"/>
          <w:numId w:val="0"/>
        </w:numPr>
        <w:spacing w:line="240" w:lineRule="auto"/>
        <w:ind w:left="360"/>
      </w:pPr>
      <w:r w:rsidRPr="001C0C71">
        <w:rPr>
          <w:rFonts w:ascii="Times New Roman" w:hAnsi="Times New Roman"/>
          <w:color w:val="000000"/>
          <w:spacing w:val="0"/>
          <w:szCs w:val="24"/>
        </w:rPr>
        <w:t>There are no program changes from the previously reported information</w:t>
      </w:r>
      <w:r w:rsidR="00BA5851">
        <w:rPr>
          <w:rFonts w:ascii="Times New Roman" w:hAnsi="Times New Roman"/>
          <w:color w:val="000000"/>
          <w:spacing w:val="0"/>
          <w:szCs w:val="24"/>
        </w:rPr>
        <w:t xml:space="preserve"> </w:t>
      </w:r>
      <w:r w:rsidR="009519AE">
        <w:rPr>
          <w:rFonts w:ascii="Times New Roman" w:hAnsi="Times New Roman"/>
          <w:color w:val="000000"/>
          <w:spacing w:val="0"/>
          <w:szCs w:val="24"/>
        </w:rPr>
        <w:t>collection request</w:t>
      </w:r>
      <w:r w:rsidRPr="001C0C71">
        <w:rPr>
          <w:rFonts w:ascii="Times New Roman" w:hAnsi="Times New Roman"/>
          <w:color w:val="000000"/>
          <w:spacing w:val="0"/>
          <w:szCs w:val="24"/>
        </w:rPr>
        <w:t xml:space="preserve">; </w:t>
      </w:r>
      <w:r w:rsidRPr="001C0C71" w:rsidR="0013310F">
        <w:rPr>
          <w:rFonts w:ascii="Times New Roman" w:hAnsi="Times New Roman"/>
          <w:color w:val="000000"/>
          <w:spacing w:val="0"/>
          <w:szCs w:val="24"/>
        </w:rPr>
        <w:t xml:space="preserve">however, </w:t>
      </w:r>
      <w:r w:rsidRPr="001C0C71" w:rsidR="00075784">
        <w:rPr>
          <w:rFonts w:ascii="Times New Roman" w:hAnsi="Times New Roman"/>
          <w:color w:val="000000"/>
          <w:spacing w:val="0"/>
          <w:szCs w:val="24"/>
        </w:rPr>
        <w:t xml:space="preserve">TSA is </w:t>
      </w:r>
      <w:r w:rsidR="00075784">
        <w:rPr>
          <w:rFonts w:ascii="Times New Roman" w:hAnsi="Times New Roman"/>
          <w:color w:val="000000"/>
          <w:spacing w:val="0"/>
          <w:szCs w:val="24"/>
        </w:rPr>
        <w:t>updatin</w:t>
      </w:r>
      <w:r w:rsidRPr="001C0C71" w:rsidR="00075784">
        <w:rPr>
          <w:rFonts w:ascii="Times New Roman" w:hAnsi="Times New Roman"/>
          <w:color w:val="000000"/>
          <w:spacing w:val="0"/>
          <w:szCs w:val="24"/>
        </w:rPr>
        <w:t>g</w:t>
      </w:r>
      <w:r w:rsidR="00075784">
        <w:rPr>
          <w:rFonts w:ascii="Times New Roman" w:hAnsi="Times New Roman"/>
          <w:color w:val="000000"/>
          <w:spacing w:val="0"/>
          <w:szCs w:val="24"/>
        </w:rPr>
        <w:t xml:space="preserve"> the burden estimates as</w:t>
      </w:r>
      <w:r w:rsidR="005F0162">
        <w:rPr>
          <w:rFonts w:ascii="Times New Roman" w:hAnsi="Times New Roman"/>
          <w:color w:val="000000"/>
          <w:spacing w:val="0"/>
          <w:szCs w:val="24"/>
        </w:rPr>
        <w:t xml:space="preserve"> the</w:t>
      </w:r>
      <w:r w:rsidR="008C3046">
        <w:rPr>
          <w:rFonts w:ascii="Times New Roman" w:hAnsi="Times New Roman"/>
          <w:color w:val="000000"/>
          <w:spacing w:val="0"/>
          <w:szCs w:val="24"/>
        </w:rPr>
        <w:t xml:space="preserve"> </w:t>
      </w:r>
      <w:r w:rsidR="005F0162">
        <w:rPr>
          <w:rFonts w:ascii="Times New Roman" w:hAnsi="Times New Roman"/>
          <w:color w:val="000000"/>
          <w:spacing w:val="0"/>
          <w:szCs w:val="24"/>
        </w:rPr>
        <w:t xml:space="preserve">security incidents’ </w:t>
      </w:r>
      <w:r w:rsidR="008C3046">
        <w:rPr>
          <w:rFonts w:ascii="Times New Roman" w:hAnsi="Times New Roman"/>
          <w:color w:val="000000"/>
          <w:spacing w:val="0"/>
          <w:szCs w:val="24"/>
        </w:rPr>
        <w:t>respon</w:t>
      </w:r>
      <w:r w:rsidR="004F2DCD">
        <w:rPr>
          <w:rFonts w:ascii="Times New Roman" w:hAnsi="Times New Roman"/>
          <w:color w:val="000000"/>
          <w:spacing w:val="0"/>
          <w:szCs w:val="24"/>
        </w:rPr>
        <w:t>ses</w:t>
      </w:r>
      <w:r w:rsidR="008C3046">
        <w:rPr>
          <w:rFonts w:ascii="Times New Roman" w:hAnsi="Times New Roman"/>
          <w:color w:val="000000"/>
          <w:spacing w:val="0"/>
          <w:szCs w:val="24"/>
        </w:rPr>
        <w:t xml:space="preserve"> increased</w:t>
      </w:r>
      <w:r w:rsidR="005F0162">
        <w:rPr>
          <w:rFonts w:ascii="Times New Roman" w:hAnsi="Times New Roman"/>
          <w:color w:val="000000"/>
          <w:spacing w:val="0"/>
          <w:szCs w:val="24"/>
        </w:rPr>
        <w:t xml:space="preserve"> from 32 to 118</w:t>
      </w:r>
      <w:r w:rsidR="00AA56ED">
        <w:rPr>
          <w:rFonts w:ascii="Times New Roman" w:hAnsi="Times New Roman"/>
          <w:color w:val="000000"/>
          <w:spacing w:val="0"/>
          <w:szCs w:val="24"/>
        </w:rPr>
        <w:t>,</w:t>
      </w:r>
      <w:r w:rsidR="005F0162">
        <w:rPr>
          <w:rFonts w:ascii="Times New Roman" w:hAnsi="Times New Roman"/>
          <w:color w:val="000000"/>
          <w:spacing w:val="0"/>
          <w:szCs w:val="24"/>
        </w:rPr>
        <w:t xml:space="preserve"> and the </w:t>
      </w:r>
      <w:r w:rsidR="00FA2E56">
        <w:rPr>
          <w:rFonts w:ascii="Times New Roman" w:hAnsi="Times New Roman"/>
          <w:color w:val="000000"/>
          <w:spacing w:val="0"/>
          <w:szCs w:val="24"/>
        </w:rPr>
        <w:t xml:space="preserve">cybersecurity coordinator </w:t>
      </w:r>
      <w:r w:rsidR="004F2DCD">
        <w:rPr>
          <w:rFonts w:ascii="Times New Roman" w:hAnsi="Times New Roman"/>
          <w:color w:val="000000"/>
          <w:spacing w:val="0"/>
          <w:szCs w:val="24"/>
        </w:rPr>
        <w:t xml:space="preserve">responses </w:t>
      </w:r>
      <w:r w:rsidR="00FA2E56">
        <w:rPr>
          <w:rFonts w:ascii="Times New Roman" w:hAnsi="Times New Roman"/>
          <w:color w:val="000000"/>
          <w:spacing w:val="0"/>
          <w:szCs w:val="24"/>
        </w:rPr>
        <w:t xml:space="preserve">decreased from 34 to 1.  In addition, TSA </w:t>
      </w:r>
      <w:r w:rsidR="00FC01E2">
        <w:rPr>
          <w:rFonts w:ascii="Times New Roman" w:hAnsi="Times New Roman"/>
          <w:color w:val="000000"/>
          <w:spacing w:val="0"/>
          <w:szCs w:val="24"/>
        </w:rPr>
        <w:t xml:space="preserve">is adjusting </w:t>
      </w:r>
      <w:r w:rsidR="00FA2E56">
        <w:rPr>
          <w:rFonts w:ascii="Times New Roman" w:hAnsi="Times New Roman"/>
          <w:color w:val="000000"/>
          <w:spacing w:val="0"/>
          <w:szCs w:val="24"/>
        </w:rPr>
        <w:t xml:space="preserve">the </w:t>
      </w:r>
      <w:r w:rsidR="008B75AE">
        <w:rPr>
          <w:rFonts w:ascii="Times New Roman" w:hAnsi="Times New Roman"/>
          <w:color w:val="000000"/>
          <w:spacing w:val="0"/>
          <w:szCs w:val="24"/>
        </w:rPr>
        <w:t xml:space="preserve">time burden </w:t>
      </w:r>
      <w:r w:rsidR="000371AE">
        <w:rPr>
          <w:rFonts w:ascii="Times New Roman" w:hAnsi="Times New Roman"/>
          <w:color w:val="000000"/>
          <w:spacing w:val="0"/>
          <w:szCs w:val="24"/>
        </w:rPr>
        <w:t xml:space="preserve">estimate </w:t>
      </w:r>
      <w:r w:rsidR="008B75AE">
        <w:rPr>
          <w:rFonts w:ascii="Times New Roman" w:hAnsi="Times New Roman"/>
          <w:color w:val="000000"/>
          <w:spacing w:val="0"/>
          <w:szCs w:val="24"/>
        </w:rPr>
        <w:t>of the cybersecurity incident responses from 2 hours to 20 minutes.</w:t>
      </w:r>
    </w:p>
    <w:p w:rsidR="009F2633" w:rsidP="009402F8" w14:paraId="7EEABF9B" w14:textId="77777777">
      <w:pPr>
        <w:pStyle w:val="IndexHeading"/>
        <w:keepNext w:val="0"/>
        <w:numPr>
          <w:ilvl w:val="12"/>
          <w:numId w:val="0"/>
        </w:numPr>
        <w:spacing w:line="240" w:lineRule="auto"/>
        <w:ind w:left="360"/>
        <w:rPr>
          <w:rFonts w:ascii="Times New Roman" w:hAnsi="Times New Roman"/>
          <w:spacing w:val="0"/>
        </w:rPr>
      </w:pPr>
    </w:p>
    <w:p w:rsidR="009F2633" w:rsidP="009F2633" w14:paraId="0EC588E9"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14:paraId="4B21FFD3" w14:textId="77777777">
      <w:pPr>
        <w:keepNext/>
        <w:numPr>
          <w:ilvl w:val="12"/>
          <w:numId w:val="0"/>
        </w:numPr>
        <w:ind w:left="360"/>
      </w:pPr>
    </w:p>
    <w:p w:rsidR="0081296D" w:rsidP="005164F5" w14:paraId="6F167F65" w14:textId="77777777">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453942">
        <w:rPr>
          <w:szCs w:val="24"/>
        </w:rPr>
        <w:t>intelligence-derived</w:t>
      </w:r>
      <w:r w:rsidR="00157D98">
        <w:rPr>
          <w:szCs w:val="24"/>
        </w:rPr>
        <w:t xml:space="preserve"> reports</w:t>
      </w:r>
      <w:r w:rsidR="00071502">
        <w:rPr>
          <w:szCs w:val="24"/>
        </w:rPr>
        <w:t>, which are distributed to</w:t>
      </w:r>
      <w:r w:rsidR="00256C44">
        <w:rPr>
          <w:szCs w:val="24"/>
        </w:rPr>
        <w:t xml:space="preserve"> pipeline industry and government stakeholders</w:t>
      </w:r>
      <w:r w:rsidR="006F0F16">
        <w:rPr>
          <w:szCs w:val="24"/>
        </w:rPr>
        <w:t xml:space="preserve"> with a need-to-know.</w:t>
      </w:r>
    </w:p>
    <w:p w:rsidR="009F2633" w:rsidP="00BB78AB" w14:paraId="4D22413F" w14:textId="77777777">
      <w:pPr>
        <w:pStyle w:val="IndexHeading"/>
        <w:keepNext w:val="0"/>
        <w:numPr>
          <w:ilvl w:val="12"/>
          <w:numId w:val="0"/>
        </w:numPr>
        <w:spacing w:line="240" w:lineRule="auto"/>
        <w:rPr>
          <w:rFonts w:ascii="Times New Roman" w:hAnsi="Times New Roman"/>
          <w:spacing w:val="0"/>
        </w:rPr>
      </w:pPr>
    </w:p>
    <w:p w:rsidR="009F2633" w:rsidP="009F2633" w14:paraId="362DFBF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14:paraId="1D27B954" w14:textId="77777777">
      <w:pPr>
        <w:keepNext/>
        <w:numPr>
          <w:ilvl w:val="12"/>
          <w:numId w:val="0"/>
        </w:numPr>
        <w:ind w:left="360"/>
      </w:pPr>
    </w:p>
    <w:p w:rsidR="009F2633" w:rsidP="005164F5" w14:paraId="17FD7E65" w14:textId="77777777">
      <w:pPr>
        <w:numPr>
          <w:ilvl w:val="12"/>
          <w:numId w:val="0"/>
        </w:numPr>
        <w:ind w:firstLine="360"/>
      </w:pPr>
      <w:r>
        <w:t>Not applicable.</w:t>
      </w:r>
    </w:p>
    <w:p w:rsidR="009F2633" w:rsidP="00BB78AB" w14:paraId="72E6A8FA" w14:textId="77777777">
      <w:pPr>
        <w:numPr>
          <w:ilvl w:val="12"/>
          <w:numId w:val="0"/>
        </w:numPr>
        <w:tabs>
          <w:tab w:val="left" w:pos="360"/>
        </w:tabs>
      </w:pPr>
    </w:p>
    <w:p w:rsidR="009F2633" w:rsidP="009F2633" w14:paraId="15ED792E"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P="00BB78AB" w14:paraId="524EA503" w14:textId="77777777">
      <w:pPr>
        <w:keepNext/>
        <w:numPr>
          <w:ilvl w:val="12"/>
          <w:numId w:val="0"/>
        </w:numPr>
        <w:ind w:left="360"/>
      </w:pPr>
    </w:p>
    <w:p w:rsidR="009F2633" w:rsidP="005164F5" w14:paraId="2E1D52FC" w14:textId="77777777">
      <w:pPr>
        <w:numPr>
          <w:ilvl w:val="12"/>
          <w:numId w:val="0"/>
        </w:numPr>
        <w:ind w:firstLine="360"/>
      </w:pPr>
      <w:r>
        <w:t>No exceptions noted.</w:t>
      </w:r>
    </w:p>
    <w:p w:rsidR="009F2633" w:rsidRPr="008167AF" w:rsidP="008167AF" w14:paraId="360560CB" w14:textId="77777777"/>
    <w:sectPr w:rsidSect="009F2633">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rsidRPr="00B55414" w14:paraId="6F6421AC" w14:textId="77777777">
    <w:pPr>
      <w:tabs>
        <w:tab w:val="left" w:pos="0"/>
        <w:tab w:val="right" w:pos="6984"/>
        <w:tab w:val="left" w:pos="7034"/>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rsidRPr="00B55414" w14:paraId="2B6BC17B" w14:textId="77777777">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91A" w14:paraId="1944EB62" w14:textId="77777777">
      <w:r>
        <w:separator/>
      </w:r>
    </w:p>
  </w:footnote>
  <w:footnote w:type="continuationSeparator" w:id="1">
    <w:p w:rsidR="0015791A" w14:paraId="1663BBFF" w14:textId="77777777">
      <w:r>
        <w:continuationSeparator/>
      </w:r>
    </w:p>
  </w:footnote>
  <w:footnote w:type="continuationNotice" w:id="2">
    <w:p w:rsidR="0015791A" w14:paraId="45A05F98" w14:textId="77777777"/>
  </w:footnote>
  <w:footnote w:id="3">
    <w:p w:rsidR="009A5F5B" w14:paraId="13F514AE" w14:textId="65DA2128">
      <w:pPr>
        <w:pStyle w:val="FootnoteText"/>
      </w:pPr>
      <w:r>
        <w:rPr>
          <w:rStyle w:val="FootnoteReference"/>
        </w:rPr>
        <w:footnoteRef/>
      </w:r>
      <w:r>
        <w:t xml:space="preserve"> </w:t>
      </w:r>
      <w:r w:rsidRPr="009A5F5B">
        <w:t>Pub. L. 107-71 (115 Stat. 598; Nov. 19, 2001), as codified at 49 U.S.C. 114</w:t>
      </w:r>
      <w:r>
        <w:t>.</w:t>
      </w:r>
    </w:p>
  </w:footnote>
  <w:footnote w:id="4">
    <w:p w:rsidR="009A5F5B" w14:paraId="45BC867B" w14:textId="7F395D72">
      <w:pPr>
        <w:pStyle w:val="FootnoteText"/>
      </w:pPr>
      <w:r>
        <w:rPr>
          <w:rStyle w:val="FootnoteReference"/>
        </w:rPr>
        <w:footnoteRef/>
      </w:r>
      <w:r>
        <w:t xml:space="preserve"> </w:t>
      </w:r>
      <w:r w:rsidRPr="009A5F5B">
        <w:t>Pub. L. 110-53 (121 Stat. 266; Aug. 3, 2007)</w:t>
      </w:r>
      <w:r>
        <w:t>.</w:t>
      </w:r>
    </w:p>
  </w:footnote>
  <w:footnote w:id="5">
    <w:p w:rsidR="009A5F5B" w:rsidP="009A5F5B" w14:paraId="762873CF" w14:textId="593C0FD8">
      <w:pPr>
        <w:pStyle w:val="FootnoteText"/>
      </w:pPr>
      <w:r>
        <w:rPr>
          <w:rStyle w:val="FootnoteReference"/>
        </w:rPr>
        <w:footnoteRef/>
      </w:r>
      <w:r>
        <w:t xml:space="preserve"> </w:t>
      </w:r>
      <w:r w:rsidRPr="00467FF7">
        <w:rPr>
          <w:i/>
        </w:rPr>
        <w:t>See</w:t>
      </w:r>
      <w:r>
        <w:t xml:space="preserve"> https://www.tsa.gov/sites/default/files/pipeline_security_guidelines.pdf</w:t>
      </w:r>
      <w:r w:rsidR="007646BE">
        <w:t xml:space="preserve">. </w:t>
      </w:r>
    </w:p>
    <w:p w:rsidR="009A5F5B" w:rsidP="009A5F5B" w14:paraId="075B5959" w14:textId="08EFC07E">
      <w:pPr>
        <w:pStyle w:val="FootnoteText"/>
      </w:pPr>
      <w:r>
        <w:t>https://www.tsa.gov/for-industry/surface-transportation.</w:t>
      </w:r>
    </w:p>
  </w:footnote>
  <w:footnote w:id="6">
    <w:p w:rsidR="003518B9" w14:paraId="7EA07D64" w14:textId="53893AA9">
      <w:pPr>
        <w:pStyle w:val="FootnoteText"/>
      </w:pPr>
      <w:r>
        <w:rPr>
          <w:rStyle w:val="FootnoteReference"/>
        </w:rPr>
        <w:footnoteRef/>
      </w:r>
      <w:r>
        <w:t xml:space="preserve"> Under section 1557(b) of </w:t>
      </w:r>
      <w:r w:rsidR="00411EC2">
        <w:t xml:space="preserve">the </w:t>
      </w:r>
      <w:r>
        <w:t xml:space="preserve">9/11 Act, TSA is required to identify the 100 most critical pipeline operators.  The criteria used to identify these systems and facilities is being used to designate the owner/operators subject to TSA’s </w:t>
      </w:r>
      <w:r w:rsidR="00147DDE">
        <w:t>SD</w:t>
      </w:r>
      <w:r>
        <w:t xml:space="preserve">.  Due to the sensitive nature of this information, TSA is individually notifying each Owner/Operator that they are a designated critical operation subject to the </w:t>
      </w:r>
      <w:r w:rsidR="00147DDE">
        <w:t>SD’</w:t>
      </w:r>
      <w:r>
        <w:t>s requirements.</w:t>
      </w:r>
    </w:p>
  </w:footnote>
  <w:footnote w:id="7">
    <w:p w:rsidR="000C7E3F" w14:paraId="64CB9F5F" w14:textId="5193B243">
      <w:pPr>
        <w:pStyle w:val="FootnoteText"/>
      </w:pPr>
      <w:r>
        <w:rPr>
          <w:rStyle w:val="FootnoteReference"/>
        </w:rPr>
        <w:footnoteRef/>
      </w:r>
      <w:r>
        <w:t xml:space="preserve"> </w:t>
      </w:r>
      <w:r w:rsidRPr="007F3FDD" w:rsidR="007F3FDD">
        <w:t>The additional requirement in the S</w:t>
      </w:r>
      <w:r w:rsidR="007F3FDD">
        <w:t>D</w:t>
      </w:r>
      <w:r w:rsidRPr="007F3FDD" w:rsidR="007F3FDD">
        <w:t xml:space="preserve"> to condu</w:t>
      </w:r>
      <w:r w:rsidR="007F3FDD">
        <w:t>ct a cybersecurity assessment is</w:t>
      </w:r>
      <w:r w:rsidRPr="007F3FDD" w:rsidR="007F3FDD">
        <w:t xml:space="preserve"> covered </w:t>
      </w:r>
      <w:r w:rsidR="00D2214B">
        <w:t>under</w:t>
      </w:r>
      <w:r w:rsidRPr="007F3FDD" w:rsidR="007F3FDD">
        <w:t xml:space="preserve"> a separate </w:t>
      </w:r>
      <w:r>
        <w:t>OMB control number</w:t>
      </w:r>
      <w:r w:rsidR="00404FD1">
        <w:t>,</w:t>
      </w:r>
      <w:r>
        <w:t xml:space="preserve"> 1652-0050</w:t>
      </w:r>
      <w:r w:rsidRPr="000C7E3F">
        <w:t>.</w:t>
      </w:r>
    </w:p>
  </w:footnote>
  <w:footnote w:id="8">
    <w:p w:rsidR="007F3FDD" w14:paraId="4E498140" w14:textId="3600CCDD">
      <w:pPr>
        <w:pStyle w:val="FootnoteText"/>
      </w:pPr>
      <w:r>
        <w:rPr>
          <w:rStyle w:val="FootnoteReference"/>
        </w:rPr>
        <w:footnoteRef/>
      </w:r>
      <w:r>
        <w:t xml:space="preserve"> </w:t>
      </w:r>
      <w:r w:rsidRPr="003D0568">
        <w:rPr>
          <w:i/>
        </w:rPr>
        <w:t>See</w:t>
      </w:r>
      <w:r>
        <w:t xml:space="preserve"> Section 106 of MTSA of 2002 (Pub. L. 107</w:t>
      </w:r>
      <w:r w:rsidR="009C4447">
        <w:t>-295</w:t>
      </w:r>
      <w:r>
        <w:t xml:space="preserve"> </w:t>
      </w:r>
      <w:r w:rsidR="00E9439A">
        <w:t>(</w:t>
      </w:r>
      <w:r>
        <w:t>116 Stat. 2064</w:t>
      </w:r>
      <w:r w:rsidR="00E9439A">
        <w:t>;</w:t>
      </w:r>
      <w:r>
        <w:t xml:space="preserve"> November 25, 2002)</w:t>
      </w:r>
      <w:r w:rsidR="009C4447">
        <w:t>.</w:t>
      </w:r>
    </w:p>
  </w:footnote>
  <w:footnote w:id="9">
    <w:p w:rsidR="00B71986" w:rsidRPr="0074340A" w:rsidP="0074340A" w14:paraId="6D2F2F49" w14:textId="5831C365">
      <w:pPr>
        <w:rPr>
          <w:sz w:val="20"/>
          <w:szCs w:val="24"/>
        </w:rPr>
      </w:pPr>
      <w:r>
        <w:rPr>
          <w:rStyle w:val="FootnoteReference"/>
        </w:rPr>
        <w:footnoteRef/>
      </w:r>
      <w:r>
        <w:t xml:space="preserve"> </w:t>
      </w:r>
      <w:r w:rsidRPr="0074340A">
        <w:rPr>
          <w:sz w:val="20"/>
        </w:rPr>
        <w:t xml:space="preserve">For purposes of the PHMSA regulations, incidents are primarily related to safety concerns, </w:t>
      </w:r>
      <w:r w:rsidRPr="0074340A" w:rsidR="00A233C6">
        <w:rPr>
          <w:sz w:val="20"/>
        </w:rPr>
        <w:t>including</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rsidR="00B71986" w14:paraId="4635FD0E" w14:textId="77777777">
      <w:pPr>
        <w:pStyle w:val="FootnoteText"/>
      </w:pPr>
    </w:p>
  </w:footnote>
  <w:footnote w:id="10">
    <w:p w:rsidR="00C61B8C" w14:paraId="62615FE7" w14:textId="38327BD8">
      <w:pPr>
        <w:pStyle w:val="FootnoteText"/>
      </w:pPr>
      <w:r>
        <w:rPr>
          <w:rStyle w:val="FootnoteReference"/>
        </w:rPr>
        <w:footnoteRef/>
      </w:r>
      <w:r>
        <w:t xml:space="preserve"> TSA assumes that covered pipeline operators have previously submitted their cybersecurity coordinator and alternate POC information per the requirements of </w:t>
      </w:r>
      <w:r w:rsidR="007A4EE8">
        <w:t>SD</w:t>
      </w:r>
      <w:r>
        <w:t xml:space="preserve"> </w:t>
      </w:r>
      <w:r w:rsidR="007A4EE8">
        <w:t xml:space="preserve">Pipeline </w:t>
      </w:r>
      <w:r>
        <w:t xml:space="preserve">2021-01 series. </w:t>
      </w:r>
      <w:r w:rsidR="00493BD2">
        <w:t xml:space="preserve"> </w:t>
      </w:r>
      <w:r>
        <w:t>Therefore, this analysis only accounts for the ongoing updates that may occur due to turnover or updating contact information.</w:t>
      </w:r>
    </w:p>
  </w:footnote>
  <w:footnote w:id="11">
    <w:p w:rsidR="00F6007A" w:rsidP="00F6007A" w14:paraId="15F6010F" w14:textId="2CDA5B6B">
      <w:pPr>
        <w:pStyle w:val="FootnoteText"/>
      </w:pPr>
      <w:r>
        <w:rPr>
          <w:rStyle w:val="FootnoteReference"/>
        </w:rPr>
        <w:footnoteRef/>
      </w:r>
      <w:r>
        <w:t xml:space="preserve"> A fully-loaded wage rate account</w:t>
      </w:r>
      <w:r w:rsidR="007A4EE8">
        <w:t>s</w:t>
      </w:r>
      <w:r>
        <w:t xml:space="preserve"> for non-wage components of employee compensation, such as healthcare and retirement benefits.</w:t>
      </w:r>
    </w:p>
  </w:footnote>
  <w:footnote w:id="12">
    <w:p w:rsidR="00F6007A" w:rsidRPr="000C0236" w:rsidP="00F6007A" w14:paraId="19936309" w14:textId="18D41842">
      <w:pPr>
        <w:rPr>
          <w:rFonts w:cs="Times New Roman"/>
          <w:color w:val="auto"/>
          <w:sz w:val="20"/>
        </w:rPr>
      </w:pPr>
      <w:r w:rsidRPr="0063063C">
        <w:rPr>
          <w:rStyle w:val="FootnoteReference"/>
          <w:sz w:val="20"/>
        </w:rPr>
        <w:footnoteRef/>
      </w:r>
      <w:r w:rsidRPr="0063063C">
        <w:rPr>
          <w:sz w:val="20"/>
        </w:rPr>
        <w:t xml:space="preserve"> The unloaded </w:t>
      </w:r>
      <w:r w:rsidR="005343AB">
        <w:rPr>
          <w:sz w:val="20"/>
        </w:rPr>
        <w:t xml:space="preserve">mean hourly </w:t>
      </w:r>
      <w:r w:rsidRPr="0063063C">
        <w:rPr>
          <w:sz w:val="20"/>
        </w:rPr>
        <w:t>wage rate for a</w:t>
      </w:r>
      <w:r>
        <w:rPr>
          <w:sz w:val="20"/>
        </w:rPr>
        <w:t>n Operations Specialties Manager is $</w:t>
      </w:r>
      <w:r w:rsidR="005343AB">
        <w:rPr>
          <w:sz w:val="20"/>
        </w:rPr>
        <w:t>80.48</w:t>
      </w:r>
      <w:r w:rsidRPr="0063063C">
        <w:rPr>
          <w:rFonts w:cs="Times New Roman"/>
          <w:sz w:val="20"/>
        </w:rPr>
        <w:t xml:space="preserve">. </w:t>
      </w:r>
      <w:r w:rsidR="00A60FE5">
        <w:rPr>
          <w:rFonts w:cs="Times New Roman"/>
          <w:sz w:val="20"/>
        </w:rPr>
        <w:t xml:space="preserve"> </w:t>
      </w:r>
      <w:r>
        <w:rPr>
          <w:rFonts w:cs="Times New Roman"/>
          <w:sz w:val="20"/>
        </w:rPr>
        <w:t xml:space="preserve">BLS. </w:t>
      </w:r>
      <w:r w:rsidR="00493BD2">
        <w:rPr>
          <w:rFonts w:cs="Times New Roman"/>
          <w:sz w:val="20"/>
        </w:rPr>
        <w:t xml:space="preserve"> </w:t>
      </w:r>
      <w:r w:rsidRPr="0063063C">
        <w:rPr>
          <w:rFonts w:cs="Times New Roman"/>
          <w:sz w:val="20"/>
        </w:rPr>
        <w:t>May 20</w:t>
      </w:r>
      <w:r>
        <w:rPr>
          <w:rFonts w:cs="Times New Roman"/>
          <w:sz w:val="20"/>
        </w:rPr>
        <w:t>2</w:t>
      </w:r>
      <w:r w:rsidR="005343AB">
        <w:rPr>
          <w:rFonts w:cs="Times New Roman"/>
          <w:sz w:val="20"/>
        </w:rPr>
        <w:t>3</w:t>
      </w:r>
      <w:r w:rsidRPr="0063063C">
        <w:rPr>
          <w:rFonts w:cs="Times New Roman"/>
          <w:sz w:val="20"/>
        </w:rPr>
        <w:t xml:space="preserve"> National Industry-</w:t>
      </w:r>
      <w:r w:rsidRPr="000C0236">
        <w:rPr>
          <w:rFonts w:cs="Times New Roman"/>
          <w:color w:val="auto"/>
          <w:sz w:val="20"/>
        </w:rPr>
        <w:t xml:space="preserve">Specific Occupational Employment and Wage Estimates. </w:t>
      </w:r>
      <w:r w:rsidR="00A60FE5">
        <w:rPr>
          <w:rFonts w:cs="Times New Roman"/>
          <w:color w:val="auto"/>
          <w:sz w:val="20"/>
        </w:rPr>
        <w:t xml:space="preserve"> </w:t>
      </w:r>
      <w:r w:rsidRPr="000C0236">
        <w:rPr>
          <w:rFonts w:cs="Times New Roman"/>
          <w:color w:val="auto"/>
          <w:sz w:val="20"/>
        </w:rPr>
        <w:t xml:space="preserve">NAICS 486000 - Pipeline Transportation. </w:t>
      </w:r>
      <w:r w:rsidR="00493BD2">
        <w:rPr>
          <w:rFonts w:cs="Times New Roman"/>
          <w:color w:val="auto"/>
          <w:sz w:val="20"/>
        </w:rPr>
        <w:t xml:space="preserve"> </w:t>
      </w:r>
      <w:r w:rsidRPr="000C0236">
        <w:rPr>
          <w:rFonts w:cs="Times New Roman"/>
          <w:color w:val="auto"/>
          <w:sz w:val="20"/>
        </w:rPr>
        <w:t xml:space="preserve">OCC 11-1021 General and Operations Managers. </w:t>
      </w:r>
      <w:r w:rsidR="00A60FE5">
        <w:rPr>
          <w:rFonts w:cs="Times New Roman"/>
          <w:color w:val="auto"/>
          <w:sz w:val="20"/>
        </w:rPr>
        <w:t xml:space="preserve"> </w:t>
      </w:r>
      <w:r w:rsidRPr="000C0236">
        <w:rPr>
          <w:rFonts w:cs="Times New Roman"/>
          <w:color w:val="auto"/>
          <w:sz w:val="20"/>
        </w:rPr>
        <w:t xml:space="preserve">Last modified </w:t>
      </w:r>
      <w:r w:rsidR="005343AB">
        <w:rPr>
          <w:rFonts w:cs="Times New Roman"/>
          <w:color w:val="auto"/>
          <w:sz w:val="20"/>
        </w:rPr>
        <w:t>April 3, 2024</w:t>
      </w:r>
      <w:r w:rsidRPr="000C0236">
        <w:rPr>
          <w:rFonts w:cs="Times New Roman"/>
          <w:color w:val="auto"/>
          <w:sz w:val="20"/>
        </w:rPr>
        <w:t xml:space="preserve"> (accessed </w:t>
      </w:r>
      <w:r w:rsidR="005343AB">
        <w:rPr>
          <w:rFonts w:cs="Times New Roman"/>
          <w:color w:val="auto"/>
          <w:sz w:val="20"/>
        </w:rPr>
        <w:t>December 16, 2024</w:t>
      </w:r>
      <w:r w:rsidRPr="000C0236">
        <w:rPr>
          <w:rFonts w:cs="Times New Roman"/>
          <w:color w:val="auto"/>
          <w:sz w:val="20"/>
        </w:rPr>
        <w:t>).</w:t>
      </w:r>
      <w:r w:rsidR="00493BD2">
        <w:rPr>
          <w:rFonts w:cs="Times New Roman"/>
          <w:color w:val="auto"/>
          <w:sz w:val="20"/>
        </w:rPr>
        <w:t xml:space="preserve"> </w:t>
      </w:r>
      <w:hyperlink r:id="rId1" w:history="1">
        <w:r w:rsidRPr="00FC0FE2" w:rsidR="00493BD2">
          <w:rPr>
            <w:rStyle w:val="Hyperlink"/>
            <w:rFonts w:cs="Times New Roman"/>
            <w:sz w:val="20"/>
          </w:rPr>
          <w:t>https://www.bls.gov/oes/2023/May/naics3_486000.htm</w:t>
        </w:r>
      </w:hyperlink>
    </w:p>
    <w:p w:rsidR="00F6007A" w:rsidRPr="0063063C" w:rsidP="00F6007A" w14:paraId="464B07CB" w14:textId="5069ED94">
      <w:pPr>
        <w:rPr>
          <w:rFonts w:cs="Times New Roman"/>
          <w:sz w:val="20"/>
        </w:rPr>
      </w:pPr>
      <w:r w:rsidRPr="000C0236">
        <w:rPr>
          <w:rFonts w:cs="Times New Roman"/>
          <w:color w:val="auto"/>
          <w:sz w:val="20"/>
        </w:rPr>
        <w:t xml:space="preserve">TSA calculates a load factor to increase the unloaded wage </w:t>
      </w:r>
      <w:r w:rsidRPr="0063063C">
        <w:rPr>
          <w:rFonts w:cs="Times New Roman"/>
          <w:sz w:val="20"/>
        </w:rPr>
        <w:t xml:space="preserve">to account for non-wage compensation. </w:t>
      </w:r>
      <w:r w:rsidR="00A60FE5">
        <w:rPr>
          <w:rFonts w:cs="Times New Roman"/>
          <w:sz w:val="20"/>
        </w:rPr>
        <w:t xml:space="preserve"> </w:t>
      </w:r>
      <w:r w:rsidRPr="0063063C">
        <w:rPr>
          <w:rFonts w:cs="Times New Roman"/>
          <w:sz w:val="20"/>
        </w:rPr>
        <w:t xml:space="preserve">TSA calculates this factor by dividing the total compensation </w:t>
      </w:r>
      <w:r w:rsidR="005343AB">
        <w:rPr>
          <w:rFonts w:cs="Times New Roman"/>
          <w:sz w:val="20"/>
        </w:rPr>
        <w:t xml:space="preserve">of private industry workers </w:t>
      </w:r>
      <w:r w:rsidRPr="0063063C">
        <w:rPr>
          <w:rFonts w:cs="Times New Roman"/>
          <w:sz w:val="20"/>
        </w:rPr>
        <w:t>($</w:t>
      </w:r>
      <w:r w:rsidR="005343AB">
        <w:rPr>
          <w:rFonts w:cs="Times New Roman"/>
          <w:sz w:val="20"/>
        </w:rPr>
        <w:t>43.94</w:t>
      </w:r>
      <w:r w:rsidRPr="0063063C">
        <w:rPr>
          <w:rFonts w:cs="Times New Roman"/>
          <w:sz w:val="20"/>
        </w:rPr>
        <w:t>) by the wage and salary component ($</w:t>
      </w:r>
      <w:r w:rsidR="005343AB">
        <w:rPr>
          <w:rFonts w:cs="Times New Roman"/>
          <w:sz w:val="20"/>
        </w:rPr>
        <w:t>30.90</w:t>
      </w:r>
      <w:r w:rsidRPr="0063063C">
        <w:rPr>
          <w:rFonts w:cs="Times New Roman"/>
          <w:sz w:val="20"/>
        </w:rPr>
        <w:t>) of compensati</w:t>
      </w:r>
      <w:r>
        <w:rPr>
          <w:rFonts w:cs="Times New Roman"/>
          <w:sz w:val="20"/>
        </w:rPr>
        <w:t>on to get a load factor of 1.</w:t>
      </w:r>
      <w:r w:rsidR="005343AB">
        <w:rPr>
          <w:rFonts w:cs="Times New Roman"/>
          <w:sz w:val="20"/>
        </w:rPr>
        <w:t>422006</w:t>
      </w:r>
      <w:r w:rsidRPr="0063063C">
        <w:rPr>
          <w:rFonts w:cs="Times New Roman"/>
          <w:sz w:val="20"/>
        </w:rPr>
        <w:t xml:space="preserve">. </w:t>
      </w:r>
      <w:r w:rsidR="00A60FE5">
        <w:rPr>
          <w:rFonts w:cs="Times New Roman"/>
          <w:sz w:val="20"/>
        </w:rPr>
        <w:t xml:space="preserve"> </w:t>
      </w:r>
      <w:r w:rsidRPr="0063063C">
        <w:rPr>
          <w:rFonts w:cs="Times New Roman"/>
          <w:sz w:val="20"/>
        </w:rPr>
        <w:t xml:space="preserve">BLS. </w:t>
      </w:r>
      <w:r w:rsidR="00493BD2">
        <w:rPr>
          <w:rFonts w:cs="Times New Roman"/>
          <w:sz w:val="20"/>
        </w:rPr>
        <w:t xml:space="preserve"> </w:t>
      </w:r>
      <w:r w:rsidRPr="0063063C">
        <w:rPr>
          <w:rFonts w:cs="Times New Roman"/>
          <w:sz w:val="20"/>
        </w:rPr>
        <w:t>Employer Costs for Employee Compensation - March 20</w:t>
      </w:r>
      <w:r>
        <w:rPr>
          <w:rFonts w:cs="Times New Roman"/>
          <w:sz w:val="20"/>
        </w:rPr>
        <w:t xml:space="preserve">21. </w:t>
      </w:r>
      <w:r w:rsidR="00493BD2">
        <w:rPr>
          <w:rFonts w:cs="Times New Roman"/>
          <w:sz w:val="20"/>
        </w:rPr>
        <w:t xml:space="preserve"> </w:t>
      </w:r>
      <w:r>
        <w:rPr>
          <w:rFonts w:cs="Times New Roman"/>
          <w:sz w:val="20"/>
        </w:rPr>
        <w:t>Table 1</w:t>
      </w:r>
      <w:r w:rsidRPr="0063063C">
        <w:rPr>
          <w:rFonts w:cs="Times New Roman"/>
          <w:sz w:val="20"/>
        </w:rPr>
        <w:t xml:space="preserve">. </w:t>
      </w:r>
      <w:r w:rsidR="00A60FE5">
        <w:rPr>
          <w:rFonts w:cs="Times New Roman"/>
          <w:sz w:val="20"/>
        </w:rPr>
        <w:t xml:space="preserve"> </w:t>
      </w:r>
      <w:r w:rsidRPr="0063063C">
        <w:rPr>
          <w:rFonts w:cs="Times New Roman"/>
          <w:sz w:val="20"/>
        </w:rPr>
        <w:t xml:space="preserve">Employer costs per hour worked for employee compensation and costs as a percent of total compensation: private industry workers. </w:t>
      </w:r>
      <w:r w:rsidR="00A60FE5">
        <w:rPr>
          <w:rFonts w:cs="Times New Roman"/>
          <w:sz w:val="20"/>
        </w:rPr>
        <w:t xml:space="preserve"> </w:t>
      </w:r>
      <w:r w:rsidRPr="0063063C">
        <w:rPr>
          <w:rFonts w:cs="Times New Roman"/>
          <w:sz w:val="20"/>
        </w:rPr>
        <w:t xml:space="preserve">Last modified </w:t>
      </w:r>
      <w:r w:rsidR="005343AB">
        <w:rPr>
          <w:rFonts w:cs="Times New Roman"/>
          <w:sz w:val="20"/>
        </w:rPr>
        <w:t>September 10,</w:t>
      </w:r>
      <w:r w:rsidR="006C5456">
        <w:rPr>
          <w:rFonts w:cs="Times New Roman"/>
          <w:sz w:val="20"/>
        </w:rPr>
        <w:t xml:space="preserve"> </w:t>
      </w:r>
      <w:r w:rsidR="005343AB">
        <w:rPr>
          <w:rFonts w:cs="Times New Roman"/>
          <w:sz w:val="20"/>
        </w:rPr>
        <w:t>2024</w:t>
      </w:r>
      <w:r w:rsidRPr="0063063C">
        <w:rPr>
          <w:rFonts w:cs="Times New Roman"/>
          <w:sz w:val="20"/>
        </w:rPr>
        <w:t xml:space="preserve"> (accessed </w:t>
      </w:r>
      <w:r w:rsidR="0075085E">
        <w:rPr>
          <w:rFonts w:cs="Times New Roman"/>
          <w:color w:val="auto"/>
          <w:sz w:val="20"/>
        </w:rPr>
        <w:t>December 16, 2024</w:t>
      </w:r>
      <w:r w:rsidRPr="004556EB">
        <w:rPr>
          <w:rFonts w:cs="Times New Roman"/>
          <w:color w:val="auto"/>
          <w:sz w:val="20"/>
        </w:rPr>
        <w:t>).</w:t>
      </w:r>
      <w:r w:rsidR="00493BD2">
        <w:rPr>
          <w:rFonts w:cs="Times New Roman"/>
          <w:color w:val="auto"/>
          <w:sz w:val="20"/>
        </w:rPr>
        <w:t xml:space="preserve"> </w:t>
      </w:r>
      <w:r w:rsidRPr="004556EB">
        <w:rPr>
          <w:rFonts w:cs="Times New Roman"/>
          <w:color w:val="auto"/>
          <w:sz w:val="20"/>
        </w:rPr>
        <w:t xml:space="preserve"> </w:t>
      </w:r>
      <w:hyperlink r:id="rId2" w:history="1">
        <w:r w:rsidR="0075085E">
          <w:rPr>
            <w:rStyle w:val="Hyperlink"/>
            <w:rFonts w:cs="Times New Roman"/>
            <w:color w:val="auto"/>
            <w:sz w:val="20"/>
          </w:rPr>
          <w:t>https://www.bls.gov/news.release/archives/ecec_09102024.htm</w:t>
        </w:r>
      </w:hyperlink>
      <w:r>
        <w:rPr>
          <w:rFonts w:cs="Times New Roman"/>
          <w:sz w:val="20"/>
        </w:rPr>
        <w:t>.</w:t>
      </w:r>
    </w:p>
    <w:p w:rsidR="00F6007A" w:rsidP="00F6007A" w14:paraId="4776C113" w14:textId="55557C5B">
      <w:pPr>
        <w:pStyle w:val="FootnoteText"/>
      </w:pPr>
      <w:r>
        <w:t>The fully loaded wage rate is calculated by multiplying the unloaded wage rate by the load factor.</w:t>
      </w:r>
      <w:r w:rsidR="00493BD2">
        <w:t xml:space="preserve"> </w:t>
      </w:r>
      <w:r>
        <w:t xml:space="preserve"> $</w:t>
      </w:r>
      <w:r w:rsidR="0075085E">
        <w:t>114.44</w:t>
      </w:r>
      <w:r>
        <w:t xml:space="preserve"> = $</w:t>
      </w:r>
      <w:r w:rsidR="0075085E">
        <w:t>80.48</w:t>
      </w:r>
      <w:r>
        <w:t xml:space="preserve"> </w:t>
      </w:r>
      <w:r w:rsidR="0075085E">
        <w:t>×</w:t>
      </w:r>
      <w:r>
        <w:t xml:space="preserve"> 1.</w:t>
      </w:r>
      <w:r w:rsidR="0075085E">
        <w:t>422006</w:t>
      </w:r>
      <w:r>
        <w:t>.</w:t>
      </w:r>
    </w:p>
  </w:footnote>
  <w:footnote w:id="13">
    <w:p w:rsidR="00DC32FE" w:rsidP="00DC32FE" w14:paraId="2E743661" w14:textId="2525CC8E">
      <w:pPr>
        <w:pStyle w:val="FootnoteText"/>
      </w:pPr>
      <w:r>
        <w:rPr>
          <w:rStyle w:val="FootnoteReference"/>
        </w:rPr>
        <w:footnoteRef/>
      </w:r>
      <w:r>
        <w:t xml:space="preserve"> TSA, </w:t>
      </w:r>
      <w:r w:rsidR="00663193">
        <w:t>Resource Management Office</w:t>
      </w:r>
      <w:r w:rsidR="00196D8C">
        <w:t xml:space="preserve"> (CY202</w:t>
      </w:r>
      <w:r>
        <w:t>4).</w:t>
      </w:r>
      <w:r w:rsidR="007646BE">
        <w:t xml:space="preserve"> </w:t>
      </w:r>
      <w:r>
        <w:t xml:space="preserve"> This is a fully-loaded rate for an SV H-band (GS-12 equivalent), Step 5 employee located in the National Capital Region (NCR).</w:t>
      </w:r>
    </w:p>
    <w:p w:rsidR="00F6007A" w:rsidP="00F6007A" w14:paraId="6801539E" w14:textId="29D130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14:paraId="31D9D6F0" w14:textId="4E68DAF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B2F76">
      <w:rPr>
        <w:rStyle w:val="PageNumber"/>
        <w:rFonts w:ascii="Times New Roman" w:hAnsi="Times New Roman"/>
        <w:noProof/>
        <w:sz w:val="24"/>
      </w:rPr>
      <w:t>3</w:t>
    </w:r>
    <w:r>
      <w:rPr>
        <w:rStyle w:val="PageNumber"/>
        <w:rFonts w:ascii="Times New Roman" w:hAnsi="Times New Roman"/>
        <w:sz w:val="24"/>
      </w:rPr>
      <w:fldChar w:fldCharType="end"/>
    </w:r>
  </w:p>
  <w:p w:rsidR="00F6007A" w:rsidRPr="00320387" w14:paraId="0D177149"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7A" w14:paraId="57F2CDC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6007A" w14:paraId="18CD1E3E" w14:textId="77777777">
    <w:pPr>
      <w:jc w:val="center"/>
      <w:rPr>
        <w:rFonts w:cs="Times New Roman"/>
        <w:b/>
        <w:sz w:val="28"/>
      </w:rPr>
    </w:pPr>
  </w:p>
  <w:p w:rsidR="00F6007A" w14:paraId="100DE6ED" w14:textId="77777777">
    <w:pPr>
      <w:jc w:val="center"/>
      <w:rPr>
        <w:b/>
      </w:rPr>
    </w:pPr>
    <w:r>
      <w:rPr>
        <w:b/>
      </w:rPr>
      <w:t>Pipeline Operator Security Information</w:t>
    </w:r>
  </w:p>
  <w:p w:rsidR="00F6007A" w14:paraId="0060C0A2" w14:textId="77777777">
    <w:pPr>
      <w:jc w:val="center"/>
      <w:rPr>
        <w:b/>
      </w:rPr>
    </w:pPr>
    <w:r>
      <w:rPr>
        <w:b/>
      </w:rPr>
      <w:t>1652-0055</w:t>
    </w:r>
  </w:p>
  <w:p w:rsidR="00F6007A" w14:paraId="1ACAB29D" w14:textId="55E2D87C">
    <w:pPr>
      <w:jc w:val="center"/>
      <w:rPr>
        <w:b/>
      </w:rPr>
    </w:pPr>
    <w:r>
      <w:rPr>
        <w:b/>
      </w:rPr>
      <w:t xml:space="preserve">Exp. </w:t>
    </w:r>
    <w:r w:rsidR="00D61AD4">
      <w:rPr>
        <w:b/>
      </w:rPr>
      <w:t>8</w:t>
    </w:r>
    <w:r>
      <w:rPr>
        <w:b/>
      </w:rPr>
      <w:t>/</w:t>
    </w:r>
    <w:r w:rsidR="00D61AD4">
      <w:rPr>
        <w:b/>
      </w:rPr>
      <w:t>31</w:t>
    </w:r>
    <w:r>
      <w:rPr>
        <w:b/>
      </w:rPr>
      <w:t>/</w:t>
    </w:r>
    <w:r w:rsidR="00D61AD4">
      <w:rPr>
        <w:b/>
      </w:rPr>
      <w:t>202</w:t>
    </w:r>
    <w:r w:rsidR="00337AAA">
      <w:rPr>
        <w:b/>
      </w:rPr>
      <w:t>5</w:t>
    </w:r>
  </w:p>
  <w:p w:rsidR="00F6007A" w:rsidP="009F2633" w14:paraId="6D32E782" w14:textId="77777777">
    <w:pPr>
      <w:pStyle w:val="Header"/>
      <w:keepLines w:val="0"/>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14:paraId="70908EDB" w14:textId="491EC4C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B2F76">
      <w:rPr>
        <w:rStyle w:val="PageNumber"/>
        <w:rFonts w:ascii="Times New Roman" w:hAnsi="Times New Roman"/>
        <w:noProof/>
        <w:sz w:val="24"/>
      </w:rPr>
      <w:t>2</w:t>
    </w:r>
    <w:r>
      <w:rPr>
        <w:rStyle w:val="PageNumber"/>
        <w:rFonts w:ascii="Times New Roman" w:hAnsi="Times New Roman"/>
        <w:sz w:val="24"/>
      </w:rPr>
      <w:fldChar w:fldCharType="end"/>
    </w:r>
  </w:p>
  <w:p w:rsidR="00B71986" w:rsidRPr="00320387" w14:paraId="74C54FC8" w14:textId="77777777">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986" w14:paraId="23E97EEA"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B71986" w14:paraId="4FB6A349" w14:textId="77777777">
    <w:pPr>
      <w:jc w:val="center"/>
      <w:rPr>
        <w:rFonts w:cs="Times New Roman"/>
        <w:b/>
        <w:sz w:val="28"/>
      </w:rPr>
    </w:pPr>
  </w:p>
  <w:p w:rsidR="00B71986" w14:paraId="2CA2FDEA" w14:textId="77777777">
    <w:pPr>
      <w:jc w:val="center"/>
      <w:rPr>
        <w:b/>
      </w:rPr>
    </w:pPr>
    <w:r>
      <w:rPr>
        <w:b/>
      </w:rPr>
      <w:t>Pipeline Operator Security Information</w:t>
    </w:r>
  </w:p>
  <w:p w:rsidR="00B71986" w14:paraId="03F3BE0C" w14:textId="77777777">
    <w:pPr>
      <w:jc w:val="center"/>
      <w:rPr>
        <w:b/>
      </w:rPr>
    </w:pPr>
    <w:r>
      <w:rPr>
        <w:b/>
      </w:rPr>
      <w:t>1652-0055</w:t>
    </w:r>
  </w:p>
  <w:p w:rsidR="000C50F6" w14:paraId="38CE8323" w14:textId="5E561F7C">
    <w:pPr>
      <w:jc w:val="center"/>
      <w:rPr>
        <w:b/>
      </w:rPr>
    </w:pPr>
    <w:r>
      <w:rPr>
        <w:b/>
      </w:rPr>
      <w:t xml:space="preserve">Exp. </w:t>
    </w:r>
    <w:r w:rsidR="005B35D1">
      <w:rPr>
        <w:b/>
      </w:rPr>
      <w:t>8/31/2025</w:t>
    </w:r>
  </w:p>
  <w:p w:rsidR="00B71986" w:rsidP="009F2633" w14:paraId="6589B911"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E421AA"/>
    <w:multiLevelType w:val="hybridMultilevel"/>
    <w:tmpl w:val="70BEC8F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385545A9"/>
    <w:multiLevelType w:val="hybridMultilevel"/>
    <w:tmpl w:val="2F1A46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9B37B6"/>
    <w:multiLevelType w:val="singleLevel"/>
    <w:tmpl w:val="0409000F"/>
    <w:lvl w:ilvl="0">
      <w:start w:val="1"/>
      <w:numFmt w:val="decimal"/>
      <w:lvlText w:val="%1."/>
      <w:lvlJc w:val="left"/>
      <w:pPr>
        <w:tabs>
          <w:tab w:val="num" w:pos="360"/>
        </w:tabs>
        <w:ind w:left="360" w:hanging="360"/>
      </w:pPr>
    </w:lvl>
  </w:abstractNum>
  <w:abstractNum w:abstractNumId="19">
    <w:nsid w:val="549C1B6C"/>
    <w:multiLevelType w:val="hybridMultilevel"/>
    <w:tmpl w:val="52D4E9E2"/>
    <w:lvl w:ilvl="0">
      <w:start w:val="1"/>
      <w:numFmt w:val="bullet"/>
      <w:pStyle w:val="TSABullet"/>
      <w:lvlText w:val=""/>
      <w:lvlJc w:val="left"/>
      <w:pPr>
        <w:tabs>
          <w:tab w:val="num" w:pos="720"/>
        </w:tabs>
        <w:ind w:left="720" w:hanging="360"/>
      </w:pPr>
      <w:rPr>
        <w:rFonts w:ascii="Symbol"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C386AF2"/>
    <w:multiLevelType w:val="hybridMultilevel"/>
    <w:tmpl w:val="42D2D26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start w:va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338193938">
    <w:abstractNumId w:val="9"/>
  </w:num>
  <w:num w:numId="2" w16cid:durableId="1914387303">
    <w:abstractNumId w:val="7"/>
  </w:num>
  <w:num w:numId="3" w16cid:durableId="1273512878">
    <w:abstractNumId w:val="6"/>
  </w:num>
  <w:num w:numId="4" w16cid:durableId="1615288188">
    <w:abstractNumId w:val="5"/>
  </w:num>
  <w:num w:numId="5" w16cid:durableId="1555266738">
    <w:abstractNumId w:val="4"/>
  </w:num>
  <w:num w:numId="6" w16cid:durableId="519439728">
    <w:abstractNumId w:val="8"/>
  </w:num>
  <w:num w:numId="7" w16cid:durableId="900793406">
    <w:abstractNumId w:val="3"/>
  </w:num>
  <w:num w:numId="8" w16cid:durableId="1493180774">
    <w:abstractNumId w:val="2"/>
  </w:num>
  <w:num w:numId="9" w16cid:durableId="56367163">
    <w:abstractNumId w:val="1"/>
  </w:num>
  <w:num w:numId="10" w16cid:durableId="733433970">
    <w:abstractNumId w:val="0"/>
  </w:num>
  <w:num w:numId="11" w16cid:durableId="1687630651">
    <w:abstractNumId w:val="11"/>
  </w:num>
  <w:num w:numId="12" w16cid:durableId="265699194">
    <w:abstractNumId w:val="24"/>
  </w:num>
  <w:num w:numId="13" w16cid:durableId="67194218">
    <w:abstractNumId w:val="23"/>
  </w:num>
  <w:num w:numId="14" w16cid:durableId="529340874">
    <w:abstractNumId w:val="12"/>
  </w:num>
  <w:num w:numId="15" w16cid:durableId="1254514275">
    <w:abstractNumId w:val="14"/>
  </w:num>
  <w:num w:numId="16" w16cid:durableId="995767174">
    <w:abstractNumId w:val="15"/>
  </w:num>
  <w:num w:numId="17" w16cid:durableId="2105178913">
    <w:abstractNumId w:val="21"/>
  </w:num>
  <w:num w:numId="18" w16cid:durableId="1150055675">
    <w:abstractNumId w:val="16"/>
  </w:num>
  <w:num w:numId="19" w16cid:durableId="34085639">
    <w:abstractNumId w:val="25"/>
  </w:num>
  <w:num w:numId="20" w16cid:durableId="1803503558">
    <w:abstractNumId w:val="18"/>
  </w:num>
  <w:num w:numId="21" w16cid:durableId="2123648580">
    <w:abstractNumId w:val="22"/>
  </w:num>
  <w:num w:numId="22" w16cid:durableId="1803573503">
    <w:abstractNumId w:val="17"/>
  </w:num>
  <w:num w:numId="23" w16cid:durableId="1367870574">
    <w:abstractNumId w:val="19"/>
  </w:num>
  <w:num w:numId="24" w16cid:durableId="1486164655">
    <w:abstractNumId w:val="10"/>
  </w:num>
  <w:num w:numId="25" w16cid:durableId="2083596948">
    <w:abstractNumId w:val="13"/>
  </w:num>
  <w:num w:numId="26" w16cid:durableId="302003653">
    <w:abstractNumId w:val="20"/>
  </w:num>
  <w:num w:numId="27" w16cid:durableId="521019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D4"/>
    <w:rsid w:val="00006723"/>
    <w:rsid w:val="0001179F"/>
    <w:rsid w:val="000166DA"/>
    <w:rsid w:val="00020209"/>
    <w:rsid w:val="00020ED3"/>
    <w:rsid w:val="00021398"/>
    <w:rsid w:val="00025523"/>
    <w:rsid w:val="00027587"/>
    <w:rsid w:val="00030E3E"/>
    <w:rsid w:val="00035019"/>
    <w:rsid w:val="00035DBD"/>
    <w:rsid w:val="000371AE"/>
    <w:rsid w:val="0003794A"/>
    <w:rsid w:val="00043100"/>
    <w:rsid w:val="00043463"/>
    <w:rsid w:val="000475A5"/>
    <w:rsid w:val="000504BA"/>
    <w:rsid w:val="00052EBD"/>
    <w:rsid w:val="000556A1"/>
    <w:rsid w:val="00055D61"/>
    <w:rsid w:val="00060A84"/>
    <w:rsid w:val="00061FEC"/>
    <w:rsid w:val="0006340E"/>
    <w:rsid w:val="00067DED"/>
    <w:rsid w:val="00071502"/>
    <w:rsid w:val="00071949"/>
    <w:rsid w:val="0007528B"/>
    <w:rsid w:val="00075708"/>
    <w:rsid w:val="00075784"/>
    <w:rsid w:val="000819BA"/>
    <w:rsid w:val="00084569"/>
    <w:rsid w:val="00084639"/>
    <w:rsid w:val="00084BDC"/>
    <w:rsid w:val="00086075"/>
    <w:rsid w:val="00086142"/>
    <w:rsid w:val="00086E7A"/>
    <w:rsid w:val="00091267"/>
    <w:rsid w:val="00091CB0"/>
    <w:rsid w:val="00092654"/>
    <w:rsid w:val="0009420A"/>
    <w:rsid w:val="00094CA2"/>
    <w:rsid w:val="00096FAC"/>
    <w:rsid w:val="000A6E36"/>
    <w:rsid w:val="000B1151"/>
    <w:rsid w:val="000B579D"/>
    <w:rsid w:val="000C0236"/>
    <w:rsid w:val="000C0F98"/>
    <w:rsid w:val="000C2B89"/>
    <w:rsid w:val="000C3F1C"/>
    <w:rsid w:val="000C4072"/>
    <w:rsid w:val="000C44D3"/>
    <w:rsid w:val="000C4694"/>
    <w:rsid w:val="000C50F6"/>
    <w:rsid w:val="000C5A5F"/>
    <w:rsid w:val="000C7E3F"/>
    <w:rsid w:val="000D306F"/>
    <w:rsid w:val="000D46C5"/>
    <w:rsid w:val="000D4C6E"/>
    <w:rsid w:val="000D543F"/>
    <w:rsid w:val="000D65CC"/>
    <w:rsid w:val="000D6E6E"/>
    <w:rsid w:val="000D7279"/>
    <w:rsid w:val="000D7E2C"/>
    <w:rsid w:val="000E6808"/>
    <w:rsid w:val="000F0E29"/>
    <w:rsid w:val="000F6953"/>
    <w:rsid w:val="0010138D"/>
    <w:rsid w:val="00105997"/>
    <w:rsid w:val="00105DD7"/>
    <w:rsid w:val="00106E82"/>
    <w:rsid w:val="001105D6"/>
    <w:rsid w:val="00111FF9"/>
    <w:rsid w:val="001128A1"/>
    <w:rsid w:val="001140C4"/>
    <w:rsid w:val="001149C6"/>
    <w:rsid w:val="00115F4C"/>
    <w:rsid w:val="00120BE9"/>
    <w:rsid w:val="00122B6F"/>
    <w:rsid w:val="00123007"/>
    <w:rsid w:val="001317A0"/>
    <w:rsid w:val="0013310F"/>
    <w:rsid w:val="00135C9A"/>
    <w:rsid w:val="00136493"/>
    <w:rsid w:val="001436DC"/>
    <w:rsid w:val="00147DDE"/>
    <w:rsid w:val="0015198A"/>
    <w:rsid w:val="00152E6F"/>
    <w:rsid w:val="00153FF7"/>
    <w:rsid w:val="0015791A"/>
    <w:rsid w:val="00157D98"/>
    <w:rsid w:val="00157E3E"/>
    <w:rsid w:val="00160F3B"/>
    <w:rsid w:val="00161B2C"/>
    <w:rsid w:val="00162BA5"/>
    <w:rsid w:val="00163B52"/>
    <w:rsid w:val="00163CFC"/>
    <w:rsid w:val="00164BA2"/>
    <w:rsid w:val="00166F92"/>
    <w:rsid w:val="00172B72"/>
    <w:rsid w:val="00172DE8"/>
    <w:rsid w:val="0017334A"/>
    <w:rsid w:val="00176782"/>
    <w:rsid w:val="00190916"/>
    <w:rsid w:val="00191277"/>
    <w:rsid w:val="00194BEF"/>
    <w:rsid w:val="00196A9E"/>
    <w:rsid w:val="00196D8C"/>
    <w:rsid w:val="001A0E31"/>
    <w:rsid w:val="001A2C72"/>
    <w:rsid w:val="001A421C"/>
    <w:rsid w:val="001A4894"/>
    <w:rsid w:val="001A50E9"/>
    <w:rsid w:val="001A5682"/>
    <w:rsid w:val="001B20CD"/>
    <w:rsid w:val="001B40C9"/>
    <w:rsid w:val="001B6ACE"/>
    <w:rsid w:val="001B6CB2"/>
    <w:rsid w:val="001C0C71"/>
    <w:rsid w:val="001C16D0"/>
    <w:rsid w:val="001C33C1"/>
    <w:rsid w:val="001C5402"/>
    <w:rsid w:val="001C57D6"/>
    <w:rsid w:val="001C6297"/>
    <w:rsid w:val="001C78C4"/>
    <w:rsid w:val="001D2931"/>
    <w:rsid w:val="001D502C"/>
    <w:rsid w:val="001D5E3C"/>
    <w:rsid w:val="001E49AA"/>
    <w:rsid w:val="001E5F5A"/>
    <w:rsid w:val="001E626A"/>
    <w:rsid w:val="001F0623"/>
    <w:rsid w:val="001F23B2"/>
    <w:rsid w:val="00200EDF"/>
    <w:rsid w:val="0021069D"/>
    <w:rsid w:val="00210801"/>
    <w:rsid w:val="002110EE"/>
    <w:rsid w:val="002162D4"/>
    <w:rsid w:val="002178DF"/>
    <w:rsid w:val="002257D1"/>
    <w:rsid w:val="00227680"/>
    <w:rsid w:val="0023164E"/>
    <w:rsid w:val="00231882"/>
    <w:rsid w:val="00232C98"/>
    <w:rsid w:val="002351AE"/>
    <w:rsid w:val="00235DBF"/>
    <w:rsid w:val="002371BF"/>
    <w:rsid w:val="00240E60"/>
    <w:rsid w:val="00242FEB"/>
    <w:rsid w:val="00244180"/>
    <w:rsid w:val="00244A11"/>
    <w:rsid w:val="00247756"/>
    <w:rsid w:val="00251A6A"/>
    <w:rsid w:val="0025244A"/>
    <w:rsid w:val="00252E2C"/>
    <w:rsid w:val="002533BF"/>
    <w:rsid w:val="002547A3"/>
    <w:rsid w:val="00256147"/>
    <w:rsid w:val="00256C44"/>
    <w:rsid w:val="002607D7"/>
    <w:rsid w:val="00260B87"/>
    <w:rsid w:val="002646F5"/>
    <w:rsid w:val="00285C3B"/>
    <w:rsid w:val="0028662A"/>
    <w:rsid w:val="00286F04"/>
    <w:rsid w:val="00287BF8"/>
    <w:rsid w:val="00291A0C"/>
    <w:rsid w:val="002932E4"/>
    <w:rsid w:val="002945CB"/>
    <w:rsid w:val="00297E8C"/>
    <w:rsid w:val="002A4AE2"/>
    <w:rsid w:val="002A56A3"/>
    <w:rsid w:val="002A7D21"/>
    <w:rsid w:val="002B0455"/>
    <w:rsid w:val="002B1533"/>
    <w:rsid w:val="002B24DA"/>
    <w:rsid w:val="002B7805"/>
    <w:rsid w:val="002C4D73"/>
    <w:rsid w:val="002C5ACF"/>
    <w:rsid w:val="002C7F60"/>
    <w:rsid w:val="002D0F33"/>
    <w:rsid w:val="002D4B12"/>
    <w:rsid w:val="002D4BB6"/>
    <w:rsid w:val="002D58B6"/>
    <w:rsid w:val="002D607D"/>
    <w:rsid w:val="002D761B"/>
    <w:rsid w:val="002E0575"/>
    <w:rsid w:val="002E4F18"/>
    <w:rsid w:val="002E5A70"/>
    <w:rsid w:val="002E738C"/>
    <w:rsid w:val="002E7459"/>
    <w:rsid w:val="002F0DB1"/>
    <w:rsid w:val="002F28C5"/>
    <w:rsid w:val="002F5F5A"/>
    <w:rsid w:val="00303432"/>
    <w:rsid w:val="00303B98"/>
    <w:rsid w:val="00304133"/>
    <w:rsid w:val="00305A3E"/>
    <w:rsid w:val="00306078"/>
    <w:rsid w:val="0031365A"/>
    <w:rsid w:val="003142C7"/>
    <w:rsid w:val="00320387"/>
    <w:rsid w:val="00320FCA"/>
    <w:rsid w:val="00322A84"/>
    <w:rsid w:val="00326EE1"/>
    <w:rsid w:val="00332BB8"/>
    <w:rsid w:val="00335DD4"/>
    <w:rsid w:val="0033642D"/>
    <w:rsid w:val="003370A8"/>
    <w:rsid w:val="00337AAA"/>
    <w:rsid w:val="00344833"/>
    <w:rsid w:val="00345664"/>
    <w:rsid w:val="003506F9"/>
    <w:rsid w:val="003518B9"/>
    <w:rsid w:val="00351A29"/>
    <w:rsid w:val="00352A78"/>
    <w:rsid w:val="00355127"/>
    <w:rsid w:val="00355E37"/>
    <w:rsid w:val="003648DC"/>
    <w:rsid w:val="00370F2A"/>
    <w:rsid w:val="003728D9"/>
    <w:rsid w:val="00372E67"/>
    <w:rsid w:val="00372F31"/>
    <w:rsid w:val="00374E33"/>
    <w:rsid w:val="00381606"/>
    <w:rsid w:val="00381CE8"/>
    <w:rsid w:val="0038380F"/>
    <w:rsid w:val="0038772B"/>
    <w:rsid w:val="00393ED7"/>
    <w:rsid w:val="0039445C"/>
    <w:rsid w:val="0039685C"/>
    <w:rsid w:val="0039743A"/>
    <w:rsid w:val="003979AA"/>
    <w:rsid w:val="003A11E7"/>
    <w:rsid w:val="003A1FBB"/>
    <w:rsid w:val="003A28C9"/>
    <w:rsid w:val="003A4DF7"/>
    <w:rsid w:val="003A5ADA"/>
    <w:rsid w:val="003A5D31"/>
    <w:rsid w:val="003B0CB3"/>
    <w:rsid w:val="003B39C8"/>
    <w:rsid w:val="003B45A2"/>
    <w:rsid w:val="003B5207"/>
    <w:rsid w:val="003B542D"/>
    <w:rsid w:val="003C0873"/>
    <w:rsid w:val="003C1590"/>
    <w:rsid w:val="003C2EF3"/>
    <w:rsid w:val="003C4840"/>
    <w:rsid w:val="003C53E6"/>
    <w:rsid w:val="003C6D64"/>
    <w:rsid w:val="003D0568"/>
    <w:rsid w:val="003D089C"/>
    <w:rsid w:val="003D0B33"/>
    <w:rsid w:val="003D3959"/>
    <w:rsid w:val="003E3BAB"/>
    <w:rsid w:val="003F05BF"/>
    <w:rsid w:val="003F32DD"/>
    <w:rsid w:val="003F37D6"/>
    <w:rsid w:val="003F388D"/>
    <w:rsid w:val="003F493E"/>
    <w:rsid w:val="00404982"/>
    <w:rsid w:val="00404FD1"/>
    <w:rsid w:val="00405154"/>
    <w:rsid w:val="00410EC0"/>
    <w:rsid w:val="00411EC2"/>
    <w:rsid w:val="004206DA"/>
    <w:rsid w:val="00423844"/>
    <w:rsid w:val="0042752B"/>
    <w:rsid w:val="00430E9D"/>
    <w:rsid w:val="004321FF"/>
    <w:rsid w:val="00432AEB"/>
    <w:rsid w:val="00435B03"/>
    <w:rsid w:val="004374C1"/>
    <w:rsid w:val="00444B31"/>
    <w:rsid w:val="004517E6"/>
    <w:rsid w:val="00452912"/>
    <w:rsid w:val="004536CE"/>
    <w:rsid w:val="00453942"/>
    <w:rsid w:val="004556EB"/>
    <w:rsid w:val="0045602D"/>
    <w:rsid w:val="0046252B"/>
    <w:rsid w:val="004673DC"/>
    <w:rsid w:val="0046770A"/>
    <w:rsid w:val="00467B44"/>
    <w:rsid w:val="00467FF7"/>
    <w:rsid w:val="00470DF4"/>
    <w:rsid w:val="00471939"/>
    <w:rsid w:val="0047289D"/>
    <w:rsid w:val="00473FBD"/>
    <w:rsid w:val="00474A1D"/>
    <w:rsid w:val="0047601B"/>
    <w:rsid w:val="004836A1"/>
    <w:rsid w:val="004838CF"/>
    <w:rsid w:val="004854CA"/>
    <w:rsid w:val="00485F6C"/>
    <w:rsid w:val="00486DDD"/>
    <w:rsid w:val="004879EC"/>
    <w:rsid w:val="00487B25"/>
    <w:rsid w:val="004908DC"/>
    <w:rsid w:val="0049122C"/>
    <w:rsid w:val="00491470"/>
    <w:rsid w:val="0049302E"/>
    <w:rsid w:val="0049353E"/>
    <w:rsid w:val="00493BD2"/>
    <w:rsid w:val="00495CC3"/>
    <w:rsid w:val="004A1DEC"/>
    <w:rsid w:val="004A1E92"/>
    <w:rsid w:val="004A2391"/>
    <w:rsid w:val="004A7146"/>
    <w:rsid w:val="004A71FA"/>
    <w:rsid w:val="004B0458"/>
    <w:rsid w:val="004B0EE5"/>
    <w:rsid w:val="004B1951"/>
    <w:rsid w:val="004B2472"/>
    <w:rsid w:val="004B3699"/>
    <w:rsid w:val="004B5D1D"/>
    <w:rsid w:val="004C0941"/>
    <w:rsid w:val="004C0DE9"/>
    <w:rsid w:val="004D26F5"/>
    <w:rsid w:val="004D6D90"/>
    <w:rsid w:val="004D7940"/>
    <w:rsid w:val="004E0895"/>
    <w:rsid w:val="004E142A"/>
    <w:rsid w:val="004E30CA"/>
    <w:rsid w:val="004E4078"/>
    <w:rsid w:val="004E43E7"/>
    <w:rsid w:val="004E4774"/>
    <w:rsid w:val="004E5B08"/>
    <w:rsid w:val="004E5DF2"/>
    <w:rsid w:val="004F003F"/>
    <w:rsid w:val="004F2272"/>
    <w:rsid w:val="004F29B2"/>
    <w:rsid w:val="004F2DCD"/>
    <w:rsid w:val="004F40EC"/>
    <w:rsid w:val="004F5304"/>
    <w:rsid w:val="004F68EE"/>
    <w:rsid w:val="004F7357"/>
    <w:rsid w:val="004F79E2"/>
    <w:rsid w:val="00502F72"/>
    <w:rsid w:val="00503566"/>
    <w:rsid w:val="00504C02"/>
    <w:rsid w:val="0050692E"/>
    <w:rsid w:val="0051474E"/>
    <w:rsid w:val="0051531D"/>
    <w:rsid w:val="00515651"/>
    <w:rsid w:val="005159D9"/>
    <w:rsid w:val="0051641B"/>
    <w:rsid w:val="005164F5"/>
    <w:rsid w:val="00516C2F"/>
    <w:rsid w:val="0051706C"/>
    <w:rsid w:val="00517F40"/>
    <w:rsid w:val="005209BC"/>
    <w:rsid w:val="0052135D"/>
    <w:rsid w:val="005343AB"/>
    <w:rsid w:val="00542219"/>
    <w:rsid w:val="00542695"/>
    <w:rsid w:val="00543547"/>
    <w:rsid w:val="00550DA5"/>
    <w:rsid w:val="00551039"/>
    <w:rsid w:val="00551F03"/>
    <w:rsid w:val="00553D39"/>
    <w:rsid w:val="0055406D"/>
    <w:rsid w:val="005541B2"/>
    <w:rsid w:val="00554743"/>
    <w:rsid w:val="0055505B"/>
    <w:rsid w:val="00557576"/>
    <w:rsid w:val="0056023C"/>
    <w:rsid w:val="00560801"/>
    <w:rsid w:val="00560D2E"/>
    <w:rsid w:val="005612AE"/>
    <w:rsid w:val="005623A8"/>
    <w:rsid w:val="00563A64"/>
    <w:rsid w:val="00563AF8"/>
    <w:rsid w:val="005656DE"/>
    <w:rsid w:val="00580CA1"/>
    <w:rsid w:val="0058269B"/>
    <w:rsid w:val="00584683"/>
    <w:rsid w:val="00584A55"/>
    <w:rsid w:val="0058685A"/>
    <w:rsid w:val="00587E94"/>
    <w:rsid w:val="0059024B"/>
    <w:rsid w:val="0059027E"/>
    <w:rsid w:val="00592B58"/>
    <w:rsid w:val="0059417A"/>
    <w:rsid w:val="005A012B"/>
    <w:rsid w:val="005A426C"/>
    <w:rsid w:val="005A559C"/>
    <w:rsid w:val="005B1857"/>
    <w:rsid w:val="005B35D1"/>
    <w:rsid w:val="005B53FF"/>
    <w:rsid w:val="005B68E5"/>
    <w:rsid w:val="005B6A74"/>
    <w:rsid w:val="005C03E2"/>
    <w:rsid w:val="005C0BD5"/>
    <w:rsid w:val="005C3510"/>
    <w:rsid w:val="005C5E69"/>
    <w:rsid w:val="005D02CD"/>
    <w:rsid w:val="005D3B11"/>
    <w:rsid w:val="005E0D15"/>
    <w:rsid w:val="005E130A"/>
    <w:rsid w:val="005E1D25"/>
    <w:rsid w:val="005E1F5B"/>
    <w:rsid w:val="005E3C4D"/>
    <w:rsid w:val="005E6694"/>
    <w:rsid w:val="005F0162"/>
    <w:rsid w:val="005F09AD"/>
    <w:rsid w:val="005F21E4"/>
    <w:rsid w:val="005F29E2"/>
    <w:rsid w:val="005F3EED"/>
    <w:rsid w:val="00601A3A"/>
    <w:rsid w:val="00604E0E"/>
    <w:rsid w:val="00606A23"/>
    <w:rsid w:val="006078CB"/>
    <w:rsid w:val="00611EAA"/>
    <w:rsid w:val="006159AE"/>
    <w:rsid w:val="00616085"/>
    <w:rsid w:val="00620A6F"/>
    <w:rsid w:val="00625D6F"/>
    <w:rsid w:val="0063063C"/>
    <w:rsid w:val="00633D03"/>
    <w:rsid w:val="00640F5F"/>
    <w:rsid w:val="00641712"/>
    <w:rsid w:val="00642030"/>
    <w:rsid w:val="00646620"/>
    <w:rsid w:val="00646BD2"/>
    <w:rsid w:val="00657897"/>
    <w:rsid w:val="00660D73"/>
    <w:rsid w:val="00663193"/>
    <w:rsid w:val="00663BB7"/>
    <w:rsid w:val="0066785A"/>
    <w:rsid w:val="006713C1"/>
    <w:rsid w:val="00672E84"/>
    <w:rsid w:val="00676E8E"/>
    <w:rsid w:val="0068298C"/>
    <w:rsid w:val="006835A3"/>
    <w:rsid w:val="00690B16"/>
    <w:rsid w:val="0069442E"/>
    <w:rsid w:val="006A2CDD"/>
    <w:rsid w:val="006A5F51"/>
    <w:rsid w:val="006A7A33"/>
    <w:rsid w:val="006B0B83"/>
    <w:rsid w:val="006B0C57"/>
    <w:rsid w:val="006B20F6"/>
    <w:rsid w:val="006B298C"/>
    <w:rsid w:val="006B3D73"/>
    <w:rsid w:val="006B43EF"/>
    <w:rsid w:val="006C20FA"/>
    <w:rsid w:val="006C3005"/>
    <w:rsid w:val="006C5456"/>
    <w:rsid w:val="006D275C"/>
    <w:rsid w:val="006D3E4F"/>
    <w:rsid w:val="006D5F17"/>
    <w:rsid w:val="006E2F34"/>
    <w:rsid w:val="006E6E2C"/>
    <w:rsid w:val="006E75BD"/>
    <w:rsid w:val="006F0856"/>
    <w:rsid w:val="006F0F16"/>
    <w:rsid w:val="006F3570"/>
    <w:rsid w:val="006F5D15"/>
    <w:rsid w:val="006F6ECC"/>
    <w:rsid w:val="00701555"/>
    <w:rsid w:val="00705467"/>
    <w:rsid w:val="007103DB"/>
    <w:rsid w:val="007130B5"/>
    <w:rsid w:val="007161D7"/>
    <w:rsid w:val="00716A05"/>
    <w:rsid w:val="00720859"/>
    <w:rsid w:val="007250E5"/>
    <w:rsid w:val="007259C4"/>
    <w:rsid w:val="00726B35"/>
    <w:rsid w:val="00726E40"/>
    <w:rsid w:val="00730238"/>
    <w:rsid w:val="00733F05"/>
    <w:rsid w:val="00735624"/>
    <w:rsid w:val="0073689A"/>
    <w:rsid w:val="00737A0D"/>
    <w:rsid w:val="00742563"/>
    <w:rsid w:val="0074340A"/>
    <w:rsid w:val="00745A7C"/>
    <w:rsid w:val="007463DC"/>
    <w:rsid w:val="00746415"/>
    <w:rsid w:val="007505DB"/>
    <w:rsid w:val="0075085E"/>
    <w:rsid w:val="00752376"/>
    <w:rsid w:val="007554D0"/>
    <w:rsid w:val="0076409E"/>
    <w:rsid w:val="007646BE"/>
    <w:rsid w:val="00765D60"/>
    <w:rsid w:val="00766319"/>
    <w:rsid w:val="00767A65"/>
    <w:rsid w:val="007726D3"/>
    <w:rsid w:val="0077338A"/>
    <w:rsid w:val="00774906"/>
    <w:rsid w:val="0077574B"/>
    <w:rsid w:val="00780D1E"/>
    <w:rsid w:val="007814E8"/>
    <w:rsid w:val="007817C7"/>
    <w:rsid w:val="007833DF"/>
    <w:rsid w:val="0078466B"/>
    <w:rsid w:val="00786B21"/>
    <w:rsid w:val="007964A4"/>
    <w:rsid w:val="007A299F"/>
    <w:rsid w:val="007A4EE8"/>
    <w:rsid w:val="007A6753"/>
    <w:rsid w:val="007B06E1"/>
    <w:rsid w:val="007B084D"/>
    <w:rsid w:val="007B2F76"/>
    <w:rsid w:val="007B5F99"/>
    <w:rsid w:val="007B68B3"/>
    <w:rsid w:val="007C18F2"/>
    <w:rsid w:val="007C1B73"/>
    <w:rsid w:val="007C229D"/>
    <w:rsid w:val="007C271C"/>
    <w:rsid w:val="007C508D"/>
    <w:rsid w:val="007C7BDD"/>
    <w:rsid w:val="007D011F"/>
    <w:rsid w:val="007D01C7"/>
    <w:rsid w:val="007D404D"/>
    <w:rsid w:val="007D4727"/>
    <w:rsid w:val="007D4B9E"/>
    <w:rsid w:val="007E374B"/>
    <w:rsid w:val="007E593F"/>
    <w:rsid w:val="007E7433"/>
    <w:rsid w:val="007E7656"/>
    <w:rsid w:val="007F3FDD"/>
    <w:rsid w:val="007F5E4C"/>
    <w:rsid w:val="007F770E"/>
    <w:rsid w:val="007F7DE2"/>
    <w:rsid w:val="0080222F"/>
    <w:rsid w:val="00810A2C"/>
    <w:rsid w:val="00811776"/>
    <w:rsid w:val="0081296D"/>
    <w:rsid w:val="00812A38"/>
    <w:rsid w:val="00815266"/>
    <w:rsid w:val="008166A5"/>
    <w:rsid w:val="008167AF"/>
    <w:rsid w:val="00821B6A"/>
    <w:rsid w:val="00822524"/>
    <w:rsid w:val="00822983"/>
    <w:rsid w:val="00823DAD"/>
    <w:rsid w:val="00826647"/>
    <w:rsid w:val="00830D5E"/>
    <w:rsid w:val="00831300"/>
    <w:rsid w:val="0083162C"/>
    <w:rsid w:val="00834B61"/>
    <w:rsid w:val="00836F4A"/>
    <w:rsid w:val="00850882"/>
    <w:rsid w:val="00850EA7"/>
    <w:rsid w:val="00852759"/>
    <w:rsid w:val="008534BA"/>
    <w:rsid w:val="00855D28"/>
    <w:rsid w:val="00857572"/>
    <w:rsid w:val="0085780D"/>
    <w:rsid w:val="00860F65"/>
    <w:rsid w:val="0086332C"/>
    <w:rsid w:val="008658D9"/>
    <w:rsid w:val="008662C4"/>
    <w:rsid w:val="008668DE"/>
    <w:rsid w:val="0087037B"/>
    <w:rsid w:val="00871555"/>
    <w:rsid w:val="00872512"/>
    <w:rsid w:val="00873ACF"/>
    <w:rsid w:val="00875B82"/>
    <w:rsid w:val="00881C03"/>
    <w:rsid w:val="00882E89"/>
    <w:rsid w:val="0088577E"/>
    <w:rsid w:val="0089228B"/>
    <w:rsid w:val="008938C7"/>
    <w:rsid w:val="00896983"/>
    <w:rsid w:val="008A16E8"/>
    <w:rsid w:val="008A18F9"/>
    <w:rsid w:val="008A6A92"/>
    <w:rsid w:val="008A7F93"/>
    <w:rsid w:val="008B4D38"/>
    <w:rsid w:val="008B57C5"/>
    <w:rsid w:val="008B6215"/>
    <w:rsid w:val="008B69EF"/>
    <w:rsid w:val="008B75AE"/>
    <w:rsid w:val="008C3046"/>
    <w:rsid w:val="008C4397"/>
    <w:rsid w:val="008C46C0"/>
    <w:rsid w:val="008C742E"/>
    <w:rsid w:val="008D2AD3"/>
    <w:rsid w:val="008D2B43"/>
    <w:rsid w:val="008D381A"/>
    <w:rsid w:val="008D425B"/>
    <w:rsid w:val="008D6025"/>
    <w:rsid w:val="008E1206"/>
    <w:rsid w:val="008E234E"/>
    <w:rsid w:val="008E2C3C"/>
    <w:rsid w:val="008E4EAA"/>
    <w:rsid w:val="008E5BCC"/>
    <w:rsid w:val="008E64D0"/>
    <w:rsid w:val="008F0F07"/>
    <w:rsid w:val="008F2248"/>
    <w:rsid w:val="008F4D8F"/>
    <w:rsid w:val="008F5C28"/>
    <w:rsid w:val="008F6E20"/>
    <w:rsid w:val="00900502"/>
    <w:rsid w:val="00901642"/>
    <w:rsid w:val="00907849"/>
    <w:rsid w:val="00907BEA"/>
    <w:rsid w:val="009107A4"/>
    <w:rsid w:val="00911D35"/>
    <w:rsid w:val="00912291"/>
    <w:rsid w:val="009134B7"/>
    <w:rsid w:val="009143DF"/>
    <w:rsid w:val="0091531D"/>
    <w:rsid w:val="00921D3D"/>
    <w:rsid w:val="009237B9"/>
    <w:rsid w:val="009239D1"/>
    <w:rsid w:val="00926629"/>
    <w:rsid w:val="00934E7A"/>
    <w:rsid w:val="009358BA"/>
    <w:rsid w:val="00937577"/>
    <w:rsid w:val="00937644"/>
    <w:rsid w:val="009402F8"/>
    <w:rsid w:val="0094059C"/>
    <w:rsid w:val="00941175"/>
    <w:rsid w:val="00942CEB"/>
    <w:rsid w:val="00946C33"/>
    <w:rsid w:val="009519AE"/>
    <w:rsid w:val="00952D42"/>
    <w:rsid w:val="00955FD1"/>
    <w:rsid w:val="00957C0D"/>
    <w:rsid w:val="009654F0"/>
    <w:rsid w:val="00971802"/>
    <w:rsid w:val="00973A01"/>
    <w:rsid w:val="009753E9"/>
    <w:rsid w:val="00976F49"/>
    <w:rsid w:val="0098237C"/>
    <w:rsid w:val="00982480"/>
    <w:rsid w:val="00991B93"/>
    <w:rsid w:val="0099204D"/>
    <w:rsid w:val="00996C17"/>
    <w:rsid w:val="00997B43"/>
    <w:rsid w:val="009A1585"/>
    <w:rsid w:val="009A1DBA"/>
    <w:rsid w:val="009A232B"/>
    <w:rsid w:val="009A26E0"/>
    <w:rsid w:val="009A3326"/>
    <w:rsid w:val="009A5F5B"/>
    <w:rsid w:val="009A6D3C"/>
    <w:rsid w:val="009A6FE4"/>
    <w:rsid w:val="009A783A"/>
    <w:rsid w:val="009A7C51"/>
    <w:rsid w:val="009B10D8"/>
    <w:rsid w:val="009B2321"/>
    <w:rsid w:val="009B4C10"/>
    <w:rsid w:val="009C0BC5"/>
    <w:rsid w:val="009C0E4E"/>
    <w:rsid w:val="009C185C"/>
    <w:rsid w:val="009C4447"/>
    <w:rsid w:val="009C445E"/>
    <w:rsid w:val="009C62AC"/>
    <w:rsid w:val="009C772E"/>
    <w:rsid w:val="009D0372"/>
    <w:rsid w:val="009D0D32"/>
    <w:rsid w:val="009D5A41"/>
    <w:rsid w:val="009E15C5"/>
    <w:rsid w:val="009E536A"/>
    <w:rsid w:val="009E7B9A"/>
    <w:rsid w:val="009F0958"/>
    <w:rsid w:val="009F09D2"/>
    <w:rsid w:val="009F0AA6"/>
    <w:rsid w:val="009F2633"/>
    <w:rsid w:val="009F487A"/>
    <w:rsid w:val="009F564E"/>
    <w:rsid w:val="009F681C"/>
    <w:rsid w:val="009F6CCB"/>
    <w:rsid w:val="00A00E7C"/>
    <w:rsid w:val="00A027AB"/>
    <w:rsid w:val="00A0520E"/>
    <w:rsid w:val="00A07172"/>
    <w:rsid w:val="00A073AC"/>
    <w:rsid w:val="00A07E93"/>
    <w:rsid w:val="00A11B55"/>
    <w:rsid w:val="00A22ED4"/>
    <w:rsid w:val="00A233C6"/>
    <w:rsid w:val="00A26DD6"/>
    <w:rsid w:val="00A329AA"/>
    <w:rsid w:val="00A32AAF"/>
    <w:rsid w:val="00A3312A"/>
    <w:rsid w:val="00A34B45"/>
    <w:rsid w:val="00A353F8"/>
    <w:rsid w:val="00A3738A"/>
    <w:rsid w:val="00A41650"/>
    <w:rsid w:val="00A42C34"/>
    <w:rsid w:val="00A442D8"/>
    <w:rsid w:val="00A44B0F"/>
    <w:rsid w:val="00A465CE"/>
    <w:rsid w:val="00A46861"/>
    <w:rsid w:val="00A4707C"/>
    <w:rsid w:val="00A47797"/>
    <w:rsid w:val="00A505F9"/>
    <w:rsid w:val="00A532EE"/>
    <w:rsid w:val="00A54F0F"/>
    <w:rsid w:val="00A60FE5"/>
    <w:rsid w:val="00A62277"/>
    <w:rsid w:val="00A64169"/>
    <w:rsid w:val="00A64201"/>
    <w:rsid w:val="00A65075"/>
    <w:rsid w:val="00A65268"/>
    <w:rsid w:val="00A655CA"/>
    <w:rsid w:val="00A71B94"/>
    <w:rsid w:val="00A72ABE"/>
    <w:rsid w:val="00A73DB2"/>
    <w:rsid w:val="00A80E46"/>
    <w:rsid w:val="00A81140"/>
    <w:rsid w:val="00A8464F"/>
    <w:rsid w:val="00A84A9F"/>
    <w:rsid w:val="00A85112"/>
    <w:rsid w:val="00A9153E"/>
    <w:rsid w:val="00A926A6"/>
    <w:rsid w:val="00A93B53"/>
    <w:rsid w:val="00A94539"/>
    <w:rsid w:val="00AA02B1"/>
    <w:rsid w:val="00AA357C"/>
    <w:rsid w:val="00AA56ED"/>
    <w:rsid w:val="00AA5871"/>
    <w:rsid w:val="00AA6A47"/>
    <w:rsid w:val="00AA79A4"/>
    <w:rsid w:val="00AA7B3F"/>
    <w:rsid w:val="00AA7BAF"/>
    <w:rsid w:val="00AB13BE"/>
    <w:rsid w:val="00AB1826"/>
    <w:rsid w:val="00AC5202"/>
    <w:rsid w:val="00AC5426"/>
    <w:rsid w:val="00AC6969"/>
    <w:rsid w:val="00AD7A9E"/>
    <w:rsid w:val="00AE00C5"/>
    <w:rsid w:val="00AE03F1"/>
    <w:rsid w:val="00AE7055"/>
    <w:rsid w:val="00AE7BCD"/>
    <w:rsid w:val="00AF0302"/>
    <w:rsid w:val="00AF1C8B"/>
    <w:rsid w:val="00AF4681"/>
    <w:rsid w:val="00AF65A0"/>
    <w:rsid w:val="00AF65B5"/>
    <w:rsid w:val="00AF71BE"/>
    <w:rsid w:val="00B02247"/>
    <w:rsid w:val="00B03826"/>
    <w:rsid w:val="00B05D08"/>
    <w:rsid w:val="00B0666B"/>
    <w:rsid w:val="00B06BEC"/>
    <w:rsid w:val="00B07BB2"/>
    <w:rsid w:val="00B117E1"/>
    <w:rsid w:val="00B1218B"/>
    <w:rsid w:val="00B1500D"/>
    <w:rsid w:val="00B16C9F"/>
    <w:rsid w:val="00B17194"/>
    <w:rsid w:val="00B22352"/>
    <w:rsid w:val="00B229D5"/>
    <w:rsid w:val="00B236AE"/>
    <w:rsid w:val="00B2623B"/>
    <w:rsid w:val="00B26C27"/>
    <w:rsid w:val="00B3066C"/>
    <w:rsid w:val="00B3070A"/>
    <w:rsid w:val="00B30ADE"/>
    <w:rsid w:val="00B338FC"/>
    <w:rsid w:val="00B421BC"/>
    <w:rsid w:val="00B449C4"/>
    <w:rsid w:val="00B44BA6"/>
    <w:rsid w:val="00B471A4"/>
    <w:rsid w:val="00B50099"/>
    <w:rsid w:val="00B5201B"/>
    <w:rsid w:val="00B52643"/>
    <w:rsid w:val="00B545F1"/>
    <w:rsid w:val="00B55414"/>
    <w:rsid w:val="00B562C0"/>
    <w:rsid w:val="00B62693"/>
    <w:rsid w:val="00B6447B"/>
    <w:rsid w:val="00B71986"/>
    <w:rsid w:val="00B71A24"/>
    <w:rsid w:val="00B724F5"/>
    <w:rsid w:val="00B7778C"/>
    <w:rsid w:val="00B81AE3"/>
    <w:rsid w:val="00B83DB6"/>
    <w:rsid w:val="00B87813"/>
    <w:rsid w:val="00B946FD"/>
    <w:rsid w:val="00BA0C0F"/>
    <w:rsid w:val="00BA2CDD"/>
    <w:rsid w:val="00BA5133"/>
    <w:rsid w:val="00BA5851"/>
    <w:rsid w:val="00BA6573"/>
    <w:rsid w:val="00BB1AEC"/>
    <w:rsid w:val="00BB29F2"/>
    <w:rsid w:val="00BB404A"/>
    <w:rsid w:val="00BB50EE"/>
    <w:rsid w:val="00BB7858"/>
    <w:rsid w:val="00BB78AB"/>
    <w:rsid w:val="00BC3273"/>
    <w:rsid w:val="00BC4A68"/>
    <w:rsid w:val="00BC6B28"/>
    <w:rsid w:val="00BD1B34"/>
    <w:rsid w:val="00BD44DB"/>
    <w:rsid w:val="00BD4D19"/>
    <w:rsid w:val="00BD6FB8"/>
    <w:rsid w:val="00BD73DE"/>
    <w:rsid w:val="00BD782E"/>
    <w:rsid w:val="00BE12DA"/>
    <w:rsid w:val="00BE14BC"/>
    <w:rsid w:val="00BE42C8"/>
    <w:rsid w:val="00BE4DD7"/>
    <w:rsid w:val="00BE5686"/>
    <w:rsid w:val="00BF2B0E"/>
    <w:rsid w:val="00BF30AF"/>
    <w:rsid w:val="00BF6314"/>
    <w:rsid w:val="00BF705B"/>
    <w:rsid w:val="00BF75B1"/>
    <w:rsid w:val="00C03C3F"/>
    <w:rsid w:val="00C05D64"/>
    <w:rsid w:val="00C06E82"/>
    <w:rsid w:val="00C12C26"/>
    <w:rsid w:val="00C15F05"/>
    <w:rsid w:val="00C209A9"/>
    <w:rsid w:val="00C20EBB"/>
    <w:rsid w:val="00C2429E"/>
    <w:rsid w:val="00C30B7A"/>
    <w:rsid w:val="00C31204"/>
    <w:rsid w:val="00C33146"/>
    <w:rsid w:val="00C33304"/>
    <w:rsid w:val="00C40A7C"/>
    <w:rsid w:val="00C40E75"/>
    <w:rsid w:val="00C43172"/>
    <w:rsid w:val="00C44530"/>
    <w:rsid w:val="00C47555"/>
    <w:rsid w:val="00C47F22"/>
    <w:rsid w:val="00C50F84"/>
    <w:rsid w:val="00C52F19"/>
    <w:rsid w:val="00C5306A"/>
    <w:rsid w:val="00C54083"/>
    <w:rsid w:val="00C55D00"/>
    <w:rsid w:val="00C57AA8"/>
    <w:rsid w:val="00C61B8C"/>
    <w:rsid w:val="00C66F15"/>
    <w:rsid w:val="00C71D80"/>
    <w:rsid w:val="00C72CDF"/>
    <w:rsid w:val="00C7564F"/>
    <w:rsid w:val="00C77FBB"/>
    <w:rsid w:val="00C82822"/>
    <w:rsid w:val="00C84B0E"/>
    <w:rsid w:val="00C86C20"/>
    <w:rsid w:val="00C96791"/>
    <w:rsid w:val="00C97B5C"/>
    <w:rsid w:val="00CA0096"/>
    <w:rsid w:val="00CA38D0"/>
    <w:rsid w:val="00CA782F"/>
    <w:rsid w:val="00CB4331"/>
    <w:rsid w:val="00CB74CA"/>
    <w:rsid w:val="00CB7A3A"/>
    <w:rsid w:val="00CC0B84"/>
    <w:rsid w:val="00CC0EE2"/>
    <w:rsid w:val="00CC0EE7"/>
    <w:rsid w:val="00CC5C43"/>
    <w:rsid w:val="00CD5B41"/>
    <w:rsid w:val="00CD6873"/>
    <w:rsid w:val="00CD7998"/>
    <w:rsid w:val="00CE3D1F"/>
    <w:rsid w:val="00CE5025"/>
    <w:rsid w:val="00CF16FF"/>
    <w:rsid w:val="00CF4041"/>
    <w:rsid w:val="00CF687E"/>
    <w:rsid w:val="00CF7164"/>
    <w:rsid w:val="00D01F37"/>
    <w:rsid w:val="00D02ABA"/>
    <w:rsid w:val="00D036A4"/>
    <w:rsid w:val="00D043AE"/>
    <w:rsid w:val="00D077B2"/>
    <w:rsid w:val="00D12065"/>
    <w:rsid w:val="00D17D03"/>
    <w:rsid w:val="00D2214B"/>
    <w:rsid w:val="00D243A8"/>
    <w:rsid w:val="00D328B0"/>
    <w:rsid w:val="00D34304"/>
    <w:rsid w:val="00D34C1C"/>
    <w:rsid w:val="00D3561A"/>
    <w:rsid w:val="00D36B5B"/>
    <w:rsid w:val="00D370A4"/>
    <w:rsid w:val="00D40118"/>
    <w:rsid w:val="00D401D1"/>
    <w:rsid w:val="00D46610"/>
    <w:rsid w:val="00D6014E"/>
    <w:rsid w:val="00D60E67"/>
    <w:rsid w:val="00D61AD4"/>
    <w:rsid w:val="00D663F4"/>
    <w:rsid w:val="00D741DF"/>
    <w:rsid w:val="00D75935"/>
    <w:rsid w:val="00D80461"/>
    <w:rsid w:val="00D8142B"/>
    <w:rsid w:val="00D814FF"/>
    <w:rsid w:val="00D84C32"/>
    <w:rsid w:val="00D852EF"/>
    <w:rsid w:val="00D87B2B"/>
    <w:rsid w:val="00D93D49"/>
    <w:rsid w:val="00D968AB"/>
    <w:rsid w:val="00D96CEE"/>
    <w:rsid w:val="00DA0AA3"/>
    <w:rsid w:val="00DA3FF3"/>
    <w:rsid w:val="00DA644C"/>
    <w:rsid w:val="00DB245F"/>
    <w:rsid w:val="00DB7BAA"/>
    <w:rsid w:val="00DC060F"/>
    <w:rsid w:val="00DC0D2A"/>
    <w:rsid w:val="00DC24FA"/>
    <w:rsid w:val="00DC2CCE"/>
    <w:rsid w:val="00DC32FE"/>
    <w:rsid w:val="00DC3441"/>
    <w:rsid w:val="00DC4D14"/>
    <w:rsid w:val="00DC5172"/>
    <w:rsid w:val="00DC599C"/>
    <w:rsid w:val="00DC7102"/>
    <w:rsid w:val="00DD0788"/>
    <w:rsid w:val="00DD408B"/>
    <w:rsid w:val="00DD44F3"/>
    <w:rsid w:val="00DD6A5C"/>
    <w:rsid w:val="00DD7B9D"/>
    <w:rsid w:val="00DE0199"/>
    <w:rsid w:val="00DE209E"/>
    <w:rsid w:val="00DE22B8"/>
    <w:rsid w:val="00DE481C"/>
    <w:rsid w:val="00DE4C46"/>
    <w:rsid w:val="00DE51FC"/>
    <w:rsid w:val="00DE5EE4"/>
    <w:rsid w:val="00DE651C"/>
    <w:rsid w:val="00DE7681"/>
    <w:rsid w:val="00DF34D1"/>
    <w:rsid w:val="00DF3A51"/>
    <w:rsid w:val="00DF465F"/>
    <w:rsid w:val="00DF501E"/>
    <w:rsid w:val="00E02AE1"/>
    <w:rsid w:val="00E03E06"/>
    <w:rsid w:val="00E12183"/>
    <w:rsid w:val="00E1310C"/>
    <w:rsid w:val="00E165A2"/>
    <w:rsid w:val="00E16952"/>
    <w:rsid w:val="00E214BA"/>
    <w:rsid w:val="00E24C6B"/>
    <w:rsid w:val="00E24D53"/>
    <w:rsid w:val="00E25442"/>
    <w:rsid w:val="00E30084"/>
    <w:rsid w:val="00E313EA"/>
    <w:rsid w:val="00E35661"/>
    <w:rsid w:val="00E363B5"/>
    <w:rsid w:val="00E4046A"/>
    <w:rsid w:val="00E41DF8"/>
    <w:rsid w:val="00E42AE3"/>
    <w:rsid w:val="00E45178"/>
    <w:rsid w:val="00E503D7"/>
    <w:rsid w:val="00E52A2F"/>
    <w:rsid w:val="00E54FD5"/>
    <w:rsid w:val="00E551F5"/>
    <w:rsid w:val="00E56E99"/>
    <w:rsid w:val="00E57046"/>
    <w:rsid w:val="00E601D4"/>
    <w:rsid w:val="00E60D05"/>
    <w:rsid w:val="00E61899"/>
    <w:rsid w:val="00E64D98"/>
    <w:rsid w:val="00E6646F"/>
    <w:rsid w:val="00E66EEF"/>
    <w:rsid w:val="00E67C7C"/>
    <w:rsid w:val="00E74623"/>
    <w:rsid w:val="00E82A5B"/>
    <w:rsid w:val="00E8307A"/>
    <w:rsid w:val="00E832B7"/>
    <w:rsid w:val="00E83EA2"/>
    <w:rsid w:val="00E84D34"/>
    <w:rsid w:val="00E85B74"/>
    <w:rsid w:val="00E86F44"/>
    <w:rsid w:val="00E92963"/>
    <w:rsid w:val="00E9377D"/>
    <w:rsid w:val="00E93C2E"/>
    <w:rsid w:val="00E9439A"/>
    <w:rsid w:val="00E9559D"/>
    <w:rsid w:val="00E973DB"/>
    <w:rsid w:val="00E9747A"/>
    <w:rsid w:val="00EA0F1D"/>
    <w:rsid w:val="00EA4BF6"/>
    <w:rsid w:val="00EA6B42"/>
    <w:rsid w:val="00EB0F63"/>
    <w:rsid w:val="00EB20AF"/>
    <w:rsid w:val="00EB6C5C"/>
    <w:rsid w:val="00EC1F0A"/>
    <w:rsid w:val="00EC3BCD"/>
    <w:rsid w:val="00EC46B7"/>
    <w:rsid w:val="00ED1982"/>
    <w:rsid w:val="00ED26D1"/>
    <w:rsid w:val="00ED349E"/>
    <w:rsid w:val="00ED6F38"/>
    <w:rsid w:val="00EE019E"/>
    <w:rsid w:val="00EE166F"/>
    <w:rsid w:val="00EE3D98"/>
    <w:rsid w:val="00EF0ED4"/>
    <w:rsid w:val="00EF16BB"/>
    <w:rsid w:val="00EF25D2"/>
    <w:rsid w:val="00EF2CBF"/>
    <w:rsid w:val="00EF47CE"/>
    <w:rsid w:val="00EF621E"/>
    <w:rsid w:val="00EF6AE2"/>
    <w:rsid w:val="00F16DC3"/>
    <w:rsid w:val="00F20BFB"/>
    <w:rsid w:val="00F211F8"/>
    <w:rsid w:val="00F220BC"/>
    <w:rsid w:val="00F258FF"/>
    <w:rsid w:val="00F31113"/>
    <w:rsid w:val="00F34B70"/>
    <w:rsid w:val="00F35CD0"/>
    <w:rsid w:val="00F37B0F"/>
    <w:rsid w:val="00F40D18"/>
    <w:rsid w:val="00F43980"/>
    <w:rsid w:val="00F43BAA"/>
    <w:rsid w:val="00F459D9"/>
    <w:rsid w:val="00F47A4C"/>
    <w:rsid w:val="00F52EA0"/>
    <w:rsid w:val="00F6007A"/>
    <w:rsid w:val="00F60200"/>
    <w:rsid w:val="00F60742"/>
    <w:rsid w:val="00F63B33"/>
    <w:rsid w:val="00F65C02"/>
    <w:rsid w:val="00F65E49"/>
    <w:rsid w:val="00F730E2"/>
    <w:rsid w:val="00F73BF4"/>
    <w:rsid w:val="00F80930"/>
    <w:rsid w:val="00F81E27"/>
    <w:rsid w:val="00F83216"/>
    <w:rsid w:val="00F846F4"/>
    <w:rsid w:val="00F863DD"/>
    <w:rsid w:val="00F93B6A"/>
    <w:rsid w:val="00F94525"/>
    <w:rsid w:val="00F96337"/>
    <w:rsid w:val="00F97A5A"/>
    <w:rsid w:val="00FA2E56"/>
    <w:rsid w:val="00FA5C5F"/>
    <w:rsid w:val="00FA5DA9"/>
    <w:rsid w:val="00FA72EF"/>
    <w:rsid w:val="00FB27E9"/>
    <w:rsid w:val="00FB2FCE"/>
    <w:rsid w:val="00FB31AF"/>
    <w:rsid w:val="00FB5E8C"/>
    <w:rsid w:val="00FC01E2"/>
    <w:rsid w:val="00FC0FE2"/>
    <w:rsid w:val="00FC301C"/>
    <w:rsid w:val="00FD25B2"/>
    <w:rsid w:val="00FD4806"/>
    <w:rsid w:val="00FD4E73"/>
    <w:rsid w:val="00FE5D3A"/>
    <w:rsid w:val="00FE7B14"/>
    <w:rsid w:val="00FF11BA"/>
    <w:rsid w:val="00FF3A50"/>
    <w:rsid w:val="00FF7CC9"/>
    <w:rsid w:val="063D0009"/>
    <w:rsid w:val="1E75703F"/>
    <w:rsid w:val="1FCDA634"/>
    <w:rsid w:val="22EE91F1"/>
    <w:rsid w:val="253D9EF7"/>
    <w:rsid w:val="2B7C77EE"/>
    <w:rsid w:val="3026F646"/>
    <w:rsid w:val="3B0FFF37"/>
    <w:rsid w:val="45CE0B2B"/>
    <w:rsid w:val="4749743E"/>
    <w:rsid w:val="47773DF9"/>
    <w:rsid w:val="52A1D2A8"/>
    <w:rsid w:val="53D5643C"/>
    <w:rsid w:val="544254DD"/>
    <w:rsid w:val="5713E0C0"/>
    <w:rsid w:val="59D9DD8F"/>
    <w:rsid w:val="5C21A15A"/>
    <w:rsid w:val="69EC68A0"/>
    <w:rsid w:val="6BC25979"/>
    <w:rsid w:val="71381B83"/>
    <w:rsid w:val="79084B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aliases w:val="Footnote Text Char2,Footnote Text Char3,Footnote Text Char4,Footnote Text Char5"/>
    <w:basedOn w:val="Normal"/>
    <w:link w:val="FootnoteTextChar"/>
    <w:uiPriority w:val="99"/>
    <w:rsid w:val="00D3561A"/>
    <w:rPr>
      <w:rFonts w:cs="Times New Roman"/>
      <w:color w:val="auto"/>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A329AA"/>
    <w:pPr>
      <w:ind w:left="720"/>
      <w:contextualSpacing/>
    </w:pPr>
    <w:rPr>
      <w:rFonts w:cs="Times New Roman"/>
      <w:color w:val="auto"/>
      <w:szCs w:val="24"/>
    </w:rPr>
  </w:style>
  <w:style w:type="character" w:styleId="UnresolvedMention">
    <w:name w:val="Unresolved Mention"/>
    <w:basedOn w:val="DefaultParagraphFont"/>
    <w:uiPriority w:val="99"/>
    <w:semiHidden/>
    <w:unhideWhenUsed/>
    <w:rsid w:val="00153FF7"/>
    <w:rPr>
      <w:color w:val="605E5C"/>
      <w:shd w:val="clear" w:color="auto" w:fill="E1DFDD"/>
    </w:rPr>
  </w:style>
  <w:style w:type="character" w:styleId="Mention">
    <w:name w:val="Mention"/>
    <w:basedOn w:val="DefaultParagraphFont"/>
    <w:uiPriority w:val="99"/>
    <w:unhideWhenUsed/>
    <w:rsid w:val="009A78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s-cert.cisa.gov/forms/report" TargetMode="External" /><Relationship Id="rId7" Type="http://schemas.openxmlformats.org/officeDocument/2006/relationships/hyperlink" Target="mailto:TSOC.ST@dhs.gov"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6000.htm" TargetMode="External" /><Relationship Id="rId2" Type="http://schemas.openxmlformats.org/officeDocument/2006/relationships/hyperlink" Target="https://www.bls.gov/news.release/archives/ecec_0910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112A-1D91-44C9-8493-71DB385B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4010</Words>
  <Characters>22859</Characters>
  <Application>Microsoft Office Word</Application>
  <DocSecurity>0</DocSecurity>
  <Lines>190</Lines>
  <Paragraphs>53</Paragraphs>
  <ScaleCrop>false</ScaleCrop>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2025-06-02T15:04:00Z</dcterms:created>
  <dcterms:modified xsi:type="dcterms:W3CDTF">2025-06-02T15:04:00Z</dcterms:modified>
</cp:coreProperties>
</file>