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5E96" w:rsidRPr="00394680" w:rsidP="00394680" w14:paraId="6BC64690" w14:textId="77777777">
      <w:pPr>
        <w:jc w:val="center"/>
        <w:rPr>
          <w:b/>
          <w:bCs/>
        </w:rPr>
      </w:pPr>
      <w:r w:rsidRPr="00394680">
        <w:rPr>
          <w:b/>
          <w:bCs/>
        </w:rPr>
        <w:t>Supporting Statement for Paperwork Reduction Act Submissions</w:t>
      </w:r>
    </w:p>
    <w:p w:rsidR="00EB5E96" w:rsidRPr="001836CB" w:rsidP="001836CB" w14:paraId="308DE512" w14:textId="77777777"/>
    <w:p w:rsidR="00EB5E96" w:rsidRPr="00596A43" w:rsidP="604EA730" w14:paraId="4E99A699" w14:textId="63504C7F">
      <w:pPr>
        <w:jc w:val="center"/>
        <w:rPr>
          <w:b/>
          <w:bCs/>
        </w:rPr>
      </w:pPr>
      <w:r w:rsidRPr="604EA730">
        <w:rPr>
          <w:b/>
          <w:bCs/>
        </w:rPr>
        <w:t>Title:</w:t>
      </w:r>
      <w:r w:rsidRPr="604EA730" w:rsidR="00FF5DDF">
        <w:rPr>
          <w:b/>
          <w:bCs/>
        </w:rPr>
        <w:t xml:space="preserve"> </w:t>
      </w:r>
      <w:r w:rsidRPr="604EA730" w:rsidR="114054FA">
        <w:rPr>
          <w:b/>
          <w:bCs/>
        </w:rPr>
        <w:t>ChemLock Program</w:t>
      </w:r>
    </w:p>
    <w:p w:rsidR="00EB5E96" w:rsidRPr="001836CB" w:rsidP="001836CB" w14:paraId="77992B39" w14:textId="77777777"/>
    <w:p w:rsidR="00EB5E96" w:rsidRPr="00596A43" w:rsidP="604EA730" w14:paraId="4A1C1C46" w14:textId="2CB2B3AD">
      <w:pPr>
        <w:jc w:val="center"/>
        <w:rPr>
          <w:b/>
          <w:bCs/>
        </w:rPr>
      </w:pPr>
      <w:r w:rsidRPr="604EA730">
        <w:rPr>
          <w:b/>
          <w:bCs/>
        </w:rPr>
        <w:t xml:space="preserve">OMB Control Number: </w:t>
      </w:r>
      <w:r w:rsidRPr="604EA730" w:rsidR="4D34786E">
        <w:rPr>
          <w:b/>
          <w:bCs/>
        </w:rPr>
        <w:t>1670-</w:t>
      </w:r>
      <w:r w:rsidR="003F1018">
        <w:rPr>
          <w:b/>
          <w:bCs/>
        </w:rPr>
        <w:t>NEW</w:t>
      </w:r>
    </w:p>
    <w:p w:rsidR="009F06EB" w:rsidRPr="00364E7C" w:rsidP="001836CB" w14:paraId="3CAD1196" w14:textId="77777777"/>
    <w:p w:rsidR="00EB5E96" w:rsidRPr="00394680" w:rsidP="00394680" w14:paraId="56887A23" w14:textId="1ABFE2F3">
      <w:pPr>
        <w:rPr>
          <w:b/>
          <w:bCs/>
        </w:rPr>
      </w:pPr>
      <w:r w:rsidRPr="00394680">
        <w:rPr>
          <w:b/>
          <w:bCs/>
        </w:rPr>
        <w:t>A</w:t>
      </w:r>
      <w:r w:rsidRPr="00394680" w:rsidR="00AE7EDE">
        <w:rPr>
          <w:b/>
          <w:bCs/>
        </w:rPr>
        <w:t xml:space="preserve">. </w:t>
      </w:r>
      <w:r w:rsidRPr="00394680">
        <w:rPr>
          <w:b/>
          <w:bCs/>
        </w:rPr>
        <w:t>Justification</w:t>
      </w:r>
    </w:p>
    <w:p w:rsidR="00EB5E96" w:rsidRPr="00364E7C" w:rsidP="001836CB" w14:paraId="4CC277F7" w14:textId="77777777"/>
    <w:p w:rsidR="00AE7EDE" w:rsidP="001836CB" w14:paraId="011CA5E4" w14:textId="4268CDA2">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w:t>
      </w:r>
      <w:r>
        <w:t xml:space="preserve">. </w:t>
      </w:r>
      <w:r w:rsidRPr="00596A43">
        <w:t>Explain the circumstances that make the collection of information necessary</w:t>
      </w:r>
      <w:r>
        <w:t xml:space="preserve">. </w:t>
      </w:r>
      <w:r w:rsidRPr="00596A43">
        <w:t>Identify any legal or administrative requirements that necessitate the collection</w:t>
      </w:r>
      <w:r>
        <w:t xml:space="preserve">. </w:t>
      </w:r>
      <w:r w:rsidRPr="00596A43">
        <w:t>Attach a copy of the appropriate section of each statute and regulation mandating or authorizing the collection of information</w:t>
      </w:r>
      <w:r>
        <w:t>.</w:t>
      </w:r>
    </w:p>
    <w:p w:rsidR="000E7B5C" w:rsidRPr="00364E7C" w:rsidP="001836CB" w14:paraId="045316CC" w14:textId="34C19277"/>
    <w:p w:rsidR="62EE8BA8" w:rsidRPr="00364E7C" w:rsidP="001836CB" w14:paraId="633701BE" w14:textId="74097240">
      <w:r w:rsidRPr="00364E7C">
        <w:t>Congress established the Cybersecurity and Infrastructure Security Agency (CISA) in the Cybersecurity and Infrastructure Security Act of 2018, Pub. L. 115-278 (2018)</w:t>
      </w:r>
      <w:r w:rsidR="00AE7EDE">
        <w:t xml:space="preserve">. </w:t>
      </w:r>
      <w:r w:rsidRPr="00364E7C">
        <w:t>As part of CISA’s responsibilities, Congress authorized CISA to provide analyses, expertise, and other assistance to critical infrastructure owners and operators upon request</w:t>
      </w:r>
      <w:r w:rsidR="00AE7EDE">
        <w:t xml:space="preserve">. </w:t>
      </w:r>
      <w:r w:rsidRPr="00364E7C">
        <w:t>6 U.S.C. § 652(c)(5).</w:t>
      </w:r>
    </w:p>
    <w:p w:rsidR="62EE8BA8" w:rsidRPr="00364E7C" w:rsidP="001836CB" w14:paraId="6B95FAC1" w14:textId="6DA8BF0B"/>
    <w:p w:rsidR="00763B7E" w:rsidRPr="00364E7C" w:rsidP="0076205E" w14:paraId="3530DD4C" w14:textId="31D45B66">
      <w:r>
        <w:t xml:space="preserve">CISA </w:t>
      </w:r>
      <w:r w:rsidR="002D4929">
        <w:t xml:space="preserve">serves as </w:t>
      </w:r>
      <w:r w:rsidR="00707B30">
        <w:t xml:space="preserve">Sector Risk Management Agency (SRMA) </w:t>
      </w:r>
      <w:r>
        <w:t>for the chemical sector</w:t>
      </w:r>
      <w:r w:rsidR="00753F98">
        <w:t xml:space="preserve">. </w:t>
      </w:r>
      <w:r>
        <w:t xml:space="preserve">CISA </w:t>
      </w:r>
      <w:r w:rsidR="00753F98">
        <w:t xml:space="preserve">has </w:t>
      </w:r>
      <w:r>
        <w:t xml:space="preserve">established ChemLock, </w:t>
      </w:r>
      <w:r w:rsidR="00753F98">
        <w:t>which is a</w:t>
      </w:r>
      <w:r>
        <w:t xml:space="preserve"> voluntary program for facilities that possess dangerous chemicals</w:t>
      </w:r>
      <w:r w:rsidR="00AE7EDE">
        <w:t xml:space="preserve">. </w:t>
      </w:r>
      <w:r>
        <w:t xml:space="preserve">This </w:t>
      </w:r>
      <w:r w:rsidR="2C08F605">
        <w:t>information collection request (ICR)</w:t>
      </w:r>
      <w:r>
        <w:t xml:space="preserve"> consolidates and clarifies CISA collection of information in support of ChemLock. While some ChemLock services are currently available leveraging other approved information collections, this ICR when approved, will allow for an additional ChemLock service</w:t>
      </w:r>
      <w:r w:rsidR="00105864">
        <w:t xml:space="preserve"> that will provide a risk assessment</w:t>
      </w:r>
      <w:r w:rsidR="001D5A99">
        <w:t xml:space="preserve"> service</w:t>
      </w:r>
      <w:r>
        <w:t>.</w:t>
      </w:r>
    </w:p>
    <w:p w:rsidR="00775631" w:rsidRPr="001836CB" w:rsidP="001836CB" w14:paraId="2B72C135" w14:textId="77777777"/>
    <w:p w:rsidR="00AE7EDE" w:rsidP="001836CB" w14:paraId="04880114" w14:textId="2F433DFA">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2</w:t>
      </w:r>
      <w:r>
        <w:t xml:space="preserve">. </w:t>
      </w:r>
      <w:r w:rsidRPr="00596A43">
        <w:t>Indicate how, by whom, and for what purpose the information is to be used</w:t>
      </w:r>
      <w:r>
        <w:t xml:space="preserve">. </w:t>
      </w:r>
      <w:r w:rsidRPr="00596A43">
        <w:t>Except for a new collection, indicate the actual use the agency has made of the information received from the current collection</w:t>
      </w:r>
      <w:r>
        <w:t>.</w:t>
      </w:r>
    </w:p>
    <w:p w:rsidR="00D73BBC" w:rsidRPr="001836CB" w:rsidP="001836CB" w14:paraId="42FB41F9" w14:textId="2EF19258"/>
    <w:p w:rsidR="3E07A6B2" w:rsidRPr="00364E7C" w:rsidP="00364E7C" w14:paraId="18F26FA7" w14:textId="377C51A2">
      <w:r w:rsidRPr="00364E7C">
        <w:t>The information collected will support CISA’s Office of Chemical Security in providing resources tailored to the specific facilities requesting services under the ChemLock program.</w:t>
      </w:r>
    </w:p>
    <w:p w:rsidR="3E07A6B2" w:rsidRPr="00364E7C" w:rsidP="00364E7C" w14:paraId="4313913E" w14:textId="3D841E4B"/>
    <w:p w:rsidR="3E07A6B2" w:rsidRPr="00364E7C" w:rsidP="00364E7C" w14:paraId="281B6CF4" w14:textId="08310CF6">
      <w:r w:rsidRPr="00364E7C">
        <w:t>Three instruments are in this collection:</w:t>
      </w:r>
    </w:p>
    <w:p w:rsidR="3E07A6B2" w:rsidRPr="00364E7C" w:rsidP="00364E7C" w14:paraId="4A18E70A" w14:textId="108AEFAD"/>
    <w:p w:rsidR="3E07A6B2" w:rsidRPr="00364E7C" w:rsidP="001836CB" w14:paraId="00FC943C" w14:textId="75356EFA">
      <w:pPr>
        <w:pStyle w:val="ListParagraph"/>
        <w:numPr>
          <w:ilvl w:val="0"/>
          <w:numId w:val="31"/>
        </w:numPr>
      </w:pPr>
      <w:r w:rsidRPr="00364E7C">
        <w:t>ChemLock Program Request for Services</w:t>
      </w:r>
    </w:p>
    <w:p w:rsidR="3E07A6B2" w:rsidRPr="00364E7C" w:rsidP="001836CB" w14:paraId="43E210EB" w14:textId="62CBD9DA">
      <w:pPr>
        <w:pStyle w:val="ListParagraph"/>
        <w:numPr>
          <w:ilvl w:val="0"/>
          <w:numId w:val="31"/>
        </w:numPr>
      </w:pPr>
      <w:r w:rsidRPr="00364E7C">
        <w:t>ChemLock Service Registration and Preparation</w:t>
      </w:r>
    </w:p>
    <w:p w:rsidR="3E07A6B2" w:rsidRPr="00364E7C" w:rsidP="001836CB" w14:paraId="09A3FF47" w14:textId="598E4241">
      <w:pPr>
        <w:pStyle w:val="ListParagraph"/>
        <w:numPr>
          <w:ilvl w:val="0"/>
          <w:numId w:val="31"/>
        </w:numPr>
      </w:pPr>
      <w:r w:rsidRPr="00364E7C">
        <w:t>ChemLock Service Feedback</w:t>
      </w:r>
    </w:p>
    <w:p w:rsidR="78848D73" w:rsidRPr="00364E7C" w:rsidP="00364E7C" w14:paraId="26BCDB95" w14:textId="60A55D99"/>
    <w:p w:rsidR="3E07A6B2" w:rsidP="78848D73" w14:paraId="33CD1DF4" w14:textId="2F6E5DA1">
      <w:r w:rsidRPr="78848D73">
        <w:rPr>
          <w:b/>
          <w:bCs/>
        </w:rPr>
        <w:t>ChemLock Program Request for Services</w:t>
      </w:r>
    </w:p>
    <w:p w:rsidR="3E07A6B2" w:rsidRPr="00364E7C" w:rsidP="00364E7C" w14:paraId="06C5A3CE" w14:textId="3D197DD0"/>
    <w:p w:rsidR="00D5100A" w:rsidRPr="00364E7C" w:rsidP="00364E7C" w14:paraId="5E480080" w14:textId="21717D6A">
      <w:r w:rsidRPr="00364E7C">
        <w:t xml:space="preserve">This instrument </w:t>
      </w:r>
      <w:r w:rsidRPr="00364E7C" w:rsidR="0026664E">
        <w:t xml:space="preserve">collects </w:t>
      </w:r>
      <w:r w:rsidRPr="00364E7C" w:rsidR="004C55AC">
        <w:t xml:space="preserve">basic contact </w:t>
      </w:r>
      <w:r w:rsidRPr="00364E7C" w:rsidR="0026664E">
        <w:t xml:space="preserve">information from individuals requesting </w:t>
      </w:r>
      <w:r w:rsidRPr="00364E7C" w:rsidR="00063C26">
        <w:t>a ChemLock service</w:t>
      </w:r>
      <w:r w:rsidRPr="00364E7C">
        <w:t xml:space="preserve"> </w:t>
      </w:r>
      <w:r w:rsidRPr="00364E7C" w:rsidR="00572F24">
        <w:t>such</w:t>
      </w:r>
      <w:r w:rsidRPr="00364E7C">
        <w:t xml:space="preserve"> as</w:t>
      </w:r>
      <w:r w:rsidRPr="00364E7C" w:rsidR="00572F24">
        <w:t xml:space="preserve">: (a) security consultations; </w:t>
      </w:r>
      <w:r w:rsidR="00F55C45">
        <w:t>(b) technical consultations, (c) o</w:t>
      </w:r>
      <w:r w:rsidRPr="00364E7C" w:rsidR="00572F24">
        <w:t>nsite assessments and assistance, (</w:t>
      </w:r>
      <w:r w:rsidR="00F55C45">
        <w:t>d</w:t>
      </w:r>
      <w:r w:rsidRPr="00364E7C" w:rsidR="00572F24">
        <w:t>) exercises and drills, (</w:t>
      </w:r>
      <w:r w:rsidR="00F55C45">
        <w:t>e</w:t>
      </w:r>
      <w:r w:rsidRPr="00364E7C" w:rsidR="00572F24">
        <w:t>) training courses, (</w:t>
      </w:r>
      <w:r w:rsidR="00F55C45">
        <w:t>f</w:t>
      </w:r>
      <w:r w:rsidRPr="00364E7C" w:rsidR="00572F24">
        <w:t>) access to other tailored resources, and (</w:t>
      </w:r>
      <w:r w:rsidR="00F55C45">
        <w:t>g</w:t>
      </w:r>
      <w:r w:rsidRPr="00364E7C" w:rsidR="00572F24">
        <w:t>) risk assessments</w:t>
      </w:r>
      <w:r w:rsidRPr="00364E7C" w:rsidR="3E07A6B2">
        <w:t>.</w:t>
      </w:r>
      <w:r w:rsidRPr="00364E7C" w:rsidR="00E84CA4">
        <w:t xml:space="preserve"> In </w:t>
      </w:r>
      <w:r w:rsidRPr="00364E7C" w:rsidR="00465911">
        <w:t>addition,</w:t>
      </w:r>
      <w:r w:rsidRPr="00364E7C" w:rsidR="00E84CA4">
        <w:t xml:space="preserve"> the instrument will collect facility identifying information</w:t>
      </w:r>
      <w:r w:rsidRPr="00364E7C" w:rsidR="00496017">
        <w:t xml:space="preserve">, </w:t>
      </w:r>
      <w:r w:rsidRPr="00364E7C" w:rsidR="003D4861">
        <w:t>facility description information</w:t>
      </w:r>
      <w:r w:rsidRPr="00364E7C" w:rsidR="00496017">
        <w:t xml:space="preserve">, and </w:t>
      </w:r>
      <w:r w:rsidRPr="00364E7C" w:rsidR="00E33987">
        <w:t>information about the chemicals present at the facility</w:t>
      </w:r>
      <w:r w:rsidRPr="00364E7C" w:rsidR="003D4861">
        <w:t>.</w:t>
      </w:r>
    </w:p>
    <w:p w:rsidR="3E07A6B2" w:rsidRPr="00364E7C" w:rsidP="00364E7C" w14:paraId="00AB1333" w14:textId="06E3D7E6"/>
    <w:p w:rsidR="3E07A6B2" w:rsidP="78848D73" w14:paraId="6D759E3A" w14:textId="0165B4BF">
      <w:r w:rsidRPr="78848D73">
        <w:rPr>
          <w:b/>
          <w:bCs/>
        </w:rPr>
        <w:t>ChemLock Service Registration and Preparation</w:t>
      </w:r>
    </w:p>
    <w:p w:rsidR="3E07A6B2" w:rsidRPr="00364E7C" w:rsidP="001836CB" w14:paraId="5699DA5D" w14:textId="6DDE565D"/>
    <w:p w:rsidR="3E07A6B2" w:rsidRPr="00364E7C" w:rsidP="001836CB" w14:paraId="22806E35" w14:textId="0CDDB063">
      <w:r w:rsidRPr="00364E7C">
        <w:t xml:space="preserve">This </w:t>
      </w:r>
      <w:r w:rsidRPr="00364E7C" w:rsidR="00515425">
        <w:t xml:space="preserve">instrument </w:t>
      </w:r>
      <w:r w:rsidRPr="00364E7C" w:rsidR="002F2825">
        <w:t xml:space="preserve">collected information </w:t>
      </w:r>
      <w:r w:rsidRPr="00364E7C" w:rsidR="001C71D5">
        <w:t xml:space="preserve">to enable the </w:t>
      </w:r>
      <w:r w:rsidRPr="00364E7C" w:rsidR="00653BF8">
        <w:t xml:space="preserve">ChemLock services which need </w:t>
      </w:r>
      <w:r w:rsidRPr="00364E7C" w:rsidR="001C71D5">
        <w:t>additional information to be performed. The ChemLock services</w:t>
      </w:r>
      <w:r w:rsidRPr="00364E7C" w:rsidR="00930900">
        <w:t xml:space="preserve"> which </w:t>
      </w:r>
      <w:r w:rsidRPr="00364E7C" w:rsidR="00684E4C">
        <w:t xml:space="preserve">need </w:t>
      </w:r>
      <w:r w:rsidRPr="00364E7C" w:rsidR="00930900">
        <w:t xml:space="preserve">additional information </w:t>
      </w:r>
      <w:r w:rsidRPr="00364E7C" w:rsidR="00684E4C">
        <w:t xml:space="preserve">to be performed </w:t>
      </w:r>
      <w:r w:rsidRPr="00364E7C" w:rsidR="00930900">
        <w:t>are</w:t>
      </w:r>
      <w:r w:rsidRPr="00364E7C" w:rsidR="001C71D5">
        <w:t xml:space="preserve"> security consultations, onsite assessments and assistance, and risk assessments</w:t>
      </w:r>
      <w:r w:rsidRPr="00364E7C" w:rsidR="00684E4C">
        <w:t>.</w:t>
      </w:r>
    </w:p>
    <w:p w:rsidR="3E07A6B2" w:rsidRPr="00364E7C" w:rsidP="001836CB" w14:paraId="23D340B6" w14:textId="55EB9429"/>
    <w:p w:rsidR="00D06A04" w:rsidRPr="00364E7C" w:rsidP="001836CB" w14:paraId="5DE6E563" w14:textId="516D1FE9">
      <w:r w:rsidRPr="00364E7C">
        <w:t xml:space="preserve">The instruments will collect security related </w:t>
      </w:r>
      <w:r w:rsidRPr="00364E7C" w:rsidR="0075239A">
        <w:t xml:space="preserve">information such as </w:t>
      </w:r>
      <w:r w:rsidRPr="00364E7C" w:rsidR="00115837">
        <w:t xml:space="preserve">existing </w:t>
      </w:r>
      <w:r w:rsidRPr="00364E7C" w:rsidR="0075239A">
        <w:t>site security plans</w:t>
      </w:r>
      <w:r w:rsidRPr="00364E7C" w:rsidR="00DD6FC7">
        <w:t xml:space="preserve"> </w:t>
      </w:r>
      <w:r w:rsidRPr="00364E7C" w:rsidR="00115837">
        <w:t>and</w:t>
      </w:r>
      <w:r w:rsidRPr="00364E7C" w:rsidR="0075239A">
        <w:t xml:space="preserve"> previously performed assessments</w:t>
      </w:r>
      <w:r w:rsidRPr="00364E7C" w:rsidR="00702246">
        <w:t>. In addition, the ins</w:t>
      </w:r>
      <w:r w:rsidRPr="00364E7C" w:rsidR="00C02CE8">
        <w:t>tr</w:t>
      </w:r>
      <w:r w:rsidRPr="00364E7C" w:rsidR="00702246">
        <w:t xml:space="preserve">ument </w:t>
      </w:r>
      <w:r w:rsidRPr="00364E7C" w:rsidR="009477AD">
        <w:t xml:space="preserve">may </w:t>
      </w:r>
      <w:r w:rsidRPr="00364E7C" w:rsidR="00702246">
        <w:t xml:space="preserve">collect information about critical </w:t>
      </w:r>
      <w:r w:rsidRPr="00364E7C" w:rsidR="00FD14EB">
        <w:t xml:space="preserve">cyber and physical </w:t>
      </w:r>
      <w:r w:rsidRPr="00364E7C" w:rsidR="00702246">
        <w:t xml:space="preserve">detection, delay, </w:t>
      </w:r>
      <w:r w:rsidRPr="00364E7C" w:rsidR="00C02CE8">
        <w:t xml:space="preserve">and </w:t>
      </w:r>
      <w:r w:rsidRPr="00364E7C" w:rsidR="00702246">
        <w:t xml:space="preserve">response </w:t>
      </w:r>
      <w:r w:rsidRPr="00364E7C" w:rsidR="00C02CE8">
        <w:t>security measures</w:t>
      </w:r>
      <w:r w:rsidRPr="00364E7C" w:rsidR="00DD6FC7">
        <w:t>.</w:t>
      </w:r>
    </w:p>
    <w:p w:rsidR="00747C1C" w:rsidRPr="00364E7C" w:rsidP="001836CB" w14:paraId="21F481AB" w14:textId="77777777"/>
    <w:p w:rsidR="00747C1C" w:rsidRPr="00364E7C" w:rsidP="001836CB" w14:paraId="5F89A4D7" w14:textId="6367CDA5">
      <w:r w:rsidRPr="00364E7C">
        <w:t xml:space="preserve">In support of the risk assessment ChemLock service the instrument will collect information similar </w:t>
      </w:r>
      <w:r w:rsidRPr="00364E7C" w:rsidR="00854C61">
        <w:t>to the Top-Screen instrument under information collection 1670-0007</w:t>
      </w:r>
      <w:r w:rsidRPr="00364E7C" w:rsidR="00DF793C">
        <w:t xml:space="preserve"> such as:</w:t>
      </w:r>
    </w:p>
    <w:p w:rsidR="00DF793C" w:rsidRPr="00364E7C" w:rsidP="001836CB" w14:paraId="420B7AE9" w14:textId="77777777"/>
    <w:p w:rsidR="00DF793C" w:rsidRPr="00364E7C" w:rsidP="001836CB" w14:paraId="7E7A8DDC" w14:textId="2FF4F7F0">
      <w:pPr>
        <w:pStyle w:val="ListParagraph"/>
        <w:numPr>
          <w:ilvl w:val="0"/>
          <w:numId w:val="32"/>
        </w:numPr>
      </w:pPr>
      <w:r w:rsidRPr="00364E7C">
        <w:t>Name(s) of dangerous chemical(s)</w:t>
      </w:r>
    </w:p>
    <w:p w:rsidR="00DF793C" w:rsidRPr="00364E7C" w:rsidP="001836CB" w14:paraId="3EA11F84" w14:textId="77777777">
      <w:pPr>
        <w:pStyle w:val="ListParagraph"/>
        <w:numPr>
          <w:ilvl w:val="0"/>
          <w:numId w:val="32"/>
        </w:numPr>
      </w:pPr>
      <w:r w:rsidRPr="00364E7C">
        <w:t>Chemical Abstracts Service (CAS) Registry Number(s) of dangerous chemical(s)</w:t>
      </w:r>
    </w:p>
    <w:p w:rsidR="00DF793C" w:rsidRPr="00364E7C" w:rsidP="001836CB" w14:paraId="4642E8B0" w14:textId="77777777">
      <w:pPr>
        <w:pStyle w:val="ListParagraph"/>
        <w:numPr>
          <w:ilvl w:val="0"/>
          <w:numId w:val="32"/>
        </w:numPr>
      </w:pPr>
      <w:r w:rsidRPr="00364E7C">
        <w:t>Quantity(</w:t>
      </w:r>
      <w:r w:rsidRPr="00364E7C">
        <w:t>ies</w:t>
      </w:r>
      <w:r w:rsidRPr="00364E7C">
        <w:t>) of dangerous chemical(s)</w:t>
      </w:r>
    </w:p>
    <w:p w:rsidR="00DF793C" w:rsidRPr="00364E7C" w:rsidP="001836CB" w14:paraId="0FE58AB2" w14:textId="77777777">
      <w:pPr>
        <w:pStyle w:val="ListParagraph"/>
        <w:numPr>
          <w:ilvl w:val="0"/>
          <w:numId w:val="32"/>
        </w:numPr>
      </w:pPr>
      <w:r w:rsidRPr="00364E7C">
        <w:t>Concentration of dangerous chemical</w:t>
      </w:r>
    </w:p>
    <w:p w:rsidR="00DF793C" w:rsidRPr="00364E7C" w:rsidP="001836CB" w14:paraId="74069192" w14:textId="77777777">
      <w:pPr>
        <w:pStyle w:val="ListParagraph"/>
        <w:numPr>
          <w:ilvl w:val="0"/>
          <w:numId w:val="32"/>
        </w:numPr>
      </w:pPr>
      <w:r w:rsidRPr="00364E7C">
        <w:t>Storage vessel(s) for dangerous chemical(s)</w:t>
      </w:r>
    </w:p>
    <w:p w:rsidR="00DF793C" w:rsidRPr="00364E7C" w:rsidP="001836CB" w14:paraId="3B0B961C" w14:textId="77777777">
      <w:pPr>
        <w:pStyle w:val="ListParagraph"/>
        <w:numPr>
          <w:ilvl w:val="0"/>
          <w:numId w:val="32"/>
        </w:numPr>
      </w:pPr>
      <w:r w:rsidRPr="00364E7C">
        <w:t>Safety Data Sheet(s) (SDS) for dangerous chemical(s)</w:t>
      </w:r>
    </w:p>
    <w:p w:rsidR="00DF793C" w:rsidRPr="00364E7C" w:rsidP="001836CB" w14:paraId="468A849E" w14:textId="77777777">
      <w:pPr>
        <w:pStyle w:val="ListParagraph"/>
        <w:numPr>
          <w:ilvl w:val="0"/>
          <w:numId w:val="32"/>
        </w:numPr>
      </w:pPr>
      <w:r w:rsidRPr="00364E7C">
        <w:t>Process for use, sale, storage, handling, shipping, receipt, and disposal of dangerous chemical(s) (as applicable)</w:t>
      </w:r>
    </w:p>
    <w:p w:rsidR="00DF793C" w:rsidRPr="00364E7C" w:rsidP="001836CB" w14:paraId="4B0E7013" w14:textId="77777777">
      <w:pPr>
        <w:pStyle w:val="ListParagraph"/>
        <w:numPr>
          <w:ilvl w:val="0"/>
          <w:numId w:val="32"/>
        </w:numPr>
      </w:pPr>
      <w:r w:rsidRPr="00364E7C">
        <w:t>Other relevant information</w:t>
      </w:r>
    </w:p>
    <w:p w:rsidR="00D06A04" w:rsidRPr="00364E7C" w:rsidP="001836CB" w14:paraId="2FE0A5D2" w14:textId="77777777"/>
    <w:p w:rsidR="3E07A6B2" w:rsidP="78848D73" w14:paraId="5E6511CA" w14:textId="164D0BE3">
      <w:r w:rsidRPr="78848D73">
        <w:rPr>
          <w:b/>
          <w:bCs/>
        </w:rPr>
        <w:t>ChemLock Service Feedback Collection</w:t>
      </w:r>
    </w:p>
    <w:p w:rsidR="3E07A6B2" w:rsidRPr="00364E7C" w:rsidP="00364E7C" w14:paraId="343F7AB9" w14:textId="18660E4A"/>
    <w:p w:rsidR="3E07A6B2" w:rsidRPr="00364E7C" w:rsidP="00364E7C" w14:paraId="6F170A1F" w14:textId="2F773A83">
      <w:r w:rsidRPr="00364E7C">
        <w:t xml:space="preserve">This </w:t>
      </w:r>
      <w:r w:rsidRPr="00364E7C" w:rsidR="006308D9">
        <w:t xml:space="preserve">instrument </w:t>
      </w:r>
      <w:r w:rsidRPr="00364E7C" w:rsidR="00B74185">
        <w:t xml:space="preserve">will collect information </w:t>
      </w:r>
      <w:r w:rsidRPr="00364E7C" w:rsidR="00072325">
        <w:t xml:space="preserve">related to </w:t>
      </w:r>
      <w:r w:rsidRPr="00364E7C">
        <w:t xml:space="preserve">feedback about </w:t>
      </w:r>
      <w:r w:rsidRPr="00364E7C" w:rsidR="00072325">
        <w:t xml:space="preserve">ChemLock related </w:t>
      </w:r>
      <w:r w:rsidRPr="00364E7C">
        <w:t>services</w:t>
      </w:r>
      <w:r w:rsidRPr="00364E7C" w:rsidR="00072325">
        <w:t xml:space="preserve"> such as</w:t>
      </w:r>
      <w:r w:rsidRPr="00364E7C">
        <w:t xml:space="preserve">: </w:t>
      </w:r>
      <w:r w:rsidRPr="00364E7C" w:rsidR="00B906A3">
        <w:t xml:space="preserve">which ChemLock service was provided and when, program outcomes, satisfaction, and </w:t>
      </w:r>
      <w:r w:rsidRPr="00364E7C" w:rsidR="00BF538F">
        <w:t>performance of the staff involved in providing the ChemLock service</w:t>
      </w:r>
      <w:r w:rsidRPr="00364E7C" w:rsidR="00D31FE8">
        <w:t>.</w:t>
      </w:r>
    </w:p>
    <w:p w:rsidR="0037322A" w:rsidRPr="0076205E" w:rsidP="0076205E" w14:paraId="4ED59B21" w14:textId="77777777"/>
    <w:p w:rsidR="00EB5E96" w:rsidRPr="00596A43" w:rsidP="001836CB" w14:paraId="137BFE5F" w14:textId="69FC160E">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3</w:t>
      </w:r>
      <w:r w:rsidR="00AE7EDE">
        <w:t xml:space="preserve">. </w:t>
      </w:r>
      <w:r w:rsidRPr="00596A4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E7EDE">
        <w:t xml:space="preserve">. </w:t>
      </w:r>
      <w:r w:rsidRPr="00596A43">
        <w:t>Also describe any consideration of using information technology to reduce burden.</w:t>
      </w:r>
      <w:r w:rsidR="00B75D1C">
        <w:t xml:space="preserve"> Please include a statement </w:t>
      </w:r>
      <w:r w:rsidR="00D24551">
        <w:t xml:space="preserve">that usability testing was conducted and what </w:t>
      </w:r>
      <w:r w:rsidR="007C190A">
        <w:t xml:space="preserve">the results from </w:t>
      </w:r>
      <w:r w:rsidR="0023349F">
        <w:t>testing did for the collection</w:t>
      </w:r>
      <w:r w:rsidR="007C190A">
        <w:t>.</w:t>
      </w:r>
    </w:p>
    <w:p w:rsidR="00EB5E96" w:rsidRPr="00364E7C" w:rsidP="001836CB" w14:paraId="16DA2C53" w14:textId="77777777"/>
    <w:p w:rsidR="0015593C" w:rsidRPr="00364E7C" w:rsidP="001836CB" w14:paraId="07AFD641" w14:textId="2608B5CE">
      <w:r w:rsidRPr="00364E7C">
        <w:t xml:space="preserve">This information </w:t>
      </w:r>
      <w:r w:rsidRPr="00364E7C" w:rsidR="00F2361E">
        <w:t xml:space="preserve">will </w:t>
      </w:r>
      <w:r w:rsidRPr="00364E7C">
        <w:t xml:space="preserve">primarily </w:t>
      </w:r>
      <w:r w:rsidRPr="00364E7C" w:rsidR="00F2361E">
        <w:t xml:space="preserve">be </w:t>
      </w:r>
      <w:r w:rsidRPr="00364E7C">
        <w:t>collected electronically. CISA officials may ask clarifying questions verbally.</w:t>
      </w:r>
    </w:p>
    <w:p w:rsidR="0015593C" w:rsidRPr="00364E7C" w:rsidP="001836CB" w14:paraId="084C5DA0" w14:textId="615696AD"/>
    <w:p w:rsidR="00AE7EDE" w:rsidP="001836CB" w14:paraId="63B55164" w14:textId="005C1F3A">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4</w:t>
      </w:r>
      <w:r>
        <w:t xml:space="preserve">. </w:t>
      </w:r>
      <w:r w:rsidRPr="00596A43">
        <w:t>Describe efforts to identify duplication</w:t>
      </w:r>
      <w:r>
        <w:t xml:space="preserve">. </w:t>
      </w:r>
      <w:r w:rsidRPr="00596A43">
        <w:t>Show specifically why any similar information already available cannot be used or modified for use for the purposes described in Item 2 above</w:t>
      </w:r>
      <w:r>
        <w:t>.</w:t>
      </w:r>
    </w:p>
    <w:p w:rsidR="00EB5E96" w:rsidRPr="00364E7C" w:rsidP="001836CB" w14:paraId="3346A6A6" w14:textId="0B660408">
      <w:r w:rsidRPr="001836CB">
        <w:fldChar w:fldCharType="begin"/>
      </w:r>
      <w:r w:rsidRPr="00364E7C">
        <w:instrText>ADVANCE \R 0.95</w:instrText>
      </w:r>
      <w:r w:rsidRPr="001836CB">
        <w:fldChar w:fldCharType="end"/>
      </w:r>
    </w:p>
    <w:p w:rsidR="0082123C" w:rsidRPr="00364E7C" w:rsidP="00364E7C" w14:paraId="7C358C1B" w14:textId="4A282305">
      <w:r w:rsidRPr="00364E7C">
        <w:t xml:space="preserve">The proposed ICR and its instruments will </w:t>
      </w:r>
      <w:r w:rsidRPr="00364E7C">
        <w:t xml:space="preserve">consolidate and </w:t>
      </w:r>
      <w:r w:rsidRPr="00364E7C" w:rsidR="00E6507D">
        <w:t>clarif</w:t>
      </w:r>
      <w:r w:rsidR="00E6507D">
        <w:t>y</w:t>
      </w:r>
      <w:r w:rsidRPr="00364E7C" w:rsidR="00E6507D">
        <w:t xml:space="preserve"> </w:t>
      </w:r>
      <w:r w:rsidRPr="00364E7C">
        <w:t>CISA</w:t>
      </w:r>
      <w:r w:rsidR="00103650">
        <w:t>’s</w:t>
      </w:r>
      <w:r w:rsidRPr="00364E7C">
        <w:t xml:space="preserve"> collection of information in support of ChemLock.</w:t>
      </w:r>
      <w:r w:rsidRPr="00364E7C" w:rsidR="00CB6558">
        <w:t xml:space="preserve"> </w:t>
      </w:r>
      <w:r w:rsidRPr="00364E7C" w:rsidR="00851DA3">
        <w:t>For example, t</w:t>
      </w:r>
      <w:r w:rsidRPr="00364E7C" w:rsidR="008B55A0">
        <w:t>he information collected</w:t>
      </w:r>
      <w:r w:rsidRPr="00364E7C" w:rsidR="00CB6558">
        <w:t xml:space="preserve"> </w:t>
      </w:r>
      <w:r w:rsidRPr="00364E7C" w:rsidR="008B55A0">
        <w:t xml:space="preserve">under </w:t>
      </w:r>
      <w:r w:rsidRPr="00364E7C" w:rsidR="00CB6558">
        <w:t>other approved IC</w:t>
      </w:r>
      <w:r w:rsidRPr="00364E7C" w:rsidR="00BE04A1">
        <w:t xml:space="preserve">s such as </w:t>
      </w:r>
      <w:r w:rsidRPr="00364E7C" w:rsidR="00CB6558">
        <w:t>1670-0019</w:t>
      </w:r>
      <w:r w:rsidRPr="00364E7C" w:rsidR="002E0FA3">
        <w:t xml:space="preserve"> and 1670-0027</w:t>
      </w:r>
      <w:r w:rsidRPr="00364E7C" w:rsidR="00BE04A1">
        <w:t>.</w:t>
      </w:r>
      <w:r w:rsidRPr="00364E7C" w:rsidR="00232FEC">
        <w:t xml:space="preserve"> </w:t>
      </w:r>
      <w:r w:rsidRPr="00364E7C" w:rsidR="00AA62F6">
        <w:t xml:space="preserve">Consolidating the </w:t>
      </w:r>
      <w:r w:rsidRPr="00364E7C" w:rsidR="0085783A">
        <w:t xml:space="preserve">information used to collect information will not result in duplication because the intent of the </w:t>
      </w:r>
      <w:r w:rsidR="004D4E40">
        <w:t xml:space="preserve">information collections </w:t>
      </w:r>
      <w:r w:rsidRPr="00364E7C" w:rsidR="00261EE7">
        <w:t>is</w:t>
      </w:r>
      <w:r w:rsidRPr="00364E7C" w:rsidR="0085783A">
        <w:t xml:space="preserve"> </w:t>
      </w:r>
      <w:r w:rsidRPr="00364E7C" w:rsidR="0085783A">
        <w:t>different</w:t>
      </w:r>
      <w:r w:rsidR="004D4E40">
        <w:t xml:space="preserve">. Consolidating the information collections </w:t>
      </w:r>
      <w:r w:rsidRPr="00364E7C" w:rsidR="0085783A">
        <w:t xml:space="preserve">will allow for better </w:t>
      </w:r>
      <w:r w:rsidR="00507796">
        <w:t xml:space="preserve">quality </w:t>
      </w:r>
      <w:r w:rsidR="00FF4946">
        <w:t xml:space="preserve">and more consistent </w:t>
      </w:r>
      <w:r w:rsidRPr="00364E7C" w:rsidR="003F264B">
        <w:t xml:space="preserve">data about the total burden of the ChemLock program rather than </w:t>
      </w:r>
      <w:r w:rsidRPr="00364E7C" w:rsidR="002E0FA3">
        <w:t xml:space="preserve">piecing data together from multiple </w:t>
      </w:r>
      <w:r w:rsidR="00261EE7">
        <w:t>information collections</w:t>
      </w:r>
      <w:r w:rsidRPr="00364E7C" w:rsidR="002E0FA3">
        <w:t>.</w:t>
      </w:r>
    </w:p>
    <w:p w:rsidR="00232FEC" w:rsidRPr="00364E7C" w:rsidP="00364E7C" w14:paraId="67D6B493" w14:textId="77777777"/>
    <w:p w:rsidR="7D4F319D" w:rsidRPr="00364E7C" w:rsidP="00364E7C" w14:paraId="1BD0B2B3" w14:textId="334677E5">
      <w:r w:rsidRPr="00364E7C">
        <w:t xml:space="preserve">After the current information collections are approved, ChemLock </w:t>
      </w:r>
      <w:r w:rsidRPr="00364E7C" w:rsidR="00D01A65">
        <w:t xml:space="preserve">burden estimates </w:t>
      </w:r>
      <w:r w:rsidRPr="00364E7C">
        <w:t xml:space="preserve">will be removed from CISA’s </w:t>
      </w:r>
      <w:r w:rsidRPr="00364E7C" w:rsidR="00D01A65">
        <w:t>current</w:t>
      </w:r>
      <w:r w:rsidRPr="00364E7C">
        <w:t xml:space="preserve"> information collections when those </w:t>
      </w:r>
      <w:r w:rsidRPr="00364E7C" w:rsidR="00D01A65">
        <w:t xml:space="preserve">information </w:t>
      </w:r>
      <w:r w:rsidRPr="00364E7C">
        <w:t xml:space="preserve">collections are </w:t>
      </w:r>
      <w:r w:rsidRPr="00364E7C" w:rsidR="00D01A65">
        <w:t>revised</w:t>
      </w:r>
      <w:r w:rsidRPr="00364E7C">
        <w:t>.</w:t>
      </w:r>
    </w:p>
    <w:p w:rsidR="00AA3F82" w:rsidRPr="00364E7C" w:rsidP="001836CB" w14:paraId="1DA65EDD" w14:textId="77777777"/>
    <w:p w:rsidR="00AE7EDE" w:rsidP="001836CB" w14:paraId="5434A52E" w14:textId="21337733">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5</w:t>
      </w:r>
      <w:r>
        <w:t xml:space="preserve">. </w:t>
      </w:r>
      <w:r w:rsidRPr="00596A43">
        <w:t>If the collection of information impacts small businesses or other small entities (Item 5 of OMB Form 83-I), describe any methods used to minimize</w:t>
      </w:r>
      <w:r>
        <w:t>.</w:t>
      </w:r>
    </w:p>
    <w:p w:rsidR="00EB5E96" w:rsidRPr="001836CB" w:rsidP="001836CB" w14:paraId="06D78EA0" w14:textId="5DE27879"/>
    <w:p w:rsidR="68D9FBA3" w:rsidRPr="00364E7C" w:rsidP="00364E7C" w14:paraId="29256F22" w14:textId="70C1515B">
      <w:r w:rsidRPr="00364E7C">
        <w:t>No unique methods will be used to minimize the burden to small businesses.</w:t>
      </w:r>
    </w:p>
    <w:p w:rsidR="00EB5E96" w:rsidRPr="001836CB" w:rsidP="001836CB" w14:paraId="5E13DE4C" w14:textId="77777777"/>
    <w:p w:rsidR="00EB5E96" w:rsidRPr="00596A43" w:rsidP="000C4293" w14:paraId="3B43F236" w14:textId="6C63A0AD">
      <w:pPr>
        <w:shd w:val="pct25" w:color="auto" w:fill="auto"/>
        <w:tabs>
          <w:tab w:val="left" w:pos="-720"/>
        </w:tab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6</w:t>
      </w:r>
      <w:r w:rsidR="00AE7EDE">
        <w:t xml:space="preserve">. </w:t>
      </w:r>
      <w:r w:rsidRPr="00596A43">
        <w:t>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1836CB" w:rsidP="001836CB" w14:paraId="38AFCAF9" w14:textId="77777777"/>
    <w:p w:rsidR="05376D4B" w:rsidRPr="00364E7C" w:rsidP="00364E7C" w14:paraId="1435E275" w14:textId="0B336209">
      <w:r w:rsidRPr="00364E7C">
        <w:t>If the collection of information is not conducted, then CISA</w:t>
      </w:r>
      <w:r w:rsidRPr="00364E7C" w:rsidR="00421346">
        <w:t xml:space="preserve"> will be unable to provide </w:t>
      </w:r>
      <w:r w:rsidRPr="00364E7C" w:rsidR="001821AE">
        <w:t xml:space="preserve">ChemLock related </w:t>
      </w:r>
      <w:r w:rsidRPr="00364E7C" w:rsidR="002457E9">
        <w:t>services</w:t>
      </w:r>
      <w:r w:rsidRPr="00364E7C" w:rsidR="00C25CC9">
        <w:t xml:space="preserve"> which provides </w:t>
      </w:r>
      <w:r w:rsidRPr="00364E7C" w:rsidR="00B839AB">
        <w:t xml:space="preserve">scalable, tailored options for facilities </w:t>
      </w:r>
      <w:r w:rsidRPr="00364E7C" w:rsidR="00E716DA">
        <w:t>that want</w:t>
      </w:r>
      <w:r w:rsidRPr="00364E7C" w:rsidR="00B839AB">
        <w:t xml:space="preserve"> to enhance their chemical security posture.</w:t>
      </w:r>
    </w:p>
    <w:p w:rsidR="00AA3F82" w:rsidRPr="001836CB" w:rsidP="001836CB" w14:paraId="6DB53CCA" w14:textId="77777777"/>
    <w:p w:rsidR="002B0649" w:rsidRPr="00596A43" w:rsidP="001836CB" w14:paraId="2C6D8C8F" w14:textId="5173CE08">
      <w:pPr>
        <w:pStyle w:val="BodyText"/>
      </w:pPr>
      <w:r>
        <w:rPr>
          <w:color w:val="2B579A"/>
          <w:shd w:val="clear" w:color="auto" w:fill="E6E6E6"/>
        </w:rPr>
        <w:fldChar w:fldCharType="begin"/>
      </w:r>
      <w:r>
        <w:instrText>ADVANCE \R 0.95</w:instrText>
      </w:r>
      <w:r>
        <w:rPr>
          <w:color w:val="2B579A"/>
          <w:shd w:val="clear" w:color="auto" w:fill="E6E6E6"/>
        </w:rPr>
        <w:fldChar w:fldCharType="end"/>
      </w:r>
      <w:r>
        <w:t>7</w:t>
      </w:r>
      <w:r w:rsidR="00AE7EDE">
        <w:t xml:space="preserve">. </w:t>
      </w:r>
      <w:r>
        <w:t>Explain any special circumstances that would cause an information collection to be conducted in a manner:</w:t>
      </w:r>
      <w:r>
        <w:rPr>
          <w:color w:val="2B579A"/>
          <w:shd w:val="clear" w:color="auto" w:fill="E6E6E6"/>
        </w:rPr>
        <w:fldChar w:fldCharType="begin"/>
      </w:r>
      <w:r>
        <w:instrText>ADVANCE \R 0.95</w:instrText>
      </w:r>
      <w:r>
        <w:rPr>
          <w:color w:val="2B579A"/>
          <w:shd w:val="clear" w:color="auto" w:fill="E6E6E6"/>
        </w:rPr>
        <w:fldChar w:fldCharType="end"/>
      </w:r>
    </w:p>
    <w:p w:rsidR="00E716DA" w:rsidRPr="00364E7C" w:rsidP="001836CB" w14:paraId="420B6B73" w14:textId="77777777"/>
    <w:p w:rsidR="00F861A5" w:rsidRPr="00364E7C" w:rsidP="001836CB" w14:paraId="01B61542" w14:textId="5A09B902">
      <w:r w:rsidRPr="00364E7C">
        <w:t>There are no special circumstances with this collection.</w:t>
      </w:r>
    </w:p>
    <w:p w:rsidR="00AE41B7" w:rsidRPr="00364E7C" w:rsidP="001836CB" w14:paraId="415A2725" w14:textId="77777777"/>
    <w:p w:rsidR="00EB5E96" w:rsidRPr="00596A43" w:rsidP="001836CB" w14:paraId="3A9C89B1" w14:textId="2B57AC37">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8</w:t>
      </w:r>
      <w:r w:rsidR="00AE7EDE">
        <w:t xml:space="preserve">. </w:t>
      </w:r>
      <w:r w:rsidRPr="00596A43">
        <w:t xml:space="preserve">Federal Register Notice: </w:t>
      </w:r>
    </w:p>
    <w:p w:rsidR="00EB5E96" w:rsidRPr="00596A43" w:rsidP="001836CB" w14:paraId="225B0E37" w14:textId="603633BA">
      <w:pPr>
        <w:pStyle w:val="BodyText"/>
      </w:pPr>
      <w:r>
        <w:rPr>
          <w:color w:val="2B579A"/>
          <w:shd w:val="clear" w:color="auto" w:fill="E6E6E6"/>
        </w:rPr>
        <w:fldChar w:fldCharType="begin"/>
      </w:r>
      <w:r>
        <w:instrText>ADVANCE \R 0.95</w:instrText>
      </w:r>
      <w:r>
        <w:rPr>
          <w:color w:val="2B579A"/>
          <w:shd w:val="clear" w:color="auto" w:fill="E6E6E6"/>
        </w:rPr>
        <w:fldChar w:fldCharType="end"/>
      </w:r>
      <w:r>
        <w:rPr>
          <w:color w:val="2B579A"/>
          <w:shd w:val="clear" w:color="auto" w:fill="E6E6E6"/>
        </w:rPr>
        <w:fldChar w:fldCharType="begin"/>
      </w:r>
      <w:r>
        <w:instrText>ADVANCE \R 0.95</w:instrText>
      </w:r>
      <w:r>
        <w:rPr>
          <w:color w:val="2B579A"/>
          <w:shd w:val="clear" w:color="auto" w:fill="E6E6E6"/>
        </w:rPr>
        <w:fldChar w:fldCharType="end"/>
      </w:r>
      <w:r>
        <w:t>a</w:t>
      </w:r>
      <w:r w:rsidR="00AE7EDE">
        <w:t xml:space="preserve">. </w:t>
      </w:r>
      <w:r>
        <w:t>Provide a copy and identify the date and page number of</w:t>
      </w:r>
      <w:r w:rsidR="433EC6A3">
        <w:t xml:space="preserve"> the</w:t>
      </w:r>
      <w:r>
        <w:t xml:space="preserve"> publication in the Federal Register of the agency’s notice soliciting comments on the information collection prior to submission to OMB</w:t>
      </w:r>
      <w:r w:rsidR="00AE7EDE">
        <w:t xml:space="preserve">. </w:t>
      </w:r>
      <w:r>
        <w:t>Summarize public comments received in response to that notice and describe actions taken by the agency in response to these comments</w:t>
      </w:r>
      <w:r w:rsidR="00AE7EDE">
        <w:t xml:space="preserve">. </w:t>
      </w:r>
      <w:r>
        <w:t>Specifically address comments received on cost and hour burden.</w:t>
      </w:r>
    </w:p>
    <w:p w:rsidR="00AE7EDE" w:rsidP="001836CB" w14:paraId="59D11FE1" w14:textId="40AAF579">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b</w:t>
      </w:r>
      <w:r>
        <w:t xml:space="preserve">. </w:t>
      </w:r>
      <w:r w:rsidRPr="00596A43">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t>.</w:t>
      </w:r>
    </w:p>
    <w:p w:rsidR="00AE7EDE" w:rsidP="001836CB" w14:paraId="23840F0C" w14:textId="745D8A60">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c</w:t>
      </w:r>
      <w:r>
        <w:t xml:space="preserve">. </w:t>
      </w:r>
      <w:r w:rsidRPr="00596A43">
        <w:t>Describe consultations with representatives of those from whom information is to be obtained or those who must compile records</w:t>
      </w:r>
      <w:r>
        <w:t xml:space="preserve">. </w:t>
      </w:r>
      <w:r w:rsidRPr="00596A43">
        <w:t>Consultation should occur at least once every three years, even if the collection of information activities is the same as in prior periods</w:t>
      </w:r>
      <w:r>
        <w:t xml:space="preserve">. </w:t>
      </w:r>
      <w:r w:rsidRPr="00596A43">
        <w:t>There may be circumstances that may preclude consultation in a specific situation</w:t>
      </w:r>
      <w:r>
        <w:t xml:space="preserve">. </w:t>
      </w:r>
      <w:r w:rsidRPr="00596A43">
        <w:t>These circumstances should be explained</w:t>
      </w:r>
      <w:r>
        <w:t>.</w:t>
      </w:r>
    </w:p>
    <w:p w:rsidR="00EB5E96" w:rsidRPr="00853A4F" w:rsidP="00853A4F" w14:paraId="126D3743" w14:textId="7B63175C">
      <w:r w:rsidRPr="00853A4F">
        <w:fldChar w:fldCharType="begin"/>
      </w:r>
      <w:r w:rsidRPr="00853A4F">
        <w:instrText>ADVANCE \R 0.95</w:instrText>
      </w:r>
      <w:r w:rsidRPr="00853A4F">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1F0875A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hemeFill="text1"/>
          </w:tcPr>
          <w:p w:rsidR="00B67664" w:rsidP="00D3411B" w14:paraId="02EDAE2E" w14:textId="77777777">
            <w:pPr>
              <w:tabs>
                <w:tab w:val="left" w:pos="-720"/>
              </w:tabs>
              <w:jc w:val="both"/>
            </w:pPr>
          </w:p>
        </w:tc>
        <w:tc>
          <w:tcPr>
            <w:tcW w:w="2700" w:type="dxa"/>
            <w:shd w:val="clear" w:color="auto" w:fill="BFBFBF" w:themeFill="background1" w:themeFillShade="BF"/>
          </w:tcPr>
          <w:p w:rsidR="00B67664" w:rsidRPr="00D3411B" w:rsidP="00390936" w14:paraId="733FCDF6" w14:textId="77777777">
            <w:pPr>
              <w:pStyle w:val="TableHeader"/>
            </w:pPr>
            <w:r w:rsidRPr="00D3411B">
              <w:t>Date of Publication</w:t>
            </w:r>
          </w:p>
        </w:tc>
        <w:tc>
          <w:tcPr>
            <w:tcW w:w="1080" w:type="dxa"/>
            <w:shd w:val="clear" w:color="auto" w:fill="BFBFBF" w:themeFill="background1" w:themeFillShade="BF"/>
            <w:vAlign w:val="center"/>
          </w:tcPr>
          <w:p w:rsidR="00B67664" w:rsidRPr="00D3411B" w:rsidP="00390936" w14:paraId="71CD397F" w14:textId="77777777">
            <w:pPr>
              <w:pStyle w:val="TableHeader"/>
            </w:pPr>
            <w:r w:rsidRPr="00D3411B">
              <w:t>Volume #</w:t>
            </w:r>
          </w:p>
        </w:tc>
        <w:tc>
          <w:tcPr>
            <w:tcW w:w="1080" w:type="dxa"/>
            <w:shd w:val="clear" w:color="auto" w:fill="BFBFBF" w:themeFill="background1" w:themeFillShade="BF"/>
            <w:vAlign w:val="center"/>
          </w:tcPr>
          <w:p w:rsidR="00B67664" w:rsidRPr="00D3411B" w:rsidP="00390936" w14:paraId="6923B9E4" w14:textId="77777777">
            <w:pPr>
              <w:pStyle w:val="TableHeader"/>
            </w:pPr>
            <w:r w:rsidRPr="00D3411B">
              <w:t>Number #</w:t>
            </w:r>
          </w:p>
        </w:tc>
        <w:tc>
          <w:tcPr>
            <w:tcW w:w="900" w:type="dxa"/>
            <w:shd w:val="clear" w:color="auto" w:fill="BFBFBF" w:themeFill="background1" w:themeFillShade="BF"/>
            <w:vAlign w:val="center"/>
          </w:tcPr>
          <w:p w:rsidR="00B67664" w:rsidRPr="00D3411B" w:rsidP="00390936" w14:paraId="1A9F4A4E" w14:textId="77777777">
            <w:pPr>
              <w:pStyle w:val="TableHeader"/>
            </w:pPr>
            <w:r w:rsidRPr="00D3411B">
              <w:t>Page #</w:t>
            </w:r>
          </w:p>
        </w:tc>
        <w:tc>
          <w:tcPr>
            <w:tcW w:w="1532" w:type="dxa"/>
            <w:shd w:val="clear" w:color="auto" w:fill="BFBFBF" w:themeFill="background1" w:themeFillShade="BF"/>
          </w:tcPr>
          <w:p w:rsidR="00B67664" w:rsidRPr="00D3411B" w:rsidP="00390936" w14:paraId="6BF24A15" w14:textId="77777777">
            <w:pPr>
              <w:pStyle w:val="TableHeader"/>
            </w:pPr>
            <w:r w:rsidRPr="00D3411B">
              <w:t>Comments Addressed</w:t>
            </w:r>
          </w:p>
        </w:tc>
      </w:tr>
      <w:tr w14:paraId="196416DF" w14:textId="77777777" w:rsidTr="1F0875AB">
        <w:tblPrEx>
          <w:tblW w:w="0" w:type="auto"/>
          <w:tblLayout w:type="fixed"/>
          <w:tblLook w:val="04A0"/>
        </w:tblPrEx>
        <w:tc>
          <w:tcPr>
            <w:tcW w:w="2268" w:type="dxa"/>
            <w:vAlign w:val="center"/>
          </w:tcPr>
          <w:p w:rsidR="00AE7EDE" w:rsidRPr="005C1F62" w:rsidP="005C1F62" w14:paraId="36BBB874" w14:textId="77777777">
            <w:pPr>
              <w:pStyle w:val="TableCenteredItalics"/>
            </w:pPr>
            <w:r w:rsidRPr="005C1F62">
              <w:t>60</w:t>
            </w:r>
            <w:r w:rsidRPr="005C1F62" w:rsidR="00C860B7">
              <w:t>-</w:t>
            </w:r>
            <w:r w:rsidRPr="005C1F62">
              <w:t>Day</w:t>
            </w:r>
          </w:p>
          <w:p w:rsidR="00B67664" w:rsidRPr="005C1F62" w:rsidP="005C1F62" w14:paraId="28758108" w14:textId="366AB558">
            <w:pPr>
              <w:pStyle w:val="TableCenteredItalics"/>
            </w:pPr>
            <w:r w:rsidRPr="005C1F62">
              <w:t>Federal Register Notice:</w:t>
            </w:r>
          </w:p>
        </w:tc>
        <w:tc>
          <w:tcPr>
            <w:tcW w:w="2700" w:type="dxa"/>
            <w:vAlign w:val="center"/>
          </w:tcPr>
          <w:p w:rsidR="00B67664" w:rsidRPr="005C1F62" w:rsidP="00390936" w14:paraId="3EE3D417" w14:textId="3F69987A">
            <w:pPr>
              <w:pStyle w:val="TABLECentered"/>
              <w:rPr>
                <w:szCs w:val="20"/>
              </w:rPr>
            </w:pPr>
            <w:r w:rsidRPr="005C1F62">
              <w:rPr>
                <w:szCs w:val="20"/>
              </w:rPr>
              <w:t>December 31, 2024</w:t>
            </w:r>
          </w:p>
        </w:tc>
        <w:tc>
          <w:tcPr>
            <w:tcW w:w="1080" w:type="dxa"/>
            <w:vAlign w:val="center"/>
          </w:tcPr>
          <w:p w:rsidR="00B67664" w:rsidRPr="005C1F62" w:rsidP="00390936" w14:paraId="454C5B6F" w14:textId="510B50A5">
            <w:pPr>
              <w:pStyle w:val="TABLECentered"/>
            </w:pPr>
            <w:r w:rsidRPr="005C1F62">
              <w:t>89</w:t>
            </w:r>
          </w:p>
        </w:tc>
        <w:tc>
          <w:tcPr>
            <w:tcW w:w="1080" w:type="dxa"/>
            <w:vAlign w:val="center"/>
          </w:tcPr>
          <w:p w:rsidR="00B67664" w:rsidRPr="005C1F62" w:rsidP="00390936" w14:paraId="1D5C8C71" w14:textId="3A2198FE">
            <w:pPr>
              <w:pStyle w:val="TABLECentered"/>
            </w:pPr>
            <w:r w:rsidRPr="005C1F62">
              <w:t>250</w:t>
            </w:r>
          </w:p>
        </w:tc>
        <w:tc>
          <w:tcPr>
            <w:tcW w:w="900" w:type="dxa"/>
            <w:vAlign w:val="center"/>
          </w:tcPr>
          <w:p w:rsidR="00B67664" w:rsidRPr="005C1F62" w:rsidP="00390936" w14:paraId="028479BC" w14:textId="35F713F4">
            <w:pPr>
              <w:pStyle w:val="TABLECentered"/>
            </w:pPr>
            <w:r w:rsidRPr="005C1F62">
              <w:t>107154-107155</w:t>
            </w:r>
          </w:p>
        </w:tc>
        <w:tc>
          <w:tcPr>
            <w:tcW w:w="1532" w:type="dxa"/>
            <w:vAlign w:val="center"/>
          </w:tcPr>
          <w:p w:rsidR="00B67664" w:rsidRPr="005C1F62" w:rsidP="00390936" w14:paraId="2F3EDAFE" w14:textId="50C2C840">
            <w:pPr>
              <w:pStyle w:val="TABLECentered"/>
            </w:pPr>
            <w:r>
              <w:t>No comments received</w:t>
            </w:r>
          </w:p>
        </w:tc>
      </w:tr>
      <w:tr w14:paraId="1AEC9597" w14:textId="77777777" w:rsidTr="1F0875AB">
        <w:tblPrEx>
          <w:tblW w:w="0" w:type="auto"/>
          <w:tblLayout w:type="fixed"/>
          <w:tblLook w:val="04A0"/>
        </w:tblPrEx>
        <w:tc>
          <w:tcPr>
            <w:tcW w:w="2268" w:type="dxa"/>
            <w:vAlign w:val="center"/>
          </w:tcPr>
          <w:p w:rsidR="00390936" w:rsidP="005C1F62" w14:paraId="00314526" w14:textId="77777777">
            <w:pPr>
              <w:pStyle w:val="TableCenteredItalics"/>
            </w:pPr>
            <w:r w:rsidRPr="00D3411B">
              <w:t>30-Day</w:t>
            </w:r>
          </w:p>
          <w:p w:rsidR="00B67664" w:rsidP="005C1F62" w14:paraId="2FCE3644" w14:textId="4C47F93C">
            <w:pPr>
              <w:pStyle w:val="TableCenteredItalics"/>
            </w:pPr>
            <w:r w:rsidRPr="00D3411B">
              <w:t>Federal Register Notice</w:t>
            </w:r>
          </w:p>
        </w:tc>
        <w:tc>
          <w:tcPr>
            <w:tcW w:w="2700" w:type="dxa"/>
            <w:vAlign w:val="center"/>
          </w:tcPr>
          <w:p w:rsidR="00B67664" w:rsidRPr="008D71E0" w:rsidP="00390936" w14:paraId="15048C99" w14:textId="7BB79E60">
            <w:pPr>
              <w:pStyle w:val="TABLECentered"/>
            </w:pPr>
            <w:r w:rsidRPr="008D71E0">
              <w:t>June 2, 2026</w:t>
            </w:r>
          </w:p>
        </w:tc>
        <w:tc>
          <w:tcPr>
            <w:tcW w:w="1080" w:type="dxa"/>
            <w:vAlign w:val="center"/>
          </w:tcPr>
          <w:p w:rsidR="00B67664" w:rsidRPr="008D71E0" w:rsidP="00390936" w14:paraId="6A927E67" w14:textId="4E43C914">
            <w:pPr>
              <w:pStyle w:val="TABLECentered"/>
            </w:pPr>
            <w:r w:rsidRPr="008D71E0">
              <w:t>91</w:t>
            </w:r>
          </w:p>
        </w:tc>
        <w:tc>
          <w:tcPr>
            <w:tcW w:w="1080" w:type="dxa"/>
            <w:vAlign w:val="center"/>
          </w:tcPr>
          <w:p w:rsidR="00B67664" w:rsidRPr="008D71E0" w:rsidP="00390936" w14:paraId="110837CC" w14:textId="1985D604">
            <w:pPr>
              <w:pStyle w:val="TABLECentered"/>
            </w:pPr>
            <w:r w:rsidRPr="008D71E0">
              <w:t>105</w:t>
            </w:r>
          </w:p>
        </w:tc>
        <w:tc>
          <w:tcPr>
            <w:tcW w:w="900" w:type="dxa"/>
            <w:vAlign w:val="center"/>
          </w:tcPr>
          <w:p w:rsidR="008D71E0" w:rsidRPr="00C91681" w:rsidP="008D71E0" w14:paraId="379D4E67" w14:textId="77777777">
            <w:pPr>
              <w:pStyle w:val="TABLECentered"/>
            </w:pPr>
            <w:r w:rsidRPr="00C91681">
              <w:t>32993-32994</w:t>
            </w:r>
          </w:p>
          <w:p w:rsidR="00B67664" w:rsidRPr="008D71E0" w:rsidP="00390936" w14:paraId="035142B0" w14:textId="3E701173">
            <w:pPr>
              <w:pStyle w:val="TABLECentered"/>
            </w:pPr>
          </w:p>
        </w:tc>
        <w:tc>
          <w:tcPr>
            <w:tcW w:w="1532" w:type="dxa"/>
            <w:vAlign w:val="center"/>
          </w:tcPr>
          <w:p w:rsidR="00B67664" w:rsidRPr="008D71E0" w:rsidP="00390936" w14:paraId="5F78088B" w14:textId="5B5ED43A">
            <w:pPr>
              <w:pStyle w:val="TABLECentered"/>
            </w:pPr>
            <w:r w:rsidRPr="008D71E0">
              <w:t>0</w:t>
            </w:r>
          </w:p>
        </w:tc>
      </w:tr>
    </w:tbl>
    <w:p w:rsidR="00B67664" w:rsidRPr="00364E7C" w:rsidP="001836CB" w14:paraId="01338B37" w14:textId="77777777"/>
    <w:p w:rsidR="00CC2508" w:rsidP="001836CB" w14:paraId="409735B0" w14:textId="7B15B8A3">
      <w:r>
        <w:t xml:space="preserve">A </w:t>
      </w:r>
      <w:r w:rsidR="35223109">
        <w:t>60-day</w:t>
      </w:r>
      <w:r>
        <w:t xml:space="preserve"> notice for comments was published in the Federal Register on</w:t>
      </w:r>
      <w:r w:rsidR="00FD3AB4">
        <w:t xml:space="preserve"> </w:t>
      </w:r>
      <w:r w:rsidR="00584A28">
        <w:t>Tuesday, December 31, 2024</w:t>
      </w:r>
      <w:r>
        <w:t>.</w:t>
      </w:r>
      <w:r>
        <w:rPr>
          <w:rStyle w:val="FootnoteReference"/>
        </w:rPr>
        <w:footnoteReference w:id="3"/>
      </w:r>
      <w:r w:rsidR="4C108B7E">
        <w:t xml:space="preserve"> </w:t>
      </w:r>
      <w:r w:rsidR="00A37382">
        <w:t>No</w:t>
      </w:r>
      <w:r w:rsidR="4C108B7E">
        <w:t xml:space="preserve"> comments were received.</w:t>
      </w:r>
    </w:p>
    <w:p w:rsidR="008D71E0" w:rsidP="001836CB" w14:paraId="4E4B926B" w14:textId="77777777"/>
    <w:p w:rsidR="008D71E0" w:rsidP="001836CB" w14:paraId="02E61108" w14:textId="6806AC05">
      <w:r>
        <w:t xml:space="preserve">A 30-day </w:t>
      </w:r>
      <w:r w:rsidR="00C91681">
        <w:t>notice for comments was published in the Federal Register on Tuesday, June 2, 2026</w:t>
      </w:r>
      <w:r w:rsidR="0062671E">
        <w:t xml:space="preserve">. </w:t>
      </w:r>
      <w:hyperlink r:id="rId10" w:history="1">
        <w:r w:rsidR="0062671E">
          <w:rPr>
            <w:rStyle w:val="Hyperlink"/>
          </w:rPr>
          <w:t>https://www.federalregister.gov/documents/2026/06/02/2026-10959</w:t>
        </w:r>
      </w:hyperlink>
    </w:p>
    <w:p w:rsidR="00CC2508" w:rsidRPr="00364E7C" w:rsidP="001836CB" w14:paraId="4CCB5FA8" w14:textId="6D708E93"/>
    <w:p w:rsidR="00EB5E96" w:rsidRPr="00596A43" w:rsidP="001836CB" w14:paraId="31219CD4" w14:textId="62DAD21F">
      <w:pPr>
        <w:pStyle w:val="BodyText"/>
      </w:pPr>
      <w:r>
        <w:rPr>
          <w:color w:val="2B579A"/>
          <w:shd w:val="clear" w:color="auto" w:fill="E6E6E6"/>
        </w:rPr>
        <w:fldChar w:fldCharType="begin"/>
      </w:r>
      <w:r>
        <w:instrText>ADVANCE \R 0.95</w:instrText>
      </w:r>
      <w:r>
        <w:rPr>
          <w:color w:val="2B579A"/>
          <w:shd w:val="clear" w:color="auto" w:fill="E6E6E6"/>
        </w:rPr>
        <w:fldChar w:fldCharType="end"/>
      </w:r>
      <w:r>
        <w:t>9</w:t>
      </w:r>
      <w:r w:rsidR="00AE7EDE">
        <w:t xml:space="preserve">. </w:t>
      </w:r>
      <w:r>
        <w:t>Explain a</w:t>
      </w:r>
      <w:r w:rsidR="2D1414CA">
        <w:t>n</w:t>
      </w:r>
      <w:r>
        <w:t>y decision to provide any payment or gift to respondents, other than remuneration of contractors or grantees.</w:t>
      </w:r>
    </w:p>
    <w:p w:rsidR="00EB5E96" w:rsidRPr="00364E7C" w:rsidP="001836CB" w14:paraId="718A40F6" w14:textId="77777777"/>
    <w:p w:rsidR="19CCBB49" w:rsidRPr="00364E7C" w:rsidP="00364E7C" w14:paraId="11B34578" w14:textId="4C8AC2E5">
      <w:r w:rsidRPr="00364E7C">
        <w:t>No payment or gift of any kind is provided to any respondents.</w:t>
      </w:r>
    </w:p>
    <w:p w:rsidR="00A57406" w:rsidRPr="00364E7C" w:rsidP="001836CB" w14:paraId="1C10D90F" w14:textId="77777777"/>
    <w:p w:rsidR="00AE7EDE" w:rsidP="001836CB" w14:paraId="3C4C9B41" w14:textId="62DF5373">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10</w:t>
      </w:r>
      <w:r>
        <w:t xml:space="preserve">. </w:t>
      </w:r>
      <w:r w:rsidRPr="00596A43">
        <w:t>Describe any assurance of confidentiality provided to respondents and the basis for the assurance in statute, regulation, or agency policy</w:t>
      </w:r>
      <w:r>
        <w:t>.</w:t>
      </w:r>
    </w:p>
    <w:p w:rsidR="00EB5E96" w:rsidRPr="00364E7C" w:rsidP="001836CB" w14:paraId="38D74F91" w14:textId="2CAB2238"/>
    <w:p w:rsidR="00A57406" w:rsidRPr="00364E7C" w:rsidP="001836CB" w14:paraId="553B1215" w14:textId="5F5E5690">
      <w:r w:rsidRPr="00364E7C">
        <w:t>There are no assurances of confidentiality associated with this collection</w:t>
      </w:r>
      <w:r w:rsidR="00AE7EDE">
        <w:t xml:space="preserve">. </w:t>
      </w:r>
      <w:r w:rsidRPr="00364E7C">
        <w:t>The information will be kept private or anonymous to the extent allowable by law.</w:t>
      </w:r>
    </w:p>
    <w:p w:rsidR="00A57406" w:rsidRPr="00364E7C" w:rsidP="001836CB" w14:paraId="0186E627" w14:textId="401615AF">
      <w:r w:rsidRPr="001836CB">
        <w:fldChar w:fldCharType="begin"/>
      </w:r>
      <w:r w:rsidRPr="00364E7C">
        <w:instrText>ADVANCE \R 0.95</w:instrText>
      </w:r>
      <w:r w:rsidRPr="001836CB">
        <w:fldChar w:fldCharType="end"/>
      </w:r>
    </w:p>
    <w:p w:rsidR="00AE7EDE" w:rsidP="001836CB" w14:paraId="0B0EA225" w14:textId="6BE7374A">
      <w:pPr>
        <w:pStyle w:val="BodyText"/>
      </w:pPr>
      <w:r w:rsidRPr="00596A43">
        <w:t>11</w:t>
      </w:r>
      <w:r>
        <w:t xml:space="preserve">. </w:t>
      </w:r>
      <w:r w:rsidRPr="00596A43">
        <w:t>Provide additional justification for any questions of a sensitive nature, such as sexual behavior and attitudes, religious beliefs, and other matters that are commonly considered private</w:t>
      </w:r>
      <w:r>
        <w:t xml:space="preserve">. </w:t>
      </w:r>
      <w:r w:rsidRPr="00596A4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rsidR="00EB5E96" w:rsidRPr="00364E7C" w:rsidP="001836CB" w14:paraId="2CB1C672" w14:textId="793BED61"/>
    <w:p w:rsidR="4BFAF72E" w:rsidRPr="00364E7C" w:rsidP="00AE7EDE" w14:paraId="076900FE" w14:textId="25E287DC">
      <w:r w:rsidRPr="00364E7C">
        <w:t xml:space="preserve">The instruments described in this collection do not request any information of a </w:t>
      </w:r>
      <w:r w:rsidRPr="00364E7C" w:rsidR="00261EE7">
        <w:t>personally sensitive</w:t>
      </w:r>
      <w:r w:rsidRPr="00364E7C">
        <w:t xml:space="preserve"> nature.</w:t>
      </w:r>
    </w:p>
    <w:p w:rsidR="00A57406" w:rsidRPr="001836CB" w:rsidP="001836CB" w14:paraId="3384B361" w14:textId="04E25FE4"/>
    <w:p w:rsidR="00EB5E96" w:rsidRPr="00596A43" w:rsidP="00853A4F" w14:paraId="5AEDC439" w14:textId="7B6B2738">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12. Provide estimates of the hour burden of the collection of information</w:t>
      </w:r>
      <w:r w:rsidR="00AE7EDE">
        <w:t xml:space="preserve">. </w:t>
      </w:r>
      <w:r w:rsidRPr="00596A43">
        <w:t>The statement should:</w:t>
      </w:r>
    </w:p>
    <w:p w:rsidR="00EB5E96" w:rsidRPr="00364E7C" w:rsidP="001836CB" w14:paraId="6E8DA07C" w14:textId="77777777">
      <w:r w:rsidRPr="001836CB">
        <w:fldChar w:fldCharType="begin"/>
      </w:r>
      <w:r w:rsidRPr="00364E7C">
        <w:instrText>ADVANCE \R 0.95</w:instrText>
      </w:r>
      <w:r w:rsidRPr="001836CB">
        <w:fldChar w:fldCharType="end"/>
      </w:r>
    </w:p>
    <w:p w:rsidR="00EB5E96" w:rsidP="00D01AEE" w14:paraId="4A52B6D3" w14:textId="094DB956">
      <w:pPr>
        <w:pStyle w:val="BodyText"/>
        <w:numPr>
          <w:ilvl w:val="0"/>
          <w:numId w:val="33"/>
        </w:numPr>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w:t>
      </w:r>
      <w:r w:rsidR="00AE7EDE">
        <w:t xml:space="preserve">. </w:t>
      </w:r>
      <w:r w:rsidRPr="00596A43">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sidR="00AE7EDE">
        <w:t xml:space="preserve">. </w:t>
      </w:r>
      <w:r w:rsidRPr="00596A43">
        <w:t>Generally, estimates should not include burden hours for customary and usual business practices.</w:t>
      </w:r>
    </w:p>
    <w:p w:rsidR="00F861A5" w:rsidRPr="00364E7C" w:rsidP="001836CB" w14:paraId="623C8734" w14:textId="77777777"/>
    <w:p w:rsidR="00A57406" w:rsidRPr="00364E7C" w:rsidP="00AE7EDE" w14:paraId="6C191D2B" w14:textId="597095CB">
      <w:r w:rsidRPr="00364E7C">
        <w:t>To estimate the average annual reporting burden associated with each instrument, CISA multiplies the number of respondents by t</w:t>
      </w:r>
      <w:r w:rsidRPr="00364E7C" w:rsidR="4EC8BCA4">
        <w:t>he annual number of responses per respondent and the estimated time needed to respond</w:t>
      </w:r>
      <w:r w:rsidR="00AE7EDE">
        <w:t xml:space="preserve">. </w:t>
      </w:r>
      <w:r w:rsidRPr="00364E7C" w:rsidR="4EC8BCA4">
        <w:t>The number of responses</w:t>
      </w:r>
      <w:r w:rsidRPr="00364E7C" w:rsidR="00E22240">
        <w:t xml:space="preserve"> per respondent and the time burden </w:t>
      </w:r>
      <w:r w:rsidRPr="00364E7C" w:rsidR="00E22240">
        <w:t xml:space="preserve">estimates vary by instrument and are summarized in </w:t>
      </w:r>
      <w:r w:rsidRPr="00364E7C" w:rsidR="7285A3AB">
        <w:t>the table</w:t>
      </w:r>
      <w:r w:rsidRPr="00364E7C" w:rsidR="00E22240">
        <w:t xml:space="preserve"> below, along with the total annual reporting burden for each instrument.</w:t>
      </w:r>
    </w:p>
    <w:p w:rsidR="4641892E" w:rsidRPr="00364E7C" w:rsidP="00AE7EDE" w14:paraId="28E9F4FE" w14:textId="61E97116"/>
    <w:p w:rsidR="00364E7C" w:rsidRPr="00225D05" w:rsidP="00AE7EDE" w14:paraId="63B69652" w14:textId="071F5DB4">
      <w:r w:rsidRPr="00364E7C">
        <w:t xml:space="preserve">As shown in </w:t>
      </w:r>
      <w:r w:rsidRPr="00364E7C" w:rsidR="3FF867C6">
        <w:t>the table below</w:t>
      </w:r>
      <w:r w:rsidRPr="00364E7C">
        <w:t>, the estimated annual labor costs associated with reporting is</w:t>
      </w:r>
      <w:r w:rsidRPr="00364E7C" w:rsidR="3A3244C2">
        <w:t xml:space="preserve"> </w:t>
      </w:r>
      <w:r w:rsidRPr="00225D05" w:rsidR="4BFB85D5">
        <w:t>$10</w:t>
      </w:r>
      <w:r w:rsidRPr="00225D05" w:rsidR="0076205E">
        <w:t>7,971</w:t>
      </w:r>
      <w:r w:rsidRPr="00225D05" w:rsidR="001C6148">
        <w:t>.20</w:t>
      </w:r>
      <w:r w:rsidRPr="00225D05" w:rsidR="4BFB85D5">
        <w:t>.</w:t>
      </w:r>
      <w:r>
        <w:rPr>
          <w:rStyle w:val="FootnoteReference"/>
        </w:rPr>
        <w:footnoteReference w:id="4"/>
      </w:r>
    </w:p>
    <w:p w:rsidR="00A57406" w:rsidRPr="00225D05" w:rsidP="00477878" w14:paraId="6003CF54" w14:textId="054417C9"/>
    <w:tbl>
      <w:tblPr>
        <w:tblW w:w="9085" w:type="dxa"/>
        <w:tblInd w:w="113" w:type="dxa"/>
        <w:tblLayout w:type="fixed"/>
        <w:tblLook w:val="04A0"/>
      </w:tblPr>
      <w:tblGrid>
        <w:gridCol w:w="1682"/>
        <w:gridCol w:w="1260"/>
        <w:gridCol w:w="1440"/>
        <w:gridCol w:w="1223"/>
        <w:gridCol w:w="990"/>
        <w:gridCol w:w="1140"/>
        <w:gridCol w:w="1350"/>
      </w:tblGrid>
      <w:tr w14:paraId="4918C022" w14:textId="77777777" w:rsidTr="34D6413C">
        <w:tblPrEx>
          <w:tblW w:w="9085" w:type="dxa"/>
          <w:tblInd w:w="113" w:type="dxa"/>
          <w:tblLayout w:type="fixed"/>
          <w:tblLook w:val="04A0"/>
        </w:tblPrEx>
        <w:trPr>
          <w:trHeight w:val="1275"/>
        </w:trPr>
        <w:tc>
          <w:tcPr>
            <w:tcW w:w="1682" w:type="dxa"/>
            <w:tcBorders>
              <w:top w:val="single" w:sz="4" w:space="0" w:color="auto"/>
              <w:left w:val="single" w:sz="4" w:space="0" w:color="auto"/>
              <w:bottom w:val="single" w:sz="4" w:space="0" w:color="auto"/>
              <w:right w:val="single" w:sz="4" w:space="0" w:color="auto"/>
            </w:tcBorders>
            <w:vAlign w:val="center"/>
            <w:hideMark/>
          </w:tcPr>
          <w:p w:rsidR="00B24910" w:rsidRPr="00225D05" w:rsidP="00AE7EDE" w14:paraId="00F0FB0C" w14:textId="21459E28">
            <w:pPr>
              <w:pStyle w:val="TABLECentered"/>
            </w:pPr>
            <w:r w:rsidRPr="00225D05">
              <w:t>Instrument Name</w:t>
            </w:r>
          </w:p>
        </w:tc>
        <w:tc>
          <w:tcPr>
            <w:tcW w:w="1260" w:type="dxa"/>
            <w:tcBorders>
              <w:top w:val="single" w:sz="4" w:space="0" w:color="auto"/>
              <w:left w:val="nil"/>
              <w:bottom w:val="single" w:sz="4" w:space="0" w:color="auto"/>
              <w:right w:val="single" w:sz="4" w:space="0" w:color="auto"/>
            </w:tcBorders>
            <w:vAlign w:val="center"/>
            <w:hideMark/>
          </w:tcPr>
          <w:p w:rsidR="00B24910" w:rsidRPr="00225D05" w:rsidP="00AE7EDE" w14:paraId="37DB9B6E" w14:textId="77777777">
            <w:pPr>
              <w:pStyle w:val="TABLECentered"/>
            </w:pPr>
            <w:r w:rsidRPr="00225D05">
              <w:t>Number of Respondents</w:t>
            </w:r>
          </w:p>
        </w:tc>
        <w:tc>
          <w:tcPr>
            <w:tcW w:w="1440" w:type="dxa"/>
            <w:tcBorders>
              <w:top w:val="single" w:sz="4" w:space="0" w:color="auto"/>
              <w:left w:val="nil"/>
              <w:bottom w:val="single" w:sz="4" w:space="0" w:color="auto"/>
              <w:right w:val="single" w:sz="4" w:space="0" w:color="auto"/>
            </w:tcBorders>
            <w:vAlign w:val="center"/>
            <w:hideMark/>
          </w:tcPr>
          <w:p w:rsidR="00B24910" w:rsidRPr="00225D05" w:rsidP="00AE7EDE" w14:paraId="7EE69AE8" w14:textId="77777777">
            <w:pPr>
              <w:pStyle w:val="TABLECentered"/>
            </w:pPr>
            <w:r w:rsidRPr="00225D05">
              <w:t>Number of Responses per Respondent</w:t>
            </w:r>
          </w:p>
        </w:tc>
        <w:tc>
          <w:tcPr>
            <w:tcW w:w="1223" w:type="dxa"/>
            <w:tcBorders>
              <w:top w:val="single" w:sz="4" w:space="0" w:color="auto"/>
              <w:left w:val="nil"/>
              <w:bottom w:val="single" w:sz="4" w:space="0" w:color="auto"/>
              <w:right w:val="single" w:sz="4" w:space="0" w:color="auto"/>
            </w:tcBorders>
            <w:vAlign w:val="center"/>
            <w:hideMark/>
          </w:tcPr>
          <w:p w:rsidR="00B24910" w:rsidRPr="00225D05" w:rsidP="00AE7EDE" w14:paraId="6FD1BAAD" w14:textId="77777777">
            <w:pPr>
              <w:pStyle w:val="TABLECentered"/>
            </w:pPr>
            <w:r w:rsidRPr="00225D05">
              <w:t>Average Burden per Response (in hours)</w:t>
            </w:r>
          </w:p>
        </w:tc>
        <w:tc>
          <w:tcPr>
            <w:tcW w:w="990" w:type="dxa"/>
            <w:tcBorders>
              <w:top w:val="single" w:sz="4" w:space="0" w:color="auto"/>
              <w:left w:val="nil"/>
              <w:bottom w:val="single" w:sz="4" w:space="0" w:color="auto"/>
              <w:right w:val="single" w:sz="4" w:space="0" w:color="auto"/>
            </w:tcBorders>
            <w:vAlign w:val="center"/>
            <w:hideMark/>
          </w:tcPr>
          <w:p w:rsidR="00B24910" w:rsidRPr="00225D05" w:rsidP="00AE7EDE" w14:paraId="5BF37D8D" w14:textId="77777777">
            <w:pPr>
              <w:pStyle w:val="TABLECentered"/>
            </w:pPr>
            <w:r w:rsidRPr="00225D05">
              <w:t>Total Annual Burden (in hours)</w:t>
            </w:r>
          </w:p>
        </w:tc>
        <w:tc>
          <w:tcPr>
            <w:tcW w:w="1140" w:type="dxa"/>
            <w:tcBorders>
              <w:top w:val="single" w:sz="4" w:space="0" w:color="auto"/>
              <w:left w:val="nil"/>
              <w:bottom w:val="single" w:sz="4" w:space="0" w:color="auto"/>
              <w:right w:val="single" w:sz="4" w:space="0" w:color="auto"/>
            </w:tcBorders>
            <w:vAlign w:val="center"/>
            <w:hideMark/>
          </w:tcPr>
          <w:p w:rsidR="00B24910" w:rsidRPr="00225D05" w:rsidP="00AE7EDE" w14:paraId="27246A0F" w14:textId="77777777">
            <w:pPr>
              <w:pStyle w:val="TABLECentered"/>
            </w:pPr>
            <w:r w:rsidRPr="00225D05">
              <w:t>Loaded</w:t>
            </w:r>
          </w:p>
          <w:p w:rsidR="00B24910" w:rsidRPr="00225D05" w:rsidP="00AE7EDE" w14:paraId="3B058124" w14:textId="77777777">
            <w:pPr>
              <w:pStyle w:val="TABLECentered"/>
            </w:pPr>
            <w:r w:rsidRPr="00225D05">
              <w:t>Average Hourly Wage Rate</w:t>
            </w:r>
          </w:p>
        </w:tc>
        <w:tc>
          <w:tcPr>
            <w:tcW w:w="1350" w:type="dxa"/>
            <w:tcBorders>
              <w:top w:val="single" w:sz="4" w:space="0" w:color="auto"/>
              <w:left w:val="nil"/>
              <w:bottom w:val="single" w:sz="4" w:space="0" w:color="auto"/>
              <w:right w:val="single" w:sz="4" w:space="0" w:color="auto"/>
            </w:tcBorders>
            <w:vAlign w:val="center"/>
            <w:hideMark/>
          </w:tcPr>
          <w:p w:rsidR="00B24910" w:rsidRPr="00225D05" w:rsidP="00AE7EDE" w14:paraId="5D3804B0" w14:textId="77777777">
            <w:pPr>
              <w:pStyle w:val="TABLECentered"/>
            </w:pPr>
            <w:r w:rsidRPr="00225D05">
              <w:t>Total Annual Respondent Cost</w:t>
            </w:r>
          </w:p>
        </w:tc>
      </w:tr>
      <w:tr w14:paraId="587F58FE" w14:textId="77777777" w:rsidTr="34D6413C">
        <w:tblPrEx>
          <w:tblW w:w="9085" w:type="dxa"/>
          <w:tblInd w:w="113" w:type="dxa"/>
          <w:tblLayout w:type="fixed"/>
          <w:tblLook w:val="04A0"/>
        </w:tblPrEx>
        <w:trPr>
          <w:trHeight w:val="1020"/>
        </w:trPr>
        <w:tc>
          <w:tcPr>
            <w:tcW w:w="1682" w:type="dxa"/>
            <w:tcBorders>
              <w:top w:val="nil"/>
              <w:left w:val="single" w:sz="4" w:space="0" w:color="auto"/>
              <w:bottom w:val="single" w:sz="4" w:space="0" w:color="auto"/>
              <w:right w:val="single" w:sz="4" w:space="0" w:color="auto"/>
            </w:tcBorders>
            <w:vAlign w:val="center"/>
            <w:hideMark/>
          </w:tcPr>
          <w:p w:rsidR="6748BFCC" w:rsidRPr="00225D05" w:rsidP="00AE7EDE" w14:paraId="6D5E34E3" w14:textId="04D15718">
            <w:pPr>
              <w:pStyle w:val="TABLECentered"/>
            </w:pPr>
            <w:r w:rsidRPr="00225D05">
              <w:t>Request for Services</w:t>
            </w:r>
          </w:p>
        </w:tc>
        <w:tc>
          <w:tcPr>
            <w:tcW w:w="1260" w:type="dxa"/>
            <w:tcBorders>
              <w:top w:val="nil"/>
              <w:left w:val="nil"/>
              <w:bottom w:val="single" w:sz="4" w:space="0" w:color="auto"/>
              <w:right w:val="single" w:sz="4" w:space="0" w:color="auto"/>
            </w:tcBorders>
            <w:vAlign w:val="center"/>
            <w:hideMark/>
          </w:tcPr>
          <w:p w:rsidR="6748BFCC" w:rsidRPr="00225D05" w:rsidP="00AE7EDE" w14:paraId="33C0B73B" w14:textId="75CF956C">
            <w:pPr>
              <w:pStyle w:val="TABLECentered"/>
            </w:pPr>
            <w:r w:rsidRPr="00225D05">
              <w:t>4</w:t>
            </w:r>
            <w:r w:rsidRPr="00225D05" w:rsidR="00F55C45">
              <w:t>5</w:t>
            </w:r>
            <w:r w:rsidRPr="00225D05">
              <w:t>0</w:t>
            </w:r>
          </w:p>
        </w:tc>
        <w:tc>
          <w:tcPr>
            <w:tcW w:w="1440" w:type="dxa"/>
            <w:tcBorders>
              <w:top w:val="nil"/>
              <w:left w:val="nil"/>
              <w:bottom w:val="single" w:sz="4" w:space="0" w:color="auto"/>
              <w:right w:val="single" w:sz="4" w:space="0" w:color="auto"/>
            </w:tcBorders>
            <w:vAlign w:val="center"/>
            <w:hideMark/>
          </w:tcPr>
          <w:p w:rsidR="6748BFCC" w:rsidRPr="00225D05" w:rsidP="00AE7EDE" w14:paraId="04A44C56" w14:textId="5C0B5EE6">
            <w:pPr>
              <w:pStyle w:val="TABLECentered"/>
            </w:pPr>
            <w:r w:rsidRPr="00225D05">
              <w:t>1</w:t>
            </w:r>
          </w:p>
        </w:tc>
        <w:tc>
          <w:tcPr>
            <w:tcW w:w="1223" w:type="dxa"/>
            <w:tcBorders>
              <w:top w:val="nil"/>
              <w:left w:val="nil"/>
              <w:bottom w:val="single" w:sz="4" w:space="0" w:color="auto"/>
              <w:right w:val="single" w:sz="4" w:space="0" w:color="auto"/>
            </w:tcBorders>
            <w:vAlign w:val="center"/>
            <w:hideMark/>
          </w:tcPr>
          <w:p w:rsidR="6748BFCC" w:rsidRPr="00225D05" w:rsidP="00AE7EDE" w14:paraId="6E9B0C1C" w14:textId="59EF333A">
            <w:pPr>
              <w:pStyle w:val="TABLECentered"/>
            </w:pPr>
            <w:r w:rsidRPr="00225D05">
              <w:t>0.25</w:t>
            </w:r>
          </w:p>
        </w:tc>
        <w:tc>
          <w:tcPr>
            <w:tcW w:w="990" w:type="dxa"/>
            <w:tcBorders>
              <w:top w:val="nil"/>
              <w:left w:val="nil"/>
              <w:bottom w:val="single" w:sz="4" w:space="0" w:color="auto"/>
              <w:right w:val="single" w:sz="4" w:space="0" w:color="auto"/>
            </w:tcBorders>
            <w:vAlign w:val="center"/>
            <w:hideMark/>
          </w:tcPr>
          <w:p w:rsidR="6748BFCC" w:rsidRPr="00225D05" w:rsidP="00AE7EDE" w14:paraId="12458BF8" w14:textId="37A453CF">
            <w:pPr>
              <w:pStyle w:val="TABLECentered"/>
            </w:pPr>
            <w:r w:rsidRPr="00225D05">
              <w:t>1</w:t>
            </w:r>
            <w:r w:rsidRPr="00225D05" w:rsidR="00F55C45">
              <w:t>12.5</w:t>
            </w:r>
          </w:p>
        </w:tc>
        <w:tc>
          <w:tcPr>
            <w:tcW w:w="1140" w:type="dxa"/>
            <w:tcBorders>
              <w:top w:val="nil"/>
              <w:left w:val="nil"/>
              <w:bottom w:val="single" w:sz="4" w:space="0" w:color="auto"/>
              <w:right w:val="single" w:sz="4" w:space="0" w:color="auto"/>
            </w:tcBorders>
            <w:vAlign w:val="center"/>
            <w:hideMark/>
          </w:tcPr>
          <w:p w:rsidR="5E9E28E1" w:rsidRPr="00225D05" w:rsidP="00AE7EDE" w14:paraId="6DE32CAE" w14:textId="4E6E8900">
            <w:pPr>
              <w:pStyle w:val="TABLECentered"/>
            </w:pPr>
            <w:r w:rsidRPr="00225D05">
              <w:t>$</w:t>
            </w:r>
            <w:r w:rsidRPr="00225D05" w:rsidR="6748BFCC">
              <w:t>96.34</w:t>
            </w:r>
          </w:p>
        </w:tc>
        <w:tc>
          <w:tcPr>
            <w:tcW w:w="1350" w:type="dxa"/>
            <w:tcBorders>
              <w:top w:val="nil"/>
              <w:left w:val="nil"/>
              <w:bottom w:val="single" w:sz="4" w:space="0" w:color="auto"/>
              <w:right w:val="single" w:sz="4" w:space="0" w:color="auto"/>
            </w:tcBorders>
            <w:vAlign w:val="center"/>
            <w:hideMark/>
          </w:tcPr>
          <w:p w:rsidR="5AE9448C" w:rsidRPr="00225D05" w:rsidP="00AE7EDE" w14:paraId="3E3253F7" w14:textId="3630048A">
            <w:pPr>
              <w:pStyle w:val="TABLECentered"/>
            </w:pPr>
            <w:r w:rsidRPr="00225D05">
              <w:t>$</w:t>
            </w:r>
            <w:r w:rsidRPr="00225D05" w:rsidR="00BD4FFE">
              <w:t>10,838.06</w:t>
            </w:r>
          </w:p>
        </w:tc>
      </w:tr>
      <w:tr w14:paraId="31E56FF4" w14:textId="77777777" w:rsidTr="34D6413C">
        <w:tblPrEx>
          <w:tblW w:w="9085" w:type="dxa"/>
          <w:tblInd w:w="113" w:type="dxa"/>
          <w:tblLayout w:type="fixed"/>
          <w:tblLook w:val="04A0"/>
        </w:tblPrEx>
        <w:trPr>
          <w:trHeight w:val="1020"/>
        </w:trPr>
        <w:tc>
          <w:tcPr>
            <w:tcW w:w="1682" w:type="dxa"/>
            <w:tcBorders>
              <w:top w:val="nil"/>
              <w:left w:val="single" w:sz="4" w:space="0" w:color="auto"/>
              <w:bottom w:val="single" w:sz="4" w:space="0" w:color="auto"/>
              <w:right w:val="single" w:sz="4" w:space="0" w:color="auto"/>
            </w:tcBorders>
            <w:vAlign w:val="center"/>
            <w:hideMark/>
          </w:tcPr>
          <w:p w:rsidR="6748BFCC" w:rsidRPr="00225D05" w:rsidP="00AE7EDE" w14:paraId="45B6E9CC" w14:textId="417EEFF5">
            <w:pPr>
              <w:pStyle w:val="TABLECentered"/>
            </w:pPr>
            <w:r w:rsidRPr="00225D05">
              <w:t>Service Registration and Preparation</w:t>
            </w:r>
          </w:p>
        </w:tc>
        <w:tc>
          <w:tcPr>
            <w:tcW w:w="1260" w:type="dxa"/>
            <w:tcBorders>
              <w:top w:val="nil"/>
              <w:left w:val="nil"/>
              <w:bottom w:val="single" w:sz="4" w:space="0" w:color="auto"/>
              <w:right w:val="single" w:sz="4" w:space="0" w:color="auto"/>
            </w:tcBorders>
            <w:vAlign w:val="center"/>
            <w:hideMark/>
          </w:tcPr>
          <w:p w:rsidR="6748BFCC" w:rsidRPr="00225D05" w:rsidP="00AE7EDE" w14:paraId="5E6E45DC" w14:textId="6B2B01E4">
            <w:pPr>
              <w:pStyle w:val="TABLECentered"/>
            </w:pPr>
            <w:r w:rsidRPr="00225D05">
              <w:t>300</w:t>
            </w:r>
          </w:p>
        </w:tc>
        <w:tc>
          <w:tcPr>
            <w:tcW w:w="1440" w:type="dxa"/>
            <w:tcBorders>
              <w:top w:val="nil"/>
              <w:left w:val="nil"/>
              <w:bottom w:val="single" w:sz="4" w:space="0" w:color="auto"/>
              <w:right w:val="single" w:sz="4" w:space="0" w:color="auto"/>
            </w:tcBorders>
            <w:vAlign w:val="center"/>
            <w:hideMark/>
          </w:tcPr>
          <w:p w:rsidR="6748BFCC" w:rsidRPr="00225D05" w:rsidP="00AE7EDE" w14:paraId="5C0A88E2" w14:textId="3FDDC9C5">
            <w:pPr>
              <w:pStyle w:val="TABLECentered"/>
            </w:pPr>
            <w:r w:rsidRPr="00225D05">
              <w:t>1</w:t>
            </w:r>
          </w:p>
        </w:tc>
        <w:tc>
          <w:tcPr>
            <w:tcW w:w="1223" w:type="dxa"/>
            <w:tcBorders>
              <w:top w:val="nil"/>
              <w:left w:val="nil"/>
              <w:bottom w:val="single" w:sz="4" w:space="0" w:color="auto"/>
              <w:right w:val="single" w:sz="4" w:space="0" w:color="auto"/>
            </w:tcBorders>
            <w:vAlign w:val="center"/>
            <w:hideMark/>
          </w:tcPr>
          <w:p w:rsidR="6748BFCC" w:rsidRPr="00225D05" w:rsidP="00AE7EDE" w14:paraId="666CBD02" w14:textId="6BF466E9">
            <w:pPr>
              <w:pStyle w:val="TABLECentered"/>
            </w:pPr>
            <w:r w:rsidRPr="00225D05">
              <w:t>3.</w:t>
            </w:r>
            <w:r w:rsidRPr="00225D05" w:rsidR="00BD4FFE">
              <w:t>17</w:t>
            </w:r>
          </w:p>
        </w:tc>
        <w:tc>
          <w:tcPr>
            <w:tcW w:w="990" w:type="dxa"/>
            <w:tcBorders>
              <w:top w:val="nil"/>
              <w:left w:val="nil"/>
              <w:bottom w:val="single" w:sz="4" w:space="0" w:color="auto"/>
              <w:right w:val="single" w:sz="4" w:space="0" w:color="auto"/>
            </w:tcBorders>
            <w:vAlign w:val="center"/>
            <w:hideMark/>
          </w:tcPr>
          <w:p w:rsidR="6748BFCC" w:rsidRPr="00225D05" w:rsidP="00AE7EDE" w14:paraId="593491F6" w14:textId="2FC4FF7B">
            <w:pPr>
              <w:pStyle w:val="TABLECentered"/>
            </w:pPr>
            <w:r w:rsidRPr="00225D05">
              <w:t>952</w:t>
            </w:r>
          </w:p>
        </w:tc>
        <w:tc>
          <w:tcPr>
            <w:tcW w:w="1140" w:type="dxa"/>
            <w:tcBorders>
              <w:top w:val="nil"/>
              <w:left w:val="nil"/>
              <w:bottom w:val="single" w:sz="4" w:space="0" w:color="auto"/>
              <w:right w:val="single" w:sz="4" w:space="0" w:color="auto"/>
            </w:tcBorders>
            <w:vAlign w:val="center"/>
            <w:hideMark/>
          </w:tcPr>
          <w:p w:rsidR="2314D5C1" w:rsidRPr="00225D05" w:rsidP="00AE7EDE" w14:paraId="525E6927" w14:textId="1C3B24E7">
            <w:pPr>
              <w:pStyle w:val="TABLECentered"/>
            </w:pPr>
            <w:r w:rsidRPr="00225D05">
              <w:t>$</w:t>
            </w:r>
            <w:r w:rsidRPr="00225D05" w:rsidR="6748BFCC">
              <w:t>96.34</w:t>
            </w:r>
          </w:p>
        </w:tc>
        <w:tc>
          <w:tcPr>
            <w:tcW w:w="1350" w:type="dxa"/>
            <w:tcBorders>
              <w:top w:val="nil"/>
              <w:left w:val="nil"/>
              <w:bottom w:val="single" w:sz="4" w:space="0" w:color="auto"/>
              <w:right w:val="single" w:sz="4" w:space="0" w:color="auto"/>
            </w:tcBorders>
            <w:vAlign w:val="center"/>
            <w:hideMark/>
          </w:tcPr>
          <w:p w:rsidR="738D4E20" w:rsidRPr="00225D05" w:rsidP="00AE7EDE" w14:paraId="2D55A0F4" w14:textId="5D84E19F">
            <w:pPr>
              <w:pStyle w:val="TABLECentered"/>
            </w:pPr>
            <w:r w:rsidRPr="00225D05">
              <w:t>$</w:t>
            </w:r>
            <w:r w:rsidRPr="00225D05" w:rsidR="0013505F">
              <w:t>91,714.10</w:t>
            </w:r>
          </w:p>
        </w:tc>
      </w:tr>
      <w:tr w14:paraId="5BED15ED" w14:textId="77777777" w:rsidTr="34D6413C">
        <w:tblPrEx>
          <w:tblW w:w="9085" w:type="dxa"/>
          <w:tblInd w:w="113" w:type="dxa"/>
          <w:tblLayout w:type="fixed"/>
          <w:tblLook w:val="04A0"/>
        </w:tblPrEx>
        <w:trPr>
          <w:trHeight w:val="1020"/>
        </w:trPr>
        <w:tc>
          <w:tcPr>
            <w:tcW w:w="1682" w:type="dxa"/>
            <w:tcBorders>
              <w:top w:val="nil"/>
              <w:left w:val="single" w:sz="4" w:space="0" w:color="auto"/>
              <w:bottom w:val="single" w:sz="4" w:space="0" w:color="auto"/>
              <w:right w:val="single" w:sz="4" w:space="0" w:color="auto"/>
            </w:tcBorders>
            <w:vAlign w:val="center"/>
            <w:hideMark/>
          </w:tcPr>
          <w:p w:rsidR="6748BFCC" w:rsidRPr="00225D05" w:rsidP="00AE7EDE" w14:paraId="398D5B8F" w14:textId="4CED18A8">
            <w:pPr>
              <w:pStyle w:val="TABLECentered"/>
            </w:pPr>
            <w:r w:rsidRPr="00225D05">
              <w:t>Service Feedback</w:t>
            </w:r>
          </w:p>
        </w:tc>
        <w:tc>
          <w:tcPr>
            <w:tcW w:w="1260" w:type="dxa"/>
            <w:tcBorders>
              <w:top w:val="nil"/>
              <w:left w:val="nil"/>
              <w:bottom w:val="single" w:sz="4" w:space="0" w:color="auto"/>
              <w:right w:val="single" w:sz="4" w:space="0" w:color="auto"/>
            </w:tcBorders>
            <w:vAlign w:val="center"/>
            <w:hideMark/>
          </w:tcPr>
          <w:p w:rsidR="6748BFCC" w:rsidRPr="00225D05" w:rsidP="00AE7EDE" w14:paraId="57CD21F7" w14:textId="6A917639">
            <w:pPr>
              <w:pStyle w:val="TABLECentered"/>
            </w:pPr>
            <w:r w:rsidRPr="00225D05">
              <w:t>225</w:t>
            </w:r>
          </w:p>
        </w:tc>
        <w:tc>
          <w:tcPr>
            <w:tcW w:w="1440" w:type="dxa"/>
            <w:tcBorders>
              <w:top w:val="nil"/>
              <w:left w:val="nil"/>
              <w:bottom w:val="single" w:sz="4" w:space="0" w:color="auto"/>
              <w:right w:val="single" w:sz="4" w:space="0" w:color="auto"/>
            </w:tcBorders>
            <w:vAlign w:val="center"/>
            <w:hideMark/>
          </w:tcPr>
          <w:p w:rsidR="6748BFCC" w:rsidRPr="00225D05" w:rsidP="00AE7EDE" w14:paraId="04F48277" w14:textId="53C868A7">
            <w:pPr>
              <w:pStyle w:val="TABLECentered"/>
            </w:pPr>
            <w:r w:rsidRPr="00225D05">
              <w:t>1</w:t>
            </w:r>
          </w:p>
        </w:tc>
        <w:tc>
          <w:tcPr>
            <w:tcW w:w="1223" w:type="dxa"/>
            <w:tcBorders>
              <w:top w:val="nil"/>
              <w:left w:val="nil"/>
              <w:bottom w:val="single" w:sz="4" w:space="0" w:color="auto"/>
              <w:right w:val="single" w:sz="4" w:space="0" w:color="auto"/>
            </w:tcBorders>
            <w:vAlign w:val="center"/>
            <w:hideMark/>
          </w:tcPr>
          <w:p w:rsidR="6748BFCC" w:rsidRPr="00225D05" w:rsidP="00AE7EDE" w14:paraId="53F1EBB5" w14:textId="69D190DF">
            <w:pPr>
              <w:pStyle w:val="TABLECentered"/>
            </w:pPr>
            <w:r w:rsidRPr="00225D05">
              <w:t>0.25</w:t>
            </w:r>
          </w:p>
        </w:tc>
        <w:tc>
          <w:tcPr>
            <w:tcW w:w="990" w:type="dxa"/>
            <w:tcBorders>
              <w:top w:val="nil"/>
              <w:left w:val="nil"/>
              <w:bottom w:val="single" w:sz="4" w:space="0" w:color="auto"/>
              <w:right w:val="single" w:sz="4" w:space="0" w:color="auto"/>
            </w:tcBorders>
            <w:vAlign w:val="center"/>
            <w:hideMark/>
          </w:tcPr>
          <w:p w:rsidR="6748BFCC" w:rsidRPr="00225D05" w:rsidP="00AE7EDE" w14:paraId="623AB609" w14:textId="69716755">
            <w:pPr>
              <w:pStyle w:val="TABLECentered"/>
            </w:pPr>
            <w:r w:rsidRPr="00225D05">
              <w:t>56.25</w:t>
            </w:r>
          </w:p>
        </w:tc>
        <w:tc>
          <w:tcPr>
            <w:tcW w:w="1140" w:type="dxa"/>
            <w:tcBorders>
              <w:top w:val="nil"/>
              <w:left w:val="nil"/>
              <w:bottom w:val="single" w:sz="4" w:space="0" w:color="auto"/>
              <w:right w:val="single" w:sz="4" w:space="0" w:color="auto"/>
            </w:tcBorders>
            <w:vAlign w:val="center"/>
            <w:hideMark/>
          </w:tcPr>
          <w:p w:rsidR="00EAB3A0" w:rsidRPr="00225D05" w:rsidP="00AE7EDE" w14:paraId="443AC4D1" w14:textId="710831A3">
            <w:pPr>
              <w:pStyle w:val="TABLECentered"/>
            </w:pPr>
            <w:r w:rsidRPr="00225D05">
              <w:t>$</w:t>
            </w:r>
            <w:r w:rsidRPr="00225D05" w:rsidR="6748BFCC">
              <w:t>96.34</w:t>
            </w:r>
          </w:p>
        </w:tc>
        <w:tc>
          <w:tcPr>
            <w:tcW w:w="1350" w:type="dxa"/>
            <w:tcBorders>
              <w:top w:val="nil"/>
              <w:left w:val="nil"/>
              <w:bottom w:val="single" w:sz="4" w:space="0" w:color="auto"/>
              <w:right w:val="single" w:sz="4" w:space="0" w:color="auto"/>
            </w:tcBorders>
            <w:vAlign w:val="center"/>
            <w:hideMark/>
          </w:tcPr>
          <w:p w:rsidR="738D4E20" w:rsidRPr="00225D05" w:rsidP="00AE7EDE" w14:paraId="558D52EC" w14:textId="3E962708">
            <w:pPr>
              <w:pStyle w:val="TABLECentered"/>
            </w:pPr>
            <w:r w:rsidRPr="00225D05">
              <w:t>$</w:t>
            </w:r>
            <w:r w:rsidRPr="00225D05" w:rsidR="005617C1">
              <w:t>5,419.03</w:t>
            </w:r>
          </w:p>
        </w:tc>
      </w:tr>
      <w:tr w14:paraId="3FF116BF" w14:textId="77777777" w:rsidTr="34D6413C">
        <w:tblPrEx>
          <w:tblW w:w="9085" w:type="dxa"/>
          <w:tblInd w:w="113" w:type="dxa"/>
          <w:tblLayout w:type="fixed"/>
          <w:tblLook w:val="04A0"/>
        </w:tblPrEx>
        <w:trPr>
          <w:trHeight w:val="1020"/>
        </w:trPr>
        <w:tc>
          <w:tcPr>
            <w:tcW w:w="1682" w:type="dxa"/>
            <w:tcBorders>
              <w:top w:val="nil"/>
              <w:left w:val="single" w:sz="4" w:space="0" w:color="auto"/>
              <w:bottom w:val="single" w:sz="4" w:space="0" w:color="auto"/>
              <w:right w:val="single" w:sz="4" w:space="0" w:color="auto"/>
            </w:tcBorders>
            <w:vAlign w:val="center"/>
            <w:hideMark/>
          </w:tcPr>
          <w:p w:rsidR="6698787E" w:rsidRPr="00225D05" w:rsidP="00AE7EDE" w14:paraId="4905265E" w14:textId="14AD07C6">
            <w:pPr>
              <w:pStyle w:val="TABLECentered"/>
            </w:pPr>
            <w:r w:rsidRPr="00225D05">
              <w:t>Total</w:t>
            </w:r>
          </w:p>
        </w:tc>
        <w:tc>
          <w:tcPr>
            <w:tcW w:w="1260" w:type="dxa"/>
            <w:tcBorders>
              <w:top w:val="nil"/>
              <w:left w:val="nil"/>
              <w:bottom w:val="single" w:sz="4" w:space="0" w:color="auto"/>
              <w:right w:val="single" w:sz="4" w:space="0" w:color="auto"/>
            </w:tcBorders>
            <w:vAlign w:val="center"/>
            <w:hideMark/>
          </w:tcPr>
          <w:p w:rsidR="5D8498D7" w:rsidRPr="00225D05" w:rsidP="00AE7EDE" w14:paraId="4F6FF257" w14:textId="0FBE8C6C">
            <w:pPr>
              <w:pStyle w:val="TABLECentered"/>
            </w:pPr>
            <w:r>
              <w:t>975</w:t>
            </w:r>
          </w:p>
        </w:tc>
        <w:tc>
          <w:tcPr>
            <w:tcW w:w="1440" w:type="dxa"/>
            <w:tcBorders>
              <w:top w:val="nil"/>
              <w:left w:val="nil"/>
              <w:bottom w:val="single" w:sz="4" w:space="0" w:color="auto"/>
              <w:right w:val="single" w:sz="4" w:space="0" w:color="auto"/>
            </w:tcBorders>
            <w:vAlign w:val="center"/>
            <w:hideMark/>
          </w:tcPr>
          <w:p w:rsidR="6748BFCC" w:rsidRPr="00225D05" w:rsidP="6748BFCC" w14:paraId="05461ED0" w14:textId="5D64D152">
            <w:pPr>
              <w:jc w:val="center"/>
              <w:rPr>
                <w:color w:val="000000" w:themeColor="text1"/>
                <w:sz w:val="22"/>
                <w:szCs w:val="22"/>
              </w:rPr>
            </w:pPr>
          </w:p>
        </w:tc>
        <w:tc>
          <w:tcPr>
            <w:tcW w:w="1223" w:type="dxa"/>
            <w:tcBorders>
              <w:top w:val="nil"/>
              <w:left w:val="nil"/>
              <w:bottom w:val="single" w:sz="4" w:space="0" w:color="auto"/>
              <w:right w:val="single" w:sz="4" w:space="0" w:color="auto"/>
            </w:tcBorders>
            <w:vAlign w:val="center"/>
            <w:hideMark/>
          </w:tcPr>
          <w:p w:rsidR="6748BFCC" w:rsidRPr="00225D05" w:rsidP="6748BFCC" w14:paraId="4B9CDD02" w14:textId="333364DF">
            <w:pPr>
              <w:jc w:val="center"/>
              <w:rPr>
                <w:color w:val="000000" w:themeColor="text1"/>
                <w:sz w:val="22"/>
                <w:szCs w:val="22"/>
              </w:rPr>
            </w:pPr>
          </w:p>
        </w:tc>
        <w:tc>
          <w:tcPr>
            <w:tcW w:w="990" w:type="dxa"/>
            <w:tcBorders>
              <w:top w:val="nil"/>
              <w:left w:val="nil"/>
              <w:bottom w:val="single" w:sz="4" w:space="0" w:color="auto"/>
              <w:right w:val="single" w:sz="4" w:space="0" w:color="auto"/>
            </w:tcBorders>
            <w:vAlign w:val="center"/>
            <w:hideMark/>
          </w:tcPr>
          <w:p w:rsidR="5D8498D7" w:rsidRPr="00225D05" w:rsidP="00AE7EDE" w14:paraId="77D9F568" w14:textId="2164411D">
            <w:pPr>
              <w:pStyle w:val="TABLECentered"/>
            </w:pPr>
            <w:r w:rsidRPr="00225D05">
              <w:t>1,</w:t>
            </w:r>
            <w:r w:rsidRPr="00225D05" w:rsidR="005617C1">
              <w:t>120.75</w:t>
            </w:r>
          </w:p>
        </w:tc>
        <w:tc>
          <w:tcPr>
            <w:tcW w:w="1140" w:type="dxa"/>
            <w:tcBorders>
              <w:top w:val="nil"/>
              <w:left w:val="nil"/>
              <w:bottom w:val="single" w:sz="4" w:space="0" w:color="auto"/>
              <w:right w:val="single" w:sz="4" w:space="0" w:color="auto"/>
            </w:tcBorders>
            <w:vAlign w:val="center"/>
            <w:hideMark/>
          </w:tcPr>
          <w:p w:rsidR="6748BFCC" w:rsidRPr="00225D05" w:rsidP="6748BFCC" w14:paraId="618C794E" w14:textId="3048D25C">
            <w:pPr>
              <w:jc w:val="center"/>
              <w:rPr>
                <w:color w:val="000000" w:themeColor="text1"/>
                <w:sz w:val="22"/>
                <w:szCs w:val="22"/>
              </w:rPr>
            </w:pPr>
          </w:p>
        </w:tc>
        <w:tc>
          <w:tcPr>
            <w:tcW w:w="1350" w:type="dxa"/>
            <w:tcBorders>
              <w:top w:val="nil"/>
              <w:left w:val="nil"/>
              <w:bottom w:val="single" w:sz="4" w:space="0" w:color="auto"/>
              <w:right w:val="single" w:sz="4" w:space="0" w:color="auto"/>
            </w:tcBorders>
            <w:vAlign w:val="center"/>
            <w:hideMark/>
          </w:tcPr>
          <w:p w:rsidR="5D8498D7" w:rsidRPr="00225D05" w:rsidP="00AE7EDE" w14:paraId="7E4BA5DE" w14:textId="38AA6236">
            <w:pPr>
              <w:pStyle w:val="TABLECentered"/>
            </w:pPr>
            <w:r w:rsidRPr="00225D05">
              <w:t>$1</w:t>
            </w:r>
            <w:r w:rsidRPr="00225D05" w:rsidR="2BF10ECE">
              <w:t>0</w:t>
            </w:r>
            <w:r w:rsidRPr="00225D05" w:rsidR="005617C1">
              <w:t>7,971.20</w:t>
            </w:r>
          </w:p>
        </w:tc>
      </w:tr>
    </w:tbl>
    <w:p w:rsidR="4641892E" w:rsidRPr="001836CB" w:rsidP="001836CB" w14:paraId="30971394" w14:textId="37B28922"/>
    <w:p w:rsidR="00FE5661" w:rsidP="00477878" w14:paraId="543DD3DD" w14:textId="6918C9B4">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13</w:t>
      </w:r>
      <w:r w:rsidR="00AE7EDE">
        <w:t xml:space="preserve">. </w:t>
      </w:r>
      <w:r w:rsidRPr="00596A43">
        <w:t>Provide an estimate of the total annual cost burden to respondents or record</w:t>
      </w:r>
      <w:r w:rsidR="00D93841">
        <w:t xml:space="preserve"> </w:t>
      </w:r>
      <w:r w:rsidRPr="00596A43">
        <w:t>keepers resulting from the collection of information</w:t>
      </w:r>
      <w:r w:rsidR="00AE7EDE">
        <w:t xml:space="preserve">. </w:t>
      </w:r>
      <w:r w:rsidRPr="00596A43">
        <w:t>(Do not include the cost of any hour burden shown in Items 12 and 14.)</w:t>
      </w:r>
    </w:p>
    <w:p w:rsidR="00FE5661" w:rsidRPr="001836CB" w:rsidP="00477878" w14:paraId="62F597DB" w14:textId="77777777"/>
    <w:p w:rsidR="4E4A1CB6" w:rsidRPr="001836CB" w:rsidP="00477878" w14:paraId="73A5E3F2" w14:textId="792E8A6B">
      <w:r w:rsidRPr="001836CB">
        <w:t>No costs are anticipated.</w:t>
      </w:r>
    </w:p>
    <w:p w:rsidR="00FE5661" w:rsidRPr="001836CB" w:rsidP="00477878" w14:paraId="6F5AFD9A" w14:textId="77777777"/>
    <w:p w:rsidR="00AE7EDE" w:rsidP="00364E7C" w14:paraId="4139F433" w14:textId="2E4EEC58">
      <w:pPr>
        <w:pStyle w:val="BodyText"/>
      </w:pPr>
      <w:r>
        <w:t>14</w:t>
      </w:r>
      <w:r>
        <w:t xml:space="preserve">. </w:t>
      </w:r>
      <w:r>
        <w:t>Provide estimates of annualized cost to the Federal Government</w:t>
      </w:r>
      <w:r>
        <w:t xml:space="preserve">. </w:t>
      </w:r>
      <w:r w:rsidR="008924F0">
        <w:t>Also, provide a description of the method used to estimate cost, which should include quantification of hours, operational expenses (such as equipment, overhead, printing and support staff), and any other expense that would have been incurred without this collection of information</w:t>
      </w:r>
      <w:r>
        <w:t xml:space="preserve">. </w:t>
      </w:r>
      <w:r>
        <w:t>You may also aggregate cost estimates for Items 12, 13, and 14 in a single table</w:t>
      </w:r>
      <w:r>
        <w:t>.</w:t>
      </w:r>
    </w:p>
    <w:p w:rsidR="00EB5E96" w:rsidRPr="00853A4F" w:rsidP="00853A4F" w14:paraId="380EE401" w14:textId="0486C4D6"/>
    <w:p w:rsidR="004F5A3D" w:rsidP="007920BD" w14:paraId="2FDC2888" w14:textId="1C1DB4F9">
      <w:r>
        <w:t>The estimated annual cost to the Federal government is $</w:t>
      </w:r>
      <w:r w:rsidR="002837CE">
        <w:t>121,466.8</w:t>
      </w:r>
      <w:r w:rsidR="00225D05">
        <w:t>9</w:t>
      </w:r>
      <w:r>
        <w:t>.</w:t>
      </w:r>
      <w:r w:rsidR="00433D21">
        <w:t xml:space="preserve"> This estimate is based</w:t>
      </w:r>
      <w:r w:rsidR="007920BD">
        <w:t xml:space="preserve"> </w:t>
      </w:r>
      <w:r w:rsidR="00DE1C6F">
        <w:t>o</w:t>
      </w:r>
      <w:r w:rsidR="007920BD">
        <w:t xml:space="preserve">n </w:t>
      </w:r>
      <w:r w:rsidR="00DE1C6F">
        <w:t xml:space="preserve">one </w:t>
      </w:r>
      <w:r w:rsidR="008F5915">
        <w:t>CISA</w:t>
      </w:r>
      <w:r w:rsidR="007920BD">
        <w:t xml:space="preserve"> </w:t>
      </w:r>
      <w:r>
        <w:t xml:space="preserve">employee at GS 13 Step 5 </w:t>
      </w:r>
      <w:r w:rsidR="00DE1C6F">
        <w:t xml:space="preserve">who </w:t>
      </w:r>
      <w:r w:rsidR="00475EB9">
        <w:t xml:space="preserve">will either collect the </w:t>
      </w:r>
      <w:r>
        <w:t xml:space="preserve">ChemLock program </w:t>
      </w:r>
      <w:r w:rsidR="00DE1C6F">
        <w:t>submission</w:t>
      </w:r>
      <w:r w:rsidR="0E845CA6">
        <w:t>s</w:t>
      </w:r>
      <w:r w:rsidR="00475EB9">
        <w:t xml:space="preserve"> or review the information collected</w:t>
      </w:r>
      <w:r>
        <w:t>.</w:t>
      </w:r>
      <w:r>
        <w:t xml:space="preserve"> CISA estimates that the CISA employee will take the same </w:t>
      </w:r>
      <w:r>
        <w:t>amount of time reviewing the information collected as the facility did submitting the information.</w:t>
      </w:r>
    </w:p>
    <w:p w:rsidR="6748BFCC" w:rsidRPr="00853A4F" w:rsidP="00853A4F" w14:paraId="24258D9E" w14:textId="7BECEFE8"/>
    <w:p w:rsidR="002837CE" w:rsidP="2613587A" w14:paraId="3F2D92BE" w14:textId="77777777">
      <w:r>
        <w:t>Using the FY24 (WASHINGTON-BALTIMORE-NORTHERN VIRGINIA, DC-MD-VA-WV-PA locality) GS pay scale, the fully-loaded wage rate for a GS13, Step 5 in the National Capital Region is $108.38 ($64.06 hourly wage rate x 1.6919 benefit multiplier = $108.38 fully-loaded wage rate).</w:t>
      </w:r>
      <w:r>
        <w:rPr>
          <w:rStyle w:val="FootnoteReference"/>
        </w:rPr>
        <w:footnoteReference w:id="5"/>
      </w:r>
      <w:r>
        <w:t> The load factor of 1.6919 is estimated by dividing average total compensation for all levels of education in Table 4 ($64.80) by average wages for all levels of education in Table 2 ($38.30), from the Congressional Budget Office publication Comparing the Compensation of Federal and Private-Sector Employees, 2011 to 2015.</w:t>
      </w:r>
      <w:r>
        <w:rPr>
          <w:rStyle w:val="FootnoteReference"/>
        </w:rPr>
        <w:footnoteReference w:id="6"/>
      </w:r>
    </w:p>
    <w:p w:rsidR="002837CE" w:rsidP="2613587A" w14:paraId="157D1887" w14:textId="77777777"/>
    <w:p w:rsidR="2613587A" w:rsidP="2613587A" w14:paraId="79F99CD0" w14:textId="30A5EFF0">
      <w:r>
        <w:t xml:space="preserve">The </w:t>
      </w:r>
      <w:r w:rsidR="00136B4D">
        <w:t xml:space="preserve">CISA </w:t>
      </w:r>
      <w:r>
        <w:t xml:space="preserve">employee will </w:t>
      </w:r>
      <w:r w:rsidRPr="00225D05">
        <w:t xml:space="preserve">spend </w:t>
      </w:r>
      <w:r w:rsidRPr="00225D05" w:rsidR="005A3B47">
        <w:t>1,120.75</w:t>
      </w:r>
      <w:r w:rsidRPr="00225D05">
        <w:t xml:space="preserve"> hours total reviewing the instruments, at $108.38 hourly for a total cost of $</w:t>
      </w:r>
      <w:r w:rsidRPr="00225D05" w:rsidR="002837CE">
        <w:t>121,466.8</w:t>
      </w:r>
      <w:r w:rsidRPr="00225D05" w:rsidR="00225D05">
        <w:t>9</w:t>
      </w:r>
      <w:r w:rsidRPr="00225D05">
        <w:t>.</w:t>
      </w:r>
    </w:p>
    <w:p w:rsidR="36D8B24C" w:rsidRPr="00853A4F" w:rsidP="00853A4F" w14:paraId="3519E88A" w14:textId="41499D25">
      <w:r w:rsidRPr="00853A4F">
        <w:fldChar w:fldCharType="begin"/>
      </w:r>
      <w:r w:rsidRPr="00853A4F">
        <w:instrText>ADVANCE \R 0.95</w:instrText>
      </w:r>
      <w:r w:rsidRPr="00853A4F">
        <w:fldChar w:fldCharType="end"/>
      </w:r>
    </w:p>
    <w:p w:rsidR="00AE7EDE" w:rsidP="001836CB" w14:paraId="07740291" w14:textId="6EBC5329">
      <w:pPr>
        <w:pStyle w:val="BodyText"/>
      </w:pPr>
      <w:r w:rsidRPr="000D0877">
        <w:rPr>
          <w:color w:val="2B579A"/>
          <w:shd w:val="clear" w:color="auto" w:fill="E6E6E6"/>
        </w:rPr>
        <w:fldChar w:fldCharType="begin"/>
      </w:r>
      <w:r w:rsidRPr="000D0877">
        <w:instrText>ADVANCE \R 0.95</w:instrText>
      </w:r>
      <w:r w:rsidRPr="000D0877">
        <w:rPr>
          <w:color w:val="2B579A"/>
          <w:shd w:val="clear" w:color="auto" w:fill="E6E6E6"/>
        </w:rPr>
        <w:fldChar w:fldCharType="end"/>
      </w:r>
      <w:r w:rsidRPr="000D0877">
        <w:t>15</w:t>
      </w:r>
      <w:r>
        <w:t xml:space="preserve">. </w:t>
      </w:r>
      <w:r w:rsidRPr="000D0877">
        <w:t>Explain the reasons for any program changes or adjustments reported in Items 13 or 14 of the OMB Form 83-I</w:t>
      </w:r>
      <w:r>
        <w:t xml:space="preserve">. </w:t>
      </w:r>
      <w:r w:rsidRPr="000D0877">
        <w:t xml:space="preserve">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w:t>
      </w:r>
      <w:r>
        <w:t xml:space="preserve">. </w:t>
      </w:r>
      <w:r w:rsidRPr="000D0877">
        <w:t>A program change is the result of deliberate Federal government action</w:t>
      </w:r>
      <w:r>
        <w:t xml:space="preserve">. </w:t>
      </w:r>
      <w:r w:rsidRPr="000D0877">
        <w:t>All new collections and any subsequent revisions of existing collections (e.g., the addition or deletion of questions) are recorded as program changes</w:t>
      </w:r>
      <w:r>
        <w:t xml:space="preserve">. </w:t>
      </w:r>
      <w:r w:rsidRPr="000D0877">
        <w:t>An adjustment is a change that is not the result of a deliberate Federal government action</w:t>
      </w:r>
      <w:r>
        <w:t xml:space="preserve">. </w:t>
      </w:r>
      <w:r w:rsidRPr="000D0877">
        <w:t>These changes that result from new estimates or actions not controllable by the Federal government are recorded as adjustments</w:t>
      </w:r>
      <w:r>
        <w:t>.</w:t>
      </w:r>
    </w:p>
    <w:p w:rsidR="00EB5E96" w:rsidRPr="00853A4F" w:rsidP="00853A4F" w14:paraId="33DD84A8" w14:textId="05D2EA52">
      <w:pPr>
        <w:rPr>
          <w:highlight w:val="yellow"/>
        </w:rPr>
      </w:pPr>
      <w:r w:rsidRPr="00853A4F">
        <w:rPr>
          <w:highlight w:val="yellow"/>
        </w:rPr>
        <w:fldChar w:fldCharType="begin"/>
      </w:r>
      <w:r w:rsidRPr="00853A4F">
        <w:rPr>
          <w:highlight w:val="yellow"/>
        </w:rPr>
        <w:instrText>ADVANCE \R 0.95</w:instrText>
      </w:r>
      <w:r w:rsidRPr="00853A4F">
        <w:rPr>
          <w:highlight w:val="yellow"/>
        </w:rPr>
        <w:fldChar w:fldCharType="end"/>
      </w:r>
    </w:p>
    <w:p w:rsidR="5BCE6E82" w:rsidRPr="00853A4F" w:rsidP="00853A4F" w14:paraId="47B35E86" w14:textId="390A0F3E">
      <w:r w:rsidRPr="00853A4F">
        <w:t>This is a new information collection request, so there is no change to report.</w:t>
      </w:r>
    </w:p>
    <w:p w:rsidR="00A57406" w:rsidRPr="00853A4F" w:rsidP="00853A4F" w14:paraId="25A40919" w14:textId="20FDD695"/>
    <w:p w:rsidR="00AE7EDE" w:rsidP="001836CB" w14:paraId="6FE11572" w14:textId="5BE4F081">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16</w:t>
      </w:r>
      <w:r>
        <w:t xml:space="preserve">. </w:t>
      </w:r>
      <w:r w:rsidRPr="00596A43">
        <w:t>For collections of information whose results will be published, outline plans for tabulation and publication</w:t>
      </w:r>
      <w:r>
        <w:t xml:space="preserve">. </w:t>
      </w:r>
      <w:r w:rsidRPr="00596A43">
        <w:t>Address any complex analytical techniques that will be used</w:t>
      </w:r>
      <w:r>
        <w:t xml:space="preserve">. </w:t>
      </w:r>
      <w:r w:rsidRPr="00596A43">
        <w:t>Provide the time schedule for the entire project, including beginning and ending dates of the collection of information, completion of report, publication dates, and other actions</w:t>
      </w:r>
      <w:r>
        <w:t>.</w:t>
      </w:r>
    </w:p>
    <w:p w:rsidR="00EB5E96" w:rsidRPr="00853A4F" w:rsidP="00853A4F" w14:paraId="149BE177" w14:textId="410820DA">
      <w:r w:rsidRPr="00853A4F">
        <w:fldChar w:fldCharType="begin"/>
      </w:r>
      <w:r w:rsidRPr="00853A4F">
        <w:instrText>ADVANCE \R 0.95</w:instrText>
      </w:r>
      <w:r w:rsidRPr="00853A4F">
        <w:fldChar w:fldCharType="end"/>
      </w:r>
    </w:p>
    <w:p w:rsidR="5AA64636" w:rsidRPr="00853A4F" w:rsidP="00853A4F" w14:paraId="04A2A205" w14:textId="48388AE1">
      <w:r w:rsidRPr="00853A4F">
        <w:t>No plans exist for the use of statistical analysis or to publish this information.</w:t>
      </w:r>
    </w:p>
    <w:p w:rsidR="00A57406" w:rsidRPr="00853A4F" w:rsidP="00853A4F" w14:paraId="7DCDFE34" w14:textId="629E1BA8"/>
    <w:p w:rsidR="00EB5E96" w:rsidRPr="00596A43" w:rsidP="001836CB" w14:paraId="733EB5AA" w14:textId="7855144B">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17</w:t>
      </w:r>
      <w:r w:rsidR="00AE7EDE">
        <w:t xml:space="preserve">. </w:t>
      </w:r>
      <w:r w:rsidRPr="00596A43">
        <w:t>If seeking approval to not display the expiration date for OMB approval of the information collection, explain reasons that display would be inappropriate.</w:t>
      </w:r>
    </w:p>
    <w:p w:rsidR="00EB5E96" w:rsidRPr="00853A4F" w:rsidP="00853A4F" w14:paraId="47CC23E2" w14:textId="77777777">
      <w:r w:rsidRPr="00853A4F">
        <w:fldChar w:fldCharType="begin"/>
      </w:r>
      <w:r w:rsidRPr="00853A4F">
        <w:instrText>ADVANCE \R 0.95</w:instrText>
      </w:r>
      <w:r w:rsidRPr="00853A4F">
        <w:fldChar w:fldCharType="end"/>
      </w:r>
    </w:p>
    <w:p w:rsidR="513C89BB" w:rsidRPr="00853A4F" w:rsidP="00853A4F" w14:paraId="765A8153" w14:textId="4CAB6C36">
      <w:r w:rsidRPr="00853A4F">
        <w:t>The expiration date will be displayed in the instruments.</w:t>
      </w:r>
    </w:p>
    <w:p w:rsidR="00A57406" w:rsidRPr="00853A4F" w:rsidP="00853A4F" w14:paraId="51D78A65" w14:textId="54E521E7"/>
    <w:p w:rsidR="0077056F" w:rsidRPr="00596A43" w:rsidP="001836CB" w14:paraId="62727DFE" w14:textId="40ADBFFE">
      <w:pPr>
        <w:pStyle w:val="BodyText"/>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18</w:t>
      </w:r>
      <w:r w:rsidR="00AE7EDE">
        <w:t xml:space="preserve">. </w:t>
      </w:r>
      <w:r w:rsidRPr="00596A43">
        <w:t>Explain each exception to the certification statement identified in Item 19 “Certification for Paperwork Reduction Act Submissions,” of OMB Form 83-I.</w:t>
      </w:r>
    </w:p>
    <w:p w:rsidR="0077056F" w:rsidRPr="00853A4F" w:rsidP="00853A4F" w14:paraId="5D585DD3" w14:textId="77777777"/>
    <w:p w:rsidR="7C2EAEBE" w:rsidRPr="00853A4F" w:rsidP="00853A4F" w14:paraId="4DB3814E" w14:textId="4AC4B166">
      <w:r w:rsidRPr="00853A4F">
        <w:t>No exceptions have been requested.</w:t>
      </w:r>
    </w:p>
    <w:sectPr w:rsidSect="00460234">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10B2" w14:paraId="30CC8CBA" w14:textId="77777777">
      <w:r>
        <w:separator/>
      </w:r>
    </w:p>
    <w:p w:rsidR="004E10B2" w14:paraId="323F9603" w14:textId="77777777"/>
  </w:endnote>
  <w:endnote w:type="continuationSeparator" w:id="1">
    <w:p w:rsidR="004E10B2" w14:paraId="3399B071" w14:textId="77777777">
      <w:r>
        <w:continuationSeparator/>
      </w:r>
    </w:p>
    <w:p w:rsidR="004E10B2" w14:paraId="2A12B046" w14:textId="77777777"/>
  </w:endnote>
  <w:endnote w:type="continuationNotice" w:id="2">
    <w:p w:rsidR="004E10B2" w14:paraId="0D827A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p w:rsidR="0016319F" w14:paraId="0169D98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6319F" w:rsidP="00F05045" w14:paraId="024CE38C" w14:textId="0B0366AF">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10B2" w14:paraId="2E6D7F53" w14:textId="77777777">
      <w:r>
        <w:separator/>
      </w:r>
    </w:p>
  </w:footnote>
  <w:footnote w:type="continuationSeparator" w:id="1">
    <w:p w:rsidR="004E10B2" w14:paraId="409AD672" w14:textId="77777777">
      <w:r>
        <w:continuationSeparator/>
      </w:r>
    </w:p>
  </w:footnote>
  <w:footnote w:type="continuationNotice" w:id="2">
    <w:p w:rsidR="004E10B2" w14:paraId="189BF853" w14:textId="77777777"/>
  </w:footnote>
  <w:footnote w:id="3">
    <w:p w:rsidR="00CD3357" w:rsidRPr="00CD3357" w14:paraId="5375D383" w14:textId="2D2AFBD1">
      <w:pPr>
        <w:pStyle w:val="FootnoteText"/>
      </w:pPr>
      <w:r>
        <w:rPr>
          <w:rStyle w:val="FootnoteReference"/>
        </w:rPr>
        <w:footnoteRef/>
      </w:r>
      <w:r>
        <w:t xml:space="preserve"> </w:t>
      </w:r>
      <w:r w:rsidR="00BC0993">
        <w:t xml:space="preserve">The 60-day </w:t>
      </w:r>
      <w:r w:rsidR="003532A9">
        <w:t xml:space="preserve">Federal Register Notice </w:t>
      </w:r>
      <w:r w:rsidR="00452EAE">
        <w:t>published</w:t>
      </w:r>
      <w:r w:rsidR="003C533A">
        <w:t xml:space="preserve"> at </w:t>
      </w:r>
      <w:r w:rsidR="00B87864">
        <w:t>89 FR 107154</w:t>
      </w:r>
      <w:r w:rsidR="000B143E">
        <w:t xml:space="preserve"> may be viewed</w:t>
      </w:r>
      <w:r w:rsidR="00D24B00">
        <w:t xml:space="preserve"> </w:t>
      </w:r>
      <w:r w:rsidR="00C57126">
        <w:t xml:space="preserve">at </w:t>
      </w:r>
      <w:hyperlink r:id="rId1" w:history="1">
        <w:r w:rsidRPr="00CE42F0" w:rsidR="00C57126">
          <w:rPr>
            <w:rStyle w:val="Hyperlink"/>
          </w:rPr>
          <w:t>https://www.federalregister.gov/d/2024-31370</w:t>
        </w:r>
      </w:hyperlink>
      <w:r w:rsidR="00C57126">
        <w:t>.</w:t>
      </w:r>
    </w:p>
  </w:footnote>
  <w:footnote w:id="4">
    <w:p w:rsidR="00364E7C" w:rsidRPr="001836CB" w:rsidP="001836CB" w14:paraId="4BA3590C" w14:textId="3703E1FD">
      <w:pPr>
        <w:pStyle w:val="FootnoteText"/>
      </w:pPr>
      <w:r w:rsidRPr="001836CB">
        <w:rPr>
          <w:rStyle w:val="FootnoteReference"/>
        </w:rPr>
        <w:footnoteRef/>
      </w:r>
      <w:r w:rsidRPr="001836CB">
        <w:t xml:space="preserve"> </w:t>
      </w:r>
      <w:r w:rsidRPr="00364E7C">
        <w:rPr>
          <w:color w:val="000000" w:themeColor="text1"/>
        </w:rPr>
        <w:t xml:space="preserve">The Average Hourly Wage Rate is the </w:t>
      </w:r>
      <w:hyperlink r:id="rId2" w:history="1">
        <w:r w:rsidR="00891465">
          <w:rPr>
            <w:rStyle w:val="Hyperlink"/>
          </w:rPr>
          <w:t xml:space="preserve">May 2023 National Occupational Employment and Wage </w:t>
        </w:r>
        <w:r w:rsidR="00891465">
          <w:rPr>
            <w:rStyle w:val="Hyperlink"/>
          </w:rPr>
          <w:t>Estimates</w:t>
        </w:r>
      </w:hyperlink>
      <w:r w:rsidRPr="001836CB">
        <w:rPr>
          <w:color w:val="000000" w:themeColor="text1"/>
        </w:rPr>
        <w:t>average</w:t>
      </w:r>
      <w:r w:rsidRPr="001836CB">
        <w:rPr>
          <w:color w:val="000000" w:themeColor="text1"/>
        </w:rPr>
        <w:t xml:space="preserve"> wage for “Management Occupations” of $66.23 times the wage rate benefit multiplier of 1.4546 (to account for fringe benefits) equaling $96.34</w:t>
      </w:r>
      <w:r w:rsidR="00AE7EDE">
        <w:rPr>
          <w:color w:val="000000" w:themeColor="text1"/>
        </w:rPr>
        <w:t xml:space="preserve">. </w:t>
      </w:r>
      <w:r w:rsidRPr="001836CB">
        <w:rPr>
          <w:color w:val="000000" w:themeColor="text1"/>
        </w:rPr>
        <w:t xml:space="preserve"> The load factor is estimated by dividing Total Compensation ($46.14) by Salaries and Wages ($31.72) = 1.4546, based on the </w:t>
      </w:r>
      <w:hyperlink r:id="rId3" w:history="1">
        <w:r w:rsidRPr="001836CB">
          <w:rPr>
            <w:color w:val="000000" w:themeColor="text1"/>
          </w:rPr>
          <w:t xml:space="preserve">June 2024 Bureau of Labor Statistics Employer Costs for Employee Compensation News Release Table 2: </w:t>
        </w:r>
        <w:r w:rsidRPr="001836CB">
          <w:rPr>
            <w:rStyle w:val="Hyperlink"/>
          </w:rPr>
          <w:t>Civilian workers by occupational and industry group.</w:t>
        </w:r>
      </w:hyperlink>
    </w:p>
  </w:footnote>
  <w:footnote w:id="5">
    <w:p w:rsidR="6748BFCC" w:rsidP="001836CB" w14:paraId="2DC8C3FB" w14:textId="79BE37BA">
      <w:pPr>
        <w:pStyle w:val="FootnoteText"/>
        <w:rPr>
          <w:rStyle w:val="Hyperlink"/>
        </w:rPr>
      </w:pPr>
      <w:r w:rsidRPr="6748BFCC">
        <w:rPr>
          <w:rStyle w:val="FootnoteReference"/>
        </w:rPr>
        <w:footnoteRef/>
      </w:r>
      <w:r w:rsidR="4641892E">
        <w:t xml:space="preserve"> </w:t>
      </w:r>
      <w:hyperlink r:id="rId4" w:history="1">
        <w:r w:rsidRPr="6748BFCC" w:rsidR="4641892E">
          <w:rPr>
            <w:rStyle w:val="Hyperlink"/>
          </w:rPr>
          <w:t>https://www.opm.gov/policy-data-oversight/pay-leave/salaries-wages/salary-tables/24Tables/html/DCB_h.aspx</w:t>
        </w:r>
      </w:hyperlink>
    </w:p>
  </w:footnote>
  <w:footnote w:id="6">
    <w:p w:rsidR="6748BFCC" w:rsidP="001836CB" w14:paraId="410AE765" w14:textId="68B0DE9F">
      <w:pPr>
        <w:pStyle w:val="FootnoteText"/>
      </w:pPr>
      <w:r w:rsidRPr="6748BFCC">
        <w:rPr>
          <w:rStyle w:val="FootnoteReference"/>
        </w:rPr>
        <w:footnoteRef/>
      </w:r>
      <w:r w:rsidR="4641892E">
        <w:t xml:space="preserve"> </w:t>
      </w:r>
      <w:r w:rsidRPr="6748BFCC" w:rsidR="4641892E">
        <w:t xml:space="preserve">CBO. Comparing the Compensation of Federal and Private-Sector Employees, 2011 to 2015. April 2017. </w:t>
      </w:r>
      <w:hyperlink r:id="rId5" w:history="1">
        <w:r w:rsidRPr="6748BFCC" w:rsidR="4641892E">
          <w:rPr>
            <w:rStyle w:val="Hyperlink"/>
          </w:rPr>
          <w:t>https://www.cbo.gov/publication/52637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3E035CD"/>
    <w:multiLevelType w:val="hybridMultilevel"/>
    <w:tmpl w:val="B0E49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5723C12"/>
    <w:multiLevelType w:val="hybridMultilevel"/>
    <w:tmpl w:val="6908DA92"/>
    <w:lvl w:ilvl="0">
      <w:start w:val="1"/>
      <w:numFmt w:val="lowerLetter"/>
      <w:lvlText w:val="%1."/>
      <w:lvlJc w:val="left"/>
      <w:pPr>
        <w:ind w:left="720" w:hanging="360"/>
      </w:pPr>
      <w:rPr>
        <w:rFonts w:hint="default"/>
        <w:color w:val="2B579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4">
    <w:nsid w:val="3EB5E56E"/>
    <w:multiLevelType w:val="hybridMultilevel"/>
    <w:tmpl w:val="A4C48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37231FE"/>
    <w:multiLevelType w:val="hybridMultilevel"/>
    <w:tmpl w:val="53901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9">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1">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3">
    <w:nsid w:val="52223869"/>
    <w:multiLevelType w:val="hybridMultilevel"/>
    <w:tmpl w:val="C5B40F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5">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6">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7">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8">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9">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30">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1">
    <w:nsid w:val="78EF4245"/>
    <w:multiLevelType w:val="hybridMultilevel"/>
    <w:tmpl w:val="2E72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984655059">
    <w:abstractNumId w:val="14"/>
  </w:num>
  <w:num w:numId="2" w16cid:durableId="942687669">
    <w:abstractNumId w:val="3"/>
  </w:num>
  <w:num w:numId="3" w16cid:durableId="268899809">
    <w:abstractNumId w:val="16"/>
  </w:num>
  <w:num w:numId="4" w16cid:durableId="1069578503">
    <w:abstractNumId w:val="7"/>
  </w:num>
  <w:num w:numId="5" w16cid:durableId="281814959">
    <w:abstractNumId w:val="24"/>
  </w:num>
  <w:num w:numId="6" w16cid:durableId="138765378">
    <w:abstractNumId w:val="27"/>
  </w:num>
  <w:num w:numId="7" w16cid:durableId="809907496">
    <w:abstractNumId w:val="13"/>
  </w:num>
  <w:num w:numId="8" w16cid:durableId="1571235477">
    <w:abstractNumId w:val="18"/>
  </w:num>
  <w:num w:numId="9" w16cid:durableId="1026297283">
    <w:abstractNumId w:val="25"/>
  </w:num>
  <w:num w:numId="10" w16cid:durableId="1384402679">
    <w:abstractNumId w:val="26"/>
  </w:num>
  <w:num w:numId="11" w16cid:durableId="851994611">
    <w:abstractNumId w:val="20"/>
  </w:num>
  <w:num w:numId="12" w16cid:durableId="1451129157">
    <w:abstractNumId w:val="10"/>
  </w:num>
  <w:num w:numId="13" w16cid:durableId="1148281217">
    <w:abstractNumId w:val="30"/>
  </w:num>
  <w:num w:numId="14" w16cid:durableId="2054691401">
    <w:abstractNumId w:val="17"/>
  </w:num>
  <w:num w:numId="15" w16cid:durableId="2100562122">
    <w:abstractNumId w:val="9"/>
  </w:num>
  <w:num w:numId="16" w16cid:durableId="956568699">
    <w:abstractNumId w:val="32"/>
  </w:num>
  <w:num w:numId="17" w16cid:durableId="1270430285">
    <w:abstractNumId w:val="6"/>
  </w:num>
  <w:num w:numId="18" w16cid:durableId="2044549465">
    <w:abstractNumId w:val="19"/>
  </w:num>
  <w:num w:numId="19" w16cid:durableId="1636528068">
    <w:abstractNumId w:val="12"/>
  </w:num>
  <w:num w:numId="20" w16cid:durableId="1854108703">
    <w:abstractNumId w:val="29"/>
  </w:num>
  <w:num w:numId="21" w16cid:durableId="697900465">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22" w16cid:durableId="1899434505">
    <w:abstractNumId w:val="22"/>
  </w:num>
  <w:num w:numId="23" w16cid:durableId="1681195777">
    <w:abstractNumId w:val="28"/>
  </w:num>
  <w:num w:numId="24" w16cid:durableId="93407539">
    <w:abstractNumId w:val="21"/>
  </w:num>
  <w:num w:numId="25" w16cid:durableId="1252353871">
    <w:abstractNumId w:val="15"/>
  </w:num>
  <w:num w:numId="26" w16cid:durableId="651716113">
    <w:abstractNumId w:val="4"/>
  </w:num>
  <w:num w:numId="27" w16cid:durableId="228539683">
    <w:abstractNumId w:val="2"/>
  </w:num>
  <w:num w:numId="28" w16cid:durableId="648051304">
    <w:abstractNumId w:val="1"/>
  </w:num>
  <w:num w:numId="29" w16cid:durableId="920258840">
    <w:abstractNumId w:val="5"/>
  </w:num>
  <w:num w:numId="30" w16cid:durableId="1475483803">
    <w:abstractNumId w:val="11"/>
  </w:num>
  <w:num w:numId="31" w16cid:durableId="1846627531">
    <w:abstractNumId w:val="23"/>
  </w:num>
  <w:num w:numId="32" w16cid:durableId="492914672">
    <w:abstractNumId w:val="31"/>
  </w:num>
  <w:num w:numId="33" w16cid:durableId="943001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7D6C"/>
    <w:rsid w:val="00012FBC"/>
    <w:rsid w:val="00014C43"/>
    <w:rsid w:val="00025E75"/>
    <w:rsid w:val="000319C5"/>
    <w:rsid w:val="00031ED5"/>
    <w:rsid w:val="000335C8"/>
    <w:rsid w:val="000417BE"/>
    <w:rsid w:val="00042924"/>
    <w:rsid w:val="00046AE5"/>
    <w:rsid w:val="00047173"/>
    <w:rsid w:val="00051FDA"/>
    <w:rsid w:val="00053802"/>
    <w:rsid w:val="00063C26"/>
    <w:rsid w:val="0006556C"/>
    <w:rsid w:val="000667AD"/>
    <w:rsid w:val="00072325"/>
    <w:rsid w:val="00076EF2"/>
    <w:rsid w:val="00090F1B"/>
    <w:rsid w:val="0009313B"/>
    <w:rsid w:val="000963AA"/>
    <w:rsid w:val="000A4358"/>
    <w:rsid w:val="000A4447"/>
    <w:rsid w:val="000A6FC5"/>
    <w:rsid w:val="000B143E"/>
    <w:rsid w:val="000B399B"/>
    <w:rsid w:val="000C4293"/>
    <w:rsid w:val="000C584E"/>
    <w:rsid w:val="000D0877"/>
    <w:rsid w:val="000D26F2"/>
    <w:rsid w:val="000E0998"/>
    <w:rsid w:val="000E7B5C"/>
    <w:rsid w:val="0010054B"/>
    <w:rsid w:val="00103650"/>
    <w:rsid w:val="00105864"/>
    <w:rsid w:val="001137C6"/>
    <w:rsid w:val="00115837"/>
    <w:rsid w:val="00121E4C"/>
    <w:rsid w:val="001305EB"/>
    <w:rsid w:val="001335DE"/>
    <w:rsid w:val="00134135"/>
    <w:rsid w:val="0013505F"/>
    <w:rsid w:val="00136B4D"/>
    <w:rsid w:val="001408DE"/>
    <w:rsid w:val="00141549"/>
    <w:rsid w:val="00141C5C"/>
    <w:rsid w:val="00143E64"/>
    <w:rsid w:val="0015003C"/>
    <w:rsid w:val="00153F4A"/>
    <w:rsid w:val="0015593C"/>
    <w:rsid w:val="0016319F"/>
    <w:rsid w:val="00172455"/>
    <w:rsid w:val="001821AE"/>
    <w:rsid w:val="001836CB"/>
    <w:rsid w:val="00191158"/>
    <w:rsid w:val="00194A62"/>
    <w:rsid w:val="00197020"/>
    <w:rsid w:val="00197B49"/>
    <w:rsid w:val="001A199D"/>
    <w:rsid w:val="001A2C95"/>
    <w:rsid w:val="001A32FD"/>
    <w:rsid w:val="001B2714"/>
    <w:rsid w:val="001B6DF0"/>
    <w:rsid w:val="001C0C31"/>
    <w:rsid w:val="001C18B1"/>
    <w:rsid w:val="001C399D"/>
    <w:rsid w:val="001C4B22"/>
    <w:rsid w:val="001C4CC1"/>
    <w:rsid w:val="001C4ED8"/>
    <w:rsid w:val="001C6148"/>
    <w:rsid w:val="001C71D5"/>
    <w:rsid w:val="001D5A99"/>
    <w:rsid w:val="001E25FC"/>
    <w:rsid w:val="001E7AA2"/>
    <w:rsid w:val="001F652F"/>
    <w:rsid w:val="002030D4"/>
    <w:rsid w:val="00203848"/>
    <w:rsid w:val="00205739"/>
    <w:rsid w:val="00222489"/>
    <w:rsid w:val="0022399E"/>
    <w:rsid w:val="00225D05"/>
    <w:rsid w:val="0022626A"/>
    <w:rsid w:val="00232278"/>
    <w:rsid w:val="002327DE"/>
    <w:rsid w:val="00232FEC"/>
    <w:rsid w:val="0023349F"/>
    <w:rsid w:val="00233D1A"/>
    <w:rsid w:val="00235123"/>
    <w:rsid w:val="002366B4"/>
    <w:rsid w:val="00237711"/>
    <w:rsid w:val="002451D9"/>
    <w:rsid w:val="002457E9"/>
    <w:rsid w:val="00251725"/>
    <w:rsid w:val="00252E0E"/>
    <w:rsid w:val="002578EC"/>
    <w:rsid w:val="00261EE7"/>
    <w:rsid w:val="00264251"/>
    <w:rsid w:val="00264743"/>
    <w:rsid w:val="0026664E"/>
    <w:rsid w:val="0026788F"/>
    <w:rsid w:val="00272CF0"/>
    <w:rsid w:val="00275617"/>
    <w:rsid w:val="002837CE"/>
    <w:rsid w:val="002840AB"/>
    <w:rsid w:val="0029007F"/>
    <w:rsid w:val="002900C5"/>
    <w:rsid w:val="00290AAB"/>
    <w:rsid w:val="00292D20"/>
    <w:rsid w:val="00297C37"/>
    <w:rsid w:val="002A7031"/>
    <w:rsid w:val="002B0649"/>
    <w:rsid w:val="002B48FF"/>
    <w:rsid w:val="002B4BF6"/>
    <w:rsid w:val="002C05B0"/>
    <w:rsid w:val="002D32F2"/>
    <w:rsid w:val="002D4929"/>
    <w:rsid w:val="002D6219"/>
    <w:rsid w:val="002D65E3"/>
    <w:rsid w:val="002E0FA3"/>
    <w:rsid w:val="002F105D"/>
    <w:rsid w:val="002F2825"/>
    <w:rsid w:val="002F2A01"/>
    <w:rsid w:val="002F2BC7"/>
    <w:rsid w:val="002F49E0"/>
    <w:rsid w:val="002F5FDA"/>
    <w:rsid w:val="00306D8F"/>
    <w:rsid w:val="00320E95"/>
    <w:rsid w:val="00323CBE"/>
    <w:rsid w:val="003256FA"/>
    <w:rsid w:val="0033334F"/>
    <w:rsid w:val="00333D1E"/>
    <w:rsid w:val="00341049"/>
    <w:rsid w:val="0034148A"/>
    <w:rsid w:val="00350700"/>
    <w:rsid w:val="003532A9"/>
    <w:rsid w:val="00360B5A"/>
    <w:rsid w:val="00364C53"/>
    <w:rsid w:val="00364E7C"/>
    <w:rsid w:val="00364EE8"/>
    <w:rsid w:val="0037322A"/>
    <w:rsid w:val="00377D10"/>
    <w:rsid w:val="00381F93"/>
    <w:rsid w:val="00383A50"/>
    <w:rsid w:val="00390936"/>
    <w:rsid w:val="0039325E"/>
    <w:rsid w:val="00394081"/>
    <w:rsid w:val="00394680"/>
    <w:rsid w:val="003A221C"/>
    <w:rsid w:val="003A3B94"/>
    <w:rsid w:val="003A4655"/>
    <w:rsid w:val="003B1574"/>
    <w:rsid w:val="003B3065"/>
    <w:rsid w:val="003B5E20"/>
    <w:rsid w:val="003B68FA"/>
    <w:rsid w:val="003B6BC6"/>
    <w:rsid w:val="003C118A"/>
    <w:rsid w:val="003C4DEC"/>
    <w:rsid w:val="003C533A"/>
    <w:rsid w:val="003C5CF3"/>
    <w:rsid w:val="003D2D93"/>
    <w:rsid w:val="003D4861"/>
    <w:rsid w:val="003D64C9"/>
    <w:rsid w:val="003E0D23"/>
    <w:rsid w:val="003E2CC1"/>
    <w:rsid w:val="003E4418"/>
    <w:rsid w:val="003E6DD8"/>
    <w:rsid w:val="003F056D"/>
    <w:rsid w:val="003F0E07"/>
    <w:rsid w:val="003F1018"/>
    <w:rsid w:val="003F264B"/>
    <w:rsid w:val="003F2C89"/>
    <w:rsid w:val="003F3F6D"/>
    <w:rsid w:val="004003BA"/>
    <w:rsid w:val="00405F8C"/>
    <w:rsid w:val="004076BD"/>
    <w:rsid w:val="00413E8E"/>
    <w:rsid w:val="00421346"/>
    <w:rsid w:val="00433D21"/>
    <w:rsid w:val="00447C3A"/>
    <w:rsid w:val="00452EAE"/>
    <w:rsid w:val="004537D8"/>
    <w:rsid w:val="004543A3"/>
    <w:rsid w:val="00460234"/>
    <w:rsid w:val="00462C47"/>
    <w:rsid w:val="00465107"/>
    <w:rsid w:val="00465911"/>
    <w:rsid w:val="00475EB9"/>
    <w:rsid w:val="00477878"/>
    <w:rsid w:val="00482F9B"/>
    <w:rsid w:val="00496017"/>
    <w:rsid w:val="004A0DE6"/>
    <w:rsid w:val="004A42B4"/>
    <w:rsid w:val="004A5AE1"/>
    <w:rsid w:val="004B62D9"/>
    <w:rsid w:val="004C21F8"/>
    <w:rsid w:val="004C3C74"/>
    <w:rsid w:val="004C55AC"/>
    <w:rsid w:val="004C5DDB"/>
    <w:rsid w:val="004C73D5"/>
    <w:rsid w:val="004D4E40"/>
    <w:rsid w:val="004E10B2"/>
    <w:rsid w:val="004E5917"/>
    <w:rsid w:val="004E6519"/>
    <w:rsid w:val="004E6C05"/>
    <w:rsid w:val="004F19C6"/>
    <w:rsid w:val="004F5A3D"/>
    <w:rsid w:val="004F6F6C"/>
    <w:rsid w:val="00502D04"/>
    <w:rsid w:val="00503C69"/>
    <w:rsid w:val="00506324"/>
    <w:rsid w:val="00507796"/>
    <w:rsid w:val="00507A4E"/>
    <w:rsid w:val="0051005D"/>
    <w:rsid w:val="00513942"/>
    <w:rsid w:val="00515425"/>
    <w:rsid w:val="005202D4"/>
    <w:rsid w:val="005237AC"/>
    <w:rsid w:val="00526446"/>
    <w:rsid w:val="00535D63"/>
    <w:rsid w:val="005416F5"/>
    <w:rsid w:val="005420D3"/>
    <w:rsid w:val="00546CE1"/>
    <w:rsid w:val="00550B78"/>
    <w:rsid w:val="00553A1F"/>
    <w:rsid w:val="005617C1"/>
    <w:rsid w:val="00572F24"/>
    <w:rsid w:val="00573B59"/>
    <w:rsid w:val="00580711"/>
    <w:rsid w:val="005817B5"/>
    <w:rsid w:val="00582F4C"/>
    <w:rsid w:val="00584A28"/>
    <w:rsid w:val="00590524"/>
    <w:rsid w:val="005924FE"/>
    <w:rsid w:val="0059501D"/>
    <w:rsid w:val="00596A43"/>
    <w:rsid w:val="005A0C14"/>
    <w:rsid w:val="005A30A6"/>
    <w:rsid w:val="005A3B47"/>
    <w:rsid w:val="005B116D"/>
    <w:rsid w:val="005B13A6"/>
    <w:rsid w:val="005C1F62"/>
    <w:rsid w:val="005C1FC5"/>
    <w:rsid w:val="005C3DCA"/>
    <w:rsid w:val="005C472E"/>
    <w:rsid w:val="005C7058"/>
    <w:rsid w:val="005D0717"/>
    <w:rsid w:val="005D0E97"/>
    <w:rsid w:val="005D57DE"/>
    <w:rsid w:val="005D6EC2"/>
    <w:rsid w:val="005D7769"/>
    <w:rsid w:val="005D781B"/>
    <w:rsid w:val="005E5F0E"/>
    <w:rsid w:val="006145D1"/>
    <w:rsid w:val="00615DFD"/>
    <w:rsid w:val="00625391"/>
    <w:rsid w:val="0062671E"/>
    <w:rsid w:val="006308D9"/>
    <w:rsid w:val="00636364"/>
    <w:rsid w:val="00644758"/>
    <w:rsid w:val="00645467"/>
    <w:rsid w:val="00653BF8"/>
    <w:rsid w:val="00654C9F"/>
    <w:rsid w:val="00657687"/>
    <w:rsid w:val="006651B2"/>
    <w:rsid w:val="00670988"/>
    <w:rsid w:val="006749D4"/>
    <w:rsid w:val="0068258B"/>
    <w:rsid w:val="00684E4C"/>
    <w:rsid w:val="0068704F"/>
    <w:rsid w:val="006A0B1C"/>
    <w:rsid w:val="006A10D0"/>
    <w:rsid w:val="006A53DF"/>
    <w:rsid w:val="006A7FF1"/>
    <w:rsid w:val="006B4994"/>
    <w:rsid w:val="006B56B1"/>
    <w:rsid w:val="006D0E62"/>
    <w:rsid w:val="006D53EC"/>
    <w:rsid w:val="006D5CCE"/>
    <w:rsid w:val="006D5EB7"/>
    <w:rsid w:val="006D785E"/>
    <w:rsid w:val="006E2517"/>
    <w:rsid w:val="006E32D9"/>
    <w:rsid w:val="006E4F17"/>
    <w:rsid w:val="00702246"/>
    <w:rsid w:val="00707B30"/>
    <w:rsid w:val="00712A0B"/>
    <w:rsid w:val="0072475B"/>
    <w:rsid w:val="007277A8"/>
    <w:rsid w:val="00740889"/>
    <w:rsid w:val="00741B83"/>
    <w:rsid w:val="00742F2D"/>
    <w:rsid w:val="007443F3"/>
    <w:rsid w:val="00747C1C"/>
    <w:rsid w:val="0075239A"/>
    <w:rsid w:val="00752D76"/>
    <w:rsid w:val="00753F98"/>
    <w:rsid w:val="0075772E"/>
    <w:rsid w:val="00760399"/>
    <w:rsid w:val="0076205E"/>
    <w:rsid w:val="00762809"/>
    <w:rsid w:val="00762D6D"/>
    <w:rsid w:val="00763B7E"/>
    <w:rsid w:val="0077056F"/>
    <w:rsid w:val="007706AB"/>
    <w:rsid w:val="00775631"/>
    <w:rsid w:val="00784B44"/>
    <w:rsid w:val="00785A9A"/>
    <w:rsid w:val="007920BD"/>
    <w:rsid w:val="007967F0"/>
    <w:rsid w:val="00796AB1"/>
    <w:rsid w:val="007A66B5"/>
    <w:rsid w:val="007B5D9D"/>
    <w:rsid w:val="007C0E87"/>
    <w:rsid w:val="007C190A"/>
    <w:rsid w:val="007C3B0D"/>
    <w:rsid w:val="007D0399"/>
    <w:rsid w:val="007D6212"/>
    <w:rsid w:val="007F4973"/>
    <w:rsid w:val="007F61EC"/>
    <w:rsid w:val="007F783A"/>
    <w:rsid w:val="007F79EE"/>
    <w:rsid w:val="00804556"/>
    <w:rsid w:val="008167E7"/>
    <w:rsid w:val="008170C4"/>
    <w:rsid w:val="0082123C"/>
    <w:rsid w:val="008350A1"/>
    <w:rsid w:val="00835B42"/>
    <w:rsid w:val="00835C62"/>
    <w:rsid w:val="00837A56"/>
    <w:rsid w:val="00840338"/>
    <w:rsid w:val="008419A6"/>
    <w:rsid w:val="0084685B"/>
    <w:rsid w:val="008500FB"/>
    <w:rsid w:val="00851BF1"/>
    <w:rsid w:val="00851DA3"/>
    <w:rsid w:val="00853A4F"/>
    <w:rsid w:val="00854C61"/>
    <w:rsid w:val="0085645B"/>
    <w:rsid w:val="008571DF"/>
    <w:rsid w:val="0085783A"/>
    <w:rsid w:val="008602F4"/>
    <w:rsid w:val="008719E8"/>
    <w:rsid w:val="008724DE"/>
    <w:rsid w:val="00874E48"/>
    <w:rsid w:val="00875586"/>
    <w:rsid w:val="00877753"/>
    <w:rsid w:val="008804CB"/>
    <w:rsid w:val="00887178"/>
    <w:rsid w:val="00891465"/>
    <w:rsid w:val="008924F0"/>
    <w:rsid w:val="0089711A"/>
    <w:rsid w:val="008A165F"/>
    <w:rsid w:val="008A221D"/>
    <w:rsid w:val="008A698A"/>
    <w:rsid w:val="008B38A9"/>
    <w:rsid w:val="008B4728"/>
    <w:rsid w:val="008B4DEE"/>
    <w:rsid w:val="008B55A0"/>
    <w:rsid w:val="008B6F0E"/>
    <w:rsid w:val="008B7403"/>
    <w:rsid w:val="008B7F2B"/>
    <w:rsid w:val="008C27C3"/>
    <w:rsid w:val="008C293E"/>
    <w:rsid w:val="008D5A33"/>
    <w:rsid w:val="008D61ED"/>
    <w:rsid w:val="008D71E0"/>
    <w:rsid w:val="008D744F"/>
    <w:rsid w:val="008E2061"/>
    <w:rsid w:val="008E3C25"/>
    <w:rsid w:val="008E4152"/>
    <w:rsid w:val="008F2F44"/>
    <w:rsid w:val="008F5915"/>
    <w:rsid w:val="008F5FC2"/>
    <w:rsid w:val="00913A27"/>
    <w:rsid w:val="0091750F"/>
    <w:rsid w:val="00917BAF"/>
    <w:rsid w:val="00921330"/>
    <w:rsid w:val="009224A1"/>
    <w:rsid w:val="00924C84"/>
    <w:rsid w:val="00930900"/>
    <w:rsid w:val="0093542A"/>
    <w:rsid w:val="009361D5"/>
    <w:rsid w:val="00942617"/>
    <w:rsid w:val="0094389A"/>
    <w:rsid w:val="00944494"/>
    <w:rsid w:val="00945106"/>
    <w:rsid w:val="00946B58"/>
    <w:rsid w:val="009477AD"/>
    <w:rsid w:val="009501B2"/>
    <w:rsid w:val="00952D50"/>
    <w:rsid w:val="009539A8"/>
    <w:rsid w:val="00954901"/>
    <w:rsid w:val="00961FD6"/>
    <w:rsid w:val="00963091"/>
    <w:rsid w:val="0096453F"/>
    <w:rsid w:val="0096736F"/>
    <w:rsid w:val="0097514C"/>
    <w:rsid w:val="00987EC2"/>
    <w:rsid w:val="00993095"/>
    <w:rsid w:val="00993801"/>
    <w:rsid w:val="00993F06"/>
    <w:rsid w:val="00995211"/>
    <w:rsid w:val="009A7B24"/>
    <w:rsid w:val="009A7E5A"/>
    <w:rsid w:val="009B4A68"/>
    <w:rsid w:val="009B624E"/>
    <w:rsid w:val="009C3351"/>
    <w:rsid w:val="009C4719"/>
    <w:rsid w:val="009D0EDC"/>
    <w:rsid w:val="009E08E5"/>
    <w:rsid w:val="009F06EB"/>
    <w:rsid w:val="009F25F0"/>
    <w:rsid w:val="009F5E5D"/>
    <w:rsid w:val="009F62B1"/>
    <w:rsid w:val="00A00007"/>
    <w:rsid w:val="00A0781B"/>
    <w:rsid w:val="00A16245"/>
    <w:rsid w:val="00A2037D"/>
    <w:rsid w:val="00A37382"/>
    <w:rsid w:val="00A42A18"/>
    <w:rsid w:val="00A42E47"/>
    <w:rsid w:val="00A4359B"/>
    <w:rsid w:val="00A476E8"/>
    <w:rsid w:val="00A57406"/>
    <w:rsid w:val="00A62379"/>
    <w:rsid w:val="00A75AF7"/>
    <w:rsid w:val="00A772E6"/>
    <w:rsid w:val="00A85317"/>
    <w:rsid w:val="00A864F2"/>
    <w:rsid w:val="00AA09F9"/>
    <w:rsid w:val="00AA3F82"/>
    <w:rsid w:val="00AA62F6"/>
    <w:rsid w:val="00AA6813"/>
    <w:rsid w:val="00AC215C"/>
    <w:rsid w:val="00AC2315"/>
    <w:rsid w:val="00AD45BF"/>
    <w:rsid w:val="00AE0D1F"/>
    <w:rsid w:val="00AE2606"/>
    <w:rsid w:val="00AE41B7"/>
    <w:rsid w:val="00AE7EDE"/>
    <w:rsid w:val="00AF4918"/>
    <w:rsid w:val="00AF71FB"/>
    <w:rsid w:val="00B02152"/>
    <w:rsid w:val="00B109D4"/>
    <w:rsid w:val="00B128D9"/>
    <w:rsid w:val="00B139CF"/>
    <w:rsid w:val="00B16CEB"/>
    <w:rsid w:val="00B17D05"/>
    <w:rsid w:val="00B23792"/>
    <w:rsid w:val="00B24910"/>
    <w:rsid w:val="00B2570C"/>
    <w:rsid w:val="00B31B75"/>
    <w:rsid w:val="00B35A9A"/>
    <w:rsid w:val="00B410FE"/>
    <w:rsid w:val="00B51142"/>
    <w:rsid w:val="00B57157"/>
    <w:rsid w:val="00B67664"/>
    <w:rsid w:val="00B72717"/>
    <w:rsid w:val="00B74185"/>
    <w:rsid w:val="00B75D1C"/>
    <w:rsid w:val="00B77CDF"/>
    <w:rsid w:val="00B839AB"/>
    <w:rsid w:val="00B83D4C"/>
    <w:rsid w:val="00B87864"/>
    <w:rsid w:val="00B906A3"/>
    <w:rsid w:val="00B91395"/>
    <w:rsid w:val="00BA11D1"/>
    <w:rsid w:val="00BA1948"/>
    <w:rsid w:val="00BA2768"/>
    <w:rsid w:val="00BA5694"/>
    <w:rsid w:val="00BB5DC8"/>
    <w:rsid w:val="00BC0228"/>
    <w:rsid w:val="00BC0993"/>
    <w:rsid w:val="00BC37FD"/>
    <w:rsid w:val="00BC4542"/>
    <w:rsid w:val="00BD1AE6"/>
    <w:rsid w:val="00BD4FFE"/>
    <w:rsid w:val="00BE04A1"/>
    <w:rsid w:val="00BE3542"/>
    <w:rsid w:val="00BE387A"/>
    <w:rsid w:val="00BE4B9B"/>
    <w:rsid w:val="00BE4BFA"/>
    <w:rsid w:val="00BF1853"/>
    <w:rsid w:val="00BF1A06"/>
    <w:rsid w:val="00BF538F"/>
    <w:rsid w:val="00C02CE8"/>
    <w:rsid w:val="00C04943"/>
    <w:rsid w:val="00C10ACB"/>
    <w:rsid w:val="00C111D8"/>
    <w:rsid w:val="00C234A4"/>
    <w:rsid w:val="00C24EB7"/>
    <w:rsid w:val="00C25CC9"/>
    <w:rsid w:val="00C3419E"/>
    <w:rsid w:val="00C40A7F"/>
    <w:rsid w:val="00C42006"/>
    <w:rsid w:val="00C443A2"/>
    <w:rsid w:val="00C458E1"/>
    <w:rsid w:val="00C520DC"/>
    <w:rsid w:val="00C57126"/>
    <w:rsid w:val="00C6068E"/>
    <w:rsid w:val="00C75797"/>
    <w:rsid w:val="00C77539"/>
    <w:rsid w:val="00C77C49"/>
    <w:rsid w:val="00C82EE1"/>
    <w:rsid w:val="00C84793"/>
    <w:rsid w:val="00C860B7"/>
    <w:rsid w:val="00C8610C"/>
    <w:rsid w:val="00C91681"/>
    <w:rsid w:val="00C9328C"/>
    <w:rsid w:val="00CA3099"/>
    <w:rsid w:val="00CA51E1"/>
    <w:rsid w:val="00CA7AF8"/>
    <w:rsid w:val="00CB5356"/>
    <w:rsid w:val="00CB6507"/>
    <w:rsid w:val="00CB6558"/>
    <w:rsid w:val="00CC096F"/>
    <w:rsid w:val="00CC2508"/>
    <w:rsid w:val="00CD2DFE"/>
    <w:rsid w:val="00CD3357"/>
    <w:rsid w:val="00CD466A"/>
    <w:rsid w:val="00CE3D0D"/>
    <w:rsid w:val="00CE42F0"/>
    <w:rsid w:val="00CE45F2"/>
    <w:rsid w:val="00CF45CF"/>
    <w:rsid w:val="00D01A65"/>
    <w:rsid w:val="00D01AEE"/>
    <w:rsid w:val="00D04C05"/>
    <w:rsid w:val="00D06A04"/>
    <w:rsid w:val="00D219B0"/>
    <w:rsid w:val="00D24551"/>
    <w:rsid w:val="00D24B00"/>
    <w:rsid w:val="00D24E50"/>
    <w:rsid w:val="00D253AC"/>
    <w:rsid w:val="00D27628"/>
    <w:rsid w:val="00D31FE8"/>
    <w:rsid w:val="00D3411B"/>
    <w:rsid w:val="00D363AB"/>
    <w:rsid w:val="00D3768E"/>
    <w:rsid w:val="00D450C8"/>
    <w:rsid w:val="00D5100A"/>
    <w:rsid w:val="00D5259C"/>
    <w:rsid w:val="00D5640C"/>
    <w:rsid w:val="00D6268A"/>
    <w:rsid w:val="00D73BBC"/>
    <w:rsid w:val="00D74AB2"/>
    <w:rsid w:val="00D93841"/>
    <w:rsid w:val="00D94254"/>
    <w:rsid w:val="00DA06BF"/>
    <w:rsid w:val="00DA0968"/>
    <w:rsid w:val="00DB0392"/>
    <w:rsid w:val="00DB0532"/>
    <w:rsid w:val="00DB6BCE"/>
    <w:rsid w:val="00DB6F30"/>
    <w:rsid w:val="00DC6E79"/>
    <w:rsid w:val="00DD300E"/>
    <w:rsid w:val="00DD6682"/>
    <w:rsid w:val="00DD6FC7"/>
    <w:rsid w:val="00DE10DB"/>
    <w:rsid w:val="00DE1C6F"/>
    <w:rsid w:val="00DF793C"/>
    <w:rsid w:val="00E12104"/>
    <w:rsid w:val="00E13F16"/>
    <w:rsid w:val="00E148FB"/>
    <w:rsid w:val="00E151DA"/>
    <w:rsid w:val="00E17198"/>
    <w:rsid w:val="00E22240"/>
    <w:rsid w:val="00E2481E"/>
    <w:rsid w:val="00E33987"/>
    <w:rsid w:val="00E476EF"/>
    <w:rsid w:val="00E534D7"/>
    <w:rsid w:val="00E54EF1"/>
    <w:rsid w:val="00E56E74"/>
    <w:rsid w:val="00E6507D"/>
    <w:rsid w:val="00E67F59"/>
    <w:rsid w:val="00E70205"/>
    <w:rsid w:val="00E716DA"/>
    <w:rsid w:val="00E731C7"/>
    <w:rsid w:val="00E77073"/>
    <w:rsid w:val="00E84CA4"/>
    <w:rsid w:val="00EA03CF"/>
    <w:rsid w:val="00EAB3A0"/>
    <w:rsid w:val="00EB5E96"/>
    <w:rsid w:val="00EC2392"/>
    <w:rsid w:val="00EE29AA"/>
    <w:rsid w:val="00EE5272"/>
    <w:rsid w:val="00EF05FE"/>
    <w:rsid w:val="00EF73D7"/>
    <w:rsid w:val="00F049F5"/>
    <w:rsid w:val="00F05045"/>
    <w:rsid w:val="00F2285C"/>
    <w:rsid w:val="00F2361E"/>
    <w:rsid w:val="00F320FD"/>
    <w:rsid w:val="00F33B1A"/>
    <w:rsid w:val="00F37F32"/>
    <w:rsid w:val="00F415B7"/>
    <w:rsid w:val="00F4411A"/>
    <w:rsid w:val="00F51FCD"/>
    <w:rsid w:val="00F55C02"/>
    <w:rsid w:val="00F55C45"/>
    <w:rsid w:val="00F560B8"/>
    <w:rsid w:val="00F7152E"/>
    <w:rsid w:val="00F72C2C"/>
    <w:rsid w:val="00F750A3"/>
    <w:rsid w:val="00F861A5"/>
    <w:rsid w:val="00F92107"/>
    <w:rsid w:val="00F930EE"/>
    <w:rsid w:val="00FC7086"/>
    <w:rsid w:val="00FD14EB"/>
    <w:rsid w:val="00FD2846"/>
    <w:rsid w:val="00FD3AB4"/>
    <w:rsid w:val="00FE5661"/>
    <w:rsid w:val="00FE5940"/>
    <w:rsid w:val="00FF02DE"/>
    <w:rsid w:val="00FF1073"/>
    <w:rsid w:val="00FF39AE"/>
    <w:rsid w:val="00FF4946"/>
    <w:rsid w:val="00FF5DDF"/>
    <w:rsid w:val="0104D457"/>
    <w:rsid w:val="018A5FE0"/>
    <w:rsid w:val="01E39F5F"/>
    <w:rsid w:val="02444ED9"/>
    <w:rsid w:val="02CF1D7B"/>
    <w:rsid w:val="0362E1C2"/>
    <w:rsid w:val="03B4636F"/>
    <w:rsid w:val="04BCC447"/>
    <w:rsid w:val="0536C9CC"/>
    <w:rsid w:val="05376D4B"/>
    <w:rsid w:val="0602E137"/>
    <w:rsid w:val="06298002"/>
    <w:rsid w:val="0655AEBA"/>
    <w:rsid w:val="08A2F243"/>
    <w:rsid w:val="09C17D13"/>
    <w:rsid w:val="09D4BC41"/>
    <w:rsid w:val="09F5F5C6"/>
    <w:rsid w:val="0A0F0C34"/>
    <w:rsid w:val="0A5B2C1C"/>
    <w:rsid w:val="0AA9A3F5"/>
    <w:rsid w:val="0AE3B94A"/>
    <w:rsid w:val="0AE5C626"/>
    <w:rsid w:val="0B9A3423"/>
    <w:rsid w:val="0BE5941F"/>
    <w:rsid w:val="0D300880"/>
    <w:rsid w:val="0DA3CA19"/>
    <w:rsid w:val="0DFAED2E"/>
    <w:rsid w:val="0E845CA6"/>
    <w:rsid w:val="0EB95FC3"/>
    <w:rsid w:val="0F0D9161"/>
    <w:rsid w:val="0F2AE325"/>
    <w:rsid w:val="0F3C574C"/>
    <w:rsid w:val="0F552B66"/>
    <w:rsid w:val="0FC13E11"/>
    <w:rsid w:val="102B4228"/>
    <w:rsid w:val="105C7AD0"/>
    <w:rsid w:val="107BEB5E"/>
    <w:rsid w:val="10F37292"/>
    <w:rsid w:val="114054FA"/>
    <w:rsid w:val="11668EE3"/>
    <w:rsid w:val="1184BB26"/>
    <w:rsid w:val="1243D801"/>
    <w:rsid w:val="12CE605A"/>
    <w:rsid w:val="13289C09"/>
    <w:rsid w:val="1347D6F0"/>
    <w:rsid w:val="13A80447"/>
    <w:rsid w:val="13F13E72"/>
    <w:rsid w:val="14204E2D"/>
    <w:rsid w:val="14B6BD94"/>
    <w:rsid w:val="14F99F95"/>
    <w:rsid w:val="153A80C7"/>
    <w:rsid w:val="158882F9"/>
    <w:rsid w:val="159110DA"/>
    <w:rsid w:val="15BD2E22"/>
    <w:rsid w:val="162E5F14"/>
    <w:rsid w:val="16FFA935"/>
    <w:rsid w:val="1709E2BE"/>
    <w:rsid w:val="176A6FA2"/>
    <w:rsid w:val="177C078E"/>
    <w:rsid w:val="1807401D"/>
    <w:rsid w:val="19CCBB49"/>
    <w:rsid w:val="1A426DCE"/>
    <w:rsid w:val="1D088DAD"/>
    <w:rsid w:val="1DA6E819"/>
    <w:rsid w:val="1DC558D8"/>
    <w:rsid w:val="1E372F22"/>
    <w:rsid w:val="1F0875AB"/>
    <w:rsid w:val="1F9FC231"/>
    <w:rsid w:val="201EF263"/>
    <w:rsid w:val="20378FE5"/>
    <w:rsid w:val="210FB15A"/>
    <w:rsid w:val="2187C477"/>
    <w:rsid w:val="2314D5C1"/>
    <w:rsid w:val="23519FD6"/>
    <w:rsid w:val="2384C33A"/>
    <w:rsid w:val="23DD590A"/>
    <w:rsid w:val="240DA1F1"/>
    <w:rsid w:val="245FE107"/>
    <w:rsid w:val="24BAE00E"/>
    <w:rsid w:val="2613587A"/>
    <w:rsid w:val="2636952E"/>
    <w:rsid w:val="26A46109"/>
    <w:rsid w:val="26D4DFA4"/>
    <w:rsid w:val="27F73B0C"/>
    <w:rsid w:val="2842EF15"/>
    <w:rsid w:val="28624818"/>
    <w:rsid w:val="297FD734"/>
    <w:rsid w:val="29C9BFB9"/>
    <w:rsid w:val="29FC15C6"/>
    <w:rsid w:val="2A1CB430"/>
    <w:rsid w:val="2B4D8153"/>
    <w:rsid w:val="2B6AD56B"/>
    <w:rsid w:val="2BF10ECE"/>
    <w:rsid w:val="2C08F605"/>
    <w:rsid w:val="2CA8B955"/>
    <w:rsid w:val="2CB19FC3"/>
    <w:rsid w:val="2CE1445C"/>
    <w:rsid w:val="2D1414CA"/>
    <w:rsid w:val="2D33FE92"/>
    <w:rsid w:val="2D564F38"/>
    <w:rsid w:val="2DD529EA"/>
    <w:rsid w:val="2F061DD8"/>
    <w:rsid w:val="2FD0DA67"/>
    <w:rsid w:val="3036E4CA"/>
    <w:rsid w:val="31D1CA04"/>
    <w:rsid w:val="330A7760"/>
    <w:rsid w:val="346A701C"/>
    <w:rsid w:val="34AE98C9"/>
    <w:rsid w:val="34B3F6C0"/>
    <w:rsid w:val="34D6413C"/>
    <w:rsid w:val="35083E3D"/>
    <w:rsid w:val="35223109"/>
    <w:rsid w:val="3616290B"/>
    <w:rsid w:val="36B37466"/>
    <w:rsid w:val="36D8B24C"/>
    <w:rsid w:val="36FFC215"/>
    <w:rsid w:val="390D9B7B"/>
    <w:rsid w:val="3A0B7896"/>
    <w:rsid w:val="3A1FCF6F"/>
    <w:rsid w:val="3A3244C2"/>
    <w:rsid w:val="3AC8C945"/>
    <w:rsid w:val="3AD781E9"/>
    <w:rsid w:val="3AD8CC9C"/>
    <w:rsid w:val="3B9672F3"/>
    <w:rsid w:val="3C94EDCD"/>
    <w:rsid w:val="3CCD7517"/>
    <w:rsid w:val="3DF6BD57"/>
    <w:rsid w:val="3E07A6B2"/>
    <w:rsid w:val="3E2CA852"/>
    <w:rsid w:val="3E925E90"/>
    <w:rsid w:val="3F28DB25"/>
    <w:rsid w:val="3FEA9DE1"/>
    <w:rsid w:val="3FF867C6"/>
    <w:rsid w:val="42AA4718"/>
    <w:rsid w:val="432A6865"/>
    <w:rsid w:val="433EC6A3"/>
    <w:rsid w:val="43B761D8"/>
    <w:rsid w:val="4406BE94"/>
    <w:rsid w:val="4641892E"/>
    <w:rsid w:val="46816237"/>
    <w:rsid w:val="4764AFB6"/>
    <w:rsid w:val="4799BD53"/>
    <w:rsid w:val="48343FE3"/>
    <w:rsid w:val="48BD4AF7"/>
    <w:rsid w:val="497FA63C"/>
    <w:rsid w:val="49B3C969"/>
    <w:rsid w:val="4A2E645E"/>
    <w:rsid w:val="4A403320"/>
    <w:rsid w:val="4BFAF72E"/>
    <w:rsid w:val="4BFB85D5"/>
    <w:rsid w:val="4C108B7E"/>
    <w:rsid w:val="4C3745D7"/>
    <w:rsid w:val="4D0773C4"/>
    <w:rsid w:val="4D34786E"/>
    <w:rsid w:val="4D4FD887"/>
    <w:rsid w:val="4E4A1CB6"/>
    <w:rsid w:val="4E874F95"/>
    <w:rsid w:val="4EC8BCA4"/>
    <w:rsid w:val="4ED29B2F"/>
    <w:rsid w:val="4FA83AF2"/>
    <w:rsid w:val="513C89BB"/>
    <w:rsid w:val="51D06768"/>
    <w:rsid w:val="5311C8ED"/>
    <w:rsid w:val="5333331C"/>
    <w:rsid w:val="53BB173B"/>
    <w:rsid w:val="54A8F6BC"/>
    <w:rsid w:val="54E298C1"/>
    <w:rsid w:val="554A3BBC"/>
    <w:rsid w:val="55750196"/>
    <w:rsid w:val="561489BA"/>
    <w:rsid w:val="561C969F"/>
    <w:rsid w:val="5680BF54"/>
    <w:rsid w:val="57173626"/>
    <w:rsid w:val="57F30B62"/>
    <w:rsid w:val="58275F18"/>
    <w:rsid w:val="583FFDFE"/>
    <w:rsid w:val="58F23E5C"/>
    <w:rsid w:val="593D7E06"/>
    <w:rsid w:val="5A0182E1"/>
    <w:rsid w:val="5A634D99"/>
    <w:rsid w:val="5AA64636"/>
    <w:rsid w:val="5ACCAC77"/>
    <w:rsid w:val="5AE9448C"/>
    <w:rsid w:val="5B5FD451"/>
    <w:rsid w:val="5BB1B48B"/>
    <w:rsid w:val="5BCE6E82"/>
    <w:rsid w:val="5BDA91FB"/>
    <w:rsid w:val="5BE3E687"/>
    <w:rsid w:val="5C356711"/>
    <w:rsid w:val="5D44F151"/>
    <w:rsid w:val="5D732897"/>
    <w:rsid w:val="5D8498D7"/>
    <w:rsid w:val="5E0F74AE"/>
    <w:rsid w:val="5E4EFAB3"/>
    <w:rsid w:val="5E9E28E1"/>
    <w:rsid w:val="5F42C707"/>
    <w:rsid w:val="604EA730"/>
    <w:rsid w:val="61037882"/>
    <w:rsid w:val="62EE8BA8"/>
    <w:rsid w:val="646AAE74"/>
    <w:rsid w:val="64CBB8D0"/>
    <w:rsid w:val="65C6F730"/>
    <w:rsid w:val="6655C13B"/>
    <w:rsid w:val="6698787E"/>
    <w:rsid w:val="6702F133"/>
    <w:rsid w:val="670BC8E9"/>
    <w:rsid w:val="6748BFCC"/>
    <w:rsid w:val="68309A93"/>
    <w:rsid w:val="6839B84A"/>
    <w:rsid w:val="68435368"/>
    <w:rsid w:val="68870B88"/>
    <w:rsid w:val="689C7C79"/>
    <w:rsid w:val="68D9FBA3"/>
    <w:rsid w:val="6A6FE351"/>
    <w:rsid w:val="6A98755C"/>
    <w:rsid w:val="6B532093"/>
    <w:rsid w:val="6B98A052"/>
    <w:rsid w:val="6BA23540"/>
    <w:rsid w:val="6D676895"/>
    <w:rsid w:val="6D6AB3C9"/>
    <w:rsid w:val="6D760DB5"/>
    <w:rsid w:val="6DBEA696"/>
    <w:rsid w:val="6DD57C25"/>
    <w:rsid w:val="6DFE036D"/>
    <w:rsid w:val="6F93452A"/>
    <w:rsid w:val="70F1C028"/>
    <w:rsid w:val="71F295FE"/>
    <w:rsid w:val="7226C12B"/>
    <w:rsid w:val="7285A3AB"/>
    <w:rsid w:val="7285E6E3"/>
    <w:rsid w:val="738D4E20"/>
    <w:rsid w:val="73F1813F"/>
    <w:rsid w:val="7509495A"/>
    <w:rsid w:val="75FA417D"/>
    <w:rsid w:val="761A783A"/>
    <w:rsid w:val="76AAF87A"/>
    <w:rsid w:val="76CCA63D"/>
    <w:rsid w:val="771F0112"/>
    <w:rsid w:val="77DCF32E"/>
    <w:rsid w:val="78848D73"/>
    <w:rsid w:val="78A4583D"/>
    <w:rsid w:val="793C2879"/>
    <w:rsid w:val="7A45E8BC"/>
    <w:rsid w:val="7A6E4FA0"/>
    <w:rsid w:val="7BE796FA"/>
    <w:rsid w:val="7C06DE7D"/>
    <w:rsid w:val="7C242C3E"/>
    <w:rsid w:val="7C2EAEBE"/>
    <w:rsid w:val="7C402BC5"/>
    <w:rsid w:val="7D4F319D"/>
    <w:rsid w:val="7D90829A"/>
    <w:rsid w:val="7DBF8A91"/>
    <w:rsid w:val="7DF970EA"/>
    <w:rsid w:val="7E50067F"/>
    <w:rsid w:val="7ED85CEA"/>
    <w:rsid w:val="7EF01938"/>
    <w:rsid w:val="7F28980B"/>
    <w:rsid w:val="7F584FF3"/>
    <w:rsid w:val="7F717545"/>
    <w:rsid w:val="7F7CFABE"/>
    <w:rsid w:val="7FA19CA0"/>
    <w:rsid w:val="7FD731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AE1FC7BE-5A71-42B4-8489-9668DF85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4E7C"/>
    <w:pPr>
      <w:suppressAutoHyphens/>
      <w:kinsoku w:val="0"/>
      <w:autoSpaceDE w:val="0"/>
      <w:autoSpaceDN w:val="0"/>
      <w:snapToGrid w:val="0"/>
    </w:pPr>
    <w:rPr>
      <w:sz w:val="24"/>
      <w:szCs w:val="24"/>
      <w:lang w:eastAsia="en-US"/>
    </w:rPr>
  </w:style>
  <w:style w:type="paragraph" w:styleId="Heading1">
    <w:name w:val="heading 1"/>
    <w:basedOn w:val="Normal"/>
    <w:next w:val="Normal"/>
    <w:qFormat/>
    <w:pPr>
      <w:keepNext/>
      <w:tabs>
        <w:tab w:val="left" w:pos="-720"/>
      </w:tabs>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64E7C"/>
    <w:pPr>
      <w:shd w:val="pct25" w:color="auto" w:fill="auto"/>
      <w:tabs>
        <w:tab w:val="left" w:pos="-720"/>
      </w:tabs>
    </w:pPr>
  </w:style>
  <w:style w:type="paragraph" w:styleId="Title">
    <w:name w:val="Title"/>
    <w:basedOn w:val="Normal"/>
    <w:qFormat/>
    <w:pPr>
      <w:jc w:val="center"/>
    </w:pPr>
    <w:rPr>
      <w:b/>
      <w:sz w:val="32"/>
      <w:szCs w:val="20"/>
    </w:rPr>
  </w:style>
  <w:style w:type="paragraph" w:customStyle="1" w:styleId="TABLECentered">
    <w:name w:val="TABLE (Centered)"/>
    <w:basedOn w:val="Normal"/>
    <w:autoRedefine/>
    <w:rsid w:val="00AE7EDE"/>
    <w:pPr>
      <w:jc w:val="center"/>
    </w:pPr>
    <w:rPr>
      <w:color w:val="000000" w:themeColor="text1"/>
      <w:sz w:val="20"/>
      <w:szCs w:val="22"/>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TableCenteredItalics">
    <w:name w:val="Table (Centered Italics)"/>
    <w:basedOn w:val="Normal"/>
    <w:autoRedefine/>
    <w:rsid w:val="005C1F62"/>
    <w:pPr>
      <w:jc w:val="center"/>
    </w:pPr>
    <w:rPr>
      <w:i/>
      <w:sz w:val="20"/>
    </w:rPr>
  </w:style>
  <w:style w:type="paragraph" w:customStyle="1" w:styleId="BulletSingle">
    <w:name w:val="Bullet Single"/>
    <w:basedOn w:val="Title"/>
    <w:link w:val="BulletSingleChar"/>
    <w:rsid w:val="00F049F5"/>
    <w:pPr>
      <w:numPr>
        <w:numId w:val="28"/>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autoRedefine/>
    <w:uiPriority w:val="99"/>
    <w:unhideWhenUsed/>
    <w:rsid w:val="001836CB"/>
    <w:rPr>
      <w:rFonts w:eastAsia="Calibri"/>
      <w:sz w:val="20"/>
      <w:szCs w:val="20"/>
      <w:lang w:val="x-none" w:eastAsia="x-none"/>
    </w:rPr>
  </w:style>
  <w:style w:type="character" w:customStyle="1" w:styleId="FootnoteTextChar">
    <w:name w:val="Footnote Text Char"/>
    <w:link w:val="FootnoteText"/>
    <w:uiPriority w:val="99"/>
    <w:rsid w:val="001836CB"/>
    <w:rPr>
      <w:rFonts w:eastAsia="Calibri"/>
      <w:lang w:val="x-none" w:eastAsia="x-none"/>
    </w:rPr>
  </w:style>
  <w:style w:type="character" w:styleId="UnresolvedMention">
    <w:name w:val="Unresolved Mention"/>
    <w:uiPriority w:val="99"/>
    <w:semiHidden/>
    <w:unhideWhenUsed/>
    <w:rsid w:val="00EE29AA"/>
    <w:rPr>
      <w:color w:val="605E5C"/>
      <w:shd w:val="clear" w:color="auto" w:fill="E1DFDD"/>
    </w:rPr>
  </w:style>
  <w:style w:type="paragraph" w:styleId="ListParagraph">
    <w:name w:val="List Paragraph"/>
    <w:aliases w:val="3,Bullet,Bullet 1,Bullet Points,Colorful List - Accent 11,Dot pt,F5,F5 List Paragraph,Indicator Text,Issue Action POC,List Paragraph Char Char Char,List Paragraph1,List Paragraph2,MAIN CONTENT,No Spacing1,Normal numbered,Numbered Para 1,列"/>
    <w:basedOn w:val="Normal"/>
    <w:link w:val="ListParagraphChar"/>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2 Char,No Spacing1 Char,Numbered Para 1 Char"/>
    <w:basedOn w:val="DefaultParagraphFont"/>
    <w:link w:val="ListParagraph"/>
    <w:uiPriority w:val="34"/>
    <w:qFormat/>
    <w:locked/>
    <w:rsid w:val="00DF793C"/>
    <w:rPr>
      <w:sz w:val="24"/>
      <w:szCs w:val="24"/>
      <w:lang w:eastAsia="en-US"/>
    </w:rPr>
  </w:style>
  <w:style w:type="paragraph" w:customStyle="1" w:styleId="TableHeader">
    <w:name w:val="Table Header"/>
    <w:basedOn w:val="Normal"/>
    <w:autoRedefine/>
    <w:rsid w:val="00390936"/>
    <w:pPr>
      <w:keepNext/>
      <w:keepLines/>
      <w:jc w:val="center"/>
    </w:pPr>
    <w:rPr>
      <w:b/>
      <w:sz w:val="20"/>
    </w:rPr>
  </w:style>
  <w:style w:type="character" w:styleId="FollowedHyperlink">
    <w:name w:val="FollowedHyperlink"/>
    <w:basedOn w:val="DefaultParagraphFont"/>
    <w:rsid w:val="008B4D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6/06/02/2026-10959/notice-of-proposed-information-collection-under-the-paperwork-reduction-act-request-for-the-chemlock"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24-31370" TargetMode="External" /><Relationship Id="rId2" Type="http://schemas.openxmlformats.org/officeDocument/2006/relationships/hyperlink" Target="https://www.bls.gov/oes/2023/may/oes_nat.htm" TargetMode="External" /><Relationship Id="rId3" Type="http://schemas.openxmlformats.org/officeDocument/2006/relationships/hyperlink" Target="https://www.bls.gov/news.release/ecec.t02.htm" TargetMode="External" /><Relationship Id="rId4" Type="http://schemas.openxmlformats.org/officeDocument/2006/relationships/hyperlink" Target="https://www.opm.gov/policy-data-oversight/pay-leave/salaries-wages/salary-tables/24Tables/html/DCB_h.aspx" TargetMode="External" /><Relationship Id="rId5"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PRA-ISD-00002349</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2" ma:contentTypeDescription="Create a new document." ma:contentTypeScope="" ma:versionID="39dc510cb11af38b0421fae8f157715c">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edb63941fe9143c2a6158fa52eaf42c1"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9940B-7483-47D9-8147-D359BAB08A9C}">
  <ds:schemaRefs>
    <ds:schemaRef ds:uri="http://schemas.openxmlformats.org/officeDocument/2006/bibliography"/>
  </ds:schemaRefs>
</ds:datastoreItem>
</file>

<file path=customXml/itemProps2.xml><?xml version="1.0" encoding="utf-8"?>
<ds:datastoreItem xmlns:ds="http://schemas.openxmlformats.org/officeDocument/2006/customXml" ds:itemID="{B8385A61-144F-40F0-AE2C-D13084D04348}">
  <ds:schemaRefs>
    <ds:schemaRef ds:uri="http://schemas.microsoft.com/sharepoint/v3/contenttype/forms"/>
  </ds:schemaRefs>
</ds:datastoreItem>
</file>

<file path=customXml/itemProps3.xml><?xml version="1.0" encoding="utf-8"?>
<ds:datastoreItem xmlns:ds="http://schemas.openxmlformats.org/officeDocument/2006/customXml" ds:itemID="{534807E1-2941-492A-80CA-FB85A0C77DCF}">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4.xml><?xml version="1.0" encoding="utf-8"?>
<ds:datastoreItem xmlns:ds="http://schemas.openxmlformats.org/officeDocument/2006/customXml" ds:itemID="{981C6D10-9256-43DD-ADD1-1C21DD73F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2179</Words>
  <Characters>12663</Characters>
  <Application>Microsoft Office Word</Application>
  <DocSecurity>0</DocSecurity>
  <Lines>333</Lines>
  <Paragraphs>151</Paragraphs>
  <ScaleCrop>false</ScaleCrop>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Pickford, Michael</dc:creator>
  <cp:lastModifiedBy>Thomsen, Benjamin</cp:lastModifiedBy>
  <cp:revision>46</cp:revision>
  <dcterms:created xsi:type="dcterms:W3CDTF">2024-12-05T18:10:00Z</dcterms:created>
  <dcterms:modified xsi:type="dcterms:W3CDTF">2026-06-02T13:14:00Z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0x01010096CAD730B1073B4D802BC4182255FE43</vt:lpwstr>
  </property>
  <property fmtid="{D5CDD505-2E9C-101B-9397-08002B2CF9AE}" pid="3" name="DocumentSetDescription">
    <vt:lpwstr/>
  </property>
  <property fmtid="{D5CDD505-2E9C-101B-9397-08002B2CF9AE}" pid="4" name="MediaServiceImageTags">
    <vt:lpwstr/>
  </property>
  <property fmtid="{D5CDD505-2E9C-101B-9397-08002B2CF9AE}" pid="5" name="MSIP_Label_a2eef23d-2e95-4428-9a3c-2526d95b164a_ActionId">
    <vt:lpwstr>bbf30ba2-7659-4e00-b759-166261fd7b1c</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2024-11-19T15:04:10Z</vt:lpwstr>
  </property>
  <property fmtid="{D5CDD505-2E9C-101B-9397-08002B2CF9AE}" pid="11" name="MSIP_Label_a2eef23d-2e95-4428-9a3c-2526d95b164a_SiteId">
    <vt:lpwstr>3ccde76c-946d-4a12-bb7a-fc9d0842354a</vt:lpwstr>
  </property>
  <property fmtid="{D5CDD505-2E9C-101B-9397-08002B2CF9AE}" pid="12" name="_dlc_DocIdItemGuid">
    <vt:lpwstr>fbf23a57-249e-4821-8bcf-945ffd5e032d</vt:lpwstr>
  </property>
  <property fmtid="{D5CDD505-2E9C-101B-9397-08002B2CF9AE}" pid="13" name="_ExtendedDescription">
    <vt:lpwstr/>
  </property>
</Properties>
</file>