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RPr="00596A43" w:rsidP="006A0B1C" w14:paraId="6BC64690" w14:textId="77777777">
      <w:pPr>
        <w:pStyle w:val="Title"/>
        <w:rPr>
          <w:sz w:val="24"/>
          <w:szCs w:val="24"/>
        </w:rPr>
      </w:pPr>
      <w:r w:rsidRPr="538B21F9">
        <w:rPr>
          <w:sz w:val="24"/>
          <w:szCs w:val="24"/>
        </w:rPr>
        <w:t>Supporting Statement for Paperwork Reduction Act Submissions</w:t>
      </w:r>
    </w:p>
    <w:p w:rsidR="00EB5E96" w:rsidRPr="00596A43" w:rsidP="000C4293" w14:paraId="308DE512" w14:textId="77777777">
      <w:pPr>
        <w:tabs>
          <w:tab w:val="left" w:pos="-720"/>
        </w:tabs>
        <w:suppressAutoHyphens/>
        <w:ind w:right="-720"/>
        <w:jc w:val="both"/>
        <w:rPr>
          <w:b/>
        </w:rPr>
      </w:pPr>
    </w:p>
    <w:p w:rsidR="00EB5E96" w:rsidRPr="00596A43" w:rsidP="4E1491A6" w14:paraId="4E99A699" w14:textId="77BD46C0">
      <w:pPr>
        <w:suppressAutoHyphens/>
        <w:jc w:val="center"/>
        <w:rPr>
          <w:b/>
          <w:bCs/>
        </w:rPr>
      </w:pPr>
      <w:r w:rsidRPr="40EB4BB1">
        <w:rPr>
          <w:b/>
          <w:bCs/>
        </w:rPr>
        <w:t>Title:</w:t>
      </w:r>
      <w:r w:rsidRPr="40EB4BB1" w:rsidR="00FF5DDF">
        <w:rPr>
          <w:b/>
          <w:bCs/>
        </w:rPr>
        <w:t xml:space="preserve"> </w:t>
      </w:r>
      <w:r w:rsidRPr="40EB4BB1" w:rsidR="5567F5BE">
        <w:rPr>
          <w:b/>
          <w:bCs/>
        </w:rPr>
        <w:t xml:space="preserve">Program Analysis and Evaluation (PA&amp;E) Office, </w:t>
      </w:r>
      <w:r w:rsidRPr="40EB4BB1" w:rsidR="002223DD">
        <w:rPr>
          <w:b/>
          <w:bCs/>
        </w:rPr>
        <w:t>Stakeholder Engagement Division (SED) Convenings Evaluation</w:t>
      </w:r>
    </w:p>
    <w:p w:rsidR="00EB5E96" w:rsidRPr="00596A43" w:rsidP="00D73BBC" w14:paraId="77992B39" w14:textId="77777777">
      <w:pPr>
        <w:tabs>
          <w:tab w:val="left" w:pos="-720"/>
        </w:tabs>
        <w:suppressAutoHyphens/>
        <w:jc w:val="center"/>
        <w:rPr>
          <w:b/>
        </w:rPr>
      </w:pPr>
    </w:p>
    <w:p w:rsidR="00EB5E96" w:rsidRPr="00596A43" w:rsidP="00D73BBC" w14:paraId="4A1C1C46" w14:textId="629D2207">
      <w:pPr>
        <w:tabs>
          <w:tab w:val="left" w:pos="-720"/>
        </w:tabs>
        <w:suppressAutoHyphens/>
        <w:jc w:val="center"/>
        <w:rPr>
          <w:b/>
        </w:rPr>
      </w:pPr>
      <w:r w:rsidRPr="00596A43">
        <w:rPr>
          <w:b/>
        </w:rPr>
        <w:t xml:space="preserve">OMB Control Number: </w:t>
      </w:r>
      <w:r w:rsidR="00AD524B">
        <w:rPr>
          <w:b/>
        </w:rPr>
        <w:t>1670-NEW</w:t>
      </w:r>
    </w:p>
    <w:p w:rsidR="00EB5E96" w:rsidP="00D73BBC" w14:paraId="337578EE" w14:textId="77777777">
      <w:pPr>
        <w:tabs>
          <w:tab w:val="left" w:pos="-720"/>
        </w:tabs>
        <w:suppressAutoHyphens/>
        <w:jc w:val="center"/>
      </w:pPr>
    </w:p>
    <w:p w:rsidR="009F06EB" w:rsidRPr="00596A43" w:rsidP="000C4293" w14:paraId="3CAD1196" w14:textId="77777777">
      <w:pPr>
        <w:tabs>
          <w:tab w:val="left" w:pos="-720"/>
        </w:tabs>
        <w:suppressAutoHyphens/>
        <w:jc w:val="both"/>
      </w:pPr>
    </w:p>
    <w:p w:rsidR="00EB5E96" w:rsidRPr="00596A43" w:rsidP="000C4293" w14:paraId="56887A23" w14:textId="5769DCEE">
      <w:pPr>
        <w:pStyle w:val="Heading1"/>
        <w:jc w:val="both"/>
        <w:rPr>
          <w:sz w:val="24"/>
          <w:szCs w:val="24"/>
        </w:rPr>
      </w:pPr>
      <w:r w:rsidRPr="00596A43">
        <w:rPr>
          <w:sz w:val="24"/>
          <w:szCs w:val="24"/>
        </w:rPr>
        <w:t>A.  Justification</w:t>
      </w:r>
    </w:p>
    <w:p w:rsidR="00EB5E96" w:rsidRPr="00596A43" w:rsidP="000C4293" w14:paraId="4CC277F7" w14:textId="77777777">
      <w:pPr>
        <w:tabs>
          <w:tab w:val="left" w:pos="-720"/>
        </w:tabs>
        <w:suppressAutoHyphens/>
        <w:jc w:val="both"/>
      </w:pPr>
    </w:p>
    <w:p w:rsidR="00EB5E96" w:rsidRPr="00596A43" w:rsidP="596FB15F" w14:paraId="5B81241B" w14:textId="2593522C">
      <w:pPr>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E7B5C" w:rsidRPr="00596A43" w:rsidP="000C4293" w14:paraId="045316CC" w14:textId="77777777">
      <w:pPr>
        <w:tabs>
          <w:tab w:val="left" w:pos="-720"/>
        </w:tabs>
        <w:suppressAutoHyphens/>
        <w:jc w:val="both"/>
      </w:pPr>
    </w:p>
    <w:p w:rsidR="00433166" w:rsidRPr="006219E1" w:rsidP="00F404D9" w14:paraId="03AB6764" w14:textId="33D8BC73">
      <w:pPr>
        <w:pStyle w:val="paragraph"/>
        <w:spacing w:before="0" w:beforeAutospacing="0" w:after="0" w:afterAutospacing="0" w:line="276" w:lineRule="auto"/>
        <w:textAlignment w:val="baseline"/>
        <w:rPr>
          <w:rStyle w:val="normaltextrun"/>
        </w:rPr>
      </w:pPr>
      <w:r w:rsidRPr="006219E1">
        <w:rPr>
          <w:rStyle w:val="normaltextrun"/>
        </w:rPr>
        <w:t xml:space="preserve">The </w:t>
      </w:r>
      <w:r w:rsidRPr="006219E1" w:rsidR="009D149B">
        <w:rPr>
          <w:rStyle w:val="normaltextrun"/>
        </w:rPr>
        <w:t>Foundations for Evidence-Based Policymaking Act of 2018 (Public Law No: 115-435)</w:t>
      </w:r>
      <w:r w:rsidRPr="006219E1">
        <w:rPr>
          <w:rStyle w:val="normaltextrun"/>
        </w:rPr>
        <w:t xml:space="preserve">, or the Evidence Act, promotes the use of evidence to inform decision-making </w:t>
      </w:r>
      <w:r w:rsidRPr="006219E1" w:rsidR="00B01DE1">
        <w:rPr>
          <w:rStyle w:val="normaltextrun"/>
        </w:rPr>
        <w:t>and requires</w:t>
      </w:r>
      <w:r w:rsidRPr="006219E1">
        <w:rPr>
          <w:rStyle w:val="normaltextrun"/>
        </w:rPr>
        <w:t xml:space="preserve"> federal agencies</w:t>
      </w:r>
      <w:r w:rsidRPr="006219E1" w:rsidR="00B01DE1">
        <w:rPr>
          <w:rStyle w:val="normaltextrun"/>
        </w:rPr>
        <w:t xml:space="preserve"> </w:t>
      </w:r>
      <w:r w:rsidRPr="006219E1">
        <w:rPr>
          <w:rStyle w:val="normaltextrun"/>
        </w:rPr>
        <w:t>to undertake activities toward this end</w:t>
      </w:r>
      <w:r w:rsidRPr="006219E1">
        <w:rPr>
          <w:rStyle w:val="normaltextrun"/>
        </w:rPr>
        <w:t>.</w:t>
      </w:r>
      <w:r w:rsidRPr="006219E1">
        <w:rPr>
          <w:rStyle w:val="normaltextrun"/>
        </w:rPr>
        <w:t xml:space="preserve"> Specifically, the Evidence Act requires agencies to develop Learning Agendas and Annual Evaluation Plans.</w:t>
      </w:r>
    </w:p>
    <w:p w:rsidR="00AC0161" w:rsidRPr="006219E1" w:rsidP="00AC0161" w14:paraId="797D1625" w14:textId="77777777">
      <w:pPr>
        <w:pStyle w:val="paragraph"/>
        <w:spacing w:before="0" w:beforeAutospacing="0" w:after="0" w:afterAutospacing="0" w:line="276" w:lineRule="auto"/>
        <w:textAlignment w:val="baseline"/>
        <w:rPr>
          <w:rStyle w:val="normaltextrun"/>
        </w:rPr>
      </w:pPr>
    </w:p>
    <w:p w:rsidR="00F404D9" w:rsidRPr="006219E1" w:rsidP="009447D2" w14:paraId="63E8F35D" w14:textId="55DAF85A">
      <w:pPr>
        <w:pStyle w:val="paragraph"/>
        <w:numPr>
          <w:ilvl w:val="0"/>
          <w:numId w:val="32"/>
        </w:numPr>
        <w:spacing w:before="0" w:beforeAutospacing="0" w:after="0" w:afterAutospacing="0" w:line="276" w:lineRule="auto"/>
        <w:textAlignment w:val="baseline"/>
        <w:rPr>
          <w:rStyle w:val="normaltextrun"/>
        </w:rPr>
      </w:pPr>
      <w:r w:rsidRPr="006219E1">
        <w:rPr>
          <w:rStyle w:val="normaltextrun"/>
        </w:rPr>
        <w:t xml:space="preserve">Learning Agendas are systematic plans for identifying and addressing priority questions relevant to the programs, policies, and regulations of an agency. Learning Agendas document priority research questions that will be answered using different types of evidence (e.g., program evaluation), to help understand how well </w:t>
      </w:r>
      <w:r w:rsidRPr="006219E1" w:rsidR="00E377E0">
        <w:rPr>
          <w:rStyle w:val="normaltextrun"/>
        </w:rPr>
        <w:t xml:space="preserve">or how efficiently </w:t>
      </w:r>
      <w:r w:rsidRPr="006219E1">
        <w:rPr>
          <w:rStyle w:val="normaltextrun"/>
        </w:rPr>
        <w:t>programs are working.</w:t>
      </w:r>
      <w:r w:rsidRPr="006219E1" w:rsidR="00AC0161">
        <w:rPr>
          <w:rStyle w:val="normaltextrun"/>
        </w:rPr>
        <w:t xml:space="preserve"> </w:t>
      </w:r>
      <w:r w:rsidRPr="006219E1" w:rsidR="00E377E0">
        <w:rPr>
          <w:rStyle w:val="normaltextrun"/>
        </w:rPr>
        <w:t>Specifically, OMB defines p</w:t>
      </w:r>
      <w:r w:rsidRPr="006219E1">
        <w:rPr>
          <w:rStyle w:val="normaltextrun"/>
        </w:rPr>
        <w:t xml:space="preserve">rogram evaluation </w:t>
      </w:r>
      <w:r w:rsidRPr="006219E1" w:rsidR="00E377E0">
        <w:rPr>
          <w:rStyle w:val="normaltextrun"/>
        </w:rPr>
        <w:t>as</w:t>
      </w:r>
      <w:r w:rsidRPr="006219E1">
        <w:rPr>
          <w:rStyle w:val="normaltextrun"/>
        </w:rPr>
        <w:t xml:space="preserve"> “an assessment using systematic data collection and analysis of one or more programs, policies, and organizations intended to assess their effectiveness and efficiency.” </w:t>
      </w:r>
      <w:r w:rsidRPr="006219E1">
        <w:rPr>
          <w:rStyle w:val="normaltextrun"/>
          <w:bCs/>
        </w:rPr>
        <w:t>The term "systematic" indicates that an evaluation requires a structured and consistent method of collecting and analyzing information.</w:t>
      </w:r>
      <w:r w:rsidRPr="006219E1">
        <w:rPr>
          <w:rStyle w:val="normaltextrun"/>
        </w:rPr>
        <w:t xml:space="preserve"> Evaluation</w:t>
      </w:r>
      <w:r w:rsidRPr="006219E1" w:rsidR="008D7E3F">
        <w:rPr>
          <w:rStyle w:val="normaltextrun"/>
        </w:rPr>
        <w:t>s</w:t>
      </w:r>
      <w:r w:rsidRPr="006219E1">
        <w:rPr>
          <w:rStyle w:val="normaltextrun"/>
        </w:rPr>
        <w:t xml:space="preserve"> may also include assessment of projects, practices, or interventions within a program.</w:t>
      </w:r>
    </w:p>
    <w:p w:rsidR="00AC0161" w:rsidRPr="006219E1" w:rsidP="00AC0161" w14:paraId="22DB116A" w14:textId="77777777">
      <w:pPr>
        <w:pStyle w:val="paragraph"/>
        <w:spacing w:before="0" w:beforeAutospacing="0" w:after="0" w:afterAutospacing="0" w:line="276" w:lineRule="auto"/>
        <w:textAlignment w:val="baseline"/>
        <w:rPr>
          <w:rStyle w:val="normaltextrun"/>
        </w:rPr>
      </w:pPr>
    </w:p>
    <w:p w:rsidR="00FA4E5F" w:rsidRPr="006219E1" w:rsidP="009447D2" w14:paraId="342F9134" w14:textId="2A9A8CE2">
      <w:pPr>
        <w:pStyle w:val="paragraph"/>
        <w:numPr>
          <w:ilvl w:val="0"/>
          <w:numId w:val="32"/>
        </w:numPr>
        <w:spacing w:before="0" w:beforeAutospacing="0" w:after="0" w:afterAutospacing="0" w:line="276" w:lineRule="auto"/>
        <w:textAlignment w:val="baseline"/>
        <w:rPr>
          <w:rStyle w:val="normaltextrun"/>
        </w:rPr>
      </w:pPr>
      <w:r w:rsidRPr="006219E1">
        <w:rPr>
          <w:rStyle w:val="normaltextrun"/>
        </w:rPr>
        <w:t>Annual Evaluation Plans describe the evaluation activities that an agency plans to undertake, including “significant” evaluations related to the agency learning agenda and any other “significant” evaluations, including those required by statute. DHS considers several criteria when designating evaluations as “significant,” including</w:t>
      </w:r>
      <w:r w:rsidRPr="006219E1" w:rsidR="00E377E0">
        <w:rPr>
          <w:rStyle w:val="normaltextrun"/>
        </w:rPr>
        <w:t xml:space="preserve"> the following</w:t>
      </w:r>
      <w:r w:rsidRPr="006219E1">
        <w:rPr>
          <w:rStyle w:val="normaltextrun"/>
        </w:rPr>
        <w:t>: supports the DHS learning agenda; aligns with leadership priorities; responds to a mandate; has potential for agency-wide impact or engagement; has potential for high financial impact; and has potential for high stakeholder impact</w:t>
      </w:r>
      <w:r w:rsidRPr="006219E1" w:rsidR="000D2BD4">
        <w:rPr>
          <w:rStyle w:val="normaltextrun"/>
        </w:rPr>
        <w:t>.</w:t>
      </w:r>
      <w:r w:rsidRPr="006219E1" w:rsidR="00AC0161">
        <w:rPr>
          <w:rStyle w:val="normaltextrun"/>
        </w:rPr>
        <w:t xml:space="preserve"> </w:t>
      </w:r>
    </w:p>
    <w:p w:rsidR="00FA4E5F" w:rsidRPr="006219E1" w:rsidP="00AC0161" w14:paraId="179EE066" w14:textId="77777777">
      <w:pPr>
        <w:pStyle w:val="paragraph"/>
        <w:spacing w:before="0" w:beforeAutospacing="0" w:after="0" w:afterAutospacing="0" w:line="276" w:lineRule="auto"/>
        <w:textAlignment w:val="baseline"/>
        <w:rPr>
          <w:rStyle w:val="normaltextrun"/>
        </w:rPr>
      </w:pPr>
    </w:p>
    <w:p w:rsidR="00353980" w:rsidRPr="006219E1" w:rsidP="00353980" w14:paraId="17EA53EC" w14:textId="4ACEFEF4">
      <w:pPr>
        <w:spacing w:line="276" w:lineRule="auto"/>
      </w:pPr>
      <w:r w:rsidRPr="006219E1">
        <w:rPr>
          <w:rStyle w:val="normaltextrun"/>
        </w:rPr>
        <w:t xml:space="preserve">The </w:t>
      </w:r>
      <w:r w:rsidRPr="006219E1" w:rsidR="00FA4E5F">
        <w:rPr>
          <w:rStyle w:val="normaltextrun"/>
        </w:rPr>
        <w:t>Cybersecurity and Infrastructure Security Agency’s (CISA)</w:t>
      </w:r>
      <w:r w:rsidRPr="006219E1" w:rsidR="009573D4">
        <w:rPr>
          <w:rStyle w:val="normaltextrun"/>
        </w:rPr>
        <w:t xml:space="preserve"> Learning Agenda questions are documented in the </w:t>
      </w:r>
      <w:hyperlink r:id="rId10" w:history="1">
        <w:r w:rsidRPr="006219E1" w:rsidR="009573D4">
          <w:rPr>
            <w:rStyle w:val="Hyperlink"/>
          </w:rPr>
          <w:t>Department of Homeland Security FY 2022-2026 Learning Agenda</w:t>
        </w:r>
      </w:hyperlink>
      <w:r w:rsidRPr="006219E1" w:rsidR="009573D4">
        <w:rPr>
          <w:rStyle w:val="normaltextrun"/>
        </w:rPr>
        <w:t>. In addition, its evaluations are included in the Department’s Annual Evaluation Plans</w:t>
      </w:r>
      <w:r w:rsidRPr="006219E1" w:rsidR="00EC17BF">
        <w:rPr>
          <w:rStyle w:val="normaltextrun"/>
        </w:rPr>
        <w:t xml:space="preserve">, </w:t>
      </w:r>
      <w:r w:rsidRPr="006219E1" w:rsidR="002B2A33">
        <w:rPr>
          <w:rStyle w:val="normaltextrun"/>
        </w:rPr>
        <w:t>indicating that the Department has recognized those evaluations as “significant.”</w:t>
      </w:r>
      <w:r w:rsidRPr="006219E1" w:rsidR="00FA4E5F">
        <w:rPr>
          <w:rStyle w:val="normaltextrun"/>
        </w:rPr>
        <w:t xml:space="preserve"> </w:t>
      </w:r>
      <w:r w:rsidRPr="006219E1" w:rsidR="00513F46">
        <w:rPr>
          <w:rStyle w:val="normaltextrun"/>
          <w:b/>
          <w:bCs/>
        </w:rPr>
        <w:t xml:space="preserve">The Stakeholder </w:t>
      </w:r>
      <w:r w:rsidRPr="006219E1" w:rsidR="00513F46">
        <w:rPr>
          <w:rStyle w:val="normaltextrun"/>
          <w:b/>
          <w:bCs/>
        </w:rPr>
        <w:t xml:space="preserve">Engagement Division (SED) Convenings Evaluation is one </w:t>
      </w:r>
      <w:r w:rsidRPr="006219E1" w:rsidR="005D0375">
        <w:rPr>
          <w:rStyle w:val="normaltextrun"/>
          <w:b/>
          <w:bCs/>
        </w:rPr>
        <w:t xml:space="preserve">such </w:t>
      </w:r>
      <w:r w:rsidRPr="006219E1" w:rsidR="00513F46">
        <w:rPr>
          <w:rStyle w:val="normaltextrun"/>
          <w:b/>
          <w:bCs/>
        </w:rPr>
        <w:t>significant evaluation</w:t>
      </w:r>
      <w:r w:rsidRPr="006219E1" w:rsidR="00513F46">
        <w:rPr>
          <w:rStyle w:val="normaltextrun"/>
        </w:rPr>
        <w:t xml:space="preserve"> </w:t>
      </w:r>
      <w:r w:rsidRPr="006219E1" w:rsidR="003A6A82">
        <w:rPr>
          <w:rStyle w:val="normaltextrun"/>
        </w:rPr>
        <w:t>and</w:t>
      </w:r>
      <w:r w:rsidRPr="006219E1" w:rsidR="00513F46">
        <w:rPr>
          <w:rStyle w:val="normaltextrun"/>
        </w:rPr>
        <w:t xml:space="preserve"> was included in the </w:t>
      </w:r>
      <w:hyperlink r:id="rId11" w:history="1">
        <w:r w:rsidRPr="006219E1" w:rsidR="0086040F">
          <w:rPr>
            <w:rStyle w:val="Hyperlink"/>
          </w:rPr>
          <w:t>Department of Homeland Security FY 2023 Annual Evaluation Plan</w:t>
        </w:r>
      </w:hyperlink>
      <w:r w:rsidRPr="006219E1" w:rsidR="001D4F3D">
        <w:rPr>
          <w:rStyle w:val="normaltextrun"/>
        </w:rPr>
        <w:t xml:space="preserve">. </w:t>
      </w:r>
      <w:r w:rsidRPr="006219E1" w:rsidR="00664803">
        <w:rPr>
          <w:rStyle w:val="normaltextrun"/>
        </w:rPr>
        <w:t>CISA’s Program Ana</w:t>
      </w:r>
      <w:r w:rsidRPr="006219E1" w:rsidR="00FA4E5F">
        <w:rPr>
          <w:rStyle w:val="normaltextrun"/>
        </w:rPr>
        <w:t xml:space="preserve">lysis &amp; Evaluation (PA&amp;E) </w:t>
      </w:r>
      <w:r w:rsidRPr="006219E1" w:rsidR="00480B28">
        <w:rPr>
          <w:rStyle w:val="normaltextrun"/>
        </w:rPr>
        <w:t xml:space="preserve">Division </w:t>
      </w:r>
      <w:r w:rsidR="00F7261E">
        <w:rPr>
          <w:rStyle w:val="normaltextrun"/>
        </w:rPr>
        <w:t>(</w:t>
      </w:r>
      <w:r w:rsidR="00F7261E">
        <w:t xml:space="preserve">and any </w:t>
      </w:r>
      <w:r w:rsidRPr="00E077FE" w:rsidR="00F7261E">
        <w:t>contractor</w:t>
      </w:r>
      <w:r w:rsidR="00F7261E">
        <w:t>s, as applicable</w:t>
      </w:r>
      <w:r w:rsidR="00F7261E">
        <w:rPr>
          <w:rStyle w:val="normaltextrun"/>
        </w:rPr>
        <w:t xml:space="preserve">) </w:t>
      </w:r>
      <w:r w:rsidR="004C04E4">
        <w:rPr>
          <w:rStyle w:val="normaltextrun"/>
        </w:rPr>
        <w:t>is conducting</w:t>
      </w:r>
      <w:r w:rsidRPr="006219E1" w:rsidR="00630708">
        <w:rPr>
          <w:rStyle w:val="normaltextrun"/>
        </w:rPr>
        <w:t xml:space="preserve"> </w:t>
      </w:r>
      <w:r w:rsidRPr="006219E1">
        <w:rPr>
          <w:rStyle w:val="normaltextrun"/>
        </w:rPr>
        <w:t>this study</w:t>
      </w:r>
      <w:r w:rsidRPr="006219E1" w:rsidR="00630708">
        <w:rPr>
          <w:rStyle w:val="normaltextrun"/>
        </w:rPr>
        <w:t>.</w:t>
      </w:r>
      <w:r w:rsidRPr="006219E1">
        <w:rPr>
          <w:color w:val="000000"/>
          <w:shd w:val="clear" w:color="auto" w:fill="FFFFFF"/>
        </w:rPr>
        <w:t xml:space="preserve"> </w:t>
      </w:r>
    </w:p>
    <w:p w:rsidR="003A6A82" w:rsidRPr="006219E1" w:rsidP="001B1FCA" w14:paraId="6A6284EE" w14:textId="51A27F1A">
      <w:pPr>
        <w:pStyle w:val="paragraph"/>
        <w:spacing w:before="0" w:beforeAutospacing="0" w:after="0" w:afterAutospacing="0" w:line="276" w:lineRule="auto"/>
        <w:textAlignment w:val="baseline"/>
        <w:rPr>
          <w:shd w:val="clear" w:color="auto" w:fill="FFFFFF"/>
        </w:rPr>
      </w:pPr>
      <w:r w:rsidRPr="006219E1">
        <w:rPr>
          <w:rStyle w:val="normaltextrun"/>
          <w:b/>
          <w:bCs/>
          <w:u w:val="single"/>
        </w:rPr>
        <w:t>SED Convenings Evaluation</w:t>
      </w:r>
    </w:p>
    <w:p w:rsidR="00666B1C" w:rsidRPr="006219E1" w:rsidP="00666B1C" w14:paraId="423FC55B" w14:textId="77777777">
      <w:pPr>
        <w:pStyle w:val="Byline"/>
        <w:spacing w:line="276" w:lineRule="auto"/>
        <w:jc w:val="left"/>
        <w:rPr>
          <w:rFonts w:ascii="Times New Roman" w:hAnsi="Times New Roman" w:cs="Times New Roman"/>
          <w:color w:val="000000"/>
          <w:sz w:val="24"/>
          <w:szCs w:val="24"/>
          <w:shd w:val="clear" w:color="auto" w:fill="FFFFFF"/>
        </w:rPr>
      </w:pPr>
    </w:p>
    <w:p w:rsidR="00666B1C" w:rsidRPr="006219E1" w:rsidP="00666B1C" w14:paraId="2382FED7" w14:textId="5AD0CCCE">
      <w:pPr>
        <w:pStyle w:val="Byline"/>
        <w:spacing w:line="276" w:lineRule="auto"/>
        <w:jc w:val="left"/>
        <w:rPr>
          <w:rFonts w:ascii="Times New Roman" w:hAnsi="Times New Roman" w:cs="Times New Roman"/>
          <w:bCs w:val="0"/>
          <w:color w:val="000000"/>
          <w:sz w:val="24"/>
          <w:szCs w:val="24"/>
          <w:shd w:val="clear" w:color="auto" w:fill="FFFFFF"/>
        </w:rPr>
      </w:pPr>
      <w:r>
        <w:rPr>
          <w:rFonts w:ascii="Times New Roman" w:hAnsi="Times New Roman" w:cs="Times New Roman"/>
          <w:color w:val="000000"/>
          <w:sz w:val="24"/>
          <w:szCs w:val="24"/>
          <w:shd w:val="clear" w:color="auto" w:fill="FFFFFF"/>
        </w:rPr>
        <w:t xml:space="preserve">CISA’s </w:t>
      </w:r>
      <w:r w:rsidRPr="006219E1" w:rsidR="00707E69">
        <w:rPr>
          <w:rFonts w:ascii="Times New Roman" w:hAnsi="Times New Roman" w:cs="Times New Roman"/>
          <w:color w:val="000000"/>
          <w:sz w:val="24"/>
          <w:szCs w:val="24"/>
          <w:shd w:val="clear" w:color="auto" w:fill="FFFFFF"/>
        </w:rPr>
        <w:t>SED</w:t>
      </w:r>
      <w:r w:rsidRPr="006219E1">
        <w:rPr>
          <w:rFonts w:ascii="Times New Roman" w:hAnsi="Times New Roman" w:cs="Times New Roman"/>
          <w:color w:val="000000"/>
          <w:sz w:val="24"/>
          <w:szCs w:val="24"/>
          <w:shd w:val="clear" w:color="auto" w:fill="FFFFFF"/>
        </w:rPr>
        <w:t xml:space="preserve"> leads CISA’s national and international voluntary partnerships and engagements with critical infrastructure stakeholders while serving as the agency’s hub for the shared stakeholder information that unifies CISA’s approach to whole-of-nation operational collaboration and information sharing. CISA’s voluntary partnership</w:t>
      </w:r>
      <w:r w:rsidRPr="006219E1">
        <w:rPr>
          <w:rFonts w:ascii="Times New Roman" w:hAnsi="Times New Roman" w:cs="Times New Roman"/>
          <w:bCs w:val="0"/>
          <w:color w:val="000000"/>
          <w:sz w:val="24"/>
          <w:szCs w:val="24"/>
          <w:shd w:val="clear" w:color="auto" w:fill="FFFFFF"/>
        </w:rPr>
        <w:t xml:space="preserve"> </w:t>
      </w:r>
      <w:r w:rsidRPr="006219E1">
        <w:rPr>
          <w:rFonts w:ascii="Times New Roman" w:hAnsi="Times New Roman" w:cs="Times New Roman"/>
          <w:color w:val="000000"/>
          <w:sz w:val="24"/>
          <w:szCs w:val="24"/>
          <w:shd w:val="clear" w:color="auto" w:fill="FFFFFF"/>
        </w:rPr>
        <w:t>model relies on constant feedback and collaboration with critical infrastructure partners. One mechanism to seek this input is through the various convening activities</w:t>
      </w:r>
      <w:r w:rsidRPr="006219E1" w:rsidR="003A6A82">
        <w:rPr>
          <w:rFonts w:ascii="Times New Roman" w:hAnsi="Times New Roman" w:cs="Times New Roman"/>
          <w:color w:val="000000"/>
          <w:sz w:val="24"/>
          <w:szCs w:val="24"/>
          <w:shd w:val="clear" w:color="auto" w:fill="FFFFFF"/>
        </w:rPr>
        <w:t>,</w:t>
      </w:r>
      <w:r w:rsidRPr="006219E1">
        <w:rPr>
          <w:rFonts w:ascii="Times New Roman" w:hAnsi="Times New Roman" w:cs="Times New Roman"/>
          <w:bCs w:val="0"/>
          <w:color w:val="000000"/>
          <w:sz w:val="24"/>
          <w:szCs w:val="24"/>
          <w:shd w:val="clear" w:color="auto" w:fill="FFFFFF"/>
        </w:rPr>
        <w:t xml:space="preserve"> including </w:t>
      </w:r>
      <w:r w:rsidRPr="006219E1">
        <w:rPr>
          <w:rFonts w:ascii="Times New Roman" w:hAnsi="Times New Roman" w:cs="Times New Roman"/>
          <w:color w:val="000000"/>
          <w:sz w:val="24"/>
          <w:szCs w:val="24"/>
          <w:shd w:val="clear" w:color="auto" w:fill="FFFFFF"/>
        </w:rPr>
        <w:t>Councils, Boards, and Committees</w:t>
      </w:r>
      <w:r w:rsidRPr="006219E1" w:rsidR="003A6A82">
        <w:rPr>
          <w:rFonts w:ascii="Times New Roman" w:hAnsi="Times New Roman" w:cs="Times New Roman"/>
          <w:color w:val="000000"/>
          <w:sz w:val="24"/>
          <w:szCs w:val="24"/>
          <w:shd w:val="clear" w:color="auto" w:fill="FFFFFF"/>
        </w:rPr>
        <w:t>,</w:t>
      </w:r>
      <w:r w:rsidRPr="006219E1">
        <w:rPr>
          <w:rFonts w:ascii="Times New Roman" w:hAnsi="Times New Roman" w:cs="Times New Roman"/>
          <w:color w:val="000000"/>
          <w:sz w:val="24"/>
          <w:szCs w:val="24"/>
          <w:shd w:val="clear" w:color="auto" w:fill="FFFFFF"/>
        </w:rPr>
        <w:t xml:space="preserve"> that CISA manages through SED.</w:t>
      </w:r>
      <w:r w:rsidRPr="006219E1">
        <w:rPr>
          <w:rFonts w:ascii="Times New Roman" w:hAnsi="Times New Roman" w:cs="Times New Roman"/>
          <w:bCs w:val="0"/>
          <w:color w:val="000000"/>
          <w:sz w:val="24"/>
          <w:szCs w:val="24"/>
          <w:shd w:val="clear" w:color="auto" w:fill="FFFFFF"/>
        </w:rPr>
        <w:t xml:space="preserve"> </w:t>
      </w:r>
      <w:r w:rsidRPr="006219E1">
        <w:rPr>
          <w:rFonts w:ascii="Times New Roman" w:hAnsi="Times New Roman" w:cs="Times New Roman"/>
          <w:color w:val="000000"/>
          <w:sz w:val="24"/>
          <w:szCs w:val="24"/>
          <w:shd w:val="clear" w:color="auto" w:fill="FFFFFF"/>
        </w:rPr>
        <w:t>These convening mechanisms provide structure and an iterative</w:t>
      </w:r>
      <w:r w:rsidRPr="006219E1">
        <w:rPr>
          <w:rFonts w:ascii="Times New Roman" w:hAnsi="Times New Roman" w:cs="Times New Roman"/>
          <w:color w:val="000000"/>
          <w:sz w:val="24"/>
          <w:szCs w:val="24"/>
          <w:shd w:val="clear" w:color="auto" w:fill="FFFFFF"/>
        </w:rPr>
        <w:t xml:space="preserve"> </w:t>
      </w:r>
      <w:r w:rsidRPr="006219E1">
        <w:rPr>
          <w:rFonts w:ascii="Times New Roman" w:hAnsi="Times New Roman" w:cs="Times New Roman"/>
          <w:color w:val="000000"/>
          <w:sz w:val="24"/>
          <w:szCs w:val="24"/>
          <w:shd w:val="clear" w:color="auto" w:fill="FFFFFF"/>
        </w:rPr>
        <w:t>process for bringing government, industry, and academic partners together to drive whole-of-nation operational collaboration.</w:t>
      </w:r>
      <w:r w:rsidRPr="006219E1">
        <w:rPr>
          <w:rFonts w:ascii="Times New Roman" w:hAnsi="Times New Roman" w:cs="Times New Roman"/>
          <w:bCs w:val="0"/>
          <w:color w:val="000000"/>
          <w:sz w:val="24"/>
          <w:szCs w:val="24"/>
          <w:shd w:val="clear" w:color="auto" w:fill="FFFFFF"/>
        </w:rPr>
        <w:t xml:space="preserve"> Other </w:t>
      </w:r>
      <w:r w:rsidRPr="006219E1">
        <w:rPr>
          <w:rFonts w:ascii="Times New Roman" w:hAnsi="Times New Roman" w:cs="Times New Roman"/>
          <w:color w:val="000000"/>
          <w:sz w:val="24"/>
          <w:szCs w:val="24"/>
          <w:shd w:val="clear" w:color="auto" w:fill="FFFFFF"/>
        </w:rPr>
        <w:t>products and services</w:t>
      </w:r>
      <w:r w:rsidRPr="006219E1">
        <w:rPr>
          <w:rFonts w:ascii="Times New Roman" w:hAnsi="Times New Roman" w:cs="Times New Roman"/>
          <w:bCs w:val="0"/>
          <w:color w:val="000000"/>
          <w:sz w:val="24"/>
          <w:szCs w:val="24"/>
          <w:shd w:val="clear" w:color="auto" w:fill="FFFFFF"/>
        </w:rPr>
        <w:t xml:space="preserve"> offered to partners include </w:t>
      </w:r>
      <w:r w:rsidRPr="006219E1">
        <w:rPr>
          <w:rFonts w:ascii="Times New Roman" w:hAnsi="Times New Roman" w:cs="Times New Roman"/>
          <w:color w:val="000000"/>
          <w:sz w:val="24"/>
          <w:szCs w:val="24"/>
          <w:shd w:val="clear" w:color="auto" w:fill="FFFFFF"/>
        </w:rPr>
        <w:t>analysis, reports, guidance, training</w:t>
      </w:r>
      <w:r w:rsidRPr="006219E1">
        <w:rPr>
          <w:rFonts w:ascii="Times New Roman" w:hAnsi="Times New Roman" w:cs="Times New Roman"/>
          <w:bCs w:val="0"/>
          <w:color w:val="000000"/>
          <w:sz w:val="24"/>
          <w:szCs w:val="24"/>
          <w:shd w:val="clear" w:color="auto" w:fill="FFFFFF"/>
        </w:rPr>
        <w:t>s</w:t>
      </w:r>
      <w:r w:rsidRPr="006219E1">
        <w:rPr>
          <w:rFonts w:ascii="Times New Roman" w:hAnsi="Times New Roman" w:cs="Times New Roman"/>
          <w:color w:val="000000"/>
          <w:sz w:val="24"/>
          <w:szCs w:val="24"/>
          <w:shd w:val="clear" w:color="auto" w:fill="FFFFFF"/>
        </w:rPr>
        <w:t xml:space="preserve">, and scenario-based drills developed </w:t>
      </w:r>
      <w:r w:rsidRPr="006219E1">
        <w:rPr>
          <w:rFonts w:ascii="Times New Roman" w:hAnsi="Times New Roman" w:cs="Times New Roman"/>
          <w:bCs w:val="0"/>
          <w:color w:val="000000"/>
          <w:sz w:val="24"/>
          <w:szCs w:val="24"/>
          <w:shd w:val="clear" w:color="auto" w:fill="FFFFFF"/>
        </w:rPr>
        <w:t xml:space="preserve">to </w:t>
      </w:r>
      <w:r w:rsidRPr="006219E1">
        <w:rPr>
          <w:rFonts w:ascii="Times New Roman" w:hAnsi="Times New Roman" w:cs="Times New Roman"/>
          <w:color w:val="000000"/>
          <w:sz w:val="24"/>
          <w:szCs w:val="24"/>
          <w:shd w:val="clear" w:color="auto" w:fill="FFFFFF"/>
        </w:rPr>
        <w:t>help the entire community do their part to raise the security baseline of critical infrastructure’s assets, systems, and networks.</w:t>
      </w:r>
    </w:p>
    <w:p w:rsidR="00666B1C" w:rsidRPr="006219E1" w:rsidP="00666B1C" w14:paraId="73773C38" w14:textId="77777777">
      <w:pPr>
        <w:rPr>
          <w:bCs/>
          <w:color w:val="000000"/>
          <w:shd w:val="clear" w:color="auto" w:fill="FFFFFF"/>
        </w:rPr>
      </w:pPr>
    </w:p>
    <w:p w:rsidR="002C5411" w:rsidRPr="006219E1" w:rsidP="002C5411" w14:paraId="30AC2DBF" w14:textId="77777777">
      <w:pPr>
        <w:spacing w:after="160" w:line="276" w:lineRule="auto"/>
        <w:rPr>
          <w:rFonts w:eastAsia="Arial"/>
          <w:color w:val="000000"/>
          <w:shd w:val="clear" w:color="auto" w:fill="FFFFFF"/>
        </w:rPr>
      </w:pPr>
      <w:r w:rsidRPr="006219E1">
        <w:rPr>
          <w:rFonts w:eastAsia="Arial"/>
          <w:color w:val="000000"/>
          <w:shd w:val="clear" w:color="auto" w:fill="FFFFFF"/>
        </w:rPr>
        <w:t xml:space="preserve">Of the 16 critical infrastructure sectors, SED identified the Critical Manufacturing; Commercial Facilities; and Nuclear Reactors, Materials, and Waste (herein referred to as “Nuclear”) sectors for inclusion in this study for the following reasons: </w:t>
      </w:r>
    </w:p>
    <w:p w:rsidR="002C5411" w:rsidRPr="006219E1" w:rsidP="002C5411" w14:paraId="5863B9DF" w14:textId="77777777">
      <w:pPr>
        <w:numPr>
          <w:ilvl w:val="0"/>
          <w:numId w:val="28"/>
        </w:numPr>
        <w:spacing w:after="160" w:line="276" w:lineRule="auto"/>
        <w:contextualSpacing/>
        <w:rPr>
          <w:rFonts w:eastAsia="Arial"/>
          <w:color w:val="000000"/>
          <w:shd w:val="clear" w:color="auto" w:fill="FFFFFF"/>
        </w:rPr>
      </w:pPr>
      <w:r w:rsidRPr="006219E1">
        <w:rPr>
          <w:rFonts w:eastAsia="Arial"/>
          <w:color w:val="000000"/>
          <w:shd w:val="clear" w:color="auto" w:fill="FFFFFF"/>
        </w:rPr>
        <w:t xml:space="preserve">CISA is the </w:t>
      </w:r>
      <w:hyperlink r:id="rId12" w:history="1">
        <w:r w:rsidRPr="006219E1">
          <w:rPr>
            <w:rFonts w:eastAsia="Arial"/>
            <w:color w:val="4F2D7F"/>
            <w:u w:val="single"/>
            <w:shd w:val="clear" w:color="auto" w:fill="FFFFFF"/>
          </w:rPr>
          <w:t>Sector Risk Management Agency (SRMA)</w:t>
        </w:r>
      </w:hyperlink>
      <w:r w:rsidRPr="006219E1">
        <w:rPr>
          <w:rFonts w:eastAsia="Arial"/>
          <w:color w:val="000000"/>
          <w:shd w:val="clear" w:color="auto" w:fill="FFFFFF"/>
        </w:rPr>
        <w:t xml:space="preserve"> for these three sectors and is therefore able to engage directly with them. </w:t>
      </w:r>
    </w:p>
    <w:p w:rsidR="002C5411" w:rsidRPr="006219E1" w:rsidP="002C5411" w14:paraId="04DE96C7" w14:textId="56D40E3D">
      <w:pPr>
        <w:numPr>
          <w:ilvl w:val="0"/>
          <w:numId w:val="28"/>
        </w:numPr>
        <w:spacing w:after="160" w:line="276" w:lineRule="auto"/>
        <w:contextualSpacing/>
        <w:rPr>
          <w:rFonts w:eastAsia="Arial"/>
          <w:color w:val="000000"/>
          <w:shd w:val="clear" w:color="auto" w:fill="FFFFFF"/>
        </w:rPr>
      </w:pPr>
      <w:r w:rsidRPr="006219E1">
        <w:rPr>
          <w:rFonts w:eastAsia="Arial"/>
          <w:color w:val="000000"/>
          <w:shd w:val="clear" w:color="auto" w:fill="FFFFFF"/>
        </w:rPr>
        <w:t>These sectors span a range of infrastructure types (high-security hardened facilities, open public facilities, product development, service providers) that face a wide range of distinct threats and issues, providing an opportunity to explore the widest possible range of evaluation approaches and factors influencing evaluation within them.</w:t>
      </w:r>
    </w:p>
    <w:p w:rsidR="002C5411" w:rsidRPr="006219E1" w:rsidP="002C5411" w14:paraId="6A4AFFF2" w14:textId="21AFDD9E">
      <w:pPr>
        <w:numPr>
          <w:ilvl w:val="0"/>
          <w:numId w:val="28"/>
        </w:numPr>
        <w:spacing w:after="160" w:line="276" w:lineRule="auto"/>
        <w:contextualSpacing/>
        <w:rPr>
          <w:rFonts w:eastAsia="Arial"/>
          <w:color w:val="000000"/>
          <w:shd w:val="clear" w:color="auto" w:fill="FFFFFF"/>
        </w:rPr>
      </w:pPr>
      <w:r w:rsidRPr="006219E1">
        <w:rPr>
          <w:rFonts w:eastAsia="Arial"/>
          <w:color w:val="000000"/>
          <w:shd w:val="clear" w:color="auto" w:fill="FFFFFF"/>
        </w:rPr>
        <w:t xml:space="preserve">The Critical Manufacturing and Commercial Facilities sectors, specifically, were the subject of recent DHS audits from the Office of Inspector General and Government Accountability Office, who are especially focused on developing approaches to evaluate the effectiveness of the sectors in executing their protective responsibilities and CISA’s role as the SRMA. </w:t>
      </w:r>
    </w:p>
    <w:p w:rsidR="002C5411" w:rsidRPr="006219E1" w:rsidP="002C5411" w14:paraId="5A49D4D5" w14:textId="77777777">
      <w:pPr>
        <w:numPr>
          <w:ilvl w:val="0"/>
          <w:numId w:val="28"/>
        </w:numPr>
        <w:spacing w:after="160" w:line="276" w:lineRule="auto"/>
        <w:contextualSpacing/>
        <w:rPr>
          <w:rFonts w:eastAsia="Arial"/>
        </w:rPr>
      </w:pPr>
      <w:r w:rsidRPr="006219E1">
        <w:rPr>
          <w:rFonts w:eastAsia="Arial"/>
          <w:color w:val="000000"/>
          <w:shd w:val="clear" w:color="auto" w:fill="FFFFFF"/>
        </w:rPr>
        <w:t>The SED program teams supporting these sectors have productive working relationships with sector leaders and partners and the bandwidth to support this evaluation.</w:t>
      </w:r>
    </w:p>
    <w:p w:rsidR="002C5411" w:rsidRPr="006219E1" w:rsidP="00666B1C" w14:paraId="122FADFA" w14:textId="77777777">
      <w:pPr>
        <w:spacing w:line="276" w:lineRule="auto"/>
        <w:rPr>
          <w:color w:val="000000"/>
          <w:shd w:val="clear" w:color="auto" w:fill="FFFFFF"/>
        </w:rPr>
      </w:pPr>
    </w:p>
    <w:p w:rsidR="00D73BBC" w:rsidRPr="006219E1" w:rsidP="000C4293" w14:paraId="34AB42C4" w14:textId="2E9B57DA">
      <w:pPr>
        <w:tabs>
          <w:tab w:val="left" w:pos="-720"/>
        </w:tabs>
        <w:suppressAutoHyphens/>
        <w:jc w:val="both"/>
        <w:rPr>
          <w:spacing w:val="-3"/>
        </w:rPr>
      </w:pPr>
      <w:r w:rsidRPr="006219E1">
        <w:rPr>
          <w:color w:val="000000"/>
          <w:shd w:val="clear" w:color="auto" w:fill="FFFFFF"/>
        </w:rPr>
        <w:t xml:space="preserve">This evaluation will assess the extent to which CISA’s convening activities, products, and services 1) provide timely, accurate, and useful information about security and risk resilience, including opportunities for meaningful information exchange between CISA and sector stakeholders; and 2) are accessed and used by stakeholders to enhance their abilities to respond to critical threats and improve strategic decision-making and risk reduction. This study also aims to increase </w:t>
      </w:r>
      <w:r w:rsidRPr="006219E1">
        <w:rPr>
          <w:color w:val="000000"/>
          <w:shd w:val="clear" w:color="auto" w:fill="FFFFFF"/>
        </w:rPr>
        <w:t>understanding of the best practices for getting stakeholders engaged and building trusted relationships.</w:t>
      </w:r>
    </w:p>
    <w:p w:rsidR="00E61CDB" w:rsidRPr="006219E1" w:rsidP="000C4293" w14:paraId="1D0BFBF4" w14:textId="77777777">
      <w:pPr>
        <w:tabs>
          <w:tab w:val="left" w:pos="-720"/>
        </w:tabs>
        <w:suppressAutoHyphens/>
        <w:jc w:val="both"/>
        <w:rPr>
          <w:bCs/>
          <w:spacing w:val="-3"/>
        </w:rPr>
      </w:pPr>
    </w:p>
    <w:p w:rsidR="00EB5E96" w:rsidRPr="006219E1" w:rsidP="000C4293" w14:paraId="292D1E97" w14:textId="134D8B34">
      <w:pPr>
        <w:shd w:val="pct25" w:color="auto" w:fill="auto"/>
        <w:tabs>
          <w:tab w:val="left" w:pos="-720"/>
        </w:tabs>
        <w:suppressAutoHyphens/>
        <w:jc w:val="both"/>
      </w:pPr>
      <w:r w:rsidRPr="006219E1">
        <w:fldChar w:fldCharType="begin"/>
      </w:r>
      <w:r w:rsidRPr="006219E1">
        <w:instrText>ADVANCE \R 0.95</w:instrText>
      </w:r>
      <w:r w:rsidRPr="006219E1">
        <w:fldChar w:fldCharType="end"/>
      </w:r>
      <w:r w:rsidRPr="006219E1">
        <w:t xml:space="preserve">2.  Indicate how, by whom, and for what purpose the information is to be used.  Except for a new collection, indicate the actual use the agency has made of the information received from the current collection. </w:t>
      </w:r>
    </w:p>
    <w:p w:rsidR="00D73BBC" w:rsidRPr="006219E1" w:rsidP="00D73BBC" w14:paraId="42FB41F9" w14:textId="77777777">
      <w:pPr>
        <w:tabs>
          <w:tab w:val="left" w:pos="-720"/>
        </w:tabs>
        <w:suppressAutoHyphens/>
        <w:jc w:val="both"/>
        <w:rPr>
          <w:i/>
          <w:spacing w:val="-3"/>
        </w:rPr>
      </w:pPr>
    </w:p>
    <w:p w:rsidR="009F48DE" w:rsidRPr="006219E1" w:rsidP="4E1491A6" w14:paraId="6AA426E9" w14:textId="11BE2387">
      <w:pPr>
        <w:suppressAutoHyphens/>
        <w:rPr>
          <w:rFonts w:eastAsia="Calibri"/>
          <w:color w:val="000000"/>
          <w:shd w:val="clear" w:color="auto" w:fill="FFFFFF"/>
        </w:rPr>
      </w:pPr>
      <w:r w:rsidRPr="006219E1">
        <w:rPr>
          <w:rStyle w:val="normaltextrun"/>
          <w:color w:val="000000"/>
          <w:shd w:val="clear" w:color="auto" w:fill="FFFFFF"/>
        </w:rPr>
        <w:t xml:space="preserve">This is a new </w:t>
      </w:r>
      <w:r w:rsidRPr="006219E1" w:rsidR="005903DD">
        <w:rPr>
          <w:rStyle w:val="normaltextrun"/>
          <w:color w:val="000000"/>
          <w:shd w:val="clear" w:color="auto" w:fill="FFFFFF"/>
        </w:rPr>
        <w:t xml:space="preserve">information </w:t>
      </w:r>
      <w:r w:rsidRPr="006219E1">
        <w:rPr>
          <w:rStyle w:val="normaltextrun"/>
          <w:color w:val="000000"/>
          <w:shd w:val="clear" w:color="auto" w:fill="FFFFFF"/>
        </w:rPr>
        <w:t xml:space="preserve">collection. </w:t>
      </w:r>
      <w:r w:rsidRPr="006219E1" w:rsidR="009E59FE">
        <w:rPr>
          <w:rStyle w:val="normaltextrun"/>
          <w:color w:val="000000"/>
          <w:shd w:val="clear" w:color="auto" w:fill="FFFFFF"/>
        </w:rPr>
        <w:t>Information will be collected</w:t>
      </w:r>
      <w:r w:rsidRPr="006219E1" w:rsidR="009D2C3C">
        <w:rPr>
          <w:rStyle w:val="normaltextrun"/>
          <w:color w:val="000000"/>
          <w:shd w:val="clear" w:color="auto" w:fill="FFFFFF"/>
        </w:rPr>
        <w:t xml:space="preserve"> by </w:t>
      </w:r>
      <w:r w:rsidRPr="006219E1" w:rsidR="00262E6B">
        <w:rPr>
          <w:rStyle w:val="normaltextrun"/>
          <w:color w:val="000000"/>
          <w:shd w:val="clear" w:color="auto" w:fill="FFFFFF"/>
        </w:rPr>
        <w:t>CISA’s PA&amp;E</w:t>
      </w:r>
      <w:r w:rsidR="00E5348E">
        <w:rPr>
          <w:rStyle w:val="normaltextrun"/>
          <w:color w:val="000000"/>
          <w:shd w:val="clear" w:color="auto" w:fill="FFFFFF"/>
        </w:rPr>
        <w:t xml:space="preserve"> (</w:t>
      </w:r>
      <w:r w:rsidR="00E5348E">
        <w:t xml:space="preserve">and any </w:t>
      </w:r>
      <w:r w:rsidRPr="00E077FE" w:rsidR="00E5348E">
        <w:t>contractor</w:t>
      </w:r>
      <w:r w:rsidR="00E5348E">
        <w:t>s, as applicable)</w:t>
      </w:r>
      <w:r w:rsidR="00E5348E">
        <w:rPr>
          <w:rStyle w:val="normaltextrun"/>
          <w:color w:val="000000"/>
          <w:shd w:val="clear" w:color="auto" w:fill="FFFFFF"/>
        </w:rPr>
        <w:t xml:space="preserve">. </w:t>
      </w:r>
      <w:r w:rsidRPr="006219E1">
        <w:rPr>
          <w:rFonts w:eastAsia="Calibri"/>
          <w:color w:val="000000"/>
          <w:shd w:val="clear" w:color="auto" w:fill="FFFFFF"/>
        </w:rPr>
        <w:t xml:space="preserve">The potential respondent universe </w:t>
      </w:r>
      <w:r w:rsidRPr="006219E1">
        <w:rPr>
          <w:rFonts w:eastAsia="Calibri"/>
          <w:color w:val="000000"/>
          <w:shd w:val="clear" w:color="auto" w:fill="FFFFFF"/>
        </w:rPr>
        <w:t xml:space="preserve">for this </w:t>
      </w:r>
      <w:r w:rsidRPr="006219E1">
        <w:rPr>
          <w:rFonts w:eastAsia="Calibri"/>
          <w:color w:val="000000"/>
          <w:shd w:val="clear" w:color="auto" w:fill="FFFFFF"/>
        </w:rPr>
        <w:t xml:space="preserve">evaluation includes individual </w:t>
      </w:r>
      <w:r w:rsidRPr="006219E1" w:rsidR="002B7825">
        <w:rPr>
          <w:rFonts w:eastAsia="Calibri"/>
          <w:color w:val="000000"/>
          <w:shd w:val="clear" w:color="auto" w:fill="FFFFFF"/>
        </w:rPr>
        <w:t>representatives (</w:t>
      </w:r>
      <w:r w:rsidRPr="006219E1">
        <w:rPr>
          <w:rFonts w:eastAsia="Calibri"/>
          <w:color w:val="000000"/>
          <w:shd w:val="clear" w:color="auto" w:fill="FFFFFF"/>
        </w:rPr>
        <w:t>approximately 1,000</w:t>
      </w:r>
      <w:r w:rsidRPr="006219E1" w:rsidR="002B7825">
        <w:rPr>
          <w:rFonts w:eastAsia="Calibri"/>
          <w:color w:val="000000"/>
          <w:shd w:val="clear" w:color="auto" w:fill="FFFFFF"/>
        </w:rPr>
        <w:t xml:space="preserve"> cyber and physical security, emergency, and business continuity managers) </w:t>
      </w:r>
      <w:r w:rsidRPr="006219E1">
        <w:rPr>
          <w:rFonts w:eastAsia="Calibri"/>
          <w:color w:val="000000"/>
          <w:shd w:val="clear" w:color="auto" w:fill="FFFFFF"/>
        </w:rPr>
        <w:t xml:space="preserve">of approximately 300 </w:t>
      </w:r>
      <w:r w:rsidRPr="006219E1" w:rsidR="002B7825">
        <w:rPr>
          <w:rFonts w:eastAsia="Calibri"/>
          <w:color w:val="000000"/>
          <w:shd w:val="clear" w:color="auto" w:fill="FFFFFF"/>
        </w:rPr>
        <w:t xml:space="preserve">member organizations </w:t>
      </w:r>
      <w:r w:rsidRPr="006219E1">
        <w:rPr>
          <w:rFonts w:eastAsia="Calibri"/>
          <w:color w:val="000000"/>
          <w:shd w:val="clear" w:color="auto" w:fill="FFFFFF"/>
        </w:rPr>
        <w:t>from three critical infrastructure sectors [</w:t>
      </w:r>
      <w:r w:rsidRPr="006219E1" w:rsidR="002B7825">
        <w:rPr>
          <w:rFonts w:eastAsia="Arial"/>
          <w:color w:val="000000"/>
          <w:shd w:val="clear" w:color="auto" w:fill="FFFFFF"/>
        </w:rPr>
        <w:t xml:space="preserve">Critical Manufacturing, Commercial Facilities, and Nuclear </w:t>
      </w:r>
      <w:r w:rsidRPr="006219E1">
        <w:rPr>
          <w:rFonts w:eastAsia="Arial"/>
          <w:color w:val="000000"/>
          <w:shd w:val="clear" w:color="auto" w:fill="FFFFFF"/>
        </w:rPr>
        <w:t>Reactors, Materials, and Waste (herein referred to as “Nuclear”)]</w:t>
      </w:r>
      <w:r w:rsidRPr="006219E1">
        <w:rPr>
          <w:rFonts w:eastAsia="Calibri"/>
          <w:color w:val="000000"/>
          <w:shd w:val="clear" w:color="auto" w:fill="FFFFFF"/>
        </w:rPr>
        <w:t xml:space="preserve">. Those who have served as a representative for less than 3 months will be excluded. </w:t>
      </w:r>
    </w:p>
    <w:p w:rsidR="009F48DE" w:rsidRPr="006219E1" w:rsidP="00C32A8D" w14:paraId="083236CA" w14:textId="3675A092">
      <w:pPr>
        <w:tabs>
          <w:tab w:val="left" w:pos="-720"/>
        </w:tabs>
        <w:suppressAutoHyphens/>
        <w:jc w:val="both"/>
        <w:rPr>
          <w:rStyle w:val="normaltextrun"/>
          <w:color w:val="000000"/>
          <w:shd w:val="clear" w:color="auto" w:fill="FFFFFF"/>
        </w:rPr>
      </w:pPr>
    </w:p>
    <w:p w:rsidR="009F48DE" w:rsidRPr="006219E1" w:rsidP="00C32A8D" w14:paraId="27CFD17B" w14:textId="4E9C5F1E">
      <w:pPr>
        <w:tabs>
          <w:tab w:val="left" w:pos="-720"/>
        </w:tabs>
        <w:suppressAutoHyphens/>
        <w:jc w:val="both"/>
        <w:rPr>
          <w:rStyle w:val="normaltextrun"/>
          <w:color w:val="000000"/>
          <w:shd w:val="clear" w:color="auto" w:fill="FFFFFF"/>
        </w:rPr>
      </w:pPr>
      <w:r w:rsidRPr="006219E1">
        <w:rPr>
          <w:rFonts w:eastAsia="Calibri"/>
          <w:color w:val="000000"/>
          <w:shd w:val="clear" w:color="auto" w:fill="FFFFFF"/>
        </w:rPr>
        <w:t xml:space="preserve">Within each sector, member organizations belong to either </w:t>
      </w:r>
      <w:r w:rsidRPr="006219E1" w:rsidR="001E24B6">
        <w:rPr>
          <w:rFonts w:eastAsia="Calibri"/>
          <w:color w:val="000000"/>
          <w:shd w:val="clear" w:color="auto" w:fill="FFFFFF"/>
        </w:rPr>
        <w:t xml:space="preserve">the </w:t>
      </w:r>
      <w:r w:rsidRPr="006219E1">
        <w:rPr>
          <w:rFonts w:eastAsia="Calibri"/>
          <w:color w:val="000000"/>
          <w:shd w:val="clear" w:color="auto" w:fill="FFFFFF"/>
        </w:rPr>
        <w:t>Sector Coordinating Councils (SCC) or Government Coordinating Councils (GCC). SCCs are self-organized and self-governed entities that represent critical infrastructure owners and operators and their respective trade or equivalent associations. GCCs are formed as the government counterpart for each SCC to enable interagency and cross-jurisdictional coordination. GCCs are comprised of federal, state, local, tribal, and territorial government entities.</w:t>
      </w:r>
    </w:p>
    <w:p w:rsidR="00AC28C4" w:rsidRPr="006219E1" w:rsidP="00C32A8D" w14:paraId="06E86E85" w14:textId="77777777">
      <w:pPr>
        <w:tabs>
          <w:tab w:val="left" w:pos="-720"/>
        </w:tabs>
        <w:suppressAutoHyphens/>
        <w:jc w:val="both"/>
        <w:rPr>
          <w:rStyle w:val="normaltextrun"/>
          <w:color w:val="000000"/>
          <w:shd w:val="clear" w:color="auto" w:fill="FFFFFF"/>
        </w:rPr>
      </w:pPr>
    </w:p>
    <w:p w:rsidR="00C32A8D" w:rsidRPr="006219E1" w:rsidP="00C32A8D" w14:paraId="01CAD7DB" w14:textId="28CD7275">
      <w:pPr>
        <w:tabs>
          <w:tab w:val="left" w:pos="-720"/>
        </w:tabs>
        <w:suppressAutoHyphens/>
        <w:jc w:val="both"/>
        <w:rPr>
          <w:rStyle w:val="normaltextrun"/>
          <w:shd w:val="clear" w:color="auto" w:fill="FFFFFF"/>
        </w:rPr>
      </w:pPr>
      <w:r w:rsidRPr="006219E1">
        <w:rPr>
          <w:rFonts w:eastAsia="Calibri"/>
          <w:color w:val="000000"/>
          <w:shd w:val="clear" w:color="auto" w:fill="FFFFFF"/>
        </w:rPr>
        <w:t xml:space="preserve">Information will be collected via 10-minute online surveys with </w:t>
      </w:r>
      <w:r w:rsidRPr="006219E1" w:rsidR="00025A5D">
        <w:rPr>
          <w:rFonts w:eastAsia="Calibri"/>
          <w:color w:val="000000"/>
          <w:shd w:val="clear" w:color="auto" w:fill="FFFFFF"/>
        </w:rPr>
        <w:t>approximately</w:t>
      </w:r>
      <w:r w:rsidRPr="006219E1">
        <w:rPr>
          <w:rFonts w:eastAsia="Calibri"/>
          <w:color w:val="000000"/>
          <w:shd w:val="clear" w:color="auto" w:fill="FFFFFF"/>
        </w:rPr>
        <w:t xml:space="preserve"> 1,000 individual representatives and in-depth virtual interviews (up to 1 hour) with a subsample of up to 75 individual representatives.</w:t>
      </w:r>
      <w:r w:rsidRPr="006219E1" w:rsidR="002B7825">
        <w:rPr>
          <w:rFonts w:eastAsia="Calibri"/>
          <w:color w:val="000000"/>
          <w:shd w:val="clear" w:color="auto" w:fill="FFFFFF"/>
        </w:rPr>
        <w:t xml:space="preserve"> </w:t>
      </w:r>
      <w:r w:rsidRPr="006219E1">
        <w:rPr>
          <w:rStyle w:val="normaltextrun"/>
          <w:shd w:val="clear" w:color="auto" w:fill="FFFFFF"/>
        </w:rPr>
        <w:t>CISA</w:t>
      </w:r>
      <w:r w:rsidRPr="006219E1" w:rsidR="008547DC">
        <w:rPr>
          <w:rStyle w:val="normaltextrun"/>
          <w:shd w:val="clear" w:color="auto" w:fill="FFFFFF"/>
        </w:rPr>
        <w:t>’s</w:t>
      </w:r>
      <w:r w:rsidRPr="006219E1">
        <w:rPr>
          <w:rStyle w:val="normaltextrun"/>
          <w:shd w:val="clear" w:color="auto" w:fill="FFFFFF"/>
        </w:rPr>
        <w:t xml:space="preserve"> SED sector chiefs will provide the study team with lists of the member organizations and the names, emails, and phone numbers (when available) of the member organization representatives. </w:t>
      </w:r>
    </w:p>
    <w:p w:rsidR="00C32A8D" w:rsidRPr="006219E1" w:rsidP="00A36EAA" w14:paraId="7C1237A5" w14:textId="5810F69D">
      <w:pPr>
        <w:spacing w:line="276" w:lineRule="auto"/>
        <w:rPr>
          <w:rStyle w:val="normaltextrun"/>
          <w:color w:val="000000"/>
          <w:shd w:val="clear" w:color="auto" w:fill="FFFFFF"/>
        </w:rPr>
      </w:pPr>
    </w:p>
    <w:p w:rsidR="003448F9" w:rsidRPr="006219E1" w:rsidP="00A36EAA" w14:paraId="309F8530" w14:textId="7C451DFB">
      <w:pPr>
        <w:spacing w:line="276" w:lineRule="auto"/>
        <w:rPr>
          <w:rStyle w:val="normaltextrun"/>
          <w:color w:val="000000"/>
          <w:shd w:val="clear" w:color="auto" w:fill="FFFFFF"/>
        </w:rPr>
      </w:pPr>
      <w:r w:rsidRPr="006219E1">
        <w:rPr>
          <w:rStyle w:val="normaltextrun"/>
          <w:color w:val="000000"/>
          <w:shd w:val="clear" w:color="auto" w:fill="FFFFFF"/>
        </w:rPr>
        <w:t>The survey will ask questions about</w:t>
      </w:r>
      <w:r w:rsidRPr="006219E1" w:rsidR="005B3743">
        <w:rPr>
          <w:rStyle w:val="normaltextrun"/>
          <w:color w:val="000000"/>
          <w:shd w:val="clear" w:color="auto" w:fill="FFFFFF"/>
        </w:rPr>
        <w:t xml:space="preserve"> </w:t>
      </w:r>
      <w:r w:rsidRPr="006219E1" w:rsidR="000216F7">
        <w:rPr>
          <w:rStyle w:val="normaltextrun"/>
          <w:color w:val="000000"/>
          <w:shd w:val="clear" w:color="auto" w:fill="FFFFFF"/>
        </w:rPr>
        <w:t xml:space="preserve">the </w:t>
      </w:r>
      <w:r w:rsidRPr="006219E1" w:rsidR="001872C8">
        <w:rPr>
          <w:rStyle w:val="normaltextrun"/>
          <w:color w:val="000000"/>
          <w:shd w:val="clear" w:color="auto" w:fill="FFFFFF"/>
        </w:rPr>
        <w:t>representatives’</w:t>
      </w:r>
      <w:r w:rsidRPr="006219E1" w:rsidR="000216F7">
        <w:rPr>
          <w:rStyle w:val="normaltextrun"/>
          <w:color w:val="000000"/>
          <w:shd w:val="clear" w:color="auto" w:fill="FFFFFF"/>
        </w:rPr>
        <w:t xml:space="preserve"> </w:t>
      </w:r>
      <w:r w:rsidRPr="006219E1" w:rsidR="001872C8">
        <w:rPr>
          <w:rStyle w:val="normaltextrun"/>
          <w:color w:val="000000"/>
          <w:shd w:val="clear" w:color="auto" w:fill="FFFFFF"/>
        </w:rPr>
        <w:t xml:space="preserve">member </w:t>
      </w:r>
      <w:r w:rsidRPr="006219E1" w:rsidR="007447A6">
        <w:rPr>
          <w:rStyle w:val="normaltextrun"/>
          <w:color w:val="000000"/>
          <w:shd w:val="clear" w:color="auto" w:fill="FFFFFF"/>
        </w:rPr>
        <w:t>organization (size</w:t>
      </w:r>
      <w:r w:rsidRPr="006219E1">
        <w:rPr>
          <w:rStyle w:val="normaltextrun"/>
          <w:color w:val="000000"/>
          <w:shd w:val="clear" w:color="auto" w:fill="FFFFFF"/>
        </w:rPr>
        <w:t xml:space="preserve"> </w:t>
      </w:r>
      <w:r w:rsidRPr="006219E1" w:rsidR="007447A6">
        <w:rPr>
          <w:rStyle w:val="normaltextrun"/>
          <w:color w:val="000000"/>
          <w:shd w:val="clear" w:color="auto" w:fill="FFFFFF"/>
        </w:rPr>
        <w:t>and type)</w:t>
      </w:r>
      <w:r w:rsidRPr="006219E1" w:rsidR="000D0AEB">
        <w:rPr>
          <w:rStyle w:val="normaltextrun"/>
          <w:color w:val="000000"/>
          <w:shd w:val="clear" w:color="auto" w:fill="FFFFFF"/>
        </w:rPr>
        <w:t>;</w:t>
      </w:r>
      <w:r w:rsidRPr="006219E1" w:rsidR="000216F7">
        <w:rPr>
          <w:rStyle w:val="normaltextrun"/>
          <w:color w:val="000000"/>
          <w:shd w:val="clear" w:color="auto" w:fill="FFFFFF"/>
        </w:rPr>
        <w:t xml:space="preserve"> </w:t>
      </w:r>
      <w:r w:rsidRPr="006219E1" w:rsidR="001872C8">
        <w:rPr>
          <w:rStyle w:val="normaltextrun"/>
          <w:color w:val="000000"/>
          <w:shd w:val="clear" w:color="auto" w:fill="FFFFFF"/>
        </w:rPr>
        <w:t xml:space="preserve">their </w:t>
      </w:r>
      <w:r w:rsidRPr="006219E1" w:rsidR="000216F7">
        <w:rPr>
          <w:rStyle w:val="normaltextrun"/>
          <w:color w:val="000000"/>
          <w:shd w:val="clear" w:color="auto" w:fill="FFFFFF"/>
        </w:rPr>
        <w:t>satisfaction with CISA</w:t>
      </w:r>
      <w:r w:rsidRPr="006219E1" w:rsidR="00EB56AC">
        <w:rPr>
          <w:rStyle w:val="normaltextrun"/>
          <w:color w:val="000000"/>
          <w:shd w:val="clear" w:color="auto" w:fill="FFFFFF"/>
        </w:rPr>
        <w:t>’s convening</w:t>
      </w:r>
      <w:r w:rsidRPr="006219E1" w:rsidR="000216F7">
        <w:rPr>
          <w:rStyle w:val="normaltextrun"/>
          <w:color w:val="000000"/>
          <w:shd w:val="clear" w:color="auto" w:fill="FFFFFF"/>
        </w:rPr>
        <w:t xml:space="preserve"> activities, products, and services; </w:t>
      </w:r>
      <w:r w:rsidRPr="006219E1" w:rsidR="001872C8">
        <w:rPr>
          <w:rStyle w:val="normaltextrun"/>
          <w:color w:val="000000"/>
          <w:shd w:val="clear" w:color="auto" w:fill="FFFFFF"/>
        </w:rPr>
        <w:t xml:space="preserve">the </w:t>
      </w:r>
      <w:r w:rsidRPr="006219E1" w:rsidR="000216F7">
        <w:rPr>
          <w:rStyle w:val="normaltextrun"/>
          <w:color w:val="000000"/>
          <w:shd w:val="clear" w:color="auto" w:fill="FFFFFF"/>
        </w:rPr>
        <w:t>types of organizational changes made as a result of CISA</w:t>
      </w:r>
      <w:r w:rsidRPr="006219E1" w:rsidR="00EB56AC">
        <w:rPr>
          <w:rStyle w:val="normaltextrun"/>
          <w:color w:val="000000"/>
          <w:shd w:val="clear" w:color="auto" w:fill="FFFFFF"/>
        </w:rPr>
        <w:t>’s convening</w:t>
      </w:r>
      <w:r w:rsidRPr="006219E1" w:rsidR="000216F7">
        <w:rPr>
          <w:rStyle w:val="normaltextrun"/>
          <w:color w:val="000000"/>
          <w:shd w:val="clear" w:color="auto" w:fill="FFFFFF"/>
        </w:rPr>
        <w:t xml:space="preserve"> activities, products, and services; </w:t>
      </w:r>
      <w:r w:rsidRPr="006219E1" w:rsidR="001872C8">
        <w:rPr>
          <w:rStyle w:val="normaltextrun"/>
          <w:color w:val="000000"/>
          <w:shd w:val="clear" w:color="auto" w:fill="FFFFFF"/>
        </w:rPr>
        <w:t xml:space="preserve">representatives’ </w:t>
      </w:r>
      <w:r w:rsidRPr="006219E1" w:rsidR="000216F7">
        <w:rPr>
          <w:rStyle w:val="normaltextrun"/>
          <w:color w:val="000000"/>
          <w:shd w:val="clear" w:color="auto" w:fill="FFFFFF"/>
        </w:rPr>
        <w:t>suggestions for improvement of CISA</w:t>
      </w:r>
      <w:r w:rsidRPr="006219E1" w:rsidR="00C50E03">
        <w:rPr>
          <w:rStyle w:val="normaltextrun"/>
          <w:color w:val="000000"/>
          <w:shd w:val="clear" w:color="auto" w:fill="FFFFFF"/>
        </w:rPr>
        <w:t>’s convening</w:t>
      </w:r>
      <w:r w:rsidRPr="006219E1" w:rsidR="000216F7">
        <w:rPr>
          <w:rStyle w:val="normaltextrun"/>
          <w:color w:val="000000"/>
          <w:shd w:val="clear" w:color="auto" w:fill="FFFFFF"/>
        </w:rPr>
        <w:t xml:space="preserve"> activities</w:t>
      </w:r>
      <w:r w:rsidRPr="006219E1" w:rsidR="00C50E03">
        <w:rPr>
          <w:rStyle w:val="normaltextrun"/>
          <w:color w:val="000000"/>
          <w:shd w:val="clear" w:color="auto" w:fill="FFFFFF"/>
        </w:rPr>
        <w:t>,</w:t>
      </w:r>
      <w:r w:rsidRPr="006219E1" w:rsidR="000216F7">
        <w:rPr>
          <w:rStyle w:val="normaltextrun"/>
          <w:color w:val="000000"/>
          <w:shd w:val="clear" w:color="auto" w:fill="FFFFFF"/>
        </w:rPr>
        <w:t xml:space="preserve"> products, and services; and </w:t>
      </w:r>
      <w:r w:rsidRPr="006219E1" w:rsidR="001872C8">
        <w:rPr>
          <w:rStyle w:val="normaltextrun"/>
          <w:color w:val="000000"/>
          <w:shd w:val="clear" w:color="auto" w:fill="FFFFFF"/>
        </w:rPr>
        <w:t xml:space="preserve">perceived </w:t>
      </w:r>
      <w:r w:rsidRPr="006219E1" w:rsidR="000216F7">
        <w:rPr>
          <w:rStyle w:val="normaltextrun"/>
          <w:color w:val="000000"/>
          <w:shd w:val="clear" w:color="auto" w:fill="FFFFFF"/>
        </w:rPr>
        <w:t>quality of relationships and engagements with CISA.</w:t>
      </w:r>
      <w:r w:rsidRPr="006219E1" w:rsidR="001F6EB8">
        <w:rPr>
          <w:rStyle w:val="normaltextrun"/>
          <w:color w:val="000000"/>
          <w:shd w:val="clear" w:color="auto" w:fill="FFFFFF"/>
        </w:rPr>
        <w:t xml:space="preserve"> The interviews will </w:t>
      </w:r>
      <w:r w:rsidRPr="006219E1" w:rsidR="001F6EB8">
        <w:rPr>
          <w:rStyle w:val="normaltextrun"/>
          <w:color w:val="000000"/>
          <w:shd w:val="clear" w:color="auto" w:fill="FFFFFF"/>
        </w:rPr>
        <w:t xml:space="preserve">ask </w:t>
      </w:r>
      <w:r w:rsidRPr="006219E1" w:rsidR="000D0AEB">
        <w:rPr>
          <w:rStyle w:val="normaltextrun"/>
          <w:color w:val="000000"/>
          <w:shd w:val="clear" w:color="auto" w:fill="FFFFFF"/>
        </w:rPr>
        <w:t xml:space="preserve">more in-depth information about </w:t>
      </w:r>
      <w:r w:rsidRPr="006219E1" w:rsidR="001872C8">
        <w:rPr>
          <w:rStyle w:val="normaltextrun"/>
          <w:color w:val="000000"/>
          <w:shd w:val="clear" w:color="auto" w:fill="FFFFFF"/>
        </w:rPr>
        <w:t xml:space="preserve">representatives’ </w:t>
      </w:r>
      <w:r w:rsidRPr="006219E1" w:rsidR="000D0AEB">
        <w:rPr>
          <w:rStyle w:val="normaltextrun"/>
          <w:color w:val="000000"/>
          <w:shd w:val="clear" w:color="auto" w:fill="FFFFFF"/>
        </w:rPr>
        <w:t>reasons for satisfaction or dissatisfaction with CISA</w:t>
      </w:r>
      <w:r w:rsidRPr="006219E1" w:rsidR="00C50E03">
        <w:rPr>
          <w:rStyle w:val="normaltextrun"/>
          <w:color w:val="000000"/>
          <w:shd w:val="clear" w:color="auto" w:fill="FFFFFF"/>
        </w:rPr>
        <w:t>’s convening</w:t>
      </w:r>
      <w:r w:rsidRPr="006219E1" w:rsidR="000D0AEB">
        <w:rPr>
          <w:rStyle w:val="normaltextrun"/>
          <w:color w:val="000000"/>
          <w:shd w:val="clear" w:color="auto" w:fill="FFFFFF"/>
        </w:rPr>
        <w:t xml:space="preserve"> activities, products, and services; types of organizational changes</w:t>
      </w:r>
      <w:r w:rsidRPr="006219E1" w:rsidR="00EE0182">
        <w:rPr>
          <w:rStyle w:val="normaltextrun"/>
          <w:color w:val="000000"/>
          <w:shd w:val="clear" w:color="auto" w:fill="FFFFFF"/>
        </w:rPr>
        <w:t xml:space="preserve"> made as a result of CISA’s </w:t>
      </w:r>
      <w:r w:rsidRPr="006219E1" w:rsidR="00C50E03">
        <w:rPr>
          <w:rStyle w:val="normaltextrun"/>
          <w:color w:val="000000"/>
          <w:shd w:val="clear" w:color="auto" w:fill="FFFFFF"/>
        </w:rPr>
        <w:t xml:space="preserve">convening </w:t>
      </w:r>
      <w:r w:rsidRPr="006219E1" w:rsidR="00EE0182">
        <w:rPr>
          <w:rStyle w:val="normaltextrun"/>
          <w:color w:val="000000"/>
          <w:shd w:val="clear" w:color="auto" w:fill="FFFFFF"/>
        </w:rPr>
        <w:t xml:space="preserve">activities, products, and services; and </w:t>
      </w:r>
      <w:r w:rsidRPr="006219E1" w:rsidR="001872C8">
        <w:rPr>
          <w:rStyle w:val="normaltextrun"/>
          <w:color w:val="000000"/>
          <w:shd w:val="clear" w:color="auto" w:fill="FFFFFF"/>
        </w:rPr>
        <w:t xml:space="preserve">the </w:t>
      </w:r>
      <w:r w:rsidRPr="006219E1" w:rsidR="00EE0182">
        <w:rPr>
          <w:rStyle w:val="normaltextrun"/>
          <w:color w:val="000000"/>
          <w:shd w:val="clear" w:color="auto" w:fill="FFFFFF"/>
        </w:rPr>
        <w:t>quality of relationships with CISA</w:t>
      </w:r>
      <w:r w:rsidRPr="006219E1" w:rsidR="001F6EB8">
        <w:rPr>
          <w:rStyle w:val="normaltextrun"/>
          <w:color w:val="000000"/>
          <w:shd w:val="clear" w:color="auto" w:fill="FFFFFF"/>
        </w:rPr>
        <w:t>.</w:t>
      </w:r>
      <w:r w:rsidRPr="006219E1" w:rsidR="51F6086C">
        <w:rPr>
          <w:rStyle w:val="normaltextrun"/>
          <w:color w:val="000000"/>
          <w:shd w:val="clear" w:color="auto" w:fill="FFFFFF"/>
        </w:rPr>
        <w:t xml:space="preserve">  The survey and interview by the participants will be on a voluntary basis.</w:t>
      </w:r>
    </w:p>
    <w:p w:rsidR="003448F9" w:rsidRPr="006219E1" w:rsidP="00A36EAA" w14:paraId="76D470A6" w14:textId="77777777">
      <w:pPr>
        <w:spacing w:line="276" w:lineRule="auto"/>
        <w:rPr>
          <w:rStyle w:val="normaltextrun"/>
          <w:color w:val="000000"/>
          <w:shd w:val="clear" w:color="auto" w:fill="FFFFFF"/>
        </w:rPr>
      </w:pPr>
    </w:p>
    <w:p w:rsidR="00A36EAA" w:rsidRPr="006219E1" w:rsidP="00A36EAA" w14:paraId="4961AE65" w14:textId="0C7F0091">
      <w:pPr>
        <w:spacing w:line="276" w:lineRule="auto"/>
        <w:rPr>
          <w:color w:val="000000"/>
          <w:shd w:val="clear" w:color="auto" w:fill="FFFFFF"/>
        </w:rPr>
      </w:pPr>
      <w:r w:rsidRPr="006219E1">
        <w:rPr>
          <w:rStyle w:val="normaltextrun"/>
          <w:color w:val="000000"/>
          <w:shd w:val="clear" w:color="auto" w:fill="FFFFFF"/>
        </w:rPr>
        <w:t xml:space="preserve">The findings from this study will </w:t>
      </w:r>
      <w:r w:rsidRPr="006219E1">
        <w:rPr>
          <w:color w:val="000000"/>
          <w:shd w:val="clear" w:color="auto" w:fill="FFFFFF"/>
        </w:rPr>
        <w:t xml:space="preserve">inform SED, other CISA stakeholder engagement programs, and CISA at-large about how best to deliver valuable products and services in ways that are most useful for stakeholders. Specifically, findings will be used to improve the guidance CISA issues to partners that make it more meaningful, relevant, timely, and actionable; and to expand and enhance guidance distribution channels to meet partners where they are, while also directing them </w:t>
      </w:r>
      <w:r w:rsidRPr="006219E1">
        <w:rPr>
          <w:color w:val="000000"/>
          <w:shd w:val="clear" w:color="auto" w:fill="FFFFFF"/>
        </w:rPr>
        <w:t xml:space="preserve">towards CISA-sponsored channels (e.g., </w:t>
      </w:r>
      <w:hyperlink r:id="rId13" w:history="1">
        <w:r w:rsidRPr="006219E1">
          <w:rPr>
            <w:rStyle w:val="Hyperlink"/>
            <w:shd w:val="clear" w:color="auto" w:fill="FFFFFF"/>
          </w:rPr>
          <w:t>the Homeland Security Information Network Critical Infrastructure</w:t>
        </w:r>
      </w:hyperlink>
      <w:r w:rsidRPr="006219E1">
        <w:rPr>
          <w:color w:val="000000"/>
          <w:shd w:val="clear" w:color="auto" w:fill="FFFFFF"/>
        </w:rPr>
        <w:t xml:space="preserve">). </w:t>
      </w:r>
    </w:p>
    <w:p w:rsidR="00A36EAA" w:rsidRPr="006219E1" w:rsidP="00A36EAA" w14:paraId="436C427E" w14:textId="77777777">
      <w:pPr>
        <w:spacing w:line="276" w:lineRule="auto"/>
        <w:rPr>
          <w:rFonts w:eastAsiaTheme="majorEastAsia"/>
        </w:rPr>
      </w:pPr>
    </w:p>
    <w:p w:rsidR="00A36EAA" w:rsidRPr="006219E1" w:rsidP="00A36EAA" w14:paraId="2B3FA189" w14:textId="20E1FD38">
      <w:pPr>
        <w:spacing w:line="276" w:lineRule="auto"/>
        <w:rPr>
          <w:rStyle w:val="normaltextrun"/>
          <w:color w:val="000000"/>
          <w:shd w:val="clear" w:color="auto" w:fill="FFFFFF"/>
        </w:rPr>
      </w:pPr>
      <w:r w:rsidRPr="006219E1">
        <w:rPr>
          <w:rFonts w:eastAsiaTheme="majorEastAsia"/>
        </w:rPr>
        <w:t>In addition, understanding the extent to which SED convening activities offer meaningful information exchange and contribute to enhanced trust (between CISA and its stakeholders) will allow CISA to improve the planning and execution of its convening activities, as well as the adoption, use, and impact of CISA products and services through enhancements, refinements, and the development of new products and services</w:t>
      </w:r>
      <w:r w:rsidRPr="006219E1">
        <w:rPr>
          <w:color w:val="000000"/>
          <w:shd w:val="clear" w:color="auto" w:fill="FFFFFF"/>
        </w:rPr>
        <w:t xml:space="preserve">. Findings will </w:t>
      </w:r>
      <w:r w:rsidRPr="006219E1">
        <w:rPr>
          <w:rFonts w:eastAsiaTheme="majorEastAsia"/>
        </w:rPr>
        <w:t>identify areas for improvement in how CISA collaborates and interacts with stakeholders through these convening activities, how CISA shares information through the activities, and how CISA uses the outcomes of the convening activities to prioritize the delivery of products and services that best support information exchange within and across sectors.</w:t>
      </w:r>
    </w:p>
    <w:p w:rsidR="0037322A" w:rsidRPr="006219E1" w:rsidP="004C5DDB" w14:paraId="4ED59B21" w14:textId="77777777">
      <w:pPr>
        <w:pStyle w:val="Default"/>
        <w:rPr>
          <w:bCs/>
          <w:iCs/>
        </w:rPr>
      </w:pPr>
    </w:p>
    <w:p w:rsidR="00EB5E96" w:rsidRPr="006219E1" w:rsidP="000C4293" w14:paraId="137BFE5F" w14:textId="0A3B6483">
      <w:pPr>
        <w:shd w:val="pct25" w:color="auto" w:fill="auto"/>
        <w:tabs>
          <w:tab w:val="left" w:pos="-720"/>
        </w:tabs>
        <w:suppressAutoHyphens/>
        <w:jc w:val="both"/>
      </w:pPr>
      <w:r w:rsidRPr="006219E1">
        <w:fldChar w:fldCharType="begin"/>
      </w:r>
      <w:r w:rsidRPr="006219E1">
        <w:instrText>ADVANCE \R 0.95</w:instrText>
      </w:r>
      <w:r w:rsidRPr="006219E1">
        <w:fldChar w:fldCharType="end"/>
      </w:r>
      <w:r w:rsidRPr="006219E1">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219E1" w:rsidR="00B75D1C">
        <w:t xml:space="preserve"> Please include a statement </w:t>
      </w:r>
      <w:r w:rsidRPr="006219E1" w:rsidR="00D24551">
        <w:t xml:space="preserve">that usability testing was conducted and what </w:t>
      </w:r>
      <w:r w:rsidRPr="006219E1" w:rsidR="007C190A">
        <w:t xml:space="preserve">the results from </w:t>
      </w:r>
      <w:r w:rsidRPr="006219E1" w:rsidR="0023349F">
        <w:t>testing did for the collection</w:t>
      </w:r>
      <w:r w:rsidRPr="006219E1" w:rsidR="007C190A">
        <w:t>.</w:t>
      </w:r>
      <w:r w:rsidRPr="006219E1">
        <w:tab/>
      </w:r>
    </w:p>
    <w:p w:rsidR="002135B3" w:rsidRPr="006219E1" w:rsidP="00E238C2" w14:paraId="682ED633" w14:textId="77777777">
      <w:pPr>
        <w:tabs>
          <w:tab w:val="left" w:pos="-720"/>
        </w:tabs>
        <w:suppressAutoHyphens/>
        <w:jc w:val="both"/>
        <w:rPr>
          <w:rStyle w:val="normaltextrun"/>
          <w:shd w:val="clear" w:color="auto" w:fill="FFFFFF"/>
        </w:rPr>
      </w:pPr>
    </w:p>
    <w:p w:rsidR="002135B3" w:rsidRPr="006219E1" w:rsidP="00E238C2" w14:paraId="4AEB9C0D" w14:textId="45301C9B">
      <w:pPr>
        <w:tabs>
          <w:tab w:val="left" w:pos="-720"/>
        </w:tabs>
        <w:suppressAutoHyphens/>
        <w:jc w:val="both"/>
      </w:pPr>
      <w:r w:rsidRPr="006219E1">
        <w:t>The proposed data collection makes use of email to contact potential participants to recruit their participation in an online survey. The survey will be programmed in Qualtrics in order to minimize burden. These data will be supplemented by virtual interviews.</w:t>
      </w:r>
    </w:p>
    <w:p w:rsidR="00D5718B" w:rsidRPr="006219E1" w:rsidP="00E238C2" w14:paraId="7AEFC917" w14:textId="77777777">
      <w:pPr>
        <w:tabs>
          <w:tab w:val="left" w:pos="-720"/>
        </w:tabs>
        <w:suppressAutoHyphens/>
        <w:jc w:val="both"/>
        <w:rPr>
          <w:rStyle w:val="normaltextrun"/>
          <w:b/>
          <w:shd w:val="clear" w:color="auto" w:fill="FFFFFF"/>
        </w:rPr>
      </w:pPr>
    </w:p>
    <w:p w:rsidR="002135B3" w:rsidRPr="006219E1" w:rsidP="00E238C2" w14:paraId="02C6FCF0" w14:textId="3F28BBFE">
      <w:pPr>
        <w:tabs>
          <w:tab w:val="left" w:pos="-720"/>
        </w:tabs>
        <w:suppressAutoHyphens/>
        <w:jc w:val="both"/>
      </w:pPr>
      <w:r w:rsidRPr="006219E1">
        <w:rPr>
          <w:rStyle w:val="normaltextrun"/>
          <w:b/>
          <w:bCs/>
          <w:shd w:val="clear" w:color="auto" w:fill="FFFFFF"/>
        </w:rPr>
        <w:t>Surveys.</w:t>
      </w:r>
      <w:r w:rsidRPr="006219E1">
        <w:rPr>
          <w:rStyle w:val="normaltextrun"/>
          <w:shd w:val="clear" w:color="auto" w:fill="FFFFFF"/>
        </w:rPr>
        <w:t xml:space="preserve"> </w:t>
      </w:r>
      <w:r w:rsidRPr="006219E1" w:rsidR="00E238C2">
        <w:rPr>
          <w:rStyle w:val="normaltextrun"/>
          <w:shd w:val="clear" w:color="auto" w:fill="FFFFFF"/>
        </w:rPr>
        <w:t xml:space="preserve">A 10-minute online survey will be administered to representatives </w:t>
      </w:r>
      <w:r w:rsidRPr="006219E1">
        <w:rPr>
          <w:rStyle w:val="normaltextrun"/>
          <w:shd w:val="clear" w:color="auto" w:fill="FFFFFF"/>
        </w:rPr>
        <w:t xml:space="preserve">(e.g., cyber and physical security, emergency, and business continuity managers) </w:t>
      </w:r>
      <w:r w:rsidRPr="006219E1" w:rsidR="00E238C2">
        <w:rPr>
          <w:rStyle w:val="normaltextrun"/>
          <w:shd w:val="clear" w:color="auto" w:fill="FFFFFF"/>
        </w:rPr>
        <w:t xml:space="preserve">from the member organizations across the Critical Manufacturing, Commercial Facilities, and Nuclear sectors. </w:t>
      </w:r>
      <w:r w:rsidRPr="006219E1" w:rsidR="00E238C2">
        <w:t xml:space="preserve">The survey will be created and sent using Qualtrics, a professional-grade survey software. </w:t>
      </w:r>
    </w:p>
    <w:p w:rsidR="002135B3" w:rsidRPr="006219E1" w:rsidP="00E238C2" w14:paraId="2D19588D" w14:textId="77777777">
      <w:pPr>
        <w:tabs>
          <w:tab w:val="left" w:pos="-720"/>
        </w:tabs>
        <w:suppressAutoHyphens/>
        <w:jc w:val="both"/>
      </w:pPr>
    </w:p>
    <w:p w:rsidR="002135B3" w:rsidRPr="006219E1" w:rsidP="00E238C2" w14:paraId="74264303" w14:textId="77777777">
      <w:pPr>
        <w:tabs>
          <w:tab w:val="left" w:pos="-720"/>
        </w:tabs>
        <w:suppressAutoHyphens/>
        <w:jc w:val="both"/>
      </w:pPr>
      <w:r w:rsidRPr="006219E1">
        <w:t xml:space="preserve">Using the </w:t>
      </w:r>
      <w:r w:rsidRPr="006219E1" w:rsidR="007F78DC">
        <w:t>email addresses</w:t>
      </w:r>
      <w:r w:rsidRPr="006219E1" w:rsidR="00CD0967">
        <w:t xml:space="preserve"> of the representatives</w:t>
      </w:r>
      <w:r w:rsidRPr="006219E1" w:rsidR="00597610">
        <w:t xml:space="preserve"> provided by the SED sector chiefs, t</w:t>
      </w:r>
      <w:r w:rsidRPr="006219E1" w:rsidR="00E238C2">
        <w:t xml:space="preserve">he study team will </w:t>
      </w:r>
      <w:r w:rsidRPr="006219E1" w:rsidR="00597610">
        <w:t xml:space="preserve">send </w:t>
      </w:r>
      <w:r w:rsidRPr="006219E1" w:rsidR="00E238C2">
        <w:t xml:space="preserve">a link that participants can use to access and complete the survey using a tablet, smartphone, or laptop. Electronic submission will ensure the maximum response rate while also permitting respondents to complete the survey at a time of their own choosing. </w:t>
      </w:r>
    </w:p>
    <w:p w:rsidR="002135B3" w:rsidRPr="006219E1" w:rsidP="00E238C2" w14:paraId="60C33C57" w14:textId="77777777">
      <w:pPr>
        <w:tabs>
          <w:tab w:val="left" w:pos="-720"/>
        </w:tabs>
        <w:suppressAutoHyphens/>
        <w:jc w:val="both"/>
      </w:pPr>
    </w:p>
    <w:p w:rsidR="00E238C2" w:rsidRPr="006219E1" w:rsidP="00E238C2" w14:paraId="2EB84953" w14:textId="008B803D">
      <w:pPr>
        <w:tabs>
          <w:tab w:val="left" w:pos="-720"/>
        </w:tabs>
        <w:suppressAutoHyphens/>
        <w:jc w:val="both"/>
      </w:pPr>
      <w:r w:rsidRPr="006219E1">
        <w:rPr>
          <w:rStyle w:val="normaltextrun"/>
          <w:shd w:val="clear" w:color="auto" w:fill="FFFFFF"/>
        </w:rPr>
        <w:t xml:space="preserve">The survey is designed so that each sector has a customized link with specific questions for that </w:t>
      </w:r>
      <w:r w:rsidRPr="006219E1" w:rsidR="00081B71">
        <w:rPr>
          <w:rStyle w:val="normaltextrun"/>
          <w:shd w:val="clear" w:color="auto" w:fill="FFFFFF"/>
        </w:rPr>
        <w:t>particular</w:t>
      </w:r>
      <w:r w:rsidRPr="006219E1">
        <w:rPr>
          <w:rStyle w:val="normaltextrun"/>
          <w:shd w:val="clear" w:color="auto" w:fill="FFFFFF"/>
        </w:rPr>
        <w:t xml:space="preserve"> sector to account for some minor differences in the convening</w:t>
      </w:r>
      <w:r w:rsidRPr="006219E1" w:rsidR="00081B71">
        <w:rPr>
          <w:rStyle w:val="normaltextrun"/>
          <w:shd w:val="clear" w:color="auto" w:fill="FFFFFF"/>
        </w:rPr>
        <w:t xml:space="preserve"> activities</w:t>
      </w:r>
      <w:r w:rsidRPr="006219E1">
        <w:rPr>
          <w:rStyle w:val="normaltextrun"/>
          <w:shd w:val="clear" w:color="auto" w:fill="FFFFFF"/>
        </w:rPr>
        <w:t xml:space="preserve">, products, and services that each sector </w:t>
      </w:r>
      <w:r w:rsidRPr="006219E1" w:rsidR="00081B71">
        <w:t>provides</w:t>
      </w:r>
      <w:r w:rsidRPr="006219E1">
        <w:t xml:space="preserve">. This will help ensure that the </w:t>
      </w:r>
      <w:r w:rsidRPr="006219E1" w:rsidR="00DC76FF">
        <w:t>representatives</w:t>
      </w:r>
      <w:r w:rsidRPr="006219E1">
        <w:t xml:space="preserve"> of each sector are asked questions that are most relevant to them.</w:t>
      </w:r>
      <w:r w:rsidRPr="006219E1" w:rsidR="0004096D">
        <w:t xml:space="preserve"> </w:t>
      </w:r>
    </w:p>
    <w:p w:rsidR="00A37DC3" w:rsidRPr="006219E1" w:rsidP="00E238C2" w14:paraId="68847B2D" w14:textId="77777777">
      <w:pPr>
        <w:tabs>
          <w:tab w:val="left" w:pos="-720"/>
        </w:tabs>
        <w:suppressAutoHyphens/>
        <w:jc w:val="both"/>
      </w:pPr>
    </w:p>
    <w:p w:rsidR="0015593C" w:rsidRPr="006219E1" w:rsidP="00E238C2" w14:paraId="4AE32D44" w14:textId="18C0CBA1">
      <w:pPr>
        <w:pStyle w:val="Default"/>
      </w:pPr>
      <w:r w:rsidRPr="006219E1">
        <w:rPr>
          <w:rStyle w:val="normaltextrun"/>
          <w:b/>
          <w:bCs/>
        </w:rPr>
        <w:t>Interviews.</w:t>
      </w:r>
      <w:r w:rsidRPr="006219E1">
        <w:rPr>
          <w:rStyle w:val="normaltextrun"/>
        </w:rPr>
        <w:t xml:space="preserve"> </w:t>
      </w:r>
      <w:r w:rsidRPr="006219E1" w:rsidR="00E238C2">
        <w:rPr>
          <w:rStyle w:val="normaltextrun"/>
        </w:rPr>
        <w:t>The study team will also conduct a series of virtual interviews (up to 1 hour) with up to 75 participants who complete the online survey and agree to participate in the interview.</w:t>
      </w:r>
      <w:r w:rsidRPr="006219E1" w:rsidR="00E238C2">
        <w:t xml:space="preserve"> The study team plans to conduct the in-depth interviews by telephone or via a web-based conference call platform, such as Microsoft Teams.  This format should be less burdensome to study participants </w:t>
      </w:r>
      <w:r w:rsidRPr="006219E1" w:rsidR="002135B3">
        <w:t>than in-person interviews</w:t>
      </w:r>
      <w:r w:rsidRPr="006219E1" w:rsidR="00E238C2">
        <w:t xml:space="preserve"> since they do not have to host study team members</w:t>
      </w:r>
      <w:r w:rsidRPr="006219E1" w:rsidR="002135B3">
        <w:t>.</w:t>
      </w:r>
    </w:p>
    <w:p w:rsidR="00F84B14" w:rsidRPr="006219E1" w:rsidP="00E238C2" w14:paraId="33B71448" w14:textId="77777777">
      <w:pPr>
        <w:pStyle w:val="Default"/>
      </w:pPr>
    </w:p>
    <w:p w:rsidR="00F84B14" w:rsidRPr="006219E1" w:rsidP="00F84B14" w14:paraId="65F910AE" w14:textId="60E27EE7">
      <w:pPr>
        <w:pStyle w:val="Default"/>
        <w:rPr>
          <w:rStyle w:val="normaltextrun"/>
        </w:rPr>
      </w:pPr>
      <w:r w:rsidRPr="006219E1">
        <w:rPr>
          <w:rStyle w:val="normaltextrun"/>
          <w:b/>
          <w:bCs/>
        </w:rPr>
        <w:t>Usability Testing.</w:t>
      </w:r>
      <w:r w:rsidRPr="006219E1">
        <w:rPr>
          <w:rStyle w:val="normaltextrun"/>
        </w:rPr>
        <w:t xml:space="preserve"> </w:t>
      </w:r>
      <w:r w:rsidRPr="006219E1" w:rsidR="003D6C6C">
        <w:rPr>
          <w:rStyle w:val="normaltextrun"/>
        </w:rPr>
        <w:t>The study team tested the s</w:t>
      </w:r>
      <w:r w:rsidRPr="006219E1">
        <w:rPr>
          <w:rStyle w:val="normaltextrun"/>
        </w:rPr>
        <w:t xml:space="preserve">urvey instruments </w:t>
      </w:r>
      <w:r w:rsidRPr="006219E1" w:rsidR="003D6C6C">
        <w:rPr>
          <w:rStyle w:val="normaltextrun"/>
        </w:rPr>
        <w:t>through</w:t>
      </w:r>
      <w:r w:rsidRPr="006219E1">
        <w:rPr>
          <w:rStyle w:val="normaltextrun"/>
        </w:rPr>
        <w:t xml:space="preserve"> a pilot study conducted with a </w:t>
      </w:r>
      <w:r w:rsidRPr="006219E1" w:rsidR="00C57806">
        <w:rPr>
          <w:rStyle w:val="normaltextrun"/>
        </w:rPr>
        <w:t xml:space="preserve">convenience sample </w:t>
      </w:r>
      <w:r w:rsidRPr="006219E1">
        <w:rPr>
          <w:rStyle w:val="normaltextrun"/>
        </w:rPr>
        <w:t xml:space="preserve">of </w:t>
      </w:r>
      <w:r w:rsidRPr="006219E1" w:rsidR="009A6E39">
        <w:rPr>
          <w:rStyle w:val="normaltextrun"/>
        </w:rPr>
        <w:t xml:space="preserve">nine </w:t>
      </w:r>
      <w:r w:rsidRPr="006219E1">
        <w:rPr>
          <w:rStyle w:val="normaltextrun"/>
        </w:rPr>
        <w:t xml:space="preserve">representatives from member organizations </w:t>
      </w:r>
      <w:r w:rsidRPr="006219E1" w:rsidR="008F730A">
        <w:rPr>
          <w:rStyle w:val="normaltextrun"/>
        </w:rPr>
        <w:t xml:space="preserve">across the three </w:t>
      </w:r>
      <w:r w:rsidRPr="006219E1">
        <w:rPr>
          <w:rStyle w:val="normaltextrun"/>
        </w:rPr>
        <w:t>sector</w:t>
      </w:r>
      <w:r w:rsidRPr="006219E1" w:rsidR="008F730A">
        <w:rPr>
          <w:rStyle w:val="normaltextrun"/>
        </w:rPr>
        <w:t>s</w:t>
      </w:r>
      <w:r w:rsidRPr="006219E1">
        <w:rPr>
          <w:rStyle w:val="normaltextrun"/>
        </w:rPr>
        <w:t>. The purpose of the pilot was to estimate survey length, assess respondents’ understanding of the survey questions, test usability, and identify improvements in the flow and structure of the instrument</w:t>
      </w:r>
      <w:r w:rsidRPr="006219E1" w:rsidR="00810D28">
        <w:rPr>
          <w:rStyle w:val="normaltextrun"/>
        </w:rPr>
        <w:t>s</w:t>
      </w:r>
      <w:r w:rsidRPr="006219E1">
        <w:rPr>
          <w:rStyle w:val="normaltextrun"/>
        </w:rPr>
        <w:t>.</w:t>
      </w:r>
      <w:r w:rsidRPr="006219E1" w:rsidR="008848DB">
        <w:rPr>
          <w:rStyle w:val="normaltextrun"/>
        </w:rPr>
        <w:t xml:space="preserve"> </w:t>
      </w:r>
      <w:r w:rsidRPr="006219E1" w:rsidR="003A410D">
        <w:rPr>
          <w:rStyle w:val="normaltextrun"/>
        </w:rPr>
        <w:t>Results indicated that the surve</w:t>
      </w:r>
      <w:r w:rsidRPr="006219E1" w:rsidR="009C2778">
        <w:rPr>
          <w:rStyle w:val="normaltextrun"/>
        </w:rPr>
        <w:t xml:space="preserve">y took 10 minutes or less to complete. </w:t>
      </w:r>
      <w:r w:rsidRPr="006219E1" w:rsidR="008848DB">
        <w:rPr>
          <w:rStyle w:val="normaltextrun"/>
        </w:rPr>
        <w:t>Some modifications, mainly wording changes</w:t>
      </w:r>
      <w:r w:rsidRPr="006219E1" w:rsidR="00F257E1">
        <w:rPr>
          <w:rStyle w:val="normaltextrun"/>
        </w:rPr>
        <w:t xml:space="preserve"> that made questions clearer and more relevant,</w:t>
      </w:r>
      <w:r w:rsidRPr="006219E1" w:rsidR="008848DB">
        <w:rPr>
          <w:rStyle w:val="normaltextrun"/>
        </w:rPr>
        <w:t xml:space="preserve"> were made to the survey based on results from the pilot test.</w:t>
      </w:r>
    </w:p>
    <w:p w:rsidR="009F6171" w:rsidRPr="006219E1" w:rsidP="00F84B14" w14:paraId="6D0808C1" w14:textId="77777777">
      <w:pPr>
        <w:pStyle w:val="Default"/>
        <w:rPr>
          <w:rStyle w:val="normaltextrun"/>
        </w:rPr>
      </w:pPr>
    </w:p>
    <w:p w:rsidR="00CC078A" w:rsidRPr="006219E1" w:rsidP="00E238C2" w14:paraId="3C7D759B" w14:textId="3BF1B343">
      <w:pPr>
        <w:pStyle w:val="Default"/>
      </w:pPr>
      <w:r w:rsidRPr="006219E1">
        <w:rPr>
          <w:rStyle w:val="normaltextrun"/>
        </w:rPr>
        <w:t xml:space="preserve">While the interview guide was not tested, it was reviewed by </w:t>
      </w:r>
      <w:r w:rsidRPr="006219E1" w:rsidR="00223FA6">
        <w:rPr>
          <w:rStyle w:val="normaltextrun"/>
        </w:rPr>
        <w:t>subject matter experts (</w:t>
      </w:r>
      <w:r w:rsidRPr="006219E1">
        <w:rPr>
          <w:rStyle w:val="normaltextrun"/>
        </w:rPr>
        <w:t>SMEs</w:t>
      </w:r>
      <w:r w:rsidRPr="006219E1" w:rsidR="00223FA6">
        <w:rPr>
          <w:rStyle w:val="normaltextrun"/>
        </w:rPr>
        <w:t>)</w:t>
      </w:r>
      <w:r w:rsidRPr="006219E1">
        <w:rPr>
          <w:rStyle w:val="normaltextrun"/>
        </w:rPr>
        <w:t>. Since it is an open-ended</w:t>
      </w:r>
      <w:r w:rsidRPr="006219E1" w:rsidR="00223FA6">
        <w:rPr>
          <w:rStyle w:val="normaltextrun"/>
        </w:rPr>
        <w:t>,</w:t>
      </w:r>
      <w:r w:rsidRPr="006219E1">
        <w:rPr>
          <w:rStyle w:val="normaltextrun"/>
        </w:rPr>
        <w:t xml:space="preserve"> semi-structured guide, the trained interviewers </w:t>
      </w:r>
      <w:r w:rsidRPr="006219E1" w:rsidR="00223FA6">
        <w:rPr>
          <w:rStyle w:val="normaltextrun"/>
        </w:rPr>
        <w:t xml:space="preserve">on the study team </w:t>
      </w:r>
      <w:r w:rsidRPr="006219E1">
        <w:rPr>
          <w:rStyle w:val="normaltextrun"/>
        </w:rPr>
        <w:t>can rephrase and/or elaborate upon questions until the respondent understands them. Interviewers are also trained to stop at the one-hour mark</w:t>
      </w:r>
      <w:r w:rsidRPr="006219E1" w:rsidR="009F6171">
        <w:rPr>
          <w:rStyle w:val="normaltextrun"/>
        </w:rPr>
        <w:t>,</w:t>
      </w:r>
      <w:r w:rsidRPr="006219E1">
        <w:rPr>
          <w:rStyle w:val="normaltextrun"/>
        </w:rPr>
        <w:t xml:space="preserve"> so the time burden is already known.</w:t>
      </w:r>
    </w:p>
    <w:p w:rsidR="0015593C" w:rsidRPr="006219E1" w:rsidP="00FF5DDF" w14:paraId="084C5DA0" w14:textId="77777777">
      <w:pPr>
        <w:tabs>
          <w:tab w:val="left" w:pos="-720"/>
        </w:tabs>
        <w:suppressAutoHyphens/>
        <w:contextualSpacing/>
      </w:pPr>
    </w:p>
    <w:p w:rsidR="00EB5E96" w:rsidRPr="006219E1" w:rsidP="000C4293" w14:paraId="74B08762" w14:textId="52E81410">
      <w:pPr>
        <w:shd w:val="pct25" w:color="auto" w:fill="auto"/>
        <w:tabs>
          <w:tab w:val="left" w:pos="-720"/>
        </w:tabs>
        <w:suppressAutoHyphens/>
        <w:jc w:val="both"/>
      </w:pPr>
      <w:r w:rsidRPr="006219E1">
        <w:fldChar w:fldCharType="begin"/>
      </w:r>
      <w:r w:rsidRPr="006219E1">
        <w:instrText>ADVANCE \R 0.95</w:instrText>
      </w:r>
      <w:r w:rsidRPr="006219E1">
        <w:fldChar w:fldCharType="end"/>
      </w:r>
      <w:r w:rsidRPr="006219E1">
        <w:t xml:space="preserve">4.  Describe efforts to identify duplication.  Show specifically why any similar information already available cannot be used or modified for use for the purposes described in Item 2 above. </w:t>
      </w:r>
    </w:p>
    <w:p w:rsidR="00EB5E96" w:rsidRPr="006219E1" w:rsidP="000C4293" w14:paraId="3346A6A6" w14:textId="77777777">
      <w:pPr>
        <w:tabs>
          <w:tab w:val="left" w:pos="-720"/>
        </w:tabs>
        <w:suppressAutoHyphens/>
        <w:jc w:val="both"/>
      </w:pPr>
      <w:r w:rsidRPr="006219E1">
        <w:fldChar w:fldCharType="begin"/>
      </w:r>
      <w:r w:rsidRPr="006219E1">
        <w:instrText>ADVANCE \R 0.95</w:instrText>
      </w:r>
      <w:r w:rsidRPr="006219E1">
        <w:fldChar w:fldCharType="end"/>
      </w:r>
    </w:p>
    <w:p w:rsidR="00C020D7" w:rsidRPr="006219E1" w:rsidP="00C020D7" w14:paraId="427F53EE" w14:textId="24E9E7BA">
      <w:pPr>
        <w:rPr>
          <w:rStyle w:val="normaltextrun"/>
          <w:color w:val="000000"/>
        </w:rPr>
      </w:pPr>
      <w:r w:rsidRPr="006219E1">
        <w:rPr>
          <w:rStyle w:val="normaltextrun"/>
          <w:color w:val="000000"/>
        </w:rPr>
        <w:t xml:space="preserve">The evaluation team is collecting information that is not available elsewhere. None of the instruments ask for information that can be reliably obtained through other sources. </w:t>
      </w:r>
    </w:p>
    <w:p w:rsidR="0029007F" w:rsidRPr="006219E1" w:rsidP="00FF5DDF" w14:paraId="5601C9C5" w14:textId="2781ADEF">
      <w:pPr>
        <w:tabs>
          <w:tab w:val="left" w:pos="-720"/>
        </w:tabs>
        <w:suppressAutoHyphens/>
        <w:contextualSpacing/>
      </w:pPr>
    </w:p>
    <w:p w:rsidR="00AA3F82" w:rsidRPr="006219E1" w:rsidP="000C4293" w14:paraId="1DA65EDD" w14:textId="77777777">
      <w:pPr>
        <w:tabs>
          <w:tab w:val="left" w:pos="-720"/>
        </w:tabs>
        <w:suppressAutoHyphens/>
        <w:jc w:val="both"/>
      </w:pPr>
    </w:p>
    <w:p w:rsidR="00EB5E96" w:rsidRPr="006219E1" w:rsidP="000C4293" w14:paraId="12920507" w14:textId="77777777">
      <w:pPr>
        <w:shd w:val="pct25" w:color="auto" w:fill="auto"/>
        <w:tabs>
          <w:tab w:val="left" w:pos="-720"/>
        </w:tabs>
        <w:suppressAutoHyphens/>
        <w:jc w:val="both"/>
      </w:pPr>
      <w:r w:rsidRPr="006219E1">
        <w:fldChar w:fldCharType="begin"/>
      </w:r>
      <w:r w:rsidRPr="006219E1">
        <w:instrText>ADVANCE \R 0.95</w:instrText>
      </w:r>
      <w:r w:rsidRPr="006219E1">
        <w:fldChar w:fldCharType="end"/>
      </w:r>
      <w:r w:rsidRPr="006219E1">
        <w:t>5.  If the collection of information impacts small businesses or other small entities (Item 5 of OMB Form 83-I), describe any methods used to minimize.</w:t>
      </w:r>
      <w:r w:rsidRPr="006219E1">
        <w:tab/>
      </w:r>
    </w:p>
    <w:p w:rsidR="00EB5E96" w:rsidRPr="006219E1" w:rsidP="000C4293" w14:paraId="06D78EA0" w14:textId="77777777">
      <w:pPr>
        <w:tabs>
          <w:tab w:val="left" w:pos="-720"/>
        </w:tabs>
        <w:suppressAutoHyphens/>
        <w:jc w:val="both"/>
        <w:rPr>
          <w:spacing w:val="-3"/>
        </w:rPr>
      </w:pPr>
    </w:p>
    <w:p w:rsidR="00FF5DDF" w:rsidRPr="006219E1" w:rsidP="00FF5DDF" w14:paraId="168742A1" w14:textId="4B2B211C">
      <w:pPr>
        <w:tabs>
          <w:tab w:val="left" w:pos="-720"/>
        </w:tabs>
        <w:suppressAutoHyphens/>
        <w:contextualSpacing/>
        <w:rPr>
          <w:spacing w:val="-3"/>
        </w:rPr>
      </w:pPr>
      <w:r w:rsidRPr="006219E1">
        <w:rPr>
          <w:rStyle w:val="normaltextrun"/>
          <w:color w:val="000000"/>
          <w:shd w:val="clear" w:color="auto" w:fill="FFFFFF"/>
        </w:rPr>
        <w:t xml:space="preserve">Some </w:t>
      </w:r>
      <w:r w:rsidRPr="006219E1" w:rsidR="00E55879">
        <w:rPr>
          <w:rStyle w:val="normaltextrun"/>
          <w:color w:val="000000"/>
          <w:shd w:val="clear" w:color="auto" w:fill="FFFFFF"/>
        </w:rPr>
        <w:t xml:space="preserve">member organizations </w:t>
      </w:r>
      <w:r w:rsidRPr="006219E1" w:rsidR="00146215">
        <w:rPr>
          <w:rStyle w:val="normaltextrun"/>
          <w:color w:val="000000"/>
          <w:shd w:val="clear" w:color="auto" w:fill="FFFFFF"/>
        </w:rPr>
        <w:t>may be</w:t>
      </w:r>
      <w:r w:rsidRPr="006219E1" w:rsidR="00E55879">
        <w:rPr>
          <w:rStyle w:val="normaltextrun"/>
          <w:color w:val="000000"/>
          <w:shd w:val="clear" w:color="auto" w:fill="FFFFFF"/>
        </w:rPr>
        <w:t xml:space="preserve"> small businesses</w:t>
      </w:r>
      <w:r w:rsidRPr="006219E1" w:rsidR="00A57406">
        <w:rPr>
          <w:rStyle w:val="normaltextrun"/>
          <w:color w:val="000000"/>
          <w:shd w:val="clear" w:color="auto" w:fill="FFFFFF"/>
        </w:rPr>
        <w:t>.</w:t>
      </w:r>
      <w:r w:rsidRPr="006219E1" w:rsidR="00E55879">
        <w:rPr>
          <w:spacing w:val="-3"/>
        </w:rPr>
        <w:t xml:space="preserve"> </w:t>
      </w:r>
      <w:r w:rsidRPr="006219E1" w:rsidR="00000CD8">
        <w:rPr>
          <w:rStyle w:val="normaltextrun"/>
          <w:color w:val="000000"/>
          <w:shd w:val="clear" w:color="auto" w:fill="FFFFFF"/>
        </w:rPr>
        <w:t xml:space="preserve">The evaluation team will only request information required for the </w:t>
      </w:r>
      <w:r w:rsidRPr="006219E1" w:rsidR="00E946EA">
        <w:rPr>
          <w:rStyle w:val="normaltextrun"/>
          <w:color w:val="000000"/>
          <w:shd w:val="clear" w:color="auto" w:fill="FFFFFF"/>
        </w:rPr>
        <w:t>purposes of the evaluation</w:t>
      </w:r>
      <w:r w:rsidRPr="006219E1" w:rsidR="00000CD8">
        <w:rPr>
          <w:rStyle w:val="normaltextrun"/>
          <w:color w:val="000000"/>
          <w:shd w:val="clear" w:color="auto" w:fill="FFFFFF"/>
        </w:rPr>
        <w:t xml:space="preserve">. The burden for respondents will be minimized by restricting the </w:t>
      </w:r>
      <w:r w:rsidRPr="006219E1" w:rsidR="005D2E57">
        <w:rPr>
          <w:rStyle w:val="normaltextrun"/>
          <w:color w:val="000000"/>
          <w:shd w:val="clear" w:color="auto" w:fill="FFFFFF"/>
        </w:rPr>
        <w:t>survey and interview</w:t>
      </w:r>
      <w:r w:rsidRPr="006219E1" w:rsidR="00000CD8">
        <w:rPr>
          <w:rStyle w:val="normaltextrun"/>
          <w:color w:val="000000"/>
          <w:shd w:val="clear" w:color="auto" w:fill="FFFFFF"/>
        </w:rPr>
        <w:t xml:space="preserve"> length, by conducting interviews at times convenient for respondents, and by not requiring record-keeping or written responses on the part of the participants</w:t>
      </w:r>
      <w:r w:rsidRPr="006219E1" w:rsidR="003B4B56">
        <w:rPr>
          <w:rStyle w:val="normaltextrun"/>
          <w:color w:val="000000"/>
          <w:shd w:val="clear" w:color="auto" w:fill="FFFFFF"/>
        </w:rPr>
        <w:t>.</w:t>
      </w:r>
    </w:p>
    <w:p w:rsidR="00EB5E96" w:rsidRPr="006219E1" w:rsidP="000C4293" w14:paraId="5E13DE4C" w14:textId="77777777">
      <w:pPr>
        <w:tabs>
          <w:tab w:val="left" w:pos="-720"/>
        </w:tabs>
        <w:suppressAutoHyphens/>
        <w:jc w:val="both"/>
        <w:rPr>
          <w:spacing w:val="-3"/>
        </w:rPr>
      </w:pPr>
    </w:p>
    <w:p w:rsidR="005305F3" w:rsidRPr="006219E1" w:rsidP="000C4293" w14:paraId="555ED6BD" w14:textId="77777777">
      <w:pPr>
        <w:tabs>
          <w:tab w:val="left" w:pos="-720"/>
        </w:tabs>
        <w:suppressAutoHyphens/>
        <w:jc w:val="both"/>
        <w:rPr>
          <w:spacing w:val="-3"/>
        </w:rPr>
      </w:pPr>
    </w:p>
    <w:p w:rsidR="00EB5E96" w:rsidRPr="006219E1" w:rsidP="596FB15F" w14:paraId="3B43F236" w14:textId="18BC1115">
      <w:pPr>
        <w:suppressAutoHyphens/>
        <w:jc w:val="both"/>
      </w:pPr>
      <w:r w:rsidRPr="006219E1">
        <w:fldChar w:fldCharType="begin"/>
      </w:r>
      <w:r w:rsidRPr="006219E1">
        <w:instrText>ADVANCE \R 0.95</w:instrText>
      </w:r>
      <w:r w:rsidRPr="006219E1">
        <w:fldChar w:fldCharType="end"/>
      </w:r>
      <w:r w:rsidRPr="006219E1">
        <w:t>6.  Describe the consequence to Federal/</w:t>
      </w:r>
      <w:r w:rsidRPr="006219E1" w:rsidR="00460234">
        <w:t>DHS</w:t>
      </w:r>
      <w:r w:rsidRPr="006219E1">
        <w:t xml:space="preserve"> program or policy activities if the collection of information is not conducted, or is conducted less frequently, as well as any technical or legal obstacles to reducing burden.</w:t>
      </w:r>
    </w:p>
    <w:p w:rsidR="00EB5E96" w:rsidRPr="006219E1" w:rsidP="000C4293" w14:paraId="38AFCAF9" w14:textId="77777777">
      <w:pPr>
        <w:tabs>
          <w:tab w:val="left" w:pos="-720"/>
        </w:tabs>
        <w:suppressAutoHyphens/>
        <w:jc w:val="both"/>
        <w:rPr>
          <w:spacing w:val="-3"/>
        </w:rPr>
      </w:pPr>
    </w:p>
    <w:p w:rsidR="00AA3F82" w:rsidRPr="006219E1" w:rsidP="596FB15F" w14:paraId="6DB53CCA" w14:textId="1BAC42EE">
      <w:pPr>
        <w:suppressAutoHyphens/>
        <w:jc w:val="both"/>
        <w:rPr>
          <w:color w:val="000000"/>
          <w:shd w:val="clear" w:color="auto" w:fill="FFFFFF"/>
        </w:rPr>
      </w:pPr>
      <w:r w:rsidRPr="006219E1">
        <w:rPr>
          <w:rStyle w:val="normaltextrun"/>
          <w:color w:val="000000"/>
          <w:shd w:val="clear" w:color="auto" w:fill="FFFFFF"/>
        </w:rPr>
        <w:t>Without collecting this information</w:t>
      </w:r>
      <w:r w:rsidRPr="006219E1" w:rsidR="000E5AEE">
        <w:rPr>
          <w:rStyle w:val="normaltextrun"/>
          <w:color w:val="000000"/>
          <w:shd w:val="clear" w:color="auto" w:fill="FFFFFF"/>
        </w:rPr>
        <w:t xml:space="preserve">, </w:t>
      </w:r>
      <w:r w:rsidRPr="006219E1" w:rsidR="003A0798">
        <w:rPr>
          <w:rStyle w:val="normaltextrun"/>
          <w:color w:val="000000"/>
          <w:shd w:val="clear" w:color="auto" w:fill="FFFFFF"/>
        </w:rPr>
        <w:t xml:space="preserve">CISA will not meet the requirements of the Evidence Act to </w:t>
      </w:r>
      <w:r w:rsidRPr="006219E1" w:rsidR="00A40CB0">
        <w:rPr>
          <w:rStyle w:val="normaltextrun"/>
          <w:color w:val="000000"/>
          <w:shd w:val="clear" w:color="auto" w:fill="FFFFFF"/>
        </w:rPr>
        <w:t>conduct program evaluations</w:t>
      </w:r>
      <w:r w:rsidRPr="006219E1" w:rsidR="00B550A0">
        <w:rPr>
          <w:rStyle w:val="normaltextrun"/>
          <w:color w:val="000000"/>
          <w:shd w:val="clear" w:color="auto" w:fill="FFFFFF"/>
        </w:rPr>
        <w:t xml:space="preserve">—particularly, this </w:t>
      </w:r>
      <w:r w:rsidRPr="006219E1" w:rsidR="00DB389C">
        <w:rPr>
          <w:rStyle w:val="normaltextrun"/>
          <w:color w:val="000000"/>
          <w:shd w:val="clear" w:color="auto" w:fill="FFFFFF"/>
        </w:rPr>
        <w:t>SED</w:t>
      </w:r>
      <w:r w:rsidRPr="006219E1" w:rsidR="00B550A0">
        <w:rPr>
          <w:rStyle w:val="normaltextrun"/>
          <w:color w:val="000000"/>
          <w:shd w:val="clear" w:color="auto" w:fill="FFFFFF"/>
        </w:rPr>
        <w:t xml:space="preserve"> evaluation</w:t>
      </w:r>
      <w:r w:rsidRPr="006219E1" w:rsidR="06984FA7">
        <w:rPr>
          <w:rStyle w:val="normaltextrun"/>
          <w:color w:val="000000"/>
          <w:shd w:val="clear" w:color="auto" w:fill="FFFFFF"/>
        </w:rPr>
        <w:t>, which</w:t>
      </w:r>
      <w:r w:rsidRPr="006219E1" w:rsidR="00B550A0">
        <w:rPr>
          <w:rStyle w:val="normaltextrun"/>
          <w:color w:val="000000"/>
          <w:shd w:val="clear" w:color="auto" w:fill="FFFFFF"/>
        </w:rPr>
        <w:t xml:space="preserve"> was </w:t>
      </w:r>
      <w:r w:rsidRPr="006219E1" w:rsidR="00B550A0">
        <w:rPr>
          <w:rStyle w:val="normaltextrun"/>
        </w:rPr>
        <w:t xml:space="preserve">included in the </w:t>
      </w:r>
      <w:hyperlink r:id="rId11" w:history="1">
        <w:r w:rsidRPr="006219E1" w:rsidR="00B550A0">
          <w:rPr>
            <w:rStyle w:val="Hyperlink"/>
          </w:rPr>
          <w:t>Department of Homeland Security FY 2023 Annual Evaluation Plan</w:t>
        </w:r>
      </w:hyperlink>
      <w:r w:rsidRPr="006219E1" w:rsidR="00B550A0">
        <w:rPr>
          <w:rStyle w:val="normaltextrun"/>
        </w:rPr>
        <w:t xml:space="preserve"> as a “significant” evaluation.</w:t>
      </w:r>
      <w:r w:rsidRPr="006219E1" w:rsidR="00B550A0">
        <w:rPr>
          <w:rStyle w:val="normaltextrun"/>
          <w:color w:val="000000"/>
          <w:shd w:val="clear" w:color="auto" w:fill="FFFFFF"/>
        </w:rPr>
        <w:t xml:space="preserve"> </w:t>
      </w:r>
      <w:r w:rsidRPr="006219E1" w:rsidR="00026F71">
        <w:rPr>
          <w:rStyle w:val="normaltextrun"/>
          <w:color w:val="000000"/>
          <w:shd w:val="clear" w:color="auto" w:fill="FFFFFF"/>
        </w:rPr>
        <w:t>In addition, w</w:t>
      </w:r>
      <w:r w:rsidRPr="006219E1">
        <w:rPr>
          <w:rStyle w:val="normaltextrun"/>
          <w:color w:val="000000"/>
          <w:shd w:val="clear" w:color="auto" w:fill="FFFFFF"/>
        </w:rPr>
        <w:t>ithout collecting this information</w:t>
      </w:r>
      <w:r w:rsidRPr="006219E1" w:rsidR="000E5AEE">
        <w:rPr>
          <w:rStyle w:val="normaltextrun"/>
          <w:color w:val="000000"/>
          <w:shd w:val="clear" w:color="auto" w:fill="FFFFFF"/>
        </w:rPr>
        <w:t xml:space="preserve">, </w:t>
      </w:r>
      <w:r w:rsidRPr="006219E1" w:rsidR="00BC4B44">
        <w:rPr>
          <w:rStyle w:val="normaltextrun"/>
          <w:color w:val="000000"/>
          <w:shd w:val="clear" w:color="auto" w:fill="FFFFFF"/>
        </w:rPr>
        <w:t>SED</w:t>
      </w:r>
      <w:r w:rsidRPr="006219E1" w:rsidR="00DB389C">
        <w:rPr>
          <w:rStyle w:val="normaltextrun"/>
          <w:color w:val="000000"/>
          <w:shd w:val="clear" w:color="auto" w:fill="FFFFFF"/>
        </w:rPr>
        <w:t xml:space="preserve">, other CISA stakeholder engagement programs, and CISA-at-large </w:t>
      </w:r>
      <w:r w:rsidRPr="006219E1" w:rsidR="00F41C18">
        <w:rPr>
          <w:rStyle w:val="normaltextrun"/>
          <w:color w:val="000000"/>
          <w:shd w:val="clear" w:color="auto" w:fill="FFFFFF"/>
        </w:rPr>
        <w:t xml:space="preserve">will not be able to understand whether and how </w:t>
      </w:r>
      <w:r w:rsidRPr="006219E1" w:rsidR="002443F0">
        <w:rPr>
          <w:rStyle w:val="normaltextrun"/>
          <w:color w:val="000000"/>
          <w:shd w:val="clear" w:color="auto" w:fill="FFFFFF"/>
        </w:rPr>
        <w:t>CISA’s convening activities, products, and services provide value and utility for stakeholders</w:t>
      </w:r>
      <w:r w:rsidRPr="006219E1" w:rsidR="0087090C">
        <w:rPr>
          <w:rStyle w:val="normaltextrun"/>
          <w:color w:val="000000"/>
          <w:shd w:val="clear" w:color="auto" w:fill="FFFFFF"/>
        </w:rPr>
        <w:t xml:space="preserve"> </w:t>
      </w:r>
      <w:r w:rsidRPr="006219E1" w:rsidR="001B2760">
        <w:rPr>
          <w:rStyle w:val="normaltextrun"/>
          <w:color w:val="000000"/>
          <w:shd w:val="clear" w:color="auto" w:fill="FFFFFF"/>
        </w:rPr>
        <w:t>to enhance their</w:t>
      </w:r>
      <w:r w:rsidRPr="006219E1" w:rsidR="0087090C">
        <w:rPr>
          <w:rStyle w:val="normaltextrun"/>
          <w:color w:val="000000"/>
          <w:shd w:val="clear" w:color="auto" w:fill="FFFFFF"/>
        </w:rPr>
        <w:t xml:space="preserve"> decision-making and risk reduction. </w:t>
      </w:r>
      <w:r w:rsidRPr="006219E1" w:rsidR="008B51DE">
        <w:rPr>
          <w:rStyle w:val="normaltextrun"/>
          <w:color w:val="000000"/>
          <w:shd w:val="clear" w:color="auto" w:fill="FFFFFF"/>
        </w:rPr>
        <w:t xml:space="preserve">Thus, we will </w:t>
      </w:r>
      <w:r w:rsidRPr="006219E1" w:rsidR="00D46D5D">
        <w:rPr>
          <w:rStyle w:val="normaltextrun"/>
          <w:color w:val="000000"/>
          <w:shd w:val="clear" w:color="auto" w:fill="FFFFFF"/>
        </w:rPr>
        <w:t xml:space="preserve">not </w:t>
      </w:r>
      <w:r w:rsidRPr="006219E1" w:rsidR="00921B6A">
        <w:rPr>
          <w:rStyle w:val="normaltextrun"/>
          <w:color w:val="000000"/>
          <w:shd w:val="clear" w:color="auto" w:fill="FFFFFF"/>
        </w:rPr>
        <w:t xml:space="preserve">have the information needed to </w:t>
      </w:r>
      <w:r w:rsidRPr="006219E1" w:rsidR="00934CF8">
        <w:rPr>
          <w:rStyle w:val="normaltextrun"/>
          <w:color w:val="000000"/>
          <w:shd w:val="clear" w:color="auto" w:fill="FFFFFF"/>
        </w:rPr>
        <w:t xml:space="preserve">learn how to </w:t>
      </w:r>
      <w:r w:rsidRPr="006219E1" w:rsidR="00D74AAC">
        <w:rPr>
          <w:rStyle w:val="normaltextrun"/>
          <w:color w:val="000000"/>
          <w:shd w:val="clear" w:color="auto" w:fill="FFFFFF"/>
        </w:rPr>
        <w:t xml:space="preserve">improve </w:t>
      </w:r>
      <w:r w:rsidRPr="006219E1" w:rsidR="006708D5">
        <w:rPr>
          <w:rStyle w:val="normaltextrun"/>
          <w:color w:val="000000"/>
          <w:shd w:val="clear" w:color="auto" w:fill="FFFFFF"/>
        </w:rPr>
        <w:t xml:space="preserve">the </w:t>
      </w:r>
      <w:r w:rsidRPr="006219E1" w:rsidR="005A0729">
        <w:rPr>
          <w:rStyle w:val="normaltextrun"/>
          <w:color w:val="000000"/>
          <w:shd w:val="clear" w:color="auto" w:fill="FFFFFF"/>
        </w:rPr>
        <w:t xml:space="preserve">planning, execution, and delivery of the </w:t>
      </w:r>
      <w:r w:rsidRPr="006219E1" w:rsidR="006708D5">
        <w:rPr>
          <w:rStyle w:val="normaltextrun"/>
          <w:color w:val="000000"/>
          <w:shd w:val="clear" w:color="auto" w:fill="FFFFFF"/>
        </w:rPr>
        <w:t>convenings, products, and services</w:t>
      </w:r>
      <w:r w:rsidRPr="006219E1" w:rsidR="00981A3D">
        <w:rPr>
          <w:rStyle w:val="normaltextrun"/>
          <w:color w:val="000000"/>
          <w:shd w:val="clear" w:color="auto" w:fill="FFFFFF"/>
        </w:rPr>
        <w:t xml:space="preserve"> </w:t>
      </w:r>
      <w:r w:rsidRPr="006219E1" w:rsidR="005A0729">
        <w:rPr>
          <w:rStyle w:val="normaltextrun"/>
          <w:color w:val="000000"/>
          <w:shd w:val="clear" w:color="auto" w:fill="FFFFFF"/>
        </w:rPr>
        <w:t xml:space="preserve">so that they are </w:t>
      </w:r>
      <w:r w:rsidRPr="006219E1" w:rsidR="00CA5D7E">
        <w:rPr>
          <w:rStyle w:val="normaltextrun"/>
          <w:color w:val="000000"/>
          <w:shd w:val="clear" w:color="auto" w:fill="FFFFFF"/>
        </w:rPr>
        <w:t>more meaningful, relevant, timely, and actionable for stakeholders</w:t>
      </w:r>
      <w:r w:rsidRPr="006219E1" w:rsidR="00C21CB8">
        <w:rPr>
          <w:rStyle w:val="normaltextrun"/>
          <w:color w:val="000000"/>
          <w:shd w:val="clear" w:color="auto" w:fill="FFFFFF"/>
        </w:rPr>
        <w:t xml:space="preserve">. </w:t>
      </w:r>
      <w:r w:rsidRPr="006219E1" w:rsidR="0087090C">
        <w:rPr>
          <w:rStyle w:val="normaltextrun"/>
          <w:color w:val="000000"/>
          <w:shd w:val="clear" w:color="auto" w:fill="FFFFFF"/>
        </w:rPr>
        <w:t xml:space="preserve">Without collecting this information, </w:t>
      </w:r>
      <w:r w:rsidRPr="006219E1" w:rsidR="00543063">
        <w:rPr>
          <w:rStyle w:val="normaltextrun"/>
          <w:color w:val="000000"/>
          <w:shd w:val="clear" w:color="auto" w:fill="FFFFFF"/>
        </w:rPr>
        <w:t xml:space="preserve">we will also not be able to </w:t>
      </w:r>
      <w:r w:rsidRPr="006219E1" w:rsidR="000E5AEE">
        <w:rPr>
          <w:rStyle w:val="normaltextrun"/>
          <w:color w:val="000000"/>
          <w:shd w:val="clear" w:color="auto" w:fill="FFFFFF"/>
        </w:rPr>
        <w:t xml:space="preserve">assess </w:t>
      </w:r>
      <w:r w:rsidRPr="006219E1" w:rsidR="00C211AE">
        <w:rPr>
          <w:rStyle w:val="normaltextrun"/>
          <w:color w:val="000000"/>
          <w:shd w:val="clear" w:color="auto" w:fill="FFFFFF"/>
        </w:rPr>
        <w:t>how to best engage and build trusted relationships with stakeholders</w:t>
      </w:r>
      <w:r w:rsidRPr="006219E1" w:rsidR="0091335F">
        <w:rPr>
          <w:rStyle w:val="normaltextrun"/>
          <w:color w:val="000000"/>
          <w:shd w:val="clear" w:color="auto" w:fill="FFFFFF"/>
        </w:rPr>
        <w:t xml:space="preserve">, which </w:t>
      </w:r>
      <w:r w:rsidRPr="006219E1" w:rsidR="00526FF2">
        <w:rPr>
          <w:rStyle w:val="normaltextrun"/>
          <w:color w:val="000000"/>
          <w:shd w:val="clear" w:color="auto" w:fill="FFFFFF"/>
        </w:rPr>
        <w:t xml:space="preserve">is needed to </w:t>
      </w:r>
      <w:r w:rsidRPr="006219E1" w:rsidR="00051245">
        <w:rPr>
          <w:rStyle w:val="normaltextrun"/>
          <w:color w:val="000000"/>
          <w:shd w:val="clear" w:color="auto" w:fill="FFFFFF"/>
        </w:rPr>
        <w:t xml:space="preserve">identify areas for improvement in how CISA </w:t>
      </w:r>
      <w:r w:rsidRPr="006219E1" w:rsidR="00051245">
        <w:rPr>
          <w:rStyle w:val="normaltextrun"/>
          <w:color w:val="000000"/>
          <w:shd w:val="clear" w:color="auto" w:fill="FFFFFF"/>
        </w:rPr>
        <w:t xml:space="preserve">collaborates </w:t>
      </w:r>
      <w:r w:rsidRPr="006219E1" w:rsidR="00C87132">
        <w:rPr>
          <w:rStyle w:val="normaltextrun"/>
          <w:color w:val="000000"/>
          <w:shd w:val="clear" w:color="auto" w:fill="FFFFFF"/>
        </w:rPr>
        <w:t>and interacts with stakeholders to support information exchange within and across sectors.</w:t>
      </w:r>
    </w:p>
    <w:p w:rsidR="005305F3" w:rsidRPr="006219E1" w:rsidP="000C4293" w14:paraId="4C80F19E" w14:textId="77777777">
      <w:pPr>
        <w:tabs>
          <w:tab w:val="left" w:pos="-720"/>
        </w:tabs>
        <w:suppressAutoHyphens/>
        <w:jc w:val="both"/>
        <w:rPr>
          <w:spacing w:val="-3"/>
        </w:rPr>
      </w:pPr>
    </w:p>
    <w:p w:rsidR="00EB5E96" w:rsidRPr="006219E1" w:rsidP="000C4293" w14:paraId="5CEA0046" w14:textId="77777777">
      <w:pPr>
        <w:shd w:val="pct25" w:color="auto" w:fill="auto"/>
        <w:tabs>
          <w:tab w:val="left" w:pos="-720"/>
        </w:tabs>
        <w:suppressAutoHyphens/>
        <w:jc w:val="both"/>
      </w:pPr>
      <w:r w:rsidRPr="006219E1">
        <w:fldChar w:fldCharType="begin"/>
      </w:r>
      <w:r w:rsidRPr="006219E1">
        <w:instrText>ADVANCE \R 0.95</w:instrText>
      </w:r>
      <w:r w:rsidRPr="006219E1">
        <w:fldChar w:fldCharType="end"/>
      </w:r>
      <w:r w:rsidRPr="006219E1">
        <w:t>7.  Explain any special circumstances that would cause an information collection to be conducted in a manner:</w:t>
      </w:r>
    </w:p>
    <w:p w:rsidR="00EB5E96" w:rsidRPr="006219E1" w:rsidP="000C4293" w14:paraId="1819770B" w14:textId="77777777">
      <w:pPr>
        <w:shd w:val="pct25" w:color="auto" w:fill="FFFFFF"/>
        <w:tabs>
          <w:tab w:val="left" w:pos="-720"/>
        </w:tabs>
        <w:suppressAutoHyphens/>
        <w:jc w:val="both"/>
      </w:pPr>
    </w:p>
    <w:p w:rsidR="00EB5E96" w:rsidRPr="006219E1" w:rsidP="005C472E" w14:paraId="23F88CE8" w14:textId="77777777">
      <w:pPr>
        <w:numPr>
          <w:ilvl w:val="0"/>
          <w:numId w:val="26"/>
        </w:numPr>
        <w:shd w:val="clear" w:color="auto" w:fill="C0C0C0"/>
        <w:tabs>
          <w:tab w:val="left" w:pos="-720"/>
        </w:tabs>
        <w:suppressAutoHyphens/>
        <w:jc w:val="both"/>
      </w:pPr>
      <w:r w:rsidRPr="006219E1">
        <w:fldChar w:fldCharType="begin"/>
      </w:r>
      <w:r w:rsidRPr="006219E1">
        <w:instrText>ADVANCE \R 0.95</w:instrText>
      </w:r>
      <w:r w:rsidRPr="006219E1">
        <w:fldChar w:fldCharType="end"/>
      </w:r>
      <w:r w:rsidRPr="006219E1">
        <w:t>Requiring respondents to report information to the agency more often than quarterly.</w:t>
      </w:r>
    </w:p>
    <w:p w:rsidR="005C472E" w:rsidRPr="006219E1" w:rsidP="005C472E" w14:paraId="114264B2" w14:textId="77777777">
      <w:pPr>
        <w:tabs>
          <w:tab w:val="left" w:pos="-720"/>
        </w:tabs>
        <w:suppressAutoHyphens/>
        <w:contextualSpacing/>
      </w:pPr>
    </w:p>
    <w:p w:rsidR="005C472E" w:rsidRPr="006219E1" w:rsidP="005C472E" w14:paraId="3B1DADEC" w14:textId="0DE12FAE">
      <w:pPr>
        <w:tabs>
          <w:tab w:val="left" w:pos="-720"/>
        </w:tabs>
        <w:suppressAutoHyphens/>
        <w:contextualSpacing/>
      </w:pPr>
      <w:r w:rsidRPr="006219E1">
        <w:t>The special circumstances contained in item 7 of the Supporting Statement are not applicable to this information collection</w:t>
      </w:r>
      <w:r w:rsidRPr="006219E1" w:rsidR="00A57406">
        <w:rPr>
          <w:spacing w:val="-3"/>
        </w:rPr>
        <w:t>.</w:t>
      </w:r>
    </w:p>
    <w:p w:rsidR="005C472E" w:rsidRPr="006219E1" w:rsidP="005C472E" w14:paraId="7CA6057B" w14:textId="77777777">
      <w:pPr>
        <w:tabs>
          <w:tab w:val="left" w:pos="-720"/>
        </w:tabs>
        <w:suppressAutoHyphens/>
        <w:contextualSpacing/>
      </w:pPr>
    </w:p>
    <w:p w:rsidR="005305F3" w:rsidRPr="006219E1" w:rsidP="005C472E" w14:paraId="76EDEA0D" w14:textId="77777777">
      <w:pPr>
        <w:tabs>
          <w:tab w:val="left" w:pos="-720"/>
        </w:tabs>
        <w:suppressAutoHyphens/>
        <w:contextualSpacing/>
      </w:pPr>
    </w:p>
    <w:p w:rsidR="00EB5E96" w:rsidRPr="006219E1" w:rsidP="005C472E" w14:paraId="4A6BDFA0" w14:textId="77777777">
      <w:pPr>
        <w:numPr>
          <w:ilvl w:val="0"/>
          <w:numId w:val="26"/>
        </w:numPr>
        <w:shd w:val="clear" w:color="auto" w:fill="C0C0C0"/>
      </w:pPr>
      <w:r w:rsidRPr="006219E1">
        <w:fldChar w:fldCharType="begin"/>
      </w:r>
      <w:r w:rsidRPr="006219E1">
        <w:instrText>ADVANCE \R 0.95</w:instrText>
      </w:r>
      <w:r w:rsidRPr="006219E1">
        <w:fldChar w:fldCharType="end"/>
      </w:r>
      <w:r w:rsidRPr="006219E1">
        <w:fldChar w:fldCharType="begin"/>
      </w:r>
      <w:r w:rsidRPr="006219E1">
        <w:instrText>ADVANCE \R 0.95</w:instrText>
      </w:r>
      <w:r w:rsidRPr="006219E1">
        <w:fldChar w:fldCharType="end"/>
      </w:r>
      <w:r w:rsidRPr="006219E1">
        <w:t>Requiring respondents to prepare a written response to a collection of information in fewer than 30 days after receipt of it.</w:t>
      </w:r>
    </w:p>
    <w:p w:rsidR="005C472E" w:rsidRPr="006219E1" w:rsidP="005C472E" w14:paraId="276EC834" w14:textId="77777777">
      <w:pPr>
        <w:tabs>
          <w:tab w:val="left" w:pos="-720"/>
        </w:tabs>
        <w:suppressAutoHyphens/>
        <w:contextualSpacing/>
      </w:pPr>
    </w:p>
    <w:p w:rsidR="005C472E" w:rsidRPr="006219E1" w:rsidP="005C472E" w14:paraId="60034CE1" w14:textId="0755A4B5">
      <w:pPr>
        <w:tabs>
          <w:tab w:val="left" w:pos="-720"/>
        </w:tabs>
        <w:suppressAutoHyphens/>
        <w:contextualSpacing/>
      </w:pPr>
      <w:r w:rsidRPr="006219E1">
        <w:t>The special circumstances contained in item 7 of the Supporting Statement are not applicable to this information collection</w:t>
      </w:r>
      <w:r w:rsidRPr="006219E1" w:rsidR="00A57406">
        <w:rPr>
          <w:spacing w:val="-3"/>
        </w:rPr>
        <w:t>.</w:t>
      </w:r>
    </w:p>
    <w:p w:rsidR="005C472E" w:rsidRPr="006219E1" w:rsidP="005C472E" w14:paraId="79A93358" w14:textId="77777777">
      <w:pPr>
        <w:tabs>
          <w:tab w:val="left" w:pos="-720"/>
        </w:tabs>
        <w:suppressAutoHyphens/>
        <w:contextualSpacing/>
      </w:pPr>
    </w:p>
    <w:p w:rsidR="00EB5E96" w:rsidRPr="006219E1" w:rsidP="005C472E" w14:paraId="52E973BB" w14:textId="77777777">
      <w:pPr>
        <w:numPr>
          <w:ilvl w:val="0"/>
          <w:numId w:val="26"/>
        </w:numPr>
        <w:shd w:val="pct25" w:color="auto" w:fill="auto"/>
        <w:tabs>
          <w:tab w:val="left" w:pos="-720"/>
        </w:tabs>
        <w:suppressAutoHyphens/>
        <w:jc w:val="both"/>
      </w:pPr>
      <w:r w:rsidRPr="006219E1">
        <w:fldChar w:fldCharType="begin"/>
      </w:r>
      <w:r w:rsidRPr="006219E1">
        <w:instrText>ADVANCE \R 0.95</w:instrText>
      </w:r>
      <w:r w:rsidRPr="006219E1">
        <w:fldChar w:fldCharType="end"/>
      </w:r>
      <w:r w:rsidRPr="006219E1">
        <w:t>Requiring respondents to submit more than an original and two copies of any document.</w:t>
      </w:r>
    </w:p>
    <w:p w:rsidR="005C472E" w:rsidRPr="006219E1" w:rsidP="005C472E" w14:paraId="6109BF0C" w14:textId="77777777">
      <w:pPr>
        <w:tabs>
          <w:tab w:val="left" w:pos="-720"/>
        </w:tabs>
        <w:suppressAutoHyphens/>
        <w:contextualSpacing/>
        <w:jc w:val="both"/>
      </w:pPr>
    </w:p>
    <w:p w:rsidR="0029007F" w:rsidRPr="006219E1" w:rsidP="0029007F" w14:paraId="4DF321B3" w14:textId="47A327BF">
      <w:pPr>
        <w:tabs>
          <w:tab w:val="left" w:pos="-720"/>
        </w:tabs>
        <w:suppressAutoHyphens/>
        <w:contextualSpacing/>
        <w:jc w:val="both"/>
      </w:pPr>
      <w:r w:rsidRPr="006219E1">
        <w:t>The special circumstances contained in item 7 of the Supporting Statement are not applicable to this information collection</w:t>
      </w:r>
      <w:r w:rsidRPr="006219E1" w:rsidR="00A57406">
        <w:rPr>
          <w:spacing w:val="-3"/>
        </w:rPr>
        <w:t>.</w:t>
      </w:r>
    </w:p>
    <w:p w:rsidR="005C472E" w:rsidRPr="006219E1" w:rsidP="005C472E" w14:paraId="0360B0EA" w14:textId="77777777">
      <w:pPr>
        <w:tabs>
          <w:tab w:val="left" w:pos="-720"/>
        </w:tabs>
        <w:suppressAutoHyphens/>
        <w:contextualSpacing/>
        <w:jc w:val="both"/>
      </w:pPr>
    </w:p>
    <w:p w:rsidR="005305F3" w:rsidRPr="006219E1" w:rsidP="005C472E" w14:paraId="436C819B" w14:textId="77777777">
      <w:pPr>
        <w:tabs>
          <w:tab w:val="left" w:pos="-720"/>
        </w:tabs>
        <w:suppressAutoHyphens/>
        <w:contextualSpacing/>
        <w:jc w:val="both"/>
      </w:pPr>
    </w:p>
    <w:p w:rsidR="00EB5E96" w:rsidRPr="006219E1" w:rsidP="005C472E" w14:paraId="6A9FB3E6" w14:textId="77777777">
      <w:pPr>
        <w:numPr>
          <w:ilvl w:val="0"/>
          <w:numId w:val="26"/>
        </w:numPr>
        <w:shd w:val="clear" w:color="auto" w:fill="C0C0C0"/>
        <w:tabs>
          <w:tab w:val="left" w:pos="-720"/>
        </w:tabs>
        <w:suppressAutoHyphens/>
        <w:jc w:val="both"/>
      </w:pPr>
      <w:r w:rsidRPr="006219E1">
        <w:fldChar w:fldCharType="begin"/>
      </w:r>
      <w:r w:rsidRPr="006219E1">
        <w:instrText>ADVANCE \R 0.95</w:instrText>
      </w:r>
      <w:r w:rsidRPr="006219E1">
        <w:fldChar w:fldCharType="end"/>
      </w:r>
      <w:r w:rsidRPr="006219E1">
        <w:t>Requiring respondents to retain records, other than health, medical, government contract, grant-in-aid, or tax records for more than three years.</w:t>
      </w:r>
    </w:p>
    <w:p w:rsidR="005C472E" w:rsidRPr="006219E1" w:rsidP="005C472E" w14:paraId="0BC57000" w14:textId="77777777">
      <w:pPr>
        <w:tabs>
          <w:tab w:val="left" w:pos="-720"/>
        </w:tabs>
        <w:suppressAutoHyphens/>
        <w:contextualSpacing/>
      </w:pPr>
    </w:p>
    <w:p w:rsidR="005C472E" w:rsidRPr="006219E1" w:rsidP="005C472E" w14:paraId="306663A0" w14:textId="6E0259C7">
      <w:pPr>
        <w:tabs>
          <w:tab w:val="left" w:pos="-720"/>
        </w:tabs>
        <w:suppressAutoHyphens/>
        <w:contextualSpacing/>
      </w:pPr>
      <w:r w:rsidRPr="006219E1">
        <w:t>The special circumstances contained in item 7 of the Supporting Statement are not applicable to this information collection</w:t>
      </w:r>
      <w:r w:rsidRPr="006219E1" w:rsidR="00A57406">
        <w:rPr>
          <w:spacing w:val="-3"/>
        </w:rPr>
        <w:t>.</w:t>
      </w:r>
    </w:p>
    <w:p w:rsidR="005C472E" w:rsidRPr="006219E1" w:rsidP="005C472E" w14:paraId="6308D0BB" w14:textId="77777777">
      <w:pPr>
        <w:tabs>
          <w:tab w:val="left" w:pos="-720"/>
        </w:tabs>
        <w:suppressAutoHyphens/>
        <w:contextualSpacing/>
      </w:pPr>
    </w:p>
    <w:p w:rsidR="005305F3" w:rsidRPr="006219E1" w:rsidP="005C472E" w14:paraId="1A5DC9F5" w14:textId="77777777">
      <w:pPr>
        <w:tabs>
          <w:tab w:val="left" w:pos="-720"/>
        </w:tabs>
        <w:suppressAutoHyphens/>
        <w:contextualSpacing/>
      </w:pPr>
    </w:p>
    <w:p w:rsidR="00EB5E96" w:rsidRPr="006219E1" w:rsidP="005C472E" w14:paraId="020B1D65" w14:textId="77777777">
      <w:pPr>
        <w:numPr>
          <w:ilvl w:val="0"/>
          <w:numId w:val="26"/>
        </w:numPr>
        <w:shd w:val="clear" w:color="auto" w:fill="C0C0C0"/>
        <w:tabs>
          <w:tab w:val="left" w:pos="-720"/>
        </w:tabs>
        <w:suppressAutoHyphens/>
        <w:jc w:val="both"/>
      </w:pPr>
      <w:r w:rsidRPr="006219E1">
        <w:fldChar w:fldCharType="begin"/>
      </w:r>
      <w:r w:rsidRPr="006219E1">
        <w:instrText>ADVANCE \R 0.95</w:instrText>
      </w:r>
      <w:r w:rsidRPr="006219E1">
        <w:fldChar w:fldCharType="end"/>
      </w:r>
      <w:r w:rsidRPr="006219E1">
        <w:t>In connection with a statistical survey, that is not designed to produce valid and reliable results that can be generalized to the universe of study.</w:t>
      </w:r>
    </w:p>
    <w:p w:rsidR="005C472E" w:rsidRPr="006219E1" w:rsidP="005C472E" w14:paraId="7F734A09" w14:textId="77777777">
      <w:pPr>
        <w:tabs>
          <w:tab w:val="left" w:pos="-720"/>
        </w:tabs>
        <w:suppressAutoHyphens/>
        <w:contextualSpacing/>
      </w:pPr>
    </w:p>
    <w:p w:rsidR="005C472E" w:rsidRPr="006219E1" w:rsidP="005C472E" w14:paraId="7331768B" w14:textId="4C25F47B">
      <w:pPr>
        <w:tabs>
          <w:tab w:val="left" w:pos="-720"/>
        </w:tabs>
        <w:suppressAutoHyphens/>
        <w:contextualSpacing/>
        <w:rPr>
          <w:spacing w:val="-3"/>
        </w:rPr>
      </w:pPr>
      <w:r w:rsidRPr="006219E1">
        <w:t>The special circumstances contained in item 7 of the Supporting Statement are not applicable to this information collection</w:t>
      </w:r>
      <w:r w:rsidRPr="006219E1" w:rsidR="00A57406">
        <w:rPr>
          <w:spacing w:val="-3"/>
        </w:rPr>
        <w:t>.</w:t>
      </w:r>
    </w:p>
    <w:p w:rsidR="00597286" w:rsidRPr="006219E1" w:rsidP="005C472E" w14:paraId="75553FE4" w14:textId="77777777">
      <w:pPr>
        <w:tabs>
          <w:tab w:val="left" w:pos="-720"/>
        </w:tabs>
        <w:suppressAutoHyphens/>
        <w:contextualSpacing/>
        <w:rPr>
          <w:spacing w:val="-3"/>
        </w:rPr>
      </w:pPr>
    </w:p>
    <w:p w:rsidR="00597286" w:rsidRPr="006219E1" w:rsidP="005C472E" w14:paraId="0BB67E13" w14:textId="77777777">
      <w:pPr>
        <w:tabs>
          <w:tab w:val="left" w:pos="-720"/>
        </w:tabs>
        <w:suppressAutoHyphens/>
        <w:contextualSpacing/>
        <w:rPr>
          <w:spacing w:val="-3"/>
        </w:rPr>
      </w:pPr>
    </w:p>
    <w:p w:rsidR="00EB5E96" w:rsidRPr="006219E1" w:rsidP="005C472E" w14:paraId="7B397638" w14:textId="77777777">
      <w:pPr>
        <w:numPr>
          <w:ilvl w:val="0"/>
          <w:numId w:val="26"/>
        </w:numPr>
        <w:shd w:val="clear" w:color="auto" w:fill="C0C0C0"/>
        <w:tabs>
          <w:tab w:val="left" w:pos="-720"/>
        </w:tabs>
        <w:suppressAutoHyphens/>
        <w:jc w:val="both"/>
      </w:pPr>
      <w:r w:rsidRPr="006219E1">
        <w:fldChar w:fldCharType="begin"/>
      </w:r>
      <w:r w:rsidRPr="006219E1">
        <w:instrText>ADVANCE \R 0.95</w:instrText>
      </w:r>
      <w:r w:rsidRPr="006219E1">
        <w:fldChar w:fldCharType="end"/>
      </w:r>
      <w:r w:rsidRPr="006219E1">
        <w:fldChar w:fldCharType="begin"/>
      </w:r>
      <w:r w:rsidRPr="006219E1">
        <w:instrText>ADVANCE \R 0.95</w:instrText>
      </w:r>
      <w:r w:rsidRPr="006219E1">
        <w:fldChar w:fldCharType="end"/>
      </w:r>
      <w:r w:rsidRPr="006219E1">
        <w:t>Requiring the use of a statistical data classification that has not been reviewed and approved by OMB.</w:t>
      </w:r>
    </w:p>
    <w:p w:rsidR="005C472E" w:rsidRPr="006219E1" w:rsidP="005C472E" w14:paraId="66792E63" w14:textId="77777777">
      <w:pPr>
        <w:tabs>
          <w:tab w:val="left" w:pos="-720"/>
        </w:tabs>
        <w:suppressAutoHyphens/>
        <w:contextualSpacing/>
      </w:pPr>
    </w:p>
    <w:p w:rsidR="005C472E" w:rsidRPr="006219E1" w:rsidP="005C472E" w14:paraId="51F58978" w14:textId="43120CBF">
      <w:pPr>
        <w:tabs>
          <w:tab w:val="left" w:pos="-720"/>
        </w:tabs>
        <w:suppressAutoHyphens/>
        <w:contextualSpacing/>
      </w:pPr>
      <w:r w:rsidRPr="006219E1">
        <w:t>The special circumstances contained in item 7 of the Supporting Statement are not applicable to this information collection</w:t>
      </w:r>
      <w:r w:rsidRPr="006219E1" w:rsidR="00A57406">
        <w:rPr>
          <w:spacing w:val="-3"/>
        </w:rPr>
        <w:t>.</w:t>
      </w:r>
    </w:p>
    <w:p w:rsidR="005C472E" w:rsidRPr="006219E1" w:rsidP="005C472E" w14:paraId="53A7A3F3" w14:textId="77777777">
      <w:pPr>
        <w:tabs>
          <w:tab w:val="left" w:pos="-720"/>
        </w:tabs>
        <w:suppressAutoHyphens/>
        <w:contextualSpacing/>
      </w:pPr>
    </w:p>
    <w:p w:rsidR="005305F3" w:rsidRPr="006219E1" w:rsidP="005C472E" w14:paraId="6119A09D" w14:textId="77777777">
      <w:pPr>
        <w:tabs>
          <w:tab w:val="left" w:pos="-720"/>
        </w:tabs>
        <w:suppressAutoHyphens/>
        <w:contextualSpacing/>
      </w:pPr>
    </w:p>
    <w:p w:rsidR="00EB5E96" w:rsidRPr="006219E1" w:rsidP="36D8B24C" w14:paraId="5A304924" w14:textId="77777777">
      <w:pPr>
        <w:numPr>
          <w:ilvl w:val="0"/>
          <w:numId w:val="26"/>
        </w:numPr>
        <w:shd w:val="clear" w:color="auto" w:fill="C0C0C0"/>
        <w:suppressAutoHyphens/>
        <w:jc w:val="both"/>
      </w:pPr>
      <w:r w:rsidRPr="006219E1">
        <w:fldChar w:fldCharType="begin"/>
      </w:r>
      <w:r w:rsidRPr="006219E1">
        <w:instrText>ADVANCE \R 0.95</w:instrText>
      </w:r>
      <w:r w:rsidRPr="006219E1">
        <w:fldChar w:fldCharType="end"/>
      </w:r>
      <w:r w:rsidRPr="006219E1">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B5E96" w:rsidRPr="006219E1" w:rsidP="36D8B24C" w14:paraId="7EDD4060" w14:textId="77777777">
      <w:pPr>
        <w:suppressAutoHyphens/>
        <w:ind w:left="144"/>
        <w:jc w:val="both"/>
      </w:pPr>
      <w:r w:rsidRPr="006219E1">
        <w:fldChar w:fldCharType="begin"/>
      </w:r>
      <w:r w:rsidRPr="006219E1">
        <w:instrText>ADVANCE \R 0.95</w:instrText>
      </w:r>
      <w:r w:rsidRPr="006219E1">
        <w:fldChar w:fldCharType="end"/>
      </w:r>
    </w:p>
    <w:p w:rsidR="00EB5E96" w:rsidRPr="006219E1" w:rsidP="00590C4B" w14:paraId="7746890D" w14:textId="12A7F249">
      <w:pPr>
        <w:suppressAutoHyphens/>
        <w:contextualSpacing/>
        <w:jc w:val="both"/>
      </w:pPr>
      <w:r w:rsidRPr="006219E1">
        <w:t>The special circumstances contained in item 7 of the Supporting Statement are not applicable to this information collection</w:t>
      </w:r>
      <w:r w:rsidRPr="006219E1" w:rsidR="34AE98C9">
        <w:t>.</w:t>
      </w:r>
    </w:p>
    <w:p w:rsidR="00590C4B" w:rsidRPr="006219E1" w:rsidP="00590C4B" w14:paraId="048977EE" w14:textId="77777777">
      <w:pPr>
        <w:suppressAutoHyphens/>
        <w:contextualSpacing/>
        <w:jc w:val="both"/>
      </w:pPr>
    </w:p>
    <w:p w:rsidR="005305F3" w:rsidRPr="006219E1" w:rsidP="00590C4B" w14:paraId="69229DAB" w14:textId="77777777">
      <w:pPr>
        <w:suppressAutoHyphens/>
        <w:contextualSpacing/>
        <w:jc w:val="both"/>
      </w:pPr>
    </w:p>
    <w:p w:rsidR="00EB5E96" w:rsidRPr="006219E1" w:rsidP="36D8B24C" w14:paraId="2A9EE2BF" w14:textId="77777777">
      <w:pPr>
        <w:numPr>
          <w:ilvl w:val="0"/>
          <w:numId w:val="26"/>
        </w:numPr>
        <w:shd w:val="clear" w:color="auto" w:fill="C0C0C0"/>
        <w:suppressAutoHyphens/>
        <w:jc w:val="both"/>
      </w:pPr>
      <w:r w:rsidRPr="006219E1">
        <w:rPr>
          <w:shd w:val="clear" w:color="auto" w:fill="C0C0C0"/>
        </w:rPr>
        <w:t>Requiring respondents to submit proprietary trade secret, or other confidential information unless the agency can demonstrate that it has instituted procedures to protect the information’s confidentiality to the extent permitted by law.</w:t>
      </w:r>
    </w:p>
    <w:p w:rsidR="002B0649" w:rsidRPr="006219E1" w:rsidP="000C4293" w14:paraId="2C6D8C8F" w14:textId="77777777">
      <w:pPr>
        <w:tabs>
          <w:tab w:val="left" w:pos="-720"/>
        </w:tabs>
        <w:suppressAutoHyphens/>
        <w:ind w:left="144"/>
        <w:jc w:val="both"/>
      </w:pPr>
      <w:r w:rsidRPr="006219E1">
        <w:fldChar w:fldCharType="begin"/>
      </w:r>
      <w:r w:rsidRPr="006219E1">
        <w:instrText>ADVANCE \R 0.95</w:instrText>
      </w:r>
      <w:r w:rsidRPr="006219E1">
        <w:fldChar w:fldCharType="end"/>
      </w:r>
    </w:p>
    <w:p w:rsidR="00F861A5" w:rsidRPr="006219E1" w:rsidP="00F861A5" w14:paraId="01B61542" w14:textId="30229CC8">
      <w:pPr>
        <w:tabs>
          <w:tab w:val="left" w:pos="-720"/>
        </w:tabs>
        <w:suppressAutoHyphens/>
        <w:contextualSpacing/>
        <w:jc w:val="both"/>
      </w:pPr>
      <w:r w:rsidRPr="006219E1">
        <w:t>The special circumstances contained in item 7 of the Supporting Statement are not applicable to this information collection</w:t>
      </w:r>
      <w:r w:rsidRPr="006219E1" w:rsidR="00A57406">
        <w:rPr>
          <w:spacing w:val="-3"/>
        </w:rPr>
        <w:t>.</w:t>
      </w:r>
    </w:p>
    <w:p w:rsidR="00AE41B7" w:rsidRPr="006219E1" w:rsidP="000C4293" w14:paraId="415A2725" w14:textId="77777777">
      <w:pPr>
        <w:tabs>
          <w:tab w:val="left" w:pos="-720"/>
        </w:tabs>
        <w:suppressAutoHyphens/>
        <w:jc w:val="both"/>
      </w:pPr>
    </w:p>
    <w:p w:rsidR="00EB5E96" w:rsidRPr="006219E1" w:rsidP="004C21F8" w14:paraId="3A9C89B1" w14:textId="77777777">
      <w:pPr>
        <w:shd w:val="pct25" w:color="auto" w:fill="auto"/>
        <w:tabs>
          <w:tab w:val="left" w:pos="-720"/>
        </w:tabs>
        <w:suppressAutoHyphens/>
        <w:jc w:val="both"/>
      </w:pPr>
      <w:r w:rsidRPr="006219E1">
        <w:fldChar w:fldCharType="begin"/>
      </w:r>
      <w:r w:rsidRPr="006219E1">
        <w:instrText>ADVANCE \R 0.95</w:instrText>
      </w:r>
      <w:r w:rsidRPr="006219E1">
        <w:fldChar w:fldCharType="end"/>
      </w:r>
      <w:r w:rsidRPr="006219E1">
        <w:t xml:space="preserve">8.  Federal Register Notice: </w:t>
      </w:r>
    </w:p>
    <w:p w:rsidR="00EB5E96" w:rsidRPr="006219E1" w:rsidP="2DD529EA" w14:paraId="225B0E37" w14:textId="79EE2998">
      <w:pPr>
        <w:shd w:val="clear" w:color="auto" w:fill="C0C0C0"/>
        <w:suppressAutoHyphens/>
        <w:jc w:val="both"/>
      </w:pPr>
      <w:r w:rsidRPr="006219E1">
        <w:fldChar w:fldCharType="begin"/>
      </w:r>
      <w:r w:rsidRPr="006219E1">
        <w:instrText>ADVANCE \R 0.95</w:instrText>
      </w:r>
      <w:r w:rsidRPr="006219E1">
        <w:fldChar w:fldCharType="end"/>
      </w:r>
      <w:r w:rsidRPr="006219E1">
        <w:fldChar w:fldCharType="begin"/>
      </w:r>
      <w:r w:rsidRPr="006219E1">
        <w:instrText>ADVANCE \R 0.95</w:instrText>
      </w:r>
      <w:r w:rsidRPr="006219E1">
        <w:fldChar w:fldCharType="end"/>
      </w:r>
      <w:r w:rsidRPr="006219E1">
        <w:t>a.   Provide a copy and identify the date and page number of</w:t>
      </w:r>
      <w:r w:rsidRPr="006219E1" w:rsidR="433EC6A3">
        <w:t xml:space="preserve"> the</w:t>
      </w:r>
      <w:r w:rsidRPr="006219E1">
        <w:t xml:space="preserve">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5E96" w:rsidRPr="006219E1" w:rsidP="004C21F8" w14:paraId="1A3D0F54" w14:textId="77777777">
      <w:pPr>
        <w:shd w:val="pct25" w:color="auto" w:fill="auto"/>
        <w:tabs>
          <w:tab w:val="left" w:pos="-720"/>
        </w:tabs>
        <w:suppressAutoHyphens/>
        <w:jc w:val="both"/>
      </w:pPr>
      <w:r w:rsidRPr="006219E1">
        <w:fldChar w:fldCharType="begin"/>
      </w:r>
      <w:r w:rsidRPr="006219E1">
        <w:instrText>ADVANCE \R 0.95</w:instrText>
      </w:r>
      <w:r w:rsidRPr="006219E1">
        <w:fldChar w:fldCharType="end"/>
      </w:r>
      <w:r w:rsidRPr="006219E1">
        <w:fldChar w:fldCharType="begin"/>
      </w:r>
      <w:r w:rsidRPr="006219E1">
        <w:instrText>ADVANCE \R 0.95</w:instrText>
      </w:r>
      <w:r w:rsidRPr="006219E1">
        <w:fldChar w:fldCharType="end"/>
      </w:r>
      <w:r w:rsidRPr="006219E1">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B5E96" w:rsidRPr="006219E1" w:rsidP="004C21F8" w14:paraId="3381B799" w14:textId="77777777">
      <w:pPr>
        <w:shd w:val="pct25" w:color="auto" w:fill="auto"/>
        <w:tabs>
          <w:tab w:val="left" w:pos="-720"/>
        </w:tabs>
        <w:suppressAutoHyphens/>
        <w:jc w:val="both"/>
      </w:pPr>
      <w:r w:rsidRPr="006219E1">
        <w:fldChar w:fldCharType="begin"/>
      </w:r>
      <w:r w:rsidRPr="006219E1">
        <w:instrText>ADVANCE \R 0.95</w:instrText>
      </w:r>
      <w:r w:rsidRPr="006219E1">
        <w:fldChar w:fldCharType="end"/>
      </w:r>
      <w:r w:rsidRPr="006219E1">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B5E96" w:rsidRPr="006219E1" w:rsidP="000C4293" w14:paraId="126D3743" w14:textId="77777777">
      <w:pPr>
        <w:tabs>
          <w:tab w:val="left" w:pos="-720"/>
        </w:tabs>
        <w:suppressAutoHyphens/>
        <w:jc w:val="both"/>
      </w:pPr>
      <w:r w:rsidRPr="006219E1">
        <w:fldChar w:fldCharType="begin"/>
      </w:r>
      <w:r w:rsidRPr="006219E1">
        <w:instrText>ADVANCE \R 0.95</w:instrText>
      </w:r>
      <w:r w:rsidRPr="006219E1">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700"/>
        <w:gridCol w:w="1080"/>
        <w:gridCol w:w="1080"/>
        <w:gridCol w:w="900"/>
        <w:gridCol w:w="1532"/>
      </w:tblGrid>
      <w:tr w14:paraId="4910E6DD" w14:textId="77777777" w:rsidTr="000963A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68" w:type="dxa"/>
            <w:shd w:val="clear" w:color="auto" w:fill="000000"/>
          </w:tcPr>
          <w:p w:rsidR="00B67664" w:rsidRPr="006219E1" w:rsidP="00D3411B" w14:paraId="02EDAE2E" w14:textId="77777777">
            <w:pPr>
              <w:tabs>
                <w:tab w:val="left" w:pos="-720"/>
              </w:tabs>
              <w:suppressAutoHyphens/>
              <w:jc w:val="both"/>
            </w:pPr>
          </w:p>
        </w:tc>
        <w:tc>
          <w:tcPr>
            <w:tcW w:w="2700" w:type="dxa"/>
            <w:shd w:val="clear" w:color="auto" w:fill="BFBFBF"/>
          </w:tcPr>
          <w:p w:rsidR="00B67664" w:rsidRPr="006219E1" w:rsidP="00D3411B" w14:paraId="733FCDF6" w14:textId="77777777">
            <w:pPr>
              <w:tabs>
                <w:tab w:val="left" w:pos="-720"/>
              </w:tabs>
              <w:suppressAutoHyphens/>
              <w:jc w:val="center"/>
              <w:rPr>
                <w:b/>
              </w:rPr>
            </w:pPr>
            <w:r w:rsidRPr="006219E1">
              <w:rPr>
                <w:b/>
              </w:rPr>
              <w:t>Date of Publication</w:t>
            </w:r>
          </w:p>
        </w:tc>
        <w:tc>
          <w:tcPr>
            <w:tcW w:w="1080" w:type="dxa"/>
            <w:shd w:val="clear" w:color="auto" w:fill="BFBFBF"/>
            <w:vAlign w:val="center"/>
          </w:tcPr>
          <w:p w:rsidR="00B67664" w:rsidRPr="006219E1" w:rsidP="00D3411B" w14:paraId="71CD397F" w14:textId="77777777">
            <w:pPr>
              <w:tabs>
                <w:tab w:val="left" w:pos="-720"/>
              </w:tabs>
              <w:suppressAutoHyphens/>
              <w:jc w:val="center"/>
              <w:rPr>
                <w:b/>
              </w:rPr>
            </w:pPr>
            <w:r w:rsidRPr="006219E1">
              <w:rPr>
                <w:b/>
              </w:rPr>
              <w:t>Volume #</w:t>
            </w:r>
          </w:p>
        </w:tc>
        <w:tc>
          <w:tcPr>
            <w:tcW w:w="1080" w:type="dxa"/>
            <w:shd w:val="clear" w:color="auto" w:fill="BFBFBF"/>
            <w:vAlign w:val="center"/>
          </w:tcPr>
          <w:p w:rsidR="00B67664" w:rsidRPr="006219E1" w:rsidP="00D3411B" w14:paraId="6923B9E4" w14:textId="77777777">
            <w:pPr>
              <w:tabs>
                <w:tab w:val="left" w:pos="-720"/>
              </w:tabs>
              <w:suppressAutoHyphens/>
              <w:jc w:val="center"/>
              <w:rPr>
                <w:b/>
              </w:rPr>
            </w:pPr>
            <w:r w:rsidRPr="006219E1">
              <w:rPr>
                <w:b/>
              </w:rPr>
              <w:t>Number #</w:t>
            </w:r>
          </w:p>
        </w:tc>
        <w:tc>
          <w:tcPr>
            <w:tcW w:w="900" w:type="dxa"/>
            <w:shd w:val="clear" w:color="auto" w:fill="BFBFBF"/>
            <w:vAlign w:val="center"/>
          </w:tcPr>
          <w:p w:rsidR="00B67664" w:rsidRPr="006219E1" w:rsidP="00D3411B" w14:paraId="1A9F4A4E" w14:textId="77777777">
            <w:pPr>
              <w:tabs>
                <w:tab w:val="left" w:pos="-720"/>
              </w:tabs>
              <w:suppressAutoHyphens/>
              <w:jc w:val="center"/>
              <w:rPr>
                <w:b/>
              </w:rPr>
            </w:pPr>
            <w:r w:rsidRPr="006219E1">
              <w:rPr>
                <w:b/>
              </w:rPr>
              <w:t>Page #</w:t>
            </w:r>
          </w:p>
        </w:tc>
        <w:tc>
          <w:tcPr>
            <w:tcW w:w="1532" w:type="dxa"/>
            <w:shd w:val="clear" w:color="auto" w:fill="BFBFBF"/>
          </w:tcPr>
          <w:p w:rsidR="00B67664" w:rsidRPr="006219E1" w:rsidP="00D3411B" w14:paraId="6BF24A15" w14:textId="77777777">
            <w:pPr>
              <w:tabs>
                <w:tab w:val="left" w:pos="-720"/>
              </w:tabs>
              <w:suppressAutoHyphens/>
              <w:jc w:val="center"/>
              <w:rPr>
                <w:b/>
              </w:rPr>
            </w:pPr>
            <w:r w:rsidRPr="006219E1">
              <w:rPr>
                <w:b/>
              </w:rPr>
              <w:t>Comments Addressed</w:t>
            </w:r>
          </w:p>
        </w:tc>
      </w:tr>
      <w:tr w14:paraId="196416DF" w14:textId="77777777" w:rsidTr="0022626A">
        <w:tblPrEx>
          <w:tblW w:w="0" w:type="auto"/>
          <w:tblLayout w:type="fixed"/>
          <w:tblLook w:val="04A0"/>
        </w:tblPrEx>
        <w:tc>
          <w:tcPr>
            <w:tcW w:w="2268" w:type="dxa"/>
            <w:vAlign w:val="center"/>
          </w:tcPr>
          <w:p w:rsidR="00B67664" w:rsidRPr="006219E1" w:rsidP="0022626A" w14:paraId="28758108" w14:textId="77777777">
            <w:pPr>
              <w:tabs>
                <w:tab w:val="left" w:pos="-720"/>
              </w:tabs>
              <w:suppressAutoHyphens/>
              <w:jc w:val="center"/>
              <w:rPr>
                <w:i/>
              </w:rPr>
            </w:pPr>
            <w:r w:rsidRPr="006219E1">
              <w:rPr>
                <w:i/>
              </w:rPr>
              <w:t>60</w:t>
            </w:r>
            <w:r w:rsidRPr="006219E1" w:rsidR="00C860B7">
              <w:rPr>
                <w:i/>
              </w:rPr>
              <w:t>-</w:t>
            </w:r>
            <w:r w:rsidRPr="006219E1">
              <w:rPr>
                <w:i/>
              </w:rPr>
              <w:t>Day Federal Register Notice:</w:t>
            </w:r>
          </w:p>
        </w:tc>
        <w:tc>
          <w:tcPr>
            <w:tcW w:w="2700" w:type="dxa"/>
            <w:vAlign w:val="center"/>
          </w:tcPr>
          <w:p w:rsidR="00B67664" w:rsidRPr="006219E1" w:rsidP="0029007F" w14:paraId="3EE3D417" w14:textId="5999A0FC">
            <w:pPr>
              <w:tabs>
                <w:tab w:val="left" w:pos="-720"/>
              </w:tabs>
              <w:suppressAutoHyphens/>
              <w:jc w:val="center"/>
            </w:pPr>
            <w:r>
              <w:t>9/5/202</w:t>
            </w:r>
            <w:r w:rsidR="00407391">
              <w:t>4</w:t>
            </w:r>
          </w:p>
        </w:tc>
        <w:tc>
          <w:tcPr>
            <w:tcW w:w="1080" w:type="dxa"/>
            <w:vAlign w:val="center"/>
          </w:tcPr>
          <w:p w:rsidR="00B67664" w:rsidRPr="00407391" w:rsidP="0029007F" w14:paraId="454C5B6F" w14:textId="77302E46">
            <w:pPr>
              <w:tabs>
                <w:tab w:val="left" w:pos="-720"/>
              </w:tabs>
              <w:suppressAutoHyphens/>
              <w:jc w:val="center"/>
            </w:pPr>
            <w:r w:rsidRPr="00407391">
              <w:t>89</w:t>
            </w:r>
          </w:p>
        </w:tc>
        <w:tc>
          <w:tcPr>
            <w:tcW w:w="1080" w:type="dxa"/>
            <w:vAlign w:val="center"/>
          </w:tcPr>
          <w:p w:rsidR="00B67664" w:rsidRPr="00407391" w:rsidP="0029007F" w14:paraId="1D5C8C71" w14:textId="024DDCC8">
            <w:pPr>
              <w:tabs>
                <w:tab w:val="left" w:pos="-720"/>
              </w:tabs>
              <w:suppressAutoHyphens/>
              <w:jc w:val="center"/>
            </w:pPr>
            <w:r w:rsidRPr="00407391">
              <w:t>172</w:t>
            </w:r>
          </w:p>
        </w:tc>
        <w:tc>
          <w:tcPr>
            <w:tcW w:w="900" w:type="dxa"/>
            <w:vAlign w:val="center"/>
          </w:tcPr>
          <w:p w:rsidR="00B67664" w:rsidRPr="00407391" w:rsidP="0029007F" w14:paraId="028479BC" w14:textId="5BC38B82">
            <w:pPr>
              <w:tabs>
                <w:tab w:val="left" w:pos="-720"/>
              </w:tabs>
              <w:suppressAutoHyphens/>
              <w:jc w:val="center"/>
            </w:pPr>
            <w:r w:rsidRPr="00407391">
              <w:t>72414-72415</w:t>
            </w:r>
          </w:p>
        </w:tc>
        <w:tc>
          <w:tcPr>
            <w:tcW w:w="1532" w:type="dxa"/>
            <w:vAlign w:val="center"/>
          </w:tcPr>
          <w:p w:rsidR="00B67664" w:rsidRPr="00407391" w:rsidP="0029007F" w14:paraId="2F3EDAFE" w14:textId="242551A7">
            <w:pPr>
              <w:tabs>
                <w:tab w:val="left" w:pos="-720"/>
              </w:tabs>
              <w:suppressAutoHyphens/>
              <w:jc w:val="center"/>
            </w:pPr>
            <w:r w:rsidRPr="00407391">
              <w:t>0</w:t>
            </w:r>
          </w:p>
        </w:tc>
      </w:tr>
      <w:tr w14:paraId="1AEC9597" w14:textId="77777777" w:rsidTr="0022626A">
        <w:tblPrEx>
          <w:tblW w:w="0" w:type="auto"/>
          <w:tblLayout w:type="fixed"/>
          <w:tblLook w:val="04A0"/>
        </w:tblPrEx>
        <w:tc>
          <w:tcPr>
            <w:tcW w:w="2268" w:type="dxa"/>
            <w:vAlign w:val="center"/>
          </w:tcPr>
          <w:p w:rsidR="00B67664" w:rsidRPr="006219E1" w:rsidP="0022626A" w14:paraId="2FCE3644" w14:textId="77777777">
            <w:pPr>
              <w:tabs>
                <w:tab w:val="left" w:pos="-720"/>
              </w:tabs>
              <w:suppressAutoHyphens/>
              <w:jc w:val="center"/>
            </w:pPr>
            <w:r w:rsidRPr="006219E1">
              <w:rPr>
                <w:i/>
              </w:rPr>
              <w:t>30-Day Federal Register Notice</w:t>
            </w:r>
          </w:p>
        </w:tc>
        <w:tc>
          <w:tcPr>
            <w:tcW w:w="2700" w:type="dxa"/>
            <w:vAlign w:val="center"/>
          </w:tcPr>
          <w:p w:rsidR="00B67664" w:rsidRPr="006219E1" w:rsidP="0029007F" w14:paraId="15048C99" w14:textId="0D9FC681">
            <w:pPr>
              <w:tabs>
                <w:tab w:val="left" w:pos="-720"/>
              </w:tabs>
              <w:suppressAutoHyphens/>
              <w:jc w:val="center"/>
            </w:pPr>
            <w:r>
              <w:t>12/22/2025</w:t>
            </w:r>
          </w:p>
        </w:tc>
        <w:tc>
          <w:tcPr>
            <w:tcW w:w="1080" w:type="dxa"/>
            <w:vAlign w:val="center"/>
          </w:tcPr>
          <w:p w:rsidR="00B67664" w:rsidRPr="00726B75" w:rsidP="0029007F" w14:paraId="6A927E67" w14:textId="640996B8">
            <w:pPr>
              <w:tabs>
                <w:tab w:val="left" w:pos="-720"/>
              </w:tabs>
              <w:suppressAutoHyphens/>
              <w:jc w:val="center"/>
            </w:pPr>
            <w:r w:rsidRPr="00726B75">
              <w:t>90</w:t>
            </w:r>
          </w:p>
        </w:tc>
        <w:tc>
          <w:tcPr>
            <w:tcW w:w="1080" w:type="dxa"/>
            <w:vAlign w:val="center"/>
          </w:tcPr>
          <w:p w:rsidR="00B67664" w:rsidRPr="00726B75" w:rsidP="0029007F" w14:paraId="110837CC" w14:textId="7399DE74">
            <w:pPr>
              <w:tabs>
                <w:tab w:val="left" w:pos="-720"/>
              </w:tabs>
              <w:suppressAutoHyphens/>
              <w:jc w:val="center"/>
            </w:pPr>
            <w:r w:rsidRPr="00726B75">
              <w:t>243</w:t>
            </w:r>
          </w:p>
        </w:tc>
        <w:tc>
          <w:tcPr>
            <w:tcW w:w="900" w:type="dxa"/>
            <w:vAlign w:val="center"/>
          </w:tcPr>
          <w:p w:rsidR="00B67664" w:rsidRPr="00726B75" w:rsidP="0029007F" w14:paraId="035142B0" w14:textId="30CCB294">
            <w:pPr>
              <w:tabs>
                <w:tab w:val="left" w:pos="-720"/>
              </w:tabs>
              <w:suppressAutoHyphens/>
              <w:jc w:val="center"/>
            </w:pPr>
            <w:r w:rsidRPr="00726B75">
              <w:t>59851-59852</w:t>
            </w:r>
          </w:p>
        </w:tc>
        <w:tc>
          <w:tcPr>
            <w:tcW w:w="1532" w:type="dxa"/>
            <w:vAlign w:val="center"/>
          </w:tcPr>
          <w:p w:rsidR="00B67664" w:rsidRPr="00726B75" w:rsidP="0029007F" w14:paraId="5F78088B" w14:textId="2F735BA7">
            <w:pPr>
              <w:tabs>
                <w:tab w:val="left" w:pos="-720"/>
              </w:tabs>
              <w:suppressAutoHyphens/>
              <w:jc w:val="center"/>
            </w:pPr>
            <w:r>
              <w:t>0</w:t>
            </w:r>
          </w:p>
        </w:tc>
      </w:tr>
    </w:tbl>
    <w:p w:rsidR="00B67664" w:rsidRPr="006219E1" w:rsidP="000C4293" w14:paraId="01338B37" w14:textId="77777777">
      <w:pPr>
        <w:tabs>
          <w:tab w:val="left" w:pos="-720"/>
        </w:tabs>
        <w:suppressAutoHyphens/>
        <w:jc w:val="both"/>
      </w:pPr>
    </w:p>
    <w:p w:rsidR="00AA3F82" w:rsidRPr="006219E1" w:rsidP="000C4293" w14:paraId="317069CA" w14:textId="77777777">
      <w:pPr>
        <w:tabs>
          <w:tab w:val="left" w:pos="-720"/>
        </w:tabs>
        <w:suppressAutoHyphens/>
        <w:jc w:val="both"/>
      </w:pPr>
    </w:p>
    <w:p w:rsidR="00CC2508" w:rsidRPr="006219E1" w:rsidP="5B5FD451" w14:paraId="409735B0" w14:textId="500A99E8">
      <w:pPr>
        <w:suppressAutoHyphens/>
        <w:jc w:val="both"/>
      </w:pPr>
      <w:r w:rsidRPr="006219E1">
        <w:t xml:space="preserve">A </w:t>
      </w:r>
      <w:r w:rsidRPr="006219E1" w:rsidR="35223109">
        <w:t>60-day</w:t>
      </w:r>
      <w:r w:rsidRPr="006219E1">
        <w:t xml:space="preserve"> notice for comments was published in the Federal Register on</w:t>
      </w:r>
      <w:r w:rsidRPr="006219E1" w:rsidR="00FD3AB4">
        <w:t xml:space="preserve"> </w:t>
      </w:r>
      <w:r w:rsidR="00B57565">
        <w:t>9/5/2024</w:t>
      </w:r>
      <w:r w:rsidRPr="006219E1">
        <w:t>.</w:t>
      </w:r>
      <w:r w:rsidRPr="006219E1" w:rsidR="4C108B7E">
        <w:t xml:space="preserve"> </w:t>
      </w:r>
      <w:r w:rsidR="00407391">
        <w:t>No</w:t>
      </w:r>
      <w:r w:rsidRPr="006219E1" w:rsidR="4C108B7E">
        <w:t xml:space="preserve"> comments were received related to the 60-day notice.</w:t>
      </w:r>
    </w:p>
    <w:p w:rsidR="00CC2508" w:rsidRPr="006219E1" w:rsidP="000C4293" w14:paraId="03F374F9" w14:textId="77777777">
      <w:pPr>
        <w:tabs>
          <w:tab w:val="left" w:pos="-720"/>
        </w:tabs>
        <w:suppressAutoHyphens/>
        <w:jc w:val="both"/>
      </w:pPr>
    </w:p>
    <w:p w:rsidR="00CC2508" w:rsidRPr="006219E1" w:rsidP="2DD529EA" w14:paraId="2DDB2FF4" w14:textId="208B0716">
      <w:pPr>
        <w:suppressAutoHyphens/>
        <w:jc w:val="both"/>
      </w:pPr>
      <w:r w:rsidRPr="006219E1">
        <w:t xml:space="preserve">A </w:t>
      </w:r>
      <w:r w:rsidRPr="006219E1" w:rsidR="68435368">
        <w:t>30-day</w:t>
      </w:r>
      <w:r w:rsidRPr="006219E1">
        <w:t xml:space="preserve"> notice for comments was publis</w:t>
      </w:r>
      <w:r w:rsidRPr="006219E1" w:rsidR="0085645B">
        <w:t>hed in the Federal Register on</w:t>
      </w:r>
      <w:r w:rsidRPr="006219E1" w:rsidR="00FD3AB4">
        <w:t xml:space="preserve"> </w:t>
      </w:r>
      <w:r w:rsidR="00726B75">
        <w:t>12/22/2025</w:t>
      </w:r>
      <w:r w:rsidRPr="006219E1">
        <w:t xml:space="preserve">.  0 comments were received related to the </w:t>
      </w:r>
      <w:r w:rsidRPr="006219E1" w:rsidR="14B6BD94">
        <w:t>30-day</w:t>
      </w:r>
      <w:r w:rsidRPr="006219E1">
        <w:t xml:space="preserve"> notice. </w:t>
      </w:r>
    </w:p>
    <w:p w:rsidR="00CC2508" w:rsidRPr="006219E1" w:rsidP="000C4293" w14:paraId="4CCB5FA8" w14:textId="77777777">
      <w:pPr>
        <w:tabs>
          <w:tab w:val="left" w:pos="-720"/>
        </w:tabs>
        <w:suppressAutoHyphens/>
        <w:jc w:val="both"/>
      </w:pPr>
    </w:p>
    <w:p w:rsidR="00EB5E96" w:rsidRPr="006219E1" w:rsidP="000C4293" w14:paraId="31219CD4" w14:textId="77777777">
      <w:pPr>
        <w:shd w:val="pct25" w:color="auto" w:fill="auto"/>
        <w:tabs>
          <w:tab w:val="left" w:pos="-720"/>
        </w:tabs>
        <w:suppressAutoHyphens/>
        <w:jc w:val="both"/>
      </w:pPr>
      <w:r w:rsidRPr="006219E1">
        <w:fldChar w:fldCharType="begin"/>
      </w:r>
      <w:r w:rsidRPr="006219E1">
        <w:instrText>ADVANCE \R 0.95</w:instrText>
      </w:r>
      <w:r w:rsidRPr="006219E1">
        <w:fldChar w:fldCharType="end"/>
      </w:r>
      <w:r w:rsidRPr="006219E1">
        <w:t>9.  Explain any decision to provide any payment or gift to respondents, other than remuneration of contractors or grantees.</w:t>
      </w:r>
    </w:p>
    <w:p w:rsidR="00EB5E96" w:rsidRPr="006219E1" w:rsidP="000C4293" w14:paraId="718A40F6" w14:textId="77777777">
      <w:pPr>
        <w:tabs>
          <w:tab w:val="left" w:pos="-720"/>
        </w:tabs>
        <w:suppressAutoHyphens/>
        <w:jc w:val="both"/>
      </w:pPr>
    </w:p>
    <w:p w:rsidR="00EB5E96" w:rsidRPr="006219E1" w:rsidP="00A57406" w14:paraId="58C36867" w14:textId="6FCD7330">
      <w:pPr>
        <w:tabs>
          <w:tab w:val="left" w:pos="-720"/>
        </w:tabs>
        <w:suppressAutoHyphens/>
        <w:contextualSpacing/>
        <w:rPr>
          <w:spacing w:val="-3"/>
        </w:rPr>
      </w:pPr>
      <w:r w:rsidRPr="006219E1">
        <w:rPr>
          <w:rStyle w:val="normaltextrun"/>
          <w:color w:val="000000"/>
          <w:shd w:val="clear" w:color="auto" w:fill="FFFFFF"/>
        </w:rPr>
        <w:t>There is no offer of monetary or material value for this information collection</w:t>
      </w:r>
      <w:r w:rsidRPr="006219E1" w:rsidR="00A57406">
        <w:rPr>
          <w:spacing w:val="-3"/>
        </w:rPr>
        <w:t>.</w:t>
      </w:r>
    </w:p>
    <w:p w:rsidR="00A57406" w:rsidRPr="006219E1" w:rsidP="00A57406" w14:paraId="1C10D90F" w14:textId="77777777">
      <w:pPr>
        <w:tabs>
          <w:tab w:val="left" w:pos="-720"/>
        </w:tabs>
        <w:suppressAutoHyphens/>
        <w:contextualSpacing/>
      </w:pPr>
    </w:p>
    <w:p w:rsidR="005305F3" w:rsidRPr="006219E1" w:rsidP="00A57406" w14:paraId="16632C4A" w14:textId="77777777">
      <w:pPr>
        <w:tabs>
          <w:tab w:val="left" w:pos="-720"/>
        </w:tabs>
        <w:suppressAutoHyphens/>
        <w:contextualSpacing/>
      </w:pPr>
    </w:p>
    <w:p w:rsidR="00EB5E96" w:rsidRPr="006219E1" w:rsidP="000C4293" w14:paraId="5B892EDA" w14:textId="77777777">
      <w:pPr>
        <w:shd w:val="pct25" w:color="auto" w:fill="auto"/>
        <w:tabs>
          <w:tab w:val="left" w:pos="-720"/>
        </w:tabs>
        <w:suppressAutoHyphens/>
        <w:jc w:val="both"/>
      </w:pPr>
      <w:r w:rsidRPr="006219E1">
        <w:fldChar w:fldCharType="begin"/>
      </w:r>
      <w:r w:rsidRPr="006219E1">
        <w:instrText>ADVANCE \R 0.95</w:instrText>
      </w:r>
      <w:r w:rsidRPr="006219E1">
        <w:fldChar w:fldCharType="end"/>
      </w:r>
      <w:r w:rsidRPr="006219E1">
        <w:t xml:space="preserve">10.  Describe any assurance of confidentiality provided to respondents and the basis for the assurance in statute, regulation, or agency policy.  </w:t>
      </w:r>
    </w:p>
    <w:p w:rsidR="00EB5E96" w:rsidRPr="006219E1" w:rsidP="000C4293" w14:paraId="38D74F91" w14:textId="77777777">
      <w:pPr>
        <w:tabs>
          <w:tab w:val="left" w:pos="-720"/>
        </w:tabs>
        <w:suppressAutoHyphens/>
        <w:jc w:val="both"/>
      </w:pPr>
      <w:r w:rsidRPr="006219E1">
        <w:fldChar w:fldCharType="begin"/>
      </w:r>
      <w:r w:rsidRPr="006219E1">
        <w:instrText>ADVANCE \R 0.95</w:instrText>
      </w:r>
      <w:r w:rsidRPr="006219E1">
        <w:fldChar w:fldCharType="end"/>
      </w:r>
    </w:p>
    <w:p w:rsidR="00007281" w:rsidRPr="006219E1" w:rsidP="00007281" w14:paraId="6B101894" w14:textId="25047288">
      <w:pPr>
        <w:textAlignment w:val="baseline"/>
      </w:pPr>
      <w:r w:rsidRPr="006219E1">
        <w:t xml:space="preserve">The following privacy notice, obtained from CISA’s Office of Privacy, will be </w:t>
      </w:r>
      <w:r w:rsidRPr="006219E1" w:rsidR="0021165E">
        <w:t xml:space="preserve">displayed </w:t>
      </w:r>
      <w:r w:rsidRPr="006219E1">
        <w:t xml:space="preserve">on the survey landing page on </w:t>
      </w:r>
      <w:r w:rsidRPr="006219E1" w:rsidR="004C75E2">
        <w:t>each</w:t>
      </w:r>
      <w:r w:rsidRPr="006219E1">
        <w:t xml:space="preserve"> survey:</w:t>
      </w:r>
      <w:r w:rsidRPr="006219E1">
        <w:t xml:space="preserve"> </w:t>
      </w:r>
    </w:p>
    <w:p w:rsidR="004C75E2" w:rsidRPr="006219E1" w:rsidP="00007281" w14:paraId="19CD2B00" w14:textId="77777777">
      <w:pPr>
        <w:textAlignment w:val="baseline"/>
      </w:pPr>
    </w:p>
    <w:p w:rsidR="0021165E" w:rsidRPr="006219E1" w:rsidP="00F91C02" w14:paraId="26EACB38" w14:textId="1B04B8D3">
      <w:pPr>
        <w:pStyle w:val="Default"/>
      </w:pPr>
      <w:r w:rsidRPr="006219E1">
        <w:rPr>
          <w:b/>
          <w:bCs/>
        </w:rPr>
        <w:t xml:space="preserve">Authority: </w:t>
      </w:r>
      <w:r w:rsidRPr="006219E1">
        <w:t xml:space="preserve">Homeland Security Act § 871 (6 U.S.C. § 451), 71 FR 14930 (Mar. 24, 2006), and Executive Order 12862 “Setting Customer Service Standards” 58 FR 48255 (Sept. 11, 1993) authorize the collection of this information. </w:t>
      </w:r>
    </w:p>
    <w:p w:rsidR="0021165E" w:rsidRPr="006219E1" w:rsidP="00F91C02" w14:paraId="0A905265" w14:textId="77777777">
      <w:pPr>
        <w:pStyle w:val="Default"/>
        <w:rPr>
          <w:b/>
          <w:bCs/>
        </w:rPr>
      </w:pPr>
    </w:p>
    <w:p w:rsidR="0021165E" w:rsidRPr="006219E1" w:rsidP="00F91C02" w14:paraId="1882F877" w14:textId="1F33354B">
      <w:pPr>
        <w:pStyle w:val="Default"/>
      </w:pPr>
      <w:r w:rsidRPr="006219E1">
        <w:rPr>
          <w:b/>
          <w:bCs/>
        </w:rPr>
        <w:t>Purpose</w:t>
      </w:r>
      <w:r w:rsidRPr="006219E1">
        <w:t xml:space="preserve">: The purpose of this survey is to assess the extent to which CISA’s convening activities, products, and services 1) provide timely, accurate, and useful information about security and risk resilience, including opportunities for meaningful information exchange between CISA and sector stakeholders; and 2) are accessed and used by stakeholders to enhance their abilities to respond to critical threats and improve strategic decision-making and risk reduction. This survey also aims to increase understanding of the best practices for getting stakeholders engaged and building trusted relationships. This survey is intended to help inform and improve CISA’s activities, products, and services. </w:t>
      </w:r>
    </w:p>
    <w:p w:rsidR="0021165E" w:rsidRPr="006219E1" w:rsidP="00F91C02" w14:paraId="1BB48476" w14:textId="77777777">
      <w:pPr>
        <w:pStyle w:val="Default"/>
      </w:pPr>
    </w:p>
    <w:p w:rsidR="0021165E" w:rsidRPr="006219E1" w:rsidP="00F91C02" w14:paraId="7382ADE4" w14:textId="77777777">
      <w:pPr>
        <w:pStyle w:val="Default"/>
      </w:pPr>
      <w:r w:rsidRPr="006219E1">
        <w:rPr>
          <w:b/>
          <w:bCs/>
        </w:rPr>
        <w:t xml:space="preserve">Routine Use: </w:t>
      </w:r>
      <w:r w:rsidRPr="006219E1">
        <w:t xml:space="preserve">This information may be disclosed as generally permitted under 5 U.S.C. §552a(b) of the Privacy Act of 1974, as amended. This includes using the information, as necessary and authorized by the routine uses published in DHS/ALL-002 - Department of Homeland Security (DHS) Mailing and Other Lists System of Records (November 25, 2008, 73 FR 71659). </w:t>
      </w:r>
    </w:p>
    <w:p w:rsidR="0021165E" w:rsidRPr="006219E1" w:rsidP="00F91C02" w14:paraId="799D229D" w14:textId="77777777">
      <w:pPr>
        <w:pStyle w:val="Default"/>
      </w:pPr>
    </w:p>
    <w:p w:rsidR="004C75E2" w:rsidRPr="006219E1" w:rsidP="00F91C02" w14:paraId="206BEC45" w14:textId="7755FAA9">
      <w:pPr>
        <w:textAlignment w:val="baseline"/>
      </w:pPr>
      <w:r w:rsidRPr="006219E1">
        <w:rPr>
          <w:b/>
          <w:bCs/>
        </w:rPr>
        <w:t xml:space="preserve">Disclosure: </w:t>
      </w:r>
      <w:r w:rsidRPr="006219E1">
        <w:t>Your answers are confidential. Your name and/or your organization’s name will not be identified in our reports. Findings will be presented in aggregate form to CISA. All data from the survey will be destroyed after the report is complete. All CISA policies on handling data will be properly followed, and only a small number of members of the Stakeholder Engagement Team will see individual responses. Furnishing this information is voluntary; however, failure to provide any of the information requested may prevent CISA from obtaining the information needed to evaluate the effectiveness of CISA’s convening activities with Stakeholder engagements.</w:t>
      </w:r>
    </w:p>
    <w:p w:rsidR="00007281" w:rsidRPr="006219E1" w:rsidP="00007281" w14:paraId="638BDE23" w14:textId="77777777">
      <w:pPr>
        <w:textAlignment w:val="baseline"/>
      </w:pPr>
      <w:r w:rsidRPr="006219E1">
        <w:t> </w:t>
      </w:r>
    </w:p>
    <w:p w:rsidR="00AA3F82" w:rsidRPr="006219E1" w:rsidP="00FE67F8" w14:paraId="7692A326" w14:textId="7EE1DF1C">
      <w:pPr>
        <w:textAlignment w:val="baseline"/>
      </w:pPr>
      <w:r w:rsidRPr="006219E1">
        <w:t>For th</w:t>
      </w:r>
      <w:r w:rsidRPr="006219E1" w:rsidR="0084066C">
        <w:t>ose who elect to participate in an</w:t>
      </w:r>
      <w:r w:rsidRPr="006219E1">
        <w:t xml:space="preserve"> interview, </w:t>
      </w:r>
      <w:r w:rsidRPr="006219E1" w:rsidR="0084066C">
        <w:t>a</w:t>
      </w:r>
      <w:r w:rsidRPr="006219E1">
        <w:t xml:space="preserve">t the start of the interview, </w:t>
      </w:r>
      <w:r w:rsidRPr="006219E1" w:rsidR="004920E9">
        <w:t xml:space="preserve">interviewers </w:t>
      </w:r>
      <w:r w:rsidRPr="006219E1">
        <w:t>will read a statement that informs them that participation in the interview is voluntary</w:t>
      </w:r>
      <w:r w:rsidRPr="006219E1" w:rsidR="00D57B48">
        <w:t>;</w:t>
      </w:r>
      <w:r w:rsidRPr="006219E1">
        <w:t xml:space="preserve"> </w:t>
      </w:r>
      <w:r w:rsidRPr="006219E1" w:rsidR="004920E9">
        <w:t xml:space="preserve">that </w:t>
      </w:r>
      <w:r w:rsidRPr="006219E1" w:rsidR="00341039">
        <w:t xml:space="preserve">what they say </w:t>
      </w:r>
      <w:r w:rsidRPr="006219E1">
        <w:t xml:space="preserve">will remain confidential and </w:t>
      </w:r>
      <w:r w:rsidRPr="006219E1" w:rsidR="00341039">
        <w:t>identified responses will not be released beyond the study team</w:t>
      </w:r>
      <w:r w:rsidRPr="006219E1" w:rsidR="00D57B48">
        <w:t>;</w:t>
      </w:r>
      <w:r w:rsidRPr="006219E1">
        <w:t xml:space="preserve"> and</w:t>
      </w:r>
      <w:r w:rsidRPr="006219E1" w:rsidR="00CC71D3">
        <w:t xml:space="preserve"> no specific names, of either individuals or organizations, will be identified in reports (and if</w:t>
      </w:r>
      <w:r w:rsidRPr="006219E1">
        <w:t xml:space="preserve"> quotes from the interviews </w:t>
      </w:r>
      <w:r w:rsidRPr="006219E1" w:rsidR="00CC71D3">
        <w:t>are included in reports, they</w:t>
      </w:r>
      <w:r w:rsidRPr="006219E1">
        <w:t xml:space="preserve"> will not be attached to any</w:t>
      </w:r>
      <w:r w:rsidRPr="006219E1" w:rsidR="00426A22">
        <w:t xml:space="preserve"> person</w:t>
      </w:r>
      <w:r w:rsidRPr="006219E1">
        <w:t>’s name or organization</w:t>
      </w:r>
      <w:r w:rsidRPr="006219E1" w:rsidR="00B16370">
        <w:t>)</w:t>
      </w:r>
      <w:r w:rsidRPr="006219E1">
        <w:t>.</w:t>
      </w:r>
    </w:p>
    <w:p w:rsidR="00A57406" w:rsidRPr="006219E1" w:rsidP="00A57406" w14:paraId="0186E627" w14:textId="77777777">
      <w:pPr>
        <w:pStyle w:val="Default"/>
      </w:pPr>
    </w:p>
    <w:p w:rsidR="00EB5E96" w:rsidRPr="006219E1" w:rsidP="000C4293" w14:paraId="7289D4B3" w14:textId="77777777">
      <w:pPr>
        <w:shd w:val="pct25" w:color="auto" w:fill="auto"/>
        <w:tabs>
          <w:tab w:val="left" w:pos="-720"/>
        </w:tabs>
        <w:suppressAutoHyphens/>
        <w:jc w:val="both"/>
      </w:pPr>
      <w:r w:rsidRPr="006219E1">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B5E96" w:rsidRPr="006219E1" w:rsidP="000C4293" w14:paraId="2CB1C672" w14:textId="77777777">
      <w:pPr>
        <w:shd w:val="clear" w:color="auto" w:fill="FFFFFF"/>
        <w:tabs>
          <w:tab w:val="left" w:pos="-720"/>
        </w:tabs>
        <w:suppressAutoHyphens/>
        <w:jc w:val="both"/>
      </w:pPr>
    </w:p>
    <w:p w:rsidR="00AA3F82" w:rsidRPr="006219E1" w:rsidP="000C4293" w14:paraId="77C8518F" w14:textId="6C60BDC5">
      <w:pPr>
        <w:shd w:val="clear" w:color="auto" w:fill="FFFFFF"/>
        <w:tabs>
          <w:tab w:val="left" w:pos="-720"/>
        </w:tabs>
        <w:suppressAutoHyphens/>
        <w:jc w:val="both"/>
        <w:rPr>
          <w:spacing w:val="-3"/>
        </w:rPr>
      </w:pPr>
      <w:r w:rsidRPr="006219E1">
        <w:rPr>
          <w:spacing w:val="-3"/>
        </w:rPr>
        <w:t>There are no questions of a sensitive nature.</w:t>
      </w:r>
    </w:p>
    <w:p w:rsidR="00A57406" w:rsidRPr="006219E1" w:rsidP="000C4293" w14:paraId="3384B361" w14:textId="04E25FE4">
      <w:pPr>
        <w:shd w:val="clear" w:color="auto" w:fill="FFFFFF"/>
        <w:tabs>
          <w:tab w:val="left" w:pos="-720"/>
        </w:tabs>
        <w:suppressAutoHyphens/>
        <w:jc w:val="both"/>
        <w:rPr>
          <w:spacing w:val="-3"/>
        </w:rPr>
      </w:pPr>
    </w:p>
    <w:p w:rsidR="00EB5E96" w:rsidRPr="006219E1" w:rsidP="000C4293" w14:paraId="5AEDC439" w14:textId="01E80DE7">
      <w:pPr>
        <w:shd w:val="pct25" w:color="auto" w:fill="FFFFFF"/>
        <w:tabs>
          <w:tab w:val="left" w:pos="-720"/>
        </w:tabs>
        <w:suppressAutoHyphens/>
        <w:jc w:val="both"/>
      </w:pPr>
      <w:r w:rsidRPr="006219E1">
        <w:fldChar w:fldCharType="begin"/>
      </w:r>
      <w:r w:rsidRPr="006219E1">
        <w:instrText>ADVANCE \R 0.95</w:instrText>
      </w:r>
      <w:r w:rsidRPr="006219E1">
        <w:fldChar w:fldCharType="end"/>
      </w:r>
      <w:r w:rsidRPr="006219E1">
        <w:fldChar w:fldCharType="begin"/>
      </w:r>
      <w:r w:rsidRPr="006219E1">
        <w:instrText>ADVANCE \R 0.95</w:instrText>
      </w:r>
      <w:r w:rsidRPr="006219E1">
        <w:fldChar w:fldCharType="end"/>
      </w:r>
      <w:r w:rsidRPr="006219E1">
        <w:t>12. Provide estimates of the hour burden of the collection of information.  The statement should:</w:t>
      </w:r>
    </w:p>
    <w:p w:rsidR="00EB5E96" w:rsidRPr="006219E1" w:rsidP="000C4293" w14:paraId="6E8DA07C" w14:textId="77777777">
      <w:pPr>
        <w:tabs>
          <w:tab w:val="left" w:pos="-720"/>
        </w:tabs>
        <w:suppressAutoHyphens/>
        <w:jc w:val="both"/>
      </w:pPr>
      <w:r w:rsidRPr="006219E1">
        <w:fldChar w:fldCharType="begin"/>
      </w:r>
      <w:r w:rsidRPr="006219E1">
        <w:instrText>ADVANCE \R 0.95</w:instrText>
      </w:r>
      <w:r w:rsidRPr="006219E1">
        <w:fldChar w:fldCharType="end"/>
      </w:r>
    </w:p>
    <w:p w:rsidR="00EB5E96" w:rsidRPr="006219E1" w:rsidP="00F861A5" w14:paraId="4A52B6D3" w14:textId="77777777">
      <w:pPr>
        <w:numPr>
          <w:ilvl w:val="0"/>
          <w:numId w:val="27"/>
        </w:numPr>
        <w:shd w:val="pct25" w:color="auto" w:fill="auto"/>
        <w:tabs>
          <w:tab w:val="left" w:pos="-720"/>
        </w:tabs>
        <w:suppressAutoHyphens/>
        <w:jc w:val="both"/>
      </w:pPr>
      <w:r w:rsidRPr="006219E1">
        <w:fldChar w:fldCharType="begin"/>
      </w:r>
      <w:r w:rsidRPr="006219E1">
        <w:instrText>ADVANCE \R 0.95</w:instrText>
      </w:r>
      <w:r w:rsidRPr="006219E1">
        <w:fldChar w:fldCharType="end"/>
      </w:r>
      <w:r w:rsidRPr="006219E1">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A4F5B" w:rsidRPr="006219E1" w:rsidP="000A3F18" w14:paraId="2141B087" w14:textId="77777777">
      <w:pPr>
        <w:widowControl w:val="0"/>
        <w:tabs>
          <w:tab w:val="left" w:pos="720"/>
          <w:tab w:val="left" w:pos="1440"/>
        </w:tabs>
        <w:spacing w:before="120"/>
        <w:contextualSpacing/>
        <w:rPr>
          <w:rStyle w:val="normaltextrun"/>
          <w:color w:val="000000"/>
          <w:shd w:val="clear" w:color="auto" w:fill="FFFFFF"/>
        </w:rPr>
      </w:pPr>
    </w:p>
    <w:p w:rsidR="00263025" w:rsidRPr="006219E1" w:rsidP="000A3F18" w14:paraId="2DCFB2D1" w14:textId="1EB8C078">
      <w:pPr>
        <w:widowControl w:val="0"/>
        <w:tabs>
          <w:tab w:val="left" w:pos="720"/>
          <w:tab w:val="left" w:pos="1440"/>
        </w:tabs>
        <w:spacing w:before="120"/>
        <w:contextualSpacing/>
        <w:rPr>
          <w:rStyle w:val="eop"/>
          <w:color w:val="000000"/>
          <w:shd w:val="clear" w:color="auto" w:fill="FFFFFF"/>
        </w:rPr>
      </w:pPr>
      <w:r w:rsidRPr="006219E1">
        <w:rPr>
          <w:rStyle w:val="normaltextrun"/>
          <w:shd w:val="clear" w:color="auto" w:fill="FFFFFF"/>
        </w:rPr>
        <w:t>CISA’s SED</w:t>
      </w:r>
      <w:r w:rsidRPr="006219E1">
        <w:rPr>
          <w:rStyle w:val="normaltextrun"/>
          <w:shd w:val="clear" w:color="auto" w:fill="FFFFFF"/>
        </w:rPr>
        <w:t xml:space="preserve"> sector </w:t>
      </w:r>
      <w:r w:rsidRPr="006219E1">
        <w:rPr>
          <w:rStyle w:val="normaltextrun"/>
          <w:shd w:val="clear" w:color="auto" w:fill="FFFFFF"/>
        </w:rPr>
        <w:t>chiefs</w:t>
      </w:r>
      <w:r w:rsidRPr="006219E1" w:rsidR="00B047C3">
        <w:rPr>
          <w:rStyle w:val="normaltextrun"/>
          <w:shd w:val="clear" w:color="auto" w:fill="FFFFFF"/>
        </w:rPr>
        <w:t xml:space="preserve"> (from the Critical Manufacturing, Commercial Facilities, and Nuclear</w:t>
      </w:r>
      <w:r w:rsidRPr="006219E1">
        <w:rPr>
          <w:rStyle w:val="normaltextrun"/>
          <w:shd w:val="clear" w:color="auto" w:fill="FFFFFF"/>
        </w:rPr>
        <w:t xml:space="preserve"> sectors</w:t>
      </w:r>
      <w:r w:rsidRPr="006219E1" w:rsidR="00B047C3">
        <w:rPr>
          <w:rStyle w:val="normaltextrun"/>
          <w:shd w:val="clear" w:color="auto" w:fill="FFFFFF"/>
        </w:rPr>
        <w:t>)</w:t>
      </w:r>
      <w:r w:rsidRPr="006219E1">
        <w:rPr>
          <w:rStyle w:val="normaltextrun"/>
          <w:shd w:val="clear" w:color="auto" w:fill="FFFFFF"/>
        </w:rPr>
        <w:t xml:space="preserve"> will provide the </w:t>
      </w:r>
      <w:r w:rsidRPr="006219E1">
        <w:rPr>
          <w:rStyle w:val="normaltextrun"/>
          <w:shd w:val="clear" w:color="auto" w:fill="FFFFFF"/>
        </w:rPr>
        <w:t>study</w:t>
      </w:r>
      <w:r w:rsidRPr="006219E1">
        <w:rPr>
          <w:rStyle w:val="normaltextrun"/>
          <w:shd w:val="clear" w:color="auto" w:fill="FFFFFF"/>
        </w:rPr>
        <w:t xml:space="preserve"> team with </w:t>
      </w:r>
      <w:r w:rsidRPr="006219E1">
        <w:rPr>
          <w:rStyle w:val="normaltextrun"/>
          <w:shd w:val="clear" w:color="auto" w:fill="FFFFFF"/>
        </w:rPr>
        <w:t>lists</w:t>
      </w:r>
      <w:r w:rsidRPr="006219E1">
        <w:rPr>
          <w:rStyle w:val="normaltextrun"/>
          <w:shd w:val="clear" w:color="auto" w:fill="FFFFFF"/>
        </w:rPr>
        <w:t xml:space="preserve"> of </w:t>
      </w:r>
      <w:r w:rsidRPr="006219E1">
        <w:rPr>
          <w:rStyle w:val="normaltextrun"/>
          <w:shd w:val="clear" w:color="auto" w:fill="FFFFFF"/>
        </w:rPr>
        <w:t xml:space="preserve">the </w:t>
      </w:r>
      <w:r w:rsidRPr="006219E1">
        <w:rPr>
          <w:rStyle w:val="normaltextrun"/>
          <w:shd w:val="clear" w:color="auto" w:fill="FFFFFF"/>
        </w:rPr>
        <w:t>member</w:t>
      </w:r>
      <w:r w:rsidRPr="006219E1" w:rsidR="00137528">
        <w:rPr>
          <w:rStyle w:val="normaltextrun"/>
          <w:shd w:val="clear" w:color="auto" w:fill="FFFFFF"/>
        </w:rPr>
        <w:t xml:space="preserve"> organizations and </w:t>
      </w:r>
      <w:r w:rsidRPr="006219E1">
        <w:rPr>
          <w:rStyle w:val="normaltextrun"/>
          <w:shd w:val="clear" w:color="auto" w:fill="FFFFFF"/>
        </w:rPr>
        <w:t>names, emails, and phone numbers (when available) of the member organization representatives</w:t>
      </w:r>
      <w:r w:rsidRPr="006219E1">
        <w:rPr>
          <w:rStyle w:val="normaltextrun"/>
          <w:color w:val="000000"/>
          <w:shd w:val="clear" w:color="auto" w:fill="FFFFFF"/>
        </w:rPr>
        <w:t>.</w:t>
      </w:r>
      <w:r w:rsidRPr="006219E1">
        <w:rPr>
          <w:rStyle w:val="normaltextrun"/>
          <w:color w:val="000000"/>
          <w:shd w:val="clear" w:color="auto" w:fill="FFFFFF"/>
        </w:rPr>
        <w:t xml:space="preserve"> </w:t>
      </w:r>
      <w:r w:rsidRPr="006219E1" w:rsidR="00184915">
        <w:rPr>
          <w:rStyle w:val="normaltextrun"/>
          <w:color w:val="000000"/>
          <w:shd w:val="clear" w:color="auto" w:fill="FFFFFF"/>
        </w:rPr>
        <w:t xml:space="preserve">The surveys will be shared with all representatives of each member organization from the three sectors (approximately 1,000 individuals representing about 300 member organizations). </w:t>
      </w:r>
      <w:r w:rsidRPr="006219E1">
        <w:rPr>
          <w:rStyle w:val="normaltextrun"/>
          <w:color w:val="000000"/>
          <w:shd w:val="clear" w:color="auto" w:fill="FFFFFF"/>
        </w:rPr>
        <w:t xml:space="preserve">Participants will be notified in the survey that they may be contacted for an in-depth interview. The sample for the in-depth interviews will be a convenience sample; the study team will follow up with respondents by email soon after </w:t>
      </w:r>
      <w:r w:rsidRPr="006219E1" w:rsidR="004920E9">
        <w:rPr>
          <w:rStyle w:val="normaltextrun"/>
          <w:color w:val="000000"/>
          <w:shd w:val="clear" w:color="auto" w:fill="FFFFFF"/>
        </w:rPr>
        <w:t xml:space="preserve">their </w:t>
      </w:r>
      <w:r w:rsidRPr="006219E1">
        <w:rPr>
          <w:rStyle w:val="normaltextrun"/>
          <w:color w:val="000000"/>
          <w:shd w:val="clear" w:color="auto" w:fill="FFFFFF"/>
        </w:rPr>
        <w:t>survey</w:t>
      </w:r>
      <w:r w:rsidRPr="006219E1" w:rsidR="004920E9">
        <w:rPr>
          <w:rStyle w:val="normaltextrun"/>
          <w:color w:val="000000"/>
          <w:shd w:val="clear" w:color="auto" w:fill="FFFFFF"/>
        </w:rPr>
        <w:t>s</w:t>
      </w:r>
      <w:r w:rsidRPr="006219E1">
        <w:rPr>
          <w:rStyle w:val="normaltextrun"/>
          <w:color w:val="000000"/>
          <w:shd w:val="clear" w:color="auto" w:fill="FFFFFF"/>
        </w:rPr>
        <w:t xml:space="preserve"> </w:t>
      </w:r>
      <w:r w:rsidRPr="006219E1" w:rsidR="004920E9">
        <w:rPr>
          <w:rStyle w:val="normaltextrun"/>
          <w:color w:val="000000"/>
          <w:shd w:val="clear" w:color="auto" w:fill="FFFFFF"/>
        </w:rPr>
        <w:t>are</w:t>
      </w:r>
      <w:r w:rsidRPr="006219E1">
        <w:rPr>
          <w:rStyle w:val="normaltextrun"/>
          <w:color w:val="000000"/>
          <w:shd w:val="clear" w:color="auto" w:fill="FFFFFF"/>
        </w:rPr>
        <w:t xml:space="preserve"> completed and attempt to schedule a time for the in-depth interview, </w:t>
      </w:r>
      <w:r w:rsidRPr="006219E1" w:rsidR="004920E9">
        <w:rPr>
          <w:rStyle w:val="normaltextrun"/>
          <w:color w:val="000000"/>
          <w:shd w:val="clear" w:color="auto" w:fill="FFFFFF"/>
        </w:rPr>
        <w:t>until</w:t>
      </w:r>
      <w:r w:rsidRPr="006219E1">
        <w:rPr>
          <w:rStyle w:val="normaltextrun"/>
          <w:color w:val="000000"/>
          <w:shd w:val="clear" w:color="auto" w:fill="FFFFFF"/>
        </w:rPr>
        <w:t xml:space="preserve"> a total sample size of 75 interviewees</w:t>
      </w:r>
      <w:r w:rsidRPr="006219E1" w:rsidR="004920E9">
        <w:rPr>
          <w:rStyle w:val="normaltextrun"/>
          <w:color w:val="000000"/>
          <w:shd w:val="clear" w:color="auto" w:fill="FFFFFF"/>
        </w:rPr>
        <w:t xml:space="preserve"> is reached</w:t>
      </w:r>
      <w:r w:rsidRPr="006219E1">
        <w:rPr>
          <w:rStyle w:val="normaltextrun"/>
          <w:color w:val="000000"/>
          <w:shd w:val="clear" w:color="auto" w:fill="FFFFFF"/>
        </w:rPr>
        <w:t>.</w:t>
      </w:r>
      <w:r w:rsidRPr="006219E1">
        <w:rPr>
          <w:rStyle w:val="eop"/>
          <w:color w:val="000000"/>
          <w:shd w:val="clear" w:color="auto" w:fill="FFFFFF"/>
        </w:rPr>
        <w:t> </w:t>
      </w:r>
    </w:p>
    <w:p w:rsidR="00FE67F8" w:rsidRPr="006219E1" w:rsidP="000A3F18" w14:paraId="44683922" w14:textId="77777777">
      <w:pPr>
        <w:widowControl w:val="0"/>
        <w:tabs>
          <w:tab w:val="left" w:pos="720"/>
          <w:tab w:val="left" w:pos="1440"/>
        </w:tabs>
        <w:spacing w:before="120"/>
        <w:contextualSpacing/>
        <w:rPr>
          <w:rStyle w:val="eop"/>
          <w:color w:val="000000"/>
          <w:shd w:val="clear" w:color="auto" w:fill="FFFFFF"/>
        </w:rPr>
      </w:pPr>
    </w:p>
    <w:p w:rsidR="00E9070A" w:rsidRPr="006219E1" w:rsidP="000A3F18" w14:paraId="7E99F840" w14:textId="18F1EB52">
      <w:pPr>
        <w:widowControl w:val="0"/>
        <w:tabs>
          <w:tab w:val="left" w:pos="720"/>
          <w:tab w:val="left" w:pos="1440"/>
        </w:tabs>
        <w:spacing w:before="120"/>
        <w:contextualSpacing/>
        <w:rPr>
          <w:rStyle w:val="normaltextrun"/>
          <w:color w:val="000000"/>
          <w:shd w:val="clear" w:color="auto" w:fill="FFFFFF"/>
        </w:rPr>
      </w:pPr>
      <w:r w:rsidRPr="006219E1">
        <w:rPr>
          <w:rStyle w:val="normaltextrun"/>
          <w:color w:val="000000"/>
          <w:shd w:val="clear" w:color="auto" w:fill="FFFFFF"/>
        </w:rPr>
        <w:t>Survey</w:t>
      </w:r>
      <w:r w:rsidRPr="006219E1" w:rsidR="00184915">
        <w:rPr>
          <w:rStyle w:val="normaltextrun"/>
          <w:color w:val="000000"/>
          <w:shd w:val="clear" w:color="auto" w:fill="FFFFFF"/>
        </w:rPr>
        <w:t xml:space="preserve"> and interview</w:t>
      </w:r>
      <w:r w:rsidRPr="006219E1">
        <w:rPr>
          <w:rStyle w:val="normaltextrun"/>
          <w:color w:val="000000"/>
          <w:shd w:val="clear" w:color="auto" w:fill="FFFFFF"/>
        </w:rPr>
        <w:t xml:space="preserve"> responses will be collected only once. The survey and interview are voluntary, and the estimated total time needed to complete the data collection activities ranges from 0.17 hours (10 minutes) for those completing </w:t>
      </w:r>
      <w:r w:rsidRPr="006219E1" w:rsidR="00184915">
        <w:rPr>
          <w:rStyle w:val="normaltextrun"/>
          <w:color w:val="000000"/>
          <w:shd w:val="clear" w:color="auto" w:fill="FFFFFF"/>
        </w:rPr>
        <w:t xml:space="preserve">just </w:t>
      </w:r>
      <w:r w:rsidRPr="006219E1">
        <w:rPr>
          <w:rStyle w:val="normaltextrun"/>
          <w:color w:val="000000"/>
          <w:shd w:val="clear" w:color="auto" w:fill="FFFFFF"/>
        </w:rPr>
        <w:t xml:space="preserve">the </w:t>
      </w:r>
      <w:r w:rsidRPr="006219E1" w:rsidR="00184915">
        <w:rPr>
          <w:rStyle w:val="normaltextrun"/>
          <w:color w:val="000000"/>
          <w:shd w:val="clear" w:color="auto" w:fill="FFFFFF"/>
        </w:rPr>
        <w:t>online</w:t>
      </w:r>
      <w:r w:rsidRPr="006219E1">
        <w:rPr>
          <w:rStyle w:val="normaltextrun"/>
          <w:color w:val="000000"/>
          <w:shd w:val="clear" w:color="auto" w:fill="FFFFFF"/>
        </w:rPr>
        <w:t xml:space="preserve"> survey</w:t>
      </w:r>
      <w:r w:rsidRPr="006219E1" w:rsidR="00FE67F8">
        <w:rPr>
          <w:rStyle w:val="normaltextrun"/>
          <w:color w:val="000000"/>
          <w:shd w:val="clear" w:color="auto" w:fill="FFFFFF"/>
        </w:rPr>
        <w:t>,</w:t>
      </w:r>
      <w:r w:rsidRPr="006219E1">
        <w:rPr>
          <w:rStyle w:val="normaltextrun"/>
          <w:color w:val="000000"/>
          <w:shd w:val="clear" w:color="auto" w:fill="FFFFFF"/>
        </w:rPr>
        <w:t xml:space="preserve"> to 1.17 hours (1 hour and 10 minutes) for those completing both the </w:t>
      </w:r>
      <w:r w:rsidRPr="006219E1" w:rsidR="00184915">
        <w:rPr>
          <w:rStyle w:val="normaltextrun"/>
          <w:color w:val="000000"/>
          <w:shd w:val="clear" w:color="auto" w:fill="FFFFFF"/>
        </w:rPr>
        <w:t>online</w:t>
      </w:r>
      <w:r w:rsidRPr="006219E1">
        <w:rPr>
          <w:rStyle w:val="normaltextrun"/>
          <w:color w:val="000000"/>
          <w:shd w:val="clear" w:color="auto" w:fill="FFFFFF"/>
        </w:rPr>
        <w:t xml:space="preserve"> survey and in-depth interview.</w:t>
      </w:r>
    </w:p>
    <w:p w:rsidR="440B27BC" w:rsidP="440B27BC" w14:paraId="62F91806" w14:textId="62ECCB82">
      <w:pPr>
        <w:widowControl w:val="0"/>
        <w:tabs>
          <w:tab w:val="left" w:pos="720"/>
          <w:tab w:val="left" w:pos="1440"/>
        </w:tabs>
        <w:spacing w:before="120"/>
        <w:contextualSpacing/>
        <w:rPr>
          <w:rStyle w:val="normaltextrun"/>
          <w:color w:val="000000" w:themeColor="text1"/>
        </w:rPr>
      </w:pPr>
    </w:p>
    <w:p w:rsidR="549DE590" w:rsidP="440B27BC" w14:paraId="3A4A68F6" w14:textId="495BC838">
      <w:pPr>
        <w:widowControl w:val="0"/>
        <w:tabs>
          <w:tab w:val="left" w:pos="720"/>
          <w:tab w:val="left" w:pos="1440"/>
        </w:tabs>
        <w:spacing w:before="120"/>
        <w:contextualSpacing/>
        <w:rPr>
          <w:rStyle w:val="normaltextrun"/>
          <w:color w:val="000000" w:themeColor="text1"/>
        </w:rPr>
      </w:pPr>
      <w:r w:rsidRPr="440B27BC">
        <w:rPr>
          <w:rStyle w:val="normaltextrun"/>
          <w:color w:val="000000" w:themeColor="text1"/>
        </w:rPr>
        <w:t>To estimate the cost of this collection, CISA uses the average wage for General and Operations Managers of $62.18</w:t>
      </w:r>
      <w:r>
        <w:rPr>
          <w:rStyle w:val="FootnoteReference"/>
          <w:color w:val="000000" w:themeColor="text1"/>
        </w:rPr>
        <w:footnoteReference w:id="3"/>
      </w:r>
      <w:r w:rsidRPr="440B27BC">
        <w:rPr>
          <w:rStyle w:val="normaltextrun"/>
          <w:color w:val="000000" w:themeColor="text1"/>
        </w:rPr>
        <w:t xml:space="preserve"> times the wage rate benefit multiplier of 1.4546</w:t>
      </w:r>
      <w:r>
        <w:rPr>
          <w:rStyle w:val="FootnoteReference"/>
          <w:color w:val="000000" w:themeColor="text1"/>
        </w:rPr>
        <w:footnoteReference w:id="4"/>
      </w:r>
      <w:r w:rsidRPr="440B27BC">
        <w:rPr>
          <w:rStyle w:val="normaltextrun"/>
          <w:color w:val="000000" w:themeColor="text1"/>
        </w:rPr>
        <w:t xml:space="preserve"> (to account for fringe benefits) equaling $90.45. At a loaded average hourly wage rate of $90.45 multiplied by the total annual burden of </w:t>
      </w:r>
      <w:r w:rsidR="00FF1CE2">
        <w:rPr>
          <w:rStyle w:val="normaltextrun"/>
          <w:color w:val="000000" w:themeColor="text1"/>
        </w:rPr>
        <w:t>65.8</w:t>
      </w:r>
      <w:r w:rsidRPr="440B27BC">
        <w:rPr>
          <w:rStyle w:val="normaltextrun"/>
          <w:color w:val="000000" w:themeColor="text1"/>
        </w:rPr>
        <w:t xml:space="preserve"> hours, the annual respondent cost is $</w:t>
      </w:r>
      <w:r w:rsidR="00EC3E16">
        <w:rPr>
          <w:rStyle w:val="normaltextrun"/>
          <w:color w:val="000000" w:themeColor="text1"/>
        </w:rPr>
        <w:t>5,954.44</w:t>
      </w:r>
      <w:r w:rsidRPr="440B27BC">
        <w:rPr>
          <w:rStyle w:val="normaltextrun"/>
          <w:color w:val="000000" w:themeColor="text1"/>
        </w:rPr>
        <w:t xml:space="preserve"> for the Critical Manufacturing online survey only. Combined with the Critical Manufacturing online survey and in-depth interview, as well as both instruments for Commercial Facilities and Nuclear, the total annual </w:t>
      </w:r>
      <w:r w:rsidRPr="440B27BC">
        <w:rPr>
          <w:rStyle w:val="normaltextrun"/>
          <w:color w:val="000000" w:themeColor="text1"/>
        </w:rPr>
        <w:t>respondent cost is $</w:t>
      </w:r>
      <w:r w:rsidR="00EC3E16">
        <w:rPr>
          <w:rStyle w:val="normaltextrun"/>
          <w:color w:val="000000" w:themeColor="text1"/>
        </w:rPr>
        <w:t>21,858.07</w:t>
      </w:r>
      <w:r w:rsidRPr="440B27BC">
        <w:rPr>
          <w:rStyle w:val="normaltextrun"/>
          <w:color w:val="000000" w:themeColor="text1"/>
        </w:rPr>
        <w:t>.</w:t>
      </w:r>
    </w:p>
    <w:p w:rsidR="440B27BC" w:rsidP="440B27BC" w14:paraId="2AA5CFBB" w14:textId="1BDF5CAF">
      <w:pPr>
        <w:widowControl w:val="0"/>
        <w:tabs>
          <w:tab w:val="left" w:pos="720"/>
          <w:tab w:val="left" w:pos="1440"/>
        </w:tabs>
        <w:spacing w:before="120"/>
        <w:contextualSpacing/>
        <w:rPr>
          <w:rStyle w:val="normaltextrun"/>
          <w:color w:val="000000" w:themeColor="text1"/>
        </w:rPr>
      </w:pPr>
    </w:p>
    <w:p w:rsidR="00A57406" w:rsidP="00B128D9" w14:paraId="78FC29ED" w14:textId="7CE158D0">
      <w:pPr>
        <w:widowControl w:val="0"/>
        <w:tabs>
          <w:tab w:val="left" w:pos="720"/>
          <w:tab w:val="left" w:pos="1440"/>
        </w:tabs>
        <w:spacing w:before="120"/>
        <w:ind w:left="360"/>
        <w:contextualSpacing/>
        <w:rPr>
          <w:spacing w:val="-3"/>
        </w:rPr>
      </w:pPr>
    </w:p>
    <w:tbl>
      <w:tblPr>
        <w:tblW w:w="9720" w:type="dxa"/>
        <w:tblInd w:w="-5" w:type="dxa"/>
        <w:tblLayout w:type="fixed"/>
        <w:tblLook w:val="04A0"/>
      </w:tblPr>
      <w:tblGrid>
        <w:gridCol w:w="1620"/>
        <w:gridCol w:w="1350"/>
        <w:gridCol w:w="1260"/>
        <w:gridCol w:w="1350"/>
        <w:gridCol w:w="1080"/>
        <w:gridCol w:w="1440"/>
        <w:gridCol w:w="1620"/>
      </w:tblGrid>
      <w:tr w14:paraId="0E94C38F" w14:textId="77777777" w:rsidTr="440B27BC">
        <w:tblPrEx>
          <w:tblW w:w="9720" w:type="dxa"/>
          <w:tblInd w:w="-5" w:type="dxa"/>
          <w:tblLayout w:type="fixed"/>
          <w:tblLook w:val="04A0"/>
        </w:tblPrEx>
        <w:trPr>
          <w:trHeight w:val="1124"/>
        </w:trPr>
        <w:tc>
          <w:tcPr>
            <w:tcW w:w="1620" w:type="dxa"/>
            <w:tcBorders>
              <w:top w:val="single" w:sz="4" w:space="0" w:color="auto"/>
              <w:left w:val="single" w:sz="4" w:space="0" w:color="auto"/>
              <w:bottom w:val="single" w:sz="4" w:space="0" w:color="auto"/>
              <w:right w:val="single" w:sz="4" w:space="0" w:color="auto"/>
            </w:tcBorders>
            <w:vAlign w:val="center"/>
          </w:tcPr>
          <w:p w:rsidR="00F63EF7" w:rsidRPr="00C5457D" w:rsidP="00710227" w14:paraId="262736CB" w14:textId="77777777">
            <w:pPr>
              <w:spacing w:line="259" w:lineRule="auto"/>
              <w:jc w:val="center"/>
              <w:rPr>
                <w:b/>
                <w:bCs/>
                <w:color w:val="000000" w:themeColor="text1"/>
                <w:sz w:val="20"/>
                <w:szCs w:val="20"/>
              </w:rPr>
            </w:pPr>
            <w:r w:rsidRPr="00C5457D">
              <w:rPr>
                <w:b/>
                <w:bCs/>
                <w:color w:val="000000" w:themeColor="text1"/>
                <w:sz w:val="20"/>
                <w:szCs w:val="20"/>
              </w:rPr>
              <w:t>Instrument</w:t>
            </w:r>
          </w:p>
        </w:tc>
        <w:tc>
          <w:tcPr>
            <w:tcW w:w="1350" w:type="dxa"/>
            <w:tcBorders>
              <w:top w:val="single" w:sz="4" w:space="0" w:color="auto"/>
              <w:left w:val="nil"/>
              <w:bottom w:val="single" w:sz="4" w:space="0" w:color="auto"/>
              <w:right w:val="single" w:sz="4" w:space="0" w:color="auto"/>
            </w:tcBorders>
            <w:vAlign w:val="center"/>
            <w:hideMark/>
          </w:tcPr>
          <w:p w:rsidR="00F63EF7" w:rsidRPr="00C5457D" w:rsidP="00710227" w14:paraId="496DD6C6" w14:textId="29C0AAA7">
            <w:pPr>
              <w:jc w:val="center"/>
              <w:rPr>
                <w:b/>
                <w:bCs/>
                <w:color w:val="000000"/>
                <w:sz w:val="20"/>
                <w:szCs w:val="20"/>
              </w:rPr>
            </w:pPr>
            <w:r w:rsidRPr="00C5457D">
              <w:rPr>
                <w:b/>
                <w:bCs/>
                <w:color w:val="000000" w:themeColor="text1"/>
                <w:sz w:val="20"/>
                <w:szCs w:val="20"/>
              </w:rPr>
              <w:t>Number of Respondents</w:t>
            </w:r>
          </w:p>
        </w:tc>
        <w:tc>
          <w:tcPr>
            <w:tcW w:w="1260" w:type="dxa"/>
            <w:tcBorders>
              <w:top w:val="single" w:sz="4" w:space="0" w:color="auto"/>
              <w:left w:val="nil"/>
              <w:bottom w:val="single" w:sz="4" w:space="0" w:color="auto"/>
              <w:right w:val="single" w:sz="4" w:space="0" w:color="auto"/>
            </w:tcBorders>
            <w:vAlign w:val="center"/>
            <w:hideMark/>
          </w:tcPr>
          <w:p w:rsidR="00F63EF7" w:rsidRPr="00C5457D" w:rsidP="00710227" w14:paraId="15D53948" w14:textId="77777777">
            <w:pPr>
              <w:jc w:val="center"/>
              <w:rPr>
                <w:b/>
                <w:color w:val="000000"/>
                <w:sz w:val="20"/>
                <w:szCs w:val="20"/>
              </w:rPr>
            </w:pPr>
            <w:r w:rsidRPr="00C5457D">
              <w:rPr>
                <w:b/>
                <w:color w:val="000000"/>
                <w:sz w:val="20"/>
                <w:szCs w:val="20"/>
              </w:rPr>
              <w:t xml:space="preserve">Number of Responses per </w:t>
            </w:r>
          </w:p>
          <w:p w:rsidR="00F63EF7" w:rsidRPr="00C5457D" w:rsidP="00710227" w14:paraId="30034058" w14:textId="77777777">
            <w:pPr>
              <w:jc w:val="center"/>
              <w:rPr>
                <w:b/>
                <w:color w:val="000000"/>
                <w:sz w:val="20"/>
                <w:szCs w:val="20"/>
              </w:rPr>
            </w:pPr>
            <w:r w:rsidRPr="00C5457D">
              <w:rPr>
                <w:b/>
                <w:color w:val="000000"/>
                <w:sz w:val="20"/>
                <w:szCs w:val="20"/>
              </w:rPr>
              <w:t>Respondent</w:t>
            </w:r>
          </w:p>
        </w:tc>
        <w:tc>
          <w:tcPr>
            <w:tcW w:w="1350" w:type="dxa"/>
            <w:tcBorders>
              <w:top w:val="single" w:sz="4" w:space="0" w:color="auto"/>
              <w:left w:val="nil"/>
              <w:bottom w:val="single" w:sz="4" w:space="0" w:color="auto"/>
              <w:right w:val="single" w:sz="4" w:space="0" w:color="auto"/>
            </w:tcBorders>
            <w:vAlign w:val="center"/>
            <w:hideMark/>
          </w:tcPr>
          <w:p w:rsidR="00C05DCF" w:rsidP="00710227" w14:paraId="3B1018EF" w14:textId="77777777">
            <w:pPr>
              <w:jc w:val="center"/>
              <w:rPr>
                <w:b/>
                <w:color w:val="000000"/>
                <w:sz w:val="20"/>
                <w:szCs w:val="20"/>
              </w:rPr>
            </w:pPr>
            <w:r w:rsidRPr="00C5457D">
              <w:rPr>
                <w:b/>
                <w:color w:val="000000"/>
                <w:sz w:val="20"/>
                <w:szCs w:val="20"/>
              </w:rPr>
              <w:t xml:space="preserve">Average Burden per Response </w:t>
            </w:r>
          </w:p>
          <w:p w:rsidR="00F63EF7" w:rsidRPr="00C5457D" w:rsidP="00710227" w14:paraId="07C84ADC" w14:textId="1FEBFB30">
            <w:pPr>
              <w:jc w:val="center"/>
              <w:rPr>
                <w:b/>
                <w:color w:val="000000"/>
                <w:sz w:val="20"/>
                <w:szCs w:val="20"/>
              </w:rPr>
            </w:pPr>
            <w:r w:rsidRPr="00C5457D">
              <w:rPr>
                <w:b/>
                <w:color w:val="000000"/>
                <w:sz w:val="20"/>
                <w:szCs w:val="20"/>
              </w:rPr>
              <w:t>(</w:t>
            </w:r>
            <w:r w:rsidR="005549D3">
              <w:rPr>
                <w:b/>
                <w:color w:val="000000"/>
                <w:sz w:val="20"/>
                <w:szCs w:val="20"/>
              </w:rPr>
              <w:t xml:space="preserve">in </w:t>
            </w:r>
            <w:r w:rsidRPr="00C5457D">
              <w:rPr>
                <w:b/>
                <w:color w:val="000000"/>
                <w:sz w:val="20"/>
                <w:szCs w:val="20"/>
              </w:rPr>
              <w:t>hours)</w:t>
            </w:r>
          </w:p>
        </w:tc>
        <w:tc>
          <w:tcPr>
            <w:tcW w:w="1080" w:type="dxa"/>
            <w:tcBorders>
              <w:top w:val="single" w:sz="4" w:space="0" w:color="auto"/>
              <w:left w:val="nil"/>
              <w:bottom w:val="single" w:sz="4" w:space="0" w:color="auto"/>
              <w:right w:val="single" w:sz="4" w:space="0" w:color="auto"/>
            </w:tcBorders>
            <w:vAlign w:val="center"/>
            <w:hideMark/>
          </w:tcPr>
          <w:p w:rsidR="00C05DCF" w:rsidP="00710227" w14:paraId="48ACB2F2" w14:textId="77777777">
            <w:pPr>
              <w:jc w:val="center"/>
              <w:rPr>
                <w:b/>
                <w:color w:val="000000"/>
                <w:sz w:val="20"/>
                <w:szCs w:val="20"/>
              </w:rPr>
            </w:pPr>
            <w:r w:rsidRPr="00C5457D">
              <w:rPr>
                <w:b/>
                <w:color w:val="000000"/>
                <w:sz w:val="20"/>
                <w:szCs w:val="20"/>
              </w:rPr>
              <w:t xml:space="preserve">Total </w:t>
            </w:r>
            <w:r w:rsidR="005549D3">
              <w:rPr>
                <w:b/>
                <w:color w:val="000000"/>
                <w:sz w:val="20"/>
                <w:szCs w:val="20"/>
              </w:rPr>
              <w:t>Annual</w:t>
            </w:r>
            <w:r w:rsidRPr="00C5457D" w:rsidR="005549D3">
              <w:rPr>
                <w:b/>
                <w:color w:val="000000"/>
                <w:sz w:val="20"/>
                <w:szCs w:val="20"/>
              </w:rPr>
              <w:t xml:space="preserve"> Burden</w:t>
            </w:r>
            <w:r w:rsidRPr="00C5457D">
              <w:rPr>
                <w:b/>
                <w:color w:val="000000"/>
                <w:sz w:val="20"/>
                <w:szCs w:val="20"/>
              </w:rPr>
              <w:t xml:space="preserve"> </w:t>
            </w:r>
          </w:p>
          <w:p w:rsidR="00F63EF7" w:rsidRPr="00C5457D" w:rsidP="00710227" w14:paraId="29EC9A10" w14:textId="1C92D972">
            <w:pPr>
              <w:jc w:val="center"/>
              <w:rPr>
                <w:b/>
                <w:color w:val="000000"/>
                <w:sz w:val="20"/>
                <w:szCs w:val="20"/>
              </w:rPr>
            </w:pPr>
            <w:r w:rsidRPr="00C5457D">
              <w:rPr>
                <w:b/>
                <w:color w:val="000000"/>
                <w:sz w:val="20"/>
                <w:szCs w:val="20"/>
              </w:rPr>
              <w:t>(</w:t>
            </w:r>
            <w:r w:rsidR="005549D3">
              <w:rPr>
                <w:b/>
                <w:color w:val="000000"/>
                <w:sz w:val="20"/>
                <w:szCs w:val="20"/>
              </w:rPr>
              <w:t>i</w:t>
            </w:r>
            <w:r w:rsidR="005F3CFC">
              <w:rPr>
                <w:b/>
                <w:color w:val="000000"/>
                <w:sz w:val="20"/>
                <w:szCs w:val="20"/>
              </w:rPr>
              <w:t xml:space="preserve">n </w:t>
            </w:r>
            <w:r w:rsidRPr="00C5457D">
              <w:rPr>
                <w:b/>
                <w:color w:val="000000"/>
                <w:sz w:val="20"/>
                <w:szCs w:val="20"/>
              </w:rPr>
              <w:t>hours)</w:t>
            </w:r>
          </w:p>
        </w:tc>
        <w:tc>
          <w:tcPr>
            <w:tcW w:w="1440" w:type="dxa"/>
            <w:tcBorders>
              <w:top w:val="single" w:sz="4" w:space="0" w:color="auto"/>
              <w:left w:val="nil"/>
              <w:bottom w:val="single" w:sz="4" w:space="0" w:color="auto"/>
              <w:right w:val="single" w:sz="4" w:space="0" w:color="auto"/>
            </w:tcBorders>
            <w:vAlign w:val="center"/>
            <w:hideMark/>
          </w:tcPr>
          <w:p w:rsidR="00F63EF7" w:rsidRPr="00C5457D" w:rsidP="00710227" w14:paraId="74DF1DDE" w14:textId="6928A146">
            <w:pPr>
              <w:jc w:val="center"/>
              <w:rPr>
                <w:b/>
                <w:color w:val="000000"/>
                <w:sz w:val="20"/>
                <w:szCs w:val="20"/>
              </w:rPr>
            </w:pPr>
            <w:r>
              <w:rPr>
                <w:b/>
                <w:color w:val="000000"/>
                <w:sz w:val="20"/>
                <w:szCs w:val="20"/>
              </w:rPr>
              <w:t>Loaded Average Hourly Wage</w:t>
            </w:r>
          </w:p>
          <w:p w:rsidR="00F63EF7" w:rsidRPr="00C5457D" w:rsidP="00710227" w14:paraId="2E89C77C" w14:textId="77777777">
            <w:pPr>
              <w:jc w:val="center"/>
              <w:rPr>
                <w:b/>
                <w:color w:val="000000"/>
                <w:sz w:val="20"/>
                <w:szCs w:val="20"/>
              </w:rPr>
            </w:pPr>
            <w:r w:rsidRPr="00C5457D">
              <w:rPr>
                <w:b/>
                <w:color w:val="000000"/>
                <w:sz w:val="20"/>
                <w:szCs w:val="20"/>
              </w:rPr>
              <w:t>Rate</w:t>
            </w:r>
          </w:p>
        </w:tc>
        <w:tc>
          <w:tcPr>
            <w:tcW w:w="1620" w:type="dxa"/>
            <w:tcBorders>
              <w:top w:val="single" w:sz="4" w:space="0" w:color="auto"/>
              <w:left w:val="nil"/>
              <w:bottom w:val="single" w:sz="4" w:space="0" w:color="auto"/>
              <w:right w:val="single" w:sz="4" w:space="0" w:color="auto"/>
            </w:tcBorders>
            <w:vAlign w:val="center"/>
          </w:tcPr>
          <w:p w:rsidR="00F63EF7" w:rsidRPr="00C5457D" w:rsidP="005F3CFC" w14:paraId="574BB612" w14:textId="5D2FE624">
            <w:pPr>
              <w:jc w:val="center"/>
              <w:rPr>
                <w:b/>
                <w:bCs/>
                <w:color w:val="000000" w:themeColor="text1"/>
                <w:sz w:val="20"/>
                <w:szCs w:val="20"/>
              </w:rPr>
            </w:pPr>
            <w:r w:rsidRPr="00C5457D">
              <w:rPr>
                <w:b/>
                <w:bCs/>
                <w:color w:val="000000" w:themeColor="text1"/>
                <w:sz w:val="20"/>
                <w:szCs w:val="20"/>
              </w:rPr>
              <w:t xml:space="preserve">Total Annual </w:t>
            </w:r>
            <w:r w:rsidR="005F3CFC">
              <w:rPr>
                <w:b/>
                <w:bCs/>
                <w:color w:val="000000" w:themeColor="text1"/>
                <w:sz w:val="20"/>
                <w:szCs w:val="20"/>
              </w:rPr>
              <w:t xml:space="preserve">Respondent </w:t>
            </w:r>
            <w:r w:rsidRPr="00C5457D">
              <w:rPr>
                <w:b/>
                <w:bCs/>
                <w:color w:val="000000" w:themeColor="text1"/>
                <w:sz w:val="20"/>
                <w:szCs w:val="20"/>
              </w:rPr>
              <w:t>Cost</w:t>
            </w:r>
          </w:p>
        </w:tc>
      </w:tr>
      <w:tr w14:paraId="2ECA9C82" w14:textId="77777777" w:rsidTr="440B27BC">
        <w:tblPrEx>
          <w:tblW w:w="9720" w:type="dxa"/>
          <w:tblInd w:w="-5" w:type="dxa"/>
          <w:tblLayout w:type="fixed"/>
          <w:tblLook w:val="04A0"/>
        </w:tblPrEx>
        <w:trPr>
          <w:trHeight w:val="315"/>
        </w:trPr>
        <w:tc>
          <w:tcPr>
            <w:tcW w:w="1620" w:type="dxa"/>
            <w:tcBorders>
              <w:top w:val="single" w:sz="4" w:space="0" w:color="auto"/>
              <w:left w:val="single" w:sz="4" w:space="0" w:color="auto"/>
              <w:bottom w:val="single" w:sz="4" w:space="0" w:color="auto"/>
              <w:right w:val="single" w:sz="4" w:space="0" w:color="auto"/>
            </w:tcBorders>
            <w:vAlign w:val="center"/>
          </w:tcPr>
          <w:p w:rsidR="00F63EF7" w:rsidP="00710227" w14:paraId="7C1EF174" w14:textId="68655250">
            <w:pPr>
              <w:jc w:val="center"/>
              <w:rPr>
                <w:color w:val="000000" w:themeColor="text1"/>
                <w:sz w:val="22"/>
                <w:szCs w:val="22"/>
              </w:rPr>
            </w:pPr>
            <w:r>
              <w:rPr>
                <w:color w:val="000000" w:themeColor="text1"/>
                <w:sz w:val="22"/>
                <w:szCs w:val="22"/>
              </w:rPr>
              <w:t>CM</w:t>
            </w:r>
            <w:r w:rsidRPr="008B1333" w:rsidR="008B1333">
              <w:rPr>
                <w:color w:val="000000" w:themeColor="text1"/>
                <w:sz w:val="22"/>
                <w:szCs w:val="22"/>
                <w:vertAlign w:val="superscript"/>
              </w:rPr>
              <w:t>a</w:t>
            </w:r>
            <w:r>
              <w:rPr>
                <w:color w:val="000000" w:themeColor="text1"/>
                <w:sz w:val="22"/>
                <w:szCs w:val="22"/>
              </w:rPr>
              <w:t xml:space="preserve"> </w:t>
            </w:r>
            <w:r w:rsidR="00B75974">
              <w:rPr>
                <w:color w:val="000000" w:themeColor="text1"/>
                <w:sz w:val="22"/>
                <w:szCs w:val="22"/>
              </w:rPr>
              <w:t>Online</w:t>
            </w:r>
            <w:r w:rsidRPr="1EB2EB1D">
              <w:rPr>
                <w:color w:val="000000" w:themeColor="text1"/>
                <w:sz w:val="22"/>
                <w:szCs w:val="22"/>
              </w:rPr>
              <w:t xml:space="preserve"> </w:t>
            </w:r>
            <w:r w:rsidR="00167230">
              <w:rPr>
                <w:color w:val="000000" w:themeColor="text1"/>
                <w:sz w:val="22"/>
                <w:szCs w:val="22"/>
              </w:rPr>
              <w:t>s</w:t>
            </w:r>
            <w:r w:rsidRPr="1EB2EB1D">
              <w:rPr>
                <w:color w:val="000000" w:themeColor="text1"/>
                <w:sz w:val="22"/>
                <w:szCs w:val="22"/>
              </w:rPr>
              <w:t>urvey only</w:t>
            </w:r>
          </w:p>
          <w:p w:rsidR="00F63EF7" w:rsidP="00710227" w14:paraId="4A21EB4C" w14:textId="77777777">
            <w:pPr>
              <w:jc w:val="center"/>
              <w:rPr>
                <w:color w:val="000000" w:themeColor="text1"/>
                <w:sz w:val="22"/>
                <w:szCs w:val="22"/>
              </w:rPr>
            </w:pPr>
          </w:p>
          <w:p w:rsidR="00F63EF7" w:rsidP="00710227" w14:paraId="124C9BB4" w14:textId="1D8B34D2">
            <w:pPr>
              <w:jc w:val="center"/>
              <w:rPr>
                <w:color w:val="000000" w:themeColor="text1"/>
                <w:sz w:val="22"/>
                <w:szCs w:val="22"/>
              </w:rPr>
            </w:pPr>
            <w:r>
              <w:rPr>
                <w:color w:val="000000" w:themeColor="text1"/>
                <w:sz w:val="22"/>
                <w:szCs w:val="22"/>
              </w:rPr>
              <w:t xml:space="preserve">CM </w:t>
            </w:r>
            <w:r w:rsidR="00B75974">
              <w:rPr>
                <w:color w:val="000000" w:themeColor="text1"/>
                <w:sz w:val="22"/>
                <w:szCs w:val="22"/>
              </w:rPr>
              <w:t>Online</w:t>
            </w:r>
            <w:r>
              <w:rPr>
                <w:color w:val="000000" w:themeColor="text1"/>
                <w:sz w:val="22"/>
                <w:szCs w:val="22"/>
              </w:rPr>
              <w:t xml:space="preserve"> survey &amp; in-depth interview</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F63EF7" w:rsidP="00710227" w14:paraId="1FFDFABF" w14:textId="5AE4419E">
            <w:pPr>
              <w:spacing w:line="259" w:lineRule="auto"/>
              <w:jc w:val="center"/>
              <w:rPr>
                <w:color w:val="000000" w:themeColor="text1"/>
                <w:sz w:val="22"/>
                <w:szCs w:val="22"/>
              </w:rPr>
            </w:pPr>
            <w:r>
              <w:rPr>
                <w:color w:val="000000" w:themeColor="text1"/>
                <w:sz w:val="22"/>
                <w:szCs w:val="22"/>
              </w:rPr>
              <w:t>3</w:t>
            </w:r>
            <w:r w:rsidR="00E021E6">
              <w:rPr>
                <w:color w:val="000000" w:themeColor="text1"/>
                <w:sz w:val="22"/>
                <w:szCs w:val="22"/>
              </w:rPr>
              <w:t>95</w:t>
            </w:r>
          </w:p>
          <w:p w:rsidR="00F63EF7" w:rsidP="00710227" w14:paraId="6D892742" w14:textId="77777777">
            <w:pPr>
              <w:spacing w:line="259" w:lineRule="auto"/>
              <w:rPr>
                <w:color w:val="000000" w:themeColor="text1"/>
                <w:sz w:val="22"/>
                <w:szCs w:val="22"/>
              </w:rPr>
            </w:pPr>
          </w:p>
          <w:p w:rsidR="00F63EF7" w:rsidP="00710227" w14:paraId="41B3FFD2" w14:textId="77777777">
            <w:pPr>
              <w:spacing w:line="259" w:lineRule="auto"/>
              <w:jc w:val="center"/>
              <w:rPr>
                <w:color w:val="000000" w:themeColor="text1"/>
                <w:sz w:val="22"/>
                <w:szCs w:val="22"/>
              </w:rPr>
            </w:pPr>
          </w:p>
          <w:p w:rsidR="00F63EF7" w:rsidP="00710227" w14:paraId="3169E40C" w14:textId="77777777">
            <w:pPr>
              <w:spacing w:line="259" w:lineRule="auto"/>
              <w:jc w:val="center"/>
              <w:rPr>
                <w:color w:val="000000" w:themeColor="text1"/>
                <w:sz w:val="22"/>
                <w:szCs w:val="22"/>
              </w:rPr>
            </w:pPr>
            <w:r>
              <w:rPr>
                <w:color w:val="000000" w:themeColor="text1"/>
                <w:sz w:val="22"/>
                <w:szCs w:val="22"/>
              </w:rPr>
              <w:t>30</w:t>
            </w:r>
          </w:p>
          <w:p w:rsidR="00F63EF7" w:rsidRPr="007775C8" w:rsidP="00710227" w14:paraId="465E6225" w14:textId="77777777">
            <w:pPr>
              <w:spacing w:line="259" w:lineRule="auto"/>
              <w:jc w:val="center"/>
            </w:pPr>
          </w:p>
        </w:tc>
        <w:tc>
          <w:tcPr>
            <w:tcW w:w="1260" w:type="dxa"/>
            <w:tcBorders>
              <w:top w:val="single" w:sz="4" w:space="0" w:color="auto"/>
              <w:left w:val="nil"/>
              <w:bottom w:val="single" w:sz="4" w:space="0" w:color="auto"/>
              <w:right w:val="single" w:sz="4" w:space="0" w:color="auto"/>
            </w:tcBorders>
            <w:noWrap/>
            <w:vAlign w:val="center"/>
            <w:hideMark/>
          </w:tcPr>
          <w:p w:rsidR="00F63EF7" w:rsidP="00710227" w14:paraId="2DE811B7" w14:textId="77777777">
            <w:pPr>
              <w:jc w:val="center"/>
              <w:rPr>
                <w:color w:val="000000"/>
                <w:sz w:val="22"/>
              </w:rPr>
            </w:pPr>
            <w:r>
              <w:rPr>
                <w:color w:val="000000"/>
                <w:sz w:val="22"/>
              </w:rPr>
              <w:t>1</w:t>
            </w:r>
          </w:p>
          <w:p w:rsidR="00F63EF7" w:rsidP="00710227" w14:paraId="3AFC5F04" w14:textId="77777777">
            <w:pPr>
              <w:jc w:val="center"/>
              <w:rPr>
                <w:color w:val="000000"/>
                <w:sz w:val="22"/>
              </w:rPr>
            </w:pPr>
          </w:p>
          <w:p w:rsidR="00F63EF7" w:rsidP="00710227" w14:paraId="7ED5E581" w14:textId="77777777">
            <w:pPr>
              <w:jc w:val="center"/>
              <w:rPr>
                <w:color w:val="000000"/>
                <w:sz w:val="22"/>
              </w:rPr>
            </w:pPr>
          </w:p>
          <w:p w:rsidR="00F63EF7" w:rsidRPr="007775C8" w:rsidP="00710227" w14:paraId="6ED289E2" w14:textId="77777777">
            <w:pPr>
              <w:jc w:val="center"/>
              <w:rPr>
                <w:color w:val="000000"/>
                <w:sz w:val="22"/>
              </w:rPr>
            </w:pPr>
            <w:r>
              <w:rPr>
                <w:color w:val="000000"/>
                <w:sz w:val="22"/>
              </w:rPr>
              <w:t>1</w:t>
            </w:r>
          </w:p>
        </w:tc>
        <w:tc>
          <w:tcPr>
            <w:tcW w:w="1350" w:type="dxa"/>
            <w:tcBorders>
              <w:top w:val="single" w:sz="4" w:space="0" w:color="auto"/>
              <w:left w:val="nil"/>
              <w:bottom w:val="single" w:sz="4" w:space="0" w:color="auto"/>
              <w:right w:val="single" w:sz="4" w:space="0" w:color="auto"/>
            </w:tcBorders>
            <w:noWrap/>
            <w:vAlign w:val="center"/>
            <w:hideMark/>
          </w:tcPr>
          <w:p w:rsidR="00F63EF7" w:rsidP="00710227" w14:paraId="1E00A567" w14:textId="3725218F">
            <w:pPr>
              <w:jc w:val="center"/>
              <w:rPr>
                <w:color w:val="000000" w:themeColor="text1"/>
                <w:sz w:val="22"/>
                <w:szCs w:val="22"/>
              </w:rPr>
            </w:pPr>
            <w:r>
              <w:rPr>
                <w:color w:val="000000" w:themeColor="text1"/>
                <w:sz w:val="22"/>
                <w:szCs w:val="22"/>
              </w:rPr>
              <w:t>0.17</w:t>
            </w:r>
          </w:p>
          <w:p w:rsidR="00F63EF7" w:rsidP="00710227" w14:paraId="19D63577" w14:textId="77777777">
            <w:pPr>
              <w:jc w:val="center"/>
              <w:rPr>
                <w:color w:val="000000" w:themeColor="text1"/>
                <w:sz w:val="22"/>
                <w:szCs w:val="22"/>
              </w:rPr>
            </w:pPr>
          </w:p>
          <w:p w:rsidR="00F63EF7" w:rsidP="00710227" w14:paraId="49CDCFED" w14:textId="77777777">
            <w:pPr>
              <w:jc w:val="center"/>
              <w:rPr>
                <w:color w:val="000000" w:themeColor="text1"/>
                <w:sz w:val="22"/>
                <w:szCs w:val="22"/>
              </w:rPr>
            </w:pPr>
          </w:p>
          <w:p w:rsidR="00F63EF7" w:rsidRPr="007775C8" w:rsidP="00710227" w14:paraId="77AE8BB0" w14:textId="77777777">
            <w:pPr>
              <w:jc w:val="center"/>
              <w:rPr>
                <w:color w:val="000000"/>
                <w:sz w:val="22"/>
                <w:szCs w:val="22"/>
              </w:rPr>
            </w:pPr>
            <w:r>
              <w:rPr>
                <w:color w:val="000000" w:themeColor="text1"/>
                <w:sz w:val="22"/>
                <w:szCs w:val="22"/>
              </w:rPr>
              <w:t>1.17</w:t>
            </w:r>
          </w:p>
        </w:tc>
        <w:tc>
          <w:tcPr>
            <w:tcW w:w="1080" w:type="dxa"/>
            <w:tcBorders>
              <w:top w:val="single" w:sz="4" w:space="0" w:color="auto"/>
              <w:left w:val="nil"/>
              <w:bottom w:val="single" w:sz="4" w:space="0" w:color="auto"/>
              <w:right w:val="single" w:sz="4" w:space="0" w:color="auto"/>
            </w:tcBorders>
            <w:noWrap/>
            <w:vAlign w:val="center"/>
            <w:hideMark/>
          </w:tcPr>
          <w:p w:rsidR="00F63EF7" w:rsidP="00710227" w14:paraId="7E31E1E9" w14:textId="611CF82A">
            <w:pPr>
              <w:jc w:val="center"/>
              <w:rPr>
                <w:color w:val="000000"/>
                <w:sz w:val="22"/>
                <w:szCs w:val="22"/>
              </w:rPr>
            </w:pPr>
            <w:r>
              <w:rPr>
                <w:color w:val="000000"/>
                <w:sz w:val="22"/>
                <w:szCs w:val="22"/>
              </w:rPr>
              <w:t>65.8</w:t>
            </w:r>
          </w:p>
          <w:p w:rsidR="00F63EF7" w:rsidP="00710227" w14:paraId="5AB494F7" w14:textId="77777777">
            <w:pPr>
              <w:jc w:val="center"/>
              <w:rPr>
                <w:color w:val="000000"/>
                <w:sz w:val="22"/>
                <w:szCs w:val="22"/>
              </w:rPr>
            </w:pPr>
          </w:p>
          <w:p w:rsidR="00F63EF7" w:rsidP="00710227" w14:paraId="5CC3A22B" w14:textId="77777777">
            <w:pPr>
              <w:jc w:val="center"/>
              <w:rPr>
                <w:color w:val="000000"/>
                <w:sz w:val="22"/>
                <w:szCs w:val="22"/>
              </w:rPr>
            </w:pPr>
          </w:p>
          <w:p w:rsidR="00F63EF7" w:rsidP="00710227" w14:paraId="58312EAD" w14:textId="2F694BB6">
            <w:pPr>
              <w:jc w:val="center"/>
              <w:rPr>
                <w:color w:val="000000"/>
                <w:sz w:val="22"/>
                <w:szCs w:val="22"/>
              </w:rPr>
            </w:pPr>
            <w:r>
              <w:rPr>
                <w:color w:val="000000"/>
                <w:sz w:val="22"/>
                <w:szCs w:val="22"/>
              </w:rPr>
              <w:t>35.</w:t>
            </w:r>
            <w:r w:rsidR="008C1CBE">
              <w:rPr>
                <w:color w:val="000000"/>
                <w:sz w:val="22"/>
                <w:szCs w:val="22"/>
              </w:rPr>
              <w:t>0</w:t>
            </w:r>
          </w:p>
          <w:p w:rsidR="00F63EF7" w:rsidRPr="007775C8" w:rsidP="00710227" w14:paraId="71D881A1" w14:textId="77777777">
            <w:pPr>
              <w:jc w:val="center"/>
              <w:rPr>
                <w:color w:val="000000"/>
                <w:sz w:val="22"/>
                <w:szCs w:val="22"/>
              </w:rPr>
            </w:pPr>
          </w:p>
        </w:tc>
        <w:tc>
          <w:tcPr>
            <w:tcW w:w="1440" w:type="dxa"/>
            <w:tcBorders>
              <w:top w:val="single" w:sz="4" w:space="0" w:color="auto"/>
              <w:left w:val="nil"/>
              <w:bottom w:val="single" w:sz="4" w:space="0" w:color="auto"/>
              <w:right w:val="single" w:sz="4" w:space="0" w:color="auto"/>
            </w:tcBorders>
            <w:vAlign w:val="center"/>
            <w:hideMark/>
          </w:tcPr>
          <w:p w:rsidR="00F63EF7" w:rsidRPr="007775C8" w:rsidP="440B27BC" w14:paraId="19F1F514" w14:textId="758A4088">
            <w:pPr>
              <w:jc w:val="center"/>
              <w:rPr>
                <w:color w:val="000000"/>
                <w:sz w:val="22"/>
                <w:szCs w:val="22"/>
              </w:rPr>
            </w:pPr>
            <w:r w:rsidRPr="440B27BC">
              <w:rPr>
                <w:color w:val="000000" w:themeColor="text1"/>
                <w:sz w:val="22"/>
                <w:szCs w:val="22"/>
              </w:rPr>
              <w:t>$</w:t>
            </w:r>
            <w:r w:rsidRPr="440B27BC" w:rsidR="5C335A7E">
              <w:rPr>
                <w:color w:val="000000" w:themeColor="text1"/>
                <w:sz w:val="22"/>
                <w:szCs w:val="22"/>
              </w:rPr>
              <w:t>90</w:t>
            </w:r>
            <w:r w:rsidRPr="440B27BC">
              <w:rPr>
                <w:color w:val="000000" w:themeColor="text1"/>
                <w:sz w:val="22"/>
                <w:szCs w:val="22"/>
              </w:rPr>
              <w:t>.</w:t>
            </w:r>
            <w:r w:rsidRPr="440B27BC" w:rsidR="6FA57819">
              <w:rPr>
                <w:color w:val="000000" w:themeColor="text1"/>
                <w:sz w:val="22"/>
                <w:szCs w:val="22"/>
              </w:rPr>
              <w:t>45</w:t>
            </w:r>
          </w:p>
        </w:tc>
        <w:tc>
          <w:tcPr>
            <w:tcW w:w="1620" w:type="dxa"/>
            <w:tcBorders>
              <w:top w:val="single" w:sz="4" w:space="0" w:color="auto"/>
              <w:left w:val="nil"/>
              <w:bottom w:val="single" w:sz="4" w:space="0" w:color="auto"/>
              <w:right w:val="single" w:sz="4" w:space="0" w:color="auto"/>
            </w:tcBorders>
            <w:vAlign w:val="center"/>
          </w:tcPr>
          <w:p w:rsidR="00F63EF7" w:rsidP="00710227" w14:paraId="7253AFD8" w14:textId="77777777">
            <w:pPr>
              <w:jc w:val="center"/>
              <w:rPr>
                <w:color w:val="000000"/>
                <w:sz w:val="22"/>
                <w:szCs w:val="22"/>
              </w:rPr>
            </w:pPr>
          </w:p>
          <w:p w:rsidR="00F63EF7" w:rsidP="00710227" w14:paraId="4FB470E3" w14:textId="3989ADCF">
            <w:pPr>
              <w:jc w:val="center"/>
              <w:rPr>
                <w:color w:val="000000"/>
                <w:sz w:val="22"/>
                <w:szCs w:val="22"/>
              </w:rPr>
            </w:pPr>
            <w:r w:rsidRPr="440B27BC">
              <w:rPr>
                <w:color w:val="000000" w:themeColor="text1"/>
                <w:sz w:val="22"/>
                <w:szCs w:val="22"/>
              </w:rPr>
              <w:t>$</w:t>
            </w:r>
            <w:r w:rsidR="00833475">
              <w:rPr>
                <w:color w:val="000000" w:themeColor="text1"/>
                <w:sz w:val="22"/>
                <w:szCs w:val="22"/>
              </w:rPr>
              <w:t>5,954.44</w:t>
            </w:r>
          </w:p>
          <w:p w:rsidR="00F63EF7" w:rsidP="00710227" w14:paraId="585BA382" w14:textId="77777777">
            <w:pPr>
              <w:jc w:val="center"/>
              <w:rPr>
                <w:color w:val="000000"/>
                <w:sz w:val="22"/>
                <w:szCs w:val="22"/>
              </w:rPr>
            </w:pPr>
          </w:p>
          <w:p w:rsidR="00F63EF7" w:rsidP="00710227" w14:paraId="4E9C9368" w14:textId="5E3B53B9">
            <w:pPr>
              <w:jc w:val="center"/>
              <w:rPr>
                <w:color w:val="000000"/>
                <w:sz w:val="22"/>
                <w:szCs w:val="22"/>
              </w:rPr>
            </w:pPr>
            <w:r w:rsidRPr="440B27BC">
              <w:rPr>
                <w:color w:val="000000" w:themeColor="text1"/>
                <w:sz w:val="22"/>
                <w:szCs w:val="22"/>
              </w:rPr>
              <w:t>$</w:t>
            </w:r>
            <w:r w:rsidRPr="440B27BC" w:rsidR="136A6697">
              <w:rPr>
                <w:color w:val="000000" w:themeColor="text1"/>
                <w:sz w:val="22"/>
                <w:szCs w:val="22"/>
              </w:rPr>
              <w:t>3,</w:t>
            </w:r>
            <w:r w:rsidR="00833475">
              <w:rPr>
                <w:color w:val="000000" w:themeColor="text1"/>
                <w:sz w:val="22"/>
                <w:szCs w:val="22"/>
              </w:rPr>
              <w:t>165.65</w:t>
            </w:r>
          </w:p>
          <w:p w:rsidR="00F63EF7" w:rsidP="00710227" w14:paraId="67CFED2C" w14:textId="77777777">
            <w:pPr>
              <w:jc w:val="center"/>
              <w:rPr>
                <w:color w:val="000000"/>
                <w:sz w:val="22"/>
              </w:rPr>
            </w:pPr>
          </w:p>
        </w:tc>
      </w:tr>
      <w:tr w14:paraId="34E2D902" w14:textId="77777777" w:rsidTr="440B27BC">
        <w:tblPrEx>
          <w:tblW w:w="9720" w:type="dxa"/>
          <w:tblInd w:w="-5" w:type="dxa"/>
          <w:tblLayout w:type="fixed"/>
          <w:tblLook w:val="04A0"/>
        </w:tblPrEx>
        <w:trPr>
          <w:trHeight w:val="1619"/>
        </w:trPr>
        <w:tc>
          <w:tcPr>
            <w:tcW w:w="1620" w:type="dxa"/>
            <w:tcBorders>
              <w:top w:val="single" w:sz="4" w:space="0" w:color="auto"/>
              <w:left w:val="single" w:sz="4" w:space="0" w:color="auto"/>
              <w:bottom w:val="single" w:sz="4" w:space="0" w:color="auto"/>
              <w:right w:val="single" w:sz="4" w:space="0" w:color="auto"/>
            </w:tcBorders>
            <w:vAlign w:val="center"/>
          </w:tcPr>
          <w:p w:rsidR="00F63EF7" w:rsidP="000A3F18" w14:paraId="2DE2F3CE" w14:textId="11DEF7A6">
            <w:pPr>
              <w:jc w:val="center"/>
              <w:rPr>
                <w:color w:val="000000" w:themeColor="text1"/>
                <w:sz w:val="22"/>
                <w:szCs w:val="22"/>
              </w:rPr>
            </w:pPr>
            <w:r>
              <w:rPr>
                <w:color w:val="000000" w:themeColor="text1"/>
                <w:sz w:val="22"/>
                <w:szCs w:val="22"/>
              </w:rPr>
              <w:t>CF</w:t>
            </w:r>
            <w:r w:rsidRPr="008B1333" w:rsidR="008B1333">
              <w:rPr>
                <w:color w:val="000000" w:themeColor="text1"/>
                <w:sz w:val="22"/>
                <w:szCs w:val="22"/>
                <w:vertAlign w:val="superscript"/>
              </w:rPr>
              <w:t>a</w:t>
            </w:r>
            <w:r>
              <w:rPr>
                <w:color w:val="000000" w:themeColor="text1"/>
                <w:sz w:val="22"/>
                <w:szCs w:val="22"/>
              </w:rPr>
              <w:t xml:space="preserve"> </w:t>
            </w:r>
            <w:r w:rsidR="00B75974">
              <w:rPr>
                <w:color w:val="000000" w:themeColor="text1"/>
                <w:sz w:val="22"/>
                <w:szCs w:val="22"/>
              </w:rPr>
              <w:t>Online</w:t>
            </w:r>
            <w:r w:rsidRPr="1EB2EB1D">
              <w:rPr>
                <w:color w:val="000000" w:themeColor="text1"/>
                <w:sz w:val="22"/>
                <w:szCs w:val="22"/>
              </w:rPr>
              <w:t xml:space="preserve"> </w:t>
            </w:r>
            <w:r w:rsidR="00167230">
              <w:rPr>
                <w:color w:val="000000" w:themeColor="text1"/>
                <w:sz w:val="22"/>
                <w:szCs w:val="22"/>
              </w:rPr>
              <w:t>s</w:t>
            </w:r>
            <w:r w:rsidRPr="1EB2EB1D">
              <w:rPr>
                <w:color w:val="000000" w:themeColor="text1"/>
                <w:sz w:val="22"/>
                <w:szCs w:val="22"/>
              </w:rPr>
              <w:t>urvey only</w:t>
            </w:r>
          </w:p>
          <w:p w:rsidR="00F63EF7" w:rsidP="000A3F18" w14:paraId="76AFF1BC" w14:textId="77777777">
            <w:pPr>
              <w:jc w:val="center"/>
              <w:rPr>
                <w:color w:val="000000" w:themeColor="text1"/>
                <w:sz w:val="22"/>
                <w:szCs w:val="22"/>
              </w:rPr>
            </w:pPr>
          </w:p>
          <w:p w:rsidR="00F63EF7" w:rsidRPr="1EB2EB1D" w:rsidP="000A3F18" w14:paraId="56D9B993" w14:textId="7E95882F">
            <w:pPr>
              <w:jc w:val="center"/>
              <w:rPr>
                <w:color w:val="000000" w:themeColor="text1"/>
                <w:sz w:val="22"/>
                <w:szCs w:val="22"/>
              </w:rPr>
            </w:pPr>
            <w:r>
              <w:rPr>
                <w:color w:val="000000" w:themeColor="text1"/>
                <w:sz w:val="22"/>
                <w:szCs w:val="22"/>
              </w:rPr>
              <w:t xml:space="preserve">CF </w:t>
            </w:r>
            <w:r w:rsidR="00B75974">
              <w:rPr>
                <w:color w:val="000000" w:themeColor="text1"/>
                <w:sz w:val="22"/>
                <w:szCs w:val="22"/>
              </w:rPr>
              <w:t>Online</w:t>
            </w:r>
            <w:r>
              <w:rPr>
                <w:color w:val="000000" w:themeColor="text1"/>
                <w:sz w:val="22"/>
                <w:szCs w:val="22"/>
              </w:rPr>
              <w:t xml:space="preserve"> survey &amp; in-depth interview</w:t>
            </w:r>
          </w:p>
        </w:tc>
        <w:tc>
          <w:tcPr>
            <w:tcW w:w="1350" w:type="dxa"/>
            <w:tcBorders>
              <w:top w:val="single" w:sz="4" w:space="0" w:color="auto"/>
              <w:left w:val="single" w:sz="4" w:space="0" w:color="auto"/>
              <w:bottom w:val="single" w:sz="4" w:space="0" w:color="auto"/>
              <w:right w:val="single" w:sz="4" w:space="0" w:color="auto"/>
            </w:tcBorders>
            <w:noWrap/>
            <w:vAlign w:val="center"/>
          </w:tcPr>
          <w:p w:rsidR="00F63EF7" w:rsidP="000A3F18" w14:paraId="79B1150A" w14:textId="470B34C4">
            <w:pPr>
              <w:spacing w:line="259" w:lineRule="auto"/>
              <w:jc w:val="center"/>
              <w:rPr>
                <w:color w:val="000000" w:themeColor="text1"/>
                <w:sz w:val="22"/>
                <w:szCs w:val="22"/>
              </w:rPr>
            </w:pPr>
            <w:r>
              <w:rPr>
                <w:color w:val="000000" w:themeColor="text1"/>
                <w:sz w:val="22"/>
                <w:szCs w:val="22"/>
              </w:rPr>
              <w:t>3</w:t>
            </w:r>
            <w:r w:rsidR="00E021E6">
              <w:rPr>
                <w:color w:val="000000" w:themeColor="text1"/>
                <w:sz w:val="22"/>
                <w:szCs w:val="22"/>
              </w:rPr>
              <w:t>95</w:t>
            </w:r>
          </w:p>
          <w:p w:rsidR="00F63EF7" w:rsidP="000A3F18" w14:paraId="19811C44" w14:textId="77777777">
            <w:pPr>
              <w:spacing w:line="259" w:lineRule="auto"/>
              <w:jc w:val="center"/>
              <w:rPr>
                <w:color w:val="000000" w:themeColor="text1"/>
                <w:sz w:val="22"/>
                <w:szCs w:val="22"/>
              </w:rPr>
            </w:pPr>
          </w:p>
          <w:p w:rsidR="00F63EF7" w:rsidP="000A3F18" w14:paraId="09262B75" w14:textId="77777777">
            <w:pPr>
              <w:spacing w:line="259" w:lineRule="auto"/>
              <w:jc w:val="center"/>
              <w:rPr>
                <w:color w:val="000000" w:themeColor="text1"/>
                <w:sz w:val="22"/>
                <w:szCs w:val="22"/>
              </w:rPr>
            </w:pPr>
          </w:p>
          <w:p w:rsidR="00F63EF7" w:rsidP="000A3F18" w14:paraId="185DD750" w14:textId="77777777">
            <w:pPr>
              <w:spacing w:line="259" w:lineRule="auto"/>
              <w:jc w:val="center"/>
              <w:rPr>
                <w:color w:val="000000" w:themeColor="text1"/>
                <w:sz w:val="22"/>
                <w:szCs w:val="22"/>
              </w:rPr>
            </w:pPr>
            <w:r>
              <w:rPr>
                <w:color w:val="000000" w:themeColor="text1"/>
                <w:sz w:val="22"/>
                <w:szCs w:val="22"/>
              </w:rPr>
              <w:t>30</w:t>
            </w:r>
          </w:p>
          <w:p w:rsidR="00F63EF7" w:rsidP="000A3F18" w14:paraId="6319C731" w14:textId="77777777">
            <w:pPr>
              <w:spacing w:line="259" w:lineRule="auto"/>
              <w:rPr>
                <w:color w:val="000000" w:themeColor="text1"/>
                <w:sz w:val="22"/>
                <w:szCs w:val="22"/>
              </w:rPr>
            </w:pPr>
          </w:p>
        </w:tc>
        <w:tc>
          <w:tcPr>
            <w:tcW w:w="1260" w:type="dxa"/>
            <w:tcBorders>
              <w:top w:val="single" w:sz="4" w:space="0" w:color="auto"/>
              <w:left w:val="nil"/>
              <w:bottom w:val="single" w:sz="4" w:space="0" w:color="auto"/>
              <w:right w:val="single" w:sz="4" w:space="0" w:color="auto"/>
            </w:tcBorders>
            <w:noWrap/>
            <w:vAlign w:val="center"/>
          </w:tcPr>
          <w:p w:rsidR="00F63EF7" w:rsidP="000A3F18" w14:paraId="6EFB864E" w14:textId="77777777">
            <w:pPr>
              <w:jc w:val="center"/>
              <w:rPr>
                <w:color w:val="000000"/>
                <w:sz w:val="22"/>
              </w:rPr>
            </w:pPr>
            <w:r>
              <w:rPr>
                <w:color w:val="000000"/>
                <w:sz w:val="22"/>
              </w:rPr>
              <w:t>1</w:t>
            </w:r>
          </w:p>
          <w:p w:rsidR="00F63EF7" w:rsidP="000A3F18" w14:paraId="425C4091" w14:textId="77777777">
            <w:pPr>
              <w:jc w:val="center"/>
              <w:rPr>
                <w:color w:val="000000"/>
                <w:sz w:val="22"/>
              </w:rPr>
            </w:pPr>
          </w:p>
          <w:p w:rsidR="00F63EF7" w:rsidP="000A3F18" w14:paraId="6825D99C" w14:textId="77777777">
            <w:pPr>
              <w:jc w:val="center"/>
              <w:rPr>
                <w:color w:val="000000"/>
                <w:sz w:val="22"/>
              </w:rPr>
            </w:pPr>
          </w:p>
          <w:p w:rsidR="00F63EF7" w:rsidP="000A3F18" w14:paraId="0F1A14D6" w14:textId="77777777">
            <w:pPr>
              <w:jc w:val="center"/>
              <w:rPr>
                <w:color w:val="000000"/>
                <w:sz w:val="22"/>
              </w:rPr>
            </w:pPr>
            <w:r>
              <w:rPr>
                <w:color w:val="000000"/>
                <w:sz w:val="22"/>
              </w:rPr>
              <w:t>1</w:t>
            </w:r>
          </w:p>
        </w:tc>
        <w:tc>
          <w:tcPr>
            <w:tcW w:w="1350" w:type="dxa"/>
            <w:tcBorders>
              <w:top w:val="single" w:sz="4" w:space="0" w:color="auto"/>
              <w:left w:val="nil"/>
              <w:bottom w:val="single" w:sz="4" w:space="0" w:color="auto"/>
              <w:right w:val="single" w:sz="4" w:space="0" w:color="auto"/>
            </w:tcBorders>
            <w:noWrap/>
            <w:vAlign w:val="center"/>
          </w:tcPr>
          <w:p w:rsidR="00F63EF7" w:rsidP="000A3F18" w14:paraId="769DFD14" w14:textId="77777777">
            <w:pPr>
              <w:jc w:val="center"/>
              <w:rPr>
                <w:color w:val="000000" w:themeColor="text1"/>
                <w:sz w:val="22"/>
                <w:szCs w:val="22"/>
              </w:rPr>
            </w:pPr>
            <w:r>
              <w:rPr>
                <w:color w:val="000000" w:themeColor="text1"/>
                <w:sz w:val="22"/>
                <w:szCs w:val="22"/>
              </w:rPr>
              <w:t>0.17</w:t>
            </w:r>
          </w:p>
          <w:p w:rsidR="00F63EF7" w:rsidP="000A3F18" w14:paraId="2602CFF8" w14:textId="77777777">
            <w:pPr>
              <w:jc w:val="center"/>
              <w:rPr>
                <w:color w:val="000000" w:themeColor="text1"/>
                <w:sz w:val="22"/>
                <w:szCs w:val="22"/>
              </w:rPr>
            </w:pPr>
          </w:p>
          <w:p w:rsidR="00F63EF7" w:rsidP="000A3F18" w14:paraId="54F11F8E" w14:textId="77777777">
            <w:pPr>
              <w:jc w:val="center"/>
              <w:rPr>
                <w:color w:val="000000" w:themeColor="text1"/>
                <w:sz w:val="22"/>
                <w:szCs w:val="22"/>
              </w:rPr>
            </w:pPr>
          </w:p>
          <w:p w:rsidR="00F63EF7" w:rsidP="000A3F18" w14:paraId="415468D9" w14:textId="77777777">
            <w:pPr>
              <w:jc w:val="center"/>
              <w:rPr>
                <w:color w:val="000000" w:themeColor="text1"/>
                <w:sz w:val="22"/>
                <w:szCs w:val="22"/>
              </w:rPr>
            </w:pPr>
            <w:r>
              <w:rPr>
                <w:color w:val="000000" w:themeColor="text1"/>
                <w:sz w:val="22"/>
                <w:szCs w:val="22"/>
              </w:rPr>
              <w:t>1.17</w:t>
            </w:r>
          </w:p>
        </w:tc>
        <w:tc>
          <w:tcPr>
            <w:tcW w:w="1080" w:type="dxa"/>
            <w:tcBorders>
              <w:top w:val="single" w:sz="4" w:space="0" w:color="auto"/>
              <w:left w:val="nil"/>
              <w:bottom w:val="single" w:sz="4" w:space="0" w:color="auto"/>
              <w:right w:val="single" w:sz="4" w:space="0" w:color="auto"/>
            </w:tcBorders>
            <w:noWrap/>
            <w:vAlign w:val="center"/>
          </w:tcPr>
          <w:p w:rsidR="00F63EF7" w:rsidP="000A3F18" w14:paraId="5E4713A3" w14:textId="77777777">
            <w:pPr>
              <w:jc w:val="center"/>
              <w:rPr>
                <w:color w:val="000000"/>
                <w:sz w:val="22"/>
                <w:szCs w:val="22"/>
              </w:rPr>
            </w:pPr>
          </w:p>
          <w:p w:rsidR="00F63EF7" w:rsidP="000A3F18" w14:paraId="67C94701" w14:textId="2507C2BD">
            <w:pPr>
              <w:jc w:val="center"/>
              <w:rPr>
                <w:color w:val="000000"/>
                <w:sz w:val="22"/>
                <w:szCs w:val="22"/>
              </w:rPr>
            </w:pPr>
            <w:r>
              <w:rPr>
                <w:color w:val="000000"/>
                <w:sz w:val="22"/>
                <w:szCs w:val="22"/>
              </w:rPr>
              <w:t>65.8</w:t>
            </w:r>
          </w:p>
          <w:p w:rsidR="00F63EF7" w:rsidP="000A3F18" w14:paraId="2FB5D5B2" w14:textId="77777777">
            <w:pPr>
              <w:jc w:val="center"/>
              <w:rPr>
                <w:color w:val="000000"/>
                <w:sz w:val="22"/>
                <w:szCs w:val="22"/>
              </w:rPr>
            </w:pPr>
          </w:p>
          <w:p w:rsidR="00F63EF7" w:rsidP="000A3F18" w14:paraId="6DD3C974" w14:textId="77777777">
            <w:pPr>
              <w:jc w:val="center"/>
              <w:rPr>
                <w:color w:val="000000"/>
                <w:sz w:val="22"/>
                <w:szCs w:val="22"/>
              </w:rPr>
            </w:pPr>
          </w:p>
          <w:p w:rsidR="00F63EF7" w:rsidP="000A3F18" w14:paraId="70E46564" w14:textId="35C6A108">
            <w:pPr>
              <w:jc w:val="center"/>
              <w:rPr>
                <w:color w:val="000000"/>
                <w:sz w:val="22"/>
                <w:szCs w:val="22"/>
              </w:rPr>
            </w:pPr>
            <w:r>
              <w:rPr>
                <w:color w:val="000000"/>
                <w:sz w:val="22"/>
                <w:szCs w:val="22"/>
              </w:rPr>
              <w:t>35.</w:t>
            </w:r>
            <w:r w:rsidR="008C1CBE">
              <w:rPr>
                <w:color w:val="000000"/>
                <w:sz w:val="22"/>
                <w:szCs w:val="22"/>
              </w:rPr>
              <w:t>0</w:t>
            </w:r>
          </w:p>
          <w:p w:rsidR="00F63EF7" w:rsidP="000A3F18" w14:paraId="0512B015" w14:textId="77777777">
            <w:pPr>
              <w:jc w:val="center"/>
              <w:rPr>
                <w:color w:val="000000" w:themeColor="text1"/>
                <w:sz w:val="22"/>
                <w:szCs w:val="22"/>
              </w:rPr>
            </w:pPr>
          </w:p>
        </w:tc>
        <w:tc>
          <w:tcPr>
            <w:tcW w:w="1440" w:type="dxa"/>
            <w:tcBorders>
              <w:top w:val="single" w:sz="4" w:space="0" w:color="auto"/>
              <w:left w:val="nil"/>
              <w:bottom w:val="single" w:sz="4" w:space="0" w:color="auto"/>
              <w:right w:val="single" w:sz="4" w:space="0" w:color="auto"/>
            </w:tcBorders>
            <w:vAlign w:val="center"/>
          </w:tcPr>
          <w:p w:rsidR="00F63EF7" w:rsidP="440B27BC" w14:paraId="38F9C7C2" w14:textId="201C779D">
            <w:pPr>
              <w:jc w:val="center"/>
              <w:rPr>
                <w:color w:val="000000"/>
                <w:sz w:val="22"/>
                <w:szCs w:val="22"/>
              </w:rPr>
            </w:pPr>
            <w:r w:rsidRPr="440B27BC">
              <w:rPr>
                <w:color w:val="000000" w:themeColor="text1"/>
                <w:sz w:val="22"/>
                <w:szCs w:val="22"/>
              </w:rPr>
              <w:t>$</w:t>
            </w:r>
            <w:r w:rsidRPr="440B27BC" w:rsidR="5C335A7E">
              <w:rPr>
                <w:color w:val="000000" w:themeColor="text1"/>
                <w:sz w:val="22"/>
                <w:szCs w:val="22"/>
              </w:rPr>
              <w:t>9</w:t>
            </w:r>
            <w:r w:rsidRPr="440B27BC">
              <w:rPr>
                <w:color w:val="000000" w:themeColor="text1"/>
                <w:sz w:val="22"/>
                <w:szCs w:val="22"/>
              </w:rPr>
              <w:t>0.</w:t>
            </w:r>
            <w:r w:rsidRPr="440B27BC" w:rsidR="77D85D9C">
              <w:rPr>
                <w:color w:val="000000" w:themeColor="text1"/>
                <w:sz w:val="22"/>
                <w:szCs w:val="22"/>
              </w:rPr>
              <w:t>45</w:t>
            </w:r>
          </w:p>
        </w:tc>
        <w:tc>
          <w:tcPr>
            <w:tcW w:w="1620" w:type="dxa"/>
            <w:tcBorders>
              <w:top w:val="single" w:sz="4" w:space="0" w:color="auto"/>
              <w:left w:val="nil"/>
              <w:bottom w:val="single" w:sz="4" w:space="0" w:color="auto"/>
              <w:right w:val="single" w:sz="4" w:space="0" w:color="auto"/>
            </w:tcBorders>
            <w:vAlign w:val="center"/>
          </w:tcPr>
          <w:p w:rsidR="00F63EF7" w:rsidP="000A3F18" w14:paraId="617124CE" w14:textId="77777777">
            <w:pPr>
              <w:jc w:val="center"/>
              <w:rPr>
                <w:color w:val="000000"/>
                <w:sz w:val="22"/>
                <w:szCs w:val="22"/>
              </w:rPr>
            </w:pPr>
          </w:p>
          <w:p w:rsidR="00FD16E1" w:rsidP="00FD16E1" w14:paraId="6DD500A7" w14:textId="5FDF9D4C">
            <w:pPr>
              <w:jc w:val="center"/>
              <w:rPr>
                <w:color w:val="000000"/>
                <w:sz w:val="22"/>
                <w:szCs w:val="22"/>
              </w:rPr>
            </w:pPr>
            <w:r w:rsidRPr="440B27BC">
              <w:rPr>
                <w:color w:val="000000" w:themeColor="text1"/>
                <w:sz w:val="22"/>
                <w:szCs w:val="22"/>
              </w:rPr>
              <w:t>$</w:t>
            </w:r>
            <w:r w:rsidR="004F1D3E">
              <w:rPr>
                <w:color w:val="000000" w:themeColor="text1"/>
                <w:sz w:val="22"/>
                <w:szCs w:val="22"/>
              </w:rPr>
              <w:t>5,954.44</w:t>
            </w:r>
          </w:p>
          <w:p w:rsidR="00F63EF7" w:rsidP="000A3F18" w14:paraId="620E9D7A" w14:textId="77777777">
            <w:pPr>
              <w:jc w:val="center"/>
              <w:rPr>
                <w:color w:val="000000"/>
                <w:sz w:val="22"/>
                <w:szCs w:val="22"/>
              </w:rPr>
            </w:pPr>
          </w:p>
          <w:p w:rsidR="00F63EF7" w:rsidP="000A3F18" w14:paraId="65BC3619" w14:textId="77777777">
            <w:pPr>
              <w:jc w:val="center"/>
              <w:rPr>
                <w:color w:val="000000"/>
                <w:sz w:val="22"/>
                <w:szCs w:val="22"/>
              </w:rPr>
            </w:pPr>
          </w:p>
          <w:p w:rsidR="00F63EF7" w:rsidP="000A3F18" w14:paraId="007442B0" w14:textId="0E63E535">
            <w:pPr>
              <w:jc w:val="center"/>
              <w:rPr>
                <w:color w:val="000000"/>
                <w:sz w:val="22"/>
                <w:szCs w:val="22"/>
              </w:rPr>
            </w:pPr>
            <w:r w:rsidRPr="440B27BC">
              <w:rPr>
                <w:color w:val="000000" w:themeColor="text1"/>
                <w:sz w:val="22"/>
                <w:szCs w:val="22"/>
              </w:rPr>
              <w:t>$</w:t>
            </w:r>
            <w:r w:rsidRPr="440B27BC" w:rsidR="175E2251">
              <w:rPr>
                <w:color w:val="000000" w:themeColor="text1"/>
                <w:sz w:val="22"/>
                <w:szCs w:val="22"/>
              </w:rPr>
              <w:t>3,1</w:t>
            </w:r>
            <w:r w:rsidR="004F1D3E">
              <w:rPr>
                <w:color w:val="000000" w:themeColor="text1"/>
                <w:sz w:val="22"/>
                <w:szCs w:val="22"/>
              </w:rPr>
              <w:t>65.65</w:t>
            </w:r>
          </w:p>
          <w:p w:rsidR="00F63EF7" w:rsidP="000A3F18" w14:paraId="072F191B" w14:textId="77777777">
            <w:pPr>
              <w:jc w:val="center"/>
              <w:rPr>
                <w:color w:val="000000"/>
                <w:sz w:val="22"/>
              </w:rPr>
            </w:pPr>
          </w:p>
        </w:tc>
      </w:tr>
      <w:tr w14:paraId="787C5F89" w14:textId="77777777" w:rsidTr="440B27BC">
        <w:tblPrEx>
          <w:tblW w:w="9720" w:type="dxa"/>
          <w:tblInd w:w="-5" w:type="dxa"/>
          <w:tblLayout w:type="fixed"/>
          <w:tblLook w:val="04A0"/>
        </w:tblPrEx>
        <w:trPr>
          <w:trHeight w:val="315"/>
        </w:trPr>
        <w:tc>
          <w:tcPr>
            <w:tcW w:w="1620" w:type="dxa"/>
            <w:tcBorders>
              <w:top w:val="single" w:sz="4" w:space="0" w:color="auto"/>
              <w:left w:val="single" w:sz="4" w:space="0" w:color="auto"/>
              <w:bottom w:val="single" w:sz="4" w:space="0" w:color="auto"/>
              <w:right w:val="single" w:sz="4" w:space="0" w:color="auto"/>
            </w:tcBorders>
            <w:vAlign w:val="center"/>
          </w:tcPr>
          <w:p w:rsidR="00F63EF7" w:rsidP="00710227" w14:paraId="7DABE98B" w14:textId="05A30B7D">
            <w:pPr>
              <w:jc w:val="center"/>
              <w:rPr>
                <w:color w:val="000000" w:themeColor="text1"/>
                <w:sz w:val="22"/>
                <w:szCs w:val="22"/>
              </w:rPr>
            </w:pPr>
            <w:r>
              <w:rPr>
                <w:color w:val="000000" w:themeColor="text1"/>
                <w:sz w:val="22"/>
                <w:szCs w:val="22"/>
              </w:rPr>
              <w:t xml:space="preserve">Nuclear </w:t>
            </w:r>
            <w:r w:rsidR="00167230">
              <w:rPr>
                <w:color w:val="000000" w:themeColor="text1"/>
                <w:sz w:val="22"/>
                <w:szCs w:val="22"/>
              </w:rPr>
              <w:t>Online</w:t>
            </w:r>
            <w:r w:rsidRPr="1EB2EB1D">
              <w:rPr>
                <w:color w:val="000000" w:themeColor="text1"/>
                <w:sz w:val="22"/>
                <w:szCs w:val="22"/>
              </w:rPr>
              <w:t xml:space="preserve"> </w:t>
            </w:r>
            <w:r w:rsidR="00167230">
              <w:rPr>
                <w:color w:val="000000" w:themeColor="text1"/>
                <w:sz w:val="22"/>
                <w:szCs w:val="22"/>
              </w:rPr>
              <w:t>s</w:t>
            </w:r>
            <w:r w:rsidRPr="1EB2EB1D">
              <w:rPr>
                <w:color w:val="000000" w:themeColor="text1"/>
                <w:sz w:val="22"/>
                <w:szCs w:val="22"/>
              </w:rPr>
              <w:t>urvey only</w:t>
            </w:r>
          </w:p>
          <w:p w:rsidR="00F63EF7" w:rsidP="00710227" w14:paraId="472B6A73" w14:textId="77777777">
            <w:pPr>
              <w:jc w:val="center"/>
              <w:rPr>
                <w:color w:val="000000" w:themeColor="text1"/>
                <w:sz w:val="22"/>
                <w:szCs w:val="22"/>
              </w:rPr>
            </w:pPr>
          </w:p>
          <w:p w:rsidR="00F63EF7" w:rsidRPr="1EB2EB1D" w:rsidP="00710227" w14:paraId="679FA40D" w14:textId="3B4F3262">
            <w:pPr>
              <w:jc w:val="center"/>
              <w:rPr>
                <w:color w:val="000000" w:themeColor="text1"/>
                <w:sz w:val="22"/>
                <w:szCs w:val="22"/>
              </w:rPr>
            </w:pPr>
            <w:r>
              <w:rPr>
                <w:color w:val="000000" w:themeColor="text1"/>
                <w:sz w:val="22"/>
                <w:szCs w:val="22"/>
              </w:rPr>
              <w:t xml:space="preserve">Nuclear </w:t>
            </w:r>
            <w:r w:rsidR="00167230">
              <w:rPr>
                <w:color w:val="000000" w:themeColor="text1"/>
                <w:sz w:val="22"/>
                <w:szCs w:val="22"/>
              </w:rPr>
              <w:t>Online</w:t>
            </w:r>
            <w:r>
              <w:rPr>
                <w:color w:val="000000" w:themeColor="text1"/>
                <w:sz w:val="22"/>
                <w:szCs w:val="22"/>
              </w:rPr>
              <w:t xml:space="preserve"> survey &amp; in-depth interview</w:t>
            </w:r>
          </w:p>
        </w:tc>
        <w:tc>
          <w:tcPr>
            <w:tcW w:w="1350" w:type="dxa"/>
            <w:tcBorders>
              <w:top w:val="single" w:sz="4" w:space="0" w:color="auto"/>
              <w:left w:val="single" w:sz="4" w:space="0" w:color="auto"/>
              <w:bottom w:val="single" w:sz="4" w:space="0" w:color="auto"/>
              <w:right w:val="single" w:sz="4" w:space="0" w:color="auto"/>
            </w:tcBorders>
            <w:noWrap/>
            <w:vAlign w:val="center"/>
          </w:tcPr>
          <w:p w:rsidR="00F63EF7" w:rsidP="00710227" w14:paraId="72658499" w14:textId="77777777">
            <w:pPr>
              <w:spacing w:line="259" w:lineRule="auto"/>
              <w:jc w:val="center"/>
              <w:rPr>
                <w:color w:val="000000" w:themeColor="text1"/>
                <w:sz w:val="22"/>
                <w:szCs w:val="22"/>
              </w:rPr>
            </w:pPr>
          </w:p>
          <w:p w:rsidR="00F63EF7" w:rsidP="00710227" w14:paraId="3B9CE7C7" w14:textId="1027EFA3">
            <w:pPr>
              <w:spacing w:line="259" w:lineRule="auto"/>
              <w:jc w:val="center"/>
              <w:rPr>
                <w:color w:val="000000" w:themeColor="text1"/>
                <w:sz w:val="22"/>
                <w:szCs w:val="22"/>
              </w:rPr>
            </w:pPr>
            <w:r>
              <w:rPr>
                <w:color w:val="000000" w:themeColor="text1"/>
                <w:sz w:val="22"/>
                <w:szCs w:val="22"/>
              </w:rPr>
              <w:t>1</w:t>
            </w:r>
            <w:r w:rsidR="00CF11BB">
              <w:rPr>
                <w:color w:val="000000" w:themeColor="text1"/>
                <w:sz w:val="22"/>
                <w:szCs w:val="22"/>
              </w:rPr>
              <w:t>35</w:t>
            </w:r>
          </w:p>
          <w:p w:rsidR="00F63EF7" w:rsidP="00710227" w14:paraId="0D74A36C" w14:textId="77777777">
            <w:pPr>
              <w:spacing w:line="259" w:lineRule="auto"/>
              <w:jc w:val="center"/>
              <w:rPr>
                <w:color w:val="000000" w:themeColor="text1"/>
                <w:sz w:val="22"/>
                <w:szCs w:val="22"/>
              </w:rPr>
            </w:pPr>
          </w:p>
          <w:p w:rsidR="00F63EF7" w:rsidP="00710227" w14:paraId="4EAE2FD0" w14:textId="77777777">
            <w:pPr>
              <w:spacing w:line="259" w:lineRule="auto"/>
              <w:jc w:val="center"/>
              <w:rPr>
                <w:color w:val="000000" w:themeColor="text1"/>
                <w:sz w:val="22"/>
                <w:szCs w:val="22"/>
              </w:rPr>
            </w:pPr>
          </w:p>
          <w:p w:rsidR="00F63EF7" w:rsidP="00710227" w14:paraId="0B6D26A4" w14:textId="77777777">
            <w:pPr>
              <w:spacing w:line="259" w:lineRule="auto"/>
              <w:jc w:val="center"/>
              <w:rPr>
                <w:color w:val="000000" w:themeColor="text1"/>
                <w:sz w:val="22"/>
                <w:szCs w:val="22"/>
              </w:rPr>
            </w:pPr>
            <w:r>
              <w:rPr>
                <w:color w:val="000000" w:themeColor="text1"/>
                <w:sz w:val="22"/>
                <w:szCs w:val="22"/>
              </w:rPr>
              <w:t>15</w:t>
            </w:r>
          </w:p>
          <w:p w:rsidR="00F63EF7" w:rsidP="00710227" w14:paraId="75702084" w14:textId="77777777">
            <w:pPr>
              <w:spacing w:line="259" w:lineRule="auto"/>
              <w:jc w:val="center"/>
              <w:rPr>
                <w:color w:val="000000" w:themeColor="text1"/>
                <w:sz w:val="22"/>
                <w:szCs w:val="22"/>
              </w:rPr>
            </w:pPr>
          </w:p>
        </w:tc>
        <w:tc>
          <w:tcPr>
            <w:tcW w:w="1260" w:type="dxa"/>
            <w:tcBorders>
              <w:top w:val="single" w:sz="4" w:space="0" w:color="auto"/>
              <w:left w:val="nil"/>
              <w:bottom w:val="single" w:sz="4" w:space="0" w:color="auto"/>
              <w:right w:val="single" w:sz="4" w:space="0" w:color="auto"/>
            </w:tcBorders>
            <w:noWrap/>
            <w:vAlign w:val="center"/>
          </w:tcPr>
          <w:p w:rsidR="00F63EF7" w:rsidP="00710227" w14:paraId="699C57F8" w14:textId="77777777">
            <w:pPr>
              <w:jc w:val="center"/>
              <w:rPr>
                <w:color w:val="000000"/>
                <w:sz w:val="22"/>
              </w:rPr>
            </w:pPr>
            <w:r>
              <w:rPr>
                <w:color w:val="000000"/>
                <w:sz w:val="22"/>
              </w:rPr>
              <w:t>1</w:t>
            </w:r>
          </w:p>
          <w:p w:rsidR="00F63EF7" w:rsidP="00710227" w14:paraId="2DE7B437" w14:textId="77777777">
            <w:pPr>
              <w:jc w:val="center"/>
              <w:rPr>
                <w:color w:val="000000"/>
                <w:sz w:val="22"/>
              </w:rPr>
            </w:pPr>
          </w:p>
          <w:p w:rsidR="00F63EF7" w:rsidP="00710227" w14:paraId="2CF963C5" w14:textId="77777777">
            <w:pPr>
              <w:jc w:val="center"/>
              <w:rPr>
                <w:color w:val="000000"/>
                <w:sz w:val="22"/>
              </w:rPr>
            </w:pPr>
          </w:p>
          <w:p w:rsidR="00F63EF7" w:rsidP="00710227" w14:paraId="76754279" w14:textId="77777777">
            <w:pPr>
              <w:jc w:val="center"/>
              <w:rPr>
                <w:color w:val="000000"/>
                <w:sz w:val="22"/>
              </w:rPr>
            </w:pPr>
            <w:r>
              <w:rPr>
                <w:color w:val="000000"/>
                <w:sz w:val="22"/>
              </w:rPr>
              <w:t>1</w:t>
            </w:r>
          </w:p>
        </w:tc>
        <w:tc>
          <w:tcPr>
            <w:tcW w:w="1350" w:type="dxa"/>
            <w:tcBorders>
              <w:top w:val="single" w:sz="4" w:space="0" w:color="auto"/>
              <w:left w:val="nil"/>
              <w:bottom w:val="single" w:sz="4" w:space="0" w:color="auto"/>
              <w:right w:val="single" w:sz="4" w:space="0" w:color="auto"/>
            </w:tcBorders>
            <w:noWrap/>
            <w:vAlign w:val="center"/>
          </w:tcPr>
          <w:p w:rsidR="00F63EF7" w:rsidP="00710227" w14:paraId="0B8407DB" w14:textId="77777777">
            <w:pPr>
              <w:jc w:val="center"/>
              <w:rPr>
                <w:color w:val="000000" w:themeColor="text1"/>
                <w:sz w:val="22"/>
                <w:szCs w:val="22"/>
              </w:rPr>
            </w:pPr>
            <w:r>
              <w:rPr>
                <w:color w:val="000000" w:themeColor="text1"/>
                <w:sz w:val="22"/>
                <w:szCs w:val="22"/>
              </w:rPr>
              <w:t>0.17</w:t>
            </w:r>
          </w:p>
          <w:p w:rsidR="00F63EF7" w:rsidP="00710227" w14:paraId="632E259D" w14:textId="77777777">
            <w:pPr>
              <w:jc w:val="center"/>
              <w:rPr>
                <w:color w:val="000000" w:themeColor="text1"/>
                <w:sz w:val="22"/>
                <w:szCs w:val="22"/>
              </w:rPr>
            </w:pPr>
          </w:p>
          <w:p w:rsidR="00F63EF7" w:rsidP="00710227" w14:paraId="7C65D5B1" w14:textId="77777777">
            <w:pPr>
              <w:jc w:val="center"/>
              <w:rPr>
                <w:color w:val="000000" w:themeColor="text1"/>
                <w:sz w:val="22"/>
                <w:szCs w:val="22"/>
              </w:rPr>
            </w:pPr>
          </w:p>
          <w:p w:rsidR="00F63EF7" w:rsidP="00710227" w14:paraId="69C3E973" w14:textId="77777777">
            <w:pPr>
              <w:jc w:val="center"/>
              <w:rPr>
                <w:color w:val="000000" w:themeColor="text1"/>
                <w:sz w:val="22"/>
                <w:szCs w:val="22"/>
              </w:rPr>
            </w:pPr>
            <w:r>
              <w:rPr>
                <w:color w:val="000000" w:themeColor="text1"/>
                <w:sz w:val="22"/>
                <w:szCs w:val="22"/>
              </w:rPr>
              <w:t>1.17</w:t>
            </w:r>
          </w:p>
        </w:tc>
        <w:tc>
          <w:tcPr>
            <w:tcW w:w="1080" w:type="dxa"/>
            <w:tcBorders>
              <w:top w:val="single" w:sz="4" w:space="0" w:color="auto"/>
              <w:left w:val="nil"/>
              <w:bottom w:val="single" w:sz="4" w:space="0" w:color="auto"/>
              <w:right w:val="single" w:sz="4" w:space="0" w:color="auto"/>
            </w:tcBorders>
            <w:noWrap/>
            <w:vAlign w:val="center"/>
          </w:tcPr>
          <w:p w:rsidR="00F63EF7" w:rsidP="00710227" w14:paraId="1BDFCE40" w14:textId="295CE95D">
            <w:pPr>
              <w:jc w:val="center"/>
              <w:rPr>
                <w:color w:val="000000" w:themeColor="text1"/>
                <w:sz w:val="22"/>
                <w:szCs w:val="22"/>
              </w:rPr>
            </w:pPr>
            <w:r>
              <w:rPr>
                <w:color w:val="000000" w:themeColor="text1"/>
                <w:sz w:val="22"/>
                <w:szCs w:val="22"/>
              </w:rPr>
              <w:t>22.5</w:t>
            </w:r>
          </w:p>
          <w:p w:rsidR="00F63EF7" w:rsidP="00710227" w14:paraId="73F82F2F" w14:textId="77777777">
            <w:pPr>
              <w:jc w:val="center"/>
              <w:rPr>
                <w:color w:val="000000" w:themeColor="text1"/>
                <w:sz w:val="22"/>
                <w:szCs w:val="22"/>
              </w:rPr>
            </w:pPr>
          </w:p>
          <w:p w:rsidR="00F63EF7" w:rsidP="00710227" w14:paraId="13371849" w14:textId="77777777">
            <w:pPr>
              <w:jc w:val="center"/>
              <w:rPr>
                <w:color w:val="000000" w:themeColor="text1"/>
                <w:sz w:val="22"/>
                <w:szCs w:val="22"/>
              </w:rPr>
            </w:pPr>
          </w:p>
          <w:p w:rsidR="00F63EF7" w:rsidP="00710227" w14:paraId="43AB65E3" w14:textId="6C7156B8">
            <w:pPr>
              <w:jc w:val="center"/>
              <w:rPr>
                <w:color w:val="000000" w:themeColor="text1"/>
                <w:sz w:val="22"/>
                <w:szCs w:val="22"/>
              </w:rPr>
            </w:pPr>
            <w:r>
              <w:rPr>
                <w:color w:val="000000" w:themeColor="text1"/>
                <w:sz w:val="22"/>
                <w:szCs w:val="22"/>
              </w:rPr>
              <w:t>17.5</w:t>
            </w:r>
          </w:p>
        </w:tc>
        <w:tc>
          <w:tcPr>
            <w:tcW w:w="1440" w:type="dxa"/>
            <w:tcBorders>
              <w:top w:val="single" w:sz="4" w:space="0" w:color="auto"/>
              <w:left w:val="nil"/>
              <w:bottom w:val="single" w:sz="4" w:space="0" w:color="auto"/>
              <w:right w:val="single" w:sz="4" w:space="0" w:color="auto"/>
            </w:tcBorders>
            <w:vAlign w:val="center"/>
          </w:tcPr>
          <w:p w:rsidR="00F63EF7" w:rsidP="440B27BC" w14:paraId="2170863D" w14:textId="5318CB0D">
            <w:pPr>
              <w:jc w:val="center"/>
              <w:rPr>
                <w:color w:val="000000"/>
                <w:sz w:val="22"/>
                <w:szCs w:val="22"/>
              </w:rPr>
            </w:pPr>
            <w:r w:rsidRPr="440B27BC">
              <w:rPr>
                <w:color w:val="000000" w:themeColor="text1"/>
                <w:sz w:val="22"/>
                <w:szCs w:val="22"/>
              </w:rPr>
              <w:t>$</w:t>
            </w:r>
            <w:r w:rsidRPr="440B27BC" w:rsidR="5C335A7E">
              <w:rPr>
                <w:color w:val="000000" w:themeColor="text1"/>
                <w:sz w:val="22"/>
                <w:szCs w:val="22"/>
              </w:rPr>
              <w:t>9</w:t>
            </w:r>
            <w:r w:rsidRPr="440B27BC">
              <w:rPr>
                <w:color w:val="000000" w:themeColor="text1"/>
                <w:sz w:val="22"/>
                <w:szCs w:val="22"/>
              </w:rPr>
              <w:t>0.</w:t>
            </w:r>
            <w:r w:rsidRPr="440B27BC" w:rsidR="2852D848">
              <w:rPr>
                <w:color w:val="000000" w:themeColor="text1"/>
                <w:sz w:val="22"/>
                <w:szCs w:val="22"/>
              </w:rPr>
              <w:t>45</w:t>
            </w:r>
          </w:p>
        </w:tc>
        <w:tc>
          <w:tcPr>
            <w:tcW w:w="1620" w:type="dxa"/>
            <w:tcBorders>
              <w:top w:val="single" w:sz="4" w:space="0" w:color="auto"/>
              <w:left w:val="nil"/>
              <w:bottom w:val="single" w:sz="4" w:space="0" w:color="auto"/>
              <w:right w:val="single" w:sz="4" w:space="0" w:color="auto"/>
            </w:tcBorders>
            <w:vAlign w:val="center"/>
          </w:tcPr>
          <w:p w:rsidR="00F63EF7" w:rsidP="00F143A0" w14:paraId="02EB9A5A" w14:textId="249C53EA">
            <w:pPr>
              <w:jc w:val="center"/>
              <w:rPr>
                <w:color w:val="000000" w:themeColor="text1"/>
                <w:sz w:val="22"/>
                <w:szCs w:val="22"/>
              </w:rPr>
            </w:pPr>
            <w:r w:rsidRPr="440B27BC">
              <w:rPr>
                <w:color w:val="000000" w:themeColor="text1"/>
                <w:sz w:val="22"/>
                <w:szCs w:val="22"/>
              </w:rPr>
              <w:t>$</w:t>
            </w:r>
            <w:r w:rsidRPr="440B27BC" w:rsidR="63844B93">
              <w:rPr>
                <w:color w:val="000000" w:themeColor="text1"/>
                <w:sz w:val="22"/>
                <w:szCs w:val="22"/>
              </w:rPr>
              <w:t>2,</w:t>
            </w:r>
            <w:r w:rsidR="004F1D3E">
              <w:rPr>
                <w:color w:val="000000" w:themeColor="text1"/>
                <w:sz w:val="22"/>
                <w:szCs w:val="22"/>
              </w:rPr>
              <w:t>035.06</w:t>
            </w:r>
          </w:p>
          <w:p w:rsidR="00F63EF7" w:rsidP="00710227" w14:paraId="238D0F97" w14:textId="77777777">
            <w:pPr>
              <w:jc w:val="center"/>
              <w:rPr>
                <w:color w:val="000000" w:themeColor="text1"/>
                <w:sz w:val="22"/>
                <w:szCs w:val="22"/>
              </w:rPr>
            </w:pPr>
          </w:p>
          <w:p w:rsidR="00F63EF7" w:rsidP="440B27BC" w14:paraId="759BE3BA" w14:textId="58EC6C6F">
            <w:pPr>
              <w:jc w:val="center"/>
              <w:rPr>
                <w:color w:val="000000"/>
                <w:sz w:val="22"/>
                <w:szCs w:val="22"/>
              </w:rPr>
            </w:pPr>
            <w:r w:rsidRPr="440B27BC">
              <w:rPr>
                <w:color w:val="000000" w:themeColor="text1"/>
                <w:sz w:val="22"/>
                <w:szCs w:val="22"/>
              </w:rPr>
              <w:t>$</w:t>
            </w:r>
            <w:r w:rsidRPr="440B27BC" w:rsidR="0D3CDC5F">
              <w:rPr>
                <w:color w:val="000000" w:themeColor="text1"/>
                <w:sz w:val="22"/>
                <w:szCs w:val="22"/>
              </w:rPr>
              <w:t>1,</w:t>
            </w:r>
            <w:r w:rsidR="004F1D3E">
              <w:rPr>
                <w:color w:val="000000" w:themeColor="text1"/>
                <w:sz w:val="22"/>
                <w:szCs w:val="22"/>
              </w:rPr>
              <w:t>582.83</w:t>
            </w:r>
          </w:p>
        </w:tc>
      </w:tr>
      <w:tr w14:paraId="5FD42D72" w14:textId="77777777" w:rsidTr="440B27BC">
        <w:tblPrEx>
          <w:tblW w:w="9720" w:type="dxa"/>
          <w:tblInd w:w="-5" w:type="dxa"/>
          <w:tblLayout w:type="fixed"/>
          <w:tblLook w:val="04A0"/>
        </w:tblPrEx>
        <w:trPr>
          <w:trHeight w:val="315"/>
        </w:trPr>
        <w:tc>
          <w:tcPr>
            <w:tcW w:w="1620" w:type="dxa"/>
            <w:tcBorders>
              <w:top w:val="nil"/>
              <w:left w:val="single" w:sz="4" w:space="0" w:color="auto"/>
              <w:bottom w:val="single" w:sz="4" w:space="0" w:color="auto"/>
              <w:right w:val="single" w:sz="4" w:space="0" w:color="auto"/>
            </w:tcBorders>
            <w:vAlign w:val="center"/>
          </w:tcPr>
          <w:p w:rsidR="00F63EF7" w:rsidRPr="00631291" w:rsidP="00710227" w14:paraId="566A0C78" w14:textId="77777777">
            <w:pPr>
              <w:jc w:val="center"/>
              <w:rPr>
                <w:b/>
                <w:bCs/>
                <w:color w:val="000000" w:themeColor="text1"/>
                <w:sz w:val="22"/>
                <w:szCs w:val="22"/>
              </w:rPr>
            </w:pPr>
            <w:r w:rsidRPr="00631291">
              <w:rPr>
                <w:b/>
                <w:bCs/>
                <w:color w:val="000000" w:themeColor="text1"/>
                <w:sz w:val="22"/>
                <w:szCs w:val="22"/>
              </w:rPr>
              <w:t xml:space="preserve"> Total</w:t>
            </w:r>
          </w:p>
        </w:tc>
        <w:tc>
          <w:tcPr>
            <w:tcW w:w="1350" w:type="dxa"/>
            <w:tcBorders>
              <w:top w:val="nil"/>
              <w:left w:val="single" w:sz="4" w:space="0" w:color="auto"/>
              <w:bottom w:val="single" w:sz="4" w:space="0" w:color="auto"/>
              <w:right w:val="single" w:sz="4" w:space="0" w:color="auto"/>
            </w:tcBorders>
            <w:noWrap/>
            <w:vAlign w:val="center"/>
            <w:hideMark/>
          </w:tcPr>
          <w:p w:rsidR="00F63EF7" w:rsidRPr="00631291" w:rsidP="00710227" w14:paraId="3D6D419E" w14:textId="13EDE9EA">
            <w:pPr>
              <w:jc w:val="center"/>
              <w:rPr>
                <w:b/>
                <w:bCs/>
                <w:color w:val="000000"/>
                <w:sz w:val="22"/>
              </w:rPr>
            </w:pPr>
            <w:r>
              <w:rPr>
                <w:b/>
                <w:bCs/>
                <w:color w:val="000000"/>
                <w:sz w:val="22"/>
              </w:rPr>
              <w:t>1,000</w:t>
            </w:r>
          </w:p>
        </w:tc>
        <w:tc>
          <w:tcPr>
            <w:tcW w:w="1260" w:type="dxa"/>
            <w:tcBorders>
              <w:top w:val="nil"/>
              <w:left w:val="nil"/>
              <w:bottom w:val="single" w:sz="4" w:space="0" w:color="auto"/>
              <w:right w:val="single" w:sz="4" w:space="0" w:color="auto"/>
            </w:tcBorders>
            <w:noWrap/>
            <w:vAlign w:val="center"/>
            <w:hideMark/>
          </w:tcPr>
          <w:p w:rsidR="00F63EF7" w:rsidRPr="00631291" w:rsidP="00710227" w14:paraId="237B2510" w14:textId="77777777">
            <w:pPr>
              <w:jc w:val="center"/>
              <w:rPr>
                <w:b/>
                <w:bCs/>
                <w:color w:val="000000"/>
                <w:sz w:val="22"/>
                <w:szCs w:val="22"/>
              </w:rPr>
            </w:pPr>
            <w:r w:rsidRPr="00631291">
              <w:rPr>
                <w:b/>
                <w:bCs/>
                <w:color w:val="000000"/>
                <w:sz w:val="22"/>
                <w:szCs w:val="22"/>
              </w:rPr>
              <w:t>-</w:t>
            </w:r>
          </w:p>
        </w:tc>
        <w:tc>
          <w:tcPr>
            <w:tcW w:w="1350" w:type="dxa"/>
            <w:tcBorders>
              <w:top w:val="nil"/>
              <w:left w:val="nil"/>
              <w:bottom w:val="single" w:sz="4" w:space="0" w:color="auto"/>
              <w:right w:val="single" w:sz="4" w:space="0" w:color="auto"/>
            </w:tcBorders>
            <w:noWrap/>
            <w:vAlign w:val="center"/>
            <w:hideMark/>
          </w:tcPr>
          <w:p w:rsidR="00F63EF7" w:rsidRPr="00631291" w:rsidP="00710227" w14:paraId="4649A869" w14:textId="77777777">
            <w:pPr>
              <w:jc w:val="center"/>
              <w:rPr>
                <w:b/>
                <w:bCs/>
                <w:color w:val="000000"/>
                <w:sz w:val="22"/>
                <w:szCs w:val="22"/>
              </w:rPr>
            </w:pPr>
            <w:r w:rsidRPr="00631291">
              <w:rPr>
                <w:b/>
                <w:bCs/>
                <w:color w:val="000000"/>
                <w:sz w:val="22"/>
                <w:szCs w:val="22"/>
              </w:rPr>
              <w:t> -</w:t>
            </w:r>
          </w:p>
        </w:tc>
        <w:tc>
          <w:tcPr>
            <w:tcW w:w="1080" w:type="dxa"/>
            <w:tcBorders>
              <w:top w:val="nil"/>
              <w:left w:val="nil"/>
              <w:bottom w:val="single" w:sz="4" w:space="0" w:color="auto"/>
              <w:right w:val="single" w:sz="4" w:space="0" w:color="auto"/>
            </w:tcBorders>
            <w:noWrap/>
            <w:vAlign w:val="center"/>
            <w:hideMark/>
          </w:tcPr>
          <w:p w:rsidR="00F63EF7" w:rsidRPr="00631291" w:rsidP="00710227" w14:paraId="12CE9692" w14:textId="0108BFF6">
            <w:pPr>
              <w:jc w:val="center"/>
              <w:rPr>
                <w:b/>
                <w:bCs/>
                <w:color w:val="000000"/>
                <w:sz w:val="22"/>
                <w:szCs w:val="22"/>
              </w:rPr>
            </w:pPr>
            <w:r>
              <w:rPr>
                <w:b/>
                <w:bCs/>
                <w:color w:val="000000"/>
                <w:sz w:val="22"/>
                <w:szCs w:val="22"/>
              </w:rPr>
              <w:t>24</w:t>
            </w:r>
            <w:r w:rsidR="00833475">
              <w:rPr>
                <w:b/>
                <w:bCs/>
                <w:color w:val="000000"/>
                <w:sz w:val="22"/>
                <w:szCs w:val="22"/>
              </w:rPr>
              <w:t>2</w:t>
            </w:r>
          </w:p>
        </w:tc>
        <w:tc>
          <w:tcPr>
            <w:tcW w:w="1440" w:type="dxa"/>
            <w:tcBorders>
              <w:top w:val="nil"/>
              <w:left w:val="nil"/>
              <w:bottom w:val="single" w:sz="4" w:space="0" w:color="auto"/>
              <w:right w:val="single" w:sz="4" w:space="0" w:color="auto"/>
            </w:tcBorders>
            <w:vAlign w:val="center"/>
            <w:hideMark/>
          </w:tcPr>
          <w:p w:rsidR="00F63EF7" w:rsidRPr="00631291" w:rsidP="00710227" w14:paraId="1A730B06" w14:textId="77777777">
            <w:pPr>
              <w:jc w:val="center"/>
              <w:rPr>
                <w:b/>
                <w:bCs/>
                <w:color w:val="000000"/>
                <w:sz w:val="22"/>
              </w:rPr>
            </w:pPr>
            <w:r w:rsidRPr="00631291">
              <w:rPr>
                <w:b/>
                <w:bCs/>
                <w:color w:val="000000"/>
                <w:sz w:val="22"/>
                <w:szCs w:val="22"/>
              </w:rPr>
              <w:t> -</w:t>
            </w:r>
          </w:p>
        </w:tc>
        <w:tc>
          <w:tcPr>
            <w:tcW w:w="1620" w:type="dxa"/>
            <w:tcBorders>
              <w:top w:val="single" w:sz="4" w:space="0" w:color="auto"/>
              <w:left w:val="nil"/>
              <w:bottom w:val="single" w:sz="4" w:space="0" w:color="auto"/>
              <w:right w:val="single" w:sz="4" w:space="0" w:color="auto"/>
            </w:tcBorders>
            <w:vAlign w:val="center"/>
          </w:tcPr>
          <w:p w:rsidR="00F63EF7" w:rsidRPr="00631291" w:rsidP="440B27BC" w14:paraId="4A7AB08F" w14:textId="1B952C7C">
            <w:pPr>
              <w:jc w:val="center"/>
              <w:rPr>
                <w:b/>
                <w:bCs/>
                <w:color w:val="000000"/>
                <w:sz w:val="22"/>
                <w:szCs w:val="22"/>
              </w:rPr>
            </w:pPr>
            <w:r w:rsidRPr="440B27BC">
              <w:rPr>
                <w:b/>
                <w:bCs/>
                <w:color w:val="000000" w:themeColor="text1"/>
                <w:sz w:val="22"/>
                <w:szCs w:val="22"/>
              </w:rPr>
              <w:t>$</w:t>
            </w:r>
            <w:r w:rsidR="004F1D3E">
              <w:rPr>
                <w:b/>
                <w:bCs/>
                <w:color w:val="000000" w:themeColor="text1"/>
                <w:sz w:val="22"/>
                <w:szCs w:val="22"/>
              </w:rPr>
              <w:t>21,858.07</w:t>
            </w:r>
            <w:r w:rsidRPr="440B27BC">
              <w:rPr>
                <w:b/>
                <w:bCs/>
                <w:color w:val="000000" w:themeColor="text1"/>
                <w:sz w:val="22"/>
                <w:szCs w:val="22"/>
              </w:rPr>
              <w:t xml:space="preserve"> </w:t>
            </w:r>
          </w:p>
        </w:tc>
      </w:tr>
    </w:tbl>
    <w:p w:rsidR="008B1333" w:rsidP="00770A54" w14:paraId="31094F40" w14:textId="4DC534C8">
      <w:pPr>
        <w:rPr>
          <w:color w:val="000000" w:themeColor="text1"/>
          <w:sz w:val="20"/>
          <w:szCs w:val="20"/>
        </w:rPr>
      </w:pPr>
      <w:r w:rsidRPr="008B1333">
        <w:rPr>
          <w:color w:val="000000" w:themeColor="text1"/>
          <w:sz w:val="20"/>
          <w:szCs w:val="20"/>
          <w:vertAlign w:val="superscript"/>
        </w:rPr>
        <w:t>a</w:t>
      </w:r>
      <w:r>
        <w:rPr>
          <w:color w:val="000000" w:themeColor="text1"/>
          <w:sz w:val="20"/>
          <w:szCs w:val="20"/>
          <w:vertAlign w:val="superscript"/>
        </w:rPr>
        <w:t xml:space="preserve"> </w:t>
      </w:r>
      <w:r>
        <w:rPr>
          <w:color w:val="000000" w:themeColor="text1"/>
          <w:sz w:val="20"/>
          <w:szCs w:val="20"/>
        </w:rPr>
        <w:t>CM= Critical Manufacturing; CF= Commercial Facilities</w:t>
      </w:r>
    </w:p>
    <w:p w:rsidR="008B1333" w:rsidP="00770A54" w14:paraId="47C4127D" w14:textId="77777777">
      <w:pPr>
        <w:rPr>
          <w:color w:val="000000" w:themeColor="text1"/>
          <w:sz w:val="20"/>
          <w:szCs w:val="20"/>
        </w:rPr>
      </w:pPr>
    </w:p>
    <w:p w:rsidR="00770A54" w:rsidRPr="00C46E0A" w:rsidP="00770A54" w14:paraId="38858990" w14:textId="77777777">
      <w:pPr>
        <w:tabs>
          <w:tab w:val="left" w:pos="-1440"/>
        </w:tabs>
        <w:rPr>
          <w:b/>
          <w:bCs/>
          <w:i/>
          <w:sz w:val="20"/>
          <w:szCs w:val="20"/>
          <w:highlight w:val="yellow"/>
        </w:rPr>
      </w:pPr>
    </w:p>
    <w:p w:rsidR="00A57406" w:rsidP="00B128D9" w14:paraId="6C191D2B" w14:textId="1A80F355">
      <w:pPr>
        <w:widowControl w:val="0"/>
        <w:tabs>
          <w:tab w:val="left" w:pos="720"/>
          <w:tab w:val="left" w:pos="1440"/>
        </w:tabs>
        <w:spacing w:before="120"/>
        <w:ind w:left="360"/>
        <w:contextualSpacing/>
        <w:rPr>
          <w:spacing w:val="-3"/>
        </w:rPr>
      </w:pPr>
    </w:p>
    <w:p w:rsidR="00FE5661" w:rsidP="000C4293" w14:paraId="543DD3DD"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00FE5661" w:rsidP="00FE5661" w14:paraId="62F597DB" w14:textId="77777777">
      <w:pPr>
        <w:tabs>
          <w:tab w:val="left" w:pos="-720"/>
        </w:tabs>
        <w:suppressAutoHyphens/>
        <w:contextualSpacing/>
      </w:pPr>
    </w:p>
    <w:p w:rsidR="00FE5661" w:rsidRPr="006219E1" w:rsidP="00FE5661" w14:paraId="02CF8CD8" w14:textId="33E0D6FB">
      <w:pPr>
        <w:tabs>
          <w:tab w:val="left" w:pos="-720"/>
        </w:tabs>
        <w:suppressAutoHyphens/>
        <w:contextualSpacing/>
      </w:pPr>
      <w:r w:rsidRPr="006219E1">
        <w:t>There are no recordkeeping, capital, start-up, or maintenance costs associated with this information collection.</w:t>
      </w:r>
      <w:r w:rsidRPr="006219E1">
        <w:t xml:space="preserve">   </w:t>
      </w:r>
    </w:p>
    <w:p w:rsidR="00FE5661" w:rsidRPr="006219E1" w:rsidP="00FE5661" w14:paraId="6F5AFD9A" w14:textId="77777777">
      <w:pPr>
        <w:tabs>
          <w:tab w:val="left" w:pos="-720"/>
        </w:tabs>
        <w:suppressAutoHyphens/>
        <w:contextualSpacing/>
      </w:pPr>
    </w:p>
    <w:p w:rsidR="00EB5E96" w:rsidRPr="006219E1" w:rsidP="36D8B24C" w14:paraId="2EEF9409" w14:textId="312DAAFF">
      <w:pPr>
        <w:suppressAutoHyphens/>
        <w:jc w:val="both"/>
      </w:pPr>
      <w:r w:rsidRPr="006219E1">
        <w:rPr>
          <w:highlight w:val="lightGray"/>
        </w:rPr>
        <w:t xml:space="preserve">14.  Provide estimates of annualized cost to the Federal Government.  </w:t>
      </w:r>
      <w:r w:rsidRPr="006219E1" w:rsidR="008924F0">
        <w:rPr>
          <w:highlight w:val="lightGray"/>
        </w:rPr>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6219E1">
        <w:rPr>
          <w:highlight w:val="lightGray"/>
        </w:rPr>
        <w:t>You may also aggregate cost estimates for Items 12, 13, and 14 in a single table.</w:t>
      </w:r>
      <w:r w:rsidRPr="006219E1">
        <w:t xml:space="preserve">  </w:t>
      </w:r>
    </w:p>
    <w:p w:rsidR="00EB5E96" w:rsidRPr="006219E1" w:rsidP="000C4293" w14:paraId="380EE401" w14:textId="77777777">
      <w:pPr>
        <w:suppressAutoHyphens/>
        <w:jc w:val="both"/>
      </w:pPr>
      <w:r w:rsidRPr="006219E1">
        <w:fldChar w:fldCharType="begin"/>
      </w:r>
      <w:r w:rsidRPr="006219E1">
        <w:instrText>ADVANCE \R 0.95</w:instrText>
      </w:r>
      <w:r w:rsidRPr="006219E1">
        <w:fldChar w:fldCharType="end"/>
      </w:r>
    </w:p>
    <w:p w:rsidR="00333D1E" w:rsidRPr="006219E1" w:rsidP="596FB15F" w14:paraId="77C4C3BC" w14:textId="422C6CFE">
      <w:pPr>
        <w:suppressAutoHyphens/>
        <w:contextualSpacing/>
      </w:pPr>
      <w:r w:rsidRPr="006219E1">
        <w:t xml:space="preserve">The estimated total cost to the Federal government is </w:t>
      </w:r>
      <w:r w:rsidRPr="006219E1" w:rsidR="13DB0F0B">
        <w:t>a one-time cost of</w:t>
      </w:r>
      <w:r w:rsidRPr="006219E1">
        <w:t xml:space="preserve"> $</w:t>
      </w:r>
      <w:r w:rsidRPr="006219E1" w:rsidR="00BC09C1">
        <w:t>327,510.00</w:t>
      </w:r>
      <w:r w:rsidRPr="006219E1">
        <w:t xml:space="preserve"> on an annualized basis, based on the expected cost of the government contract used to </w:t>
      </w:r>
      <w:r w:rsidRPr="006219E1" w:rsidR="00951EEE">
        <w:t>design the study, create and conduct the survey</w:t>
      </w:r>
      <w:r w:rsidRPr="006219E1" w:rsidR="007426DC">
        <w:t xml:space="preserve"> and interviews</w:t>
      </w:r>
      <w:r w:rsidRPr="006219E1" w:rsidR="00951EEE">
        <w:t>, and analyze the results.</w:t>
      </w:r>
      <w:r w:rsidRPr="006219E1">
        <w:t xml:space="preserve"> </w:t>
      </w:r>
    </w:p>
    <w:p w:rsidR="36D8B24C" w:rsidRPr="006219E1" w:rsidP="36D8B24C" w14:paraId="1004CF42" w14:textId="4EE10100">
      <w:pPr>
        <w:spacing w:before="75"/>
        <w:ind w:right="130"/>
        <w:rPr>
          <w:b/>
          <w:bCs/>
          <w:color w:val="231F20"/>
        </w:rPr>
      </w:pPr>
    </w:p>
    <w:p w:rsidR="36D8B24C" w:rsidRPr="006219E1" w:rsidP="36D8B24C" w14:paraId="3519E88A" w14:textId="61AC66F7">
      <w:pPr>
        <w:jc w:val="both"/>
      </w:pPr>
    </w:p>
    <w:p w:rsidR="00EB5E96" w:rsidRPr="006219E1" w:rsidP="000C4293" w14:paraId="6141C989" w14:textId="77777777">
      <w:pPr>
        <w:shd w:val="pct25" w:color="auto" w:fill="auto"/>
        <w:tabs>
          <w:tab w:val="left" w:pos="-720"/>
        </w:tabs>
        <w:suppressAutoHyphens/>
        <w:jc w:val="both"/>
      </w:pPr>
      <w:r w:rsidRPr="006219E1">
        <w:fldChar w:fldCharType="begin"/>
      </w:r>
      <w:r w:rsidRPr="006219E1">
        <w:instrText>ADVANCE \R 0.95</w:instrText>
      </w:r>
      <w:r w:rsidRPr="006219E1">
        <w:fldChar w:fldCharType="end"/>
      </w:r>
      <w:r w:rsidRPr="006219E1">
        <w:t xml:space="preserve">15.  Explain the reasons for any program changes or adjustments reported in Items 13 or 14 of the OMB Form 83-I.  Changes in hour burden, i.e., program changes or adjustments made to annual reporting and recordkeeping </w:t>
      </w:r>
      <w:r w:rsidRPr="006219E1">
        <w:rPr>
          <w:b/>
        </w:rPr>
        <w:t>hour</w:t>
      </w:r>
      <w:r w:rsidRPr="006219E1">
        <w:t xml:space="preserve"> and </w:t>
      </w:r>
      <w:r w:rsidRPr="006219E1">
        <w:rPr>
          <w:b/>
        </w:rPr>
        <w:t>cost</w:t>
      </w:r>
      <w:r w:rsidRPr="006219E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EB5E96" w:rsidRPr="006219E1" w:rsidP="000C4293" w14:paraId="33DD84A8" w14:textId="77777777">
      <w:pPr>
        <w:tabs>
          <w:tab w:val="left" w:pos="-720"/>
        </w:tabs>
        <w:suppressAutoHyphens/>
        <w:jc w:val="both"/>
        <w:rPr>
          <w:highlight w:val="yellow"/>
        </w:rPr>
      </w:pPr>
      <w:r w:rsidRPr="006219E1">
        <w:rPr>
          <w:highlight w:val="yellow"/>
        </w:rPr>
        <w:fldChar w:fldCharType="begin"/>
      </w:r>
      <w:r w:rsidRPr="006219E1">
        <w:rPr>
          <w:highlight w:val="yellow"/>
        </w:rPr>
        <w:instrText>ADVANCE \R 0.95</w:instrText>
      </w:r>
      <w:r w:rsidRPr="006219E1">
        <w:rPr>
          <w:highlight w:val="yellow"/>
        </w:rPr>
        <w:fldChar w:fldCharType="end"/>
      </w:r>
    </w:p>
    <w:p w:rsidR="00C658C4" w:rsidRPr="006219E1" w:rsidP="00C658C4" w14:paraId="7AB24E23" w14:textId="77777777">
      <w:pPr>
        <w:tabs>
          <w:tab w:val="left" w:pos="-720"/>
        </w:tabs>
        <w:suppressAutoHyphens/>
        <w:jc w:val="both"/>
      </w:pPr>
      <w:r w:rsidRPr="006219E1">
        <w:t>This is a new information collection.</w:t>
      </w:r>
    </w:p>
    <w:p w:rsidR="00EB5E96" w:rsidRPr="006219E1" w:rsidP="000C4293" w14:paraId="0A5DCB6C" w14:textId="2BA7FC2D">
      <w:pPr>
        <w:tabs>
          <w:tab w:val="left" w:pos="-720"/>
        </w:tabs>
        <w:suppressAutoHyphens/>
        <w:jc w:val="both"/>
        <w:rPr>
          <w:spacing w:val="-3"/>
        </w:rPr>
      </w:pPr>
    </w:p>
    <w:p w:rsidR="00A57406" w:rsidRPr="006219E1" w:rsidP="000C4293" w14:paraId="25A40919" w14:textId="20FDD695">
      <w:pPr>
        <w:tabs>
          <w:tab w:val="left" w:pos="-720"/>
        </w:tabs>
        <w:suppressAutoHyphens/>
        <w:jc w:val="both"/>
        <w:rPr>
          <w:spacing w:val="-3"/>
        </w:rPr>
      </w:pPr>
    </w:p>
    <w:p w:rsidR="00EB5E96" w:rsidRPr="006219E1" w:rsidP="000C4293" w14:paraId="4B519A5E" w14:textId="794F9AB1">
      <w:pPr>
        <w:shd w:val="pct25" w:color="auto" w:fill="auto"/>
        <w:tabs>
          <w:tab w:val="left" w:pos="-720"/>
        </w:tabs>
        <w:suppressAutoHyphens/>
        <w:jc w:val="both"/>
      </w:pPr>
      <w:r w:rsidRPr="006219E1">
        <w:fldChar w:fldCharType="begin"/>
      </w:r>
      <w:r w:rsidRPr="006219E1">
        <w:instrText>ADVANCE \R 0.95</w:instrText>
      </w:r>
      <w:r w:rsidRPr="006219E1">
        <w:fldChar w:fldCharType="end"/>
      </w:r>
      <w:r w:rsidRPr="006219E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6219E1" w:rsidP="000C4293" w14:paraId="149BE177" w14:textId="77777777">
      <w:pPr>
        <w:suppressAutoHyphens/>
        <w:jc w:val="both"/>
      </w:pPr>
      <w:r w:rsidRPr="006219E1">
        <w:fldChar w:fldCharType="begin"/>
      </w:r>
      <w:r w:rsidRPr="006219E1">
        <w:instrText>ADVANCE \R 0.95</w:instrText>
      </w:r>
      <w:r w:rsidRPr="006219E1">
        <w:fldChar w:fldCharType="end"/>
      </w:r>
    </w:p>
    <w:p w:rsidR="00CA18DC" w:rsidRPr="006219E1" w14:paraId="78729B25" w14:textId="3502FCD3">
      <w:pPr>
        <w:tabs>
          <w:tab w:val="left" w:pos="-720"/>
        </w:tabs>
        <w:suppressAutoHyphens/>
        <w:jc w:val="both"/>
      </w:pPr>
      <w:r w:rsidRPr="006219E1">
        <w:t xml:space="preserve">Analyses will consist of basic descriptive statistics and correlations for the quantitative data (i.e., from the online survey). </w:t>
      </w:r>
      <w:r w:rsidRPr="006219E1" w:rsidR="00F812C6">
        <w:t xml:space="preserve">Content analyses will be used to assess the findings from the qualitative data (i.e., in-depth interviews). </w:t>
      </w:r>
      <w:r w:rsidRPr="006219E1" w:rsidR="003320A9">
        <w:t xml:space="preserve">Given that the </w:t>
      </w:r>
      <w:r w:rsidRPr="006219E1" w:rsidR="005E0A04">
        <w:t>study aims</w:t>
      </w:r>
      <w:r w:rsidRPr="006219E1" w:rsidR="003656EA">
        <w:t xml:space="preserve"> to inform</w:t>
      </w:r>
      <w:r w:rsidRPr="006219E1" w:rsidR="00E43EEB">
        <w:t xml:space="preserve"> and improve</w:t>
      </w:r>
      <w:r w:rsidRPr="006219E1" w:rsidR="003656EA">
        <w:t xml:space="preserve"> CISA</w:t>
      </w:r>
      <w:r w:rsidRPr="006219E1" w:rsidR="00E43EEB">
        <w:t>’s</w:t>
      </w:r>
      <w:r w:rsidRPr="006219E1" w:rsidR="003656EA">
        <w:t xml:space="preserve"> </w:t>
      </w:r>
      <w:r w:rsidRPr="006219E1" w:rsidR="00094616">
        <w:t xml:space="preserve">convening </w:t>
      </w:r>
      <w:r w:rsidRPr="006219E1" w:rsidR="003656EA">
        <w:t>activities</w:t>
      </w:r>
      <w:r w:rsidRPr="006219E1" w:rsidR="00094616">
        <w:t>, products, and services, as well as relationships and engagements with stakeholders,</w:t>
      </w:r>
      <w:r w:rsidRPr="006219E1" w:rsidR="003656EA">
        <w:t xml:space="preserve"> </w:t>
      </w:r>
      <w:r w:rsidRPr="006219E1" w:rsidR="005E0A04">
        <w:t xml:space="preserve">findings </w:t>
      </w:r>
      <w:r w:rsidRPr="006219E1" w:rsidR="003656EA">
        <w:t xml:space="preserve">may be incorporated </w:t>
      </w:r>
      <w:r w:rsidRPr="006219E1" w:rsidR="00777DED">
        <w:t xml:space="preserve">into documents </w:t>
      </w:r>
      <w:r w:rsidRPr="006219E1" w:rsidR="0024371D">
        <w:t>that are made public</w:t>
      </w:r>
      <w:r w:rsidRPr="006219E1" w:rsidR="00991F18">
        <w:t xml:space="preserve">. In these </w:t>
      </w:r>
      <w:r w:rsidRPr="006219E1">
        <w:t>instances, individual and/or organization names will not be identified</w:t>
      </w:r>
      <w:r w:rsidRPr="006219E1" w:rsidR="009A04AF">
        <w:t>,</w:t>
      </w:r>
      <w:r w:rsidRPr="006219E1">
        <w:t xml:space="preserve"> and findings will be presented in aggregate form.</w:t>
      </w:r>
    </w:p>
    <w:p w:rsidR="00A57406" w:rsidRPr="006219E1" w:rsidP="009A04AF" w14:paraId="7DCDFE34" w14:textId="093EF53C">
      <w:pPr>
        <w:tabs>
          <w:tab w:val="left" w:pos="-720"/>
        </w:tabs>
        <w:suppressAutoHyphens/>
        <w:jc w:val="both"/>
        <w:rPr>
          <w:spacing w:val="-3"/>
        </w:rPr>
      </w:pPr>
      <w:r w:rsidRPr="006219E1">
        <w:t xml:space="preserve"> </w:t>
      </w:r>
    </w:p>
    <w:p w:rsidR="00C71FC7" w:rsidRPr="006219E1" w:rsidP="000C4293" w14:paraId="522317F2" w14:textId="5748A866">
      <w:pPr>
        <w:suppressAutoHyphens/>
        <w:jc w:val="both"/>
      </w:pPr>
      <w:r w:rsidRPr="006219E1">
        <w:t>The table below shows the planned schedule for the SED Convenings Evaluation</w:t>
      </w:r>
      <w:r w:rsidRPr="006219E1" w:rsidR="00317E8D">
        <w:t>:</w:t>
      </w:r>
      <w:r w:rsidRPr="006219E1" w:rsidR="007E0EFC">
        <w:t xml:space="preserve"> </w:t>
      </w:r>
    </w:p>
    <w:p w:rsidR="00C71FC7" w:rsidP="000C4293" w14:paraId="410531CD" w14:textId="77777777">
      <w:pPr>
        <w:suppressAutoHyphens/>
        <w:jc w:val="both"/>
        <w:rPr>
          <w:spacing w:val="-3"/>
        </w:rPr>
      </w:pPr>
    </w:p>
    <w:tbl>
      <w:tblPr>
        <w:tblW w:w="5000" w:type="pct"/>
        <w:tblCellMar>
          <w:left w:w="0" w:type="dxa"/>
          <w:right w:w="0" w:type="dxa"/>
        </w:tblCellMar>
        <w:tblLook w:val="04A0"/>
      </w:tblPr>
      <w:tblGrid>
        <w:gridCol w:w="4860"/>
        <w:gridCol w:w="4500"/>
      </w:tblGrid>
      <w:tr w14:paraId="13FBBD8E" w14:textId="77777777" w:rsidTr="00541586">
        <w:tblPrEx>
          <w:tblW w:w="5000" w:type="pct"/>
          <w:tblCellMar>
            <w:left w:w="0" w:type="dxa"/>
            <w:right w:w="0" w:type="dxa"/>
          </w:tblCellMar>
          <w:tblLook w:val="04A0"/>
        </w:tblPrEx>
        <w:trPr>
          <w:tblHeader/>
        </w:trPr>
        <w:tc>
          <w:tcPr>
            <w:tcW w:w="2596" w:type="pct"/>
            <w:tcBorders>
              <w:top w:val="nil"/>
              <w:left w:val="nil"/>
              <w:bottom w:val="single" w:sz="8" w:space="0" w:color="auto"/>
              <w:right w:val="nil"/>
            </w:tcBorders>
            <w:shd w:val="clear" w:color="auto" w:fill="A2987A"/>
            <w:tcMar>
              <w:top w:w="0" w:type="dxa"/>
              <w:left w:w="108" w:type="dxa"/>
              <w:bottom w:w="0" w:type="dxa"/>
              <w:right w:w="108" w:type="dxa"/>
            </w:tcMar>
            <w:vAlign w:val="bottom"/>
            <w:hideMark/>
          </w:tcPr>
          <w:p w:rsidR="00B101EC" w:rsidRPr="006219E1" w:rsidP="00B101EC" w14:paraId="26A17B13" w14:textId="77777777">
            <w:pPr>
              <w:spacing w:before="120" w:after="60"/>
              <w:ind w:firstLine="432"/>
              <w:rPr>
                <w:rFonts w:eastAsia="Calibri"/>
                <w:b/>
                <w:bCs/>
                <w:color w:val="FFFFFF"/>
                <w:sz w:val="18"/>
                <w:szCs w:val="18"/>
              </w:rPr>
            </w:pPr>
            <w:r w:rsidRPr="006219E1">
              <w:rPr>
                <w:rFonts w:eastAsia="Calibri"/>
                <w:b/>
                <w:bCs/>
                <w:color w:val="FFFFFF"/>
                <w:sz w:val="18"/>
                <w:szCs w:val="18"/>
              </w:rPr>
              <w:t>Activity</w:t>
            </w:r>
          </w:p>
        </w:tc>
        <w:tc>
          <w:tcPr>
            <w:tcW w:w="2404" w:type="pct"/>
            <w:tcBorders>
              <w:top w:val="nil"/>
              <w:left w:val="nil"/>
              <w:bottom w:val="single" w:sz="8" w:space="0" w:color="auto"/>
              <w:right w:val="nil"/>
            </w:tcBorders>
            <w:shd w:val="clear" w:color="auto" w:fill="A2987A"/>
            <w:tcMar>
              <w:top w:w="0" w:type="dxa"/>
              <w:left w:w="108" w:type="dxa"/>
              <w:bottom w:w="0" w:type="dxa"/>
              <w:right w:w="108" w:type="dxa"/>
            </w:tcMar>
            <w:vAlign w:val="bottom"/>
            <w:hideMark/>
          </w:tcPr>
          <w:p w:rsidR="00B101EC" w:rsidRPr="006219E1" w:rsidP="00B101EC" w14:paraId="1BFB5515" w14:textId="77777777">
            <w:pPr>
              <w:spacing w:before="120" w:after="60"/>
              <w:ind w:firstLine="432"/>
              <w:jc w:val="center"/>
              <w:rPr>
                <w:rFonts w:eastAsia="Calibri"/>
                <w:b/>
                <w:bCs/>
                <w:color w:val="FFFFFF"/>
                <w:sz w:val="18"/>
                <w:szCs w:val="18"/>
              </w:rPr>
            </w:pPr>
            <w:r w:rsidRPr="006219E1">
              <w:rPr>
                <w:rFonts w:eastAsia="Calibri"/>
                <w:b/>
                <w:bCs/>
                <w:color w:val="FFFFFF"/>
                <w:sz w:val="18"/>
                <w:szCs w:val="18"/>
              </w:rPr>
              <w:t>Schedule</w:t>
            </w:r>
          </w:p>
        </w:tc>
      </w:tr>
      <w:tr w14:paraId="785FABFC" w14:textId="77777777" w:rsidTr="00541586">
        <w:tblPrEx>
          <w:tblW w:w="5000" w:type="pct"/>
          <w:tblCellMar>
            <w:left w:w="0" w:type="dxa"/>
            <w:right w:w="0" w:type="dxa"/>
          </w:tblCellMar>
          <w:tblLook w:val="04A0"/>
        </w:tblPrEx>
        <w:tc>
          <w:tcPr>
            <w:tcW w:w="2596" w:type="pct"/>
            <w:tcMar>
              <w:top w:w="0" w:type="dxa"/>
              <w:left w:w="108" w:type="dxa"/>
              <w:bottom w:w="0" w:type="dxa"/>
              <w:right w:w="108" w:type="dxa"/>
            </w:tcMar>
          </w:tcPr>
          <w:p w:rsidR="00B101EC" w:rsidRPr="006219E1" w:rsidP="00B101EC" w14:paraId="3BA3A988" w14:textId="78F7383F">
            <w:pPr>
              <w:spacing w:before="40" w:after="40"/>
              <w:ind w:firstLine="432"/>
              <w:rPr>
                <w:rFonts w:eastAsia="Calibri"/>
                <w:sz w:val="18"/>
                <w:szCs w:val="18"/>
              </w:rPr>
            </w:pPr>
            <w:r w:rsidRPr="006219E1">
              <w:rPr>
                <w:rFonts w:eastAsia="Calibri"/>
                <w:sz w:val="18"/>
                <w:szCs w:val="18"/>
              </w:rPr>
              <w:t>Prepare PRA materials</w:t>
            </w:r>
          </w:p>
          <w:p w:rsidR="00B101EC" w:rsidRPr="006219E1" w:rsidP="00B101EC" w14:paraId="23745F75" w14:textId="28E54E64">
            <w:pPr>
              <w:spacing w:before="40" w:after="40"/>
              <w:ind w:firstLine="432"/>
              <w:rPr>
                <w:rFonts w:eastAsia="Calibri"/>
                <w:sz w:val="18"/>
                <w:szCs w:val="18"/>
              </w:rPr>
            </w:pPr>
            <w:r w:rsidRPr="006219E1">
              <w:rPr>
                <w:rFonts w:eastAsia="Calibri"/>
                <w:sz w:val="18"/>
                <w:szCs w:val="18"/>
              </w:rPr>
              <w:t xml:space="preserve">Internal </w:t>
            </w:r>
            <w:r w:rsidRPr="006219E1" w:rsidR="00FF3DEE">
              <w:rPr>
                <w:rFonts w:eastAsia="Calibri"/>
                <w:sz w:val="18"/>
                <w:szCs w:val="18"/>
              </w:rPr>
              <w:t xml:space="preserve">PRA </w:t>
            </w:r>
            <w:r w:rsidRPr="006219E1">
              <w:rPr>
                <w:rFonts w:eastAsia="Calibri"/>
                <w:sz w:val="18"/>
                <w:szCs w:val="18"/>
              </w:rPr>
              <w:t>review</w:t>
            </w:r>
            <w:r w:rsidRPr="006219E1" w:rsidR="00F52703">
              <w:rPr>
                <w:rFonts w:eastAsia="Calibri"/>
                <w:sz w:val="18"/>
                <w:szCs w:val="18"/>
              </w:rPr>
              <w:t xml:space="preserve"> and submission</w:t>
            </w:r>
          </w:p>
        </w:tc>
        <w:tc>
          <w:tcPr>
            <w:tcW w:w="2404" w:type="pct"/>
            <w:tcMar>
              <w:top w:w="0" w:type="dxa"/>
              <w:left w:w="108" w:type="dxa"/>
              <w:bottom w:w="0" w:type="dxa"/>
              <w:right w:w="108" w:type="dxa"/>
            </w:tcMar>
            <w:hideMark/>
          </w:tcPr>
          <w:p w:rsidR="00B101EC" w:rsidRPr="006219E1" w:rsidP="00B101EC" w14:paraId="037A06CA" w14:textId="77777777">
            <w:pPr>
              <w:spacing w:before="40" w:after="40"/>
              <w:ind w:firstLine="432"/>
              <w:jc w:val="center"/>
              <w:rPr>
                <w:rFonts w:eastAsia="Calibri"/>
                <w:sz w:val="18"/>
                <w:szCs w:val="18"/>
              </w:rPr>
            </w:pPr>
            <w:r w:rsidRPr="006219E1">
              <w:rPr>
                <w:rFonts w:eastAsia="Calibri"/>
                <w:sz w:val="18"/>
                <w:szCs w:val="18"/>
              </w:rPr>
              <w:t>April 2024</w:t>
            </w:r>
          </w:p>
          <w:p w:rsidR="003D472B" w:rsidRPr="006219E1" w:rsidP="00B101EC" w14:paraId="15CD19B3" w14:textId="64F8613E">
            <w:pPr>
              <w:spacing w:before="40" w:after="40"/>
              <w:ind w:firstLine="432"/>
              <w:jc w:val="center"/>
              <w:rPr>
                <w:rFonts w:eastAsia="Calibri"/>
                <w:sz w:val="18"/>
                <w:szCs w:val="18"/>
              </w:rPr>
            </w:pPr>
            <w:r w:rsidRPr="006219E1">
              <w:rPr>
                <w:rFonts w:eastAsia="Calibri"/>
                <w:sz w:val="18"/>
                <w:szCs w:val="18"/>
              </w:rPr>
              <w:t xml:space="preserve">April 2024 </w:t>
            </w:r>
            <w:r w:rsidRPr="006219E1" w:rsidR="00D43923">
              <w:rPr>
                <w:rFonts w:eastAsia="Calibri"/>
                <w:sz w:val="18"/>
                <w:szCs w:val="18"/>
              </w:rPr>
              <w:t>–</w:t>
            </w:r>
            <w:r w:rsidRPr="006219E1">
              <w:rPr>
                <w:rFonts w:eastAsia="Calibri"/>
                <w:sz w:val="18"/>
                <w:szCs w:val="18"/>
              </w:rPr>
              <w:t xml:space="preserve"> </w:t>
            </w:r>
            <w:r w:rsidRPr="006219E1" w:rsidR="00D43923">
              <w:rPr>
                <w:rFonts w:eastAsia="Calibri"/>
                <w:sz w:val="18"/>
                <w:szCs w:val="18"/>
              </w:rPr>
              <w:t>March 2025</w:t>
            </w:r>
          </w:p>
        </w:tc>
      </w:tr>
      <w:tr w14:paraId="6E75B978" w14:textId="77777777" w:rsidTr="00541586">
        <w:tblPrEx>
          <w:tblW w:w="5000" w:type="pct"/>
          <w:tblCellMar>
            <w:left w:w="0" w:type="dxa"/>
            <w:right w:w="0" w:type="dxa"/>
          </w:tblCellMar>
          <w:tblLook w:val="04A0"/>
        </w:tblPrEx>
        <w:tc>
          <w:tcPr>
            <w:tcW w:w="2596" w:type="pct"/>
            <w:tcMar>
              <w:top w:w="0" w:type="dxa"/>
              <w:left w:w="108" w:type="dxa"/>
              <w:bottom w:w="0" w:type="dxa"/>
              <w:right w:w="108" w:type="dxa"/>
            </w:tcMar>
            <w:hideMark/>
          </w:tcPr>
          <w:p w:rsidR="00B101EC" w:rsidRPr="006219E1" w:rsidP="00B101EC" w14:paraId="0955D916" w14:textId="4E76E541">
            <w:pPr>
              <w:spacing w:before="40" w:after="40"/>
              <w:ind w:firstLine="432"/>
              <w:rPr>
                <w:rFonts w:eastAsia="Calibri"/>
                <w:sz w:val="18"/>
                <w:szCs w:val="18"/>
              </w:rPr>
            </w:pPr>
            <w:r w:rsidRPr="006219E1">
              <w:rPr>
                <w:rFonts w:eastAsia="Calibri"/>
                <w:sz w:val="18"/>
                <w:szCs w:val="18"/>
              </w:rPr>
              <w:t>OMB approval</w:t>
            </w:r>
          </w:p>
        </w:tc>
        <w:tc>
          <w:tcPr>
            <w:tcW w:w="2404" w:type="pct"/>
            <w:tcMar>
              <w:top w:w="0" w:type="dxa"/>
              <w:left w:w="108" w:type="dxa"/>
              <w:bottom w:w="0" w:type="dxa"/>
              <w:right w:w="108" w:type="dxa"/>
            </w:tcMar>
            <w:hideMark/>
          </w:tcPr>
          <w:p w:rsidR="00B101EC" w:rsidRPr="006219E1" w:rsidP="00B101EC" w14:paraId="3D75E241" w14:textId="2F527EEA">
            <w:pPr>
              <w:spacing w:before="40" w:after="40"/>
              <w:ind w:firstLine="432"/>
              <w:jc w:val="center"/>
              <w:rPr>
                <w:rFonts w:eastAsia="Calibri"/>
                <w:sz w:val="18"/>
                <w:szCs w:val="18"/>
              </w:rPr>
            </w:pPr>
            <w:r w:rsidRPr="006219E1">
              <w:rPr>
                <w:rFonts w:eastAsia="Calibri"/>
                <w:sz w:val="18"/>
                <w:szCs w:val="18"/>
              </w:rPr>
              <w:t>April 2025</w:t>
            </w:r>
          </w:p>
        </w:tc>
      </w:tr>
      <w:tr w14:paraId="04A0B870" w14:textId="77777777" w:rsidTr="00541586">
        <w:tblPrEx>
          <w:tblW w:w="5000" w:type="pct"/>
          <w:tblCellMar>
            <w:left w:w="0" w:type="dxa"/>
            <w:right w:w="0" w:type="dxa"/>
          </w:tblCellMar>
          <w:tblLook w:val="04A0"/>
        </w:tblPrEx>
        <w:tc>
          <w:tcPr>
            <w:tcW w:w="2596" w:type="pct"/>
            <w:tcMar>
              <w:top w:w="0" w:type="dxa"/>
              <w:left w:w="108" w:type="dxa"/>
              <w:bottom w:w="0" w:type="dxa"/>
              <w:right w:w="108" w:type="dxa"/>
            </w:tcMar>
            <w:hideMark/>
          </w:tcPr>
          <w:p w:rsidR="00B101EC" w:rsidRPr="006219E1" w:rsidP="00B101EC" w14:paraId="355912FA" w14:textId="1ABF3FB7">
            <w:pPr>
              <w:spacing w:before="40" w:after="40"/>
              <w:ind w:firstLine="432"/>
              <w:rPr>
                <w:rFonts w:eastAsia="Calibri"/>
                <w:sz w:val="18"/>
                <w:szCs w:val="18"/>
              </w:rPr>
            </w:pPr>
            <w:r w:rsidRPr="006219E1">
              <w:rPr>
                <w:rFonts w:eastAsia="Calibri"/>
                <w:sz w:val="18"/>
                <w:szCs w:val="18"/>
              </w:rPr>
              <w:t xml:space="preserve">Data collection </w:t>
            </w:r>
          </w:p>
        </w:tc>
        <w:tc>
          <w:tcPr>
            <w:tcW w:w="2404" w:type="pct"/>
            <w:tcMar>
              <w:top w:w="0" w:type="dxa"/>
              <w:left w:w="108" w:type="dxa"/>
              <w:bottom w:w="0" w:type="dxa"/>
              <w:right w:w="108" w:type="dxa"/>
            </w:tcMar>
            <w:hideMark/>
          </w:tcPr>
          <w:p w:rsidR="00B101EC" w:rsidRPr="006219E1" w:rsidP="00B101EC" w14:paraId="3539C754" w14:textId="5CDA64AC">
            <w:pPr>
              <w:spacing w:before="40" w:after="40"/>
              <w:ind w:firstLine="432"/>
              <w:jc w:val="center"/>
              <w:rPr>
                <w:rFonts w:eastAsia="Calibri"/>
                <w:sz w:val="18"/>
                <w:szCs w:val="18"/>
              </w:rPr>
            </w:pPr>
            <w:r w:rsidRPr="006219E1">
              <w:rPr>
                <w:rFonts w:eastAsia="Calibri"/>
                <w:sz w:val="18"/>
                <w:szCs w:val="18"/>
              </w:rPr>
              <w:t>May 2025 – September 2025</w:t>
            </w:r>
          </w:p>
        </w:tc>
      </w:tr>
      <w:tr w14:paraId="51DCFE1C" w14:textId="77777777" w:rsidTr="00541586">
        <w:tblPrEx>
          <w:tblW w:w="5000" w:type="pct"/>
          <w:tblCellMar>
            <w:left w:w="0" w:type="dxa"/>
            <w:right w:w="0" w:type="dxa"/>
          </w:tblCellMar>
          <w:tblLook w:val="04A0"/>
        </w:tblPrEx>
        <w:tc>
          <w:tcPr>
            <w:tcW w:w="2596" w:type="pct"/>
            <w:tcMar>
              <w:top w:w="0" w:type="dxa"/>
              <w:left w:w="108" w:type="dxa"/>
              <w:bottom w:w="0" w:type="dxa"/>
              <w:right w:w="108" w:type="dxa"/>
            </w:tcMar>
            <w:hideMark/>
          </w:tcPr>
          <w:p w:rsidR="00B101EC" w:rsidRPr="006219E1" w:rsidP="00B101EC" w14:paraId="314E119A" w14:textId="7D8DC31B">
            <w:pPr>
              <w:spacing w:before="40" w:after="40"/>
              <w:ind w:firstLine="432"/>
              <w:rPr>
                <w:rFonts w:eastAsia="Calibri"/>
                <w:sz w:val="18"/>
                <w:szCs w:val="18"/>
              </w:rPr>
            </w:pPr>
            <w:r w:rsidRPr="006219E1">
              <w:rPr>
                <w:rFonts w:eastAsia="Calibri"/>
                <w:sz w:val="18"/>
                <w:szCs w:val="18"/>
              </w:rPr>
              <w:t xml:space="preserve">Analyze data and prepare final evaluation </w:t>
            </w:r>
            <w:r w:rsidRPr="006219E1" w:rsidR="7F68683F">
              <w:rPr>
                <w:rFonts w:eastAsia="Calibri"/>
                <w:sz w:val="18"/>
                <w:szCs w:val="18"/>
              </w:rPr>
              <w:t>r</w:t>
            </w:r>
            <w:r w:rsidRPr="006219E1" w:rsidR="00541586">
              <w:rPr>
                <w:rFonts w:eastAsia="Calibri"/>
                <w:sz w:val="18"/>
                <w:szCs w:val="18"/>
              </w:rPr>
              <w:t>e</w:t>
            </w:r>
            <w:r w:rsidRPr="006219E1" w:rsidR="7F68683F">
              <w:rPr>
                <w:rFonts w:eastAsia="Calibri"/>
                <w:sz w:val="18"/>
                <w:szCs w:val="18"/>
              </w:rPr>
              <w:t>por</w:t>
            </w:r>
            <w:r w:rsidRPr="006219E1" w:rsidR="00541586">
              <w:rPr>
                <w:rFonts w:eastAsia="Calibri"/>
                <w:sz w:val="18"/>
                <w:szCs w:val="18"/>
              </w:rPr>
              <w:t>t</w:t>
            </w:r>
            <w:r w:rsidRPr="006219E1" w:rsidR="5011D29E">
              <w:rPr>
                <w:rFonts w:eastAsia="Calibri"/>
                <w:sz w:val="18"/>
                <w:szCs w:val="18"/>
              </w:rPr>
              <w:t>(</w:t>
            </w:r>
            <w:r w:rsidRPr="006219E1" w:rsidR="7F68683F">
              <w:rPr>
                <w:rFonts w:eastAsia="Calibri"/>
                <w:sz w:val="18"/>
                <w:szCs w:val="18"/>
              </w:rPr>
              <w:t>s</w:t>
            </w:r>
            <w:r w:rsidRPr="006219E1" w:rsidR="18413797">
              <w:rPr>
                <w:rFonts w:eastAsia="Calibri"/>
                <w:sz w:val="18"/>
                <w:szCs w:val="18"/>
              </w:rPr>
              <w:t>)</w:t>
            </w:r>
          </w:p>
        </w:tc>
        <w:tc>
          <w:tcPr>
            <w:tcW w:w="2404" w:type="pct"/>
            <w:tcMar>
              <w:top w:w="0" w:type="dxa"/>
              <w:left w:w="108" w:type="dxa"/>
              <w:bottom w:w="0" w:type="dxa"/>
              <w:right w:w="108" w:type="dxa"/>
            </w:tcMar>
            <w:hideMark/>
          </w:tcPr>
          <w:p w:rsidR="00B101EC" w:rsidRPr="006219E1" w:rsidP="00B101EC" w14:paraId="1B060AE7" w14:textId="47B78A9C">
            <w:pPr>
              <w:spacing w:before="40" w:after="40"/>
              <w:ind w:firstLine="432"/>
              <w:jc w:val="center"/>
              <w:rPr>
                <w:rFonts w:eastAsia="Calibri"/>
                <w:sz w:val="18"/>
                <w:szCs w:val="18"/>
              </w:rPr>
            </w:pPr>
            <w:r w:rsidRPr="006219E1">
              <w:rPr>
                <w:rFonts w:eastAsia="Calibri"/>
                <w:sz w:val="18"/>
                <w:szCs w:val="18"/>
              </w:rPr>
              <w:t>September 2025 – October 2025</w:t>
            </w:r>
          </w:p>
        </w:tc>
      </w:tr>
      <w:tr w14:paraId="5D635CF9" w14:textId="77777777" w:rsidTr="00541586">
        <w:tblPrEx>
          <w:tblW w:w="5000" w:type="pct"/>
          <w:tblCellMar>
            <w:left w:w="0" w:type="dxa"/>
            <w:right w:w="0" w:type="dxa"/>
          </w:tblCellMar>
          <w:tblLook w:val="04A0"/>
        </w:tblPrEx>
        <w:trPr>
          <w:trHeight w:val="333"/>
        </w:trPr>
        <w:tc>
          <w:tcPr>
            <w:tcW w:w="2596" w:type="pct"/>
            <w:tcBorders>
              <w:top w:val="nil"/>
              <w:left w:val="nil"/>
              <w:bottom w:val="single" w:sz="8" w:space="0" w:color="auto"/>
              <w:right w:val="nil"/>
            </w:tcBorders>
            <w:tcMar>
              <w:top w:w="0" w:type="dxa"/>
              <w:left w:w="108" w:type="dxa"/>
              <w:bottom w:w="0" w:type="dxa"/>
              <w:right w:w="108" w:type="dxa"/>
            </w:tcMar>
            <w:hideMark/>
          </w:tcPr>
          <w:p w:rsidR="00B101EC" w:rsidRPr="006219E1" w:rsidP="00B101EC" w14:paraId="0D6DE7B3" w14:textId="4B154E2C">
            <w:pPr>
              <w:spacing w:before="40" w:after="40"/>
              <w:ind w:firstLine="432"/>
              <w:rPr>
                <w:rFonts w:eastAsia="Calibri"/>
                <w:sz w:val="18"/>
                <w:szCs w:val="18"/>
              </w:rPr>
            </w:pPr>
            <w:r w:rsidRPr="006219E1">
              <w:rPr>
                <w:rFonts w:eastAsia="Calibri"/>
                <w:sz w:val="18"/>
                <w:szCs w:val="18"/>
              </w:rPr>
              <w:t>Internal</w:t>
            </w:r>
            <w:r w:rsidRPr="006219E1" w:rsidR="00C71FC7">
              <w:rPr>
                <w:rFonts w:eastAsia="Calibri"/>
                <w:sz w:val="18"/>
                <w:szCs w:val="18"/>
              </w:rPr>
              <w:t xml:space="preserve"> b</w:t>
            </w:r>
            <w:r w:rsidRPr="006219E1">
              <w:rPr>
                <w:rFonts w:eastAsia="Calibri"/>
                <w:sz w:val="18"/>
                <w:szCs w:val="18"/>
              </w:rPr>
              <w:t>riefing</w:t>
            </w:r>
            <w:r w:rsidRPr="006219E1" w:rsidR="00C71FC7">
              <w:rPr>
                <w:rFonts w:eastAsia="Calibri"/>
                <w:sz w:val="18"/>
                <w:szCs w:val="18"/>
              </w:rPr>
              <w:t>s</w:t>
            </w:r>
            <w:r w:rsidRPr="006219E1">
              <w:rPr>
                <w:rFonts w:eastAsia="Calibri"/>
                <w:sz w:val="18"/>
                <w:szCs w:val="18"/>
              </w:rPr>
              <w:t xml:space="preserve"> </w:t>
            </w:r>
            <w:r w:rsidRPr="006219E1">
              <w:rPr>
                <w:rFonts w:eastAsia="Calibri"/>
                <w:sz w:val="18"/>
                <w:szCs w:val="18"/>
              </w:rPr>
              <w:t>on study results</w:t>
            </w:r>
          </w:p>
        </w:tc>
        <w:tc>
          <w:tcPr>
            <w:tcW w:w="2404" w:type="pct"/>
            <w:tcBorders>
              <w:top w:val="nil"/>
              <w:left w:val="nil"/>
              <w:bottom w:val="single" w:sz="8" w:space="0" w:color="auto"/>
              <w:right w:val="nil"/>
            </w:tcBorders>
            <w:tcMar>
              <w:top w:w="0" w:type="dxa"/>
              <w:left w:w="108" w:type="dxa"/>
              <w:bottom w:w="0" w:type="dxa"/>
              <w:right w:w="108" w:type="dxa"/>
            </w:tcMar>
            <w:hideMark/>
          </w:tcPr>
          <w:p w:rsidR="00B101EC" w:rsidRPr="006219E1" w:rsidP="00B101EC" w14:paraId="4C5E6C08" w14:textId="6156AC22">
            <w:pPr>
              <w:spacing w:before="40" w:after="40"/>
              <w:ind w:firstLine="432"/>
              <w:jc w:val="center"/>
              <w:rPr>
                <w:rFonts w:eastAsia="Calibri"/>
                <w:sz w:val="18"/>
                <w:szCs w:val="18"/>
              </w:rPr>
            </w:pPr>
            <w:r w:rsidRPr="006219E1">
              <w:rPr>
                <w:rFonts w:eastAsia="Calibri"/>
                <w:sz w:val="18"/>
                <w:szCs w:val="18"/>
              </w:rPr>
              <w:t>October 2025 – November 2025</w:t>
            </w:r>
          </w:p>
        </w:tc>
      </w:tr>
    </w:tbl>
    <w:p w:rsidR="0052478B" w:rsidP="000C4293" w14:paraId="4B5A7674" w14:textId="77777777">
      <w:pPr>
        <w:suppressAutoHyphens/>
        <w:jc w:val="both"/>
        <w:rPr>
          <w:spacing w:val="-3"/>
        </w:rPr>
      </w:pPr>
    </w:p>
    <w:p w:rsidR="00994361" w:rsidP="000C4293" w14:paraId="4438F65D" w14:textId="77777777">
      <w:pPr>
        <w:suppressAutoHyphens/>
        <w:jc w:val="both"/>
        <w:rPr>
          <w:spacing w:val="-3"/>
        </w:rPr>
      </w:pPr>
    </w:p>
    <w:p w:rsidR="00EB5E96" w:rsidRPr="00596A43" w:rsidP="000C4293" w14:paraId="733EB5A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rsidR="00EB5E96" w:rsidRPr="00596A43" w:rsidP="000C4293" w14:paraId="47CC23E2" w14:textId="77777777">
      <w:pPr>
        <w:tabs>
          <w:tab w:val="left" w:pos="-720"/>
        </w:tabs>
        <w:suppressAutoHyphens/>
        <w:jc w:val="both"/>
      </w:pPr>
      <w:r w:rsidRPr="00596A43">
        <w:fldChar w:fldCharType="begin"/>
      </w:r>
      <w:r w:rsidRPr="00596A43">
        <w:instrText>ADVANCE \R 0.95</w:instrText>
      </w:r>
      <w:r w:rsidRPr="00596A43">
        <w:fldChar w:fldCharType="end"/>
      </w:r>
    </w:p>
    <w:p w:rsidR="00A57406" w:rsidRPr="006219E1" w:rsidP="000C4293" w14:paraId="51D78A65" w14:textId="3E3A3452">
      <w:pPr>
        <w:tabs>
          <w:tab w:val="left" w:pos="-720"/>
        </w:tabs>
        <w:suppressAutoHyphens/>
        <w:jc w:val="both"/>
      </w:pPr>
      <w:r w:rsidRPr="006219E1">
        <w:t>CISA</w:t>
      </w:r>
      <w:r w:rsidRPr="006219E1" w:rsidR="00F75114">
        <w:t xml:space="preserve"> will display the expiration date for OMB approval of this information collection.</w:t>
      </w:r>
    </w:p>
    <w:p w:rsidR="00F75114" w:rsidRPr="006219E1" w:rsidP="000C4293" w14:paraId="59E8AE34" w14:textId="77777777">
      <w:pPr>
        <w:tabs>
          <w:tab w:val="left" w:pos="-720"/>
        </w:tabs>
        <w:suppressAutoHyphens/>
        <w:jc w:val="both"/>
        <w:rPr>
          <w:spacing w:val="-3"/>
        </w:rPr>
      </w:pPr>
    </w:p>
    <w:p w:rsidR="00994361" w:rsidRPr="006219E1" w:rsidP="000C4293" w14:paraId="269FEF79" w14:textId="77777777">
      <w:pPr>
        <w:tabs>
          <w:tab w:val="left" w:pos="-720"/>
        </w:tabs>
        <w:suppressAutoHyphens/>
        <w:jc w:val="both"/>
        <w:rPr>
          <w:spacing w:val="-3"/>
        </w:rPr>
      </w:pPr>
    </w:p>
    <w:p w:rsidR="0077056F" w:rsidRPr="006219E1" w:rsidP="000C4293" w14:paraId="62727DFE" w14:textId="77777777">
      <w:pPr>
        <w:shd w:val="pct25" w:color="auto" w:fill="auto"/>
        <w:tabs>
          <w:tab w:val="left" w:pos="-720"/>
        </w:tabs>
        <w:suppressAutoHyphens/>
        <w:jc w:val="both"/>
      </w:pPr>
      <w:r w:rsidRPr="006219E1">
        <w:fldChar w:fldCharType="begin"/>
      </w:r>
      <w:r w:rsidRPr="006219E1">
        <w:instrText>ADVANCE \R 0.95</w:instrText>
      </w:r>
      <w:r w:rsidRPr="006219E1">
        <w:fldChar w:fldCharType="end"/>
      </w:r>
      <w:r w:rsidRPr="006219E1">
        <w:t>18.  Explain each exception to the certification statement identified in Item 19 “Certification for Paperwork Reduction Act Submissions,” of OMB Form 83-I.</w:t>
      </w:r>
    </w:p>
    <w:p w:rsidR="0077056F" w:rsidRPr="006219E1" w:rsidP="0077056F" w14:paraId="5D585DD3" w14:textId="77777777">
      <w:pPr>
        <w:tabs>
          <w:tab w:val="left" w:pos="-720"/>
        </w:tabs>
        <w:suppressAutoHyphens/>
        <w:jc w:val="both"/>
      </w:pPr>
    </w:p>
    <w:p w:rsidR="0077056F" w:rsidRPr="006219E1" w:rsidP="0077056F" w14:paraId="02825E03" w14:textId="0853E3D3">
      <w:pPr>
        <w:tabs>
          <w:tab w:val="left" w:pos="-720"/>
        </w:tabs>
        <w:suppressAutoHyphens/>
        <w:jc w:val="both"/>
      </w:pPr>
      <w:r w:rsidRPr="006219E1">
        <w:t>CISA</w:t>
      </w:r>
      <w:r w:rsidRPr="006219E1" w:rsidR="00994361">
        <w:t xml:space="preserve"> </w:t>
      </w:r>
      <w:r w:rsidRPr="006219E1" w:rsidR="00150640">
        <w:t>does not request an exception to the certification of this information collection</w:t>
      </w:r>
      <w:r w:rsidRPr="006219E1" w:rsidR="00994361">
        <w:t>.</w:t>
      </w:r>
    </w:p>
    <w:sectPr w:rsidSect="00460234">
      <w:footerReference w:type="even" r:id="rId14"/>
      <w:footerReference w:type="default" r:id="rId15"/>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17BEEDF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9D" w:rsidP="00DC6E79" w14:paraId="12BCA0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64064D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C2C">
      <w:rPr>
        <w:rStyle w:val="PageNumber"/>
        <w:noProof/>
      </w:rPr>
      <w:t>2</w:t>
    </w:r>
    <w:r>
      <w:rPr>
        <w:rStyle w:val="PageNumber"/>
      </w:rPr>
      <w:fldChar w:fldCharType="end"/>
    </w:r>
  </w:p>
  <w:p w:rsidR="001A199D" w:rsidP="00DC6E79" w14:paraId="60CC98EF"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0360" w14:paraId="21F3D7CE" w14:textId="77777777">
      <w:r>
        <w:separator/>
      </w:r>
    </w:p>
  </w:footnote>
  <w:footnote w:type="continuationSeparator" w:id="1">
    <w:p w:rsidR="00FA0360" w14:paraId="0E0EAAF4" w14:textId="77777777">
      <w:r>
        <w:continuationSeparator/>
      </w:r>
    </w:p>
  </w:footnote>
  <w:footnote w:type="continuationNotice" w:id="2">
    <w:p w:rsidR="00FA0360" w14:paraId="01F45D78" w14:textId="77777777"/>
  </w:footnote>
  <w:footnote w:id="3">
    <w:p w:rsidR="440B27BC" w:rsidP="008648D0" w14:paraId="0458359A" w14:textId="0D0A5D86">
      <w:pPr>
        <w:pStyle w:val="FootnoteText"/>
      </w:pPr>
      <w:r w:rsidRPr="440B27BC">
        <w:rPr>
          <w:rStyle w:val="FootnoteReference"/>
          <w:rFonts w:ascii="Times New Roman" w:eastAsia="Times New Roman" w:hAnsi="Times New Roman"/>
        </w:rPr>
        <w:footnoteRef/>
      </w:r>
      <w:r w:rsidRPr="008648D0">
        <w:rPr>
          <w:rFonts w:ascii="Times New Roman" w:eastAsia="Times New Roman" w:hAnsi="Times New Roman"/>
        </w:rPr>
        <w:t>https://www.bls.gov/oes/</w:t>
      </w:r>
      <w:r w:rsidR="00163304">
        <w:rPr>
          <w:rFonts w:ascii="Times New Roman" w:eastAsia="Times New Roman" w:hAnsi="Times New Roman"/>
          <w:lang w:val="en-US"/>
        </w:rPr>
        <w:t>2023/may</w:t>
      </w:r>
      <w:r w:rsidRPr="008648D0">
        <w:rPr>
          <w:rFonts w:ascii="Times New Roman" w:eastAsia="Times New Roman" w:hAnsi="Times New Roman"/>
        </w:rPr>
        <w:t>/oes_nat.htm#00-0000</w:t>
      </w:r>
    </w:p>
  </w:footnote>
  <w:footnote w:id="4">
    <w:p w:rsidR="440B27BC" w:rsidP="008648D0" w14:paraId="3E71AC47" w14:textId="6B3CC354">
      <w:pPr>
        <w:pStyle w:val="FootnoteText"/>
        <w:jc w:val="left"/>
      </w:pPr>
      <w:r w:rsidRPr="440B27BC">
        <w:rPr>
          <w:rStyle w:val="FootnoteReference"/>
          <w:rFonts w:ascii="Times New Roman" w:eastAsia="Times New Roman" w:hAnsi="Times New Roman"/>
        </w:rPr>
        <w:footnoteRef/>
      </w:r>
      <w:r w:rsidRPr="008648D0">
        <w:rPr>
          <w:rFonts w:ascii="Times New Roman" w:eastAsia="Times New Roman" w:hAnsi="Times New Roman"/>
        </w:rPr>
        <w:t xml:space="preserve"> The load factor is estimated by dividing Total compensation ($46.14) by Salaries and wages ($31.72) = 1.4546, based on the 2024 Q1 Bureau of Labor Statistics Employer Costs for Employee Compensation News Release, Table 2: Employer Costs for Employee Compensation for civilian workers by occupational and industry group. https://www.bls.gov/news.release/archives/ecec_06182024.htm</w:t>
      </w:r>
    </w:p>
    <w:p w:rsidR="440B27BC" w:rsidP="440B27BC" w14:paraId="47418469" w14:textId="318E478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8476EC4"/>
    <w:multiLevelType w:val="multilevel"/>
    <w:tmpl w:val="2B60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3">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4">
    <w:nsid w:val="5C3E05C1"/>
    <w:multiLevelType w:val="multilevel"/>
    <w:tmpl w:val="C5C6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6">
    <w:nsid w:val="5FA74506"/>
    <w:multiLevelType w:val="hybridMultilevel"/>
    <w:tmpl w:val="5BD44E16"/>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7">
    <w:nsid w:val="65F83198"/>
    <w:multiLevelType w:val="hybridMultilevel"/>
    <w:tmpl w:val="928A4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9">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0">
    <w:nsid w:val="76557CF8"/>
    <w:multiLevelType w:val="hybridMultilevel"/>
    <w:tmpl w:val="05F83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069578503">
    <w:abstractNumId w:val="6"/>
  </w:num>
  <w:num w:numId="2" w16cid:durableId="281814959">
    <w:abstractNumId w:val="19"/>
  </w:num>
  <w:num w:numId="3" w16cid:durableId="138765378">
    <w:abstractNumId w:val="23"/>
  </w:num>
  <w:num w:numId="4" w16cid:durableId="809907496">
    <w:abstractNumId w:val="11"/>
  </w:num>
  <w:num w:numId="5" w16cid:durableId="1571235477">
    <w:abstractNumId w:val="14"/>
  </w:num>
  <w:num w:numId="6" w16cid:durableId="1026297283">
    <w:abstractNumId w:val="20"/>
  </w:num>
  <w:num w:numId="7" w16cid:durableId="1384402679">
    <w:abstractNumId w:val="22"/>
  </w:num>
  <w:num w:numId="8" w16cid:durableId="851994611">
    <w:abstractNumId w:val="16"/>
  </w:num>
  <w:num w:numId="9" w16cid:durableId="1451129157">
    <w:abstractNumId w:val="8"/>
  </w:num>
  <w:num w:numId="10" w16cid:durableId="1148281217">
    <w:abstractNumId w:val="29"/>
  </w:num>
  <w:num w:numId="11" w16cid:durableId="2054691401">
    <w:abstractNumId w:val="13"/>
  </w:num>
  <w:num w:numId="12" w16cid:durableId="2100562122">
    <w:abstractNumId w:val="7"/>
  </w:num>
  <w:num w:numId="13" w16cid:durableId="956568699">
    <w:abstractNumId w:val="31"/>
  </w:num>
  <w:num w:numId="14" w16cid:durableId="1270430285">
    <w:abstractNumId w:val="5"/>
  </w:num>
  <w:num w:numId="15" w16cid:durableId="2044549465">
    <w:abstractNumId w:val="15"/>
  </w:num>
  <w:num w:numId="16" w16cid:durableId="1636528068">
    <w:abstractNumId w:val="10"/>
  </w:num>
  <w:num w:numId="17" w16cid:durableId="1854108703">
    <w:abstractNumId w:val="28"/>
  </w:num>
  <w:num w:numId="18" w16cid:durableId="697900465">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1899434505">
    <w:abstractNumId w:val="18"/>
  </w:num>
  <w:num w:numId="20" w16cid:durableId="1681195777">
    <w:abstractNumId w:val="25"/>
  </w:num>
  <w:num w:numId="21" w16cid:durableId="93407539">
    <w:abstractNumId w:val="17"/>
  </w:num>
  <w:num w:numId="22" w16cid:durableId="1252353871">
    <w:abstractNumId w:val="12"/>
  </w:num>
  <w:num w:numId="23" w16cid:durableId="651716113">
    <w:abstractNumId w:val="3"/>
  </w:num>
  <w:num w:numId="24" w16cid:durableId="228539683">
    <w:abstractNumId w:val="2"/>
  </w:num>
  <w:num w:numId="25" w16cid:durableId="648051304">
    <w:abstractNumId w:val="1"/>
  </w:num>
  <w:num w:numId="26" w16cid:durableId="920258840">
    <w:abstractNumId w:val="4"/>
  </w:num>
  <w:num w:numId="27" w16cid:durableId="1475483803">
    <w:abstractNumId w:val="9"/>
  </w:num>
  <w:num w:numId="28" w16cid:durableId="229198434">
    <w:abstractNumId w:val="26"/>
  </w:num>
  <w:num w:numId="29" w16cid:durableId="358900821">
    <w:abstractNumId w:val="24"/>
  </w:num>
  <w:num w:numId="30" w16cid:durableId="1571964026">
    <w:abstractNumId w:val="21"/>
  </w:num>
  <w:num w:numId="31" w16cid:durableId="1031758904">
    <w:abstractNumId w:val="30"/>
  </w:num>
  <w:num w:numId="32" w16cid:durableId="16488273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0CD8"/>
    <w:rsid w:val="000033E8"/>
    <w:rsid w:val="00007281"/>
    <w:rsid w:val="00007D6C"/>
    <w:rsid w:val="00012FBC"/>
    <w:rsid w:val="000138F9"/>
    <w:rsid w:val="000216F7"/>
    <w:rsid w:val="000221EE"/>
    <w:rsid w:val="00025A5D"/>
    <w:rsid w:val="0002602A"/>
    <w:rsid w:val="00026F71"/>
    <w:rsid w:val="000319C5"/>
    <w:rsid w:val="00031ED5"/>
    <w:rsid w:val="000335C8"/>
    <w:rsid w:val="00034FB5"/>
    <w:rsid w:val="0003787A"/>
    <w:rsid w:val="0004096D"/>
    <w:rsid w:val="00042924"/>
    <w:rsid w:val="00046AE5"/>
    <w:rsid w:val="00046CB2"/>
    <w:rsid w:val="00047173"/>
    <w:rsid w:val="00047689"/>
    <w:rsid w:val="00051245"/>
    <w:rsid w:val="00051FDA"/>
    <w:rsid w:val="00053739"/>
    <w:rsid w:val="00053802"/>
    <w:rsid w:val="00053AD5"/>
    <w:rsid w:val="00056A6E"/>
    <w:rsid w:val="00057446"/>
    <w:rsid w:val="00057558"/>
    <w:rsid w:val="00060562"/>
    <w:rsid w:val="00060A28"/>
    <w:rsid w:val="00060A86"/>
    <w:rsid w:val="000667AD"/>
    <w:rsid w:val="00070BCB"/>
    <w:rsid w:val="000721BE"/>
    <w:rsid w:val="000725E1"/>
    <w:rsid w:val="00076EF2"/>
    <w:rsid w:val="00081901"/>
    <w:rsid w:val="00081B71"/>
    <w:rsid w:val="0009313B"/>
    <w:rsid w:val="00094616"/>
    <w:rsid w:val="000963AA"/>
    <w:rsid w:val="000A14FB"/>
    <w:rsid w:val="000A3F18"/>
    <w:rsid w:val="000A4358"/>
    <w:rsid w:val="000A4447"/>
    <w:rsid w:val="000A4F5B"/>
    <w:rsid w:val="000A6FC5"/>
    <w:rsid w:val="000B399B"/>
    <w:rsid w:val="000C2A88"/>
    <w:rsid w:val="000C4293"/>
    <w:rsid w:val="000C52C7"/>
    <w:rsid w:val="000C584E"/>
    <w:rsid w:val="000C78D9"/>
    <w:rsid w:val="000D0877"/>
    <w:rsid w:val="000D0AEB"/>
    <w:rsid w:val="000D2680"/>
    <w:rsid w:val="000D26F2"/>
    <w:rsid w:val="000D2BD4"/>
    <w:rsid w:val="000E5AEE"/>
    <w:rsid w:val="000E5B3D"/>
    <w:rsid w:val="000E71AF"/>
    <w:rsid w:val="000E7B5C"/>
    <w:rsid w:val="000F5277"/>
    <w:rsid w:val="0010054B"/>
    <w:rsid w:val="00101A98"/>
    <w:rsid w:val="00101A9D"/>
    <w:rsid w:val="00102184"/>
    <w:rsid w:val="00104C8D"/>
    <w:rsid w:val="00110642"/>
    <w:rsid w:val="001137C6"/>
    <w:rsid w:val="00122025"/>
    <w:rsid w:val="001305EB"/>
    <w:rsid w:val="00132A5A"/>
    <w:rsid w:val="001335DE"/>
    <w:rsid w:val="00134135"/>
    <w:rsid w:val="00135D6B"/>
    <w:rsid w:val="00137528"/>
    <w:rsid w:val="001408DE"/>
    <w:rsid w:val="00141549"/>
    <w:rsid w:val="00141C5C"/>
    <w:rsid w:val="00143D3D"/>
    <w:rsid w:val="00146215"/>
    <w:rsid w:val="00146506"/>
    <w:rsid w:val="00150640"/>
    <w:rsid w:val="00154DD0"/>
    <w:rsid w:val="0015593C"/>
    <w:rsid w:val="00161E66"/>
    <w:rsid w:val="001625BF"/>
    <w:rsid w:val="00163304"/>
    <w:rsid w:val="00164760"/>
    <w:rsid w:val="00165488"/>
    <w:rsid w:val="00166CA9"/>
    <w:rsid w:val="00167230"/>
    <w:rsid w:val="00171F2B"/>
    <w:rsid w:val="00174B9D"/>
    <w:rsid w:val="00175412"/>
    <w:rsid w:val="00176313"/>
    <w:rsid w:val="0018136A"/>
    <w:rsid w:val="00181D61"/>
    <w:rsid w:val="00183A82"/>
    <w:rsid w:val="00184915"/>
    <w:rsid w:val="001872C8"/>
    <w:rsid w:val="0019041E"/>
    <w:rsid w:val="00191158"/>
    <w:rsid w:val="00191C08"/>
    <w:rsid w:val="00193972"/>
    <w:rsid w:val="00194A62"/>
    <w:rsid w:val="00197B49"/>
    <w:rsid w:val="001A199D"/>
    <w:rsid w:val="001A24C7"/>
    <w:rsid w:val="001A2C95"/>
    <w:rsid w:val="001A32FD"/>
    <w:rsid w:val="001B1B61"/>
    <w:rsid w:val="001B1FCA"/>
    <w:rsid w:val="001B231C"/>
    <w:rsid w:val="001B2714"/>
    <w:rsid w:val="001B2760"/>
    <w:rsid w:val="001B517B"/>
    <w:rsid w:val="001B6DF0"/>
    <w:rsid w:val="001C01B4"/>
    <w:rsid w:val="001C1170"/>
    <w:rsid w:val="001C18B1"/>
    <w:rsid w:val="001C4B22"/>
    <w:rsid w:val="001C4C9B"/>
    <w:rsid w:val="001C4CC1"/>
    <w:rsid w:val="001D4F3D"/>
    <w:rsid w:val="001D7AB5"/>
    <w:rsid w:val="001E0342"/>
    <w:rsid w:val="001E1E53"/>
    <w:rsid w:val="001E24B6"/>
    <w:rsid w:val="001E25FC"/>
    <w:rsid w:val="001E619C"/>
    <w:rsid w:val="001F3D4E"/>
    <w:rsid w:val="001F652F"/>
    <w:rsid w:val="001F6EB8"/>
    <w:rsid w:val="00202FB8"/>
    <w:rsid w:val="002030D4"/>
    <w:rsid w:val="00203848"/>
    <w:rsid w:val="00205739"/>
    <w:rsid w:val="0021165E"/>
    <w:rsid w:val="002135B3"/>
    <w:rsid w:val="00213F34"/>
    <w:rsid w:val="002223DD"/>
    <w:rsid w:val="00222489"/>
    <w:rsid w:val="0022399E"/>
    <w:rsid w:val="00223FA6"/>
    <w:rsid w:val="0022626A"/>
    <w:rsid w:val="00232278"/>
    <w:rsid w:val="0023349F"/>
    <w:rsid w:val="00235123"/>
    <w:rsid w:val="002366B4"/>
    <w:rsid w:val="00237711"/>
    <w:rsid w:val="0024371D"/>
    <w:rsid w:val="002443F0"/>
    <w:rsid w:val="002451D9"/>
    <w:rsid w:val="00250830"/>
    <w:rsid w:val="00251725"/>
    <w:rsid w:val="00252A7E"/>
    <w:rsid w:val="00252E0E"/>
    <w:rsid w:val="002545FB"/>
    <w:rsid w:val="002578EC"/>
    <w:rsid w:val="00262E6B"/>
    <w:rsid w:val="00263025"/>
    <w:rsid w:val="00263F50"/>
    <w:rsid w:val="00264251"/>
    <w:rsid w:val="00264743"/>
    <w:rsid w:val="0026788F"/>
    <w:rsid w:val="00270182"/>
    <w:rsid w:val="00272CF0"/>
    <w:rsid w:val="00274498"/>
    <w:rsid w:val="00274B92"/>
    <w:rsid w:val="002840AB"/>
    <w:rsid w:val="0028437F"/>
    <w:rsid w:val="0029007F"/>
    <w:rsid w:val="002900C5"/>
    <w:rsid w:val="00290AAB"/>
    <w:rsid w:val="00292D20"/>
    <w:rsid w:val="00295690"/>
    <w:rsid w:val="00297C37"/>
    <w:rsid w:val="002A58D0"/>
    <w:rsid w:val="002A6782"/>
    <w:rsid w:val="002A7031"/>
    <w:rsid w:val="002B0649"/>
    <w:rsid w:val="002B2138"/>
    <w:rsid w:val="002B216C"/>
    <w:rsid w:val="002B2A33"/>
    <w:rsid w:val="002B4BF6"/>
    <w:rsid w:val="002B7825"/>
    <w:rsid w:val="002C05B0"/>
    <w:rsid w:val="002C2890"/>
    <w:rsid w:val="002C5411"/>
    <w:rsid w:val="002D57E6"/>
    <w:rsid w:val="002D6219"/>
    <w:rsid w:val="002D65E3"/>
    <w:rsid w:val="002E2754"/>
    <w:rsid w:val="002E3A37"/>
    <w:rsid w:val="002E3A6B"/>
    <w:rsid w:val="002E5332"/>
    <w:rsid w:val="002F0318"/>
    <w:rsid w:val="002F0A27"/>
    <w:rsid w:val="002F105D"/>
    <w:rsid w:val="002F2A01"/>
    <w:rsid w:val="002F2BC7"/>
    <w:rsid w:val="002F49E0"/>
    <w:rsid w:val="002F5FDA"/>
    <w:rsid w:val="00302F36"/>
    <w:rsid w:val="0030696F"/>
    <w:rsid w:val="00311BAC"/>
    <w:rsid w:val="00312911"/>
    <w:rsid w:val="00312E0A"/>
    <w:rsid w:val="00316B2B"/>
    <w:rsid w:val="00317075"/>
    <w:rsid w:val="00317E8D"/>
    <w:rsid w:val="00320E95"/>
    <w:rsid w:val="00322A9E"/>
    <w:rsid w:val="00323CBE"/>
    <w:rsid w:val="003301DB"/>
    <w:rsid w:val="003320A9"/>
    <w:rsid w:val="00333D1E"/>
    <w:rsid w:val="00337850"/>
    <w:rsid w:val="00337A9F"/>
    <w:rsid w:val="003403DB"/>
    <w:rsid w:val="00340777"/>
    <w:rsid w:val="00340FFD"/>
    <w:rsid w:val="00341039"/>
    <w:rsid w:val="00341049"/>
    <w:rsid w:val="0034148A"/>
    <w:rsid w:val="00342B85"/>
    <w:rsid w:val="003448F9"/>
    <w:rsid w:val="00350700"/>
    <w:rsid w:val="003536D4"/>
    <w:rsid w:val="00353980"/>
    <w:rsid w:val="00360B5A"/>
    <w:rsid w:val="00362111"/>
    <w:rsid w:val="00364EE8"/>
    <w:rsid w:val="003656EA"/>
    <w:rsid w:val="0037322A"/>
    <w:rsid w:val="00374A54"/>
    <w:rsid w:val="00375795"/>
    <w:rsid w:val="00376BF8"/>
    <w:rsid w:val="00377C2E"/>
    <w:rsid w:val="00377D10"/>
    <w:rsid w:val="003811A2"/>
    <w:rsid w:val="00381915"/>
    <w:rsid w:val="00381F93"/>
    <w:rsid w:val="00383993"/>
    <w:rsid w:val="00383A50"/>
    <w:rsid w:val="0038456C"/>
    <w:rsid w:val="0039325E"/>
    <w:rsid w:val="00394081"/>
    <w:rsid w:val="003A0798"/>
    <w:rsid w:val="003A221C"/>
    <w:rsid w:val="003A3B94"/>
    <w:rsid w:val="003A410D"/>
    <w:rsid w:val="003A4655"/>
    <w:rsid w:val="003A56B8"/>
    <w:rsid w:val="003A5F80"/>
    <w:rsid w:val="003A6A82"/>
    <w:rsid w:val="003B1574"/>
    <w:rsid w:val="003B3B38"/>
    <w:rsid w:val="003B3C46"/>
    <w:rsid w:val="003B47A3"/>
    <w:rsid w:val="003B4B56"/>
    <w:rsid w:val="003B5E20"/>
    <w:rsid w:val="003B68FA"/>
    <w:rsid w:val="003B6BC6"/>
    <w:rsid w:val="003B7E8C"/>
    <w:rsid w:val="003C2332"/>
    <w:rsid w:val="003C2443"/>
    <w:rsid w:val="003C4DEC"/>
    <w:rsid w:val="003C7EB7"/>
    <w:rsid w:val="003D0762"/>
    <w:rsid w:val="003D2D93"/>
    <w:rsid w:val="003D472B"/>
    <w:rsid w:val="003D64C9"/>
    <w:rsid w:val="003D6C6C"/>
    <w:rsid w:val="003E0388"/>
    <w:rsid w:val="003E0D23"/>
    <w:rsid w:val="003E2CC1"/>
    <w:rsid w:val="003E4418"/>
    <w:rsid w:val="003E6467"/>
    <w:rsid w:val="003E6B00"/>
    <w:rsid w:val="003E6DD8"/>
    <w:rsid w:val="003E755D"/>
    <w:rsid w:val="003F056D"/>
    <w:rsid w:val="003F0E07"/>
    <w:rsid w:val="003F269E"/>
    <w:rsid w:val="003F2C89"/>
    <w:rsid w:val="003F3F6D"/>
    <w:rsid w:val="0040411C"/>
    <w:rsid w:val="0040490F"/>
    <w:rsid w:val="00405F8C"/>
    <w:rsid w:val="00407391"/>
    <w:rsid w:val="004076BD"/>
    <w:rsid w:val="00413E8E"/>
    <w:rsid w:val="004167B7"/>
    <w:rsid w:val="004227B5"/>
    <w:rsid w:val="00425B80"/>
    <w:rsid w:val="00426A22"/>
    <w:rsid w:val="00433166"/>
    <w:rsid w:val="004367F4"/>
    <w:rsid w:val="0044465F"/>
    <w:rsid w:val="0044558A"/>
    <w:rsid w:val="00447C3A"/>
    <w:rsid w:val="00451AA9"/>
    <w:rsid w:val="00460234"/>
    <w:rsid w:val="00462C47"/>
    <w:rsid w:val="00463B6A"/>
    <w:rsid w:val="00474489"/>
    <w:rsid w:val="00474D40"/>
    <w:rsid w:val="00480B28"/>
    <w:rsid w:val="00482F9B"/>
    <w:rsid w:val="0048427D"/>
    <w:rsid w:val="004845E2"/>
    <w:rsid w:val="0048610B"/>
    <w:rsid w:val="004920E9"/>
    <w:rsid w:val="00492440"/>
    <w:rsid w:val="004924AB"/>
    <w:rsid w:val="004A0DE6"/>
    <w:rsid w:val="004A1F78"/>
    <w:rsid w:val="004A42B4"/>
    <w:rsid w:val="004A5AE1"/>
    <w:rsid w:val="004B62D9"/>
    <w:rsid w:val="004C04E4"/>
    <w:rsid w:val="004C1958"/>
    <w:rsid w:val="004C1968"/>
    <w:rsid w:val="004C21F8"/>
    <w:rsid w:val="004C5DDB"/>
    <w:rsid w:val="004C73D5"/>
    <w:rsid w:val="004C75E2"/>
    <w:rsid w:val="004D208E"/>
    <w:rsid w:val="004D31EF"/>
    <w:rsid w:val="004D543D"/>
    <w:rsid w:val="004E3F17"/>
    <w:rsid w:val="004E6C95"/>
    <w:rsid w:val="004F19C6"/>
    <w:rsid w:val="004F1D3E"/>
    <w:rsid w:val="005017BC"/>
    <w:rsid w:val="00502D04"/>
    <w:rsid w:val="00503C69"/>
    <w:rsid w:val="005047A8"/>
    <w:rsid w:val="00507A4E"/>
    <w:rsid w:val="0051005D"/>
    <w:rsid w:val="00510D5E"/>
    <w:rsid w:val="00513942"/>
    <w:rsid w:val="00513F46"/>
    <w:rsid w:val="00514EEE"/>
    <w:rsid w:val="00516F60"/>
    <w:rsid w:val="005202D4"/>
    <w:rsid w:val="0052478B"/>
    <w:rsid w:val="00526FF2"/>
    <w:rsid w:val="005305F3"/>
    <w:rsid w:val="00533796"/>
    <w:rsid w:val="00537EBE"/>
    <w:rsid w:val="00540310"/>
    <w:rsid w:val="00540800"/>
    <w:rsid w:val="00541586"/>
    <w:rsid w:val="005416F5"/>
    <w:rsid w:val="005420D3"/>
    <w:rsid w:val="00542C21"/>
    <w:rsid w:val="00543063"/>
    <w:rsid w:val="005448AC"/>
    <w:rsid w:val="00546CE1"/>
    <w:rsid w:val="00550B78"/>
    <w:rsid w:val="00551B5E"/>
    <w:rsid w:val="005546F6"/>
    <w:rsid w:val="005549D3"/>
    <w:rsid w:val="005570A3"/>
    <w:rsid w:val="00562410"/>
    <w:rsid w:val="00564500"/>
    <w:rsid w:val="005729AD"/>
    <w:rsid w:val="00573B59"/>
    <w:rsid w:val="00580711"/>
    <w:rsid w:val="005817B5"/>
    <w:rsid w:val="00582F4C"/>
    <w:rsid w:val="00584D45"/>
    <w:rsid w:val="00586241"/>
    <w:rsid w:val="0058699D"/>
    <w:rsid w:val="00586BF1"/>
    <w:rsid w:val="005903DD"/>
    <w:rsid w:val="00590524"/>
    <w:rsid w:val="00590C4B"/>
    <w:rsid w:val="005924FE"/>
    <w:rsid w:val="005940EE"/>
    <w:rsid w:val="00596A43"/>
    <w:rsid w:val="00597286"/>
    <w:rsid w:val="00597610"/>
    <w:rsid w:val="005A0729"/>
    <w:rsid w:val="005A0C14"/>
    <w:rsid w:val="005A25E1"/>
    <w:rsid w:val="005A30A6"/>
    <w:rsid w:val="005A594E"/>
    <w:rsid w:val="005B03DC"/>
    <w:rsid w:val="005B3743"/>
    <w:rsid w:val="005B7C84"/>
    <w:rsid w:val="005C108E"/>
    <w:rsid w:val="005C3DCA"/>
    <w:rsid w:val="005C4331"/>
    <w:rsid w:val="005C472E"/>
    <w:rsid w:val="005C7058"/>
    <w:rsid w:val="005D0375"/>
    <w:rsid w:val="005D0717"/>
    <w:rsid w:val="005D0AE5"/>
    <w:rsid w:val="005D0E97"/>
    <w:rsid w:val="005D2E57"/>
    <w:rsid w:val="005D6A41"/>
    <w:rsid w:val="005D6EC2"/>
    <w:rsid w:val="005D7769"/>
    <w:rsid w:val="005D781B"/>
    <w:rsid w:val="005E0A04"/>
    <w:rsid w:val="005E2955"/>
    <w:rsid w:val="005E2C53"/>
    <w:rsid w:val="005E5AE4"/>
    <w:rsid w:val="005E5F0E"/>
    <w:rsid w:val="005F3CFC"/>
    <w:rsid w:val="006044E0"/>
    <w:rsid w:val="00606982"/>
    <w:rsid w:val="00607843"/>
    <w:rsid w:val="00611A63"/>
    <w:rsid w:val="006145D1"/>
    <w:rsid w:val="00615DFD"/>
    <w:rsid w:val="006219E1"/>
    <w:rsid w:val="0062341B"/>
    <w:rsid w:val="00625391"/>
    <w:rsid w:val="0062733D"/>
    <w:rsid w:val="00630708"/>
    <w:rsid w:val="00631291"/>
    <w:rsid w:val="00631FAB"/>
    <w:rsid w:val="006326F1"/>
    <w:rsid w:val="00635470"/>
    <w:rsid w:val="00636364"/>
    <w:rsid w:val="006366F8"/>
    <w:rsid w:val="0064047C"/>
    <w:rsid w:val="006432AD"/>
    <w:rsid w:val="006464B6"/>
    <w:rsid w:val="00650A61"/>
    <w:rsid w:val="00651D1D"/>
    <w:rsid w:val="006532F5"/>
    <w:rsid w:val="00654134"/>
    <w:rsid w:val="00654C9F"/>
    <w:rsid w:val="00657687"/>
    <w:rsid w:val="0066300A"/>
    <w:rsid w:val="00664803"/>
    <w:rsid w:val="006651B2"/>
    <w:rsid w:val="00666B1C"/>
    <w:rsid w:val="00667FCF"/>
    <w:rsid w:val="006708D5"/>
    <w:rsid w:val="00670988"/>
    <w:rsid w:val="006749D4"/>
    <w:rsid w:val="00681BB6"/>
    <w:rsid w:val="0068258B"/>
    <w:rsid w:val="006859DC"/>
    <w:rsid w:val="0068756F"/>
    <w:rsid w:val="00690D75"/>
    <w:rsid w:val="00696C25"/>
    <w:rsid w:val="00697305"/>
    <w:rsid w:val="00697338"/>
    <w:rsid w:val="006A0779"/>
    <w:rsid w:val="006A0B1C"/>
    <w:rsid w:val="006A126A"/>
    <w:rsid w:val="006A244D"/>
    <w:rsid w:val="006A4594"/>
    <w:rsid w:val="006A7FF1"/>
    <w:rsid w:val="006B0B6B"/>
    <w:rsid w:val="006B3559"/>
    <w:rsid w:val="006B4994"/>
    <w:rsid w:val="006B56B1"/>
    <w:rsid w:val="006C3B7A"/>
    <w:rsid w:val="006C44F7"/>
    <w:rsid w:val="006D0E62"/>
    <w:rsid w:val="006D1ABF"/>
    <w:rsid w:val="006D2787"/>
    <w:rsid w:val="006D4001"/>
    <w:rsid w:val="006D5CCE"/>
    <w:rsid w:val="006D5EB7"/>
    <w:rsid w:val="006D771C"/>
    <w:rsid w:val="006D785E"/>
    <w:rsid w:val="006E0B8E"/>
    <w:rsid w:val="006E269F"/>
    <w:rsid w:val="006E32D9"/>
    <w:rsid w:val="006E4F17"/>
    <w:rsid w:val="006F30B5"/>
    <w:rsid w:val="006F56C4"/>
    <w:rsid w:val="00701B52"/>
    <w:rsid w:val="00707E69"/>
    <w:rsid w:val="00710227"/>
    <w:rsid w:val="007116BC"/>
    <w:rsid w:val="00712A0B"/>
    <w:rsid w:val="00713558"/>
    <w:rsid w:val="007137A4"/>
    <w:rsid w:val="007141ED"/>
    <w:rsid w:val="00726B75"/>
    <w:rsid w:val="007277A8"/>
    <w:rsid w:val="00741B83"/>
    <w:rsid w:val="007426DC"/>
    <w:rsid w:val="00742F2D"/>
    <w:rsid w:val="007443F3"/>
    <w:rsid w:val="007447A6"/>
    <w:rsid w:val="00747E70"/>
    <w:rsid w:val="00752D76"/>
    <w:rsid w:val="00754EB2"/>
    <w:rsid w:val="007571F8"/>
    <w:rsid w:val="0075772E"/>
    <w:rsid w:val="00760399"/>
    <w:rsid w:val="00762809"/>
    <w:rsid w:val="00763820"/>
    <w:rsid w:val="007665AA"/>
    <w:rsid w:val="00767631"/>
    <w:rsid w:val="0077056F"/>
    <w:rsid w:val="00770A54"/>
    <w:rsid w:val="00775631"/>
    <w:rsid w:val="007775C8"/>
    <w:rsid w:val="00777DED"/>
    <w:rsid w:val="00784B44"/>
    <w:rsid w:val="00785A9A"/>
    <w:rsid w:val="007967F0"/>
    <w:rsid w:val="00796AB1"/>
    <w:rsid w:val="007A2339"/>
    <w:rsid w:val="007A423B"/>
    <w:rsid w:val="007A66B5"/>
    <w:rsid w:val="007A6D07"/>
    <w:rsid w:val="007B19B3"/>
    <w:rsid w:val="007B2C1E"/>
    <w:rsid w:val="007B59C1"/>
    <w:rsid w:val="007B5D9D"/>
    <w:rsid w:val="007C0E87"/>
    <w:rsid w:val="007C190A"/>
    <w:rsid w:val="007C39C0"/>
    <w:rsid w:val="007C3B0D"/>
    <w:rsid w:val="007C6989"/>
    <w:rsid w:val="007C79A7"/>
    <w:rsid w:val="007D0399"/>
    <w:rsid w:val="007D28B9"/>
    <w:rsid w:val="007D43FC"/>
    <w:rsid w:val="007D6212"/>
    <w:rsid w:val="007E0EFC"/>
    <w:rsid w:val="007E7592"/>
    <w:rsid w:val="007F61EC"/>
    <w:rsid w:val="007F7771"/>
    <w:rsid w:val="007F78DC"/>
    <w:rsid w:val="007F79EE"/>
    <w:rsid w:val="00800722"/>
    <w:rsid w:val="00800B1B"/>
    <w:rsid w:val="00802658"/>
    <w:rsid w:val="00804556"/>
    <w:rsid w:val="00810D28"/>
    <w:rsid w:val="00822CA9"/>
    <w:rsid w:val="00825C3D"/>
    <w:rsid w:val="00833475"/>
    <w:rsid w:val="008350A1"/>
    <w:rsid w:val="00835B42"/>
    <w:rsid w:val="00837A56"/>
    <w:rsid w:val="00840206"/>
    <w:rsid w:val="00840338"/>
    <w:rsid w:val="0084066C"/>
    <w:rsid w:val="008419A6"/>
    <w:rsid w:val="00846048"/>
    <w:rsid w:val="0084685B"/>
    <w:rsid w:val="008500FB"/>
    <w:rsid w:val="00850BCF"/>
    <w:rsid w:val="00851BF1"/>
    <w:rsid w:val="008547DC"/>
    <w:rsid w:val="008551F4"/>
    <w:rsid w:val="0085645B"/>
    <w:rsid w:val="008571DF"/>
    <w:rsid w:val="008577E6"/>
    <w:rsid w:val="0086040F"/>
    <w:rsid w:val="008645C5"/>
    <w:rsid w:val="008648D0"/>
    <w:rsid w:val="00865D19"/>
    <w:rsid w:val="0087090C"/>
    <w:rsid w:val="008719E8"/>
    <w:rsid w:val="008724DE"/>
    <w:rsid w:val="00873054"/>
    <w:rsid w:val="00875586"/>
    <w:rsid w:val="00877753"/>
    <w:rsid w:val="008804CB"/>
    <w:rsid w:val="0088374F"/>
    <w:rsid w:val="00883E6C"/>
    <w:rsid w:val="008848DB"/>
    <w:rsid w:val="00884B2F"/>
    <w:rsid w:val="0088594B"/>
    <w:rsid w:val="00887178"/>
    <w:rsid w:val="008924F0"/>
    <w:rsid w:val="00893D9E"/>
    <w:rsid w:val="00895E73"/>
    <w:rsid w:val="0089711A"/>
    <w:rsid w:val="00897962"/>
    <w:rsid w:val="008A165F"/>
    <w:rsid w:val="008A18AB"/>
    <w:rsid w:val="008A221D"/>
    <w:rsid w:val="008A6763"/>
    <w:rsid w:val="008A698A"/>
    <w:rsid w:val="008B1333"/>
    <w:rsid w:val="008B1BA8"/>
    <w:rsid w:val="008B38A9"/>
    <w:rsid w:val="008B467C"/>
    <w:rsid w:val="008B4728"/>
    <w:rsid w:val="008B51DE"/>
    <w:rsid w:val="008B6F0E"/>
    <w:rsid w:val="008B7403"/>
    <w:rsid w:val="008B7F2B"/>
    <w:rsid w:val="008C0B37"/>
    <w:rsid w:val="008C1CBE"/>
    <w:rsid w:val="008C27C3"/>
    <w:rsid w:val="008C293E"/>
    <w:rsid w:val="008C2F1F"/>
    <w:rsid w:val="008D1AAD"/>
    <w:rsid w:val="008D5A33"/>
    <w:rsid w:val="008D61ED"/>
    <w:rsid w:val="008D6F53"/>
    <w:rsid w:val="008D744F"/>
    <w:rsid w:val="008D7E3F"/>
    <w:rsid w:val="008E2061"/>
    <w:rsid w:val="008E4152"/>
    <w:rsid w:val="008E7F17"/>
    <w:rsid w:val="008F272E"/>
    <w:rsid w:val="008F2F44"/>
    <w:rsid w:val="008F4183"/>
    <w:rsid w:val="008F5EAB"/>
    <w:rsid w:val="008F5FC2"/>
    <w:rsid w:val="008F6CDE"/>
    <w:rsid w:val="008F730A"/>
    <w:rsid w:val="00912DD8"/>
    <w:rsid w:val="0091335F"/>
    <w:rsid w:val="00913A27"/>
    <w:rsid w:val="009155E4"/>
    <w:rsid w:val="00916B93"/>
    <w:rsid w:val="0091750F"/>
    <w:rsid w:val="00917BAF"/>
    <w:rsid w:val="00921B6A"/>
    <w:rsid w:val="009224A1"/>
    <w:rsid w:val="009228E8"/>
    <w:rsid w:val="00924C84"/>
    <w:rsid w:val="00925305"/>
    <w:rsid w:val="00926B19"/>
    <w:rsid w:val="00927A52"/>
    <w:rsid w:val="00934CF8"/>
    <w:rsid w:val="0093542A"/>
    <w:rsid w:val="009361D5"/>
    <w:rsid w:val="00936824"/>
    <w:rsid w:val="00942617"/>
    <w:rsid w:val="0094389A"/>
    <w:rsid w:val="00943A3F"/>
    <w:rsid w:val="00944494"/>
    <w:rsid w:val="009447D2"/>
    <w:rsid w:val="009450E7"/>
    <w:rsid w:val="00945106"/>
    <w:rsid w:val="00946B58"/>
    <w:rsid w:val="00946D29"/>
    <w:rsid w:val="009501B2"/>
    <w:rsid w:val="00950789"/>
    <w:rsid w:val="00951EEE"/>
    <w:rsid w:val="0095231D"/>
    <w:rsid w:val="009539A8"/>
    <w:rsid w:val="00953E52"/>
    <w:rsid w:val="00954901"/>
    <w:rsid w:val="009573D4"/>
    <w:rsid w:val="00961FD6"/>
    <w:rsid w:val="0096453F"/>
    <w:rsid w:val="0096454B"/>
    <w:rsid w:val="00965888"/>
    <w:rsid w:val="0096736F"/>
    <w:rsid w:val="0097514C"/>
    <w:rsid w:val="009773B0"/>
    <w:rsid w:val="00981A3D"/>
    <w:rsid w:val="00987EC2"/>
    <w:rsid w:val="00991F18"/>
    <w:rsid w:val="00993095"/>
    <w:rsid w:val="00993801"/>
    <w:rsid w:val="00993F06"/>
    <w:rsid w:val="00994361"/>
    <w:rsid w:val="00995211"/>
    <w:rsid w:val="00996829"/>
    <w:rsid w:val="009A04AF"/>
    <w:rsid w:val="009A1821"/>
    <w:rsid w:val="009A2357"/>
    <w:rsid w:val="009A6E39"/>
    <w:rsid w:val="009A7B24"/>
    <w:rsid w:val="009B4A68"/>
    <w:rsid w:val="009B5183"/>
    <w:rsid w:val="009C19F1"/>
    <w:rsid w:val="009C2778"/>
    <w:rsid w:val="009C2A4E"/>
    <w:rsid w:val="009C4299"/>
    <w:rsid w:val="009C4719"/>
    <w:rsid w:val="009C6CD7"/>
    <w:rsid w:val="009C7BBD"/>
    <w:rsid w:val="009D0EDC"/>
    <w:rsid w:val="009D149B"/>
    <w:rsid w:val="009D2C3C"/>
    <w:rsid w:val="009E59FE"/>
    <w:rsid w:val="009E73B6"/>
    <w:rsid w:val="009F06EB"/>
    <w:rsid w:val="009F25F0"/>
    <w:rsid w:val="009F48DE"/>
    <w:rsid w:val="009F5E5D"/>
    <w:rsid w:val="009F6171"/>
    <w:rsid w:val="00A00007"/>
    <w:rsid w:val="00A01887"/>
    <w:rsid w:val="00A02F9B"/>
    <w:rsid w:val="00A0781B"/>
    <w:rsid w:val="00A12A9E"/>
    <w:rsid w:val="00A2037D"/>
    <w:rsid w:val="00A24EF4"/>
    <w:rsid w:val="00A36EAA"/>
    <w:rsid w:val="00A37DC3"/>
    <w:rsid w:val="00A37ECC"/>
    <w:rsid w:val="00A40CB0"/>
    <w:rsid w:val="00A42A18"/>
    <w:rsid w:val="00A42E47"/>
    <w:rsid w:val="00A454DB"/>
    <w:rsid w:val="00A476E8"/>
    <w:rsid w:val="00A57406"/>
    <w:rsid w:val="00A62A74"/>
    <w:rsid w:val="00A679EA"/>
    <w:rsid w:val="00A7208C"/>
    <w:rsid w:val="00A75AF7"/>
    <w:rsid w:val="00A83BBF"/>
    <w:rsid w:val="00A85317"/>
    <w:rsid w:val="00A86EFF"/>
    <w:rsid w:val="00A93069"/>
    <w:rsid w:val="00AA09F9"/>
    <w:rsid w:val="00AA3B3C"/>
    <w:rsid w:val="00AA3F82"/>
    <w:rsid w:val="00AA6813"/>
    <w:rsid w:val="00AB0AC9"/>
    <w:rsid w:val="00AB3AAD"/>
    <w:rsid w:val="00AC0161"/>
    <w:rsid w:val="00AC215C"/>
    <w:rsid w:val="00AC2315"/>
    <w:rsid w:val="00AC28C4"/>
    <w:rsid w:val="00AC5CAB"/>
    <w:rsid w:val="00AD45BF"/>
    <w:rsid w:val="00AD524B"/>
    <w:rsid w:val="00AE0242"/>
    <w:rsid w:val="00AE0D1F"/>
    <w:rsid w:val="00AE2606"/>
    <w:rsid w:val="00AE26FE"/>
    <w:rsid w:val="00AE275D"/>
    <w:rsid w:val="00AE2ECB"/>
    <w:rsid w:val="00AE41B7"/>
    <w:rsid w:val="00AF3ED0"/>
    <w:rsid w:val="00AF4918"/>
    <w:rsid w:val="00AF52B0"/>
    <w:rsid w:val="00AF71FB"/>
    <w:rsid w:val="00AF7232"/>
    <w:rsid w:val="00AF77ED"/>
    <w:rsid w:val="00B00849"/>
    <w:rsid w:val="00B01DE1"/>
    <w:rsid w:val="00B02152"/>
    <w:rsid w:val="00B0379A"/>
    <w:rsid w:val="00B047C3"/>
    <w:rsid w:val="00B05696"/>
    <w:rsid w:val="00B0714A"/>
    <w:rsid w:val="00B101EC"/>
    <w:rsid w:val="00B109D4"/>
    <w:rsid w:val="00B128D9"/>
    <w:rsid w:val="00B139CF"/>
    <w:rsid w:val="00B16370"/>
    <w:rsid w:val="00B17D05"/>
    <w:rsid w:val="00B2024F"/>
    <w:rsid w:val="00B23792"/>
    <w:rsid w:val="00B24910"/>
    <w:rsid w:val="00B31B75"/>
    <w:rsid w:val="00B3238B"/>
    <w:rsid w:val="00B35A9A"/>
    <w:rsid w:val="00B410FE"/>
    <w:rsid w:val="00B45485"/>
    <w:rsid w:val="00B463B5"/>
    <w:rsid w:val="00B51142"/>
    <w:rsid w:val="00B550A0"/>
    <w:rsid w:val="00B57157"/>
    <w:rsid w:val="00B57565"/>
    <w:rsid w:val="00B63CF1"/>
    <w:rsid w:val="00B63D9C"/>
    <w:rsid w:val="00B67664"/>
    <w:rsid w:val="00B714BF"/>
    <w:rsid w:val="00B73437"/>
    <w:rsid w:val="00B7404E"/>
    <w:rsid w:val="00B758AE"/>
    <w:rsid w:val="00B75974"/>
    <w:rsid w:val="00B75D1C"/>
    <w:rsid w:val="00B83D4C"/>
    <w:rsid w:val="00B84F1C"/>
    <w:rsid w:val="00B91395"/>
    <w:rsid w:val="00B934D9"/>
    <w:rsid w:val="00B93923"/>
    <w:rsid w:val="00BA11D1"/>
    <w:rsid w:val="00BA1948"/>
    <w:rsid w:val="00BA1F1D"/>
    <w:rsid w:val="00BA2768"/>
    <w:rsid w:val="00BA5453"/>
    <w:rsid w:val="00BA5D28"/>
    <w:rsid w:val="00BB193E"/>
    <w:rsid w:val="00BB30D9"/>
    <w:rsid w:val="00BB393D"/>
    <w:rsid w:val="00BB4614"/>
    <w:rsid w:val="00BB5DC8"/>
    <w:rsid w:val="00BC0228"/>
    <w:rsid w:val="00BC09C1"/>
    <w:rsid w:val="00BC14FC"/>
    <w:rsid w:val="00BC37FD"/>
    <w:rsid w:val="00BC4542"/>
    <w:rsid w:val="00BC4B44"/>
    <w:rsid w:val="00BD0EB8"/>
    <w:rsid w:val="00BD1083"/>
    <w:rsid w:val="00BD1AE6"/>
    <w:rsid w:val="00BE3542"/>
    <w:rsid w:val="00BE384B"/>
    <w:rsid w:val="00BE387A"/>
    <w:rsid w:val="00BE3C61"/>
    <w:rsid w:val="00BE406D"/>
    <w:rsid w:val="00BE4B9B"/>
    <w:rsid w:val="00BF0A3E"/>
    <w:rsid w:val="00BF1853"/>
    <w:rsid w:val="00BF2FDC"/>
    <w:rsid w:val="00C020D7"/>
    <w:rsid w:val="00C05DCF"/>
    <w:rsid w:val="00C10ACB"/>
    <w:rsid w:val="00C211AE"/>
    <w:rsid w:val="00C21255"/>
    <w:rsid w:val="00C21CB8"/>
    <w:rsid w:val="00C234A4"/>
    <w:rsid w:val="00C32A8D"/>
    <w:rsid w:val="00C33AC2"/>
    <w:rsid w:val="00C3419E"/>
    <w:rsid w:val="00C360E9"/>
    <w:rsid w:val="00C40A7F"/>
    <w:rsid w:val="00C443A2"/>
    <w:rsid w:val="00C458E1"/>
    <w:rsid w:val="00C46E0A"/>
    <w:rsid w:val="00C47536"/>
    <w:rsid w:val="00C50E03"/>
    <w:rsid w:val="00C520DC"/>
    <w:rsid w:val="00C525A7"/>
    <w:rsid w:val="00C5457D"/>
    <w:rsid w:val="00C57806"/>
    <w:rsid w:val="00C6068E"/>
    <w:rsid w:val="00C60891"/>
    <w:rsid w:val="00C658C4"/>
    <w:rsid w:val="00C71FC7"/>
    <w:rsid w:val="00C73116"/>
    <w:rsid w:val="00C73F2F"/>
    <w:rsid w:val="00C75797"/>
    <w:rsid w:val="00C77045"/>
    <w:rsid w:val="00C77539"/>
    <w:rsid w:val="00C77C49"/>
    <w:rsid w:val="00C82CFA"/>
    <w:rsid w:val="00C8551D"/>
    <w:rsid w:val="00C860B7"/>
    <w:rsid w:val="00C87132"/>
    <w:rsid w:val="00C95046"/>
    <w:rsid w:val="00CA18DC"/>
    <w:rsid w:val="00CA3099"/>
    <w:rsid w:val="00CA51E1"/>
    <w:rsid w:val="00CA5D7E"/>
    <w:rsid w:val="00CA7AF8"/>
    <w:rsid w:val="00CB11D0"/>
    <w:rsid w:val="00CB5356"/>
    <w:rsid w:val="00CB64B5"/>
    <w:rsid w:val="00CB6507"/>
    <w:rsid w:val="00CC078A"/>
    <w:rsid w:val="00CC096F"/>
    <w:rsid w:val="00CC2508"/>
    <w:rsid w:val="00CC33F6"/>
    <w:rsid w:val="00CC375F"/>
    <w:rsid w:val="00CC71D3"/>
    <w:rsid w:val="00CD0967"/>
    <w:rsid w:val="00CD1BC5"/>
    <w:rsid w:val="00CD2DFE"/>
    <w:rsid w:val="00CD466A"/>
    <w:rsid w:val="00CE3D0D"/>
    <w:rsid w:val="00CE45F2"/>
    <w:rsid w:val="00CE6DD0"/>
    <w:rsid w:val="00CF11BB"/>
    <w:rsid w:val="00CF2FB9"/>
    <w:rsid w:val="00CF45CF"/>
    <w:rsid w:val="00CF58A9"/>
    <w:rsid w:val="00D04C05"/>
    <w:rsid w:val="00D07F6D"/>
    <w:rsid w:val="00D219B0"/>
    <w:rsid w:val="00D21AFF"/>
    <w:rsid w:val="00D239BC"/>
    <w:rsid w:val="00D24551"/>
    <w:rsid w:val="00D24E50"/>
    <w:rsid w:val="00D253AC"/>
    <w:rsid w:val="00D25D6B"/>
    <w:rsid w:val="00D27515"/>
    <w:rsid w:val="00D27628"/>
    <w:rsid w:val="00D3411B"/>
    <w:rsid w:val="00D363AB"/>
    <w:rsid w:val="00D41888"/>
    <w:rsid w:val="00D43923"/>
    <w:rsid w:val="00D450C8"/>
    <w:rsid w:val="00D46D5D"/>
    <w:rsid w:val="00D502F0"/>
    <w:rsid w:val="00D522C8"/>
    <w:rsid w:val="00D5640C"/>
    <w:rsid w:val="00D567D2"/>
    <w:rsid w:val="00D5718B"/>
    <w:rsid w:val="00D57B48"/>
    <w:rsid w:val="00D60A15"/>
    <w:rsid w:val="00D6268A"/>
    <w:rsid w:val="00D66EB9"/>
    <w:rsid w:val="00D73BBC"/>
    <w:rsid w:val="00D74AAC"/>
    <w:rsid w:val="00D74AB2"/>
    <w:rsid w:val="00D8420E"/>
    <w:rsid w:val="00D84740"/>
    <w:rsid w:val="00D86740"/>
    <w:rsid w:val="00D9072F"/>
    <w:rsid w:val="00D93841"/>
    <w:rsid w:val="00D9391E"/>
    <w:rsid w:val="00D94254"/>
    <w:rsid w:val="00D9431B"/>
    <w:rsid w:val="00DA0968"/>
    <w:rsid w:val="00DB0392"/>
    <w:rsid w:val="00DB0532"/>
    <w:rsid w:val="00DB389C"/>
    <w:rsid w:val="00DB3CC3"/>
    <w:rsid w:val="00DB565B"/>
    <w:rsid w:val="00DB6331"/>
    <w:rsid w:val="00DB6BCE"/>
    <w:rsid w:val="00DB6F30"/>
    <w:rsid w:val="00DC4570"/>
    <w:rsid w:val="00DC6E79"/>
    <w:rsid w:val="00DC7627"/>
    <w:rsid w:val="00DC76FF"/>
    <w:rsid w:val="00DD2968"/>
    <w:rsid w:val="00DD300E"/>
    <w:rsid w:val="00DD44DE"/>
    <w:rsid w:val="00DD6682"/>
    <w:rsid w:val="00DD685F"/>
    <w:rsid w:val="00DD6C00"/>
    <w:rsid w:val="00DE10DB"/>
    <w:rsid w:val="00DE2526"/>
    <w:rsid w:val="00DF220D"/>
    <w:rsid w:val="00DF5AF6"/>
    <w:rsid w:val="00E021E6"/>
    <w:rsid w:val="00E05BB3"/>
    <w:rsid w:val="00E07424"/>
    <w:rsid w:val="00E077FE"/>
    <w:rsid w:val="00E12104"/>
    <w:rsid w:val="00E140CA"/>
    <w:rsid w:val="00E151DA"/>
    <w:rsid w:val="00E16EE8"/>
    <w:rsid w:val="00E17198"/>
    <w:rsid w:val="00E17461"/>
    <w:rsid w:val="00E20138"/>
    <w:rsid w:val="00E238C2"/>
    <w:rsid w:val="00E2481E"/>
    <w:rsid w:val="00E24E38"/>
    <w:rsid w:val="00E377E0"/>
    <w:rsid w:val="00E42170"/>
    <w:rsid w:val="00E43EEB"/>
    <w:rsid w:val="00E45A47"/>
    <w:rsid w:val="00E472D0"/>
    <w:rsid w:val="00E476EF"/>
    <w:rsid w:val="00E51AE2"/>
    <w:rsid w:val="00E5348E"/>
    <w:rsid w:val="00E534D7"/>
    <w:rsid w:val="00E55879"/>
    <w:rsid w:val="00E56E74"/>
    <w:rsid w:val="00E61CDB"/>
    <w:rsid w:val="00E70205"/>
    <w:rsid w:val="00E72425"/>
    <w:rsid w:val="00E75051"/>
    <w:rsid w:val="00E77073"/>
    <w:rsid w:val="00E9070A"/>
    <w:rsid w:val="00E9223B"/>
    <w:rsid w:val="00E946EA"/>
    <w:rsid w:val="00EB56AC"/>
    <w:rsid w:val="00EB5E96"/>
    <w:rsid w:val="00EB7175"/>
    <w:rsid w:val="00EC17BF"/>
    <w:rsid w:val="00EC2392"/>
    <w:rsid w:val="00EC245B"/>
    <w:rsid w:val="00EC25C7"/>
    <w:rsid w:val="00EC3E16"/>
    <w:rsid w:val="00ED1586"/>
    <w:rsid w:val="00ED295D"/>
    <w:rsid w:val="00ED37E5"/>
    <w:rsid w:val="00EE0182"/>
    <w:rsid w:val="00EE29AA"/>
    <w:rsid w:val="00EE5272"/>
    <w:rsid w:val="00EE5A45"/>
    <w:rsid w:val="00EF2BE7"/>
    <w:rsid w:val="00EF2C90"/>
    <w:rsid w:val="00EF73D7"/>
    <w:rsid w:val="00F02920"/>
    <w:rsid w:val="00F047E5"/>
    <w:rsid w:val="00F049F5"/>
    <w:rsid w:val="00F124E0"/>
    <w:rsid w:val="00F143A0"/>
    <w:rsid w:val="00F257E1"/>
    <w:rsid w:val="00F320FD"/>
    <w:rsid w:val="00F33B1A"/>
    <w:rsid w:val="00F35740"/>
    <w:rsid w:val="00F37F32"/>
    <w:rsid w:val="00F404D9"/>
    <w:rsid w:val="00F415B7"/>
    <w:rsid w:val="00F41C18"/>
    <w:rsid w:val="00F42BAE"/>
    <w:rsid w:val="00F4411A"/>
    <w:rsid w:val="00F52703"/>
    <w:rsid w:val="00F52887"/>
    <w:rsid w:val="00F529E7"/>
    <w:rsid w:val="00F55C02"/>
    <w:rsid w:val="00F63EF7"/>
    <w:rsid w:val="00F7152E"/>
    <w:rsid w:val="00F7261E"/>
    <w:rsid w:val="00F72C2C"/>
    <w:rsid w:val="00F750A3"/>
    <w:rsid w:val="00F75114"/>
    <w:rsid w:val="00F80BB1"/>
    <w:rsid w:val="00F812C6"/>
    <w:rsid w:val="00F81BDE"/>
    <w:rsid w:val="00F8200E"/>
    <w:rsid w:val="00F84B14"/>
    <w:rsid w:val="00F861A5"/>
    <w:rsid w:val="00F916C5"/>
    <w:rsid w:val="00F91C02"/>
    <w:rsid w:val="00F92107"/>
    <w:rsid w:val="00F930EE"/>
    <w:rsid w:val="00F94427"/>
    <w:rsid w:val="00F970EA"/>
    <w:rsid w:val="00FA0360"/>
    <w:rsid w:val="00FA2EF0"/>
    <w:rsid w:val="00FA4E5F"/>
    <w:rsid w:val="00FA55C5"/>
    <w:rsid w:val="00FC13C8"/>
    <w:rsid w:val="00FC7086"/>
    <w:rsid w:val="00FD0FB6"/>
    <w:rsid w:val="00FD16E1"/>
    <w:rsid w:val="00FD2846"/>
    <w:rsid w:val="00FD3AB4"/>
    <w:rsid w:val="00FE4369"/>
    <w:rsid w:val="00FE5661"/>
    <w:rsid w:val="00FE5917"/>
    <w:rsid w:val="00FE5940"/>
    <w:rsid w:val="00FE67F8"/>
    <w:rsid w:val="00FE6834"/>
    <w:rsid w:val="00FE7363"/>
    <w:rsid w:val="00FF02DE"/>
    <w:rsid w:val="00FF1073"/>
    <w:rsid w:val="00FF1CE2"/>
    <w:rsid w:val="00FF39AE"/>
    <w:rsid w:val="00FF3DEE"/>
    <w:rsid w:val="00FF5DDF"/>
    <w:rsid w:val="05C289EB"/>
    <w:rsid w:val="06984FA7"/>
    <w:rsid w:val="078D740B"/>
    <w:rsid w:val="07FAC9CD"/>
    <w:rsid w:val="09289DD8"/>
    <w:rsid w:val="0C72EA57"/>
    <w:rsid w:val="0D3CDC5F"/>
    <w:rsid w:val="0F0D9161"/>
    <w:rsid w:val="1070D60D"/>
    <w:rsid w:val="10A529F6"/>
    <w:rsid w:val="12EBD33B"/>
    <w:rsid w:val="136A6697"/>
    <w:rsid w:val="13DB0F0B"/>
    <w:rsid w:val="14B6BD94"/>
    <w:rsid w:val="175E2251"/>
    <w:rsid w:val="176F48B0"/>
    <w:rsid w:val="18413797"/>
    <w:rsid w:val="18CDB390"/>
    <w:rsid w:val="1EB2EB1D"/>
    <w:rsid w:val="1F9FC231"/>
    <w:rsid w:val="201EF263"/>
    <w:rsid w:val="23519FD6"/>
    <w:rsid w:val="246FDDD0"/>
    <w:rsid w:val="2540370F"/>
    <w:rsid w:val="25AFDF1D"/>
    <w:rsid w:val="26F27F6E"/>
    <w:rsid w:val="28302082"/>
    <w:rsid w:val="2852D848"/>
    <w:rsid w:val="28A51CC8"/>
    <w:rsid w:val="2954778D"/>
    <w:rsid w:val="2B87757F"/>
    <w:rsid w:val="2D34C8B1"/>
    <w:rsid w:val="2DD529EA"/>
    <w:rsid w:val="2E48461B"/>
    <w:rsid w:val="2F061DD8"/>
    <w:rsid w:val="346A701C"/>
    <w:rsid w:val="34AE98C9"/>
    <w:rsid w:val="34B3F6C0"/>
    <w:rsid w:val="35223109"/>
    <w:rsid w:val="36D8B24C"/>
    <w:rsid w:val="36FFC215"/>
    <w:rsid w:val="3C84010A"/>
    <w:rsid w:val="3D417A8E"/>
    <w:rsid w:val="3F961884"/>
    <w:rsid w:val="40EB4BB1"/>
    <w:rsid w:val="433EC6A3"/>
    <w:rsid w:val="43BB6759"/>
    <w:rsid w:val="440B27BC"/>
    <w:rsid w:val="497E8B3C"/>
    <w:rsid w:val="4A2E645E"/>
    <w:rsid w:val="4A5D772C"/>
    <w:rsid w:val="4C108B7E"/>
    <w:rsid w:val="4E1491A6"/>
    <w:rsid w:val="4EB4ED36"/>
    <w:rsid w:val="4F3FD0F7"/>
    <w:rsid w:val="4FEB5C77"/>
    <w:rsid w:val="5011D29E"/>
    <w:rsid w:val="504A74EB"/>
    <w:rsid w:val="51F6086C"/>
    <w:rsid w:val="5333331C"/>
    <w:rsid w:val="538B21F9"/>
    <w:rsid w:val="549DE590"/>
    <w:rsid w:val="5567F5BE"/>
    <w:rsid w:val="5680D831"/>
    <w:rsid w:val="58275F18"/>
    <w:rsid w:val="58D48F10"/>
    <w:rsid w:val="596FB15F"/>
    <w:rsid w:val="59D81701"/>
    <w:rsid w:val="5ACCAC77"/>
    <w:rsid w:val="5B5FD451"/>
    <w:rsid w:val="5C335A7E"/>
    <w:rsid w:val="5CD7441F"/>
    <w:rsid w:val="60835DB1"/>
    <w:rsid w:val="63844B93"/>
    <w:rsid w:val="64A813C2"/>
    <w:rsid w:val="68000C86"/>
    <w:rsid w:val="68435368"/>
    <w:rsid w:val="6872C97A"/>
    <w:rsid w:val="6A0C1C45"/>
    <w:rsid w:val="6C7170D9"/>
    <w:rsid w:val="6FA57819"/>
    <w:rsid w:val="73F1813F"/>
    <w:rsid w:val="764B99DB"/>
    <w:rsid w:val="77D85D9C"/>
    <w:rsid w:val="7EB03D0C"/>
    <w:rsid w:val="7F584FF3"/>
    <w:rsid w:val="7F68683F"/>
    <w:rsid w:val="7F7CFABE"/>
    <w:rsid w:val="7FA7D9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BECBC0"/>
  <w15:chartTrackingRefBased/>
  <w15:docId w15:val="{FA5359BC-EF1B-40B4-B1BA-2A098AB7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qFormat/>
    <w:rsid w:val="008F2F44"/>
    <w:rPr>
      <w:sz w:val="16"/>
      <w:szCs w:val="16"/>
    </w:rPr>
  </w:style>
  <w:style w:type="paragraph" w:styleId="CommentText">
    <w:name w:val="annotation text"/>
    <w:basedOn w:val="Normal"/>
    <w:link w:val="CommentTextChar"/>
    <w:qFormat/>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nhideWhenUsed/>
    <w:rsid w:val="002900C5"/>
    <w:rPr>
      <w:vertAlign w:val="superscript"/>
    </w:rPr>
  </w:style>
  <w:style w:type="character" w:customStyle="1" w:styleId="CommentTextChar">
    <w:name w:val="Comment Text Char"/>
    <w:link w:val="CommentText"/>
    <w:rsid w:val="00EC2392"/>
  </w:style>
  <w:style w:type="paragraph" w:styleId="Revision">
    <w:name w:val="Revision"/>
    <w:hidden/>
    <w:uiPriority w:val="99"/>
    <w:semiHidden/>
    <w:rsid w:val="00837A56"/>
    <w:rPr>
      <w:sz w:val="24"/>
      <w:szCs w:val="24"/>
      <w:lang w:eastAsia="en-US"/>
    </w:rPr>
  </w:style>
  <w:style w:type="paragraph" w:styleId="FootnoteText">
    <w:name w:val="footnote text"/>
    <w:basedOn w:val="Normal"/>
    <w:link w:val="FootnoteTextChar"/>
    <w:unhideWhenUsed/>
    <w:rsid w:val="00B128D9"/>
    <w:pPr>
      <w:jc w:val="both"/>
    </w:pPr>
    <w:rPr>
      <w:rFonts w:ascii="Arial" w:eastAsia="Calibri" w:hAnsi="Arial"/>
      <w:sz w:val="20"/>
      <w:szCs w:val="20"/>
      <w:lang w:val="x-none" w:eastAsia="x-none"/>
    </w:rPr>
  </w:style>
  <w:style w:type="character" w:customStyle="1" w:styleId="FootnoteTextChar">
    <w:name w:val="Footnote Text Char"/>
    <w:link w:val="FootnoteText"/>
    <w:rsid w:val="00B128D9"/>
    <w:rPr>
      <w:rFonts w:ascii="Arial" w:eastAsia="Calibri" w:hAnsi="Arial"/>
      <w:lang w:val="x-none" w:eastAsia="x-none"/>
    </w:rPr>
  </w:style>
  <w:style w:type="character" w:styleId="UnresolvedMention">
    <w:name w:val="Unresolved Mention"/>
    <w:uiPriority w:val="99"/>
    <w:semiHidden/>
    <w:unhideWhenUsed/>
    <w:rsid w:val="00EE29AA"/>
    <w:rPr>
      <w:color w:val="605E5C"/>
      <w:shd w:val="clear" w:color="auto" w:fill="E1DFDD"/>
    </w:rPr>
  </w:style>
  <w:style w:type="paragraph" w:customStyle="1" w:styleId="Byline">
    <w:name w:val="Byline"/>
    <w:basedOn w:val="Normal"/>
    <w:qFormat/>
    <w:rsid w:val="00666B1C"/>
    <w:pPr>
      <w:spacing w:line="264" w:lineRule="auto"/>
      <w:jc w:val="right"/>
    </w:pPr>
    <w:rPr>
      <w:rFonts w:asciiTheme="majorHAnsi" w:eastAsiaTheme="minorHAnsi" w:hAnsiTheme="majorHAnsi" w:cstheme="minorBidi"/>
      <w:bCs/>
      <w:sz w:val="22"/>
      <w:szCs w:val="22"/>
    </w:rPr>
  </w:style>
  <w:style w:type="character" w:customStyle="1" w:styleId="normaltextrun">
    <w:name w:val="normaltextrun"/>
    <w:basedOn w:val="DefaultParagraphFont"/>
    <w:rsid w:val="00A36EAA"/>
  </w:style>
  <w:style w:type="paragraph" w:customStyle="1" w:styleId="paragraph">
    <w:name w:val="paragraph"/>
    <w:basedOn w:val="Normal"/>
    <w:rsid w:val="00007281"/>
    <w:pPr>
      <w:spacing w:before="100" w:beforeAutospacing="1" w:after="100" w:afterAutospacing="1"/>
    </w:pPr>
  </w:style>
  <w:style w:type="character" w:customStyle="1" w:styleId="eop">
    <w:name w:val="eop"/>
    <w:basedOn w:val="DefaultParagraphFont"/>
    <w:rsid w:val="00263025"/>
  </w:style>
  <w:style w:type="character" w:styleId="FollowedHyperlink">
    <w:name w:val="FollowedHyperlink"/>
    <w:basedOn w:val="DefaultParagraphFont"/>
    <w:rsid w:val="00BE3C61"/>
    <w:rPr>
      <w:color w:val="954F72" w:themeColor="followedHyperlink"/>
      <w:u w:val="single"/>
    </w:rPr>
  </w:style>
  <w:style w:type="paragraph" w:customStyle="1" w:styleId="CM2">
    <w:name w:val="CM2"/>
    <w:uiPriority w:val="99"/>
    <w:rsid w:val="00E61CDB"/>
    <w:pPr>
      <w:autoSpaceDE w:val="0"/>
      <w:autoSpaceDN w:val="0"/>
      <w:adjustRightInd w:val="0"/>
      <w:spacing w:line="318" w:lineRule="atLeast"/>
    </w:pPr>
    <w:rPr>
      <w:rFonts w:ascii="Calibri" w:hAnsi="Calibri" w:eastAsiaTheme="minorHAnsi" w:cs="Calibri"/>
      <w:sz w:val="24"/>
      <w:szCs w:val="24"/>
      <w:lang w:eastAsia="en-US"/>
    </w:rPr>
  </w:style>
  <w:style w:type="paragraph" w:styleId="ListParagraph">
    <w:name w:val="List Paragraph"/>
    <w:basedOn w:val="Normal"/>
    <w:uiPriority w:val="34"/>
    <w:qFormat/>
    <w:rsid w:val="003C7EB7"/>
    <w:pPr>
      <w:ind w:left="720"/>
      <w:contextualSpacing/>
    </w:pPr>
  </w:style>
  <w:style w:type="character" w:styleId="Mention">
    <w:name w:val="Mention"/>
    <w:basedOn w:val="DefaultParagraphFont"/>
    <w:uiPriority w:val="99"/>
    <w:unhideWhenUsed/>
    <w:rsid w:val="00250830"/>
    <w:rPr>
      <w:color w:val="2B579A"/>
      <w:shd w:val="clear" w:color="auto" w:fill="E1DFDD"/>
    </w:rPr>
  </w:style>
  <w:style w:type="character" w:customStyle="1" w:styleId="cf01">
    <w:name w:val="cf01"/>
    <w:basedOn w:val="DefaultParagraphFont"/>
    <w:rsid w:val="00865D19"/>
    <w:rPr>
      <w:rFonts w:ascii="Segoe UI" w:hAnsi="Segoe UI" w:cs="Segoe UI" w:hint="default"/>
      <w:sz w:val="18"/>
      <w:szCs w:val="18"/>
    </w:rPr>
  </w:style>
  <w:style w:type="paragraph" w:customStyle="1" w:styleId="pf0">
    <w:name w:val="pf0"/>
    <w:basedOn w:val="Normal"/>
    <w:rsid w:val="00DC45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2022-03/DHS%20FY2022-26%20Learning%20Agenda_508c.pdf" TargetMode="External" /><Relationship Id="rId11" Type="http://schemas.openxmlformats.org/officeDocument/2006/relationships/hyperlink" Target="https://www.dhs.gov/sites/default/files/2022-03/DHS%20FY2023%20Annual%20Evaluation%20Plan_508c%20%28003%29.pdf" TargetMode="External" /><Relationship Id="rId12" Type="http://schemas.openxmlformats.org/officeDocument/2006/relationships/hyperlink" Target="https://www.cisa.gov/topics/critical-infrastructure-security-and-resilience/critical-infrastructure-sectors/sector-risk-management-agencies" TargetMode="External" /><Relationship Id="rId13" Type="http://schemas.openxmlformats.org/officeDocument/2006/relationships/hyperlink" Target="https://www.dhs.gov/hsin-critical-infrastructure"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622E9151DE0F4EA0FB190943448EEF" ma:contentTypeVersion="12" ma:contentTypeDescription="Create a new document." ma:contentTypeScope="" ma:versionID="3651f730da09946148d686a75569398a">
  <xsd:schema xmlns:xsd="http://www.w3.org/2001/XMLSchema" xmlns:xs="http://www.w3.org/2001/XMLSchema" xmlns:p="http://schemas.microsoft.com/office/2006/metadata/properties" targetNamespace="http://schemas.microsoft.com/office/2006/metadata/properties" ma:root="true" ma:fieldsID="fb617721ea49deb23655bc9c49614b0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59140-1220-4CCE-81DF-E2F05AD05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793D00-62E4-45B7-8F16-2CBE9030AE4F}">
  <ds:schemaRefs>
    <ds:schemaRef ds:uri="http://schemas.microsoft.com/office/2006/metadata/longProperties"/>
  </ds:schemaRefs>
</ds:datastoreItem>
</file>

<file path=customXml/itemProps3.xml><?xml version="1.0" encoding="utf-8"?>
<ds:datastoreItem xmlns:ds="http://schemas.openxmlformats.org/officeDocument/2006/customXml" ds:itemID="{F6530DE0-D0FE-40D3-A365-BE4AEB284509}">
  <ds:schemaRefs>
    <ds:schemaRef ds:uri="http://schemas.openxmlformats.org/officeDocument/2006/bibliography"/>
  </ds:schemaRefs>
</ds:datastoreItem>
</file>

<file path=customXml/itemProps4.xml><?xml version="1.0" encoding="utf-8"?>
<ds:datastoreItem xmlns:ds="http://schemas.openxmlformats.org/officeDocument/2006/customXml" ds:itemID="{4A60EFC1-8B26-485B-A595-C77C703E9FEA}">
  <ds:schemaRefs>
    <ds:schemaRef ds:uri="http://schemas.microsoft.com/sharepoint/v3/contenttype/forms"/>
  </ds:schemaRefs>
</ds:datastoreItem>
</file>

<file path=customXml/itemProps5.xml><?xml version="1.0" encoding="utf-8"?>
<ds:datastoreItem xmlns:ds="http://schemas.openxmlformats.org/officeDocument/2006/customXml" ds:itemID="{3032BC89-F5C7-43D2-B999-37D6AFEF80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4560</Words>
  <Characters>26450</Characters>
  <Application>Microsoft Office Word</Application>
  <DocSecurity>0</DocSecurity>
  <Lines>645</Lines>
  <Paragraphs>213</Paragraphs>
  <ScaleCrop>false</ScaleCrop>
  <Company>FEMA</Company>
  <LinksUpToDate>false</LinksUpToDate>
  <CharactersWithSpaces>30797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Thomsen, Benjamin</cp:lastModifiedBy>
  <cp:revision>7</cp:revision>
  <cp:lastPrinted>2014-02-11T04:56:00Z</cp:lastPrinted>
  <dcterms:created xsi:type="dcterms:W3CDTF">2025-09-12T15:54:00Z</dcterms:created>
  <dcterms:modified xsi:type="dcterms:W3CDTF">2025-12-22T14:02:00Z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ContentTypeId">
    <vt:lpwstr>0x01010060622E9151DE0F4EA0FB190943448EEF</vt:lpwstr>
  </property>
  <property fmtid="{D5CDD505-2E9C-101B-9397-08002B2CF9AE}" pid="5" name="docLang">
    <vt:lpwstr>en</vt:lpwstr>
  </property>
  <property fmtid="{D5CDD505-2E9C-101B-9397-08002B2CF9AE}" pid="6" name="Document Type">
    <vt:lpwstr>ICR Forms &amp; Templates</vt:lpwstr>
  </property>
  <property fmtid="{D5CDD505-2E9C-101B-9397-08002B2CF9AE}" pid="7" name="DocumentSetDescription">
    <vt:lpwstr/>
  </property>
  <property fmtid="{D5CDD505-2E9C-101B-9397-08002B2CF9AE}" pid="8" name="ICR Element">
    <vt:lpwstr>Supporting Statement A</vt:lpwstr>
  </property>
  <property fmtid="{D5CDD505-2E9C-101B-9397-08002B2CF9AE}" pid="9" name="MediaServiceImageTags">
    <vt:lpwstr/>
  </property>
  <property fmtid="{D5CDD505-2E9C-101B-9397-08002B2CF9AE}" pid="10" name="MSIP_Label_a2eef23d-2e95-4428-9a3c-2526d95b164a_ActionId">
    <vt:lpwstr>7d023c0b-3d0d-42bb-a7fa-174207722881</vt:lpwstr>
  </property>
  <property fmtid="{D5CDD505-2E9C-101B-9397-08002B2CF9AE}" pid="11" name="MSIP_Label_a2eef23d-2e95-4428-9a3c-2526d95b164a_ContentBits">
    <vt:lpwstr>0</vt:lpwstr>
  </property>
  <property fmtid="{D5CDD505-2E9C-101B-9397-08002B2CF9AE}" pid="12" name="MSIP_Label_a2eef23d-2e95-4428-9a3c-2526d95b164a_Enabled">
    <vt:lpwstr>true</vt:lpwstr>
  </property>
  <property fmtid="{D5CDD505-2E9C-101B-9397-08002B2CF9AE}" pid="13" name="MSIP_Label_a2eef23d-2e95-4428-9a3c-2526d95b164a_Method">
    <vt:lpwstr>Standard</vt:lpwstr>
  </property>
  <property fmtid="{D5CDD505-2E9C-101B-9397-08002B2CF9AE}" pid="14" name="MSIP_Label_a2eef23d-2e95-4428-9a3c-2526d95b164a_Name">
    <vt:lpwstr>For Official Use Only (FOUO)</vt:lpwstr>
  </property>
  <property fmtid="{D5CDD505-2E9C-101B-9397-08002B2CF9AE}" pid="15" name="MSIP_Label_a2eef23d-2e95-4428-9a3c-2526d95b164a_SetDate">
    <vt:lpwstr>2022-02-28T18:52:21Z</vt:lpwstr>
  </property>
  <property fmtid="{D5CDD505-2E9C-101B-9397-08002B2CF9AE}" pid="16" name="MSIP_Label_a2eef23d-2e95-4428-9a3c-2526d95b164a_SiteId">
    <vt:lpwstr>3ccde76c-946d-4a12-bb7a-fc9d0842354a</vt:lpwstr>
  </property>
  <property fmtid="{D5CDD505-2E9C-101B-9397-08002B2CF9AE}" pid="17" name="_dlc_DocId">
    <vt:lpwstr>5YJZXJV6V4SC-902-312</vt:lpwstr>
  </property>
  <property fmtid="{D5CDD505-2E9C-101B-9397-08002B2CF9AE}" pid="18" name="_dlc_DocIdItemGuid">
    <vt:lpwstr>d831d74b-ca88-4a11-bc27-bb425ff1d3d9</vt:lpwstr>
  </property>
  <property fmtid="{D5CDD505-2E9C-101B-9397-08002B2CF9AE}" pid="19" name="_dlc_DocIdUrl">
    <vt:lpwstr>http://sptapp.dhs.gov/ESTT/CIO_PRA/_layouts/DocIdRedir.aspx?ID=5YJZXJV6V4SC-902-312, 5YJZXJV6V4SC-902-312</vt:lpwstr>
  </property>
  <property fmtid="{D5CDD505-2E9C-101B-9397-08002B2CF9AE}" pid="20" name="_ExtendedDescription">
    <vt:lpwstr/>
  </property>
</Properties>
</file>