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7F55" w:rsidRPr="008416FE" w:rsidP="00BD0F89" w14:paraId="17D3E202" w14:textId="38EF03E6">
      <w:pPr>
        <w:spacing w:after="0" w:line="240" w:lineRule="auto"/>
        <w:jc w:val="center"/>
        <w:rPr>
          <w:rFonts w:ascii="Times New Roman" w:hAnsi="Times New Roman"/>
          <w:b/>
          <w:bCs/>
          <w:sz w:val="24"/>
          <w:szCs w:val="24"/>
        </w:rPr>
      </w:pPr>
      <w:r w:rsidRPr="008416FE">
        <w:rPr>
          <w:rFonts w:ascii="Times New Roman" w:hAnsi="Times New Roman"/>
          <w:b/>
          <w:bCs/>
          <w:sz w:val="24"/>
          <w:szCs w:val="24"/>
        </w:rPr>
        <w:t xml:space="preserve">Consolidated </w:t>
      </w:r>
      <w:r w:rsidRPr="008416FE">
        <w:rPr>
          <w:rFonts w:ascii="Times New Roman" w:hAnsi="Times New Roman"/>
          <w:b/>
          <w:bCs/>
          <w:sz w:val="24"/>
          <w:szCs w:val="24"/>
        </w:rPr>
        <w:t>Supporting Statement</w:t>
      </w:r>
      <w:r w:rsidRPr="008416FE" w:rsidR="002953E1">
        <w:rPr>
          <w:rFonts w:ascii="Times New Roman" w:hAnsi="Times New Roman"/>
          <w:b/>
          <w:bCs/>
          <w:sz w:val="24"/>
          <w:szCs w:val="24"/>
        </w:rPr>
        <w:t xml:space="preserve"> for</w:t>
      </w:r>
    </w:p>
    <w:p w:rsidR="009D3942" w:rsidRPr="008416FE" w:rsidP="00BD0F89" w14:paraId="21AA4489" w14:textId="68132F32">
      <w:pPr>
        <w:spacing w:after="0" w:line="240" w:lineRule="auto"/>
        <w:jc w:val="center"/>
        <w:rPr>
          <w:rFonts w:ascii="Times New Roman" w:hAnsi="Times New Roman"/>
          <w:b/>
          <w:sz w:val="24"/>
          <w:szCs w:val="24"/>
        </w:rPr>
      </w:pPr>
      <w:r w:rsidRPr="008416FE">
        <w:rPr>
          <w:rFonts w:ascii="Times New Roman" w:hAnsi="Times New Roman"/>
          <w:b/>
          <w:sz w:val="24"/>
          <w:szCs w:val="24"/>
        </w:rPr>
        <w:t>FERC Form Nos. 1</w:t>
      </w:r>
      <w:r w:rsidRPr="008416FE" w:rsidR="00C632FE">
        <w:rPr>
          <w:rFonts w:ascii="Times New Roman" w:hAnsi="Times New Roman"/>
          <w:b/>
          <w:sz w:val="24"/>
          <w:szCs w:val="24"/>
        </w:rPr>
        <w:t>,</w:t>
      </w:r>
      <w:r w:rsidRPr="008416FE">
        <w:rPr>
          <w:rFonts w:ascii="Times New Roman" w:hAnsi="Times New Roman"/>
          <w:b/>
          <w:sz w:val="24"/>
          <w:szCs w:val="24"/>
        </w:rPr>
        <w:t xml:space="preserve"> 1-</w:t>
      </w:r>
      <w:r w:rsidRPr="008416FE" w:rsidR="00FC3AB3">
        <w:rPr>
          <w:rFonts w:ascii="Times New Roman" w:hAnsi="Times New Roman"/>
          <w:b/>
          <w:sz w:val="24"/>
          <w:szCs w:val="24"/>
        </w:rPr>
        <w:t>F</w:t>
      </w:r>
      <w:r w:rsidRPr="008416FE" w:rsidR="00C632FE">
        <w:rPr>
          <w:rFonts w:ascii="Times New Roman" w:hAnsi="Times New Roman"/>
          <w:b/>
          <w:sz w:val="24"/>
          <w:szCs w:val="24"/>
        </w:rPr>
        <w:t>,</w:t>
      </w:r>
      <w:r w:rsidRPr="008416FE" w:rsidR="0058372E">
        <w:rPr>
          <w:rFonts w:ascii="Times New Roman" w:hAnsi="Times New Roman"/>
          <w:b/>
          <w:sz w:val="24"/>
          <w:szCs w:val="24"/>
        </w:rPr>
        <w:t xml:space="preserve"> and</w:t>
      </w:r>
      <w:r w:rsidRPr="008416FE" w:rsidR="00C632FE">
        <w:rPr>
          <w:rFonts w:ascii="Times New Roman" w:hAnsi="Times New Roman"/>
          <w:b/>
          <w:sz w:val="24"/>
          <w:szCs w:val="24"/>
        </w:rPr>
        <w:t xml:space="preserve"> </w:t>
      </w:r>
      <w:r w:rsidRPr="008416FE">
        <w:rPr>
          <w:rFonts w:ascii="Times New Roman" w:hAnsi="Times New Roman"/>
          <w:b/>
          <w:sz w:val="24"/>
          <w:szCs w:val="24"/>
        </w:rPr>
        <w:t>3-Q</w:t>
      </w:r>
      <w:r w:rsidRPr="008416FE" w:rsidR="00C632FE">
        <w:rPr>
          <w:rFonts w:ascii="Times New Roman" w:hAnsi="Times New Roman"/>
          <w:b/>
          <w:sz w:val="24"/>
          <w:szCs w:val="24"/>
        </w:rPr>
        <w:t xml:space="preserve"> </w:t>
      </w:r>
      <w:r w:rsidRPr="008416FE">
        <w:rPr>
          <w:rFonts w:ascii="Times New Roman" w:hAnsi="Times New Roman"/>
          <w:b/>
          <w:sz w:val="24"/>
          <w:szCs w:val="24"/>
        </w:rPr>
        <w:t xml:space="preserve">(electric and natural gas) </w:t>
      </w:r>
    </w:p>
    <w:p w:rsidR="009D3942" w:rsidRPr="008416FE" w:rsidP="00BD0F89" w14:paraId="1C13F22C" w14:textId="77777777">
      <w:pPr>
        <w:spacing w:after="0" w:line="240" w:lineRule="auto"/>
        <w:jc w:val="center"/>
        <w:rPr>
          <w:rFonts w:ascii="Times New Roman" w:hAnsi="Times New Roman"/>
          <w:b/>
          <w:sz w:val="24"/>
          <w:szCs w:val="24"/>
        </w:rPr>
      </w:pPr>
    </w:p>
    <w:p w:rsidR="008F711B" w:rsidRPr="008416FE" w:rsidP="00B81E09" w14:paraId="1F55415B" w14:textId="066B39C5">
      <w:pPr>
        <w:spacing w:after="0" w:line="240" w:lineRule="auto"/>
        <w:rPr>
          <w:rFonts w:ascii="Times New Roman" w:hAnsi="Times New Roman"/>
          <w:i/>
          <w:sz w:val="24"/>
          <w:szCs w:val="24"/>
        </w:rPr>
      </w:pPr>
      <w:r w:rsidRPr="008416FE">
        <w:rPr>
          <w:rFonts w:ascii="Times New Roman" w:hAnsi="Times New Roman"/>
          <w:sz w:val="24"/>
          <w:szCs w:val="24"/>
        </w:rPr>
        <w:t>The Federal Energy Regulatory Commission (</w:t>
      </w:r>
      <w:r w:rsidRPr="008416FE" w:rsidR="00D13613">
        <w:rPr>
          <w:rFonts w:ascii="Times New Roman" w:hAnsi="Times New Roman"/>
          <w:sz w:val="24"/>
          <w:szCs w:val="24"/>
        </w:rPr>
        <w:t xml:space="preserve">Commission or </w:t>
      </w:r>
      <w:r w:rsidRPr="008416FE">
        <w:rPr>
          <w:rFonts w:ascii="Times New Roman" w:hAnsi="Times New Roman"/>
          <w:sz w:val="24"/>
          <w:szCs w:val="24"/>
        </w:rPr>
        <w:t>FERC) requests the Office of Management and Budget (OMB)</w:t>
      </w:r>
      <w:r w:rsidRPr="008416FE" w:rsidR="00C632FE">
        <w:rPr>
          <w:rFonts w:ascii="Times New Roman" w:hAnsi="Times New Roman"/>
          <w:sz w:val="24"/>
          <w:szCs w:val="24"/>
        </w:rPr>
        <w:t xml:space="preserve"> </w:t>
      </w:r>
      <w:r w:rsidRPr="008416FE">
        <w:rPr>
          <w:rFonts w:ascii="Times New Roman" w:hAnsi="Times New Roman"/>
          <w:sz w:val="24"/>
          <w:szCs w:val="24"/>
        </w:rPr>
        <w:t>approv</w:t>
      </w:r>
      <w:r w:rsidRPr="008416FE" w:rsidR="00EB790F">
        <w:rPr>
          <w:rFonts w:ascii="Times New Roman" w:hAnsi="Times New Roman"/>
          <w:sz w:val="24"/>
          <w:szCs w:val="24"/>
        </w:rPr>
        <w:t>e</w:t>
      </w:r>
      <w:r w:rsidRPr="008416FE">
        <w:rPr>
          <w:rFonts w:ascii="Times New Roman" w:hAnsi="Times New Roman"/>
          <w:sz w:val="24"/>
          <w:szCs w:val="24"/>
        </w:rPr>
        <w:t xml:space="preserve"> </w:t>
      </w:r>
      <w:r w:rsidRPr="008416FE" w:rsidR="00DC516E">
        <w:rPr>
          <w:rFonts w:ascii="Times New Roman" w:hAnsi="Times New Roman"/>
          <w:sz w:val="24"/>
          <w:szCs w:val="24"/>
        </w:rPr>
        <w:t>FERC Form Nos. 1</w:t>
      </w:r>
      <w:r w:rsidRPr="008416FE" w:rsidR="00C632FE">
        <w:rPr>
          <w:rFonts w:ascii="Times New Roman" w:hAnsi="Times New Roman"/>
          <w:sz w:val="24"/>
          <w:szCs w:val="24"/>
        </w:rPr>
        <w:t>,</w:t>
      </w:r>
      <w:r w:rsidRPr="008416FE" w:rsidR="00DC516E">
        <w:rPr>
          <w:rFonts w:ascii="Times New Roman" w:hAnsi="Times New Roman"/>
          <w:sz w:val="24"/>
          <w:szCs w:val="24"/>
        </w:rPr>
        <w:t xml:space="preserve"> 1-F</w:t>
      </w:r>
      <w:r w:rsidRPr="008416FE" w:rsidR="00C632FE">
        <w:rPr>
          <w:rFonts w:ascii="Times New Roman" w:hAnsi="Times New Roman"/>
          <w:sz w:val="24"/>
          <w:szCs w:val="24"/>
        </w:rPr>
        <w:t>,</w:t>
      </w:r>
      <w:r w:rsidRPr="008416FE" w:rsidR="004B30DA">
        <w:rPr>
          <w:rFonts w:ascii="Times New Roman" w:hAnsi="Times New Roman"/>
          <w:sz w:val="24"/>
          <w:szCs w:val="24"/>
        </w:rPr>
        <w:t xml:space="preserve"> and</w:t>
      </w:r>
      <w:r w:rsidRPr="008416FE" w:rsidR="00C632FE">
        <w:rPr>
          <w:rFonts w:ascii="Times New Roman" w:hAnsi="Times New Roman"/>
          <w:sz w:val="24"/>
          <w:szCs w:val="24"/>
        </w:rPr>
        <w:t xml:space="preserve"> </w:t>
      </w:r>
      <w:r w:rsidRPr="008416FE" w:rsidR="00DC516E">
        <w:rPr>
          <w:rFonts w:ascii="Times New Roman" w:hAnsi="Times New Roman"/>
          <w:sz w:val="24"/>
          <w:szCs w:val="24"/>
        </w:rPr>
        <w:t>3-</w:t>
      </w:r>
      <w:r w:rsidRPr="008416FE" w:rsidR="00AE4AE7">
        <w:rPr>
          <w:rFonts w:ascii="Times New Roman" w:hAnsi="Times New Roman"/>
          <w:sz w:val="24"/>
          <w:szCs w:val="24"/>
        </w:rPr>
        <w:t>Q</w:t>
      </w:r>
      <w:r w:rsidRPr="008416FE" w:rsidR="004B30DA">
        <w:rPr>
          <w:rFonts w:ascii="Times New Roman" w:hAnsi="Times New Roman"/>
          <w:sz w:val="24"/>
          <w:szCs w:val="24"/>
        </w:rPr>
        <w:t xml:space="preserve"> </w:t>
      </w:r>
      <w:r w:rsidRPr="008416FE" w:rsidR="00641282">
        <w:rPr>
          <w:rFonts w:ascii="Times New Roman" w:hAnsi="Times New Roman"/>
          <w:sz w:val="24"/>
          <w:szCs w:val="24"/>
        </w:rPr>
        <w:t xml:space="preserve">(electric and gas) </w:t>
      </w:r>
      <w:r w:rsidRPr="008416FE" w:rsidR="00DC516E">
        <w:rPr>
          <w:rFonts w:ascii="Times New Roman" w:hAnsi="Times New Roman"/>
          <w:sz w:val="24"/>
          <w:szCs w:val="24"/>
        </w:rPr>
        <w:t>for three years</w:t>
      </w:r>
      <w:r w:rsidRPr="008416FE" w:rsidR="003166F7">
        <w:rPr>
          <w:rFonts w:ascii="Times New Roman" w:hAnsi="Times New Roman"/>
          <w:sz w:val="24"/>
          <w:szCs w:val="24"/>
        </w:rPr>
        <w:t>.</w:t>
      </w:r>
      <w:r w:rsidR="00901657">
        <w:rPr>
          <w:rFonts w:ascii="Times New Roman" w:hAnsi="Times New Roman"/>
          <w:sz w:val="24"/>
          <w:szCs w:val="24"/>
        </w:rPr>
        <w:t xml:space="preserve"> </w:t>
      </w:r>
      <w:r w:rsidRPr="008416FE" w:rsidR="00DC516E">
        <w:rPr>
          <w:rFonts w:ascii="Times New Roman" w:hAnsi="Times New Roman"/>
          <w:sz w:val="24"/>
          <w:szCs w:val="24"/>
        </w:rPr>
        <w:t>There are no changes to the reporting requirements for the existing information collections</w:t>
      </w:r>
      <w:r w:rsidRPr="008416FE" w:rsidR="00845CF9">
        <w:rPr>
          <w:rFonts w:ascii="Times New Roman" w:hAnsi="Times New Roman"/>
          <w:sz w:val="24"/>
          <w:szCs w:val="24"/>
        </w:rPr>
        <w:t>.</w:t>
      </w:r>
      <w:r w:rsidRPr="008416FE" w:rsidR="00A12093">
        <w:rPr>
          <w:rFonts w:ascii="Times New Roman" w:hAnsi="Times New Roman"/>
          <w:sz w:val="24"/>
          <w:szCs w:val="24"/>
        </w:rPr>
        <w:t xml:space="preserve"> </w:t>
      </w:r>
    </w:p>
    <w:p w:rsidR="00DC516E" w:rsidRPr="008416FE" w:rsidP="00DC516E" w14:paraId="5A3F56AB" w14:textId="1BBCC5C9">
      <w:pPr>
        <w:pStyle w:val="ListParagraph"/>
        <w:spacing w:line="240" w:lineRule="auto"/>
        <w:ind w:left="1440"/>
        <w:rPr>
          <w:rFonts w:ascii="Times New Roman" w:hAnsi="Times New Roman"/>
          <w:i/>
          <w:sz w:val="24"/>
          <w:szCs w:val="24"/>
        </w:rPr>
      </w:pPr>
    </w:p>
    <w:p w:rsidR="009C7F55" w:rsidRPr="008416FE" w:rsidP="00BD0F89" w14:paraId="41D5B9C4" w14:textId="77777777">
      <w:pPr>
        <w:pStyle w:val="ListParagraph"/>
        <w:numPr>
          <w:ilvl w:val="0"/>
          <w:numId w:val="14"/>
        </w:numPr>
        <w:spacing w:after="0" w:line="240" w:lineRule="auto"/>
        <w:rPr>
          <w:rFonts w:ascii="Times New Roman" w:hAnsi="Times New Roman"/>
          <w:b/>
          <w:sz w:val="24"/>
          <w:szCs w:val="24"/>
        </w:rPr>
      </w:pPr>
      <w:r w:rsidRPr="008416FE">
        <w:rPr>
          <w:rFonts w:ascii="Times New Roman" w:hAnsi="Times New Roman"/>
          <w:b/>
          <w:sz w:val="24"/>
          <w:szCs w:val="24"/>
        </w:rPr>
        <w:t xml:space="preserve">CIRCUMSTANCES THAT MAKE THE COLLECTION OF INFORMATION NECESSARY </w:t>
      </w:r>
    </w:p>
    <w:p w:rsidR="0058372E" w:rsidRPr="008416FE" w14:paraId="7404A7AA" w14:textId="77777777">
      <w:pPr>
        <w:spacing w:after="0" w:line="240" w:lineRule="auto"/>
        <w:rPr>
          <w:rFonts w:ascii="Times New Roman" w:hAnsi="Times New Roman"/>
          <w:sz w:val="24"/>
          <w:szCs w:val="24"/>
        </w:rPr>
      </w:pPr>
    </w:p>
    <w:p w:rsidR="00CC72A5" w:rsidRPr="008416FE" w14:paraId="4185F36A" w14:textId="507BD156">
      <w:pPr>
        <w:spacing w:after="0" w:line="240" w:lineRule="auto"/>
        <w:rPr>
          <w:rFonts w:ascii="Times New Roman" w:eastAsia="Times New Roman" w:hAnsi="Times New Roman"/>
          <w:sz w:val="24"/>
          <w:szCs w:val="24"/>
        </w:rPr>
      </w:pPr>
      <w:r w:rsidRPr="008416FE">
        <w:rPr>
          <w:rFonts w:ascii="Times New Roman" w:eastAsia="Times New Roman" w:hAnsi="Times New Roman"/>
          <w:b/>
          <w:sz w:val="24"/>
          <w:szCs w:val="24"/>
        </w:rPr>
        <w:t>FERC</w:t>
      </w:r>
      <w:r w:rsidRPr="008416FE" w:rsidR="002123B8">
        <w:rPr>
          <w:rFonts w:ascii="Times New Roman" w:eastAsia="Times New Roman" w:hAnsi="Times New Roman"/>
          <w:b/>
          <w:sz w:val="24"/>
          <w:szCs w:val="24"/>
        </w:rPr>
        <w:t xml:space="preserve"> Form Nos. </w:t>
      </w:r>
      <w:r w:rsidRPr="008416FE">
        <w:rPr>
          <w:rFonts w:ascii="Times New Roman" w:eastAsia="Times New Roman" w:hAnsi="Times New Roman"/>
          <w:b/>
          <w:sz w:val="24"/>
          <w:szCs w:val="24"/>
        </w:rPr>
        <w:t xml:space="preserve">1, </w:t>
      </w:r>
      <w:r w:rsidRPr="008416FE" w:rsidR="00D24757">
        <w:rPr>
          <w:rFonts w:ascii="Times New Roman" w:eastAsia="Times New Roman" w:hAnsi="Times New Roman"/>
          <w:b/>
          <w:sz w:val="24"/>
          <w:szCs w:val="24"/>
        </w:rPr>
        <w:t>1-F</w:t>
      </w:r>
      <w:r w:rsidRPr="008416FE">
        <w:rPr>
          <w:rFonts w:ascii="Times New Roman" w:eastAsia="Times New Roman" w:hAnsi="Times New Roman"/>
          <w:b/>
          <w:sz w:val="24"/>
          <w:szCs w:val="24"/>
        </w:rPr>
        <w:t xml:space="preserve">, and </w:t>
      </w:r>
      <w:r w:rsidRPr="008416FE" w:rsidR="00D24757">
        <w:rPr>
          <w:rFonts w:ascii="Times New Roman" w:eastAsia="Times New Roman" w:hAnsi="Times New Roman"/>
          <w:b/>
          <w:sz w:val="24"/>
          <w:szCs w:val="24"/>
        </w:rPr>
        <w:t>3-Q</w:t>
      </w:r>
      <w:r w:rsidRPr="008416FE">
        <w:rPr>
          <w:rFonts w:ascii="Times New Roman" w:eastAsia="Times New Roman" w:hAnsi="Times New Roman"/>
          <w:b/>
          <w:sz w:val="24"/>
          <w:szCs w:val="24"/>
        </w:rPr>
        <w:t>.</w:t>
      </w:r>
      <w:r w:rsidR="00901657">
        <w:rPr>
          <w:rFonts w:ascii="Times New Roman" w:eastAsia="Times New Roman" w:hAnsi="Times New Roman"/>
          <w:b/>
          <w:sz w:val="24"/>
          <w:szCs w:val="24"/>
        </w:rPr>
        <w:t xml:space="preserve"> </w:t>
      </w:r>
      <w:r w:rsidRPr="008416FE">
        <w:rPr>
          <w:rFonts w:ascii="Times New Roman" w:eastAsia="Times New Roman" w:hAnsi="Times New Roman"/>
          <w:sz w:val="24"/>
          <w:szCs w:val="24"/>
        </w:rPr>
        <w:t>In accordance with sections 304</w:t>
      </w:r>
      <w:r w:rsidRPr="008416FE" w:rsidR="0081515A">
        <w:rPr>
          <w:rFonts w:ascii="Times New Roman" w:eastAsia="Times New Roman" w:hAnsi="Times New Roman"/>
          <w:sz w:val="24"/>
          <w:szCs w:val="24"/>
        </w:rPr>
        <w:t>(a)</w:t>
      </w:r>
      <w:r w:rsidRPr="008416FE">
        <w:rPr>
          <w:rFonts w:ascii="Times New Roman" w:eastAsia="Times New Roman" w:hAnsi="Times New Roman"/>
          <w:sz w:val="24"/>
          <w:szCs w:val="24"/>
        </w:rPr>
        <w:t xml:space="preserve"> and 309 of the Federal Power Act</w:t>
      </w:r>
      <w:r w:rsidRPr="008416FE" w:rsidR="00375F0B">
        <w:rPr>
          <w:rFonts w:ascii="Times New Roman" w:eastAsia="Times New Roman" w:hAnsi="Times New Roman"/>
          <w:sz w:val="24"/>
          <w:szCs w:val="24"/>
        </w:rPr>
        <w:t xml:space="preserve"> (FPA) </w:t>
      </w:r>
      <w:r w:rsidRPr="008416FE">
        <w:rPr>
          <w:rFonts w:ascii="Times New Roman" w:eastAsia="Times New Roman" w:hAnsi="Times New Roman"/>
          <w:sz w:val="24"/>
          <w:szCs w:val="24"/>
        </w:rPr>
        <w:t>and section</w:t>
      </w:r>
      <w:r w:rsidRPr="008416FE" w:rsidR="00E420F1">
        <w:rPr>
          <w:rFonts w:ascii="Times New Roman" w:eastAsia="Times New Roman" w:hAnsi="Times New Roman"/>
          <w:sz w:val="24"/>
          <w:szCs w:val="24"/>
        </w:rPr>
        <w:t>s</w:t>
      </w:r>
      <w:r w:rsidRPr="008416FE">
        <w:rPr>
          <w:rFonts w:ascii="Times New Roman" w:eastAsia="Times New Roman" w:hAnsi="Times New Roman"/>
          <w:sz w:val="24"/>
          <w:szCs w:val="24"/>
        </w:rPr>
        <w:t xml:space="preserve"> 10(a) </w:t>
      </w:r>
      <w:r w:rsidRPr="008416FE" w:rsidR="00DE3797">
        <w:rPr>
          <w:rFonts w:ascii="Times New Roman" w:eastAsia="Times New Roman" w:hAnsi="Times New Roman"/>
          <w:sz w:val="24"/>
          <w:szCs w:val="24"/>
        </w:rPr>
        <w:t>and 16</w:t>
      </w:r>
      <w:r w:rsidRPr="008416FE" w:rsidR="00B03033">
        <w:rPr>
          <w:rFonts w:ascii="Times New Roman" w:eastAsia="Times New Roman" w:hAnsi="Times New Roman"/>
          <w:sz w:val="24"/>
          <w:szCs w:val="24"/>
        </w:rPr>
        <w:t xml:space="preserve"> </w:t>
      </w:r>
      <w:r w:rsidRPr="008416FE">
        <w:rPr>
          <w:rFonts w:ascii="Times New Roman" w:eastAsia="Times New Roman" w:hAnsi="Times New Roman"/>
          <w:sz w:val="24"/>
          <w:szCs w:val="24"/>
        </w:rPr>
        <w:t>of the Natural Gas Act</w:t>
      </w:r>
      <w:r w:rsidRPr="008416FE" w:rsidR="00375F0B">
        <w:rPr>
          <w:rFonts w:ascii="Times New Roman" w:eastAsia="Times New Roman" w:hAnsi="Times New Roman"/>
          <w:sz w:val="24"/>
          <w:szCs w:val="24"/>
        </w:rPr>
        <w:t xml:space="preserve"> (NGA)</w:t>
      </w:r>
      <w:r w:rsidRPr="008416FE">
        <w:rPr>
          <w:rFonts w:ascii="Times New Roman" w:eastAsia="Times New Roman" w:hAnsi="Times New Roman"/>
          <w:sz w:val="24"/>
          <w:szCs w:val="24"/>
        </w:rPr>
        <w:t>, FERC is authorized to collect and record data to the extent it considers necessary, and to prescribe rules and regulations concerning accounts, records</w:t>
      </w:r>
      <w:r w:rsidRPr="008416FE" w:rsidR="00AC5D8A">
        <w:rPr>
          <w:rFonts w:ascii="Times New Roman" w:eastAsia="Times New Roman" w:hAnsi="Times New Roman"/>
          <w:sz w:val="24"/>
          <w:szCs w:val="24"/>
        </w:rPr>
        <w:t>,</w:t>
      </w:r>
      <w:r w:rsidRPr="008416FE">
        <w:rPr>
          <w:rFonts w:ascii="Times New Roman" w:eastAsia="Times New Roman" w:hAnsi="Times New Roman"/>
          <w:sz w:val="24"/>
          <w:szCs w:val="24"/>
        </w:rPr>
        <w:t xml:space="preserve"> and memoranda.</w:t>
      </w:r>
      <w:r w:rsidR="00901657">
        <w:rPr>
          <w:rFonts w:ascii="Times New Roman" w:eastAsia="Times New Roman" w:hAnsi="Times New Roman"/>
          <w:sz w:val="24"/>
          <w:szCs w:val="24"/>
        </w:rPr>
        <w:t xml:space="preserve"> </w:t>
      </w:r>
    </w:p>
    <w:p w:rsidR="0058372E" w:rsidRPr="008416FE" w:rsidP="00BD0F89" w14:paraId="1235837D" w14:textId="77777777">
      <w:pPr>
        <w:spacing w:after="0" w:line="240" w:lineRule="auto"/>
        <w:rPr>
          <w:rFonts w:ascii="Times New Roman" w:eastAsia="Times New Roman" w:hAnsi="Times New Roman"/>
          <w:sz w:val="24"/>
          <w:szCs w:val="24"/>
        </w:rPr>
      </w:pPr>
    </w:p>
    <w:p w:rsidR="000E272C" w:rsidRPr="008416FE" w:rsidP="00BD0F89" w14:paraId="1486202B" w14:textId="4FFB8DCA">
      <w:pPr>
        <w:spacing w:after="0" w:line="240" w:lineRule="auto"/>
        <w:rPr>
          <w:rFonts w:ascii="Times New Roman" w:eastAsia="Times New Roman" w:hAnsi="Times New Roman"/>
          <w:sz w:val="24"/>
          <w:szCs w:val="24"/>
        </w:rPr>
      </w:pPr>
      <w:r w:rsidRPr="008416FE">
        <w:rPr>
          <w:rFonts w:ascii="Times New Roman" w:eastAsia="Times New Roman" w:hAnsi="Times New Roman"/>
          <w:sz w:val="24"/>
          <w:szCs w:val="24"/>
        </w:rPr>
        <w:t>U</w:t>
      </w:r>
      <w:r w:rsidRPr="008416FE" w:rsidR="00CC72A5">
        <w:rPr>
          <w:rFonts w:ascii="Times New Roman" w:eastAsia="Times New Roman" w:hAnsi="Times New Roman"/>
          <w:sz w:val="24"/>
          <w:szCs w:val="24"/>
        </w:rPr>
        <w:t xml:space="preserve">nder the existing regulations, FERC jurisdictional entities subject to its Uniform System of Accounts </w:t>
      </w:r>
      <w:r w:rsidRPr="008416FE" w:rsidR="0092238A">
        <w:rPr>
          <w:rFonts w:ascii="Times New Roman" w:eastAsia="Times New Roman" w:hAnsi="Times New Roman"/>
          <w:sz w:val="24"/>
          <w:szCs w:val="24"/>
        </w:rPr>
        <w:t xml:space="preserve">(USofA) </w:t>
      </w:r>
      <w:r w:rsidRPr="008416FE" w:rsidR="00CC72A5">
        <w:rPr>
          <w:rFonts w:ascii="Times New Roman" w:eastAsia="Times New Roman" w:hAnsi="Times New Roman"/>
          <w:sz w:val="24"/>
          <w:szCs w:val="24"/>
        </w:rPr>
        <w:t>must annually file a complete set of financial statements</w:t>
      </w:r>
      <w:r w:rsidRPr="008416FE" w:rsidR="00713079">
        <w:rPr>
          <w:rFonts w:ascii="Times New Roman" w:eastAsia="Times New Roman" w:hAnsi="Times New Roman"/>
          <w:sz w:val="24"/>
          <w:szCs w:val="24"/>
        </w:rPr>
        <w:t xml:space="preserve"> with the Commission</w:t>
      </w:r>
      <w:r w:rsidRPr="008416FE" w:rsidR="00CC72A5">
        <w:rPr>
          <w:rFonts w:ascii="Times New Roman" w:eastAsia="Times New Roman" w:hAnsi="Times New Roman"/>
          <w:sz w:val="24"/>
          <w:szCs w:val="24"/>
        </w:rPr>
        <w:t xml:space="preserve">, along with other selected financial and non-financial data through the submission of FERC Form </w:t>
      </w:r>
      <w:r w:rsidRPr="008416FE" w:rsidR="009F6CFB">
        <w:rPr>
          <w:rFonts w:ascii="Times New Roman" w:eastAsia="Times New Roman" w:hAnsi="Times New Roman"/>
          <w:sz w:val="24"/>
          <w:szCs w:val="24"/>
        </w:rPr>
        <w:t>No</w:t>
      </w:r>
      <w:r w:rsidRPr="008416FE" w:rsidR="00FD1DA6">
        <w:rPr>
          <w:rFonts w:ascii="Times New Roman" w:eastAsia="Times New Roman" w:hAnsi="Times New Roman"/>
          <w:sz w:val="24"/>
          <w:szCs w:val="24"/>
        </w:rPr>
        <w:t>s</w:t>
      </w:r>
      <w:r w:rsidRPr="008416FE" w:rsidR="009F6CFB">
        <w:rPr>
          <w:rFonts w:ascii="Times New Roman" w:eastAsia="Times New Roman" w:hAnsi="Times New Roman"/>
          <w:sz w:val="24"/>
          <w:szCs w:val="24"/>
        </w:rPr>
        <w:t xml:space="preserve">. </w:t>
      </w:r>
      <w:r w:rsidRPr="008416FE" w:rsidR="00CC72A5">
        <w:rPr>
          <w:rFonts w:ascii="Times New Roman" w:eastAsia="Times New Roman" w:hAnsi="Times New Roman"/>
          <w:sz w:val="24"/>
          <w:szCs w:val="24"/>
        </w:rPr>
        <w:t>1 and 1-F</w:t>
      </w:r>
      <w:r w:rsidRPr="008416FE" w:rsidR="000159C4">
        <w:rPr>
          <w:rFonts w:ascii="Times New Roman" w:eastAsia="Times New Roman" w:hAnsi="Times New Roman"/>
          <w:sz w:val="24"/>
          <w:szCs w:val="24"/>
        </w:rPr>
        <w:t xml:space="preserve"> and must file </w:t>
      </w:r>
      <w:r w:rsidRPr="008416FE" w:rsidR="00293E91">
        <w:rPr>
          <w:rFonts w:ascii="Times New Roman" w:eastAsia="Times New Roman" w:hAnsi="Times New Roman"/>
          <w:sz w:val="24"/>
          <w:szCs w:val="24"/>
        </w:rPr>
        <w:t>this information quarterly through the submission of FERC Form No. 3-Q</w:t>
      </w:r>
      <w:r w:rsidRPr="008416FE" w:rsidR="00CC72A5">
        <w:rPr>
          <w:rFonts w:ascii="Times New Roman" w:eastAsia="Times New Roman" w:hAnsi="Times New Roman"/>
          <w:sz w:val="24"/>
          <w:szCs w:val="24"/>
        </w:rPr>
        <w:t>.</w:t>
      </w:r>
      <w:r w:rsidR="00901657">
        <w:rPr>
          <w:rFonts w:ascii="Times New Roman" w:eastAsia="Times New Roman" w:hAnsi="Times New Roman"/>
          <w:sz w:val="24"/>
          <w:szCs w:val="24"/>
        </w:rPr>
        <w:t xml:space="preserve"> </w:t>
      </w:r>
    </w:p>
    <w:p w:rsidR="000E272C" w:rsidRPr="008416FE" w:rsidP="00BD0F89" w14:paraId="4A0FF767" w14:textId="77777777">
      <w:pPr>
        <w:spacing w:after="0" w:line="240" w:lineRule="auto"/>
        <w:rPr>
          <w:rFonts w:ascii="Times New Roman" w:eastAsia="Times New Roman" w:hAnsi="Times New Roman"/>
          <w:sz w:val="24"/>
          <w:szCs w:val="24"/>
        </w:rPr>
      </w:pPr>
    </w:p>
    <w:p w:rsidR="00876A9C" w:rsidRPr="008416FE" w:rsidP="00BD0F89" w14:paraId="286FFAFD" w14:textId="6AC6249E">
      <w:pPr>
        <w:spacing w:after="0" w:line="240" w:lineRule="auto"/>
        <w:rPr>
          <w:rFonts w:ascii="Times New Roman" w:eastAsia="Times New Roman" w:hAnsi="Times New Roman"/>
          <w:sz w:val="24"/>
          <w:szCs w:val="24"/>
        </w:rPr>
      </w:pPr>
      <w:r w:rsidRPr="008416FE">
        <w:rPr>
          <w:rFonts w:ascii="Times New Roman" w:eastAsia="Times New Roman" w:hAnsi="Times New Roman"/>
          <w:sz w:val="24"/>
          <w:szCs w:val="24"/>
        </w:rPr>
        <w:t xml:space="preserve">FERC </w:t>
      </w:r>
      <w:r w:rsidRPr="008416FE" w:rsidR="00CC72A5">
        <w:rPr>
          <w:rFonts w:ascii="Times New Roman" w:eastAsia="Times New Roman" w:hAnsi="Times New Roman"/>
          <w:sz w:val="24"/>
          <w:szCs w:val="24"/>
        </w:rPr>
        <w:t xml:space="preserve">Form </w:t>
      </w:r>
      <w:r w:rsidRPr="008416FE" w:rsidR="00FD1DA6">
        <w:rPr>
          <w:rFonts w:ascii="Times New Roman" w:eastAsia="Times New Roman" w:hAnsi="Times New Roman"/>
          <w:sz w:val="24"/>
          <w:szCs w:val="24"/>
        </w:rPr>
        <w:t xml:space="preserve">No. </w:t>
      </w:r>
      <w:r w:rsidRPr="008416FE" w:rsidR="00CC72A5">
        <w:rPr>
          <w:rFonts w:ascii="Times New Roman" w:eastAsia="Times New Roman" w:hAnsi="Times New Roman"/>
          <w:sz w:val="24"/>
          <w:szCs w:val="24"/>
        </w:rPr>
        <w:t xml:space="preserve">1 is a comprehensive financial and operating report submitted </w:t>
      </w:r>
      <w:r w:rsidRPr="008416FE" w:rsidR="00DC65E9">
        <w:rPr>
          <w:rFonts w:ascii="Times New Roman" w:eastAsia="Times New Roman" w:hAnsi="Times New Roman"/>
          <w:sz w:val="24"/>
          <w:szCs w:val="24"/>
        </w:rPr>
        <w:t xml:space="preserve">annually </w:t>
      </w:r>
      <w:r w:rsidRPr="008416FE" w:rsidR="00CC72A5">
        <w:rPr>
          <w:rFonts w:ascii="Times New Roman" w:eastAsia="Times New Roman" w:hAnsi="Times New Roman"/>
          <w:sz w:val="24"/>
          <w:szCs w:val="24"/>
        </w:rPr>
        <w:t>for electric rate regulation, market oversight analysis, and financial audits</w:t>
      </w:r>
      <w:r w:rsidRPr="008416FE">
        <w:rPr>
          <w:rFonts w:ascii="Times New Roman" w:eastAsia="Times New Roman" w:hAnsi="Times New Roman"/>
          <w:sz w:val="24"/>
          <w:szCs w:val="24"/>
        </w:rPr>
        <w:t xml:space="preserve"> by Major electric utilities, licensees</w:t>
      </w:r>
      <w:r w:rsidRPr="008416FE" w:rsidR="00AC5D8A">
        <w:rPr>
          <w:rFonts w:ascii="Times New Roman" w:eastAsia="Times New Roman" w:hAnsi="Times New Roman"/>
          <w:sz w:val="24"/>
          <w:szCs w:val="24"/>
        </w:rPr>
        <w:t>,</w:t>
      </w:r>
      <w:r w:rsidRPr="008416FE">
        <w:rPr>
          <w:rFonts w:ascii="Times New Roman" w:eastAsia="Times New Roman" w:hAnsi="Times New Roman"/>
          <w:sz w:val="24"/>
          <w:szCs w:val="24"/>
        </w:rPr>
        <w:t xml:space="preserve"> and others</w:t>
      </w:r>
      <w:r w:rsidRPr="008416FE" w:rsidR="00CC72A5">
        <w:rPr>
          <w:rFonts w:ascii="Times New Roman" w:eastAsia="Times New Roman" w:hAnsi="Times New Roman"/>
          <w:sz w:val="24"/>
          <w:szCs w:val="24"/>
        </w:rPr>
        <w:t>.</w:t>
      </w:r>
      <w:r w:rsidR="00901657">
        <w:rPr>
          <w:rFonts w:ascii="Times New Roman" w:eastAsia="Times New Roman" w:hAnsi="Times New Roman"/>
          <w:sz w:val="24"/>
          <w:szCs w:val="24"/>
        </w:rPr>
        <w:t xml:space="preserve"> </w:t>
      </w:r>
      <w:r w:rsidRPr="008416FE" w:rsidR="00DF6CE4">
        <w:rPr>
          <w:rFonts w:ascii="Times New Roman" w:eastAsia="Times New Roman" w:hAnsi="Times New Roman"/>
          <w:sz w:val="24"/>
          <w:szCs w:val="24"/>
        </w:rPr>
        <w:t xml:space="preserve">A </w:t>
      </w:r>
      <w:r w:rsidRPr="008416FE" w:rsidR="00CC72A5">
        <w:rPr>
          <w:rFonts w:ascii="Times New Roman" w:eastAsia="Times New Roman" w:hAnsi="Times New Roman"/>
          <w:sz w:val="24"/>
          <w:szCs w:val="24"/>
        </w:rPr>
        <w:t xml:space="preserve">Major </w:t>
      </w:r>
      <w:r w:rsidRPr="008416FE" w:rsidR="00606621">
        <w:rPr>
          <w:rFonts w:ascii="Times New Roman" w:eastAsia="Times New Roman" w:hAnsi="Times New Roman"/>
          <w:sz w:val="24"/>
          <w:szCs w:val="24"/>
        </w:rPr>
        <w:t>electric utility, licensee, or other reporter is defined as having</w:t>
      </w:r>
      <w:r w:rsidRPr="008416FE" w:rsidR="00CC72A5">
        <w:rPr>
          <w:rFonts w:ascii="Times New Roman" w:eastAsia="Times New Roman" w:hAnsi="Times New Roman"/>
          <w:sz w:val="24"/>
          <w:szCs w:val="24"/>
        </w:rPr>
        <w:t xml:space="preserve">, in each of the </w:t>
      </w:r>
      <w:r w:rsidRPr="008416FE">
        <w:rPr>
          <w:rFonts w:ascii="Times New Roman" w:eastAsia="Times New Roman" w:hAnsi="Times New Roman"/>
          <w:sz w:val="24"/>
          <w:szCs w:val="24"/>
        </w:rPr>
        <w:t xml:space="preserve">last </w:t>
      </w:r>
      <w:r w:rsidRPr="008416FE" w:rsidR="00CC72A5">
        <w:rPr>
          <w:rFonts w:ascii="Times New Roman" w:eastAsia="Times New Roman" w:hAnsi="Times New Roman"/>
          <w:sz w:val="24"/>
          <w:szCs w:val="24"/>
        </w:rPr>
        <w:t xml:space="preserve">three </w:t>
      </w:r>
      <w:r w:rsidRPr="008416FE">
        <w:rPr>
          <w:rFonts w:ascii="Times New Roman" w:eastAsia="Times New Roman" w:hAnsi="Times New Roman"/>
          <w:sz w:val="24"/>
          <w:szCs w:val="24"/>
        </w:rPr>
        <w:t>consecutive</w:t>
      </w:r>
      <w:r w:rsidRPr="008416FE" w:rsidR="00CC72A5">
        <w:rPr>
          <w:rFonts w:ascii="Times New Roman" w:eastAsia="Times New Roman" w:hAnsi="Times New Roman"/>
          <w:sz w:val="24"/>
          <w:szCs w:val="24"/>
        </w:rPr>
        <w:t xml:space="preserve"> calendar years, sales or transmission services that exceed one of the following: (1) one million megawatt</w:t>
      </w:r>
      <w:r w:rsidRPr="008416FE" w:rsidR="007C6E7D">
        <w:rPr>
          <w:rFonts w:ascii="Times New Roman" w:eastAsia="Times New Roman" w:hAnsi="Times New Roman"/>
          <w:sz w:val="24"/>
          <w:szCs w:val="24"/>
        </w:rPr>
        <w:t>-</w:t>
      </w:r>
      <w:r w:rsidRPr="008416FE" w:rsidR="00CC72A5">
        <w:rPr>
          <w:rFonts w:ascii="Times New Roman" w:eastAsia="Times New Roman" w:hAnsi="Times New Roman"/>
          <w:sz w:val="24"/>
          <w:szCs w:val="24"/>
        </w:rPr>
        <w:t>hours of total sales; (2) 100 megawatt</w:t>
      </w:r>
      <w:r w:rsidRPr="008416FE" w:rsidR="007C6E7D">
        <w:rPr>
          <w:rFonts w:ascii="Times New Roman" w:eastAsia="Times New Roman" w:hAnsi="Times New Roman"/>
          <w:sz w:val="24"/>
          <w:szCs w:val="24"/>
        </w:rPr>
        <w:t>-</w:t>
      </w:r>
      <w:r w:rsidRPr="008416FE" w:rsidR="00CC72A5">
        <w:rPr>
          <w:rFonts w:ascii="Times New Roman" w:eastAsia="Times New Roman" w:hAnsi="Times New Roman"/>
          <w:sz w:val="24"/>
          <w:szCs w:val="24"/>
        </w:rPr>
        <w:t>hours of sales for resale; (3) 500 megawatt</w:t>
      </w:r>
      <w:r w:rsidRPr="008416FE" w:rsidR="007C6E7D">
        <w:rPr>
          <w:rFonts w:ascii="Times New Roman" w:eastAsia="Times New Roman" w:hAnsi="Times New Roman"/>
          <w:sz w:val="24"/>
          <w:szCs w:val="24"/>
        </w:rPr>
        <w:t>-</w:t>
      </w:r>
      <w:r w:rsidRPr="008416FE" w:rsidR="00CC72A5">
        <w:rPr>
          <w:rFonts w:ascii="Times New Roman" w:eastAsia="Times New Roman" w:hAnsi="Times New Roman"/>
          <w:sz w:val="24"/>
          <w:szCs w:val="24"/>
        </w:rPr>
        <w:t>hours of power exchanges delivered; or (4) 500 megawatt</w:t>
      </w:r>
      <w:r w:rsidRPr="008416FE" w:rsidR="007C6E7D">
        <w:rPr>
          <w:rFonts w:ascii="Times New Roman" w:eastAsia="Times New Roman" w:hAnsi="Times New Roman"/>
          <w:sz w:val="24"/>
          <w:szCs w:val="24"/>
        </w:rPr>
        <w:t>-</w:t>
      </w:r>
      <w:r w:rsidRPr="008416FE" w:rsidR="00CC72A5">
        <w:rPr>
          <w:rFonts w:ascii="Times New Roman" w:eastAsia="Times New Roman" w:hAnsi="Times New Roman"/>
          <w:sz w:val="24"/>
          <w:szCs w:val="24"/>
        </w:rPr>
        <w:t>hours of wheeling for others (deliveries plus losses).</w:t>
      </w:r>
      <w:r>
        <w:rPr>
          <w:rFonts w:ascii="Times New Roman" w:eastAsia="Times New Roman" w:hAnsi="Times New Roman"/>
          <w:b/>
          <w:bCs/>
          <w:sz w:val="24"/>
          <w:szCs w:val="24"/>
          <w:vertAlign w:val="superscript"/>
        </w:rPr>
        <w:footnoteReference w:id="3"/>
      </w:r>
      <w:r w:rsidR="00901657">
        <w:rPr>
          <w:rFonts w:ascii="Times New Roman" w:eastAsia="Times New Roman" w:hAnsi="Times New Roman"/>
          <w:sz w:val="24"/>
          <w:szCs w:val="24"/>
        </w:rPr>
        <w:t xml:space="preserve"> </w:t>
      </w:r>
    </w:p>
    <w:p w:rsidR="0058372E" w:rsidRPr="008416FE" w14:paraId="1F4B4712" w14:textId="77777777">
      <w:pPr>
        <w:spacing w:after="0" w:line="240" w:lineRule="auto"/>
        <w:ind w:firstLine="720"/>
        <w:rPr>
          <w:rFonts w:ascii="Times New Roman" w:eastAsia="Times New Roman" w:hAnsi="Times New Roman"/>
          <w:sz w:val="24"/>
          <w:szCs w:val="24"/>
        </w:rPr>
      </w:pPr>
    </w:p>
    <w:p w:rsidR="00CC72A5" w:rsidRPr="008416FE" w14:paraId="5D1092FA" w14:textId="5E5FBF44">
      <w:pPr>
        <w:spacing w:after="0" w:line="240" w:lineRule="auto"/>
        <w:rPr>
          <w:rFonts w:ascii="Times New Roman" w:eastAsia="Times New Roman" w:hAnsi="Times New Roman"/>
          <w:sz w:val="24"/>
          <w:szCs w:val="24"/>
        </w:rPr>
      </w:pPr>
      <w:r w:rsidRPr="008416FE">
        <w:rPr>
          <w:rFonts w:ascii="Times New Roman" w:eastAsia="Times New Roman" w:hAnsi="Times New Roman"/>
          <w:sz w:val="24"/>
          <w:szCs w:val="24"/>
        </w:rPr>
        <w:t xml:space="preserve">FERC </w:t>
      </w:r>
      <w:r w:rsidRPr="008416FE">
        <w:rPr>
          <w:rFonts w:ascii="Times New Roman" w:eastAsia="Times New Roman" w:hAnsi="Times New Roman"/>
          <w:sz w:val="24"/>
          <w:szCs w:val="24"/>
        </w:rPr>
        <w:t xml:space="preserve">Form </w:t>
      </w:r>
      <w:r w:rsidRPr="008416FE" w:rsidR="00FD1DA6">
        <w:rPr>
          <w:rFonts w:ascii="Times New Roman" w:eastAsia="Times New Roman" w:hAnsi="Times New Roman"/>
          <w:sz w:val="24"/>
          <w:szCs w:val="24"/>
        </w:rPr>
        <w:t xml:space="preserve">No. </w:t>
      </w:r>
      <w:r w:rsidRPr="008416FE">
        <w:rPr>
          <w:rFonts w:ascii="Times New Roman" w:eastAsia="Times New Roman" w:hAnsi="Times New Roman"/>
          <w:sz w:val="24"/>
          <w:szCs w:val="24"/>
        </w:rPr>
        <w:t xml:space="preserve">1-F is designed to collect financial and operational information from Nonmajor </w:t>
      </w:r>
      <w:r w:rsidRPr="008416FE">
        <w:rPr>
          <w:rFonts w:ascii="Times New Roman" w:eastAsia="Times New Roman" w:hAnsi="Times New Roman"/>
          <w:sz w:val="24"/>
          <w:szCs w:val="24"/>
        </w:rPr>
        <w:t>electric</w:t>
      </w:r>
      <w:r w:rsidRPr="008416FE">
        <w:rPr>
          <w:rFonts w:ascii="Times New Roman" w:eastAsia="Times New Roman" w:hAnsi="Times New Roman"/>
          <w:sz w:val="24"/>
          <w:szCs w:val="24"/>
        </w:rPr>
        <w:t xml:space="preserve"> utilities and licensees.</w:t>
      </w:r>
      <w:r w:rsidR="00901657">
        <w:rPr>
          <w:rFonts w:ascii="Times New Roman" w:eastAsia="Times New Roman" w:hAnsi="Times New Roman"/>
          <w:sz w:val="24"/>
          <w:szCs w:val="24"/>
        </w:rPr>
        <w:t xml:space="preserve"> </w:t>
      </w:r>
      <w:r w:rsidRPr="008416FE">
        <w:rPr>
          <w:rFonts w:ascii="Times New Roman" w:eastAsia="Times New Roman" w:hAnsi="Times New Roman"/>
          <w:sz w:val="24"/>
          <w:szCs w:val="24"/>
        </w:rPr>
        <w:t xml:space="preserve">Nonmajor pertains to utilities and licensees that have total annual sales of 10,000 megawatt-hours or more in </w:t>
      </w:r>
      <w:r w:rsidRPr="008416FE" w:rsidR="00015810">
        <w:rPr>
          <w:rFonts w:ascii="Times New Roman" w:eastAsia="Times New Roman" w:hAnsi="Times New Roman"/>
          <w:sz w:val="24"/>
          <w:szCs w:val="24"/>
        </w:rPr>
        <w:t xml:space="preserve">each of </w:t>
      </w:r>
      <w:r w:rsidRPr="008416FE">
        <w:rPr>
          <w:rFonts w:ascii="Times New Roman" w:eastAsia="Times New Roman" w:hAnsi="Times New Roman"/>
          <w:sz w:val="24"/>
          <w:szCs w:val="24"/>
        </w:rPr>
        <w:t xml:space="preserve">the </w:t>
      </w:r>
      <w:r w:rsidRPr="008416FE" w:rsidR="00015810">
        <w:rPr>
          <w:rFonts w:ascii="Times New Roman" w:eastAsia="Times New Roman" w:hAnsi="Times New Roman"/>
          <w:sz w:val="24"/>
          <w:szCs w:val="24"/>
        </w:rPr>
        <w:t xml:space="preserve">last three consecutive </w:t>
      </w:r>
      <w:r w:rsidRPr="008416FE">
        <w:rPr>
          <w:rFonts w:ascii="Times New Roman" w:eastAsia="Times New Roman" w:hAnsi="Times New Roman"/>
          <w:sz w:val="24"/>
          <w:szCs w:val="24"/>
        </w:rPr>
        <w:t>year</w:t>
      </w:r>
      <w:r w:rsidRPr="008416FE" w:rsidR="00015810">
        <w:rPr>
          <w:rFonts w:ascii="Times New Roman" w:eastAsia="Times New Roman" w:hAnsi="Times New Roman"/>
          <w:sz w:val="24"/>
          <w:szCs w:val="24"/>
        </w:rPr>
        <w:t>s</w:t>
      </w:r>
      <w:r w:rsidRPr="008416FE">
        <w:rPr>
          <w:rFonts w:ascii="Times New Roman" w:eastAsia="Times New Roman" w:hAnsi="Times New Roman"/>
          <w:sz w:val="24"/>
          <w:szCs w:val="24"/>
        </w:rPr>
        <w:t xml:space="preserve"> and that are not classified as Major.</w:t>
      </w:r>
      <w:r w:rsidR="009160CA">
        <w:rPr>
          <w:rFonts w:ascii="Times New Roman" w:eastAsia="Times New Roman" w:hAnsi="Times New Roman"/>
          <w:sz w:val="24"/>
          <w:szCs w:val="24"/>
        </w:rPr>
        <w:t xml:space="preserve"> </w:t>
      </w:r>
      <w:r>
        <w:rPr>
          <w:rFonts w:ascii="Times New Roman" w:eastAsia="Times New Roman" w:hAnsi="Times New Roman"/>
          <w:b/>
          <w:bCs/>
          <w:sz w:val="24"/>
          <w:szCs w:val="24"/>
          <w:vertAlign w:val="superscript"/>
        </w:rPr>
        <w:footnoteReference w:id="4"/>
      </w:r>
    </w:p>
    <w:p w:rsidR="0058372E" w:rsidRPr="008416FE" w:rsidP="00BD0F89" w14:paraId="6E2590BB" w14:textId="18C5475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8416FE" w:rsidR="00577119">
        <w:rPr>
          <w:rFonts w:ascii="Times New Roman" w:eastAsia="Times New Roman" w:hAnsi="Times New Roman"/>
          <w:sz w:val="24"/>
          <w:szCs w:val="24"/>
        </w:rPr>
        <w:tab/>
      </w:r>
    </w:p>
    <w:p w:rsidR="00CC72A5" w:rsidRPr="008416FE" w:rsidP="00BD0F89" w14:paraId="3016F732" w14:textId="5BC2B91D">
      <w:pPr>
        <w:spacing w:after="0" w:line="240" w:lineRule="auto"/>
        <w:rPr>
          <w:rFonts w:ascii="Times New Roman" w:eastAsia="Times New Roman" w:hAnsi="Times New Roman"/>
          <w:sz w:val="24"/>
          <w:szCs w:val="24"/>
        </w:rPr>
      </w:pPr>
      <w:r w:rsidRPr="008416FE">
        <w:rPr>
          <w:rFonts w:ascii="Times New Roman" w:eastAsia="Times New Roman" w:hAnsi="Times New Roman"/>
          <w:sz w:val="24"/>
          <w:szCs w:val="24"/>
        </w:rPr>
        <w:t xml:space="preserve">FERC Form </w:t>
      </w:r>
      <w:r w:rsidRPr="008416FE" w:rsidR="00FD1DA6">
        <w:rPr>
          <w:rFonts w:ascii="Times New Roman" w:eastAsia="Times New Roman" w:hAnsi="Times New Roman"/>
          <w:sz w:val="24"/>
          <w:szCs w:val="24"/>
        </w:rPr>
        <w:t xml:space="preserve">No. </w:t>
      </w:r>
      <w:r w:rsidRPr="008416FE">
        <w:rPr>
          <w:rFonts w:ascii="Times New Roman" w:eastAsia="Times New Roman" w:hAnsi="Times New Roman"/>
          <w:sz w:val="24"/>
          <w:szCs w:val="24"/>
        </w:rPr>
        <w:t xml:space="preserve">3-Q is a quarterly financial and operating report for rate regulation, market oversight analysis, and financial audits which supplements (a) </w:t>
      </w:r>
      <w:r w:rsidRPr="008416FE" w:rsidR="00487C6B">
        <w:rPr>
          <w:rFonts w:ascii="Times New Roman" w:eastAsia="Times New Roman" w:hAnsi="Times New Roman"/>
          <w:sz w:val="24"/>
          <w:szCs w:val="24"/>
        </w:rPr>
        <w:t xml:space="preserve">FERC </w:t>
      </w:r>
      <w:r w:rsidRPr="008416FE">
        <w:rPr>
          <w:rFonts w:ascii="Times New Roman" w:eastAsia="Times New Roman" w:hAnsi="Times New Roman"/>
          <w:sz w:val="24"/>
          <w:szCs w:val="24"/>
        </w:rPr>
        <w:t>Form</w:t>
      </w:r>
      <w:r w:rsidRPr="008416FE" w:rsidR="00FD1DA6">
        <w:rPr>
          <w:rFonts w:ascii="Times New Roman" w:eastAsia="Times New Roman" w:hAnsi="Times New Roman"/>
          <w:sz w:val="24"/>
          <w:szCs w:val="24"/>
        </w:rPr>
        <w:t xml:space="preserve"> Nos. </w:t>
      </w:r>
      <w:r w:rsidRPr="008416FE">
        <w:rPr>
          <w:rFonts w:ascii="Times New Roman" w:eastAsia="Times New Roman" w:hAnsi="Times New Roman"/>
          <w:sz w:val="24"/>
          <w:szCs w:val="24"/>
        </w:rPr>
        <w:t xml:space="preserve">1 and 1-F for the electric industry, or (b) </w:t>
      </w:r>
      <w:r w:rsidRPr="008416FE" w:rsidR="00487C6B">
        <w:rPr>
          <w:rFonts w:ascii="Times New Roman" w:eastAsia="Times New Roman" w:hAnsi="Times New Roman"/>
          <w:sz w:val="24"/>
          <w:szCs w:val="24"/>
        </w:rPr>
        <w:t xml:space="preserve">FERC </w:t>
      </w:r>
      <w:r w:rsidRPr="008416FE">
        <w:rPr>
          <w:rFonts w:ascii="Times New Roman" w:eastAsia="Times New Roman" w:hAnsi="Times New Roman"/>
          <w:sz w:val="24"/>
          <w:szCs w:val="24"/>
        </w:rPr>
        <w:t xml:space="preserve">Form </w:t>
      </w:r>
      <w:r w:rsidRPr="008416FE" w:rsidR="00FD1DA6">
        <w:rPr>
          <w:rFonts w:ascii="Times New Roman" w:eastAsia="Times New Roman" w:hAnsi="Times New Roman"/>
          <w:sz w:val="24"/>
          <w:szCs w:val="24"/>
        </w:rPr>
        <w:t>No</w:t>
      </w:r>
      <w:r w:rsidRPr="008416FE" w:rsidR="002B4655">
        <w:rPr>
          <w:rFonts w:ascii="Times New Roman" w:eastAsia="Times New Roman" w:hAnsi="Times New Roman"/>
          <w:sz w:val="24"/>
          <w:szCs w:val="24"/>
        </w:rPr>
        <w:t>s</w:t>
      </w:r>
      <w:r w:rsidRPr="008416FE" w:rsidR="00FD1DA6">
        <w:rPr>
          <w:rFonts w:ascii="Times New Roman" w:eastAsia="Times New Roman" w:hAnsi="Times New Roman"/>
          <w:sz w:val="24"/>
          <w:szCs w:val="24"/>
        </w:rPr>
        <w:t xml:space="preserve">. </w:t>
      </w:r>
      <w:r w:rsidRPr="008416FE">
        <w:rPr>
          <w:rFonts w:ascii="Times New Roman" w:eastAsia="Times New Roman" w:hAnsi="Times New Roman"/>
          <w:sz w:val="24"/>
          <w:szCs w:val="24"/>
        </w:rPr>
        <w:t>2</w:t>
      </w:r>
      <w:r w:rsidRPr="008416FE" w:rsidR="00FD1DA6">
        <w:rPr>
          <w:rFonts w:ascii="Times New Roman" w:eastAsia="Times New Roman" w:hAnsi="Times New Roman"/>
          <w:sz w:val="24"/>
          <w:szCs w:val="24"/>
        </w:rPr>
        <w:t xml:space="preserve"> </w:t>
      </w:r>
      <w:r w:rsidRPr="008416FE" w:rsidR="002B4655">
        <w:rPr>
          <w:rFonts w:ascii="Times New Roman" w:eastAsia="Times New Roman" w:hAnsi="Times New Roman"/>
          <w:sz w:val="24"/>
          <w:szCs w:val="24"/>
        </w:rPr>
        <w:t xml:space="preserve">and </w:t>
      </w:r>
      <w:r w:rsidRPr="008416FE">
        <w:rPr>
          <w:rFonts w:ascii="Times New Roman" w:eastAsia="Times New Roman" w:hAnsi="Times New Roman"/>
          <w:sz w:val="24"/>
          <w:szCs w:val="24"/>
        </w:rPr>
        <w:t>2-A for the natural gas industry.</w:t>
      </w:r>
      <w:r w:rsidR="00901657">
        <w:rPr>
          <w:rFonts w:ascii="Times New Roman" w:eastAsia="Times New Roman" w:hAnsi="Times New Roman"/>
          <w:sz w:val="24"/>
          <w:szCs w:val="24"/>
        </w:rPr>
        <w:t xml:space="preserve"> </w:t>
      </w:r>
      <w:r w:rsidRPr="008416FE">
        <w:rPr>
          <w:rFonts w:ascii="Times New Roman" w:eastAsia="Times New Roman" w:hAnsi="Times New Roman"/>
          <w:sz w:val="24"/>
          <w:szCs w:val="24"/>
        </w:rPr>
        <w:t>FERC</w:t>
      </w:r>
      <w:r w:rsidRPr="008416FE" w:rsidR="009F6CFB">
        <w:rPr>
          <w:rFonts w:ascii="Times New Roman" w:eastAsia="Times New Roman" w:hAnsi="Times New Roman"/>
          <w:sz w:val="24"/>
          <w:szCs w:val="24"/>
        </w:rPr>
        <w:t xml:space="preserve"> Form</w:t>
      </w:r>
      <w:r w:rsidRPr="008416FE" w:rsidR="000076FA">
        <w:rPr>
          <w:rFonts w:ascii="Times New Roman" w:eastAsia="Times New Roman" w:hAnsi="Times New Roman"/>
          <w:sz w:val="24"/>
          <w:szCs w:val="24"/>
        </w:rPr>
        <w:t xml:space="preserve"> </w:t>
      </w:r>
      <w:r w:rsidRPr="008416FE" w:rsidR="009852B7">
        <w:rPr>
          <w:rFonts w:ascii="Times New Roman" w:eastAsia="Times New Roman" w:hAnsi="Times New Roman"/>
          <w:sz w:val="24"/>
          <w:szCs w:val="24"/>
        </w:rPr>
        <w:t>No.</w:t>
      </w:r>
      <w:r w:rsidRPr="008416FE" w:rsidR="009F6CFB">
        <w:rPr>
          <w:rFonts w:ascii="Times New Roman" w:eastAsia="Times New Roman" w:hAnsi="Times New Roman"/>
          <w:sz w:val="24"/>
          <w:szCs w:val="24"/>
        </w:rPr>
        <w:t xml:space="preserve"> </w:t>
      </w:r>
      <w:r w:rsidRPr="008416FE">
        <w:rPr>
          <w:rFonts w:ascii="Times New Roman" w:eastAsia="Times New Roman" w:hAnsi="Times New Roman"/>
          <w:sz w:val="24"/>
          <w:szCs w:val="24"/>
        </w:rPr>
        <w:t xml:space="preserve">3-Q is submitted for electric utilities and licensees reporting </w:t>
      </w:r>
      <w:r w:rsidRPr="008416FE" w:rsidR="00AC5D8A">
        <w:rPr>
          <w:rFonts w:ascii="Times New Roman" w:eastAsia="Times New Roman" w:hAnsi="Times New Roman"/>
          <w:sz w:val="24"/>
          <w:szCs w:val="24"/>
        </w:rPr>
        <w:t xml:space="preserve">FERC </w:t>
      </w:r>
      <w:r w:rsidRPr="008416FE">
        <w:rPr>
          <w:rFonts w:ascii="Times New Roman" w:eastAsia="Times New Roman" w:hAnsi="Times New Roman"/>
          <w:sz w:val="24"/>
          <w:szCs w:val="24"/>
        </w:rPr>
        <w:t xml:space="preserve">Form </w:t>
      </w:r>
      <w:r w:rsidRPr="008416FE" w:rsidR="009852B7">
        <w:rPr>
          <w:rFonts w:ascii="Times New Roman" w:eastAsia="Times New Roman" w:hAnsi="Times New Roman"/>
          <w:sz w:val="24"/>
          <w:szCs w:val="24"/>
        </w:rPr>
        <w:t>No</w:t>
      </w:r>
      <w:r w:rsidRPr="008416FE" w:rsidR="00145B05">
        <w:rPr>
          <w:rFonts w:ascii="Times New Roman" w:eastAsia="Times New Roman" w:hAnsi="Times New Roman"/>
          <w:sz w:val="24"/>
          <w:szCs w:val="24"/>
        </w:rPr>
        <w:t>s</w:t>
      </w:r>
      <w:r w:rsidRPr="008416FE" w:rsidR="009852B7">
        <w:rPr>
          <w:rFonts w:ascii="Times New Roman" w:eastAsia="Times New Roman" w:hAnsi="Times New Roman"/>
          <w:sz w:val="24"/>
          <w:szCs w:val="24"/>
        </w:rPr>
        <w:t xml:space="preserve">. </w:t>
      </w:r>
      <w:r w:rsidRPr="008416FE">
        <w:rPr>
          <w:rFonts w:ascii="Times New Roman" w:eastAsia="Times New Roman" w:hAnsi="Times New Roman"/>
          <w:sz w:val="24"/>
          <w:szCs w:val="24"/>
        </w:rPr>
        <w:t xml:space="preserve">1 or 1-F and natural gas companies reporting </w:t>
      </w:r>
      <w:r w:rsidRPr="008416FE" w:rsidR="00AC5D8A">
        <w:rPr>
          <w:rFonts w:ascii="Times New Roman" w:eastAsia="Times New Roman" w:hAnsi="Times New Roman"/>
          <w:sz w:val="24"/>
          <w:szCs w:val="24"/>
        </w:rPr>
        <w:t xml:space="preserve">FERC </w:t>
      </w:r>
      <w:r w:rsidRPr="008416FE">
        <w:rPr>
          <w:rFonts w:ascii="Times New Roman" w:eastAsia="Times New Roman" w:hAnsi="Times New Roman"/>
          <w:sz w:val="24"/>
          <w:szCs w:val="24"/>
        </w:rPr>
        <w:t xml:space="preserve">Form </w:t>
      </w:r>
      <w:r w:rsidRPr="008416FE" w:rsidR="009852B7">
        <w:rPr>
          <w:rFonts w:ascii="Times New Roman" w:eastAsia="Times New Roman" w:hAnsi="Times New Roman"/>
          <w:sz w:val="24"/>
          <w:szCs w:val="24"/>
        </w:rPr>
        <w:t>No</w:t>
      </w:r>
      <w:r w:rsidRPr="008416FE" w:rsidR="00145B05">
        <w:rPr>
          <w:rFonts w:ascii="Times New Roman" w:eastAsia="Times New Roman" w:hAnsi="Times New Roman"/>
          <w:sz w:val="24"/>
          <w:szCs w:val="24"/>
        </w:rPr>
        <w:t>s</w:t>
      </w:r>
      <w:r w:rsidRPr="008416FE" w:rsidR="009852B7">
        <w:rPr>
          <w:rFonts w:ascii="Times New Roman" w:eastAsia="Times New Roman" w:hAnsi="Times New Roman"/>
          <w:sz w:val="24"/>
          <w:szCs w:val="24"/>
        </w:rPr>
        <w:t xml:space="preserve">. </w:t>
      </w:r>
      <w:r w:rsidRPr="008416FE">
        <w:rPr>
          <w:rFonts w:ascii="Times New Roman" w:eastAsia="Times New Roman" w:hAnsi="Times New Roman"/>
          <w:sz w:val="24"/>
          <w:szCs w:val="24"/>
        </w:rPr>
        <w:t>2 or 2</w:t>
      </w:r>
      <w:r w:rsidRPr="008416FE" w:rsidR="00810F9D">
        <w:rPr>
          <w:rFonts w:ascii="Times New Roman" w:eastAsia="Times New Roman" w:hAnsi="Times New Roman"/>
          <w:sz w:val="24"/>
          <w:szCs w:val="24"/>
        </w:rPr>
        <w:t>-</w:t>
      </w:r>
      <w:r w:rsidRPr="008416FE">
        <w:rPr>
          <w:rFonts w:ascii="Times New Roman" w:eastAsia="Times New Roman" w:hAnsi="Times New Roman"/>
          <w:sz w:val="24"/>
          <w:szCs w:val="24"/>
        </w:rPr>
        <w:t>A.</w:t>
      </w:r>
      <w:r>
        <w:rPr>
          <w:rFonts w:ascii="Times New Roman" w:eastAsia="Times New Roman" w:hAnsi="Times New Roman"/>
          <w:b/>
          <w:bCs/>
          <w:sz w:val="24"/>
          <w:szCs w:val="24"/>
          <w:vertAlign w:val="superscript"/>
        </w:rPr>
        <w:footnoteReference w:id="5"/>
      </w:r>
      <w:r w:rsidR="00901657">
        <w:rPr>
          <w:rFonts w:ascii="Times New Roman" w:eastAsia="Times New Roman" w:hAnsi="Times New Roman"/>
          <w:sz w:val="24"/>
          <w:szCs w:val="24"/>
        </w:rPr>
        <w:t xml:space="preserve"> </w:t>
      </w:r>
      <w:r w:rsidRPr="008416FE">
        <w:rPr>
          <w:rFonts w:ascii="Times New Roman" w:eastAsia="Times New Roman" w:hAnsi="Times New Roman"/>
          <w:sz w:val="24"/>
          <w:szCs w:val="24"/>
        </w:rPr>
        <w:t xml:space="preserve"> </w:t>
      </w:r>
    </w:p>
    <w:p w:rsidR="0058372E" w:rsidRPr="008416FE" w:rsidP="00BD0F89" w14:paraId="57718582" w14:textId="74EFC94C">
      <w:pPr>
        <w:spacing w:after="0" w:line="240" w:lineRule="auto"/>
        <w:rPr>
          <w:rFonts w:ascii="Times New Roman" w:eastAsia="Times New Roman" w:hAnsi="Times New Roman"/>
          <w:sz w:val="24"/>
          <w:szCs w:val="24"/>
        </w:rPr>
      </w:pPr>
      <w:r w:rsidRPr="008416FE">
        <w:rPr>
          <w:rFonts w:ascii="Times New Roman" w:eastAsia="Times New Roman" w:hAnsi="Times New Roman"/>
          <w:sz w:val="24"/>
          <w:szCs w:val="24"/>
        </w:rPr>
        <w:tab/>
      </w:r>
    </w:p>
    <w:p w:rsidR="00CC72A5" w:rsidRPr="008416FE" w:rsidP="00BD0F89" w14:paraId="7670B8B2" w14:textId="5546E823">
      <w:pPr>
        <w:spacing w:after="0" w:line="240" w:lineRule="auto"/>
        <w:rPr>
          <w:rFonts w:ascii="Times New Roman" w:eastAsia="Times New Roman" w:hAnsi="Times New Roman"/>
          <w:sz w:val="24"/>
          <w:szCs w:val="24"/>
        </w:rPr>
      </w:pPr>
      <w:r w:rsidRPr="008416FE">
        <w:rPr>
          <w:rFonts w:ascii="Times New Roman" w:eastAsia="Times New Roman" w:hAnsi="Times New Roman"/>
          <w:sz w:val="24"/>
          <w:szCs w:val="24"/>
        </w:rPr>
        <w:t xml:space="preserve">The Commission collects </w:t>
      </w:r>
      <w:r w:rsidRPr="008416FE" w:rsidR="00487C6B">
        <w:rPr>
          <w:rFonts w:ascii="Times New Roman" w:eastAsia="Times New Roman" w:hAnsi="Times New Roman"/>
          <w:sz w:val="24"/>
          <w:szCs w:val="24"/>
        </w:rPr>
        <w:t xml:space="preserve">FERC </w:t>
      </w:r>
      <w:r w:rsidRPr="008416FE">
        <w:rPr>
          <w:rFonts w:ascii="Times New Roman" w:eastAsia="Times New Roman" w:hAnsi="Times New Roman"/>
          <w:sz w:val="24"/>
          <w:szCs w:val="24"/>
        </w:rPr>
        <w:t xml:space="preserve">Form </w:t>
      </w:r>
      <w:r w:rsidRPr="008416FE" w:rsidR="00FD1DA6">
        <w:rPr>
          <w:rFonts w:ascii="Times New Roman" w:eastAsia="Times New Roman" w:hAnsi="Times New Roman"/>
          <w:sz w:val="24"/>
          <w:szCs w:val="24"/>
        </w:rPr>
        <w:t xml:space="preserve">Nos. </w:t>
      </w:r>
      <w:r w:rsidRPr="008416FE">
        <w:rPr>
          <w:rFonts w:ascii="Times New Roman" w:eastAsia="Times New Roman" w:hAnsi="Times New Roman"/>
          <w:sz w:val="24"/>
          <w:szCs w:val="24"/>
        </w:rPr>
        <w:t>1, 1-F, and 3-Q as prescribed in 18 C</w:t>
      </w:r>
      <w:r w:rsidRPr="008416FE" w:rsidR="00E71334">
        <w:rPr>
          <w:rFonts w:ascii="Times New Roman" w:eastAsia="Times New Roman" w:hAnsi="Times New Roman"/>
          <w:sz w:val="24"/>
          <w:szCs w:val="24"/>
        </w:rPr>
        <w:t>.</w:t>
      </w:r>
      <w:r w:rsidRPr="008416FE">
        <w:rPr>
          <w:rFonts w:ascii="Times New Roman" w:eastAsia="Times New Roman" w:hAnsi="Times New Roman"/>
          <w:sz w:val="24"/>
          <w:szCs w:val="24"/>
        </w:rPr>
        <w:t>F</w:t>
      </w:r>
      <w:r w:rsidRPr="008416FE" w:rsidR="00E71334">
        <w:rPr>
          <w:rFonts w:ascii="Times New Roman" w:eastAsia="Times New Roman" w:hAnsi="Times New Roman"/>
          <w:sz w:val="24"/>
          <w:szCs w:val="24"/>
        </w:rPr>
        <w:t>.</w:t>
      </w:r>
      <w:r w:rsidRPr="008416FE">
        <w:rPr>
          <w:rFonts w:ascii="Times New Roman" w:eastAsia="Times New Roman" w:hAnsi="Times New Roman"/>
          <w:sz w:val="24"/>
          <w:szCs w:val="24"/>
        </w:rPr>
        <w:t>R</w:t>
      </w:r>
      <w:r w:rsidRPr="008416FE" w:rsidR="00E71334">
        <w:rPr>
          <w:rFonts w:ascii="Times New Roman" w:eastAsia="Times New Roman" w:hAnsi="Times New Roman"/>
          <w:sz w:val="24"/>
          <w:szCs w:val="24"/>
        </w:rPr>
        <w:t>.</w:t>
      </w:r>
      <w:r w:rsidRPr="008416FE">
        <w:rPr>
          <w:rFonts w:ascii="Times New Roman" w:eastAsia="Times New Roman" w:hAnsi="Times New Roman"/>
          <w:sz w:val="24"/>
          <w:szCs w:val="24"/>
        </w:rPr>
        <w:t xml:space="preserve"> Parts 141.1, 141.2, 141.400</w:t>
      </w:r>
      <w:r w:rsidRPr="008416FE" w:rsidR="00E71334">
        <w:rPr>
          <w:rFonts w:ascii="Times New Roman" w:eastAsia="Times New Roman" w:hAnsi="Times New Roman"/>
          <w:sz w:val="24"/>
          <w:szCs w:val="24"/>
        </w:rPr>
        <w:t>,</w:t>
      </w:r>
      <w:r w:rsidRPr="008416FE">
        <w:rPr>
          <w:rFonts w:ascii="Times New Roman" w:eastAsia="Times New Roman" w:hAnsi="Times New Roman"/>
          <w:sz w:val="24"/>
          <w:szCs w:val="24"/>
        </w:rPr>
        <w:t xml:space="preserve"> and 260.300.</w:t>
      </w:r>
      <w:r w:rsidR="00901657">
        <w:rPr>
          <w:rFonts w:ascii="Times New Roman" w:eastAsia="Times New Roman" w:hAnsi="Times New Roman"/>
          <w:sz w:val="24"/>
          <w:szCs w:val="24"/>
        </w:rPr>
        <w:t xml:space="preserve"> </w:t>
      </w:r>
      <w:r w:rsidRPr="008416FE">
        <w:rPr>
          <w:rFonts w:ascii="Times New Roman" w:eastAsia="Times New Roman" w:hAnsi="Times New Roman"/>
          <w:sz w:val="24"/>
          <w:szCs w:val="24"/>
        </w:rPr>
        <w:t xml:space="preserve">FERC Form </w:t>
      </w:r>
      <w:r w:rsidRPr="008416FE" w:rsidR="00FD1DA6">
        <w:rPr>
          <w:rFonts w:ascii="Times New Roman" w:eastAsia="Times New Roman" w:hAnsi="Times New Roman"/>
          <w:sz w:val="24"/>
          <w:szCs w:val="24"/>
        </w:rPr>
        <w:t xml:space="preserve">Nos. </w:t>
      </w:r>
      <w:r w:rsidRPr="008416FE">
        <w:rPr>
          <w:rFonts w:ascii="Times New Roman" w:eastAsia="Times New Roman" w:hAnsi="Times New Roman"/>
          <w:sz w:val="24"/>
          <w:szCs w:val="24"/>
        </w:rPr>
        <w:t xml:space="preserve">1, 1-F, and 3-Q provide an informative picture of the jurisdictional entities’ financial conditions and other relevant data that are used by </w:t>
      </w:r>
      <w:r w:rsidRPr="008416FE" w:rsidR="00487C6B">
        <w:rPr>
          <w:rFonts w:ascii="Times New Roman" w:eastAsia="Times New Roman" w:hAnsi="Times New Roman"/>
          <w:sz w:val="24"/>
          <w:szCs w:val="24"/>
        </w:rPr>
        <w:t>the Commission</w:t>
      </w:r>
      <w:r w:rsidRPr="008416FE">
        <w:rPr>
          <w:rFonts w:ascii="Times New Roman" w:eastAsia="Times New Roman" w:hAnsi="Times New Roman"/>
          <w:sz w:val="24"/>
          <w:szCs w:val="24"/>
        </w:rPr>
        <w:t xml:space="preserve"> and </w:t>
      </w:r>
      <w:r w:rsidRPr="008416FE" w:rsidR="00487C6B">
        <w:rPr>
          <w:rFonts w:ascii="Times New Roman" w:eastAsia="Times New Roman" w:hAnsi="Times New Roman"/>
          <w:sz w:val="24"/>
          <w:szCs w:val="24"/>
        </w:rPr>
        <w:t>the public</w:t>
      </w:r>
      <w:r w:rsidRPr="008416FE">
        <w:rPr>
          <w:rFonts w:ascii="Times New Roman" w:eastAsia="Times New Roman" w:hAnsi="Times New Roman"/>
          <w:sz w:val="24"/>
          <w:szCs w:val="24"/>
        </w:rPr>
        <w:t xml:space="preserve"> in making economic judgments about the entity or its industry. </w:t>
      </w:r>
    </w:p>
    <w:p w:rsidR="006E5D79" w:rsidRPr="008416FE" w:rsidP="00BD0F89" w14:paraId="5D6A7A60" w14:textId="77777777">
      <w:pPr>
        <w:spacing w:after="0" w:line="240" w:lineRule="auto"/>
        <w:rPr>
          <w:rFonts w:ascii="Times New Roman" w:eastAsia="Times New Roman" w:hAnsi="Times New Roman"/>
          <w:b/>
          <w:sz w:val="24"/>
          <w:szCs w:val="24"/>
        </w:rPr>
      </w:pPr>
    </w:p>
    <w:p w:rsidR="00471F97" w:rsidRPr="008416FE" w:rsidP="00BD0F89" w14:paraId="025D3203" w14:textId="77777777">
      <w:pPr>
        <w:pStyle w:val="ListParagraph"/>
        <w:numPr>
          <w:ilvl w:val="0"/>
          <w:numId w:val="14"/>
        </w:numPr>
        <w:spacing w:after="0" w:line="240" w:lineRule="auto"/>
        <w:rPr>
          <w:rFonts w:ascii="Times New Roman" w:hAnsi="Times New Roman"/>
          <w:b/>
          <w:sz w:val="24"/>
          <w:szCs w:val="24"/>
        </w:rPr>
      </w:pPr>
      <w:r w:rsidRPr="008416FE">
        <w:rPr>
          <w:rFonts w:ascii="Times New Roman" w:hAnsi="Times New Roman"/>
          <w:b/>
          <w:sz w:val="24"/>
          <w:szCs w:val="24"/>
        </w:rPr>
        <w:t>HOW, BY WHOM, AND FOR WHAT PURPOSE THE INFORMATION IS TO BE USED AND THE CONSEQUENCES OF NOT COLLECTING THE INFORMATION</w:t>
      </w:r>
    </w:p>
    <w:p w:rsidR="007445A8" w:rsidRPr="008416FE" w:rsidP="00BD0F89" w14:paraId="4C545E0D" w14:textId="77777777">
      <w:pPr>
        <w:spacing w:after="0" w:line="240" w:lineRule="auto"/>
        <w:rPr>
          <w:rFonts w:ascii="Times New Roman" w:hAnsi="Times New Roman"/>
          <w:sz w:val="24"/>
          <w:szCs w:val="24"/>
        </w:rPr>
      </w:pPr>
    </w:p>
    <w:p w:rsidR="00CC72A5" w:rsidRPr="008416FE" w14:paraId="62912085" w14:textId="37A5DEC8">
      <w:pPr>
        <w:spacing w:after="0" w:line="240" w:lineRule="auto"/>
        <w:rPr>
          <w:rFonts w:ascii="Times New Roman" w:hAnsi="Times New Roman"/>
          <w:sz w:val="24"/>
          <w:szCs w:val="24"/>
        </w:rPr>
      </w:pPr>
      <w:r w:rsidRPr="008416FE">
        <w:rPr>
          <w:rFonts w:ascii="Times New Roman" w:hAnsi="Times New Roman"/>
          <w:b/>
          <w:bCs/>
          <w:sz w:val="24"/>
          <w:szCs w:val="24"/>
        </w:rPr>
        <w:t>F</w:t>
      </w:r>
      <w:r w:rsidRPr="008416FE" w:rsidR="009E14B3">
        <w:rPr>
          <w:rFonts w:ascii="Times New Roman" w:hAnsi="Times New Roman"/>
          <w:b/>
          <w:bCs/>
          <w:sz w:val="24"/>
          <w:szCs w:val="24"/>
        </w:rPr>
        <w:t>ERC</w:t>
      </w:r>
      <w:r w:rsidRPr="008416FE" w:rsidR="002123B8">
        <w:rPr>
          <w:rFonts w:ascii="Times New Roman" w:hAnsi="Times New Roman"/>
          <w:b/>
          <w:bCs/>
          <w:sz w:val="24"/>
          <w:szCs w:val="24"/>
        </w:rPr>
        <w:t xml:space="preserve"> Form Nos. </w:t>
      </w:r>
      <w:r w:rsidRPr="008416FE">
        <w:rPr>
          <w:rFonts w:ascii="Times New Roman" w:hAnsi="Times New Roman"/>
          <w:b/>
          <w:bCs/>
          <w:sz w:val="24"/>
          <w:szCs w:val="24"/>
        </w:rPr>
        <w:t>1, 1-F, and 3-Q</w:t>
      </w:r>
      <w:r w:rsidRPr="008416FE" w:rsidR="00FE4084">
        <w:rPr>
          <w:rFonts w:ascii="Times New Roman" w:hAnsi="Times New Roman"/>
          <w:b/>
          <w:bCs/>
          <w:sz w:val="24"/>
          <w:szCs w:val="24"/>
        </w:rPr>
        <w:t xml:space="preserve"> (electric)</w:t>
      </w:r>
      <w:r w:rsidRPr="008416FE">
        <w:rPr>
          <w:rFonts w:ascii="Times New Roman" w:hAnsi="Times New Roman"/>
          <w:b/>
          <w:bCs/>
          <w:sz w:val="24"/>
          <w:szCs w:val="24"/>
        </w:rPr>
        <w:t>.</w:t>
      </w:r>
      <w:r w:rsidR="00901657">
        <w:rPr>
          <w:rFonts w:ascii="Times New Roman" w:hAnsi="Times New Roman"/>
          <w:b/>
          <w:bCs/>
          <w:sz w:val="24"/>
          <w:szCs w:val="24"/>
        </w:rPr>
        <w:t xml:space="preserve"> </w:t>
      </w:r>
      <w:r w:rsidRPr="008416FE">
        <w:rPr>
          <w:rFonts w:ascii="Times New Roman" w:hAnsi="Times New Roman"/>
          <w:sz w:val="24"/>
          <w:szCs w:val="24"/>
        </w:rPr>
        <w:t xml:space="preserve">These forms provide information concerning a company’s current </w:t>
      </w:r>
      <w:r w:rsidRPr="008416FE" w:rsidR="00AC3BCC">
        <w:rPr>
          <w:rFonts w:ascii="Times New Roman" w:hAnsi="Times New Roman"/>
          <w:sz w:val="24"/>
          <w:szCs w:val="24"/>
        </w:rPr>
        <w:t xml:space="preserve">financial </w:t>
      </w:r>
      <w:r w:rsidRPr="008416FE">
        <w:rPr>
          <w:rFonts w:ascii="Times New Roman" w:hAnsi="Times New Roman"/>
          <w:sz w:val="24"/>
          <w:szCs w:val="24"/>
        </w:rPr>
        <w:t>performance, compiled using the Commission’s USofA.</w:t>
      </w:r>
      <w:r>
        <w:rPr>
          <w:rFonts w:ascii="Times New Roman" w:hAnsi="Times New Roman"/>
          <w:b/>
          <w:bCs/>
          <w:sz w:val="24"/>
          <w:szCs w:val="24"/>
          <w:vertAlign w:val="superscript"/>
        </w:rPr>
        <w:footnoteReference w:id="6"/>
      </w:r>
      <w:r w:rsidR="00901657">
        <w:rPr>
          <w:rFonts w:ascii="Times New Roman" w:hAnsi="Times New Roman"/>
          <w:sz w:val="24"/>
          <w:szCs w:val="24"/>
        </w:rPr>
        <w:t xml:space="preserve"> </w:t>
      </w:r>
      <w:r w:rsidRPr="008416FE">
        <w:rPr>
          <w:rFonts w:ascii="Times New Roman" w:hAnsi="Times New Roman"/>
          <w:sz w:val="24"/>
          <w:szCs w:val="24"/>
        </w:rPr>
        <w:t>The forms include a basic set of financial statements: Comparative Balance Sheet, Statement of Income</w:t>
      </w:r>
      <w:r w:rsidRPr="008416FE" w:rsidR="001A7950">
        <w:rPr>
          <w:rFonts w:ascii="Times New Roman" w:hAnsi="Times New Roman"/>
          <w:sz w:val="24"/>
          <w:szCs w:val="24"/>
        </w:rPr>
        <w:t>,</w:t>
      </w:r>
      <w:r w:rsidRPr="008416FE">
        <w:rPr>
          <w:rFonts w:ascii="Times New Roman" w:hAnsi="Times New Roman"/>
          <w:sz w:val="24"/>
          <w:szCs w:val="24"/>
        </w:rPr>
        <w:t xml:space="preserve"> Statement of Retained Earnings, Statement of Cash Flows, and the Statement of </w:t>
      </w:r>
      <w:r w:rsidRPr="008416FE" w:rsidR="0017573C">
        <w:rPr>
          <w:rFonts w:ascii="Times New Roman" w:hAnsi="Times New Roman"/>
          <w:sz w:val="24"/>
          <w:szCs w:val="24"/>
        </w:rPr>
        <w:t xml:space="preserve">Accumulated </w:t>
      </w:r>
      <w:r w:rsidRPr="008416FE">
        <w:rPr>
          <w:rFonts w:ascii="Times New Roman" w:hAnsi="Times New Roman"/>
          <w:sz w:val="24"/>
          <w:szCs w:val="24"/>
        </w:rPr>
        <w:t>Comprehensive Income and Hedging Activities and supporting schedules containing supplementary information.</w:t>
      </w:r>
      <w:r w:rsidR="00901657">
        <w:rPr>
          <w:rFonts w:ascii="Times New Roman" w:hAnsi="Times New Roman"/>
          <w:sz w:val="24"/>
          <w:szCs w:val="24"/>
        </w:rPr>
        <w:t xml:space="preserve"> </w:t>
      </w:r>
      <w:r w:rsidRPr="008416FE">
        <w:rPr>
          <w:rFonts w:ascii="Times New Roman" w:hAnsi="Times New Roman"/>
          <w:sz w:val="24"/>
          <w:szCs w:val="24"/>
        </w:rPr>
        <w:t xml:space="preserve">Electric respondents report </w:t>
      </w:r>
      <w:r w:rsidRPr="008416FE">
        <w:rPr>
          <w:rFonts w:ascii="Times New Roman" w:hAnsi="Times New Roman"/>
          <w:sz w:val="24"/>
          <w:szCs w:val="24"/>
        </w:rPr>
        <w:t>revenues</w:t>
      </w:r>
      <w:r w:rsidRPr="008416FE">
        <w:rPr>
          <w:rFonts w:ascii="Times New Roman" w:hAnsi="Times New Roman"/>
          <w:sz w:val="24"/>
          <w:szCs w:val="24"/>
        </w:rPr>
        <w:t xml:space="preserve"> and the related quantities of electric sales and electricity transmitted</w:t>
      </w:r>
      <w:r w:rsidRPr="008416FE" w:rsidR="00722F21">
        <w:rPr>
          <w:rFonts w:ascii="Times New Roman" w:hAnsi="Times New Roman"/>
          <w:sz w:val="24"/>
          <w:szCs w:val="24"/>
        </w:rPr>
        <w:t>,</w:t>
      </w:r>
      <w:r w:rsidRPr="008416FE">
        <w:rPr>
          <w:rFonts w:ascii="Times New Roman" w:hAnsi="Times New Roman"/>
          <w:sz w:val="24"/>
          <w:szCs w:val="24"/>
        </w:rPr>
        <w:t xml:space="preserve"> account balances for all electric operation and maintenance expenses</w:t>
      </w:r>
      <w:r w:rsidRPr="008416FE" w:rsidR="00722F21">
        <w:rPr>
          <w:rFonts w:ascii="Times New Roman" w:hAnsi="Times New Roman"/>
          <w:sz w:val="24"/>
          <w:szCs w:val="24"/>
        </w:rPr>
        <w:t>,</w:t>
      </w:r>
      <w:r w:rsidRPr="008416FE">
        <w:rPr>
          <w:rFonts w:ascii="Times New Roman" w:hAnsi="Times New Roman"/>
          <w:sz w:val="24"/>
          <w:szCs w:val="24"/>
        </w:rPr>
        <w:t xml:space="preserve"> selected plant cost data</w:t>
      </w:r>
      <w:r w:rsidRPr="008416FE" w:rsidR="00722F21">
        <w:rPr>
          <w:rFonts w:ascii="Times New Roman" w:hAnsi="Times New Roman"/>
          <w:sz w:val="24"/>
          <w:szCs w:val="24"/>
        </w:rPr>
        <w:t>,</w:t>
      </w:r>
      <w:r w:rsidRPr="008416FE">
        <w:rPr>
          <w:rFonts w:ascii="Times New Roman" w:hAnsi="Times New Roman"/>
          <w:sz w:val="24"/>
          <w:szCs w:val="24"/>
        </w:rPr>
        <w:t xml:space="preserve"> and other statistical information.</w:t>
      </w:r>
      <w:r w:rsidR="00901657">
        <w:rPr>
          <w:rFonts w:ascii="Times New Roman" w:hAnsi="Times New Roman"/>
          <w:sz w:val="24"/>
          <w:szCs w:val="24"/>
        </w:rPr>
        <w:t xml:space="preserve"> </w:t>
      </w:r>
    </w:p>
    <w:p w:rsidR="0058372E" w:rsidRPr="008416FE" w:rsidP="00BD0F89" w14:paraId="3FC78B7E" w14:textId="77777777">
      <w:pPr>
        <w:spacing w:after="0" w:line="240" w:lineRule="auto"/>
        <w:rPr>
          <w:rFonts w:ascii="Times New Roman" w:hAnsi="Times New Roman"/>
          <w:sz w:val="24"/>
          <w:szCs w:val="24"/>
        </w:rPr>
      </w:pPr>
    </w:p>
    <w:p w:rsidR="0058372E" w:rsidRPr="008416FE" w:rsidP="00BD0F89" w14:paraId="31FA0FA1" w14:textId="7834AD6F">
      <w:pPr>
        <w:spacing w:after="0" w:line="240" w:lineRule="auto"/>
        <w:rPr>
          <w:rFonts w:ascii="Times New Roman" w:hAnsi="Times New Roman"/>
          <w:sz w:val="24"/>
          <w:szCs w:val="24"/>
        </w:rPr>
      </w:pPr>
      <w:r w:rsidRPr="008416FE">
        <w:rPr>
          <w:rFonts w:ascii="Times New Roman" w:hAnsi="Times New Roman"/>
          <w:sz w:val="24"/>
          <w:szCs w:val="24"/>
        </w:rPr>
        <w:t xml:space="preserve">Information in the forms is used by </w:t>
      </w:r>
      <w:r w:rsidRPr="008416FE" w:rsidR="00156589">
        <w:rPr>
          <w:rFonts w:ascii="Times New Roman" w:hAnsi="Times New Roman"/>
          <w:sz w:val="24"/>
          <w:szCs w:val="24"/>
        </w:rPr>
        <w:t>the Commission,</w:t>
      </w:r>
      <w:r w:rsidRPr="008416FE">
        <w:rPr>
          <w:rFonts w:ascii="Times New Roman" w:hAnsi="Times New Roman"/>
          <w:sz w:val="24"/>
          <w:szCs w:val="24"/>
        </w:rPr>
        <w:t xml:space="preserve"> state regulatory agencies</w:t>
      </w:r>
      <w:r w:rsidRPr="008416FE" w:rsidR="00A326E2">
        <w:rPr>
          <w:rFonts w:ascii="Times New Roman" w:hAnsi="Times New Roman"/>
          <w:sz w:val="24"/>
          <w:szCs w:val="24"/>
        </w:rPr>
        <w:t>,</w:t>
      </w:r>
      <w:r w:rsidRPr="008416FE">
        <w:rPr>
          <w:rFonts w:ascii="Times New Roman" w:hAnsi="Times New Roman"/>
          <w:sz w:val="24"/>
          <w:szCs w:val="24"/>
        </w:rPr>
        <w:t xml:space="preserve"> and others in the review of the financial condition of regulated companies.</w:t>
      </w:r>
      <w:r w:rsidR="00901657">
        <w:rPr>
          <w:rFonts w:ascii="Times New Roman" w:hAnsi="Times New Roman"/>
          <w:sz w:val="24"/>
          <w:szCs w:val="24"/>
        </w:rPr>
        <w:t xml:space="preserve"> </w:t>
      </w:r>
      <w:r w:rsidRPr="008416FE" w:rsidR="00542F3A">
        <w:rPr>
          <w:rFonts w:ascii="Times New Roman" w:hAnsi="Times New Roman"/>
          <w:sz w:val="24"/>
          <w:szCs w:val="24"/>
        </w:rPr>
        <w:t>FERC Form Nos. 1 and 1-F provide data that enables the Commission to develop and monitor cost-based rates</w:t>
      </w:r>
      <w:r w:rsidRPr="008416FE" w:rsidR="00533B25">
        <w:rPr>
          <w:rFonts w:ascii="Times New Roman" w:hAnsi="Times New Roman"/>
          <w:sz w:val="24"/>
          <w:szCs w:val="24"/>
        </w:rPr>
        <w:t>,</w:t>
      </w:r>
      <w:r w:rsidRPr="008416FE" w:rsidR="00E155B7">
        <w:rPr>
          <w:rFonts w:ascii="Times New Roman" w:hAnsi="Times New Roman"/>
          <w:sz w:val="24"/>
          <w:szCs w:val="24"/>
        </w:rPr>
        <w:t xml:space="preserve"> such as </w:t>
      </w:r>
      <w:r w:rsidRPr="008416FE" w:rsidR="008C3818">
        <w:rPr>
          <w:rFonts w:ascii="Times New Roman" w:hAnsi="Times New Roman"/>
          <w:sz w:val="24"/>
          <w:szCs w:val="24"/>
        </w:rPr>
        <w:t xml:space="preserve">evaluating </w:t>
      </w:r>
      <w:r w:rsidRPr="008416FE" w:rsidR="00A865DE">
        <w:rPr>
          <w:rFonts w:ascii="Times New Roman" w:hAnsi="Times New Roman"/>
          <w:sz w:val="24"/>
          <w:szCs w:val="24"/>
        </w:rPr>
        <w:t xml:space="preserve">cost of service </w:t>
      </w:r>
      <w:r w:rsidRPr="008416FE" w:rsidR="00E155B7">
        <w:rPr>
          <w:rFonts w:ascii="Times New Roman" w:hAnsi="Times New Roman"/>
          <w:sz w:val="24"/>
          <w:szCs w:val="24"/>
        </w:rPr>
        <w:t>rate</w:t>
      </w:r>
      <w:r w:rsidRPr="008416FE" w:rsidR="00352B8A">
        <w:rPr>
          <w:rFonts w:ascii="Times New Roman" w:hAnsi="Times New Roman"/>
          <w:sz w:val="24"/>
          <w:szCs w:val="24"/>
        </w:rPr>
        <w:t>s</w:t>
      </w:r>
      <w:r w:rsidRPr="008416FE" w:rsidR="00E155B7">
        <w:rPr>
          <w:rFonts w:ascii="Times New Roman" w:hAnsi="Times New Roman"/>
          <w:sz w:val="24"/>
          <w:szCs w:val="24"/>
        </w:rPr>
        <w:t xml:space="preserve"> </w:t>
      </w:r>
      <w:r w:rsidRPr="008416FE" w:rsidR="00E84E65">
        <w:rPr>
          <w:rFonts w:ascii="Times New Roman" w:hAnsi="Times New Roman"/>
          <w:sz w:val="24"/>
          <w:szCs w:val="24"/>
        </w:rPr>
        <w:t xml:space="preserve">and </w:t>
      </w:r>
      <w:r w:rsidRPr="008416FE" w:rsidR="00AC7D35">
        <w:rPr>
          <w:rFonts w:ascii="Times New Roman" w:hAnsi="Times New Roman"/>
          <w:sz w:val="24"/>
          <w:szCs w:val="24"/>
        </w:rPr>
        <w:t xml:space="preserve">formula </w:t>
      </w:r>
      <w:r w:rsidRPr="008416FE" w:rsidR="00352B8A">
        <w:rPr>
          <w:rFonts w:ascii="Times New Roman" w:hAnsi="Times New Roman"/>
          <w:sz w:val="24"/>
          <w:szCs w:val="24"/>
        </w:rPr>
        <w:t>rate</w:t>
      </w:r>
      <w:r w:rsidRPr="008416FE" w:rsidR="00E84E65">
        <w:rPr>
          <w:rFonts w:ascii="Times New Roman" w:hAnsi="Times New Roman"/>
          <w:sz w:val="24"/>
          <w:szCs w:val="24"/>
        </w:rPr>
        <w:t xml:space="preserve"> </w:t>
      </w:r>
      <w:r w:rsidRPr="008416FE" w:rsidR="00F1054E">
        <w:rPr>
          <w:rFonts w:ascii="Times New Roman" w:hAnsi="Times New Roman"/>
          <w:sz w:val="24"/>
          <w:szCs w:val="24"/>
        </w:rPr>
        <w:t>pro</w:t>
      </w:r>
      <w:r w:rsidRPr="008416FE" w:rsidR="00032437">
        <w:rPr>
          <w:rFonts w:ascii="Times New Roman" w:hAnsi="Times New Roman"/>
          <w:sz w:val="24"/>
          <w:szCs w:val="24"/>
        </w:rPr>
        <w:t>posals</w:t>
      </w:r>
      <w:r w:rsidRPr="008416FE" w:rsidR="00E84E65">
        <w:rPr>
          <w:rFonts w:ascii="Times New Roman" w:hAnsi="Times New Roman"/>
          <w:sz w:val="24"/>
          <w:szCs w:val="24"/>
        </w:rPr>
        <w:t xml:space="preserve"> </w:t>
      </w:r>
      <w:r w:rsidRPr="008416FE" w:rsidR="006A78B7">
        <w:rPr>
          <w:rFonts w:ascii="Times New Roman" w:hAnsi="Times New Roman"/>
          <w:sz w:val="24"/>
          <w:szCs w:val="24"/>
        </w:rPr>
        <w:t>pursuant to</w:t>
      </w:r>
      <w:r w:rsidRPr="008416FE" w:rsidR="00E155B7">
        <w:rPr>
          <w:rFonts w:ascii="Times New Roman" w:hAnsi="Times New Roman"/>
          <w:sz w:val="24"/>
          <w:szCs w:val="24"/>
        </w:rPr>
        <w:t xml:space="preserve"> </w:t>
      </w:r>
      <w:r w:rsidRPr="008416FE" w:rsidR="009775A8">
        <w:rPr>
          <w:rFonts w:ascii="Times New Roman" w:hAnsi="Times New Roman"/>
          <w:sz w:val="24"/>
          <w:szCs w:val="24"/>
        </w:rPr>
        <w:t xml:space="preserve">FPA </w:t>
      </w:r>
      <w:r w:rsidRPr="008416FE" w:rsidR="00E155B7">
        <w:rPr>
          <w:rFonts w:ascii="Times New Roman" w:hAnsi="Times New Roman"/>
          <w:sz w:val="24"/>
          <w:szCs w:val="24"/>
        </w:rPr>
        <w:t>sections 205 and 206</w:t>
      </w:r>
      <w:r w:rsidRPr="008416FE" w:rsidR="00A32029">
        <w:rPr>
          <w:rFonts w:ascii="Times New Roman" w:hAnsi="Times New Roman"/>
          <w:sz w:val="24"/>
          <w:szCs w:val="24"/>
        </w:rPr>
        <w:t>.</w:t>
      </w:r>
      <w:r>
        <w:rPr>
          <w:rStyle w:val="FootnoteReference"/>
          <w:rFonts w:ascii="Times New Roman" w:hAnsi="Times New Roman"/>
          <w:sz w:val="24"/>
          <w:szCs w:val="24"/>
          <w:vertAlign w:val="superscript"/>
        </w:rPr>
        <w:footnoteReference w:id="7"/>
      </w:r>
      <w:r w:rsidR="00901657">
        <w:rPr>
          <w:rFonts w:ascii="Times New Roman" w:hAnsi="Times New Roman"/>
          <w:sz w:val="24"/>
          <w:szCs w:val="24"/>
        </w:rPr>
        <w:t xml:space="preserve"> </w:t>
      </w:r>
      <w:r w:rsidRPr="008416FE">
        <w:rPr>
          <w:rFonts w:ascii="Times New Roman" w:hAnsi="Times New Roman"/>
          <w:sz w:val="24"/>
          <w:szCs w:val="24"/>
        </w:rPr>
        <w:t xml:space="preserve">The information </w:t>
      </w:r>
      <w:r w:rsidRPr="008416FE" w:rsidR="002A569C">
        <w:rPr>
          <w:rFonts w:ascii="Times New Roman" w:hAnsi="Times New Roman"/>
          <w:sz w:val="24"/>
          <w:szCs w:val="24"/>
        </w:rPr>
        <w:t>contained in the forms</w:t>
      </w:r>
      <w:r w:rsidRPr="008416FE">
        <w:rPr>
          <w:rFonts w:ascii="Times New Roman" w:hAnsi="Times New Roman"/>
          <w:sz w:val="24"/>
          <w:szCs w:val="24"/>
        </w:rPr>
        <w:t xml:space="preserve"> is used</w:t>
      </w:r>
      <w:r w:rsidRPr="008416FE" w:rsidR="00473835">
        <w:rPr>
          <w:rFonts w:ascii="Times New Roman" w:hAnsi="Times New Roman"/>
          <w:sz w:val="24"/>
          <w:szCs w:val="24"/>
        </w:rPr>
        <w:t xml:space="preserve"> to analyze costs of different services and classes of assets</w:t>
      </w:r>
      <w:r w:rsidRPr="008416FE" w:rsidR="00710ED4">
        <w:rPr>
          <w:rFonts w:ascii="Times New Roman" w:hAnsi="Times New Roman"/>
          <w:sz w:val="24"/>
          <w:szCs w:val="24"/>
        </w:rPr>
        <w:t xml:space="preserve"> and</w:t>
      </w:r>
      <w:r w:rsidRPr="008416FE" w:rsidR="00473835">
        <w:rPr>
          <w:rFonts w:ascii="Times New Roman" w:hAnsi="Times New Roman"/>
          <w:sz w:val="24"/>
          <w:szCs w:val="24"/>
        </w:rPr>
        <w:t xml:space="preserve"> compare costs across lines of business</w:t>
      </w:r>
      <w:r w:rsidRPr="008416FE" w:rsidR="00FD3DF2">
        <w:rPr>
          <w:rFonts w:ascii="Times New Roman" w:hAnsi="Times New Roman"/>
          <w:sz w:val="24"/>
          <w:szCs w:val="24"/>
        </w:rPr>
        <w:t>.</w:t>
      </w:r>
      <w:r w:rsidR="00901657">
        <w:rPr>
          <w:rFonts w:ascii="Times New Roman" w:hAnsi="Times New Roman"/>
          <w:sz w:val="24"/>
          <w:szCs w:val="24"/>
        </w:rPr>
        <w:t xml:space="preserve"> </w:t>
      </w:r>
      <w:r w:rsidRPr="008416FE" w:rsidR="00FD3DF2">
        <w:rPr>
          <w:rFonts w:ascii="Times New Roman" w:hAnsi="Times New Roman"/>
          <w:sz w:val="24"/>
          <w:szCs w:val="24"/>
        </w:rPr>
        <w:t>It is also used</w:t>
      </w:r>
      <w:r w:rsidRPr="008416FE">
        <w:rPr>
          <w:rFonts w:ascii="Times New Roman" w:hAnsi="Times New Roman"/>
          <w:sz w:val="24"/>
          <w:szCs w:val="24"/>
        </w:rPr>
        <w:t xml:space="preserve"> in market oversight,</w:t>
      </w:r>
      <w:r w:rsidRPr="008416FE" w:rsidR="00E553DD">
        <w:rPr>
          <w:rFonts w:ascii="Times New Roman" w:hAnsi="Times New Roman"/>
          <w:sz w:val="24"/>
          <w:szCs w:val="24"/>
        </w:rPr>
        <w:t xml:space="preserve"> </w:t>
      </w:r>
      <w:r w:rsidRPr="008416FE" w:rsidR="00156589">
        <w:rPr>
          <w:rFonts w:ascii="Times New Roman" w:hAnsi="Times New Roman"/>
          <w:sz w:val="24"/>
          <w:szCs w:val="24"/>
        </w:rPr>
        <w:t>the Commission’s</w:t>
      </w:r>
      <w:r w:rsidRPr="008416FE">
        <w:rPr>
          <w:rFonts w:ascii="Times New Roman" w:hAnsi="Times New Roman"/>
          <w:sz w:val="24"/>
          <w:szCs w:val="24"/>
        </w:rPr>
        <w:t xml:space="preserve"> audit programs, and </w:t>
      </w:r>
      <w:r w:rsidRPr="008416FE" w:rsidR="009B7941">
        <w:rPr>
          <w:rFonts w:ascii="Times New Roman" w:hAnsi="Times New Roman"/>
          <w:sz w:val="24"/>
          <w:szCs w:val="24"/>
        </w:rPr>
        <w:t>for</w:t>
      </w:r>
      <w:r w:rsidRPr="008416FE">
        <w:rPr>
          <w:rFonts w:ascii="Times New Roman" w:hAnsi="Times New Roman"/>
          <w:sz w:val="24"/>
          <w:szCs w:val="24"/>
        </w:rPr>
        <w:t xml:space="preserve"> the computation of annual charges based on certain schedules contained on the forms.</w:t>
      </w:r>
      <w:r w:rsidRPr="008416FE" w:rsidR="009B7941">
        <w:rPr>
          <w:rFonts w:ascii="Times New Roman" w:hAnsi="Times New Roman"/>
          <w:sz w:val="24"/>
          <w:szCs w:val="24"/>
        </w:rPr>
        <w:t xml:space="preserve"> Finally, the information provided in the form is used by state regulators to understand a utility’s financial position and how</w:t>
      </w:r>
      <w:r w:rsidRPr="008416FE">
        <w:rPr>
          <w:rFonts w:ascii="Times New Roman" w:hAnsi="Times New Roman"/>
          <w:sz w:val="24"/>
          <w:szCs w:val="24"/>
        </w:rPr>
        <w:t xml:space="preserve"> </w:t>
      </w:r>
      <w:r w:rsidRPr="008416FE" w:rsidR="007B39C7">
        <w:rPr>
          <w:rFonts w:ascii="Times New Roman" w:hAnsi="Times New Roman"/>
          <w:sz w:val="24"/>
          <w:szCs w:val="24"/>
        </w:rPr>
        <w:t>it affects electric service</w:t>
      </w:r>
      <w:r w:rsidRPr="008416FE" w:rsidR="00CF5720">
        <w:rPr>
          <w:rFonts w:ascii="Times New Roman" w:hAnsi="Times New Roman"/>
          <w:sz w:val="24"/>
          <w:szCs w:val="24"/>
        </w:rPr>
        <w:t>.</w:t>
      </w:r>
    </w:p>
    <w:p w:rsidR="00542F3A" w:rsidRPr="008416FE" w:rsidP="00542F3A" w14:paraId="448356C9" w14:textId="4D140C35">
      <w:pPr>
        <w:spacing w:after="0" w:line="240" w:lineRule="auto"/>
        <w:rPr>
          <w:rFonts w:ascii="Times New Roman" w:hAnsi="Times New Roman"/>
          <w:sz w:val="24"/>
          <w:szCs w:val="24"/>
        </w:rPr>
      </w:pPr>
      <w:r w:rsidRPr="008416FE">
        <w:rPr>
          <w:rFonts w:ascii="Times New Roman" w:hAnsi="Times New Roman"/>
          <w:sz w:val="24"/>
          <w:szCs w:val="24"/>
        </w:rPr>
        <w:tab/>
      </w:r>
    </w:p>
    <w:p w:rsidR="00542F3A" w:rsidRPr="008416FE" w:rsidP="00542F3A" w14:paraId="4A891F32" w14:textId="24C3EEE2">
      <w:pPr>
        <w:spacing w:after="0" w:line="240" w:lineRule="auto"/>
        <w:rPr>
          <w:rFonts w:ascii="Times New Roman" w:hAnsi="Times New Roman"/>
          <w:sz w:val="24"/>
          <w:szCs w:val="24"/>
        </w:rPr>
      </w:pPr>
      <w:r w:rsidRPr="00E708E9">
        <w:rPr>
          <w:rFonts w:ascii="Times New Roman" w:hAnsi="Times New Roman"/>
          <w:sz w:val="24"/>
          <w:szCs w:val="24"/>
        </w:rPr>
        <w:t xml:space="preserve">Additionally, the uniformity </w:t>
      </w:r>
      <w:r w:rsidRPr="00E708E9" w:rsidR="000264C3">
        <w:rPr>
          <w:rFonts w:ascii="Times New Roman" w:hAnsi="Times New Roman"/>
          <w:sz w:val="24"/>
          <w:szCs w:val="24"/>
        </w:rPr>
        <w:t xml:space="preserve">in </w:t>
      </w:r>
      <w:r w:rsidRPr="00E708E9" w:rsidR="00011F49">
        <w:rPr>
          <w:rFonts w:ascii="Times New Roman" w:hAnsi="Times New Roman"/>
          <w:sz w:val="24"/>
          <w:szCs w:val="24"/>
        </w:rPr>
        <w:t>FERC Form Nos. 1, 1-F</w:t>
      </w:r>
      <w:r w:rsidRPr="00E708E9" w:rsidR="000A6374">
        <w:rPr>
          <w:rFonts w:ascii="Times New Roman" w:hAnsi="Times New Roman"/>
          <w:sz w:val="24"/>
          <w:szCs w:val="24"/>
        </w:rPr>
        <w:t>,</w:t>
      </w:r>
      <w:r w:rsidRPr="00E708E9" w:rsidR="00011F49">
        <w:rPr>
          <w:rFonts w:ascii="Times New Roman" w:hAnsi="Times New Roman"/>
          <w:sz w:val="24"/>
          <w:szCs w:val="24"/>
        </w:rPr>
        <w:t xml:space="preserve"> and 3-Q</w:t>
      </w:r>
      <w:r w:rsidRPr="00E708E9" w:rsidR="00AE0BFB">
        <w:rPr>
          <w:rFonts w:ascii="Times New Roman" w:hAnsi="Times New Roman"/>
          <w:sz w:val="24"/>
          <w:szCs w:val="24"/>
        </w:rPr>
        <w:t xml:space="preserve"> (electric)</w:t>
      </w:r>
      <w:r w:rsidRPr="00E708E9" w:rsidR="00011F49">
        <w:rPr>
          <w:rFonts w:ascii="Times New Roman" w:hAnsi="Times New Roman"/>
          <w:sz w:val="24"/>
          <w:szCs w:val="24"/>
        </w:rPr>
        <w:t xml:space="preserve"> </w:t>
      </w:r>
      <w:r w:rsidRPr="00E708E9" w:rsidR="000264C3">
        <w:rPr>
          <w:rFonts w:ascii="Times New Roman" w:hAnsi="Times New Roman"/>
          <w:sz w:val="24"/>
          <w:szCs w:val="24"/>
        </w:rPr>
        <w:t>reporting</w:t>
      </w:r>
      <w:r w:rsidRPr="00E708E9" w:rsidR="00E96AC5">
        <w:rPr>
          <w:rFonts w:ascii="Times New Roman" w:hAnsi="Times New Roman"/>
          <w:sz w:val="24"/>
          <w:szCs w:val="24"/>
        </w:rPr>
        <w:t xml:space="preserve"> </w:t>
      </w:r>
      <w:r w:rsidRPr="00E708E9">
        <w:rPr>
          <w:rFonts w:ascii="Times New Roman" w:hAnsi="Times New Roman"/>
          <w:sz w:val="24"/>
          <w:szCs w:val="24"/>
        </w:rPr>
        <w:t>helps accurately present the entity</w:t>
      </w:r>
      <w:r w:rsidRPr="00E708E9" w:rsidR="008A6407">
        <w:rPr>
          <w:rFonts w:ascii="Times New Roman" w:hAnsi="Times New Roman"/>
          <w:sz w:val="24"/>
          <w:szCs w:val="24"/>
        </w:rPr>
        <w:t>’</w:t>
      </w:r>
      <w:r w:rsidRPr="00E708E9">
        <w:rPr>
          <w:rFonts w:ascii="Times New Roman" w:hAnsi="Times New Roman"/>
          <w:sz w:val="24"/>
          <w:szCs w:val="24"/>
        </w:rPr>
        <w:t>s financial condition and produces comprehensive data related to the entity</w:t>
      </w:r>
      <w:r w:rsidRPr="00E708E9" w:rsidR="008A6407">
        <w:rPr>
          <w:rFonts w:ascii="Times New Roman" w:hAnsi="Times New Roman"/>
          <w:sz w:val="24"/>
          <w:szCs w:val="24"/>
        </w:rPr>
        <w:t>’</w:t>
      </w:r>
      <w:r w:rsidRPr="00E708E9">
        <w:rPr>
          <w:rFonts w:ascii="Times New Roman" w:hAnsi="Times New Roman"/>
          <w:sz w:val="24"/>
          <w:szCs w:val="24"/>
        </w:rPr>
        <w:t>s financial history which acts as a guide for future action.</w:t>
      </w:r>
      <w:r w:rsidR="00901657">
        <w:rPr>
          <w:rFonts w:ascii="Times New Roman" w:hAnsi="Times New Roman"/>
          <w:sz w:val="24"/>
          <w:szCs w:val="24"/>
        </w:rPr>
        <w:t xml:space="preserve"> </w:t>
      </w:r>
      <w:r w:rsidRPr="00E708E9" w:rsidR="00BC1174">
        <w:rPr>
          <w:rFonts w:ascii="Times New Roman" w:hAnsi="Times New Roman"/>
          <w:sz w:val="24"/>
          <w:szCs w:val="24"/>
        </w:rPr>
        <w:t>FERC Form Nos</w:t>
      </w:r>
      <w:r w:rsidRPr="00E708E9" w:rsidR="00C578E0">
        <w:rPr>
          <w:rFonts w:ascii="Times New Roman" w:hAnsi="Times New Roman"/>
          <w:sz w:val="24"/>
          <w:szCs w:val="24"/>
        </w:rPr>
        <w:t>. 1, 1-F</w:t>
      </w:r>
      <w:r w:rsidRPr="00E708E9" w:rsidR="000A6374">
        <w:rPr>
          <w:rFonts w:ascii="Times New Roman" w:hAnsi="Times New Roman"/>
          <w:sz w:val="24"/>
          <w:szCs w:val="24"/>
        </w:rPr>
        <w:t>,</w:t>
      </w:r>
      <w:r w:rsidRPr="00E708E9" w:rsidR="00C578E0">
        <w:rPr>
          <w:rFonts w:ascii="Times New Roman" w:hAnsi="Times New Roman"/>
          <w:sz w:val="24"/>
          <w:szCs w:val="24"/>
        </w:rPr>
        <w:t xml:space="preserve"> and 3-Q </w:t>
      </w:r>
      <w:r w:rsidRPr="00E708E9" w:rsidR="003673C6">
        <w:rPr>
          <w:rFonts w:ascii="Times New Roman" w:hAnsi="Times New Roman"/>
          <w:sz w:val="24"/>
          <w:szCs w:val="24"/>
        </w:rPr>
        <w:t>reporting relies on the</w:t>
      </w:r>
      <w:r w:rsidR="00901657">
        <w:rPr>
          <w:rFonts w:ascii="Times New Roman" w:hAnsi="Times New Roman"/>
          <w:sz w:val="24"/>
          <w:szCs w:val="24"/>
        </w:rPr>
        <w:t xml:space="preserve"> </w:t>
      </w:r>
      <w:r w:rsidRPr="00E708E9">
        <w:rPr>
          <w:rFonts w:ascii="Times New Roman" w:hAnsi="Times New Roman"/>
          <w:sz w:val="24"/>
          <w:szCs w:val="24"/>
        </w:rPr>
        <w:t>Commission</w:t>
      </w:r>
      <w:r w:rsidRPr="00E708E9" w:rsidR="00737F55">
        <w:rPr>
          <w:rFonts w:ascii="Times New Roman" w:hAnsi="Times New Roman"/>
          <w:sz w:val="24"/>
          <w:szCs w:val="24"/>
        </w:rPr>
        <w:t>’</w:t>
      </w:r>
      <w:r w:rsidRPr="00E708E9">
        <w:rPr>
          <w:rFonts w:ascii="Times New Roman" w:hAnsi="Times New Roman"/>
          <w:sz w:val="24"/>
          <w:szCs w:val="24"/>
        </w:rPr>
        <w:t xml:space="preserve">s USofA and related accounting instructions </w:t>
      </w:r>
      <w:r w:rsidRPr="00E708E9" w:rsidR="00EB2A61">
        <w:rPr>
          <w:rFonts w:ascii="Times New Roman" w:hAnsi="Times New Roman"/>
          <w:sz w:val="24"/>
          <w:szCs w:val="24"/>
        </w:rPr>
        <w:t xml:space="preserve">as a </w:t>
      </w:r>
      <w:r w:rsidRPr="00E708E9" w:rsidR="00EB2A61">
        <w:rPr>
          <w:rFonts w:ascii="Times New Roman" w:hAnsi="Times New Roman"/>
          <w:sz w:val="24"/>
          <w:szCs w:val="24"/>
        </w:rPr>
        <w:t xml:space="preserve">framework to </w:t>
      </w:r>
      <w:r w:rsidRPr="00E708E9">
        <w:rPr>
          <w:rFonts w:ascii="Times New Roman" w:hAnsi="Times New Roman"/>
          <w:sz w:val="24"/>
          <w:szCs w:val="24"/>
        </w:rPr>
        <w:t>permit comparability and financial statement analysis of data provided by jurisdictional entities.</w:t>
      </w:r>
      <w:r w:rsidR="00901657">
        <w:rPr>
          <w:rFonts w:ascii="Times New Roman" w:hAnsi="Times New Roman"/>
          <w:sz w:val="24"/>
          <w:szCs w:val="24"/>
        </w:rPr>
        <w:t xml:space="preserve"> </w:t>
      </w:r>
      <w:r w:rsidRPr="008416FE">
        <w:rPr>
          <w:rFonts w:ascii="Times New Roman" w:hAnsi="Times New Roman"/>
          <w:sz w:val="24"/>
          <w:szCs w:val="24"/>
        </w:rPr>
        <w:t>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r>
        <w:rPr>
          <w:rStyle w:val="FootnoteReference"/>
          <w:rFonts w:ascii="Times New Roman" w:hAnsi="Times New Roman"/>
          <w:sz w:val="24"/>
          <w:szCs w:val="24"/>
          <w:vertAlign w:val="superscript"/>
        </w:rPr>
        <w:footnoteReference w:id="8"/>
      </w:r>
    </w:p>
    <w:p w:rsidR="00542F3A" w:rsidRPr="008416FE" w:rsidP="00542F3A" w14:paraId="4E53D4B8" w14:textId="5B907C0F">
      <w:pPr>
        <w:spacing w:after="0" w:line="240" w:lineRule="auto"/>
        <w:rPr>
          <w:rFonts w:ascii="Times New Roman" w:hAnsi="Times New Roman"/>
          <w:sz w:val="24"/>
          <w:szCs w:val="24"/>
        </w:rPr>
      </w:pPr>
    </w:p>
    <w:p w:rsidR="00542F3A" w:rsidRPr="008416FE" w:rsidP="00542F3A" w14:paraId="50F4242A" w14:textId="7F04FD8F">
      <w:pPr>
        <w:spacing w:after="0" w:line="240" w:lineRule="auto"/>
        <w:rPr>
          <w:rFonts w:ascii="Times New Roman" w:hAnsi="Times New Roman"/>
          <w:b/>
          <w:sz w:val="24"/>
          <w:szCs w:val="24"/>
          <w:vertAlign w:val="superscript"/>
        </w:rPr>
      </w:pPr>
      <w:r w:rsidRPr="008416FE">
        <w:rPr>
          <w:rFonts w:ascii="Times New Roman" w:hAnsi="Times New Roman"/>
          <w:sz w:val="24"/>
          <w:szCs w:val="24"/>
        </w:rPr>
        <w:t xml:space="preserve">If data from FERC Form Nos. 1, 1-F and 3-Q (electric) were not available, it would be difficult for the Commission to meet its mandatory responsibilities </w:t>
      </w:r>
      <w:r w:rsidRPr="008416FE" w:rsidR="00CB1669">
        <w:rPr>
          <w:rFonts w:ascii="Times New Roman" w:hAnsi="Times New Roman"/>
          <w:sz w:val="24"/>
          <w:szCs w:val="24"/>
        </w:rPr>
        <w:t xml:space="preserve">to </w:t>
      </w:r>
      <w:r w:rsidRPr="008416FE" w:rsidR="00B64C39">
        <w:rPr>
          <w:rFonts w:ascii="Times New Roman" w:hAnsi="Times New Roman"/>
          <w:sz w:val="24"/>
          <w:szCs w:val="24"/>
        </w:rPr>
        <w:t>ensure just and reasonable</w:t>
      </w:r>
      <w:r w:rsidRPr="008416FE" w:rsidR="00703EAB">
        <w:rPr>
          <w:rFonts w:ascii="Times New Roman" w:hAnsi="Times New Roman"/>
          <w:sz w:val="24"/>
          <w:szCs w:val="24"/>
        </w:rPr>
        <w:t xml:space="preserve"> rates for wholesale sales of electricity and transmission in interstate commerce for jurisdictional utilities, power marketers, power pools, power exchanges, and independent system operators </w:t>
      </w:r>
      <w:r w:rsidRPr="008416FE" w:rsidR="00CB1669">
        <w:rPr>
          <w:rFonts w:ascii="Times New Roman" w:hAnsi="Times New Roman"/>
          <w:sz w:val="24"/>
          <w:szCs w:val="24"/>
        </w:rPr>
        <w:t>and to oversee the issuance of certain stock and debt securities, assumption of obli</w:t>
      </w:r>
      <w:r w:rsidRPr="008416FE" w:rsidR="00AC7D35">
        <w:rPr>
          <w:rFonts w:ascii="Times New Roman" w:hAnsi="Times New Roman"/>
          <w:sz w:val="24"/>
          <w:szCs w:val="24"/>
        </w:rPr>
        <w:t>g</w:t>
      </w:r>
      <w:r w:rsidRPr="008416FE" w:rsidR="00CB1669">
        <w:rPr>
          <w:rFonts w:ascii="Times New Roman" w:hAnsi="Times New Roman"/>
          <w:sz w:val="24"/>
          <w:szCs w:val="24"/>
        </w:rPr>
        <w:t xml:space="preserve">ations and liabilities, and mergers </w:t>
      </w:r>
      <w:r w:rsidRPr="008416FE">
        <w:rPr>
          <w:rFonts w:ascii="Times New Roman" w:hAnsi="Times New Roman"/>
          <w:sz w:val="24"/>
          <w:szCs w:val="24"/>
        </w:rPr>
        <w:t>because t</w:t>
      </w:r>
      <w:r w:rsidRPr="008416FE" w:rsidR="00CB1669">
        <w:rPr>
          <w:rFonts w:ascii="Times New Roman" w:hAnsi="Times New Roman"/>
          <w:sz w:val="24"/>
          <w:szCs w:val="24"/>
        </w:rPr>
        <w:t>he Commission</w:t>
      </w:r>
      <w:r w:rsidRPr="008416FE">
        <w:rPr>
          <w:rFonts w:ascii="Times New Roman" w:hAnsi="Times New Roman"/>
          <w:sz w:val="24"/>
          <w:szCs w:val="24"/>
        </w:rPr>
        <w:t xml:space="preserve"> would have fewer regulatory mechanisms to ensure transparency and to protect ratepayers.</w:t>
      </w:r>
      <w:r w:rsidR="00901657">
        <w:rPr>
          <w:rFonts w:ascii="Times New Roman" w:hAnsi="Times New Roman"/>
          <w:sz w:val="24"/>
          <w:szCs w:val="24"/>
        </w:rPr>
        <w:t xml:space="preserve"> </w:t>
      </w:r>
      <w:r w:rsidRPr="008416FE" w:rsidR="00F66091">
        <w:rPr>
          <w:rFonts w:ascii="Times New Roman" w:hAnsi="Times New Roman"/>
          <w:sz w:val="24"/>
          <w:szCs w:val="24"/>
        </w:rPr>
        <w:t>The financial information filed with the Commission represents, in most cases, the only source of financial data presented in a format and detail suitable for the Commission to exercise its duties and responsibilities under the F</w:t>
      </w:r>
      <w:r w:rsidRPr="008416FE" w:rsidR="00FC5841">
        <w:rPr>
          <w:rFonts w:ascii="Times New Roman" w:hAnsi="Times New Roman"/>
          <w:sz w:val="24"/>
          <w:szCs w:val="24"/>
        </w:rPr>
        <w:t>PA</w:t>
      </w:r>
      <w:r w:rsidRPr="008416FE" w:rsidR="00351447">
        <w:rPr>
          <w:rFonts w:ascii="Times New Roman" w:hAnsi="Times New Roman"/>
          <w:sz w:val="24"/>
          <w:szCs w:val="24"/>
        </w:rPr>
        <w:t>.</w:t>
      </w:r>
      <w:r>
        <w:rPr>
          <w:rFonts w:ascii="Times New Roman" w:hAnsi="Times New Roman"/>
          <w:b/>
          <w:bCs/>
          <w:sz w:val="24"/>
          <w:szCs w:val="24"/>
          <w:vertAlign w:val="superscript"/>
        </w:rPr>
        <w:footnoteReference w:id="9"/>
      </w:r>
    </w:p>
    <w:p w:rsidR="00542F3A" w:rsidRPr="008416FE" w:rsidP="00542F3A" w14:paraId="4292877A" w14:textId="77777777">
      <w:pPr>
        <w:spacing w:after="0" w:line="240" w:lineRule="auto"/>
        <w:rPr>
          <w:rFonts w:ascii="Times New Roman" w:hAnsi="Times New Roman"/>
          <w:sz w:val="24"/>
          <w:szCs w:val="24"/>
        </w:rPr>
      </w:pPr>
    </w:p>
    <w:p w:rsidR="0058372E" w:rsidRPr="008416FE" w:rsidP="00F1585D" w14:paraId="5A83F9B7" w14:textId="521B396D">
      <w:pPr>
        <w:tabs>
          <w:tab w:val="num" w:pos="1080"/>
        </w:tabs>
        <w:spacing w:after="0" w:line="240" w:lineRule="auto"/>
        <w:rPr>
          <w:rFonts w:ascii="Times New Roman" w:eastAsia="Times New Roman" w:hAnsi="Times New Roman"/>
          <w:sz w:val="24"/>
          <w:szCs w:val="24"/>
        </w:rPr>
      </w:pPr>
      <w:r w:rsidRPr="008416FE">
        <w:rPr>
          <w:rFonts w:ascii="Times New Roman" w:hAnsi="Times New Roman"/>
          <w:b/>
          <w:sz w:val="24"/>
          <w:szCs w:val="24"/>
        </w:rPr>
        <w:t>FERC</w:t>
      </w:r>
      <w:r w:rsidRPr="008416FE" w:rsidR="002123B8">
        <w:rPr>
          <w:rFonts w:ascii="Times New Roman" w:hAnsi="Times New Roman"/>
          <w:b/>
          <w:sz w:val="24"/>
          <w:szCs w:val="24"/>
        </w:rPr>
        <w:t xml:space="preserve"> Form No. </w:t>
      </w:r>
      <w:r w:rsidRPr="008416FE" w:rsidR="00D24757">
        <w:rPr>
          <w:rFonts w:ascii="Times New Roman" w:hAnsi="Times New Roman"/>
          <w:b/>
          <w:sz w:val="24"/>
          <w:szCs w:val="24"/>
        </w:rPr>
        <w:t>3-Q</w:t>
      </w:r>
      <w:r w:rsidRPr="008416FE" w:rsidR="00A326E2">
        <w:rPr>
          <w:rFonts w:ascii="Times New Roman" w:hAnsi="Times New Roman"/>
          <w:b/>
          <w:sz w:val="24"/>
          <w:szCs w:val="24"/>
        </w:rPr>
        <w:t xml:space="preserve"> (gas)</w:t>
      </w:r>
      <w:r w:rsidRPr="008416FE">
        <w:rPr>
          <w:rFonts w:ascii="Times New Roman" w:hAnsi="Times New Roman"/>
          <w:b/>
          <w:sz w:val="24"/>
          <w:szCs w:val="24"/>
        </w:rPr>
        <w:t>.</w:t>
      </w:r>
      <w:r w:rsidR="00901657">
        <w:rPr>
          <w:rFonts w:ascii="Times New Roman" w:hAnsi="Times New Roman"/>
          <w:b/>
          <w:sz w:val="24"/>
          <w:szCs w:val="24"/>
        </w:rPr>
        <w:t xml:space="preserve"> </w:t>
      </w:r>
      <w:r w:rsidRPr="008416FE" w:rsidR="00A93FF1">
        <w:rPr>
          <w:rFonts w:ascii="Times New Roman" w:eastAsia="Times New Roman" w:hAnsi="Times New Roman"/>
          <w:sz w:val="24"/>
          <w:szCs w:val="24"/>
        </w:rPr>
        <w:t xml:space="preserve">FERC Form No. 3-Q </w:t>
      </w:r>
      <w:r w:rsidRPr="008416FE" w:rsidR="00A96369">
        <w:rPr>
          <w:rFonts w:ascii="Times New Roman" w:eastAsia="Times New Roman" w:hAnsi="Times New Roman"/>
          <w:sz w:val="24"/>
          <w:szCs w:val="24"/>
        </w:rPr>
        <w:t xml:space="preserve">(gas) </w:t>
      </w:r>
      <w:r w:rsidRPr="008416FE" w:rsidR="00A93FF1">
        <w:rPr>
          <w:rFonts w:ascii="Times New Roman" w:eastAsia="Times New Roman" w:hAnsi="Times New Roman"/>
          <w:sz w:val="24"/>
          <w:szCs w:val="24"/>
        </w:rPr>
        <w:t>is a quarterly financial and operating report for rate regulation, market oversight analysis, and financial audits which supplements FERC Form No. 2 (Annual Report for Major Natural Gas Companies; OMB Control No. 1902-0028) and FERC Form No. 2-A (Annual Report for Nonmajor Natural Gas Companies; OMB Control No. 1902-0030), for the natural gas industry.</w:t>
      </w:r>
      <w:r w:rsidR="00901657">
        <w:rPr>
          <w:rFonts w:ascii="Times New Roman" w:eastAsia="Times New Roman" w:hAnsi="Times New Roman"/>
          <w:sz w:val="24"/>
          <w:szCs w:val="24"/>
        </w:rPr>
        <w:t xml:space="preserve"> </w:t>
      </w:r>
      <w:r w:rsidRPr="008416FE" w:rsidR="00A93FF1">
        <w:rPr>
          <w:rFonts w:ascii="Times New Roman" w:eastAsia="Times New Roman" w:hAnsi="Times New Roman"/>
          <w:sz w:val="24"/>
          <w:szCs w:val="24"/>
        </w:rPr>
        <w:t>FERC Form No. 3-Q</w:t>
      </w:r>
      <w:r w:rsidRPr="008416FE" w:rsidR="009A4EBD">
        <w:rPr>
          <w:rFonts w:ascii="Times New Roman" w:eastAsia="Times New Roman" w:hAnsi="Times New Roman"/>
          <w:sz w:val="24"/>
          <w:szCs w:val="24"/>
        </w:rPr>
        <w:t xml:space="preserve"> (gas)</w:t>
      </w:r>
      <w:r w:rsidRPr="008416FE" w:rsidR="00A93FF1">
        <w:rPr>
          <w:rFonts w:ascii="Times New Roman" w:eastAsia="Times New Roman" w:hAnsi="Times New Roman"/>
          <w:sz w:val="24"/>
          <w:szCs w:val="24"/>
        </w:rPr>
        <w:t xml:space="preserve"> is submitted for all natural gas companies</w:t>
      </w:r>
      <w:r w:rsidRPr="008416FE" w:rsidR="00563359">
        <w:rPr>
          <w:rFonts w:ascii="Times New Roman" w:eastAsia="Times New Roman" w:hAnsi="Times New Roman"/>
          <w:sz w:val="24"/>
          <w:szCs w:val="24"/>
        </w:rPr>
        <w:t>.</w:t>
      </w:r>
    </w:p>
    <w:p w:rsidR="00516A16" w:rsidRPr="008416FE" w:rsidP="00F1585D" w14:paraId="4C805024" w14:textId="77777777">
      <w:pPr>
        <w:tabs>
          <w:tab w:val="num" w:pos="1080"/>
        </w:tabs>
        <w:spacing w:after="0" w:line="240" w:lineRule="auto"/>
        <w:rPr>
          <w:rFonts w:ascii="Times New Roman" w:hAnsi="Times New Roman"/>
          <w:b/>
          <w:sz w:val="24"/>
          <w:szCs w:val="24"/>
        </w:rPr>
      </w:pPr>
    </w:p>
    <w:p w:rsidR="003A3DE2" w:rsidRPr="008416FE" w:rsidP="003A3DE2" w14:paraId="31D92B5A" w14:textId="1FA248C1">
      <w:pPr>
        <w:spacing w:after="0" w:line="240" w:lineRule="auto"/>
        <w:rPr>
          <w:rFonts w:ascii="Times New Roman" w:hAnsi="Times New Roman"/>
          <w:sz w:val="24"/>
          <w:szCs w:val="24"/>
        </w:rPr>
      </w:pPr>
      <w:r w:rsidRPr="008416FE">
        <w:rPr>
          <w:rFonts w:ascii="Times New Roman" w:hAnsi="Times New Roman"/>
          <w:sz w:val="24"/>
          <w:szCs w:val="24"/>
        </w:rPr>
        <w:t>Th</w:t>
      </w:r>
      <w:r w:rsidRPr="008416FE" w:rsidR="00A93FF1">
        <w:rPr>
          <w:rFonts w:ascii="Times New Roman" w:hAnsi="Times New Roman"/>
          <w:sz w:val="24"/>
          <w:szCs w:val="24"/>
        </w:rPr>
        <w:t>is</w:t>
      </w:r>
      <w:r w:rsidRPr="008416FE">
        <w:rPr>
          <w:rFonts w:ascii="Times New Roman" w:hAnsi="Times New Roman"/>
          <w:sz w:val="24"/>
          <w:szCs w:val="24"/>
        </w:rPr>
        <w:t xml:space="preserve"> form provide</w:t>
      </w:r>
      <w:r w:rsidRPr="008416FE" w:rsidR="00A93FF1">
        <w:rPr>
          <w:rFonts w:ascii="Times New Roman" w:hAnsi="Times New Roman"/>
          <w:sz w:val="24"/>
          <w:szCs w:val="24"/>
        </w:rPr>
        <w:t>s</w:t>
      </w:r>
      <w:r w:rsidRPr="008416FE">
        <w:rPr>
          <w:rFonts w:ascii="Times New Roman" w:hAnsi="Times New Roman"/>
          <w:sz w:val="24"/>
          <w:szCs w:val="24"/>
        </w:rPr>
        <w:t xml:space="preserve"> information concerning a company’s current performance, compiled using the Commission’s USofA.</w:t>
      </w:r>
      <w:bookmarkStart w:id="2" w:name="_Hlk193441152"/>
      <w:r>
        <w:rPr>
          <w:rFonts w:ascii="Times New Roman" w:hAnsi="Times New Roman"/>
          <w:b/>
          <w:bCs/>
          <w:sz w:val="24"/>
          <w:szCs w:val="24"/>
          <w:vertAlign w:val="superscript"/>
        </w:rPr>
        <w:footnoteReference w:id="10"/>
      </w:r>
      <w:bookmarkEnd w:id="2"/>
      <w:r w:rsidR="00901657">
        <w:rPr>
          <w:rFonts w:ascii="Times New Roman" w:hAnsi="Times New Roman"/>
          <w:sz w:val="24"/>
          <w:szCs w:val="24"/>
        </w:rPr>
        <w:t xml:space="preserve"> </w:t>
      </w:r>
      <w:r w:rsidRPr="008416FE" w:rsidR="00CA6005">
        <w:rPr>
          <w:rFonts w:ascii="Times New Roman" w:hAnsi="Times New Roman"/>
          <w:sz w:val="24"/>
          <w:szCs w:val="24"/>
        </w:rPr>
        <w:t>FERC For</w:t>
      </w:r>
      <w:r w:rsidRPr="008416FE" w:rsidR="00C83F34">
        <w:rPr>
          <w:rFonts w:ascii="Times New Roman" w:hAnsi="Times New Roman"/>
          <w:sz w:val="24"/>
          <w:szCs w:val="24"/>
        </w:rPr>
        <w:t>m No. 3-Q (gas)</w:t>
      </w:r>
      <w:r w:rsidRPr="008416FE" w:rsidR="00CA6005">
        <w:rPr>
          <w:rFonts w:ascii="Times New Roman" w:hAnsi="Times New Roman"/>
          <w:sz w:val="24"/>
          <w:szCs w:val="24"/>
        </w:rPr>
        <w:t xml:space="preserve"> include</w:t>
      </w:r>
      <w:r w:rsidRPr="008416FE" w:rsidR="00C83F34">
        <w:rPr>
          <w:rFonts w:ascii="Times New Roman" w:hAnsi="Times New Roman"/>
          <w:sz w:val="24"/>
          <w:szCs w:val="24"/>
        </w:rPr>
        <w:t>s</w:t>
      </w:r>
      <w:r w:rsidRPr="008416FE" w:rsidR="00CA6005">
        <w:rPr>
          <w:rFonts w:ascii="Times New Roman" w:hAnsi="Times New Roman"/>
          <w:sz w:val="24"/>
          <w:szCs w:val="24"/>
        </w:rPr>
        <w:t xml:space="preserve"> a basic set of financial statements: Comparative Balance Sheet, Statement of Income, Statement of Retained Earnings, Statement of Cash Flows, and the Statement of Accumulated Comprehensive Income and Hedging Activities and supporting schedules containing supplementary information.</w:t>
      </w:r>
      <w:r w:rsidR="00901657">
        <w:rPr>
          <w:rFonts w:ascii="Times New Roman" w:hAnsi="Times New Roman"/>
          <w:sz w:val="24"/>
          <w:szCs w:val="24"/>
        </w:rPr>
        <w:t xml:space="preserve"> </w:t>
      </w:r>
      <w:r w:rsidRPr="008416FE" w:rsidR="007D583E">
        <w:rPr>
          <w:rFonts w:ascii="Times New Roman" w:hAnsi="Times New Roman"/>
          <w:sz w:val="24"/>
          <w:szCs w:val="24"/>
        </w:rPr>
        <w:t xml:space="preserve">The </w:t>
      </w:r>
      <w:r w:rsidRPr="008416FE" w:rsidR="00C83F34">
        <w:rPr>
          <w:rFonts w:ascii="Times New Roman" w:hAnsi="Times New Roman"/>
          <w:sz w:val="24"/>
          <w:szCs w:val="24"/>
        </w:rPr>
        <w:t>form also</w:t>
      </w:r>
      <w:r w:rsidRPr="008416FE" w:rsidR="007D583E">
        <w:rPr>
          <w:rFonts w:ascii="Times New Roman" w:hAnsi="Times New Roman"/>
          <w:sz w:val="24"/>
          <w:szCs w:val="24"/>
        </w:rPr>
        <w:t xml:space="preserve"> </w:t>
      </w:r>
      <w:r w:rsidRPr="008416FE">
        <w:rPr>
          <w:rFonts w:ascii="Times New Roman" w:hAnsi="Times New Roman"/>
          <w:sz w:val="24"/>
          <w:szCs w:val="24"/>
        </w:rPr>
        <w:t>include</w:t>
      </w:r>
      <w:r w:rsidRPr="008416FE" w:rsidR="007D583E">
        <w:rPr>
          <w:rFonts w:ascii="Times New Roman" w:hAnsi="Times New Roman"/>
          <w:sz w:val="24"/>
          <w:szCs w:val="24"/>
        </w:rPr>
        <w:t>s</w:t>
      </w:r>
      <w:r w:rsidRPr="008416FE">
        <w:rPr>
          <w:rFonts w:ascii="Times New Roman" w:hAnsi="Times New Roman"/>
          <w:sz w:val="24"/>
          <w:szCs w:val="24"/>
        </w:rPr>
        <w:t xml:space="preserve"> monthly and quarterly quantities of gas transported and associated revenues; storage, </w:t>
      </w:r>
      <w:r w:rsidRPr="008416FE">
        <w:rPr>
          <w:rFonts w:ascii="Times New Roman" w:hAnsi="Times New Roman"/>
          <w:sz w:val="24"/>
          <w:szCs w:val="24"/>
        </w:rPr>
        <w:t>termina</w:t>
      </w:r>
      <w:r w:rsidR="00FA0EB6">
        <w:rPr>
          <w:rFonts w:ascii="Times New Roman" w:hAnsi="Times New Roman"/>
          <w:sz w:val="24"/>
          <w:szCs w:val="24"/>
        </w:rPr>
        <w:t>l</w:t>
      </w:r>
      <w:r w:rsidRPr="008416FE">
        <w:rPr>
          <w:rFonts w:ascii="Times New Roman" w:hAnsi="Times New Roman"/>
          <w:sz w:val="24"/>
          <w:szCs w:val="24"/>
        </w:rPr>
        <w:t>ling</w:t>
      </w:r>
      <w:r w:rsidRPr="008416FE">
        <w:rPr>
          <w:rFonts w:ascii="Times New Roman" w:hAnsi="Times New Roman"/>
          <w:sz w:val="24"/>
          <w:szCs w:val="24"/>
        </w:rPr>
        <w:t>, and processing services; natural gas customer accounts and details of service; and operational expenses, depreciation, depletion</w:t>
      </w:r>
      <w:r w:rsidRPr="008416FE" w:rsidR="00977DAE">
        <w:rPr>
          <w:rFonts w:ascii="Times New Roman" w:hAnsi="Times New Roman"/>
          <w:sz w:val="24"/>
          <w:szCs w:val="24"/>
        </w:rPr>
        <w:t>,</w:t>
      </w:r>
      <w:r w:rsidRPr="008416FE">
        <w:rPr>
          <w:rFonts w:ascii="Times New Roman" w:hAnsi="Times New Roman"/>
          <w:sz w:val="24"/>
          <w:szCs w:val="24"/>
        </w:rPr>
        <w:t xml:space="preserve"> and amortization of gas plant.</w:t>
      </w:r>
    </w:p>
    <w:p w:rsidR="0058372E" w:rsidRPr="008416FE" w:rsidP="00BD0F89" w14:paraId="15806B69" w14:textId="57C30019">
      <w:pPr>
        <w:spacing w:after="0" w:line="240" w:lineRule="auto"/>
        <w:rPr>
          <w:rFonts w:ascii="Times New Roman" w:hAnsi="Times New Roman"/>
          <w:sz w:val="24"/>
          <w:szCs w:val="24"/>
        </w:rPr>
      </w:pPr>
      <w:r w:rsidRPr="008416FE">
        <w:rPr>
          <w:rFonts w:ascii="Times New Roman" w:hAnsi="Times New Roman"/>
          <w:sz w:val="24"/>
          <w:szCs w:val="24"/>
        </w:rPr>
        <w:tab/>
      </w:r>
    </w:p>
    <w:p w:rsidR="002C0DA6" w:rsidRPr="008416FE" w:rsidP="00BD0F89" w14:paraId="66DE3B4A" w14:textId="284E4DC2">
      <w:pPr>
        <w:spacing w:after="0" w:line="240" w:lineRule="auto"/>
        <w:rPr>
          <w:rFonts w:ascii="Times New Roman" w:hAnsi="Times New Roman"/>
          <w:sz w:val="24"/>
          <w:szCs w:val="24"/>
        </w:rPr>
      </w:pPr>
      <w:r w:rsidRPr="008416FE">
        <w:rPr>
          <w:rFonts w:ascii="Times New Roman" w:hAnsi="Times New Roman"/>
          <w:sz w:val="24"/>
          <w:szCs w:val="24"/>
        </w:rPr>
        <w:t>Th</w:t>
      </w:r>
      <w:r w:rsidRPr="008416FE" w:rsidR="0062523A">
        <w:rPr>
          <w:rFonts w:ascii="Times New Roman" w:hAnsi="Times New Roman"/>
          <w:sz w:val="24"/>
          <w:szCs w:val="24"/>
        </w:rPr>
        <w:t>e</w:t>
      </w:r>
      <w:r w:rsidRPr="008416FE">
        <w:rPr>
          <w:rFonts w:ascii="Times New Roman" w:hAnsi="Times New Roman"/>
          <w:sz w:val="24"/>
          <w:szCs w:val="24"/>
        </w:rPr>
        <w:t xml:space="preserve"> form provide</w:t>
      </w:r>
      <w:r w:rsidRPr="008416FE" w:rsidR="00FE4084">
        <w:rPr>
          <w:rFonts w:ascii="Times New Roman" w:hAnsi="Times New Roman"/>
          <w:sz w:val="24"/>
          <w:szCs w:val="24"/>
        </w:rPr>
        <w:t>s</w:t>
      </w:r>
      <w:r w:rsidRPr="008416FE">
        <w:rPr>
          <w:rFonts w:ascii="Times New Roman" w:hAnsi="Times New Roman"/>
          <w:sz w:val="24"/>
          <w:szCs w:val="24"/>
        </w:rPr>
        <w:t xml:space="preserve"> information concerning a company’s past performance and its </w:t>
      </w:r>
      <w:r w:rsidRPr="008416FE">
        <w:rPr>
          <w:rFonts w:ascii="Times New Roman" w:hAnsi="Times New Roman"/>
          <w:sz w:val="24"/>
          <w:szCs w:val="24"/>
        </w:rPr>
        <w:t>future prospects</w:t>
      </w:r>
      <w:r w:rsidRPr="008416FE" w:rsidR="006540D2">
        <w:rPr>
          <w:rFonts w:ascii="Times New Roman" w:hAnsi="Times New Roman"/>
          <w:sz w:val="24"/>
          <w:szCs w:val="24"/>
        </w:rPr>
        <w:t xml:space="preserve"> and </w:t>
      </w:r>
      <w:r w:rsidRPr="008416FE">
        <w:rPr>
          <w:rFonts w:ascii="Times New Roman" w:hAnsi="Times New Roman"/>
          <w:sz w:val="24"/>
          <w:szCs w:val="24"/>
        </w:rPr>
        <w:t>is based on the companies’ financial and other information.</w:t>
      </w:r>
      <w:r w:rsidR="00901657">
        <w:rPr>
          <w:rFonts w:ascii="Times New Roman" w:hAnsi="Times New Roman"/>
          <w:sz w:val="24"/>
          <w:szCs w:val="24"/>
        </w:rPr>
        <w:t xml:space="preserve"> </w:t>
      </w:r>
      <w:r w:rsidRPr="008416FE">
        <w:rPr>
          <w:rFonts w:ascii="Times New Roman" w:hAnsi="Times New Roman"/>
          <w:sz w:val="24"/>
          <w:szCs w:val="24"/>
        </w:rPr>
        <w:t>Supporting schedules containing supplementary information are filed, including revenues and the related quantities of products sold or transported; account balances for various operating and maintenance expenses; selected plant cost data; and other information.</w:t>
      </w:r>
    </w:p>
    <w:p w:rsidR="0058372E" w:rsidRPr="008416FE" w:rsidP="00BD0F89" w14:paraId="688E3529" w14:textId="2E022B1B">
      <w:pPr>
        <w:spacing w:after="0" w:line="240" w:lineRule="auto"/>
        <w:rPr>
          <w:rFonts w:ascii="Times New Roman" w:hAnsi="Times New Roman"/>
          <w:sz w:val="24"/>
          <w:szCs w:val="24"/>
        </w:rPr>
      </w:pPr>
      <w:r w:rsidRPr="008416FE">
        <w:rPr>
          <w:rFonts w:ascii="Times New Roman" w:hAnsi="Times New Roman"/>
          <w:sz w:val="24"/>
          <w:szCs w:val="24"/>
        </w:rPr>
        <w:tab/>
      </w:r>
      <w:r w:rsidRPr="008416FE">
        <w:rPr>
          <w:rFonts w:ascii="Times New Roman" w:hAnsi="Times New Roman"/>
          <w:sz w:val="24"/>
          <w:szCs w:val="24"/>
        </w:rPr>
        <w:tab/>
      </w:r>
    </w:p>
    <w:p w:rsidR="00BA412D" w:rsidRPr="008416FE" w:rsidP="00BD0F89" w14:paraId="479A35B4" w14:textId="17CC3BD4">
      <w:pPr>
        <w:spacing w:after="0" w:line="240" w:lineRule="auto"/>
        <w:rPr>
          <w:rFonts w:ascii="Times New Roman" w:hAnsi="Times New Roman"/>
          <w:sz w:val="24"/>
          <w:szCs w:val="24"/>
        </w:rPr>
      </w:pPr>
      <w:r w:rsidRPr="008416FE">
        <w:rPr>
          <w:rFonts w:ascii="Times New Roman" w:hAnsi="Times New Roman"/>
          <w:sz w:val="24"/>
          <w:szCs w:val="24"/>
        </w:rPr>
        <w:t xml:space="preserve">In summary, without the information collected in </w:t>
      </w:r>
      <w:r w:rsidRPr="008416FE" w:rsidR="00542F3A">
        <w:rPr>
          <w:rFonts w:ascii="Times New Roman" w:hAnsi="Times New Roman"/>
          <w:sz w:val="24"/>
          <w:szCs w:val="24"/>
        </w:rPr>
        <w:t>FERC Form No. 3-Q (gas)</w:t>
      </w:r>
      <w:r w:rsidRPr="008416FE" w:rsidR="000C0209">
        <w:rPr>
          <w:rFonts w:ascii="Times New Roman" w:hAnsi="Times New Roman"/>
          <w:sz w:val="24"/>
          <w:szCs w:val="24"/>
        </w:rPr>
        <w:t>,</w:t>
      </w:r>
      <w:r w:rsidRPr="008416FE">
        <w:rPr>
          <w:rFonts w:ascii="Times New Roman" w:hAnsi="Times New Roman"/>
          <w:sz w:val="24"/>
          <w:szCs w:val="24"/>
        </w:rPr>
        <w:t xml:space="preserve"> </w:t>
      </w:r>
      <w:r w:rsidRPr="008416FE" w:rsidR="000F448F">
        <w:rPr>
          <w:rFonts w:ascii="Times New Roman" w:hAnsi="Times New Roman"/>
          <w:sz w:val="24"/>
          <w:szCs w:val="24"/>
        </w:rPr>
        <w:t xml:space="preserve">it would be difficult for </w:t>
      </w:r>
      <w:r w:rsidRPr="008416FE">
        <w:rPr>
          <w:rFonts w:ascii="Times New Roman" w:hAnsi="Times New Roman"/>
          <w:sz w:val="24"/>
          <w:szCs w:val="24"/>
        </w:rPr>
        <w:t>the Commission to ensure, as required by the NGA, that a</w:t>
      </w:r>
      <w:r w:rsidRPr="008416FE" w:rsidR="00B70E08">
        <w:rPr>
          <w:rFonts w:ascii="Times New Roman" w:hAnsi="Times New Roman"/>
          <w:sz w:val="24"/>
          <w:szCs w:val="24"/>
        </w:rPr>
        <w:t xml:space="preserve"> </w:t>
      </w:r>
      <w:r w:rsidRPr="008416FE" w:rsidR="001A0451">
        <w:rPr>
          <w:rFonts w:ascii="Times New Roman" w:hAnsi="Times New Roman"/>
          <w:sz w:val="24"/>
          <w:szCs w:val="24"/>
        </w:rPr>
        <w:t xml:space="preserve">natural </w:t>
      </w:r>
      <w:r w:rsidRPr="008416FE" w:rsidR="00B70E08">
        <w:rPr>
          <w:rFonts w:ascii="Times New Roman" w:hAnsi="Times New Roman"/>
          <w:sz w:val="24"/>
          <w:szCs w:val="24"/>
        </w:rPr>
        <w:t>gas provider’s</w:t>
      </w:r>
      <w:r w:rsidRPr="008416FE">
        <w:rPr>
          <w:rFonts w:ascii="Times New Roman" w:hAnsi="Times New Roman"/>
          <w:sz w:val="24"/>
          <w:szCs w:val="24"/>
        </w:rPr>
        <w:t xml:space="preserve"> </w:t>
      </w:r>
      <w:r w:rsidRPr="008416FE" w:rsidR="00297A5E">
        <w:rPr>
          <w:rFonts w:ascii="Times New Roman" w:hAnsi="Times New Roman"/>
          <w:sz w:val="24"/>
          <w:szCs w:val="24"/>
        </w:rPr>
        <w:t xml:space="preserve">transportation </w:t>
      </w:r>
      <w:r w:rsidRPr="008416FE">
        <w:rPr>
          <w:rFonts w:ascii="Times New Roman" w:hAnsi="Times New Roman"/>
          <w:sz w:val="24"/>
          <w:szCs w:val="24"/>
        </w:rPr>
        <w:t>rates remain just and reasonable</w:t>
      </w:r>
      <w:r w:rsidRPr="008416FE" w:rsidR="00C8281A">
        <w:rPr>
          <w:rFonts w:ascii="Times New Roman" w:hAnsi="Times New Roman"/>
          <w:sz w:val="24"/>
          <w:szCs w:val="24"/>
        </w:rPr>
        <w:t>,</w:t>
      </w:r>
      <w:r w:rsidRPr="008416FE" w:rsidR="00D32E47">
        <w:rPr>
          <w:rFonts w:ascii="Times New Roman" w:hAnsi="Times New Roman"/>
          <w:sz w:val="24"/>
          <w:szCs w:val="24"/>
        </w:rPr>
        <w:t xml:space="preserve"> </w:t>
      </w:r>
      <w:r w:rsidRPr="008416FE" w:rsidR="00990C71">
        <w:rPr>
          <w:rFonts w:ascii="Times New Roman" w:hAnsi="Times New Roman"/>
          <w:sz w:val="24"/>
          <w:szCs w:val="24"/>
        </w:rPr>
        <w:t xml:space="preserve">and to evaluate </w:t>
      </w:r>
      <w:r w:rsidRPr="008416FE" w:rsidR="009E7EEA">
        <w:rPr>
          <w:rFonts w:ascii="Times New Roman" w:hAnsi="Times New Roman"/>
          <w:sz w:val="24"/>
          <w:szCs w:val="24"/>
        </w:rPr>
        <w:t>rates and</w:t>
      </w:r>
      <w:r w:rsidRPr="008416FE" w:rsidR="0021462C">
        <w:rPr>
          <w:rFonts w:ascii="Times New Roman" w:hAnsi="Times New Roman"/>
          <w:sz w:val="24"/>
          <w:szCs w:val="24"/>
        </w:rPr>
        <w:t xml:space="preserve"> </w:t>
      </w:r>
      <w:r w:rsidRPr="008416FE" w:rsidR="00037252">
        <w:rPr>
          <w:rFonts w:ascii="Times New Roman" w:hAnsi="Times New Roman"/>
          <w:sz w:val="24"/>
          <w:szCs w:val="24"/>
        </w:rPr>
        <w:t xml:space="preserve">new </w:t>
      </w:r>
      <w:r w:rsidRPr="008416FE" w:rsidR="00D32E47">
        <w:rPr>
          <w:rFonts w:ascii="Times New Roman" w:hAnsi="Times New Roman"/>
          <w:sz w:val="24"/>
          <w:szCs w:val="24"/>
        </w:rPr>
        <w:t xml:space="preserve">rate </w:t>
      </w:r>
      <w:r w:rsidRPr="008416FE" w:rsidR="00C8281A">
        <w:rPr>
          <w:rFonts w:ascii="Times New Roman" w:hAnsi="Times New Roman"/>
          <w:sz w:val="24"/>
          <w:szCs w:val="24"/>
        </w:rPr>
        <w:t>proposals</w:t>
      </w:r>
      <w:r w:rsidRPr="008416FE" w:rsidR="00D32E47">
        <w:rPr>
          <w:rFonts w:ascii="Times New Roman" w:hAnsi="Times New Roman"/>
          <w:sz w:val="24"/>
          <w:szCs w:val="24"/>
        </w:rPr>
        <w:t xml:space="preserve"> pursuant to </w:t>
      </w:r>
      <w:r w:rsidRPr="008416FE" w:rsidR="00037252">
        <w:rPr>
          <w:rFonts w:ascii="Times New Roman" w:hAnsi="Times New Roman"/>
          <w:sz w:val="24"/>
          <w:szCs w:val="24"/>
        </w:rPr>
        <w:t xml:space="preserve">NGA </w:t>
      </w:r>
      <w:r w:rsidRPr="008416FE" w:rsidR="00D32E47">
        <w:rPr>
          <w:rFonts w:ascii="Times New Roman" w:hAnsi="Times New Roman"/>
          <w:sz w:val="24"/>
          <w:szCs w:val="24"/>
        </w:rPr>
        <w:t>sections 4 and 5</w:t>
      </w:r>
      <w:r w:rsidRPr="008416FE">
        <w:rPr>
          <w:rFonts w:ascii="Times New Roman" w:hAnsi="Times New Roman"/>
          <w:sz w:val="24"/>
          <w:szCs w:val="24"/>
        </w:rPr>
        <w:t>,</w:t>
      </w:r>
      <w:r>
        <w:rPr>
          <w:rStyle w:val="FootnoteReference"/>
          <w:rFonts w:ascii="Times New Roman" w:hAnsi="Times New Roman"/>
          <w:sz w:val="24"/>
          <w:szCs w:val="24"/>
          <w:vertAlign w:val="superscript"/>
        </w:rPr>
        <w:footnoteReference w:id="11"/>
      </w:r>
      <w:r w:rsidRPr="008416FE">
        <w:rPr>
          <w:rFonts w:ascii="Times New Roman" w:hAnsi="Times New Roman"/>
          <w:sz w:val="24"/>
          <w:szCs w:val="24"/>
        </w:rPr>
        <w:t xml:space="preserve"> respond to Congressional and outside inquires</w:t>
      </w:r>
      <w:r w:rsidRPr="008416FE" w:rsidR="00563359">
        <w:rPr>
          <w:rFonts w:ascii="Times New Roman" w:hAnsi="Times New Roman"/>
          <w:sz w:val="24"/>
          <w:szCs w:val="24"/>
        </w:rPr>
        <w:t>,</w:t>
      </w:r>
      <w:r w:rsidRPr="008416FE">
        <w:rPr>
          <w:rFonts w:ascii="Times New Roman" w:hAnsi="Times New Roman"/>
          <w:sz w:val="24"/>
          <w:szCs w:val="24"/>
        </w:rPr>
        <w:t xml:space="preserve"> and make decisions in a timely manner</w:t>
      </w:r>
      <w:r w:rsidRPr="008416FE" w:rsidR="00563359">
        <w:rPr>
          <w:rFonts w:ascii="Times New Roman" w:hAnsi="Times New Roman"/>
          <w:sz w:val="24"/>
          <w:szCs w:val="24"/>
        </w:rPr>
        <w:t>.</w:t>
      </w:r>
      <w:r w:rsidR="00901657">
        <w:rPr>
          <w:rFonts w:ascii="Times New Roman" w:hAnsi="Times New Roman"/>
          <w:sz w:val="24"/>
          <w:szCs w:val="24"/>
        </w:rPr>
        <w:t xml:space="preserve"> </w:t>
      </w:r>
      <w:r w:rsidRPr="008416FE" w:rsidR="00FE7629">
        <w:rPr>
          <w:rFonts w:ascii="Times New Roman" w:hAnsi="Times New Roman"/>
          <w:sz w:val="24"/>
          <w:szCs w:val="24"/>
        </w:rPr>
        <w:t xml:space="preserve">The financial information filed with the Commission represents, in most cases, the only source of financial data presented in a format and detail suitable for the Commission to exercise its duties and responsibilities under the </w:t>
      </w:r>
      <w:r w:rsidRPr="008416FE" w:rsidR="00792ACD">
        <w:rPr>
          <w:rFonts w:ascii="Times New Roman" w:hAnsi="Times New Roman"/>
          <w:sz w:val="24"/>
          <w:szCs w:val="24"/>
        </w:rPr>
        <w:t>NG</w:t>
      </w:r>
      <w:r w:rsidRPr="008416FE" w:rsidR="00FE7629">
        <w:rPr>
          <w:rFonts w:ascii="Times New Roman" w:hAnsi="Times New Roman"/>
          <w:sz w:val="24"/>
          <w:szCs w:val="24"/>
        </w:rPr>
        <w:t>A.</w:t>
      </w:r>
      <w:r>
        <w:rPr>
          <w:rFonts w:ascii="Times New Roman" w:hAnsi="Times New Roman"/>
          <w:b/>
          <w:bCs/>
          <w:sz w:val="24"/>
          <w:szCs w:val="24"/>
          <w:vertAlign w:val="superscript"/>
        </w:rPr>
        <w:footnoteReference w:id="12"/>
      </w:r>
    </w:p>
    <w:p w:rsidR="00BA412D" w:rsidRPr="008416FE" w:rsidP="006C6F9C" w14:paraId="020B1BA7" w14:textId="57005F77">
      <w:pPr>
        <w:tabs>
          <w:tab w:val="left" w:pos="8164"/>
        </w:tabs>
        <w:spacing w:after="0" w:line="240" w:lineRule="auto"/>
        <w:rPr>
          <w:rFonts w:ascii="Times New Roman" w:hAnsi="Times New Roman"/>
          <w:sz w:val="24"/>
          <w:szCs w:val="24"/>
        </w:rPr>
      </w:pPr>
      <w:r w:rsidRPr="008416FE">
        <w:rPr>
          <w:rFonts w:ascii="Times New Roman" w:hAnsi="Times New Roman"/>
          <w:sz w:val="24"/>
          <w:szCs w:val="24"/>
        </w:rPr>
        <w:tab/>
      </w:r>
    </w:p>
    <w:p w:rsidR="00471F97" w:rsidRPr="008416FE" w:rsidP="00BD0F89" w14:paraId="5FCC3BB8" w14:textId="77777777">
      <w:pPr>
        <w:pStyle w:val="ListParagraph"/>
        <w:numPr>
          <w:ilvl w:val="0"/>
          <w:numId w:val="14"/>
        </w:numPr>
        <w:spacing w:after="0" w:line="240" w:lineRule="auto"/>
        <w:rPr>
          <w:rFonts w:ascii="Times New Roman" w:hAnsi="Times New Roman"/>
          <w:b/>
          <w:sz w:val="24"/>
          <w:szCs w:val="24"/>
        </w:rPr>
      </w:pPr>
      <w:r w:rsidRPr="008416FE">
        <w:rPr>
          <w:rFonts w:ascii="Times New Roman" w:hAnsi="Times New Roman"/>
          <w:b/>
          <w:sz w:val="24"/>
          <w:szCs w:val="24"/>
        </w:rPr>
        <w:t>DESCRIBE ANY CONSIDERATION OF THE USE OF IMPROVED INFORMATION TECHNOLOGY TO REDUCE THE BURDEN AND TECHNICAL OR LEGAL OBSTACLES TO REDUCING BURDEN</w:t>
      </w:r>
    </w:p>
    <w:p w:rsidR="00471F97" w:rsidRPr="008416FE" w:rsidP="00BD0F89" w14:paraId="391BE832" w14:textId="77777777">
      <w:pPr>
        <w:spacing w:after="0" w:line="240" w:lineRule="auto"/>
        <w:ind w:left="360" w:hanging="360"/>
        <w:rPr>
          <w:rFonts w:ascii="Times New Roman" w:hAnsi="Times New Roman"/>
          <w:sz w:val="24"/>
          <w:szCs w:val="24"/>
        </w:rPr>
      </w:pPr>
    </w:p>
    <w:p w:rsidR="00271EF4" w:rsidRPr="008416FE" w14:paraId="5047DE1A" w14:textId="10345C1F">
      <w:pPr>
        <w:spacing w:after="0" w:line="240" w:lineRule="auto"/>
        <w:rPr>
          <w:rFonts w:ascii="Times New Roman" w:hAnsi="Times New Roman"/>
          <w:sz w:val="24"/>
          <w:szCs w:val="24"/>
        </w:rPr>
      </w:pPr>
      <w:r w:rsidRPr="008416FE">
        <w:rPr>
          <w:rFonts w:ascii="Times New Roman" w:hAnsi="Times New Roman"/>
          <w:sz w:val="24"/>
          <w:szCs w:val="24"/>
        </w:rPr>
        <w:t>The forms are filed electronically</w:t>
      </w:r>
      <w:r w:rsidRPr="008416FE" w:rsidR="00563359">
        <w:rPr>
          <w:rFonts w:ascii="Times New Roman" w:hAnsi="Times New Roman"/>
          <w:sz w:val="24"/>
          <w:szCs w:val="24"/>
        </w:rPr>
        <w:t xml:space="preserve"> in XBRL </w:t>
      </w:r>
      <w:r w:rsidRPr="008416FE" w:rsidR="005B41CA">
        <w:rPr>
          <w:rFonts w:ascii="Times New Roman" w:hAnsi="Times New Roman"/>
          <w:sz w:val="24"/>
          <w:szCs w:val="24"/>
        </w:rPr>
        <w:t>pursuant to the requirements of Order No.</w:t>
      </w:r>
      <w:r w:rsidRPr="008416FE" w:rsidR="009E1D4D">
        <w:rPr>
          <w:rFonts w:ascii="Times New Roman" w:hAnsi="Times New Roman"/>
          <w:b/>
          <w:bCs/>
          <w:sz w:val="24"/>
          <w:szCs w:val="24"/>
          <w:vertAlign w:val="superscript"/>
        </w:rPr>
        <w:t xml:space="preserve"> </w:t>
      </w:r>
      <w:r w:rsidRPr="008416FE" w:rsidR="005B41CA">
        <w:rPr>
          <w:rFonts w:ascii="Times New Roman" w:hAnsi="Times New Roman"/>
          <w:sz w:val="24"/>
          <w:szCs w:val="24"/>
        </w:rPr>
        <w:t>859</w:t>
      </w:r>
      <w:r w:rsidRPr="008416FE" w:rsidR="00C514A7">
        <w:rPr>
          <w:rFonts w:ascii="Times New Roman" w:hAnsi="Times New Roman"/>
          <w:sz w:val="24"/>
          <w:szCs w:val="24"/>
        </w:rPr>
        <w:t>.</w:t>
      </w:r>
      <w:r>
        <w:rPr>
          <w:rFonts w:ascii="Times New Roman" w:hAnsi="Times New Roman"/>
          <w:b/>
          <w:bCs/>
          <w:sz w:val="24"/>
          <w:szCs w:val="24"/>
          <w:vertAlign w:val="superscript"/>
        </w:rPr>
        <w:footnoteReference w:id="13"/>
      </w:r>
      <w:r w:rsidR="00901657">
        <w:rPr>
          <w:rFonts w:ascii="Times New Roman" w:hAnsi="Times New Roman"/>
          <w:sz w:val="24"/>
          <w:szCs w:val="24"/>
        </w:rPr>
        <w:t xml:space="preserve"> </w:t>
      </w:r>
      <w:r w:rsidRPr="008416FE" w:rsidR="00CC7459">
        <w:rPr>
          <w:rFonts w:ascii="Times New Roman" w:hAnsi="Times New Roman"/>
          <w:sz w:val="24"/>
          <w:szCs w:val="24"/>
        </w:rPr>
        <w:t>O</w:t>
      </w:r>
      <w:r w:rsidRPr="008416FE" w:rsidR="00341A9E">
        <w:rPr>
          <w:rFonts w:ascii="Times New Roman" w:hAnsi="Times New Roman"/>
          <w:sz w:val="24"/>
          <w:szCs w:val="24"/>
        </w:rPr>
        <w:t>rder</w:t>
      </w:r>
      <w:r w:rsidRPr="008416FE" w:rsidR="00CC7459">
        <w:rPr>
          <w:rFonts w:ascii="Times New Roman" w:hAnsi="Times New Roman"/>
          <w:sz w:val="24"/>
          <w:szCs w:val="24"/>
        </w:rPr>
        <w:t xml:space="preserve"> No. 859</w:t>
      </w:r>
      <w:r w:rsidRPr="008416FE" w:rsidR="00123384">
        <w:rPr>
          <w:rFonts w:ascii="Times New Roman" w:hAnsi="Times New Roman"/>
          <w:sz w:val="24"/>
          <w:szCs w:val="24"/>
        </w:rPr>
        <w:t xml:space="preserve"> </w:t>
      </w:r>
      <w:r w:rsidRPr="008416FE" w:rsidR="00E334B8">
        <w:rPr>
          <w:rFonts w:ascii="Times New Roman" w:hAnsi="Times New Roman"/>
          <w:sz w:val="24"/>
          <w:szCs w:val="24"/>
        </w:rPr>
        <w:t xml:space="preserve">updated </w:t>
      </w:r>
      <w:r w:rsidRPr="008416FE" w:rsidR="00CD10E8">
        <w:rPr>
          <w:rFonts w:ascii="Times New Roman" w:hAnsi="Times New Roman"/>
          <w:sz w:val="24"/>
          <w:szCs w:val="24"/>
        </w:rPr>
        <w:t>the</w:t>
      </w:r>
      <w:r w:rsidRPr="008416FE" w:rsidR="00AF35D2">
        <w:rPr>
          <w:rFonts w:ascii="Times New Roman" w:hAnsi="Times New Roman"/>
          <w:sz w:val="24"/>
          <w:szCs w:val="24"/>
        </w:rPr>
        <w:t xml:space="preserve"> filing methodology </w:t>
      </w:r>
      <w:r w:rsidRPr="008416FE" w:rsidR="000F1E18">
        <w:rPr>
          <w:rFonts w:ascii="Times New Roman" w:hAnsi="Times New Roman"/>
          <w:sz w:val="24"/>
          <w:szCs w:val="24"/>
        </w:rPr>
        <w:t xml:space="preserve">for financial forms </w:t>
      </w:r>
      <w:r w:rsidRPr="008416FE" w:rsidR="00341A9E">
        <w:rPr>
          <w:rFonts w:ascii="Times New Roman" w:hAnsi="Times New Roman"/>
          <w:sz w:val="24"/>
          <w:szCs w:val="24"/>
        </w:rPr>
        <w:t>in 2019</w:t>
      </w:r>
      <w:r w:rsidRPr="008416FE" w:rsidR="00E334B8">
        <w:rPr>
          <w:rFonts w:ascii="Times New Roman" w:hAnsi="Times New Roman"/>
          <w:sz w:val="24"/>
          <w:szCs w:val="24"/>
        </w:rPr>
        <w:t xml:space="preserve"> </w:t>
      </w:r>
      <w:r w:rsidRPr="008416FE" w:rsidR="00EC4567">
        <w:rPr>
          <w:rFonts w:ascii="Times New Roman" w:hAnsi="Times New Roman"/>
          <w:sz w:val="24"/>
          <w:szCs w:val="24"/>
        </w:rPr>
        <w:t>to achieve efficiencies and match the financial reporting system used by the SEC.</w:t>
      </w:r>
      <w:r>
        <w:rPr>
          <w:rStyle w:val="FootnoteReference"/>
          <w:rFonts w:ascii="Times New Roman" w:hAnsi="Times New Roman"/>
          <w:sz w:val="24"/>
          <w:szCs w:val="24"/>
          <w:vertAlign w:val="superscript"/>
        </w:rPr>
        <w:footnoteReference w:id="14"/>
      </w:r>
    </w:p>
    <w:p w:rsidR="00457793" w:rsidRPr="008416FE" w:rsidP="00BD0F89" w14:paraId="173187D9" w14:textId="77777777">
      <w:pPr>
        <w:spacing w:after="0" w:line="240" w:lineRule="auto"/>
        <w:ind w:left="360" w:hanging="360"/>
        <w:rPr>
          <w:rFonts w:ascii="Times New Roman" w:hAnsi="Times New Roman"/>
          <w:sz w:val="24"/>
          <w:szCs w:val="24"/>
        </w:rPr>
      </w:pPr>
    </w:p>
    <w:p w:rsidR="00F0627E" w:rsidRPr="008416FE" w:rsidP="00BD0F89" w14:paraId="235E8FE2" w14:textId="77777777">
      <w:pPr>
        <w:pStyle w:val="ListParagraph"/>
        <w:numPr>
          <w:ilvl w:val="0"/>
          <w:numId w:val="14"/>
        </w:numPr>
        <w:spacing w:after="0" w:line="240" w:lineRule="auto"/>
        <w:rPr>
          <w:rFonts w:ascii="Times New Roman" w:hAnsi="Times New Roman"/>
          <w:b/>
          <w:sz w:val="24"/>
          <w:szCs w:val="24"/>
        </w:rPr>
      </w:pPr>
      <w:r w:rsidRPr="008416FE">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F0627E" w:rsidRPr="008416FE" w:rsidP="00BD0F89" w14:paraId="7DC29030" w14:textId="77777777">
      <w:pPr>
        <w:spacing w:after="0" w:line="240" w:lineRule="auto"/>
        <w:ind w:left="360" w:hanging="360"/>
        <w:rPr>
          <w:rFonts w:ascii="Times New Roman" w:hAnsi="Times New Roman"/>
          <w:sz w:val="24"/>
          <w:szCs w:val="24"/>
        </w:rPr>
      </w:pPr>
    </w:p>
    <w:p w:rsidR="00CE2887" w:rsidRPr="008416FE" w14:paraId="0FA05911" w14:textId="1319FFAF">
      <w:pPr>
        <w:spacing w:after="0" w:line="240" w:lineRule="auto"/>
        <w:rPr>
          <w:rFonts w:ascii="Times New Roman" w:eastAsia="Times New Roman" w:hAnsi="Times New Roman"/>
          <w:sz w:val="24"/>
          <w:szCs w:val="24"/>
        </w:rPr>
      </w:pPr>
      <w:r w:rsidRPr="008416FE">
        <w:rPr>
          <w:rFonts w:ascii="Times New Roman" w:eastAsia="Times New Roman" w:hAnsi="Times New Roman"/>
          <w:sz w:val="24"/>
          <w:szCs w:val="24"/>
        </w:rPr>
        <w:t>The Commission</w:t>
      </w:r>
      <w:r w:rsidRPr="008416FE" w:rsidR="004E3562">
        <w:rPr>
          <w:rFonts w:ascii="Times New Roman" w:eastAsia="Times New Roman" w:hAnsi="Times New Roman"/>
          <w:sz w:val="24"/>
          <w:szCs w:val="24"/>
        </w:rPr>
        <w:t>’</w:t>
      </w:r>
      <w:r w:rsidRPr="008416FE">
        <w:rPr>
          <w:rFonts w:ascii="Times New Roman" w:eastAsia="Times New Roman" w:hAnsi="Times New Roman"/>
          <w:sz w:val="24"/>
          <w:szCs w:val="24"/>
        </w:rPr>
        <w:t>s filing and data requirements are periodically reviewed in conjunction with OMB clearance expiration dates.</w:t>
      </w:r>
    </w:p>
    <w:p w:rsidR="0058372E" w:rsidRPr="008416FE" w:rsidP="00CE2887" w14:paraId="2A5B33C6" w14:textId="77777777">
      <w:pPr>
        <w:spacing w:after="0" w:line="240" w:lineRule="auto"/>
        <w:rPr>
          <w:rFonts w:ascii="Times New Roman" w:eastAsia="Times New Roman" w:hAnsi="Times New Roman"/>
          <w:sz w:val="24"/>
          <w:szCs w:val="24"/>
        </w:rPr>
      </w:pPr>
    </w:p>
    <w:p w:rsidR="00CE2887" w:rsidRPr="008416FE" w:rsidP="00CE2887" w14:paraId="41D26EC3" w14:textId="76590243">
      <w:pPr>
        <w:spacing w:after="0" w:line="240" w:lineRule="auto"/>
        <w:rPr>
          <w:rFonts w:ascii="Times New Roman" w:eastAsia="Times New Roman" w:hAnsi="Times New Roman"/>
          <w:sz w:val="24"/>
          <w:szCs w:val="24"/>
        </w:rPr>
      </w:pPr>
      <w:r w:rsidRPr="008416FE">
        <w:rPr>
          <w:rFonts w:ascii="Times New Roman" w:eastAsia="Times New Roman" w:hAnsi="Times New Roman"/>
          <w:b/>
          <w:bCs/>
          <w:sz w:val="24"/>
          <w:szCs w:val="24"/>
        </w:rPr>
        <w:t xml:space="preserve">FERC </w:t>
      </w:r>
      <w:r w:rsidRPr="008416FE">
        <w:rPr>
          <w:rFonts w:ascii="Times New Roman" w:eastAsia="Times New Roman" w:hAnsi="Times New Roman"/>
          <w:b/>
          <w:bCs/>
          <w:sz w:val="24"/>
          <w:szCs w:val="24"/>
        </w:rPr>
        <w:t>Form</w:t>
      </w:r>
      <w:r w:rsidRPr="008416FE">
        <w:rPr>
          <w:rFonts w:ascii="Times New Roman" w:eastAsia="Times New Roman" w:hAnsi="Times New Roman"/>
          <w:b/>
          <w:bCs/>
          <w:sz w:val="24"/>
          <w:szCs w:val="24"/>
        </w:rPr>
        <w:t xml:space="preserve"> No</w:t>
      </w:r>
      <w:r w:rsidRPr="008416FE">
        <w:rPr>
          <w:rFonts w:ascii="Times New Roman" w:eastAsia="Times New Roman" w:hAnsi="Times New Roman"/>
          <w:b/>
          <w:bCs/>
          <w:sz w:val="24"/>
          <w:szCs w:val="24"/>
        </w:rPr>
        <w:t>s</w:t>
      </w:r>
      <w:r w:rsidRPr="008416FE">
        <w:rPr>
          <w:rFonts w:ascii="Times New Roman" w:eastAsia="Times New Roman" w:hAnsi="Times New Roman"/>
          <w:b/>
          <w:bCs/>
          <w:sz w:val="24"/>
          <w:szCs w:val="24"/>
        </w:rPr>
        <w:t>.</w:t>
      </w:r>
      <w:r w:rsidRPr="008416FE">
        <w:rPr>
          <w:rFonts w:ascii="Times New Roman" w:eastAsia="Times New Roman" w:hAnsi="Times New Roman"/>
          <w:b/>
          <w:bCs/>
          <w:sz w:val="24"/>
          <w:szCs w:val="24"/>
        </w:rPr>
        <w:t xml:space="preserve"> 1, 1-F, and 3-Q.</w:t>
      </w:r>
      <w:r w:rsidR="00901657">
        <w:rPr>
          <w:rFonts w:ascii="Times New Roman" w:eastAsia="Times New Roman" w:hAnsi="Times New Roman"/>
          <w:b/>
          <w:bCs/>
          <w:sz w:val="24"/>
          <w:szCs w:val="24"/>
        </w:rPr>
        <w:t xml:space="preserve"> </w:t>
      </w:r>
      <w:r w:rsidRPr="008416FE">
        <w:rPr>
          <w:rFonts w:ascii="Times New Roman" w:eastAsia="Times New Roman" w:hAnsi="Times New Roman"/>
          <w:sz w:val="24"/>
          <w:szCs w:val="24"/>
        </w:rPr>
        <w:t xml:space="preserve">While some jurisdictional entities may file similar </w:t>
      </w:r>
      <w:r w:rsidRPr="008416FE" w:rsidR="007A6E93">
        <w:rPr>
          <w:rFonts w:ascii="Times New Roman" w:eastAsia="Times New Roman" w:hAnsi="Times New Roman"/>
          <w:sz w:val="24"/>
          <w:szCs w:val="24"/>
        </w:rPr>
        <w:t xml:space="preserve">financial </w:t>
      </w:r>
      <w:r w:rsidRPr="008416FE">
        <w:rPr>
          <w:rFonts w:ascii="Times New Roman" w:eastAsia="Times New Roman" w:hAnsi="Times New Roman"/>
          <w:sz w:val="24"/>
          <w:szCs w:val="24"/>
        </w:rPr>
        <w:t xml:space="preserve">information with the Securities and Exchange Commission (SEC), the </w:t>
      </w:r>
      <w:r w:rsidRPr="008416FE" w:rsidR="00C05F2D">
        <w:rPr>
          <w:rFonts w:ascii="Times New Roman" w:eastAsia="Times New Roman" w:hAnsi="Times New Roman"/>
          <w:sz w:val="24"/>
          <w:szCs w:val="24"/>
        </w:rPr>
        <w:t xml:space="preserve">Commission’s </w:t>
      </w:r>
      <w:r w:rsidRPr="008416FE" w:rsidR="00964E1C">
        <w:rPr>
          <w:rFonts w:ascii="Times New Roman" w:eastAsia="Times New Roman" w:hAnsi="Times New Roman"/>
          <w:sz w:val="24"/>
          <w:szCs w:val="24"/>
        </w:rPr>
        <w:t xml:space="preserve">reporting requirements contain a much greater </w:t>
      </w:r>
      <w:r w:rsidRPr="008416FE">
        <w:rPr>
          <w:rFonts w:ascii="Times New Roman" w:eastAsia="Times New Roman" w:hAnsi="Times New Roman"/>
          <w:sz w:val="24"/>
          <w:szCs w:val="24"/>
        </w:rPr>
        <w:t>level of detail concerning assets, liabilities, stockholders</w:t>
      </w:r>
      <w:r w:rsidRPr="008416FE" w:rsidR="00EF5D49">
        <w:rPr>
          <w:rFonts w:ascii="Times New Roman" w:eastAsia="Times New Roman" w:hAnsi="Times New Roman"/>
          <w:sz w:val="24"/>
          <w:szCs w:val="24"/>
        </w:rPr>
        <w:t>’</w:t>
      </w:r>
      <w:r w:rsidRPr="008416FE">
        <w:rPr>
          <w:rFonts w:ascii="Times New Roman" w:eastAsia="Times New Roman" w:hAnsi="Times New Roman"/>
          <w:sz w:val="24"/>
          <w:szCs w:val="24"/>
        </w:rPr>
        <w:t xml:space="preserve"> equity</w:t>
      </w:r>
      <w:r w:rsidRPr="008416FE" w:rsidR="000E2CA4">
        <w:rPr>
          <w:rFonts w:ascii="Times New Roman" w:eastAsia="Times New Roman" w:hAnsi="Times New Roman"/>
          <w:sz w:val="24"/>
          <w:szCs w:val="24"/>
        </w:rPr>
        <w:t>,</w:t>
      </w:r>
      <w:r w:rsidRPr="008416FE">
        <w:rPr>
          <w:rFonts w:ascii="Times New Roman" w:eastAsia="Times New Roman" w:hAnsi="Times New Roman"/>
          <w:sz w:val="24"/>
          <w:szCs w:val="24"/>
        </w:rPr>
        <w:t xml:space="preserve"> along with the revenues, expenses, gains, and losses </w:t>
      </w:r>
      <w:r w:rsidRPr="008416FE" w:rsidR="00964E1C">
        <w:rPr>
          <w:rFonts w:ascii="Times New Roman" w:eastAsia="Times New Roman" w:hAnsi="Times New Roman"/>
          <w:sz w:val="24"/>
          <w:szCs w:val="24"/>
        </w:rPr>
        <w:t xml:space="preserve">as compared to </w:t>
      </w:r>
      <w:r w:rsidRPr="008416FE">
        <w:rPr>
          <w:rFonts w:ascii="Times New Roman" w:eastAsia="Times New Roman" w:hAnsi="Times New Roman"/>
          <w:sz w:val="24"/>
          <w:szCs w:val="24"/>
        </w:rPr>
        <w:t>SEC</w:t>
      </w:r>
      <w:r w:rsidRPr="008416FE" w:rsidR="00964E1C">
        <w:rPr>
          <w:rFonts w:ascii="Times New Roman" w:eastAsia="Times New Roman" w:hAnsi="Times New Roman"/>
          <w:sz w:val="24"/>
          <w:szCs w:val="24"/>
        </w:rPr>
        <w:t xml:space="preserve"> reporting</w:t>
      </w:r>
      <w:r w:rsidRPr="008416FE">
        <w:rPr>
          <w:rFonts w:ascii="Times New Roman" w:eastAsia="Times New Roman" w:hAnsi="Times New Roman"/>
          <w:sz w:val="24"/>
          <w:szCs w:val="24"/>
        </w:rPr>
        <w:t>.</w:t>
      </w:r>
      <w:r w:rsidR="00901657">
        <w:rPr>
          <w:rFonts w:ascii="Times New Roman" w:eastAsia="Times New Roman" w:hAnsi="Times New Roman"/>
          <w:sz w:val="24"/>
          <w:szCs w:val="24"/>
        </w:rPr>
        <w:t xml:space="preserve"> </w:t>
      </w:r>
      <w:r w:rsidRPr="008416FE">
        <w:rPr>
          <w:rFonts w:ascii="Times New Roman" w:eastAsia="Times New Roman" w:hAnsi="Times New Roman"/>
          <w:sz w:val="24"/>
          <w:szCs w:val="24"/>
        </w:rPr>
        <w:t xml:space="preserve">The financial statements filed with the SEC are </w:t>
      </w:r>
      <w:r w:rsidRPr="008416FE" w:rsidR="003A7C04">
        <w:rPr>
          <w:rFonts w:ascii="Times New Roman" w:eastAsia="Times New Roman" w:hAnsi="Times New Roman"/>
          <w:sz w:val="24"/>
          <w:szCs w:val="24"/>
        </w:rPr>
        <w:t xml:space="preserve">provided </w:t>
      </w:r>
      <w:r w:rsidRPr="008416FE">
        <w:rPr>
          <w:rFonts w:ascii="Times New Roman" w:eastAsia="Times New Roman" w:hAnsi="Times New Roman"/>
          <w:sz w:val="24"/>
          <w:szCs w:val="24"/>
        </w:rPr>
        <w:t>on a consolidated, or parent company basis.</w:t>
      </w:r>
      <w:r w:rsidR="00901657">
        <w:rPr>
          <w:rFonts w:ascii="Times New Roman" w:eastAsia="Times New Roman" w:hAnsi="Times New Roman"/>
          <w:sz w:val="24"/>
          <w:szCs w:val="24"/>
        </w:rPr>
        <w:t xml:space="preserve"> </w:t>
      </w:r>
      <w:r w:rsidRPr="008416FE" w:rsidR="00D51218">
        <w:rPr>
          <w:rFonts w:ascii="Times New Roman" w:eastAsia="Times New Roman" w:hAnsi="Times New Roman"/>
          <w:sz w:val="24"/>
          <w:szCs w:val="24"/>
        </w:rPr>
        <w:t>A</w:t>
      </w:r>
      <w:r w:rsidRPr="008416FE">
        <w:rPr>
          <w:rFonts w:ascii="Times New Roman" w:eastAsia="Times New Roman" w:hAnsi="Times New Roman"/>
          <w:sz w:val="24"/>
          <w:szCs w:val="24"/>
        </w:rPr>
        <w:t xml:space="preserve"> majority of</w:t>
      </w:r>
      <w:r w:rsidRPr="008416FE">
        <w:rPr>
          <w:rFonts w:ascii="Times New Roman" w:eastAsia="Times New Roman" w:hAnsi="Times New Roman"/>
          <w:sz w:val="24"/>
          <w:szCs w:val="24"/>
        </w:rPr>
        <w:t xml:space="preserve"> the jurisdictional entities that </w:t>
      </w:r>
      <w:r w:rsidRPr="008416FE" w:rsidR="00D51218">
        <w:rPr>
          <w:rFonts w:ascii="Times New Roman" w:eastAsia="Times New Roman" w:hAnsi="Times New Roman"/>
          <w:sz w:val="24"/>
          <w:szCs w:val="24"/>
        </w:rPr>
        <w:t xml:space="preserve">FERC </w:t>
      </w:r>
      <w:r w:rsidRPr="008416FE">
        <w:rPr>
          <w:rFonts w:ascii="Times New Roman" w:eastAsia="Times New Roman" w:hAnsi="Times New Roman"/>
          <w:sz w:val="24"/>
          <w:szCs w:val="24"/>
        </w:rPr>
        <w:t>regulates file financial information with the SEC that consolidates their assets, liabilities</w:t>
      </w:r>
      <w:r w:rsidRPr="008416FE" w:rsidR="000E2CA4">
        <w:rPr>
          <w:rFonts w:ascii="Times New Roman" w:eastAsia="Times New Roman" w:hAnsi="Times New Roman"/>
          <w:sz w:val="24"/>
          <w:szCs w:val="24"/>
        </w:rPr>
        <w:t>,</w:t>
      </w:r>
      <w:r w:rsidRPr="008416FE">
        <w:rPr>
          <w:rFonts w:ascii="Times New Roman" w:eastAsia="Times New Roman" w:hAnsi="Times New Roman"/>
          <w:sz w:val="24"/>
          <w:szCs w:val="24"/>
        </w:rPr>
        <w:t xml:space="preserve"> and profits with their parent company, or combine</w:t>
      </w:r>
      <w:r w:rsidRPr="008416FE" w:rsidR="00EE24A8">
        <w:rPr>
          <w:rFonts w:ascii="Times New Roman" w:eastAsia="Times New Roman" w:hAnsi="Times New Roman"/>
          <w:sz w:val="24"/>
          <w:szCs w:val="24"/>
        </w:rPr>
        <w:t>s</w:t>
      </w:r>
      <w:r w:rsidRPr="008416FE">
        <w:rPr>
          <w:rFonts w:ascii="Times New Roman" w:eastAsia="Times New Roman" w:hAnsi="Times New Roman"/>
          <w:sz w:val="24"/>
          <w:szCs w:val="24"/>
        </w:rPr>
        <w:t xml:space="preserve"> the regulated and unregulated operations in the reports to the SEC.</w:t>
      </w:r>
      <w:r w:rsidR="00901657">
        <w:rPr>
          <w:rFonts w:ascii="Times New Roman" w:eastAsia="Times New Roman" w:hAnsi="Times New Roman"/>
          <w:sz w:val="24"/>
          <w:szCs w:val="24"/>
        </w:rPr>
        <w:t xml:space="preserve"> </w:t>
      </w:r>
      <w:r w:rsidRPr="008416FE">
        <w:rPr>
          <w:rFonts w:ascii="Times New Roman" w:eastAsia="Times New Roman" w:hAnsi="Times New Roman"/>
          <w:sz w:val="24"/>
          <w:szCs w:val="24"/>
        </w:rPr>
        <w:t xml:space="preserve">While consolidation is appropriate for SEC reporting, the Commission requires more detailed information concerning the results of operations, and the financial position of each jurisdictional entity </w:t>
      </w:r>
      <w:r w:rsidRPr="008416FE">
        <w:rPr>
          <w:rFonts w:ascii="Times New Roman" w:eastAsia="Times New Roman" w:hAnsi="Times New Roman"/>
          <w:sz w:val="24"/>
          <w:szCs w:val="24"/>
        </w:rPr>
        <w:t>in order to</w:t>
      </w:r>
      <w:r w:rsidRPr="008416FE">
        <w:rPr>
          <w:rFonts w:ascii="Times New Roman" w:eastAsia="Times New Roman" w:hAnsi="Times New Roman"/>
          <w:sz w:val="24"/>
          <w:szCs w:val="24"/>
        </w:rPr>
        <w:t xml:space="preserve"> meet </w:t>
      </w:r>
      <w:r w:rsidRPr="008416FE" w:rsidR="00661C34">
        <w:rPr>
          <w:rFonts w:ascii="Times New Roman" w:eastAsia="Times New Roman" w:hAnsi="Times New Roman"/>
          <w:sz w:val="24"/>
          <w:szCs w:val="24"/>
        </w:rPr>
        <w:t>the Commission’s</w:t>
      </w:r>
      <w:r w:rsidRPr="008416FE">
        <w:rPr>
          <w:rFonts w:ascii="Times New Roman" w:eastAsia="Times New Roman" w:hAnsi="Times New Roman"/>
          <w:sz w:val="24"/>
          <w:szCs w:val="24"/>
        </w:rPr>
        <w:t xml:space="preserve"> regulatory needs.</w:t>
      </w:r>
      <w:r w:rsidR="00901657">
        <w:rPr>
          <w:rFonts w:ascii="Times New Roman" w:eastAsia="Times New Roman" w:hAnsi="Times New Roman"/>
          <w:sz w:val="24"/>
          <w:szCs w:val="24"/>
        </w:rPr>
        <w:t xml:space="preserve"> </w:t>
      </w:r>
      <w:r w:rsidRPr="008416FE" w:rsidR="009704BE">
        <w:rPr>
          <w:rFonts w:ascii="Times New Roman" w:eastAsia="Times New Roman" w:hAnsi="Times New Roman"/>
          <w:sz w:val="24"/>
          <w:szCs w:val="24"/>
        </w:rPr>
        <w:t>Pursuant to the FPA, the Commission regulates the rates, terms</w:t>
      </w:r>
      <w:r w:rsidRPr="008416FE" w:rsidR="00A14D0A">
        <w:rPr>
          <w:rFonts w:ascii="Times New Roman" w:eastAsia="Times New Roman" w:hAnsi="Times New Roman"/>
          <w:sz w:val="24"/>
          <w:szCs w:val="24"/>
        </w:rPr>
        <w:t>,</w:t>
      </w:r>
      <w:r w:rsidRPr="008416FE" w:rsidR="009704BE">
        <w:rPr>
          <w:rFonts w:ascii="Times New Roman" w:eastAsia="Times New Roman" w:hAnsi="Times New Roman"/>
          <w:sz w:val="24"/>
          <w:szCs w:val="24"/>
        </w:rPr>
        <w:t xml:space="preserve"> and conditions of each jurisdictional entity.</w:t>
      </w:r>
      <w:r w:rsidR="00901657">
        <w:rPr>
          <w:rFonts w:ascii="Times New Roman" w:eastAsia="Times New Roman" w:hAnsi="Times New Roman"/>
          <w:sz w:val="24"/>
          <w:szCs w:val="24"/>
        </w:rPr>
        <w:t xml:space="preserve"> </w:t>
      </w:r>
      <w:r w:rsidRPr="008416FE" w:rsidR="009704BE">
        <w:rPr>
          <w:rFonts w:ascii="Times New Roman" w:eastAsia="Times New Roman" w:hAnsi="Times New Roman"/>
          <w:sz w:val="24"/>
          <w:szCs w:val="24"/>
        </w:rPr>
        <w:t>Accordingly, entity-specific financial and operational information is required as it provides detailed components of an entity’s approved rate on file with FERC.</w:t>
      </w:r>
      <w:r w:rsidR="00901657">
        <w:rPr>
          <w:rFonts w:ascii="Times New Roman" w:eastAsia="Times New Roman" w:hAnsi="Times New Roman"/>
          <w:sz w:val="24"/>
          <w:szCs w:val="24"/>
        </w:rPr>
        <w:t xml:space="preserve"> </w:t>
      </w:r>
      <w:r w:rsidRPr="008416FE" w:rsidR="009704BE">
        <w:rPr>
          <w:rFonts w:ascii="Times New Roman" w:eastAsia="Times New Roman" w:hAnsi="Times New Roman"/>
          <w:sz w:val="24"/>
          <w:szCs w:val="24"/>
        </w:rPr>
        <w:t>For this reason,</w:t>
      </w:r>
      <w:r w:rsidRPr="008416FE">
        <w:rPr>
          <w:rFonts w:ascii="Times New Roman" w:eastAsia="Times New Roman" w:hAnsi="Times New Roman"/>
          <w:sz w:val="24"/>
          <w:szCs w:val="24"/>
        </w:rPr>
        <w:t xml:space="preserve"> the Commission require</w:t>
      </w:r>
      <w:r w:rsidRPr="008416FE" w:rsidR="009704BE">
        <w:rPr>
          <w:rFonts w:ascii="Times New Roman" w:eastAsia="Times New Roman" w:hAnsi="Times New Roman"/>
          <w:sz w:val="24"/>
          <w:szCs w:val="24"/>
        </w:rPr>
        <w:t>s</w:t>
      </w:r>
      <w:r w:rsidRPr="008416FE">
        <w:rPr>
          <w:rFonts w:ascii="Times New Roman" w:eastAsia="Times New Roman" w:hAnsi="Times New Roman"/>
          <w:sz w:val="24"/>
          <w:szCs w:val="24"/>
        </w:rPr>
        <w:t xml:space="preserve"> jurisdictional entities to file financial information on a jurisdictional entity level basis using a uniform system of accounts.</w:t>
      </w:r>
      <w:r w:rsidR="00901657">
        <w:rPr>
          <w:rFonts w:ascii="Times New Roman" w:eastAsia="Times New Roman" w:hAnsi="Times New Roman"/>
          <w:sz w:val="24"/>
          <w:szCs w:val="24"/>
        </w:rPr>
        <w:t xml:space="preserve"> </w:t>
      </w:r>
      <w:r w:rsidRPr="008416FE" w:rsidR="00187445">
        <w:rPr>
          <w:rFonts w:ascii="Times New Roman" w:eastAsia="Times New Roman" w:hAnsi="Times New Roman"/>
          <w:sz w:val="24"/>
          <w:szCs w:val="24"/>
        </w:rPr>
        <w:t>Additionally, FERC regulates several private companies, cooperatives, and governmental entities at various levels that are not required to file financial statements with the SEC.</w:t>
      </w:r>
    </w:p>
    <w:p w:rsidR="00494814" w:rsidRPr="008416FE" w:rsidP="00BD0F89" w14:paraId="2C904CCD" w14:textId="17255E53">
      <w:pPr>
        <w:spacing w:after="0" w:line="240" w:lineRule="auto"/>
        <w:rPr>
          <w:rFonts w:ascii="Times New Roman" w:hAnsi="Times New Roman"/>
          <w:sz w:val="24"/>
          <w:szCs w:val="24"/>
        </w:rPr>
      </w:pPr>
    </w:p>
    <w:p w:rsidR="00F0627E" w:rsidRPr="008416FE" w:rsidP="00BD0F89" w14:paraId="1043320F" w14:textId="77777777">
      <w:pPr>
        <w:pStyle w:val="ListParagraph"/>
        <w:numPr>
          <w:ilvl w:val="0"/>
          <w:numId w:val="14"/>
        </w:numPr>
        <w:spacing w:after="0" w:line="240" w:lineRule="auto"/>
        <w:rPr>
          <w:rFonts w:ascii="Times New Roman" w:hAnsi="Times New Roman"/>
          <w:b/>
          <w:sz w:val="24"/>
          <w:szCs w:val="24"/>
        </w:rPr>
      </w:pPr>
      <w:r w:rsidRPr="008416FE">
        <w:rPr>
          <w:rFonts w:ascii="Times New Roman" w:hAnsi="Times New Roman"/>
          <w:b/>
          <w:sz w:val="24"/>
          <w:szCs w:val="24"/>
        </w:rPr>
        <w:t>METHODS USED TO MINIMIZE THE BURDEN IN COLLECTION OF INFORMATION INVOLVING SMALL ENTITIES</w:t>
      </w:r>
    </w:p>
    <w:p w:rsidR="00F0627E" w:rsidRPr="008416FE" w:rsidP="00BD0F89" w14:paraId="7CE41F3F" w14:textId="77777777">
      <w:pPr>
        <w:spacing w:after="0" w:line="240" w:lineRule="auto"/>
        <w:rPr>
          <w:rFonts w:ascii="Times New Roman" w:hAnsi="Times New Roman"/>
          <w:sz w:val="24"/>
          <w:szCs w:val="24"/>
        </w:rPr>
      </w:pPr>
    </w:p>
    <w:p w:rsidR="007D436E" w:rsidRPr="008416FE" w14:paraId="568F9DC2" w14:textId="7FD42C36">
      <w:pPr>
        <w:spacing w:after="0" w:line="240" w:lineRule="auto"/>
        <w:rPr>
          <w:rFonts w:ascii="Times New Roman" w:eastAsia="Times New Roman" w:hAnsi="Times New Roman"/>
          <w:sz w:val="24"/>
          <w:szCs w:val="24"/>
        </w:rPr>
      </w:pPr>
      <w:r w:rsidRPr="008416FE">
        <w:rPr>
          <w:rFonts w:ascii="Times New Roman" w:eastAsia="Times New Roman" w:hAnsi="Times New Roman"/>
          <w:b/>
          <w:sz w:val="24"/>
          <w:szCs w:val="24"/>
        </w:rPr>
        <w:t xml:space="preserve">FERC </w:t>
      </w:r>
      <w:r w:rsidRPr="008416FE">
        <w:rPr>
          <w:rFonts w:ascii="Times New Roman" w:eastAsia="Times New Roman" w:hAnsi="Times New Roman"/>
          <w:b/>
          <w:sz w:val="24"/>
          <w:szCs w:val="24"/>
        </w:rPr>
        <w:t>Form</w:t>
      </w:r>
      <w:r w:rsidRPr="008416FE">
        <w:rPr>
          <w:rFonts w:ascii="Times New Roman" w:eastAsia="Times New Roman" w:hAnsi="Times New Roman"/>
          <w:b/>
          <w:sz w:val="24"/>
          <w:szCs w:val="24"/>
        </w:rPr>
        <w:t xml:space="preserve"> No</w:t>
      </w:r>
      <w:r w:rsidRPr="008416FE">
        <w:rPr>
          <w:rFonts w:ascii="Times New Roman" w:eastAsia="Times New Roman" w:hAnsi="Times New Roman"/>
          <w:b/>
          <w:sz w:val="24"/>
          <w:szCs w:val="24"/>
        </w:rPr>
        <w:t>s</w:t>
      </w:r>
      <w:r w:rsidRPr="008416FE">
        <w:rPr>
          <w:rFonts w:ascii="Times New Roman" w:eastAsia="Times New Roman" w:hAnsi="Times New Roman"/>
          <w:b/>
          <w:sz w:val="24"/>
          <w:szCs w:val="24"/>
        </w:rPr>
        <w:t>.</w:t>
      </w:r>
      <w:r w:rsidRPr="008416FE">
        <w:rPr>
          <w:rFonts w:ascii="Times New Roman" w:eastAsia="Times New Roman" w:hAnsi="Times New Roman"/>
          <w:b/>
          <w:sz w:val="24"/>
          <w:szCs w:val="24"/>
        </w:rPr>
        <w:t xml:space="preserve"> 1, 1-F, </w:t>
      </w:r>
      <w:r w:rsidRPr="008416FE" w:rsidR="00584669">
        <w:rPr>
          <w:rFonts w:ascii="Times New Roman" w:eastAsia="Times New Roman" w:hAnsi="Times New Roman"/>
          <w:b/>
          <w:sz w:val="24"/>
          <w:szCs w:val="24"/>
        </w:rPr>
        <w:t xml:space="preserve">and </w:t>
      </w:r>
      <w:r w:rsidRPr="008416FE">
        <w:rPr>
          <w:rFonts w:ascii="Times New Roman" w:eastAsia="Times New Roman" w:hAnsi="Times New Roman"/>
          <w:b/>
          <w:sz w:val="24"/>
          <w:szCs w:val="24"/>
        </w:rPr>
        <w:t>3-Q.</w:t>
      </w:r>
      <w:r w:rsidR="00901657">
        <w:rPr>
          <w:rFonts w:ascii="Times New Roman" w:eastAsia="Times New Roman" w:hAnsi="Times New Roman"/>
          <w:sz w:val="24"/>
          <w:szCs w:val="24"/>
        </w:rPr>
        <w:t xml:space="preserve"> </w:t>
      </w:r>
      <w:r w:rsidRPr="008416FE" w:rsidR="00C42E58">
        <w:rPr>
          <w:rFonts w:ascii="Times New Roman" w:eastAsia="Times New Roman" w:hAnsi="Times New Roman"/>
          <w:sz w:val="24"/>
          <w:szCs w:val="24"/>
        </w:rPr>
        <w:t>As noted previously, FERC</w:t>
      </w:r>
      <w:r w:rsidRPr="008416FE">
        <w:rPr>
          <w:rFonts w:ascii="Times New Roman" w:eastAsia="Times New Roman" w:hAnsi="Times New Roman"/>
          <w:sz w:val="24"/>
          <w:szCs w:val="24"/>
        </w:rPr>
        <w:t xml:space="preserve"> Form </w:t>
      </w:r>
      <w:r w:rsidRPr="008416FE" w:rsidR="00456A2B">
        <w:rPr>
          <w:rFonts w:ascii="Times New Roman" w:eastAsia="Times New Roman" w:hAnsi="Times New Roman"/>
          <w:sz w:val="24"/>
          <w:szCs w:val="24"/>
        </w:rPr>
        <w:t xml:space="preserve">No. </w:t>
      </w:r>
      <w:r w:rsidRPr="008416FE">
        <w:rPr>
          <w:rFonts w:ascii="Times New Roman" w:eastAsia="Times New Roman" w:hAnsi="Times New Roman"/>
          <w:sz w:val="24"/>
          <w:szCs w:val="24"/>
        </w:rPr>
        <w:t>1 is filed by major utilities or licensees and as such does no</w:t>
      </w:r>
      <w:r w:rsidRPr="008416FE" w:rsidR="00C42E58">
        <w:rPr>
          <w:rFonts w:ascii="Times New Roman" w:eastAsia="Times New Roman" w:hAnsi="Times New Roman"/>
          <w:sz w:val="24"/>
          <w:szCs w:val="24"/>
        </w:rPr>
        <w:t>t apply to small entities.</w:t>
      </w:r>
      <w:r w:rsidR="00901657">
        <w:rPr>
          <w:rFonts w:ascii="Times New Roman" w:eastAsia="Times New Roman" w:hAnsi="Times New Roman"/>
          <w:sz w:val="24"/>
          <w:szCs w:val="24"/>
        </w:rPr>
        <w:t xml:space="preserve"> </w:t>
      </w:r>
      <w:r w:rsidRPr="008416FE" w:rsidR="00C42E58">
        <w:rPr>
          <w:rFonts w:ascii="Times New Roman" w:eastAsia="Times New Roman" w:hAnsi="Times New Roman"/>
          <w:sz w:val="24"/>
          <w:szCs w:val="24"/>
        </w:rPr>
        <w:t xml:space="preserve">FERC </w:t>
      </w:r>
      <w:r w:rsidRPr="008416FE">
        <w:rPr>
          <w:rFonts w:ascii="Times New Roman" w:eastAsia="Times New Roman" w:hAnsi="Times New Roman"/>
          <w:sz w:val="24"/>
          <w:szCs w:val="24"/>
        </w:rPr>
        <w:t xml:space="preserve">Form </w:t>
      </w:r>
      <w:r w:rsidRPr="008416FE" w:rsidR="00456A2B">
        <w:rPr>
          <w:rFonts w:ascii="Times New Roman" w:eastAsia="Times New Roman" w:hAnsi="Times New Roman"/>
          <w:sz w:val="24"/>
          <w:szCs w:val="24"/>
        </w:rPr>
        <w:t xml:space="preserve">No. </w:t>
      </w:r>
      <w:r w:rsidRPr="008416FE">
        <w:rPr>
          <w:rFonts w:ascii="Times New Roman" w:eastAsia="Times New Roman" w:hAnsi="Times New Roman"/>
          <w:sz w:val="24"/>
          <w:szCs w:val="24"/>
        </w:rPr>
        <w:t xml:space="preserve">1-F is </w:t>
      </w:r>
      <w:r w:rsidRPr="008416FE" w:rsidR="002959BA">
        <w:rPr>
          <w:rFonts w:ascii="Times New Roman" w:eastAsia="Times New Roman" w:hAnsi="Times New Roman"/>
          <w:sz w:val="24"/>
          <w:szCs w:val="24"/>
        </w:rPr>
        <w:t xml:space="preserve">only </w:t>
      </w:r>
      <w:r w:rsidRPr="008416FE">
        <w:rPr>
          <w:rFonts w:ascii="Times New Roman" w:eastAsia="Times New Roman" w:hAnsi="Times New Roman"/>
          <w:sz w:val="24"/>
          <w:szCs w:val="24"/>
        </w:rPr>
        <w:t xml:space="preserve">filed by </w:t>
      </w:r>
      <w:r w:rsidRPr="008416FE" w:rsidR="00FF53AC">
        <w:rPr>
          <w:rFonts w:ascii="Times New Roman" w:eastAsia="Times New Roman" w:hAnsi="Times New Roman"/>
          <w:sz w:val="24"/>
          <w:szCs w:val="24"/>
        </w:rPr>
        <w:t xml:space="preserve">nonmajor </w:t>
      </w:r>
      <w:r w:rsidRPr="008416FE">
        <w:rPr>
          <w:rFonts w:ascii="Times New Roman" w:eastAsia="Times New Roman" w:hAnsi="Times New Roman"/>
          <w:sz w:val="24"/>
          <w:szCs w:val="24"/>
        </w:rPr>
        <w:t xml:space="preserve">public utilities with total sales of 10,000 megawatt-hours or </w:t>
      </w:r>
      <w:r w:rsidRPr="008416FE" w:rsidR="007020B0">
        <w:rPr>
          <w:rFonts w:ascii="Times New Roman" w:eastAsia="Times New Roman" w:hAnsi="Times New Roman"/>
          <w:sz w:val="24"/>
          <w:szCs w:val="24"/>
        </w:rPr>
        <w:t>more</w:t>
      </w:r>
      <w:r w:rsidRPr="008416FE">
        <w:rPr>
          <w:rFonts w:ascii="Times New Roman" w:eastAsia="Times New Roman" w:hAnsi="Times New Roman"/>
          <w:sz w:val="24"/>
          <w:szCs w:val="24"/>
        </w:rPr>
        <w:t>.</w:t>
      </w:r>
      <w:r w:rsidR="00901657">
        <w:rPr>
          <w:rFonts w:ascii="Times New Roman" w:eastAsia="Times New Roman" w:hAnsi="Times New Roman"/>
          <w:sz w:val="24"/>
          <w:szCs w:val="24"/>
        </w:rPr>
        <w:t xml:space="preserve"> </w:t>
      </w:r>
      <w:r w:rsidRPr="008416FE" w:rsidR="00856605">
        <w:rPr>
          <w:rFonts w:ascii="Times New Roman" w:eastAsia="Times New Roman" w:hAnsi="Times New Roman"/>
          <w:sz w:val="24"/>
          <w:szCs w:val="24"/>
        </w:rPr>
        <w:t xml:space="preserve">FERC </w:t>
      </w:r>
      <w:r w:rsidRPr="008416FE">
        <w:rPr>
          <w:rFonts w:ascii="Times New Roman" w:eastAsia="Times New Roman" w:hAnsi="Times New Roman"/>
          <w:sz w:val="24"/>
          <w:szCs w:val="24"/>
        </w:rPr>
        <w:t xml:space="preserve">Form </w:t>
      </w:r>
      <w:r w:rsidRPr="008416FE" w:rsidR="00456A2B">
        <w:rPr>
          <w:rFonts w:ascii="Times New Roman" w:eastAsia="Times New Roman" w:hAnsi="Times New Roman"/>
          <w:sz w:val="24"/>
          <w:szCs w:val="24"/>
        </w:rPr>
        <w:t xml:space="preserve">No. </w:t>
      </w:r>
      <w:r w:rsidRPr="008416FE">
        <w:rPr>
          <w:rFonts w:ascii="Times New Roman" w:eastAsia="Times New Roman" w:hAnsi="Times New Roman"/>
          <w:sz w:val="24"/>
          <w:szCs w:val="24"/>
        </w:rPr>
        <w:t xml:space="preserve">3-Q is filed only by electric or </w:t>
      </w:r>
      <w:r w:rsidRPr="008416FE" w:rsidR="00AE4F6F">
        <w:rPr>
          <w:rFonts w:ascii="Times New Roman" w:eastAsia="Times New Roman" w:hAnsi="Times New Roman"/>
          <w:sz w:val="24"/>
          <w:szCs w:val="24"/>
        </w:rPr>
        <w:t xml:space="preserve">natural </w:t>
      </w:r>
      <w:r w:rsidRPr="008416FE">
        <w:rPr>
          <w:rFonts w:ascii="Times New Roman" w:eastAsia="Times New Roman" w:hAnsi="Times New Roman"/>
          <w:sz w:val="24"/>
          <w:szCs w:val="24"/>
        </w:rPr>
        <w:t xml:space="preserve">gas companies that file Forms </w:t>
      </w:r>
      <w:r w:rsidRPr="008416FE" w:rsidR="00456A2B">
        <w:rPr>
          <w:rFonts w:ascii="Times New Roman" w:eastAsia="Times New Roman" w:hAnsi="Times New Roman"/>
          <w:sz w:val="24"/>
          <w:szCs w:val="24"/>
        </w:rPr>
        <w:t xml:space="preserve">Nos. </w:t>
      </w:r>
      <w:r w:rsidRPr="008416FE">
        <w:rPr>
          <w:rFonts w:ascii="Times New Roman" w:eastAsia="Times New Roman" w:hAnsi="Times New Roman"/>
          <w:sz w:val="24"/>
          <w:szCs w:val="24"/>
        </w:rPr>
        <w:t>1, 1-F, 2, or 2-A</w:t>
      </w:r>
      <w:r w:rsidRPr="008416FE" w:rsidR="00444280">
        <w:rPr>
          <w:rFonts w:ascii="Times New Roman" w:eastAsia="Times New Roman" w:hAnsi="Times New Roman"/>
          <w:sz w:val="24"/>
          <w:szCs w:val="24"/>
        </w:rPr>
        <w:t xml:space="preserve">, </w:t>
      </w:r>
      <w:r w:rsidRPr="008416FE">
        <w:rPr>
          <w:rFonts w:ascii="Times New Roman" w:eastAsia="Times New Roman" w:hAnsi="Times New Roman"/>
          <w:sz w:val="24"/>
          <w:szCs w:val="24"/>
        </w:rPr>
        <w:t>and therefore excludes companies that do not qualify as Major or Nonmajor.</w:t>
      </w:r>
      <w:r w:rsidR="00901657">
        <w:rPr>
          <w:rFonts w:ascii="Times New Roman" w:eastAsia="Times New Roman" w:hAnsi="Times New Roman"/>
          <w:sz w:val="24"/>
          <w:szCs w:val="24"/>
        </w:rPr>
        <w:t xml:space="preserve"> </w:t>
      </w:r>
      <w:r w:rsidRPr="008416FE">
        <w:rPr>
          <w:rFonts w:ascii="Times New Roman" w:eastAsia="Times New Roman" w:hAnsi="Times New Roman"/>
          <w:sz w:val="24"/>
          <w:szCs w:val="24"/>
        </w:rPr>
        <w:t>If the reporting requirements represent an undue burden on small businesses, the affected entity may seek a waiver of the disclosure requirements from the Commission.</w:t>
      </w:r>
      <w:r>
        <w:rPr>
          <w:rStyle w:val="FootnoteReference"/>
          <w:rFonts w:ascii="Times New Roman" w:eastAsia="Times New Roman" w:hAnsi="Times New Roman"/>
          <w:sz w:val="24"/>
          <w:szCs w:val="24"/>
          <w:vertAlign w:val="superscript"/>
        </w:rPr>
        <w:footnoteReference w:id="15"/>
      </w:r>
      <w:r w:rsidR="00901657">
        <w:rPr>
          <w:rFonts w:ascii="Times New Roman" w:eastAsia="Times New Roman" w:hAnsi="Times New Roman"/>
          <w:sz w:val="24"/>
          <w:szCs w:val="24"/>
        </w:rPr>
        <w:t xml:space="preserve"> </w:t>
      </w:r>
      <w:r w:rsidRPr="008416FE">
        <w:rPr>
          <w:rFonts w:ascii="Times New Roman" w:eastAsia="Times New Roman" w:hAnsi="Times New Roman"/>
          <w:sz w:val="24"/>
          <w:szCs w:val="24"/>
        </w:rPr>
        <w:t>However, the Commission believes that the information collected on these forms is the minimum necessary to provide a meaningful review of financial conditions and impose</w:t>
      </w:r>
      <w:r w:rsidRPr="008416FE" w:rsidR="00A35EFF">
        <w:rPr>
          <w:rFonts w:ascii="Times New Roman" w:eastAsia="Times New Roman" w:hAnsi="Times New Roman"/>
          <w:sz w:val="24"/>
          <w:szCs w:val="24"/>
        </w:rPr>
        <w:t>s</w:t>
      </w:r>
      <w:r w:rsidRPr="008416FE">
        <w:rPr>
          <w:rFonts w:ascii="Times New Roman" w:eastAsia="Times New Roman" w:hAnsi="Times New Roman"/>
          <w:sz w:val="24"/>
          <w:szCs w:val="24"/>
        </w:rPr>
        <w:t xml:space="preserve"> the least possible burden on entities.</w:t>
      </w:r>
      <w:r w:rsidR="00901657">
        <w:rPr>
          <w:rFonts w:ascii="Times New Roman" w:eastAsia="Times New Roman" w:hAnsi="Times New Roman"/>
          <w:sz w:val="24"/>
          <w:szCs w:val="24"/>
        </w:rPr>
        <w:t xml:space="preserve"> </w:t>
      </w:r>
    </w:p>
    <w:p w:rsidR="007D436E" w:rsidRPr="008416FE" w:rsidP="00BD0F89" w14:paraId="0CF4CC09" w14:textId="77777777">
      <w:pPr>
        <w:spacing w:after="0" w:line="240" w:lineRule="auto"/>
        <w:rPr>
          <w:rFonts w:ascii="Times New Roman" w:eastAsia="Times New Roman" w:hAnsi="Times New Roman"/>
          <w:sz w:val="24"/>
          <w:szCs w:val="24"/>
        </w:rPr>
      </w:pPr>
    </w:p>
    <w:p w:rsidR="00F0627E" w:rsidRPr="008416FE" w:rsidP="00BD0F89" w14:paraId="26442DFE" w14:textId="77777777">
      <w:pPr>
        <w:pStyle w:val="ListParagraph"/>
        <w:numPr>
          <w:ilvl w:val="0"/>
          <w:numId w:val="14"/>
        </w:numPr>
        <w:spacing w:after="0" w:line="240" w:lineRule="auto"/>
        <w:rPr>
          <w:rFonts w:ascii="Times New Roman" w:hAnsi="Times New Roman"/>
          <w:b/>
          <w:sz w:val="24"/>
          <w:szCs w:val="24"/>
        </w:rPr>
      </w:pPr>
      <w:r w:rsidRPr="008416FE">
        <w:rPr>
          <w:rFonts w:ascii="Times New Roman" w:hAnsi="Times New Roman"/>
          <w:b/>
          <w:sz w:val="24"/>
          <w:szCs w:val="24"/>
        </w:rPr>
        <w:t>CONSEQUENCE TO FEDERAL PROGRAM IF COLLECTION WERE CONDUCTED LESS FREQUENTLY</w:t>
      </w:r>
    </w:p>
    <w:p w:rsidR="00F0627E" w:rsidRPr="008416FE" w:rsidP="00BD0F89" w14:paraId="20A53002" w14:textId="77777777">
      <w:pPr>
        <w:spacing w:after="0" w:line="240" w:lineRule="auto"/>
        <w:rPr>
          <w:rFonts w:ascii="Times New Roman" w:hAnsi="Times New Roman"/>
          <w:sz w:val="24"/>
          <w:szCs w:val="24"/>
        </w:rPr>
      </w:pPr>
    </w:p>
    <w:p w:rsidR="00B705E5" w:rsidRPr="008416FE" w14:paraId="4CC98597" w14:textId="17948DB6">
      <w:pPr>
        <w:spacing w:after="0" w:line="240" w:lineRule="auto"/>
        <w:rPr>
          <w:rFonts w:ascii="Times New Roman" w:hAnsi="Times New Roman"/>
          <w:sz w:val="24"/>
          <w:szCs w:val="24"/>
        </w:rPr>
      </w:pPr>
      <w:r w:rsidRPr="008416FE">
        <w:rPr>
          <w:rFonts w:ascii="Times New Roman" w:hAnsi="Times New Roman"/>
          <w:b/>
          <w:sz w:val="24"/>
          <w:szCs w:val="24"/>
        </w:rPr>
        <w:t xml:space="preserve">FERC </w:t>
      </w:r>
      <w:r w:rsidRPr="008416FE" w:rsidR="007D436E">
        <w:rPr>
          <w:rFonts w:ascii="Times New Roman" w:hAnsi="Times New Roman"/>
          <w:b/>
          <w:sz w:val="24"/>
          <w:szCs w:val="24"/>
        </w:rPr>
        <w:t>Form</w:t>
      </w:r>
      <w:r w:rsidRPr="008416FE" w:rsidR="00295EB7">
        <w:rPr>
          <w:rFonts w:ascii="Times New Roman" w:hAnsi="Times New Roman"/>
          <w:b/>
          <w:sz w:val="24"/>
          <w:szCs w:val="24"/>
        </w:rPr>
        <w:t xml:space="preserve"> Nos.</w:t>
      </w:r>
      <w:r w:rsidRPr="008416FE" w:rsidR="007D436E">
        <w:rPr>
          <w:rFonts w:ascii="Times New Roman" w:hAnsi="Times New Roman"/>
          <w:b/>
          <w:sz w:val="24"/>
          <w:szCs w:val="24"/>
        </w:rPr>
        <w:t xml:space="preserve"> 1, 1-F, and 3-Q</w:t>
      </w:r>
      <w:r w:rsidRPr="008416FE" w:rsidR="007D436E">
        <w:rPr>
          <w:rFonts w:ascii="Times New Roman" w:hAnsi="Times New Roman"/>
          <w:sz w:val="24"/>
          <w:szCs w:val="24"/>
        </w:rPr>
        <w:t>.</w:t>
      </w:r>
      <w:r w:rsidR="00901657">
        <w:rPr>
          <w:rFonts w:ascii="Times New Roman" w:hAnsi="Times New Roman"/>
          <w:sz w:val="24"/>
          <w:szCs w:val="24"/>
        </w:rPr>
        <w:t xml:space="preserve"> </w:t>
      </w:r>
      <w:r w:rsidRPr="008416FE" w:rsidR="00F74D83">
        <w:rPr>
          <w:rFonts w:ascii="Times New Roman" w:hAnsi="Times New Roman"/>
          <w:sz w:val="24"/>
          <w:szCs w:val="24"/>
        </w:rPr>
        <w:t xml:space="preserve">The </w:t>
      </w:r>
      <w:r w:rsidRPr="008416FE" w:rsidR="00A35EFF">
        <w:rPr>
          <w:rFonts w:ascii="Times New Roman" w:hAnsi="Times New Roman"/>
          <w:sz w:val="24"/>
          <w:szCs w:val="24"/>
        </w:rPr>
        <w:t>Commission requires</w:t>
      </w:r>
      <w:r w:rsidRPr="008416FE" w:rsidR="00F74D83">
        <w:rPr>
          <w:rFonts w:ascii="Times New Roman" w:hAnsi="Times New Roman"/>
          <w:sz w:val="24"/>
          <w:szCs w:val="24"/>
        </w:rPr>
        <w:t xml:space="preserve"> </w:t>
      </w:r>
      <w:r w:rsidRPr="008416FE" w:rsidR="00F1585D">
        <w:rPr>
          <w:rFonts w:ascii="Times New Roman" w:hAnsi="Times New Roman"/>
          <w:sz w:val="24"/>
          <w:szCs w:val="24"/>
        </w:rPr>
        <w:t xml:space="preserve">FERC </w:t>
      </w:r>
      <w:r w:rsidRPr="008416FE" w:rsidR="00F74D83">
        <w:rPr>
          <w:rFonts w:ascii="Times New Roman" w:hAnsi="Times New Roman"/>
          <w:sz w:val="24"/>
          <w:szCs w:val="24"/>
        </w:rPr>
        <w:t>Form Nos. 1 and 1-F to be submitted annually.</w:t>
      </w:r>
      <w:r w:rsidR="00901657">
        <w:rPr>
          <w:rFonts w:ascii="Times New Roman" w:hAnsi="Times New Roman"/>
          <w:sz w:val="24"/>
          <w:szCs w:val="24"/>
        </w:rPr>
        <w:t xml:space="preserve"> </w:t>
      </w:r>
      <w:r w:rsidRPr="008416FE" w:rsidR="00F74D83">
        <w:rPr>
          <w:rFonts w:ascii="Times New Roman" w:hAnsi="Times New Roman"/>
          <w:sz w:val="24"/>
          <w:szCs w:val="24"/>
        </w:rPr>
        <w:t>Annual reporting is consistent with the reporting to the companies</w:t>
      </w:r>
      <w:r w:rsidRPr="008416FE" w:rsidR="004F2FA2">
        <w:rPr>
          <w:rFonts w:ascii="Times New Roman" w:hAnsi="Times New Roman"/>
          <w:sz w:val="24"/>
          <w:szCs w:val="24"/>
        </w:rPr>
        <w:t>’</w:t>
      </w:r>
      <w:r w:rsidRPr="008416FE" w:rsidR="00F74D83">
        <w:rPr>
          <w:rFonts w:ascii="Times New Roman" w:hAnsi="Times New Roman"/>
          <w:sz w:val="24"/>
          <w:szCs w:val="24"/>
        </w:rPr>
        <w:t xml:space="preserve"> own management, the Internal Revenue Service, state and other Federal agencies</w:t>
      </w:r>
      <w:r w:rsidRPr="008416FE" w:rsidR="001C12F0">
        <w:rPr>
          <w:rFonts w:ascii="Times New Roman" w:hAnsi="Times New Roman"/>
          <w:sz w:val="24"/>
          <w:szCs w:val="24"/>
        </w:rPr>
        <w:t>’</w:t>
      </w:r>
      <w:r w:rsidRPr="008416FE" w:rsidR="00F74D83">
        <w:rPr>
          <w:rFonts w:ascii="Times New Roman" w:hAnsi="Times New Roman"/>
          <w:sz w:val="24"/>
          <w:szCs w:val="24"/>
        </w:rPr>
        <w:t xml:space="preserve"> requirements.</w:t>
      </w:r>
      <w:r w:rsidR="00901657">
        <w:rPr>
          <w:rFonts w:ascii="Times New Roman" w:hAnsi="Times New Roman"/>
          <w:sz w:val="24"/>
          <w:szCs w:val="24"/>
        </w:rPr>
        <w:t xml:space="preserve"> </w:t>
      </w:r>
      <w:r w:rsidRPr="008416FE" w:rsidR="00C42E58">
        <w:rPr>
          <w:rFonts w:ascii="Times New Roman" w:hAnsi="Times New Roman"/>
          <w:sz w:val="24"/>
          <w:szCs w:val="24"/>
        </w:rPr>
        <w:t xml:space="preserve">FERC </w:t>
      </w:r>
      <w:r w:rsidRPr="008416FE" w:rsidR="00F74D83">
        <w:rPr>
          <w:rFonts w:ascii="Times New Roman" w:hAnsi="Times New Roman"/>
          <w:sz w:val="24"/>
          <w:szCs w:val="24"/>
        </w:rPr>
        <w:t xml:space="preserve">Form No. 3-Q filings provide quarterly updates to supplement </w:t>
      </w:r>
      <w:r w:rsidRPr="008416FE" w:rsidR="00F1585D">
        <w:rPr>
          <w:rFonts w:ascii="Times New Roman" w:hAnsi="Times New Roman"/>
          <w:sz w:val="24"/>
          <w:szCs w:val="24"/>
        </w:rPr>
        <w:t xml:space="preserve">FERC </w:t>
      </w:r>
      <w:r w:rsidRPr="008416FE" w:rsidR="00F74D83">
        <w:rPr>
          <w:rFonts w:ascii="Times New Roman" w:hAnsi="Times New Roman"/>
          <w:sz w:val="24"/>
          <w:szCs w:val="24"/>
        </w:rPr>
        <w:t>Form Nos</w:t>
      </w:r>
      <w:r w:rsidRPr="008416FE" w:rsidR="001C12F0">
        <w:rPr>
          <w:rFonts w:ascii="Times New Roman" w:hAnsi="Times New Roman"/>
          <w:sz w:val="24"/>
          <w:szCs w:val="24"/>
        </w:rPr>
        <w:t>.</w:t>
      </w:r>
      <w:r w:rsidRPr="008416FE" w:rsidR="00F74D83">
        <w:rPr>
          <w:rFonts w:ascii="Times New Roman" w:hAnsi="Times New Roman"/>
          <w:sz w:val="24"/>
          <w:szCs w:val="24"/>
        </w:rPr>
        <w:t xml:space="preserve"> 1, 1-F, 2, and 2</w:t>
      </w:r>
      <w:r w:rsidRPr="008416FE" w:rsidR="00810F9D">
        <w:rPr>
          <w:rFonts w:ascii="Times New Roman" w:hAnsi="Times New Roman"/>
          <w:sz w:val="24"/>
          <w:szCs w:val="24"/>
        </w:rPr>
        <w:t>-</w:t>
      </w:r>
      <w:r w:rsidRPr="008416FE" w:rsidR="00F74D83">
        <w:rPr>
          <w:rFonts w:ascii="Times New Roman" w:hAnsi="Times New Roman"/>
          <w:sz w:val="24"/>
          <w:szCs w:val="24"/>
        </w:rPr>
        <w:t>A.</w:t>
      </w:r>
      <w:r w:rsidR="00901657">
        <w:rPr>
          <w:rFonts w:ascii="Times New Roman" w:hAnsi="Times New Roman"/>
          <w:sz w:val="24"/>
          <w:szCs w:val="24"/>
        </w:rPr>
        <w:t xml:space="preserve"> </w:t>
      </w:r>
      <w:r w:rsidRPr="008416FE" w:rsidR="00F74D83">
        <w:rPr>
          <w:rFonts w:ascii="Times New Roman" w:hAnsi="Times New Roman"/>
          <w:sz w:val="24"/>
          <w:szCs w:val="24"/>
        </w:rPr>
        <w:t>This quarterly information provides the Commission and the public with updated and timely information regarding a company’s financial and operational status.</w:t>
      </w:r>
      <w:r w:rsidR="00901657">
        <w:rPr>
          <w:rFonts w:ascii="Times New Roman" w:hAnsi="Times New Roman"/>
          <w:sz w:val="24"/>
          <w:szCs w:val="24"/>
        </w:rPr>
        <w:t xml:space="preserve"> </w:t>
      </w:r>
    </w:p>
    <w:p w:rsidR="0058372E" w:rsidRPr="008416FE" w:rsidP="00F74D83" w14:paraId="2AD6F552" w14:textId="7BF091C2">
      <w:pPr>
        <w:spacing w:after="0" w:line="240" w:lineRule="auto"/>
        <w:rPr>
          <w:rFonts w:ascii="Times New Roman" w:hAnsi="Times New Roman"/>
          <w:sz w:val="24"/>
          <w:szCs w:val="24"/>
        </w:rPr>
      </w:pPr>
      <w:r w:rsidRPr="008416FE">
        <w:rPr>
          <w:rFonts w:ascii="Times New Roman" w:hAnsi="Times New Roman"/>
          <w:sz w:val="24"/>
          <w:szCs w:val="24"/>
        </w:rPr>
        <w:tab/>
      </w:r>
    </w:p>
    <w:p w:rsidR="007D436E" w:rsidRPr="008416FE" w:rsidP="00C0510A" w14:paraId="38370DCD" w14:textId="4329EB98">
      <w:pPr>
        <w:spacing w:after="0" w:line="240" w:lineRule="auto"/>
        <w:rPr>
          <w:rFonts w:ascii="Times New Roman" w:hAnsi="Times New Roman"/>
          <w:sz w:val="24"/>
          <w:szCs w:val="24"/>
        </w:rPr>
      </w:pPr>
      <w:r w:rsidRPr="008416FE">
        <w:rPr>
          <w:rFonts w:ascii="Times New Roman" w:hAnsi="Times New Roman"/>
          <w:sz w:val="24"/>
          <w:szCs w:val="24"/>
        </w:rPr>
        <w:t>Some of the information in particular filings may change markedly from one year to the next.</w:t>
      </w:r>
      <w:r w:rsidR="00901657">
        <w:rPr>
          <w:rFonts w:ascii="Times New Roman" w:hAnsi="Times New Roman"/>
          <w:sz w:val="24"/>
          <w:szCs w:val="24"/>
        </w:rPr>
        <w:t xml:space="preserve"> </w:t>
      </w:r>
      <w:r w:rsidRPr="008416FE">
        <w:rPr>
          <w:rFonts w:ascii="Times New Roman" w:hAnsi="Times New Roman"/>
          <w:sz w:val="24"/>
          <w:szCs w:val="24"/>
        </w:rPr>
        <w:t xml:space="preserve">If the information were collected less frequently, the Commission would </w:t>
      </w:r>
      <w:r w:rsidRPr="008416FE" w:rsidR="0003545C">
        <w:rPr>
          <w:rFonts w:ascii="Times New Roman" w:hAnsi="Times New Roman"/>
          <w:sz w:val="24"/>
          <w:szCs w:val="24"/>
        </w:rPr>
        <w:t xml:space="preserve">have difficulty </w:t>
      </w:r>
      <w:r w:rsidRPr="008416FE">
        <w:rPr>
          <w:rFonts w:ascii="Times New Roman" w:hAnsi="Times New Roman"/>
          <w:sz w:val="24"/>
          <w:szCs w:val="24"/>
        </w:rPr>
        <w:t>perform</w:t>
      </w:r>
      <w:r w:rsidRPr="008416FE" w:rsidR="0003545C">
        <w:rPr>
          <w:rFonts w:ascii="Times New Roman" w:hAnsi="Times New Roman"/>
          <w:sz w:val="24"/>
          <w:szCs w:val="24"/>
        </w:rPr>
        <w:t>ing</w:t>
      </w:r>
      <w:r w:rsidRPr="008416FE">
        <w:rPr>
          <w:rFonts w:ascii="Times New Roman" w:hAnsi="Times New Roman"/>
          <w:sz w:val="24"/>
          <w:szCs w:val="24"/>
        </w:rPr>
        <w:t xml:space="preserve"> its mandated review and oversight in a timely and accurate manner.</w:t>
      </w:r>
      <w:r w:rsidR="00901657">
        <w:rPr>
          <w:rFonts w:ascii="Times New Roman" w:hAnsi="Times New Roman"/>
          <w:sz w:val="24"/>
          <w:szCs w:val="24"/>
        </w:rPr>
        <w:t xml:space="preserve"> </w:t>
      </w:r>
    </w:p>
    <w:p w:rsidR="00F0627E" w:rsidRPr="008416FE" w:rsidP="00BD0F89" w14:paraId="3319550E" w14:textId="77777777">
      <w:pPr>
        <w:spacing w:after="0" w:line="240" w:lineRule="auto"/>
        <w:rPr>
          <w:rFonts w:ascii="Times New Roman" w:hAnsi="Times New Roman"/>
          <w:sz w:val="24"/>
          <w:szCs w:val="24"/>
        </w:rPr>
      </w:pPr>
    </w:p>
    <w:p w:rsidR="00F0627E" w:rsidRPr="008416FE" w:rsidP="00BD0F89" w14:paraId="6DE0BCEB" w14:textId="77777777">
      <w:pPr>
        <w:pStyle w:val="ListParagraph"/>
        <w:numPr>
          <w:ilvl w:val="0"/>
          <w:numId w:val="14"/>
        </w:numPr>
        <w:spacing w:after="0" w:line="240" w:lineRule="auto"/>
        <w:rPr>
          <w:rFonts w:ascii="Times New Roman" w:hAnsi="Times New Roman"/>
          <w:b/>
          <w:sz w:val="24"/>
          <w:szCs w:val="24"/>
        </w:rPr>
      </w:pPr>
      <w:r w:rsidRPr="008416FE">
        <w:rPr>
          <w:rFonts w:ascii="Times New Roman" w:hAnsi="Times New Roman"/>
          <w:b/>
          <w:sz w:val="24"/>
          <w:szCs w:val="24"/>
        </w:rPr>
        <w:t>EXPLAIN ANY SPECIAL CIRCUMSTANCES RELATING TO THE INFORMATION COLLECTION</w:t>
      </w:r>
    </w:p>
    <w:p w:rsidR="00F0627E" w:rsidRPr="008416FE" w:rsidP="00BD0F89" w14:paraId="61BC8479" w14:textId="77777777">
      <w:pPr>
        <w:spacing w:after="0" w:line="240" w:lineRule="auto"/>
        <w:rPr>
          <w:rFonts w:ascii="Times New Roman" w:hAnsi="Times New Roman"/>
          <w:b/>
          <w:bCs/>
          <w:sz w:val="24"/>
          <w:szCs w:val="24"/>
        </w:rPr>
      </w:pPr>
    </w:p>
    <w:p w:rsidR="00F0627E" w:rsidRPr="008416FE" w14:paraId="1832EE9A" w14:textId="36FC2C34">
      <w:pPr>
        <w:spacing w:after="0" w:line="240" w:lineRule="auto"/>
        <w:rPr>
          <w:rFonts w:ascii="Times New Roman" w:hAnsi="Times New Roman"/>
          <w:sz w:val="24"/>
          <w:szCs w:val="24"/>
        </w:rPr>
      </w:pPr>
      <w:r w:rsidRPr="008416FE">
        <w:rPr>
          <w:rFonts w:ascii="Times New Roman" w:hAnsi="Times New Roman"/>
          <w:sz w:val="24"/>
          <w:szCs w:val="24"/>
        </w:rPr>
        <w:t>There are no special circumstances related to th</w:t>
      </w:r>
      <w:r w:rsidRPr="008416FE" w:rsidR="00EC66AC">
        <w:rPr>
          <w:rFonts w:ascii="Times New Roman" w:hAnsi="Times New Roman"/>
          <w:sz w:val="24"/>
          <w:szCs w:val="24"/>
        </w:rPr>
        <w:t>ese</w:t>
      </w:r>
      <w:r w:rsidRPr="008416FE">
        <w:rPr>
          <w:rFonts w:ascii="Times New Roman" w:hAnsi="Times New Roman"/>
          <w:sz w:val="24"/>
          <w:szCs w:val="24"/>
        </w:rPr>
        <w:t xml:space="preserve"> information collection</w:t>
      </w:r>
      <w:r w:rsidRPr="008416FE" w:rsidR="00EC66AC">
        <w:rPr>
          <w:rFonts w:ascii="Times New Roman" w:hAnsi="Times New Roman"/>
          <w:sz w:val="24"/>
          <w:szCs w:val="24"/>
        </w:rPr>
        <w:t>s</w:t>
      </w:r>
      <w:r w:rsidRPr="008416FE">
        <w:rPr>
          <w:rFonts w:ascii="Times New Roman" w:hAnsi="Times New Roman"/>
          <w:sz w:val="24"/>
          <w:szCs w:val="24"/>
        </w:rPr>
        <w:t>.</w:t>
      </w:r>
    </w:p>
    <w:p w:rsidR="00517EC0" w:rsidRPr="008416FE" w:rsidP="00BD0F89" w14:paraId="74F838D9" w14:textId="77777777">
      <w:pPr>
        <w:spacing w:after="0" w:line="240" w:lineRule="auto"/>
        <w:ind w:left="360" w:hanging="360"/>
        <w:rPr>
          <w:rFonts w:ascii="Times New Roman" w:hAnsi="Times New Roman"/>
          <w:sz w:val="24"/>
          <w:szCs w:val="24"/>
        </w:rPr>
      </w:pPr>
    </w:p>
    <w:p w:rsidR="00F0627E" w:rsidRPr="008416FE" w:rsidP="00BD0F89" w14:paraId="75DA9249" w14:textId="77777777">
      <w:pPr>
        <w:pStyle w:val="ListParagraph"/>
        <w:numPr>
          <w:ilvl w:val="0"/>
          <w:numId w:val="14"/>
        </w:numPr>
        <w:spacing w:after="0" w:line="240" w:lineRule="auto"/>
        <w:rPr>
          <w:rFonts w:ascii="Times New Roman" w:hAnsi="Times New Roman"/>
          <w:b/>
          <w:sz w:val="24"/>
          <w:szCs w:val="24"/>
        </w:rPr>
      </w:pPr>
      <w:r w:rsidRPr="008416FE">
        <w:rPr>
          <w:rFonts w:ascii="Times New Roman" w:hAnsi="Times New Roman"/>
          <w:b/>
          <w:sz w:val="24"/>
          <w:szCs w:val="24"/>
        </w:rPr>
        <w:t>DESCRIBE EFFORTS TO CONSULT OUTSIDE THE AGENCY: SUMMARIZE PUBLIC COMMENTS AND THE AGENCY’S RESPONSE</w:t>
      </w:r>
    </w:p>
    <w:p w:rsidR="00F4048B" w:rsidRPr="008416FE" w14:paraId="13BE816F" w14:textId="301093FA">
      <w:pPr>
        <w:pStyle w:val="ListParagraph"/>
        <w:spacing w:after="0" w:line="240" w:lineRule="auto"/>
        <w:ind w:left="0"/>
        <w:rPr>
          <w:rFonts w:ascii="Times New Roman" w:hAnsi="Times New Roman"/>
          <w:sz w:val="24"/>
          <w:szCs w:val="24"/>
          <w:highlight w:val="yellow"/>
        </w:rPr>
      </w:pPr>
      <w:r w:rsidRPr="008416FE">
        <w:rPr>
          <w:rFonts w:ascii="Times New Roman" w:hAnsi="Times New Roman"/>
          <w:sz w:val="24"/>
          <w:szCs w:val="24"/>
        </w:rPr>
        <w:t>The Commission published a 60-day Notice</w:t>
      </w:r>
      <w:bookmarkStart w:id="5" w:name="_Hlk193442007"/>
      <w:r>
        <w:rPr>
          <w:rFonts w:ascii="Times New Roman" w:hAnsi="Times New Roman"/>
          <w:b/>
          <w:bCs/>
          <w:sz w:val="24"/>
          <w:szCs w:val="24"/>
          <w:vertAlign w:val="superscript"/>
        </w:rPr>
        <w:footnoteReference w:id="16"/>
      </w:r>
      <w:bookmarkEnd w:id="5"/>
      <w:r w:rsidRPr="008416FE">
        <w:rPr>
          <w:rFonts w:ascii="Times New Roman" w:hAnsi="Times New Roman"/>
          <w:sz w:val="24"/>
          <w:szCs w:val="24"/>
        </w:rPr>
        <w:t xml:space="preserve"> in the Federal Register </w:t>
      </w:r>
      <w:r w:rsidRPr="000B5CEA">
        <w:rPr>
          <w:rFonts w:ascii="Times New Roman" w:hAnsi="Times New Roman"/>
          <w:sz w:val="24"/>
          <w:szCs w:val="24"/>
        </w:rPr>
        <w:t xml:space="preserve">on </w:t>
      </w:r>
      <w:r w:rsidRPr="000B5CEA" w:rsidR="321B2494">
        <w:rPr>
          <w:rFonts w:ascii="Times New Roman" w:hAnsi="Times New Roman"/>
          <w:sz w:val="24"/>
          <w:szCs w:val="24"/>
        </w:rPr>
        <w:t>February 7, 2025</w:t>
      </w:r>
      <w:r w:rsidRPr="000B5CEA" w:rsidR="007A6E93">
        <w:rPr>
          <w:rFonts w:ascii="Times New Roman" w:hAnsi="Times New Roman"/>
          <w:sz w:val="24"/>
          <w:szCs w:val="24"/>
        </w:rPr>
        <w:t>,</w:t>
      </w:r>
      <w:r w:rsidRPr="008416FE" w:rsidR="007A6E93">
        <w:rPr>
          <w:rFonts w:ascii="Times New Roman" w:hAnsi="Times New Roman"/>
          <w:sz w:val="24"/>
          <w:szCs w:val="24"/>
        </w:rPr>
        <w:t xml:space="preserve"> and issued a 30-day </w:t>
      </w:r>
      <w:r w:rsidRPr="008416FE" w:rsidR="00105D44">
        <w:rPr>
          <w:rFonts w:ascii="Times New Roman" w:hAnsi="Times New Roman"/>
          <w:sz w:val="24"/>
          <w:szCs w:val="24"/>
        </w:rPr>
        <w:t>N</w:t>
      </w:r>
      <w:r w:rsidRPr="008416FE" w:rsidR="007A6E93">
        <w:rPr>
          <w:rFonts w:ascii="Times New Roman" w:hAnsi="Times New Roman"/>
          <w:sz w:val="24"/>
          <w:szCs w:val="24"/>
        </w:rPr>
        <w:t>otice</w:t>
      </w:r>
      <w:r>
        <w:rPr>
          <w:rFonts w:ascii="Times New Roman" w:hAnsi="Times New Roman"/>
          <w:b/>
          <w:bCs/>
          <w:sz w:val="24"/>
          <w:szCs w:val="24"/>
          <w:vertAlign w:val="superscript"/>
        </w:rPr>
        <w:footnoteReference w:id="17"/>
      </w:r>
      <w:r w:rsidRPr="008416FE" w:rsidR="007A6E93">
        <w:rPr>
          <w:rFonts w:ascii="Times New Roman" w:hAnsi="Times New Roman"/>
          <w:sz w:val="24"/>
          <w:szCs w:val="24"/>
        </w:rPr>
        <w:t xml:space="preserve"> to the public </w:t>
      </w:r>
      <w:r w:rsidRPr="00A32209" w:rsidR="007A6E93">
        <w:rPr>
          <w:rFonts w:ascii="Times New Roman" w:hAnsi="Times New Roman"/>
          <w:sz w:val="24"/>
          <w:szCs w:val="24"/>
        </w:rPr>
        <w:t xml:space="preserve">on </w:t>
      </w:r>
      <w:r w:rsidRPr="00A32209" w:rsidR="00301740">
        <w:rPr>
          <w:rFonts w:ascii="Times New Roman" w:hAnsi="Times New Roman"/>
          <w:sz w:val="24"/>
          <w:szCs w:val="24"/>
        </w:rPr>
        <w:t>June</w:t>
      </w:r>
      <w:r w:rsidRPr="00A32209" w:rsidR="007A6E93">
        <w:rPr>
          <w:rFonts w:ascii="Times New Roman" w:hAnsi="Times New Roman"/>
          <w:sz w:val="24"/>
          <w:szCs w:val="24"/>
        </w:rPr>
        <w:t xml:space="preserve"> </w:t>
      </w:r>
      <w:r w:rsidRPr="00A32209" w:rsidR="004A1DC5">
        <w:rPr>
          <w:rFonts w:ascii="Times New Roman" w:hAnsi="Times New Roman"/>
          <w:sz w:val="24"/>
          <w:szCs w:val="24"/>
        </w:rPr>
        <w:t>20</w:t>
      </w:r>
      <w:r w:rsidRPr="00A32209" w:rsidR="008B05AD">
        <w:rPr>
          <w:rFonts w:ascii="Times New Roman" w:hAnsi="Times New Roman"/>
          <w:sz w:val="24"/>
          <w:szCs w:val="24"/>
        </w:rPr>
        <w:t>,</w:t>
      </w:r>
      <w:r w:rsidRPr="00A32209" w:rsidR="007C7A8E">
        <w:rPr>
          <w:rFonts w:ascii="Times New Roman" w:hAnsi="Times New Roman"/>
          <w:sz w:val="24"/>
          <w:szCs w:val="24"/>
        </w:rPr>
        <w:t xml:space="preserve"> </w:t>
      </w:r>
      <w:r w:rsidRPr="00A32209" w:rsidR="007A6E93">
        <w:rPr>
          <w:rFonts w:ascii="Times New Roman" w:hAnsi="Times New Roman"/>
          <w:sz w:val="24"/>
          <w:szCs w:val="24"/>
        </w:rPr>
        <w:t>202</w:t>
      </w:r>
      <w:r w:rsidRPr="00A32209" w:rsidR="00301740">
        <w:rPr>
          <w:rFonts w:ascii="Times New Roman" w:hAnsi="Times New Roman"/>
          <w:sz w:val="24"/>
          <w:szCs w:val="24"/>
        </w:rPr>
        <w:t>5</w:t>
      </w:r>
      <w:r w:rsidRPr="008416FE" w:rsidR="007A6E93">
        <w:rPr>
          <w:rFonts w:ascii="Times New Roman" w:hAnsi="Times New Roman"/>
          <w:sz w:val="24"/>
          <w:szCs w:val="24"/>
        </w:rPr>
        <w:t>,</w:t>
      </w:r>
      <w:r w:rsidRPr="008416FE">
        <w:rPr>
          <w:rFonts w:ascii="Times New Roman" w:hAnsi="Times New Roman"/>
          <w:sz w:val="24"/>
          <w:szCs w:val="24"/>
        </w:rPr>
        <w:t xml:space="preserve"> providing the public with an opportunity to comment on the information collections.</w:t>
      </w:r>
      <w:r w:rsidR="00901657">
        <w:rPr>
          <w:rFonts w:ascii="Times New Roman" w:hAnsi="Times New Roman"/>
          <w:sz w:val="24"/>
          <w:szCs w:val="24"/>
        </w:rPr>
        <w:t xml:space="preserve"> </w:t>
      </w:r>
      <w:r w:rsidRPr="008416FE" w:rsidR="0029781A">
        <w:rPr>
          <w:rFonts w:ascii="Times New Roman" w:hAnsi="Times New Roman"/>
          <w:sz w:val="24"/>
          <w:szCs w:val="24"/>
        </w:rPr>
        <w:t xml:space="preserve">In the public notices, the Commission noted that it would be requesting a three-year extension of the public reporting burden with no change to the </w:t>
      </w:r>
      <w:r w:rsidRPr="008416FE" w:rsidR="0029781A">
        <w:rPr>
          <w:rFonts w:ascii="Times New Roman" w:hAnsi="Times New Roman"/>
          <w:sz w:val="24"/>
          <w:szCs w:val="24"/>
        </w:rPr>
        <w:t>existing requirements concerning the collection of data.</w:t>
      </w:r>
      <w:r w:rsidR="00901657">
        <w:rPr>
          <w:rFonts w:ascii="Times New Roman" w:hAnsi="Times New Roman"/>
          <w:sz w:val="24"/>
          <w:szCs w:val="24"/>
        </w:rPr>
        <w:t xml:space="preserve"> </w:t>
      </w:r>
      <w:r w:rsidRPr="008416FE" w:rsidR="006404D7">
        <w:rPr>
          <w:rFonts w:ascii="Times New Roman" w:hAnsi="Times New Roman"/>
          <w:sz w:val="24"/>
          <w:szCs w:val="24"/>
        </w:rPr>
        <w:t>The Bureau of Economic Analysis (BEA)</w:t>
      </w:r>
      <w:r w:rsidRPr="008416FE" w:rsidR="00FE6BE2">
        <w:rPr>
          <w:rFonts w:ascii="Times New Roman" w:hAnsi="Times New Roman"/>
          <w:sz w:val="24"/>
          <w:szCs w:val="24"/>
        </w:rPr>
        <w:t xml:space="preserve">, </w:t>
      </w:r>
      <w:r w:rsidRPr="008416FE" w:rsidR="008F6DE9">
        <w:rPr>
          <w:rFonts w:ascii="Times New Roman" w:hAnsi="Times New Roman"/>
          <w:sz w:val="24"/>
          <w:szCs w:val="24"/>
        </w:rPr>
        <w:t xml:space="preserve">Energy and Policy Institute (EPI), </w:t>
      </w:r>
      <w:r w:rsidRPr="008416FE" w:rsidR="00FE6BE2">
        <w:rPr>
          <w:rFonts w:ascii="Times New Roman" w:hAnsi="Times New Roman"/>
          <w:sz w:val="24"/>
          <w:szCs w:val="24"/>
        </w:rPr>
        <w:t xml:space="preserve">Edison Electric Institute (EEI), and </w:t>
      </w:r>
      <w:r w:rsidRPr="008416FE" w:rsidR="00073FC6">
        <w:rPr>
          <w:rFonts w:ascii="Times New Roman" w:hAnsi="Times New Roman"/>
          <w:sz w:val="24"/>
          <w:szCs w:val="24"/>
        </w:rPr>
        <w:t>nine</w:t>
      </w:r>
      <w:r w:rsidRPr="008416FE" w:rsidR="00860D3C">
        <w:rPr>
          <w:rFonts w:ascii="Times New Roman" w:hAnsi="Times New Roman"/>
          <w:sz w:val="24"/>
          <w:szCs w:val="24"/>
        </w:rPr>
        <w:t xml:space="preserve"> electric utility companies</w:t>
      </w:r>
      <w:r>
        <w:rPr>
          <w:rFonts w:ascii="Times New Roman" w:eastAsia="Times New Roman" w:hAnsi="Times New Roman"/>
          <w:b/>
          <w:bCs/>
          <w:sz w:val="24"/>
          <w:szCs w:val="24"/>
          <w:vertAlign w:val="superscript"/>
        </w:rPr>
        <w:footnoteReference w:id="18"/>
      </w:r>
      <w:r w:rsidRPr="008416FE" w:rsidR="006404D7">
        <w:rPr>
          <w:rFonts w:ascii="Times New Roman" w:eastAsia="Times New Roman" w:hAnsi="Times New Roman"/>
          <w:b/>
          <w:bCs/>
          <w:sz w:val="24"/>
          <w:szCs w:val="24"/>
          <w:vertAlign w:val="superscript"/>
        </w:rPr>
        <w:t xml:space="preserve"> </w:t>
      </w:r>
      <w:r w:rsidRPr="008416FE" w:rsidR="001665E6">
        <w:rPr>
          <w:rFonts w:ascii="Times New Roman" w:hAnsi="Times New Roman"/>
          <w:sz w:val="24"/>
          <w:szCs w:val="24"/>
        </w:rPr>
        <w:t>filed</w:t>
      </w:r>
      <w:r w:rsidRPr="008416FE" w:rsidR="006404D7">
        <w:rPr>
          <w:rFonts w:ascii="Times New Roman" w:hAnsi="Times New Roman"/>
          <w:sz w:val="24"/>
          <w:szCs w:val="24"/>
        </w:rPr>
        <w:t xml:space="preserve"> comment</w:t>
      </w:r>
      <w:r w:rsidRPr="008416FE" w:rsidR="00CB07D9">
        <w:rPr>
          <w:rFonts w:ascii="Times New Roman" w:hAnsi="Times New Roman"/>
          <w:sz w:val="24"/>
          <w:szCs w:val="24"/>
        </w:rPr>
        <w:t>s</w:t>
      </w:r>
      <w:r w:rsidRPr="008416FE" w:rsidR="006404D7">
        <w:rPr>
          <w:rFonts w:ascii="Times New Roman" w:hAnsi="Times New Roman"/>
          <w:sz w:val="24"/>
          <w:szCs w:val="24"/>
        </w:rPr>
        <w:t>.</w:t>
      </w:r>
      <w:r>
        <w:rPr>
          <w:rFonts w:ascii="Times New Roman" w:eastAsia="Times New Roman" w:hAnsi="Times New Roman"/>
          <w:b/>
          <w:bCs/>
          <w:sz w:val="24"/>
          <w:szCs w:val="24"/>
          <w:vertAlign w:val="superscript"/>
        </w:rPr>
        <w:footnoteReference w:id="19"/>
      </w:r>
      <w:r w:rsidRPr="008416FE" w:rsidR="006404D7">
        <w:rPr>
          <w:rFonts w:ascii="Times New Roman" w:hAnsi="Times New Roman"/>
          <w:sz w:val="24"/>
          <w:szCs w:val="24"/>
        </w:rPr>
        <w:t xml:space="preserve"> </w:t>
      </w:r>
    </w:p>
    <w:p w:rsidR="00FE6BE2" w:rsidRPr="008416FE" w:rsidP="000C355B" w14:paraId="786556A6" w14:textId="77777777">
      <w:pPr>
        <w:pStyle w:val="ListParagraph"/>
        <w:spacing w:after="0" w:line="240" w:lineRule="auto"/>
        <w:ind w:left="360"/>
        <w:rPr>
          <w:rFonts w:ascii="Times New Roman" w:hAnsi="Times New Roman"/>
          <w:i/>
          <w:iCs/>
          <w:sz w:val="24"/>
          <w:szCs w:val="24"/>
        </w:rPr>
      </w:pPr>
    </w:p>
    <w:p w:rsidR="001E2BBB" w:rsidRPr="008416FE" w:rsidP="00696024" w14:paraId="5AF81CDA" w14:textId="5BAAF2B7">
      <w:pPr>
        <w:spacing w:after="0" w:line="240" w:lineRule="auto"/>
        <w:rPr>
          <w:rFonts w:ascii="Times New Roman" w:hAnsi="Times New Roman"/>
          <w:i/>
          <w:iCs/>
          <w:sz w:val="24"/>
          <w:szCs w:val="24"/>
        </w:rPr>
      </w:pPr>
      <w:r w:rsidRPr="008416FE">
        <w:rPr>
          <w:rFonts w:ascii="Times New Roman" w:hAnsi="Times New Roman"/>
          <w:i/>
          <w:iCs/>
          <w:sz w:val="24"/>
          <w:szCs w:val="24"/>
        </w:rPr>
        <w:t>Comments regarding the necessity, quality, utility, and clarity of the information collected, as well as ways to minimize the burden on respondents.</w:t>
      </w:r>
    </w:p>
    <w:p w:rsidR="00A20F1C" w:rsidRPr="008416FE" w:rsidP="00696024" w14:paraId="64939A2D" w14:textId="77777777">
      <w:pPr>
        <w:spacing w:after="0" w:line="240" w:lineRule="auto"/>
        <w:rPr>
          <w:rFonts w:ascii="Times New Roman" w:hAnsi="Times New Roman"/>
          <w:sz w:val="24"/>
          <w:szCs w:val="24"/>
        </w:rPr>
      </w:pPr>
    </w:p>
    <w:p w:rsidR="00BE203B" w:rsidRPr="008416FE" w:rsidP="00696024" w14:paraId="7B672CA2" w14:textId="5A8D00E7">
      <w:pPr>
        <w:spacing w:after="0" w:line="240" w:lineRule="auto"/>
        <w:rPr>
          <w:rFonts w:ascii="Times New Roman" w:hAnsi="Times New Roman"/>
          <w:sz w:val="24"/>
          <w:szCs w:val="24"/>
        </w:rPr>
      </w:pPr>
      <w:r w:rsidRPr="008416FE">
        <w:rPr>
          <w:rFonts w:ascii="Times New Roman" w:hAnsi="Times New Roman"/>
          <w:sz w:val="24"/>
          <w:szCs w:val="24"/>
        </w:rPr>
        <w:t>BEA explains that it uses data from FERC Form Nos. 1 and 1-F indirectly in estimating the United States Census Bureau’s Construction Value Put-In Place (VPIP) for electric utilities.</w:t>
      </w:r>
      <w:r w:rsidR="00901657">
        <w:rPr>
          <w:rFonts w:ascii="Times New Roman" w:hAnsi="Times New Roman"/>
          <w:sz w:val="24"/>
          <w:szCs w:val="24"/>
        </w:rPr>
        <w:t xml:space="preserve"> </w:t>
      </w:r>
      <w:r w:rsidRPr="008416FE">
        <w:rPr>
          <w:rFonts w:ascii="Times New Roman" w:hAnsi="Times New Roman"/>
          <w:sz w:val="24"/>
          <w:szCs w:val="24"/>
        </w:rPr>
        <w:t>BEA further explains that census VPIP serves as a major source data input to the national income and product account (NIPA) structures investment estimates.</w:t>
      </w:r>
      <w:r w:rsidR="00901657">
        <w:rPr>
          <w:rFonts w:ascii="Times New Roman" w:hAnsi="Times New Roman"/>
          <w:sz w:val="24"/>
          <w:szCs w:val="24"/>
        </w:rPr>
        <w:t xml:space="preserve"> </w:t>
      </w:r>
      <w:r w:rsidRPr="008416FE">
        <w:rPr>
          <w:rFonts w:ascii="Times New Roman" w:hAnsi="Times New Roman"/>
          <w:sz w:val="24"/>
          <w:szCs w:val="24"/>
        </w:rPr>
        <w:t>BEA states that while it uses the information indirectly through the VPIP program, it is considered an indispensable data source to the NIPA estimates.</w:t>
      </w:r>
    </w:p>
    <w:p w:rsidR="00696024" w:rsidRPr="008416FE" w:rsidP="00696024" w14:paraId="515EC082" w14:textId="77777777">
      <w:pPr>
        <w:spacing w:after="0" w:line="240" w:lineRule="auto"/>
        <w:rPr>
          <w:rFonts w:ascii="Times New Roman" w:hAnsi="Times New Roman"/>
          <w:sz w:val="24"/>
          <w:szCs w:val="24"/>
        </w:rPr>
      </w:pPr>
    </w:p>
    <w:p w:rsidR="00696024" w:rsidRPr="008416FE" w:rsidP="00FC1F9A" w14:paraId="0D23EA66" w14:textId="45D16F05">
      <w:pPr>
        <w:spacing w:after="0" w:line="240" w:lineRule="auto"/>
        <w:rPr>
          <w:rFonts w:ascii="Times New Roman" w:hAnsi="Times New Roman"/>
          <w:sz w:val="24"/>
          <w:szCs w:val="24"/>
        </w:rPr>
      </w:pPr>
      <w:r w:rsidRPr="008416FE">
        <w:rPr>
          <w:rFonts w:ascii="Times New Roman" w:hAnsi="Times New Roman"/>
          <w:sz w:val="24"/>
          <w:szCs w:val="24"/>
        </w:rPr>
        <w:t>BEA states that it relies heavily on the data collected in the</w:t>
      </w:r>
      <w:r w:rsidRPr="008416FE" w:rsidR="00C34B99">
        <w:rPr>
          <w:rFonts w:ascii="Times New Roman" w:hAnsi="Times New Roman"/>
          <w:sz w:val="24"/>
          <w:szCs w:val="24"/>
        </w:rPr>
        <w:t xml:space="preserve"> FERC Form No. 3-Q</w:t>
      </w:r>
      <w:r w:rsidRPr="008416FE">
        <w:rPr>
          <w:rFonts w:ascii="Times New Roman" w:hAnsi="Times New Roman"/>
          <w:sz w:val="24"/>
          <w:szCs w:val="24"/>
        </w:rPr>
        <w:t xml:space="preserve"> for the accurate calculation of many key components of both the industry and national economic accounts.</w:t>
      </w:r>
      <w:r w:rsidR="00901657">
        <w:rPr>
          <w:rFonts w:ascii="Times New Roman" w:hAnsi="Times New Roman"/>
          <w:sz w:val="24"/>
          <w:szCs w:val="24"/>
        </w:rPr>
        <w:t xml:space="preserve"> </w:t>
      </w:r>
      <w:r w:rsidRPr="008416FE">
        <w:rPr>
          <w:rFonts w:ascii="Times New Roman" w:hAnsi="Times New Roman"/>
          <w:sz w:val="24"/>
          <w:szCs w:val="24"/>
        </w:rPr>
        <w:t>BEA argues that data collected in FERC Form No. 3-Q are indispensable to estimates of gross output, intermediate input, and value added in the U.S. economy for the utilities industry (NAICS 22).</w:t>
      </w:r>
      <w:r w:rsidR="00901657">
        <w:rPr>
          <w:rFonts w:ascii="Times New Roman" w:hAnsi="Times New Roman"/>
          <w:sz w:val="24"/>
          <w:szCs w:val="24"/>
        </w:rPr>
        <w:t xml:space="preserve"> </w:t>
      </w:r>
      <w:r w:rsidRPr="008416FE">
        <w:rPr>
          <w:rFonts w:ascii="Times New Roman" w:hAnsi="Times New Roman"/>
          <w:sz w:val="24"/>
          <w:szCs w:val="24"/>
        </w:rPr>
        <w:t>BEA explains that it uses data from the Energy Information Administration’s (EIA) Form 861M for electricity and EIA’s natural gas monthly programs as source data for the utilities industry, and that these programs integrate utility and natural gas company financial and operational information from FERC Form No. 3-Q.</w:t>
      </w:r>
      <w:r w:rsidR="00901657">
        <w:rPr>
          <w:rFonts w:ascii="Times New Roman" w:hAnsi="Times New Roman"/>
          <w:sz w:val="24"/>
          <w:szCs w:val="24"/>
        </w:rPr>
        <w:t xml:space="preserve"> </w:t>
      </w:r>
      <w:r w:rsidRPr="008416FE">
        <w:rPr>
          <w:rFonts w:ascii="Times New Roman" w:hAnsi="Times New Roman"/>
          <w:sz w:val="24"/>
          <w:szCs w:val="24"/>
        </w:rPr>
        <w:t>BEA further explains that it also uses FERC tabulations indirectly to estimate the Census Bureau’s construction VPIP for electric, gas, and pipeline utilities. Census’ VPIP estimates serve as a major source data input to the national income and product account’s NIPA fixed investment in structures estimates. BEA further explains that its fixed asset accounts (FAA), estimates of private fixed investment in structures by the utilities industry rely upon selected FERC data sets published by the EIA.</w:t>
      </w:r>
    </w:p>
    <w:p w:rsidR="00BE203B" w:rsidRPr="008416FE" w:rsidP="00FE3318" w14:paraId="5A928428" w14:textId="77777777">
      <w:pPr>
        <w:pStyle w:val="ListParagraph"/>
        <w:spacing w:after="0" w:line="240" w:lineRule="auto"/>
        <w:ind w:left="360"/>
        <w:rPr>
          <w:rFonts w:ascii="Times New Roman" w:hAnsi="Times New Roman"/>
          <w:sz w:val="24"/>
          <w:szCs w:val="24"/>
        </w:rPr>
      </w:pPr>
    </w:p>
    <w:p w:rsidR="003A7AA7" w:rsidRPr="008416FE" w:rsidP="00FC1F9A" w14:paraId="2148B742" w14:textId="371E2476">
      <w:pPr>
        <w:spacing w:after="0" w:line="240" w:lineRule="auto"/>
        <w:rPr>
          <w:rFonts w:ascii="Times New Roman" w:hAnsi="Times New Roman"/>
          <w:sz w:val="24"/>
          <w:szCs w:val="24"/>
        </w:rPr>
      </w:pPr>
      <w:r w:rsidRPr="008416FE">
        <w:rPr>
          <w:rFonts w:ascii="Times New Roman" w:hAnsi="Times New Roman"/>
          <w:sz w:val="24"/>
          <w:szCs w:val="24"/>
        </w:rPr>
        <w:t xml:space="preserve">EEI, </w:t>
      </w:r>
      <w:r w:rsidRPr="008416FE" w:rsidR="006C3EE2">
        <w:rPr>
          <w:rFonts w:ascii="Times New Roman" w:hAnsi="Times New Roman"/>
          <w:sz w:val="24"/>
          <w:szCs w:val="24"/>
        </w:rPr>
        <w:t>AEP</w:t>
      </w:r>
      <w:r w:rsidRPr="008416FE" w:rsidR="00022D79">
        <w:rPr>
          <w:rFonts w:ascii="Times New Roman" w:hAnsi="Times New Roman"/>
          <w:sz w:val="24"/>
          <w:szCs w:val="24"/>
        </w:rPr>
        <w:t>, Duke Energy</w:t>
      </w:r>
      <w:r w:rsidRPr="008416FE" w:rsidR="001F19D3">
        <w:rPr>
          <w:rFonts w:ascii="Times New Roman" w:hAnsi="Times New Roman"/>
          <w:sz w:val="24"/>
          <w:szCs w:val="24"/>
        </w:rPr>
        <w:t>, Entergy</w:t>
      </w:r>
      <w:r w:rsidRPr="008416FE" w:rsidR="004251F1">
        <w:rPr>
          <w:rFonts w:ascii="Times New Roman" w:hAnsi="Times New Roman"/>
          <w:sz w:val="24"/>
          <w:szCs w:val="24"/>
        </w:rPr>
        <w:t xml:space="preserve">, </w:t>
      </w:r>
      <w:r w:rsidRPr="008416FE" w:rsidR="00CC0F4F">
        <w:rPr>
          <w:rFonts w:ascii="Times New Roman" w:hAnsi="Times New Roman"/>
          <w:sz w:val="24"/>
          <w:szCs w:val="24"/>
        </w:rPr>
        <w:t xml:space="preserve">Exelon, </w:t>
      </w:r>
      <w:r w:rsidRPr="008416FE" w:rsidR="001A1734">
        <w:rPr>
          <w:rFonts w:ascii="Times New Roman" w:hAnsi="Times New Roman"/>
          <w:sz w:val="24"/>
          <w:szCs w:val="24"/>
        </w:rPr>
        <w:t>FirstEnergy,</w:t>
      </w:r>
      <w:r w:rsidRPr="008416FE" w:rsidR="004251F1">
        <w:rPr>
          <w:rFonts w:ascii="Times New Roman" w:hAnsi="Times New Roman"/>
          <w:sz w:val="24"/>
          <w:szCs w:val="24"/>
        </w:rPr>
        <w:t xml:space="preserve"> PGE</w:t>
      </w:r>
      <w:r w:rsidRPr="008416FE" w:rsidR="00C72464">
        <w:rPr>
          <w:rFonts w:ascii="Times New Roman" w:hAnsi="Times New Roman"/>
          <w:sz w:val="24"/>
          <w:szCs w:val="24"/>
        </w:rPr>
        <w:t>, and PPL</w:t>
      </w:r>
      <w:r w:rsidRPr="008416FE" w:rsidR="00DD2A7A">
        <w:rPr>
          <w:rFonts w:ascii="Times New Roman" w:hAnsi="Times New Roman"/>
          <w:sz w:val="24"/>
          <w:szCs w:val="24"/>
        </w:rPr>
        <w:t xml:space="preserve"> </w:t>
      </w:r>
      <w:r w:rsidRPr="008416FE" w:rsidR="007D73FC">
        <w:rPr>
          <w:rFonts w:ascii="Times New Roman" w:hAnsi="Times New Roman"/>
          <w:sz w:val="24"/>
          <w:szCs w:val="24"/>
        </w:rPr>
        <w:t>state</w:t>
      </w:r>
      <w:r w:rsidRPr="008416FE" w:rsidR="00DD2A7A">
        <w:rPr>
          <w:rFonts w:ascii="Times New Roman" w:hAnsi="Times New Roman"/>
          <w:sz w:val="24"/>
          <w:szCs w:val="24"/>
        </w:rPr>
        <w:t xml:space="preserve"> they are </w:t>
      </w:r>
      <w:r w:rsidRPr="008416FE" w:rsidR="006C3EE2">
        <w:rPr>
          <w:rFonts w:ascii="Times New Roman" w:hAnsi="Times New Roman"/>
          <w:sz w:val="24"/>
          <w:szCs w:val="24"/>
        </w:rPr>
        <w:t>supportive of the Commission’s overall objective to achieve vigilant</w:t>
      </w:r>
      <w:r w:rsidRPr="008416FE" w:rsidR="007A3ECD">
        <w:rPr>
          <w:rFonts w:ascii="Times New Roman" w:hAnsi="Times New Roman"/>
          <w:sz w:val="24"/>
          <w:szCs w:val="24"/>
        </w:rPr>
        <w:t xml:space="preserve"> </w:t>
      </w:r>
      <w:r w:rsidRPr="008416FE" w:rsidR="006C3EE2">
        <w:rPr>
          <w:rFonts w:ascii="Times New Roman" w:hAnsi="Times New Roman"/>
          <w:sz w:val="24"/>
          <w:szCs w:val="24"/>
        </w:rPr>
        <w:t xml:space="preserve">oversight of reporting entities. </w:t>
      </w:r>
      <w:r w:rsidRPr="008416FE" w:rsidR="001526FA">
        <w:rPr>
          <w:rFonts w:ascii="Times New Roman" w:hAnsi="Times New Roman"/>
          <w:sz w:val="24"/>
          <w:szCs w:val="24"/>
        </w:rPr>
        <w:t>They</w:t>
      </w:r>
      <w:r w:rsidRPr="008416FE" w:rsidR="006C3EE2">
        <w:rPr>
          <w:rFonts w:ascii="Times New Roman" w:hAnsi="Times New Roman"/>
          <w:sz w:val="24"/>
          <w:szCs w:val="24"/>
        </w:rPr>
        <w:t xml:space="preserve"> believe that the Commission meets this objective through the</w:t>
      </w:r>
      <w:r w:rsidRPr="008416FE" w:rsidR="007A3ECD">
        <w:rPr>
          <w:rFonts w:ascii="Times New Roman" w:hAnsi="Times New Roman"/>
          <w:sz w:val="24"/>
          <w:szCs w:val="24"/>
        </w:rPr>
        <w:t xml:space="preserve"> </w:t>
      </w:r>
      <w:r w:rsidRPr="008416FE" w:rsidR="006C3EE2">
        <w:rPr>
          <w:rFonts w:ascii="Times New Roman" w:hAnsi="Times New Roman"/>
          <w:sz w:val="24"/>
          <w:szCs w:val="24"/>
        </w:rPr>
        <w:t xml:space="preserve">data presently collected in the annual </w:t>
      </w:r>
      <w:r w:rsidRPr="008416FE" w:rsidR="0095094E">
        <w:rPr>
          <w:rFonts w:ascii="Times New Roman" w:hAnsi="Times New Roman"/>
          <w:sz w:val="24"/>
          <w:szCs w:val="24"/>
        </w:rPr>
        <w:t xml:space="preserve">FERC </w:t>
      </w:r>
      <w:r w:rsidRPr="008416FE" w:rsidR="006C3EE2">
        <w:rPr>
          <w:rFonts w:ascii="Times New Roman" w:hAnsi="Times New Roman"/>
          <w:sz w:val="24"/>
          <w:szCs w:val="24"/>
        </w:rPr>
        <w:t>Form No. 1.</w:t>
      </w:r>
      <w:r w:rsidR="00901657">
        <w:rPr>
          <w:rFonts w:ascii="Times New Roman" w:hAnsi="Times New Roman"/>
          <w:sz w:val="24"/>
          <w:szCs w:val="24"/>
        </w:rPr>
        <w:t xml:space="preserve"> </w:t>
      </w:r>
      <w:r w:rsidRPr="008416FE" w:rsidR="00EE678F">
        <w:rPr>
          <w:rFonts w:ascii="Times New Roman" w:hAnsi="Times New Roman"/>
          <w:sz w:val="24"/>
          <w:szCs w:val="24"/>
        </w:rPr>
        <w:t>They note that FERC Form No. 1 is used, among other things, by the Commission in calculating rates for jurisdictional customers, by state commissions in calculating retail rates, and by various other parties in making investment decisions</w:t>
      </w:r>
      <w:r w:rsidRPr="008416FE" w:rsidR="00D10BD7">
        <w:rPr>
          <w:rFonts w:ascii="Times New Roman" w:hAnsi="Times New Roman"/>
          <w:sz w:val="24"/>
          <w:szCs w:val="24"/>
        </w:rPr>
        <w:t>.</w:t>
      </w:r>
      <w:r w:rsidRPr="008416FE" w:rsidR="00C173C1">
        <w:rPr>
          <w:rFonts w:ascii="Times New Roman" w:hAnsi="Times New Roman"/>
          <w:sz w:val="24"/>
          <w:szCs w:val="24"/>
        </w:rPr>
        <w:t xml:space="preserve"> </w:t>
      </w:r>
    </w:p>
    <w:p w:rsidR="00A63A5E" w:rsidRPr="008416FE" w:rsidP="005146F4" w14:paraId="240AF816" w14:textId="77777777">
      <w:pPr>
        <w:pStyle w:val="FERCparanumber"/>
        <w:numPr>
          <w:ilvl w:val="0"/>
          <w:numId w:val="0"/>
        </w:numPr>
        <w:autoSpaceDE w:val="0"/>
        <w:autoSpaceDN w:val="0"/>
        <w:adjustRightInd w:val="0"/>
        <w:ind w:left="360"/>
        <w:rPr>
          <w:i/>
          <w:iCs/>
          <w:sz w:val="24"/>
        </w:rPr>
      </w:pPr>
    </w:p>
    <w:p w:rsidR="00F15997" w:rsidRPr="008416FE" w:rsidP="00FC1F9A" w14:paraId="0C9211B8" w14:textId="5DDEFDC1">
      <w:pPr>
        <w:pStyle w:val="FERCparanumber"/>
        <w:numPr>
          <w:ilvl w:val="0"/>
          <w:numId w:val="0"/>
        </w:numPr>
        <w:autoSpaceDE w:val="0"/>
        <w:autoSpaceDN w:val="0"/>
        <w:adjustRightInd w:val="0"/>
        <w:rPr>
          <w:sz w:val="24"/>
        </w:rPr>
      </w:pPr>
      <w:r w:rsidRPr="008416FE">
        <w:rPr>
          <w:sz w:val="24"/>
        </w:rPr>
        <w:t xml:space="preserve">EEI </w:t>
      </w:r>
      <w:r w:rsidRPr="008416FE" w:rsidR="00BC7363">
        <w:rPr>
          <w:sz w:val="24"/>
        </w:rPr>
        <w:t xml:space="preserve">and the </w:t>
      </w:r>
      <w:r w:rsidRPr="008416FE" w:rsidR="00364DC7">
        <w:rPr>
          <w:sz w:val="24"/>
        </w:rPr>
        <w:t>E</w:t>
      </w:r>
      <w:r w:rsidRPr="008416FE" w:rsidR="00BC7363">
        <w:rPr>
          <w:sz w:val="24"/>
        </w:rPr>
        <w:t xml:space="preserve">lectric </w:t>
      </w:r>
      <w:r w:rsidRPr="008416FE" w:rsidR="00364DC7">
        <w:rPr>
          <w:sz w:val="24"/>
        </w:rPr>
        <w:t>U</w:t>
      </w:r>
      <w:r w:rsidRPr="008416FE" w:rsidR="00BC7363">
        <w:rPr>
          <w:sz w:val="24"/>
        </w:rPr>
        <w:t xml:space="preserve">tility </w:t>
      </w:r>
      <w:r w:rsidRPr="008416FE" w:rsidR="00364DC7">
        <w:rPr>
          <w:sz w:val="24"/>
        </w:rPr>
        <w:t>C</w:t>
      </w:r>
      <w:r w:rsidRPr="008416FE" w:rsidR="00BC7363">
        <w:rPr>
          <w:sz w:val="24"/>
        </w:rPr>
        <w:t xml:space="preserve">ompanies </w:t>
      </w:r>
      <w:r w:rsidRPr="008416FE" w:rsidR="0007442E">
        <w:rPr>
          <w:sz w:val="24"/>
        </w:rPr>
        <w:t xml:space="preserve">filed comments that </w:t>
      </w:r>
      <w:r w:rsidRPr="008416FE">
        <w:rPr>
          <w:sz w:val="24"/>
        </w:rPr>
        <w:t xml:space="preserve">propose eliminating </w:t>
      </w:r>
      <w:r w:rsidRPr="008416FE" w:rsidR="002F6403">
        <w:rPr>
          <w:sz w:val="24"/>
        </w:rPr>
        <w:t xml:space="preserve">FERC Form No. </w:t>
      </w:r>
      <w:r w:rsidRPr="008416FE">
        <w:rPr>
          <w:sz w:val="24"/>
        </w:rPr>
        <w:t>3-Q</w:t>
      </w:r>
      <w:r w:rsidRPr="008416FE" w:rsidR="00514A7C">
        <w:rPr>
          <w:sz w:val="24"/>
        </w:rPr>
        <w:t>.</w:t>
      </w:r>
      <w:r w:rsidR="00901657">
        <w:rPr>
          <w:sz w:val="24"/>
        </w:rPr>
        <w:t xml:space="preserve"> </w:t>
      </w:r>
      <w:r w:rsidRPr="008416FE" w:rsidR="0027293C">
        <w:rPr>
          <w:sz w:val="24"/>
        </w:rPr>
        <w:t xml:space="preserve">They </w:t>
      </w:r>
      <w:r w:rsidRPr="008416FE">
        <w:rPr>
          <w:sz w:val="24"/>
        </w:rPr>
        <w:t>claim that FERC Form No. 3-Q has little to no value to the Commission’s objective to achieve vigilant oversight of reporting</w:t>
      </w:r>
      <w:r w:rsidRPr="008416FE" w:rsidR="0027293C">
        <w:rPr>
          <w:sz w:val="24"/>
        </w:rPr>
        <w:t xml:space="preserve">, </w:t>
      </w:r>
      <w:r w:rsidRPr="008416FE" w:rsidR="000A6B33">
        <w:rPr>
          <w:sz w:val="24"/>
        </w:rPr>
        <w:t>a</w:t>
      </w:r>
      <w:r w:rsidRPr="008416FE" w:rsidR="0089552C">
        <w:rPr>
          <w:sz w:val="24"/>
        </w:rPr>
        <w:t>rgue</w:t>
      </w:r>
      <w:r w:rsidRPr="008416FE">
        <w:rPr>
          <w:sz w:val="24"/>
        </w:rPr>
        <w:t xml:space="preserve"> that FERC Form No. 3-Q does not lend itself to identification of emerging trends or the economic effects of significant transactions and events</w:t>
      </w:r>
      <w:r w:rsidRPr="008416FE" w:rsidR="0027293C">
        <w:rPr>
          <w:sz w:val="24"/>
        </w:rPr>
        <w:t>,</w:t>
      </w:r>
      <w:r w:rsidRPr="008416FE">
        <w:rPr>
          <w:sz w:val="24"/>
        </w:rPr>
        <w:t xml:space="preserve"> and </w:t>
      </w:r>
      <w:r w:rsidRPr="008416FE" w:rsidR="0027293C">
        <w:rPr>
          <w:sz w:val="24"/>
        </w:rPr>
        <w:t xml:space="preserve">assert </w:t>
      </w:r>
      <w:r w:rsidRPr="008416FE">
        <w:rPr>
          <w:sz w:val="24"/>
        </w:rPr>
        <w:t>that FERC Form No. 3-Q has no bearing on formula rate determination</w:t>
      </w:r>
      <w:r w:rsidRPr="008416FE" w:rsidR="00E958C1">
        <w:rPr>
          <w:sz w:val="24"/>
        </w:rPr>
        <w:t>s.</w:t>
      </w:r>
      <w:r w:rsidRPr="008416FE">
        <w:rPr>
          <w:sz w:val="24"/>
        </w:rPr>
        <w:t xml:space="preserve"> </w:t>
      </w:r>
    </w:p>
    <w:p w:rsidR="00535FAD" w:rsidRPr="008416FE" w:rsidP="0099209E" w14:paraId="50E4C90A" w14:textId="77777777">
      <w:pPr>
        <w:pStyle w:val="FERCparanumber"/>
        <w:numPr>
          <w:ilvl w:val="0"/>
          <w:numId w:val="0"/>
        </w:numPr>
        <w:autoSpaceDE w:val="0"/>
        <w:autoSpaceDN w:val="0"/>
        <w:adjustRightInd w:val="0"/>
        <w:ind w:left="360"/>
        <w:rPr>
          <w:sz w:val="24"/>
        </w:rPr>
      </w:pPr>
    </w:p>
    <w:p w:rsidR="009B32B8" w:rsidRPr="008416FE" w:rsidP="00FC1F9A" w14:paraId="379A1AEA" w14:textId="49536072">
      <w:pPr>
        <w:pStyle w:val="FERCparanumber"/>
        <w:numPr>
          <w:ilvl w:val="0"/>
          <w:numId w:val="0"/>
        </w:numPr>
        <w:rPr>
          <w:sz w:val="24"/>
        </w:rPr>
      </w:pPr>
      <w:r w:rsidRPr="008416FE">
        <w:rPr>
          <w:sz w:val="24"/>
        </w:rPr>
        <w:t xml:space="preserve">EEI, AEP, Duke Energy, </w:t>
      </w:r>
      <w:r w:rsidRPr="008416FE" w:rsidR="00551FC2">
        <w:rPr>
          <w:sz w:val="24"/>
        </w:rPr>
        <w:t xml:space="preserve">Exelon, </w:t>
      </w:r>
      <w:r w:rsidRPr="008416FE">
        <w:rPr>
          <w:sz w:val="24"/>
        </w:rPr>
        <w:t xml:space="preserve">PGE, and </w:t>
      </w:r>
      <w:r w:rsidRPr="008416FE" w:rsidR="00551FC2">
        <w:rPr>
          <w:sz w:val="24"/>
        </w:rPr>
        <w:t>PPL</w:t>
      </w:r>
      <w:r w:rsidRPr="008416FE">
        <w:rPr>
          <w:sz w:val="24"/>
        </w:rPr>
        <w:t xml:space="preserve"> </w:t>
      </w:r>
      <w:r w:rsidRPr="008416FE" w:rsidR="00A00AF1">
        <w:rPr>
          <w:sz w:val="24"/>
        </w:rPr>
        <w:t xml:space="preserve">argue that </w:t>
      </w:r>
      <w:r w:rsidRPr="008416FE">
        <w:rPr>
          <w:sz w:val="24"/>
        </w:rPr>
        <w:t xml:space="preserve">it is unclear exactly how and to what extent FERC uses the </w:t>
      </w:r>
      <w:r w:rsidRPr="008416FE" w:rsidR="0027293C">
        <w:rPr>
          <w:sz w:val="24"/>
        </w:rPr>
        <w:t xml:space="preserve">3-Q </w:t>
      </w:r>
      <w:r w:rsidRPr="008416FE">
        <w:rPr>
          <w:sz w:val="24"/>
        </w:rPr>
        <w:t xml:space="preserve">quarterly data in its oversight capacity. </w:t>
      </w:r>
      <w:r w:rsidRPr="008416FE" w:rsidR="00282F75">
        <w:rPr>
          <w:sz w:val="24"/>
        </w:rPr>
        <w:t>EEI state</w:t>
      </w:r>
      <w:r w:rsidRPr="008416FE" w:rsidR="00A663FD">
        <w:rPr>
          <w:sz w:val="24"/>
        </w:rPr>
        <w:t>s</w:t>
      </w:r>
      <w:r w:rsidRPr="008416FE" w:rsidR="00282F75">
        <w:rPr>
          <w:sz w:val="24"/>
        </w:rPr>
        <w:t xml:space="preserve"> that </w:t>
      </w:r>
      <w:r w:rsidRPr="008416FE" w:rsidR="00B91E47">
        <w:rPr>
          <w:sz w:val="24"/>
        </w:rPr>
        <w:t xml:space="preserve">its </w:t>
      </w:r>
      <w:r w:rsidRPr="008416FE" w:rsidR="00787AA4">
        <w:rPr>
          <w:sz w:val="24"/>
        </w:rPr>
        <w:t>member</w:t>
      </w:r>
      <w:r w:rsidRPr="008416FE" w:rsidR="00B91E47">
        <w:rPr>
          <w:sz w:val="24"/>
        </w:rPr>
        <w:t>s</w:t>
      </w:r>
      <w:r w:rsidRPr="008416FE" w:rsidR="00787AA4">
        <w:rPr>
          <w:sz w:val="24"/>
        </w:rPr>
        <w:t xml:space="preserve"> ha</w:t>
      </w:r>
      <w:r w:rsidRPr="008416FE" w:rsidR="00A663FD">
        <w:rPr>
          <w:sz w:val="24"/>
        </w:rPr>
        <w:t>ve</w:t>
      </w:r>
      <w:r w:rsidRPr="008416FE" w:rsidR="00787AA4">
        <w:rPr>
          <w:sz w:val="24"/>
        </w:rPr>
        <w:t xml:space="preserve"> </w:t>
      </w:r>
      <w:r w:rsidRPr="008416FE" w:rsidR="00E204CA">
        <w:rPr>
          <w:sz w:val="24"/>
        </w:rPr>
        <w:t>n</w:t>
      </w:r>
      <w:r w:rsidRPr="008416FE" w:rsidR="00787AA4">
        <w:rPr>
          <w:sz w:val="24"/>
        </w:rPr>
        <w:t>ever been contacted about a FERC Form No. 3-Q filing</w:t>
      </w:r>
      <w:r w:rsidRPr="008416FE" w:rsidR="0027293C">
        <w:rPr>
          <w:sz w:val="24"/>
        </w:rPr>
        <w:t>.</w:t>
      </w:r>
      <w:r w:rsidRPr="008416FE" w:rsidR="00282F75">
        <w:rPr>
          <w:sz w:val="24"/>
        </w:rPr>
        <w:t xml:space="preserve"> </w:t>
      </w:r>
      <w:r w:rsidRPr="008416FE" w:rsidR="006E2FBF">
        <w:rPr>
          <w:sz w:val="24"/>
        </w:rPr>
        <w:t>Similarly, of the Electric Utility Companies filing comments in this proceeding, only Duke Energy and AEP stated that they received requests about the information reported in their FERC Form No. 3-Qs in recent years.</w:t>
      </w:r>
      <w:r w:rsidR="00901657">
        <w:rPr>
          <w:sz w:val="24"/>
        </w:rPr>
        <w:t xml:space="preserve"> </w:t>
      </w:r>
      <w:r w:rsidRPr="008416FE" w:rsidR="00A653CC">
        <w:rPr>
          <w:sz w:val="24"/>
        </w:rPr>
        <w:t xml:space="preserve">In addition, </w:t>
      </w:r>
      <w:r w:rsidRPr="008416FE" w:rsidR="00A95461">
        <w:rPr>
          <w:sz w:val="24"/>
        </w:rPr>
        <w:t xml:space="preserve">FirstEnergy </w:t>
      </w:r>
      <w:r w:rsidRPr="008416FE" w:rsidR="00D31CEC">
        <w:rPr>
          <w:sz w:val="24"/>
        </w:rPr>
        <w:t xml:space="preserve">argues that it </w:t>
      </w:r>
      <w:r w:rsidRPr="008416FE" w:rsidR="007360E0">
        <w:rPr>
          <w:sz w:val="24"/>
        </w:rPr>
        <w:t>could</w:t>
      </w:r>
      <w:r w:rsidRPr="008416FE" w:rsidR="00A95461">
        <w:rPr>
          <w:sz w:val="24"/>
        </w:rPr>
        <w:t xml:space="preserve"> not identify any reference in an audit report or FERC </w:t>
      </w:r>
      <w:r w:rsidRPr="008416FE" w:rsidR="007360E0">
        <w:rPr>
          <w:sz w:val="24"/>
        </w:rPr>
        <w:t xml:space="preserve">enforcement </w:t>
      </w:r>
      <w:r w:rsidRPr="008416FE" w:rsidR="00A95461">
        <w:rPr>
          <w:sz w:val="24"/>
        </w:rPr>
        <w:t xml:space="preserve">action </w:t>
      </w:r>
      <w:r w:rsidRPr="008416FE" w:rsidR="007360E0">
        <w:rPr>
          <w:sz w:val="24"/>
        </w:rPr>
        <w:t xml:space="preserve">to </w:t>
      </w:r>
      <w:r w:rsidRPr="008416FE" w:rsidR="00A95461">
        <w:rPr>
          <w:sz w:val="24"/>
        </w:rPr>
        <w:t>FERC Form No. 3-Q.</w:t>
      </w:r>
    </w:p>
    <w:p w:rsidR="009B32B8" w:rsidRPr="008416FE" w:rsidP="00A86229" w14:paraId="5379B482" w14:textId="77777777">
      <w:pPr>
        <w:pStyle w:val="FERCparanumber"/>
        <w:numPr>
          <w:ilvl w:val="0"/>
          <w:numId w:val="0"/>
        </w:numPr>
        <w:ind w:left="360"/>
        <w:rPr>
          <w:sz w:val="24"/>
        </w:rPr>
      </w:pPr>
    </w:p>
    <w:p w:rsidR="001520D0" w:rsidRPr="008416FE" w:rsidP="00FC1F9A" w14:paraId="3BA6683D" w14:textId="245F9DF6">
      <w:pPr>
        <w:pStyle w:val="FERCparanumber"/>
        <w:numPr>
          <w:ilvl w:val="0"/>
          <w:numId w:val="0"/>
        </w:numPr>
        <w:autoSpaceDE w:val="0"/>
        <w:autoSpaceDN w:val="0"/>
        <w:adjustRightInd w:val="0"/>
        <w:rPr>
          <w:sz w:val="24"/>
        </w:rPr>
      </w:pPr>
      <w:r w:rsidRPr="008416FE">
        <w:rPr>
          <w:sz w:val="24"/>
        </w:rPr>
        <w:t>EEI</w:t>
      </w:r>
      <w:r w:rsidRPr="008416FE" w:rsidR="005116A4">
        <w:rPr>
          <w:sz w:val="24"/>
        </w:rPr>
        <w:t xml:space="preserve"> and Entergy</w:t>
      </w:r>
      <w:r w:rsidRPr="008416FE">
        <w:rPr>
          <w:sz w:val="24"/>
        </w:rPr>
        <w:t xml:space="preserve"> </w:t>
      </w:r>
      <w:r w:rsidRPr="008416FE" w:rsidR="0022098C">
        <w:rPr>
          <w:sz w:val="24"/>
        </w:rPr>
        <w:t>comment</w:t>
      </w:r>
      <w:r w:rsidRPr="008416FE">
        <w:rPr>
          <w:sz w:val="24"/>
        </w:rPr>
        <w:t xml:space="preserve"> that President Trump’s Executive Order</w:t>
      </w:r>
      <w:r w:rsidRPr="008416FE" w:rsidR="00C65BAE">
        <w:rPr>
          <w:sz w:val="24"/>
        </w:rPr>
        <w:t>,</w:t>
      </w:r>
      <w:r w:rsidRPr="008416FE">
        <w:rPr>
          <w:sz w:val="24"/>
        </w:rPr>
        <w:t xml:space="preserve"> Unleashing Prosperity Through Deregulation</w:t>
      </w:r>
      <w:r w:rsidRPr="008416FE" w:rsidR="00C65BAE">
        <w:rPr>
          <w:sz w:val="24"/>
        </w:rPr>
        <w:t>,</w:t>
      </w:r>
      <w:r w:rsidRPr="008416FE">
        <w:rPr>
          <w:sz w:val="24"/>
        </w:rPr>
        <w:t xml:space="preserve"> states it is the “policy of the executive branch to be prudent and financially responsible in the expenditure of funds, from both public and private sources, and to alleviate unnecessary regulatory burdens placed on the American people.”</w:t>
      </w:r>
      <w:r>
        <w:rPr>
          <w:b/>
          <w:bCs/>
          <w:sz w:val="24"/>
          <w:vertAlign w:val="superscript"/>
        </w:rPr>
        <w:footnoteReference w:id="20"/>
      </w:r>
      <w:r w:rsidRPr="008416FE" w:rsidR="0037575F">
        <w:rPr>
          <w:sz w:val="24"/>
        </w:rPr>
        <w:t xml:space="preserve"> </w:t>
      </w:r>
      <w:r w:rsidRPr="008416FE">
        <w:rPr>
          <w:sz w:val="24"/>
        </w:rPr>
        <w:t xml:space="preserve">EEI </w:t>
      </w:r>
      <w:r w:rsidRPr="008416FE" w:rsidR="00023FC0">
        <w:rPr>
          <w:sz w:val="24"/>
        </w:rPr>
        <w:t>argues that</w:t>
      </w:r>
      <w:r w:rsidRPr="008416FE">
        <w:rPr>
          <w:sz w:val="24"/>
        </w:rPr>
        <w:t xml:space="preserve"> the clear spirit of th</w:t>
      </w:r>
      <w:r w:rsidRPr="008416FE" w:rsidR="00E700B3">
        <w:rPr>
          <w:sz w:val="24"/>
        </w:rPr>
        <w:t>e</w:t>
      </w:r>
      <w:r w:rsidRPr="008416FE">
        <w:rPr>
          <w:sz w:val="24"/>
        </w:rPr>
        <w:t xml:space="preserve"> Executive Order is for </w:t>
      </w:r>
      <w:r w:rsidRPr="008416FE" w:rsidR="00E47561">
        <w:rPr>
          <w:sz w:val="24"/>
        </w:rPr>
        <w:t>f</w:t>
      </w:r>
      <w:r w:rsidRPr="008416FE">
        <w:rPr>
          <w:sz w:val="24"/>
        </w:rPr>
        <w:t xml:space="preserve">ederal </w:t>
      </w:r>
      <w:r w:rsidRPr="008416FE" w:rsidR="00E47561">
        <w:rPr>
          <w:sz w:val="24"/>
        </w:rPr>
        <w:t>a</w:t>
      </w:r>
      <w:r w:rsidRPr="008416FE">
        <w:rPr>
          <w:sz w:val="24"/>
        </w:rPr>
        <w:t>gencies to seek opportunities to reduce or eliminate regulations wherever feasible.</w:t>
      </w:r>
      <w:r w:rsidRPr="008416FE" w:rsidR="00F97586">
        <w:rPr>
          <w:sz w:val="24"/>
        </w:rPr>
        <w:t xml:space="preserve"> As a result, EEI </w:t>
      </w:r>
      <w:r w:rsidRPr="008416FE" w:rsidR="00AE6F25">
        <w:rPr>
          <w:sz w:val="24"/>
        </w:rPr>
        <w:t>explains that</w:t>
      </w:r>
      <w:r w:rsidR="005411F6">
        <w:rPr>
          <w:sz w:val="24"/>
        </w:rPr>
        <w:t xml:space="preserve"> it</w:t>
      </w:r>
      <w:r w:rsidRPr="008416FE" w:rsidR="00AE6F25">
        <w:rPr>
          <w:sz w:val="24"/>
        </w:rPr>
        <w:t xml:space="preserve"> </w:t>
      </w:r>
      <w:r w:rsidRPr="008416FE" w:rsidR="00F97586">
        <w:rPr>
          <w:sz w:val="24"/>
        </w:rPr>
        <w:t xml:space="preserve">is requesting that the Commission strongly consider </w:t>
      </w:r>
      <w:r w:rsidRPr="008416FE" w:rsidR="008F4966">
        <w:rPr>
          <w:sz w:val="24"/>
        </w:rPr>
        <w:t xml:space="preserve">what EEI sees as </w:t>
      </w:r>
      <w:r w:rsidRPr="008416FE" w:rsidR="00F97586">
        <w:rPr>
          <w:sz w:val="24"/>
        </w:rPr>
        <w:t xml:space="preserve">the limited value that </w:t>
      </w:r>
      <w:r w:rsidRPr="008416FE" w:rsidR="00863CA5">
        <w:rPr>
          <w:sz w:val="24"/>
        </w:rPr>
        <w:t xml:space="preserve">FERC </w:t>
      </w:r>
      <w:r w:rsidRPr="008416FE" w:rsidR="00F97586">
        <w:rPr>
          <w:sz w:val="24"/>
        </w:rPr>
        <w:t xml:space="preserve">Form No. 3-Q has in accomplishing </w:t>
      </w:r>
      <w:r w:rsidRPr="008416FE" w:rsidR="00863CA5">
        <w:rPr>
          <w:sz w:val="24"/>
        </w:rPr>
        <w:t>the Commission</w:t>
      </w:r>
      <w:r w:rsidRPr="008416FE" w:rsidR="00F97586">
        <w:rPr>
          <w:sz w:val="24"/>
        </w:rPr>
        <w:t>’s oversight mission</w:t>
      </w:r>
      <w:r w:rsidRPr="008416FE" w:rsidR="002420A9">
        <w:rPr>
          <w:sz w:val="24"/>
        </w:rPr>
        <w:t>.</w:t>
      </w:r>
      <w:r w:rsidR="00901657">
        <w:rPr>
          <w:sz w:val="24"/>
        </w:rPr>
        <w:t xml:space="preserve"> </w:t>
      </w:r>
    </w:p>
    <w:p w:rsidR="00744817" w:rsidRPr="008416FE" w:rsidP="00744817" w14:paraId="3D82284A" w14:textId="77777777">
      <w:pPr>
        <w:pStyle w:val="FERCparanumber"/>
        <w:numPr>
          <w:ilvl w:val="0"/>
          <w:numId w:val="0"/>
        </w:numPr>
        <w:ind w:left="360"/>
        <w:rPr>
          <w:sz w:val="24"/>
        </w:rPr>
      </w:pPr>
    </w:p>
    <w:p w:rsidR="006737AF" w:rsidRPr="008416FE" w:rsidP="00FC1F9A" w14:paraId="318777A2" w14:textId="5B66FA17">
      <w:pPr>
        <w:pStyle w:val="FERCparanumber"/>
        <w:numPr>
          <w:ilvl w:val="0"/>
          <w:numId w:val="0"/>
        </w:numPr>
        <w:rPr>
          <w:sz w:val="24"/>
        </w:rPr>
      </w:pPr>
      <w:r w:rsidRPr="008416FE">
        <w:rPr>
          <w:sz w:val="24"/>
        </w:rPr>
        <w:t xml:space="preserve">AEP, </w:t>
      </w:r>
      <w:r w:rsidRPr="008416FE" w:rsidR="00F16CD2">
        <w:rPr>
          <w:sz w:val="24"/>
        </w:rPr>
        <w:t>Duke Energy</w:t>
      </w:r>
      <w:r w:rsidRPr="008416FE" w:rsidR="0088787D">
        <w:rPr>
          <w:sz w:val="24"/>
        </w:rPr>
        <w:t>,</w:t>
      </w:r>
      <w:r w:rsidRPr="008416FE" w:rsidR="00744817">
        <w:rPr>
          <w:sz w:val="24"/>
        </w:rPr>
        <w:t xml:space="preserve"> PGE</w:t>
      </w:r>
      <w:r w:rsidRPr="008416FE" w:rsidR="002D37B3">
        <w:rPr>
          <w:sz w:val="24"/>
        </w:rPr>
        <w:t>, and PPL</w:t>
      </w:r>
      <w:r w:rsidRPr="008416FE" w:rsidR="00F16CD2">
        <w:rPr>
          <w:sz w:val="24"/>
        </w:rPr>
        <w:t xml:space="preserve"> </w:t>
      </w:r>
      <w:r w:rsidRPr="008416FE" w:rsidR="009F175C">
        <w:rPr>
          <w:sz w:val="24"/>
        </w:rPr>
        <w:t xml:space="preserve">argue </w:t>
      </w:r>
      <w:r w:rsidRPr="008416FE" w:rsidR="00F16CD2">
        <w:rPr>
          <w:sz w:val="24"/>
        </w:rPr>
        <w:t>that Order No.</w:t>
      </w:r>
      <w:r w:rsidRPr="008416FE" w:rsidR="00084C3E">
        <w:rPr>
          <w:sz w:val="24"/>
        </w:rPr>
        <w:t xml:space="preserve"> </w:t>
      </w:r>
      <w:r w:rsidRPr="008416FE" w:rsidR="00F16CD2">
        <w:rPr>
          <w:sz w:val="24"/>
        </w:rPr>
        <w:t>646</w:t>
      </w:r>
      <w:r w:rsidRPr="008416FE" w:rsidR="003F1C6A">
        <w:rPr>
          <w:sz w:val="24"/>
        </w:rPr>
        <w:t>’s</w:t>
      </w:r>
      <w:r>
        <w:rPr>
          <w:b/>
          <w:bCs/>
          <w:sz w:val="24"/>
          <w:vertAlign w:val="superscript"/>
        </w:rPr>
        <w:footnoteReference w:id="21"/>
      </w:r>
      <w:r w:rsidRPr="008416FE" w:rsidR="00F16CD2">
        <w:rPr>
          <w:sz w:val="24"/>
        </w:rPr>
        <w:t xml:space="preserve"> </w:t>
      </w:r>
      <w:r w:rsidRPr="008416FE" w:rsidR="00035546">
        <w:rPr>
          <w:sz w:val="24"/>
        </w:rPr>
        <w:t>goal</w:t>
      </w:r>
      <w:r w:rsidRPr="008416FE" w:rsidR="0088787D">
        <w:rPr>
          <w:sz w:val="24"/>
        </w:rPr>
        <w:t xml:space="preserve"> </w:t>
      </w:r>
      <w:r w:rsidRPr="008416FE" w:rsidR="00554E71">
        <w:rPr>
          <w:sz w:val="24"/>
        </w:rPr>
        <w:t>to</w:t>
      </w:r>
      <w:r w:rsidRPr="008416FE" w:rsidR="0088787D">
        <w:rPr>
          <w:sz w:val="24"/>
        </w:rPr>
        <w:t xml:space="preserve"> </w:t>
      </w:r>
      <w:r w:rsidRPr="008416FE" w:rsidR="00744817">
        <w:rPr>
          <w:sz w:val="24"/>
        </w:rPr>
        <w:t>identif</w:t>
      </w:r>
      <w:r w:rsidRPr="008416FE" w:rsidR="00554E71">
        <w:rPr>
          <w:sz w:val="24"/>
        </w:rPr>
        <w:t>y</w:t>
      </w:r>
      <w:r w:rsidRPr="008416FE" w:rsidR="00744817">
        <w:rPr>
          <w:sz w:val="24"/>
        </w:rPr>
        <w:t xml:space="preserve"> and evaluat</w:t>
      </w:r>
      <w:r w:rsidRPr="008416FE" w:rsidR="00554E71">
        <w:rPr>
          <w:sz w:val="24"/>
        </w:rPr>
        <w:t>e</w:t>
      </w:r>
      <w:r w:rsidRPr="008416FE" w:rsidR="00744817">
        <w:rPr>
          <w:sz w:val="24"/>
        </w:rPr>
        <w:t xml:space="preserve"> emerging trends, business conditions, and financial issues, and t</w:t>
      </w:r>
      <w:r w:rsidRPr="008416FE" w:rsidR="00554E71">
        <w:rPr>
          <w:sz w:val="24"/>
        </w:rPr>
        <w:t>o</w:t>
      </w:r>
      <w:r w:rsidRPr="008416FE" w:rsidR="00744817">
        <w:rPr>
          <w:sz w:val="24"/>
        </w:rPr>
        <w:t xml:space="preserve"> identif</w:t>
      </w:r>
      <w:r w:rsidRPr="008416FE" w:rsidR="00554E71">
        <w:rPr>
          <w:sz w:val="24"/>
        </w:rPr>
        <w:t>y</w:t>
      </w:r>
      <w:r w:rsidRPr="008416FE" w:rsidR="00744817">
        <w:rPr>
          <w:sz w:val="24"/>
        </w:rPr>
        <w:t xml:space="preserve"> the economic effects of significant transactions and events </w:t>
      </w:r>
      <w:r w:rsidRPr="008416FE" w:rsidR="00F16CD2">
        <w:rPr>
          <w:sz w:val="24"/>
        </w:rPr>
        <w:t>cannot be accomplished by</w:t>
      </w:r>
      <w:r w:rsidRPr="008416FE" w:rsidR="00A33CAD">
        <w:rPr>
          <w:sz w:val="24"/>
        </w:rPr>
        <w:t xml:space="preserve"> </w:t>
      </w:r>
      <w:r w:rsidRPr="008416FE" w:rsidR="00855A9F">
        <w:rPr>
          <w:sz w:val="24"/>
        </w:rPr>
        <w:t xml:space="preserve">FERC </w:t>
      </w:r>
      <w:r w:rsidRPr="008416FE" w:rsidR="00F16CD2">
        <w:rPr>
          <w:sz w:val="24"/>
        </w:rPr>
        <w:t xml:space="preserve">Form No. 3-Q. </w:t>
      </w:r>
      <w:r w:rsidRPr="008416FE" w:rsidR="00855A9F">
        <w:rPr>
          <w:sz w:val="24"/>
        </w:rPr>
        <w:t>They assert that e</w:t>
      </w:r>
      <w:r w:rsidRPr="008416FE" w:rsidR="00F16CD2">
        <w:rPr>
          <w:sz w:val="24"/>
        </w:rPr>
        <w:t>lectric utilities are subject to</w:t>
      </w:r>
      <w:r w:rsidRPr="008416FE" w:rsidR="00821FCD">
        <w:rPr>
          <w:sz w:val="24"/>
        </w:rPr>
        <w:t xml:space="preserve"> l</w:t>
      </w:r>
      <w:r w:rsidRPr="008416FE" w:rsidR="00F16CD2">
        <w:rPr>
          <w:sz w:val="24"/>
        </w:rPr>
        <w:t>arge seasonal variations and</w:t>
      </w:r>
      <w:r w:rsidR="00091599">
        <w:rPr>
          <w:sz w:val="24"/>
        </w:rPr>
        <w:t>,</w:t>
      </w:r>
      <w:r w:rsidRPr="008416FE" w:rsidR="00F16CD2">
        <w:rPr>
          <w:sz w:val="24"/>
        </w:rPr>
        <w:t xml:space="preserve"> given that </w:t>
      </w:r>
      <w:r w:rsidRPr="008416FE" w:rsidR="00C54A8E">
        <w:rPr>
          <w:sz w:val="24"/>
        </w:rPr>
        <w:t xml:space="preserve">FERC </w:t>
      </w:r>
      <w:r w:rsidRPr="008416FE" w:rsidR="00F16CD2">
        <w:rPr>
          <w:sz w:val="24"/>
        </w:rPr>
        <w:t>Form No. 3-Q covers only three months of data, it</w:t>
      </w:r>
      <w:r w:rsidRPr="008416FE" w:rsidR="00821FCD">
        <w:rPr>
          <w:sz w:val="24"/>
        </w:rPr>
        <w:t xml:space="preserve"> </w:t>
      </w:r>
      <w:r w:rsidRPr="008416FE" w:rsidR="00F16CD2">
        <w:rPr>
          <w:sz w:val="24"/>
        </w:rPr>
        <w:t xml:space="preserve">provides an incomplete glimpse into a company’s expected annual results. </w:t>
      </w:r>
      <w:r w:rsidRPr="008416FE" w:rsidR="006E486F">
        <w:rPr>
          <w:sz w:val="24"/>
        </w:rPr>
        <w:t xml:space="preserve">They argue that </w:t>
      </w:r>
      <w:r w:rsidRPr="008416FE" w:rsidR="00BF12A9">
        <w:rPr>
          <w:sz w:val="24"/>
        </w:rPr>
        <w:t xml:space="preserve">the </w:t>
      </w:r>
      <w:r w:rsidRPr="008416FE" w:rsidR="006E486F">
        <w:rPr>
          <w:sz w:val="24"/>
        </w:rPr>
        <w:t>administrative burden associated with preparing and filing FERC Form No. 3-Q unnecessarily increases costs to customers.</w:t>
      </w:r>
      <w:r w:rsidRPr="008416FE" w:rsidR="00BC6BE7">
        <w:rPr>
          <w:sz w:val="24"/>
        </w:rPr>
        <w:t xml:space="preserve"> </w:t>
      </w:r>
    </w:p>
    <w:p w:rsidR="00A66657" w:rsidRPr="008416FE" w:rsidP="00744817" w14:paraId="4948D9B4" w14:textId="77777777">
      <w:pPr>
        <w:pStyle w:val="FERCparanumber"/>
        <w:numPr>
          <w:ilvl w:val="0"/>
          <w:numId w:val="0"/>
        </w:numPr>
        <w:ind w:left="360"/>
        <w:rPr>
          <w:sz w:val="24"/>
        </w:rPr>
      </w:pPr>
    </w:p>
    <w:p w:rsidR="00394E3F" w:rsidRPr="008416FE" w:rsidP="00FC1F9A" w14:paraId="073CE64A" w14:textId="2627047B">
      <w:pPr>
        <w:pStyle w:val="FERCparanumber"/>
        <w:numPr>
          <w:ilvl w:val="0"/>
          <w:numId w:val="0"/>
        </w:numPr>
        <w:rPr>
          <w:sz w:val="24"/>
        </w:rPr>
      </w:pPr>
      <w:r w:rsidRPr="008416FE">
        <w:rPr>
          <w:sz w:val="24"/>
        </w:rPr>
        <w:t xml:space="preserve">EEI, </w:t>
      </w:r>
      <w:r w:rsidRPr="008416FE" w:rsidR="008B6FF3">
        <w:rPr>
          <w:sz w:val="24"/>
        </w:rPr>
        <w:t>AEP</w:t>
      </w:r>
      <w:r w:rsidRPr="008416FE" w:rsidR="00014DC1">
        <w:rPr>
          <w:sz w:val="24"/>
        </w:rPr>
        <w:t xml:space="preserve">, </w:t>
      </w:r>
      <w:r w:rsidRPr="008416FE" w:rsidR="000F3A88">
        <w:rPr>
          <w:sz w:val="24"/>
        </w:rPr>
        <w:t>Duke Energy</w:t>
      </w:r>
      <w:r w:rsidRPr="008416FE" w:rsidR="009D1B3D">
        <w:rPr>
          <w:sz w:val="24"/>
        </w:rPr>
        <w:t>,</w:t>
      </w:r>
      <w:r w:rsidRPr="008416FE" w:rsidR="008B6FF3">
        <w:rPr>
          <w:sz w:val="24"/>
        </w:rPr>
        <w:t xml:space="preserve"> </w:t>
      </w:r>
      <w:r w:rsidRPr="008416FE" w:rsidR="00363C9C">
        <w:rPr>
          <w:sz w:val="24"/>
        </w:rPr>
        <w:t xml:space="preserve">and FirstEnergy </w:t>
      </w:r>
      <w:r w:rsidRPr="008416FE" w:rsidR="00B45C60">
        <w:rPr>
          <w:sz w:val="24"/>
        </w:rPr>
        <w:t>state they</w:t>
      </w:r>
      <w:r w:rsidRPr="008416FE" w:rsidR="0001656F">
        <w:rPr>
          <w:sz w:val="24"/>
        </w:rPr>
        <w:t>, or in the case of EEI</w:t>
      </w:r>
      <w:r w:rsidRPr="008416FE" w:rsidR="00423933">
        <w:rPr>
          <w:sz w:val="24"/>
        </w:rPr>
        <w:t>,</w:t>
      </w:r>
      <w:r w:rsidRPr="008416FE" w:rsidR="0001656F">
        <w:rPr>
          <w:sz w:val="24"/>
        </w:rPr>
        <w:t xml:space="preserve"> its members,</w:t>
      </w:r>
      <w:r w:rsidRPr="008416FE" w:rsidR="00B45C60">
        <w:rPr>
          <w:sz w:val="24"/>
        </w:rPr>
        <w:t xml:space="preserve"> </w:t>
      </w:r>
      <w:r w:rsidRPr="008416FE" w:rsidR="008B6FF3">
        <w:rPr>
          <w:sz w:val="24"/>
        </w:rPr>
        <w:t>file large quantities of financial, operational, facility, and other information with the Commission and other federal and state agencies</w:t>
      </w:r>
      <w:r w:rsidRPr="008416FE">
        <w:rPr>
          <w:sz w:val="24"/>
        </w:rPr>
        <w:t xml:space="preserve">. </w:t>
      </w:r>
      <w:r w:rsidRPr="008416FE" w:rsidR="008B6FF3">
        <w:rPr>
          <w:sz w:val="24"/>
        </w:rPr>
        <w:t>The</w:t>
      </w:r>
      <w:r w:rsidRPr="008416FE" w:rsidR="00CA16AC">
        <w:rPr>
          <w:sz w:val="24"/>
        </w:rPr>
        <w:t>y assert that the</w:t>
      </w:r>
      <w:r w:rsidRPr="008416FE" w:rsidR="008B6FF3">
        <w:rPr>
          <w:sz w:val="24"/>
        </w:rPr>
        <w:t>se filings give a detailed picture of company finances and operations.</w:t>
      </w:r>
      <w:r w:rsidRPr="008416FE" w:rsidR="00B27400">
        <w:rPr>
          <w:sz w:val="24"/>
        </w:rPr>
        <w:t xml:space="preserve"> </w:t>
      </w:r>
      <w:r w:rsidRPr="008416FE" w:rsidR="00390DE7">
        <w:rPr>
          <w:sz w:val="24"/>
        </w:rPr>
        <w:t>The</w:t>
      </w:r>
      <w:r w:rsidRPr="008416FE" w:rsidR="00CF2285">
        <w:rPr>
          <w:sz w:val="24"/>
        </w:rPr>
        <w:t xml:space="preserve">y </w:t>
      </w:r>
      <w:r w:rsidRPr="008416FE" w:rsidR="00490ED7">
        <w:rPr>
          <w:sz w:val="24"/>
        </w:rPr>
        <w:t>note that</w:t>
      </w:r>
      <w:r w:rsidRPr="008416FE" w:rsidR="00BC6A24">
        <w:rPr>
          <w:sz w:val="24"/>
        </w:rPr>
        <w:t xml:space="preserve"> often FERC Form No. 3-Q filings are due in short and overlapping time frames and while the companies are closing their accounting books and preparing financial reports for</w:t>
      </w:r>
      <w:r w:rsidRPr="008416FE">
        <w:rPr>
          <w:sz w:val="24"/>
        </w:rPr>
        <w:t xml:space="preserve"> other agencies</w:t>
      </w:r>
      <w:r w:rsidRPr="008416FE" w:rsidR="00BC6A24">
        <w:rPr>
          <w:sz w:val="24"/>
        </w:rPr>
        <w:t>.</w:t>
      </w:r>
      <w:r w:rsidR="00901657">
        <w:rPr>
          <w:sz w:val="24"/>
        </w:rPr>
        <w:t xml:space="preserve"> </w:t>
      </w:r>
    </w:p>
    <w:p w:rsidR="000F1632" w:rsidRPr="008416FE" w:rsidP="00791231" w14:paraId="28EE912B" w14:textId="77777777">
      <w:pPr>
        <w:pStyle w:val="FERCparanumber"/>
        <w:numPr>
          <w:ilvl w:val="0"/>
          <w:numId w:val="0"/>
        </w:numPr>
        <w:ind w:left="360"/>
        <w:rPr>
          <w:sz w:val="24"/>
        </w:rPr>
      </w:pPr>
    </w:p>
    <w:p w:rsidR="001E2BBB" w:rsidRPr="008416FE" w:rsidP="00696024" w14:paraId="32890D15" w14:textId="46E0B4CF">
      <w:pPr>
        <w:pStyle w:val="FERCparanumber"/>
        <w:numPr>
          <w:ilvl w:val="0"/>
          <w:numId w:val="0"/>
        </w:numPr>
        <w:autoSpaceDE w:val="0"/>
        <w:autoSpaceDN w:val="0"/>
        <w:adjustRightInd w:val="0"/>
        <w:rPr>
          <w:sz w:val="24"/>
        </w:rPr>
      </w:pPr>
      <w:r w:rsidRPr="008416FE">
        <w:rPr>
          <w:sz w:val="24"/>
        </w:rPr>
        <w:t xml:space="preserve">EEI, </w:t>
      </w:r>
      <w:r w:rsidRPr="008416FE" w:rsidR="00363C9C">
        <w:rPr>
          <w:sz w:val="24"/>
        </w:rPr>
        <w:t xml:space="preserve">AEP, </w:t>
      </w:r>
      <w:r w:rsidRPr="008416FE" w:rsidR="00643B0F">
        <w:rPr>
          <w:sz w:val="24"/>
        </w:rPr>
        <w:t xml:space="preserve">PGE, and </w:t>
      </w:r>
      <w:r w:rsidRPr="008416FE" w:rsidR="00DC20BA">
        <w:rPr>
          <w:sz w:val="24"/>
        </w:rPr>
        <w:t>PP</w:t>
      </w:r>
      <w:r w:rsidRPr="008416FE" w:rsidR="00877287">
        <w:rPr>
          <w:sz w:val="24"/>
        </w:rPr>
        <w:t>L</w:t>
      </w:r>
      <w:r w:rsidRPr="008416FE" w:rsidR="00363C9C">
        <w:rPr>
          <w:sz w:val="24"/>
        </w:rPr>
        <w:t xml:space="preserve"> </w:t>
      </w:r>
      <w:r w:rsidRPr="008416FE" w:rsidR="00DC20BA">
        <w:rPr>
          <w:sz w:val="24"/>
        </w:rPr>
        <w:t xml:space="preserve">state </w:t>
      </w:r>
      <w:r w:rsidRPr="008416FE" w:rsidR="00EC62B3">
        <w:rPr>
          <w:sz w:val="24"/>
        </w:rPr>
        <w:t xml:space="preserve">that </w:t>
      </w:r>
      <w:r w:rsidRPr="008416FE" w:rsidR="00041520">
        <w:rPr>
          <w:sz w:val="24"/>
        </w:rPr>
        <w:t>t</w:t>
      </w:r>
      <w:r w:rsidRPr="008416FE" w:rsidR="00DC20BA">
        <w:rPr>
          <w:sz w:val="24"/>
        </w:rPr>
        <w:t>he Commission has commented in prior N</w:t>
      </w:r>
      <w:r w:rsidRPr="008416FE" w:rsidR="00041520">
        <w:rPr>
          <w:sz w:val="24"/>
        </w:rPr>
        <w:t>otice of Information Collections</w:t>
      </w:r>
      <w:r w:rsidRPr="008416FE" w:rsidR="00DC20BA">
        <w:rPr>
          <w:sz w:val="24"/>
        </w:rPr>
        <w:t xml:space="preserve"> that </w:t>
      </w:r>
      <w:r w:rsidRPr="008416FE" w:rsidR="00041520">
        <w:rPr>
          <w:sz w:val="24"/>
        </w:rPr>
        <w:t xml:space="preserve">FERC </w:t>
      </w:r>
      <w:r w:rsidRPr="008416FE" w:rsidR="00DC20BA">
        <w:rPr>
          <w:sz w:val="24"/>
        </w:rPr>
        <w:t>Form No. 3-Q is used to validate the debt and equity information of filings under Part 34 of the Commission’s regulations when the most recent 12-month filing occurred more than four months prior to the application under Part 34.</w:t>
      </w:r>
      <w:r w:rsidRPr="008416FE" w:rsidR="00DF2566">
        <w:rPr>
          <w:sz w:val="24"/>
        </w:rPr>
        <w:t xml:space="preserve"> </w:t>
      </w:r>
      <w:r w:rsidRPr="008416FE" w:rsidR="00134CC7">
        <w:rPr>
          <w:sz w:val="24"/>
        </w:rPr>
        <w:t>However, they argue that this use of FERC Form No. 3-Q does not justify requiring all jurisdictional utilities to file FERC Form No. 3-Q each quarter. Instead, they suggest that the Commission consider amending the Part 34 filing requirements so that the relevant information is only provided when a Part 34 filing is made. Alternatively, they suggest that Commission staff could use data requests to obtain information needed to validate debt and equity balances</w:t>
      </w:r>
      <w:r w:rsidRPr="008416FE" w:rsidR="005B1BCB">
        <w:rPr>
          <w:sz w:val="24"/>
        </w:rPr>
        <w:t>.</w:t>
      </w:r>
    </w:p>
    <w:p w:rsidR="001E2BBB" w:rsidRPr="008416FE" w:rsidP="00696024" w14:paraId="7C7EFF8B" w14:textId="77777777">
      <w:pPr>
        <w:pStyle w:val="FERCparanumber"/>
        <w:numPr>
          <w:ilvl w:val="0"/>
          <w:numId w:val="0"/>
        </w:numPr>
        <w:autoSpaceDE w:val="0"/>
        <w:autoSpaceDN w:val="0"/>
        <w:adjustRightInd w:val="0"/>
        <w:rPr>
          <w:sz w:val="24"/>
        </w:rPr>
      </w:pPr>
    </w:p>
    <w:p w:rsidR="001E2BBB" w:rsidRPr="008416FE" w:rsidP="00427C4E" w14:paraId="23526903" w14:textId="07263663">
      <w:pPr>
        <w:pStyle w:val="FERCparanumber"/>
        <w:numPr>
          <w:ilvl w:val="0"/>
          <w:numId w:val="0"/>
        </w:numPr>
        <w:autoSpaceDE w:val="0"/>
        <w:autoSpaceDN w:val="0"/>
        <w:adjustRightInd w:val="0"/>
        <w:rPr>
          <w:sz w:val="24"/>
        </w:rPr>
      </w:pPr>
      <w:r w:rsidRPr="008416FE">
        <w:rPr>
          <w:sz w:val="24"/>
        </w:rPr>
        <w:t>While their preference is to eliminat</w:t>
      </w:r>
      <w:r w:rsidRPr="008416FE" w:rsidR="00097337">
        <w:rPr>
          <w:sz w:val="24"/>
        </w:rPr>
        <w:t>e</w:t>
      </w:r>
      <w:r w:rsidRPr="008416FE">
        <w:rPr>
          <w:sz w:val="24"/>
        </w:rPr>
        <w:t xml:space="preserve"> FERC Form No. 3-Q entirely, AEP, Duke Energy, Exelon, PGE, and PPL propose two alternative approaches for the Commission to consider.</w:t>
      </w:r>
      <w:r w:rsidR="00901657">
        <w:rPr>
          <w:sz w:val="24"/>
        </w:rPr>
        <w:t xml:space="preserve"> </w:t>
      </w:r>
      <w:r w:rsidRPr="008416FE">
        <w:rPr>
          <w:sz w:val="24"/>
        </w:rPr>
        <w:t>The first suggestion is to require the filing of a single mid-year FERC Form No. 3-Q filed for the six months ended June 30 of each respective year.</w:t>
      </w:r>
      <w:r w:rsidR="00901657">
        <w:rPr>
          <w:sz w:val="24"/>
        </w:rPr>
        <w:t xml:space="preserve"> </w:t>
      </w:r>
      <w:r w:rsidRPr="008416FE">
        <w:rPr>
          <w:sz w:val="24"/>
        </w:rPr>
        <w:t xml:space="preserve">They argue that this approach would be a reasonable compromise that could provide FERC with the insight needed for oversight and transparency if it deems an interim report is </w:t>
      </w:r>
      <w:r w:rsidRPr="008416FE">
        <w:rPr>
          <w:sz w:val="24"/>
        </w:rPr>
        <w:t>necessary, but</w:t>
      </w:r>
      <w:r w:rsidRPr="008416FE">
        <w:rPr>
          <w:sz w:val="24"/>
        </w:rPr>
        <w:t xml:space="preserve"> would also provide significant and immediate relief to respondents from the tangible and measurable burden of preparing multiple quarterly filings.</w:t>
      </w:r>
      <w:r w:rsidR="00901657">
        <w:rPr>
          <w:sz w:val="24"/>
        </w:rPr>
        <w:t xml:space="preserve"> </w:t>
      </w:r>
      <w:r w:rsidRPr="008416FE">
        <w:rPr>
          <w:sz w:val="24"/>
        </w:rPr>
        <w:t>PPL and AEP argue that reducing the reporting requirements of FERC Form No. 3-Q will reduce the burden and costs ultimately passed to customers.</w:t>
      </w:r>
      <w:r w:rsidR="00901657">
        <w:rPr>
          <w:sz w:val="24"/>
        </w:rPr>
        <w:t xml:space="preserve"> </w:t>
      </w:r>
    </w:p>
    <w:p w:rsidR="001E2BBB" w:rsidRPr="008416FE" w:rsidP="00FC1F9A" w14:paraId="2B9361E5" w14:textId="77777777">
      <w:pPr>
        <w:pStyle w:val="FERCparanumber"/>
        <w:numPr>
          <w:ilvl w:val="0"/>
          <w:numId w:val="0"/>
        </w:numPr>
        <w:autoSpaceDE w:val="0"/>
        <w:autoSpaceDN w:val="0"/>
        <w:adjustRightInd w:val="0"/>
        <w:rPr>
          <w:sz w:val="24"/>
        </w:rPr>
      </w:pPr>
    </w:p>
    <w:p w:rsidR="001E2BBB" w:rsidRPr="008416FE" w:rsidP="00427C4E" w14:paraId="501F64CF" w14:textId="539CB7C0">
      <w:pPr>
        <w:pStyle w:val="FERCparanumber"/>
        <w:numPr>
          <w:ilvl w:val="0"/>
          <w:numId w:val="0"/>
        </w:numPr>
        <w:autoSpaceDE w:val="0"/>
        <w:autoSpaceDN w:val="0"/>
        <w:adjustRightInd w:val="0"/>
        <w:rPr>
          <w:sz w:val="24"/>
        </w:rPr>
      </w:pPr>
      <w:r w:rsidRPr="008416FE">
        <w:rPr>
          <w:sz w:val="24"/>
        </w:rPr>
        <w:t>The second alternative they propose is to limit the quarterly report to the basic set of financial statements discussed in Order No. 646:</w:t>
      </w:r>
      <w:r w:rsidR="00901657">
        <w:rPr>
          <w:sz w:val="24"/>
        </w:rPr>
        <w:t xml:space="preserve"> </w:t>
      </w:r>
      <w:r w:rsidRPr="008416FE">
        <w:rPr>
          <w:sz w:val="24"/>
        </w:rPr>
        <w:t>the Comparative Balance Sheet, Statement of Income, Statement of Retained Earnings, Statement of Cash Flows, Statement of Other Comprehensive Income, and accompanying Notes to the Financial Statements.</w:t>
      </w:r>
      <w:r w:rsidR="00901657">
        <w:rPr>
          <w:sz w:val="24"/>
        </w:rPr>
        <w:t xml:space="preserve"> </w:t>
      </w:r>
      <w:r w:rsidRPr="008416FE">
        <w:rPr>
          <w:sz w:val="24"/>
        </w:rPr>
        <w:t>PGE states that the creation of the basic financial statements is not overly burdensome, and while the development of the notes to the financial statements requires more extensive effort, the overall burden would be greatly reduced by not having to prepare the supplemental schedules.</w:t>
      </w:r>
      <w:r w:rsidR="00901657">
        <w:rPr>
          <w:sz w:val="24"/>
        </w:rPr>
        <w:t xml:space="preserve"> </w:t>
      </w:r>
      <w:r w:rsidRPr="008416FE">
        <w:rPr>
          <w:sz w:val="24"/>
        </w:rPr>
        <w:t>Duke Energy argues that if there is value in identifying trends and reviewing debt and equity balances, the basic set of financial statements would provide sufficient information to do so.</w:t>
      </w:r>
      <w:r w:rsidR="00901657">
        <w:rPr>
          <w:sz w:val="24"/>
        </w:rPr>
        <w:t xml:space="preserve"> </w:t>
      </w:r>
      <w:r w:rsidRPr="008416FE">
        <w:rPr>
          <w:sz w:val="24"/>
        </w:rPr>
        <w:t>FirstEnergy, SCE, and Evergy also generally support limiting the filing to the basic set of financial statements, although they recommend excluding the notes to the financial statements, and Evergy further recommends excluding the Statement of Cash Flows and Statement of Other Comprehensive Income which, it argues, are burdensome to prepare and not used in ratemaking.</w:t>
      </w:r>
    </w:p>
    <w:p w:rsidR="001E2BBB" w:rsidRPr="008416FE" w:rsidP="00FC1F9A" w14:paraId="5F6B3223" w14:textId="77777777">
      <w:pPr>
        <w:pStyle w:val="FERCparanumber"/>
        <w:numPr>
          <w:ilvl w:val="0"/>
          <w:numId w:val="0"/>
        </w:numPr>
        <w:autoSpaceDE w:val="0"/>
        <w:autoSpaceDN w:val="0"/>
        <w:adjustRightInd w:val="0"/>
        <w:rPr>
          <w:sz w:val="24"/>
        </w:rPr>
      </w:pPr>
    </w:p>
    <w:p w:rsidR="001E2BBB" w:rsidRPr="008416FE" w:rsidP="00FC1F9A" w14:paraId="2E6F59DC" w14:textId="62B8187C">
      <w:pPr>
        <w:pStyle w:val="FERCparanumber"/>
        <w:numPr>
          <w:ilvl w:val="0"/>
          <w:numId w:val="0"/>
        </w:numPr>
        <w:autoSpaceDE w:val="0"/>
        <w:autoSpaceDN w:val="0"/>
        <w:adjustRightInd w:val="0"/>
        <w:rPr>
          <w:sz w:val="24"/>
        </w:rPr>
      </w:pPr>
      <w:r w:rsidRPr="008416FE">
        <w:rPr>
          <w:sz w:val="24"/>
        </w:rPr>
        <w:t>FirstEnergy recommends that the Commission perform a review of each FERC Form No. 3-Q schedule and request comments from stakeholders on the utility of data provided to determine the necessity and usefulness of information and specific pages currently required in FERC Form No. 3-Q.</w:t>
      </w:r>
      <w:r w:rsidR="00901657">
        <w:rPr>
          <w:sz w:val="24"/>
        </w:rPr>
        <w:t xml:space="preserve"> </w:t>
      </w:r>
      <w:r w:rsidRPr="008416FE">
        <w:rPr>
          <w:sz w:val="24"/>
        </w:rPr>
        <w:t>Evergy states that if the Commission is utilizing FERC Form No. 3-Q supplemental page data, the Commission should evaluate whether any of these pages can be eliminated based on relevance and applicability of the pages.</w:t>
      </w:r>
      <w:r w:rsidR="00901657">
        <w:rPr>
          <w:sz w:val="24"/>
        </w:rPr>
        <w:t xml:space="preserve"> </w:t>
      </w:r>
    </w:p>
    <w:p w:rsidR="001E2BBB" w:rsidRPr="008416FE" w:rsidP="00FC1F9A" w14:paraId="00D70B0B" w14:textId="77777777">
      <w:pPr>
        <w:pStyle w:val="FERCparanumber"/>
        <w:numPr>
          <w:ilvl w:val="0"/>
          <w:numId w:val="0"/>
        </w:numPr>
        <w:autoSpaceDE w:val="0"/>
        <w:autoSpaceDN w:val="0"/>
        <w:adjustRightInd w:val="0"/>
        <w:rPr>
          <w:sz w:val="24"/>
        </w:rPr>
      </w:pPr>
    </w:p>
    <w:p w:rsidR="000C0D51" w:rsidRPr="008416FE" w:rsidP="001E2BBB" w14:paraId="19025379" w14:textId="72CB8346">
      <w:pPr>
        <w:pStyle w:val="FERCparanumber"/>
        <w:numPr>
          <w:ilvl w:val="0"/>
          <w:numId w:val="0"/>
        </w:numPr>
        <w:autoSpaceDE w:val="0"/>
        <w:autoSpaceDN w:val="0"/>
        <w:adjustRightInd w:val="0"/>
        <w:rPr>
          <w:sz w:val="24"/>
        </w:rPr>
      </w:pPr>
      <w:r w:rsidRPr="008416FE">
        <w:rPr>
          <w:sz w:val="24"/>
        </w:rPr>
        <w:t xml:space="preserve">Entergy suggests that the Commission could collect the information in FERC Form No. 3-Q </w:t>
      </w:r>
      <w:r w:rsidRPr="008416FE" w:rsidR="00825973">
        <w:rPr>
          <w:sz w:val="24"/>
        </w:rPr>
        <w:t>semi-annually and</w:t>
      </w:r>
      <w:r w:rsidRPr="008416FE">
        <w:rPr>
          <w:sz w:val="24"/>
        </w:rPr>
        <w:t xml:space="preserve"> supplement the information with filings made at the SEC or with direct data requests.</w:t>
      </w:r>
      <w:r w:rsidR="00901657">
        <w:rPr>
          <w:sz w:val="24"/>
        </w:rPr>
        <w:t xml:space="preserve"> </w:t>
      </w:r>
      <w:r w:rsidRPr="008416FE">
        <w:rPr>
          <w:sz w:val="24"/>
        </w:rPr>
        <w:t>EEI and Exelon argue that Commission staff can utilize reports filed with the SEC.</w:t>
      </w:r>
      <w:r w:rsidR="00901657">
        <w:rPr>
          <w:sz w:val="24"/>
        </w:rPr>
        <w:t xml:space="preserve"> </w:t>
      </w:r>
      <w:r w:rsidRPr="008416FE">
        <w:rPr>
          <w:sz w:val="24"/>
        </w:rPr>
        <w:t>They comment that the quarterly report on the SEC Form No. 10-Q includes a full set of financial statements along with Management’s Discussion and Analysis, as well as other information.</w:t>
      </w:r>
      <w:r w:rsidR="00901657">
        <w:rPr>
          <w:sz w:val="24"/>
        </w:rPr>
        <w:t xml:space="preserve"> </w:t>
      </w:r>
      <w:r w:rsidRPr="008416FE">
        <w:rPr>
          <w:sz w:val="24"/>
        </w:rPr>
        <w:t>Additionally, EEI and Exelon state that the SEC Form No. 8-K is required to disclose material events typically within four days of the event.</w:t>
      </w:r>
      <w:r w:rsidR="00901657">
        <w:rPr>
          <w:sz w:val="24"/>
        </w:rPr>
        <w:t xml:space="preserve"> </w:t>
      </w:r>
    </w:p>
    <w:p w:rsidR="000C0D51" w:rsidRPr="008416FE" w:rsidP="001E2BBB" w14:paraId="372E29B0" w14:textId="77777777">
      <w:pPr>
        <w:pStyle w:val="FERCparanumber"/>
        <w:numPr>
          <w:ilvl w:val="0"/>
          <w:numId w:val="0"/>
        </w:numPr>
        <w:autoSpaceDE w:val="0"/>
        <w:autoSpaceDN w:val="0"/>
        <w:adjustRightInd w:val="0"/>
        <w:rPr>
          <w:sz w:val="24"/>
        </w:rPr>
      </w:pPr>
    </w:p>
    <w:p w:rsidR="000C0D51" w:rsidRPr="008416FE" w:rsidP="00FC1F9A" w14:paraId="3DBDA3EA" w14:textId="3CDA2E89">
      <w:pPr>
        <w:pStyle w:val="FERCparanumber"/>
        <w:numPr>
          <w:ilvl w:val="0"/>
          <w:numId w:val="0"/>
        </w:numPr>
        <w:autoSpaceDE w:val="0"/>
        <w:autoSpaceDN w:val="0"/>
        <w:adjustRightInd w:val="0"/>
        <w:rPr>
          <w:sz w:val="24"/>
        </w:rPr>
      </w:pPr>
      <w:r w:rsidRPr="008416FE">
        <w:rPr>
          <w:sz w:val="24"/>
        </w:rPr>
        <w:t>EPI states that it is interested in the Commission requiring more disclosure of expenses charged to certain accounts within the USofA, including an itemized list of expenses in Account 909, Informational and Instructional Expenses; Account 913, Advertising Expenses; Account 923, Outside Services Employed; Account 928, Regulatory Commission Expenses; Account 930.1, General Advertising Expenses; 930.2, Miscellaneous General Expenses; Account 426.1, Donations; Account 426.4; Expenditures for Certain Civic, Political and Related Activities; and Account 426.5, Other Deductions.</w:t>
      </w:r>
      <w:r w:rsidR="00901657">
        <w:rPr>
          <w:sz w:val="24"/>
        </w:rPr>
        <w:t xml:space="preserve"> </w:t>
      </w:r>
      <w:r w:rsidRPr="008416FE">
        <w:rPr>
          <w:sz w:val="24"/>
        </w:rPr>
        <w:t xml:space="preserve">EPI also recommends revisions to clarify instructions and </w:t>
      </w:r>
      <w:r w:rsidRPr="008416FE">
        <w:rPr>
          <w:sz w:val="24"/>
        </w:rPr>
        <w:t>include additional disclosures on Page 350, Regulatory Commission Expenses, of FERC Form No. 1.</w:t>
      </w:r>
      <w:r w:rsidR="00901657">
        <w:rPr>
          <w:sz w:val="24"/>
        </w:rPr>
        <w:t xml:space="preserve"> </w:t>
      </w:r>
      <w:r w:rsidRPr="008416FE">
        <w:rPr>
          <w:sz w:val="24"/>
        </w:rPr>
        <w:t>EPI recommends additional disclosures and itemization for transactions with associated (affiliated) companies and recommends modifications to enhance reporting of these transactions on page 429, Transactions with Associated (Affiliated) Companies, of FERC Form No. 1.</w:t>
      </w:r>
      <w:r w:rsidR="00901657">
        <w:rPr>
          <w:sz w:val="24"/>
        </w:rPr>
        <w:t xml:space="preserve"> </w:t>
      </w:r>
      <w:r w:rsidRPr="008416FE">
        <w:rPr>
          <w:sz w:val="24"/>
        </w:rPr>
        <w:t>EPI explains that many parties, especially individual ratepayers, lack the resources, access to information, or both that are necessary to challenge the categorization of a cost.</w:t>
      </w:r>
      <w:r w:rsidR="00901657">
        <w:rPr>
          <w:sz w:val="24"/>
        </w:rPr>
        <w:t xml:space="preserve"> </w:t>
      </w:r>
      <w:r w:rsidRPr="008416FE">
        <w:rPr>
          <w:sz w:val="24"/>
        </w:rPr>
        <w:t>EPI argues that through itemization of certain USofA accounts that have been prone to abuse, the Commission can enhance transparency, ensuring just and reasonable rates.</w:t>
      </w:r>
    </w:p>
    <w:p w:rsidR="000C0D51" w:rsidRPr="008416FE" w:rsidP="00FC1F9A" w14:paraId="2F462E23" w14:textId="77777777">
      <w:pPr>
        <w:pStyle w:val="FERCparanumber"/>
        <w:numPr>
          <w:ilvl w:val="0"/>
          <w:numId w:val="0"/>
        </w:numPr>
        <w:autoSpaceDE w:val="0"/>
        <w:autoSpaceDN w:val="0"/>
        <w:adjustRightInd w:val="0"/>
        <w:rPr>
          <w:sz w:val="24"/>
        </w:rPr>
      </w:pPr>
    </w:p>
    <w:p w:rsidR="00C90DF9" w:rsidRPr="008416FE" w:rsidP="00FC1F9A" w14:paraId="5E203C7C" w14:textId="2C8160A9">
      <w:pPr>
        <w:pStyle w:val="FERCparanumber"/>
        <w:numPr>
          <w:ilvl w:val="0"/>
          <w:numId w:val="0"/>
        </w:numPr>
        <w:autoSpaceDE w:val="0"/>
        <w:autoSpaceDN w:val="0"/>
        <w:adjustRightInd w:val="0"/>
        <w:rPr>
          <w:sz w:val="24"/>
        </w:rPr>
      </w:pPr>
      <w:r w:rsidRPr="008416FE">
        <w:rPr>
          <w:sz w:val="24"/>
        </w:rPr>
        <w:t xml:space="preserve">Evergy requests additional instructions on FERC Form Nos. 1 and 3-Q, to explicitly state how information should be reported and what type of details are required for pages 232, </w:t>
      </w:r>
      <w:r w:rsidRPr="008416FE" w:rsidR="001B3D80">
        <w:rPr>
          <w:sz w:val="24"/>
        </w:rPr>
        <w:t>Other Regulatory Assets</w:t>
      </w:r>
      <w:r w:rsidRPr="008416FE" w:rsidR="009E1D21">
        <w:rPr>
          <w:sz w:val="24"/>
        </w:rPr>
        <w:t>,</w:t>
      </w:r>
      <w:r w:rsidRPr="008416FE">
        <w:rPr>
          <w:sz w:val="24"/>
        </w:rPr>
        <w:t xml:space="preserve"> and 278, </w:t>
      </w:r>
      <w:r w:rsidRPr="008416FE" w:rsidR="001B3D80">
        <w:rPr>
          <w:sz w:val="24"/>
        </w:rPr>
        <w:t>Other Regulatory Liabilities</w:t>
      </w:r>
      <w:r w:rsidRPr="008416FE">
        <w:rPr>
          <w:sz w:val="24"/>
        </w:rPr>
        <w:t>.</w:t>
      </w:r>
      <w:r w:rsidR="00901657">
        <w:rPr>
          <w:sz w:val="24"/>
        </w:rPr>
        <w:t xml:space="preserve"> </w:t>
      </w:r>
      <w:r w:rsidRPr="008416FE">
        <w:rPr>
          <w:sz w:val="24"/>
        </w:rPr>
        <w:t>Evergy also states that multiple pages including pages 320-323 and 324-325 are reported differently between FERC Form Nos. 1 and 3-Q.</w:t>
      </w:r>
      <w:r w:rsidR="00901657">
        <w:rPr>
          <w:sz w:val="24"/>
        </w:rPr>
        <w:t xml:space="preserve"> </w:t>
      </w:r>
      <w:r w:rsidRPr="008416FE">
        <w:rPr>
          <w:sz w:val="24"/>
        </w:rPr>
        <w:t>Evergy argues that while some FERC pages contain detail, the detail is not consistent across pages, which results in inconsistent data collection and reporting across the industry.</w:t>
      </w:r>
      <w:r w:rsidR="00901657">
        <w:rPr>
          <w:sz w:val="24"/>
        </w:rPr>
        <w:t xml:space="preserve"> </w:t>
      </w:r>
      <w:r w:rsidRPr="008416FE">
        <w:rPr>
          <w:sz w:val="24"/>
        </w:rPr>
        <w:t>Therefore, Evergy requests additional instructions and clarifications of certain column headings.</w:t>
      </w:r>
    </w:p>
    <w:p w:rsidR="00C60794" w:rsidRPr="008416FE" w:rsidP="00C60794" w14:paraId="05B506E3" w14:textId="77777777">
      <w:pPr>
        <w:pStyle w:val="FERCparanumber"/>
        <w:numPr>
          <w:ilvl w:val="0"/>
          <w:numId w:val="0"/>
        </w:numPr>
        <w:autoSpaceDE w:val="0"/>
        <w:autoSpaceDN w:val="0"/>
        <w:adjustRightInd w:val="0"/>
        <w:ind w:left="360"/>
        <w:rPr>
          <w:sz w:val="24"/>
        </w:rPr>
      </w:pPr>
    </w:p>
    <w:p w:rsidR="00E04C8A" w:rsidRPr="008416FE" w:rsidP="00FC1F9A" w14:paraId="0FDA21FD" w14:textId="433C7F56">
      <w:pPr>
        <w:pStyle w:val="FERCparanumber"/>
        <w:numPr>
          <w:ilvl w:val="0"/>
          <w:numId w:val="0"/>
        </w:numPr>
        <w:autoSpaceDE w:val="0"/>
        <w:autoSpaceDN w:val="0"/>
        <w:adjustRightInd w:val="0"/>
        <w:rPr>
          <w:iCs/>
          <w:sz w:val="24"/>
        </w:rPr>
      </w:pPr>
      <w:r w:rsidRPr="008416FE">
        <w:rPr>
          <w:sz w:val="24"/>
          <w:u w:val="single"/>
        </w:rPr>
        <w:t>FERC Response</w:t>
      </w:r>
      <w:r w:rsidRPr="008416FE">
        <w:rPr>
          <w:sz w:val="24"/>
        </w:rPr>
        <w:t>:</w:t>
      </w:r>
      <w:r w:rsidR="00901657">
        <w:rPr>
          <w:sz w:val="24"/>
        </w:rPr>
        <w:t xml:space="preserve"> </w:t>
      </w:r>
      <w:r w:rsidRPr="008416FE" w:rsidR="00A83944">
        <w:rPr>
          <w:sz w:val="24"/>
        </w:rPr>
        <w:t>The Commission appreciate</w:t>
      </w:r>
      <w:r w:rsidRPr="008416FE" w:rsidR="000A60B1">
        <w:rPr>
          <w:sz w:val="24"/>
        </w:rPr>
        <w:t>s</w:t>
      </w:r>
      <w:r w:rsidRPr="008416FE" w:rsidR="00A83944">
        <w:rPr>
          <w:sz w:val="24"/>
        </w:rPr>
        <w:t xml:space="preserve"> the comments </w:t>
      </w:r>
      <w:r w:rsidRPr="008416FE" w:rsidR="003A3B27">
        <w:rPr>
          <w:sz w:val="24"/>
        </w:rPr>
        <w:t xml:space="preserve">submitted </w:t>
      </w:r>
      <w:r w:rsidRPr="008416FE" w:rsidR="00271543">
        <w:rPr>
          <w:sz w:val="24"/>
        </w:rPr>
        <w:t xml:space="preserve">regarding the </w:t>
      </w:r>
      <w:r w:rsidRPr="008416FE" w:rsidR="003744D9">
        <w:rPr>
          <w:sz w:val="24"/>
        </w:rPr>
        <w:t>necessity</w:t>
      </w:r>
      <w:r w:rsidRPr="008416FE" w:rsidR="001E2BBB">
        <w:rPr>
          <w:sz w:val="24"/>
        </w:rPr>
        <w:t>,</w:t>
      </w:r>
      <w:r w:rsidRPr="008416FE" w:rsidR="003744D9">
        <w:rPr>
          <w:sz w:val="24"/>
        </w:rPr>
        <w:t xml:space="preserve"> </w:t>
      </w:r>
      <w:r w:rsidRPr="008416FE" w:rsidR="00271543">
        <w:rPr>
          <w:sz w:val="24"/>
        </w:rPr>
        <w:t xml:space="preserve">usefulness </w:t>
      </w:r>
      <w:r w:rsidRPr="008416FE" w:rsidR="001E2BBB">
        <w:rPr>
          <w:sz w:val="24"/>
        </w:rPr>
        <w:t xml:space="preserve">and ways to minimize burden associated with filing </w:t>
      </w:r>
      <w:r w:rsidRPr="008416FE" w:rsidR="00271543">
        <w:rPr>
          <w:sz w:val="24"/>
        </w:rPr>
        <w:t xml:space="preserve">of FERC Form Nos. 1, </w:t>
      </w:r>
      <w:r w:rsidRPr="008416FE" w:rsidR="00A67BF5">
        <w:rPr>
          <w:sz w:val="24"/>
        </w:rPr>
        <w:t>1-F, and 3-Q</w:t>
      </w:r>
      <w:r w:rsidRPr="008416FE" w:rsidR="00112DE7">
        <w:rPr>
          <w:sz w:val="24"/>
        </w:rPr>
        <w:t>.</w:t>
      </w:r>
      <w:r w:rsidR="00901657">
        <w:rPr>
          <w:sz w:val="24"/>
        </w:rPr>
        <w:t xml:space="preserve"> </w:t>
      </w:r>
      <w:r w:rsidRPr="008416FE" w:rsidR="00CE22FA">
        <w:rPr>
          <w:sz w:val="24"/>
        </w:rPr>
        <w:t xml:space="preserve">As previously noted, the Commission uses </w:t>
      </w:r>
      <w:r w:rsidRPr="008416FE" w:rsidR="005502DC">
        <w:rPr>
          <w:sz w:val="24"/>
        </w:rPr>
        <w:t xml:space="preserve">the information </w:t>
      </w:r>
      <w:r w:rsidRPr="008416FE" w:rsidR="000325F8">
        <w:rPr>
          <w:sz w:val="24"/>
        </w:rPr>
        <w:t xml:space="preserve">provided on these forms to </w:t>
      </w:r>
      <w:r w:rsidRPr="008416FE" w:rsidR="00CC1315">
        <w:rPr>
          <w:sz w:val="24"/>
        </w:rPr>
        <w:t xml:space="preserve">develop and monitor cost-based rates, conduct market analysis, and perform financial audits, </w:t>
      </w:r>
      <w:r w:rsidRPr="008416FE" w:rsidR="002B3C72">
        <w:rPr>
          <w:sz w:val="24"/>
        </w:rPr>
        <w:t xml:space="preserve">thereby fulfilling its </w:t>
      </w:r>
      <w:r w:rsidRPr="008416FE" w:rsidR="00EF73F6">
        <w:rPr>
          <w:sz w:val="24"/>
        </w:rPr>
        <w:t xml:space="preserve">responsibility under the FPA and NGA to </w:t>
      </w:r>
      <w:r w:rsidRPr="008416FE" w:rsidR="00761558">
        <w:rPr>
          <w:sz w:val="24"/>
        </w:rPr>
        <w:t>ensur</w:t>
      </w:r>
      <w:r w:rsidRPr="008416FE" w:rsidR="00EF73F6">
        <w:rPr>
          <w:sz w:val="24"/>
        </w:rPr>
        <w:t>e</w:t>
      </w:r>
      <w:r w:rsidRPr="008416FE" w:rsidR="00761558">
        <w:rPr>
          <w:sz w:val="24"/>
        </w:rPr>
        <w:t xml:space="preserve"> that customers </w:t>
      </w:r>
      <w:r w:rsidRPr="008416FE" w:rsidR="0012191E">
        <w:rPr>
          <w:sz w:val="24"/>
        </w:rPr>
        <w:t>pay just and reasonable rates for energy.</w:t>
      </w:r>
      <w:r w:rsidR="00901657">
        <w:rPr>
          <w:sz w:val="24"/>
        </w:rPr>
        <w:t xml:space="preserve"> </w:t>
      </w:r>
      <w:r w:rsidRPr="008416FE" w:rsidR="0012191E">
        <w:rPr>
          <w:sz w:val="24"/>
        </w:rPr>
        <w:t xml:space="preserve">Additionally, </w:t>
      </w:r>
      <w:r w:rsidRPr="008416FE" w:rsidR="006C7D3F">
        <w:rPr>
          <w:sz w:val="24"/>
        </w:rPr>
        <w:t>state commission</w:t>
      </w:r>
      <w:r w:rsidRPr="008416FE" w:rsidR="00A77449">
        <w:rPr>
          <w:sz w:val="24"/>
        </w:rPr>
        <w:t>s</w:t>
      </w:r>
      <w:r w:rsidRPr="008416FE" w:rsidR="006C7D3F">
        <w:rPr>
          <w:sz w:val="24"/>
        </w:rPr>
        <w:t xml:space="preserve"> and other </w:t>
      </w:r>
      <w:r w:rsidRPr="008416FE" w:rsidR="008D19D7">
        <w:rPr>
          <w:sz w:val="24"/>
        </w:rPr>
        <w:t>parties use th</w:t>
      </w:r>
      <w:r w:rsidRPr="008416FE" w:rsidR="00C52C87">
        <w:rPr>
          <w:sz w:val="24"/>
        </w:rPr>
        <w:t>e</w:t>
      </w:r>
      <w:r w:rsidRPr="008416FE" w:rsidR="008D19D7">
        <w:rPr>
          <w:sz w:val="24"/>
        </w:rPr>
        <w:t xml:space="preserve"> information</w:t>
      </w:r>
      <w:r w:rsidRPr="008416FE" w:rsidR="00C52C87">
        <w:rPr>
          <w:sz w:val="24"/>
        </w:rPr>
        <w:t xml:space="preserve"> provided on these forms</w:t>
      </w:r>
      <w:r w:rsidRPr="008416FE" w:rsidR="008D19D7">
        <w:rPr>
          <w:sz w:val="24"/>
        </w:rPr>
        <w:t xml:space="preserve"> for rate development and evaluation and </w:t>
      </w:r>
      <w:r w:rsidRPr="008416FE" w:rsidR="00D20F86">
        <w:rPr>
          <w:sz w:val="24"/>
        </w:rPr>
        <w:t>in</w:t>
      </w:r>
      <w:r w:rsidRPr="008416FE" w:rsidR="008262A6">
        <w:rPr>
          <w:sz w:val="24"/>
        </w:rPr>
        <w:t xml:space="preserve"> making investment decisions.</w:t>
      </w:r>
      <w:r w:rsidR="00901657">
        <w:rPr>
          <w:sz w:val="24"/>
        </w:rPr>
        <w:t xml:space="preserve"> </w:t>
      </w:r>
      <w:r w:rsidRPr="008416FE" w:rsidR="008262A6">
        <w:rPr>
          <w:sz w:val="24"/>
        </w:rPr>
        <w:t xml:space="preserve">In particular, </w:t>
      </w:r>
      <w:r w:rsidRPr="008416FE" w:rsidR="00D20F86">
        <w:rPr>
          <w:sz w:val="24"/>
        </w:rPr>
        <w:t>as</w:t>
      </w:r>
      <w:r w:rsidRPr="008416FE" w:rsidR="00D20F86">
        <w:rPr>
          <w:sz w:val="24"/>
        </w:rPr>
        <w:t xml:space="preserve"> recognized by EEI and the </w:t>
      </w:r>
      <w:r w:rsidRPr="008416FE" w:rsidR="002644B7">
        <w:rPr>
          <w:sz w:val="24"/>
        </w:rPr>
        <w:t xml:space="preserve">Electric Utility Companies, </w:t>
      </w:r>
      <w:r w:rsidRPr="008416FE" w:rsidR="008262A6">
        <w:rPr>
          <w:sz w:val="24"/>
        </w:rPr>
        <w:t xml:space="preserve">FERC Form Nos. 1 and 1-F </w:t>
      </w:r>
      <w:r w:rsidRPr="008416FE" w:rsidR="00EF73F6">
        <w:rPr>
          <w:sz w:val="24"/>
        </w:rPr>
        <w:t xml:space="preserve">are critical </w:t>
      </w:r>
      <w:r w:rsidRPr="008416FE" w:rsidR="00605F2E">
        <w:rPr>
          <w:sz w:val="24"/>
        </w:rPr>
        <w:t xml:space="preserve">inputs in the development and updating of </w:t>
      </w:r>
      <w:r w:rsidRPr="008416FE" w:rsidR="00154D43">
        <w:rPr>
          <w:sz w:val="24"/>
        </w:rPr>
        <w:t>formula rates.</w:t>
      </w:r>
      <w:r w:rsidR="00901657">
        <w:rPr>
          <w:sz w:val="24"/>
        </w:rPr>
        <w:t xml:space="preserve"> </w:t>
      </w:r>
      <w:r w:rsidRPr="008416FE" w:rsidR="00154D43">
        <w:rPr>
          <w:sz w:val="24"/>
        </w:rPr>
        <w:t>Regarding FERC Form No. 3-Q</w:t>
      </w:r>
      <w:r w:rsidRPr="008416FE" w:rsidR="00677F41">
        <w:rPr>
          <w:sz w:val="24"/>
        </w:rPr>
        <w:t xml:space="preserve">, </w:t>
      </w:r>
      <w:r w:rsidRPr="008416FE" w:rsidR="00AF084F">
        <w:rPr>
          <w:sz w:val="24"/>
        </w:rPr>
        <w:t xml:space="preserve">in addition to using the information </w:t>
      </w:r>
      <w:r w:rsidRPr="008416FE" w:rsidR="007B44F9">
        <w:rPr>
          <w:sz w:val="24"/>
        </w:rPr>
        <w:t xml:space="preserve">provided on this form </w:t>
      </w:r>
      <w:r w:rsidRPr="008416FE" w:rsidR="006552E0">
        <w:rPr>
          <w:sz w:val="24"/>
        </w:rPr>
        <w:t xml:space="preserve">for </w:t>
      </w:r>
      <w:r w:rsidRPr="008416FE">
        <w:rPr>
          <w:iCs/>
          <w:sz w:val="24"/>
        </w:rPr>
        <w:t xml:space="preserve">oversight analysis and </w:t>
      </w:r>
      <w:r w:rsidRPr="008416FE" w:rsidR="00677D94">
        <w:rPr>
          <w:iCs/>
          <w:sz w:val="24"/>
        </w:rPr>
        <w:t>the</w:t>
      </w:r>
      <w:r w:rsidRPr="008416FE">
        <w:rPr>
          <w:iCs/>
          <w:sz w:val="24"/>
        </w:rPr>
        <w:t xml:space="preserve"> timely evaluation of current financial information, </w:t>
      </w:r>
      <w:r w:rsidRPr="008416FE" w:rsidR="00BD700D">
        <w:rPr>
          <w:iCs/>
          <w:sz w:val="24"/>
        </w:rPr>
        <w:t xml:space="preserve">FERC </w:t>
      </w:r>
      <w:r w:rsidRPr="008416FE">
        <w:rPr>
          <w:iCs/>
          <w:sz w:val="24"/>
        </w:rPr>
        <w:t xml:space="preserve">Form </w:t>
      </w:r>
      <w:r w:rsidRPr="008416FE" w:rsidR="00BD700D">
        <w:rPr>
          <w:iCs/>
          <w:sz w:val="24"/>
        </w:rPr>
        <w:t xml:space="preserve">No. </w:t>
      </w:r>
      <w:r w:rsidRPr="008416FE">
        <w:rPr>
          <w:iCs/>
          <w:sz w:val="24"/>
        </w:rPr>
        <w:t xml:space="preserve">3-Q is used to validate the debt and equity information </w:t>
      </w:r>
      <w:r w:rsidRPr="008416FE" w:rsidR="00A8212F">
        <w:rPr>
          <w:iCs/>
          <w:sz w:val="24"/>
        </w:rPr>
        <w:t>included in</w:t>
      </w:r>
      <w:r w:rsidRPr="008416FE">
        <w:rPr>
          <w:iCs/>
          <w:sz w:val="24"/>
        </w:rPr>
        <w:t xml:space="preserve"> filings under Part 34 of the Commission’s regulations when the most recent 12-month filing occurred more than 4 months prior to the application.</w:t>
      </w:r>
      <w:r w:rsidR="00901657">
        <w:rPr>
          <w:iCs/>
          <w:sz w:val="24"/>
        </w:rPr>
        <w:t xml:space="preserve"> </w:t>
      </w:r>
      <w:r w:rsidRPr="008416FE" w:rsidR="00A63924">
        <w:rPr>
          <w:iCs/>
          <w:sz w:val="24"/>
        </w:rPr>
        <w:t xml:space="preserve">The Commission receives </w:t>
      </w:r>
      <w:r w:rsidRPr="008416FE" w:rsidR="0039543B">
        <w:rPr>
          <w:iCs/>
          <w:sz w:val="24"/>
        </w:rPr>
        <w:t>approximately</w:t>
      </w:r>
      <w:r w:rsidRPr="008416FE" w:rsidR="00A63924">
        <w:rPr>
          <w:iCs/>
          <w:sz w:val="24"/>
        </w:rPr>
        <w:t xml:space="preserve"> </w:t>
      </w:r>
      <w:r w:rsidRPr="008416FE" w:rsidR="001B3D80">
        <w:rPr>
          <w:iCs/>
          <w:sz w:val="24"/>
        </w:rPr>
        <w:t>130</w:t>
      </w:r>
      <w:r w:rsidRPr="008416FE" w:rsidR="00A63924">
        <w:rPr>
          <w:iCs/>
          <w:sz w:val="24"/>
        </w:rPr>
        <w:t xml:space="preserve"> such Part </w:t>
      </w:r>
      <w:r w:rsidRPr="008416FE">
        <w:rPr>
          <w:iCs/>
          <w:sz w:val="24"/>
        </w:rPr>
        <w:t xml:space="preserve">34 filings </w:t>
      </w:r>
      <w:r w:rsidRPr="008416FE" w:rsidR="001B3D80">
        <w:rPr>
          <w:iCs/>
          <w:sz w:val="24"/>
        </w:rPr>
        <w:t>in each two-year cycle</w:t>
      </w:r>
      <w:r w:rsidRPr="008416FE">
        <w:rPr>
          <w:iCs/>
          <w:sz w:val="24"/>
        </w:rPr>
        <w:t>.</w:t>
      </w:r>
    </w:p>
    <w:p w:rsidR="001E2BBB" w:rsidRPr="008416FE" w:rsidP="00FC1F9A" w14:paraId="4131454C" w14:textId="77777777">
      <w:pPr>
        <w:pStyle w:val="FERCparanumber"/>
        <w:numPr>
          <w:ilvl w:val="0"/>
          <w:numId w:val="0"/>
        </w:numPr>
        <w:autoSpaceDE w:val="0"/>
        <w:autoSpaceDN w:val="0"/>
        <w:adjustRightInd w:val="0"/>
        <w:rPr>
          <w:iCs/>
          <w:sz w:val="24"/>
        </w:rPr>
      </w:pPr>
    </w:p>
    <w:p w:rsidR="001268EC" w:rsidRPr="008416FE" w:rsidP="001E2BBB" w14:paraId="07CCBA78" w14:textId="13B61398">
      <w:pPr>
        <w:pStyle w:val="FERCparanumber"/>
        <w:numPr>
          <w:ilvl w:val="0"/>
          <w:numId w:val="0"/>
        </w:numPr>
        <w:autoSpaceDE w:val="0"/>
        <w:autoSpaceDN w:val="0"/>
        <w:adjustRightInd w:val="0"/>
        <w:rPr>
          <w:iCs/>
          <w:sz w:val="24"/>
        </w:rPr>
      </w:pPr>
      <w:r w:rsidRPr="008416FE">
        <w:rPr>
          <w:iCs/>
          <w:sz w:val="24"/>
        </w:rPr>
        <w:t>Regarding relying on reports filed with the SEC</w:t>
      </w:r>
      <w:r w:rsidRPr="008416FE" w:rsidR="0065351C">
        <w:rPr>
          <w:iCs/>
          <w:sz w:val="24"/>
        </w:rPr>
        <w:t xml:space="preserve"> or other federal</w:t>
      </w:r>
      <w:r w:rsidRPr="008416FE" w:rsidR="00F273B8">
        <w:rPr>
          <w:iCs/>
          <w:sz w:val="24"/>
        </w:rPr>
        <w:t xml:space="preserve"> and</w:t>
      </w:r>
      <w:r w:rsidRPr="008416FE" w:rsidR="0065351C">
        <w:rPr>
          <w:iCs/>
          <w:sz w:val="24"/>
        </w:rPr>
        <w:t xml:space="preserve"> state </w:t>
      </w:r>
      <w:r w:rsidRPr="008416FE" w:rsidR="00F273B8">
        <w:rPr>
          <w:iCs/>
          <w:sz w:val="24"/>
        </w:rPr>
        <w:t>agencies</w:t>
      </w:r>
      <w:r w:rsidRPr="008416FE">
        <w:rPr>
          <w:iCs/>
          <w:sz w:val="24"/>
        </w:rPr>
        <w:t>, a</w:t>
      </w:r>
      <w:r w:rsidRPr="008416FE" w:rsidR="0011539E">
        <w:rPr>
          <w:iCs/>
          <w:sz w:val="24"/>
        </w:rPr>
        <w:t xml:space="preserve">s mentioned </w:t>
      </w:r>
      <w:r w:rsidRPr="008416FE" w:rsidR="00340A09">
        <w:rPr>
          <w:iCs/>
          <w:sz w:val="24"/>
        </w:rPr>
        <w:t xml:space="preserve">above, </w:t>
      </w:r>
      <w:r w:rsidRPr="008416FE" w:rsidR="00154DD9">
        <w:rPr>
          <w:iCs/>
          <w:sz w:val="24"/>
        </w:rPr>
        <w:t>the information included in these reports is not structured in a manner that would meet the Commission’s needs under the FPA and NGA.</w:t>
      </w:r>
      <w:r w:rsidR="00901657">
        <w:rPr>
          <w:iCs/>
          <w:sz w:val="24"/>
        </w:rPr>
        <w:t xml:space="preserve"> </w:t>
      </w:r>
      <w:r w:rsidRPr="008416FE" w:rsidR="00952913">
        <w:rPr>
          <w:iCs/>
          <w:sz w:val="24"/>
        </w:rPr>
        <w:t xml:space="preserve">For example, </w:t>
      </w:r>
      <w:r w:rsidRPr="008416FE" w:rsidR="0011539E">
        <w:rPr>
          <w:iCs/>
          <w:sz w:val="24"/>
        </w:rPr>
        <w:t xml:space="preserve">the </w:t>
      </w:r>
      <w:r w:rsidRPr="008416FE" w:rsidR="00340A09">
        <w:rPr>
          <w:iCs/>
          <w:sz w:val="24"/>
        </w:rPr>
        <w:t>financial statements filed with the SEC are provided on a consolidated, or parent company</w:t>
      </w:r>
      <w:r w:rsidRPr="008416FE" w:rsidR="00582164">
        <w:rPr>
          <w:iCs/>
          <w:sz w:val="24"/>
        </w:rPr>
        <w:t>,</w:t>
      </w:r>
      <w:r w:rsidRPr="008416FE" w:rsidR="00340A09">
        <w:rPr>
          <w:iCs/>
          <w:sz w:val="24"/>
        </w:rPr>
        <w:t xml:space="preserve"> basis</w:t>
      </w:r>
      <w:r w:rsidRPr="008416FE">
        <w:rPr>
          <w:iCs/>
          <w:sz w:val="24"/>
        </w:rPr>
        <w:t xml:space="preserve"> and therefore do not provide information at the level </w:t>
      </w:r>
      <w:r w:rsidRPr="008416FE" w:rsidR="001E2BBB">
        <w:rPr>
          <w:iCs/>
          <w:sz w:val="24"/>
        </w:rPr>
        <w:t xml:space="preserve">of granularity </w:t>
      </w:r>
      <w:r w:rsidRPr="008416FE">
        <w:rPr>
          <w:iCs/>
          <w:sz w:val="24"/>
        </w:rPr>
        <w:t xml:space="preserve">required </w:t>
      </w:r>
      <w:r w:rsidRPr="008416FE" w:rsidR="00730826">
        <w:rPr>
          <w:iCs/>
          <w:sz w:val="24"/>
        </w:rPr>
        <w:t>by</w:t>
      </w:r>
      <w:r w:rsidRPr="008416FE">
        <w:rPr>
          <w:iCs/>
          <w:sz w:val="24"/>
        </w:rPr>
        <w:t xml:space="preserve"> </w:t>
      </w:r>
      <w:r w:rsidRPr="008416FE" w:rsidR="00291CC4">
        <w:rPr>
          <w:iCs/>
          <w:sz w:val="24"/>
        </w:rPr>
        <w:t xml:space="preserve">the </w:t>
      </w:r>
      <w:r w:rsidRPr="008416FE">
        <w:rPr>
          <w:iCs/>
          <w:sz w:val="24"/>
        </w:rPr>
        <w:t>Commission</w:t>
      </w:r>
      <w:r w:rsidRPr="008416FE" w:rsidR="00846C79">
        <w:rPr>
          <w:iCs/>
          <w:sz w:val="24"/>
        </w:rPr>
        <w:t xml:space="preserve"> to develop and monitor cost-based rates, conduct market analysis, and perform financial audits</w:t>
      </w:r>
      <w:r w:rsidRPr="008416FE" w:rsidR="00340A09">
        <w:rPr>
          <w:iCs/>
          <w:sz w:val="24"/>
        </w:rPr>
        <w:t>.</w:t>
      </w:r>
      <w:r w:rsidRPr="008416FE" w:rsidR="001E2BBB">
        <w:rPr>
          <w:sz w:val="24"/>
        </w:rPr>
        <w:t xml:space="preserve"> </w:t>
      </w:r>
      <w:r w:rsidRPr="008416FE" w:rsidR="001E2BBB">
        <w:rPr>
          <w:iCs/>
          <w:sz w:val="24"/>
        </w:rPr>
        <w:t>However, the Commission recognizes that there may be opportunities to limit the information required by FERC Form No. 3-Q, reducing the burden on filing parties, while still providing the Commission with the information required to fulfill its responsibilities.</w:t>
      </w:r>
      <w:r w:rsidR="00901657">
        <w:rPr>
          <w:iCs/>
          <w:sz w:val="24"/>
        </w:rPr>
        <w:t xml:space="preserve"> </w:t>
      </w:r>
      <w:r w:rsidRPr="008416FE" w:rsidR="00B0635C">
        <w:rPr>
          <w:sz w:val="24"/>
        </w:rPr>
        <w:t xml:space="preserve">While the </w:t>
      </w:r>
      <w:r w:rsidRPr="008416FE" w:rsidR="00E01F36">
        <w:rPr>
          <w:sz w:val="24"/>
        </w:rPr>
        <w:t xml:space="preserve">Commission is not considering modifications </w:t>
      </w:r>
      <w:r w:rsidRPr="008416FE" w:rsidR="00E01F36">
        <w:rPr>
          <w:iCs/>
          <w:sz w:val="24"/>
        </w:rPr>
        <w:t xml:space="preserve">to the collection or frequency of collection of </w:t>
      </w:r>
      <w:r w:rsidRPr="008416FE" w:rsidR="00527F08">
        <w:rPr>
          <w:iCs/>
          <w:sz w:val="24"/>
        </w:rPr>
        <w:t xml:space="preserve">FERC </w:t>
      </w:r>
      <w:r w:rsidRPr="008416FE" w:rsidR="00E01F36">
        <w:rPr>
          <w:iCs/>
          <w:sz w:val="24"/>
        </w:rPr>
        <w:t xml:space="preserve">Form </w:t>
      </w:r>
      <w:r w:rsidRPr="008416FE" w:rsidR="00527F08">
        <w:rPr>
          <w:iCs/>
          <w:sz w:val="24"/>
        </w:rPr>
        <w:t>No</w:t>
      </w:r>
      <w:r w:rsidRPr="008416FE" w:rsidR="00BC0222">
        <w:rPr>
          <w:iCs/>
          <w:sz w:val="24"/>
        </w:rPr>
        <w:t>s</w:t>
      </w:r>
      <w:r w:rsidRPr="008416FE" w:rsidR="00527F08">
        <w:rPr>
          <w:iCs/>
          <w:sz w:val="24"/>
        </w:rPr>
        <w:t xml:space="preserve">. </w:t>
      </w:r>
      <w:r w:rsidRPr="008416FE" w:rsidR="00BC0222">
        <w:rPr>
          <w:iCs/>
          <w:sz w:val="24"/>
        </w:rPr>
        <w:t xml:space="preserve">1, 1-F, and </w:t>
      </w:r>
      <w:r w:rsidRPr="008416FE" w:rsidR="00E01F36">
        <w:rPr>
          <w:iCs/>
          <w:sz w:val="24"/>
        </w:rPr>
        <w:t>3-Q</w:t>
      </w:r>
      <w:r w:rsidRPr="001D11C5" w:rsidR="001D11C5">
        <w:rPr>
          <w:sz w:val="24"/>
        </w:rPr>
        <w:t xml:space="preserve"> </w:t>
      </w:r>
      <w:r w:rsidRPr="008416FE" w:rsidR="001D11C5">
        <w:rPr>
          <w:sz w:val="24"/>
        </w:rPr>
        <w:t>in this renewal</w:t>
      </w:r>
      <w:r w:rsidRPr="008416FE" w:rsidR="00E01F36">
        <w:rPr>
          <w:iCs/>
          <w:sz w:val="24"/>
        </w:rPr>
        <w:t xml:space="preserve">, </w:t>
      </w:r>
      <w:r w:rsidRPr="008416FE" w:rsidR="00B0635C">
        <w:rPr>
          <w:iCs/>
          <w:sz w:val="24"/>
        </w:rPr>
        <w:t>it</w:t>
      </w:r>
      <w:r w:rsidRPr="008416FE" w:rsidR="00E01F36">
        <w:rPr>
          <w:iCs/>
          <w:sz w:val="24"/>
        </w:rPr>
        <w:t xml:space="preserve"> may consider doing so in the future, at which time EE</w:t>
      </w:r>
      <w:r w:rsidRPr="008416FE" w:rsidR="004B2C4A">
        <w:rPr>
          <w:iCs/>
          <w:sz w:val="24"/>
        </w:rPr>
        <w:t>I</w:t>
      </w:r>
      <w:r w:rsidRPr="008416FE" w:rsidR="00B0635C">
        <w:rPr>
          <w:iCs/>
          <w:sz w:val="24"/>
        </w:rPr>
        <w:t xml:space="preserve">, </w:t>
      </w:r>
      <w:r w:rsidRPr="008416FE" w:rsidR="008A125E">
        <w:rPr>
          <w:iCs/>
          <w:sz w:val="24"/>
        </w:rPr>
        <w:t xml:space="preserve">the </w:t>
      </w:r>
      <w:r w:rsidRPr="008416FE" w:rsidR="00050039">
        <w:rPr>
          <w:iCs/>
          <w:sz w:val="24"/>
        </w:rPr>
        <w:t>E</w:t>
      </w:r>
      <w:r w:rsidRPr="008416FE" w:rsidR="008A125E">
        <w:rPr>
          <w:iCs/>
          <w:sz w:val="24"/>
        </w:rPr>
        <w:t xml:space="preserve">lectric </w:t>
      </w:r>
      <w:r w:rsidRPr="008416FE" w:rsidR="00050039">
        <w:rPr>
          <w:iCs/>
          <w:sz w:val="24"/>
        </w:rPr>
        <w:t>U</w:t>
      </w:r>
      <w:r w:rsidRPr="008416FE" w:rsidR="008A125E">
        <w:rPr>
          <w:iCs/>
          <w:sz w:val="24"/>
        </w:rPr>
        <w:t xml:space="preserve">tility </w:t>
      </w:r>
      <w:r w:rsidRPr="008416FE" w:rsidR="00050039">
        <w:rPr>
          <w:iCs/>
          <w:sz w:val="24"/>
        </w:rPr>
        <w:t>C</w:t>
      </w:r>
      <w:r w:rsidRPr="008416FE" w:rsidR="008A125E">
        <w:rPr>
          <w:iCs/>
          <w:sz w:val="24"/>
        </w:rPr>
        <w:t>ompanies</w:t>
      </w:r>
      <w:r w:rsidRPr="008416FE" w:rsidR="00BC0222">
        <w:rPr>
          <w:iCs/>
          <w:sz w:val="24"/>
        </w:rPr>
        <w:t>, BEA, and other interested parties</w:t>
      </w:r>
      <w:r w:rsidRPr="008416FE" w:rsidR="008A125E">
        <w:rPr>
          <w:iCs/>
          <w:sz w:val="24"/>
        </w:rPr>
        <w:t xml:space="preserve"> </w:t>
      </w:r>
      <w:r w:rsidRPr="008416FE" w:rsidR="00E01F36">
        <w:rPr>
          <w:iCs/>
          <w:sz w:val="24"/>
        </w:rPr>
        <w:t>will be able to submit comments.</w:t>
      </w:r>
    </w:p>
    <w:p w:rsidR="0008319C" w:rsidRPr="008416FE" w:rsidP="00FC1F9A" w14:paraId="37C6E5DC" w14:textId="4D27A8C3">
      <w:pPr>
        <w:pStyle w:val="FERCparanumber"/>
        <w:numPr>
          <w:ilvl w:val="0"/>
          <w:numId w:val="0"/>
        </w:numPr>
        <w:autoSpaceDE w:val="0"/>
        <w:autoSpaceDN w:val="0"/>
        <w:adjustRightInd w:val="0"/>
        <w:rPr>
          <w:iCs/>
          <w:sz w:val="24"/>
        </w:rPr>
      </w:pPr>
      <w:r>
        <w:rPr>
          <w:iCs/>
          <w:sz w:val="24"/>
        </w:rPr>
        <w:t xml:space="preserve"> </w:t>
      </w:r>
    </w:p>
    <w:p w:rsidR="003F64A4" w:rsidRPr="008416FE" w:rsidP="00FC1F9A" w14:paraId="36AE73E2" w14:textId="6C6E698F">
      <w:pPr>
        <w:pStyle w:val="FERCparanumber"/>
        <w:numPr>
          <w:ilvl w:val="0"/>
          <w:numId w:val="0"/>
        </w:numPr>
        <w:autoSpaceDE w:val="0"/>
        <w:autoSpaceDN w:val="0"/>
        <w:adjustRightInd w:val="0"/>
        <w:rPr>
          <w:iCs/>
          <w:sz w:val="24"/>
        </w:rPr>
      </w:pPr>
      <w:r w:rsidRPr="008416FE">
        <w:rPr>
          <w:iCs/>
          <w:sz w:val="24"/>
        </w:rPr>
        <w:t>With respect to EPI and Evergy’s interest in modifying the forms, the Commission recognizes that certain instructions may benefit from updated or clarified language.</w:t>
      </w:r>
      <w:r w:rsidR="00901657">
        <w:rPr>
          <w:iCs/>
          <w:sz w:val="24"/>
        </w:rPr>
        <w:t xml:space="preserve"> </w:t>
      </w:r>
      <w:r w:rsidRPr="008416FE">
        <w:rPr>
          <w:iCs/>
          <w:sz w:val="24"/>
        </w:rPr>
        <w:t>However, as noted above, the Commission is not considering in this renewal modifications to FERC Form Nos. 1, 1-F, and 3-Q, but may consider doing so in the future, at which time EPI, Evergy, and other interested parties will be able to submit comments on this issue.</w:t>
      </w:r>
    </w:p>
    <w:p w:rsidR="001268EC" w:rsidRPr="008416FE" w:rsidP="008301D7" w14:paraId="61059BB7" w14:textId="77777777">
      <w:pPr>
        <w:pStyle w:val="FERCparanumber"/>
        <w:numPr>
          <w:ilvl w:val="0"/>
          <w:numId w:val="0"/>
        </w:numPr>
        <w:autoSpaceDE w:val="0"/>
        <w:autoSpaceDN w:val="0"/>
        <w:adjustRightInd w:val="0"/>
        <w:ind w:left="360"/>
        <w:rPr>
          <w:iCs/>
          <w:sz w:val="24"/>
        </w:rPr>
      </w:pPr>
    </w:p>
    <w:p w:rsidR="001E2BBB" w:rsidRPr="008416FE" w:rsidP="001E2BBB" w14:paraId="413C7202" w14:textId="4CE32BD1">
      <w:pPr>
        <w:pStyle w:val="FERCparanumber"/>
        <w:numPr>
          <w:ilvl w:val="0"/>
          <w:numId w:val="0"/>
        </w:numPr>
        <w:autoSpaceDE w:val="0"/>
        <w:autoSpaceDN w:val="0"/>
        <w:adjustRightInd w:val="0"/>
        <w:rPr>
          <w:i/>
          <w:iCs/>
          <w:sz w:val="24"/>
        </w:rPr>
      </w:pPr>
      <w:r w:rsidRPr="008416FE">
        <w:rPr>
          <w:i/>
          <w:iCs/>
          <w:sz w:val="24"/>
        </w:rPr>
        <w:t>Comments regarding the Commission’s b</w:t>
      </w:r>
      <w:r w:rsidRPr="008416FE">
        <w:rPr>
          <w:i/>
          <w:iCs/>
          <w:sz w:val="24"/>
        </w:rPr>
        <w:t xml:space="preserve">urden </w:t>
      </w:r>
      <w:r w:rsidRPr="008416FE">
        <w:rPr>
          <w:i/>
          <w:iCs/>
          <w:sz w:val="24"/>
        </w:rPr>
        <w:t>e</w:t>
      </w:r>
      <w:r w:rsidRPr="008416FE">
        <w:rPr>
          <w:i/>
          <w:iCs/>
          <w:sz w:val="24"/>
        </w:rPr>
        <w:t>stimate</w:t>
      </w:r>
      <w:r w:rsidRPr="008416FE" w:rsidR="00141219">
        <w:rPr>
          <w:i/>
          <w:iCs/>
          <w:sz w:val="24"/>
        </w:rPr>
        <w:t>.</w:t>
      </w:r>
    </w:p>
    <w:p w:rsidR="001E2BBB" w:rsidRPr="008416FE" w:rsidP="00FC1F9A" w14:paraId="40EA154A" w14:textId="77777777">
      <w:pPr>
        <w:pStyle w:val="FERCparanumber"/>
        <w:numPr>
          <w:ilvl w:val="0"/>
          <w:numId w:val="0"/>
        </w:numPr>
        <w:autoSpaceDE w:val="0"/>
        <w:autoSpaceDN w:val="0"/>
        <w:adjustRightInd w:val="0"/>
        <w:rPr>
          <w:i/>
          <w:iCs/>
          <w:sz w:val="24"/>
        </w:rPr>
      </w:pPr>
    </w:p>
    <w:p w:rsidR="003930BF" w:rsidRPr="008416FE" w:rsidP="00FC1F9A" w14:paraId="69AA5E3B" w14:textId="40DEF097">
      <w:pPr>
        <w:pStyle w:val="FERCparanumber"/>
        <w:numPr>
          <w:ilvl w:val="0"/>
          <w:numId w:val="0"/>
        </w:numPr>
        <w:autoSpaceDE w:val="0"/>
        <w:autoSpaceDN w:val="0"/>
        <w:adjustRightInd w:val="0"/>
        <w:rPr>
          <w:sz w:val="24"/>
        </w:rPr>
      </w:pPr>
      <w:r w:rsidRPr="008416FE">
        <w:rPr>
          <w:sz w:val="24"/>
        </w:rPr>
        <w:t xml:space="preserve">AEP, Duke Energy, Evergy, </w:t>
      </w:r>
      <w:r w:rsidRPr="008416FE" w:rsidR="00FC3D19">
        <w:rPr>
          <w:sz w:val="24"/>
        </w:rPr>
        <w:t xml:space="preserve">Entergy, FirstEnergy, </w:t>
      </w:r>
      <w:r w:rsidRPr="008416FE">
        <w:rPr>
          <w:sz w:val="24"/>
        </w:rPr>
        <w:t>PGE, PPL</w:t>
      </w:r>
      <w:r w:rsidRPr="008416FE" w:rsidR="00FC3D19">
        <w:rPr>
          <w:sz w:val="24"/>
        </w:rPr>
        <w:t>, and SCE</w:t>
      </w:r>
      <w:r w:rsidRPr="008416FE">
        <w:rPr>
          <w:sz w:val="24"/>
        </w:rPr>
        <w:t xml:space="preserve"> </w:t>
      </w:r>
      <w:r w:rsidRPr="008416FE" w:rsidR="00905404">
        <w:rPr>
          <w:sz w:val="24"/>
        </w:rPr>
        <w:t xml:space="preserve">state </w:t>
      </w:r>
      <w:r w:rsidRPr="008416FE" w:rsidR="001C0A70">
        <w:rPr>
          <w:sz w:val="24"/>
        </w:rPr>
        <w:t xml:space="preserve">that, while </w:t>
      </w:r>
      <w:r w:rsidRPr="008416FE" w:rsidR="00E33970">
        <w:rPr>
          <w:sz w:val="24"/>
        </w:rPr>
        <w:t>the time for each respondent to complete FERC Form No. 3-Q varies significantly, as each respondent has different systems and process</w:t>
      </w:r>
      <w:r w:rsidRPr="008416FE" w:rsidR="00C32EEF">
        <w:rPr>
          <w:sz w:val="24"/>
        </w:rPr>
        <w:t xml:space="preserve">es, </w:t>
      </w:r>
      <w:r w:rsidRPr="008416FE" w:rsidR="0008319C">
        <w:rPr>
          <w:sz w:val="24"/>
        </w:rPr>
        <w:t>they</w:t>
      </w:r>
      <w:r w:rsidRPr="008416FE" w:rsidR="00905404">
        <w:rPr>
          <w:sz w:val="24"/>
        </w:rPr>
        <w:t xml:space="preserve"> </w:t>
      </w:r>
      <w:r w:rsidRPr="008416FE" w:rsidR="00C32EEF">
        <w:rPr>
          <w:sz w:val="24"/>
        </w:rPr>
        <w:t xml:space="preserve">generally </w:t>
      </w:r>
      <w:r w:rsidRPr="008416FE" w:rsidR="004405CD">
        <w:rPr>
          <w:sz w:val="24"/>
        </w:rPr>
        <w:t xml:space="preserve">support </w:t>
      </w:r>
      <w:r w:rsidRPr="008416FE" w:rsidR="00905404">
        <w:rPr>
          <w:sz w:val="24"/>
        </w:rPr>
        <w:t xml:space="preserve">FERC’s estimate of approximately 168 hours of annual effort to prepare </w:t>
      </w:r>
      <w:r w:rsidRPr="008416FE" w:rsidR="001E53CD">
        <w:rPr>
          <w:sz w:val="24"/>
        </w:rPr>
        <w:t xml:space="preserve">FERC </w:t>
      </w:r>
      <w:r w:rsidRPr="008416FE" w:rsidR="00905404">
        <w:rPr>
          <w:sz w:val="24"/>
        </w:rPr>
        <w:t>Form No. 3-Q.</w:t>
      </w:r>
      <w:r w:rsidR="00901657">
        <w:rPr>
          <w:sz w:val="24"/>
        </w:rPr>
        <w:t xml:space="preserve"> </w:t>
      </w:r>
      <w:r w:rsidRPr="008416FE" w:rsidR="005D0392">
        <w:rPr>
          <w:sz w:val="24"/>
        </w:rPr>
        <w:t>They note</w:t>
      </w:r>
      <w:r w:rsidRPr="008416FE" w:rsidR="00807991">
        <w:rPr>
          <w:sz w:val="24"/>
        </w:rPr>
        <w:t xml:space="preserve"> that</w:t>
      </w:r>
      <w:r w:rsidRPr="008416FE" w:rsidR="005D0392">
        <w:rPr>
          <w:sz w:val="24"/>
        </w:rPr>
        <w:t>,</w:t>
      </w:r>
      <w:r w:rsidRPr="008416FE" w:rsidR="00807991">
        <w:rPr>
          <w:sz w:val="24"/>
        </w:rPr>
        <w:t xml:space="preserve"> i</w:t>
      </w:r>
      <w:r w:rsidRPr="008416FE" w:rsidR="00905404">
        <w:rPr>
          <w:sz w:val="24"/>
        </w:rPr>
        <w:t>n addition to the cost of prepar</w:t>
      </w:r>
      <w:r w:rsidRPr="008416FE" w:rsidR="005D0392">
        <w:rPr>
          <w:sz w:val="24"/>
        </w:rPr>
        <w:t>ing FERC Form No. 3-Q</w:t>
      </w:r>
      <w:r w:rsidRPr="008416FE" w:rsidR="00905404">
        <w:rPr>
          <w:sz w:val="24"/>
        </w:rPr>
        <w:t xml:space="preserve">, </w:t>
      </w:r>
      <w:r w:rsidRPr="008416FE" w:rsidR="00901617">
        <w:rPr>
          <w:sz w:val="24"/>
        </w:rPr>
        <w:t>c</w:t>
      </w:r>
      <w:r w:rsidRPr="008416FE" w:rsidR="00905404">
        <w:rPr>
          <w:sz w:val="24"/>
        </w:rPr>
        <w:t>ompanies incur additional cost</w:t>
      </w:r>
      <w:r w:rsidRPr="008416FE" w:rsidR="005D0392">
        <w:rPr>
          <w:sz w:val="24"/>
        </w:rPr>
        <w:t>s</w:t>
      </w:r>
      <w:r w:rsidRPr="008416FE" w:rsidR="00905404">
        <w:rPr>
          <w:sz w:val="24"/>
        </w:rPr>
        <w:t xml:space="preserve"> to maintain a</w:t>
      </w:r>
      <w:r w:rsidRPr="008416FE" w:rsidR="00807991">
        <w:rPr>
          <w:sz w:val="24"/>
        </w:rPr>
        <w:t xml:space="preserve"> </w:t>
      </w:r>
      <w:r w:rsidRPr="008416FE" w:rsidR="00905404">
        <w:rPr>
          <w:sz w:val="24"/>
        </w:rPr>
        <w:t>software package to support the filing requirements including XBRL taggi</w:t>
      </w:r>
      <w:r w:rsidRPr="008416FE" w:rsidR="00E648AD">
        <w:rPr>
          <w:sz w:val="24"/>
        </w:rPr>
        <w:t>ng</w:t>
      </w:r>
      <w:r w:rsidRPr="008416FE" w:rsidR="008D4FA0">
        <w:rPr>
          <w:sz w:val="24"/>
        </w:rPr>
        <w:t xml:space="preserve"> and/or to utilize a </w:t>
      </w:r>
      <w:r w:rsidRPr="008416FE" w:rsidR="00825973">
        <w:rPr>
          <w:sz w:val="24"/>
        </w:rPr>
        <w:t>third-party</w:t>
      </w:r>
      <w:r w:rsidRPr="008416FE" w:rsidR="008D4FA0">
        <w:rPr>
          <w:sz w:val="24"/>
        </w:rPr>
        <w:t xml:space="preserve"> vendor’s software to </w:t>
      </w:r>
      <w:r w:rsidRPr="008416FE" w:rsidR="00BB30E4">
        <w:rPr>
          <w:sz w:val="24"/>
        </w:rPr>
        <w:t>prepare FERC Form No. 3-Q filings in XBRL</w:t>
      </w:r>
      <w:r w:rsidRPr="008416FE" w:rsidR="00E648AD">
        <w:rPr>
          <w:sz w:val="24"/>
        </w:rPr>
        <w:t>.</w:t>
      </w:r>
      <w:r w:rsidR="00901657">
        <w:rPr>
          <w:sz w:val="24"/>
        </w:rPr>
        <w:t xml:space="preserve"> </w:t>
      </w:r>
      <w:r w:rsidRPr="008416FE" w:rsidR="00723FDF">
        <w:rPr>
          <w:sz w:val="24"/>
        </w:rPr>
        <w:t>FirstEnergy states that</w:t>
      </w:r>
      <w:r w:rsidRPr="008416FE" w:rsidR="00FD04D3">
        <w:rPr>
          <w:sz w:val="24"/>
        </w:rPr>
        <w:t>,</w:t>
      </w:r>
      <w:r w:rsidRPr="008416FE" w:rsidR="00723FDF">
        <w:rPr>
          <w:sz w:val="24"/>
        </w:rPr>
        <w:t xml:space="preserve"> with the implementation of XBRL requirements, both the software cost</w:t>
      </w:r>
      <w:r w:rsidRPr="008416FE" w:rsidR="0058362D">
        <w:rPr>
          <w:sz w:val="24"/>
        </w:rPr>
        <w:t>s</w:t>
      </w:r>
      <w:r w:rsidRPr="008416FE" w:rsidR="00723FDF">
        <w:rPr>
          <w:sz w:val="24"/>
        </w:rPr>
        <w:t xml:space="preserve"> and labor burden have increased</w:t>
      </w:r>
      <w:r w:rsidRPr="008416FE" w:rsidR="00401D31">
        <w:rPr>
          <w:sz w:val="24"/>
        </w:rPr>
        <w:t>, and</w:t>
      </w:r>
      <w:r w:rsidRPr="008416FE" w:rsidR="00750F47">
        <w:rPr>
          <w:sz w:val="24"/>
        </w:rPr>
        <w:t xml:space="preserve"> it </w:t>
      </w:r>
      <w:r w:rsidRPr="008416FE" w:rsidR="00723FDF">
        <w:rPr>
          <w:sz w:val="24"/>
        </w:rPr>
        <w:t>estimates that each report takes nearly 70 hours per respondent each quarter to complete</w:t>
      </w:r>
      <w:r w:rsidRPr="008416FE" w:rsidR="000672E1">
        <w:rPr>
          <w:sz w:val="24"/>
        </w:rPr>
        <w:t>, or 210 hours annually</w:t>
      </w:r>
      <w:r w:rsidRPr="008416FE" w:rsidR="00723FDF">
        <w:rPr>
          <w:sz w:val="24"/>
        </w:rPr>
        <w:t>.</w:t>
      </w:r>
      <w:r w:rsidR="00901657">
        <w:rPr>
          <w:sz w:val="24"/>
        </w:rPr>
        <w:t xml:space="preserve"> </w:t>
      </w:r>
      <w:r w:rsidRPr="008416FE" w:rsidR="00FC585B">
        <w:rPr>
          <w:sz w:val="24"/>
        </w:rPr>
        <w:t xml:space="preserve">Entergy </w:t>
      </w:r>
      <w:r w:rsidRPr="008416FE" w:rsidR="002F5025">
        <w:rPr>
          <w:sz w:val="24"/>
        </w:rPr>
        <w:t>comments</w:t>
      </w:r>
      <w:r w:rsidRPr="008416FE" w:rsidR="00FC585B">
        <w:rPr>
          <w:sz w:val="24"/>
        </w:rPr>
        <w:t xml:space="preserve"> that because each of its reports are individually prepared by Entergy Services’ accounting employees, there are no economies of scale or efficiencies to be had in their preparation.</w:t>
      </w:r>
      <w:r w:rsidR="00901657">
        <w:rPr>
          <w:sz w:val="24"/>
        </w:rPr>
        <w:t xml:space="preserve"> </w:t>
      </w:r>
      <w:r w:rsidRPr="008416FE" w:rsidR="00FC585B">
        <w:rPr>
          <w:sz w:val="24"/>
        </w:rPr>
        <w:t>Entergy Services</w:t>
      </w:r>
      <w:r w:rsidRPr="008416FE" w:rsidR="002F5025">
        <w:rPr>
          <w:sz w:val="24"/>
        </w:rPr>
        <w:t xml:space="preserve"> </w:t>
      </w:r>
      <w:r w:rsidRPr="008416FE" w:rsidR="00FC585B">
        <w:rPr>
          <w:sz w:val="24"/>
        </w:rPr>
        <w:t>estimates that the yearly</w:t>
      </w:r>
      <w:r w:rsidRPr="008416FE" w:rsidR="00C8518E">
        <w:rPr>
          <w:sz w:val="24"/>
        </w:rPr>
        <w:t xml:space="preserve"> hourly expenditure to prepare and file </w:t>
      </w:r>
      <w:r w:rsidRPr="008416FE" w:rsidR="00F80CE6">
        <w:rPr>
          <w:sz w:val="24"/>
        </w:rPr>
        <w:t xml:space="preserve">FERC </w:t>
      </w:r>
      <w:r w:rsidRPr="008416FE" w:rsidR="00C8518E">
        <w:rPr>
          <w:sz w:val="24"/>
        </w:rPr>
        <w:t>Form No. 3-Qs is 1,050 hours at a total cost of about $84,000</w:t>
      </w:r>
      <w:r w:rsidRPr="008416FE" w:rsidR="006F22A4">
        <w:rPr>
          <w:sz w:val="24"/>
        </w:rPr>
        <w:t>,</w:t>
      </w:r>
      <w:r w:rsidRPr="008416FE" w:rsidR="00C8518E">
        <w:rPr>
          <w:sz w:val="24"/>
        </w:rPr>
        <w:t xml:space="preserve"> in addition to the cost of software licenses and other related costs incurred.</w:t>
      </w:r>
      <w:r w:rsidR="00901657">
        <w:rPr>
          <w:sz w:val="24"/>
        </w:rPr>
        <w:t xml:space="preserve"> </w:t>
      </w:r>
      <w:r w:rsidRPr="008416FE" w:rsidR="00DA190F">
        <w:rPr>
          <w:sz w:val="24"/>
        </w:rPr>
        <w:t xml:space="preserve">SCE estimates that it takes their staff approximately </w:t>
      </w:r>
      <w:r w:rsidRPr="008416FE" w:rsidR="00620AB9">
        <w:rPr>
          <w:sz w:val="24"/>
        </w:rPr>
        <w:t>900 hours annually for three quarterly filings.</w:t>
      </w:r>
      <w:r w:rsidR="00901657">
        <w:rPr>
          <w:sz w:val="24"/>
        </w:rPr>
        <w:t xml:space="preserve"> </w:t>
      </w:r>
      <w:r w:rsidRPr="008416FE" w:rsidR="00D91DB2">
        <w:rPr>
          <w:sz w:val="24"/>
        </w:rPr>
        <w:t>SCE asserts that the required XBRL format has added additional burden without a clear linkage to any benefit by users.</w:t>
      </w:r>
    </w:p>
    <w:p w:rsidR="00FC585B" w:rsidRPr="008416FE" w:rsidP="00D3673C" w14:paraId="2AD54A9E" w14:textId="77777777">
      <w:pPr>
        <w:pStyle w:val="FERCparanumber"/>
        <w:numPr>
          <w:ilvl w:val="0"/>
          <w:numId w:val="0"/>
        </w:numPr>
        <w:autoSpaceDE w:val="0"/>
        <w:autoSpaceDN w:val="0"/>
        <w:adjustRightInd w:val="0"/>
        <w:ind w:left="360"/>
        <w:rPr>
          <w:sz w:val="24"/>
        </w:rPr>
      </w:pPr>
    </w:p>
    <w:p w:rsidR="00353FA6" w:rsidRPr="008416FE" w:rsidP="00FC1F9A" w14:paraId="56A4162B" w14:textId="14CA16CA">
      <w:pPr>
        <w:pStyle w:val="FERCparanumber"/>
        <w:numPr>
          <w:ilvl w:val="0"/>
          <w:numId w:val="0"/>
        </w:numPr>
        <w:autoSpaceDE w:val="0"/>
        <w:autoSpaceDN w:val="0"/>
        <w:adjustRightInd w:val="0"/>
        <w:rPr>
          <w:sz w:val="24"/>
          <w:highlight w:val="yellow"/>
        </w:rPr>
      </w:pPr>
      <w:r w:rsidRPr="008416FE">
        <w:rPr>
          <w:iCs/>
          <w:sz w:val="24"/>
          <w:u w:val="single"/>
        </w:rPr>
        <w:t>FERC Response:</w:t>
      </w:r>
      <w:r w:rsidRPr="008416FE">
        <w:rPr>
          <w:sz w:val="24"/>
        </w:rPr>
        <w:t xml:space="preserve"> The Commission </w:t>
      </w:r>
      <w:r w:rsidRPr="008416FE" w:rsidR="00F00C7E">
        <w:rPr>
          <w:sz w:val="24"/>
        </w:rPr>
        <w:t xml:space="preserve">appreciates the comments </w:t>
      </w:r>
      <w:r w:rsidRPr="008416FE" w:rsidR="00D87066">
        <w:rPr>
          <w:sz w:val="24"/>
        </w:rPr>
        <w:t xml:space="preserve">providing </w:t>
      </w:r>
      <w:r w:rsidRPr="008416FE" w:rsidR="00F00C7E">
        <w:rPr>
          <w:sz w:val="24"/>
        </w:rPr>
        <w:t>each compan</w:t>
      </w:r>
      <w:r w:rsidRPr="008416FE" w:rsidR="41FBC3FB">
        <w:rPr>
          <w:sz w:val="24"/>
        </w:rPr>
        <w:t>y’s</w:t>
      </w:r>
      <w:r w:rsidRPr="008416FE" w:rsidR="00F00C7E">
        <w:rPr>
          <w:sz w:val="24"/>
        </w:rPr>
        <w:t xml:space="preserve"> individual estimate of the total burden, time</w:t>
      </w:r>
      <w:r w:rsidRPr="008416FE" w:rsidR="003628AD">
        <w:rPr>
          <w:sz w:val="24"/>
        </w:rPr>
        <w:t>,</w:t>
      </w:r>
      <w:r w:rsidRPr="008416FE" w:rsidR="00F00C7E">
        <w:rPr>
          <w:sz w:val="24"/>
        </w:rPr>
        <w:t xml:space="preserve"> and</w:t>
      </w:r>
      <w:r w:rsidRPr="008416FE" w:rsidR="008F2736">
        <w:rPr>
          <w:sz w:val="24"/>
        </w:rPr>
        <w:t>/or</w:t>
      </w:r>
      <w:r w:rsidRPr="008416FE" w:rsidR="00F00C7E">
        <w:rPr>
          <w:sz w:val="24"/>
        </w:rPr>
        <w:t xml:space="preserve"> </w:t>
      </w:r>
      <w:r w:rsidRPr="008416FE" w:rsidR="00DF2012">
        <w:rPr>
          <w:sz w:val="24"/>
        </w:rPr>
        <w:t>costs associated with the quarterly filings.</w:t>
      </w:r>
      <w:r w:rsidR="00901657">
        <w:rPr>
          <w:sz w:val="24"/>
        </w:rPr>
        <w:t xml:space="preserve"> </w:t>
      </w:r>
      <w:r w:rsidRPr="008416FE" w:rsidR="00DF2012">
        <w:rPr>
          <w:sz w:val="24"/>
        </w:rPr>
        <w:t xml:space="preserve">The Commission </w:t>
      </w:r>
      <w:r w:rsidRPr="008416FE">
        <w:rPr>
          <w:sz w:val="24"/>
        </w:rPr>
        <w:t xml:space="preserve">acknowledges that the burden presented is meant to represent an industry average and that the time for each respondent to complete the forms varies as each respondent has different </w:t>
      </w:r>
      <w:r w:rsidRPr="008416FE" w:rsidR="003628AD">
        <w:rPr>
          <w:sz w:val="24"/>
        </w:rPr>
        <w:t xml:space="preserve">employee compensation, </w:t>
      </w:r>
      <w:r w:rsidRPr="008416FE">
        <w:rPr>
          <w:sz w:val="24"/>
        </w:rPr>
        <w:t>systems</w:t>
      </w:r>
      <w:r w:rsidRPr="008416FE" w:rsidR="003628AD">
        <w:rPr>
          <w:sz w:val="24"/>
        </w:rPr>
        <w:t>,</w:t>
      </w:r>
      <w:r w:rsidRPr="008416FE">
        <w:rPr>
          <w:sz w:val="24"/>
        </w:rPr>
        <w:t xml:space="preserve"> and processes.</w:t>
      </w:r>
      <w:r w:rsidR="00901657">
        <w:rPr>
          <w:sz w:val="24"/>
        </w:rPr>
        <w:t xml:space="preserve"> </w:t>
      </w:r>
    </w:p>
    <w:p w:rsidR="00551670" w:rsidRPr="008416FE" w:rsidP="00FA1B04" w14:paraId="6A2E9BE8" w14:textId="77777777">
      <w:pPr>
        <w:pStyle w:val="FERCparanumber"/>
        <w:numPr>
          <w:ilvl w:val="0"/>
          <w:numId w:val="0"/>
        </w:numPr>
        <w:autoSpaceDE w:val="0"/>
        <w:autoSpaceDN w:val="0"/>
        <w:adjustRightInd w:val="0"/>
        <w:ind w:left="270"/>
        <w:rPr>
          <w:sz w:val="24"/>
          <w:highlight w:val="yellow"/>
        </w:rPr>
      </w:pPr>
    </w:p>
    <w:p w:rsidR="00F0627E" w:rsidRPr="008416FE" w:rsidP="00BD0F89" w14:paraId="1A2BC3FA" w14:textId="77777777">
      <w:pPr>
        <w:pStyle w:val="ListParagraph"/>
        <w:numPr>
          <w:ilvl w:val="0"/>
          <w:numId w:val="14"/>
        </w:numPr>
        <w:spacing w:after="0" w:line="240" w:lineRule="auto"/>
        <w:rPr>
          <w:rFonts w:ascii="Times New Roman" w:hAnsi="Times New Roman"/>
          <w:b/>
          <w:sz w:val="24"/>
          <w:szCs w:val="24"/>
        </w:rPr>
      </w:pPr>
      <w:r w:rsidRPr="008416FE">
        <w:rPr>
          <w:rFonts w:ascii="Times New Roman" w:hAnsi="Times New Roman"/>
          <w:b/>
          <w:sz w:val="24"/>
          <w:szCs w:val="24"/>
        </w:rPr>
        <w:t>EXPLAIN ANY PAYMENT OR GIFTS TO RESPONDENTS</w:t>
      </w:r>
    </w:p>
    <w:p w:rsidR="00F0627E" w:rsidRPr="008416FE" w:rsidP="00BD0F89" w14:paraId="1C0A081E" w14:textId="77777777">
      <w:pPr>
        <w:spacing w:after="0" w:line="240" w:lineRule="auto"/>
        <w:rPr>
          <w:rFonts w:ascii="Times New Roman" w:hAnsi="Times New Roman"/>
          <w:sz w:val="24"/>
          <w:szCs w:val="24"/>
        </w:rPr>
      </w:pPr>
    </w:p>
    <w:p w:rsidR="00F0627E" w:rsidRPr="008416FE" w14:paraId="47E62683" w14:textId="1B78BE97">
      <w:pPr>
        <w:spacing w:after="0" w:line="240" w:lineRule="auto"/>
        <w:rPr>
          <w:rFonts w:ascii="Times New Roman" w:hAnsi="Times New Roman"/>
          <w:sz w:val="24"/>
          <w:szCs w:val="24"/>
        </w:rPr>
      </w:pPr>
      <w:r w:rsidRPr="008416FE">
        <w:rPr>
          <w:rFonts w:ascii="Times New Roman" w:hAnsi="Times New Roman"/>
          <w:sz w:val="24"/>
          <w:szCs w:val="24"/>
        </w:rPr>
        <w:t>The Commission does not make</w:t>
      </w:r>
      <w:r w:rsidRPr="008416FE" w:rsidR="008E3C4F">
        <w:rPr>
          <w:rFonts w:ascii="Times New Roman" w:hAnsi="Times New Roman"/>
          <w:sz w:val="24"/>
          <w:szCs w:val="24"/>
        </w:rPr>
        <w:t xml:space="preserve"> </w:t>
      </w:r>
      <w:r w:rsidRPr="008416FE">
        <w:rPr>
          <w:rFonts w:ascii="Times New Roman" w:hAnsi="Times New Roman"/>
          <w:sz w:val="24"/>
          <w:szCs w:val="24"/>
        </w:rPr>
        <w:t>payments or gifts to respondents</w:t>
      </w:r>
      <w:r w:rsidRPr="008416FE">
        <w:rPr>
          <w:rFonts w:ascii="Times New Roman" w:hAnsi="Times New Roman"/>
          <w:sz w:val="24"/>
          <w:szCs w:val="24"/>
        </w:rPr>
        <w:t xml:space="preserve"> related to these collections</w:t>
      </w:r>
      <w:r w:rsidRPr="008416FE">
        <w:rPr>
          <w:rFonts w:ascii="Times New Roman" w:hAnsi="Times New Roman"/>
          <w:sz w:val="24"/>
          <w:szCs w:val="24"/>
        </w:rPr>
        <w:t>.</w:t>
      </w:r>
    </w:p>
    <w:p w:rsidR="00F0627E" w:rsidRPr="008416FE" w:rsidP="00BD0F89" w14:paraId="63605198" w14:textId="77777777">
      <w:pPr>
        <w:spacing w:after="0" w:line="240" w:lineRule="auto"/>
        <w:rPr>
          <w:rFonts w:ascii="Times New Roman" w:hAnsi="Times New Roman"/>
          <w:sz w:val="24"/>
          <w:szCs w:val="24"/>
        </w:rPr>
      </w:pPr>
    </w:p>
    <w:p w:rsidR="00F0627E" w:rsidRPr="008416FE" w:rsidP="00BD0F89" w14:paraId="0127248A" w14:textId="77777777">
      <w:pPr>
        <w:pStyle w:val="ListParagraph"/>
        <w:numPr>
          <w:ilvl w:val="0"/>
          <w:numId w:val="14"/>
        </w:numPr>
        <w:spacing w:after="0" w:line="240" w:lineRule="auto"/>
        <w:rPr>
          <w:rFonts w:ascii="Times New Roman" w:hAnsi="Times New Roman"/>
          <w:b/>
          <w:sz w:val="24"/>
          <w:szCs w:val="24"/>
        </w:rPr>
      </w:pPr>
      <w:r w:rsidRPr="008416FE">
        <w:rPr>
          <w:rFonts w:ascii="Times New Roman" w:hAnsi="Times New Roman"/>
          <w:b/>
          <w:sz w:val="24"/>
          <w:szCs w:val="24"/>
        </w:rPr>
        <w:t>DESCRIBE ANY ASSURANCE OF CONFIDENTIALITY PROVIDED TO RESPONDENTS</w:t>
      </w:r>
    </w:p>
    <w:p w:rsidR="00F0627E" w:rsidRPr="008416FE" w:rsidP="00BD0F89" w14:paraId="55B18053" w14:textId="77777777">
      <w:pPr>
        <w:spacing w:after="0" w:line="240" w:lineRule="auto"/>
        <w:rPr>
          <w:rFonts w:ascii="Times New Roman" w:hAnsi="Times New Roman"/>
          <w:sz w:val="24"/>
          <w:szCs w:val="24"/>
        </w:rPr>
      </w:pPr>
    </w:p>
    <w:p w:rsidR="00F0627E" w:rsidRPr="008416FE" w14:paraId="1594C0DB" w14:textId="606CF5F8">
      <w:pPr>
        <w:spacing w:after="0" w:line="240" w:lineRule="auto"/>
        <w:rPr>
          <w:rFonts w:ascii="Times New Roman" w:hAnsi="Times New Roman"/>
          <w:sz w:val="24"/>
          <w:szCs w:val="24"/>
        </w:rPr>
      </w:pPr>
      <w:r w:rsidRPr="008416FE">
        <w:rPr>
          <w:rFonts w:ascii="Times New Roman" w:hAnsi="Times New Roman"/>
          <w:sz w:val="24"/>
          <w:szCs w:val="24"/>
        </w:rPr>
        <w:t xml:space="preserve">The information collected in </w:t>
      </w:r>
      <w:r w:rsidRPr="008416FE" w:rsidR="003633BE">
        <w:rPr>
          <w:rFonts w:ascii="Times New Roman" w:hAnsi="Times New Roman"/>
          <w:sz w:val="24"/>
          <w:szCs w:val="24"/>
        </w:rPr>
        <w:t>FERC Form Nos. 1, 1-F, and 3-Q is publicly available</w:t>
      </w:r>
      <w:r w:rsidRPr="008416FE">
        <w:rPr>
          <w:rFonts w:ascii="Times New Roman" w:hAnsi="Times New Roman"/>
          <w:sz w:val="24"/>
          <w:szCs w:val="24"/>
        </w:rPr>
        <w:t>.</w:t>
      </w:r>
      <w:r w:rsidR="00901657">
        <w:rPr>
          <w:rFonts w:ascii="Times New Roman" w:hAnsi="Times New Roman"/>
          <w:sz w:val="24"/>
          <w:szCs w:val="24"/>
        </w:rPr>
        <w:t xml:space="preserve"> </w:t>
      </w:r>
      <w:r w:rsidRPr="008416FE">
        <w:rPr>
          <w:rFonts w:ascii="Times New Roman" w:hAnsi="Times New Roman"/>
          <w:sz w:val="24"/>
          <w:szCs w:val="24"/>
        </w:rPr>
        <w:t>However, the Commission will consider specific requests for confidential treatment (e.g.</w:t>
      </w:r>
      <w:r w:rsidRPr="008416FE" w:rsidR="00FA7EDE">
        <w:rPr>
          <w:rFonts w:ascii="Times New Roman" w:hAnsi="Times New Roman"/>
          <w:sz w:val="24"/>
          <w:szCs w:val="24"/>
        </w:rPr>
        <w:t>,</w:t>
      </w:r>
      <w:r w:rsidRPr="008416FE">
        <w:rPr>
          <w:rFonts w:ascii="Times New Roman" w:hAnsi="Times New Roman"/>
          <w:sz w:val="24"/>
          <w:szCs w:val="24"/>
        </w:rPr>
        <w:t xml:space="preserve"> Critical </w:t>
      </w:r>
      <w:r w:rsidRPr="008416FE" w:rsidR="00084A7F">
        <w:rPr>
          <w:rFonts w:ascii="Times New Roman" w:hAnsi="Times New Roman"/>
          <w:sz w:val="24"/>
          <w:szCs w:val="24"/>
        </w:rPr>
        <w:t>Energy/Electric</w:t>
      </w:r>
      <w:r w:rsidRPr="008416FE">
        <w:rPr>
          <w:rFonts w:ascii="Times New Roman" w:hAnsi="Times New Roman"/>
          <w:sz w:val="24"/>
          <w:szCs w:val="24"/>
        </w:rPr>
        <w:t xml:space="preserve"> Infrastructure Information [CEII] or non-public) to the extent permitted by law.</w:t>
      </w:r>
      <w:r>
        <w:rPr>
          <w:rFonts w:ascii="Times New Roman" w:hAnsi="Times New Roman"/>
          <w:b/>
          <w:bCs/>
          <w:sz w:val="24"/>
          <w:szCs w:val="24"/>
          <w:vertAlign w:val="superscript"/>
        </w:rPr>
        <w:footnoteReference w:id="22"/>
      </w:r>
      <w:r w:rsidR="00901657">
        <w:rPr>
          <w:rFonts w:ascii="Times New Roman" w:hAnsi="Times New Roman"/>
          <w:sz w:val="24"/>
          <w:szCs w:val="24"/>
        </w:rPr>
        <w:t xml:space="preserve"> </w:t>
      </w:r>
      <w:r w:rsidRPr="008416FE">
        <w:rPr>
          <w:rFonts w:ascii="Times New Roman" w:hAnsi="Times New Roman"/>
          <w:sz w:val="24"/>
          <w:szCs w:val="24"/>
        </w:rPr>
        <w:t>The Commission will review each request for confidential treatment on a case-by-case basis.</w:t>
      </w:r>
      <w:r w:rsidRPr="008416FE" w:rsidR="00084A7F">
        <w:rPr>
          <w:rFonts w:ascii="Times New Roman" w:hAnsi="Times New Roman"/>
          <w:sz w:val="24"/>
          <w:szCs w:val="24"/>
        </w:rPr>
        <w:t xml:space="preserve"> </w:t>
      </w:r>
    </w:p>
    <w:p w:rsidR="00F0627E" w:rsidRPr="008416FE" w:rsidP="00BD0F89" w14:paraId="06B74231" w14:textId="77777777">
      <w:pPr>
        <w:spacing w:after="0" w:line="240" w:lineRule="auto"/>
        <w:rPr>
          <w:rFonts w:ascii="Times New Roman" w:hAnsi="Times New Roman"/>
          <w:sz w:val="24"/>
          <w:szCs w:val="24"/>
        </w:rPr>
      </w:pPr>
    </w:p>
    <w:p w:rsidR="00F0627E" w:rsidRPr="008416FE" w:rsidP="00BD0F89" w14:paraId="3F7300DB" w14:textId="77777777">
      <w:pPr>
        <w:pStyle w:val="ListParagraph"/>
        <w:numPr>
          <w:ilvl w:val="0"/>
          <w:numId w:val="14"/>
        </w:numPr>
        <w:spacing w:after="0" w:line="240" w:lineRule="auto"/>
        <w:rPr>
          <w:rFonts w:ascii="Times New Roman" w:hAnsi="Times New Roman"/>
          <w:b/>
          <w:sz w:val="24"/>
          <w:szCs w:val="24"/>
        </w:rPr>
      </w:pPr>
      <w:r w:rsidRPr="008416FE">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rsidR="00F0627E" w:rsidRPr="008416FE" w:rsidP="00BD0F89" w14:paraId="39F4AE19" w14:textId="77777777">
      <w:pPr>
        <w:spacing w:after="0" w:line="240" w:lineRule="auto"/>
        <w:rPr>
          <w:rFonts w:ascii="Times New Roman" w:hAnsi="Times New Roman"/>
          <w:sz w:val="24"/>
          <w:szCs w:val="24"/>
        </w:rPr>
      </w:pPr>
    </w:p>
    <w:p w:rsidR="009E73C6" w:rsidRPr="008416FE" w:rsidP="009E73C6" w14:paraId="0EA84BAB" w14:textId="77777777">
      <w:pPr>
        <w:spacing w:after="0" w:line="240" w:lineRule="auto"/>
        <w:rPr>
          <w:rFonts w:ascii="Times New Roman" w:hAnsi="Times New Roman"/>
          <w:sz w:val="24"/>
          <w:szCs w:val="24"/>
        </w:rPr>
      </w:pPr>
      <w:r w:rsidRPr="008416FE">
        <w:rPr>
          <w:rFonts w:ascii="Times New Roman" w:hAnsi="Times New Roman"/>
          <w:sz w:val="24"/>
          <w:szCs w:val="24"/>
        </w:rPr>
        <w:t xml:space="preserve">The </w:t>
      </w:r>
      <w:r w:rsidRPr="008416FE" w:rsidR="00FE35A9">
        <w:rPr>
          <w:rFonts w:ascii="Times New Roman" w:hAnsi="Times New Roman"/>
          <w:sz w:val="24"/>
          <w:szCs w:val="24"/>
        </w:rPr>
        <w:t>forms do not contain</w:t>
      </w:r>
      <w:r w:rsidRPr="008416FE">
        <w:rPr>
          <w:rFonts w:ascii="Times New Roman" w:hAnsi="Times New Roman"/>
          <w:sz w:val="24"/>
          <w:szCs w:val="24"/>
        </w:rPr>
        <w:t xml:space="preserve"> questions of a sensitive nature.</w:t>
      </w:r>
    </w:p>
    <w:p w:rsidR="009E73C6" w:rsidRPr="008416FE" w:rsidP="009E73C6" w14:paraId="696B8EC6" w14:textId="77777777">
      <w:pPr>
        <w:pStyle w:val="ListParagraph"/>
        <w:rPr>
          <w:rFonts w:ascii="Times New Roman" w:hAnsi="Times New Roman"/>
          <w:sz w:val="24"/>
          <w:szCs w:val="24"/>
        </w:rPr>
      </w:pPr>
    </w:p>
    <w:p w:rsidR="00F0627E" w:rsidRPr="008416FE" w:rsidP="00BD0F89" w14:paraId="21A98BF8" w14:textId="3FFAAC14">
      <w:pPr>
        <w:pStyle w:val="ListParagraph"/>
        <w:numPr>
          <w:ilvl w:val="0"/>
          <w:numId w:val="14"/>
        </w:numPr>
        <w:spacing w:after="0" w:line="240" w:lineRule="auto"/>
        <w:rPr>
          <w:rFonts w:ascii="Times New Roman" w:hAnsi="Times New Roman"/>
          <w:sz w:val="24"/>
          <w:szCs w:val="24"/>
        </w:rPr>
      </w:pPr>
      <w:r w:rsidRPr="008416FE">
        <w:rPr>
          <w:rFonts w:ascii="Times New Roman" w:hAnsi="Times New Roman"/>
          <w:sz w:val="24"/>
          <w:szCs w:val="24"/>
        </w:rPr>
        <w:t xml:space="preserve"> </w:t>
      </w:r>
      <w:r w:rsidRPr="008416FE">
        <w:rPr>
          <w:rFonts w:ascii="Times New Roman" w:hAnsi="Times New Roman"/>
          <w:b/>
          <w:sz w:val="24"/>
          <w:szCs w:val="24"/>
        </w:rPr>
        <w:t>ESTIMATED BURDEN OF COLLECTION OF INFORMATION</w:t>
      </w:r>
    </w:p>
    <w:p w:rsidR="00AD2C01" w:rsidRPr="008416FE" w:rsidP="00BD0F89" w14:paraId="006B7021" w14:textId="77777777">
      <w:pPr>
        <w:spacing w:after="0" w:line="240" w:lineRule="auto"/>
        <w:rPr>
          <w:rFonts w:ascii="Times New Roman" w:hAnsi="Times New Roman"/>
          <w:sz w:val="24"/>
          <w:szCs w:val="24"/>
        </w:rPr>
      </w:pPr>
      <w:r w:rsidRPr="008416FE">
        <w:rPr>
          <w:rFonts w:ascii="Times New Roman" w:hAnsi="Times New Roman"/>
          <w:sz w:val="24"/>
          <w:szCs w:val="24"/>
        </w:rPr>
        <w:t xml:space="preserve"> </w:t>
      </w:r>
    </w:p>
    <w:p w:rsidR="00ED6497" w:rsidRPr="008416FE" w14:paraId="34B95CF5" w14:textId="5CECF775">
      <w:pPr>
        <w:spacing w:after="0" w:line="240" w:lineRule="auto"/>
        <w:rPr>
          <w:rFonts w:ascii="Times New Roman" w:hAnsi="Times New Roman"/>
          <w:sz w:val="24"/>
          <w:szCs w:val="24"/>
        </w:rPr>
      </w:pPr>
      <w:r w:rsidRPr="008416FE">
        <w:rPr>
          <w:rFonts w:ascii="Times New Roman" w:hAnsi="Times New Roman"/>
          <w:sz w:val="24"/>
          <w:szCs w:val="24"/>
        </w:rPr>
        <w:t>The estimated burden and cost</w:t>
      </w:r>
      <w:r>
        <w:rPr>
          <w:rStyle w:val="FootnoteReference"/>
          <w:rFonts w:ascii="Times New Roman" w:hAnsi="Times New Roman"/>
          <w:sz w:val="24"/>
          <w:szCs w:val="24"/>
          <w:vertAlign w:val="superscript"/>
        </w:rPr>
        <w:footnoteReference w:id="23"/>
      </w:r>
      <w:r w:rsidRPr="008416FE">
        <w:rPr>
          <w:rFonts w:ascii="Times New Roman" w:hAnsi="Times New Roman"/>
          <w:sz w:val="24"/>
          <w:szCs w:val="24"/>
          <w:vertAlign w:val="superscript"/>
        </w:rPr>
        <w:t xml:space="preserve"> </w:t>
      </w:r>
      <w:r w:rsidRPr="008416FE">
        <w:rPr>
          <w:rFonts w:ascii="Times New Roman" w:hAnsi="Times New Roman"/>
          <w:sz w:val="24"/>
          <w:szCs w:val="24"/>
        </w:rPr>
        <w:t>of the information collections follow.</w:t>
      </w:r>
      <w:r w:rsidR="00901657">
        <w:rPr>
          <w:rFonts w:ascii="Times New Roman" w:hAnsi="Times New Roman"/>
          <w:sz w:val="24"/>
          <w:szCs w:val="24"/>
        </w:rPr>
        <w:t xml:space="preserve"> </w:t>
      </w:r>
    </w:p>
    <w:p w:rsidR="00ED6497" w:rsidRPr="008416FE" w:rsidP="00BD0F89" w14:paraId="462FFAF9" w14:textId="304BE2DF">
      <w:pPr>
        <w:spacing w:after="0" w:line="240" w:lineRule="auto"/>
        <w:rPr>
          <w:rFonts w:ascii="Times New Roman" w:hAnsi="Times New Roman"/>
          <w:sz w:val="24"/>
          <w:szCs w:val="24"/>
        </w:rPr>
      </w:pPr>
      <w:r w:rsidRPr="008416FE">
        <w:rPr>
          <w:rFonts w:ascii="Times New Roman" w:hAnsi="Times New Roman"/>
          <w:sz w:val="24"/>
          <w:szCs w:val="24"/>
        </w:rPr>
        <w:tab/>
      </w:r>
    </w:p>
    <w:p w:rsidR="006A0CCF" w:rsidRPr="008416FE" w:rsidP="00FB4D45" w14:paraId="64C281F7" w14:textId="40CCC7E3">
      <w:pPr>
        <w:keepNext/>
        <w:keepLines/>
        <w:spacing w:after="0" w:line="240" w:lineRule="auto"/>
        <w:rPr>
          <w:rFonts w:ascii="Times New Roman" w:hAnsi="Times New Roman"/>
          <w:sz w:val="24"/>
          <w:szCs w:val="24"/>
        </w:rPr>
      </w:pPr>
      <w:r w:rsidRPr="008416FE">
        <w:rPr>
          <w:rFonts w:ascii="Times New Roman" w:hAnsi="Times New Roman"/>
          <w:sz w:val="24"/>
          <w:szCs w:val="24"/>
        </w:rPr>
        <w:t xml:space="preserve">FERC Form </w:t>
      </w:r>
      <w:r w:rsidRPr="008416FE" w:rsidR="00FA7EDE">
        <w:rPr>
          <w:rFonts w:ascii="Times New Roman" w:hAnsi="Times New Roman"/>
          <w:sz w:val="24"/>
          <w:szCs w:val="24"/>
        </w:rPr>
        <w:t xml:space="preserve">Nos. </w:t>
      </w:r>
      <w:r w:rsidRPr="008416FE">
        <w:rPr>
          <w:rFonts w:ascii="Times New Roman" w:hAnsi="Times New Roman"/>
          <w:sz w:val="24"/>
          <w:szCs w:val="24"/>
        </w:rPr>
        <w:t>1</w:t>
      </w:r>
      <w:r w:rsidRPr="008416FE" w:rsidR="006A753E">
        <w:rPr>
          <w:rFonts w:ascii="Times New Roman" w:hAnsi="Times New Roman"/>
          <w:sz w:val="24"/>
          <w:szCs w:val="24"/>
        </w:rPr>
        <w:t xml:space="preserve"> and 1-F</w:t>
      </w:r>
      <w:r w:rsidRPr="008416FE" w:rsidR="00FA7EDE">
        <w:rPr>
          <w:rFonts w:ascii="Times New Roman" w:hAnsi="Times New Roman"/>
          <w:sz w:val="24"/>
          <w:szCs w:val="24"/>
        </w:rPr>
        <w:t>:</w:t>
      </w:r>
    </w:p>
    <w:tbl>
      <w:tblPr>
        <w:tblW w:w="9200" w:type="dxa"/>
        <w:tblLook w:val="04A0"/>
      </w:tblPr>
      <w:tblGrid>
        <w:gridCol w:w="1416"/>
        <w:gridCol w:w="1306"/>
        <w:gridCol w:w="1360"/>
        <w:gridCol w:w="1219"/>
        <w:gridCol w:w="1238"/>
        <w:gridCol w:w="1301"/>
        <w:gridCol w:w="1360"/>
      </w:tblGrid>
      <w:tr w14:paraId="7F64EBBF" w14:textId="77777777" w:rsidTr="006A0CCF">
        <w:tblPrEx>
          <w:tblW w:w="9200" w:type="dxa"/>
          <w:tblLook w:val="04A0"/>
        </w:tblPrEx>
        <w:trPr>
          <w:trHeight w:val="300"/>
        </w:trPr>
        <w:tc>
          <w:tcPr>
            <w:tcW w:w="9200"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rsidR="006A0CCF" w:rsidRPr="00E37E19" w:rsidP="006A0CCF" w14:paraId="3DC666DC" w14:textId="2A493CEF">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Form 1</w:t>
            </w:r>
            <w:r w:rsidR="00901657">
              <w:rPr>
                <w:rFonts w:ascii="Times New Roman" w:eastAsia="Times New Roman" w:hAnsi="Times New Roman"/>
                <w:b/>
                <w:bCs/>
                <w:color w:val="000000"/>
                <w:sz w:val="20"/>
                <w:szCs w:val="20"/>
              </w:rPr>
              <w:t xml:space="preserve"> </w:t>
            </w:r>
            <w:r w:rsidRPr="00E37E19">
              <w:rPr>
                <w:rFonts w:ascii="Times New Roman" w:eastAsia="Times New Roman" w:hAnsi="Times New Roman"/>
                <w:b/>
                <w:bCs/>
                <w:color w:val="000000"/>
                <w:sz w:val="20"/>
                <w:szCs w:val="20"/>
              </w:rPr>
              <w:t>(OMB Control No. 1902-0021) and Form 1-F (OMB Control No. 1902-0029)</w:t>
            </w:r>
          </w:p>
        </w:tc>
      </w:tr>
      <w:tr w14:paraId="35D05446" w14:textId="77777777" w:rsidTr="006A0CCF">
        <w:tblPrEx>
          <w:tblW w:w="9200" w:type="dxa"/>
          <w:tblLook w:val="04A0"/>
        </w:tblPrEx>
        <w:trPr>
          <w:trHeight w:val="1040"/>
        </w:trPr>
        <w:tc>
          <w:tcPr>
            <w:tcW w:w="126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6A0CCF" w:rsidRPr="00E37E19" w:rsidP="006A0CCF" w14:paraId="5DB4F8D1"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Requirements</w:t>
            </w:r>
          </w:p>
        </w:tc>
        <w:tc>
          <w:tcPr>
            <w:tcW w:w="1160" w:type="dxa"/>
            <w:tcBorders>
              <w:top w:val="nil"/>
              <w:left w:val="nil"/>
              <w:bottom w:val="nil"/>
              <w:right w:val="single" w:sz="8" w:space="0" w:color="auto"/>
            </w:tcBorders>
            <w:shd w:val="clear" w:color="000000" w:fill="D9D9D9"/>
            <w:vAlign w:val="center"/>
            <w:hideMark/>
          </w:tcPr>
          <w:p w:rsidR="006A0CCF" w:rsidRPr="00E37E19" w:rsidP="006A0CCF" w14:paraId="02BA62A4"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Number of Respondents</w:t>
            </w:r>
          </w:p>
        </w:tc>
        <w:tc>
          <w:tcPr>
            <w:tcW w:w="1420" w:type="dxa"/>
            <w:tcBorders>
              <w:top w:val="nil"/>
              <w:left w:val="nil"/>
              <w:bottom w:val="nil"/>
              <w:right w:val="single" w:sz="8" w:space="0" w:color="auto"/>
            </w:tcBorders>
            <w:shd w:val="clear" w:color="000000" w:fill="D9D9D9"/>
            <w:vAlign w:val="center"/>
            <w:hideMark/>
          </w:tcPr>
          <w:p w:rsidR="006A0CCF" w:rsidRPr="00E37E19" w:rsidP="006A0CCF" w14:paraId="4366D298"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Average Annual Number of Responses per Respondent</w:t>
            </w:r>
          </w:p>
        </w:tc>
        <w:tc>
          <w:tcPr>
            <w:tcW w:w="1260" w:type="dxa"/>
            <w:tcBorders>
              <w:top w:val="nil"/>
              <w:left w:val="nil"/>
              <w:bottom w:val="nil"/>
              <w:right w:val="single" w:sz="8" w:space="0" w:color="auto"/>
            </w:tcBorders>
            <w:shd w:val="clear" w:color="000000" w:fill="D9D9D9"/>
            <w:vAlign w:val="center"/>
            <w:hideMark/>
          </w:tcPr>
          <w:p w:rsidR="006A0CCF" w:rsidRPr="00E37E19" w:rsidP="006A0CCF" w14:paraId="5AA9E0B8"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Total Number of Responses</w:t>
            </w:r>
          </w:p>
        </w:tc>
        <w:tc>
          <w:tcPr>
            <w:tcW w:w="1340" w:type="dxa"/>
            <w:tcBorders>
              <w:top w:val="nil"/>
              <w:left w:val="nil"/>
              <w:bottom w:val="nil"/>
              <w:right w:val="single" w:sz="8" w:space="0" w:color="auto"/>
            </w:tcBorders>
            <w:shd w:val="clear" w:color="000000" w:fill="D9D9D9"/>
            <w:vAlign w:val="center"/>
            <w:hideMark/>
          </w:tcPr>
          <w:p w:rsidR="006A0CCF" w:rsidRPr="00E37E19" w:rsidP="006A0CCF" w14:paraId="421ED8F9"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Average Annual Burden Hrs. &amp; Cost Per Response</w:t>
            </w:r>
          </w:p>
        </w:tc>
        <w:tc>
          <w:tcPr>
            <w:tcW w:w="1340" w:type="dxa"/>
            <w:tcBorders>
              <w:top w:val="nil"/>
              <w:left w:val="nil"/>
              <w:bottom w:val="nil"/>
              <w:right w:val="single" w:sz="8" w:space="0" w:color="auto"/>
            </w:tcBorders>
            <w:shd w:val="clear" w:color="000000" w:fill="D9D9D9"/>
            <w:vAlign w:val="center"/>
            <w:hideMark/>
          </w:tcPr>
          <w:p w:rsidR="006A0CCF" w:rsidRPr="00E37E19" w:rsidP="006A0CCF" w14:paraId="3476920A"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Total Average Annual Burden Hours &amp; Total Annual Cost</w:t>
            </w:r>
          </w:p>
        </w:tc>
        <w:tc>
          <w:tcPr>
            <w:tcW w:w="1420" w:type="dxa"/>
            <w:tcBorders>
              <w:top w:val="nil"/>
              <w:left w:val="nil"/>
              <w:bottom w:val="nil"/>
              <w:right w:val="single" w:sz="8" w:space="0" w:color="auto"/>
            </w:tcBorders>
            <w:shd w:val="clear" w:color="000000" w:fill="D9D9D9"/>
            <w:vAlign w:val="center"/>
            <w:hideMark/>
          </w:tcPr>
          <w:p w:rsidR="006A0CCF" w:rsidRPr="00E37E19" w:rsidP="006A0CCF" w14:paraId="43CD4B58"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Cost per Respondent ($)</w:t>
            </w:r>
          </w:p>
        </w:tc>
      </w:tr>
      <w:tr w14:paraId="73F94D7D" w14:textId="77777777" w:rsidTr="006A0CCF">
        <w:tblPrEx>
          <w:tblW w:w="9200" w:type="dxa"/>
          <w:tblLook w:val="04A0"/>
        </w:tblPrEx>
        <w:trPr>
          <w:trHeight w:val="300"/>
        </w:trPr>
        <w:tc>
          <w:tcPr>
            <w:tcW w:w="1260" w:type="dxa"/>
            <w:vMerge/>
            <w:tcBorders>
              <w:top w:val="nil"/>
              <w:left w:val="single" w:sz="8" w:space="0" w:color="auto"/>
              <w:bottom w:val="single" w:sz="8" w:space="0" w:color="000000"/>
              <w:right w:val="single" w:sz="8" w:space="0" w:color="auto"/>
            </w:tcBorders>
            <w:vAlign w:val="center"/>
            <w:hideMark/>
          </w:tcPr>
          <w:p w:rsidR="006A0CCF" w:rsidRPr="00E37E19" w:rsidP="006A0CCF" w14:paraId="143DCB16" w14:textId="77777777">
            <w:pPr>
              <w:spacing w:after="0" w:line="240" w:lineRule="auto"/>
              <w:rPr>
                <w:rFonts w:ascii="Times New Roman" w:eastAsia="Times New Roman" w:hAnsi="Times New Roman"/>
                <w:b/>
                <w:bCs/>
                <w:color w:val="000000"/>
                <w:sz w:val="20"/>
                <w:szCs w:val="20"/>
              </w:rPr>
            </w:pPr>
          </w:p>
        </w:tc>
        <w:tc>
          <w:tcPr>
            <w:tcW w:w="1160" w:type="dxa"/>
            <w:tcBorders>
              <w:top w:val="nil"/>
              <w:left w:val="nil"/>
              <w:bottom w:val="single" w:sz="8" w:space="0" w:color="auto"/>
              <w:right w:val="single" w:sz="8" w:space="0" w:color="auto"/>
            </w:tcBorders>
            <w:shd w:val="clear" w:color="000000" w:fill="D9D9D9"/>
            <w:vAlign w:val="center"/>
            <w:hideMark/>
          </w:tcPr>
          <w:p w:rsidR="006A0CCF" w:rsidRPr="00E37E19" w:rsidP="006A0CCF" w14:paraId="21A4D3AD"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(1)</w:t>
            </w:r>
          </w:p>
        </w:tc>
        <w:tc>
          <w:tcPr>
            <w:tcW w:w="1420" w:type="dxa"/>
            <w:tcBorders>
              <w:top w:val="nil"/>
              <w:left w:val="nil"/>
              <w:bottom w:val="single" w:sz="8" w:space="0" w:color="auto"/>
              <w:right w:val="single" w:sz="8" w:space="0" w:color="auto"/>
            </w:tcBorders>
            <w:shd w:val="clear" w:color="000000" w:fill="D9D9D9"/>
            <w:vAlign w:val="center"/>
            <w:hideMark/>
          </w:tcPr>
          <w:p w:rsidR="006A0CCF" w:rsidRPr="00E37E19" w:rsidP="006A0CCF" w14:paraId="4B594EAA"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(2)</w:t>
            </w:r>
          </w:p>
        </w:tc>
        <w:tc>
          <w:tcPr>
            <w:tcW w:w="1260" w:type="dxa"/>
            <w:tcBorders>
              <w:top w:val="nil"/>
              <w:left w:val="nil"/>
              <w:bottom w:val="single" w:sz="8" w:space="0" w:color="auto"/>
              <w:right w:val="single" w:sz="8" w:space="0" w:color="auto"/>
            </w:tcBorders>
            <w:shd w:val="clear" w:color="000000" w:fill="D9D9D9"/>
            <w:vAlign w:val="center"/>
            <w:hideMark/>
          </w:tcPr>
          <w:p w:rsidR="006A0CCF" w:rsidRPr="00E37E19" w:rsidP="006A0CCF" w14:paraId="3C2BC027"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w:t>
            </w:r>
            <w:r w:rsidRPr="00E37E19">
              <w:rPr>
                <w:rFonts w:ascii="Times New Roman" w:eastAsia="Times New Roman" w:hAnsi="Times New Roman"/>
                <w:b/>
                <w:bCs/>
                <w:color w:val="000000"/>
                <w:sz w:val="20"/>
                <w:szCs w:val="20"/>
              </w:rPr>
              <w:t>1)*</w:t>
            </w:r>
            <w:r w:rsidRPr="00E37E19">
              <w:rPr>
                <w:rFonts w:ascii="Times New Roman" w:eastAsia="Times New Roman" w:hAnsi="Times New Roman"/>
                <w:b/>
                <w:bCs/>
                <w:color w:val="000000"/>
                <w:sz w:val="20"/>
                <w:szCs w:val="20"/>
              </w:rPr>
              <w:t>(2)=(3)</w:t>
            </w:r>
          </w:p>
        </w:tc>
        <w:tc>
          <w:tcPr>
            <w:tcW w:w="1340" w:type="dxa"/>
            <w:tcBorders>
              <w:top w:val="nil"/>
              <w:left w:val="nil"/>
              <w:bottom w:val="single" w:sz="8" w:space="0" w:color="auto"/>
              <w:right w:val="single" w:sz="8" w:space="0" w:color="auto"/>
            </w:tcBorders>
            <w:shd w:val="clear" w:color="000000" w:fill="D9D9D9"/>
            <w:vAlign w:val="center"/>
            <w:hideMark/>
          </w:tcPr>
          <w:p w:rsidR="006A0CCF" w:rsidRPr="00E37E19" w:rsidP="006A0CCF" w14:paraId="75775D53"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(4)</w:t>
            </w:r>
          </w:p>
        </w:tc>
        <w:tc>
          <w:tcPr>
            <w:tcW w:w="1340" w:type="dxa"/>
            <w:tcBorders>
              <w:top w:val="nil"/>
              <w:left w:val="nil"/>
              <w:bottom w:val="single" w:sz="8" w:space="0" w:color="auto"/>
              <w:right w:val="single" w:sz="8" w:space="0" w:color="auto"/>
            </w:tcBorders>
            <w:shd w:val="clear" w:color="000000" w:fill="D9D9D9"/>
            <w:vAlign w:val="center"/>
            <w:hideMark/>
          </w:tcPr>
          <w:p w:rsidR="006A0CCF" w:rsidRPr="00E37E19" w:rsidP="006A0CCF" w14:paraId="7F442C17"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w:t>
            </w:r>
            <w:r w:rsidRPr="00E37E19">
              <w:rPr>
                <w:rFonts w:ascii="Times New Roman" w:eastAsia="Times New Roman" w:hAnsi="Times New Roman"/>
                <w:b/>
                <w:bCs/>
                <w:color w:val="000000"/>
                <w:sz w:val="20"/>
                <w:szCs w:val="20"/>
              </w:rPr>
              <w:t>3)*</w:t>
            </w:r>
            <w:r w:rsidRPr="00E37E19">
              <w:rPr>
                <w:rFonts w:ascii="Times New Roman" w:eastAsia="Times New Roman" w:hAnsi="Times New Roman"/>
                <w:b/>
                <w:bCs/>
                <w:color w:val="000000"/>
                <w:sz w:val="20"/>
                <w:szCs w:val="20"/>
              </w:rPr>
              <w:t>(4)=(5)</w:t>
            </w:r>
          </w:p>
        </w:tc>
        <w:tc>
          <w:tcPr>
            <w:tcW w:w="1420" w:type="dxa"/>
            <w:tcBorders>
              <w:top w:val="nil"/>
              <w:left w:val="nil"/>
              <w:bottom w:val="single" w:sz="8" w:space="0" w:color="auto"/>
              <w:right w:val="single" w:sz="8" w:space="0" w:color="auto"/>
            </w:tcBorders>
            <w:shd w:val="clear" w:color="000000" w:fill="D9D9D9"/>
            <w:vAlign w:val="center"/>
            <w:hideMark/>
          </w:tcPr>
          <w:p w:rsidR="006A0CCF" w:rsidRPr="00E37E19" w:rsidP="006A0CCF" w14:paraId="755C60C5"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w:t>
            </w:r>
            <w:r w:rsidRPr="00E37E19">
              <w:rPr>
                <w:rFonts w:ascii="Times New Roman" w:eastAsia="Times New Roman" w:hAnsi="Times New Roman"/>
                <w:b/>
                <w:bCs/>
                <w:color w:val="000000"/>
                <w:sz w:val="20"/>
                <w:szCs w:val="20"/>
              </w:rPr>
              <w:t>5)÷</w:t>
            </w:r>
            <w:r w:rsidRPr="00E37E19">
              <w:rPr>
                <w:rFonts w:ascii="Times New Roman" w:eastAsia="Times New Roman" w:hAnsi="Times New Roman"/>
                <w:b/>
                <w:bCs/>
                <w:color w:val="000000"/>
                <w:sz w:val="20"/>
                <w:szCs w:val="20"/>
              </w:rPr>
              <w:t>(1)</w:t>
            </w:r>
          </w:p>
        </w:tc>
      </w:tr>
      <w:tr w14:paraId="78D373C4" w14:textId="77777777" w:rsidTr="006A0CCF">
        <w:tblPrEx>
          <w:tblW w:w="9200" w:type="dxa"/>
          <w:tblLook w:val="04A0"/>
        </w:tblPrEx>
        <w:trPr>
          <w:trHeight w:val="288"/>
        </w:trPr>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6A0CCF" w:rsidRPr="00E37E19" w:rsidP="006A0CCF" w14:paraId="3E1EB237"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Form 1</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6A0CCF" w:rsidRPr="00E37E19" w:rsidP="006A0CCF" w14:paraId="3AA7C0EC"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216</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6A0CCF" w:rsidRPr="00E37E19" w:rsidP="006A0CCF" w14:paraId="50A0E883"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1</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6A0CCF" w:rsidRPr="00E37E19" w:rsidP="006A0CCF" w14:paraId="4804CE12"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216</w:t>
            </w:r>
          </w:p>
        </w:tc>
        <w:tc>
          <w:tcPr>
            <w:tcW w:w="1340" w:type="dxa"/>
            <w:tcBorders>
              <w:top w:val="nil"/>
              <w:left w:val="nil"/>
              <w:bottom w:val="nil"/>
              <w:right w:val="single" w:sz="8" w:space="0" w:color="auto"/>
            </w:tcBorders>
            <w:shd w:val="clear" w:color="auto" w:fill="auto"/>
            <w:vAlign w:val="center"/>
            <w:hideMark/>
          </w:tcPr>
          <w:p w:rsidR="006A0CCF" w:rsidRPr="00E37E19" w:rsidP="006A0CCF" w14:paraId="7B625244"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 xml:space="preserve">1,168 </w:t>
            </w:r>
          </w:p>
        </w:tc>
        <w:tc>
          <w:tcPr>
            <w:tcW w:w="1340" w:type="dxa"/>
            <w:tcBorders>
              <w:top w:val="nil"/>
              <w:left w:val="nil"/>
              <w:bottom w:val="nil"/>
              <w:right w:val="single" w:sz="8" w:space="0" w:color="auto"/>
            </w:tcBorders>
            <w:shd w:val="clear" w:color="auto" w:fill="auto"/>
            <w:vAlign w:val="center"/>
            <w:hideMark/>
          </w:tcPr>
          <w:p w:rsidR="006A0CCF" w:rsidRPr="00E37E19" w:rsidP="006A0CCF" w14:paraId="05FAF0B8"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 xml:space="preserve">252,288 </w:t>
            </w:r>
          </w:p>
        </w:tc>
        <w:tc>
          <w:tcPr>
            <w:tcW w:w="1420" w:type="dxa"/>
            <w:tcBorders>
              <w:top w:val="nil"/>
              <w:left w:val="nil"/>
              <w:bottom w:val="nil"/>
              <w:right w:val="single" w:sz="8" w:space="0" w:color="auto"/>
            </w:tcBorders>
            <w:shd w:val="clear" w:color="auto" w:fill="auto"/>
            <w:vAlign w:val="center"/>
            <w:hideMark/>
          </w:tcPr>
          <w:p w:rsidR="006A0CCF" w:rsidRPr="00E37E19" w:rsidP="006A0CCF" w14:paraId="06F1799F" w14:textId="77777777">
            <w:pPr>
              <w:spacing w:after="0" w:line="240" w:lineRule="auto"/>
              <w:jc w:val="right"/>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r>
      <w:tr w14:paraId="2A27AFCA" w14:textId="77777777" w:rsidTr="006A0CCF">
        <w:tblPrEx>
          <w:tblW w:w="9200" w:type="dxa"/>
          <w:tblLook w:val="04A0"/>
        </w:tblPrEx>
        <w:trPr>
          <w:trHeight w:val="300"/>
        </w:trPr>
        <w:tc>
          <w:tcPr>
            <w:tcW w:w="1260" w:type="dxa"/>
            <w:vMerge/>
            <w:tcBorders>
              <w:top w:val="nil"/>
              <w:left w:val="single" w:sz="8" w:space="0" w:color="auto"/>
              <w:bottom w:val="single" w:sz="8" w:space="0" w:color="000000"/>
              <w:right w:val="single" w:sz="8" w:space="0" w:color="auto"/>
            </w:tcBorders>
            <w:vAlign w:val="center"/>
            <w:hideMark/>
          </w:tcPr>
          <w:p w:rsidR="006A0CCF" w:rsidRPr="00E37E19" w:rsidP="006A0CCF" w14:paraId="630D3072" w14:textId="77777777">
            <w:pPr>
              <w:spacing w:after="0" w:line="240" w:lineRule="auto"/>
              <w:rPr>
                <w:rFonts w:ascii="Times New Roman" w:eastAsia="Times New Roman" w:hAnsi="Times New Roman"/>
                <w:color w:val="000000"/>
                <w:sz w:val="20"/>
                <w:szCs w:val="20"/>
              </w:rPr>
            </w:pPr>
          </w:p>
        </w:tc>
        <w:tc>
          <w:tcPr>
            <w:tcW w:w="1160" w:type="dxa"/>
            <w:vMerge/>
            <w:tcBorders>
              <w:top w:val="nil"/>
              <w:left w:val="single" w:sz="8" w:space="0" w:color="auto"/>
              <w:bottom w:val="single" w:sz="8" w:space="0" w:color="000000"/>
              <w:right w:val="single" w:sz="8" w:space="0" w:color="auto"/>
            </w:tcBorders>
            <w:vAlign w:val="center"/>
            <w:hideMark/>
          </w:tcPr>
          <w:p w:rsidR="006A0CCF" w:rsidRPr="00E37E19" w:rsidP="006A0CCF" w14:paraId="0C086434" w14:textId="77777777">
            <w:pPr>
              <w:spacing w:after="0" w:line="240" w:lineRule="auto"/>
              <w:rPr>
                <w:rFonts w:ascii="Times New Roman" w:eastAsia="Times New Roman" w:hAnsi="Times New Roman"/>
                <w:sz w:val="20"/>
                <w:szCs w:val="20"/>
              </w:rPr>
            </w:pPr>
          </w:p>
        </w:tc>
        <w:tc>
          <w:tcPr>
            <w:tcW w:w="1420" w:type="dxa"/>
            <w:vMerge/>
            <w:tcBorders>
              <w:top w:val="nil"/>
              <w:left w:val="single" w:sz="8" w:space="0" w:color="auto"/>
              <w:bottom w:val="single" w:sz="8" w:space="0" w:color="000000"/>
              <w:right w:val="single" w:sz="8" w:space="0" w:color="auto"/>
            </w:tcBorders>
            <w:vAlign w:val="center"/>
            <w:hideMark/>
          </w:tcPr>
          <w:p w:rsidR="006A0CCF" w:rsidRPr="00E37E19" w:rsidP="006A0CCF" w14:paraId="38F8C9C0" w14:textId="77777777">
            <w:pPr>
              <w:spacing w:after="0" w:line="240" w:lineRule="auto"/>
              <w:rPr>
                <w:rFonts w:ascii="Times New Roman" w:eastAsia="Times New Roman" w:hAnsi="Times New Roman"/>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rsidR="006A0CCF" w:rsidRPr="00E37E19" w:rsidP="006A0CCF" w14:paraId="3B60A0B1" w14:textId="77777777">
            <w:pPr>
              <w:spacing w:after="0" w:line="240" w:lineRule="auto"/>
              <w:rPr>
                <w:rFonts w:ascii="Times New Roman" w:eastAsia="Times New Roman" w:hAnsi="Times New Roman"/>
                <w:sz w:val="20"/>
                <w:szCs w:val="20"/>
              </w:rPr>
            </w:pPr>
          </w:p>
        </w:tc>
        <w:tc>
          <w:tcPr>
            <w:tcW w:w="1340" w:type="dxa"/>
            <w:tcBorders>
              <w:top w:val="nil"/>
              <w:left w:val="nil"/>
              <w:bottom w:val="single" w:sz="8" w:space="0" w:color="auto"/>
              <w:right w:val="single" w:sz="8" w:space="0" w:color="auto"/>
            </w:tcBorders>
            <w:shd w:val="clear" w:color="auto" w:fill="auto"/>
            <w:vAlign w:val="center"/>
            <w:hideMark/>
          </w:tcPr>
          <w:p w:rsidR="006A0CCF" w:rsidRPr="00E37E19" w:rsidP="006A0CCF" w14:paraId="05018D42"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$120,304 </w:t>
            </w:r>
          </w:p>
        </w:tc>
        <w:tc>
          <w:tcPr>
            <w:tcW w:w="1340" w:type="dxa"/>
            <w:tcBorders>
              <w:top w:val="nil"/>
              <w:left w:val="nil"/>
              <w:bottom w:val="single" w:sz="8" w:space="0" w:color="auto"/>
              <w:right w:val="single" w:sz="8" w:space="0" w:color="auto"/>
            </w:tcBorders>
            <w:shd w:val="clear" w:color="auto" w:fill="auto"/>
            <w:vAlign w:val="center"/>
            <w:hideMark/>
          </w:tcPr>
          <w:p w:rsidR="006A0CCF" w:rsidRPr="00E37E19" w:rsidP="006A0CCF" w14:paraId="2794C01F"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$25,985,664 </w:t>
            </w:r>
          </w:p>
        </w:tc>
        <w:tc>
          <w:tcPr>
            <w:tcW w:w="1420" w:type="dxa"/>
            <w:tcBorders>
              <w:top w:val="nil"/>
              <w:left w:val="nil"/>
              <w:bottom w:val="single" w:sz="8" w:space="0" w:color="auto"/>
              <w:right w:val="single" w:sz="8" w:space="0" w:color="auto"/>
            </w:tcBorders>
            <w:shd w:val="clear" w:color="auto" w:fill="auto"/>
            <w:vAlign w:val="center"/>
            <w:hideMark/>
          </w:tcPr>
          <w:p w:rsidR="006A0CCF" w:rsidRPr="00E37E19" w:rsidP="006A0CCF" w14:paraId="109B2002"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$120,304 </w:t>
            </w:r>
          </w:p>
        </w:tc>
      </w:tr>
      <w:tr w14:paraId="29B11B14" w14:textId="77777777" w:rsidTr="006A0CCF">
        <w:tblPrEx>
          <w:tblW w:w="9200" w:type="dxa"/>
          <w:tblLook w:val="04A0"/>
        </w:tblPrEx>
        <w:trPr>
          <w:trHeight w:val="290"/>
        </w:trPr>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6A0CCF" w:rsidRPr="00E37E19" w:rsidP="006A0CCF" w14:paraId="4F8FA1A9"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Form 1-F</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6A0CCF" w:rsidRPr="00E37E19" w:rsidP="006A0CCF" w14:paraId="5439C2F5"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2</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6A0CCF" w:rsidRPr="00E37E19" w:rsidP="006A0CCF" w14:paraId="46F926CB"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1</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6A0CCF" w:rsidRPr="00E37E19" w:rsidP="006A0CCF" w14:paraId="5F5201E7"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2</w:t>
            </w:r>
          </w:p>
        </w:tc>
        <w:tc>
          <w:tcPr>
            <w:tcW w:w="1340" w:type="dxa"/>
            <w:tcBorders>
              <w:top w:val="nil"/>
              <w:left w:val="nil"/>
              <w:bottom w:val="nil"/>
              <w:right w:val="single" w:sz="8" w:space="0" w:color="auto"/>
            </w:tcBorders>
            <w:shd w:val="clear" w:color="auto" w:fill="auto"/>
            <w:vAlign w:val="center"/>
            <w:hideMark/>
          </w:tcPr>
          <w:p w:rsidR="006A0CCF" w:rsidRPr="00E37E19" w:rsidP="006A0CCF" w14:paraId="681FD1AF"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 xml:space="preserve">122 </w:t>
            </w:r>
          </w:p>
        </w:tc>
        <w:tc>
          <w:tcPr>
            <w:tcW w:w="1340" w:type="dxa"/>
            <w:tcBorders>
              <w:top w:val="nil"/>
              <w:left w:val="nil"/>
              <w:bottom w:val="nil"/>
              <w:right w:val="single" w:sz="8" w:space="0" w:color="auto"/>
            </w:tcBorders>
            <w:shd w:val="clear" w:color="auto" w:fill="auto"/>
            <w:vAlign w:val="center"/>
            <w:hideMark/>
          </w:tcPr>
          <w:p w:rsidR="006A0CCF" w:rsidRPr="00E37E19" w:rsidP="006A0CCF" w14:paraId="27BC0D74"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 xml:space="preserve">244 </w:t>
            </w:r>
          </w:p>
        </w:tc>
        <w:tc>
          <w:tcPr>
            <w:tcW w:w="1420" w:type="dxa"/>
            <w:tcBorders>
              <w:top w:val="nil"/>
              <w:left w:val="nil"/>
              <w:bottom w:val="nil"/>
              <w:right w:val="single" w:sz="8" w:space="0" w:color="auto"/>
            </w:tcBorders>
            <w:shd w:val="clear" w:color="auto" w:fill="auto"/>
            <w:vAlign w:val="center"/>
            <w:hideMark/>
          </w:tcPr>
          <w:p w:rsidR="006A0CCF" w:rsidRPr="00E37E19" w:rsidP="006A0CCF" w14:paraId="745CDDAD" w14:textId="77777777">
            <w:pPr>
              <w:spacing w:after="0" w:line="240" w:lineRule="auto"/>
              <w:jc w:val="right"/>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r>
      <w:tr w14:paraId="120A404F" w14:textId="77777777" w:rsidTr="006A0CCF">
        <w:tblPrEx>
          <w:tblW w:w="9200" w:type="dxa"/>
          <w:tblLook w:val="04A0"/>
        </w:tblPrEx>
        <w:trPr>
          <w:trHeight w:val="300"/>
        </w:trPr>
        <w:tc>
          <w:tcPr>
            <w:tcW w:w="1260" w:type="dxa"/>
            <w:vMerge/>
            <w:tcBorders>
              <w:top w:val="nil"/>
              <w:left w:val="single" w:sz="8" w:space="0" w:color="auto"/>
              <w:bottom w:val="single" w:sz="8" w:space="0" w:color="000000"/>
              <w:right w:val="single" w:sz="8" w:space="0" w:color="auto"/>
            </w:tcBorders>
            <w:vAlign w:val="center"/>
            <w:hideMark/>
          </w:tcPr>
          <w:p w:rsidR="006A0CCF" w:rsidRPr="00E37E19" w:rsidP="006A0CCF" w14:paraId="0A689108" w14:textId="77777777">
            <w:pPr>
              <w:spacing w:after="0" w:line="240" w:lineRule="auto"/>
              <w:rPr>
                <w:rFonts w:ascii="Times New Roman" w:eastAsia="Times New Roman" w:hAnsi="Times New Roman"/>
                <w:color w:val="000000"/>
                <w:sz w:val="20"/>
                <w:szCs w:val="20"/>
              </w:rPr>
            </w:pPr>
          </w:p>
        </w:tc>
        <w:tc>
          <w:tcPr>
            <w:tcW w:w="1160" w:type="dxa"/>
            <w:vMerge/>
            <w:tcBorders>
              <w:top w:val="nil"/>
              <w:left w:val="single" w:sz="8" w:space="0" w:color="auto"/>
              <w:bottom w:val="single" w:sz="8" w:space="0" w:color="000000"/>
              <w:right w:val="single" w:sz="8" w:space="0" w:color="auto"/>
            </w:tcBorders>
            <w:vAlign w:val="center"/>
            <w:hideMark/>
          </w:tcPr>
          <w:p w:rsidR="006A0CCF" w:rsidRPr="00E37E19" w:rsidP="006A0CCF" w14:paraId="68908D50" w14:textId="77777777">
            <w:pPr>
              <w:spacing w:after="0" w:line="240" w:lineRule="auto"/>
              <w:rPr>
                <w:rFonts w:ascii="Times New Roman" w:eastAsia="Times New Roman" w:hAnsi="Times New Roman"/>
                <w:sz w:val="20"/>
                <w:szCs w:val="20"/>
              </w:rPr>
            </w:pPr>
          </w:p>
        </w:tc>
        <w:tc>
          <w:tcPr>
            <w:tcW w:w="1420" w:type="dxa"/>
            <w:vMerge/>
            <w:tcBorders>
              <w:top w:val="nil"/>
              <w:left w:val="single" w:sz="8" w:space="0" w:color="auto"/>
              <w:bottom w:val="single" w:sz="8" w:space="0" w:color="000000"/>
              <w:right w:val="single" w:sz="8" w:space="0" w:color="auto"/>
            </w:tcBorders>
            <w:vAlign w:val="center"/>
            <w:hideMark/>
          </w:tcPr>
          <w:p w:rsidR="006A0CCF" w:rsidRPr="00E37E19" w:rsidP="006A0CCF" w14:paraId="0C8A12C1" w14:textId="77777777">
            <w:pPr>
              <w:spacing w:after="0" w:line="240" w:lineRule="auto"/>
              <w:rPr>
                <w:rFonts w:ascii="Times New Roman" w:eastAsia="Times New Roman" w:hAnsi="Times New Roman"/>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rsidR="006A0CCF" w:rsidRPr="00E37E19" w:rsidP="006A0CCF" w14:paraId="27FE1DAD" w14:textId="77777777">
            <w:pPr>
              <w:spacing w:after="0" w:line="240" w:lineRule="auto"/>
              <w:rPr>
                <w:rFonts w:ascii="Times New Roman" w:eastAsia="Times New Roman" w:hAnsi="Times New Roman"/>
                <w:sz w:val="20"/>
                <w:szCs w:val="20"/>
              </w:rPr>
            </w:pPr>
          </w:p>
        </w:tc>
        <w:tc>
          <w:tcPr>
            <w:tcW w:w="1340" w:type="dxa"/>
            <w:tcBorders>
              <w:top w:val="nil"/>
              <w:left w:val="nil"/>
              <w:bottom w:val="single" w:sz="8" w:space="0" w:color="auto"/>
              <w:right w:val="single" w:sz="8" w:space="0" w:color="auto"/>
            </w:tcBorders>
            <w:shd w:val="clear" w:color="auto" w:fill="auto"/>
            <w:vAlign w:val="center"/>
            <w:hideMark/>
          </w:tcPr>
          <w:p w:rsidR="006A0CCF" w:rsidRPr="00E37E19" w:rsidP="006A0CCF" w14:paraId="5AC54C17"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$12,566 </w:t>
            </w:r>
          </w:p>
        </w:tc>
        <w:tc>
          <w:tcPr>
            <w:tcW w:w="1340" w:type="dxa"/>
            <w:tcBorders>
              <w:top w:val="nil"/>
              <w:left w:val="nil"/>
              <w:bottom w:val="single" w:sz="8" w:space="0" w:color="auto"/>
              <w:right w:val="single" w:sz="8" w:space="0" w:color="auto"/>
            </w:tcBorders>
            <w:shd w:val="clear" w:color="auto" w:fill="auto"/>
            <w:vAlign w:val="center"/>
            <w:hideMark/>
          </w:tcPr>
          <w:p w:rsidR="006A0CCF" w:rsidRPr="00E37E19" w:rsidP="006A0CCF" w14:paraId="5E04EAD1"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$25,132 </w:t>
            </w:r>
          </w:p>
        </w:tc>
        <w:tc>
          <w:tcPr>
            <w:tcW w:w="1420" w:type="dxa"/>
            <w:tcBorders>
              <w:top w:val="nil"/>
              <w:left w:val="nil"/>
              <w:bottom w:val="single" w:sz="8" w:space="0" w:color="auto"/>
              <w:right w:val="single" w:sz="8" w:space="0" w:color="auto"/>
            </w:tcBorders>
            <w:shd w:val="clear" w:color="auto" w:fill="auto"/>
            <w:vAlign w:val="center"/>
            <w:hideMark/>
          </w:tcPr>
          <w:p w:rsidR="006A0CCF" w:rsidRPr="00E37E19" w:rsidP="006A0CCF" w14:paraId="7DB1334E"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$12,566 </w:t>
            </w:r>
          </w:p>
        </w:tc>
      </w:tr>
      <w:tr w14:paraId="291459E1" w14:textId="77777777" w:rsidTr="006A0CCF">
        <w:tblPrEx>
          <w:tblW w:w="9200" w:type="dxa"/>
          <w:tblLook w:val="04A0"/>
        </w:tblPrEx>
        <w:trPr>
          <w:trHeight w:val="290"/>
        </w:trPr>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6A0CCF" w:rsidRPr="00E37E19" w:rsidP="006A0CCF" w14:paraId="2E51CBAD"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Total</w:t>
            </w:r>
          </w:p>
        </w:tc>
        <w:tc>
          <w:tcPr>
            <w:tcW w:w="258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6A0CCF" w:rsidRPr="00E37E19" w:rsidP="006A0CCF" w14:paraId="12FF6F70" w14:textId="77777777">
            <w:pPr>
              <w:spacing w:after="0" w:line="240" w:lineRule="auto"/>
              <w:jc w:val="right"/>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6A0CCF" w:rsidRPr="00E37E19" w:rsidP="006A0CCF" w14:paraId="6C62C904" w14:textId="1D34EC92">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218</w:t>
            </w:r>
          </w:p>
        </w:tc>
        <w:tc>
          <w:tcPr>
            <w:tcW w:w="134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6A0CCF" w:rsidRPr="00E37E19" w:rsidP="006A0CCF" w14:paraId="24C69A89" w14:textId="77777777">
            <w:pPr>
              <w:spacing w:after="0" w:line="240" w:lineRule="auto"/>
              <w:jc w:val="right"/>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c>
          <w:tcPr>
            <w:tcW w:w="1340" w:type="dxa"/>
            <w:tcBorders>
              <w:top w:val="nil"/>
              <w:left w:val="nil"/>
              <w:bottom w:val="nil"/>
              <w:right w:val="single" w:sz="8" w:space="0" w:color="auto"/>
            </w:tcBorders>
            <w:shd w:val="clear" w:color="auto" w:fill="auto"/>
            <w:vAlign w:val="center"/>
            <w:hideMark/>
          </w:tcPr>
          <w:p w:rsidR="006A0CCF" w:rsidRPr="00E37E19" w:rsidP="006A0CCF" w14:paraId="72234BD0"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 xml:space="preserve">252,532 </w:t>
            </w:r>
          </w:p>
        </w:tc>
        <w:tc>
          <w:tcPr>
            <w:tcW w:w="1420" w:type="dxa"/>
            <w:tcBorders>
              <w:top w:val="nil"/>
              <w:left w:val="nil"/>
              <w:bottom w:val="nil"/>
              <w:right w:val="single" w:sz="8" w:space="0" w:color="auto"/>
            </w:tcBorders>
            <w:shd w:val="clear" w:color="auto" w:fill="auto"/>
            <w:vAlign w:val="center"/>
            <w:hideMark/>
          </w:tcPr>
          <w:p w:rsidR="006A0CCF" w:rsidRPr="00E37E19" w:rsidP="006A0CCF" w14:paraId="4F2066CB" w14:textId="77777777">
            <w:pPr>
              <w:spacing w:after="0" w:line="240" w:lineRule="auto"/>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r>
      <w:tr w14:paraId="708B1053" w14:textId="77777777" w:rsidTr="006A0CCF">
        <w:tblPrEx>
          <w:tblW w:w="9200" w:type="dxa"/>
          <w:tblLook w:val="04A0"/>
        </w:tblPrEx>
        <w:trPr>
          <w:trHeight w:val="300"/>
        </w:trPr>
        <w:tc>
          <w:tcPr>
            <w:tcW w:w="1260" w:type="dxa"/>
            <w:vMerge/>
            <w:tcBorders>
              <w:top w:val="nil"/>
              <w:left w:val="single" w:sz="8" w:space="0" w:color="auto"/>
              <w:bottom w:val="single" w:sz="8" w:space="0" w:color="000000"/>
              <w:right w:val="single" w:sz="8" w:space="0" w:color="auto"/>
            </w:tcBorders>
            <w:vAlign w:val="center"/>
            <w:hideMark/>
          </w:tcPr>
          <w:p w:rsidR="006A0CCF" w:rsidRPr="00E37E19" w:rsidP="006A0CCF" w14:paraId="0CC8E84E" w14:textId="77777777">
            <w:pPr>
              <w:spacing w:after="0" w:line="240" w:lineRule="auto"/>
              <w:rPr>
                <w:rFonts w:ascii="Times New Roman" w:eastAsia="Times New Roman" w:hAnsi="Times New Roman"/>
                <w:color w:val="000000"/>
                <w:sz w:val="20"/>
                <w:szCs w:val="20"/>
              </w:rPr>
            </w:pPr>
          </w:p>
        </w:tc>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rsidR="006A0CCF" w:rsidRPr="00E37E19" w:rsidP="006A0CCF" w14:paraId="1284AA77" w14:textId="77777777">
            <w:pPr>
              <w:spacing w:after="0" w:line="240" w:lineRule="auto"/>
              <w:rPr>
                <w:rFonts w:ascii="Times New Roman" w:eastAsia="Times New Roman" w:hAnsi="Times New Roman"/>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rsidR="006A0CCF" w:rsidRPr="00E37E19" w:rsidP="006A0CCF" w14:paraId="068C5E91" w14:textId="77777777">
            <w:pPr>
              <w:spacing w:after="0" w:line="240" w:lineRule="auto"/>
              <w:rPr>
                <w:rFonts w:ascii="Times New Roman" w:eastAsia="Times New Roman" w:hAnsi="Times New Roman"/>
                <w:color w:val="000000"/>
                <w:sz w:val="20"/>
                <w:szCs w:val="20"/>
              </w:rPr>
            </w:pPr>
          </w:p>
        </w:tc>
        <w:tc>
          <w:tcPr>
            <w:tcW w:w="1340" w:type="dxa"/>
            <w:vMerge/>
            <w:tcBorders>
              <w:top w:val="nil"/>
              <w:left w:val="single" w:sz="8" w:space="0" w:color="auto"/>
              <w:bottom w:val="single" w:sz="8" w:space="0" w:color="000000"/>
              <w:right w:val="single" w:sz="8" w:space="0" w:color="auto"/>
            </w:tcBorders>
            <w:vAlign w:val="center"/>
            <w:hideMark/>
          </w:tcPr>
          <w:p w:rsidR="006A0CCF" w:rsidRPr="00E37E19" w:rsidP="006A0CCF" w14:paraId="52149127" w14:textId="77777777">
            <w:pPr>
              <w:spacing w:after="0" w:line="240" w:lineRule="auto"/>
              <w:rPr>
                <w:rFonts w:ascii="Times New Roman" w:eastAsia="Times New Roman" w:hAnsi="Times New Roman"/>
                <w:color w:val="000000"/>
                <w:sz w:val="20"/>
                <w:szCs w:val="20"/>
              </w:rPr>
            </w:pPr>
          </w:p>
        </w:tc>
        <w:tc>
          <w:tcPr>
            <w:tcW w:w="1340" w:type="dxa"/>
            <w:tcBorders>
              <w:top w:val="nil"/>
              <w:left w:val="nil"/>
              <w:bottom w:val="single" w:sz="8" w:space="0" w:color="auto"/>
              <w:right w:val="single" w:sz="8" w:space="0" w:color="auto"/>
            </w:tcBorders>
            <w:shd w:val="clear" w:color="auto" w:fill="auto"/>
            <w:vAlign w:val="center"/>
            <w:hideMark/>
          </w:tcPr>
          <w:p w:rsidR="006A0CCF" w:rsidRPr="00E37E19" w:rsidP="006A0CCF" w14:paraId="7A117302"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$26,010,796 </w:t>
            </w:r>
          </w:p>
        </w:tc>
        <w:tc>
          <w:tcPr>
            <w:tcW w:w="1420" w:type="dxa"/>
            <w:tcBorders>
              <w:top w:val="nil"/>
              <w:left w:val="nil"/>
              <w:bottom w:val="single" w:sz="8" w:space="0" w:color="auto"/>
              <w:right w:val="single" w:sz="8" w:space="0" w:color="auto"/>
            </w:tcBorders>
            <w:shd w:val="clear" w:color="auto" w:fill="auto"/>
            <w:vAlign w:val="center"/>
            <w:hideMark/>
          </w:tcPr>
          <w:p w:rsidR="006A0CCF" w:rsidRPr="00E37E19" w:rsidP="006A0CCF" w14:paraId="0A761EDF"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$132,870 </w:t>
            </w:r>
          </w:p>
        </w:tc>
      </w:tr>
    </w:tbl>
    <w:p w:rsidR="00E37C93" w:rsidRPr="008416FE" w:rsidP="00FB4D45" w14:paraId="7B05F381" w14:textId="77777777">
      <w:pPr>
        <w:keepNext/>
        <w:keepLines/>
        <w:spacing w:after="0" w:line="240" w:lineRule="auto"/>
        <w:rPr>
          <w:rFonts w:ascii="Times New Roman" w:hAnsi="Times New Roman"/>
          <w:sz w:val="24"/>
          <w:szCs w:val="24"/>
        </w:rPr>
      </w:pPr>
    </w:p>
    <w:p w:rsidR="008A61C6" w:rsidRPr="008416FE" w:rsidP="00FB4D45" w14:paraId="0C50A776" w14:textId="070EAC15">
      <w:pPr>
        <w:keepNext/>
        <w:keepLines/>
        <w:spacing w:after="0" w:line="240" w:lineRule="auto"/>
        <w:rPr>
          <w:rFonts w:ascii="Times New Roman" w:hAnsi="Times New Roman"/>
          <w:sz w:val="24"/>
          <w:szCs w:val="24"/>
        </w:rPr>
      </w:pPr>
      <w:r w:rsidRPr="008416FE">
        <w:rPr>
          <w:rFonts w:ascii="Times New Roman" w:hAnsi="Times New Roman"/>
          <w:sz w:val="24"/>
          <w:szCs w:val="24"/>
        </w:rPr>
        <w:t xml:space="preserve">FERC Form </w:t>
      </w:r>
      <w:r w:rsidRPr="008416FE" w:rsidR="00FA7EDE">
        <w:rPr>
          <w:rFonts w:ascii="Times New Roman" w:hAnsi="Times New Roman"/>
          <w:sz w:val="24"/>
          <w:szCs w:val="24"/>
        </w:rPr>
        <w:t xml:space="preserve">Nos. </w:t>
      </w:r>
      <w:r w:rsidRPr="008416FE">
        <w:rPr>
          <w:rFonts w:ascii="Times New Roman" w:hAnsi="Times New Roman"/>
          <w:sz w:val="24"/>
          <w:szCs w:val="24"/>
        </w:rPr>
        <w:t>3-Q</w:t>
      </w:r>
      <w:r w:rsidRPr="008416FE">
        <w:rPr>
          <w:rStyle w:val="FootnoteReference"/>
          <w:sz w:val="24"/>
          <w:szCs w:val="24"/>
          <w:vertAlign w:val="superscript"/>
        </w:rPr>
        <w:t xml:space="preserve"> </w:t>
      </w:r>
      <w:r w:rsidRPr="008416FE">
        <w:rPr>
          <w:rFonts w:ascii="Times New Roman" w:hAnsi="Times New Roman"/>
          <w:sz w:val="24"/>
          <w:szCs w:val="24"/>
        </w:rPr>
        <w:t>(electric</w:t>
      </w:r>
      <w:r w:rsidRPr="008416FE" w:rsidR="00623D67">
        <w:rPr>
          <w:rFonts w:ascii="Times New Roman" w:hAnsi="Times New Roman"/>
          <w:sz w:val="24"/>
          <w:szCs w:val="24"/>
        </w:rPr>
        <w:t xml:space="preserve"> and gas</w:t>
      </w:r>
      <w:r w:rsidRPr="008416FE">
        <w:rPr>
          <w:rFonts w:ascii="Times New Roman" w:hAnsi="Times New Roman"/>
          <w:sz w:val="24"/>
          <w:szCs w:val="24"/>
        </w:rPr>
        <w:t>):</w:t>
      </w:r>
    </w:p>
    <w:tbl>
      <w:tblPr>
        <w:tblW w:w="9200" w:type="dxa"/>
        <w:tblLook w:val="04A0"/>
      </w:tblPr>
      <w:tblGrid>
        <w:gridCol w:w="1416"/>
        <w:gridCol w:w="1306"/>
        <w:gridCol w:w="1360"/>
        <w:gridCol w:w="1219"/>
        <w:gridCol w:w="1238"/>
        <w:gridCol w:w="1301"/>
        <w:gridCol w:w="1360"/>
      </w:tblGrid>
      <w:tr w14:paraId="02F29CD6" w14:textId="77777777" w:rsidTr="008A61C6">
        <w:tblPrEx>
          <w:tblW w:w="9200" w:type="dxa"/>
          <w:tblLook w:val="04A0"/>
        </w:tblPrEx>
        <w:trPr>
          <w:trHeight w:val="300"/>
        </w:trPr>
        <w:tc>
          <w:tcPr>
            <w:tcW w:w="9200"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rsidR="008A61C6" w:rsidRPr="00E37E19" w:rsidP="008A61C6" w14:paraId="50A91E0C" w14:textId="3B91C3D0">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Form 3-Q</w:t>
            </w:r>
            <w:r w:rsidR="00901657">
              <w:rPr>
                <w:rFonts w:ascii="Times New Roman" w:eastAsia="Times New Roman" w:hAnsi="Times New Roman"/>
                <w:b/>
                <w:bCs/>
                <w:color w:val="000000"/>
                <w:sz w:val="20"/>
                <w:szCs w:val="20"/>
              </w:rPr>
              <w:t xml:space="preserve"> </w:t>
            </w:r>
            <w:r w:rsidRPr="00E37E19">
              <w:rPr>
                <w:rFonts w:ascii="Times New Roman" w:eastAsia="Times New Roman" w:hAnsi="Times New Roman"/>
                <w:b/>
                <w:bCs/>
                <w:color w:val="000000"/>
                <w:sz w:val="20"/>
                <w:szCs w:val="20"/>
              </w:rPr>
              <w:t xml:space="preserve">(OMB Control No. 1902-0205) </w:t>
            </w:r>
          </w:p>
        </w:tc>
      </w:tr>
      <w:tr w14:paraId="53703322" w14:textId="77777777" w:rsidTr="00E37E19">
        <w:tblPrEx>
          <w:tblW w:w="9200" w:type="dxa"/>
          <w:tblLook w:val="04A0"/>
        </w:tblPrEx>
        <w:trPr>
          <w:trHeight w:val="457"/>
        </w:trPr>
        <w:tc>
          <w:tcPr>
            <w:tcW w:w="126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A61C6" w:rsidRPr="00E37E19" w:rsidP="008A61C6" w14:paraId="3077757D"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Requirements</w:t>
            </w:r>
          </w:p>
        </w:tc>
        <w:tc>
          <w:tcPr>
            <w:tcW w:w="1160" w:type="dxa"/>
            <w:tcBorders>
              <w:top w:val="nil"/>
              <w:left w:val="nil"/>
              <w:bottom w:val="nil"/>
              <w:right w:val="single" w:sz="8" w:space="0" w:color="auto"/>
            </w:tcBorders>
            <w:shd w:val="clear" w:color="000000" w:fill="D9D9D9"/>
            <w:vAlign w:val="center"/>
            <w:hideMark/>
          </w:tcPr>
          <w:p w:rsidR="008A61C6" w:rsidRPr="00E37E19" w:rsidP="008A61C6" w14:paraId="71E31BA5"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Number of Respondents</w:t>
            </w:r>
          </w:p>
        </w:tc>
        <w:tc>
          <w:tcPr>
            <w:tcW w:w="1420" w:type="dxa"/>
            <w:tcBorders>
              <w:top w:val="nil"/>
              <w:left w:val="nil"/>
              <w:bottom w:val="nil"/>
              <w:right w:val="single" w:sz="8" w:space="0" w:color="auto"/>
            </w:tcBorders>
            <w:shd w:val="clear" w:color="000000" w:fill="D9D9D9"/>
            <w:vAlign w:val="center"/>
            <w:hideMark/>
          </w:tcPr>
          <w:p w:rsidR="008A61C6" w:rsidRPr="00E37E19" w:rsidP="008A61C6" w14:paraId="30A8749D"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Average Annual Number of Responses per Respondent</w:t>
            </w:r>
          </w:p>
        </w:tc>
        <w:tc>
          <w:tcPr>
            <w:tcW w:w="1260" w:type="dxa"/>
            <w:tcBorders>
              <w:top w:val="nil"/>
              <w:left w:val="nil"/>
              <w:bottom w:val="nil"/>
              <w:right w:val="single" w:sz="8" w:space="0" w:color="auto"/>
            </w:tcBorders>
            <w:shd w:val="clear" w:color="000000" w:fill="D9D9D9"/>
            <w:vAlign w:val="center"/>
            <w:hideMark/>
          </w:tcPr>
          <w:p w:rsidR="008A61C6" w:rsidRPr="00E37E19" w:rsidP="008A61C6" w14:paraId="498E85A0"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Total Number of Responses</w:t>
            </w:r>
          </w:p>
        </w:tc>
        <w:tc>
          <w:tcPr>
            <w:tcW w:w="1340" w:type="dxa"/>
            <w:tcBorders>
              <w:top w:val="nil"/>
              <w:left w:val="nil"/>
              <w:bottom w:val="nil"/>
              <w:right w:val="single" w:sz="8" w:space="0" w:color="auto"/>
            </w:tcBorders>
            <w:shd w:val="clear" w:color="000000" w:fill="D9D9D9"/>
            <w:vAlign w:val="center"/>
            <w:hideMark/>
          </w:tcPr>
          <w:p w:rsidR="008A61C6" w:rsidRPr="00E37E19" w:rsidP="008A61C6" w14:paraId="7BA915C0"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Average Annual Burden Hrs. &amp; Cost Per Response</w:t>
            </w:r>
          </w:p>
        </w:tc>
        <w:tc>
          <w:tcPr>
            <w:tcW w:w="1340" w:type="dxa"/>
            <w:tcBorders>
              <w:top w:val="nil"/>
              <w:left w:val="nil"/>
              <w:bottom w:val="nil"/>
              <w:right w:val="single" w:sz="8" w:space="0" w:color="auto"/>
            </w:tcBorders>
            <w:shd w:val="clear" w:color="000000" w:fill="D9D9D9"/>
            <w:vAlign w:val="center"/>
            <w:hideMark/>
          </w:tcPr>
          <w:p w:rsidR="008A61C6" w:rsidRPr="00E37E19" w:rsidP="008A61C6" w14:paraId="20B463A8"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Total Average Annual Burden Hours &amp; Total Annual Cost</w:t>
            </w:r>
          </w:p>
        </w:tc>
        <w:tc>
          <w:tcPr>
            <w:tcW w:w="1420" w:type="dxa"/>
            <w:tcBorders>
              <w:top w:val="nil"/>
              <w:left w:val="nil"/>
              <w:bottom w:val="nil"/>
              <w:right w:val="single" w:sz="8" w:space="0" w:color="auto"/>
            </w:tcBorders>
            <w:shd w:val="clear" w:color="000000" w:fill="D9D9D9"/>
            <w:vAlign w:val="center"/>
            <w:hideMark/>
          </w:tcPr>
          <w:p w:rsidR="008A61C6" w:rsidRPr="00E37E19" w:rsidP="008A61C6" w14:paraId="435FF614"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Cost per Respondent ($)</w:t>
            </w:r>
          </w:p>
        </w:tc>
      </w:tr>
      <w:tr w14:paraId="57EF5714" w14:textId="77777777" w:rsidTr="008A61C6">
        <w:tblPrEx>
          <w:tblW w:w="9200" w:type="dxa"/>
          <w:tblLook w:val="04A0"/>
        </w:tblPrEx>
        <w:trPr>
          <w:trHeight w:val="300"/>
        </w:trPr>
        <w:tc>
          <w:tcPr>
            <w:tcW w:w="1260" w:type="dxa"/>
            <w:vMerge/>
            <w:tcBorders>
              <w:top w:val="nil"/>
              <w:left w:val="single" w:sz="8" w:space="0" w:color="auto"/>
              <w:bottom w:val="single" w:sz="8" w:space="0" w:color="000000"/>
              <w:right w:val="single" w:sz="8" w:space="0" w:color="auto"/>
            </w:tcBorders>
            <w:vAlign w:val="center"/>
            <w:hideMark/>
          </w:tcPr>
          <w:p w:rsidR="008A61C6" w:rsidRPr="00E37E19" w:rsidP="008A61C6" w14:paraId="12667F56" w14:textId="77777777">
            <w:pPr>
              <w:spacing w:after="0" w:line="240" w:lineRule="auto"/>
              <w:rPr>
                <w:rFonts w:ascii="Times New Roman" w:eastAsia="Times New Roman" w:hAnsi="Times New Roman"/>
                <w:b/>
                <w:bCs/>
                <w:color w:val="000000"/>
                <w:sz w:val="20"/>
                <w:szCs w:val="20"/>
              </w:rPr>
            </w:pPr>
          </w:p>
        </w:tc>
        <w:tc>
          <w:tcPr>
            <w:tcW w:w="1160" w:type="dxa"/>
            <w:tcBorders>
              <w:top w:val="nil"/>
              <w:left w:val="nil"/>
              <w:bottom w:val="single" w:sz="8" w:space="0" w:color="auto"/>
              <w:right w:val="single" w:sz="8" w:space="0" w:color="auto"/>
            </w:tcBorders>
            <w:shd w:val="clear" w:color="000000" w:fill="D9D9D9"/>
            <w:vAlign w:val="center"/>
            <w:hideMark/>
          </w:tcPr>
          <w:p w:rsidR="008A61C6" w:rsidRPr="00E37E19" w:rsidP="008A61C6" w14:paraId="012FD3DF"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(1)</w:t>
            </w:r>
          </w:p>
        </w:tc>
        <w:tc>
          <w:tcPr>
            <w:tcW w:w="1420" w:type="dxa"/>
            <w:tcBorders>
              <w:top w:val="nil"/>
              <w:left w:val="nil"/>
              <w:bottom w:val="single" w:sz="8" w:space="0" w:color="auto"/>
              <w:right w:val="single" w:sz="8" w:space="0" w:color="auto"/>
            </w:tcBorders>
            <w:shd w:val="clear" w:color="000000" w:fill="D9D9D9"/>
            <w:vAlign w:val="center"/>
            <w:hideMark/>
          </w:tcPr>
          <w:p w:rsidR="008A61C6" w:rsidRPr="00E37E19" w:rsidP="008A61C6" w14:paraId="22DFCC62"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(2)</w:t>
            </w:r>
          </w:p>
        </w:tc>
        <w:tc>
          <w:tcPr>
            <w:tcW w:w="1260" w:type="dxa"/>
            <w:tcBorders>
              <w:top w:val="nil"/>
              <w:left w:val="nil"/>
              <w:bottom w:val="single" w:sz="8" w:space="0" w:color="auto"/>
              <w:right w:val="single" w:sz="8" w:space="0" w:color="auto"/>
            </w:tcBorders>
            <w:shd w:val="clear" w:color="000000" w:fill="D9D9D9"/>
            <w:vAlign w:val="center"/>
            <w:hideMark/>
          </w:tcPr>
          <w:p w:rsidR="008A61C6" w:rsidRPr="00E37E19" w:rsidP="008A61C6" w14:paraId="7EB0922F"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w:t>
            </w:r>
            <w:r w:rsidRPr="00E37E19">
              <w:rPr>
                <w:rFonts w:ascii="Times New Roman" w:eastAsia="Times New Roman" w:hAnsi="Times New Roman"/>
                <w:b/>
                <w:bCs/>
                <w:color w:val="000000"/>
                <w:sz w:val="20"/>
                <w:szCs w:val="20"/>
              </w:rPr>
              <w:t>1)*</w:t>
            </w:r>
            <w:r w:rsidRPr="00E37E19">
              <w:rPr>
                <w:rFonts w:ascii="Times New Roman" w:eastAsia="Times New Roman" w:hAnsi="Times New Roman"/>
                <w:b/>
                <w:bCs/>
                <w:color w:val="000000"/>
                <w:sz w:val="20"/>
                <w:szCs w:val="20"/>
              </w:rPr>
              <w:t>(2)=(3)</w:t>
            </w:r>
          </w:p>
        </w:tc>
        <w:tc>
          <w:tcPr>
            <w:tcW w:w="1340" w:type="dxa"/>
            <w:tcBorders>
              <w:top w:val="nil"/>
              <w:left w:val="nil"/>
              <w:bottom w:val="single" w:sz="8" w:space="0" w:color="auto"/>
              <w:right w:val="single" w:sz="8" w:space="0" w:color="auto"/>
            </w:tcBorders>
            <w:shd w:val="clear" w:color="000000" w:fill="D9D9D9"/>
            <w:vAlign w:val="center"/>
            <w:hideMark/>
          </w:tcPr>
          <w:p w:rsidR="008A61C6" w:rsidRPr="00E37E19" w:rsidP="008A61C6" w14:paraId="56E4FE76"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(4)</w:t>
            </w:r>
          </w:p>
        </w:tc>
        <w:tc>
          <w:tcPr>
            <w:tcW w:w="1340" w:type="dxa"/>
            <w:tcBorders>
              <w:top w:val="nil"/>
              <w:left w:val="nil"/>
              <w:bottom w:val="single" w:sz="8" w:space="0" w:color="auto"/>
              <w:right w:val="single" w:sz="8" w:space="0" w:color="auto"/>
            </w:tcBorders>
            <w:shd w:val="clear" w:color="000000" w:fill="D9D9D9"/>
            <w:vAlign w:val="center"/>
            <w:hideMark/>
          </w:tcPr>
          <w:p w:rsidR="008A61C6" w:rsidRPr="00E37E19" w:rsidP="008A61C6" w14:paraId="2A02CDF5"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w:t>
            </w:r>
            <w:r w:rsidRPr="00E37E19">
              <w:rPr>
                <w:rFonts w:ascii="Times New Roman" w:eastAsia="Times New Roman" w:hAnsi="Times New Roman"/>
                <w:b/>
                <w:bCs/>
                <w:color w:val="000000"/>
                <w:sz w:val="20"/>
                <w:szCs w:val="20"/>
              </w:rPr>
              <w:t>3)*</w:t>
            </w:r>
            <w:r w:rsidRPr="00E37E19">
              <w:rPr>
                <w:rFonts w:ascii="Times New Roman" w:eastAsia="Times New Roman" w:hAnsi="Times New Roman"/>
                <w:b/>
                <w:bCs/>
                <w:color w:val="000000"/>
                <w:sz w:val="20"/>
                <w:szCs w:val="20"/>
              </w:rPr>
              <w:t>(4)=(5)</w:t>
            </w:r>
          </w:p>
        </w:tc>
        <w:tc>
          <w:tcPr>
            <w:tcW w:w="1420" w:type="dxa"/>
            <w:tcBorders>
              <w:top w:val="nil"/>
              <w:left w:val="nil"/>
              <w:bottom w:val="single" w:sz="8" w:space="0" w:color="auto"/>
              <w:right w:val="single" w:sz="8" w:space="0" w:color="auto"/>
            </w:tcBorders>
            <w:shd w:val="clear" w:color="000000" w:fill="D9D9D9"/>
            <w:vAlign w:val="center"/>
            <w:hideMark/>
          </w:tcPr>
          <w:p w:rsidR="008A61C6" w:rsidRPr="00E37E19" w:rsidP="008A61C6" w14:paraId="48A408B8" w14:textId="77777777">
            <w:pPr>
              <w:spacing w:after="0" w:line="240" w:lineRule="auto"/>
              <w:jc w:val="center"/>
              <w:rPr>
                <w:rFonts w:ascii="Times New Roman" w:eastAsia="Times New Roman" w:hAnsi="Times New Roman"/>
                <w:b/>
                <w:bCs/>
                <w:color w:val="000000"/>
                <w:sz w:val="20"/>
                <w:szCs w:val="20"/>
              </w:rPr>
            </w:pPr>
            <w:r w:rsidRPr="00E37E19">
              <w:rPr>
                <w:rFonts w:ascii="Times New Roman" w:eastAsia="Times New Roman" w:hAnsi="Times New Roman"/>
                <w:b/>
                <w:bCs/>
                <w:color w:val="000000"/>
                <w:sz w:val="20"/>
                <w:szCs w:val="20"/>
              </w:rPr>
              <w:t>(</w:t>
            </w:r>
            <w:r w:rsidRPr="00E37E19">
              <w:rPr>
                <w:rFonts w:ascii="Times New Roman" w:eastAsia="Times New Roman" w:hAnsi="Times New Roman"/>
                <w:b/>
                <w:bCs/>
                <w:color w:val="000000"/>
                <w:sz w:val="20"/>
                <w:szCs w:val="20"/>
              </w:rPr>
              <w:t>5)÷</w:t>
            </w:r>
            <w:r w:rsidRPr="00E37E19">
              <w:rPr>
                <w:rFonts w:ascii="Times New Roman" w:eastAsia="Times New Roman" w:hAnsi="Times New Roman"/>
                <w:b/>
                <w:bCs/>
                <w:color w:val="000000"/>
                <w:sz w:val="20"/>
                <w:szCs w:val="20"/>
              </w:rPr>
              <w:t>(1)</w:t>
            </w:r>
          </w:p>
        </w:tc>
      </w:tr>
      <w:tr w14:paraId="5BC2B837" w14:textId="77777777" w:rsidTr="008A61C6">
        <w:tblPrEx>
          <w:tblW w:w="9200" w:type="dxa"/>
          <w:tblLook w:val="04A0"/>
        </w:tblPrEx>
        <w:trPr>
          <w:trHeight w:val="288"/>
        </w:trPr>
        <w:tc>
          <w:tcPr>
            <w:tcW w:w="1260" w:type="dxa"/>
            <w:vMerge w:val="restart"/>
            <w:tcBorders>
              <w:top w:val="nil"/>
              <w:left w:val="single" w:sz="8" w:space="0" w:color="auto"/>
              <w:bottom w:val="nil"/>
              <w:right w:val="single" w:sz="8" w:space="0" w:color="auto"/>
            </w:tcBorders>
            <w:shd w:val="clear" w:color="auto" w:fill="auto"/>
            <w:vAlign w:val="center"/>
            <w:hideMark/>
          </w:tcPr>
          <w:p w:rsidR="008A61C6" w:rsidRPr="00E37E19" w:rsidP="008A61C6" w14:paraId="13EC8B1C"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Form 3-Q (Electric)</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8A61C6" w:rsidRPr="00E37E19" w:rsidP="008A61C6" w14:paraId="74A179C6"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218</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8A61C6" w:rsidRPr="00E37E19" w:rsidP="008A61C6" w14:paraId="71C9A181"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3</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8A61C6" w:rsidRPr="00E37E19" w:rsidP="008A61C6" w14:paraId="5F45C660"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654</w:t>
            </w:r>
          </w:p>
        </w:tc>
        <w:tc>
          <w:tcPr>
            <w:tcW w:w="1340" w:type="dxa"/>
            <w:tcBorders>
              <w:top w:val="nil"/>
              <w:left w:val="nil"/>
              <w:bottom w:val="nil"/>
              <w:right w:val="single" w:sz="8" w:space="0" w:color="auto"/>
            </w:tcBorders>
            <w:shd w:val="clear" w:color="auto" w:fill="auto"/>
            <w:vAlign w:val="center"/>
            <w:hideMark/>
          </w:tcPr>
          <w:p w:rsidR="008A61C6" w:rsidRPr="00E37E19" w:rsidP="008A61C6" w14:paraId="12D83C1A"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 xml:space="preserve">168 </w:t>
            </w:r>
          </w:p>
        </w:tc>
        <w:tc>
          <w:tcPr>
            <w:tcW w:w="1340" w:type="dxa"/>
            <w:tcBorders>
              <w:top w:val="nil"/>
              <w:left w:val="nil"/>
              <w:bottom w:val="nil"/>
              <w:right w:val="single" w:sz="8" w:space="0" w:color="auto"/>
            </w:tcBorders>
            <w:shd w:val="clear" w:color="auto" w:fill="auto"/>
            <w:vAlign w:val="center"/>
            <w:hideMark/>
          </w:tcPr>
          <w:p w:rsidR="008A61C6" w:rsidRPr="00E37E19" w:rsidP="008A61C6" w14:paraId="0C866227"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 xml:space="preserve">109,872 </w:t>
            </w:r>
          </w:p>
        </w:tc>
        <w:tc>
          <w:tcPr>
            <w:tcW w:w="1420" w:type="dxa"/>
            <w:tcBorders>
              <w:top w:val="nil"/>
              <w:left w:val="nil"/>
              <w:bottom w:val="nil"/>
              <w:right w:val="single" w:sz="8" w:space="0" w:color="auto"/>
            </w:tcBorders>
            <w:shd w:val="clear" w:color="auto" w:fill="auto"/>
            <w:vAlign w:val="center"/>
            <w:hideMark/>
          </w:tcPr>
          <w:p w:rsidR="008A61C6" w:rsidRPr="00E37E19" w:rsidP="008A61C6" w14:paraId="1A702832" w14:textId="77777777">
            <w:pPr>
              <w:spacing w:after="0" w:line="240" w:lineRule="auto"/>
              <w:jc w:val="right"/>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r>
      <w:tr w14:paraId="0742D669" w14:textId="77777777" w:rsidTr="008A61C6">
        <w:tblPrEx>
          <w:tblW w:w="9200" w:type="dxa"/>
          <w:tblLook w:val="04A0"/>
        </w:tblPrEx>
        <w:trPr>
          <w:trHeight w:val="300"/>
        </w:trPr>
        <w:tc>
          <w:tcPr>
            <w:tcW w:w="1260" w:type="dxa"/>
            <w:vMerge/>
            <w:tcBorders>
              <w:top w:val="nil"/>
              <w:left w:val="single" w:sz="8" w:space="0" w:color="auto"/>
              <w:bottom w:val="nil"/>
              <w:right w:val="single" w:sz="8" w:space="0" w:color="auto"/>
            </w:tcBorders>
            <w:vAlign w:val="center"/>
            <w:hideMark/>
          </w:tcPr>
          <w:p w:rsidR="008A61C6" w:rsidRPr="00E37E19" w:rsidP="008A61C6" w14:paraId="5821FCB5" w14:textId="77777777">
            <w:pPr>
              <w:spacing w:after="0" w:line="240" w:lineRule="auto"/>
              <w:rPr>
                <w:rFonts w:ascii="Times New Roman" w:eastAsia="Times New Roman" w:hAnsi="Times New Roman"/>
                <w:color w:val="000000"/>
                <w:sz w:val="20"/>
                <w:szCs w:val="20"/>
              </w:rPr>
            </w:pPr>
          </w:p>
        </w:tc>
        <w:tc>
          <w:tcPr>
            <w:tcW w:w="1160" w:type="dxa"/>
            <w:vMerge/>
            <w:tcBorders>
              <w:top w:val="nil"/>
              <w:left w:val="single" w:sz="8" w:space="0" w:color="auto"/>
              <w:bottom w:val="single" w:sz="8" w:space="0" w:color="000000"/>
              <w:right w:val="single" w:sz="8" w:space="0" w:color="auto"/>
            </w:tcBorders>
            <w:vAlign w:val="center"/>
            <w:hideMark/>
          </w:tcPr>
          <w:p w:rsidR="008A61C6" w:rsidRPr="00E37E19" w:rsidP="008A61C6" w14:paraId="2AE886B8" w14:textId="77777777">
            <w:pPr>
              <w:spacing w:after="0" w:line="240" w:lineRule="auto"/>
              <w:rPr>
                <w:rFonts w:ascii="Times New Roman" w:eastAsia="Times New Roman" w:hAnsi="Times New Roman"/>
                <w:sz w:val="20"/>
                <w:szCs w:val="20"/>
              </w:rPr>
            </w:pPr>
          </w:p>
        </w:tc>
        <w:tc>
          <w:tcPr>
            <w:tcW w:w="1420" w:type="dxa"/>
            <w:vMerge/>
            <w:tcBorders>
              <w:top w:val="nil"/>
              <w:left w:val="single" w:sz="8" w:space="0" w:color="auto"/>
              <w:bottom w:val="single" w:sz="8" w:space="0" w:color="000000"/>
              <w:right w:val="single" w:sz="8" w:space="0" w:color="auto"/>
            </w:tcBorders>
            <w:vAlign w:val="center"/>
            <w:hideMark/>
          </w:tcPr>
          <w:p w:rsidR="008A61C6" w:rsidRPr="00E37E19" w:rsidP="008A61C6" w14:paraId="358507F4" w14:textId="77777777">
            <w:pPr>
              <w:spacing w:after="0" w:line="240" w:lineRule="auto"/>
              <w:rPr>
                <w:rFonts w:ascii="Times New Roman" w:eastAsia="Times New Roman" w:hAnsi="Times New Roman"/>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rsidR="008A61C6" w:rsidRPr="00E37E19" w:rsidP="008A61C6" w14:paraId="4B8EDD94" w14:textId="77777777">
            <w:pPr>
              <w:spacing w:after="0" w:line="240" w:lineRule="auto"/>
              <w:rPr>
                <w:rFonts w:ascii="Times New Roman" w:eastAsia="Times New Roman" w:hAnsi="Times New Roman"/>
                <w:sz w:val="20"/>
                <w:szCs w:val="20"/>
              </w:rPr>
            </w:pPr>
          </w:p>
        </w:tc>
        <w:tc>
          <w:tcPr>
            <w:tcW w:w="1340" w:type="dxa"/>
            <w:tcBorders>
              <w:top w:val="nil"/>
              <w:left w:val="nil"/>
              <w:bottom w:val="single" w:sz="8" w:space="0" w:color="auto"/>
              <w:right w:val="single" w:sz="8" w:space="0" w:color="auto"/>
            </w:tcBorders>
            <w:shd w:val="clear" w:color="auto" w:fill="auto"/>
            <w:vAlign w:val="center"/>
            <w:hideMark/>
          </w:tcPr>
          <w:p w:rsidR="008A61C6" w:rsidRPr="00E37E19" w:rsidP="008A61C6" w14:paraId="42D74A9C"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$17,304 </w:t>
            </w:r>
          </w:p>
        </w:tc>
        <w:tc>
          <w:tcPr>
            <w:tcW w:w="1340" w:type="dxa"/>
            <w:tcBorders>
              <w:top w:val="nil"/>
              <w:left w:val="nil"/>
              <w:bottom w:val="single" w:sz="8" w:space="0" w:color="auto"/>
              <w:right w:val="single" w:sz="8" w:space="0" w:color="auto"/>
            </w:tcBorders>
            <w:shd w:val="clear" w:color="auto" w:fill="auto"/>
            <w:vAlign w:val="center"/>
            <w:hideMark/>
          </w:tcPr>
          <w:p w:rsidR="008A61C6" w:rsidRPr="00E37E19" w:rsidP="008A61C6" w14:paraId="58562653"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$11,316,816 </w:t>
            </w:r>
          </w:p>
        </w:tc>
        <w:tc>
          <w:tcPr>
            <w:tcW w:w="1420" w:type="dxa"/>
            <w:tcBorders>
              <w:top w:val="nil"/>
              <w:left w:val="nil"/>
              <w:bottom w:val="single" w:sz="8" w:space="0" w:color="auto"/>
              <w:right w:val="single" w:sz="8" w:space="0" w:color="auto"/>
            </w:tcBorders>
            <w:shd w:val="clear" w:color="auto" w:fill="auto"/>
            <w:vAlign w:val="center"/>
            <w:hideMark/>
          </w:tcPr>
          <w:p w:rsidR="008A61C6" w:rsidRPr="00E37E19" w:rsidP="008A61C6" w14:paraId="7C092E51"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$51,912 </w:t>
            </w:r>
          </w:p>
        </w:tc>
      </w:tr>
      <w:tr w14:paraId="655A4B43" w14:textId="77777777" w:rsidTr="008A61C6">
        <w:tblPrEx>
          <w:tblW w:w="9200" w:type="dxa"/>
          <w:tblLook w:val="04A0"/>
        </w:tblPrEx>
        <w:trPr>
          <w:trHeight w:val="290"/>
        </w:trPr>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A61C6" w:rsidRPr="00E37E19" w:rsidP="008A61C6" w14:paraId="2A282CB9"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Form 3-Q (Gas)</w:t>
            </w:r>
          </w:p>
        </w:tc>
        <w:tc>
          <w:tcPr>
            <w:tcW w:w="1160" w:type="dxa"/>
            <w:vMerge w:val="restart"/>
            <w:tcBorders>
              <w:top w:val="nil"/>
              <w:left w:val="single" w:sz="8" w:space="0" w:color="auto"/>
              <w:bottom w:val="nil"/>
              <w:right w:val="single" w:sz="8" w:space="0" w:color="auto"/>
            </w:tcBorders>
            <w:shd w:val="clear" w:color="auto" w:fill="auto"/>
            <w:vAlign w:val="center"/>
            <w:hideMark/>
          </w:tcPr>
          <w:p w:rsidR="008A61C6" w:rsidRPr="00E37E19" w:rsidP="008A61C6" w14:paraId="62487FFC"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148</w:t>
            </w:r>
          </w:p>
        </w:tc>
        <w:tc>
          <w:tcPr>
            <w:tcW w:w="1420" w:type="dxa"/>
            <w:vMerge w:val="restart"/>
            <w:tcBorders>
              <w:top w:val="nil"/>
              <w:left w:val="single" w:sz="8" w:space="0" w:color="auto"/>
              <w:bottom w:val="nil"/>
              <w:right w:val="single" w:sz="8" w:space="0" w:color="auto"/>
            </w:tcBorders>
            <w:shd w:val="clear" w:color="auto" w:fill="auto"/>
            <w:vAlign w:val="center"/>
            <w:hideMark/>
          </w:tcPr>
          <w:p w:rsidR="008A61C6" w:rsidRPr="00E37E19" w:rsidP="008A61C6" w14:paraId="1262CB07"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3</w:t>
            </w:r>
          </w:p>
        </w:tc>
        <w:tc>
          <w:tcPr>
            <w:tcW w:w="1260" w:type="dxa"/>
            <w:vMerge w:val="restart"/>
            <w:tcBorders>
              <w:top w:val="nil"/>
              <w:left w:val="single" w:sz="8" w:space="0" w:color="auto"/>
              <w:bottom w:val="nil"/>
              <w:right w:val="single" w:sz="8" w:space="0" w:color="auto"/>
            </w:tcBorders>
            <w:shd w:val="clear" w:color="auto" w:fill="auto"/>
            <w:vAlign w:val="center"/>
            <w:hideMark/>
          </w:tcPr>
          <w:p w:rsidR="008A61C6" w:rsidRPr="00E37E19" w:rsidP="008A61C6" w14:paraId="73139545"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444</w:t>
            </w:r>
          </w:p>
        </w:tc>
        <w:tc>
          <w:tcPr>
            <w:tcW w:w="1340" w:type="dxa"/>
            <w:tcBorders>
              <w:top w:val="nil"/>
              <w:left w:val="nil"/>
              <w:bottom w:val="nil"/>
              <w:right w:val="single" w:sz="8" w:space="0" w:color="auto"/>
            </w:tcBorders>
            <w:shd w:val="clear" w:color="auto" w:fill="auto"/>
            <w:vAlign w:val="center"/>
            <w:hideMark/>
          </w:tcPr>
          <w:p w:rsidR="008A61C6" w:rsidRPr="00E37E19" w:rsidP="008A61C6" w14:paraId="51526E14"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 xml:space="preserve">168 </w:t>
            </w:r>
          </w:p>
        </w:tc>
        <w:tc>
          <w:tcPr>
            <w:tcW w:w="1340" w:type="dxa"/>
            <w:tcBorders>
              <w:top w:val="nil"/>
              <w:left w:val="nil"/>
              <w:bottom w:val="nil"/>
              <w:right w:val="single" w:sz="8" w:space="0" w:color="auto"/>
            </w:tcBorders>
            <w:shd w:val="clear" w:color="auto" w:fill="auto"/>
            <w:vAlign w:val="center"/>
            <w:hideMark/>
          </w:tcPr>
          <w:p w:rsidR="008A61C6" w:rsidRPr="00E37E19" w:rsidP="008A61C6" w14:paraId="6255D266"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 xml:space="preserve">74,592 </w:t>
            </w:r>
          </w:p>
        </w:tc>
        <w:tc>
          <w:tcPr>
            <w:tcW w:w="1420" w:type="dxa"/>
            <w:tcBorders>
              <w:top w:val="nil"/>
              <w:left w:val="nil"/>
              <w:bottom w:val="nil"/>
              <w:right w:val="single" w:sz="8" w:space="0" w:color="auto"/>
            </w:tcBorders>
            <w:shd w:val="clear" w:color="auto" w:fill="auto"/>
            <w:vAlign w:val="center"/>
            <w:hideMark/>
          </w:tcPr>
          <w:p w:rsidR="008A61C6" w:rsidRPr="00E37E19" w:rsidP="008A61C6" w14:paraId="11758ACB" w14:textId="77777777">
            <w:pPr>
              <w:spacing w:after="0" w:line="240" w:lineRule="auto"/>
              <w:jc w:val="right"/>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r>
      <w:tr w14:paraId="2A937A63" w14:textId="77777777" w:rsidTr="008A61C6">
        <w:tblPrEx>
          <w:tblW w:w="9200" w:type="dxa"/>
          <w:tblLook w:val="04A0"/>
        </w:tblPrEx>
        <w:trPr>
          <w:trHeight w:val="300"/>
        </w:trPr>
        <w:tc>
          <w:tcPr>
            <w:tcW w:w="1260" w:type="dxa"/>
            <w:vMerge/>
            <w:tcBorders>
              <w:top w:val="single" w:sz="8" w:space="0" w:color="auto"/>
              <w:left w:val="single" w:sz="8" w:space="0" w:color="auto"/>
              <w:bottom w:val="single" w:sz="8" w:space="0" w:color="000000"/>
              <w:right w:val="single" w:sz="8" w:space="0" w:color="auto"/>
            </w:tcBorders>
            <w:vAlign w:val="center"/>
            <w:hideMark/>
          </w:tcPr>
          <w:p w:rsidR="008A61C6" w:rsidRPr="00E37E19" w:rsidP="008A61C6" w14:paraId="5406280C" w14:textId="77777777">
            <w:pPr>
              <w:spacing w:after="0" w:line="240" w:lineRule="auto"/>
              <w:rPr>
                <w:rFonts w:ascii="Times New Roman" w:eastAsia="Times New Roman" w:hAnsi="Times New Roman"/>
                <w:color w:val="000000"/>
                <w:sz w:val="20"/>
                <w:szCs w:val="20"/>
              </w:rPr>
            </w:pPr>
          </w:p>
        </w:tc>
        <w:tc>
          <w:tcPr>
            <w:tcW w:w="1160" w:type="dxa"/>
            <w:vMerge/>
            <w:tcBorders>
              <w:top w:val="nil"/>
              <w:left w:val="single" w:sz="8" w:space="0" w:color="auto"/>
              <w:bottom w:val="nil"/>
              <w:right w:val="single" w:sz="8" w:space="0" w:color="auto"/>
            </w:tcBorders>
            <w:vAlign w:val="center"/>
            <w:hideMark/>
          </w:tcPr>
          <w:p w:rsidR="008A61C6" w:rsidRPr="00E37E19" w:rsidP="008A61C6" w14:paraId="0B3B44FB" w14:textId="77777777">
            <w:pPr>
              <w:spacing w:after="0" w:line="240" w:lineRule="auto"/>
              <w:rPr>
                <w:rFonts w:ascii="Times New Roman" w:eastAsia="Times New Roman" w:hAnsi="Times New Roman"/>
                <w:sz w:val="20"/>
                <w:szCs w:val="20"/>
              </w:rPr>
            </w:pPr>
          </w:p>
        </w:tc>
        <w:tc>
          <w:tcPr>
            <w:tcW w:w="1420" w:type="dxa"/>
            <w:vMerge/>
            <w:tcBorders>
              <w:top w:val="nil"/>
              <w:left w:val="single" w:sz="8" w:space="0" w:color="auto"/>
              <w:bottom w:val="nil"/>
              <w:right w:val="single" w:sz="8" w:space="0" w:color="auto"/>
            </w:tcBorders>
            <w:vAlign w:val="center"/>
            <w:hideMark/>
          </w:tcPr>
          <w:p w:rsidR="008A61C6" w:rsidRPr="00E37E19" w:rsidP="008A61C6" w14:paraId="7BD204E1" w14:textId="77777777">
            <w:pPr>
              <w:spacing w:after="0" w:line="240" w:lineRule="auto"/>
              <w:rPr>
                <w:rFonts w:ascii="Times New Roman" w:eastAsia="Times New Roman" w:hAnsi="Times New Roman"/>
                <w:sz w:val="20"/>
                <w:szCs w:val="20"/>
              </w:rPr>
            </w:pPr>
          </w:p>
        </w:tc>
        <w:tc>
          <w:tcPr>
            <w:tcW w:w="1260" w:type="dxa"/>
            <w:vMerge/>
            <w:tcBorders>
              <w:top w:val="nil"/>
              <w:left w:val="single" w:sz="8" w:space="0" w:color="auto"/>
              <w:bottom w:val="nil"/>
              <w:right w:val="single" w:sz="8" w:space="0" w:color="auto"/>
            </w:tcBorders>
            <w:vAlign w:val="center"/>
            <w:hideMark/>
          </w:tcPr>
          <w:p w:rsidR="008A61C6" w:rsidRPr="00E37E19" w:rsidP="008A61C6" w14:paraId="431238AE" w14:textId="77777777">
            <w:pPr>
              <w:spacing w:after="0" w:line="240" w:lineRule="auto"/>
              <w:rPr>
                <w:rFonts w:ascii="Times New Roman" w:eastAsia="Times New Roman" w:hAnsi="Times New Roman"/>
                <w:sz w:val="20"/>
                <w:szCs w:val="20"/>
              </w:rPr>
            </w:pPr>
          </w:p>
        </w:tc>
        <w:tc>
          <w:tcPr>
            <w:tcW w:w="1340" w:type="dxa"/>
            <w:tcBorders>
              <w:top w:val="nil"/>
              <w:left w:val="nil"/>
              <w:bottom w:val="nil"/>
              <w:right w:val="single" w:sz="8" w:space="0" w:color="auto"/>
            </w:tcBorders>
            <w:shd w:val="clear" w:color="auto" w:fill="auto"/>
            <w:vAlign w:val="center"/>
            <w:hideMark/>
          </w:tcPr>
          <w:p w:rsidR="008A61C6" w:rsidRPr="00E37E19" w:rsidP="008A61C6" w14:paraId="2D153850"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$17,304 </w:t>
            </w:r>
          </w:p>
        </w:tc>
        <w:tc>
          <w:tcPr>
            <w:tcW w:w="1340" w:type="dxa"/>
            <w:tcBorders>
              <w:top w:val="nil"/>
              <w:left w:val="nil"/>
              <w:bottom w:val="single" w:sz="8" w:space="0" w:color="auto"/>
              <w:right w:val="single" w:sz="8" w:space="0" w:color="auto"/>
            </w:tcBorders>
            <w:shd w:val="clear" w:color="auto" w:fill="auto"/>
            <w:vAlign w:val="center"/>
            <w:hideMark/>
          </w:tcPr>
          <w:p w:rsidR="008A61C6" w:rsidRPr="00E37E19" w:rsidP="008A61C6" w14:paraId="221E2B62"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$7,682,976 </w:t>
            </w:r>
          </w:p>
        </w:tc>
        <w:tc>
          <w:tcPr>
            <w:tcW w:w="1420" w:type="dxa"/>
            <w:tcBorders>
              <w:top w:val="nil"/>
              <w:left w:val="nil"/>
              <w:bottom w:val="single" w:sz="8" w:space="0" w:color="auto"/>
              <w:right w:val="single" w:sz="8" w:space="0" w:color="auto"/>
            </w:tcBorders>
            <w:shd w:val="clear" w:color="auto" w:fill="auto"/>
            <w:vAlign w:val="center"/>
            <w:hideMark/>
          </w:tcPr>
          <w:p w:rsidR="008A61C6" w:rsidRPr="00E37E19" w:rsidP="008A61C6" w14:paraId="7A730BAA"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$51,912 </w:t>
            </w:r>
          </w:p>
        </w:tc>
      </w:tr>
      <w:tr w14:paraId="703054F3" w14:textId="77777777" w:rsidTr="008A61C6">
        <w:tblPrEx>
          <w:tblW w:w="9200" w:type="dxa"/>
          <w:tblLook w:val="04A0"/>
        </w:tblPrEx>
        <w:trPr>
          <w:trHeight w:val="290"/>
        </w:trPr>
        <w:tc>
          <w:tcPr>
            <w:tcW w:w="1260" w:type="dxa"/>
            <w:vMerge w:val="restart"/>
            <w:tcBorders>
              <w:top w:val="nil"/>
              <w:left w:val="single" w:sz="8" w:space="0" w:color="auto"/>
              <w:bottom w:val="single" w:sz="8" w:space="0" w:color="000000"/>
              <w:right w:val="nil"/>
            </w:tcBorders>
            <w:shd w:val="clear" w:color="auto" w:fill="auto"/>
            <w:vAlign w:val="center"/>
            <w:hideMark/>
          </w:tcPr>
          <w:p w:rsidR="008A61C6" w:rsidRPr="00E37E19" w:rsidP="008A61C6" w14:paraId="76CAE4BB"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Total</w:t>
            </w:r>
          </w:p>
        </w:tc>
        <w:tc>
          <w:tcPr>
            <w:tcW w:w="1160" w:type="dxa"/>
            <w:tcBorders>
              <w:top w:val="single" w:sz="8" w:space="0" w:color="auto"/>
              <w:left w:val="single" w:sz="8" w:space="0" w:color="auto"/>
              <w:bottom w:val="nil"/>
              <w:right w:val="nil"/>
            </w:tcBorders>
            <w:shd w:val="clear" w:color="000000" w:fill="D9D9D9"/>
            <w:vAlign w:val="center"/>
            <w:hideMark/>
          </w:tcPr>
          <w:p w:rsidR="008A61C6" w:rsidRPr="00E37E19" w:rsidP="008A61C6" w14:paraId="60B5BFAF" w14:textId="77777777">
            <w:pPr>
              <w:spacing w:after="0" w:line="240" w:lineRule="auto"/>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c>
          <w:tcPr>
            <w:tcW w:w="1420" w:type="dxa"/>
            <w:tcBorders>
              <w:top w:val="single" w:sz="8" w:space="0" w:color="auto"/>
              <w:left w:val="nil"/>
              <w:bottom w:val="nil"/>
              <w:right w:val="nil"/>
            </w:tcBorders>
            <w:shd w:val="clear" w:color="000000" w:fill="D9D9D9"/>
            <w:vAlign w:val="center"/>
            <w:hideMark/>
          </w:tcPr>
          <w:p w:rsidR="008A61C6" w:rsidRPr="00E37E19" w:rsidP="008A61C6" w14:paraId="37879030" w14:textId="77777777">
            <w:pPr>
              <w:spacing w:after="0" w:line="240" w:lineRule="auto"/>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c>
          <w:tcPr>
            <w:tcW w:w="1260" w:type="dxa"/>
            <w:tcBorders>
              <w:top w:val="single" w:sz="8" w:space="0" w:color="auto"/>
              <w:left w:val="nil"/>
              <w:bottom w:val="nil"/>
              <w:right w:val="nil"/>
            </w:tcBorders>
            <w:shd w:val="clear" w:color="000000" w:fill="D9D9D9"/>
            <w:vAlign w:val="center"/>
            <w:hideMark/>
          </w:tcPr>
          <w:p w:rsidR="008A61C6" w:rsidRPr="00E37E19" w:rsidP="008A61C6" w14:paraId="66B365B1" w14:textId="77777777">
            <w:pPr>
              <w:spacing w:after="0" w:line="240" w:lineRule="auto"/>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c>
          <w:tcPr>
            <w:tcW w:w="1340" w:type="dxa"/>
            <w:tcBorders>
              <w:top w:val="single" w:sz="8" w:space="0" w:color="auto"/>
              <w:left w:val="nil"/>
              <w:bottom w:val="nil"/>
              <w:right w:val="single" w:sz="8" w:space="0" w:color="auto"/>
            </w:tcBorders>
            <w:shd w:val="clear" w:color="000000" w:fill="D9D9D9"/>
            <w:vAlign w:val="center"/>
            <w:hideMark/>
          </w:tcPr>
          <w:p w:rsidR="008A61C6" w:rsidRPr="00E37E19" w:rsidP="008A61C6" w14:paraId="0B51127E" w14:textId="77777777">
            <w:pPr>
              <w:spacing w:after="0" w:line="240" w:lineRule="auto"/>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c>
          <w:tcPr>
            <w:tcW w:w="1340" w:type="dxa"/>
            <w:tcBorders>
              <w:top w:val="nil"/>
              <w:left w:val="nil"/>
              <w:bottom w:val="nil"/>
              <w:right w:val="single" w:sz="8" w:space="0" w:color="auto"/>
            </w:tcBorders>
            <w:shd w:val="clear" w:color="auto" w:fill="auto"/>
            <w:vAlign w:val="center"/>
            <w:hideMark/>
          </w:tcPr>
          <w:p w:rsidR="008A61C6" w:rsidRPr="00E37E19" w:rsidP="008A61C6" w14:paraId="403F216C" w14:textId="77777777">
            <w:pPr>
              <w:spacing w:after="0" w:line="240" w:lineRule="auto"/>
              <w:jc w:val="center"/>
              <w:rPr>
                <w:rFonts w:ascii="Times New Roman" w:eastAsia="Times New Roman" w:hAnsi="Times New Roman"/>
                <w:sz w:val="20"/>
                <w:szCs w:val="20"/>
              </w:rPr>
            </w:pPr>
            <w:r w:rsidRPr="00E37E19">
              <w:rPr>
                <w:rFonts w:ascii="Times New Roman" w:eastAsia="Times New Roman" w:hAnsi="Times New Roman"/>
                <w:sz w:val="20"/>
                <w:szCs w:val="20"/>
              </w:rPr>
              <w:t xml:space="preserve">184,464 </w:t>
            </w:r>
          </w:p>
        </w:tc>
        <w:tc>
          <w:tcPr>
            <w:tcW w:w="1420" w:type="dxa"/>
            <w:tcBorders>
              <w:top w:val="nil"/>
              <w:left w:val="nil"/>
              <w:bottom w:val="nil"/>
              <w:right w:val="single" w:sz="8" w:space="0" w:color="auto"/>
            </w:tcBorders>
            <w:shd w:val="clear" w:color="000000" w:fill="D9D9D9"/>
            <w:vAlign w:val="center"/>
            <w:hideMark/>
          </w:tcPr>
          <w:p w:rsidR="008A61C6" w:rsidRPr="00E37E19" w:rsidP="008A61C6" w14:paraId="50F2082C" w14:textId="77777777">
            <w:pPr>
              <w:spacing w:after="0" w:line="240" w:lineRule="auto"/>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r>
      <w:tr w14:paraId="5B19915D" w14:textId="77777777" w:rsidTr="008A61C6">
        <w:tblPrEx>
          <w:tblW w:w="9200" w:type="dxa"/>
          <w:tblLook w:val="04A0"/>
        </w:tblPrEx>
        <w:trPr>
          <w:trHeight w:val="300"/>
        </w:trPr>
        <w:tc>
          <w:tcPr>
            <w:tcW w:w="1260" w:type="dxa"/>
            <w:vMerge/>
            <w:tcBorders>
              <w:top w:val="nil"/>
              <w:left w:val="single" w:sz="8" w:space="0" w:color="auto"/>
              <w:bottom w:val="single" w:sz="8" w:space="0" w:color="000000"/>
              <w:right w:val="nil"/>
            </w:tcBorders>
            <w:vAlign w:val="center"/>
            <w:hideMark/>
          </w:tcPr>
          <w:p w:rsidR="008A61C6" w:rsidRPr="00E37E19" w:rsidP="008A61C6" w14:paraId="0937EDBC" w14:textId="77777777">
            <w:pPr>
              <w:spacing w:after="0" w:line="240" w:lineRule="auto"/>
              <w:rPr>
                <w:rFonts w:ascii="Times New Roman" w:eastAsia="Times New Roman" w:hAnsi="Times New Roman"/>
                <w:color w:val="000000"/>
                <w:sz w:val="20"/>
                <w:szCs w:val="20"/>
              </w:rPr>
            </w:pPr>
          </w:p>
        </w:tc>
        <w:tc>
          <w:tcPr>
            <w:tcW w:w="1160" w:type="dxa"/>
            <w:tcBorders>
              <w:top w:val="nil"/>
              <w:left w:val="single" w:sz="8" w:space="0" w:color="auto"/>
              <w:bottom w:val="single" w:sz="8" w:space="0" w:color="auto"/>
              <w:right w:val="nil"/>
            </w:tcBorders>
            <w:shd w:val="clear" w:color="000000" w:fill="D9D9D9"/>
            <w:vAlign w:val="center"/>
            <w:hideMark/>
          </w:tcPr>
          <w:p w:rsidR="008A61C6" w:rsidRPr="00E37E19" w:rsidP="008A61C6" w14:paraId="41A7F7B9" w14:textId="77777777">
            <w:pPr>
              <w:spacing w:after="0" w:line="240" w:lineRule="auto"/>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c>
          <w:tcPr>
            <w:tcW w:w="1420" w:type="dxa"/>
            <w:tcBorders>
              <w:top w:val="nil"/>
              <w:left w:val="nil"/>
              <w:bottom w:val="single" w:sz="8" w:space="0" w:color="auto"/>
              <w:right w:val="nil"/>
            </w:tcBorders>
            <w:shd w:val="clear" w:color="000000" w:fill="D9D9D9"/>
            <w:vAlign w:val="center"/>
            <w:hideMark/>
          </w:tcPr>
          <w:p w:rsidR="008A61C6" w:rsidRPr="00E37E19" w:rsidP="008A61C6" w14:paraId="63D75769" w14:textId="77777777">
            <w:pPr>
              <w:spacing w:after="0" w:line="240" w:lineRule="auto"/>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c>
          <w:tcPr>
            <w:tcW w:w="1260" w:type="dxa"/>
            <w:tcBorders>
              <w:top w:val="nil"/>
              <w:left w:val="nil"/>
              <w:bottom w:val="single" w:sz="8" w:space="0" w:color="auto"/>
              <w:right w:val="nil"/>
            </w:tcBorders>
            <w:shd w:val="clear" w:color="000000" w:fill="D9D9D9"/>
            <w:vAlign w:val="center"/>
            <w:hideMark/>
          </w:tcPr>
          <w:p w:rsidR="008A61C6" w:rsidRPr="00E37E19" w:rsidP="008A61C6" w14:paraId="574143DD" w14:textId="77777777">
            <w:pPr>
              <w:spacing w:after="0" w:line="240" w:lineRule="auto"/>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c>
          <w:tcPr>
            <w:tcW w:w="1340" w:type="dxa"/>
            <w:tcBorders>
              <w:top w:val="nil"/>
              <w:left w:val="nil"/>
              <w:bottom w:val="single" w:sz="8" w:space="0" w:color="auto"/>
              <w:right w:val="single" w:sz="8" w:space="0" w:color="auto"/>
            </w:tcBorders>
            <w:shd w:val="clear" w:color="000000" w:fill="D9D9D9"/>
            <w:vAlign w:val="center"/>
            <w:hideMark/>
          </w:tcPr>
          <w:p w:rsidR="008A61C6" w:rsidRPr="00E37E19" w:rsidP="008A61C6" w14:paraId="7DD564A0" w14:textId="77777777">
            <w:pPr>
              <w:spacing w:after="0" w:line="240" w:lineRule="auto"/>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c>
          <w:tcPr>
            <w:tcW w:w="1340" w:type="dxa"/>
            <w:tcBorders>
              <w:top w:val="nil"/>
              <w:left w:val="nil"/>
              <w:bottom w:val="single" w:sz="8" w:space="0" w:color="auto"/>
              <w:right w:val="single" w:sz="8" w:space="0" w:color="auto"/>
            </w:tcBorders>
            <w:shd w:val="clear" w:color="auto" w:fill="auto"/>
            <w:vAlign w:val="center"/>
            <w:hideMark/>
          </w:tcPr>
          <w:p w:rsidR="008A61C6" w:rsidRPr="00E37E19" w:rsidP="008A61C6" w14:paraId="7E824B2D" w14:textId="77777777">
            <w:pPr>
              <w:spacing w:after="0" w:line="240" w:lineRule="auto"/>
              <w:jc w:val="center"/>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xml:space="preserve">$18,999,792 </w:t>
            </w:r>
          </w:p>
        </w:tc>
        <w:tc>
          <w:tcPr>
            <w:tcW w:w="1420" w:type="dxa"/>
            <w:tcBorders>
              <w:top w:val="nil"/>
              <w:left w:val="nil"/>
              <w:bottom w:val="single" w:sz="8" w:space="0" w:color="auto"/>
              <w:right w:val="single" w:sz="8" w:space="0" w:color="auto"/>
            </w:tcBorders>
            <w:shd w:val="clear" w:color="000000" w:fill="D9D9D9"/>
            <w:vAlign w:val="center"/>
            <w:hideMark/>
          </w:tcPr>
          <w:p w:rsidR="008A61C6" w:rsidRPr="00E37E19" w:rsidP="008A61C6" w14:paraId="678B03B1" w14:textId="77777777">
            <w:pPr>
              <w:spacing w:after="0" w:line="240" w:lineRule="auto"/>
              <w:rPr>
                <w:rFonts w:ascii="Times New Roman" w:eastAsia="Times New Roman" w:hAnsi="Times New Roman"/>
                <w:color w:val="000000"/>
                <w:sz w:val="20"/>
                <w:szCs w:val="20"/>
              </w:rPr>
            </w:pPr>
            <w:r w:rsidRPr="00E37E19">
              <w:rPr>
                <w:rFonts w:ascii="Times New Roman" w:eastAsia="Times New Roman" w:hAnsi="Times New Roman"/>
                <w:color w:val="000000"/>
                <w:sz w:val="20"/>
                <w:szCs w:val="20"/>
              </w:rPr>
              <w:t> </w:t>
            </w:r>
          </w:p>
        </w:tc>
      </w:tr>
    </w:tbl>
    <w:p w:rsidR="002E44FB" w:rsidRPr="008416FE" w:rsidP="00BD0F89" w14:paraId="138B7815" w14:textId="77777777">
      <w:pPr>
        <w:spacing w:after="0" w:line="240" w:lineRule="auto"/>
        <w:rPr>
          <w:rFonts w:ascii="Times New Roman" w:hAnsi="Times New Roman"/>
          <w:sz w:val="24"/>
          <w:szCs w:val="24"/>
        </w:rPr>
      </w:pPr>
    </w:p>
    <w:p w:rsidR="00974AFC" w:rsidRPr="008416FE" w:rsidP="00BD0F89" w14:paraId="09148C17" w14:textId="61B1738E">
      <w:pPr>
        <w:spacing w:after="0" w:line="240" w:lineRule="auto"/>
        <w:rPr>
          <w:rFonts w:ascii="Times New Roman" w:hAnsi="Times New Roman"/>
          <w:b/>
          <w:sz w:val="24"/>
          <w:szCs w:val="24"/>
        </w:rPr>
      </w:pPr>
      <w:r w:rsidRPr="008416FE">
        <w:rPr>
          <w:rFonts w:ascii="Times New Roman" w:hAnsi="Times New Roman"/>
          <w:b/>
          <w:sz w:val="24"/>
          <w:szCs w:val="24"/>
        </w:rPr>
        <w:t>13.</w:t>
      </w:r>
      <w:r w:rsidR="00901657">
        <w:rPr>
          <w:rFonts w:ascii="Times New Roman" w:hAnsi="Times New Roman"/>
          <w:b/>
          <w:sz w:val="24"/>
          <w:szCs w:val="24"/>
        </w:rPr>
        <w:t xml:space="preserve"> </w:t>
      </w:r>
      <w:r w:rsidRPr="008416FE" w:rsidR="00BF3095">
        <w:rPr>
          <w:rFonts w:ascii="Times New Roman" w:hAnsi="Times New Roman"/>
          <w:b/>
          <w:sz w:val="24"/>
          <w:szCs w:val="24"/>
        </w:rPr>
        <w:t xml:space="preserve">ESTIMATE OF THE TOTAL ANNUAL COST BURDEN TO </w:t>
      </w:r>
      <w:r w:rsidRPr="008416FE" w:rsidR="00F1537F">
        <w:rPr>
          <w:rFonts w:ascii="Times New Roman" w:hAnsi="Times New Roman"/>
          <w:b/>
          <w:sz w:val="24"/>
          <w:szCs w:val="24"/>
        </w:rPr>
        <w:t>RESPONDENTS</w:t>
      </w:r>
      <w:r w:rsidRPr="008416FE" w:rsidR="00BF3095">
        <w:rPr>
          <w:rFonts w:ascii="Times New Roman" w:hAnsi="Times New Roman"/>
          <w:b/>
          <w:sz w:val="24"/>
          <w:szCs w:val="24"/>
        </w:rPr>
        <w:t xml:space="preserve"> </w:t>
      </w:r>
    </w:p>
    <w:p w:rsidR="00974AFC" w:rsidRPr="008416FE" w:rsidP="00BD0F89" w14:paraId="744F03A0" w14:textId="77777777">
      <w:pPr>
        <w:spacing w:after="0" w:line="240" w:lineRule="auto"/>
        <w:rPr>
          <w:rFonts w:ascii="Times New Roman" w:hAnsi="Times New Roman"/>
          <w:sz w:val="24"/>
          <w:szCs w:val="24"/>
        </w:rPr>
      </w:pPr>
    </w:p>
    <w:p w:rsidR="00F0627E" w:rsidRPr="008416FE" w14:paraId="691BA5A9" w14:textId="2E193193">
      <w:pPr>
        <w:spacing w:after="0" w:line="240" w:lineRule="auto"/>
        <w:rPr>
          <w:rFonts w:ascii="Times New Roman" w:hAnsi="Times New Roman"/>
          <w:sz w:val="24"/>
          <w:szCs w:val="24"/>
        </w:rPr>
      </w:pPr>
      <w:r w:rsidRPr="008416FE">
        <w:rPr>
          <w:rFonts w:ascii="Times New Roman" w:hAnsi="Times New Roman"/>
          <w:sz w:val="24"/>
          <w:szCs w:val="24"/>
        </w:rPr>
        <w:t>All costs are related to burden hours and are discussed in Questions 12 and 15. There are no capital costs.</w:t>
      </w:r>
    </w:p>
    <w:p w:rsidR="005B4F28" w:rsidRPr="008416FE" w:rsidP="00BD0F89" w14:paraId="4A8C8E33" w14:textId="77777777">
      <w:pPr>
        <w:spacing w:after="0" w:line="240" w:lineRule="auto"/>
        <w:rPr>
          <w:rFonts w:ascii="Times New Roman" w:hAnsi="Times New Roman"/>
          <w:sz w:val="24"/>
          <w:szCs w:val="24"/>
        </w:rPr>
      </w:pPr>
    </w:p>
    <w:p w:rsidR="00F0627E" w:rsidRPr="008416FE" w:rsidP="00BD0F89" w14:paraId="64AF384F" w14:textId="0CB4577A">
      <w:pPr>
        <w:pStyle w:val="ListParagraph"/>
        <w:spacing w:after="0" w:line="240" w:lineRule="auto"/>
        <w:ind w:left="0"/>
        <w:rPr>
          <w:rFonts w:ascii="Times New Roman" w:hAnsi="Times New Roman"/>
          <w:sz w:val="24"/>
          <w:szCs w:val="24"/>
        </w:rPr>
      </w:pPr>
      <w:r w:rsidRPr="008416FE">
        <w:rPr>
          <w:rFonts w:ascii="Times New Roman" w:hAnsi="Times New Roman"/>
          <w:b/>
          <w:sz w:val="24"/>
          <w:szCs w:val="24"/>
        </w:rPr>
        <w:t>14.</w:t>
      </w:r>
      <w:r w:rsidR="00901657">
        <w:rPr>
          <w:rFonts w:ascii="Times New Roman" w:hAnsi="Times New Roman"/>
          <w:b/>
          <w:sz w:val="24"/>
          <w:szCs w:val="24"/>
        </w:rPr>
        <w:t xml:space="preserve"> </w:t>
      </w:r>
      <w:r w:rsidRPr="008416FE" w:rsidR="00BF3095">
        <w:rPr>
          <w:rFonts w:ascii="Times New Roman" w:hAnsi="Times New Roman"/>
          <w:b/>
          <w:sz w:val="24"/>
          <w:szCs w:val="24"/>
        </w:rPr>
        <w:t>ESTIMATED ANNUALIZED COST TO FEDERAL GOVERNMENT</w:t>
      </w:r>
    </w:p>
    <w:p w:rsidR="00BF3095" w:rsidRPr="008416FE" w:rsidP="00BD0F89" w14:paraId="31100877" w14:textId="77777777">
      <w:pPr>
        <w:pStyle w:val="ListParagraph"/>
        <w:spacing w:after="0" w:line="240" w:lineRule="auto"/>
        <w:ind w:left="0"/>
        <w:rPr>
          <w:rFonts w:ascii="Times New Roman" w:hAnsi="Times New Roman"/>
          <w:sz w:val="24"/>
          <w:szCs w:val="24"/>
        </w:rPr>
      </w:pPr>
    </w:p>
    <w:p w:rsidR="00244BC9" w:rsidRPr="008416FE" w14:paraId="4F2187EF" w14:textId="76D8517D">
      <w:pPr>
        <w:spacing w:after="0" w:line="240" w:lineRule="auto"/>
        <w:rPr>
          <w:rFonts w:ascii="Times New Roman" w:hAnsi="Times New Roman"/>
          <w:sz w:val="24"/>
          <w:szCs w:val="24"/>
        </w:rPr>
      </w:pPr>
      <w:r w:rsidRPr="008416FE">
        <w:rPr>
          <w:rFonts w:ascii="Times New Roman" w:hAnsi="Times New Roman"/>
          <w:sz w:val="24"/>
          <w:szCs w:val="24"/>
        </w:rPr>
        <w:t xml:space="preserve">The estimate of the cost for </w:t>
      </w:r>
      <w:r w:rsidRPr="008416FE" w:rsidR="00DB684E">
        <w:rPr>
          <w:rFonts w:ascii="Times New Roman" w:hAnsi="Times New Roman"/>
          <w:sz w:val="24"/>
          <w:szCs w:val="24"/>
        </w:rPr>
        <w:t>‘</w:t>
      </w:r>
      <w:r w:rsidRPr="008416FE">
        <w:rPr>
          <w:rFonts w:ascii="Times New Roman" w:hAnsi="Times New Roman"/>
          <w:sz w:val="24"/>
          <w:szCs w:val="24"/>
        </w:rPr>
        <w:t>analysis and processing of filings</w:t>
      </w:r>
      <w:r w:rsidRPr="008416FE" w:rsidR="00DB684E">
        <w:rPr>
          <w:rFonts w:ascii="Times New Roman" w:hAnsi="Times New Roman"/>
          <w:sz w:val="24"/>
          <w:szCs w:val="24"/>
        </w:rPr>
        <w:t>’</w:t>
      </w:r>
      <w:r>
        <w:rPr>
          <w:rStyle w:val="FootnoteReference"/>
          <w:rFonts w:ascii="Times New Roman" w:hAnsi="Times New Roman"/>
          <w:sz w:val="24"/>
          <w:szCs w:val="24"/>
          <w:vertAlign w:val="superscript"/>
        </w:rPr>
        <w:footnoteReference w:id="24"/>
      </w:r>
      <w:r w:rsidRPr="008416FE">
        <w:rPr>
          <w:rFonts w:ascii="Times New Roman" w:hAnsi="Times New Roman"/>
          <w:sz w:val="24"/>
          <w:szCs w:val="24"/>
          <w:vertAlign w:val="superscript"/>
        </w:rPr>
        <w:t xml:space="preserve"> </w:t>
      </w:r>
      <w:r w:rsidRPr="008416FE">
        <w:rPr>
          <w:rFonts w:ascii="Times New Roman" w:hAnsi="Times New Roman"/>
          <w:sz w:val="24"/>
          <w:szCs w:val="24"/>
        </w:rPr>
        <w:t>is based on salaries and benefits for professional and clerical support.</w:t>
      </w:r>
      <w:r w:rsidR="00901657">
        <w:rPr>
          <w:rFonts w:ascii="Times New Roman" w:hAnsi="Times New Roman"/>
          <w:sz w:val="24"/>
          <w:szCs w:val="24"/>
        </w:rPr>
        <w:t xml:space="preserve"> </w:t>
      </w:r>
      <w:r w:rsidRPr="008416FE">
        <w:rPr>
          <w:rFonts w:ascii="Times New Roman" w:hAnsi="Times New Roman"/>
          <w:sz w:val="24"/>
          <w:szCs w:val="24"/>
        </w:rPr>
        <w:t>This estimated cost represents staff analysis, decision-making, and review of any actual filings submitted in response to the information collection</w:t>
      </w:r>
      <w:r w:rsidRPr="008416FE" w:rsidR="00946E0D">
        <w:rPr>
          <w:rFonts w:ascii="Times New Roman" w:hAnsi="Times New Roman"/>
          <w:sz w:val="24"/>
          <w:szCs w:val="24"/>
        </w:rPr>
        <w:t>s</w:t>
      </w:r>
      <w:r w:rsidRPr="008416FE">
        <w:rPr>
          <w:rFonts w:ascii="Times New Roman" w:hAnsi="Times New Roman"/>
          <w:sz w:val="24"/>
          <w:szCs w:val="24"/>
        </w:rPr>
        <w:t>.</w:t>
      </w:r>
      <w:r w:rsidR="00901657">
        <w:rPr>
          <w:rFonts w:ascii="Times New Roman" w:hAnsi="Times New Roman"/>
          <w:sz w:val="24"/>
          <w:szCs w:val="24"/>
        </w:rPr>
        <w:t xml:space="preserve"> </w:t>
      </w:r>
      <w:r w:rsidRPr="008416FE" w:rsidR="00A27235">
        <w:rPr>
          <w:rFonts w:ascii="Times New Roman" w:hAnsi="Times New Roman"/>
          <w:sz w:val="24"/>
          <w:szCs w:val="24"/>
        </w:rPr>
        <w:t xml:space="preserve">(The corresponding annual and hourly FERC costs use the figures for </w:t>
      </w:r>
      <w:r w:rsidRPr="008416FE" w:rsidR="000E485D">
        <w:rPr>
          <w:rFonts w:ascii="Times New Roman" w:hAnsi="Times New Roman"/>
          <w:sz w:val="24"/>
          <w:szCs w:val="24"/>
        </w:rPr>
        <w:t>202</w:t>
      </w:r>
      <w:r w:rsidRPr="008416FE" w:rsidR="214A61B8">
        <w:rPr>
          <w:rFonts w:ascii="Times New Roman" w:hAnsi="Times New Roman"/>
          <w:sz w:val="24"/>
          <w:szCs w:val="24"/>
        </w:rPr>
        <w:t>5</w:t>
      </w:r>
      <w:r w:rsidRPr="008416FE" w:rsidR="00A27235">
        <w:rPr>
          <w:rFonts w:ascii="Times New Roman" w:hAnsi="Times New Roman"/>
          <w:sz w:val="24"/>
          <w:szCs w:val="24"/>
        </w:rPr>
        <w:t>, as noted.)</w:t>
      </w:r>
      <w:r w:rsidR="00901657">
        <w:rPr>
          <w:rFonts w:ascii="Times New Roman" w:hAnsi="Times New Roman"/>
          <w:sz w:val="24"/>
          <w:szCs w:val="24"/>
        </w:rPr>
        <w:t xml:space="preserve"> </w:t>
      </w:r>
      <w:r w:rsidRPr="008416FE" w:rsidR="009F5AD3">
        <w:rPr>
          <w:rFonts w:ascii="Times New Roman" w:hAnsi="Times New Roman"/>
          <w:sz w:val="24"/>
          <w:szCs w:val="24"/>
        </w:rPr>
        <w:t xml:space="preserve">The estimated costs are divided equally by three in ROCIS. </w:t>
      </w:r>
    </w:p>
    <w:p w:rsidR="0058372E" w:rsidRPr="008416FE" w:rsidP="00BD0F89" w14:paraId="23AB8541" w14:textId="783BB121">
      <w:pPr>
        <w:spacing w:after="0" w:line="240" w:lineRule="auto"/>
        <w:rPr>
          <w:rFonts w:ascii="Times New Roman" w:hAnsi="Times New Roman"/>
          <w:sz w:val="24"/>
          <w:szCs w:val="24"/>
        </w:rPr>
      </w:pPr>
      <w:r w:rsidRPr="008416FE">
        <w:rPr>
          <w:rFonts w:ascii="Times New Roman" w:hAnsi="Times New Roman"/>
          <w:sz w:val="24"/>
          <w:szCs w:val="24"/>
        </w:rPr>
        <w:tab/>
      </w:r>
    </w:p>
    <w:p w:rsidR="00244BC9" w:rsidRPr="008416FE" w:rsidP="00BD0F89" w14:paraId="509AE618" w14:textId="1D31AADF">
      <w:pPr>
        <w:spacing w:after="0" w:line="240" w:lineRule="auto"/>
        <w:rPr>
          <w:rFonts w:ascii="Times New Roman" w:hAnsi="Times New Roman"/>
          <w:sz w:val="24"/>
          <w:szCs w:val="24"/>
        </w:rPr>
      </w:pPr>
      <w:r w:rsidRPr="008416FE">
        <w:rPr>
          <w:rFonts w:ascii="Times New Roman" w:hAnsi="Times New Roman"/>
          <w:sz w:val="24"/>
          <w:szCs w:val="24"/>
        </w:rPr>
        <w:t>The Paperwork Reduction Act (PRA) Administrative Cost</w:t>
      </w:r>
      <w:r>
        <w:rPr>
          <w:rStyle w:val="FootnoteReference"/>
          <w:rFonts w:ascii="Times New Roman" w:hAnsi="Times New Roman"/>
          <w:sz w:val="24"/>
          <w:szCs w:val="24"/>
          <w:vertAlign w:val="superscript"/>
        </w:rPr>
        <w:footnoteReference w:id="25"/>
      </w:r>
      <w:r w:rsidRPr="008416FE">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w:t>
      </w:r>
      <w:r w:rsidR="00901657">
        <w:rPr>
          <w:rFonts w:ascii="Times New Roman" w:hAnsi="Times New Roman"/>
          <w:sz w:val="24"/>
          <w:szCs w:val="24"/>
        </w:rPr>
        <w:t xml:space="preserve"> </w:t>
      </w:r>
      <w:r w:rsidRPr="008416FE">
        <w:rPr>
          <w:rFonts w:ascii="Times New Roman" w:hAnsi="Times New Roman"/>
          <w:sz w:val="24"/>
          <w:szCs w:val="24"/>
        </w:rPr>
        <w:t>It also includes the cost of publishing the necessary notices in the Federal Register.</w:t>
      </w:r>
    </w:p>
    <w:p w:rsidR="0058372E" w:rsidRPr="008416FE" w:rsidP="00BD0F89" w14:paraId="5D81E42B" w14:textId="4BE18DD1">
      <w:pPr>
        <w:spacing w:after="0" w:line="240" w:lineRule="auto"/>
        <w:rPr>
          <w:rFonts w:ascii="Times New Roman" w:hAnsi="Times New Roman"/>
          <w:sz w:val="24"/>
          <w:szCs w:val="24"/>
        </w:rPr>
      </w:pPr>
      <w:r w:rsidRPr="008416FE">
        <w:rPr>
          <w:rFonts w:ascii="Times New Roman" w:hAnsi="Times New Roman"/>
          <w:sz w:val="24"/>
          <w:szCs w:val="24"/>
        </w:rPr>
        <w:tab/>
      </w:r>
    </w:p>
    <w:p w:rsidR="00F0627E" w:rsidRPr="008416FE" w:rsidP="00BD0F89" w14:paraId="1EDEF1DC" w14:textId="42FCA8BE">
      <w:pPr>
        <w:spacing w:after="0" w:line="240" w:lineRule="auto"/>
        <w:rPr>
          <w:rFonts w:ascii="Times New Roman" w:hAnsi="Times New Roman"/>
          <w:sz w:val="24"/>
          <w:szCs w:val="24"/>
        </w:rPr>
      </w:pPr>
      <w:r w:rsidRPr="008416FE">
        <w:rPr>
          <w:rFonts w:ascii="Times New Roman" w:hAnsi="Times New Roman"/>
          <w:sz w:val="24"/>
          <w:szCs w:val="24"/>
        </w:rPr>
        <w:t xml:space="preserve">The estimated </w:t>
      </w:r>
      <w:r w:rsidRPr="008416FE" w:rsidR="00F20B97">
        <w:rPr>
          <w:rFonts w:ascii="Times New Roman" w:hAnsi="Times New Roman"/>
          <w:sz w:val="24"/>
          <w:szCs w:val="24"/>
        </w:rPr>
        <w:t xml:space="preserve">annualized </w:t>
      </w:r>
      <w:r w:rsidRPr="008416FE">
        <w:rPr>
          <w:rFonts w:ascii="Times New Roman" w:hAnsi="Times New Roman"/>
          <w:sz w:val="24"/>
          <w:szCs w:val="24"/>
        </w:rPr>
        <w:t>cost</w:t>
      </w:r>
      <w:r w:rsidRPr="008416FE" w:rsidR="00F20B97">
        <w:rPr>
          <w:rFonts w:ascii="Times New Roman" w:hAnsi="Times New Roman"/>
          <w:sz w:val="24"/>
          <w:szCs w:val="24"/>
        </w:rPr>
        <w:t xml:space="preserve"> to the Federal Government</w:t>
      </w:r>
      <w:r w:rsidRPr="008416FE" w:rsidR="00247EBC">
        <w:rPr>
          <w:rFonts w:ascii="Times New Roman" w:hAnsi="Times New Roman"/>
          <w:sz w:val="24"/>
          <w:szCs w:val="24"/>
        </w:rPr>
        <w:t xml:space="preserve"> </w:t>
      </w:r>
      <w:r w:rsidRPr="008416FE" w:rsidR="00E20CEF">
        <w:rPr>
          <w:rFonts w:ascii="Times New Roman" w:hAnsi="Times New Roman"/>
          <w:sz w:val="24"/>
          <w:szCs w:val="24"/>
        </w:rPr>
        <w:t>follows.</w:t>
      </w:r>
      <w:r>
        <w:rPr>
          <w:rStyle w:val="FootnoteReference"/>
          <w:rFonts w:ascii="Times New Roman" w:hAnsi="Times New Roman"/>
          <w:sz w:val="24"/>
          <w:szCs w:val="24"/>
          <w:vertAlign w:val="superscript"/>
        </w:rPr>
        <w:footnoteReference w:id="26"/>
      </w:r>
      <w:r w:rsidR="00901657">
        <w:rPr>
          <w:rFonts w:ascii="Times New Roman" w:hAnsi="Times New Roman"/>
          <w:sz w:val="24"/>
          <w:szCs w:val="24"/>
          <w:vertAlign w:val="superscript"/>
        </w:rPr>
        <w:t xml:space="preserve"> </w:t>
      </w:r>
    </w:p>
    <w:p w:rsidR="00A116AE" w:rsidRPr="008416FE" w:rsidP="0051491B" w14:paraId="69F13D91" w14:textId="77777777">
      <w:pPr>
        <w:spacing w:after="0" w:line="240" w:lineRule="auto"/>
        <w:rPr>
          <w:rFonts w:ascii="Times New Roman" w:hAnsi="Times New Roman"/>
          <w:sz w:val="24"/>
          <w:szCs w:val="24"/>
        </w:rPr>
      </w:pPr>
    </w:p>
    <w:tbl>
      <w:tblPr>
        <w:tblW w:w="10160" w:type="dxa"/>
        <w:tblLook w:val="04A0"/>
      </w:tblPr>
      <w:tblGrid>
        <w:gridCol w:w="1574"/>
        <w:gridCol w:w="1531"/>
        <w:gridCol w:w="3016"/>
        <w:gridCol w:w="1892"/>
        <w:gridCol w:w="2147"/>
      </w:tblGrid>
      <w:tr w14:paraId="35AF1324" w14:textId="77777777" w:rsidTr="08C1D37F">
        <w:tblPrEx>
          <w:tblW w:w="10160" w:type="dxa"/>
          <w:tblLook w:val="04A0"/>
        </w:tblPrEx>
        <w:trPr>
          <w:trHeight w:val="1771"/>
        </w:trPr>
        <w:tc>
          <w:tcPr>
            <w:tcW w:w="15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533D70" w:rsidRPr="008416FE" w14:paraId="5757F6E2" w14:textId="77777777">
            <w:pPr>
              <w:spacing w:after="0" w:line="240" w:lineRule="auto"/>
              <w:jc w:val="center"/>
              <w:rPr>
                <w:rFonts w:ascii="Times New Roman" w:eastAsia="Times New Roman" w:hAnsi="Times New Roman"/>
                <w:b/>
                <w:bCs/>
                <w:color w:val="000000"/>
                <w:sz w:val="24"/>
                <w:szCs w:val="24"/>
              </w:rPr>
            </w:pPr>
            <w:r w:rsidRPr="008416FE">
              <w:rPr>
                <w:rFonts w:ascii="Times New Roman" w:eastAsia="Times New Roman" w:hAnsi="Times New Roman"/>
                <w:b/>
                <w:bCs/>
                <w:color w:val="000000"/>
                <w:sz w:val="24"/>
                <w:szCs w:val="24"/>
              </w:rPr>
              <w:t>Information Collection</w:t>
            </w:r>
          </w:p>
        </w:tc>
        <w:tc>
          <w:tcPr>
            <w:tcW w:w="1531"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rsidR="00533D70" w:rsidRPr="008416FE" w:rsidP="005B4F28" w14:paraId="64A70FCB" w14:textId="1DA22170">
            <w:pPr>
              <w:spacing w:after="0" w:line="240" w:lineRule="auto"/>
              <w:jc w:val="center"/>
              <w:rPr>
                <w:rFonts w:ascii="Times New Roman" w:eastAsia="Times New Roman" w:hAnsi="Times New Roman"/>
                <w:b/>
                <w:bCs/>
                <w:color w:val="000000"/>
                <w:sz w:val="24"/>
                <w:szCs w:val="24"/>
              </w:rPr>
            </w:pPr>
            <w:r w:rsidRPr="008416FE">
              <w:rPr>
                <w:rFonts w:ascii="Times New Roman" w:eastAsia="Times New Roman" w:hAnsi="Times New Roman"/>
                <w:b/>
                <w:bCs/>
                <w:color w:val="000000"/>
                <w:sz w:val="24"/>
                <w:szCs w:val="24"/>
              </w:rPr>
              <w:t xml:space="preserve">Full-Time FERC Staff Equivalents (FTEs) for 'Analysis &amp; Processing of Filings' </w:t>
            </w:r>
          </w:p>
        </w:tc>
        <w:tc>
          <w:tcPr>
            <w:tcW w:w="3016"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rsidR="00533D70" w:rsidRPr="008416FE" w:rsidP="00533D70" w14:paraId="7815DAD3" w14:textId="04079025">
            <w:pPr>
              <w:spacing w:after="0" w:line="240" w:lineRule="auto"/>
              <w:jc w:val="center"/>
              <w:rPr>
                <w:rFonts w:ascii="Times New Roman" w:eastAsia="Times New Roman" w:hAnsi="Times New Roman"/>
                <w:b/>
                <w:bCs/>
                <w:color w:val="000000"/>
                <w:sz w:val="24"/>
                <w:szCs w:val="24"/>
              </w:rPr>
            </w:pPr>
            <w:r w:rsidRPr="08C1D37F">
              <w:rPr>
                <w:rFonts w:ascii="Times New Roman" w:eastAsia="Times New Roman" w:hAnsi="Times New Roman"/>
                <w:b/>
                <w:color w:val="000000" w:themeColor="text1"/>
                <w:sz w:val="24"/>
                <w:szCs w:val="24"/>
              </w:rPr>
              <w:t>FERC Staff Cost of Analysis &amp; Processing of Filings (FTEs * $</w:t>
            </w:r>
            <w:r w:rsidRPr="08C1D37F" w:rsidR="00EB19ED">
              <w:rPr>
                <w:rFonts w:ascii="Times New Roman" w:eastAsia="Times New Roman" w:hAnsi="Times New Roman"/>
                <w:b/>
                <w:color w:val="000000" w:themeColor="text1"/>
                <w:sz w:val="24"/>
                <w:szCs w:val="24"/>
              </w:rPr>
              <w:t>214</w:t>
            </w:r>
            <w:r w:rsidRPr="08C1D37F" w:rsidR="00F904DE">
              <w:rPr>
                <w:rFonts w:ascii="Times New Roman" w:eastAsia="Times New Roman" w:hAnsi="Times New Roman"/>
                <w:b/>
                <w:color w:val="000000" w:themeColor="text1"/>
                <w:sz w:val="24"/>
                <w:szCs w:val="24"/>
              </w:rPr>
              <w:t>,</w:t>
            </w:r>
            <w:r w:rsidRPr="08C1D37F" w:rsidR="503D0D3A">
              <w:rPr>
                <w:rFonts w:ascii="Times New Roman" w:eastAsia="Times New Roman" w:hAnsi="Times New Roman"/>
                <w:b/>
                <w:bCs/>
                <w:color w:val="000000" w:themeColor="text1"/>
                <w:sz w:val="24"/>
                <w:szCs w:val="24"/>
              </w:rPr>
              <w:t>093</w:t>
            </w:r>
            <w:r w:rsidRPr="08C1D37F">
              <w:rPr>
                <w:rFonts w:ascii="Times New Roman" w:eastAsia="Times New Roman" w:hAnsi="Times New Roman"/>
                <w:b/>
                <w:color w:val="000000" w:themeColor="text1"/>
                <w:sz w:val="24"/>
                <w:szCs w:val="24"/>
              </w:rPr>
              <w:t xml:space="preserve">/year) </w:t>
            </w:r>
          </w:p>
        </w:tc>
        <w:tc>
          <w:tcPr>
            <w:tcW w:w="1892"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rsidR="00533D70" w:rsidRPr="008416FE" w:rsidP="00533D70" w14:paraId="7978C90F" w14:textId="36B336CB">
            <w:pPr>
              <w:spacing w:after="0" w:line="240" w:lineRule="auto"/>
              <w:jc w:val="center"/>
              <w:rPr>
                <w:rFonts w:ascii="Times New Roman" w:eastAsia="Times New Roman" w:hAnsi="Times New Roman"/>
                <w:b/>
                <w:bCs/>
                <w:color w:val="000000"/>
                <w:sz w:val="24"/>
                <w:szCs w:val="24"/>
              </w:rPr>
            </w:pPr>
            <w:r w:rsidRPr="54C7D884">
              <w:rPr>
                <w:rFonts w:ascii="Times New Roman" w:eastAsia="Times New Roman" w:hAnsi="Times New Roman"/>
                <w:b/>
                <w:color w:val="000000" w:themeColor="text1"/>
                <w:sz w:val="24"/>
                <w:szCs w:val="24"/>
              </w:rPr>
              <w:t>PRA Administrative Cost (</w:t>
            </w:r>
            <w:r w:rsidRPr="54C7D884" w:rsidR="00FE39EF">
              <w:rPr>
                <w:rFonts w:ascii="Times New Roman" w:eastAsia="Times New Roman" w:hAnsi="Times New Roman"/>
                <w:b/>
                <w:color w:val="000000" w:themeColor="text1"/>
                <w:sz w:val="24"/>
                <w:szCs w:val="24"/>
              </w:rPr>
              <w:t>$</w:t>
            </w:r>
            <w:r w:rsidRPr="48FCB7A6" w:rsidR="510BF766">
              <w:rPr>
                <w:rFonts w:ascii="Times New Roman" w:eastAsia="Times New Roman" w:hAnsi="Times New Roman"/>
                <w:b/>
                <w:bCs/>
                <w:color w:val="000000" w:themeColor="text1"/>
                <w:sz w:val="24"/>
                <w:szCs w:val="24"/>
              </w:rPr>
              <w:t>7,978</w:t>
            </w:r>
            <w:r w:rsidRPr="54C7D884" w:rsidR="00FE39EF">
              <w:rPr>
                <w:rFonts w:ascii="Times New Roman" w:eastAsia="Times New Roman" w:hAnsi="Times New Roman"/>
                <w:b/>
                <w:color w:val="000000" w:themeColor="text1"/>
                <w:sz w:val="24"/>
                <w:szCs w:val="24"/>
              </w:rPr>
              <w:t xml:space="preserve"> </w:t>
            </w:r>
            <w:r w:rsidRPr="54C7D884">
              <w:rPr>
                <w:rFonts w:ascii="Times New Roman" w:eastAsia="Times New Roman" w:hAnsi="Times New Roman"/>
                <w:b/>
                <w:color w:val="000000" w:themeColor="text1"/>
                <w:sz w:val="24"/>
                <w:szCs w:val="24"/>
              </w:rPr>
              <w:t>per collection)</w:t>
            </w:r>
          </w:p>
        </w:tc>
        <w:tc>
          <w:tcPr>
            <w:tcW w:w="2147"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rsidR="00533D70" w:rsidRPr="008416FE" w:rsidP="00533D70" w14:paraId="29C640C2" w14:textId="77777777">
            <w:pPr>
              <w:spacing w:after="0" w:line="240" w:lineRule="auto"/>
              <w:jc w:val="center"/>
              <w:rPr>
                <w:rFonts w:ascii="Times New Roman" w:eastAsia="Times New Roman" w:hAnsi="Times New Roman"/>
                <w:b/>
                <w:bCs/>
                <w:color w:val="000000"/>
                <w:sz w:val="24"/>
                <w:szCs w:val="24"/>
              </w:rPr>
            </w:pPr>
            <w:r w:rsidRPr="008416FE">
              <w:rPr>
                <w:rFonts w:ascii="Times New Roman" w:eastAsia="Times New Roman" w:hAnsi="Times New Roman"/>
                <w:b/>
                <w:bCs/>
                <w:color w:val="000000"/>
                <w:sz w:val="24"/>
                <w:szCs w:val="24"/>
              </w:rPr>
              <w:t>Estimated Annual Federal Cost (rounded)</w:t>
            </w:r>
          </w:p>
        </w:tc>
      </w:tr>
      <w:tr w14:paraId="44C8F842" w14:textId="77777777" w:rsidTr="00B81E09">
        <w:tblPrEx>
          <w:tblW w:w="10160" w:type="dxa"/>
          <w:tblLook w:val="04A0"/>
        </w:tblPrEx>
        <w:trPr>
          <w:trHeight w:val="647"/>
        </w:trPr>
        <w:tc>
          <w:tcPr>
            <w:tcW w:w="1574" w:type="dxa"/>
            <w:tcBorders>
              <w:top w:val="nil"/>
              <w:left w:val="single" w:sz="8" w:space="0" w:color="auto"/>
              <w:bottom w:val="single" w:sz="4" w:space="0" w:color="auto"/>
              <w:right w:val="single" w:sz="4" w:space="0" w:color="auto"/>
            </w:tcBorders>
            <w:shd w:val="clear" w:color="auto" w:fill="auto"/>
            <w:vAlign w:val="center"/>
            <w:hideMark/>
          </w:tcPr>
          <w:p w:rsidR="00533D70" w:rsidRPr="008416FE" w:rsidP="00533D70" w14:paraId="187E1C8E" w14:textId="1E48C039">
            <w:pPr>
              <w:spacing w:after="0" w:line="240" w:lineRule="auto"/>
              <w:rPr>
                <w:rFonts w:ascii="Times New Roman" w:eastAsia="Times New Roman" w:hAnsi="Times New Roman"/>
                <w:b/>
                <w:bCs/>
                <w:color w:val="000000"/>
                <w:sz w:val="24"/>
                <w:szCs w:val="24"/>
              </w:rPr>
            </w:pPr>
            <w:r w:rsidRPr="008416FE">
              <w:rPr>
                <w:rFonts w:ascii="Times New Roman" w:eastAsia="Times New Roman" w:hAnsi="Times New Roman"/>
                <w:b/>
                <w:bCs/>
                <w:color w:val="000000"/>
                <w:sz w:val="24"/>
                <w:szCs w:val="24"/>
              </w:rPr>
              <w:t>FERC</w:t>
            </w:r>
            <w:r w:rsidRPr="008416FE" w:rsidR="00806836">
              <w:rPr>
                <w:rFonts w:ascii="Times New Roman" w:eastAsia="Times New Roman" w:hAnsi="Times New Roman"/>
                <w:b/>
                <w:bCs/>
                <w:color w:val="000000"/>
                <w:sz w:val="24"/>
                <w:szCs w:val="24"/>
              </w:rPr>
              <w:t xml:space="preserve"> Form Nos. </w:t>
            </w:r>
            <w:r w:rsidRPr="008416FE">
              <w:rPr>
                <w:rFonts w:ascii="Times New Roman" w:eastAsia="Times New Roman" w:hAnsi="Times New Roman"/>
                <w:b/>
                <w:bCs/>
                <w:color w:val="000000"/>
                <w:sz w:val="24"/>
                <w:szCs w:val="24"/>
              </w:rPr>
              <w:t>1, 1</w:t>
            </w:r>
            <w:r w:rsidRPr="008416FE" w:rsidR="00A1513F">
              <w:rPr>
                <w:rFonts w:ascii="Times New Roman" w:eastAsia="Times New Roman" w:hAnsi="Times New Roman"/>
                <w:b/>
                <w:bCs/>
                <w:color w:val="000000"/>
                <w:sz w:val="24"/>
                <w:szCs w:val="24"/>
              </w:rPr>
              <w:t>-</w:t>
            </w:r>
            <w:r w:rsidRPr="008416FE">
              <w:rPr>
                <w:rFonts w:ascii="Times New Roman" w:eastAsia="Times New Roman" w:hAnsi="Times New Roman"/>
                <w:b/>
                <w:bCs/>
                <w:color w:val="000000"/>
                <w:sz w:val="24"/>
                <w:szCs w:val="24"/>
              </w:rPr>
              <w:t>F, &amp; 3</w:t>
            </w:r>
            <w:r w:rsidRPr="008416FE" w:rsidR="00806836">
              <w:rPr>
                <w:rFonts w:ascii="Times New Roman" w:eastAsia="Times New Roman" w:hAnsi="Times New Roman"/>
                <w:b/>
                <w:bCs/>
                <w:color w:val="000000"/>
                <w:sz w:val="24"/>
                <w:szCs w:val="24"/>
              </w:rPr>
              <w:t>-</w:t>
            </w:r>
            <w:r w:rsidRPr="008416FE">
              <w:rPr>
                <w:rFonts w:ascii="Times New Roman" w:eastAsia="Times New Roman" w:hAnsi="Times New Roman"/>
                <w:b/>
                <w:bCs/>
                <w:color w:val="000000"/>
                <w:sz w:val="24"/>
                <w:szCs w:val="24"/>
              </w:rPr>
              <w:t>Q (electric and gas)</w:t>
            </w:r>
          </w:p>
        </w:tc>
        <w:tc>
          <w:tcPr>
            <w:tcW w:w="1531" w:type="dxa"/>
            <w:tcBorders>
              <w:top w:val="nil"/>
              <w:left w:val="nil"/>
              <w:bottom w:val="single" w:sz="4" w:space="0" w:color="auto"/>
              <w:right w:val="single" w:sz="4" w:space="0" w:color="auto"/>
            </w:tcBorders>
            <w:shd w:val="clear" w:color="auto" w:fill="auto"/>
            <w:vAlign w:val="bottom"/>
            <w:hideMark/>
          </w:tcPr>
          <w:p w:rsidR="00533D70" w:rsidRPr="008416FE" w:rsidP="00E17A65" w14:paraId="391A2A36" w14:textId="218AA980">
            <w:pPr>
              <w:spacing w:after="0" w:line="240" w:lineRule="auto"/>
              <w:jc w:val="right"/>
              <w:rPr>
                <w:rFonts w:ascii="Times New Roman" w:eastAsia="Times New Roman" w:hAnsi="Times New Roman"/>
                <w:color w:val="000000"/>
                <w:sz w:val="24"/>
                <w:szCs w:val="24"/>
              </w:rPr>
            </w:pPr>
            <w:r w:rsidRPr="008416FE">
              <w:rPr>
                <w:rFonts w:ascii="Times New Roman" w:eastAsia="Times New Roman" w:hAnsi="Times New Roman"/>
                <w:color w:val="000000"/>
                <w:sz w:val="24"/>
                <w:szCs w:val="24"/>
              </w:rPr>
              <w:t>4</w:t>
            </w:r>
          </w:p>
        </w:tc>
        <w:tc>
          <w:tcPr>
            <w:tcW w:w="3016" w:type="dxa"/>
            <w:tcBorders>
              <w:top w:val="nil"/>
              <w:left w:val="nil"/>
              <w:bottom w:val="single" w:sz="4" w:space="0" w:color="auto"/>
              <w:right w:val="single" w:sz="4" w:space="0" w:color="auto"/>
            </w:tcBorders>
            <w:shd w:val="clear" w:color="auto" w:fill="auto"/>
            <w:vAlign w:val="bottom"/>
            <w:hideMark/>
          </w:tcPr>
          <w:p w:rsidR="00533D70" w:rsidRPr="008416FE" w:rsidP="00533D70" w14:paraId="3BD21D0E" w14:textId="1012B8DA">
            <w:pPr>
              <w:spacing w:after="0" w:line="240" w:lineRule="auto"/>
              <w:jc w:val="right"/>
              <w:rPr>
                <w:rFonts w:ascii="Times New Roman" w:eastAsia="Times New Roman" w:hAnsi="Times New Roman"/>
                <w:color w:val="000000"/>
                <w:sz w:val="24"/>
                <w:szCs w:val="24"/>
              </w:rPr>
            </w:pPr>
            <w:r w:rsidRPr="3AED3C73">
              <w:rPr>
                <w:rFonts w:ascii="Times New Roman" w:eastAsia="Times New Roman" w:hAnsi="Times New Roman"/>
                <w:color w:val="000000" w:themeColor="text1"/>
                <w:sz w:val="24"/>
                <w:szCs w:val="24"/>
              </w:rPr>
              <w:t>$</w:t>
            </w:r>
            <w:r w:rsidRPr="3AED3C73" w:rsidR="003506A7">
              <w:rPr>
                <w:rFonts w:ascii="Times New Roman" w:eastAsia="Times New Roman" w:hAnsi="Times New Roman"/>
                <w:color w:val="000000" w:themeColor="text1"/>
                <w:sz w:val="24"/>
                <w:szCs w:val="24"/>
              </w:rPr>
              <w:t>856</w:t>
            </w:r>
            <w:r w:rsidRPr="3AED3C73">
              <w:rPr>
                <w:rFonts w:ascii="Times New Roman" w:eastAsia="Times New Roman" w:hAnsi="Times New Roman"/>
                <w:color w:val="000000" w:themeColor="text1"/>
                <w:sz w:val="24"/>
                <w:szCs w:val="24"/>
              </w:rPr>
              <w:t>,</w:t>
            </w:r>
            <w:r w:rsidRPr="280132C7" w:rsidR="6F8AFAA8">
              <w:rPr>
                <w:rFonts w:ascii="Times New Roman" w:eastAsia="Times New Roman" w:hAnsi="Times New Roman"/>
                <w:color w:val="000000" w:themeColor="text1"/>
                <w:sz w:val="24"/>
                <w:szCs w:val="24"/>
              </w:rPr>
              <w:t>372</w:t>
            </w:r>
          </w:p>
        </w:tc>
        <w:tc>
          <w:tcPr>
            <w:tcW w:w="1892" w:type="dxa"/>
            <w:tcBorders>
              <w:top w:val="nil"/>
              <w:left w:val="nil"/>
              <w:bottom w:val="single" w:sz="4" w:space="0" w:color="auto"/>
              <w:right w:val="single" w:sz="4" w:space="0" w:color="auto"/>
            </w:tcBorders>
            <w:shd w:val="clear" w:color="auto" w:fill="auto"/>
            <w:noWrap/>
            <w:vAlign w:val="bottom"/>
            <w:hideMark/>
          </w:tcPr>
          <w:p w:rsidR="00533D70" w:rsidRPr="008416FE" w:rsidP="00E17A65" w14:paraId="06B167D9" w14:textId="4A0CE8A6">
            <w:pPr>
              <w:spacing w:after="0" w:line="240" w:lineRule="auto"/>
              <w:jc w:val="right"/>
              <w:rPr>
                <w:rFonts w:ascii="Times New Roman" w:eastAsia="Times New Roman" w:hAnsi="Times New Roman"/>
                <w:color w:val="000000"/>
                <w:sz w:val="24"/>
                <w:szCs w:val="24"/>
              </w:rPr>
            </w:pPr>
            <w:r w:rsidRPr="530A686B">
              <w:rPr>
                <w:rFonts w:ascii="Times New Roman" w:eastAsia="Times New Roman" w:hAnsi="Times New Roman"/>
                <w:color w:val="000000" w:themeColor="text1"/>
                <w:sz w:val="24"/>
                <w:szCs w:val="24"/>
              </w:rPr>
              <w:t>$</w:t>
            </w:r>
            <w:r w:rsidRPr="530A686B" w:rsidR="00FE39EF">
              <w:rPr>
                <w:rFonts w:ascii="Times New Roman" w:eastAsia="Times New Roman" w:hAnsi="Times New Roman"/>
                <w:color w:val="000000" w:themeColor="text1"/>
                <w:sz w:val="24"/>
                <w:szCs w:val="24"/>
              </w:rPr>
              <w:t>2</w:t>
            </w:r>
            <w:r w:rsidRPr="530A686B" w:rsidR="5A7D7F74">
              <w:rPr>
                <w:rFonts w:ascii="Times New Roman" w:eastAsia="Times New Roman" w:hAnsi="Times New Roman"/>
                <w:color w:val="000000" w:themeColor="text1"/>
                <w:sz w:val="24"/>
                <w:szCs w:val="24"/>
              </w:rPr>
              <w:t>3,</w:t>
            </w:r>
            <w:r w:rsidRPr="3CA55FFC" w:rsidR="5A7D7F74">
              <w:rPr>
                <w:rFonts w:ascii="Times New Roman" w:eastAsia="Times New Roman" w:hAnsi="Times New Roman"/>
                <w:color w:val="000000" w:themeColor="text1"/>
                <w:sz w:val="24"/>
                <w:szCs w:val="24"/>
              </w:rPr>
              <w:t>934</w:t>
            </w:r>
          </w:p>
        </w:tc>
        <w:tc>
          <w:tcPr>
            <w:tcW w:w="2147" w:type="dxa"/>
            <w:tcBorders>
              <w:top w:val="nil"/>
              <w:left w:val="nil"/>
              <w:bottom w:val="single" w:sz="4" w:space="0" w:color="auto"/>
              <w:right w:val="single" w:sz="4" w:space="0" w:color="auto"/>
            </w:tcBorders>
            <w:shd w:val="clear" w:color="auto" w:fill="auto"/>
            <w:noWrap/>
            <w:vAlign w:val="bottom"/>
            <w:hideMark/>
          </w:tcPr>
          <w:p w:rsidR="00533D70" w:rsidRPr="008416FE" w:rsidP="00B81E09" w14:paraId="7041D5B1" w14:textId="09E47D81">
            <w:pPr>
              <w:spacing w:after="0" w:line="240" w:lineRule="auto"/>
              <w:rPr>
                <w:rFonts w:ascii="Times New Roman" w:eastAsia="Times New Roman" w:hAnsi="Times New Roman"/>
                <w:color w:val="000000"/>
                <w:sz w:val="24"/>
                <w:szCs w:val="24"/>
              </w:rPr>
            </w:pPr>
            <w:r w:rsidRPr="37508219">
              <w:rPr>
                <w:rFonts w:ascii="Times New Roman" w:eastAsia="Times New Roman" w:hAnsi="Times New Roman"/>
                <w:color w:val="000000" w:themeColor="text1"/>
                <w:sz w:val="24"/>
                <w:szCs w:val="24"/>
              </w:rPr>
              <w:t xml:space="preserve">        </w:t>
            </w:r>
            <w:r w:rsidRPr="37508219" w:rsidR="00113F5F">
              <w:rPr>
                <w:rFonts w:ascii="Times New Roman" w:eastAsia="Times New Roman" w:hAnsi="Times New Roman"/>
                <w:color w:val="000000" w:themeColor="text1"/>
                <w:sz w:val="24"/>
                <w:szCs w:val="24"/>
              </w:rPr>
              <w:t xml:space="preserve"> </w:t>
            </w:r>
            <w:r w:rsidRPr="37508219">
              <w:rPr>
                <w:rFonts w:ascii="Times New Roman" w:eastAsia="Times New Roman" w:hAnsi="Times New Roman"/>
                <w:color w:val="000000" w:themeColor="text1"/>
                <w:sz w:val="24"/>
                <w:szCs w:val="24"/>
              </w:rPr>
              <w:t>$</w:t>
            </w:r>
            <w:r w:rsidRPr="58D5947E" w:rsidR="005F689E">
              <w:rPr>
                <w:rFonts w:ascii="Times New Roman" w:eastAsia="Times New Roman" w:hAnsi="Times New Roman"/>
                <w:color w:val="000000" w:themeColor="text1"/>
                <w:sz w:val="24"/>
                <w:szCs w:val="24"/>
              </w:rPr>
              <w:t>8</w:t>
            </w:r>
            <w:r w:rsidRPr="58D5947E" w:rsidR="26A0B280">
              <w:rPr>
                <w:rFonts w:ascii="Times New Roman" w:eastAsia="Times New Roman" w:hAnsi="Times New Roman"/>
                <w:color w:val="000000" w:themeColor="text1"/>
                <w:sz w:val="24"/>
                <w:szCs w:val="24"/>
              </w:rPr>
              <w:t>80,</w:t>
            </w:r>
            <w:r w:rsidRPr="3E00F0CA" w:rsidR="26A0B280">
              <w:rPr>
                <w:rFonts w:ascii="Times New Roman" w:eastAsia="Times New Roman" w:hAnsi="Times New Roman"/>
                <w:color w:val="000000" w:themeColor="text1"/>
                <w:sz w:val="24"/>
                <w:szCs w:val="24"/>
              </w:rPr>
              <w:t>306</w:t>
            </w:r>
          </w:p>
          <w:p w:rsidR="00331936" w:rsidRPr="008416FE" w:rsidP="00E17A65" w14:paraId="5EE9A76D" w14:textId="59EDA69B">
            <w:pPr>
              <w:spacing w:after="0" w:line="240" w:lineRule="auto"/>
              <w:jc w:val="right"/>
              <w:rPr>
                <w:rFonts w:ascii="Times New Roman" w:eastAsia="Times New Roman" w:hAnsi="Times New Roman"/>
                <w:color w:val="000000"/>
                <w:sz w:val="24"/>
                <w:szCs w:val="24"/>
              </w:rPr>
            </w:pPr>
            <w:r w:rsidRPr="45D4C933">
              <w:rPr>
                <w:rFonts w:ascii="Times New Roman" w:eastAsia="Times New Roman" w:hAnsi="Times New Roman"/>
                <w:color w:val="000000" w:themeColor="text1"/>
                <w:sz w:val="24"/>
                <w:szCs w:val="24"/>
              </w:rPr>
              <w:t>($</w:t>
            </w:r>
            <w:r w:rsidRPr="37343F61">
              <w:rPr>
                <w:rFonts w:ascii="Times New Roman" w:eastAsia="Times New Roman" w:hAnsi="Times New Roman"/>
                <w:color w:val="000000" w:themeColor="text1"/>
                <w:sz w:val="24"/>
                <w:szCs w:val="24"/>
              </w:rPr>
              <w:t>2</w:t>
            </w:r>
            <w:r w:rsidRPr="37343F61" w:rsidR="3CFB740D">
              <w:rPr>
                <w:rFonts w:ascii="Times New Roman" w:eastAsia="Times New Roman" w:hAnsi="Times New Roman"/>
                <w:color w:val="000000" w:themeColor="text1"/>
                <w:sz w:val="24"/>
                <w:szCs w:val="24"/>
              </w:rPr>
              <w:t>93,</w:t>
            </w:r>
            <w:r w:rsidRPr="2E0D1CD6" w:rsidR="3CFB740D">
              <w:rPr>
                <w:rFonts w:ascii="Times New Roman" w:eastAsia="Times New Roman" w:hAnsi="Times New Roman"/>
                <w:color w:val="000000" w:themeColor="text1"/>
                <w:sz w:val="24"/>
                <w:szCs w:val="24"/>
              </w:rPr>
              <w:t>435</w:t>
            </w:r>
            <w:r w:rsidRPr="45D4C933">
              <w:rPr>
                <w:rFonts w:ascii="Times New Roman" w:eastAsia="Times New Roman" w:hAnsi="Times New Roman"/>
                <w:color w:val="000000" w:themeColor="text1"/>
                <w:sz w:val="24"/>
                <w:szCs w:val="24"/>
              </w:rPr>
              <w:t xml:space="preserve"> per collection)</w:t>
            </w:r>
          </w:p>
        </w:tc>
      </w:tr>
    </w:tbl>
    <w:p w:rsidR="003F4A59" w:rsidP="00BD0F89" w14:paraId="55FC1BFA" w14:textId="77777777">
      <w:pPr>
        <w:spacing w:after="0" w:line="240" w:lineRule="auto"/>
        <w:rPr>
          <w:rFonts w:ascii="Times New Roman" w:hAnsi="Times New Roman"/>
          <w:sz w:val="24"/>
          <w:szCs w:val="24"/>
        </w:rPr>
      </w:pPr>
    </w:p>
    <w:p w:rsidR="009A11DA" w:rsidP="00BD0F89" w14:paraId="16A69EA4" w14:textId="77777777">
      <w:pPr>
        <w:spacing w:after="0" w:line="240" w:lineRule="auto"/>
        <w:rPr>
          <w:rFonts w:ascii="Times New Roman" w:hAnsi="Times New Roman"/>
          <w:sz w:val="24"/>
          <w:szCs w:val="24"/>
        </w:rPr>
      </w:pPr>
    </w:p>
    <w:p w:rsidR="009A11DA" w:rsidP="00BD0F89" w14:paraId="6B615AF8" w14:textId="77777777">
      <w:pPr>
        <w:spacing w:after="0" w:line="240" w:lineRule="auto"/>
        <w:rPr>
          <w:rFonts w:ascii="Times New Roman" w:hAnsi="Times New Roman"/>
          <w:sz w:val="24"/>
          <w:szCs w:val="24"/>
        </w:rPr>
      </w:pPr>
    </w:p>
    <w:p w:rsidR="009A11DA" w:rsidRPr="008416FE" w:rsidP="00BD0F89" w14:paraId="483469D5" w14:textId="77777777">
      <w:pPr>
        <w:spacing w:after="0" w:line="240" w:lineRule="auto"/>
        <w:rPr>
          <w:rFonts w:ascii="Times New Roman" w:hAnsi="Times New Roman"/>
          <w:sz w:val="24"/>
          <w:szCs w:val="24"/>
        </w:rPr>
      </w:pPr>
    </w:p>
    <w:p w:rsidR="00F20B97" w:rsidRPr="008416FE" w:rsidP="00BD0F89" w14:paraId="43CA34DD" w14:textId="77777777">
      <w:pPr>
        <w:spacing w:after="0" w:line="240" w:lineRule="auto"/>
        <w:rPr>
          <w:rFonts w:ascii="Times New Roman" w:hAnsi="Times New Roman"/>
          <w:b/>
          <w:sz w:val="24"/>
          <w:szCs w:val="24"/>
        </w:rPr>
      </w:pPr>
      <w:r w:rsidRPr="008416FE">
        <w:rPr>
          <w:rFonts w:ascii="Times New Roman" w:hAnsi="Times New Roman"/>
          <w:b/>
          <w:sz w:val="24"/>
          <w:szCs w:val="24"/>
        </w:rPr>
        <w:t>15. REASONS FOR CHANGES IN BURDEN INCLUDING THE NEED FOR ANY INCREASE</w:t>
      </w:r>
    </w:p>
    <w:p w:rsidR="00E31823" w:rsidRPr="008416FE" w:rsidP="00BD0F89" w14:paraId="3B838B49" w14:textId="77777777">
      <w:pPr>
        <w:spacing w:after="0" w:line="240" w:lineRule="auto"/>
        <w:rPr>
          <w:rFonts w:ascii="Times New Roman" w:hAnsi="Times New Roman"/>
          <w:b/>
          <w:bCs/>
          <w:sz w:val="24"/>
          <w:szCs w:val="24"/>
          <w:u w:val="single"/>
        </w:rPr>
      </w:pPr>
      <w:bookmarkStart w:id="6" w:name="_bmk1"/>
    </w:p>
    <w:p w:rsidR="00563FE6" w:rsidRPr="008416FE" w14:paraId="18F2E5BD" w14:textId="0D1BDC17">
      <w:pPr>
        <w:spacing w:after="0" w:line="240" w:lineRule="auto"/>
        <w:rPr>
          <w:rFonts w:ascii="Times New Roman" w:hAnsi="Times New Roman"/>
          <w:bCs/>
          <w:sz w:val="24"/>
          <w:szCs w:val="24"/>
        </w:rPr>
      </w:pPr>
      <w:r w:rsidRPr="008416FE">
        <w:rPr>
          <w:rFonts w:ascii="Times New Roman" w:hAnsi="Times New Roman"/>
          <w:bCs/>
          <w:sz w:val="24"/>
          <w:szCs w:val="24"/>
        </w:rPr>
        <w:t>Adjustments in Estimates.</w:t>
      </w:r>
      <w:r w:rsidR="00901657">
        <w:rPr>
          <w:rFonts w:ascii="Times New Roman" w:hAnsi="Times New Roman"/>
          <w:bCs/>
          <w:sz w:val="24"/>
          <w:szCs w:val="24"/>
        </w:rPr>
        <w:t xml:space="preserve"> </w:t>
      </w:r>
      <w:r w:rsidRPr="00BC60FB">
        <w:rPr>
          <w:rFonts w:ascii="Times New Roman" w:hAnsi="Times New Roman"/>
          <w:bCs/>
          <w:sz w:val="24"/>
          <w:szCs w:val="24"/>
        </w:rPr>
        <w:t xml:space="preserve">The </w:t>
      </w:r>
      <w:r w:rsidRPr="00BC60FB" w:rsidR="006879DC">
        <w:rPr>
          <w:rFonts w:ascii="Times New Roman" w:hAnsi="Times New Roman"/>
          <w:bCs/>
          <w:sz w:val="24"/>
          <w:szCs w:val="24"/>
        </w:rPr>
        <w:t>decrease of one</w:t>
      </w:r>
      <w:r w:rsidRPr="00BC60FB">
        <w:rPr>
          <w:rFonts w:ascii="Times New Roman" w:hAnsi="Times New Roman"/>
          <w:bCs/>
          <w:sz w:val="24"/>
          <w:szCs w:val="24"/>
        </w:rPr>
        <w:t xml:space="preserve"> FERC Form No. 1 respondent (from 2</w:t>
      </w:r>
      <w:r w:rsidRPr="00BC60FB" w:rsidR="00BA62E6">
        <w:rPr>
          <w:rFonts w:ascii="Times New Roman" w:hAnsi="Times New Roman"/>
          <w:bCs/>
          <w:sz w:val="24"/>
          <w:szCs w:val="24"/>
        </w:rPr>
        <w:t>1</w:t>
      </w:r>
      <w:r w:rsidRPr="00BC60FB">
        <w:rPr>
          <w:rFonts w:ascii="Times New Roman" w:hAnsi="Times New Roman"/>
          <w:bCs/>
          <w:sz w:val="24"/>
          <w:szCs w:val="24"/>
        </w:rPr>
        <w:t>7 to 21</w:t>
      </w:r>
      <w:r w:rsidRPr="00BC60FB" w:rsidR="00BA62E6">
        <w:rPr>
          <w:rFonts w:ascii="Times New Roman" w:hAnsi="Times New Roman"/>
          <w:bCs/>
          <w:sz w:val="24"/>
          <w:szCs w:val="24"/>
        </w:rPr>
        <w:t>6</w:t>
      </w:r>
      <w:r w:rsidRPr="00BC60FB">
        <w:rPr>
          <w:rFonts w:ascii="Times New Roman" w:hAnsi="Times New Roman"/>
          <w:bCs/>
          <w:sz w:val="24"/>
          <w:szCs w:val="24"/>
        </w:rPr>
        <w:t xml:space="preserve">) and </w:t>
      </w:r>
      <w:r w:rsidRPr="00BC60FB" w:rsidR="00FB699F">
        <w:rPr>
          <w:rFonts w:ascii="Times New Roman" w:hAnsi="Times New Roman"/>
          <w:bCs/>
          <w:sz w:val="24"/>
          <w:szCs w:val="24"/>
        </w:rPr>
        <w:t xml:space="preserve">changes in the number of </w:t>
      </w:r>
      <w:r w:rsidRPr="00BC60FB">
        <w:rPr>
          <w:rFonts w:ascii="Times New Roman" w:hAnsi="Times New Roman"/>
          <w:bCs/>
          <w:sz w:val="24"/>
          <w:szCs w:val="24"/>
        </w:rPr>
        <w:t>FERC Form No. 3Q electric and gas respon</w:t>
      </w:r>
      <w:r w:rsidRPr="00BC60FB" w:rsidR="00FB699F">
        <w:rPr>
          <w:rFonts w:ascii="Times New Roman" w:hAnsi="Times New Roman"/>
          <w:bCs/>
          <w:sz w:val="24"/>
          <w:szCs w:val="24"/>
        </w:rPr>
        <w:t>ses</w:t>
      </w:r>
      <w:r w:rsidRPr="00BC60FB">
        <w:rPr>
          <w:rFonts w:ascii="Times New Roman" w:hAnsi="Times New Roman"/>
          <w:bCs/>
          <w:sz w:val="24"/>
          <w:szCs w:val="24"/>
        </w:rPr>
        <w:t xml:space="preserve"> (from 6</w:t>
      </w:r>
      <w:r w:rsidRPr="00BC60FB" w:rsidR="00BA62E6">
        <w:rPr>
          <w:rFonts w:ascii="Times New Roman" w:hAnsi="Times New Roman"/>
          <w:bCs/>
          <w:sz w:val="24"/>
          <w:szCs w:val="24"/>
        </w:rPr>
        <w:t>63</w:t>
      </w:r>
      <w:r w:rsidRPr="00BC60FB">
        <w:rPr>
          <w:rFonts w:ascii="Times New Roman" w:hAnsi="Times New Roman"/>
          <w:bCs/>
          <w:sz w:val="24"/>
          <w:szCs w:val="24"/>
        </w:rPr>
        <w:t xml:space="preserve"> to 6</w:t>
      </w:r>
      <w:r w:rsidRPr="00BC60FB" w:rsidR="00BA62E6">
        <w:rPr>
          <w:rFonts w:ascii="Times New Roman" w:hAnsi="Times New Roman"/>
          <w:bCs/>
          <w:sz w:val="24"/>
          <w:szCs w:val="24"/>
        </w:rPr>
        <w:t>54</w:t>
      </w:r>
      <w:r w:rsidRPr="00BC60FB">
        <w:rPr>
          <w:rFonts w:ascii="Times New Roman" w:hAnsi="Times New Roman"/>
          <w:bCs/>
          <w:sz w:val="24"/>
          <w:szCs w:val="24"/>
        </w:rPr>
        <w:t xml:space="preserve"> and 4</w:t>
      </w:r>
      <w:r w:rsidRPr="00BC60FB" w:rsidR="00FC5430">
        <w:rPr>
          <w:rFonts w:ascii="Times New Roman" w:hAnsi="Times New Roman"/>
          <w:bCs/>
          <w:sz w:val="24"/>
          <w:szCs w:val="24"/>
        </w:rPr>
        <w:t>41</w:t>
      </w:r>
      <w:r w:rsidRPr="00BC60FB">
        <w:rPr>
          <w:rFonts w:ascii="Times New Roman" w:hAnsi="Times New Roman"/>
          <w:bCs/>
          <w:sz w:val="24"/>
          <w:szCs w:val="24"/>
        </w:rPr>
        <w:t xml:space="preserve"> to 4</w:t>
      </w:r>
      <w:r w:rsidRPr="00BC60FB" w:rsidR="00FC5430">
        <w:rPr>
          <w:rFonts w:ascii="Times New Roman" w:hAnsi="Times New Roman"/>
          <w:bCs/>
          <w:sz w:val="24"/>
          <w:szCs w:val="24"/>
        </w:rPr>
        <w:t>44</w:t>
      </w:r>
      <w:r w:rsidRPr="00BC60FB">
        <w:rPr>
          <w:rFonts w:ascii="Times New Roman" w:hAnsi="Times New Roman"/>
          <w:bCs/>
          <w:sz w:val="24"/>
          <w:szCs w:val="24"/>
        </w:rPr>
        <w:t>, respectively) is due</w:t>
      </w:r>
      <w:r w:rsidRPr="008416FE">
        <w:rPr>
          <w:rFonts w:ascii="Times New Roman" w:hAnsi="Times New Roman"/>
          <w:bCs/>
          <w:sz w:val="24"/>
          <w:szCs w:val="24"/>
        </w:rPr>
        <w:t xml:space="preserve"> to normal fluctuations in the industry (e.g., companies merging, splitting, </w:t>
      </w:r>
      <w:r w:rsidRPr="008416FE">
        <w:rPr>
          <w:rFonts w:ascii="Times New Roman" w:hAnsi="Times New Roman"/>
          <w:bCs/>
          <w:sz w:val="24"/>
          <w:szCs w:val="24"/>
        </w:rPr>
        <w:t>entering into</w:t>
      </w:r>
      <w:r w:rsidRPr="008416FE">
        <w:rPr>
          <w:rFonts w:ascii="Times New Roman" w:hAnsi="Times New Roman"/>
          <w:bCs/>
          <w:sz w:val="24"/>
          <w:szCs w:val="24"/>
        </w:rPr>
        <w:t xml:space="preserve">, and exiting the industry). </w:t>
      </w:r>
    </w:p>
    <w:p w:rsidR="00563FE6" w:rsidRPr="008416FE" w14:paraId="54BB0A5A" w14:textId="77777777">
      <w:pPr>
        <w:spacing w:after="0" w:line="240" w:lineRule="auto"/>
        <w:rPr>
          <w:rFonts w:ascii="Times New Roman" w:hAnsi="Times New Roman"/>
          <w:bCs/>
          <w:sz w:val="24"/>
          <w:szCs w:val="24"/>
        </w:rPr>
      </w:pPr>
    </w:p>
    <w:p w:rsidR="00A278D6" w:rsidRPr="008416FE" w14:paraId="588F7CC4" w14:textId="58722EE0">
      <w:pPr>
        <w:spacing w:after="0" w:line="240" w:lineRule="auto"/>
        <w:rPr>
          <w:rFonts w:ascii="Times New Roman" w:hAnsi="Times New Roman"/>
          <w:bCs/>
          <w:sz w:val="24"/>
          <w:szCs w:val="24"/>
        </w:rPr>
      </w:pPr>
      <w:r w:rsidRPr="008416FE">
        <w:rPr>
          <w:rFonts w:ascii="Times New Roman" w:hAnsi="Times New Roman"/>
          <w:bCs/>
          <w:sz w:val="24"/>
          <w:szCs w:val="24"/>
        </w:rPr>
        <w:t>Program Changes.</w:t>
      </w:r>
      <w:r w:rsidR="00901657">
        <w:rPr>
          <w:rFonts w:ascii="Times New Roman" w:hAnsi="Times New Roman"/>
          <w:bCs/>
          <w:sz w:val="24"/>
          <w:szCs w:val="24"/>
        </w:rPr>
        <w:t xml:space="preserve"> </w:t>
      </w:r>
      <w:r w:rsidRPr="008416FE">
        <w:rPr>
          <w:rFonts w:ascii="Times New Roman" w:hAnsi="Times New Roman"/>
          <w:bCs/>
          <w:sz w:val="24"/>
          <w:szCs w:val="24"/>
        </w:rPr>
        <w:t xml:space="preserve">There are no program changes or changes to the reporting </w:t>
      </w:r>
      <w:r w:rsidRPr="008416FE" w:rsidR="00241CFA">
        <w:rPr>
          <w:rFonts w:ascii="Times New Roman" w:hAnsi="Times New Roman"/>
          <w:bCs/>
          <w:sz w:val="24"/>
          <w:szCs w:val="24"/>
        </w:rPr>
        <w:t>or recordkeeping r</w:t>
      </w:r>
      <w:r w:rsidRPr="008416FE">
        <w:rPr>
          <w:rFonts w:ascii="Times New Roman" w:hAnsi="Times New Roman"/>
          <w:bCs/>
          <w:sz w:val="24"/>
          <w:szCs w:val="24"/>
        </w:rPr>
        <w:t>equirements.</w:t>
      </w:r>
      <w:r w:rsidRPr="008416FE" w:rsidR="009C352F">
        <w:rPr>
          <w:rFonts w:ascii="Times New Roman" w:hAnsi="Times New Roman"/>
          <w:bCs/>
          <w:sz w:val="24"/>
          <w:szCs w:val="24"/>
        </w:rPr>
        <w:t xml:space="preserve"> </w:t>
      </w:r>
      <w:r w:rsidRPr="007B12C1" w:rsidR="007B12C1">
        <w:rPr>
          <w:rFonts w:ascii="Times New Roman" w:hAnsi="Times New Roman"/>
          <w:bCs/>
          <w:sz w:val="24"/>
          <w:szCs w:val="24"/>
        </w:rPr>
        <w:t>The previous ICR included a one-time burden associated with updating systems to account for changing reporting requirement</w:t>
      </w:r>
      <w:r w:rsidR="00204BFF">
        <w:rPr>
          <w:rFonts w:ascii="Times New Roman" w:hAnsi="Times New Roman"/>
          <w:bCs/>
          <w:sz w:val="24"/>
          <w:szCs w:val="24"/>
        </w:rPr>
        <w:t>s</w:t>
      </w:r>
      <w:r w:rsidR="00961449">
        <w:rPr>
          <w:rFonts w:ascii="Times New Roman" w:hAnsi="Times New Roman"/>
          <w:bCs/>
          <w:sz w:val="24"/>
          <w:szCs w:val="24"/>
        </w:rPr>
        <w:t>, which has now been completed</w:t>
      </w:r>
      <w:r w:rsidR="00546541">
        <w:rPr>
          <w:rFonts w:ascii="Times New Roman" w:hAnsi="Times New Roman"/>
          <w:bCs/>
          <w:sz w:val="24"/>
          <w:szCs w:val="24"/>
        </w:rPr>
        <w:t xml:space="preserve"> and is no longer included in the </w:t>
      </w:r>
      <w:r w:rsidR="00CF4ADD">
        <w:rPr>
          <w:rFonts w:ascii="Times New Roman" w:hAnsi="Times New Roman"/>
          <w:bCs/>
          <w:sz w:val="24"/>
          <w:szCs w:val="24"/>
        </w:rPr>
        <w:t>burden</w:t>
      </w:r>
      <w:r w:rsidRPr="007B12C1" w:rsidR="007B12C1">
        <w:rPr>
          <w:rFonts w:ascii="Times New Roman" w:hAnsi="Times New Roman"/>
          <w:bCs/>
          <w:sz w:val="24"/>
          <w:szCs w:val="24"/>
        </w:rPr>
        <w:t>.</w:t>
      </w:r>
    </w:p>
    <w:p w:rsidR="0058372E" w:rsidRPr="008416FE" w:rsidP="00BD0F89" w14:paraId="727B2F52" w14:textId="634CEEB5">
      <w:pPr>
        <w:spacing w:after="0" w:line="240" w:lineRule="auto"/>
        <w:rPr>
          <w:rFonts w:ascii="Times New Roman" w:hAnsi="Times New Roman"/>
          <w:bCs/>
          <w:sz w:val="24"/>
          <w:szCs w:val="24"/>
        </w:rPr>
      </w:pPr>
      <w:r w:rsidRPr="008416FE">
        <w:rPr>
          <w:rFonts w:ascii="Times New Roman" w:hAnsi="Times New Roman"/>
          <w:bCs/>
          <w:sz w:val="24"/>
          <w:szCs w:val="24"/>
        </w:rPr>
        <w:tab/>
      </w:r>
    </w:p>
    <w:p w:rsidR="00241CFA" w:rsidRPr="008416FE" w:rsidP="00BD0F89" w14:paraId="40833C19" w14:textId="485C1D08">
      <w:pPr>
        <w:spacing w:after="0" w:line="240" w:lineRule="auto"/>
        <w:rPr>
          <w:rFonts w:ascii="Times New Roman" w:hAnsi="Times New Roman"/>
          <w:bCs/>
          <w:sz w:val="24"/>
          <w:szCs w:val="24"/>
        </w:rPr>
      </w:pPr>
      <w:r w:rsidRPr="008416FE">
        <w:rPr>
          <w:rFonts w:ascii="Times New Roman" w:hAnsi="Times New Roman"/>
          <w:bCs/>
          <w:sz w:val="24"/>
          <w:szCs w:val="24"/>
        </w:rPr>
        <w:t>The following table show</w:t>
      </w:r>
      <w:r w:rsidRPr="008416FE" w:rsidR="00E31823">
        <w:rPr>
          <w:rFonts w:ascii="Times New Roman" w:hAnsi="Times New Roman"/>
          <w:bCs/>
          <w:sz w:val="24"/>
          <w:szCs w:val="24"/>
        </w:rPr>
        <w:t>s</w:t>
      </w:r>
      <w:r w:rsidRPr="008416FE">
        <w:rPr>
          <w:rFonts w:ascii="Times New Roman" w:hAnsi="Times New Roman"/>
          <w:bCs/>
          <w:sz w:val="24"/>
          <w:szCs w:val="24"/>
        </w:rPr>
        <w:t xml:space="preserve"> </w:t>
      </w:r>
      <w:r w:rsidRPr="008416FE" w:rsidR="00EF280E">
        <w:rPr>
          <w:rFonts w:ascii="Times New Roman" w:hAnsi="Times New Roman"/>
          <w:bCs/>
          <w:sz w:val="24"/>
          <w:szCs w:val="24"/>
        </w:rPr>
        <w:t xml:space="preserve">adjustments </w:t>
      </w:r>
      <w:r w:rsidRPr="008416FE" w:rsidR="00656733">
        <w:rPr>
          <w:rFonts w:ascii="Times New Roman" w:hAnsi="Times New Roman"/>
          <w:bCs/>
          <w:sz w:val="24"/>
          <w:szCs w:val="24"/>
        </w:rPr>
        <w:t xml:space="preserve">(such as </w:t>
      </w:r>
      <w:r w:rsidRPr="008416FE" w:rsidR="00EF280E">
        <w:rPr>
          <w:rFonts w:ascii="Times New Roman" w:hAnsi="Times New Roman"/>
          <w:bCs/>
          <w:sz w:val="24"/>
          <w:szCs w:val="24"/>
        </w:rPr>
        <w:t>normal industry fluctuations</w:t>
      </w:r>
      <w:r w:rsidRPr="008416FE" w:rsidR="00906054">
        <w:rPr>
          <w:rFonts w:ascii="Times New Roman" w:hAnsi="Times New Roman"/>
          <w:bCs/>
          <w:sz w:val="24"/>
          <w:szCs w:val="24"/>
        </w:rPr>
        <w:t xml:space="preserve">, </w:t>
      </w:r>
      <w:r w:rsidRPr="008416FE" w:rsidR="0039543B">
        <w:rPr>
          <w:rFonts w:ascii="Times New Roman" w:hAnsi="Times New Roman"/>
          <w:bCs/>
          <w:sz w:val="24"/>
          <w:szCs w:val="24"/>
        </w:rPr>
        <w:t>including companies</w:t>
      </w:r>
      <w:r w:rsidRPr="008416FE" w:rsidR="00EF280E">
        <w:rPr>
          <w:rFonts w:ascii="Times New Roman" w:hAnsi="Times New Roman"/>
          <w:bCs/>
          <w:sz w:val="24"/>
          <w:szCs w:val="24"/>
        </w:rPr>
        <w:t xml:space="preserve"> merging, splitting, going into and leaving the business</w:t>
      </w:r>
      <w:r w:rsidRPr="008416FE" w:rsidR="00656733">
        <w:rPr>
          <w:rFonts w:ascii="Times New Roman" w:hAnsi="Times New Roman"/>
          <w:bCs/>
          <w:sz w:val="24"/>
          <w:szCs w:val="24"/>
        </w:rPr>
        <w:t>)</w:t>
      </w:r>
      <w:r w:rsidRPr="008416FE" w:rsidR="00EF280E">
        <w:rPr>
          <w:rFonts w:ascii="Times New Roman" w:hAnsi="Times New Roman"/>
          <w:bCs/>
          <w:sz w:val="24"/>
          <w:szCs w:val="24"/>
        </w:rPr>
        <w:t xml:space="preserve"> </w:t>
      </w:r>
      <w:r w:rsidRPr="008416FE">
        <w:rPr>
          <w:rFonts w:ascii="Times New Roman" w:hAnsi="Times New Roman"/>
          <w:bCs/>
          <w:sz w:val="24"/>
          <w:szCs w:val="24"/>
        </w:rPr>
        <w:t xml:space="preserve">and </w:t>
      </w:r>
      <w:r w:rsidRPr="008416FE" w:rsidR="00EF280E">
        <w:rPr>
          <w:rFonts w:ascii="Times New Roman" w:hAnsi="Times New Roman"/>
          <w:bCs/>
          <w:sz w:val="24"/>
          <w:szCs w:val="24"/>
        </w:rPr>
        <w:t>reflects</w:t>
      </w:r>
      <w:r w:rsidRPr="008416FE">
        <w:rPr>
          <w:rFonts w:ascii="Times New Roman" w:hAnsi="Times New Roman"/>
          <w:bCs/>
          <w:sz w:val="24"/>
          <w:szCs w:val="24"/>
        </w:rPr>
        <w:t xml:space="preserve"> </w:t>
      </w:r>
      <w:r w:rsidRPr="008416FE" w:rsidR="00EF280E">
        <w:rPr>
          <w:rFonts w:ascii="Times New Roman" w:hAnsi="Times New Roman"/>
          <w:bCs/>
          <w:sz w:val="24"/>
          <w:szCs w:val="24"/>
        </w:rPr>
        <w:t xml:space="preserve">metadata used in </w:t>
      </w:r>
      <w:r w:rsidRPr="008416FE">
        <w:rPr>
          <w:rFonts w:ascii="Times New Roman" w:hAnsi="Times New Roman"/>
          <w:bCs/>
          <w:sz w:val="24"/>
          <w:szCs w:val="24"/>
        </w:rPr>
        <w:t>ROCIS (and reginfo.gov)</w:t>
      </w:r>
      <w:r w:rsidRPr="008416FE" w:rsidR="00C731FD">
        <w:rPr>
          <w:rFonts w:ascii="Times New Roman" w:hAnsi="Times New Roman"/>
          <w:bCs/>
          <w:sz w:val="24"/>
          <w:szCs w:val="24"/>
        </w:rPr>
        <w:t>.</w:t>
      </w:r>
      <w:r w:rsidR="00901657">
        <w:rPr>
          <w:rFonts w:ascii="Times New Roman" w:hAnsi="Times New Roman"/>
          <w:bCs/>
          <w:sz w:val="24"/>
          <w:szCs w:val="24"/>
        </w:rPr>
        <w:t xml:space="preserve"> </w:t>
      </w:r>
    </w:p>
    <w:p w:rsidR="003D2617" w:rsidRPr="008416FE" w:rsidP="00BD0F89" w14:paraId="69C4719D" w14:textId="77777777">
      <w:pPr>
        <w:spacing w:after="0" w:line="240" w:lineRule="auto"/>
        <w:rPr>
          <w:rFonts w:ascii="Times New Roman" w:hAnsi="Times New Roman"/>
          <w:bCs/>
          <w:sz w:val="24"/>
          <w:szCs w:val="24"/>
        </w:rPr>
      </w:pPr>
    </w:p>
    <w:tbl>
      <w:tblPr>
        <w:tblW w:w="9530" w:type="dxa"/>
        <w:tblInd w:w="10" w:type="dxa"/>
        <w:tblLayout w:type="fixed"/>
        <w:tblLook w:val="04A0"/>
      </w:tblPr>
      <w:tblGrid>
        <w:gridCol w:w="2250"/>
        <w:gridCol w:w="1520"/>
        <w:gridCol w:w="1530"/>
        <w:gridCol w:w="1620"/>
        <w:gridCol w:w="2610"/>
      </w:tblGrid>
      <w:tr w14:paraId="466476A3" w14:textId="77777777" w:rsidTr="25C9EB8D">
        <w:tblPrEx>
          <w:tblW w:w="9530" w:type="dxa"/>
          <w:tblInd w:w="10" w:type="dxa"/>
          <w:tblLayout w:type="fixed"/>
          <w:tblLook w:val="04A0"/>
        </w:tblPrEx>
        <w:trPr>
          <w:trHeight w:val="1168"/>
        </w:trPr>
        <w:tc>
          <w:tcPr>
            <w:tcW w:w="225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7F6335" w:rsidRPr="00AC0114" w:rsidP="00533D70" w14:paraId="00503542" w14:textId="77777777">
            <w:pPr>
              <w:spacing w:after="0" w:line="240" w:lineRule="auto"/>
              <w:jc w:val="center"/>
              <w:rPr>
                <w:rFonts w:ascii="Times New Roman" w:eastAsia="Times New Roman" w:hAnsi="Times New Roman"/>
                <w:b/>
                <w:bCs/>
                <w:color w:val="000000"/>
                <w:sz w:val="20"/>
                <w:szCs w:val="20"/>
              </w:rPr>
            </w:pPr>
            <w:r w:rsidRPr="00AC0114">
              <w:rPr>
                <w:rFonts w:ascii="Times New Roman" w:eastAsia="Times New Roman" w:hAnsi="Times New Roman"/>
                <w:b/>
                <w:bCs/>
                <w:color w:val="000000"/>
                <w:sz w:val="20"/>
                <w:szCs w:val="20"/>
              </w:rPr>
              <w:t> </w:t>
            </w:r>
          </w:p>
        </w:tc>
        <w:tc>
          <w:tcPr>
            <w:tcW w:w="1520"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rsidR="007F6335" w:rsidRPr="00AC0114" w:rsidP="00533D70" w14:paraId="2017E857" w14:textId="77777777">
            <w:pPr>
              <w:spacing w:after="0" w:line="240" w:lineRule="auto"/>
              <w:jc w:val="center"/>
              <w:rPr>
                <w:rFonts w:ascii="Times New Roman" w:eastAsia="Times New Roman" w:hAnsi="Times New Roman"/>
                <w:b/>
                <w:bCs/>
                <w:color w:val="000000"/>
                <w:sz w:val="20"/>
                <w:szCs w:val="20"/>
              </w:rPr>
            </w:pPr>
            <w:r w:rsidRPr="00AC0114">
              <w:rPr>
                <w:rFonts w:ascii="Times New Roman" w:eastAsia="Times New Roman" w:hAnsi="Times New Roman"/>
                <w:b/>
                <w:bCs/>
                <w:color w:val="000000"/>
                <w:sz w:val="20"/>
                <w:szCs w:val="20"/>
              </w:rPr>
              <w:t>Total Request</w:t>
            </w:r>
          </w:p>
        </w:tc>
        <w:tc>
          <w:tcPr>
            <w:tcW w:w="1530"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rsidR="007F6335" w:rsidRPr="00AC0114" w:rsidP="00533D70" w14:paraId="50391065" w14:textId="77777777">
            <w:pPr>
              <w:spacing w:after="0" w:line="240" w:lineRule="auto"/>
              <w:jc w:val="center"/>
              <w:rPr>
                <w:rFonts w:ascii="Times New Roman" w:eastAsia="Times New Roman" w:hAnsi="Times New Roman"/>
                <w:b/>
                <w:bCs/>
                <w:color w:val="000000"/>
                <w:sz w:val="20"/>
                <w:szCs w:val="20"/>
              </w:rPr>
            </w:pPr>
            <w:r w:rsidRPr="25C9EB8D">
              <w:rPr>
                <w:rFonts w:ascii="Times New Roman" w:eastAsia="Times New Roman" w:hAnsi="Times New Roman"/>
                <w:b/>
                <w:bCs/>
                <w:color w:val="000000" w:themeColor="text1"/>
                <w:sz w:val="20"/>
                <w:szCs w:val="20"/>
              </w:rPr>
              <w:t>Previously Approved</w:t>
            </w:r>
          </w:p>
        </w:tc>
        <w:tc>
          <w:tcPr>
            <w:tcW w:w="1620"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rsidR="007F6335" w:rsidRPr="00AC0114" w:rsidP="00533D70" w14:paraId="3836E329" w14:textId="77777777">
            <w:pPr>
              <w:spacing w:after="0" w:line="240" w:lineRule="auto"/>
              <w:jc w:val="center"/>
              <w:rPr>
                <w:rFonts w:ascii="Times New Roman" w:eastAsia="Times New Roman" w:hAnsi="Times New Roman"/>
                <w:b/>
                <w:bCs/>
                <w:color w:val="000000"/>
                <w:sz w:val="20"/>
                <w:szCs w:val="20"/>
              </w:rPr>
            </w:pPr>
            <w:r w:rsidRPr="00AC0114">
              <w:rPr>
                <w:rFonts w:ascii="Times New Roman" w:eastAsia="Times New Roman" w:hAnsi="Times New Roman"/>
                <w:b/>
                <w:bCs/>
                <w:color w:val="000000"/>
                <w:sz w:val="20"/>
                <w:szCs w:val="20"/>
              </w:rPr>
              <w:t>Change due to Adjustment in Estimate</w:t>
            </w:r>
          </w:p>
        </w:tc>
        <w:tc>
          <w:tcPr>
            <w:tcW w:w="2610" w:type="dxa"/>
            <w:tcBorders>
              <w:top w:val="single" w:sz="8" w:space="0" w:color="auto"/>
              <w:left w:val="nil"/>
              <w:bottom w:val="single" w:sz="4" w:space="0" w:color="auto"/>
              <w:right w:val="single" w:sz="4" w:space="0" w:color="auto"/>
            </w:tcBorders>
            <w:shd w:val="clear" w:color="auto" w:fill="D9D9D9" w:themeFill="background1" w:themeFillShade="D9"/>
            <w:vAlign w:val="bottom"/>
            <w:hideMark/>
          </w:tcPr>
          <w:p w:rsidR="007F6335" w:rsidRPr="00AC0114" w:rsidP="00E17A65" w14:paraId="2CB56806" w14:textId="6704B47C">
            <w:pPr>
              <w:spacing w:after="0" w:line="240" w:lineRule="auto"/>
              <w:jc w:val="center"/>
              <w:rPr>
                <w:rFonts w:ascii="Times New Roman" w:eastAsia="Times New Roman" w:hAnsi="Times New Roman"/>
                <w:b/>
                <w:bCs/>
                <w:color w:val="000000"/>
                <w:sz w:val="20"/>
                <w:szCs w:val="20"/>
              </w:rPr>
            </w:pPr>
            <w:r w:rsidRPr="25C9EB8D">
              <w:rPr>
                <w:rFonts w:ascii="Times New Roman" w:eastAsia="Times New Roman" w:hAnsi="Times New Roman"/>
                <w:b/>
                <w:bCs/>
                <w:color w:val="000000" w:themeColor="text1"/>
                <w:sz w:val="20"/>
                <w:szCs w:val="20"/>
              </w:rPr>
              <w:t xml:space="preserve">Change Due to Agency Discretion </w:t>
            </w:r>
          </w:p>
        </w:tc>
      </w:tr>
      <w:tr w14:paraId="2675AA3D" w14:textId="77777777" w:rsidTr="25C9EB8D">
        <w:tblPrEx>
          <w:tblW w:w="9530" w:type="dxa"/>
          <w:tblInd w:w="10" w:type="dxa"/>
          <w:tblLayout w:type="fixed"/>
          <w:tblLook w:val="04A0"/>
        </w:tblPrEx>
        <w:trPr>
          <w:trHeight w:val="350"/>
        </w:trPr>
        <w:tc>
          <w:tcPr>
            <w:tcW w:w="9530" w:type="dxa"/>
            <w:gridSpan w:val="5"/>
            <w:tcBorders>
              <w:top w:val="nil"/>
              <w:left w:val="single" w:sz="8" w:space="0" w:color="auto"/>
              <w:bottom w:val="single" w:sz="4" w:space="0" w:color="auto"/>
              <w:right w:val="single" w:sz="4" w:space="0" w:color="auto"/>
            </w:tcBorders>
            <w:shd w:val="clear" w:color="auto" w:fill="F2F2F2" w:themeFill="background1" w:themeFillShade="F2"/>
            <w:vAlign w:val="center"/>
          </w:tcPr>
          <w:p w:rsidR="007F6335" w:rsidRPr="00AC0114" w:rsidP="00AA5A41" w14:paraId="288F8F35" w14:textId="6D132278">
            <w:pPr>
              <w:spacing w:after="0" w:line="240" w:lineRule="auto"/>
              <w:jc w:val="center"/>
              <w:rPr>
                <w:rFonts w:ascii="Times New Roman" w:eastAsia="Times New Roman" w:hAnsi="Times New Roman"/>
                <w:color w:val="000000"/>
                <w:sz w:val="20"/>
                <w:szCs w:val="20"/>
              </w:rPr>
            </w:pPr>
            <w:r w:rsidRPr="00AC0114">
              <w:rPr>
                <w:rFonts w:ascii="Times New Roman" w:eastAsia="Times New Roman" w:hAnsi="Times New Roman"/>
                <w:b/>
                <w:bCs/>
                <w:color w:val="000000"/>
                <w:sz w:val="20"/>
                <w:szCs w:val="20"/>
              </w:rPr>
              <w:t xml:space="preserve">FERC Form </w:t>
            </w:r>
            <w:r w:rsidRPr="00AC0114" w:rsidR="00E94890">
              <w:rPr>
                <w:rFonts w:ascii="Times New Roman" w:eastAsia="Times New Roman" w:hAnsi="Times New Roman"/>
                <w:b/>
                <w:bCs/>
                <w:color w:val="000000"/>
                <w:sz w:val="20"/>
                <w:szCs w:val="20"/>
              </w:rPr>
              <w:t xml:space="preserve">No. </w:t>
            </w:r>
            <w:r w:rsidRPr="00AC0114">
              <w:rPr>
                <w:rFonts w:ascii="Times New Roman" w:eastAsia="Times New Roman" w:hAnsi="Times New Roman"/>
                <w:b/>
                <w:bCs/>
                <w:color w:val="000000"/>
                <w:sz w:val="20"/>
                <w:szCs w:val="20"/>
              </w:rPr>
              <w:t xml:space="preserve">1 </w:t>
            </w:r>
          </w:p>
        </w:tc>
      </w:tr>
      <w:tr w14:paraId="6F742ABA" w14:textId="77777777" w:rsidTr="25C9EB8D">
        <w:tblPrEx>
          <w:tblW w:w="9530" w:type="dxa"/>
          <w:tblInd w:w="10" w:type="dxa"/>
          <w:tblLayout w:type="fixed"/>
          <w:tblLook w:val="04A0"/>
        </w:tblPrEx>
        <w:trPr>
          <w:trHeight w:val="63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7F6335" w:rsidRPr="00AC0114" w:rsidP="007F6335" w14:paraId="781A132A" w14:textId="77777777">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Number of Responses</w:t>
            </w:r>
          </w:p>
        </w:tc>
        <w:tc>
          <w:tcPr>
            <w:tcW w:w="1520" w:type="dxa"/>
            <w:tcBorders>
              <w:top w:val="nil"/>
              <w:left w:val="nil"/>
              <w:bottom w:val="single" w:sz="4" w:space="0" w:color="auto"/>
              <w:right w:val="single" w:sz="4" w:space="0" w:color="auto"/>
            </w:tcBorders>
            <w:shd w:val="clear" w:color="auto" w:fill="auto"/>
            <w:vAlign w:val="bottom"/>
          </w:tcPr>
          <w:p w:rsidR="007F6335" w:rsidRPr="00AC0114" w:rsidP="007F6335" w14:paraId="1B5E1CA9" w14:textId="121E380D">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2</w:t>
            </w:r>
            <w:r w:rsidRPr="00AC0114" w:rsidR="00D30CDC">
              <w:rPr>
                <w:rFonts w:ascii="Times New Roman" w:eastAsia="Times New Roman" w:hAnsi="Times New Roman"/>
                <w:color w:val="000000"/>
                <w:sz w:val="20"/>
                <w:szCs w:val="20"/>
              </w:rPr>
              <w:t>1</w:t>
            </w:r>
            <w:r w:rsidRPr="00AC0114" w:rsidR="007D5A5B">
              <w:rPr>
                <w:rFonts w:ascii="Times New Roman" w:eastAsia="Times New Roman" w:hAnsi="Times New Roman"/>
                <w:color w:val="000000"/>
                <w:sz w:val="20"/>
                <w:szCs w:val="20"/>
              </w:rPr>
              <w:t>6</w:t>
            </w:r>
          </w:p>
        </w:tc>
        <w:tc>
          <w:tcPr>
            <w:tcW w:w="1530" w:type="dxa"/>
            <w:tcBorders>
              <w:top w:val="nil"/>
              <w:left w:val="nil"/>
              <w:bottom w:val="single" w:sz="4" w:space="0" w:color="auto"/>
              <w:right w:val="single" w:sz="4" w:space="0" w:color="auto"/>
            </w:tcBorders>
            <w:shd w:val="clear" w:color="auto" w:fill="auto"/>
            <w:vAlign w:val="bottom"/>
            <w:hideMark/>
          </w:tcPr>
          <w:p w:rsidR="007F6335" w:rsidRPr="00AC0114" w:rsidP="007F6335" w14:paraId="047E302D" w14:textId="33F9E094">
            <w:pPr>
              <w:spacing w:after="0" w:line="240" w:lineRule="auto"/>
              <w:jc w:val="right"/>
              <w:rPr>
                <w:rFonts w:ascii="Times New Roman" w:eastAsia="Times New Roman" w:hAnsi="Times New Roman"/>
                <w:color w:val="000000"/>
                <w:sz w:val="20"/>
                <w:szCs w:val="20"/>
              </w:rPr>
            </w:pPr>
            <w:r w:rsidRPr="25C9EB8D">
              <w:rPr>
                <w:rFonts w:ascii="Times New Roman" w:eastAsia="Times New Roman" w:hAnsi="Times New Roman"/>
                <w:color w:val="000000" w:themeColor="text1"/>
                <w:sz w:val="20"/>
                <w:szCs w:val="20"/>
              </w:rPr>
              <w:t>434</w:t>
            </w:r>
          </w:p>
        </w:tc>
        <w:tc>
          <w:tcPr>
            <w:tcW w:w="1620" w:type="dxa"/>
            <w:tcBorders>
              <w:top w:val="nil"/>
              <w:left w:val="nil"/>
              <w:bottom w:val="single" w:sz="4" w:space="0" w:color="auto"/>
              <w:right w:val="single" w:sz="4" w:space="0" w:color="auto"/>
            </w:tcBorders>
            <w:shd w:val="clear" w:color="auto" w:fill="auto"/>
            <w:vAlign w:val="bottom"/>
          </w:tcPr>
          <w:p w:rsidR="007D5622" w:rsidRPr="00AC0114" w14:paraId="780AEB56" w14:textId="6A24BBDE">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w:t>
            </w:r>
            <w:r w:rsidRPr="00AC0114" w:rsidR="00D30CDC">
              <w:rPr>
                <w:rFonts w:ascii="Times New Roman" w:eastAsia="Times New Roman" w:hAnsi="Times New Roman"/>
                <w:color w:val="000000"/>
                <w:sz w:val="20"/>
                <w:szCs w:val="20"/>
              </w:rPr>
              <w:t>1</w:t>
            </w:r>
          </w:p>
        </w:tc>
        <w:tc>
          <w:tcPr>
            <w:tcW w:w="2610" w:type="dxa"/>
            <w:tcBorders>
              <w:top w:val="nil"/>
              <w:left w:val="nil"/>
              <w:bottom w:val="single" w:sz="4" w:space="0" w:color="auto"/>
              <w:right w:val="single" w:sz="4" w:space="0" w:color="auto"/>
            </w:tcBorders>
            <w:shd w:val="clear" w:color="auto" w:fill="auto"/>
            <w:vAlign w:val="bottom"/>
            <w:hideMark/>
          </w:tcPr>
          <w:p w:rsidR="007F6335" w:rsidRPr="00AC0114" w:rsidP="007F6335" w14:paraId="55F33CE6" w14:textId="64A7DA4B">
            <w:pPr>
              <w:spacing w:after="0" w:line="240" w:lineRule="auto"/>
              <w:jc w:val="right"/>
              <w:rPr>
                <w:rFonts w:ascii="Times New Roman" w:eastAsia="Times New Roman" w:hAnsi="Times New Roman"/>
                <w:color w:val="000000"/>
                <w:sz w:val="20"/>
                <w:szCs w:val="20"/>
              </w:rPr>
            </w:pPr>
            <w:r w:rsidRPr="25C9EB8D">
              <w:rPr>
                <w:rFonts w:ascii="Times New Roman" w:eastAsia="Times New Roman" w:hAnsi="Times New Roman"/>
                <w:color w:val="000000" w:themeColor="text1"/>
                <w:sz w:val="20"/>
                <w:szCs w:val="20"/>
              </w:rPr>
              <w:t>-217</w:t>
            </w:r>
          </w:p>
        </w:tc>
      </w:tr>
      <w:tr w14:paraId="523567E5" w14:textId="77777777" w:rsidTr="25C9EB8D">
        <w:tblPrEx>
          <w:tblW w:w="9530" w:type="dxa"/>
          <w:tblInd w:w="10" w:type="dxa"/>
          <w:tblLayout w:type="fixed"/>
          <w:tblLook w:val="04A0"/>
        </w:tblPrEx>
        <w:trPr>
          <w:trHeight w:val="63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7F6335" w:rsidRPr="00AC0114" w:rsidP="007F6335" w14:paraId="2603D2B7" w14:textId="77777777">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Time Burden (Hr.)</w:t>
            </w:r>
          </w:p>
        </w:tc>
        <w:tc>
          <w:tcPr>
            <w:tcW w:w="1520" w:type="dxa"/>
            <w:tcBorders>
              <w:top w:val="nil"/>
              <w:left w:val="nil"/>
              <w:bottom w:val="single" w:sz="4" w:space="0" w:color="auto"/>
              <w:right w:val="single" w:sz="4" w:space="0" w:color="auto"/>
            </w:tcBorders>
            <w:shd w:val="clear" w:color="auto" w:fill="auto"/>
            <w:vAlign w:val="bottom"/>
          </w:tcPr>
          <w:p w:rsidR="007F6335" w:rsidRPr="00AC0114" w:rsidP="007F6335" w14:paraId="7BB77AA9" w14:textId="4DC9FF9D">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25</w:t>
            </w:r>
            <w:r w:rsidRPr="00AC0114" w:rsidR="000448C5">
              <w:rPr>
                <w:rFonts w:ascii="Times New Roman" w:eastAsia="Times New Roman" w:hAnsi="Times New Roman"/>
                <w:color w:val="000000"/>
                <w:sz w:val="20"/>
                <w:szCs w:val="20"/>
              </w:rPr>
              <w:t>2</w:t>
            </w:r>
            <w:r w:rsidRPr="00AC0114">
              <w:rPr>
                <w:rFonts w:ascii="Times New Roman" w:eastAsia="Times New Roman" w:hAnsi="Times New Roman"/>
                <w:color w:val="000000"/>
                <w:sz w:val="20"/>
                <w:szCs w:val="20"/>
              </w:rPr>
              <w:t>,</w:t>
            </w:r>
            <w:r w:rsidRPr="00AC0114" w:rsidR="000448C5">
              <w:rPr>
                <w:rFonts w:ascii="Times New Roman" w:eastAsia="Times New Roman" w:hAnsi="Times New Roman"/>
                <w:color w:val="000000"/>
                <w:sz w:val="20"/>
                <w:szCs w:val="20"/>
              </w:rPr>
              <w:t>288</w:t>
            </w:r>
          </w:p>
        </w:tc>
        <w:tc>
          <w:tcPr>
            <w:tcW w:w="1530" w:type="dxa"/>
            <w:tcBorders>
              <w:top w:val="nil"/>
              <w:left w:val="nil"/>
              <w:bottom w:val="single" w:sz="4" w:space="0" w:color="auto"/>
              <w:right w:val="single" w:sz="4" w:space="0" w:color="auto"/>
            </w:tcBorders>
            <w:shd w:val="clear" w:color="auto" w:fill="auto"/>
            <w:vAlign w:val="bottom"/>
            <w:hideMark/>
          </w:tcPr>
          <w:p w:rsidR="007F6335" w:rsidRPr="00AC0114" w:rsidP="007F6335" w14:paraId="48E9B0D6" w14:textId="0815ED84">
            <w:pPr>
              <w:spacing w:after="0" w:line="240" w:lineRule="auto"/>
              <w:jc w:val="right"/>
              <w:rPr>
                <w:rFonts w:ascii="Times New Roman" w:eastAsia="Times New Roman" w:hAnsi="Times New Roman"/>
                <w:color w:val="000000"/>
                <w:sz w:val="20"/>
                <w:szCs w:val="20"/>
              </w:rPr>
            </w:pPr>
            <w:r w:rsidRPr="25C9EB8D">
              <w:rPr>
                <w:rFonts w:ascii="Times New Roman" w:eastAsia="Times New Roman" w:hAnsi="Times New Roman"/>
                <w:color w:val="000000" w:themeColor="text1"/>
                <w:sz w:val="20"/>
                <w:szCs w:val="20"/>
              </w:rPr>
              <w:t>2</w:t>
            </w:r>
            <w:r w:rsidRPr="25C9EB8D" w:rsidR="3F08C9AE">
              <w:rPr>
                <w:rFonts w:ascii="Times New Roman" w:eastAsia="Times New Roman" w:hAnsi="Times New Roman"/>
                <w:color w:val="000000" w:themeColor="text1"/>
                <w:sz w:val="20"/>
                <w:szCs w:val="20"/>
              </w:rPr>
              <w:t>66,042</w:t>
            </w:r>
          </w:p>
        </w:tc>
        <w:tc>
          <w:tcPr>
            <w:tcW w:w="1620" w:type="dxa"/>
            <w:tcBorders>
              <w:top w:val="nil"/>
              <w:left w:val="nil"/>
              <w:bottom w:val="single" w:sz="4" w:space="0" w:color="auto"/>
              <w:right w:val="single" w:sz="4" w:space="0" w:color="auto"/>
            </w:tcBorders>
            <w:shd w:val="clear" w:color="auto" w:fill="auto"/>
            <w:vAlign w:val="bottom"/>
          </w:tcPr>
          <w:p w:rsidR="007F6335" w:rsidRPr="00AC0114" w:rsidP="007F6335" w14:paraId="4831DCEE" w14:textId="481EAD33">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w:t>
            </w:r>
            <w:r w:rsidRPr="00AC0114" w:rsidR="00E20F48">
              <w:rPr>
                <w:rFonts w:ascii="Times New Roman" w:eastAsia="Times New Roman" w:hAnsi="Times New Roman"/>
                <w:color w:val="000000"/>
                <w:sz w:val="20"/>
                <w:szCs w:val="20"/>
              </w:rPr>
              <w:t>4,206</w:t>
            </w:r>
          </w:p>
        </w:tc>
        <w:tc>
          <w:tcPr>
            <w:tcW w:w="2610" w:type="dxa"/>
            <w:tcBorders>
              <w:top w:val="nil"/>
              <w:left w:val="nil"/>
              <w:bottom w:val="single" w:sz="4" w:space="0" w:color="auto"/>
              <w:right w:val="single" w:sz="4" w:space="0" w:color="auto"/>
            </w:tcBorders>
            <w:shd w:val="clear" w:color="auto" w:fill="auto"/>
            <w:vAlign w:val="bottom"/>
            <w:hideMark/>
          </w:tcPr>
          <w:p w:rsidR="007F6335" w:rsidRPr="00AC0114" w:rsidP="007F6335" w14:paraId="3BF57279" w14:textId="4ACA29EA">
            <w:pPr>
              <w:spacing w:after="0" w:line="240" w:lineRule="auto"/>
              <w:jc w:val="right"/>
              <w:rPr>
                <w:rFonts w:ascii="Times New Roman" w:eastAsia="Times New Roman" w:hAnsi="Times New Roman"/>
                <w:color w:val="000000"/>
                <w:sz w:val="20"/>
                <w:szCs w:val="20"/>
              </w:rPr>
            </w:pPr>
            <w:r w:rsidRPr="25C9EB8D">
              <w:rPr>
                <w:rFonts w:ascii="Times New Roman" w:eastAsia="Times New Roman" w:hAnsi="Times New Roman"/>
                <w:color w:val="000000" w:themeColor="text1"/>
                <w:sz w:val="20"/>
                <w:szCs w:val="20"/>
              </w:rPr>
              <w:t>-9,548</w:t>
            </w:r>
          </w:p>
        </w:tc>
      </w:tr>
      <w:tr w14:paraId="48B8CEE1" w14:textId="77777777" w:rsidTr="25C9EB8D">
        <w:tblPrEx>
          <w:tblW w:w="9530" w:type="dxa"/>
          <w:tblInd w:w="10" w:type="dxa"/>
          <w:tblLayout w:type="fixed"/>
          <w:tblLook w:val="04A0"/>
        </w:tblPrEx>
        <w:trPr>
          <w:trHeight w:val="315"/>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7F6335" w:rsidRPr="00AC0114" w:rsidP="007F6335" w14:paraId="4CD0AAFC" w14:textId="77777777">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Cost Burden ($)</w:t>
            </w:r>
          </w:p>
        </w:tc>
        <w:tc>
          <w:tcPr>
            <w:tcW w:w="1520" w:type="dxa"/>
            <w:tcBorders>
              <w:top w:val="nil"/>
              <w:left w:val="nil"/>
              <w:bottom w:val="single" w:sz="4" w:space="0" w:color="auto"/>
              <w:right w:val="single" w:sz="4" w:space="0" w:color="auto"/>
            </w:tcBorders>
            <w:shd w:val="clear" w:color="auto" w:fill="auto"/>
            <w:vAlign w:val="bottom"/>
          </w:tcPr>
          <w:p w:rsidR="007F6335" w:rsidRPr="00AC0114" w:rsidP="007F6335" w14:paraId="7C3C5E42" w14:textId="3A0769BD">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bottom"/>
          </w:tcPr>
          <w:p w:rsidR="007F6335" w:rsidRPr="00AC0114" w:rsidP="007F6335" w14:paraId="32F90C94" w14:textId="5A5699ED">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c>
          <w:tcPr>
            <w:tcW w:w="1620" w:type="dxa"/>
            <w:tcBorders>
              <w:top w:val="nil"/>
              <w:left w:val="nil"/>
              <w:bottom w:val="single" w:sz="4" w:space="0" w:color="auto"/>
              <w:right w:val="single" w:sz="4" w:space="0" w:color="auto"/>
            </w:tcBorders>
            <w:shd w:val="clear" w:color="auto" w:fill="auto"/>
            <w:vAlign w:val="bottom"/>
          </w:tcPr>
          <w:p w:rsidR="007F6335" w:rsidRPr="00AC0114" w:rsidP="007F6335" w14:paraId="17645452" w14:textId="72D43C9D">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c>
          <w:tcPr>
            <w:tcW w:w="2610" w:type="dxa"/>
            <w:tcBorders>
              <w:top w:val="nil"/>
              <w:left w:val="nil"/>
              <w:bottom w:val="single" w:sz="4" w:space="0" w:color="auto"/>
              <w:right w:val="single" w:sz="4" w:space="0" w:color="auto"/>
            </w:tcBorders>
            <w:shd w:val="clear" w:color="auto" w:fill="auto"/>
            <w:vAlign w:val="bottom"/>
            <w:hideMark/>
          </w:tcPr>
          <w:p w:rsidR="007F6335" w:rsidRPr="00AC0114" w:rsidP="007F6335" w14:paraId="7F039D5C" w14:textId="3240BC49">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w:t>
            </w:r>
            <w:r w:rsidRPr="00AC0114" w:rsidR="00E20F48">
              <w:rPr>
                <w:rFonts w:ascii="Times New Roman" w:eastAsia="Times New Roman" w:hAnsi="Times New Roman"/>
                <w:color w:val="000000"/>
                <w:sz w:val="20"/>
                <w:szCs w:val="20"/>
              </w:rPr>
              <w:t>0</w:t>
            </w:r>
          </w:p>
        </w:tc>
      </w:tr>
      <w:tr w14:paraId="335C5DB2" w14:textId="77777777" w:rsidTr="25C9EB8D">
        <w:tblPrEx>
          <w:tblW w:w="9530" w:type="dxa"/>
          <w:tblInd w:w="10" w:type="dxa"/>
          <w:tblLayout w:type="fixed"/>
          <w:tblLook w:val="04A0"/>
        </w:tblPrEx>
        <w:trPr>
          <w:trHeight w:val="341"/>
        </w:trPr>
        <w:tc>
          <w:tcPr>
            <w:tcW w:w="9530" w:type="dxa"/>
            <w:gridSpan w:val="5"/>
            <w:tcBorders>
              <w:top w:val="nil"/>
              <w:left w:val="single" w:sz="8" w:space="0" w:color="auto"/>
              <w:bottom w:val="single" w:sz="4" w:space="0" w:color="auto"/>
              <w:right w:val="single" w:sz="4" w:space="0" w:color="auto"/>
            </w:tcBorders>
            <w:shd w:val="clear" w:color="auto" w:fill="F2F2F2" w:themeFill="background1" w:themeFillShade="F2"/>
            <w:vAlign w:val="center"/>
          </w:tcPr>
          <w:p w:rsidR="007F6335" w:rsidRPr="00AC0114" w:rsidP="00AA5A41" w14:paraId="5FF0C903" w14:textId="5B9C2786">
            <w:pPr>
              <w:spacing w:after="0" w:line="240" w:lineRule="auto"/>
              <w:jc w:val="center"/>
              <w:rPr>
                <w:rFonts w:ascii="Times New Roman" w:eastAsia="Times New Roman" w:hAnsi="Times New Roman"/>
                <w:b/>
                <w:bCs/>
                <w:color w:val="000000"/>
                <w:sz w:val="20"/>
                <w:szCs w:val="20"/>
              </w:rPr>
            </w:pPr>
            <w:r w:rsidRPr="00AC0114">
              <w:rPr>
                <w:rFonts w:ascii="Times New Roman" w:eastAsia="Times New Roman" w:hAnsi="Times New Roman"/>
                <w:b/>
                <w:bCs/>
                <w:color w:val="000000"/>
                <w:sz w:val="20"/>
                <w:szCs w:val="20"/>
              </w:rPr>
              <w:t xml:space="preserve">FERC Form </w:t>
            </w:r>
            <w:r w:rsidRPr="00AC0114" w:rsidR="00E94890">
              <w:rPr>
                <w:rFonts w:ascii="Times New Roman" w:eastAsia="Times New Roman" w:hAnsi="Times New Roman"/>
                <w:b/>
                <w:bCs/>
                <w:color w:val="000000"/>
                <w:sz w:val="20"/>
                <w:szCs w:val="20"/>
              </w:rPr>
              <w:t xml:space="preserve">No. </w:t>
            </w:r>
            <w:r w:rsidRPr="00AC0114">
              <w:rPr>
                <w:rFonts w:ascii="Times New Roman" w:eastAsia="Times New Roman" w:hAnsi="Times New Roman"/>
                <w:b/>
                <w:bCs/>
                <w:color w:val="000000"/>
                <w:sz w:val="20"/>
                <w:szCs w:val="20"/>
              </w:rPr>
              <w:t>1-F</w:t>
            </w:r>
          </w:p>
        </w:tc>
      </w:tr>
      <w:tr w14:paraId="1C1DCE88" w14:textId="77777777" w:rsidTr="25C9EB8D">
        <w:tblPrEx>
          <w:tblW w:w="9530" w:type="dxa"/>
          <w:tblInd w:w="10" w:type="dxa"/>
          <w:tblLayout w:type="fixed"/>
          <w:tblLook w:val="04A0"/>
        </w:tblPrEx>
        <w:trPr>
          <w:trHeight w:val="63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7F6335" w:rsidRPr="00AC0114" w:rsidP="007F6335" w14:paraId="1E143DD7" w14:textId="77777777">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Number of Responses</w:t>
            </w:r>
          </w:p>
        </w:tc>
        <w:tc>
          <w:tcPr>
            <w:tcW w:w="1520" w:type="dxa"/>
            <w:tcBorders>
              <w:top w:val="nil"/>
              <w:left w:val="nil"/>
              <w:bottom w:val="single" w:sz="4" w:space="0" w:color="auto"/>
              <w:right w:val="single" w:sz="4" w:space="0" w:color="auto"/>
            </w:tcBorders>
            <w:shd w:val="clear" w:color="auto" w:fill="auto"/>
            <w:vAlign w:val="bottom"/>
          </w:tcPr>
          <w:p w:rsidR="007F6335" w:rsidRPr="00AC0114" w:rsidP="007F6335" w14:paraId="0995187B" w14:textId="3FE019D0">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2</w:t>
            </w:r>
          </w:p>
        </w:tc>
        <w:tc>
          <w:tcPr>
            <w:tcW w:w="1530" w:type="dxa"/>
            <w:tcBorders>
              <w:top w:val="nil"/>
              <w:left w:val="nil"/>
              <w:bottom w:val="single" w:sz="4" w:space="0" w:color="auto"/>
              <w:right w:val="single" w:sz="4" w:space="0" w:color="auto"/>
            </w:tcBorders>
            <w:shd w:val="clear" w:color="auto" w:fill="auto"/>
            <w:vAlign w:val="bottom"/>
            <w:hideMark/>
          </w:tcPr>
          <w:p w:rsidR="007F6335" w:rsidRPr="00AC0114" w:rsidP="007F6335" w14:paraId="37D8E314" w14:textId="1023A625">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1620" w:type="dxa"/>
            <w:tcBorders>
              <w:top w:val="nil"/>
              <w:left w:val="nil"/>
              <w:bottom w:val="single" w:sz="4" w:space="0" w:color="auto"/>
              <w:right w:val="single" w:sz="4" w:space="0" w:color="auto"/>
            </w:tcBorders>
            <w:shd w:val="clear" w:color="auto" w:fill="auto"/>
            <w:vAlign w:val="bottom"/>
          </w:tcPr>
          <w:p w:rsidR="007D5622" w:rsidRPr="00AC0114" w14:paraId="168C392E" w14:textId="2D2942F1">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c>
          <w:tcPr>
            <w:tcW w:w="2610" w:type="dxa"/>
            <w:tcBorders>
              <w:top w:val="nil"/>
              <w:left w:val="nil"/>
              <w:bottom w:val="single" w:sz="4" w:space="0" w:color="auto"/>
              <w:right w:val="single" w:sz="4" w:space="0" w:color="auto"/>
            </w:tcBorders>
            <w:shd w:val="clear" w:color="auto" w:fill="auto"/>
            <w:vAlign w:val="bottom"/>
            <w:hideMark/>
          </w:tcPr>
          <w:p w:rsidR="007F6335" w:rsidRPr="00AC0114" w:rsidP="007F6335" w14:paraId="1C7A550F" w14:textId="3171D9B7">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14:paraId="2BE01063" w14:textId="77777777" w:rsidTr="25C9EB8D">
        <w:tblPrEx>
          <w:tblW w:w="9530" w:type="dxa"/>
          <w:tblInd w:w="10" w:type="dxa"/>
          <w:tblLayout w:type="fixed"/>
          <w:tblLook w:val="04A0"/>
        </w:tblPrEx>
        <w:trPr>
          <w:trHeight w:val="63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7F6335" w:rsidRPr="00AC0114" w:rsidP="007F6335" w14:paraId="29BB22D4" w14:textId="77777777">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Time Burden (Hr.)</w:t>
            </w:r>
          </w:p>
        </w:tc>
        <w:tc>
          <w:tcPr>
            <w:tcW w:w="1520" w:type="dxa"/>
            <w:tcBorders>
              <w:top w:val="nil"/>
              <w:left w:val="nil"/>
              <w:bottom w:val="single" w:sz="4" w:space="0" w:color="auto"/>
              <w:right w:val="single" w:sz="4" w:space="0" w:color="auto"/>
            </w:tcBorders>
            <w:shd w:val="clear" w:color="auto" w:fill="auto"/>
            <w:vAlign w:val="bottom"/>
          </w:tcPr>
          <w:p w:rsidR="007F6335" w:rsidRPr="00AC0114" w:rsidP="007F6335" w14:paraId="0B33F8A2" w14:textId="22F9DAFD">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2</w:t>
            </w:r>
            <w:r w:rsidRPr="00AC0114" w:rsidR="00A67573">
              <w:rPr>
                <w:rFonts w:ascii="Times New Roman" w:eastAsia="Times New Roman" w:hAnsi="Times New Roman"/>
                <w:color w:val="000000"/>
                <w:sz w:val="20"/>
                <w:szCs w:val="20"/>
              </w:rPr>
              <w:t>44</w:t>
            </w:r>
          </w:p>
        </w:tc>
        <w:tc>
          <w:tcPr>
            <w:tcW w:w="1530" w:type="dxa"/>
            <w:tcBorders>
              <w:top w:val="nil"/>
              <w:left w:val="nil"/>
              <w:bottom w:val="single" w:sz="4" w:space="0" w:color="auto"/>
              <w:right w:val="single" w:sz="4" w:space="0" w:color="auto"/>
            </w:tcBorders>
            <w:shd w:val="clear" w:color="auto" w:fill="auto"/>
            <w:vAlign w:val="bottom"/>
            <w:hideMark/>
          </w:tcPr>
          <w:p w:rsidR="007F6335" w:rsidRPr="00AC0114" w:rsidP="007F6335" w14:paraId="63D61B9E" w14:textId="67DE5696">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360</w:t>
            </w:r>
          </w:p>
        </w:tc>
        <w:tc>
          <w:tcPr>
            <w:tcW w:w="1620" w:type="dxa"/>
            <w:tcBorders>
              <w:top w:val="nil"/>
              <w:left w:val="nil"/>
              <w:bottom w:val="single" w:sz="4" w:space="0" w:color="auto"/>
              <w:right w:val="single" w:sz="4" w:space="0" w:color="auto"/>
            </w:tcBorders>
            <w:shd w:val="clear" w:color="auto" w:fill="auto"/>
            <w:vAlign w:val="bottom"/>
          </w:tcPr>
          <w:p w:rsidR="007F6335" w:rsidRPr="00AC0114" w:rsidP="007F6335" w14:paraId="27EE6227" w14:textId="14A83B16">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w:t>
            </w:r>
            <w:r w:rsidRPr="00AC0114" w:rsidR="00823604">
              <w:rPr>
                <w:rFonts w:ascii="Times New Roman" w:eastAsia="Times New Roman" w:hAnsi="Times New Roman"/>
                <w:color w:val="000000"/>
                <w:sz w:val="20"/>
                <w:szCs w:val="20"/>
              </w:rPr>
              <w:t>2</w:t>
            </w:r>
            <w:r w:rsidRPr="00AC0114">
              <w:rPr>
                <w:rFonts w:ascii="Times New Roman" w:eastAsia="Times New Roman" w:hAnsi="Times New Roman"/>
                <w:color w:val="000000"/>
                <w:sz w:val="20"/>
                <w:szCs w:val="20"/>
              </w:rPr>
              <w:t>8</w:t>
            </w:r>
          </w:p>
        </w:tc>
        <w:tc>
          <w:tcPr>
            <w:tcW w:w="2610" w:type="dxa"/>
            <w:tcBorders>
              <w:top w:val="nil"/>
              <w:left w:val="nil"/>
              <w:bottom w:val="single" w:sz="4" w:space="0" w:color="auto"/>
              <w:right w:val="single" w:sz="4" w:space="0" w:color="auto"/>
            </w:tcBorders>
            <w:shd w:val="clear" w:color="auto" w:fill="auto"/>
            <w:vAlign w:val="bottom"/>
            <w:hideMark/>
          </w:tcPr>
          <w:p w:rsidR="007F6335" w:rsidRPr="00AC0114" w:rsidP="007F6335" w14:paraId="7F383F44" w14:textId="5BA3C275">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-88</w:t>
            </w:r>
          </w:p>
        </w:tc>
      </w:tr>
      <w:tr w14:paraId="6D95A80C" w14:textId="77777777" w:rsidTr="25C9EB8D">
        <w:tblPrEx>
          <w:tblW w:w="9530" w:type="dxa"/>
          <w:tblInd w:w="10" w:type="dxa"/>
          <w:tblLayout w:type="fixed"/>
          <w:tblLook w:val="04A0"/>
        </w:tblPrEx>
        <w:trPr>
          <w:trHeight w:val="315"/>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7F6335" w:rsidRPr="00AC0114" w:rsidP="007F6335" w14:paraId="5AA1052B" w14:textId="77777777">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Cost Burden ($)</w:t>
            </w:r>
          </w:p>
        </w:tc>
        <w:tc>
          <w:tcPr>
            <w:tcW w:w="1520" w:type="dxa"/>
            <w:tcBorders>
              <w:top w:val="nil"/>
              <w:left w:val="nil"/>
              <w:bottom w:val="single" w:sz="4" w:space="0" w:color="auto"/>
              <w:right w:val="single" w:sz="4" w:space="0" w:color="auto"/>
            </w:tcBorders>
            <w:shd w:val="clear" w:color="auto" w:fill="auto"/>
            <w:vAlign w:val="bottom"/>
          </w:tcPr>
          <w:p w:rsidR="007F6335" w:rsidRPr="00AC0114" w:rsidP="007F6335" w14:paraId="6E502599" w14:textId="2907D7F7">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w:t>
            </w:r>
            <w:r w:rsidRPr="00AC0114" w:rsidR="00264FED">
              <w:rPr>
                <w:rFonts w:ascii="Times New Roman" w:eastAsia="Times New Roman" w:hAnsi="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bottom"/>
          </w:tcPr>
          <w:p w:rsidR="007F6335" w:rsidRPr="00AC0114" w:rsidP="00AA5A41" w14:paraId="13BF5CC4" w14:textId="3F261202">
            <w:pPr>
              <w:spacing w:after="0" w:line="225" w:lineRule="atLeast"/>
              <w:jc w:val="right"/>
              <w:rPr>
                <w:rFonts w:ascii="Times New Roman" w:eastAsia="Times New Roman" w:hAnsi="Times New Roman"/>
                <w:color w:val="56606F"/>
                <w:sz w:val="20"/>
                <w:szCs w:val="20"/>
              </w:rPr>
            </w:pPr>
            <w:r w:rsidRPr="00AC0114">
              <w:rPr>
                <w:rFonts w:ascii="Arial" w:hAnsi="Arial" w:cs="Arial"/>
                <w:color w:val="56606F"/>
                <w:sz w:val="20"/>
                <w:szCs w:val="20"/>
              </w:rPr>
              <w:br/>
            </w:r>
            <w:r w:rsidRPr="00AC0114">
              <w:rPr>
                <w:rFonts w:ascii="Times New Roman" w:hAnsi="Times New Roman"/>
                <w:sz w:val="20"/>
                <w:szCs w:val="20"/>
              </w:rPr>
              <w:t>$</w:t>
            </w:r>
            <w:r w:rsidRPr="00AC0114" w:rsidR="00264FED">
              <w:rPr>
                <w:rFonts w:ascii="Times New Roman" w:hAnsi="Times New Roman"/>
                <w:sz w:val="20"/>
                <w:szCs w:val="20"/>
              </w:rPr>
              <w:t>0</w:t>
            </w:r>
            <w:r w:rsidRPr="00AC0114" w:rsidR="00187F2E">
              <w:rPr>
                <w:rFonts w:ascii="Times New Roman" w:hAnsi="Times New Roman"/>
                <w:sz w:val="20"/>
                <w:szCs w:val="20"/>
              </w:rPr>
              <w:t xml:space="preserve"> </w:t>
            </w:r>
          </w:p>
        </w:tc>
        <w:tc>
          <w:tcPr>
            <w:tcW w:w="1620" w:type="dxa"/>
            <w:tcBorders>
              <w:top w:val="nil"/>
              <w:left w:val="nil"/>
              <w:bottom w:val="single" w:sz="4" w:space="0" w:color="auto"/>
              <w:right w:val="single" w:sz="4" w:space="0" w:color="auto"/>
            </w:tcBorders>
            <w:shd w:val="clear" w:color="auto" w:fill="auto"/>
            <w:vAlign w:val="bottom"/>
          </w:tcPr>
          <w:p w:rsidR="007F6335" w:rsidRPr="00AC0114" w:rsidP="007F6335" w14:paraId="2F567A2F" w14:textId="60B4FBCC">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c>
          <w:tcPr>
            <w:tcW w:w="2610" w:type="dxa"/>
            <w:tcBorders>
              <w:top w:val="nil"/>
              <w:left w:val="nil"/>
              <w:bottom w:val="single" w:sz="4" w:space="0" w:color="auto"/>
              <w:right w:val="single" w:sz="4" w:space="0" w:color="auto"/>
            </w:tcBorders>
            <w:shd w:val="clear" w:color="auto" w:fill="auto"/>
            <w:vAlign w:val="bottom"/>
            <w:hideMark/>
          </w:tcPr>
          <w:p w:rsidR="007F6335" w:rsidRPr="00AC0114" w:rsidP="007F6335" w14:paraId="239A32A5" w14:textId="7DF00159">
            <w:pPr>
              <w:spacing w:after="0" w:line="240" w:lineRule="auto"/>
              <w:jc w:val="right"/>
              <w:rPr>
                <w:rFonts w:ascii="Times New Roman" w:eastAsia="Times New Roman" w:hAnsi="Times New Roman"/>
                <w:color w:val="000000"/>
                <w:sz w:val="20"/>
                <w:szCs w:val="20"/>
              </w:rPr>
            </w:pPr>
            <w:r w:rsidRPr="00AC0114">
              <w:rPr>
                <w:rFonts w:ascii="Times New Roman" w:hAnsi="Times New Roman"/>
                <w:sz w:val="20"/>
                <w:szCs w:val="20"/>
              </w:rPr>
              <w:t>$</w:t>
            </w:r>
            <w:r w:rsidRPr="00AC0114" w:rsidR="00222295">
              <w:rPr>
                <w:rFonts w:ascii="Times New Roman" w:hAnsi="Times New Roman"/>
                <w:sz w:val="20"/>
                <w:szCs w:val="20"/>
              </w:rPr>
              <w:t>0</w:t>
            </w:r>
          </w:p>
        </w:tc>
      </w:tr>
      <w:tr w14:paraId="75C3BD5D" w14:textId="77777777" w:rsidTr="25C9EB8D">
        <w:tblPrEx>
          <w:tblW w:w="9530" w:type="dxa"/>
          <w:tblInd w:w="10" w:type="dxa"/>
          <w:tblLayout w:type="fixed"/>
          <w:tblLook w:val="04A0"/>
        </w:tblPrEx>
        <w:trPr>
          <w:trHeight w:val="377"/>
        </w:trPr>
        <w:tc>
          <w:tcPr>
            <w:tcW w:w="9530" w:type="dxa"/>
            <w:gridSpan w:val="5"/>
            <w:tcBorders>
              <w:top w:val="nil"/>
              <w:left w:val="single" w:sz="8" w:space="0" w:color="auto"/>
              <w:bottom w:val="single" w:sz="4" w:space="0" w:color="auto"/>
              <w:right w:val="single" w:sz="4" w:space="0" w:color="auto"/>
            </w:tcBorders>
            <w:shd w:val="clear" w:color="auto" w:fill="F2F2F2" w:themeFill="background1" w:themeFillShade="F2"/>
            <w:vAlign w:val="center"/>
          </w:tcPr>
          <w:p w:rsidR="007F6335" w:rsidRPr="00AC0114" w:rsidP="00AA5A41" w14:paraId="377099A9" w14:textId="328DB98F">
            <w:pPr>
              <w:spacing w:after="0" w:line="240" w:lineRule="auto"/>
              <w:jc w:val="center"/>
              <w:rPr>
                <w:rFonts w:ascii="Times New Roman" w:eastAsia="Times New Roman" w:hAnsi="Times New Roman"/>
                <w:b/>
                <w:bCs/>
                <w:color w:val="000000"/>
                <w:sz w:val="20"/>
                <w:szCs w:val="20"/>
              </w:rPr>
            </w:pPr>
            <w:r w:rsidRPr="00AC0114">
              <w:rPr>
                <w:rFonts w:ascii="Times New Roman" w:eastAsia="Times New Roman" w:hAnsi="Times New Roman"/>
                <w:b/>
                <w:bCs/>
                <w:color w:val="000000"/>
                <w:sz w:val="20"/>
                <w:szCs w:val="20"/>
              </w:rPr>
              <w:t xml:space="preserve">FERC Form </w:t>
            </w:r>
            <w:r w:rsidRPr="00AC0114" w:rsidR="00E94890">
              <w:rPr>
                <w:rFonts w:ascii="Times New Roman" w:eastAsia="Times New Roman" w:hAnsi="Times New Roman"/>
                <w:b/>
                <w:bCs/>
                <w:color w:val="000000"/>
                <w:sz w:val="20"/>
                <w:szCs w:val="20"/>
              </w:rPr>
              <w:t xml:space="preserve">No. </w:t>
            </w:r>
            <w:r w:rsidRPr="00AC0114">
              <w:rPr>
                <w:rFonts w:ascii="Times New Roman" w:eastAsia="Times New Roman" w:hAnsi="Times New Roman"/>
                <w:b/>
                <w:bCs/>
                <w:color w:val="000000"/>
                <w:sz w:val="20"/>
                <w:szCs w:val="20"/>
              </w:rPr>
              <w:t>3-Q (electric)</w:t>
            </w:r>
          </w:p>
        </w:tc>
      </w:tr>
      <w:tr w14:paraId="21B01E4C" w14:textId="77777777" w:rsidTr="25C9EB8D">
        <w:tblPrEx>
          <w:tblW w:w="9530" w:type="dxa"/>
          <w:tblInd w:w="10" w:type="dxa"/>
          <w:tblLayout w:type="fixed"/>
          <w:tblLook w:val="04A0"/>
        </w:tblPrEx>
        <w:trPr>
          <w:trHeight w:val="584"/>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7F6335" w:rsidRPr="00AC0114" w:rsidP="007F6335" w14:paraId="01F7429E" w14:textId="77777777">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Number of Responses</w:t>
            </w:r>
          </w:p>
        </w:tc>
        <w:tc>
          <w:tcPr>
            <w:tcW w:w="1520" w:type="dxa"/>
            <w:tcBorders>
              <w:top w:val="nil"/>
              <w:left w:val="nil"/>
              <w:bottom w:val="single" w:sz="4" w:space="0" w:color="auto"/>
              <w:right w:val="single" w:sz="4" w:space="0" w:color="auto"/>
            </w:tcBorders>
            <w:shd w:val="clear" w:color="auto" w:fill="auto"/>
            <w:vAlign w:val="bottom"/>
          </w:tcPr>
          <w:p w:rsidR="007F6335" w:rsidRPr="00AC0114" w:rsidP="007F6335" w14:paraId="05C355B5" w14:textId="02146CD5">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654</w:t>
            </w:r>
          </w:p>
        </w:tc>
        <w:tc>
          <w:tcPr>
            <w:tcW w:w="1530" w:type="dxa"/>
            <w:tcBorders>
              <w:top w:val="nil"/>
              <w:left w:val="nil"/>
              <w:bottom w:val="single" w:sz="4" w:space="0" w:color="auto"/>
              <w:right w:val="single" w:sz="4" w:space="0" w:color="auto"/>
            </w:tcBorders>
            <w:shd w:val="clear" w:color="auto" w:fill="auto"/>
            <w:vAlign w:val="bottom"/>
            <w:hideMark/>
          </w:tcPr>
          <w:p w:rsidR="007F6335" w:rsidRPr="00AC0114" w:rsidP="007F6335" w14:paraId="31BBBDF9" w14:textId="649FDE99">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663</w:t>
            </w:r>
          </w:p>
        </w:tc>
        <w:tc>
          <w:tcPr>
            <w:tcW w:w="1620" w:type="dxa"/>
            <w:tcBorders>
              <w:top w:val="nil"/>
              <w:left w:val="nil"/>
              <w:bottom w:val="single" w:sz="4" w:space="0" w:color="auto"/>
              <w:right w:val="single" w:sz="4" w:space="0" w:color="auto"/>
            </w:tcBorders>
            <w:shd w:val="clear" w:color="auto" w:fill="auto"/>
            <w:vAlign w:val="bottom"/>
          </w:tcPr>
          <w:p w:rsidR="007F6335" w:rsidRPr="00AC0114" w:rsidP="007F6335" w14:paraId="0A73D34A" w14:textId="7610D75B">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-9</w:t>
            </w:r>
          </w:p>
        </w:tc>
        <w:tc>
          <w:tcPr>
            <w:tcW w:w="2610" w:type="dxa"/>
            <w:tcBorders>
              <w:top w:val="nil"/>
              <w:left w:val="nil"/>
              <w:bottom w:val="single" w:sz="4" w:space="0" w:color="auto"/>
              <w:right w:val="single" w:sz="4" w:space="0" w:color="auto"/>
            </w:tcBorders>
            <w:shd w:val="clear" w:color="auto" w:fill="auto"/>
            <w:vAlign w:val="bottom"/>
            <w:hideMark/>
          </w:tcPr>
          <w:p w:rsidR="007F6335" w:rsidRPr="00AC0114" w:rsidP="007F6335" w14:paraId="187D804F" w14:textId="634CD352">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r>
      <w:tr w14:paraId="39490F82" w14:textId="77777777" w:rsidTr="25C9EB8D">
        <w:tblPrEx>
          <w:tblW w:w="9530" w:type="dxa"/>
          <w:tblInd w:w="10" w:type="dxa"/>
          <w:tblLayout w:type="fixed"/>
          <w:tblLook w:val="04A0"/>
        </w:tblPrEx>
        <w:trPr>
          <w:trHeight w:val="63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7F6335" w:rsidRPr="00AC0114" w:rsidP="007F6335" w14:paraId="61FCD2D9" w14:textId="77777777">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Time Burden (Hr.)</w:t>
            </w:r>
          </w:p>
        </w:tc>
        <w:tc>
          <w:tcPr>
            <w:tcW w:w="1520" w:type="dxa"/>
            <w:tcBorders>
              <w:top w:val="nil"/>
              <w:left w:val="nil"/>
              <w:bottom w:val="single" w:sz="4" w:space="0" w:color="auto"/>
              <w:right w:val="single" w:sz="4" w:space="0" w:color="auto"/>
            </w:tcBorders>
            <w:shd w:val="clear" w:color="auto" w:fill="auto"/>
            <w:vAlign w:val="bottom"/>
          </w:tcPr>
          <w:p w:rsidR="007F6335" w:rsidRPr="00AC0114" w:rsidP="007F6335" w14:paraId="3B31B4F6" w14:textId="7F22BC4F">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1</w:t>
            </w:r>
            <w:r w:rsidRPr="00AC0114" w:rsidR="009B014E">
              <w:rPr>
                <w:rFonts w:ascii="Times New Roman" w:eastAsia="Times New Roman" w:hAnsi="Times New Roman"/>
                <w:color w:val="000000"/>
                <w:sz w:val="20"/>
                <w:szCs w:val="20"/>
              </w:rPr>
              <w:t>09,872</w:t>
            </w:r>
          </w:p>
        </w:tc>
        <w:tc>
          <w:tcPr>
            <w:tcW w:w="1530" w:type="dxa"/>
            <w:tcBorders>
              <w:top w:val="nil"/>
              <w:left w:val="nil"/>
              <w:bottom w:val="single" w:sz="4" w:space="0" w:color="auto"/>
              <w:right w:val="single" w:sz="4" w:space="0" w:color="auto"/>
            </w:tcBorders>
            <w:shd w:val="clear" w:color="auto" w:fill="auto"/>
            <w:vAlign w:val="bottom"/>
            <w:hideMark/>
          </w:tcPr>
          <w:p w:rsidR="007F6335" w:rsidRPr="00AC0114" w:rsidP="007F6335" w14:paraId="7CF80AF2" w14:textId="729F2572">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111,384</w:t>
            </w:r>
          </w:p>
        </w:tc>
        <w:tc>
          <w:tcPr>
            <w:tcW w:w="1620" w:type="dxa"/>
            <w:tcBorders>
              <w:top w:val="nil"/>
              <w:left w:val="nil"/>
              <w:bottom w:val="single" w:sz="4" w:space="0" w:color="auto"/>
              <w:right w:val="single" w:sz="4" w:space="0" w:color="auto"/>
            </w:tcBorders>
            <w:shd w:val="clear" w:color="auto" w:fill="auto"/>
            <w:vAlign w:val="bottom"/>
          </w:tcPr>
          <w:p w:rsidR="007F6335" w:rsidRPr="00AC0114" w:rsidP="00EF6BC3" w14:paraId="52C8CDFD" w14:textId="04416F7A">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-1,512</w:t>
            </w:r>
          </w:p>
        </w:tc>
        <w:tc>
          <w:tcPr>
            <w:tcW w:w="2610" w:type="dxa"/>
            <w:tcBorders>
              <w:top w:val="nil"/>
              <w:left w:val="nil"/>
              <w:bottom w:val="single" w:sz="4" w:space="0" w:color="auto"/>
              <w:right w:val="single" w:sz="4" w:space="0" w:color="auto"/>
            </w:tcBorders>
            <w:shd w:val="clear" w:color="auto" w:fill="auto"/>
            <w:vAlign w:val="bottom"/>
            <w:hideMark/>
          </w:tcPr>
          <w:p w:rsidR="007F6335" w:rsidRPr="00AC0114" w:rsidP="007F6335" w14:paraId="7C934849" w14:textId="25CB8238">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r>
      <w:tr w14:paraId="0888360B" w14:textId="77777777" w:rsidTr="25C9EB8D">
        <w:tblPrEx>
          <w:tblW w:w="9530" w:type="dxa"/>
          <w:tblInd w:w="10" w:type="dxa"/>
          <w:tblLayout w:type="fixed"/>
          <w:tblLook w:val="04A0"/>
        </w:tblPrEx>
        <w:trPr>
          <w:trHeight w:val="315"/>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7F6335" w:rsidRPr="00AC0114" w:rsidP="007F6335" w14:paraId="5AABAA93" w14:textId="77777777">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Cost Burden ($)</w:t>
            </w:r>
          </w:p>
        </w:tc>
        <w:tc>
          <w:tcPr>
            <w:tcW w:w="1520" w:type="dxa"/>
            <w:tcBorders>
              <w:top w:val="nil"/>
              <w:left w:val="nil"/>
              <w:bottom w:val="single" w:sz="4" w:space="0" w:color="auto"/>
              <w:right w:val="single" w:sz="4" w:space="0" w:color="auto"/>
            </w:tcBorders>
            <w:shd w:val="clear" w:color="auto" w:fill="auto"/>
            <w:vAlign w:val="bottom"/>
          </w:tcPr>
          <w:p w:rsidR="007F6335" w:rsidRPr="00AC0114" w:rsidP="007F6335" w14:paraId="06BBB647" w14:textId="784CB9A2">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bottom"/>
          </w:tcPr>
          <w:p w:rsidR="007F6335" w:rsidRPr="00AC0114" w:rsidP="007F6335" w14:paraId="6A4C7258" w14:textId="327A7A42">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w:t>
            </w:r>
            <w:r w:rsidRPr="00AC0114" w:rsidR="00364AC2">
              <w:rPr>
                <w:rFonts w:ascii="Times New Roman" w:eastAsia="Times New Roman" w:hAnsi="Times New Roman"/>
                <w:color w:val="000000"/>
                <w:sz w:val="20"/>
                <w:szCs w:val="20"/>
              </w:rPr>
              <w:t>0</w:t>
            </w:r>
          </w:p>
        </w:tc>
        <w:tc>
          <w:tcPr>
            <w:tcW w:w="1620" w:type="dxa"/>
            <w:tcBorders>
              <w:top w:val="nil"/>
              <w:left w:val="nil"/>
              <w:bottom w:val="single" w:sz="4" w:space="0" w:color="auto"/>
              <w:right w:val="single" w:sz="4" w:space="0" w:color="auto"/>
            </w:tcBorders>
            <w:shd w:val="clear" w:color="auto" w:fill="auto"/>
            <w:vAlign w:val="bottom"/>
          </w:tcPr>
          <w:p w:rsidR="007F6335" w:rsidRPr="00AC0114" w:rsidP="007F6335" w14:paraId="11CB8EC9" w14:textId="1FB0F9F0">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c>
          <w:tcPr>
            <w:tcW w:w="2610" w:type="dxa"/>
            <w:tcBorders>
              <w:top w:val="nil"/>
              <w:left w:val="nil"/>
              <w:bottom w:val="single" w:sz="4" w:space="0" w:color="auto"/>
              <w:right w:val="single" w:sz="4" w:space="0" w:color="auto"/>
            </w:tcBorders>
            <w:shd w:val="clear" w:color="auto" w:fill="auto"/>
            <w:vAlign w:val="bottom"/>
            <w:hideMark/>
          </w:tcPr>
          <w:p w:rsidR="007F6335" w:rsidRPr="00AC0114" w:rsidP="007F6335" w14:paraId="49316F50" w14:textId="5735928B">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r>
      <w:tr w14:paraId="54443995" w14:textId="77777777" w:rsidTr="25C9EB8D">
        <w:tblPrEx>
          <w:tblW w:w="9530" w:type="dxa"/>
          <w:tblInd w:w="10" w:type="dxa"/>
          <w:tblLayout w:type="fixed"/>
          <w:tblLook w:val="04A0"/>
        </w:tblPrEx>
        <w:trPr>
          <w:trHeight w:val="278"/>
        </w:trPr>
        <w:tc>
          <w:tcPr>
            <w:tcW w:w="9530" w:type="dxa"/>
            <w:gridSpan w:val="5"/>
            <w:tcBorders>
              <w:top w:val="nil"/>
              <w:left w:val="single" w:sz="8" w:space="0" w:color="auto"/>
              <w:bottom w:val="single" w:sz="4" w:space="0" w:color="auto"/>
              <w:right w:val="single" w:sz="4" w:space="0" w:color="auto"/>
            </w:tcBorders>
            <w:shd w:val="clear" w:color="auto" w:fill="F2F2F2" w:themeFill="background1" w:themeFillShade="F2"/>
            <w:vAlign w:val="center"/>
          </w:tcPr>
          <w:p w:rsidR="007F6335" w:rsidRPr="00AC0114" w:rsidP="00AA5A41" w14:paraId="15B1778E" w14:textId="5D5E52C4">
            <w:pPr>
              <w:spacing w:after="0" w:line="240" w:lineRule="auto"/>
              <w:jc w:val="center"/>
              <w:rPr>
                <w:rFonts w:ascii="Times New Roman" w:eastAsia="Times New Roman" w:hAnsi="Times New Roman"/>
                <w:b/>
                <w:bCs/>
                <w:color w:val="000000"/>
                <w:sz w:val="20"/>
                <w:szCs w:val="20"/>
              </w:rPr>
            </w:pPr>
            <w:r w:rsidRPr="00AC0114">
              <w:rPr>
                <w:rFonts w:ascii="Times New Roman" w:eastAsia="Times New Roman" w:hAnsi="Times New Roman"/>
                <w:b/>
                <w:bCs/>
                <w:color w:val="000000"/>
                <w:sz w:val="20"/>
                <w:szCs w:val="20"/>
              </w:rPr>
              <w:t xml:space="preserve">FERC Form </w:t>
            </w:r>
            <w:r w:rsidRPr="00AC0114" w:rsidR="00E94890">
              <w:rPr>
                <w:rFonts w:ascii="Times New Roman" w:eastAsia="Times New Roman" w:hAnsi="Times New Roman"/>
                <w:b/>
                <w:bCs/>
                <w:color w:val="000000"/>
                <w:sz w:val="20"/>
                <w:szCs w:val="20"/>
              </w:rPr>
              <w:t xml:space="preserve">No. </w:t>
            </w:r>
            <w:r w:rsidRPr="00AC0114">
              <w:rPr>
                <w:rFonts w:ascii="Times New Roman" w:eastAsia="Times New Roman" w:hAnsi="Times New Roman"/>
                <w:b/>
                <w:bCs/>
                <w:color w:val="000000"/>
                <w:sz w:val="20"/>
                <w:szCs w:val="20"/>
              </w:rPr>
              <w:t>3-Q (gas)</w:t>
            </w:r>
          </w:p>
        </w:tc>
      </w:tr>
      <w:tr w14:paraId="0B162B45" w14:textId="77777777" w:rsidTr="25C9EB8D">
        <w:tblPrEx>
          <w:tblW w:w="9530" w:type="dxa"/>
          <w:tblInd w:w="10" w:type="dxa"/>
          <w:tblLayout w:type="fixed"/>
          <w:tblLook w:val="04A0"/>
        </w:tblPrEx>
        <w:trPr>
          <w:trHeight w:val="63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7F6335" w:rsidRPr="00AC0114" w:rsidP="007F6335" w14:paraId="1E950089" w14:textId="77777777">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Number of Responses</w:t>
            </w:r>
          </w:p>
        </w:tc>
        <w:tc>
          <w:tcPr>
            <w:tcW w:w="1520" w:type="dxa"/>
            <w:tcBorders>
              <w:top w:val="nil"/>
              <w:left w:val="nil"/>
              <w:bottom w:val="single" w:sz="4" w:space="0" w:color="auto"/>
              <w:right w:val="single" w:sz="4" w:space="0" w:color="auto"/>
            </w:tcBorders>
            <w:shd w:val="clear" w:color="auto" w:fill="auto"/>
            <w:vAlign w:val="bottom"/>
          </w:tcPr>
          <w:p w:rsidR="007F6335" w:rsidRPr="00AC0114" w:rsidP="007F6335" w14:paraId="55424609" w14:textId="069A12EE">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44</w:t>
            </w:r>
            <w:r w:rsidRPr="00AC0114" w:rsidR="00076039">
              <w:rPr>
                <w:rFonts w:ascii="Times New Roman" w:eastAsia="Times New Roman" w:hAnsi="Times New Roman"/>
                <w:color w:val="000000"/>
                <w:sz w:val="20"/>
                <w:szCs w:val="20"/>
              </w:rPr>
              <w:t>4</w:t>
            </w:r>
          </w:p>
        </w:tc>
        <w:tc>
          <w:tcPr>
            <w:tcW w:w="1530" w:type="dxa"/>
            <w:tcBorders>
              <w:top w:val="nil"/>
              <w:left w:val="nil"/>
              <w:bottom w:val="single" w:sz="4" w:space="0" w:color="auto"/>
              <w:right w:val="single" w:sz="4" w:space="0" w:color="auto"/>
            </w:tcBorders>
            <w:shd w:val="clear" w:color="auto" w:fill="auto"/>
            <w:vAlign w:val="bottom"/>
            <w:hideMark/>
          </w:tcPr>
          <w:p w:rsidR="007F6335" w:rsidRPr="00AC0114" w:rsidP="007F6335" w14:paraId="6A859EEF" w14:textId="5FD4F340">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441</w:t>
            </w:r>
          </w:p>
        </w:tc>
        <w:tc>
          <w:tcPr>
            <w:tcW w:w="1620" w:type="dxa"/>
            <w:tcBorders>
              <w:top w:val="nil"/>
              <w:left w:val="nil"/>
              <w:bottom w:val="single" w:sz="4" w:space="0" w:color="auto"/>
              <w:right w:val="single" w:sz="4" w:space="0" w:color="auto"/>
            </w:tcBorders>
            <w:shd w:val="clear" w:color="auto" w:fill="auto"/>
            <w:vAlign w:val="bottom"/>
          </w:tcPr>
          <w:p w:rsidR="007F6335" w:rsidRPr="00AC0114" w:rsidP="007F6335" w14:paraId="232F2499" w14:textId="0AD34DCE">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+3</w:t>
            </w:r>
          </w:p>
        </w:tc>
        <w:tc>
          <w:tcPr>
            <w:tcW w:w="2610" w:type="dxa"/>
            <w:tcBorders>
              <w:top w:val="nil"/>
              <w:left w:val="nil"/>
              <w:bottom w:val="single" w:sz="4" w:space="0" w:color="auto"/>
              <w:right w:val="single" w:sz="4" w:space="0" w:color="auto"/>
            </w:tcBorders>
            <w:shd w:val="clear" w:color="auto" w:fill="auto"/>
            <w:vAlign w:val="bottom"/>
            <w:hideMark/>
          </w:tcPr>
          <w:p w:rsidR="007F6335" w:rsidRPr="00AC0114" w:rsidP="007F6335" w14:paraId="629BB907" w14:textId="4FCEC656">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r>
      <w:tr w14:paraId="27CFB583" w14:textId="77777777" w:rsidTr="25C9EB8D">
        <w:tblPrEx>
          <w:tblW w:w="9530" w:type="dxa"/>
          <w:tblInd w:w="10" w:type="dxa"/>
          <w:tblLayout w:type="fixed"/>
          <w:tblLook w:val="04A0"/>
        </w:tblPrEx>
        <w:trPr>
          <w:trHeight w:val="630"/>
        </w:trPr>
        <w:tc>
          <w:tcPr>
            <w:tcW w:w="2250" w:type="dxa"/>
            <w:tcBorders>
              <w:top w:val="nil"/>
              <w:left w:val="single" w:sz="8" w:space="0" w:color="auto"/>
              <w:bottom w:val="single" w:sz="4" w:space="0" w:color="auto"/>
              <w:right w:val="single" w:sz="4" w:space="0" w:color="auto"/>
            </w:tcBorders>
            <w:shd w:val="clear" w:color="auto" w:fill="auto"/>
            <w:vAlign w:val="center"/>
            <w:hideMark/>
          </w:tcPr>
          <w:p w:rsidR="007F6335" w:rsidRPr="00AC0114" w:rsidP="007F6335" w14:paraId="06D517A5" w14:textId="77777777">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Time Burden (Hr.)</w:t>
            </w:r>
          </w:p>
        </w:tc>
        <w:tc>
          <w:tcPr>
            <w:tcW w:w="1520" w:type="dxa"/>
            <w:tcBorders>
              <w:top w:val="nil"/>
              <w:left w:val="nil"/>
              <w:bottom w:val="single" w:sz="4" w:space="0" w:color="auto"/>
              <w:right w:val="single" w:sz="4" w:space="0" w:color="auto"/>
            </w:tcBorders>
            <w:shd w:val="clear" w:color="auto" w:fill="auto"/>
            <w:vAlign w:val="bottom"/>
          </w:tcPr>
          <w:p w:rsidR="007F6335" w:rsidRPr="00AC0114" w:rsidP="007F6335" w14:paraId="37F8BF94" w14:textId="675C91E7">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74,592</w:t>
            </w:r>
          </w:p>
        </w:tc>
        <w:tc>
          <w:tcPr>
            <w:tcW w:w="1530" w:type="dxa"/>
            <w:tcBorders>
              <w:top w:val="nil"/>
              <w:left w:val="nil"/>
              <w:bottom w:val="single" w:sz="4" w:space="0" w:color="auto"/>
              <w:right w:val="single" w:sz="4" w:space="0" w:color="auto"/>
            </w:tcBorders>
            <w:shd w:val="clear" w:color="auto" w:fill="auto"/>
            <w:vAlign w:val="bottom"/>
            <w:hideMark/>
          </w:tcPr>
          <w:p w:rsidR="007F6335" w:rsidRPr="00AC0114" w:rsidP="007F6335" w14:paraId="5CDA51CD" w14:textId="6556425A">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73,647</w:t>
            </w:r>
          </w:p>
        </w:tc>
        <w:tc>
          <w:tcPr>
            <w:tcW w:w="1620" w:type="dxa"/>
            <w:tcBorders>
              <w:top w:val="nil"/>
              <w:left w:val="nil"/>
              <w:bottom w:val="single" w:sz="4" w:space="0" w:color="auto"/>
              <w:right w:val="single" w:sz="4" w:space="0" w:color="auto"/>
            </w:tcBorders>
            <w:shd w:val="clear" w:color="auto" w:fill="auto"/>
            <w:vAlign w:val="bottom"/>
          </w:tcPr>
          <w:p w:rsidR="007F6335" w:rsidRPr="00AC0114" w:rsidP="007F6335" w14:paraId="3E8118CA" w14:textId="5CFE0601">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+945</w:t>
            </w:r>
          </w:p>
        </w:tc>
        <w:tc>
          <w:tcPr>
            <w:tcW w:w="2610" w:type="dxa"/>
            <w:tcBorders>
              <w:top w:val="nil"/>
              <w:left w:val="nil"/>
              <w:bottom w:val="single" w:sz="4" w:space="0" w:color="auto"/>
              <w:right w:val="single" w:sz="4" w:space="0" w:color="auto"/>
            </w:tcBorders>
            <w:shd w:val="clear" w:color="auto" w:fill="auto"/>
            <w:vAlign w:val="bottom"/>
            <w:hideMark/>
          </w:tcPr>
          <w:p w:rsidR="007F6335" w:rsidRPr="00AC0114" w:rsidP="007F6335" w14:paraId="79A0C5C3" w14:textId="3C2E8151">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r>
      <w:tr w14:paraId="2D74E08E" w14:textId="77777777" w:rsidTr="25C9EB8D">
        <w:tblPrEx>
          <w:tblW w:w="9530" w:type="dxa"/>
          <w:tblInd w:w="10" w:type="dxa"/>
          <w:tblLayout w:type="fixed"/>
          <w:tblLook w:val="04A0"/>
        </w:tblPrEx>
        <w:trPr>
          <w:trHeight w:val="377"/>
        </w:trPr>
        <w:tc>
          <w:tcPr>
            <w:tcW w:w="225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F6335" w:rsidRPr="00AC0114" w:rsidP="007F6335" w14:paraId="6DFED856" w14:textId="1420B758">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Cost Burden ($)</w:t>
            </w:r>
          </w:p>
        </w:tc>
        <w:tc>
          <w:tcPr>
            <w:tcW w:w="1520" w:type="dxa"/>
            <w:tcBorders>
              <w:top w:val="single" w:sz="4" w:space="0" w:color="auto"/>
              <w:left w:val="nil"/>
              <w:bottom w:val="single" w:sz="4" w:space="0" w:color="auto"/>
              <w:right w:val="single" w:sz="4" w:space="0" w:color="auto"/>
            </w:tcBorders>
            <w:shd w:val="clear" w:color="auto" w:fill="auto"/>
            <w:vAlign w:val="bottom"/>
          </w:tcPr>
          <w:p w:rsidR="007F6335" w:rsidRPr="00AC0114" w:rsidP="007F6335" w14:paraId="64BE5825" w14:textId="5AF6BB14">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c>
          <w:tcPr>
            <w:tcW w:w="1530" w:type="dxa"/>
            <w:tcBorders>
              <w:top w:val="single" w:sz="4" w:space="0" w:color="auto"/>
              <w:left w:val="nil"/>
              <w:bottom w:val="single" w:sz="4" w:space="0" w:color="auto"/>
              <w:right w:val="single" w:sz="4" w:space="0" w:color="auto"/>
            </w:tcBorders>
            <w:shd w:val="clear" w:color="auto" w:fill="auto"/>
            <w:vAlign w:val="bottom"/>
          </w:tcPr>
          <w:p w:rsidR="007F6335" w:rsidRPr="00AC0114" w:rsidP="007F6335" w14:paraId="75487BD9" w14:textId="4673D1C6">
            <w:pPr>
              <w:spacing w:after="0" w:line="240" w:lineRule="auto"/>
              <w:jc w:val="right"/>
              <w:rPr>
                <w:rFonts w:ascii="Times New Roman" w:eastAsia="Times New Roman" w:hAnsi="Times New Roman"/>
                <w:color w:val="000000"/>
                <w:sz w:val="20"/>
                <w:szCs w:val="20"/>
              </w:rPr>
            </w:pPr>
            <w:r w:rsidRPr="00AC0114">
              <w:rPr>
                <w:rFonts w:ascii="Times New Roman" w:hAnsi="Times New Roman"/>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bottom"/>
          </w:tcPr>
          <w:p w:rsidR="007F6335" w:rsidRPr="00AC0114" w:rsidP="007F6335" w14:paraId="78C4300F" w14:textId="64436042">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c>
          <w:tcPr>
            <w:tcW w:w="2610" w:type="dxa"/>
            <w:tcBorders>
              <w:top w:val="single" w:sz="4" w:space="0" w:color="auto"/>
              <w:left w:val="nil"/>
              <w:bottom w:val="single" w:sz="4" w:space="0" w:color="auto"/>
              <w:right w:val="single" w:sz="4" w:space="0" w:color="auto"/>
            </w:tcBorders>
            <w:shd w:val="clear" w:color="auto" w:fill="auto"/>
            <w:vAlign w:val="bottom"/>
            <w:hideMark/>
          </w:tcPr>
          <w:p w:rsidR="007F6335" w:rsidRPr="00AC0114" w:rsidP="007F6335" w14:paraId="1974B5F3" w14:textId="03EFEA17">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r>
      <w:tr w14:paraId="26ECA3EE" w14:textId="77777777" w:rsidTr="25C9EB8D">
        <w:tblPrEx>
          <w:tblW w:w="9530" w:type="dxa"/>
          <w:tblInd w:w="10" w:type="dxa"/>
          <w:tblLayout w:type="fixed"/>
          <w:tblLook w:val="04A0"/>
        </w:tblPrEx>
        <w:trPr>
          <w:trHeight w:val="378"/>
        </w:trPr>
        <w:tc>
          <w:tcPr>
            <w:tcW w:w="95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F6335" w:rsidRPr="00AC0114" w:rsidP="00AA5A41" w14:paraId="77E85408" w14:textId="1839437C">
            <w:pPr>
              <w:spacing w:after="0" w:line="240" w:lineRule="auto"/>
              <w:jc w:val="center"/>
              <w:rPr>
                <w:rFonts w:ascii="Times New Roman" w:eastAsia="Times New Roman" w:hAnsi="Times New Roman"/>
                <w:color w:val="000000"/>
                <w:sz w:val="20"/>
                <w:szCs w:val="20"/>
              </w:rPr>
            </w:pPr>
            <w:r w:rsidRPr="00AC0114">
              <w:rPr>
                <w:rFonts w:ascii="Times New Roman" w:eastAsia="Times New Roman" w:hAnsi="Times New Roman"/>
                <w:b/>
                <w:bCs/>
                <w:color w:val="000000"/>
                <w:sz w:val="20"/>
                <w:szCs w:val="20"/>
              </w:rPr>
              <w:t xml:space="preserve">Total FERC Form </w:t>
            </w:r>
            <w:r w:rsidRPr="00AC0114" w:rsidR="00E94890">
              <w:rPr>
                <w:rFonts w:ascii="Times New Roman" w:eastAsia="Times New Roman" w:hAnsi="Times New Roman"/>
                <w:b/>
                <w:bCs/>
                <w:color w:val="000000"/>
                <w:sz w:val="20"/>
                <w:szCs w:val="20"/>
              </w:rPr>
              <w:t xml:space="preserve">No. </w:t>
            </w:r>
            <w:r w:rsidRPr="00AC0114">
              <w:rPr>
                <w:rFonts w:ascii="Times New Roman" w:eastAsia="Times New Roman" w:hAnsi="Times New Roman"/>
                <w:b/>
                <w:bCs/>
                <w:color w:val="000000"/>
                <w:sz w:val="20"/>
                <w:szCs w:val="20"/>
              </w:rPr>
              <w:t>3-Q (electric and gas)</w:t>
            </w:r>
          </w:p>
        </w:tc>
      </w:tr>
      <w:tr w14:paraId="462ED2F2" w14:textId="77777777" w:rsidTr="25C9EB8D">
        <w:tblPrEx>
          <w:tblW w:w="9530" w:type="dxa"/>
          <w:tblInd w:w="10" w:type="dxa"/>
          <w:tblLayout w:type="fixed"/>
          <w:tblLook w:val="04A0"/>
        </w:tblPrEx>
        <w:trPr>
          <w:trHeight w:val="620"/>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0F214C" w:rsidRPr="00AC0114" w:rsidP="000F214C" w14:paraId="3D2BF723" w14:textId="6A89C350">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Number of Responses</w:t>
            </w:r>
          </w:p>
        </w:tc>
        <w:tc>
          <w:tcPr>
            <w:tcW w:w="1520" w:type="dxa"/>
            <w:tcBorders>
              <w:top w:val="single" w:sz="4" w:space="0" w:color="auto"/>
              <w:left w:val="nil"/>
              <w:bottom w:val="single" w:sz="4" w:space="0" w:color="auto"/>
              <w:right w:val="single" w:sz="4" w:space="0" w:color="auto"/>
            </w:tcBorders>
            <w:shd w:val="clear" w:color="auto" w:fill="auto"/>
            <w:vAlign w:val="bottom"/>
          </w:tcPr>
          <w:p w:rsidR="000F214C" w:rsidRPr="00AC0114" w:rsidP="000F214C" w14:paraId="5AB4DE91" w14:textId="67DEADD5">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1,098</w:t>
            </w:r>
          </w:p>
        </w:tc>
        <w:tc>
          <w:tcPr>
            <w:tcW w:w="1530" w:type="dxa"/>
            <w:tcBorders>
              <w:top w:val="single" w:sz="4" w:space="0" w:color="auto"/>
              <w:left w:val="nil"/>
              <w:bottom w:val="single" w:sz="4" w:space="0" w:color="auto"/>
              <w:right w:val="single" w:sz="4" w:space="0" w:color="auto"/>
            </w:tcBorders>
            <w:shd w:val="clear" w:color="auto" w:fill="auto"/>
            <w:vAlign w:val="bottom"/>
          </w:tcPr>
          <w:p w:rsidR="000F214C" w:rsidRPr="00AC0114" w:rsidP="000F214C" w14:paraId="67CB4D3F" w14:textId="0388DFF3">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1,104</w:t>
            </w:r>
          </w:p>
        </w:tc>
        <w:tc>
          <w:tcPr>
            <w:tcW w:w="1620" w:type="dxa"/>
            <w:tcBorders>
              <w:top w:val="single" w:sz="4" w:space="0" w:color="auto"/>
              <w:left w:val="nil"/>
              <w:bottom w:val="single" w:sz="4" w:space="0" w:color="auto"/>
              <w:right w:val="single" w:sz="4" w:space="0" w:color="auto"/>
            </w:tcBorders>
            <w:shd w:val="clear" w:color="auto" w:fill="auto"/>
            <w:vAlign w:val="bottom"/>
          </w:tcPr>
          <w:p w:rsidR="000F214C" w:rsidRPr="00AC0114" w:rsidP="000F214C" w14:paraId="7D5F4B4A" w14:textId="35042493">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w:t>
            </w:r>
            <w:r w:rsidRPr="00AC0114" w:rsidR="00ED5662">
              <w:rPr>
                <w:rFonts w:ascii="Times New Roman" w:eastAsia="Times New Roman" w:hAnsi="Times New Roman"/>
                <w:color w:val="000000"/>
                <w:sz w:val="20"/>
                <w:szCs w:val="20"/>
              </w:rPr>
              <w:t>6</w:t>
            </w:r>
          </w:p>
        </w:tc>
        <w:tc>
          <w:tcPr>
            <w:tcW w:w="2610" w:type="dxa"/>
            <w:tcBorders>
              <w:top w:val="single" w:sz="4" w:space="0" w:color="auto"/>
              <w:left w:val="nil"/>
              <w:bottom w:val="single" w:sz="4" w:space="0" w:color="auto"/>
              <w:right w:val="single" w:sz="4" w:space="0" w:color="auto"/>
            </w:tcBorders>
            <w:shd w:val="clear" w:color="auto" w:fill="auto"/>
            <w:vAlign w:val="bottom"/>
          </w:tcPr>
          <w:p w:rsidR="000F214C" w:rsidRPr="00AC0114" w:rsidP="000F214C" w14:paraId="79C1B31D" w14:textId="77777777">
            <w:pPr>
              <w:spacing w:after="0" w:line="240" w:lineRule="auto"/>
              <w:jc w:val="right"/>
              <w:rPr>
                <w:rFonts w:ascii="Times New Roman" w:eastAsia="Times New Roman" w:hAnsi="Times New Roman"/>
                <w:color w:val="000000"/>
                <w:sz w:val="20"/>
                <w:szCs w:val="20"/>
              </w:rPr>
            </w:pPr>
          </w:p>
          <w:p w:rsidR="000F214C" w:rsidRPr="00AC0114" w:rsidP="000F214C" w14:paraId="4BD85B2E" w14:textId="17014777">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r>
      <w:tr w14:paraId="051E2F71" w14:textId="77777777" w:rsidTr="25C9EB8D">
        <w:tblPrEx>
          <w:tblW w:w="9530" w:type="dxa"/>
          <w:tblInd w:w="10" w:type="dxa"/>
          <w:tblLayout w:type="fixed"/>
          <w:tblLook w:val="04A0"/>
        </w:tblPrEx>
        <w:trPr>
          <w:trHeight w:val="620"/>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0F214C" w:rsidRPr="00AC0114" w:rsidP="000F214C" w14:paraId="1F55D1B6" w14:textId="4216BF36">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Time Burden (Hr.)</w:t>
            </w:r>
          </w:p>
        </w:tc>
        <w:tc>
          <w:tcPr>
            <w:tcW w:w="1520" w:type="dxa"/>
            <w:tcBorders>
              <w:top w:val="single" w:sz="4" w:space="0" w:color="auto"/>
              <w:left w:val="nil"/>
              <w:bottom w:val="single" w:sz="4" w:space="0" w:color="auto"/>
              <w:right w:val="single" w:sz="4" w:space="0" w:color="auto"/>
            </w:tcBorders>
            <w:shd w:val="clear" w:color="auto" w:fill="auto"/>
            <w:vAlign w:val="bottom"/>
          </w:tcPr>
          <w:p w:rsidR="000F214C" w:rsidRPr="00AC0114" w:rsidP="000F214C" w14:paraId="3A5AF5F4" w14:textId="7AFBF730">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18</w:t>
            </w:r>
            <w:r w:rsidRPr="00AC0114" w:rsidR="00ED5662">
              <w:rPr>
                <w:rFonts w:ascii="Times New Roman" w:eastAsia="Times New Roman" w:hAnsi="Times New Roman"/>
                <w:color w:val="000000"/>
                <w:sz w:val="20"/>
                <w:szCs w:val="20"/>
              </w:rPr>
              <w:t>4,464</w:t>
            </w:r>
          </w:p>
        </w:tc>
        <w:tc>
          <w:tcPr>
            <w:tcW w:w="1530" w:type="dxa"/>
            <w:tcBorders>
              <w:top w:val="single" w:sz="4" w:space="0" w:color="auto"/>
              <w:left w:val="nil"/>
              <w:bottom w:val="single" w:sz="4" w:space="0" w:color="auto"/>
              <w:right w:val="single" w:sz="4" w:space="0" w:color="auto"/>
            </w:tcBorders>
            <w:shd w:val="clear" w:color="auto" w:fill="auto"/>
            <w:vAlign w:val="bottom"/>
          </w:tcPr>
          <w:p w:rsidR="000F214C" w:rsidRPr="00AC0114" w:rsidP="000F214C" w14:paraId="4E9A6C61" w14:textId="748B9B15">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185,031</w:t>
            </w:r>
          </w:p>
        </w:tc>
        <w:tc>
          <w:tcPr>
            <w:tcW w:w="1620" w:type="dxa"/>
            <w:tcBorders>
              <w:top w:val="single" w:sz="4" w:space="0" w:color="auto"/>
              <w:left w:val="nil"/>
              <w:bottom w:val="single" w:sz="4" w:space="0" w:color="auto"/>
              <w:right w:val="single" w:sz="4" w:space="0" w:color="auto"/>
            </w:tcBorders>
            <w:shd w:val="clear" w:color="auto" w:fill="auto"/>
            <w:vAlign w:val="bottom"/>
          </w:tcPr>
          <w:p w:rsidR="000F214C" w:rsidRPr="00AC0114" w:rsidP="000F214C" w14:paraId="153C9DCE" w14:textId="2AC957E9">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w:t>
            </w:r>
            <w:r w:rsidRPr="00AC0114" w:rsidR="00E50726">
              <w:rPr>
                <w:rFonts w:ascii="Times New Roman" w:eastAsia="Times New Roman" w:hAnsi="Times New Roman"/>
                <w:color w:val="000000"/>
                <w:sz w:val="20"/>
                <w:szCs w:val="20"/>
              </w:rPr>
              <w:t>567</w:t>
            </w:r>
          </w:p>
        </w:tc>
        <w:tc>
          <w:tcPr>
            <w:tcW w:w="2610" w:type="dxa"/>
            <w:tcBorders>
              <w:top w:val="single" w:sz="4" w:space="0" w:color="auto"/>
              <w:left w:val="nil"/>
              <w:bottom w:val="single" w:sz="4" w:space="0" w:color="auto"/>
              <w:right w:val="single" w:sz="4" w:space="0" w:color="auto"/>
            </w:tcBorders>
            <w:shd w:val="clear" w:color="auto" w:fill="auto"/>
            <w:vAlign w:val="bottom"/>
          </w:tcPr>
          <w:p w:rsidR="000F214C" w:rsidRPr="00AC0114" w:rsidP="000F214C" w14:paraId="517EB623" w14:textId="271F514F">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r>
      <w:tr w14:paraId="1385DF27" w14:textId="77777777" w:rsidTr="25C9EB8D">
        <w:tblPrEx>
          <w:tblW w:w="9530" w:type="dxa"/>
          <w:tblInd w:w="10" w:type="dxa"/>
          <w:tblLayout w:type="fixed"/>
          <w:tblLook w:val="04A0"/>
        </w:tblPrEx>
        <w:trPr>
          <w:trHeight w:val="332"/>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7F6335" w:rsidRPr="00AC0114" w:rsidP="007F6335" w14:paraId="56C34A93" w14:textId="7DB24AB6">
            <w:pPr>
              <w:spacing w:after="0" w:line="240" w:lineRule="auto"/>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Annual Cost Burden ($)</w:t>
            </w:r>
          </w:p>
        </w:tc>
        <w:tc>
          <w:tcPr>
            <w:tcW w:w="1520" w:type="dxa"/>
            <w:tcBorders>
              <w:top w:val="single" w:sz="4" w:space="0" w:color="auto"/>
              <w:left w:val="nil"/>
              <w:bottom w:val="single" w:sz="4" w:space="0" w:color="auto"/>
              <w:right w:val="single" w:sz="4" w:space="0" w:color="auto"/>
            </w:tcBorders>
            <w:shd w:val="clear" w:color="auto" w:fill="auto"/>
            <w:vAlign w:val="bottom"/>
          </w:tcPr>
          <w:p w:rsidR="007F6335" w:rsidRPr="00AC0114" w:rsidP="007F6335" w14:paraId="1D10C232" w14:textId="6BB6F55B">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c>
          <w:tcPr>
            <w:tcW w:w="1530" w:type="dxa"/>
            <w:tcBorders>
              <w:top w:val="single" w:sz="4" w:space="0" w:color="auto"/>
              <w:left w:val="nil"/>
              <w:bottom w:val="single" w:sz="4" w:space="0" w:color="auto"/>
              <w:right w:val="single" w:sz="4" w:space="0" w:color="auto"/>
            </w:tcBorders>
            <w:shd w:val="clear" w:color="auto" w:fill="auto"/>
            <w:vAlign w:val="bottom"/>
          </w:tcPr>
          <w:p w:rsidR="007F6335" w:rsidRPr="00AC0114" w:rsidP="007F6335" w14:paraId="26F6B502" w14:textId="031FCDB6">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w:t>
            </w:r>
            <w:r w:rsidRPr="00AC0114" w:rsidR="00C1079E">
              <w:rPr>
                <w:rFonts w:ascii="Times New Roman" w:eastAsia="Times New Roman" w:hAnsi="Times New Roman"/>
                <w:color w:val="000000"/>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bottom"/>
          </w:tcPr>
          <w:p w:rsidR="007F6335" w:rsidRPr="00AC0114" w:rsidP="007F6335" w14:paraId="618AD415" w14:textId="0D43513A">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c>
          <w:tcPr>
            <w:tcW w:w="2610" w:type="dxa"/>
            <w:tcBorders>
              <w:top w:val="single" w:sz="4" w:space="0" w:color="auto"/>
              <w:left w:val="nil"/>
              <w:bottom w:val="single" w:sz="4" w:space="0" w:color="auto"/>
              <w:right w:val="single" w:sz="4" w:space="0" w:color="auto"/>
            </w:tcBorders>
            <w:shd w:val="clear" w:color="auto" w:fill="auto"/>
            <w:vAlign w:val="bottom"/>
          </w:tcPr>
          <w:p w:rsidR="007F6335" w:rsidRPr="00AC0114" w:rsidP="007F6335" w14:paraId="25F718F9" w14:textId="7623798F">
            <w:pPr>
              <w:spacing w:after="0" w:line="240" w:lineRule="auto"/>
              <w:jc w:val="right"/>
              <w:rPr>
                <w:rFonts w:ascii="Times New Roman" w:eastAsia="Times New Roman" w:hAnsi="Times New Roman"/>
                <w:color w:val="000000"/>
                <w:sz w:val="20"/>
                <w:szCs w:val="20"/>
              </w:rPr>
            </w:pPr>
            <w:r w:rsidRPr="00AC0114">
              <w:rPr>
                <w:rFonts w:ascii="Times New Roman" w:eastAsia="Times New Roman" w:hAnsi="Times New Roman"/>
                <w:color w:val="000000"/>
                <w:sz w:val="20"/>
                <w:szCs w:val="20"/>
              </w:rPr>
              <w:t>0</w:t>
            </w:r>
          </w:p>
        </w:tc>
      </w:tr>
    </w:tbl>
    <w:p w:rsidR="005C65C3" w:rsidRPr="008416FE" w:rsidP="003A3343" w14:paraId="7B4EABF9" w14:textId="77777777">
      <w:pPr>
        <w:spacing w:after="0" w:line="259" w:lineRule="auto"/>
        <w:rPr>
          <w:rFonts w:ascii="Times New Roman" w:hAnsi="Times New Roman"/>
          <w:bCs/>
          <w:sz w:val="24"/>
          <w:szCs w:val="24"/>
        </w:rPr>
      </w:pPr>
    </w:p>
    <w:bookmarkEnd w:id="6"/>
    <w:p w:rsidR="00F0627E" w:rsidRPr="008416FE" w:rsidP="00BD0F89" w14:paraId="115E3405" w14:textId="77777777">
      <w:pPr>
        <w:spacing w:after="0" w:line="240" w:lineRule="auto"/>
        <w:rPr>
          <w:rFonts w:ascii="Times New Roman" w:hAnsi="Times New Roman"/>
          <w:b/>
          <w:sz w:val="24"/>
          <w:szCs w:val="24"/>
        </w:rPr>
      </w:pPr>
      <w:r w:rsidRPr="008416FE">
        <w:rPr>
          <w:rFonts w:ascii="Times New Roman" w:hAnsi="Times New Roman"/>
          <w:b/>
          <w:sz w:val="24"/>
          <w:szCs w:val="24"/>
        </w:rPr>
        <w:t xml:space="preserve">16. </w:t>
      </w:r>
      <w:r w:rsidRPr="008416FE">
        <w:rPr>
          <w:rFonts w:ascii="Times New Roman" w:hAnsi="Times New Roman"/>
          <w:b/>
          <w:sz w:val="24"/>
          <w:szCs w:val="24"/>
        </w:rPr>
        <w:t>TIME SCHEDULE FOR PUBLICATION OF DATA</w:t>
      </w:r>
    </w:p>
    <w:p w:rsidR="00F0627E" w:rsidRPr="008416FE" w:rsidP="00BD0F89" w14:paraId="65FE4B4D" w14:textId="77777777">
      <w:pPr>
        <w:spacing w:after="0" w:line="240" w:lineRule="auto"/>
        <w:rPr>
          <w:rFonts w:ascii="Times New Roman" w:hAnsi="Times New Roman"/>
          <w:sz w:val="24"/>
          <w:szCs w:val="24"/>
        </w:rPr>
      </w:pPr>
    </w:p>
    <w:p w:rsidR="00105D44" w:rsidRPr="008416FE" w:rsidP="00105D44" w14:paraId="0DC28BE9" w14:textId="488457CE">
      <w:pPr>
        <w:rPr>
          <w:rFonts w:ascii="Times New Roman" w:eastAsia="Times New Roman" w:hAnsi="Times New Roman"/>
          <w:sz w:val="24"/>
          <w:szCs w:val="24"/>
        </w:rPr>
      </w:pPr>
      <w:r w:rsidRPr="008416FE">
        <w:rPr>
          <w:rFonts w:ascii="Times New Roman" w:eastAsia="Times New Roman" w:hAnsi="Times New Roman"/>
          <w:sz w:val="24"/>
          <w:szCs w:val="24"/>
        </w:rPr>
        <w:t>The information provided in FERC Form Nos. 1, 1-F and 3-Q is available on the FERC website (</w:t>
      </w:r>
      <w:hyperlink r:id="rId9" w:history="1">
        <w:r w:rsidRPr="008416FE">
          <w:rPr>
            <w:rStyle w:val="Hyperlink"/>
            <w:rFonts w:ascii="Times New Roman" w:eastAsia="Times New Roman" w:hAnsi="Times New Roman"/>
            <w:sz w:val="24"/>
            <w:szCs w:val="24"/>
          </w:rPr>
          <w:t>https://www.ferc.gov/general-information-0/electric-industry-forms</w:t>
        </w:r>
      </w:hyperlink>
      <w:r w:rsidRPr="008416FE">
        <w:rPr>
          <w:rFonts w:ascii="Times New Roman" w:eastAsia="Times New Roman" w:hAnsi="Times New Roman"/>
          <w:sz w:val="24"/>
          <w:szCs w:val="24"/>
        </w:rPr>
        <w:t xml:space="preserve"> and</w:t>
      </w:r>
      <w:r w:rsidRPr="008416FE">
        <w:rPr>
          <w:sz w:val="24"/>
          <w:szCs w:val="24"/>
        </w:rPr>
        <w:t xml:space="preserve"> </w:t>
      </w:r>
      <w:hyperlink r:id="rId10" w:history="1">
        <w:r w:rsidRPr="008416FE">
          <w:rPr>
            <w:rStyle w:val="Hyperlink"/>
            <w:rFonts w:ascii="Times New Roman" w:eastAsia="Times New Roman" w:hAnsi="Times New Roman"/>
            <w:sz w:val="24"/>
            <w:szCs w:val="24"/>
          </w:rPr>
          <w:t>https://www.ferc.gov/industries-data/natural-gas/industry-forms</w:t>
        </w:r>
      </w:hyperlink>
      <w:r w:rsidRPr="008416FE">
        <w:rPr>
          <w:rFonts w:ascii="Times New Roman" w:eastAsia="Times New Roman" w:hAnsi="Times New Roman"/>
          <w:sz w:val="24"/>
          <w:szCs w:val="24"/>
        </w:rPr>
        <w:t>).</w:t>
      </w:r>
      <w:r w:rsidR="00901657">
        <w:rPr>
          <w:rFonts w:ascii="Times New Roman" w:eastAsia="Times New Roman" w:hAnsi="Times New Roman"/>
          <w:sz w:val="24"/>
          <w:szCs w:val="24"/>
        </w:rPr>
        <w:t xml:space="preserve"> </w:t>
      </w:r>
      <w:r w:rsidRPr="008416FE">
        <w:rPr>
          <w:rFonts w:ascii="Times New Roman" w:eastAsia="Times New Roman" w:hAnsi="Times New Roman"/>
          <w:sz w:val="24"/>
          <w:szCs w:val="24"/>
        </w:rPr>
        <w:t>The data is collected for regulatory purposes and not for the purposes of a publication.</w:t>
      </w:r>
    </w:p>
    <w:p w:rsidR="00F20B97" w:rsidRPr="008416FE" w:rsidP="00BD0F89" w14:paraId="5CEC4741" w14:textId="0BB910AF">
      <w:pPr>
        <w:spacing w:after="0" w:line="240" w:lineRule="auto"/>
        <w:rPr>
          <w:rFonts w:ascii="Times New Roman" w:hAnsi="Times New Roman"/>
          <w:sz w:val="24"/>
          <w:szCs w:val="24"/>
        </w:rPr>
      </w:pPr>
      <w:r w:rsidRPr="008416FE">
        <w:rPr>
          <w:rFonts w:ascii="Times New Roman" w:hAnsi="Times New Roman"/>
          <w:sz w:val="24"/>
          <w:szCs w:val="24"/>
        </w:rPr>
        <w:t xml:space="preserve"> </w:t>
      </w:r>
    </w:p>
    <w:p w:rsidR="00F0627E" w:rsidRPr="008416FE" w:rsidP="00BD0F89" w14:paraId="6F76679F" w14:textId="77777777">
      <w:pPr>
        <w:spacing w:after="0" w:line="240" w:lineRule="auto"/>
        <w:rPr>
          <w:rFonts w:ascii="Times New Roman" w:hAnsi="Times New Roman"/>
          <w:b/>
          <w:sz w:val="24"/>
          <w:szCs w:val="24"/>
        </w:rPr>
      </w:pPr>
      <w:r w:rsidRPr="008416FE">
        <w:rPr>
          <w:rFonts w:ascii="Times New Roman" w:hAnsi="Times New Roman"/>
          <w:b/>
          <w:sz w:val="24"/>
          <w:szCs w:val="24"/>
        </w:rPr>
        <w:t xml:space="preserve">17. </w:t>
      </w:r>
      <w:r w:rsidRPr="008416FE">
        <w:rPr>
          <w:rFonts w:ascii="Times New Roman" w:hAnsi="Times New Roman"/>
          <w:b/>
          <w:sz w:val="24"/>
          <w:szCs w:val="24"/>
        </w:rPr>
        <w:t>DISPLAY OF EXPIRATION DATE</w:t>
      </w:r>
    </w:p>
    <w:p w:rsidR="00F0627E" w:rsidRPr="008416FE" w:rsidP="00BD0F89" w14:paraId="2C7224E4" w14:textId="77777777">
      <w:pPr>
        <w:spacing w:after="0" w:line="240" w:lineRule="auto"/>
        <w:rPr>
          <w:rFonts w:ascii="Times New Roman" w:hAnsi="Times New Roman"/>
          <w:sz w:val="24"/>
          <w:szCs w:val="24"/>
        </w:rPr>
      </w:pPr>
    </w:p>
    <w:p w:rsidR="008F283D" w:rsidRPr="008416FE" w:rsidP="008F283D" w14:paraId="2E0405B5" w14:textId="020C2196">
      <w:pPr>
        <w:rPr>
          <w:rFonts w:ascii="Times New Roman" w:hAnsi="Times New Roman"/>
          <w:i/>
          <w:iCs/>
          <w:sz w:val="24"/>
          <w:szCs w:val="24"/>
        </w:rPr>
      </w:pPr>
      <w:r w:rsidRPr="008416FE">
        <w:rPr>
          <w:rFonts w:ascii="Times New Roman" w:hAnsi="Times New Roman"/>
          <w:sz w:val="24"/>
          <w:szCs w:val="24"/>
        </w:rPr>
        <w:t xml:space="preserve">FERC Form Nos. </w:t>
      </w:r>
      <w:r w:rsidRPr="008416FE" w:rsidR="00B71238">
        <w:rPr>
          <w:rFonts w:ascii="Times New Roman" w:hAnsi="Times New Roman"/>
          <w:sz w:val="24"/>
          <w:szCs w:val="24"/>
        </w:rPr>
        <w:t>1, 1-F</w:t>
      </w:r>
      <w:r w:rsidRPr="008416FE">
        <w:rPr>
          <w:rFonts w:ascii="Times New Roman" w:hAnsi="Times New Roman"/>
          <w:sz w:val="24"/>
          <w:szCs w:val="24"/>
        </w:rPr>
        <w:t xml:space="preserve"> and </w:t>
      </w:r>
      <w:r w:rsidRPr="008416FE" w:rsidR="00B71238">
        <w:rPr>
          <w:rFonts w:ascii="Times New Roman" w:hAnsi="Times New Roman"/>
          <w:sz w:val="24"/>
          <w:szCs w:val="24"/>
        </w:rPr>
        <w:t>3</w:t>
      </w:r>
      <w:r w:rsidRPr="008416FE">
        <w:rPr>
          <w:rFonts w:ascii="Times New Roman" w:hAnsi="Times New Roman"/>
          <w:sz w:val="24"/>
          <w:szCs w:val="24"/>
        </w:rPr>
        <w:t>-Q display the OMB control numbers and the expiration dates.</w:t>
      </w:r>
      <w:r w:rsidR="00901657">
        <w:rPr>
          <w:rFonts w:ascii="Times New Roman" w:hAnsi="Times New Roman"/>
          <w:sz w:val="24"/>
          <w:szCs w:val="24"/>
        </w:rPr>
        <w:t xml:space="preserve"> </w:t>
      </w:r>
      <w:r w:rsidRPr="008416FE">
        <w:rPr>
          <w:rFonts w:ascii="Times New Roman" w:hAnsi="Times New Roman"/>
          <w:sz w:val="24"/>
          <w:szCs w:val="24"/>
        </w:rPr>
        <w:t xml:space="preserve">FERC provides the OMB Control Numbers of the information collections along with their expiration dates at </w:t>
      </w:r>
      <w:hyperlink r:id="rId11" w:tgtFrame="_blank" w:history="1">
        <w:r w:rsidRPr="008416FE">
          <w:rPr>
            <w:rStyle w:val="Hyperlink"/>
            <w:rFonts w:ascii="Times New Roman" w:hAnsi="Times New Roman"/>
            <w:sz w:val="24"/>
            <w:szCs w:val="24"/>
          </w:rPr>
          <w:t>www.ferc.gov/information-collections.</w:t>
        </w:r>
        <w:r w:rsidRPr="008416FE">
          <w:rPr>
            <w:rStyle w:val="Hyperlink"/>
            <w:rFonts w:ascii="Times New Roman" w:hAnsi="Times New Roman"/>
            <w:i/>
            <w:iCs/>
            <w:sz w:val="24"/>
            <w:szCs w:val="24"/>
          </w:rPr>
          <w:t xml:space="preserve"> </w:t>
        </w:r>
      </w:hyperlink>
    </w:p>
    <w:p w:rsidR="00027DC9" w:rsidRPr="008416FE" w:rsidP="00BD0F89" w14:paraId="799845B9" w14:textId="77777777">
      <w:pPr>
        <w:spacing w:after="0" w:line="240" w:lineRule="auto"/>
        <w:rPr>
          <w:rFonts w:ascii="Times New Roman" w:hAnsi="Times New Roman"/>
          <w:sz w:val="24"/>
          <w:szCs w:val="24"/>
        </w:rPr>
      </w:pPr>
    </w:p>
    <w:p w:rsidR="00F0627E" w:rsidRPr="008416FE" w:rsidP="00BD0F89" w14:paraId="61B7D1C0" w14:textId="604209FB">
      <w:pPr>
        <w:spacing w:after="0" w:line="240" w:lineRule="auto"/>
        <w:rPr>
          <w:rFonts w:ascii="Times New Roman" w:hAnsi="Times New Roman"/>
          <w:b/>
          <w:sz w:val="24"/>
          <w:szCs w:val="24"/>
        </w:rPr>
      </w:pPr>
      <w:r w:rsidRPr="008416FE">
        <w:rPr>
          <w:rFonts w:ascii="Times New Roman" w:hAnsi="Times New Roman"/>
          <w:b/>
          <w:sz w:val="24"/>
          <w:szCs w:val="24"/>
        </w:rPr>
        <w:t>18.</w:t>
      </w:r>
      <w:r w:rsidR="00901657">
        <w:rPr>
          <w:rFonts w:ascii="Times New Roman" w:hAnsi="Times New Roman"/>
          <w:b/>
          <w:sz w:val="24"/>
          <w:szCs w:val="24"/>
        </w:rPr>
        <w:t xml:space="preserve"> </w:t>
      </w:r>
      <w:r w:rsidRPr="008416FE">
        <w:rPr>
          <w:rFonts w:ascii="Times New Roman" w:hAnsi="Times New Roman"/>
          <w:b/>
          <w:sz w:val="24"/>
          <w:szCs w:val="24"/>
        </w:rPr>
        <w:t>EXCEPTIONS TO THE CERTIFICATION STATEMENT</w:t>
      </w:r>
    </w:p>
    <w:p w:rsidR="001D289D" w:rsidRPr="008416FE" w:rsidP="00BD0F89" w14:paraId="63F6A337" w14:textId="77777777">
      <w:pPr>
        <w:spacing w:after="0" w:line="240" w:lineRule="auto"/>
        <w:rPr>
          <w:rFonts w:ascii="Times New Roman" w:hAnsi="Times New Roman"/>
          <w:b/>
          <w:sz w:val="24"/>
          <w:szCs w:val="24"/>
        </w:rPr>
      </w:pPr>
    </w:p>
    <w:p w:rsidR="00F0627E" w:rsidRPr="008416FE" w14:paraId="07E0677A" w14:textId="77777777">
      <w:pPr>
        <w:spacing w:after="160" w:line="240" w:lineRule="auto"/>
        <w:rPr>
          <w:rFonts w:ascii="Times New Roman" w:hAnsi="Times New Roman"/>
          <w:sz w:val="24"/>
          <w:szCs w:val="24"/>
        </w:rPr>
      </w:pPr>
      <w:r w:rsidRPr="008416FE">
        <w:rPr>
          <w:rFonts w:ascii="Times New Roman" w:hAnsi="Times New Roman"/>
          <w:sz w:val="24"/>
          <w:szCs w:val="24"/>
        </w:rPr>
        <w:t>There are no exception</w:t>
      </w:r>
      <w:r w:rsidRPr="008416FE" w:rsidR="000836EF">
        <w:rPr>
          <w:rFonts w:ascii="Times New Roman" w:hAnsi="Times New Roman"/>
          <w:sz w:val="24"/>
          <w:szCs w:val="24"/>
        </w:rPr>
        <w:t>s</w:t>
      </w:r>
      <w:r w:rsidRPr="008416FE">
        <w:rPr>
          <w:rFonts w:ascii="Times New Roman" w:hAnsi="Times New Roman"/>
          <w:sz w:val="24"/>
          <w:szCs w:val="24"/>
        </w:rPr>
        <w:t xml:space="preserve">. </w:t>
      </w:r>
    </w:p>
    <w:sectPr>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7812702"/>
      <w:docPartObj>
        <w:docPartGallery w:val="Page Numbers (Bottom of Page)"/>
        <w:docPartUnique/>
      </w:docPartObj>
    </w:sdtPr>
    <w:sdtEndPr>
      <w:rPr>
        <w:noProof/>
      </w:rPr>
    </w:sdtEndPr>
    <w:sdtContent>
      <w:p w:rsidR="008E3C4F" w14:paraId="694AABE9" w14:textId="2125798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E3C4F" w14:paraId="70B209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2B2A" w:rsidP="009C7F55" w14:paraId="29448D21" w14:textId="77777777">
      <w:pPr>
        <w:spacing w:after="0" w:line="240" w:lineRule="auto"/>
      </w:pPr>
      <w:r>
        <w:separator/>
      </w:r>
    </w:p>
  </w:footnote>
  <w:footnote w:type="continuationSeparator" w:id="1">
    <w:p w:rsidR="00612B2A" w:rsidP="009C7F55" w14:paraId="49F35339" w14:textId="77777777">
      <w:pPr>
        <w:spacing w:after="0" w:line="240" w:lineRule="auto"/>
      </w:pPr>
      <w:r>
        <w:continuationSeparator/>
      </w:r>
    </w:p>
  </w:footnote>
  <w:footnote w:type="continuationNotice" w:id="2">
    <w:p w:rsidR="00612B2A" w14:paraId="4085465C" w14:textId="77777777">
      <w:pPr>
        <w:spacing w:after="0" w:line="240" w:lineRule="auto"/>
      </w:pPr>
    </w:p>
  </w:footnote>
  <w:footnote w:id="3">
    <w:p w:rsidR="008E3C4F" w:rsidRPr="008416FE" w:rsidP="00CC72A5" w14:paraId="78F70F6B" w14:textId="549CB934">
      <w:pPr>
        <w:pStyle w:val="FootnoteText"/>
      </w:pPr>
      <w:r w:rsidRPr="008416FE">
        <w:rPr>
          <w:vertAlign w:val="superscript"/>
        </w:rPr>
        <w:footnoteRef/>
      </w:r>
      <w:r w:rsidRPr="008416FE">
        <w:rPr>
          <w:vertAlign w:val="superscript"/>
        </w:rPr>
        <w:t xml:space="preserve"> </w:t>
      </w:r>
      <w:r w:rsidRPr="008416FE">
        <w:t>18 C.F.R. § 141.1.</w:t>
      </w:r>
      <w:r w:rsidR="00901657">
        <w:t xml:space="preserve"> </w:t>
      </w:r>
      <w:r w:rsidRPr="008416FE">
        <w:t>Nonoperating entities formerly designated as Major and new entities that expect to be in the Major category should file as detailed in 18 C.F.R. § 101, General Instructions (1)(A)(3).</w:t>
      </w:r>
    </w:p>
  </w:footnote>
  <w:footnote w:id="4">
    <w:p w:rsidR="008E3C4F" w:rsidRPr="008416FE" w:rsidP="008416FE" w14:paraId="07B6B811" w14:textId="2F7FABA1">
      <w:pPr>
        <w:pStyle w:val="FootnoteText"/>
      </w:pPr>
      <w:r w:rsidRPr="008416FE">
        <w:rPr>
          <w:vertAlign w:val="superscript"/>
        </w:rPr>
        <w:footnoteRef/>
      </w:r>
      <w:r w:rsidRPr="008416FE">
        <w:rPr>
          <w:vertAlign w:val="superscript"/>
        </w:rPr>
        <w:t xml:space="preserve"> </w:t>
      </w:r>
      <w:r w:rsidRPr="008416FE">
        <w:t>18 C.F.R. § 141.2.</w:t>
      </w:r>
      <w:r w:rsidR="00901657">
        <w:t xml:space="preserve"> </w:t>
      </w:r>
      <w:r w:rsidRPr="008416FE">
        <w:t>Nonoperating entities formerly designated as Nonmajor and new entities that expect to be in the Nonmajor category should file as detailed in 18 C.F.R. § 101, General Instructions (1)(A)(2)</w:t>
      </w:r>
      <w:r w:rsidRPr="008416FE" w:rsidR="00B15BA1">
        <w:t xml:space="preserve"> and (3)</w:t>
      </w:r>
      <w:r w:rsidRPr="008416FE">
        <w:t>.</w:t>
      </w:r>
    </w:p>
    <w:p w:rsidR="008E3C4F" w:rsidRPr="0073506C" w:rsidP="00CC72A5" w14:paraId="63F0FD0F" w14:textId="77777777">
      <w:pPr>
        <w:pStyle w:val="FootnoteText"/>
        <w:rPr>
          <w:sz w:val="26"/>
          <w:szCs w:val="26"/>
        </w:rPr>
      </w:pPr>
    </w:p>
  </w:footnote>
  <w:footnote w:id="5">
    <w:p w:rsidR="008E3C4F" w:rsidRPr="008416FE" w:rsidP="00203A6C" w14:paraId="5ECF1201" w14:textId="17DCEA24">
      <w:pPr>
        <w:pStyle w:val="FootnoteText"/>
      </w:pPr>
      <w:r w:rsidRPr="008416FE">
        <w:rPr>
          <w:rStyle w:val="FootnoteReference"/>
          <w:rFonts w:eastAsia="Calibri"/>
          <w:vertAlign w:val="superscript"/>
        </w:rPr>
        <w:footnoteRef/>
      </w:r>
      <w:r w:rsidRPr="008416FE">
        <w:t xml:space="preserve"> 18 C.F.R. </w:t>
      </w:r>
      <w:bookmarkStart w:id="0" w:name="_Hlk193439820"/>
      <w:r w:rsidRPr="008416FE">
        <w:t>§ 260.1(b)</w:t>
      </w:r>
      <w:bookmarkEnd w:id="0"/>
      <w:r w:rsidRPr="008416FE" w:rsidR="004F5BCD">
        <w:t xml:space="preserve"> and </w:t>
      </w:r>
      <w:r w:rsidRPr="008416FE" w:rsidR="007E1F95">
        <w:t xml:space="preserve">18 C.F.R </w:t>
      </w:r>
      <w:bookmarkStart w:id="1" w:name="_Hlk193439872"/>
      <w:r w:rsidRPr="008416FE" w:rsidR="004F5BCD">
        <w:t>§ 260.</w:t>
      </w:r>
      <w:r w:rsidRPr="008416FE" w:rsidR="007E1F95">
        <w:t>2</w:t>
      </w:r>
      <w:r w:rsidRPr="008416FE" w:rsidR="004F5BCD">
        <w:t>(b)</w:t>
      </w:r>
      <w:r w:rsidRPr="008416FE">
        <w:t>.</w:t>
      </w:r>
      <w:r w:rsidR="00901657">
        <w:t xml:space="preserve"> </w:t>
      </w:r>
      <w:bookmarkEnd w:id="1"/>
      <w:r w:rsidRPr="008416FE">
        <w:t>For natural gas, “Major” pertains to a company whose combined gas transported or stored for a fee exceed 50 million Dth in each of the three previous calendar years.</w:t>
      </w:r>
      <w:r w:rsidR="00901657">
        <w:t xml:space="preserve"> </w:t>
      </w:r>
      <w:r w:rsidRPr="008416FE">
        <w:t>18 C.F.R. § 260.2(b).</w:t>
      </w:r>
      <w:r w:rsidR="00901657">
        <w:t xml:space="preserve"> </w:t>
      </w:r>
      <w:r w:rsidRPr="008416FE">
        <w:t xml:space="preserve">“Nonmajor” pertains to a company not meeting the filing threshold for </w:t>
      </w:r>
      <w:r w:rsidRPr="008416FE">
        <w:t>Major, but</w:t>
      </w:r>
      <w:r w:rsidRPr="008416FE">
        <w:t xml:space="preserve"> having total gas sales or volume transactions exceeding 200,000 Dth in each of the three previous calendar years.</w:t>
      </w:r>
      <w:r w:rsidR="00901657">
        <w:t xml:space="preserve"> </w:t>
      </w:r>
      <w:r w:rsidRPr="008416FE" w:rsidR="007E1F95">
        <w:t>18 C.F.R § 260.2(b).</w:t>
      </w:r>
      <w:r w:rsidR="00901657">
        <w:t xml:space="preserve"> </w:t>
      </w:r>
    </w:p>
  </w:footnote>
  <w:footnote w:id="6">
    <w:p w:rsidR="008E3C4F" w:rsidRPr="008416FE" w:rsidP="00203A6C" w14:paraId="484AE026" w14:textId="28459AF1">
      <w:pPr>
        <w:pStyle w:val="FootnoteText"/>
      </w:pPr>
      <w:r w:rsidRPr="008416FE">
        <w:rPr>
          <w:rStyle w:val="FootnoteReference"/>
          <w:rFonts w:eastAsia="Calibri"/>
          <w:vertAlign w:val="superscript"/>
        </w:rPr>
        <w:footnoteRef/>
      </w:r>
      <w:r w:rsidRPr="008416FE">
        <w:t xml:space="preserve"> </w:t>
      </w:r>
      <w:r w:rsidRPr="008416FE">
        <w:rPr>
          <w:i/>
        </w:rPr>
        <w:t>See</w:t>
      </w:r>
      <w:r w:rsidRPr="008416FE">
        <w:t xml:space="preserve"> 18 C.F.R. Part 101 (Uniform System of Accounts Prescribed </w:t>
      </w:r>
      <w:r w:rsidRPr="008416FE">
        <w:t>For</w:t>
      </w:r>
      <w:r w:rsidRPr="008416FE">
        <w:t xml:space="preserve"> Public Utilities And Licensees Subject To The Provisions Of The Federal Power Act).</w:t>
      </w:r>
    </w:p>
  </w:footnote>
  <w:footnote w:id="7">
    <w:p w:rsidR="00584885" w:rsidRPr="008416FE" w:rsidP="00203A6C" w14:paraId="49ACF0C5" w14:textId="414B6C52">
      <w:pPr>
        <w:pStyle w:val="FootnoteText"/>
      </w:pPr>
      <w:r w:rsidRPr="008416FE">
        <w:rPr>
          <w:rStyle w:val="FootnoteReference"/>
          <w:vertAlign w:val="superscript"/>
        </w:rPr>
        <w:footnoteRef/>
      </w:r>
      <w:r w:rsidRPr="008416FE" w:rsidR="00DF208F">
        <w:t xml:space="preserve"> </w:t>
      </w:r>
      <w:r w:rsidRPr="008416FE">
        <w:rPr>
          <w:i/>
          <w:iCs/>
        </w:rPr>
        <w:t xml:space="preserve">See Revisions </w:t>
      </w:r>
      <w:r w:rsidRPr="008416FE">
        <w:rPr>
          <w:i/>
          <w:iCs/>
        </w:rPr>
        <w:t>To</w:t>
      </w:r>
      <w:r w:rsidRPr="008416FE">
        <w:rPr>
          <w:i/>
          <w:iCs/>
        </w:rPr>
        <w:t xml:space="preserve"> Forms, Statements and Reporting Requirements For Electric Utilities and Licensees</w:t>
      </w:r>
      <w:r w:rsidRPr="008416FE">
        <w:t xml:space="preserve">, 124 FERC </w:t>
      </w:r>
      <w:r w:rsidRPr="008416FE" w:rsidR="00D863A2">
        <w:t>¶</w:t>
      </w:r>
      <w:r w:rsidRPr="008416FE">
        <w:t xml:space="preserve"> 61</w:t>
      </w:r>
      <w:r w:rsidRPr="008416FE" w:rsidR="00A65913">
        <w:t>,</w:t>
      </w:r>
      <w:r w:rsidRPr="008416FE">
        <w:t>273, at P 13 (2008).</w:t>
      </w:r>
      <w:r w:rsidR="00901657">
        <w:t xml:space="preserve"> </w:t>
      </w:r>
      <w:r w:rsidRPr="008416FE">
        <w:rPr>
          <w:i/>
          <w:iCs/>
        </w:rPr>
        <w:t>See also Quarterly Financial Reporting and Revisions to the Annual Reports</w:t>
      </w:r>
      <w:r w:rsidRPr="008416FE">
        <w:t>, Order No. 646, 106 FERC ¶ 61,113, at PP 3-4 (2004).</w:t>
      </w:r>
      <w:r w:rsidR="00901657">
        <w:t xml:space="preserve"> </w:t>
      </w:r>
      <w:r w:rsidRPr="008416FE" w:rsidR="008578F5">
        <w:rPr>
          <w:i/>
          <w:iCs/>
        </w:rPr>
        <w:t>See</w:t>
      </w:r>
      <w:r w:rsidRPr="008416FE" w:rsidR="007361D8">
        <w:rPr>
          <w:i/>
          <w:iCs/>
        </w:rPr>
        <w:t xml:space="preserve"> also</w:t>
      </w:r>
      <w:r w:rsidRPr="008416FE" w:rsidR="008578F5">
        <w:rPr>
          <w:i/>
          <w:iCs/>
        </w:rPr>
        <w:t xml:space="preserve"> </w:t>
      </w:r>
      <w:r w:rsidRPr="008416FE" w:rsidR="008578F5">
        <w:rPr>
          <w:i/>
          <w:iCs/>
        </w:rPr>
        <w:t>Transource</w:t>
      </w:r>
      <w:r w:rsidRPr="008416FE" w:rsidR="008578F5">
        <w:rPr>
          <w:i/>
          <w:iCs/>
        </w:rPr>
        <w:t xml:space="preserve"> Kansas, LLC</w:t>
      </w:r>
      <w:r w:rsidRPr="008416FE" w:rsidR="008578F5">
        <w:t>, 151 FERC ¶ 61,010</w:t>
      </w:r>
      <w:r w:rsidRPr="008416FE" w:rsidR="00331BD5">
        <w:t>,</w:t>
      </w:r>
      <w:r w:rsidRPr="008416FE" w:rsidR="008578F5">
        <w:t xml:space="preserve"> at P 54 (2015)</w:t>
      </w:r>
      <w:r w:rsidRPr="008416FE" w:rsidR="00562A6A">
        <w:t xml:space="preserve"> (recognizing the company’s proposed formula rate is a forward-looking formula whereby the company first forecasts and later “determines a true-up of the forecasted values after the actual data become available in the FERC Form No. 1.”)</w:t>
      </w:r>
      <w:r w:rsidRPr="008416FE" w:rsidR="00E96F95">
        <w:t xml:space="preserve">, </w:t>
      </w:r>
      <w:r w:rsidRPr="008416FE" w:rsidR="00E96F95">
        <w:rPr>
          <w:i/>
        </w:rPr>
        <w:t>order on reh’g and compliance</w:t>
      </w:r>
      <w:r w:rsidRPr="008416FE" w:rsidR="002F0615">
        <w:t xml:space="preserve">, 154 FERC ¶ </w:t>
      </w:r>
      <w:r w:rsidRPr="008416FE" w:rsidR="006C4697">
        <w:t>61,011 (2016)</w:t>
      </w:r>
      <w:r w:rsidRPr="008416FE" w:rsidR="00CA110E">
        <w:t xml:space="preserve">, </w:t>
      </w:r>
      <w:r w:rsidRPr="008416FE" w:rsidR="00CA110E">
        <w:rPr>
          <w:i/>
        </w:rPr>
        <w:t>Kansas Corp</w:t>
      </w:r>
      <w:r w:rsidRPr="008416FE" w:rsidR="00AD047C">
        <w:rPr>
          <w:i/>
        </w:rPr>
        <w:t>. Commission v. FERC</w:t>
      </w:r>
      <w:r w:rsidRPr="008416FE" w:rsidR="00AD047C">
        <w:t>, 881 F. 3d 924</w:t>
      </w:r>
      <w:r w:rsidRPr="008416FE" w:rsidR="00C17039">
        <w:t xml:space="preserve"> (D.C. Cir. </w:t>
      </w:r>
      <w:r w:rsidRPr="008416FE" w:rsidR="0048258F">
        <w:t>2018)</w:t>
      </w:r>
      <w:r w:rsidRPr="008416FE" w:rsidR="001C78BA">
        <w:t xml:space="preserve"> (</w:t>
      </w:r>
      <w:r w:rsidRPr="008416FE" w:rsidR="00D3619C">
        <w:t>reh</w:t>
      </w:r>
      <w:r w:rsidRPr="008416FE" w:rsidR="00DC67DB">
        <w:t>earin</w:t>
      </w:r>
      <w:r w:rsidRPr="008416FE" w:rsidR="00D3619C">
        <w:t xml:space="preserve">g </w:t>
      </w:r>
      <w:r w:rsidRPr="008416FE" w:rsidR="00D3619C">
        <w:t>en</w:t>
      </w:r>
      <w:r w:rsidRPr="008416FE" w:rsidR="00D3619C">
        <w:t xml:space="preserve"> banc denied</w:t>
      </w:r>
      <w:r w:rsidRPr="008416FE" w:rsidR="00DC67DB">
        <w:t>)</w:t>
      </w:r>
      <w:r w:rsidRPr="008416FE" w:rsidR="007A00D1">
        <w:t>.</w:t>
      </w:r>
      <w:r w:rsidRPr="008416FE" w:rsidR="002F0615">
        <w:t xml:space="preserve"> </w:t>
      </w:r>
    </w:p>
    <w:p w:rsidR="001253C3" w14:paraId="284C3F69" w14:textId="0A9D98C6">
      <w:pPr>
        <w:pStyle w:val="FootnoteText"/>
      </w:pPr>
    </w:p>
  </w:footnote>
  <w:footnote w:id="8">
    <w:p w:rsidR="008C613E" w:rsidRPr="00203A6C" w:rsidP="00203A6C" w14:paraId="0BFF062A" w14:textId="16F49159">
      <w:pPr>
        <w:pStyle w:val="FootnoteText"/>
      </w:pPr>
      <w:r w:rsidRPr="00203A6C">
        <w:rPr>
          <w:rStyle w:val="FootnoteReference"/>
          <w:vertAlign w:val="superscript"/>
        </w:rPr>
        <w:footnoteRef/>
      </w:r>
      <w:r w:rsidRPr="00203A6C">
        <w:t xml:space="preserve"> See </w:t>
      </w:r>
      <w:r w:rsidRPr="00203A6C" w:rsidR="00EF0755">
        <w:rPr>
          <w:i/>
          <w:iCs/>
        </w:rPr>
        <w:t>Pacific Gas and Electric Company</w:t>
      </w:r>
      <w:r w:rsidRPr="00203A6C" w:rsidR="00EF0755">
        <w:t>, 189 FERC ¶ 61,178 (2024) (“</w:t>
      </w:r>
      <w:r w:rsidRPr="00203A6C" w:rsidR="005C6A76">
        <w:t>Comparable financial information amongst public utilities is important as it allows the Commission to make informed decisions, establish benchmarks, and perform analysis that relates to an individual public utility and to the industry as a whole… [A]</w:t>
      </w:r>
      <w:r w:rsidRPr="00203A6C" w:rsidR="0038076D">
        <w:t>ccurate</w:t>
      </w:r>
      <w:r w:rsidRPr="00203A6C" w:rsidR="0038076D">
        <w:t xml:space="preserve"> accounting and reporting is important to all users of financial statements as it presents reliable, meaningful, and decision-useful information and maintains transparency, accountability, and credibility of reported data.”</w:t>
      </w:r>
    </w:p>
  </w:footnote>
  <w:footnote w:id="9">
    <w:p w:rsidR="0066301D" w:rsidRPr="00203A6C" w:rsidP="00203A6C" w14:paraId="44910F1D" w14:textId="325E9857">
      <w:pPr>
        <w:pStyle w:val="FootnoteText"/>
      </w:pPr>
      <w:r w:rsidRPr="00203A6C">
        <w:rPr>
          <w:rStyle w:val="FootnoteReference"/>
          <w:vertAlign w:val="superscript"/>
        </w:rPr>
        <w:footnoteRef/>
      </w:r>
      <w:r w:rsidR="00901657">
        <w:t xml:space="preserve"> </w:t>
      </w:r>
      <w:r w:rsidRPr="00203A6C" w:rsidR="00463F23">
        <w:t xml:space="preserve">Order No. 646 </w:t>
      </w:r>
      <w:r w:rsidRPr="00203A6C" w:rsidR="008C6F0A">
        <w:t>a</w:t>
      </w:r>
      <w:r w:rsidRPr="00203A6C" w:rsidR="00ED2C02">
        <w:t>t P 16.</w:t>
      </w:r>
    </w:p>
  </w:footnote>
  <w:footnote w:id="10">
    <w:p w:rsidR="008E3C4F" w:rsidRPr="0073506C" w:rsidP="00203A6C" w14:paraId="7B85E37A" w14:textId="2B72B790">
      <w:pPr>
        <w:pStyle w:val="FootnoteText"/>
        <w:rPr>
          <w:sz w:val="26"/>
          <w:szCs w:val="26"/>
        </w:rPr>
      </w:pPr>
      <w:r w:rsidRPr="00203A6C">
        <w:rPr>
          <w:rStyle w:val="FootnoteReference"/>
          <w:rFonts w:eastAsia="Calibri"/>
          <w:vertAlign w:val="superscript"/>
        </w:rPr>
        <w:footnoteRef/>
      </w:r>
      <w:r w:rsidRPr="00203A6C">
        <w:t xml:space="preserve"> </w:t>
      </w:r>
      <w:r w:rsidRPr="00203A6C">
        <w:rPr>
          <w:i/>
        </w:rPr>
        <w:t>See</w:t>
      </w:r>
      <w:r w:rsidRPr="00203A6C">
        <w:t xml:space="preserve"> 18 C.F.R. Part 201 (Uniform System </w:t>
      </w:r>
      <w:r w:rsidRPr="00203A6C">
        <w:t>Of</w:t>
      </w:r>
      <w:r w:rsidRPr="00203A6C">
        <w:t xml:space="preserve"> Accounts Prescribed For Natural Gas Companies Subject To The Provisions Of The Natural Gas Act).</w:t>
      </w:r>
    </w:p>
  </w:footnote>
  <w:footnote w:id="11">
    <w:p w:rsidR="008C6F0A" w:rsidRPr="000A6209" w:rsidP="000A6209" w14:paraId="3E292794" w14:textId="59B0A281">
      <w:pPr>
        <w:pStyle w:val="FootnoteText"/>
      </w:pPr>
      <w:r w:rsidRPr="000A6209">
        <w:rPr>
          <w:rStyle w:val="FootnoteReference"/>
          <w:vertAlign w:val="superscript"/>
        </w:rPr>
        <w:footnoteRef/>
      </w:r>
      <w:r w:rsidRPr="000A6209">
        <w:rPr>
          <w:vertAlign w:val="superscript"/>
        </w:rPr>
        <w:t xml:space="preserve"> </w:t>
      </w:r>
      <w:r w:rsidRPr="000A6209">
        <w:rPr>
          <w:i/>
          <w:iCs/>
        </w:rPr>
        <w:t xml:space="preserve">See </w:t>
      </w:r>
      <w:r w:rsidRPr="000A6209">
        <w:t>Order No. 646, 106 FERC ¶ 61,113, at PP 3-4 (2004).</w:t>
      </w:r>
      <w:r w:rsidR="00901657">
        <w:t xml:space="preserve"> </w:t>
      </w:r>
      <w:r w:rsidRPr="000A6209" w:rsidR="003D2D7E">
        <w:rPr>
          <w:i/>
          <w:iCs/>
        </w:rPr>
        <w:t>See also Tuscarora Gas Transmission Company</w:t>
      </w:r>
      <w:r w:rsidRPr="000A6209" w:rsidR="003D2D7E">
        <w:t>, 154 FERC ¶ 61,030</w:t>
      </w:r>
      <w:r w:rsidRPr="000A6209" w:rsidR="00266CCB">
        <w:t>,</w:t>
      </w:r>
      <w:r w:rsidRPr="000A6209" w:rsidR="003D2D7E">
        <w:t xml:space="preserve"> at PP 4-8 (2016) (initiating an NGA section 5 proceeding to determine whether the company’s rates were just and reasonable based on a “</w:t>
      </w:r>
      <w:r w:rsidRPr="000A6209" w:rsidR="003D2D7E">
        <w:t>review[</w:t>
      </w:r>
      <w:r w:rsidRPr="000A6209" w:rsidR="003D2D7E">
        <w:t>] of the cost and revenue information provided by Tuscarora in its Form 2…”)</w:t>
      </w:r>
      <w:r w:rsidRPr="000A6209" w:rsidR="00DB2E08">
        <w:t xml:space="preserve">, </w:t>
      </w:r>
      <w:r w:rsidRPr="000A6209" w:rsidR="00DB2E08">
        <w:rPr>
          <w:i/>
          <w:iCs/>
        </w:rPr>
        <w:t xml:space="preserve">order denying reh’g and </w:t>
      </w:r>
      <w:r w:rsidRPr="000A6209" w:rsidR="00445DF2">
        <w:rPr>
          <w:i/>
          <w:iCs/>
        </w:rPr>
        <w:t xml:space="preserve">granting </w:t>
      </w:r>
      <w:r w:rsidRPr="000A6209" w:rsidR="00DB2E08">
        <w:rPr>
          <w:i/>
          <w:iCs/>
        </w:rPr>
        <w:t>clarification,</w:t>
      </w:r>
      <w:r w:rsidRPr="000A6209" w:rsidR="00DB2E08">
        <w:t xml:space="preserve"> </w:t>
      </w:r>
      <w:r w:rsidRPr="000A6209" w:rsidR="00445DF2">
        <w:t>154 FERC ¶ 61,273 (</w:t>
      </w:r>
      <w:r w:rsidRPr="000A6209" w:rsidR="00A82EF3">
        <w:t>2016)</w:t>
      </w:r>
      <w:r w:rsidRPr="000A6209" w:rsidR="003D2D7E">
        <w:t>.</w:t>
      </w:r>
      <w:r w:rsidR="00901657">
        <w:t xml:space="preserve"> </w:t>
      </w:r>
    </w:p>
  </w:footnote>
  <w:footnote w:id="12">
    <w:p w:rsidR="00FE7629" w:rsidRPr="000A6209" w:rsidP="000A6209" w14:paraId="0FBB047C" w14:textId="6D6BB945">
      <w:pPr>
        <w:pStyle w:val="FootnoteText"/>
      </w:pPr>
      <w:r w:rsidRPr="000A6209">
        <w:rPr>
          <w:rStyle w:val="FootnoteReference"/>
          <w:rFonts w:eastAsia="Calibri"/>
          <w:vertAlign w:val="superscript"/>
        </w:rPr>
        <w:footnoteRef/>
      </w:r>
      <w:r w:rsidRPr="000A6209">
        <w:rPr>
          <w:rStyle w:val="FootnoteReference"/>
          <w:rFonts w:eastAsia="Calibri"/>
          <w:vertAlign w:val="superscript"/>
        </w:rPr>
        <w:t xml:space="preserve"> </w:t>
      </w:r>
      <w:r w:rsidRPr="000A6209" w:rsidR="000F60AE">
        <w:rPr>
          <w:iCs/>
        </w:rPr>
        <w:t>Order No. 646</w:t>
      </w:r>
      <w:r w:rsidRPr="000A6209" w:rsidR="000F60AE">
        <w:rPr>
          <w:i/>
        </w:rPr>
        <w:t xml:space="preserve"> </w:t>
      </w:r>
      <w:r w:rsidRPr="000A6209">
        <w:t>at P 16.</w:t>
      </w:r>
      <w:r w:rsidR="00901657">
        <w:t xml:space="preserve"> </w:t>
      </w:r>
    </w:p>
  </w:footnote>
  <w:footnote w:id="13">
    <w:p w:rsidR="00780CDD" w:rsidRPr="000A6209" w:rsidP="000A6209" w14:paraId="35F7AF0E" w14:textId="3E9B5732">
      <w:pPr>
        <w:pStyle w:val="FootnoteText"/>
      </w:pPr>
      <w:r w:rsidRPr="000A6209">
        <w:rPr>
          <w:rStyle w:val="FootnoteReference"/>
          <w:rFonts w:eastAsia="Calibri"/>
          <w:vertAlign w:val="superscript"/>
        </w:rPr>
        <w:footnoteRef/>
      </w:r>
      <w:r w:rsidRPr="000A6209">
        <w:t xml:space="preserve"> </w:t>
      </w:r>
      <w:bookmarkStart w:id="3" w:name="_Hlk200602569"/>
      <w:r w:rsidRPr="000A6209">
        <w:rPr>
          <w:i/>
          <w:iCs/>
        </w:rPr>
        <w:t>Revisions</w:t>
      </w:r>
      <w:bookmarkEnd w:id="3"/>
      <w:r w:rsidRPr="000A6209">
        <w:rPr>
          <w:i/>
          <w:iCs/>
        </w:rPr>
        <w:t xml:space="preserve"> to the Filing Process for Commission Forms</w:t>
      </w:r>
      <w:r w:rsidRPr="000A6209">
        <w:t xml:space="preserve">, </w:t>
      </w:r>
      <w:r w:rsidRPr="000A6209" w:rsidR="000E3170">
        <w:t xml:space="preserve">Order No. 859, </w:t>
      </w:r>
      <w:r w:rsidRPr="000A6209">
        <w:t xml:space="preserve">167 FERC </w:t>
      </w:r>
      <w:bookmarkStart w:id="4" w:name="_Hlk200627610"/>
      <w:r w:rsidRPr="000A6209">
        <w:t>¶</w:t>
      </w:r>
      <w:bookmarkEnd w:id="4"/>
      <w:r w:rsidRPr="000A6209">
        <w:t xml:space="preserve"> 61,241 (2019).</w:t>
      </w:r>
    </w:p>
  </w:footnote>
  <w:footnote w:id="14">
    <w:p w:rsidR="000F1E18" w:rsidP="000A6209" w14:paraId="5C4C4623" w14:textId="76E853CE">
      <w:pPr>
        <w:pStyle w:val="FootnoteText"/>
      </w:pPr>
      <w:r w:rsidRPr="000A6209">
        <w:rPr>
          <w:rStyle w:val="FootnoteReference"/>
          <w:vertAlign w:val="superscript"/>
        </w:rPr>
        <w:footnoteRef/>
      </w:r>
      <w:r w:rsidRPr="000A6209">
        <w:t xml:space="preserve"> </w:t>
      </w:r>
      <w:r w:rsidRPr="000A6209" w:rsidR="00D659CA">
        <w:rPr>
          <w:i/>
          <w:iCs/>
        </w:rPr>
        <w:t>Id.</w:t>
      </w:r>
    </w:p>
  </w:footnote>
  <w:footnote w:id="15">
    <w:p w:rsidR="00687F21" w:rsidRPr="002127B1" w:rsidP="002127B1" w14:paraId="78D43026" w14:textId="2010784C">
      <w:pPr>
        <w:pStyle w:val="FootnoteText"/>
      </w:pPr>
      <w:r w:rsidRPr="000A6209">
        <w:rPr>
          <w:rStyle w:val="FootnoteReference"/>
          <w:vertAlign w:val="superscript"/>
        </w:rPr>
        <w:footnoteRef/>
      </w:r>
      <w:r w:rsidRPr="000A6209">
        <w:t xml:space="preserve"> </w:t>
      </w:r>
      <w:r w:rsidRPr="000A6209">
        <w:rPr>
          <w:i/>
        </w:rPr>
        <w:t>See</w:t>
      </w:r>
      <w:r w:rsidRPr="000A6209">
        <w:t xml:space="preserve"> Order No. 646 at P 110</w:t>
      </w:r>
      <w:r w:rsidRPr="000A6209" w:rsidR="00967FCE">
        <w:t xml:space="preserve"> (finding that</w:t>
      </w:r>
      <w:r w:rsidRPr="000A6209" w:rsidR="000F7320">
        <w:t xml:space="preserve"> “if the recordkeeping requirements represent an undue burden on small businesses, the entity affected may seek a waiver from the Commission</w:t>
      </w:r>
      <w:r w:rsidRPr="000A6209" w:rsidR="00F110BA">
        <w:t>”)</w:t>
      </w:r>
      <w:r w:rsidRPr="000A6209" w:rsidR="00056691">
        <w:t>.</w:t>
      </w:r>
    </w:p>
  </w:footnote>
  <w:footnote w:id="16">
    <w:p w:rsidR="00F1723E" w:rsidRPr="002127B1" w:rsidP="002127B1" w14:paraId="46612328" w14:textId="5924666A">
      <w:pPr>
        <w:pStyle w:val="FootnoteText"/>
      </w:pPr>
      <w:r w:rsidRPr="002127B1">
        <w:rPr>
          <w:rStyle w:val="FootnoteReference"/>
          <w:rFonts w:eastAsia="Calibri"/>
          <w:vertAlign w:val="superscript"/>
        </w:rPr>
        <w:footnoteRef/>
      </w:r>
      <w:r w:rsidRPr="002127B1" w:rsidR="46FE3797">
        <w:t xml:space="preserve"> 90 F</w:t>
      </w:r>
      <w:r w:rsidR="00A32209">
        <w:t xml:space="preserve">R </w:t>
      </w:r>
      <w:r w:rsidRPr="002127B1" w:rsidR="46FE3797">
        <w:t>9151</w:t>
      </w:r>
    </w:p>
  </w:footnote>
  <w:footnote w:id="17">
    <w:p w:rsidR="005D59FD" w:rsidRPr="002127B1" w:rsidP="002127B1" w14:paraId="1EA982CD" w14:textId="75131C1A">
      <w:pPr>
        <w:pStyle w:val="FootnoteText"/>
      </w:pPr>
      <w:r w:rsidRPr="002127B1">
        <w:rPr>
          <w:rStyle w:val="FootnoteReference"/>
          <w:rFonts w:eastAsia="Calibri"/>
          <w:vertAlign w:val="superscript"/>
        </w:rPr>
        <w:footnoteRef/>
      </w:r>
      <w:r w:rsidRPr="002127B1">
        <w:t xml:space="preserve"> </w:t>
      </w:r>
      <w:r w:rsidR="00304390">
        <w:t>90 FR 26280</w:t>
      </w:r>
    </w:p>
    <w:p w:rsidR="005D59FD" w:rsidRPr="002127B1" w:rsidP="00F55FFF" w14:paraId="680BA7D2" w14:textId="77777777">
      <w:pPr>
        <w:pStyle w:val="FootnoteText"/>
        <w:ind w:firstLine="720"/>
      </w:pPr>
    </w:p>
  </w:footnote>
  <w:footnote w:id="18">
    <w:p w:rsidR="003007C1" w:rsidRPr="002127B1" w:rsidP="002127B1" w14:paraId="6A2043D7" w14:textId="6583F0B0">
      <w:pPr>
        <w:pStyle w:val="FootnoteText"/>
      </w:pPr>
      <w:r w:rsidRPr="002127B1">
        <w:rPr>
          <w:rStyle w:val="FootnoteReference"/>
          <w:rFonts w:eastAsia="Calibri"/>
          <w:vertAlign w:val="superscript"/>
        </w:rPr>
        <w:footnoteRef/>
      </w:r>
      <w:r w:rsidRPr="002127B1">
        <w:t xml:space="preserve"> The nine electric utilities companies are: </w:t>
      </w:r>
      <w:r w:rsidRPr="002127B1" w:rsidR="00AF7137">
        <w:t>American Electric Power Service Corporation</w:t>
      </w:r>
      <w:r w:rsidRPr="002127B1" w:rsidR="00CB765F">
        <w:t xml:space="preserve"> (AEP)</w:t>
      </w:r>
      <w:r w:rsidRPr="002127B1" w:rsidR="005E522F">
        <w:t>;</w:t>
      </w:r>
      <w:r w:rsidRPr="002127B1" w:rsidR="00AF7137">
        <w:t xml:space="preserve"> </w:t>
      </w:r>
      <w:r w:rsidRPr="002127B1" w:rsidR="00B176F6">
        <w:t>Duke Energy Corporation</w:t>
      </w:r>
      <w:r w:rsidRPr="002127B1" w:rsidR="00CB765F">
        <w:t xml:space="preserve"> (Duke</w:t>
      </w:r>
      <w:r w:rsidRPr="002127B1" w:rsidR="00B246A6">
        <w:t xml:space="preserve"> Energy</w:t>
      </w:r>
      <w:r w:rsidRPr="002127B1" w:rsidR="00CB765F">
        <w:t>)</w:t>
      </w:r>
      <w:r w:rsidRPr="002127B1" w:rsidR="00B176F6">
        <w:t xml:space="preserve">; </w:t>
      </w:r>
      <w:r w:rsidRPr="002127B1" w:rsidR="00B86E62">
        <w:t>Entergy Services, LLC</w:t>
      </w:r>
      <w:r w:rsidRPr="002127B1" w:rsidR="00CB765F">
        <w:t xml:space="preserve"> (Entergy)</w:t>
      </w:r>
      <w:r w:rsidRPr="002127B1" w:rsidR="00B86E62">
        <w:t>;</w:t>
      </w:r>
      <w:r w:rsidRPr="002127B1" w:rsidR="00B176F6">
        <w:t xml:space="preserve"> Exelon Corporation</w:t>
      </w:r>
      <w:r w:rsidRPr="002127B1" w:rsidR="00CB765F">
        <w:t xml:space="preserve"> (Exelon)</w:t>
      </w:r>
      <w:r w:rsidRPr="002127B1" w:rsidR="00B176F6">
        <w:t>;</w:t>
      </w:r>
      <w:r w:rsidRPr="002127B1" w:rsidR="00B86E62">
        <w:t xml:space="preserve"> </w:t>
      </w:r>
      <w:r w:rsidRPr="002127B1" w:rsidR="00AF7137">
        <w:t>Evergy, Inc.</w:t>
      </w:r>
      <w:r w:rsidRPr="002127B1" w:rsidR="00CB765F">
        <w:t xml:space="preserve"> (</w:t>
      </w:r>
      <w:r w:rsidRPr="002127B1" w:rsidR="00810E80">
        <w:t>E</w:t>
      </w:r>
      <w:r w:rsidRPr="002127B1" w:rsidR="00CB765F">
        <w:t>vergy)</w:t>
      </w:r>
      <w:r w:rsidRPr="002127B1" w:rsidR="00B86E62">
        <w:t>;</w:t>
      </w:r>
      <w:r w:rsidRPr="002127B1" w:rsidR="00007760">
        <w:t xml:space="preserve"> </w:t>
      </w:r>
      <w:r w:rsidRPr="002127B1" w:rsidR="00B86E62">
        <w:t>FirstEnergy Service Company</w:t>
      </w:r>
      <w:r w:rsidRPr="002127B1" w:rsidR="00CB765F">
        <w:t xml:space="preserve"> (FirstEnergy)</w:t>
      </w:r>
      <w:r w:rsidRPr="002127B1" w:rsidR="00B86E62">
        <w:t xml:space="preserve">; </w:t>
      </w:r>
      <w:r w:rsidRPr="002127B1" w:rsidR="00A31A1B">
        <w:t>Portland General Electric Company</w:t>
      </w:r>
      <w:r w:rsidRPr="002127B1" w:rsidR="00810E80">
        <w:t xml:space="preserve"> (PGE)</w:t>
      </w:r>
      <w:r w:rsidRPr="002127B1" w:rsidR="00A31A1B">
        <w:t xml:space="preserve">; </w:t>
      </w:r>
      <w:r w:rsidRPr="002127B1" w:rsidR="009E7C09">
        <w:t>PPL Services Corporation</w:t>
      </w:r>
      <w:r w:rsidRPr="002127B1" w:rsidR="00CB765F">
        <w:t xml:space="preserve"> (PPL)</w:t>
      </w:r>
      <w:r w:rsidRPr="002127B1" w:rsidR="00D03177">
        <w:t>;</w:t>
      </w:r>
      <w:r w:rsidRPr="002127B1" w:rsidR="009E7C09">
        <w:t xml:space="preserve"> </w:t>
      </w:r>
      <w:r w:rsidRPr="002127B1" w:rsidR="00A31A1B">
        <w:t xml:space="preserve">and </w:t>
      </w:r>
      <w:r w:rsidRPr="002127B1" w:rsidR="00007760">
        <w:t>Southern California Edison Company</w:t>
      </w:r>
      <w:r w:rsidRPr="002127B1" w:rsidR="00810E80">
        <w:t xml:space="preserve"> (SCE)</w:t>
      </w:r>
      <w:r w:rsidRPr="002127B1" w:rsidR="00516E5F">
        <w:t xml:space="preserve"> (collectively, </w:t>
      </w:r>
      <w:r w:rsidRPr="002127B1" w:rsidR="00EC0CA7">
        <w:t>E</w:t>
      </w:r>
      <w:r w:rsidRPr="002127B1" w:rsidR="00516E5F">
        <w:t xml:space="preserve">lectric </w:t>
      </w:r>
      <w:r w:rsidRPr="002127B1" w:rsidR="00EC0CA7">
        <w:t>U</w:t>
      </w:r>
      <w:r w:rsidRPr="002127B1" w:rsidR="00516E5F">
        <w:t xml:space="preserve">tility </w:t>
      </w:r>
      <w:r w:rsidRPr="002127B1" w:rsidR="00EC0CA7">
        <w:t>C</w:t>
      </w:r>
      <w:r w:rsidRPr="002127B1" w:rsidR="00516E5F">
        <w:t>ompanies)</w:t>
      </w:r>
      <w:r w:rsidRPr="002127B1" w:rsidR="00EC0CA7">
        <w:t>.</w:t>
      </w:r>
    </w:p>
  </w:footnote>
  <w:footnote w:id="19">
    <w:p w:rsidR="00677D28" w:rsidRPr="002127B1" w:rsidP="002127B1" w14:paraId="200C9B14" w14:textId="6036FD32">
      <w:pPr>
        <w:pStyle w:val="FootnoteText"/>
      </w:pPr>
      <w:r w:rsidRPr="002127B1">
        <w:rPr>
          <w:vertAlign w:val="superscript"/>
        </w:rPr>
        <w:footnoteRef/>
      </w:r>
      <w:r w:rsidRPr="002127B1">
        <w:rPr>
          <w:vertAlign w:val="superscript"/>
        </w:rPr>
        <w:t xml:space="preserve"> </w:t>
      </w:r>
      <w:r w:rsidRPr="002127B1">
        <w:t>The submittal</w:t>
      </w:r>
      <w:r w:rsidRPr="002127B1" w:rsidR="0079567A">
        <w:t>s</w:t>
      </w:r>
      <w:r w:rsidRPr="002127B1">
        <w:t xml:space="preserve"> </w:t>
      </w:r>
      <w:r w:rsidRPr="002127B1" w:rsidR="0079567A">
        <w:t>are</w:t>
      </w:r>
      <w:r w:rsidRPr="002127B1">
        <w:t xml:space="preserve"> posted at </w:t>
      </w:r>
      <w:hyperlink r:id="rId1" w:history="1">
        <w:r w:rsidRPr="002127B1" w:rsidR="0079567A">
          <w:rPr>
            <w:rStyle w:val="Hyperlink"/>
          </w:rPr>
          <w:t>https://elibrary.ferc.gov</w:t>
        </w:r>
      </w:hyperlink>
      <w:r w:rsidRPr="002127B1" w:rsidR="0079567A">
        <w:t xml:space="preserve"> under Docket No. IC25-7-000</w:t>
      </w:r>
      <w:r w:rsidRPr="002127B1">
        <w:t>.</w:t>
      </w:r>
    </w:p>
    <w:p w:rsidR="00677D28" w:rsidRPr="0073506C" w:rsidP="00677D28" w14:paraId="1EA61EF7" w14:textId="77777777">
      <w:pPr>
        <w:pStyle w:val="FootnoteText"/>
        <w:rPr>
          <w:sz w:val="26"/>
          <w:szCs w:val="26"/>
        </w:rPr>
      </w:pPr>
    </w:p>
  </w:footnote>
  <w:footnote w:id="20">
    <w:p w:rsidR="00AC4BCA" w:rsidRPr="001205A2" w:rsidP="001205A2" w14:paraId="0A41038B" w14:textId="17A241AE">
      <w:pPr>
        <w:pStyle w:val="FootnoteText"/>
      </w:pPr>
      <w:r w:rsidRPr="001205A2">
        <w:rPr>
          <w:rStyle w:val="FootnoteReference"/>
          <w:rFonts w:eastAsia="Calibri"/>
          <w:vertAlign w:val="superscript"/>
        </w:rPr>
        <w:footnoteRef/>
      </w:r>
      <w:r w:rsidRPr="001205A2">
        <w:t xml:space="preserve"> </w:t>
      </w:r>
      <w:r w:rsidRPr="001205A2" w:rsidR="005A719E">
        <w:t>Exec. Order No. 14,154, 90 Fed. Reg. 8353 (Jan. 20, 2025)</w:t>
      </w:r>
      <w:r w:rsidRPr="001205A2">
        <w:t>.</w:t>
      </w:r>
    </w:p>
  </w:footnote>
  <w:footnote w:id="21">
    <w:p w:rsidR="00A405A4" w:rsidRPr="00A66E91" w:rsidP="001205A2" w14:paraId="6D9A63D0" w14:textId="59C51207">
      <w:pPr>
        <w:pStyle w:val="FootnoteText"/>
        <w:rPr>
          <w:sz w:val="26"/>
          <w:szCs w:val="26"/>
        </w:rPr>
      </w:pPr>
      <w:r w:rsidRPr="001205A2">
        <w:rPr>
          <w:rStyle w:val="FootnoteReference"/>
          <w:rFonts w:eastAsia="Calibri"/>
          <w:vertAlign w:val="superscript"/>
        </w:rPr>
        <w:footnoteRef/>
      </w:r>
      <w:r w:rsidRPr="001205A2">
        <w:t xml:space="preserve"> </w:t>
      </w:r>
      <w:r w:rsidRPr="001205A2" w:rsidR="00B86AD8">
        <w:rPr>
          <w:i/>
          <w:iCs/>
        </w:rPr>
        <w:t>See</w:t>
      </w:r>
      <w:r w:rsidRPr="001205A2" w:rsidR="00B86AD8">
        <w:rPr>
          <w:i/>
        </w:rPr>
        <w:t xml:space="preserve"> Quarterly Financial Reports and Revisions to the Annual Reports</w:t>
      </w:r>
      <w:r w:rsidRPr="001205A2" w:rsidR="00B86AD8">
        <w:t>, Order No. 646, 106 FERC ¶ 61,113, at PP 11, 16 and 35 (2004).</w:t>
      </w:r>
      <w:r w:rsidR="00901657">
        <w:rPr>
          <w:i/>
          <w:iCs/>
          <w:sz w:val="26"/>
          <w:szCs w:val="26"/>
        </w:rPr>
        <w:t xml:space="preserve">  </w:t>
      </w:r>
    </w:p>
  </w:footnote>
  <w:footnote w:id="22">
    <w:p w:rsidR="00281BA3" w:rsidRPr="001205A2" w:rsidP="001205A2" w14:paraId="1874BDE8" w14:textId="6673DB3B">
      <w:pPr>
        <w:pStyle w:val="FootnoteText"/>
      </w:pPr>
      <w:r w:rsidRPr="001205A2">
        <w:rPr>
          <w:rStyle w:val="FootnoteReference"/>
          <w:vertAlign w:val="superscript"/>
        </w:rPr>
        <w:footnoteRef/>
      </w:r>
      <w:r w:rsidRPr="001205A2">
        <w:t xml:space="preserve"> 18 C.F.R. §§ 388.112 and 388.113.</w:t>
      </w:r>
      <w:r w:rsidR="00901657">
        <w:t xml:space="preserve"> </w:t>
      </w:r>
      <w:r w:rsidRPr="001205A2">
        <w:t xml:space="preserve">More information on the CEII definition, program and requirements is posted at </w:t>
      </w:r>
      <w:hyperlink r:id="rId2" w:history="1">
        <w:r w:rsidRPr="001205A2">
          <w:rPr>
            <w:rStyle w:val="Hyperlink"/>
          </w:rPr>
          <w:t>http://www.ferc.gov/legal/ceii-foia/ceii.asp</w:t>
        </w:r>
      </w:hyperlink>
      <w:r w:rsidRPr="001205A2">
        <w:t xml:space="preserve">. </w:t>
      </w:r>
    </w:p>
  </w:footnote>
  <w:footnote w:id="23">
    <w:p w:rsidR="008E3C4F" w:rsidRPr="001205A2" w:rsidP="001205A2" w14:paraId="7560F308" w14:textId="0A65BDC7">
      <w:pPr>
        <w:pStyle w:val="FootnoteText"/>
      </w:pPr>
      <w:r w:rsidRPr="001205A2">
        <w:rPr>
          <w:rStyle w:val="FootnoteReference"/>
          <w:vertAlign w:val="superscript"/>
        </w:rPr>
        <w:footnoteRef/>
      </w:r>
      <w:r w:rsidRPr="001205A2">
        <w:t xml:space="preserve"> The cost is based on FERC’s </w:t>
      </w:r>
      <w:r w:rsidRPr="001205A2" w:rsidR="0092770E">
        <w:t>202</w:t>
      </w:r>
      <w:r w:rsidRPr="001205A2" w:rsidR="00CF4E39">
        <w:t>5</w:t>
      </w:r>
      <w:r w:rsidRPr="001205A2" w:rsidR="0092770E">
        <w:t xml:space="preserve"> </w:t>
      </w:r>
      <w:r w:rsidRPr="001205A2">
        <w:t>Commission-wide average salary cost (salary plus benefits) of $</w:t>
      </w:r>
      <w:r w:rsidRPr="001205A2" w:rsidR="0092770E">
        <w:t>10</w:t>
      </w:r>
      <w:r w:rsidRPr="001205A2" w:rsidR="00841757">
        <w:t>3</w:t>
      </w:r>
      <w:r w:rsidRPr="001205A2">
        <w:t>.00/hour. The Commission staff believes the FERC FTE (full-time equivalent) average cost for wages plus benefits is representative of the corresponding cost for the industry respondents.</w:t>
      </w:r>
      <w:r w:rsidR="00901657">
        <w:t xml:space="preserve"> </w:t>
      </w:r>
    </w:p>
  </w:footnote>
  <w:footnote w:id="24">
    <w:p w:rsidR="008E3C4F" w:rsidRPr="001205A2" w:rsidP="001205A2" w14:paraId="20405BFF" w14:textId="001E7498">
      <w:pPr>
        <w:pStyle w:val="FootnoteText"/>
      </w:pPr>
      <w:r w:rsidRPr="001205A2">
        <w:rPr>
          <w:rStyle w:val="FootnoteReference"/>
          <w:vertAlign w:val="superscript"/>
        </w:rPr>
        <w:footnoteRef/>
      </w:r>
      <w:r w:rsidRPr="001205A2" w:rsidR="46FE3797">
        <w:rPr>
          <w:vertAlign w:val="superscript"/>
        </w:rPr>
        <w:t xml:space="preserve"> </w:t>
      </w:r>
      <w:r w:rsidRPr="001205A2" w:rsidR="46FE3797">
        <w:t>The estimate uses FERC’s FY 2025 average annual salary plus benefits of one FERC FTE (full-time equivalent [$214,</w:t>
      </w:r>
      <w:r w:rsidRPr="001205A2" w:rsidR="153BA7B3">
        <w:t>093</w:t>
      </w:r>
      <w:r w:rsidRPr="001205A2" w:rsidR="46FE3797">
        <w:t xml:space="preserve"> per year or $103 per hour]).</w:t>
      </w:r>
      <w:r w:rsidR="00901657">
        <w:t xml:space="preserve"> </w:t>
      </w:r>
      <w:r w:rsidRPr="001205A2" w:rsidR="46FE3797">
        <w:t>(These estimates were updated in January 2025.)</w:t>
      </w:r>
    </w:p>
  </w:footnote>
  <w:footnote w:id="25">
    <w:p w:rsidR="008E3C4F" w:rsidRPr="001205A2" w:rsidP="001205A2" w14:paraId="53F288CE" w14:textId="3BA559BE">
      <w:pPr>
        <w:pStyle w:val="FootnoteText"/>
      </w:pPr>
      <w:r w:rsidRPr="001205A2">
        <w:rPr>
          <w:rStyle w:val="FootnoteReference"/>
          <w:vertAlign w:val="superscript"/>
        </w:rPr>
        <w:footnoteRef/>
      </w:r>
      <w:r w:rsidRPr="001205A2" w:rsidR="46FE3797">
        <w:t xml:space="preserve"> This estimate was updated </w:t>
      </w:r>
      <w:r w:rsidRPr="00BC60FB" w:rsidR="46FE3797">
        <w:t>January 2025</w:t>
      </w:r>
      <w:r w:rsidRPr="001205A2" w:rsidR="46FE3797">
        <w:t>.</w:t>
      </w:r>
    </w:p>
  </w:footnote>
  <w:footnote w:id="26">
    <w:p w:rsidR="008E3C4F" w:rsidRPr="0073506C" w:rsidP="001205A2" w14:paraId="58CB363F" w14:textId="7201A303">
      <w:pPr>
        <w:pStyle w:val="FootnoteText"/>
        <w:rPr>
          <w:sz w:val="26"/>
          <w:szCs w:val="26"/>
        </w:rPr>
      </w:pPr>
      <w:r w:rsidRPr="001205A2">
        <w:rPr>
          <w:rStyle w:val="FootnoteReference"/>
          <w:vertAlign w:val="superscript"/>
        </w:rPr>
        <w:footnoteRef/>
      </w:r>
      <w:r w:rsidRPr="001205A2">
        <w:rPr>
          <w:vertAlign w:val="superscript"/>
        </w:rPr>
        <w:t xml:space="preserve"> </w:t>
      </w:r>
      <w:r w:rsidRPr="001205A2">
        <w:t>The federal costs for FERC Form Nos. 1, 1-F, and 3-Q (for both electric and gas) will be included under the ICR for FERC Form No. 1 in ROCIS and reginfo.gov.</w:t>
      </w:r>
      <w:r w:rsidR="00901657">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F1C" w14:paraId="67CDFBC9" w14:textId="232F6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C4F" w:rsidRPr="00274467" w14:paraId="6A3A0E61" w14:textId="7F4C9E07">
    <w:pPr>
      <w:pStyle w:val="Header"/>
      <w:rPr>
        <w:rFonts w:ascii="Times New Roman" w:hAnsi="Times New Roman"/>
        <w:sz w:val="24"/>
        <w:szCs w:val="24"/>
      </w:rPr>
    </w:pPr>
    <w:r>
      <w:rPr>
        <w:rFonts w:ascii="Times New Roman" w:hAnsi="Times New Roman"/>
        <w:sz w:val="24"/>
        <w:szCs w:val="24"/>
      </w:rPr>
      <w:t>FERC Form Nos. 1, 1-F,</w:t>
    </w:r>
    <w:r w:rsidR="00A20DAB">
      <w:rPr>
        <w:rFonts w:ascii="Times New Roman" w:hAnsi="Times New Roman"/>
        <w:sz w:val="24"/>
        <w:szCs w:val="24"/>
      </w:rPr>
      <w:t xml:space="preserve"> and</w:t>
    </w:r>
    <w:r>
      <w:rPr>
        <w:rFonts w:ascii="Times New Roman" w:hAnsi="Times New Roman"/>
        <w:sz w:val="24"/>
        <w:szCs w:val="24"/>
      </w:rPr>
      <w:t xml:space="preserve"> 3-Q (electric and natural gas), Docket No. </w:t>
    </w:r>
    <w:bookmarkStart w:id="7" w:name="_Hlk94097970"/>
    <w:r w:rsidRPr="00C632FE">
      <w:rPr>
        <w:rFonts w:ascii="Times New Roman" w:hAnsi="Times New Roman"/>
        <w:sz w:val="24"/>
        <w:szCs w:val="24"/>
      </w:rPr>
      <w:t>IC2</w:t>
    </w:r>
    <w:r w:rsidR="00825F76">
      <w:rPr>
        <w:rFonts w:ascii="Times New Roman" w:hAnsi="Times New Roman"/>
        <w:sz w:val="24"/>
        <w:szCs w:val="24"/>
      </w:rPr>
      <w:t>5-7-000</w:t>
    </w:r>
    <w:bookmarkEnd w:id="7"/>
    <w:r>
      <w:rPr>
        <w:rFonts w:ascii="Times New Roman" w:hAnsi="Times New Roman"/>
        <w:sz w:val="24"/>
        <w:szCs w:val="24"/>
      </w:rPr>
      <w:t xml:space="preserve">, OMB Control Nos. </w:t>
    </w:r>
    <w:r w:rsidRPr="00C632FE">
      <w:rPr>
        <w:rFonts w:ascii="Times New Roman" w:hAnsi="Times New Roman"/>
        <w:sz w:val="24"/>
        <w:szCs w:val="24"/>
      </w:rPr>
      <w:t>1902-0021, 1902-0029,</w:t>
    </w:r>
    <w:r w:rsidR="002454FF">
      <w:rPr>
        <w:rFonts w:ascii="Times New Roman" w:hAnsi="Times New Roman"/>
        <w:sz w:val="24"/>
        <w:szCs w:val="24"/>
      </w:rPr>
      <w:t xml:space="preserve"> and</w:t>
    </w:r>
    <w:r w:rsidRPr="00C632FE">
      <w:rPr>
        <w:rFonts w:ascii="Times New Roman" w:hAnsi="Times New Roman"/>
        <w:sz w:val="24"/>
        <w:szCs w:val="24"/>
      </w:rPr>
      <w:t xml:space="preserve"> 1902-0205</w:t>
    </w:r>
  </w:p>
  <w:p w:rsidR="008E3C4F" w:rsidRPr="002953E1" w:rsidP="00C632FE" w14:paraId="48BC8A50" w14:textId="588CFCAB">
    <w:pPr>
      <w:pStyle w:val="Header"/>
      <w:rPr>
        <w:rFonts w:ascii="Times New Roman" w:hAnsi="Times New Roman"/>
        <w:sz w:val="20"/>
        <w:szCs w:val="20"/>
      </w:rPr>
    </w:pPr>
    <w:r>
      <w:rPr>
        <w:rFonts w:ascii="Times New Roman" w:hAnsi="Times New Roman"/>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F1C" w14:paraId="2605FDCA" w14:textId="63AB5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64066"/>
    <w:multiLevelType w:val="hybridMultilevel"/>
    <w:tmpl w:val="AA68E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50755"/>
    <w:multiLevelType w:val="hybridMultilevel"/>
    <w:tmpl w:val="EAB0F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17ACB"/>
    <w:multiLevelType w:val="hybridMultilevel"/>
    <w:tmpl w:val="FC34F5D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0F4A3048"/>
    <w:multiLevelType w:val="hybridMultilevel"/>
    <w:tmpl w:val="005E7582"/>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4">
    <w:nsid w:val="0F502655"/>
    <w:multiLevelType w:val="hybridMultilevel"/>
    <w:tmpl w:val="A182A73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C2963"/>
    <w:multiLevelType w:val="hybridMultilevel"/>
    <w:tmpl w:val="CE1A70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4113FB"/>
    <w:multiLevelType w:val="hybridMultilevel"/>
    <w:tmpl w:val="93E06B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B6162D"/>
    <w:multiLevelType w:val="hybridMultilevel"/>
    <w:tmpl w:val="D9DA2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4208A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EF3953"/>
    <w:multiLevelType w:val="hybridMultilevel"/>
    <w:tmpl w:val="CFE88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051A2B"/>
    <w:multiLevelType w:val="hybridMultilevel"/>
    <w:tmpl w:val="403A86EC"/>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376A0BBF"/>
    <w:multiLevelType w:val="hybridMultilevel"/>
    <w:tmpl w:val="BC00F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86A02FA"/>
    <w:multiLevelType w:val="hybridMultilevel"/>
    <w:tmpl w:val="E0CCA850"/>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2A6AA2"/>
    <w:multiLevelType w:val="hybridMultilevel"/>
    <w:tmpl w:val="15BC2C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2614ABA"/>
    <w:multiLevelType w:val="hybridMultilevel"/>
    <w:tmpl w:val="E314F6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77D38C3"/>
    <w:multiLevelType w:val="hybridMultilevel"/>
    <w:tmpl w:val="B6823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0D4B3C"/>
    <w:multiLevelType w:val="hybridMultilevel"/>
    <w:tmpl w:val="04F6B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7628C9"/>
    <w:multiLevelType w:val="hybridMultilevel"/>
    <w:tmpl w:val="15BC2C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FCC1895"/>
    <w:multiLevelType w:val="hybridMultilevel"/>
    <w:tmpl w:val="AD681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D40E9F"/>
    <w:multiLevelType w:val="hybridMultilevel"/>
    <w:tmpl w:val="4DF8B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460FD9"/>
    <w:multiLevelType w:val="hybridMultilevel"/>
    <w:tmpl w:val="371A511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7">
    <w:nsid w:val="5BA62A20"/>
    <w:multiLevelType w:val="hybridMultilevel"/>
    <w:tmpl w:val="3A36B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6437021"/>
    <w:multiLevelType w:val="hybridMultilevel"/>
    <w:tmpl w:val="A2BEE8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76A1C90"/>
    <w:multiLevelType w:val="hybridMultilevel"/>
    <w:tmpl w:val="B6C4E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AF1DF6"/>
    <w:multiLevelType w:val="hybridMultilevel"/>
    <w:tmpl w:val="48FE9A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2">
    <w:nsid w:val="6D843B68"/>
    <w:multiLevelType w:val="hybridMultilevel"/>
    <w:tmpl w:val="6F9C4B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9AF0F0F"/>
    <w:multiLevelType w:val="hybridMultilevel"/>
    <w:tmpl w:val="04BC19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3C7DBB"/>
    <w:multiLevelType w:val="hybridMultilevel"/>
    <w:tmpl w:val="35648F04"/>
    <w:lvl w:ilvl="0">
      <w:start w:val="1"/>
      <w:numFmt w:val="decimal"/>
      <w:lvlText w:val="%1."/>
      <w:lvlJc w:val="left"/>
      <w:pPr>
        <w:ind w:left="45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07624081">
    <w:abstractNumId w:val="24"/>
  </w:num>
  <w:num w:numId="2" w16cid:durableId="497580880">
    <w:abstractNumId w:val="31"/>
  </w:num>
  <w:num w:numId="3" w16cid:durableId="466162170">
    <w:abstractNumId w:val="21"/>
  </w:num>
  <w:num w:numId="4" w16cid:durableId="482695966">
    <w:abstractNumId w:val="32"/>
  </w:num>
  <w:num w:numId="5" w16cid:durableId="1973945974">
    <w:abstractNumId w:val="6"/>
  </w:num>
  <w:num w:numId="6" w16cid:durableId="144518332">
    <w:abstractNumId w:val="33"/>
  </w:num>
  <w:num w:numId="7" w16cid:durableId="526873650">
    <w:abstractNumId w:val="7"/>
  </w:num>
  <w:num w:numId="8" w16cid:durableId="1222253890">
    <w:abstractNumId w:val="4"/>
  </w:num>
  <w:num w:numId="9" w16cid:durableId="1336885730">
    <w:abstractNumId w:val="19"/>
  </w:num>
  <w:num w:numId="10" w16cid:durableId="2008433615">
    <w:abstractNumId w:val="10"/>
  </w:num>
  <w:num w:numId="11" w16cid:durableId="1867717111">
    <w:abstractNumId w:val="25"/>
  </w:num>
  <w:num w:numId="12" w16cid:durableId="27220240">
    <w:abstractNumId w:val="17"/>
  </w:num>
  <w:num w:numId="13" w16cid:durableId="1503471312">
    <w:abstractNumId w:val="5"/>
  </w:num>
  <w:num w:numId="14" w16cid:durableId="1256984819">
    <w:abstractNumId w:val="34"/>
  </w:num>
  <w:num w:numId="15" w16cid:durableId="840201372">
    <w:abstractNumId w:val="12"/>
  </w:num>
  <w:num w:numId="16" w16cid:durableId="1134759381">
    <w:abstractNumId w:val="27"/>
  </w:num>
  <w:num w:numId="17" w16cid:durableId="1606383904">
    <w:abstractNumId w:val="9"/>
  </w:num>
  <w:num w:numId="18" w16cid:durableId="1107508350">
    <w:abstractNumId w:val="16"/>
  </w:num>
  <w:num w:numId="19" w16cid:durableId="1878853663">
    <w:abstractNumId w:val="22"/>
  </w:num>
  <w:num w:numId="20" w16cid:durableId="1562134236">
    <w:abstractNumId w:val="20"/>
  </w:num>
  <w:num w:numId="21" w16cid:durableId="1730805947">
    <w:abstractNumId w:val="29"/>
  </w:num>
  <w:num w:numId="22" w16cid:durableId="635530891">
    <w:abstractNumId w:val="15"/>
  </w:num>
  <w:num w:numId="23" w16cid:durableId="133184309">
    <w:abstractNumId w:val="11"/>
  </w:num>
  <w:num w:numId="24" w16cid:durableId="424083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7572104">
    <w:abstractNumId w:val="3"/>
    <w:lvlOverride w:ilvl="0"/>
    <w:lvlOverride w:ilvl="1">
      <w:startOverride w:val="1"/>
    </w:lvlOverride>
    <w:lvlOverride w:ilvl="2"/>
    <w:lvlOverride w:ilvl="3"/>
    <w:lvlOverride w:ilvl="4"/>
    <w:lvlOverride w:ilvl="5"/>
    <w:lvlOverride w:ilvl="6"/>
    <w:lvlOverride w:ilvl="7"/>
    <w:lvlOverride w:ilvl="8"/>
  </w:num>
  <w:num w:numId="26" w16cid:durableId="662045524">
    <w:abstractNumId w:val="2"/>
    <w:lvlOverride w:ilvl="0"/>
    <w:lvlOverride w:ilvl="1">
      <w:startOverride w:val="1"/>
    </w:lvlOverride>
    <w:lvlOverride w:ilvl="2"/>
    <w:lvlOverride w:ilvl="3"/>
    <w:lvlOverride w:ilvl="4"/>
    <w:lvlOverride w:ilvl="5"/>
    <w:lvlOverride w:ilvl="6"/>
    <w:lvlOverride w:ilvl="7"/>
    <w:lvlOverride w:ilvl="8"/>
  </w:num>
  <w:num w:numId="27" w16cid:durableId="1887639612">
    <w:abstractNumId w:val="26"/>
  </w:num>
  <w:num w:numId="28" w16cid:durableId="1094739674">
    <w:abstractNumId w:val="14"/>
  </w:num>
  <w:num w:numId="29" w16cid:durableId="933123671">
    <w:abstractNumId w:val="28"/>
  </w:num>
  <w:num w:numId="30" w16cid:durableId="246967305">
    <w:abstractNumId w:val="2"/>
  </w:num>
  <w:num w:numId="31" w16cid:durableId="1479759562">
    <w:abstractNumId w:val="1"/>
  </w:num>
  <w:num w:numId="32" w16cid:durableId="1598830150">
    <w:abstractNumId w:val="13"/>
  </w:num>
  <w:num w:numId="33" w16cid:durableId="1702196079">
    <w:abstractNumId w:val="0"/>
  </w:num>
  <w:num w:numId="34" w16cid:durableId="875311208">
    <w:abstractNumId w:val="30"/>
  </w:num>
  <w:num w:numId="35" w16cid:durableId="15809436">
    <w:abstractNumId w:val="23"/>
  </w:num>
  <w:num w:numId="36" w16cid:durableId="1224251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153C"/>
    <w:rsid w:val="00002321"/>
    <w:rsid w:val="00002F43"/>
    <w:rsid w:val="000049B8"/>
    <w:rsid w:val="00004ABE"/>
    <w:rsid w:val="0000579D"/>
    <w:rsid w:val="00006903"/>
    <w:rsid w:val="000076FA"/>
    <w:rsid w:val="00007760"/>
    <w:rsid w:val="00011F49"/>
    <w:rsid w:val="000131AA"/>
    <w:rsid w:val="0001445E"/>
    <w:rsid w:val="00014DC1"/>
    <w:rsid w:val="00015391"/>
    <w:rsid w:val="00015810"/>
    <w:rsid w:val="000159C4"/>
    <w:rsid w:val="00015ADD"/>
    <w:rsid w:val="00015AE3"/>
    <w:rsid w:val="00015D36"/>
    <w:rsid w:val="0001656F"/>
    <w:rsid w:val="00016DC0"/>
    <w:rsid w:val="00017ABD"/>
    <w:rsid w:val="000201FB"/>
    <w:rsid w:val="00020344"/>
    <w:rsid w:val="00021590"/>
    <w:rsid w:val="00021CE4"/>
    <w:rsid w:val="00022D79"/>
    <w:rsid w:val="00023B39"/>
    <w:rsid w:val="00023FC0"/>
    <w:rsid w:val="00024D7B"/>
    <w:rsid w:val="00025ACE"/>
    <w:rsid w:val="000263BE"/>
    <w:rsid w:val="000263E7"/>
    <w:rsid w:val="000264C3"/>
    <w:rsid w:val="00027DC9"/>
    <w:rsid w:val="00030D70"/>
    <w:rsid w:val="00030E93"/>
    <w:rsid w:val="0003147A"/>
    <w:rsid w:val="00031C79"/>
    <w:rsid w:val="00031E56"/>
    <w:rsid w:val="00032437"/>
    <w:rsid w:val="000325F8"/>
    <w:rsid w:val="00032FB5"/>
    <w:rsid w:val="00033EF2"/>
    <w:rsid w:val="00034FED"/>
    <w:rsid w:val="0003545C"/>
    <w:rsid w:val="000354AE"/>
    <w:rsid w:val="00035546"/>
    <w:rsid w:val="00036D30"/>
    <w:rsid w:val="00036F08"/>
    <w:rsid w:val="000371A4"/>
    <w:rsid w:val="00037252"/>
    <w:rsid w:val="00037F63"/>
    <w:rsid w:val="00040F9F"/>
    <w:rsid w:val="00041520"/>
    <w:rsid w:val="0004170D"/>
    <w:rsid w:val="00041ECE"/>
    <w:rsid w:val="00042C21"/>
    <w:rsid w:val="000433BC"/>
    <w:rsid w:val="00043BDA"/>
    <w:rsid w:val="00044371"/>
    <w:rsid w:val="000448C5"/>
    <w:rsid w:val="00044A19"/>
    <w:rsid w:val="000450B6"/>
    <w:rsid w:val="00045518"/>
    <w:rsid w:val="000457E0"/>
    <w:rsid w:val="00045EDD"/>
    <w:rsid w:val="00045EFB"/>
    <w:rsid w:val="00050039"/>
    <w:rsid w:val="000511A8"/>
    <w:rsid w:val="000517E0"/>
    <w:rsid w:val="00052A8E"/>
    <w:rsid w:val="00053223"/>
    <w:rsid w:val="000537E0"/>
    <w:rsid w:val="00053B7E"/>
    <w:rsid w:val="000543E6"/>
    <w:rsid w:val="00054DE6"/>
    <w:rsid w:val="0005501D"/>
    <w:rsid w:val="0005593A"/>
    <w:rsid w:val="00056691"/>
    <w:rsid w:val="00057082"/>
    <w:rsid w:val="000650FC"/>
    <w:rsid w:val="0006543B"/>
    <w:rsid w:val="0006563F"/>
    <w:rsid w:val="0006608F"/>
    <w:rsid w:val="00066375"/>
    <w:rsid w:val="000672E1"/>
    <w:rsid w:val="00070EC2"/>
    <w:rsid w:val="00072071"/>
    <w:rsid w:val="00073FC6"/>
    <w:rsid w:val="0007442E"/>
    <w:rsid w:val="0007469F"/>
    <w:rsid w:val="000747B6"/>
    <w:rsid w:val="00074DA4"/>
    <w:rsid w:val="0007549D"/>
    <w:rsid w:val="00076039"/>
    <w:rsid w:val="000762E1"/>
    <w:rsid w:val="00076C1E"/>
    <w:rsid w:val="00076C27"/>
    <w:rsid w:val="0007714A"/>
    <w:rsid w:val="00077B16"/>
    <w:rsid w:val="00077C73"/>
    <w:rsid w:val="00081198"/>
    <w:rsid w:val="00081459"/>
    <w:rsid w:val="00081650"/>
    <w:rsid w:val="000822E6"/>
    <w:rsid w:val="0008302B"/>
    <w:rsid w:val="0008319C"/>
    <w:rsid w:val="00083280"/>
    <w:rsid w:val="000836EF"/>
    <w:rsid w:val="00083A04"/>
    <w:rsid w:val="00083D73"/>
    <w:rsid w:val="00084A7F"/>
    <w:rsid w:val="00084C3E"/>
    <w:rsid w:val="00085070"/>
    <w:rsid w:val="000856A0"/>
    <w:rsid w:val="0008666E"/>
    <w:rsid w:val="00086B34"/>
    <w:rsid w:val="00090C34"/>
    <w:rsid w:val="00091599"/>
    <w:rsid w:val="0009171A"/>
    <w:rsid w:val="00092424"/>
    <w:rsid w:val="000924F2"/>
    <w:rsid w:val="000930CB"/>
    <w:rsid w:val="00094266"/>
    <w:rsid w:val="000948A5"/>
    <w:rsid w:val="000951BE"/>
    <w:rsid w:val="0009656C"/>
    <w:rsid w:val="00096E12"/>
    <w:rsid w:val="00097337"/>
    <w:rsid w:val="00097CEF"/>
    <w:rsid w:val="000A0D81"/>
    <w:rsid w:val="000A14BF"/>
    <w:rsid w:val="000A3516"/>
    <w:rsid w:val="000A44AA"/>
    <w:rsid w:val="000A4825"/>
    <w:rsid w:val="000A4E4C"/>
    <w:rsid w:val="000A5A80"/>
    <w:rsid w:val="000A6077"/>
    <w:rsid w:val="000A60B1"/>
    <w:rsid w:val="000A6209"/>
    <w:rsid w:val="000A6374"/>
    <w:rsid w:val="000A6B33"/>
    <w:rsid w:val="000A75E8"/>
    <w:rsid w:val="000B0018"/>
    <w:rsid w:val="000B04C9"/>
    <w:rsid w:val="000B0965"/>
    <w:rsid w:val="000B10DE"/>
    <w:rsid w:val="000B3B45"/>
    <w:rsid w:val="000B40D1"/>
    <w:rsid w:val="000B4884"/>
    <w:rsid w:val="000B51EA"/>
    <w:rsid w:val="000B5CB0"/>
    <w:rsid w:val="000B5CEA"/>
    <w:rsid w:val="000B72B1"/>
    <w:rsid w:val="000C0209"/>
    <w:rsid w:val="000C0298"/>
    <w:rsid w:val="000C0D51"/>
    <w:rsid w:val="000C355B"/>
    <w:rsid w:val="000C439B"/>
    <w:rsid w:val="000C4B8B"/>
    <w:rsid w:val="000C5E2E"/>
    <w:rsid w:val="000C6C5B"/>
    <w:rsid w:val="000C773E"/>
    <w:rsid w:val="000D05E9"/>
    <w:rsid w:val="000D097A"/>
    <w:rsid w:val="000D10E9"/>
    <w:rsid w:val="000D17BC"/>
    <w:rsid w:val="000D1D54"/>
    <w:rsid w:val="000D24BC"/>
    <w:rsid w:val="000D2DFD"/>
    <w:rsid w:val="000D3F25"/>
    <w:rsid w:val="000D3F91"/>
    <w:rsid w:val="000D58A0"/>
    <w:rsid w:val="000D6F17"/>
    <w:rsid w:val="000D7BE8"/>
    <w:rsid w:val="000E06A8"/>
    <w:rsid w:val="000E251B"/>
    <w:rsid w:val="000E272C"/>
    <w:rsid w:val="000E2CA4"/>
    <w:rsid w:val="000E2F0F"/>
    <w:rsid w:val="000E3170"/>
    <w:rsid w:val="000E3386"/>
    <w:rsid w:val="000E3EF4"/>
    <w:rsid w:val="000E4315"/>
    <w:rsid w:val="000E4567"/>
    <w:rsid w:val="000E485D"/>
    <w:rsid w:val="000E4925"/>
    <w:rsid w:val="000E4C08"/>
    <w:rsid w:val="000E57AB"/>
    <w:rsid w:val="000E6731"/>
    <w:rsid w:val="000E7849"/>
    <w:rsid w:val="000F075A"/>
    <w:rsid w:val="000F07BD"/>
    <w:rsid w:val="000F080B"/>
    <w:rsid w:val="000F1339"/>
    <w:rsid w:val="000F1377"/>
    <w:rsid w:val="000F1632"/>
    <w:rsid w:val="000F1E18"/>
    <w:rsid w:val="000F214C"/>
    <w:rsid w:val="000F31DA"/>
    <w:rsid w:val="000F3A88"/>
    <w:rsid w:val="000F448F"/>
    <w:rsid w:val="000F44D3"/>
    <w:rsid w:val="000F4912"/>
    <w:rsid w:val="000F49DF"/>
    <w:rsid w:val="000F60AE"/>
    <w:rsid w:val="000F619B"/>
    <w:rsid w:val="000F6ABA"/>
    <w:rsid w:val="000F6E80"/>
    <w:rsid w:val="000F7320"/>
    <w:rsid w:val="000F7A92"/>
    <w:rsid w:val="000F7FAE"/>
    <w:rsid w:val="00100B30"/>
    <w:rsid w:val="00100E2F"/>
    <w:rsid w:val="00101B06"/>
    <w:rsid w:val="00101E20"/>
    <w:rsid w:val="001021F0"/>
    <w:rsid w:val="00102BD6"/>
    <w:rsid w:val="0010332E"/>
    <w:rsid w:val="001040A9"/>
    <w:rsid w:val="00104ACF"/>
    <w:rsid w:val="001056AC"/>
    <w:rsid w:val="001057F2"/>
    <w:rsid w:val="00105D44"/>
    <w:rsid w:val="00106863"/>
    <w:rsid w:val="001072E3"/>
    <w:rsid w:val="00107BB3"/>
    <w:rsid w:val="00107DA8"/>
    <w:rsid w:val="00110B73"/>
    <w:rsid w:val="001114E4"/>
    <w:rsid w:val="001121AE"/>
    <w:rsid w:val="00112AC8"/>
    <w:rsid w:val="00112DE7"/>
    <w:rsid w:val="00113584"/>
    <w:rsid w:val="00113F5F"/>
    <w:rsid w:val="001143C8"/>
    <w:rsid w:val="0011539E"/>
    <w:rsid w:val="00116509"/>
    <w:rsid w:val="00116CF2"/>
    <w:rsid w:val="001205A2"/>
    <w:rsid w:val="0012191E"/>
    <w:rsid w:val="00122362"/>
    <w:rsid w:val="00123384"/>
    <w:rsid w:val="001236C8"/>
    <w:rsid w:val="001246CB"/>
    <w:rsid w:val="001253C3"/>
    <w:rsid w:val="001263E8"/>
    <w:rsid w:val="001268EC"/>
    <w:rsid w:val="0012699A"/>
    <w:rsid w:val="00127815"/>
    <w:rsid w:val="00127E58"/>
    <w:rsid w:val="001300EC"/>
    <w:rsid w:val="0013071C"/>
    <w:rsid w:val="00130FC3"/>
    <w:rsid w:val="00131F29"/>
    <w:rsid w:val="0013245E"/>
    <w:rsid w:val="0013268B"/>
    <w:rsid w:val="00133311"/>
    <w:rsid w:val="00134CC7"/>
    <w:rsid w:val="001360DE"/>
    <w:rsid w:val="00136F29"/>
    <w:rsid w:val="0013718A"/>
    <w:rsid w:val="0013756F"/>
    <w:rsid w:val="00141219"/>
    <w:rsid w:val="001416AA"/>
    <w:rsid w:val="00141ED0"/>
    <w:rsid w:val="00142A83"/>
    <w:rsid w:val="00142EDE"/>
    <w:rsid w:val="00143AB6"/>
    <w:rsid w:val="00145353"/>
    <w:rsid w:val="00145489"/>
    <w:rsid w:val="001454B2"/>
    <w:rsid w:val="00145B05"/>
    <w:rsid w:val="00147638"/>
    <w:rsid w:val="00147C65"/>
    <w:rsid w:val="00147FB6"/>
    <w:rsid w:val="001503EE"/>
    <w:rsid w:val="00151068"/>
    <w:rsid w:val="001514EF"/>
    <w:rsid w:val="00151D8D"/>
    <w:rsid w:val="001520D0"/>
    <w:rsid w:val="00152282"/>
    <w:rsid w:val="001526FA"/>
    <w:rsid w:val="00154D43"/>
    <w:rsid w:val="00154D6D"/>
    <w:rsid w:val="00154DD9"/>
    <w:rsid w:val="00155B2B"/>
    <w:rsid w:val="00155FF8"/>
    <w:rsid w:val="001563C8"/>
    <w:rsid w:val="00156589"/>
    <w:rsid w:val="00157463"/>
    <w:rsid w:val="00160139"/>
    <w:rsid w:val="00160BA1"/>
    <w:rsid w:val="00161012"/>
    <w:rsid w:val="001625D5"/>
    <w:rsid w:val="0016269F"/>
    <w:rsid w:val="001626E8"/>
    <w:rsid w:val="0016364B"/>
    <w:rsid w:val="001636C5"/>
    <w:rsid w:val="00163942"/>
    <w:rsid w:val="00163B68"/>
    <w:rsid w:val="0016608B"/>
    <w:rsid w:val="001665E6"/>
    <w:rsid w:val="001668D3"/>
    <w:rsid w:val="001679F7"/>
    <w:rsid w:val="00167AE2"/>
    <w:rsid w:val="00167C10"/>
    <w:rsid w:val="0017118D"/>
    <w:rsid w:val="001712A1"/>
    <w:rsid w:val="00172300"/>
    <w:rsid w:val="0017236F"/>
    <w:rsid w:val="0017388F"/>
    <w:rsid w:val="00173FDD"/>
    <w:rsid w:val="0017573C"/>
    <w:rsid w:val="00175C53"/>
    <w:rsid w:val="00175DD8"/>
    <w:rsid w:val="00176444"/>
    <w:rsid w:val="001766B3"/>
    <w:rsid w:val="00177DDA"/>
    <w:rsid w:val="00180F35"/>
    <w:rsid w:val="00181DE4"/>
    <w:rsid w:val="00183044"/>
    <w:rsid w:val="00183CBA"/>
    <w:rsid w:val="00184DE4"/>
    <w:rsid w:val="00186976"/>
    <w:rsid w:val="001872C9"/>
    <w:rsid w:val="001872E3"/>
    <w:rsid w:val="00187445"/>
    <w:rsid w:val="00187F2E"/>
    <w:rsid w:val="001902A4"/>
    <w:rsid w:val="00192613"/>
    <w:rsid w:val="00192EB6"/>
    <w:rsid w:val="00193AAB"/>
    <w:rsid w:val="00193BCF"/>
    <w:rsid w:val="00194FFB"/>
    <w:rsid w:val="001955F7"/>
    <w:rsid w:val="001959E8"/>
    <w:rsid w:val="0019607C"/>
    <w:rsid w:val="001968EA"/>
    <w:rsid w:val="00196A24"/>
    <w:rsid w:val="001A0451"/>
    <w:rsid w:val="001A1584"/>
    <w:rsid w:val="001A1734"/>
    <w:rsid w:val="001A2224"/>
    <w:rsid w:val="001A4367"/>
    <w:rsid w:val="001A438C"/>
    <w:rsid w:val="001A450A"/>
    <w:rsid w:val="001A5362"/>
    <w:rsid w:val="001A62D9"/>
    <w:rsid w:val="001A69AA"/>
    <w:rsid w:val="001A6AE8"/>
    <w:rsid w:val="001A7950"/>
    <w:rsid w:val="001A79F2"/>
    <w:rsid w:val="001A7EF6"/>
    <w:rsid w:val="001B0A54"/>
    <w:rsid w:val="001B0B13"/>
    <w:rsid w:val="001B0E66"/>
    <w:rsid w:val="001B104D"/>
    <w:rsid w:val="001B16B6"/>
    <w:rsid w:val="001B16E4"/>
    <w:rsid w:val="001B205A"/>
    <w:rsid w:val="001B2309"/>
    <w:rsid w:val="001B2508"/>
    <w:rsid w:val="001B31D4"/>
    <w:rsid w:val="001B3D80"/>
    <w:rsid w:val="001B403D"/>
    <w:rsid w:val="001B430C"/>
    <w:rsid w:val="001B5056"/>
    <w:rsid w:val="001B584E"/>
    <w:rsid w:val="001B5902"/>
    <w:rsid w:val="001B5B6E"/>
    <w:rsid w:val="001B5CA9"/>
    <w:rsid w:val="001B6747"/>
    <w:rsid w:val="001C0A70"/>
    <w:rsid w:val="001C0D83"/>
    <w:rsid w:val="001C0E2F"/>
    <w:rsid w:val="001C118B"/>
    <w:rsid w:val="001C12F0"/>
    <w:rsid w:val="001C1EF6"/>
    <w:rsid w:val="001C2900"/>
    <w:rsid w:val="001C2A53"/>
    <w:rsid w:val="001C34B8"/>
    <w:rsid w:val="001C4ACE"/>
    <w:rsid w:val="001C6288"/>
    <w:rsid w:val="001C67F0"/>
    <w:rsid w:val="001C6B9F"/>
    <w:rsid w:val="001C70B8"/>
    <w:rsid w:val="001C74AB"/>
    <w:rsid w:val="001C78BA"/>
    <w:rsid w:val="001D0066"/>
    <w:rsid w:val="001D0B5C"/>
    <w:rsid w:val="001D11C5"/>
    <w:rsid w:val="001D289D"/>
    <w:rsid w:val="001D3252"/>
    <w:rsid w:val="001D3353"/>
    <w:rsid w:val="001D3F74"/>
    <w:rsid w:val="001D483B"/>
    <w:rsid w:val="001D49AE"/>
    <w:rsid w:val="001D4C72"/>
    <w:rsid w:val="001D4ECF"/>
    <w:rsid w:val="001D646F"/>
    <w:rsid w:val="001D67EE"/>
    <w:rsid w:val="001D68B2"/>
    <w:rsid w:val="001D76DC"/>
    <w:rsid w:val="001D7B2E"/>
    <w:rsid w:val="001E0193"/>
    <w:rsid w:val="001E139D"/>
    <w:rsid w:val="001E1528"/>
    <w:rsid w:val="001E1BBC"/>
    <w:rsid w:val="001E2BBB"/>
    <w:rsid w:val="001E2C5F"/>
    <w:rsid w:val="001E33A6"/>
    <w:rsid w:val="001E3E6B"/>
    <w:rsid w:val="001E42AD"/>
    <w:rsid w:val="001E514B"/>
    <w:rsid w:val="001E520E"/>
    <w:rsid w:val="001E53CD"/>
    <w:rsid w:val="001E55A1"/>
    <w:rsid w:val="001E5C85"/>
    <w:rsid w:val="001E6028"/>
    <w:rsid w:val="001E72F4"/>
    <w:rsid w:val="001E78E2"/>
    <w:rsid w:val="001F096A"/>
    <w:rsid w:val="001F0B90"/>
    <w:rsid w:val="001F1194"/>
    <w:rsid w:val="001F18B7"/>
    <w:rsid w:val="001F19D3"/>
    <w:rsid w:val="001F1C39"/>
    <w:rsid w:val="001F226A"/>
    <w:rsid w:val="001F227B"/>
    <w:rsid w:val="001F2364"/>
    <w:rsid w:val="001F33A0"/>
    <w:rsid w:val="001F3741"/>
    <w:rsid w:val="001F3A4E"/>
    <w:rsid w:val="001F405B"/>
    <w:rsid w:val="001F4513"/>
    <w:rsid w:val="001F55D3"/>
    <w:rsid w:val="001F56F4"/>
    <w:rsid w:val="001F5839"/>
    <w:rsid w:val="001F614D"/>
    <w:rsid w:val="001F6645"/>
    <w:rsid w:val="001F7477"/>
    <w:rsid w:val="00200CB5"/>
    <w:rsid w:val="00201EDE"/>
    <w:rsid w:val="0020334C"/>
    <w:rsid w:val="00203A6C"/>
    <w:rsid w:val="00204BFF"/>
    <w:rsid w:val="002057FD"/>
    <w:rsid w:val="00207B44"/>
    <w:rsid w:val="00211099"/>
    <w:rsid w:val="00211E18"/>
    <w:rsid w:val="002123B8"/>
    <w:rsid w:val="002127B1"/>
    <w:rsid w:val="00213CC3"/>
    <w:rsid w:val="002142F2"/>
    <w:rsid w:val="0021462C"/>
    <w:rsid w:val="00214B34"/>
    <w:rsid w:val="00214C0F"/>
    <w:rsid w:val="002166E8"/>
    <w:rsid w:val="00216F70"/>
    <w:rsid w:val="002200D8"/>
    <w:rsid w:val="0022098C"/>
    <w:rsid w:val="002213AA"/>
    <w:rsid w:val="00221430"/>
    <w:rsid w:val="00221985"/>
    <w:rsid w:val="00221EB9"/>
    <w:rsid w:val="002221DA"/>
    <w:rsid w:val="002221EA"/>
    <w:rsid w:val="00222295"/>
    <w:rsid w:val="002226EF"/>
    <w:rsid w:val="00222BC5"/>
    <w:rsid w:val="00222DAD"/>
    <w:rsid w:val="002233D3"/>
    <w:rsid w:val="0022487E"/>
    <w:rsid w:val="002255B2"/>
    <w:rsid w:val="00225B8B"/>
    <w:rsid w:val="00225D46"/>
    <w:rsid w:val="002263BF"/>
    <w:rsid w:val="002275E9"/>
    <w:rsid w:val="002279FA"/>
    <w:rsid w:val="00227AE5"/>
    <w:rsid w:val="00227F0E"/>
    <w:rsid w:val="00230706"/>
    <w:rsid w:val="00232312"/>
    <w:rsid w:val="00232B1B"/>
    <w:rsid w:val="00232D8F"/>
    <w:rsid w:val="00232DF7"/>
    <w:rsid w:val="00233478"/>
    <w:rsid w:val="00234427"/>
    <w:rsid w:val="002356D9"/>
    <w:rsid w:val="0023572C"/>
    <w:rsid w:val="002366F4"/>
    <w:rsid w:val="00236DFB"/>
    <w:rsid w:val="002373C6"/>
    <w:rsid w:val="002401A5"/>
    <w:rsid w:val="002418AB"/>
    <w:rsid w:val="00241CFA"/>
    <w:rsid w:val="00241D2B"/>
    <w:rsid w:val="002420A9"/>
    <w:rsid w:val="002436AA"/>
    <w:rsid w:val="00244BC9"/>
    <w:rsid w:val="002454FF"/>
    <w:rsid w:val="002476F2"/>
    <w:rsid w:val="00247EBC"/>
    <w:rsid w:val="002508C7"/>
    <w:rsid w:val="00250A23"/>
    <w:rsid w:val="00250D00"/>
    <w:rsid w:val="002525A7"/>
    <w:rsid w:val="00252EB5"/>
    <w:rsid w:val="00253389"/>
    <w:rsid w:val="0025382F"/>
    <w:rsid w:val="00253F79"/>
    <w:rsid w:val="00254184"/>
    <w:rsid w:val="002546B5"/>
    <w:rsid w:val="00254C29"/>
    <w:rsid w:val="00255A98"/>
    <w:rsid w:val="002561D9"/>
    <w:rsid w:val="00256AAE"/>
    <w:rsid w:val="00256BE1"/>
    <w:rsid w:val="002570FB"/>
    <w:rsid w:val="0025750B"/>
    <w:rsid w:val="00260159"/>
    <w:rsid w:val="00260BB0"/>
    <w:rsid w:val="00260CB8"/>
    <w:rsid w:val="00260F96"/>
    <w:rsid w:val="00261860"/>
    <w:rsid w:val="002624CA"/>
    <w:rsid w:val="00262654"/>
    <w:rsid w:val="0026269A"/>
    <w:rsid w:val="002644B7"/>
    <w:rsid w:val="00264FED"/>
    <w:rsid w:val="00265289"/>
    <w:rsid w:val="002655F2"/>
    <w:rsid w:val="002657E6"/>
    <w:rsid w:val="002658C1"/>
    <w:rsid w:val="00265ECD"/>
    <w:rsid w:val="00266990"/>
    <w:rsid w:val="00266CCB"/>
    <w:rsid w:val="00266DA7"/>
    <w:rsid w:val="00267051"/>
    <w:rsid w:val="00270259"/>
    <w:rsid w:val="00270DE6"/>
    <w:rsid w:val="00271543"/>
    <w:rsid w:val="00271EF4"/>
    <w:rsid w:val="0027293C"/>
    <w:rsid w:val="00272CBA"/>
    <w:rsid w:val="00273E09"/>
    <w:rsid w:val="0027409C"/>
    <w:rsid w:val="00274467"/>
    <w:rsid w:val="00274681"/>
    <w:rsid w:val="00275813"/>
    <w:rsid w:val="00276642"/>
    <w:rsid w:val="0027683E"/>
    <w:rsid w:val="00276ED0"/>
    <w:rsid w:val="0027733D"/>
    <w:rsid w:val="0027754C"/>
    <w:rsid w:val="00277A46"/>
    <w:rsid w:val="002801E0"/>
    <w:rsid w:val="002807E4"/>
    <w:rsid w:val="00281BA3"/>
    <w:rsid w:val="00281E62"/>
    <w:rsid w:val="00282F75"/>
    <w:rsid w:val="00283534"/>
    <w:rsid w:val="00283BFF"/>
    <w:rsid w:val="00284829"/>
    <w:rsid w:val="002854FB"/>
    <w:rsid w:val="00286737"/>
    <w:rsid w:val="00286A0D"/>
    <w:rsid w:val="002911E1"/>
    <w:rsid w:val="002913ED"/>
    <w:rsid w:val="00291CC4"/>
    <w:rsid w:val="00293111"/>
    <w:rsid w:val="00293708"/>
    <w:rsid w:val="00293E91"/>
    <w:rsid w:val="00293F34"/>
    <w:rsid w:val="00295050"/>
    <w:rsid w:val="002953E1"/>
    <w:rsid w:val="002959BA"/>
    <w:rsid w:val="002959EB"/>
    <w:rsid w:val="00295EB7"/>
    <w:rsid w:val="002965D2"/>
    <w:rsid w:val="00296E9E"/>
    <w:rsid w:val="0029781A"/>
    <w:rsid w:val="00297A5E"/>
    <w:rsid w:val="002A16DC"/>
    <w:rsid w:val="002A348C"/>
    <w:rsid w:val="002A352B"/>
    <w:rsid w:val="002A4798"/>
    <w:rsid w:val="002A569C"/>
    <w:rsid w:val="002A651D"/>
    <w:rsid w:val="002A7003"/>
    <w:rsid w:val="002A725B"/>
    <w:rsid w:val="002B07EA"/>
    <w:rsid w:val="002B093B"/>
    <w:rsid w:val="002B1472"/>
    <w:rsid w:val="002B1A39"/>
    <w:rsid w:val="002B27A6"/>
    <w:rsid w:val="002B3875"/>
    <w:rsid w:val="002B3C72"/>
    <w:rsid w:val="002B4655"/>
    <w:rsid w:val="002B5554"/>
    <w:rsid w:val="002B5CA4"/>
    <w:rsid w:val="002B65B9"/>
    <w:rsid w:val="002B6789"/>
    <w:rsid w:val="002B6A22"/>
    <w:rsid w:val="002C0018"/>
    <w:rsid w:val="002C0782"/>
    <w:rsid w:val="002C0DA6"/>
    <w:rsid w:val="002C248B"/>
    <w:rsid w:val="002C2F20"/>
    <w:rsid w:val="002C3322"/>
    <w:rsid w:val="002C3825"/>
    <w:rsid w:val="002C3940"/>
    <w:rsid w:val="002C40B8"/>
    <w:rsid w:val="002C5E41"/>
    <w:rsid w:val="002C6711"/>
    <w:rsid w:val="002C7E1D"/>
    <w:rsid w:val="002D0023"/>
    <w:rsid w:val="002D08DC"/>
    <w:rsid w:val="002D1591"/>
    <w:rsid w:val="002D1789"/>
    <w:rsid w:val="002D2A01"/>
    <w:rsid w:val="002D37B3"/>
    <w:rsid w:val="002D3A83"/>
    <w:rsid w:val="002D4458"/>
    <w:rsid w:val="002D55C3"/>
    <w:rsid w:val="002D55E1"/>
    <w:rsid w:val="002D5986"/>
    <w:rsid w:val="002D5C38"/>
    <w:rsid w:val="002D5CAD"/>
    <w:rsid w:val="002D5E6C"/>
    <w:rsid w:val="002D7472"/>
    <w:rsid w:val="002D759A"/>
    <w:rsid w:val="002D7EE6"/>
    <w:rsid w:val="002E034F"/>
    <w:rsid w:val="002E0A38"/>
    <w:rsid w:val="002E0BCC"/>
    <w:rsid w:val="002E0E7A"/>
    <w:rsid w:val="002E2DD1"/>
    <w:rsid w:val="002E3363"/>
    <w:rsid w:val="002E36BA"/>
    <w:rsid w:val="002E3C82"/>
    <w:rsid w:val="002E44FB"/>
    <w:rsid w:val="002E5F47"/>
    <w:rsid w:val="002E6E4C"/>
    <w:rsid w:val="002E7379"/>
    <w:rsid w:val="002E75DB"/>
    <w:rsid w:val="002F0615"/>
    <w:rsid w:val="002F0CAD"/>
    <w:rsid w:val="002F1248"/>
    <w:rsid w:val="002F2458"/>
    <w:rsid w:val="002F30F7"/>
    <w:rsid w:val="002F3AAF"/>
    <w:rsid w:val="002F3E65"/>
    <w:rsid w:val="002F405E"/>
    <w:rsid w:val="002F4935"/>
    <w:rsid w:val="002F5025"/>
    <w:rsid w:val="002F5C7C"/>
    <w:rsid w:val="002F5DCB"/>
    <w:rsid w:val="002F6055"/>
    <w:rsid w:val="002F6403"/>
    <w:rsid w:val="002F641C"/>
    <w:rsid w:val="002F726A"/>
    <w:rsid w:val="002F727B"/>
    <w:rsid w:val="00300112"/>
    <w:rsid w:val="00300198"/>
    <w:rsid w:val="003003CD"/>
    <w:rsid w:val="00300410"/>
    <w:rsid w:val="003005AE"/>
    <w:rsid w:val="003007C1"/>
    <w:rsid w:val="003008FC"/>
    <w:rsid w:val="00300DD1"/>
    <w:rsid w:val="0030151A"/>
    <w:rsid w:val="00301580"/>
    <w:rsid w:val="00301740"/>
    <w:rsid w:val="003023A8"/>
    <w:rsid w:val="00304390"/>
    <w:rsid w:val="00304A5B"/>
    <w:rsid w:val="00304F42"/>
    <w:rsid w:val="003056DE"/>
    <w:rsid w:val="003057F9"/>
    <w:rsid w:val="00305B09"/>
    <w:rsid w:val="00306736"/>
    <w:rsid w:val="00312253"/>
    <w:rsid w:val="0031329F"/>
    <w:rsid w:val="00313BF4"/>
    <w:rsid w:val="00315B59"/>
    <w:rsid w:val="003166F7"/>
    <w:rsid w:val="00316D92"/>
    <w:rsid w:val="0031780A"/>
    <w:rsid w:val="00317DCF"/>
    <w:rsid w:val="003204BC"/>
    <w:rsid w:val="0032292C"/>
    <w:rsid w:val="003242B7"/>
    <w:rsid w:val="003259DF"/>
    <w:rsid w:val="0032632B"/>
    <w:rsid w:val="00326FF7"/>
    <w:rsid w:val="00327C0E"/>
    <w:rsid w:val="003317AF"/>
    <w:rsid w:val="00331850"/>
    <w:rsid w:val="00331936"/>
    <w:rsid w:val="00331BD5"/>
    <w:rsid w:val="00331FD7"/>
    <w:rsid w:val="00332A5C"/>
    <w:rsid w:val="003334C6"/>
    <w:rsid w:val="00334904"/>
    <w:rsid w:val="00334962"/>
    <w:rsid w:val="00334D4B"/>
    <w:rsid w:val="003356A3"/>
    <w:rsid w:val="00335806"/>
    <w:rsid w:val="00336567"/>
    <w:rsid w:val="00337481"/>
    <w:rsid w:val="00337563"/>
    <w:rsid w:val="003376ED"/>
    <w:rsid w:val="003378D8"/>
    <w:rsid w:val="00337DF1"/>
    <w:rsid w:val="00340184"/>
    <w:rsid w:val="0034062D"/>
    <w:rsid w:val="00340A09"/>
    <w:rsid w:val="0034121C"/>
    <w:rsid w:val="00341325"/>
    <w:rsid w:val="00341A9E"/>
    <w:rsid w:val="00342E9A"/>
    <w:rsid w:val="00343643"/>
    <w:rsid w:val="00344C60"/>
    <w:rsid w:val="003461AE"/>
    <w:rsid w:val="00346448"/>
    <w:rsid w:val="00346B85"/>
    <w:rsid w:val="00350028"/>
    <w:rsid w:val="003506A7"/>
    <w:rsid w:val="00351447"/>
    <w:rsid w:val="00351F3B"/>
    <w:rsid w:val="00352B8A"/>
    <w:rsid w:val="00353A92"/>
    <w:rsid w:val="00353E6D"/>
    <w:rsid w:val="00353FA6"/>
    <w:rsid w:val="00353FF7"/>
    <w:rsid w:val="00355A6F"/>
    <w:rsid w:val="003568D6"/>
    <w:rsid w:val="00356B85"/>
    <w:rsid w:val="00357252"/>
    <w:rsid w:val="00360823"/>
    <w:rsid w:val="00361948"/>
    <w:rsid w:val="003625D4"/>
    <w:rsid w:val="003627C1"/>
    <w:rsid w:val="003628AD"/>
    <w:rsid w:val="003633BE"/>
    <w:rsid w:val="00363407"/>
    <w:rsid w:val="00363C9C"/>
    <w:rsid w:val="00364AC2"/>
    <w:rsid w:val="00364DC7"/>
    <w:rsid w:val="00364E7B"/>
    <w:rsid w:val="003655FA"/>
    <w:rsid w:val="003656C2"/>
    <w:rsid w:val="00366128"/>
    <w:rsid w:val="00366588"/>
    <w:rsid w:val="003665B8"/>
    <w:rsid w:val="00367271"/>
    <w:rsid w:val="003673C6"/>
    <w:rsid w:val="00370869"/>
    <w:rsid w:val="00372578"/>
    <w:rsid w:val="003725EE"/>
    <w:rsid w:val="003744D9"/>
    <w:rsid w:val="0037575F"/>
    <w:rsid w:val="00375AD8"/>
    <w:rsid w:val="00375F0B"/>
    <w:rsid w:val="003762D4"/>
    <w:rsid w:val="00376A22"/>
    <w:rsid w:val="00376FA7"/>
    <w:rsid w:val="00377508"/>
    <w:rsid w:val="0038076D"/>
    <w:rsid w:val="00380F0C"/>
    <w:rsid w:val="00381243"/>
    <w:rsid w:val="003855E5"/>
    <w:rsid w:val="003856AE"/>
    <w:rsid w:val="00386328"/>
    <w:rsid w:val="0038652A"/>
    <w:rsid w:val="00387A08"/>
    <w:rsid w:val="00387A2D"/>
    <w:rsid w:val="00390409"/>
    <w:rsid w:val="00390484"/>
    <w:rsid w:val="00390D02"/>
    <w:rsid w:val="00390DE7"/>
    <w:rsid w:val="00391707"/>
    <w:rsid w:val="003930BF"/>
    <w:rsid w:val="003936FF"/>
    <w:rsid w:val="00393861"/>
    <w:rsid w:val="00394290"/>
    <w:rsid w:val="00394E3F"/>
    <w:rsid w:val="0039506D"/>
    <w:rsid w:val="0039543B"/>
    <w:rsid w:val="0039544C"/>
    <w:rsid w:val="00395C37"/>
    <w:rsid w:val="00395E45"/>
    <w:rsid w:val="00397094"/>
    <w:rsid w:val="003976CC"/>
    <w:rsid w:val="00397B01"/>
    <w:rsid w:val="003A23FA"/>
    <w:rsid w:val="003A3343"/>
    <w:rsid w:val="003A3B27"/>
    <w:rsid w:val="003A3DE2"/>
    <w:rsid w:val="003A4009"/>
    <w:rsid w:val="003A4067"/>
    <w:rsid w:val="003A4730"/>
    <w:rsid w:val="003A4EF3"/>
    <w:rsid w:val="003A7AA7"/>
    <w:rsid w:val="003A7C04"/>
    <w:rsid w:val="003A7DC1"/>
    <w:rsid w:val="003B014F"/>
    <w:rsid w:val="003B0B8F"/>
    <w:rsid w:val="003B1191"/>
    <w:rsid w:val="003B2BB5"/>
    <w:rsid w:val="003B4061"/>
    <w:rsid w:val="003B43FE"/>
    <w:rsid w:val="003B49ED"/>
    <w:rsid w:val="003B5B72"/>
    <w:rsid w:val="003B6C91"/>
    <w:rsid w:val="003B6DFD"/>
    <w:rsid w:val="003B7CEE"/>
    <w:rsid w:val="003C0E57"/>
    <w:rsid w:val="003C136B"/>
    <w:rsid w:val="003C152A"/>
    <w:rsid w:val="003C1A04"/>
    <w:rsid w:val="003C1F82"/>
    <w:rsid w:val="003C2C17"/>
    <w:rsid w:val="003C3EAB"/>
    <w:rsid w:val="003C4E41"/>
    <w:rsid w:val="003C5044"/>
    <w:rsid w:val="003C62D2"/>
    <w:rsid w:val="003C647C"/>
    <w:rsid w:val="003C65D4"/>
    <w:rsid w:val="003C729F"/>
    <w:rsid w:val="003D08BB"/>
    <w:rsid w:val="003D0E38"/>
    <w:rsid w:val="003D123C"/>
    <w:rsid w:val="003D1EC9"/>
    <w:rsid w:val="003D205A"/>
    <w:rsid w:val="003D2490"/>
    <w:rsid w:val="003D2617"/>
    <w:rsid w:val="003D28E5"/>
    <w:rsid w:val="003D2D7E"/>
    <w:rsid w:val="003D30F6"/>
    <w:rsid w:val="003D3EF3"/>
    <w:rsid w:val="003D41B4"/>
    <w:rsid w:val="003D4C89"/>
    <w:rsid w:val="003D54F9"/>
    <w:rsid w:val="003D56EA"/>
    <w:rsid w:val="003D668E"/>
    <w:rsid w:val="003D6CB7"/>
    <w:rsid w:val="003D71FC"/>
    <w:rsid w:val="003D79BB"/>
    <w:rsid w:val="003E057E"/>
    <w:rsid w:val="003E0BB0"/>
    <w:rsid w:val="003E1588"/>
    <w:rsid w:val="003E3025"/>
    <w:rsid w:val="003E36E6"/>
    <w:rsid w:val="003E557A"/>
    <w:rsid w:val="003E566F"/>
    <w:rsid w:val="003E6159"/>
    <w:rsid w:val="003E66D2"/>
    <w:rsid w:val="003E6B4D"/>
    <w:rsid w:val="003E74C9"/>
    <w:rsid w:val="003F0F2A"/>
    <w:rsid w:val="003F1087"/>
    <w:rsid w:val="003F1C6A"/>
    <w:rsid w:val="003F1E97"/>
    <w:rsid w:val="003F20ED"/>
    <w:rsid w:val="003F25BB"/>
    <w:rsid w:val="003F2F3F"/>
    <w:rsid w:val="003F3159"/>
    <w:rsid w:val="003F33AC"/>
    <w:rsid w:val="003F3729"/>
    <w:rsid w:val="003F3D6A"/>
    <w:rsid w:val="003F422A"/>
    <w:rsid w:val="003F4357"/>
    <w:rsid w:val="003F4A59"/>
    <w:rsid w:val="003F4C62"/>
    <w:rsid w:val="003F64A4"/>
    <w:rsid w:val="003F679C"/>
    <w:rsid w:val="00400007"/>
    <w:rsid w:val="00400410"/>
    <w:rsid w:val="00400C73"/>
    <w:rsid w:val="0040158D"/>
    <w:rsid w:val="00401D31"/>
    <w:rsid w:val="0040217C"/>
    <w:rsid w:val="00402AFA"/>
    <w:rsid w:val="00403FA6"/>
    <w:rsid w:val="00404A97"/>
    <w:rsid w:val="00404D62"/>
    <w:rsid w:val="00404DB3"/>
    <w:rsid w:val="0040572A"/>
    <w:rsid w:val="00406491"/>
    <w:rsid w:val="0040685D"/>
    <w:rsid w:val="004070E6"/>
    <w:rsid w:val="00407179"/>
    <w:rsid w:val="004101B0"/>
    <w:rsid w:val="00411202"/>
    <w:rsid w:val="0041178E"/>
    <w:rsid w:val="0041184C"/>
    <w:rsid w:val="00411B61"/>
    <w:rsid w:val="00411C55"/>
    <w:rsid w:val="00411F4F"/>
    <w:rsid w:val="00411FAB"/>
    <w:rsid w:val="00413357"/>
    <w:rsid w:val="004133A2"/>
    <w:rsid w:val="00413BEE"/>
    <w:rsid w:val="00413C13"/>
    <w:rsid w:val="00414464"/>
    <w:rsid w:val="00414DDD"/>
    <w:rsid w:val="00415251"/>
    <w:rsid w:val="00415856"/>
    <w:rsid w:val="004165FD"/>
    <w:rsid w:val="0041681D"/>
    <w:rsid w:val="00420255"/>
    <w:rsid w:val="004212A5"/>
    <w:rsid w:val="00421ABB"/>
    <w:rsid w:val="00421B4A"/>
    <w:rsid w:val="00422674"/>
    <w:rsid w:val="00422934"/>
    <w:rsid w:val="00423119"/>
    <w:rsid w:val="0042347A"/>
    <w:rsid w:val="00423933"/>
    <w:rsid w:val="00424DF7"/>
    <w:rsid w:val="00425155"/>
    <w:rsid w:val="004251F1"/>
    <w:rsid w:val="004252E6"/>
    <w:rsid w:val="00425CD3"/>
    <w:rsid w:val="004266F3"/>
    <w:rsid w:val="00426814"/>
    <w:rsid w:val="00426CE7"/>
    <w:rsid w:val="004279BC"/>
    <w:rsid w:val="00427B54"/>
    <w:rsid w:val="00427C4E"/>
    <w:rsid w:val="00427C6E"/>
    <w:rsid w:val="00432C38"/>
    <w:rsid w:val="004340AD"/>
    <w:rsid w:val="004345EE"/>
    <w:rsid w:val="00434D25"/>
    <w:rsid w:val="004365EE"/>
    <w:rsid w:val="004367AD"/>
    <w:rsid w:val="00436BC1"/>
    <w:rsid w:val="00436CB0"/>
    <w:rsid w:val="00437616"/>
    <w:rsid w:val="00437753"/>
    <w:rsid w:val="004405CD"/>
    <w:rsid w:val="004407B0"/>
    <w:rsid w:val="00440801"/>
    <w:rsid w:val="004412C2"/>
    <w:rsid w:val="00441335"/>
    <w:rsid w:val="004432C4"/>
    <w:rsid w:val="0044394A"/>
    <w:rsid w:val="0044420D"/>
    <w:rsid w:val="00444280"/>
    <w:rsid w:val="00444888"/>
    <w:rsid w:val="00444B64"/>
    <w:rsid w:val="00445371"/>
    <w:rsid w:val="00445DAD"/>
    <w:rsid w:val="00445DF2"/>
    <w:rsid w:val="00446073"/>
    <w:rsid w:val="0044654E"/>
    <w:rsid w:val="00446E92"/>
    <w:rsid w:val="004470B4"/>
    <w:rsid w:val="00450550"/>
    <w:rsid w:val="004507B2"/>
    <w:rsid w:val="00450F57"/>
    <w:rsid w:val="004528ED"/>
    <w:rsid w:val="00454163"/>
    <w:rsid w:val="00455076"/>
    <w:rsid w:val="0045594E"/>
    <w:rsid w:val="00455BE1"/>
    <w:rsid w:val="00456582"/>
    <w:rsid w:val="00456A2B"/>
    <w:rsid w:val="00457793"/>
    <w:rsid w:val="00457F67"/>
    <w:rsid w:val="00460419"/>
    <w:rsid w:val="004604BF"/>
    <w:rsid w:val="0046089A"/>
    <w:rsid w:val="00462A0E"/>
    <w:rsid w:val="0046391F"/>
    <w:rsid w:val="00463F23"/>
    <w:rsid w:val="00463F8D"/>
    <w:rsid w:val="004652DF"/>
    <w:rsid w:val="0046582C"/>
    <w:rsid w:val="0046595E"/>
    <w:rsid w:val="004665B0"/>
    <w:rsid w:val="00466F8A"/>
    <w:rsid w:val="0046739C"/>
    <w:rsid w:val="0047089C"/>
    <w:rsid w:val="00471F97"/>
    <w:rsid w:val="004729E7"/>
    <w:rsid w:val="00472A24"/>
    <w:rsid w:val="00473227"/>
    <w:rsid w:val="004733B2"/>
    <w:rsid w:val="00473835"/>
    <w:rsid w:val="0047428B"/>
    <w:rsid w:val="004757F0"/>
    <w:rsid w:val="00475D0E"/>
    <w:rsid w:val="00476EB3"/>
    <w:rsid w:val="00476FEB"/>
    <w:rsid w:val="0047741E"/>
    <w:rsid w:val="00480D2F"/>
    <w:rsid w:val="00481A75"/>
    <w:rsid w:val="0048258F"/>
    <w:rsid w:val="00482608"/>
    <w:rsid w:val="0048298E"/>
    <w:rsid w:val="004830DC"/>
    <w:rsid w:val="00483B7F"/>
    <w:rsid w:val="00484C9B"/>
    <w:rsid w:val="0048721A"/>
    <w:rsid w:val="00487B87"/>
    <w:rsid w:val="00487C6B"/>
    <w:rsid w:val="00490434"/>
    <w:rsid w:val="00490D11"/>
    <w:rsid w:val="00490ED7"/>
    <w:rsid w:val="00491931"/>
    <w:rsid w:val="00493DD9"/>
    <w:rsid w:val="004942A7"/>
    <w:rsid w:val="00494749"/>
    <w:rsid w:val="00494814"/>
    <w:rsid w:val="00495706"/>
    <w:rsid w:val="00495B5C"/>
    <w:rsid w:val="00495D2D"/>
    <w:rsid w:val="004960EB"/>
    <w:rsid w:val="00496E3E"/>
    <w:rsid w:val="00497322"/>
    <w:rsid w:val="004977B7"/>
    <w:rsid w:val="00497F41"/>
    <w:rsid w:val="004A0D0A"/>
    <w:rsid w:val="004A1470"/>
    <w:rsid w:val="004A1DC5"/>
    <w:rsid w:val="004A2779"/>
    <w:rsid w:val="004A36E5"/>
    <w:rsid w:val="004A3B7F"/>
    <w:rsid w:val="004A524D"/>
    <w:rsid w:val="004A7346"/>
    <w:rsid w:val="004B26EF"/>
    <w:rsid w:val="004B2BE5"/>
    <w:rsid w:val="004B2C4A"/>
    <w:rsid w:val="004B2C90"/>
    <w:rsid w:val="004B2E4A"/>
    <w:rsid w:val="004B3022"/>
    <w:rsid w:val="004B30DA"/>
    <w:rsid w:val="004B31EF"/>
    <w:rsid w:val="004B463A"/>
    <w:rsid w:val="004B491E"/>
    <w:rsid w:val="004B539F"/>
    <w:rsid w:val="004B73C1"/>
    <w:rsid w:val="004B7E8E"/>
    <w:rsid w:val="004C0244"/>
    <w:rsid w:val="004C207A"/>
    <w:rsid w:val="004C3208"/>
    <w:rsid w:val="004C369B"/>
    <w:rsid w:val="004C3C5F"/>
    <w:rsid w:val="004C4AE1"/>
    <w:rsid w:val="004C53B7"/>
    <w:rsid w:val="004C5451"/>
    <w:rsid w:val="004C5C74"/>
    <w:rsid w:val="004C606F"/>
    <w:rsid w:val="004C73FF"/>
    <w:rsid w:val="004C7946"/>
    <w:rsid w:val="004D03B8"/>
    <w:rsid w:val="004D0619"/>
    <w:rsid w:val="004D07A4"/>
    <w:rsid w:val="004D1BA3"/>
    <w:rsid w:val="004D1BB4"/>
    <w:rsid w:val="004D22D0"/>
    <w:rsid w:val="004D3588"/>
    <w:rsid w:val="004D3891"/>
    <w:rsid w:val="004D3DCB"/>
    <w:rsid w:val="004D5AAD"/>
    <w:rsid w:val="004D5CED"/>
    <w:rsid w:val="004D606C"/>
    <w:rsid w:val="004D6720"/>
    <w:rsid w:val="004D73A5"/>
    <w:rsid w:val="004E03BD"/>
    <w:rsid w:val="004E0BBC"/>
    <w:rsid w:val="004E23C6"/>
    <w:rsid w:val="004E2A6E"/>
    <w:rsid w:val="004E3562"/>
    <w:rsid w:val="004E5044"/>
    <w:rsid w:val="004E6E99"/>
    <w:rsid w:val="004E6F49"/>
    <w:rsid w:val="004F0416"/>
    <w:rsid w:val="004F0530"/>
    <w:rsid w:val="004F17BC"/>
    <w:rsid w:val="004F1DA3"/>
    <w:rsid w:val="004F2FA2"/>
    <w:rsid w:val="004F308C"/>
    <w:rsid w:val="004F35A5"/>
    <w:rsid w:val="004F39CD"/>
    <w:rsid w:val="004F47E1"/>
    <w:rsid w:val="004F4BCE"/>
    <w:rsid w:val="004F5032"/>
    <w:rsid w:val="004F5376"/>
    <w:rsid w:val="004F5BCD"/>
    <w:rsid w:val="004F6208"/>
    <w:rsid w:val="004F67F6"/>
    <w:rsid w:val="004F6DEC"/>
    <w:rsid w:val="004F7DB3"/>
    <w:rsid w:val="004F7DBE"/>
    <w:rsid w:val="00500CBF"/>
    <w:rsid w:val="00500D5E"/>
    <w:rsid w:val="0050152B"/>
    <w:rsid w:val="0050228B"/>
    <w:rsid w:val="00502736"/>
    <w:rsid w:val="0050274A"/>
    <w:rsid w:val="0050276E"/>
    <w:rsid w:val="00503038"/>
    <w:rsid w:val="00503A55"/>
    <w:rsid w:val="005048B8"/>
    <w:rsid w:val="005052A7"/>
    <w:rsid w:val="0050610F"/>
    <w:rsid w:val="005067DB"/>
    <w:rsid w:val="00510E25"/>
    <w:rsid w:val="005116A4"/>
    <w:rsid w:val="00512214"/>
    <w:rsid w:val="00512BB4"/>
    <w:rsid w:val="00513049"/>
    <w:rsid w:val="00513A08"/>
    <w:rsid w:val="00513AE6"/>
    <w:rsid w:val="00513CC8"/>
    <w:rsid w:val="005146F4"/>
    <w:rsid w:val="0051491B"/>
    <w:rsid w:val="00514A7C"/>
    <w:rsid w:val="00514C8E"/>
    <w:rsid w:val="00514CC7"/>
    <w:rsid w:val="0051516A"/>
    <w:rsid w:val="00515869"/>
    <w:rsid w:val="00515F5E"/>
    <w:rsid w:val="00516A16"/>
    <w:rsid w:val="00516E5F"/>
    <w:rsid w:val="00517EC0"/>
    <w:rsid w:val="005205F3"/>
    <w:rsid w:val="005214C2"/>
    <w:rsid w:val="005238A2"/>
    <w:rsid w:val="00523EBC"/>
    <w:rsid w:val="00524690"/>
    <w:rsid w:val="00524903"/>
    <w:rsid w:val="00524C2C"/>
    <w:rsid w:val="00525804"/>
    <w:rsid w:val="00525A13"/>
    <w:rsid w:val="00525AC5"/>
    <w:rsid w:val="0052605E"/>
    <w:rsid w:val="00527380"/>
    <w:rsid w:val="00527E35"/>
    <w:rsid w:val="00527F08"/>
    <w:rsid w:val="00530727"/>
    <w:rsid w:val="00530927"/>
    <w:rsid w:val="00530AA5"/>
    <w:rsid w:val="00531594"/>
    <w:rsid w:val="00531B76"/>
    <w:rsid w:val="00532B79"/>
    <w:rsid w:val="00532CEA"/>
    <w:rsid w:val="00533B25"/>
    <w:rsid w:val="00533BA8"/>
    <w:rsid w:val="00533D70"/>
    <w:rsid w:val="00534DFB"/>
    <w:rsid w:val="00535FAD"/>
    <w:rsid w:val="00536CF6"/>
    <w:rsid w:val="00540709"/>
    <w:rsid w:val="00540CFD"/>
    <w:rsid w:val="005411F6"/>
    <w:rsid w:val="00541680"/>
    <w:rsid w:val="005418DD"/>
    <w:rsid w:val="0054216B"/>
    <w:rsid w:val="00542725"/>
    <w:rsid w:val="00542F3A"/>
    <w:rsid w:val="00544CF5"/>
    <w:rsid w:val="005462A8"/>
    <w:rsid w:val="00546541"/>
    <w:rsid w:val="005467C7"/>
    <w:rsid w:val="00546DC6"/>
    <w:rsid w:val="0055016F"/>
    <w:rsid w:val="005502DC"/>
    <w:rsid w:val="0055137B"/>
    <w:rsid w:val="005513D0"/>
    <w:rsid w:val="00551670"/>
    <w:rsid w:val="005518DF"/>
    <w:rsid w:val="00551FC2"/>
    <w:rsid w:val="00552287"/>
    <w:rsid w:val="00554AE2"/>
    <w:rsid w:val="00554E46"/>
    <w:rsid w:val="00554E71"/>
    <w:rsid w:val="00554E82"/>
    <w:rsid w:val="005550ED"/>
    <w:rsid w:val="00555470"/>
    <w:rsid w:val="00555AAF"/>
    <w:rsid w:val="0055733F"/>
    <w:rsid w:val="00557385"/>
    <w:rsid w:val="00560B59"/>
    <w:rsid w:val="00560D3C"/>
    <w:rsid w:val="00562A6A"/>
    <w:rsid w:val="00563359"/>
    <w:rsid w:val="0056343E"/>
    <w:rsid w:val="00563BA1"/>
    <w:rsid w:val="00563FE6"/>
    <w:rsid w:val="00565432"/>
    <w:rsid w:val="00566FD5"/>
    <w:rsid w:val="005676E5"/>
    <w:rsid w:val="00570899"/>
    <w:rsid w:val="00570BB8"/>
    <w:rsid w:val="00570BC1"/>
    <w:rsid w:val="00572473"/>
    <w:rsid w:val="00572880"/>
    <w:rsid w:val="005735E7"/>
    <w:rsid w:val="00573C19"/>
    <w:rsid w:val="00575439"/>
    <w:rsid w:val="0057572B"/>
    <w:rsid w:val="00575B5C"/>
    <w:rsid w:val="00575CF8"/>
    <w:rsid w:val="00576428"/>
    <w:rsid w:val="00576739"/>
    <w:rsid w:val="00577036"/>
    <w:rsid w:val="00577119"/>
    <w:rsid w:val="0057731F"/>
    <w:rsid w:val="00577AEE"/>
    <w:rsid w:val="00577F39"/>
    <w:rsid w:val="00580305"/>
    <w:rsid w:val="00580C67"/>
    <w:rsid w:val="005820EF"/>
    <w:rsid w:val="00582164"/>
    <w:rsid w:val="0058362D"/>
    <w:rsid w:val="0058372E"/>
    <w:rsid w:val="00583991"/>
    <w:rsid w:val="00583A59"/>
    <w:rsid w:val="00583BEB"/>
    <w:rsid w:val="00583C4B"/>
    <w:rsid w:val="0058421F"/>
    <w:rsid w:val="00584669"/>
    <w:rsid w:val="0058470C"/>
    <w:rsid w:val="0058486D"/>
    <w:rsid w:val="00584885"/>
    <w:rsid w:val="0058704B"/>
    <w:rsid w:val="00587081"/>
    <w:rsid w:val="00587116"/>
    <w:rsid w:val="0058782A"/>
    <w:rsid w:val="00587AD0"/>
    <w:rsid w:val="005900E2"/>
    <w:rsid w:val="00590632"/>
    <w:rsid w:val="0059069E"/>
    <w:rsid w:val="00590D2F"/>
    <w:rsid w:val="00590FAE"/>
    <w:rsid w:val="005929C3"/>
    <w:rsid w:val="005932C0"/>
    <w:rsid w:val="005935F9"/>
    <w:rsid w:val="0059484E"/>
    <w:rsid w:val="00594E71"/>
    <w:rsid w:val="00595269"/>
    <w:rsid w:val="005956C4"/>
    <w:rsid w:val="005959FB"/>
    <w:rsid w:val="00596E23"/>
    <w:rsid w:val="005A007F"/>
    <w:rsid w:val="005A0598"/>
    <w:rsid w:val="005A076F"/>
    <w:rsid w:val="005A0F1F"/>
    <w:rsid w:val="005A1945"/>
    <w:rsid w:val="005A1F63"/>
    <w:rsid w:val="005A33F0"/>
    <w:rsid w:val="005A3D1C"/>
    <w:rsid w:val="005A3EE3"/>
    <w:rsid w:val="005A3F0C"/>
    <w:rsid w:val="005A4D94"/>
    <w:rsid w:val="005A574D"/>
    <w:rsid w:val="005A6433"/>
    <w:rsid w:val="005A6693"/>
    <w:rsid w:val="005A6BD4"/>
    <w:rsid w:val="005A719E"/>
    <w:rsid w:val="005A7AF4"/>
    <w:rsid w:val="005B0185"/>
    <w:rsid w:val="005B04A8"/>
    <w:rsid w:val="005B04C3"/>
    <w:rsid w:val="005B0A16"/>
    <w:rsid w:val="005B13B2"/>
    <w:rsid w:val="005B1BCB"/>
    <w:rsid w:val="005B342C"/>
    <w:rsid w:val="005B3D6B"/>
    <w:rsid w:val="005B41CA"/>
    <w:rsid w:val="005B4F28"/>
    <w:rsid w:val="005B6589"/>
    <w:rsid w:val="005B6CF7"/>
    <w:rsid w:val="005B7BC6"/>
    <w:rsid w:val="005B7C5D"/>
    <w:rsid w:val="005C0CE1"/>
    <w:rsid w:val="005C127C"/>
    <w:rsid w:val="005C1571"/>
    <w:rsid w:val="005C34A8"/>
    <w:rsid w:val="005C36DB"/>
    <w:rsid w:val="005C3EE5"/>
    <w:rsid w:val="005C402D"/>
    <w:rsid w:val="005C55C8"/>
    <w:rsid w:val="005C5CC2"/>
    <w:rsid w:val="005C5DAB"/>
    <w:rsid w:val="005C5FA3"/>
    <w:rsid w:val="005C5FBF"/>
    <w:rsid w:val="005C6137"/>
    <w:rsid w:val="005C65C3"/>
    <w:rsid w:val="005C6A76"/>
    <w:rsid w:val="005C77FB"/>
    <w:rsid w:val="005C7A25"/>
    <w:rsid w:val="005D0392"/>
    <w:rsid w:val="005D05E5"/>
    <w:rsid w:val="005D08A7"/>
    <w:rsid w:val="005D090D"/>
    <w:rsid w:val="005D1C9E"/>
    <w:rsid w:val="005D2043"/>
    <w:rsid w:val="005D2983"/>
    <w:rsid w:val="005D2C2E"/>
    <w:rsid w:val="005D3A9A"/>
    <w:rsid w:val="005D3BC2"/>
    <w:rsid w:val="005D3D7B"/>
    <w:rsid w:val="005D4F8B"/>
    <w:rsid w:val="005D54F1"/>
    <w:rsid w:val="005D59FD"/>
    <w:rsid w:val="005D5FD4"/>
    <w:rsid w:val="005D65C6"/>
    <w:rsid w:val="005D7253"/>
    <w:rsid w:val="005D77AE"/>
    <w:rsid w:val="005D796E"/>
    <w:rsid w:val="005D79E7"/>
    <w:rsid w:val="005D7E7C"/>
    <w:rsid w:val="005E0B91"/>
    <w:rsid w:val="005E1D93"/>
    <w:rsid w:val="005E29C0"/>
    <w:rsid w:val="005E38C9"/>
    <w:rsid w:val="005E3E97"/>
    <w:rsid w:val="005E42BC"/>
    <w:rsid w:val="005E481A"/>
    <w:rsid w:val="005E522F"/>
    <w:rsid w:val="005E5737"/>
    <w:rsid w:val="005E578A"/>
    <w:rsid w:val="005E6AD4"/>
    <w:rsid w:val="005E6DF4"/>
    <w:rsid w:val="005E7192"/>
    <w:rsid w:val="005E72E2"/>
    <w:rsid w:val="005E77C1"/>
    <w:rsid w:val="005F14E4"/>
    <w:rsid w:val="005F1EFB"/>
    <w:rsid w:val="005F2FBA"/>
    <w:rsid w:val="005F388C"/>
    <w:rsid w:val="005F3A74"/>
    <w:rsid w:val="005F497E"/>
    <w:rsid w:val="005F6706"/>
    <w:rsid w:val="005F689E"/>
    <w:rsid w:val="005F6F6E"/>
    <w:rsid w:val="005F7398"/>
    <w:rsid w:val="00600A02"/>
    <w:rsid w:val="00600BD2"/>
    <w:rsid w:val="00601D69"/>
    <w:rsid w:val="00602BDD"/>
    <w:rsid w:val="00602DCD"/>
    <w:rsid w:val="00603000"/>
    <w:rsid w:val="006052D3"/>
    <w:rsid w:val="0060570D"/>
    <w:rsid w:val="00605AA2"/>
    <w:rsid w:val="00605F2E"/>
    <w:rsid w:val="00606621"/>
    <w:rsid w:val="006077CB"/>
    <w:rsid w:val="00610F33"/>
    <w:rsid w:val="00611262"/>
    <w:rsid w:val="0061185C"/>
    <w:rsid w:val="00611E85"/>
    <w:rsid w:val="006128B2"/>
    <w:rsid w:val="006129FC"/>
    <w:rsid w:val="00612B2A"/>
    <w:rsid w:val="00612FC3"/>
    <w:rsid w:val="0061334F"/>
    <w:rsid w:val="00613ECA"/>
    <w:rsid w:val="00615462"/>
    <w:rsid w:val="006158D2"/>
    <w:rsid w:val="00615C27"/>
    <w:rsid w:val="006170E9"/>
    <w:rsid w:val="00620295"/>
    <w:rsid w:val="00620AB9"/>
    <w:rsid w:val="00623D67"/>
    <w:rsid w:val="00623EEC"/>
    <w:rsid w:val="0062408D"/>
    <w:rsid w:val="006241F8"/>
    <w:rsid w:val="0062523A"/>
    <w:rsid w:val="0062654D"/>
    <w:rsid w:val="00626993"/>
    <w:rsid w:val="00626EC0"/>
    <w:rsid w:val="006309BC"/>
    <w:rsid w:val="00630B8E"/>
    <w:rsid w:val="00630B91"/>
    <w:rsid w:val="00630DE2"/>
    <w:rsid w:val="00631DA8"/>
    <w:rsid w:val="006320F6"/>
    <w:rsid w:val="00632ABA"/>
    <w:rsid w:val="00633864"/>
    <w:rsid w:val="0063386E"/>
    <w:rsid w:val="00633AE7"/>
    <w:rsid w:val="00635367"/>
    <w:rsid w:val="00635ED2"/>
    <w:rsid w:val="00636309"/>
    <w:rsid w:val="00636380"/>
    <w:rsid w:val="00636B76"/>
    <w:rsid w:val="00637679"/>
    <w:rsid w:val="006377D8"/>
    <w:rsid w:val="006404D7"/>
    <w:rsid w:val="00641282"/>
    <w:rsid w:val="006414F2"/>
    <w:rsid w:val="00641687"/>
    <w:rsid w:val="00641980"/>
    <w:rsid w:val="00642631"/>
    <w:rsid w:val="00642E19"/>
    <w:rsid w:val="00643B0F"/>
    <w:rsid w:val="00645851"/>
    <w:rsid w:val="006474AE"/>
    <w:rsid w:val="006504F9"/>
    <w:rsid w:val="00650C98"/>
    <w:rsid w:val="00651965"/>
    <w:rsid w:val="006531B3"/>
    <w:rsid w:val="0065351C"/>
    <w:rsid w:val="0065352E"/>
    <w:rsid w:val="006540D2"/>
    <w:rsid w:val="00654909"/>
    <w:rsid w:val="00654DFE"/>
    <w:rsid w:val="006552E0"/>
    <w:rsid w:val="00656733"/>
    <w:rsid w:val="0066076B"/>
    <w:rsid w:val="00660EDB"/>
    <w:rsid w:val="00660F54"/>
    <w:rsid w:val="00661C34"/>
    <w:rsid w:val="00661FED"/>
    <w:rsid w:val="00662828"/>
    <w:rsid w:val="00662CBB"/>
    <w:rsid w:val="00662DFF"/>
    <w:rsid w:val="0066301D"/>
    <w:rsid w:val="0066326E"/>
    <w:rsid w:val="0066379F"/>
    <w:rsid w:val="006649CA"/>
    <w:rsid w:val="00664E02"/>
    <w:rsid w:val="006655A9"/>
    <w:rsid w:val="00665C57"/>
    <w:rsid w:val="00666A05"/>
    <w:rsid w:val="00666C4F"/>
    <w:rsid w:val="00666CEE"/>
    <w:rsid w:val="00667F0E"/>
    <w:rsid w:val="00670142"/>
    <w:rsid w:val="006705AD"/>
    <w:rsid w:val="0067145A"/>
    <w:rsid w:val="00671B8F"/>
    <w:rsid w:val="00672874"/>
    <w:rsid w:val="00673209"/>
    <w:rsid w:val="006737AF"/>
    <w:rsid w:val="006753FA"/>
    <w:rsid w:val="00676007"/>
    <w:rsid w:val="00676320"/>
    <w:rsid w:val="00676409"/>
    <w:rsid w:val="0067781C"/>
    <w:rsid w:val="00677D28"/>
    <w:rsid w:val="00677D55"/>
    <w:rsid w:val="00677D94"/>
    <w:rsid w:val="00677F41"/>
    <w:rsid w:val="006807B6"/>
    <w:rsid w:val="00680C13"/>
    <w:rsid w:val="00680CF9"/>
    <w:rsid w:val="00681017"/>
    <w:rsid w:val="00682828"/>
    <w:rsid w:val="00682979"/>
    <w:rsid w:val="006836FB"/>
    <w:rsid w:val="00684230"/>
    <w:rsid w:val="0068514C"/>
    <w:rsid w:val="006857FD"/>
    <w:rsid w:val="00685BFB"/>
    <w:rsid w:val="00686DF9"/>
    <w:rsid w:val="00687925"/>
    <w:rsid w:val="006879DC"/>
    <w:rsid w:val="00687B2A"/>
    <w:rsid w:val="00687F21"/>
    <w:rsid w:val="0069098A"/>
    <w:rsid w:val="00690D66"/>
    <w:rsid w:val="00692B79"/>
    <w:rsid w:val="00693CD6"/>
    <w:rsid w:val="0069467A"/>
    <w:rsid w:val="00694C84"/>
    <w:rsid w:val="006955A3"/>
    <w:rsid w:val="00696024"/>
    <w:rsid w:val="006A0CCF"/>
    <w:rsid w:val="006A11BF"/>
    <w:rsid w:val="006A1316"/>
    <w:rsid w:val="006A1C41"/>
    <w:rsid w:val="006A31AC"/>
    <w:rsid w:val="006A3D53"/>
    <w:rsid w:val="006A478D"/>
    <w:rsid w:val="006A5372"/>
    <w:rsid w:val="006A6828"/>
    <w:rsid w:val="006A753E"/>
    <w:rsid w:val="006A78B7"/>
    <w:rsid w:val="006A79B9"/>
    <w:rsid w:val="006B083F"/>
    <w:rsid w:val="006B137D"/>
    <w:rsid w:val="006B2D31"/>
    <w:rsid w:val="006B2D5B"/>
    <w:rsid w:val="006B38E1"/>
    <w:rsid w:val="006B48FF"/>
    <w:rsid w:val="006B493C"/>
    <w:rsid w:val="006B51CC"/>
    <w:rsid w:val="006B5410"/>
    <w:rsid w:val="006B5FB1"/>
    <w:rsid w:val="006B67B3"/>
    <w:rsid w:val="006B70C2"/>
    <w:rsid w:val="006B7AF9"/>
    <w:rsid w:val="006C0AA8"/>
    <w:rsid w:val="006C1181"/>
    <w:rsid w:val="006C3AC8"/>
    <w:rsid w:val="006C3EE2"/>
    <w:rsid w:val="006C447D"/>
    <w:rsid w:val="006C4697"/>
    <w:rsid w:val="006C46D0"/>
    <w:rsid w:val="006C4D26"/>
    <w:rsid w:val="006C62F4"/>
    <w:rsid w:val="006C66E8"/>
    <w:rsid w:val="006C6BF9"/>
    <w:rsid w:val="006C6F9C"/>
    <w:rsid w:val="006C7024"/>
    <w:rsid w:val="006C7CEC"/>
    <w:rsid w:val="006C7D3F"/>
    <w:rsid w:val="006D1E1F"/>
    <w:rsid w:val="006D22CF"/>
    <w:rsid w:val="006D3D8E"/>
    <w:rsid w:val="006D4563"/>
    <w:rsid w:val="006D53E1"/>
    <w:rsid w:val="006D6BC7"/>
    <w:rsid w:val="006D6EBD"/>
    <w:rsid w:val="006E088D"/>
    <w:rsid w:val="006E0EB0"/>
    <w:rsid w:val="006E159B"/>
    <w:rsid w:val="006E169B"/>
    <w:rsid w:val="006E1CD7"/>
    <w:rsid w:val="006E1DFD"/>
    <w:rsid w:val="006E2EE3"/>
    <w:rsid w:val="006E2FBF"/>
    <w:rsid w:val="006E486F"/>
    <w:rsid w:val="006E4F89"/>
    <w:rsid w:val="006E5456"/>
    <w:rsid w:val="006E58A8"/>
    <w:rsid w:val="006E5C21"/>
    <w:rsid w:val="006E5D79"/>
    <w:rsid w:val="006E64B9"/>
    <w:rsid w:val="006E7561"/>
    <w:rsid w:val="006E7EFD"/>
    <w:rsid w:val="006F0B8C"/>
    <w:rsid w:val="006F0EAF"/>
    <w:rsid w:val="006F1424"/>
    <w:rsid w:val="006F22A4"/>
    <w:rsid w:val="006F26C7"/>
    <w:rsid w:val="006F2849"/>
    <w:rsid w:val="006F33DA"/>
    <w:rsid w:val="006F3B40"/>
    <w:rsid w:val="006F4405"/>
    <w:rsid w:val="006F5BB6"/>
    <w:rsid w:val="006F5CD1"/>
    <w:rsid w:val="006F6150"/>
    <w:rsid w:val="006F7C47"/>
    <w:rsid w:val="006F7E38"/>
    <w:rsid w:val="007014A4"/>
    <w:rsid w:val="00701724"/>
    <w:rsid w:val="00701C75"/>
    <w:rsid w:val="007020B0"/>
    <w:rsid w:val="007038AF"/>
    <w:rsid w:val="00703D22"/>
    <w:rsid w:val="00703EAB"/>
    <w:rsid w:val="00703EF0"/>
    <w:rsid w:val="00705579"/>
    <w:rsid w:val="0070599D"/>
    <w:rsid w:val="007060B2"/>
    <w:rsid w:val="00706DAC"/>
    <w:rsid w:val="00706EF0"/>
    <w:rsid w:val="00710ED4"/>
    <w:rsid w:val="007116DB"/>
    <w:rsid w:val="007120D9"/>
    <w:rsid w:val="00712228"/>
    <w:rsid w:val="00712AA2"/>
    <w:rsid w:val="00713079"/>
    <w:rsid w:val="00713A70"/>
    <w:rsid w:val="00713E16"/>
    <w:rsid w:val="0071409C"/>
    <w:rsid w:val="00715314"/>
    <w:rsid w:val="007163E6"/>
    <w:rsid w:val="00717492"/>
    <w:rsid w:val="007221DE"/>
    <w:rsid w:val="00722CF2"/>
    <w:rsid w:val="00722F21"/>
    <w:rsid w:val="00723FDF"/>
    <w:rsid w:val="00725B4C"/>
    <w:rsid w:val="00725E44"/>
    <w:rsid w:val="00725E4B"/>
    <w:rsid w:val="00725E54"/>
    <w:rsid w:val="00726060"/>
    <w:rsid w:val="0072713E"/>
    <w:rsid w:val="007272D1"/>
    <w:rsid w:val="00727649"/>
    <w:rsid w:val="007278BB"/>
    <w:rsid w:val="007300B3"/>
    <w:rsid w:val="00730826"/>
    <w:rsid w:val="00732435"/>
    <w:rsid w:val="007326D8"/>
    <w:rsid w:val="00734669"/>
    <w:rsid w:val="007347F9"/>
    <w:rsid w:val="007349EA"/>
    <w:rsid w:val="0073506C"/>
    <w:rsid w:val="007360E0"/>
    <w:rsid w:val="007361D8"/>
    <w:rsid w:val="00736C27"/>
    <w:rsid w:val="00737447"/>
    <w:rsid w:val="00737F55"/>
    <w:rsid w:val="007421B8"/>
    <w:rsid w:val="00742B28"/>
    <w:rsid w:val="00742BAF"/>
    <w:rsid w:val="007445A8"/>
    <w:rsid w:val="00744817"/>
    <w:rsid w:val="00744AA4"/>
    <w:rsid w:val="007459C8"/>
    <w:rsid w:val="00747448"/>
    <w:rsid w:val="00750C1B"/>
    <w:rsid w:val="00750F47"/>
    <w:rsid w:val="0075103B"/>
    <w:rsid w:val="00752569"/>
    <w:rsid w:val="0075520A"/>
    <w:rsid w:val="007557BA"/>
    <w:rsid w:val="00756BE0"/>
    <w:rsid w:val="00757A89"/>
    <w:rsid w:val="007603ED"/>
    <w:rsid w:val="0076081C"/>
    <w:rsid w:val="00760988"/>
    <w:rsid w:val="00760AA2"/>
    <w:rsid w:val="00761558"/>
    <w:rsid w:val="00762004"/>
    <w:rsid w:val="0076201D"/>
    <w:rsid w:val="007624DE"/>
    <w:rsid w:val="00763BBA"/>
    <w:rsid w:val="0076522A"/>
    <w:rsid w:val="0076535E"/>
    <w:rsid w:val="00765405"/>
    <w:rsid w:val="00772548"/>
    <w:rsid w:val="007747BE"/>
    <w:rsid w:val="007753B3"/>
    <w:rsid w:val="00775948"/>
    <w:rsid w:val="00775CD7"/>
    <w:rsid w:val="00776438"/>
    <w:rsid w:val="0077692F"/>
    <w:rsid w:val="00777240"/>
    <w:rsid w:val="00777D73"/>
    <w:rsid w:val="00780149"/>
    <w:rsid w:val="00780173"/>
    <w:rsid w:val="00780CDD"/>
    <w:rsid w:val="00782455"/>
    <w:rsid w:val="007827A8"/>
    <w:rsid w:val="00782C9C"/>
    <w:rsid w:val="00782DCD"/>
    <w:rsid w:val="00783810"/>
    <w:rsid w:val="00783A5F"/>
    <w:rsid w:val="00783C86"/>
    <w:rsid w:val="00783EF3"/>
    <w:rsid w:val="007840EF"/>
    <w:rsid w:val="007846BD"/>
    <w:rsid w:val="007856EA"/>
    <w:rsid w:val="007876AC"/>
    <w:rsid w:val="0078772D"/>
    <w:rsid w:val="00787AA4"/>
    <w:rsid w:val="0079049E"/>
    <w:rsid w:val="00791231"/>
    <w:rsid w:val="00791799"/>
    <w:rsid w:val="00792ACD"/>
    <w:rsid w:val="0079567A"/>
    <w:rsid w:val="00795EBD"/>
    <w:rsid w:val="0079672F"/>
    <w:rsid w:val="00797209"/>
    <w:rsid w:val="00797418"/>
    <w:rsid w:val="00797845"/>
    <w:rsid w:val="007A00D1"/>
    <w:rsid w:val="007A02F6"/>
    <w:rsid w:val="007A0ECA"/>
    <w:rsid w:val="007A3ECD"/>
    <w:rsid w:val="007A47B1"/>
    <w:rsid w:val="007A5AF7"/>
    <w:rsid w:val="007A6113"/>
    <w:rsid w:val="007A669A"/>
    <w:rsid w:val="007A6E93"/>
    <w:rsid w:val="007A72E9"/>
    <w:rsid w:val="007B12C1"/>
    <w:rsid w:val="007B39C7"/>
    <w:rsid w:val="007B44F9"/>
    <w:rsid w:val="007B529B"/>
    <w:rsid w:val="007B5574"/>
    <w:rsid w:val="007B6944"/>
    <w:rsid w:val="007B7149"/>
    <w:rsid w:val="007B73AC"/>
    <w:rsid w:val="007B7AC3"/>
    <w:rsid w:val="007C00D2"/>
    <w:rsid w:val="007C0AB0"/>
    <w:rsid w:val="007C2042"/>
    <w:rsid w:val="007C2771"/>
    <w:rsid w:val="007C32BF"/>
    <w:rsid w:val="007C3A5F"/>
    <w:rsid w:val="007C4087"/>
    <w:rsid w:val="007C5AB8"/>
    <w:rsid w:val="007C5E46"/>
    <w:rsid w:val="007C63EB"/>
    <w:rsid w:val="007C66F3"/>
    <w:rsid w:val="007C6CAC"/>
    <w:rsid w:val="007C6E35"/>
    <w:rsid w:val="007C6E7D"/>
    <w:rsid w:val="007C705F"/>
    <w:rsid w:val="007C71F5"/>
    <w:rsid w:val="007C73A5"/>
    <w:rsid w:val="007C76CF"/>
    <w:rsid w:val="007C7A8E"/>
    <w:rsid w:val="007D00E6"/>
    <w:rsid w:val="007D0103"/>
    <w:rsid w:val="007D0A9C"/>
    <w:rsid w:val="007D0AA8"/>
    <w:rsid w:val="007D1452"/>
    <w:rsid w:val="007D1B2F"/>
    <w:rsid w:val="007D26C3"/>
    <w:rsid w:val="007D2EF7"/>
    <w:rsid w:val="007D2FFD"/>
    <w:rsid w:val="007D4290"/>
    <w:rsid w:val="007D436E"/>
    <w:rsid w:val="007D47E4"/>
    <w:rsid w:val="007D5622"/>
    <w:rsid w:val="007D583E"/>
    <w:rsid w:val="007D5A5B"/>
    <w:rsid w:val="007D5CAC"/>
    <w:rsid w:val="007D5E97"/>
    <w:rsid w:val="007D674F"/>
    <w:rsid w:val="007D6F98"/>
    <w:rsid w:val="007D7381"/>
    <w:rsid w:val="007D73A3"/>
    <w:rsid w:val="007D73FC"/>
    <w:rsid w:val="007D7BCC"/>
    <w:rsid w:val="007D7BEF"/>
    <w:rsid w:val="007E0751"/>
    <w:rsid w:val="007E0D8A"/>
    <w:rsid w:val="007E141D"/>
    <w:rsid w:val="007E1F95"/>
    <w:rsid w:val="007E2464"/>
    <w:rsid w:val="007E3E9A"/>
    <w:rsid w:val="007E55D0"/>
    <w:rsid w:val="007E5679"/>
    <w:rsid w:val="007E640A"/>
    <w:rsid w:val="007E7453"/>
    <w:rsid w:val="007E7649"/>
    <w:rsid w:val="007E787C"/>
    <w:rsid w:val="007F1519"/>
    <w:rsid w:val="007F1C2D"/>
    <w:rsid w:val="007F1D30"/>
    <w:rsid w:val="007F2F48"/>
    <w:rsid w:val="007F315E"/>
    <w:rsid w:val="007F3E7E"/>
    <w:rsid w:val="007F41F8"/>
    <w:rsid w:val="007F4842"/>
    <w:rsid w:val="007F4FFC"/>
    <w:rsid w:val="007F6335"/>
    <w:rsid w:val="007F76C4"/>
    <w:rsid w:val="007F773F"/>
    <w:rsid w:val="007F77F7"/>
    <w:rsid w:val="00802160"/>
    <w:rsid w:val="00802258"/>
    <w:rsid w:val="00803BFB"/>
    <w:rsid w:val="008043B2"/>
    <w:rsid w:val="00804BA7"/>
    <w:rsid w:val="00806836"/>
    <w:rsid w:val="00806B77"/>
    <w:rsid w:val="00806FF6"/>
    <w:rsid w:val="008076B6"/>
    <w:rsid w:val="00807991"/>
    <w:rsid w:val="00810A96"/>
    <w:rsid w:val="00810D23"/>
    <w:rsid w:val="00810E80"/>
    <w:rsid w:val="00810F9D"/>
    <w:rsid w:val="00811E58"/>
    <w:rsid w:val="0081214B"/>
    <w:rsid w:val="00812301"/>
    <w:rsid w:val="00812E83"/>
    <w:rsid w:val="0081399B"/>
    <w:rsid w:val="00813D21"/>
    <w:rsid w:val="008143EC"/>
    <w:rsid w:val="00814A49"/>
    <w:rsid w:val="0081515A"/>
    <w:rsid w:val="008152CF"/>
    <w:rsid w:val="00816746"/>
    <w:rsid w:val="00816A32"/>
    <w:rsid w:val="00816F96"/>
    <w:rsid w:val="00816FC5"/>
    <w:rsid w:val="00817365"/>
    <w:rsid w:val="00820173"/>
    <w:rsid w:val="0082124B"/>
    <w:rsid w:val="00821743"/>
    <w:rsid w:val="00821FCD"/>
    <w:rsid w:val="00823604"/>
    <w:rsid w:val="008236D8"/>
    <w:rsid w:val="00824EA4"/>
    <w:rsid w:val="00824ED3"/>
    <w:rsid w:val="008250BA"/>
    <w:rsid w:val="00825973"/>
    <w:rsid w:val="00825CF2"/>
    <w:rsid w:val="00825F76"/>
    <w:rsid w:val="00826263"/>
    <w:rsid w:val="008262A6"/>
    <w:rsid w:val="008301D7"/>
    <w:rsid w:val="00832BBC"/>
    <w:rsid w:val="00833B3F"/>
    <w:rsid w:val="00833B79"/>
    <w:rsid w:val="00834F54"/>
    <w:rsid w:val="00835ED8"/>
    <w:rsid w:val="008360A4"/>
    <w:rsid w:val="008416FE"/>
    <w:rsid w:val="00841757"/>
    <w:rsid w:val="00841F27"/>
    <w:rsid w:val="0084201C"/>
    <w:rsid w:val="00842D7E"/>
    <w:rsid w:val="0084303A"/>
    <w:rsid w:val="00843B10"/>
    <w:rsid w:val="00845CF9"/>
    <w:rsid w:val="00846C79"/>
    <w:rsid w:val="008506FB"/>
    <w:rsid w:val="00850CCC"/>
    <w:rsid w:val="00852070"/>
    <w:rsid w:val="008530FC"/>
    <w:rsid w:val="008533B2"/>
    <w:rsid w:val="00854496"/>
    <w:rsid w:val="00854953"/>
    <w:rsid w:val="008551B6"/>
    <w:rsid w:val="00855994"/>
    <w:rsid w:val="00855A9F"/>
    <w:rsid w:val="00856605"/>
    <w:rsid w:val="00856707"/>
    <w:rsid w:val="008578F5"/>
    <w:rsid w:val="00860371"/>
    <w:rsid w:val="0086048D"/>
    <w:rsid w:val="00860769"/>
    <w:rsid w:val="008608D9"/>
    <w:rsid w:val="00860D3C"/>
    <w:rsid w:val="008610D4"/>
    <w:rsid w:val="008634BD"/>
    <w:rsid w:val="00863691"/>
    <w:rsid w:val="00863CA5"/>
    <w:rsid w:val="0086454E"/>
    <w:rsid w:val="008645F5"/>
    <w:rsid w:val="00865DE1"/>
    <w:rsid w:val="00866F37"/>
    <w:rsid w:val="00867915"/>
    <w:rsid w:val="00867B09"/>
    <w:rsid w:val="008700D0"/>
    <w:rsid w:val="008715F2"/>
    <w:rsid w:val="008724E1"/>
    <w:rsid w:val="00872C51"/>
    <w:rsid w:val="00872FFD"/>
    <w:rsid w:val="00873517"/>
    <w:rsid w:val="008744E0"/>
    <w:rsid w:val="00876A9C"/>
    <w:rsid w:val="00877287"/>
    <w:rsid w:val="00880737"/>
    <w:rsid w:val="00880AF2"/>
    <w:rsid w:val="0088119D"/>
    <w:rsid w:val="00881CBE"/>
    <w:rsid w:val="00881E60"/>
    <w:rsid w:val="00883041"/>
    <w:rsid w:val="008833AD"/>
    <w:rsid w:val="0088425D"/>
    <w:rsid w:val="0088477B"/>
    <w:rsid w:val="008858C8"/>
    <w:rsid w:val="0088610E"/>
    <w:rsid w:val="00886CE4"/>
    <w:rsid w:val="0088787D"/>
    <w:rsid w:val="00890EC1"/>
    <w:rsid w:val="00890F04"/>
    <w:rsid w:val="00893712"/>
    <w:rsid w:val="008944B4"/>
    <w:rsid w:val="0089552C"/>
    <w:rsid w:val="00896E7C"/>
    <w:rsid w:val="008A0CB4"/>
    <w:rsid w:val="008A125E"/>
    <w:rsid w:val="008A13AE"/>
    <w:rsid w:val="008A1412"/>
    <w:rsid w:val="008A2232"/>
    <w:rsid w:val="008A22AC"/>
    <w:rsid w:val="008A2A13"/>
    <w:rsid w:val="008A33D8"/>
    <w:rsid w:val="008A3469"/>
    <w:rsid w:val="008A3A92"/>
    <w:rsid w:val="008A3E3D"/>
    <w:rsid w:val="008A45A4"/>
    <w:rsid w:val="008A4913"/>
    <w:rsid w:val="008A61C6"/>
    <w:rsid w:val="008A6407"/>
    <w:rsid w:val="008A64FB"/>
    <w:rsid w:val="008A6833"/>
    <w:rsid w:val="008A762C"/>
    <w:rsid w:val="008A7652"/>
    <w:rsid w:val="008A7C76"/>
    <w:rsid w:val="008B05AD"/>
    <w:rsid w:val="008B0A71"/>
    <w:rsid w:val="008B0CCF"/>
    <w:rsid w:val="008B1195"/>
    <w:rsid w:val="008B14CD"/>
    <w:rsid w:val="008B2C7B"/>
    <w:rsid w:val="008B46E9"/>
    <w:rsid w:val="008B491E"/>
    <w:rsid w:val="008B5508"/>
    <w:rsid w:val="008B6230"/>
    <w:rsid w:val="008B64E3"/>
    <w:rsid w:val="008B6FF3"/>
    <w:rsid w:val="008C00AE"/>
    <w:rsid w:val="008C03D0"/>
    <w:rsid w:val="008C05DA"/>
    <w:rsid w:val="008C1307"/>
    <w:rsid w:val="008C1BFB"/>
    <w:rsid w:val="008C1CB2"/>
    <w:rsid w:val="008C22AA"/>
    <w:rsid w:val="008C2AF6"/>
    <w:rsid w:val="008C353F"/>
    <w:rsid w:val="008C379F"/>
    <w:rsid w:val="008C3818"/>
    <w:rsid w:val="008C3B7E"/>
    <w:rsid w:val="008C4024"/>
    <w:rsid w:val="008C4437"/>
    <w:rsid w:val="008C613E"/>
    <w:rsid w:val="008C660B"/>
    <w:rsid w:val="008C6BC7"/>
    <w:rsid w:val="008C6F0A"/>
    <w:rsid w:val="008D19D7"/>
    <w:rsid w:val="008D1B07"/>
    <w:rsid w:val="008D2229"/>
    <w:rsid w:val="008D3498"/>
    <w:rsid w:val="008D38B5"/>
    <w:rsid w:val="008D4610"/>
    <w:rsid w:val="008D4B3A"/>
    <w:rsid w:val="008D4E0E"/>
    <w:rsid w:val="008D4FA0"/>
    <w:rsid w:val="008D52BD"/>
    <w:rsid w:val="008D5A28"/>
    <w:rsid w:val="008E01B7"/>
    <w:rsid w:val="008E01F6"/>
    <w:rsid w:val="008E05A7"/>
    <w:rsid w:val="008E3452"/>
    <w:rsid w:val="008E3C4F"/>
    <w:rsid w:val="008E3CB7"/>
    <w:rsid w:val="008E4326"/>
    <w:rsid w:val="008E5539"/>
    <w:rsid w:val="008E6E94"/>
    <w:rsid w:val="008E708A"/>
    <w:rsid w:val="008E7655"/>
    <w:rsid w:val="008E783F"/>
    <w:rsid w:val="008F0651"/>
    <w:rsid w:val="008F11A9"/>
    <w:rsid w:val="008F1501"/>
    <w:rsid w:val="008F2736"/>
    <w:rsid w:val="008F283D"/>
    <w:rsid w:val="008F2F3F"/>
    <w:rsid w:val="008F3439"/>
    <w:rsid w:val="008F4279"/>
    <w:rsid w:val="008F4966"/>
    <w:rsid w:val="008F66EC"/>
    <w:rsid w:val="008F685A"/>
    <w:rsid w:val="008F6DE9"/>
    <w:rsid w:val="008F6EF7"/>
    <w:rsid w:val="008F6FE8"/>
    <w:rsid w:val="008F711B"/>
    <w:rsid w:val="00900535"/>
    <w:rsid w:val="00900570"/>
    <w:rsid w:val="00901617"/>
    <w:rsid w:val="00901657"/>
    <w:rsid w:val="00902C25"/>
    <w:rsid w:val="00902D57"/>
    <w:rsid w:val="00903B66"/>
    <w:rsid w:val="00903C9A"/>
    <w:rsid w:val="009046DB"/>
    <w:rsid w:val="00904900"/>
    <w:rsid w:val="00904FA3"/>
    <w:rsid w:val="00905404"/>
    <w:rsid w:val="009057E3"/>
    <w:rsid w:val="00906054"/>
    <w:rsid w:val="0090662F"/>
    <w:rsid w:val="00906819"/>
    <w:rsid w:val="00907829"/>
    <w:rsid w:val="00913164"/>
    <w:rsid w:val="009143D3"/>
    <w:rsid w:val="009160CA"/>
    <w:rsid w:val="009169EB"/>
    <w:rsid w:val="00916B28"/>
    <w:rsid w:val="00917785"/>
    <w:rsid w:val="00917EC7"/>
    <w:rsid w:val="00917EFC"/>
    <w:rsid w:val="00920012"/>
    <w:rsid w:val="0092015F"/>
    <w:rsid w:val="00921119"/>
    <w:rsid w:val="0092238A"/>
    <w:rsid w:val="0092238C"/>
    <w:rsid w:val="009227BC"/>
    <w:rsid w:val="00923E07"/>
    <w:rsid w:val="00924055"/>
    <w:rsid w:val="00924285"/>
    <w:rsid w:val="00924367"/>
    <w:rsid w:val="00924DFC"/>
    <w:rsid w:val="0092686E"/>
    <w:rsid w:val="00926BF7"/>
    <w:rsid w:val="0092704D"/>
    <w:rsid w:val="0092770E"/>
    <w:rsid w:val="009303D1"/>
    <w:rsid w:val="00930F4E"/>
    <w:rsid w:val="009312F1"/>
    <w:rsid w:val="0093144D"/>
    <w:rsid w:val="00931EE8"/>
    <w:rsid w:val="00931F07"/>
    <w:rsid w:val="00932640"/>
    <w:rsid w:val="00932D78"/>
    <w:rsid w:val="00934045"/>
    <w:rsid w:val="009342E5"/>
    <w:rsid w:val="009368F1"/>
    <w:rsid w:val="00936F4B"/>
    <w:rsid w:val="0093704A"/>
    <w:rsid w:val="009377E3"/>
    <w:rsid w:val="009405E0"/>
    <w:rsid w:val="009409F3"/>
    <w:rsid w:val="00943697"/>
    <w:rsid w:val="009437C6"/>
    <w:rsid w:val="0094390D"/>
    <w:rsid w:val="00944F95"/>
    <w:rsid w:val="0094509B"/>
    <w:rsid w:val="0094517B"/>
    <w:rsid w:val="009457B9"/>
    <w:rsid w:val="009461C4"/>
    <w:rsid w:val="0094667D"/>
    <w:rsid w:val="00946E0D"/>
    <w:rsid w:val="00947F5F"/>
    <w:rsid w:val="0095094E"/>
    <w:rsid w:val="00950CD2"/>
    <w:rsid w:val="00951118"/>
    <w:rsid w:val="009516DF"/>
    <w:rsid w:val="00952913"/>
    <w:rsid w:val="0095326B"/>
    <w:rsid w:val="00953EDD"/>
    <w:rsid w:val="00954D76"/>
    <w:rsid w:val="009554E1"/>
    <w:rsid w:val="009560DA"/>
    <w:rsid w:val="0095668E"/>
    <w:rsid w:val="00956AF4"/>
    <w:rsid w:val="00957B46"/>
    <w:rsid w:val="009608CC"/>
    <w:rsid w:val="00960A67"/>
    <w:rsid w:val="00960C30"/>
    <w:rsid w:val="00961449"/>
    <w:rsid w:val="00963986"/>
    <w:rsid w:val="009648EC"/>
    <w:rsid w:val="00964E1C"/>
    <w:rsid w:val="00965058"/>
    <w:rsid w:val="00965306"/>
    <w:rsid w:val="00965575"/>
    <w:rsid w:val="009658D5"/>
    <w:rsid w:val="009659D8"/>
    <w:rsid w:val="0096666B"/>
    <w:rsid w:val="009667EC"/>
    <w:rsid w:val="00966D7C"/>
    <w:rsid w:val="00967F31"/>
    <w:rsid w:val="00967FCE"/>
    <w:rsid w:val="009703FC"/>
    <w:rsid w:val="009704BE"/>
    <w:rsid w:val="00971E64"/>
    <w:rsid w:val="009725DE"/>
    <w:rsid w:val="009732AC"/>
    <w:rsid w:val="009738AE"/>
    <w:rsid w:val="00973DE4"/>
    <w:rsid w:val="00973E82"/>
    <w:rsid w:val="009744A7"/>
    <w:rsid w:val="00974AFC"/>
    <w:rsid w:val="00974D87"/>
    <w:rsid w:val="00976143"/>
    <w:rsid w:val="0097641D"/>
    <w:rsid w:val="00976AA3"/>
    <w:rsid w:val="0097704E"/>
    <w:rsid w:val="009775A8"/>
    <w:rsid w:val="0097780A"/>
    <w:rsid w:val="00977DAE"/>
    <w:rsid w:val="00980988"/>
    <w:rsid w:val="009810B7"/>
    <w:rsid w:val="009812B4"/>
    <w:rsid w:val="009828D8"/>
    <w:rsid w:val="00984372"/>
    <w:rsid w:val="009844B9"/>
    <w:rsid w:val="009847F8"/>
    <w:rsid w:val="00984CC2"/>
    <w:rsid w:val="009851E3"/>
    <w:rsid w:val="009852B7"/>
    <w:rsid w:val="00985A22"/>
    <w:rsid w:val="00985D09"/>
    <w:rsid w:val="00986177"/>
    <w:rsid w:val="00987226"/>
    <w:rsid w:val="00990C71"/>
    <w:rsid w:val="009914E9"/>
    <w:rsid w:val="0099209E"/>
    <w:rsid w:val="009926E6"/>
    <w:rsid w:val="00994FB1"/>
    <w:rsid w:val="00995470"/>
    <w:rsid w:val="00997007"/>
    <w:rsid w:val="009974DA"/>
    <w:rsid w:val="009A04FE"/>
    <w:rsid w:val="009A11DA"/>
    <w:rsid w:val="009A1489"/>
    <w:rsid w:val="009A1C7D"/>
    <w:rsid w:val="009A1E1A"/>
    <w:rsid w:val="009A27AC"/>
    <w:rsid w:val="009A287B"/>
    <w:rsid w:val="009A2E04"/>
    <w:rsid w:val="009A4174"/>
    <w:rsid w:val="009A4EBD"/>
    <w:rsid w:val="009A5B7A"/>
    <w:rsid w:val="009A5C4A"/>
    <w:rsid w:val="009B014E"/>
    <w:rsid w:val="009B0417"/>
    <w:rsid w:val="009B0C25"/>
    <w:rsid w:val="009B11E7"/>
    <w:rsid w:val="009B15CB"/>
    <w:rsid w:val="009B2E59"/>
    <w:rsid w:val="009B32B8"/>
    <w:rsid w:val="009B3A41"/>
    <w:rsid w:val="009B3BC7"/>
    <w:rsid w:val="009B3E79"/>
    <w:rsid w:val="009B47F3"/>
    <w:rsid w:val="009B50AB"/>
    <w:rsid w:val="009B513C"/>
    <w:rsid w:val="009B53B5"/>
    <w:rsid w:val="009B60C3"/>
    <w:rsid w:val="009B626E"/>
    <w:rsid w:val="009B6ECF"/>
    <w:rsid w:val="009B6F37"/>
    <w:rsid w:val="009B7941"/>
    <w:rsid w:val="009B7F81"/>
    <w:rsid w:val="009C22A1"/>
    <w:rsid w:val="009C3462"/>
    <w:rsid w:val="009C352F"/>
    <w:rsid w:val="009C451A"/>
    <w:rsid w:val="009C4A8E"/>
    <w:rsid w:val="009C4E2D"/>
    <w:rsid w:val="009C4E8B"/>
    <w:rsid w:val="009C5BFE"/>
    <w:rsid w:val="009C6169"/>
    <w:rsid w:val="009C6C33"/>
    <w:rsid w:val="009C6CC3"/>
    <w:rsid w:val="009C7060"/>
    <w:rsid w:val="009C7CAE"/>
    <w:rsid w:val="009C7F55"/>
    <w:rsid w:val="009D1B3D"/>
    <w:rsid w:val="009D2147"/>
    <w:rsid w:val="009D2CF6"/>
    <w:rsid w:val="009D38F9"/>
    <w:rsid w:val="009D3942"/>
    <w:rsid w:val="009D3A07"/>
    <w:rsid w:val="009D5284"/>
    <w:rsid w:val="009D5AC4"/>
    <w:rsid w:val="009D5BF1"/>
    <w:rsid w:val="009D78D7"/>
    <w:rsid w:val="009D79E2"/>
    <w:rsid w:val="009E0C70"/>
    <w:rsid w:val="009E14B3"/>
    <w:rsid w:val="009E1D21"/>
    <w:rsid w:val="009E1D4D"/>
    <w:rsid w:val="009E2FFA"/>
    <w:rsid w:val="009E3BA7"/>
    <w:rsid w:val="009E5127"/>
    <w:rsid w:val="009E5225"/>
    <w:rsid w:val="009E6447"/>
    <w:rsid w:val="009E73C6"/>
    <w:rsid w:val="009E7C09"/>
    <w:rsid w:val="009E7EEA"/>
    <w:rsid w:val="009F0824"/>
    <w:rsid w:val="009F136F"/>
    <w:rsid w:val="009F168A"/>
    <w:rsid w:val="009F175C"/>
    <w:rsid w:val="009F1995"/>
    <w:rsid w:val="009F1CCD"/>
    <w:rsid w:val="009F2120"/>
    <w:rsid w:val="009F2BCE"/>
    <w:rsid w:val="009F308B"/>
    <w:rsid w:val="009F3225"/>
    <w:rsid w:val="009F3DC4"/>
    <w:rsid w:val="009F4458"/>
    <w:rsid w:val="009F4601"/>
    <w:rsid w:val="009F4664"/>
    <w:rsid w:val="009F5163"/>
    <w:rsid w:val="009F5AD3"/>
    <w:rsid w:val="009F616E"/>
    <w:rsid w:val="009F676E"/>
    <w:rsid w:val="009F6869"/>
    <w:rsid w:val="009F6CFB"/>
    <w:rsid w:val="009F6D6D"/>
    <w:rsid w:val="009F7862"/>
    <w:rsid w:val="009F78E3"/>
    <w:rsid w:val="00A008B4"/>
    <w:rsid w:val="00A00AF1"/>
    <w:rsid w:val="00A01652"/>
    <w:rsid w:val="00A021BC"/>
    <w:rsid w:val="00A02532"/>
    <w:rsid w:val="00A02FB2"/>
    <w:rsid w:val="00A03054"/>
    <w:rsid w:val="00A0323B"/>
    <w:rsid w:val="00A0323F"/>
    <w:rsid w:val="00A03C06"/>
    <w:rsid w:val="00A04B1E"/>
    <w:rsid w:val="00A05183"/>
    <w:rsid w:val="00A06351"/>
    <w:rsid w:val="00A06466"/>
    <w:rsid w:val="00A06841"/>
    <w:rsid w:val="00A06CC9"/>
    <w:rsid w:val="00A106D2"/>
    <w:rsid w:val="00A10D0E"/>
    <w:rsid w:val="00A10FBC"/>
    <w:rsid w:val="00A116AE"/>
    <w:rsid w:val="00A12093"/>
    <w:rsid w:val="00A13E2B"/>
    <w:rsid w:val="00A14946"/>
    <w:rsid w:val="00A14D0A"/>
    <w:rsid w:val="00A1513F"/>
    <w:rsid w:val="00A16608"/>
    <w:rsid w:val="00A175D6"/>
    <w:rsid w:val="00A20DAB"/>
    <w:rsid w:val="00A20F1C"/>
    <w:rsid w:val="00A21960"/>
    <w:rsid w:val="00A2212C"/>
    <w:rsid w:val="00A22985"/>
    <w:rsid w:val="00A22FD7"/>
    <w:rsid w:val="00A2345B"/>
    <w:rsid w:val="00A23DF1"/>
    <w:rsid w:val="00A23F07"/>
    <w:rsid w:val="00A24B3E"/>
    <w:rsid w:val="00A264A2"/>
    <w:rsid w:val="00A27235"/>
    <w:rsid w:val="00A27643"/>
    <w:rsid w:val="00A278D6"/>
    <w:rsid w:val="00A27B71"/>
    <w:rsid w:val="00A31A1B"/>
    <w:rsid w:val="00A31CD3"/>
    <w:rsid w:val="00A32029"/>
    <w:rsid w:val="00A32209"/>
    <w:rsid w:val="00A326E2"/>
    <w:rsid w:val="00A32CC6"/>
    <w:rsid w:val="00A33CAD"/>
    <w:rsid w:val="00A33CDF"/>
    <w:rsid w:val="00A354E0"/>
    <w:rsid w:val="00A35A6A"/>
    <w:rsid w:val="00A35EFF"/>
    <w:rsid w:val="00A3739B"/>
    <w:rsid w:val="00A37EC4"/>
    <w:rsid w:val="00A405A4"/>
    <w:rsid w:val="00A409D8"/>
    <w:rsid w:val="00A40D4F"/>
    <w:rsid w:val="00A4193B"/>
    <w:rsid w:val="00A41B14"/>
    <w:rsid w:val="00A4233E"/>
    <w:rsid w:val="00A43188"/>
    <w:rsid w:val="00A4362B"/>
    <w:rsid w:val="00A43AD0"/>
    <w:rsid w:val="00A515DD"/>
    <w:rsid w:val="00A51BC6"/>
    <w:rsid w:val="00A51F2F"/>
    <w:rsid w:val="00A52612"/>
    <w:rsid w:val="00A541FD"/>
    <w:rsid w:val="00A55668"/>
    <w:rsid w:val="00A56A24"/>
    <w:rsid w:val="00A607A3"/>
    <w:rsid w:val="00A60DFC"/>
    <w:rsid w:val="00A61659"/>
    <w:rsid w:val="00A616E3"/>
    <w:rsid w:val="00A63924"/>
    <w:rsid w:val="00A63A5E"/>
    <w:rsid w:val="00A653CC"/>
    <w:rsid w:val="00A6565E"/>
    <w:rsid w:val="00A65913"/>
    <w:rsid w:val="00A663FD"/>
    <w:rsid w:val="00A6647B"/>
    <w:rsid w:val="00A66657"/>
    <w:rsid w:val="00A66E91"/>
    <w:rsid w:val="00A67573"/>
    <w:rsid w:val="00A67BF5"/>
    <w:rsid w:val="00A67EF4"/>
    <w:rsid w:val="00A70500"/>
    <w:rsid w:val="00A713D0"/>
    <w:rsid w:val="00A71CBD"/>
    <w:rsid w:val="00A71CD8"/>
    <w:rsid w:val="00A72F7E"/>
    <w:rsid w:val="00A7338F"/>
    <w:rsid w:val="00A734C4"/>
    <w:rsid w:val="00A73F32"/>
    <w:rsid w:val="00A74EF2"/>
    <w:rsid w:val="00A761EE"/>
    <w:rsid w:val="00A76916"/>
    <w:rsid w:val="00A77449"/>
    <w:rsid w:val="00A77FD0"/>
    <w:rsid w:val="00A8054E"/>
    <w:rsid w:val="00A8212F"/>
    <w:rsid w:val="00A825FD"/>
    <w:rsid w:val="00A82EF3"/>
    <w:rsid w:val="00A83026"/>
    <w:rsid w:val="00A83944"/>
    <w:rsid w:val="00A83CFF"/>
    <w:rsid w:val="00A847AD"/>
    <w:rsid w:val="00A84F60"/>
    <w:rsid w:val="00A86229"/>
    <w:rsid w:val="00A865DE"/>
    <w:rsid w:val="00A87286"/>
    <w:rsid w:val="00A90BDF"/>
    <w:rsid w:val="00A91605"/>
    <w:rsid w:val="00A920BF"/>
    <w:rsid w:val="00A92AC7"/>
    <w:rsid w:val="00A930A4"/>
    <w:rsid w:val="00A93EE4"/>
    <w:rsid w:val="00A93FF1"/>
    <w:rsid w:val="00A941E2"/>
    <w:rsid w:val="00A948F9"/>
    <w:rsid w:val="00A94966"/>
    <w:rsid w:val="00A95461"/>
    <w:rsid w:val="00A962BC"/>
    <w:rsid w:val="00A96327"/>
    <w:rsid w:val="00A96369"/>
    <w:rsid w:val="00A963CC"/>
    <w:rsid w:val="00A9668A"/>
    <w:rsid w:val="00AA05FF"/>
    <w:rsid w:val="00AA0765"/>
    <w:rsid w:val="00AA0DEB"/>
    <w:rsid w:val="00AA1D9E"/>
    <w:rsid w:val="00AA26BA"/>
    <w:rsid w:val="00AA2BD5"/>
    <w:rsid w:val="00AA4148"/>
    <w:rsid w:val="00AA58D3"/>
    <w:rsid w:val="00AA5A41"/>
    <w:rsid w:val="00AA5EF6"/>
    <w:rsid w:val="00AA6B6F"/>
    <w:rsid w:val="00AA7F78"/>
    <w:rsid w:val="00AB21E5"/>
    <w:rsid w:val="00AB312A"/>
    <w:rsid w:val="00AB3680"/>
    <w:rsid w:val="00AB42C6"/>
    <w:rsid w:val="00AB432D"/>
    <w:rsid w:val="00AB4559"/>
    <w:rsid w:val="00AB6AC1"/>
    <w:rsid w:val="00AB6C62"/>
    <w:rsid w:val="00AB6D22"/>
    <w:rsid w:val="00AB7A63"/>
    <w:rsid w:val="00AB7D6C"/>
    <w:rsid w:val="00AB7F2C"/>
    <w:rsid w:val="00AC0114"/>
    <w:rsid w:val="00AC121F"/>
    <w:rsid w:val="00AC257E"/>
    <w:rsid w:val="00AC3BCC"/>
    <w:rsid w:val="00AC3D98"/>
    <w:rsid w:val="00AC485F"/>
    <w:rsid w:val="00AC4BCA"/>
    <w:rsid w:val="00AC55A2"/>
    <w:rsid w:val="00AC5A6D"/>
    <w:rsid w:val="00AC5D8A"/>
    <w:rsid w:val="00AC60DF"/>
    <w:rsid w:val="00AC6514"/>
    <w:rsid w:val="00AC66B6"/>
    <w:rsid w:val="00AC6D2F"/>
    <w:rsid w:val="00AC72DD"/>
    <w:rsid w:val="00AC7D35"/>
    <w:rsid w:val="00AD01B0"/>
    <w:rsid w:val="00AD047C"/>
    <w:rsid w:val="00AD0929"/>
    <w:rsid w:val="00AD114E"/>
    <w:rsid w:val="00AD115A"/>
    <w:rsid w:val="00AD180E"/>
    <w:rsid w:val="00AD29A7"/>
    <w:rsid w:val="00AD2C01"/>
    <w:rsid w:val="00AD438D"/>
    <w:rsid w:val="00AD4664"/>
    <w:rsid w:val="00AD57C3"/>
    <w:rsid w:val="00AD6BCD"/>
    <w:rsid w:val="00AD6E74"/>
    <w:rsid w:val="00AD7743"/>
    <w:rsid w:val="00AD7A31"/>
    <w:rsid w:val="00AD7F79"/>
    <w:rsid w:val="00AE0BFB"/>
    <w:rsid w:val="00AE0E12"/>
    <w:rsid w:val="00AE1B35"/>
    <w:rsid w:val="00AE1C83"/>
    <w:rsid w:val="00AE33BA"/>
    <w:rsid w:val="00AE3ACD"/>
    <w:rsid w:val="00AE4AE7"/>
    <w:rsid w:val="00AE4F6F"/>
    <w:rsid w:val="00AE5977"/>
    <w:rsid w:val="00AE6820"/>
    <w:rsid w:val="00AE6EE0"/>
    <w:rsid w:val="00AE6F25"/>
    <w:rsid w:val="00AF000D"/>
    <w:rsid w:val="00AF084F"/>
    <w:rsid w:val="00AF0FC9"/>
    <w:rsid w:val="00AF1181"/>
    <w:rsid w:val="00AF2AA1"/>
    <w:rsid w:val="00AF2BF2"/>
    <w:rsid w:val="00AF35D2"/>
    <w:rsid w:val="00AF3755"/>
    <w:rsid w:val="00AF46C1"/>
    <w:rsid w:val="00AF49DC"/>
    <w:rsid w:val="00AF4A44"/>
    <w:rsid w:val="00AF4F3C"/>
    <w:rsid w:val="00AF5006"/>
    <w:rsid w:val="00AF7046"/>
    <w:rsid w:val="00AF7137"/>
    <w:rsid w:val="00B00439"/>
    <w:rsid w:val="00B01B94"/>
    <w:rsid w:val="00B01C74"/>
    <w:rsid w:val="00B03033"/>
    <w:rsid w:val="00B033AD"/>
    <w:rsid w:val="00B03851"/>
    <w:rsid w:val="00B03A3A"/>
    <w:rsid w:val="00B040D9"/>
    <w:rsid w:val="00B0431F"/>
    <w:rsid w:val="00B045B6"/>
    <w:rsid w:val="00B04857"/>
    <w:rsid w:val="00B04B3C"/>
    <w:rsid w:val="00B04B58"/>
    <w:rsid w:val="00B04B85"/>
    <w:rsid w:val="00B0561E"/>
    <w:rsid w:val="00B05CEF"/>
    <w:rsid w:val="00B0635C"/>
    <w:rsid w:val="00B102E0"/>
    <w:rsid w:val="00B115C5"/>
    <w:rsid w:val="00B11A13"/>
    <w:rsid w:val="00B11F0E"/>
    <w:rsid w:val="00B137FA"/>
    <w:rsid w:val="00B13D59"/>
    <w:rsid w:val="00B14CA2"/>
    <w:rsid w:val="00B14E3F"/>
    <w:rsid w:val="00B14EFF"/>
    <w:rsid w:val="00B15BA1"/>
    <w:rsid w:val="00B16884"/>
    <w:rsid w:val="00B169FC"/>
    <w:rsid w:val="00B171B9"/>
    <w:rsid w:val="00B176F6"/>
    <w:rsid w:val="00B20115"/>
    <w:rsid w:val="00B2167C"/>
    <w:rsid w:val="00B226FA"/>
    <w:rsid w:val="00B246A6"/>
    <w:rsid w:val="00B24894"/>
    <w:rsid w:val="00B25888"/>
    <w:rsid w:val="00B25D11"/>
    <w:rsid w:val="00B270B9"/>
    <w:rsid w:val="00B27400"/>
    <w:rsid w:val="00B27DFE"/>
    <w:rsid w:val="00B30098"/>
    <w:rsid w:val="00B303A5"/>
    <w:rsid w:val="00B31326"/>
    <w:rsid w:val="00B31557"/>
    <w:rsid w:val="00B31662"/>
    <w:rsid w:val="00B31E59"/>
    <w:rsid w:val="00B31EEB"/>
    <w:rsid w:val="00B320CB"/>
    <w:rsid w:val="00B33512"/>
    <w:rsid w:val="00B354FA"/>
    <w:rsid w:val="00B37895"/>
    <w:rsid w:val="00B37D60"/>
    <w:rsid w:val="00B406E6"/>
    <w:rsid w:val="00B4181B"/>
    <w:rsid w:val="00B42438"/>
    <w:rsid w:val="00B43434"/>
    <w:rsid w:val="00B435F3"/>
    <w:rsid w:val="00B45C60"/>
    <w:rsid w:val="00B461CE"/>
    <w:rsid w:val="00B46688"/>
    <w:rsid w:val="00B504BF"/>
    <w:rsid w:val="00B50542"/>
    <w:rsid w:val="00B5132F"/>
    <w:rsid w:val="00B52562"/>
    <w:rsid w:val="00B531F2"/>
    <w:rsid w:val="00B53A03"/>
    <w:rsid w:val="00B54D53"/>
    <w:rsid w:val="00B55345"/>
    <w:rsid w:val="00B56767"/>
    <w:rsid w:val="00B5758E"/>
    <w:rsid w:val="00B603B6"/>
    <w:rsid w:val="00B612D8"/>
    <w:rsid w:val="00B62250"/>
    <w:rsid w:val="00B6311A"/>
    <w:rsid w:val="00B63512"/>
    <w:rsid w:val="00B6477D"/>
    <w:rsid w:val="00B64C38"/>
    <w:rsid w:val="00B64C39"/>
    <w:rsid w:val="00B66930"/>
    <w:rsid w:val="00B6697F"/>
    <w:rsid w:val="00B66C65"/>
    <w:rsid w:val="00B67E7E"/>
    <w:rsid w:val="00B705E5"/>
    <w:rsid w:val="00B70807"/>
    <w:rsid w:val="00B70E08"/>
    <w:rsid w:val="00B71238"/>
    <w:rsid w:val="00B7238C"/>
    <w:rsid w:val="00B726BA"/>
    <w:rsid w:val="00B73444"/>
    <w:rsid w:val="00B734D5"/>
    <w:rsid w:val="00B7409D"/>
    <w:rsid w:val="00B740A7"/>
    <w:rsid w:val="00B747E0"/>
    <w:rsid w:val="00B74BA3"/>
    <w:rsid w:val="00B74E8B"/>
    <w:rsid w:val="00B75C18"/>
    <w:rsid w:val="00B75FEE"/>
    <w:rsid w:val="00B770B2"/>
    <w:rsid w:val="00B8013E"/>
    <w:rsid w:val="00B81214"/>
    <w:rsid w:val="00B81E09"/>
    <w:rsid w:val="00B82067"/>
    <w:rsid w:val="00B82D54"/>
    <w:rsid w:val="00B83F18"/>
    <w:rsid w:val="00B84552"/>
    <w:rsid w:val="00B84DF7"/>
    <w:rsid w:val="00B868DB"/>
    <w:rsid w:val="00B86AD8"/>
    <w:rsid w:val="00B86E62"/>
    <w:rsid w:val="00B87A42"/>
    <w:rsid w:val="00B910E5"/>
    <w:rsid w:val="00B91E47"/>
    <w:rsid w:val="00B9444E"/>
    <w:rsid w:val="00B95625"/>
    <w:rsid w:val="00B960EC"/>
    <w:rsid w:val="00B9714B"/>
    <w:rsid w:val="00B97508"/>
    <w:rsid w:val="00B97DDC"/>
    <w:rsid w:val="00B97E64"/>
    <w:rsid w:val="00BA0073"/>
    <w:rsid w:val="00BA0479"/>
    <w:rsid w:val="00BA0572"/>
    <w:rsid w:val="00BA0C02"/>
    <w:rsid w:val="00BA0E23"/>
    <w:rsid w:val="00BA1E8B"/>
    <w:rsid w:val="00BA2041"/>
    <w:rsid w:val="00BA2E5F"/>
    <w:rsid w:val="00BA332A"/>
    <w:rsid w:val="00BA3803"/>
    <w:rsid w:val="00BA3D88"/>
    <w:rsid w:val="00BA412D"/>
    <w:rsid w:val="00BA47E0"/>
    <w:rsid w:val="00BA4B91"/>
    <w:rsid w:val="00BA5289"/>
    <w:rsid w:val="00BA5B25"/>
    <w:rsid w:val="00BA62E6"/>
    <w:rsid w:val="00BA7959"/>
    <w:rsid w:val="00BB12DC"/>
    <w:rsid w:val="00BB1A85"/>
    <w:rsid w:val="00BB2694"/>
    <w:rsid w:val="00BB2812"/>
    <w:rsid w:val="00BB2941"/>
    <w:rsid w:val="00BB30E4"/>
    <w:rsid w:val="00BB3360"/>
    <w:rsid w:val="00BB34C5"/>
    <w:rsid w:val="00BB4184"/>
    <w:rsid w:val="00BB4271"/>
    <w:rsid w:val="00BB5037"/>
    <w:rsid w:val="00BB5E1A"/>
    <w:rsid w:val="00BB7109"/>
    <w:rsid w:val="00BB7404"/>
    <w:rsid w:val="00BC0222"/>
    <w:rsid w:val="00BC1174"/>
    <w:rsid w:val="00BC1442"/>
    <w:rsid w:val="00BC29B5"/>
    <w:rsid w:val="00BC2A74"/>
    <w:rsid w:val="00BC4342"/>
    <w:rsid w:val="00BC470A"/>
    <w:rsid w:val="00BC53E8"/>
    <w:rsid w:val="00BC5CED"/>
    <w:rsid w:val="00BC60FB"/>
    <w:rsid w:val="00BC6349"/>
    <w:rsid w:val="00BC6A24"/>
    <w:rsid w:val="00BC6BE7"/>
    <w:rsid w:val="00BC6C10"/>
    <w:rsid w:val="00BC7363"/>
    <w:rsid w:val="00BD0F89"/>
    <w:rsid w:val="00BD1292"/>
    <w:rsid w:val="00BD1E81"/>
    <w:rsid w:val="00BD28A1"/>
    <w:rsid w:val="00BD2934"/>
    <w:rsid w:val="00BD700D"/>
    <w:rsid w:val="00BD77BE"/>
    <w:rsid w:val="00BD7A22"/>
    <w:rsid w:val="00BD7FF5"/>
    <w:rsid w:val="00BE00F1"/>
    <w:rsid w:val="00BE0669"/>
    <w:rsid w:val="00BE07E1"/>
    <w:rsid w:val="00BE1409"/>
    <w:rsid w:val="00BE1E98"/>
    <w:rsid w:val="00BE203B"/>
    <w:rsid w:val="00BE264B"/>
    <w:rsid w:val="00BE324F"/>
    <w:rsid w:val="00BE3534"/>
    <w:rsid w:val="00BE3C78"/>
    <w:rsid w:val="00BE3E1C"/>
    <w:rsid w:val="00BE54DC"/>
    <w:rsid w:val="00BE6430"/>
    <w:rsid w:val="00BE7008"/>
    <w:rsid w:val="00BE75DC"/>
    <w:rsid w:val="00BF02D8"/>
    <w:rsid w:val="00BF034A"/>
    <w:rsid w:val="00BF12A9"/>
    <w:rsid w:val="00BF189C"/>
    <w:rsid w:val="00BF1A7C"/>
    <w:rsid w:val="00BF26B7"/>
    <w:rsid w:val="00BF3095"/>
    <w:rsid w:val="00BF3743"/>
    <w:rsid w:val="00BF40BB"/>
    <w:rsid w:val="00BF4790"/>
    <w:rsid w:val="00BF57BE"/>
    <w:rsid w:val="00C000F5"/>
    <w:rsid w:val="00C00B5B"/>
    <w:rsid w:val="00C00E92"/>
    <w:rsid w:val="00C01813"/>
    <w:rsid w:val="00C022A5"/>
    <w:rsid w:val="00C030D2"/>
    <w:rsid w:val="00C033E5"/>
    <w:rsid w:val="00C045C8"/>
    <w:rsid w:val="00C046CE"/>
    <w:rsid w:val="00C04760"/>
    <w:rsid w:val="00C0510A"/>
    <w:rsid w:val="00C058F8"/>
    <w:rsid w:val="00C05F2D"/>
    <w:rsid w:val="00C060D2"/>
    <w:rsid w:val="00C06685"/>
    <w:rsid w:val="00C072DD"/>
    <w:rsid w:val="00C1079E"/>
    <w:rsid w:val="00C108A5"/>
    <w:rsid w:val="00C10D6A"/>
    <w:rsid w:val="00C110FB"/>
    <w:rsid w:val="00C112F3"/>
    <w:rsid w:val="00C11690"/>
    <w:rsid w:val="00C117C3"/>
    <w:rsid w:val="00C1200E"/>
    <w:rsid w:val="00C12052"/>
    <w:rsid w:val="00C128FF"/>
    <w:rsid w:val="00C1366C"/>
    <w:rsid w:val="00C139CA"/>
    <w:rsid w:val="00C14B5C"/>
    <w:rsid w:val="00C14E85"/>
    <w:rsid w:val="00C15ED3"/>
    <w:rsid w:val="00C16451"/>
    <w:rsid w:val="00C1693E"/>
    <w:rsid w:val="00C17039"/>
    <w:rsid w:val="00C17325"/>
    <w:rsid w:val="00C173C1"/>
    <w:rsid w:val="00C1745B"/>
    <w:rsid w:val="00C17F91"/>
    <w:rsid w:val="00C20379"/>
    <w:rsid w:val="00C20D62"/>
    <w:rsid w:val="00C22177"/>
    <w:rsid w:val="00C2271F"/>
    <w:rsid w:val="00C22800"/>
    <w:rsid w:val="00C23506"/>
    <w:rsid w:val="00C2393D"/>
    <w:rsid w:val="00C24312"/>
    <w:rsid w:val="00C24F65"/>
    <w:rsid w:val="00C25352"/>
    <w:rsid w:val="00C25936"/>
    <w:rsid w:val="00C264F3"/>
    <w:rsid w:val="00C2764E"/>
    <w:rsid w:val="00C27D83"/>
    <w:rsid w:val="00C27D90"/>
    <w:rsid w:val="00C3279A"/>
    <w:rsid w:val="00C32EEF"/>
    <w:rsid w:val="00C34848"/>
    <w:rsid w:val="00C34B99"/>
    <w:rsid w:val="00C369F1"/>
    <w:rsid w:val="00C40807"/>
    <w:rsid w:val="00C42E58"/>
    <w:rsid w:val="00C42F75"/>
    <w:rsid w:val="00C43344"/>
    <w:rsid w:val="00C437B7"/>
    <w:rsid w:val="00C443EF"/>
    <w:rsid w:val="00C45355"/>
    <w:rsid w:val="00C457EC"/>
    <w:rsid w:val="00C4624A"/>
    <w:rsid w:val="00C46AA6"/>
    <w:rsid w:val="00C46FDC"/>
    <w:rsid w:val="00C4722C"/>
    <w:rsid w:val="00C474F7"/>
    <w:rsid w:val="00C4768F"/>
    <w:rsid w:val="00C47938"/>
    <w:rsid w:val="00C50765"/>
    <w:rsid w:val="00C5088F"/>
    <w:rsid w:val="00C514A7"/>
    <w:rsid w:val="00C51648"/>
    <w:rsid w:val="00C52C87"/>
    <w:rsid w:val="00C532EB"/>
    <w:rsid w:val="00C5478F"/>
    <w:rsid w:val="00C54986"/>
    <w:rsid w:val="00C54A8E"/>
    <w:rsid w:val="00C557D6"/>
    <w:rsid w:val="00C55896"/>
    <w:rsid w:val="00C55E0A"/>
    <w:rsid w:val="00C561C1"/>
    <w:rsid w:val="00C56488"/>
    <w:rsid w:val="00C568E7"/>
    <w:rsid w:val="00C56D52"/>
    <w:rsid w:val="00C57613"/>
    <w:rsid w:val="00C578E0"/>
    <w:rsid w:val="00C57F88"/>
    <w:rsid w:val="00C60445"/>
    <w:rsid w:val="00C60794"/>
    <w:rsid w:val="00C62BB3"/>
    <w:rsid w:val="00C62E74"/>
    <w:rsid w:val="00C632FE"/>
    <w:rsid w:val="00C65BAE"/>
    <w:rsid w:val="00C70452"/>
    <w:rsid w:val="00C709FC"/>
    <w:rsid w:val="00C71F8D"/>
    <w:rsid w:val="00C72464"/>
    <w:rsid w:val="00C72F19"/>
    <w:rsid w:val="00C731FD"/>
    <w:rsid w:val="00C740BC"/>
    <w:rsid w:val="00C75FFF"/>
    <w:rsid w:val="00C761E3"/>
    <w:rsid w:val="00C7651B"/>
    <w:rsid w:val="00C767C3"/>
    <w:rsid w:val="00C7689A"/>
    <w:rsid w:val="00C77C2C"/>
    <w:rsid w:val="00C80888"/>
    <w:rsid w:val="00C808B5"/>
    <w:rsid w:val="00C80A83"/>
    <w:rsid w:val="00C80B44"/>
    <w:rsid w:val="00C8155F"/>
    <w:rsid w:val="00C8195F"/>
    <w:rsid w:val="00C819DD"/>
    <w:rsid w:val="00C8281A"/>
    <w:rsid w:val="00C83457"/>
    <w:rsid w:val="00C83D22"/>
    <w:rsid w:val="00C83DFB"/>
    <w:rsid w:val="00C83F34"/>
    <w:rsid w:val="00C8405D"/>
    <w:rsid w:val="00C8416E"/>
    <w:rsid w:val="00C84C2F"/>
    <w:rsid w:val="00C8518E"/>
    <w:rsid w:val="00C8596E"/>
    <w:rsid w:val="00C86E68"/>
    <w:rsid w:val="00C877DF"/>
    <w:rsid w:val="00C87990"/>
    <w:rsid w:val="00C87A35"/>
    <w:rsid w:val="00C90DF9"/>
    <w:rsid w:val="00C912EB"/>
    <w:rsid w:val="00C91A8F"/>
    <w:rsid w:val="00C92E66"/>
    <w:rsid w:val="00C933AC"/>
    <w:rsid w:val="00C93B2E"/>
    <w:rsid w:val="00C95E72"/>
    <w:rsid w:val="00C96383"/>
    <w:rsid w:val="00CA09F8"/>
    <w:rsid w:val="00CA110E"/>
    <w:rsid w:val="00CA16AC"/>
    <w:rsid w:val="00CA16B4"/>
    <w:rsid w:val="00CA1BC8"/>
    <w:rsid w:val="00CA1E08"/>
    <w:rsid w:val="00CA257A"/>
    <w:rsid w:val="00CA28CF"/>
    <w:rsid w:val="00CA2AF6"/>
    <w:rsid w:val="00CA3F03"/>
    <w:rsid w:val="00CA4364"/>
    <w:rsid w:val="00CA44ED"/>
    <w:rsid w:val="00CA4769"/>
    <w:rsid w:val="00CA5C22"/>
    <w:rsid w:val="00CA6005"/>
    <w:rsid w:val="00CA6D90"/>
    <w:rsid w:val="00CA79F9"/>
    <w:rsid w:val="00CA7B1E"/>
    <w:rsid w:val="00CA7B4A"/>
    <w:rsid w:val="00CB00FF"/>
    <w:rsid w:val="00CB07D9"/>
    <w:rsid w:val="00CB09A5"/>
    <w:rsid w:val="00CB0CF8"/>
    <w:rsid w:val="00CB1669"/>
    <w:rsid w:val="00CB2F25"/>
    <w:rsid w:val="00CB39D1"/>
    <w:rsid w:val="00CB3D21"/>
    <w:rsid w:val="00CB4E88"/>
    <w:rsid w:val="00CB5FF3"/>
    <w:rsid w:val="00CB6FE4"/>
    <w:rsid w:val="00CB765F"/>
    <w:rsid w:val="00CB7B5D"/>
    <w:rsid w:val="00CC01FF"/>
    <w:rsid w:val="00CC0F4F"/>
    <w:rsid w:val="00CC1315"/>
    <w:rsid w:val="00CC16D9"/>
    <w:rsid w:val="00CC1771"/>
    <w:rsid w:val="00CC277A"/>
    <w:rsid w:val="00CC2A82"/>
    <w:rsid w:val="00CC2E37"/>
    <w:rsid w:val="00CC34DB"/>
    <w:rsid w:val="00CC3F8D"/>
    <w:rsid w:val="00CC52A8"/>
    <w:rsid w:val="00CC5D1D"/>
    <w:rsid w:val="00CC6275"/>
    <w:rsid w:val="00CC679E"/>
    <w:rsid w:val="00CC6A15"/>
    <w:rsid w:val="00CC6FAA"/>
    <w:rsid w:val="00CC72A5"/>
    <w:rsid w:val="00CC72E3"/>
    <w:rsid w:val="00CC7459"/>
    <w:rsid w:val="00CD097F"/>
    <w:rsid w:val="00CD10E8"/>
    <w:rsid w:val="00CD1180"/>
    <w:rsid w:val="00CD146E"/>
    <w:rsid w:val="00CD14E9"/>
    <w:rsid w:val="00CD1BD4"/>
    <w:rsid w:val="00CD1C13"/>
    <w:rsid w:val="00CD1C5B"/>
    <w:rsid w:val="00CD2222"/>
    <w:rsid w:val="00CD2758"/>
    <w:rsid w:val="00CD2AB5"/>
    <w:rsid w:val="00CD2ED1"/>
    <w:rsid w:val="00CD3238"/>
    <w:rsid w:val="00CD3908"/>
    <w:rsid w:val="00CD4025"/>
    <w:rsid w:val="00CD4031"/>
    <w:rsid w:val="00CD4FC6"/>
    <w:rsid w:val="00CD5F6C"/>
    <w:rsid w:val="00CD6248"/>
    <w:rsid w:val="00CD719A"/>
    <w:rsid w:val="00CD76AE"/>
    <w:rsid w:val="00CD7D3F"/>
    <w:rsid w:val="00CE19AF"/>
    <w:rsid w:val="00CE22FA"/>
    <w:rsid w:val="00CE2385"/>
    <w:rsid w:val="00CE23EF"/>
    <w:rsid w:val="00CE2887"/>
    <w:rsid w:val="00CE448F"/>
    <w:rsid w:val="00CE46DA"/>
    <w:rsid w:val="00CE6F64"/>
    <w:rsid w:val="00CE7B52"/>
    <w:rsid w:val="00CE7DA4"/>
    <w:rsid w:val="00CF0954"/>
    <w:rsid w:val="00CF097F"/>
    <w:rsid w:val="00CF1044"/>
    <w:rsid w:val="00CF218F"/>
    <w:rsid w:val="00CF2285"/>
    <w:rsid w:val="00CF2498"/>
    <w:rsid w:val="00CF25F6"/>
    <w:rsid w:val="00CF265C"/>
    <w:rsid w:val="00CF4ADD"/>
    <w:rsid w:val="00CF4E39"/>
    <w:rsid w:val="00CF5720"/>
    <w:rsid w:val="00CF5D69"/>
    <w:rsid w:val="00CF66A0"/>
    <w:rsid w:val="00CF6F26"/>
    <w:rsid w:val="00CF731B"/>
    <w:rsid w:val="00D03177"/>
    <w:rsid w:val="00D03BDB"/>
    <w:rsid w:val="00D042E5"/>
    <w:rsid w:val="00D044CD"/>
    <w:rsid w:val="00D0497D"/>
    <w:rsid w:val="00D04D1B"/>
    <w:rsid w:val="00D04D26"/>
    <w:rsid w:val="00D05550"/>
    <w:rsid w:val="00D078FC"/>
    <w:rsid w:val="00D10601"/>
    <w:rsid w:val="00D10BD7"/>
    <w:rsid w:val="00D1117F"/>
    <w:rsid w:val="00D11211"/>
    <w:rsid w:val="00D12C80"/>
    <w:rsid w:val="00D13613"/>
    <w:rsid w:val="00D14BF5"/>
    <w:rsid w:val="00D15797"/>
    <w:rsid w:val="00D167FA"/>
    <w:rsid w:val="00D177E9"/>
    <w:rsid w:val="00D17E68"/>
    <w:rsid w:val="00D20F86"/>
    <w:rsid w:val="00D2198A"/>
    <w:rsid w:val="00D21B9E"/>
    <w:rsid w:val="00D21E6B"/>
    <w:rsid w:val="00D22D64"/>
    <w:rsid w:val="00D23184"/>
    <w:rsid w:val="00D23489"/>
    <w:rsid w:val="00D2385C"/>
    <w:rsid w:val="00D2462F"/>
    <w:rsid w:val="00D24757"/>
    <w:rsid w:val="00D26A54"/>
    <w:rsid w:val="00D26E72"/>
    <w:rsid w:val="00D26EAB"/>
    <w:rsid w:val="00D30CD0"/>
    <w:rsid w:val="00D30CDC"/>
    <w:rsid w:val="00D31992"/>
    <w:rsid w:val="00D31AA1"/>
    <w:rsid w:val="00D31CEC"/>
    <w:rsid w:val="00D326E2"/>
    <w:rsid w:val="00D32C34"/>
    <w:rsid w:val="00D32E47"/>
    <w:rsid w:val="00D32FE7"/>
    <w:rsid w:val="00D34B46"/>
    <w:rsid w:val="00D354B7"/>
    <w:rsid w:val="00D355A3"/>
    <w:rsid w:val="00D35BD6"/>
    <w:rsid w:val="00D3619C"/>
    <w:rsid w:val="00D3673C"/>
    <w:rsid w:val="00D36922"/>
    <w:rsid w:val="00D40E89"/>
    <w:rsid w:val="00D42A85"/>
    <w:rsid w:val="00D433CC"/>
    <w:rsid w:val="00D43879"/>
    <w:rsid w:val="00D439A8"/>
    <w:rsid w:val="00D43CA2"/>
    <w:rsid w:val="00D44FCA"/>
    <w:rsid w:val="00D452FF"/>
    <w:rsid w:val="00D46214"/>
    <w:rsid w:val="00D47167"/>
    <w:rsid w:val="00D4745F"/>
    <w:rsid w:val="00D47C33"/>
    <w:rsid w:val="00D47D61"/>
    <w:rsid w:val="00D50329"/>
    <w:rsid w:val="00D50CB1"/>
    <w:rsid w:val="00D51218"/>
    <w:rsid w:val="00D517FD"/>
    <w:rsid w:val="00D52296"/>
    <w:rsid w:val="00D522C0"/>
    <w:rsid w:val="00D52BDE"/>
    <w:rsid w:val="00D52E91"/>
    <w:rsid w:val="00D52EF4"/>
    <w:rsid w:val="00D53A5D"/>
    <w:rsid w:val="00D53FDE"/>
    <w:rsid w:val="00D54AEE"/>
    <w:rsid w:val="00D564F3"/>
    <w:rsid w:val="00D61114"/>
    <w:rsid w:val="00D6150C"/>
    <w:rsid w:val="00D6255F"/>
    <w:rsid w:val="00D6259D"/>
    <w:rsid w:val="00D62D41"/>
    <w:rsid w:val="00D62D87"/>
    <w:rsid w:val="00D631E3"/>
    <w:rsid w:val="00D659CA"/>
    <w:rsid w:val="00D66646"/>
    <w:rsid w:val="00D66938"/>
    <w:rsid w:val="00D66BF4"/>
    <w:rsid w:val="00D66E7C"/>
    <w:rsid w:val="00D700C4"/>
    <w:rsid w:val="00D70749"/>
    <w:rsid w:val="00D70BE5"/>
    <w:rsid w:val="00D70E66"/>
    <w:rsid w:val="00D7199B"/>
    <w:rsid w:val="00D71F7E"/>
    <w:rsid w:val="00D7215C"/>
    <w:rsid w:val="00D72191"/>
    <w:rsid w:val="00D728BF"/>
    <w:rsid w:val="00D73679"/>
    <w:rsid w:val="00D74AFC"/>
    <w:rsid w:val="00D7558D"/>
    <w:rsid w:val="00D75D8A"/>
    <w:rsid w:val="00D76E0F"/>
    <w:rsid w:val="00D77D31"/>
    <w:rsid w:val="00D82E3C"/>
    <w:rsid w:val="00D82E93"/>
    <w:rsid w:val="00D831FC"/>
    <w:rsid w:val="00D85194"/>
    <w:rsid w:val="00D863A2"/>
    <w:rsid w:val="00D86B41"/>
    <w:rsid w:val="00D87066"/>
    <w:rsid w:val="00D87ADE"/>
    <w:rsid w:val="00D90C2B"/>
    <w:rsid w:val="00D912CE"/>
    <w:rsid w:val="00D91DB2"/>
    <w:rsid w:val="00D92175"/>
    <w:rsid w:val="00D9245D"/>
    <w:rsid w:val="00D925E1"/>
    <w:rsid w:val="00D92FF5"/>
    <w:rsid w:val="00D9414D"/>
    <w:rsid w:val="00D944B2"/>
    <w:rsid w:val="00D946D9"/>
    <w:rsid w:val="00D96348"/>
    <w:rsid w:val="00D966A1"/>
    <w:rsid w:val="00D96896"/>
    <w:rsid w:val="00D97E4F"/>
    <w:rsid w:val="00DA002C"/>
    <w:rsid w:val="00DA06E1"/>
    <w:rsid w:val="00DA1081"/>
    <w:rsid w:val="00DA190F"/>
    <w:rsid w:val="00DA1C5C"/>
    <w:rsid w:val="00DA2A21"/>
    <w:rsid w:val="00DA3734"/>
    <w:rsid w:val="00DA4FB1"/>
    <w:rsid w:val="00DA5459"/>
    <w:rsid w:val="00DA67C7"/>
    <w:rsid w:val="00DA6D2C"/>
    <w:rsid w:val="00DA70BE"/>
    <w:rsid w:val="00DA72C3"/>
    <w:rsid w:val="00DA7A26"/>
    <w:rsid w:val="00DB039F"/>
    <w:rsid w:val="00DB0BB8"/>
    <w:rsid w:val="00DB191F"/>
    <w:rsid w:val="00DB26B2"/>
    <w:rsid w:val="00DB2732"/>
    <w:rsid w:val="00DB2809"/>
    <w:rsid w:val="00DB2C74"/>
    <w:rsid w:val="00DB2E08"/>
    <w:rsid w:val="00DB3043"/>
    <w:rsid w:val="00DB314C"/>
    <w:rsid w:val="00DB4D60"/>
    <w:rsid w:val="00DB6395"/>
    <w:rsid w:val="00DB65F8"/>
    <w:rsid w:val="00DB684E"/>
    <w:rsid w:val="00DB7E51"/>
    <w:rsid w:val="00DC1057"/>
    <w:rsid w:val="00DC20BA"/>
    <w:rsid w:val="00DC24F8"/>
    <w:rsid w:val="00DC2DF2"/>
    <w:rsid w:val="00DC516E"/>
    <w:rsid w:val="00DC65E9"/>
    <w:rsid w:val="00DC67DB"/>
    <w:rsid w:val="00DC6E53"/>
    <w:rsid w:val="00DD1000"/>
    <w:rsid w:val="00DD12F2"/>
    <w:rsid w:val="00DD197A"/>
    <w:rsid w:val="00DD2033"/>
    <w:rsid w:val="00DD2A7A"/>
    <w:rsid w:val="00DD2CBC"/>
    <w:rsid w:val="00DD2D4C"/>
    <w:rsid w:val="00DD342A"/>
    <w:rsid w:val="00DD3805"/>
    <w:rsid w:val="00DD4CFD"/>
    <w:rsid w:val="00DD4E7B"/>
    <w:rsid w:val="00DD64B9"/>
    <w:rsid w:val="00DD7921"/>
    <w:rsid w:val="00DE0EAF"/>
    <w:rsid w:val="00DE177B"/>
    <w:rsid w:val="00DE1B12"/>
    <w:rsid w:val="00DE1E50"/>
    <w:rsid w:val="00DE1ED3"/>
    <w:rsid w:val="00DE2213"/>
    <w:rsid w:val="00DE2925"/>
    <w:rsid w:val="00DE2E3F"/>
    <w:rsid w:val="00DE3797"/>
    <w:rsid w:val="00DE37F3"/>
    <w:rsid w:val="00DE38B6"/>
    <w:rsid w:val="00DE45F5"/>
    <w:rsid w:val="00DE4FEA"/>
    <w:rsid w:val="00DE55CB"/>
    <w:rsid w:val="00DE5A01"/>
    <w:rsid w:val="00DE65E1"/>
    <w:rsid w:val="00DE6BAA"/>
    <w:rsid w:val="00DE6EE5"/>
    <w:rsid w:val="00DF015E"/>
    <w:rsid w:val="00DF03A9"/>
    <w:rsid w:val="00DF0ECE"/>
    <w:rsid w:val="00DF2012"/>
    <w:rsid w:val="00DF208F"/>
    <w:rsid w:val="00DF2566"/>
    <w:rsid w:val="00DF2DB8"/>
    <w:rsid w:val="00DF3ADD"/>
    <w:rsid w:val="00DF3FC8"/>
    <w:rsid w:val="00DF4233"/>
    <w:rsid w:val="00DF4375"/>
    <w:rsid w:val="00DF5393"/>
    <w:rsid w:val="00DF5B7B"/>
    <w:rsid w:val="00DF63DC"/>
    <w:rsid w:val="00DF671C"/>
    <w:rsid w:val="00DF6CE4"/>
    <w:rsid w:val="00DF6E00"/>
    <w:rsid w:val="00DF6F43"/>
    <w:rsid w:val="00E0190B"/>
    <w:rsid w:val="00E01F36"/>
    <w:rsid w:val="00E032A7"/>
    <w:rsid w:val="00E0379E"/>
    <w:rsid w:val="00E04C8A"/>
    <w:rsid w:val="00E04D35"/>
    <w:rsid w:val="00E05251"/>
    <w:rsid w:val="00E06178"/>
    <w:rsid w:val="00E06A9A"/>
    <w:rsid w:val="00E06BF4"/>
    <w:rsid w:val="00E06F69"/>
    <w:rsid w:val="00E07461"/>
    <w:rsid w:val="00E075A6"/>
    <w:rsid w:val="00E07AF8"/>
    <w:rsid w:val="00E114B0"/>
    <w:rsid w:val="00E11F60"/>
    <w:rsid w:val="00E124EB"/>
    <w:rsid w:val="00E12C2E"/>
    <w:rsid w:val="00E1315A"/>
    <w:rsid w:val="00E1377F"/>
    <w:rsid w:val="00E13C92"/>
    <w:rsid w:val="00E147D0"/>
    <w:rsid w:val="00E147E8"/>
    <w:rsid w:val="00E14816"/>
    <w:rsid w:val="00E14A9B"/>
    <w:rsid w:val="00E14D83"/>
    <w:rsid w:val="00E14DE6"/>
    <w:rsid w:val="00E14F6F"/>
    <w:rsid w:val="00E155B7"/>
    <w:rsid w:val="00E175A5"/>
    <w:rsid w:val="00E17A65"/>
    <w:rsid w:val="00E204CA"/>
    <w:rsid w:val="00E20CEF"/>
    <w:rsid w:val="00E20F48"/>
    <w:rsid w:val="00E220E3"/>
    <w:rsid w:val="00E22655"/>
    <w:rsid w:val="00E229C1"/>
    <w:rsid w:val="00E23EB7"/>
    <w:rsid w:val="00E244BD"/>
    <w:rsid w:val="00E248AE"/>
    <w:rsid w:val="00E25664"/>
    <w:rsid w:val="00E25E23"/>
    <w:rsid w:val="00E2688B"/>
    <w:rsid w:val="00E27CBA"/>
    <w:rsid w:val="00E27F1F"/>
    <w:rsid w:val="00E30A79"/>
    <w:rsid w:val="00E30B96"/>
    <w:rsid w:val="00E31823"/>
    <w:rsid w:val="00E3186C"/>
    <w:rsid w:val="00E31F9D"/>
    <w:rsid w:val="00E3240F"/>
    <w:rsid w:val="00E32D89"/>
    <w:rsid w:val="00E33205"/>
    <w:rsid w:val="00E334B8"/>
    <w:rsid w:val="00E33970"/>
    <w:rsid w:val="00E33BDA"/>
    <w:rsid w:val="00E33E07"/>
    <w:rsid w:val="00E34365"/>
    <w:rsid w:val="00E34769"/>
    <w:rsid w:val="00E3495F"/>
    <w:rsid w:val="00E37C93"/>
    <w:rsid w:val="00E37E19"/>
    <w:rsid w:val="00E40C8D"/>
    <w:rsid w:val="00E410BF"/>
    <w:rsid w:val="00E41507"/>
    <w:rsid w:val="00E420F1"/>
    <w:rsid w:val="00E422E6"/>
    <w:rsid w:val="00E42313"/>
    <w:rsid w:val="00E43C07"/>
    <w:rsid w:val="00E43E40"/>
    <w:rsid w:val="00E44280"/>
    <w:rsid w:val="00E44F78"/>
    <w:rsid w:val="00E451C0"/>
    <w:rsid w:val="00E45830"/>
    <w:rsid w:val="00E47561"/>
    <w:rsid w:val="00E47DBC"/>
    <w:rsid w:val="00E47DF9"/>
    <w:rsid w:val="00E47F59"/>
    <w:rsid w:val="00E50726"/>
    <w:rsid w:val="00E508FD"/>
    <w:rsid w:val="00E5118A"/>
    <w:rsid w:val="00E5145E"/>
    <w:rsid w:val="00E51621"/>
    <w:rsid w:val="00E51EA0"/>
    <w:rsid w:val="00E52DFF"/>
    <w:rsid w:val="00E53478"/>
    <w:rsid w:val="00E53F53"/>
    <w:rsid w:val="00E55236"/>
    <w:rsid w:val="00E553DD"/>
    <w:rsid w:val="00E5589D"/>
    <w:rsid w:val="00E55FFB"/>
    <w:rsid w:val="00E5619D"/>
    <w:rsid w:val="00E56C17"/>
    <w:rsid w:val="00E5748A"/>
    <w:rsid w:val="00E57622"/>
    <w:rsid w:val="00E603B8"/>
    <w:rsid w:val="00E60ABC"/>
    <w:rsid w:val="00E60FDA"/>
    <w:rsid w:val="00E610EA"/>
    <w:rsid w:val="00E61AC0"/>
    <w:rsid w:val="00E622B5"/>
    <w:rsid w:val="00E62A9D"/>
    <w:rsid w:val="00E62B7D"/>
    <w:rsid w:val="00E62ED4"/>
    <w:rsid w:val="00E63D30"/>
    <w:rsid w:val="00E63DA0"/>
    <w:rsid w:val="00E648AD"/>
    <w:rsid w:val="00E64B16"/>
    <w:rsid w:val="00E65148"/>
    <w:rsid w:val="00E6521C"/>
    <w:rsid w:val="00E65D9D"/>
    <w:rsid w:val="00E667D1"/>
    <w:rsid w:val="00E66BF1"/>
    <w:rsid w:val="00E66E85"/>
    <w:rsid w:val="00E67369"/>
    <w:rsid w:val="00E67478"/>
    <w:rsid w:val="00E677E1"/>
    <w:rsid w:val="00E700B3"/>
    <w:rsid w:val="00E708E9"/>
    <w:rsid w:val="00E71334"/>
    <w:rsid w:val="00E71432"/>
    <w:rsid w:val="00E7242B"/>
    <w:rsid w:val="00E729CA"/>
    <w:rsid w:val="00E72FAA"/>
    <w:rsid w:val="00E73C2D"/>
    <w:rsid w:val="00E73E4B"/>
    <w:rsid w:val="00E742EF"/>
    <w:rsid w:val="00E756F1"/>
    <w:rsid w:val="00E7634D"/>
    <w:rsid w:val="00E802AD"/>
    <w:rsid w:val="00E80987"/>
    <w:rsid w:val="00E8098B"/>
    <w:rsid w:val="00E80A25"/>
    <w:rsid w:val="00E822EE"/>
    <w:rsid w:val="00E8305C"/>
    <w:rsid w:val="00E83743"/>
    <w:rsid w:val="00E837F5"/>
    <w:rsid w:val="00E84E65"/>
    <w:rsid w:val="00E85160"/>
    <w:rsid w:val="00E85D02"/>
    <w:rsid w:val="00E86368"/>
    <w:rsid w:val="00E86635"/>
    <w:rsid w:val="00E90349"/>
    <w:rsid w:val="00E90F63"/>
    <w:rsid w:val="00E91098"/>
    <w:rsid w:val="00E91742"/>
    <w:rsid w:val="00E929D7"/>
    <w:rsid w:val="00E9381D"/>
    <w:rsid w:val="00E94890"/>
    <w:rsid w:val="00E94D35"/>
    <w:rsid w:val="00E958C1"/>
    <w:rsid w:val="00E96225"/>
    <w:rsid w:val="00E96AC5"/>
    <w:rsid w:val="00E96DA4"/>
    <w:rsid w:val="00E96F0C"/>
    <w:rsid w:val="00E96F95"/>
    <w:rsid w:val="00E96FA8"/>
    <w:rsid w:val="00E974C0"/>
    <w:rsid w:val="00EA0F6E"/>
    <w:rsid w:val="00EA13DC"/>
    <w:rsid w:val="00EA145E"/>
    <w:rsid w:val="00EA2087"/>
    <w:rsid w:val="00EA3691"/>
    <w:rsid w:val="00EA431C"/>
    <w:rsid w:val="00EA483D"/>
    <w:rsid w:val="00EA5213"/>
    <w:rsid w:val="00EA5314"/>
    <w:rsid w:val="00EB086D"/>
    <w:rsid w:val="00EB18A8"/>
    <w:rsid w:val="00EB19ED"/>
    <w:rsid w:val="00EB1F54"/>
    <w:rsid w:val="00EB2A61"/>
    <w:rsid w:val="00EB31AE"/>
    <w:rsid w:val="00EB39C4"/>
    <w:rsid w:val="00EB4377"/>
    <w:rsid w:val="00EB4AFD"/>
    <w:rsid w:val="00EB53D2"/>
    <w:rsid w:val="00EB5542"/>
    <w:rsid w:val="00EB790F"/>
    <w:rsid w:val="00EC0CA7"/>
    <w:rsid w:val="00EC0D36"/>
    <w:rsid w:val="00EC14A2"/>
    <w:rsid w:val="00EC20C9"/>
    <w:rsid w:val="00EC25C1"/>
    <w:rsid w:val="00EC2D2B"/>
    <w:rsid w:val="00EC2F1A"/>
    <w:rsid w:val="00EC3D52"/>
    <w:rsid w:val="00EC4567"/>
    <w:rsid w:val="00EC5AE6"/>
    <w:rsid w:val="00EC62B3"/>
    <w:rsid w:val="00EC65E2"/>
    <w:rsid w:val="00EC66AC"/>
    <w:rsid w:val="00EC7A29"/>
    <w:rsid w:val="00EC7C2D"/>
    <w:rsid w:val="00ED0585"/>
    <w:rsid w:val="00ED07D8"/>
    <w:rsid w:val="00ED0B98"/>
    <w:rsid w:val="00ED0C5F"/>
    <w:rsid w:val="00ED24E5"/>
    <w:rsid w:val="00ED2C02"/>
    <w:rsid w:val="00ED32FE"/>
    <w:rsid w:val="00ED4466"/>
    <w:rsid w:val="00ED4635"/>
    <w:rsid w:val="00ED4806"/>
    <w:rsid w:val="00ED4B77"/>
    <w:rsid w:val="00ED5662"/>
    <w:rsid w:val="00ED5844"/>
    <w:rsid w:val="00ED6497"/>
    <w:rsid w:val="00ED781E"/>
    <w:rsid w:val="00EE1CD7"/>
    <w:rsid w:val="00EE24A8"/>
    <w:rsid w:val="00EE2A51"/>
    <w:rsid w:val="00EE3F5A"/>
    <w:rsid w:val="00EE3F87"/>
    <w:rsid w:val="00EE678F"/>
    <w:rsid w:val="00EE68DB"/>
    <w:rsid w:val="00EF0755"/>
    <w:rsid w:val="00EF2659"/>
    <w:rsid w:val="00EF2760"/>
    <w:rsid w:val="00EF280E"/>
    <w:rsid w:val="00EF367D"/>
    <w:rsid w:val="00EF4AAE"/>
    <w:rsid w:val="00EF4D1A"/>
    <w:rsid w:val="00EF5D49"/>
    <w:rsid w:val="00EF6BC3"/>
    <w:rsid w:val="00EF6E75"/>
    <w:rsid w:val="00EF73F6"/>
    <w:rsid w:val="00F000EC"/>
    <w:rsid w:val="00F00BB4"/>
    <w:rsid w:val="00F00C7E"/>
    <w:rsid w:val="00F02BE3"/>
    <w:rsid w:val="00F0377C"/>
    <w:rsid w:val="00F039B9"/>
    <w:rsid w:val="00F03B07"/>
    <w:rsid w:val="00F04C98"/>
    <w:rsid w:val="00F0559D"/>
    <w:rsid w:val="00F0627E"/>
    <w:rsid w:val="00F07001"/>
    <w:rsid w:val="00F1054E"/>
    <w:rsid w:val="00F110BA"/>
    <w:rsid w:val="00F124C8"/>
    <w:rsid w:val="00F12C57"/>
    <w:rsid w:val="00F141A2"/>
    <w:rsid w:val="00F147A7"/>
    <w:rsid w:val="00F14C48"/>
    <w:rsid w:val="00F14CA0"/>
    <w:rsid w:val="00F14D4A"/>
    <w:rsid w:val="00F14E3D"/>
    <w:rsid w:val="00F1537F"/>
    <w:rsid w:val="00F1585D"/>
    <w:rsid w:val="00F15997"/>
    <w:rsid w:val="00F1606E"/>
    <w:rsid w:val="00F16CD2"/>
    <w:rsid w:val="00F16E26"/>
    <w:rsid w:val="00F170EB"/>
    <w:rsid w:val="00F1723E"/>
    <w:rsid w:val="00F176BF"/>
    <w:rsid w:val="00F20B97"/>
    <w:rsid w:val="00F21A3F"/>
    <w:rsid w:val="00F22B61"/>
    <w:rsid w:val="00F22C78"/>
    <w:rsid w:val="00F23182"/>
    <w:rsid w:val="00F24648"/>
    <w:rsid w:val="00F246F1"/>
    <w:rsid w:val="00F24965"/>
    <w:rsid w:val="00F24B5D"/>
    <w:rsid w:val="00F2523E"/>
    <w:rsid w:val="00F253CF"/>
    <w:rsid w:val="00F25F1C"/>
    <w:rsid w:val="00F263C2"/>
    <w:rsid w:val="00F271DD"/>
    <w:rsid w:val="00F273B8"/>
    <w:rsid w:val="00F27AA4"/>
    <w:rsid w:val="00F30D55"/>
    <w:rsid w:val="00F3185B"/>
    <w:rsid w:val="00F31E27"/>
    <w:rsid w:val="00F33D5A"/>
    <w:rsid w:val="00F34348"/>
    <w:rsid w:val="00F3520A"/>
    <w:rsid w:val="00F357DE"/>
    <w:rsid w:val="00F35B01"/>
    <w:rsid w:val="00F35DE7"/>
    <w:rsid w:val="00F36A48"/>
    <w:rsid w:val="00F37092"/>
    <w:rsid w:val="00F4048B"/>
    <w:rsid w:val="00F40F37"/>
    <w:rsid w:val="00F42B4E"/>
    <w:rsid w:val="00F42BCC"/>
    <w:rsid w:val="00F4389D"/>
    <w:rsid w:val="00F43C6B"/>
    <w:rsid w:val="00F44E01"/>
    <w:rsid w:val="00F45526"/>
    <w:rsid w:val="00F46561"/>
    <w:rsid w:val="00F4797B"/>
    <w:rsid w:val="00F502B1"/>
    <w:rsid w:val="00F50DEC"/>
    <w:rsid w:val="00F5119A"/>
    <w:rsid w:val="00F515D6"/>
    <w:rsid w:val="00F5251F"/>
    <w:rsid w:val="00F52FB3"/>
    <w:rsid w:val="00F536A0"/>
    <w:rsid w:val="00F53795"/>
    <w:rsid w:val="00F55070"/>
    <w:rsid w:val="00F552DF"/>
    <w:rsid w:val="00F5554A"/>
    <w:rsid w:val="00F555F1"/>
    <w:rsid w:val="00F55F85"/>
    <w:rsid w:val="00F55FFF"/>
    <w:rsid w:val="00F56391"/>
    <w:rsid w:val="00F57589"/>
    <w:rsid w:val="00F60236"/>
    <w:rsid w:val="00F60D80"/>
    <w:rsid w:val="00F60F4E"/>
    <w:rsid w:val="00F634DD"/>
    <w:rsid w:val="00F63B33"/>
    <w:rsid w:val="00F65721"/>
    <w:rsid w:val="00F6580E"/>
    <w:rsid w:val="00F65CDB"/>
    <w:rsid w:val="00F66091"/>
    <w:rsid w:val="00F70520"/>
    <w:rsid w:val="00F70E15"/>
    <w:rsid w:val="00F7219A"/>
    <w:rsid w:val="00F7235D"/>
    <w:rsid w:val="00F72E6F"/>
    <w:rsid w:val="00F730A0"/>
    <w:rsid w:val="00F7369A"/>
    <w:rsid w:val="00F737B9"/>
    <w:rsid w:val="00F74D83"/>
    <w:rsid w:val="00F75531"/>
    <w:rsid w:val="00F756C4"/>
    <w:rsid w:val="00F75C05"/>
    <w:rsid w:val="00F75CD2"/>
    <w:rsid w:val="00F77ADE"/>
    <w:rsid w:val="00F8004A"/>
    <w:rsid w:val="00F806FF"/>
    <w:rsid w:val="00F80CE6"/>
    <w:rsid w:val="00F8110F"/>
    <w:rsid w:val="00F830D4"/>
    <w:rsid w:val="00F83E09"/>
    <w:rsid w:val="00F84151"/>
    <w:rsid w:val="00F8500E"/>
    <w:rsid w:val="00F85C59"/>
    <w:rsid w:val="00F85E78"/>
    <w:rsid w:val="00F86665"/>
    <w:rsid w:val="00F86D3B"/>
    <w:rsid w:val="00F86EE7"/>
    <w:rsid w:val="00F87140"/>
    <w:rsid w:val="00F904DE"/>
    <w:rsid w:val="00F90E4B"/>
    <w:rsid w:val="00F9337A"/>
    <w:rsid w:val="00F93E70"/>
    <w:rsid w:val="00F9436B"/>
    <w:rsid w:val="00F944BB"/>
    <w:rsid w:val="00F9464B"/>
    <w:rsid w:val="00F958BA"/>
    <w:rsid w:val="00F96258"/>
    <w:rsid w:val="00F966EB"/>
    <w:rsid w:val="00F97586"/>
    <w:rsid w:val="00F97AD7"/>
    <w:rsid w:val="00F97BD8"/>
    <w:rsid w:val="00FA0773"/>
    <w:rsid w:val="00FA0B9D"/>
    <w:rsid w:val="00FA0EB6"/>
    <w:rsid w:val="00FA1B04"/>
    <w:rsid w:val="00FA29A2"/>
    <w:rsid w:val="00FA2D8C"/>
    <w:rsid w:val="00FA2F52"/>
    <w:rsid w:val="00FA322C"/>
    <w:rsid w:val="00FA45B0"/>
    <w:rsid w:val="00FA5AF2"/>
    <w:rsid w:val="00FA5CC8"/>
    <w:rsid w:val="00FA62E2"/>
    <w:rsid w:val="00FA67DB"/>
    <w:rsid w:val="00FA7289"/>
    <w:rsid w:val="00FA7EDE"/>
    <w:rsid w:val="00FB152C"/>
    <w:rsid w:val="00FB18C7"/>
    <w:rsid w:val="00FB1E8D"/>
    <w:rsid w:val="00FB2334"/>
    <w:rsid w:val="00FB25F3"/>
    <w:rsid w:val="00FB3A8C"/>
    <w:rsid w:val="00FB45D1"/>
    <w:rsid w:val="00FB4D45"/>
    <w:rsid w:val="00FB5590"/>
    <w:rsid w:val="00FB5639"/>
    <w:rsid w:val="00FB5B41"/>
    <w:rsid w:val="00FB66FD"/>
    <w:rsid w:val="00FB6970"/>
    <w:rsid w:val="00FB699F"/>
    <w:rsid w:val="00FB6BCF"/>
    <w:rsid w:val="00FB6F1D"/>
    <w:rsid w:val="00FC001F"/>
    <w:rsid w:val="00FC1F9A"/>
    <w:rsid w:val="00FC3AB3"/>
    <w:rsid w:val="00FC3D19"/>
    <w:rsid w:val="00FC5430"/>
    <w:rsid w:val="00FC5841"/>
    <w:rsid w:val="00FC585B"/>
    <w:rsid w:val="00FC6B0C"/>
    <w:rsid w:val="00FC7029"/>
    <w:rsid w:val="00FD04D3"/>
    <w:rsid w:val="00FD16E9"/>
    <w:rsid w:val="00FD1DA6"/>
    <w:rsid w:val="00FD2B47"/>
    <w:rsid w:val="00FD37B3"/>
    <w:rsid w:val="00FD3C78"/>
    <w:rsid w:val="00FD3DF2"/>
    <w:rsid w:val="00FD484D"/>
    <w:rsid w:val="00FD504F"/>
    <w:rsid w:val="00FD6368"/>
    <w:rsid w:val="00FD6993"/>
    <w:rsid w:val="00FD7DDB"/>
    <w:rsid w:val="00FE0B21"/>
    <w:rsid w:val="00FE1780"/>
    <w:rsid w:val="00FE19F4"/>
    <w:rsid w:val="00FE2765"/>
    <w:rsid w:val="00FE2C12"/>
    <w:rsid w:val="00FE3318"/>
    <w:rsid w:val="00FE35A9"/>
    <w:rsid w:val="00FE39EF"/>
    <w:rsid w:val="00FE4084"/>
    <w:rsid w:val="00FE4A3E"/>
    <w:rsid w:val="00FE4B4B"/>
    <w:rsid w:val="00FE6BE2"/>
    <w:rsid w:val="00FE755C"/>
    <w:rsid w:val="00FE7629"/>
    <w:rsid w:val="00FF07CD"/>
    <w:rsid w:val="00FF1961"/>
    <w:rsid w:val="00FF1A41"/>
    <w:rsid w:val="00FF3436"/>
    <w:rsid w:val="00FF3881"/>
    <w:rsid w:val="00FF3D2C"/>
    <w:rsid w:val="00FF404C"/>
    <w:rsid w:val="00FF53AC"/>
    <w:rsid w:val="00FF71B5"/>
    <w:rsid w:val="00FF735A"/>
    <w:rsid w:val="00FF74D6"/>
    <w:rsid w:val="0108A241"/>
    <w:rsid w:val="06FA7EF1"/>
    <w:rsid w:val="08C1D37F"/>
    <w:rsid w:val="0BC998F5"/>
    <w:rsid w:val="1226DE25"/>
    <w:rsid w:val="12DD0FF8"/>
    <w:rsid w:val="153BA7B3"/>
    <w:rsid w:val="16435B72"/>
    <w:rsid w:val="1B894FA4"/>
    <w:rsid w:val="214A61B8"/>
    <w:rsid w:val="24F5E45C"/>
    <w:rsid w:val="254A1750"/>
    <w:rsid w:val="25C9EB8D"/>
    <w:rsid w:val="2697B129"/>
    <w:rsid w:val="26A0B280"/>
    <w:rsid w:val="280132C7"/>
    <w:rsid w:val="29E93734"/>
    <w:rsid w:val="2BA8046F"/>
    <w:rsid w:val="2C49B2A5"/>
    <w:rsid w:val="2E0D1CD6"/>
    <w:rsid w:val="321B2494"/>
    <w:rsid w:val="37343F61"/>
    <w:rsid w:val="37508219"/>
    <w:rsid w:val="3AED3C73"/>
    <w:rsid w:val="3C72D3A4"/>
    <w:rsid w:val="3CA55FFC"/>
    <w:rsid w:val="3CFB740D"/>
    <w:rsid w:val="3D0E97B2"/>
    <w:rsid w:val="3E00F0CA"/>
    <w:rsid w:val="3E061C02"/>
    <w:rsid w:val="3F08C9AE"/>
    <w:rsid w:val="3F331BA0"/>
    <w:rsid w:val="3F3F6A1E"/>
    <w:rsid w:val="3FDC837B"/>
    <w:rsid w:val="41FBC3FB"/>
    <w:rsid w:val="45D4C933"/>
    <w:rsid w:val="46FE3797"/>
    <w:rsid w:val="479B029D"/>
    <w:rsid w:val="48FCB7A6"/>
    <w:rsid w:val="503D0D3A"/>
    <w:rsid w:val="5049FB6A"/>
    <w:rsid w:val="510BF766"/>
    <w:rsid w:val="527137D7"/>
    <w:rsid w:val="530A686B"/>
    <w:rsid w:val="53C56B6D"/>
    <w:rsid w:val="53FA1A49"/>
    <w:rsid w:val="54C7D884"/>
    <w:rsid w:val="58D5947E"/>
    <w:rsid w:val="5A7D7F74"/>
    <w:rsid w:val="5E82081F"/>
    <w:rsid w:val="63292327"/>
    <w:rsid w:val="67216171"/>
    <w:rsid w:val="675A69CF"/>
    <w:rsid w:val="6D50A06B"/>
    <w:rsid w:val="6F8AFAA8"/>
    <w:rsid w:val="7424AE70"/>
    <w:rsid w:val="7A0C2055"/>
    <w:rsid w:val="7A509F74"/>
    <w:rsid w:val="7B84B9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2D17AA"/>
  <w15:docId w15:val="{6E983AEF-0FE3-4160-A111-A140F958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9C7F55"/>
  </w:style>
  <w:style w:type="paragraph" w:styleId="FootnoteText">
    <w:name w:val="footnote text"/>
    <w:aliases w:val="Char,Footnote Text Char Char Char Char Char,Footnote Text Char Char1 Char,Footnote Text Char1 Char Char Char,Footnote Text Char1 Char Char Char Char Char Char Char,Footnote Text Char1 Char1 Char,Footnote Text Char2 Char,f,fn,ft,ft Char Ch"/>
    <w:basedOn w:val="Normal"/>
    <w:link w:val="FootnoteTextChar1"/>
    <w:uiPriority w:val="99"/>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 Char1,Footnote Text Char Ch1 Char1,Footnote Text Char Char1 Char Char1,Footnote Text Char1 Char1,Footnote Text Char2 Char Char1,Footnote Text1 Char Char1,Footnote Text1 Char1 Char1,fn Char1,ft Char Char1,ft Char2"/>
    <w:basedOn w:val="DefaultParagraphFont"/>
    <w:uiPriority w:val="99"/>
    <w:rsid w:val="009C7F55"/>
    <w:rPr>
      <w:rFonts w:ascii="Calibri" w:eastAsia="Calibri" w:hAnsi="Calibri" w:cs="Times New Roman"/>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 Char,fn Char,ft Char"/>
    <w:link w:val="FootnoteText"/>
    <w:uiPriority w:val="99"/>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656C"/>
    <w:rPr>
      <w:color w:val="605E5C"/>
      <w:shd w:val="clear" w:color="auto" w:fill="E1DFDD"/>
    </w:rPr>
  </w:style>
  <w:style w:type="paragraph" w:styleId="NoSpacing">
    <w:name w:val="No Spacing"/>
    <w:uiPriority w:val="1"/>
    <w:qFormat/>
    <w:rsid w:val="008F283D"/>
    <w:pPr>
      <w:spacing w:after="0" w:line="240" w:lineRule="auto"/>
    </w:pPr>
  </w:style>
  <w:style w:type="paragraph" w:customStyle="1" w:styleId="Default">
    <w:name w:val="Default"/>
    <w:rsid w:val="009D5284"/>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6607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dustries-data/natural-gas/industry-forms" TargetMode="Externa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general-information-0/electric-industry-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 TargetMode="External" /><Relationship Id="rId2" Type="http://schemas.openxmlformats.org/officeDocument/2006/relationships/hyperlink" Target="http://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57017-6D35-4700-942D-9BCDC1A55FC4}">
  <ds:schemaRefs>
    <ds:schemaRef ds:uri="http://purl.org/dc/terms/"/>
    <ds:schemaRef ds:uri="http://schemas.openxmlformats.org/package/2006/metadata/core-properties"/>
    <ds:schemaRef ds:uri="http://purl.org/dc/dcmitype/"/>
    <ds:schemaRef ds:uri="5a7c6213-c3f8-4376-93f2-dc58e5c51d54"/>
    <ds:schemaRef ds:uri="http://schemas.microsoft.com/office/infopath/2007/PartnerControls"/>
    <ds:schemaRef ds:uri="http://purl.org/dc/elements/1.1/"/>
    <ds:schemaRef ds:uri="http://schemas.microsoft.com/office/2006/documentManagement/types"/>
    <ds:schemaRef ds:uri="7d39e18b-330b-455b-b1d2-f8885a4d610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3C98D28-4B08-46EB-B1D7-F056639AD440}">
  <ds:schemaRefs>
    <ds:schemaRef ds:uri="http://schemas.openxmlformats.org/officeDocument/2006/bibliography"/>
  </ds:schemaRefs>
</ds:datastoreItem>
</file>

<file path=customXml/itemProps3.xml><?xml version="1.0" encoding="utf-8"?>
<ds:datastoreItem xmlns:ds="http://schemas.openxmlformats.org/officeDocument/2006/customXml" ds:itemID="{16AC9CB9-4EF2-4182-9D9B-D66FED6BC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9B5D0-8708-4B29-96B9-05551272B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5363</Words>
  <Characters>30571</Characters>
  <Application>Microsoft Office Word</Application>
  <DocSecurity>0</DocSecurity>
  <Lines>254</Lines>
  <Paragraphs>71</Paragraphs>
  <ScaleCrop>false</ScaleCrop>
  <Company>FERC</Company>
  <LinksUpToDate>false</LinksUpToDate>
  <CharactersWithSpaces>35863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Ken Ambrose</cp:lastModifiedBy>
  <cp:revision>2</cp:revision>
  <cp:lastPrinted>2025-05-31T04:48:00Z</cp:lastPrinted>
  <dcterms:created xsi:type="dcterms:W3CDTF">2025-06-20T13:33:00Z</dcterms:created>
  <dcterms:modified xsi:type="dcterms:W3CDTF">2025-06-20T13:33:00Z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ediaServiceImageTags">
    <vt:lpwstr/>
  </property>
  <property fmtid="{D5CDD505-2E9C-101B-9397-08002B2CF9AE}" pid="4" name="MSIP_Label_bd24d06a-0e85-4d57-b1e0-ba34b1abc708_ActionId">
    <vt:lpwstr>782ada33-9bbb-4860-bdd8-569421134522</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2025-06-12T18:50:45Z</vt:lpwstr>
  </property>
  <property fmtid="{D5CDD505-2E9C-101B-9397-08002B2CF9AE}" pid="10" name="MSIP_Label_bd24d06a-0e85-4d57-b1e0-ba34b1abc708_SiteId">
    <vt:lpwstr>19caa9e9-04ff-43fa-885f-d77fac387903</vt:lpwstr>
  </property>
</Properties>
</file>