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0482" w14:paraId="03ABCB51" w14:textId="77777777">
      <w:pPr>
        <w:jc w:val="center"/>
      </w:pPr>
      <w:r>
        <w:t>190 FERC ¶ 61,099</w:t>
      </w:r>
    </w:p>
    <w:p w:rsidR="00C47F21" w:rsidRPr="00AC5C2F" w:rsidP="00D47E17" w14:paraId="70A39500" w14:textId="77777777">
      <w:pPr>
        <w:jc w:val="center"/>
      </w:pPr>
      <w:r w:rsidRPr="00AC5C2F">
        <w:t>FEDERAL ENERGY REGULATORY COMMISSION</w:t>
      </w:r>
    </w:p>
    <w:p w:rsidR="00C47F21" w:rsidRPr="00AC5C2F" w:rsidP="00D47E17" w14:paraId="4E981224" w14:textId="77777777">
      <w:pPr>
        <w:jc w:val="center"/>
      </w:pPr>
      <w:r w:rsidRPr="00AC5C2F">
        <w:t>WASHINGTON, DC 20426</w:t>
      </w:r>
    </w:p>
    <w:p w:rsidR="00C47F21" w:rsidRPr="00AC5C2F" w:rsidP="00D47E17" w14:paraId="3AFCD3B5" w14:textId="77777777">
      <w:pPr>
        <w:jc w:val="center"/>
      </w:pPr>
    </w:p>
    <w:p w:rsidR="00C47F21" w:rsidP="0051235F" w14:paraId="10529E6C" w14:textId="77777777">
      <w:pPr>
        <w:widowControl/>
        <w:jc w:val="center"/>
      </w:pPr>
      <w:r w:rsidRPr="0051235F">
        <w:t xml:space="preserve">February </w:t>
      </w:r>
      <w:r>
        <w:t>20</w:t>
      </w:r>
      <w:r w:rsidRPr="0051235F">
        <w:t>, 2025</w:t>
      </w:r>
    </w:p>
    <w:p w:rsidR="00C47F21" w:rsidRPr="00AC5C2F" w:rsidP="00D47E17" w14:paraId="4C945CA4" w14:textId="77777777"/>
    <w:p w:rsidR="00C47F21" w:rsidRPr="00AC5C2F" w:rsidP="00D47E17" w14:paraId="72B2DD63" w14:textId="77777777">
      <w:r w:rsidRPr="00AC5C2F">
        <w:tab/>
      </w:r>
      <w:r w:rsidRPr="00AC5C2F">
        <w:tab/>
      </w:r>
      <w:r w:rsidRPr="00AC5C2F">
        <w:tab/>
      </w:r>
      <w:r w:rsidRPr="00AC5C2F">
        <w:tab/>
      </w:r>
      <w:r w:rsidRPr="00AC5C2F">
        <w:tab/>
        <w:t>In Reply Refer To:</w:t>
      </w:r>
    </w:p>
    <w:p w:rsidR="00C47F21" w:rsidRPr="00AC5C2F" w:rsidP="00D47E17" w14:paraId="52E408B0" w14:textId="77777777">
      <w:pPr>
        <w:ind w:left="3600"/>
      </w:pPr>
      <w:bookmarkStart w:id="0" w:name="Company"/>
      <w:bookmarkEnd w:id="0"/>
      <w:r w:rsidRPr="00AC5C2F">
        <w:t>North American Electric Reliability Corporation</w:t>
      </w:r>
    </w:p>
    <w:p w:rsidR="00C47F21" w:rsidRPr="00AC5C2F" w:rsidP="00D47E17" w14:paraId="112E2D2B" w14:textId="77777777">
      <w:pPr>
        <w:ind w:left="3600"/>
      </w:pPr>
      <w:bookmarkStart w:id="1" w:name="Docket_Number"/>
      <w:bookmarkEnd w:id="1"/>
      <w:r w:rsidRPr="00AC5C2F">
        <w:t>Docket No.</w:t>
      </w:r>
      <w:r w:rsidR="0051235F">
        <w:t xml:space="preserve"> </w:t>
      </w:r>
      <w:r w:rsidRPr="00AC5C2F">
        <w:t>RD25-4-000</w:t>
      </w:r>
    </w:p>
    <w:p w:rsidR="00C47F21" w:rsidRPr="00AC5C2F" w:rsidP="00D47E17" w14:paraId="33878D4F" w14:textId="77777777">
      <w:r w:rsidRPr="00AC5C2F">
        <w:tab/>
      </w:r>
      <w:r w:rsidRPr="00AC5C2F">
        <w:tab/>
      </w:r>
      <w:r w:rsidRPr="00AC5C2F">
        <w:tab/>
      </w:r>
      <w:r w:rsidRPr="00AC5C2F">
        <w:tab/>
      </w:r>
      <w:r w:rsidRPr="00AC5C2F">
        <w:tab/>
      </w:r>
    </w:p>
    <w:p w:rsidR="005040AF" w:rsidRPr="00AC5C2F" w:rsidP="00D47E17" w14:paraId="7244DC7F" w14:textId="77777777">
      <w:bookmarkStart w:id="2" w:name="Address"/>
      <w:bookmarkEnd w:id="2"/>
      <w:r w:rsidRPr="00AC5C2F">
        <w:t>North American Electric Reliability Corporation</w:t>
      </w:r>
    </w:p>
    <w:p w:rsidR="005040AF" w:rsidRPr="00AC5C2F" w:rsidP="00D47E17" w14:paraId="56CBFB4E" w14:textId="77777777">
      <w:r w:rsidRPr="00AC5C2F">
        <w:t>1401 H Street NW</w:t>
      </w:r>
    </w:p>
    <w:p w:rsidR="00C47F21" w:rsidRPr="00AC5C2F" w:rsidP="00D47E17" w14:paraId="6A74D33F" w14:textId="77777777">
      <w:r w:rsidRPr="00AC5C2F">
        <w:t>Suite 410</w:t>
      </w:r>
    </w:p>
    <w:p w:rsidR="00C47F21" w:rsidRPr="00AC5C2F" w:rsidP="00D47E17" w14:paraId="1ED91804" w14:textId="77777777">
      <w:r w:rsidRPr="00AC5C2F">
        <w:t xml:space="preserve">Washington, DC </w:t>
      </w:r>
      <w:r w:rsidR="0051235F">
        <w:t xml:space="preserve"> </w:t>
      </w:r>
      <w:r w:rsidRPr="00AC5C2F">
        <w:t>20005</w:t>
      </w:r>
    </w:p>
    <w:p w:rsidR="00C47F21" w:rsidRPr="00AC5C2F" w:rsidP="00D47E17" w14:paraId="097B1C29" w14:textId="77777777"/>
    <w:p w:rsidR="00C47F21" w:rsidRPr="00AC5C2F" w:rsidP="00D47E17" w14:paraId="52F4080A" w14:textId="77777777">
      <w:r w:rsidRPr="00AC5C2F">
        <w:t xml:space="preserve">Attention: </w:t>
      </w:r>
      <w:r w:rsidR="0051235F">
        <w:t xml:space="preserve"> </w:t>
      </w:r>
      <w:r w:rsidRPr="00AC5C2F">
        <w:t>Lauren A. Perotti</w:t>
      </w:r>
    </w:p>
    <w:p w:rsidR="00C47F21" w:rsidRPr="00AC5C2F" w:rsidP="00D47E17" w14:paraId="76E55BD8" w14:textId="77777777"/>
    <w:p w:rsidR="00C47F21" w:rsidRPr="00AC5C2F" w:rsidP="00D47E17" w14:paraId="5801631B" w14:textId="77777777">
      <w:bookmarkStart w:id="3" w:name="Name"/>
      <w:bookmarkEnd w:id="3"/>
      <w:r w:rsidRPr="00AC5C2F">
        <w:t xml:space="preserve">Dear </w:t>
      </w:r>
      <w:bookmarkStart w:id="4" w:name="Name2"/>
      <w:bookmarkEnd w:id="4"/>
      <w:r w:rsidRPr="00AC5C2F">
        <w:t>Ms. Perotti:</w:t>
      </w:r>
    </w:p>
    <w:p w:rsidR="00C47F21" w:rsidRPr="00AC5C2F" w:rsidP="00D47E17" w14:paraId="4843E38A" w14:textId="77777777"/>
    <w:p w:rsidR="00C47F21" w:rsidRPr="00AC5C2F" w:rsidP="00AC5C2F" w14:paraId="6F7D1213" w14:textId="77777777">
      <w:pPr>
        <w:pStyle w:val="FERCparanumber"/>
      </w:pPr>
      <w:r w:rsidRPr="00AC5C2F">
        <w:t xml:space="preserve">On December 17, 2024, the North American Electric Reliability Corporation (NERC) submitted a petition seeking approval of proposed Reliability Standard </w:t>
      </w:r>
      <w:r w:rsidR="0051235F">
        <w:t xml:space="preserve">         </w:t>
      </w:r>
      <w:r w:rsidRPr="00AC5C2F">
        <w:t xml:space="preserve">TPL-008-1 (Transmission System Planning Performance Requirements for Extreme Temperature </w:t>
      </w:r>
      <w:r w:rsidRPr="00AC5C2F" w:rsidR="00811BBF">
        <w:t>E</w:t>
      </w:r>
      <w:r w:rsidRPr="00AC5C2F">
        <w:t>vents</w:t>
      </w:r>
      <w:r w:rsidRPr="00AC5C2F" w:rsidR="00FD5DD2">
        <w:t>)</w:t>
      </w:r>
      <w:r w:rsidRPr="00AC5C2F">
        <w:t>.</w:t>
      </w:r>
      <w:r>
        <w:rPr>
          <w:rStyle w:val="FootnoteReference"/>
        </w:rPr>
        <w:footnoteReference w:id="3"/>
      </w:r>
      <w:r w:rsidRPr="00AC5C2F" w:rsidR="00811BBF">
        <w:t xml:space="preserve">  Further, NERC seeks approval of the associated implementation plan, violation risk factors, and violation severity levels.  NERC also seeks approval of</w:t>
      </w:r>
      <w:r w:rsidR="0051235F">
        <w:t xml:space="preserve">    </w:t>
      </w:r>
      <w:r w:rsidRPr="00AC5C2F" w:rsidR="00811BBF">
        <w:t xml:space="preserve"> a proposed definition of </w:t>
      </w:r>
      <w:r w:rsidRPr="00AC5C2F" w:rsidR="000C0F30">
        <w:t>“</w:t>
      </w:r>
      <w:r w:rsidRPr="00AC5C2F" w:rsidR="00811BBF">
        <w:t>extreme temperature assessment</w:t>
      </w:r>
      <w:r w:rsidRPr="00AC5C2F" w:rsidR="000C0F30">
        <w:t>”</w:t>
      </w:r>
      <w:r w:rsidRPr="00AC5C2F" w:rsidR="00811BBF">
        <w:t xml:space="preserve"> for inclusion in the NERC Glossary of Terms </w:t>
      </w:r>
      <w:r w:rsidR="00EB0A3C">
        <w:t>U</w:t>
      </w:r>
      <w:r w:rsidRPr="00AC5C2F" w:rsidR="00901C7E">
        <w:t xml:space="preserve">sed </w:t>
      </w:r>
      <w:r w:rsidRPr="00AC5C2F" w:rsidR="00811BBF">
        <w:t>in NERC Reliability Standards (NERC Glossary).</w:t>
      </w:r>
      <w:r>
        <w:rPr>
          <w:rStyle w:val="FootnoteReference"/>
        </w:rPr>
        <w:footnoteReference w:id="4"/>
      </w:r>
      <w:r w:rsidRPr="00AC5C2F" w:rsidR="00811BBF">
        <w:t xml:space="preserve">  For the reasons discussed below, pursuant to section 215(d)(2) of the Federal Power Act (FPA),</w:t>
      </w:r>
      <w:r>
        <w:rPr>
          <w:b/>
          <w:vertAlign w:val="superscript"/>
        </w:rPr>
        <w:footnoteReference w:id="5"/>
      </w:r>
      <w:r w:rsidRPr="00AC5C2F" w:rsidR="00811BBF">
        <w:t xml:space="preserve"> we grant NERC’s petition.</w:t>
      </w:r>
    </w:p>
    <w:p w:rsidR="00811BBF" w:rsidRPr="00AC5C2F" w:rsidP="00AC5C2F" w14:paraId="2C2B6727" w14:textId="77777777">
      <w:pPr>
        <w:pStyle w:val="FERCparanumber"/>
      </w:pPr>
      <w:r w:rsidRPr="00AC5C2F">
        <w:t xml:space="preserve">In Order No. 896, the Commission directed NERC to submit a new or modified Reliability Standard that addresses </w:t>
      </w:r>
      <w:r w:rsidR="00E52CCB">
        <w:t xml:space="preserve">the Commission’s identified </w:t>
      </w:r>
      <w:r w:rsidRPr="00AC5C2F">
        <w:t>concerns pertaining to transmission system planning for extreme heat and cold weather events that impact the Reliable Operation of the Bulk-Power System.</w:t>
      </w:r>
      <w:r>
        <w:rPr>
          <w:rStyle w:val="FootnoteReference"/>
        </w:rPr>
        <w:footnoteReference w:id="6"/>
      </w:r>
      <w:r w:rsidRPr="00AC5C2F">
        <w:t xml:space="preserve">  Specifically, the Commission directed </w:t>
      </w:r>
      <w:r w:rsidRPr="00AC5C2F">
        <w:t>NERC</w:t>
      </w:r>
      <w:r w:rsidRPr="00AC5C2F" w:rsidR="00F96C74">
        <w:t xml:space="preserve"> to develop a new or modified Reliability Standard that requires the following: </w:t>
      </w:r>
      <w:r w:rsidR="0051235F">
        <w:t xml:space="preserve">  </w:t>
      </w:r>
      <w:r w:rsidRPr="00AC5C2F" w:rsidR="00F96C74">
        <w:t xml:space="preserve"> (1) </w:t>
      </w:r>
      <w:r w:rsidRPr="00AC5C2F" w:rsidR="009F2D7D">
        <w:t>develop</w:t>
      </w:r>
      <w:r w:rsidR="009350C6">
        <w:t>ment of</w:t>
      </w:r>
      <w:r w:rsidRPr="00AC5C2F" w:rsidR="00F96C74">
        <w:t xml:space="preserve"> benchmark planning cases based on major prior extreme heat and cold weather events and/or meteorological projections; (2) planning for extreme heat and cold weather events using steady state and transient stability analyses </w:t>
      </w:r>
      <w:r w:rsidR="001D02D5">
        <w:t xml:space="preserve">expanded to cover a range of </w:t>
      </w:r>
      <w:r w:rsidRPr="00AC5C2F" w:rsidR="00F96C74">
        <w:t xml:space="preserve">extreme weather scenarios </w:t>
      </w:r>
      <w:r w:rsidR="005A5A05">
        <w:t xml:space="preserve">including the expected </w:t>
      </w:r>
      <w:r w:rsidR="000123A6">
        <w:t>resource mix’s</w:t>
      </w:r>
      <w:r w:rsidRPr="00AC5C2F" w:rsidR="00F96C74">
        <w:t xml:space="preserve"> availability during extreme heat and cold weather </w:t>
      </w:r>
      <w:r w:rsidR="000123A6">
        <w:t>condition</w:t>
      </w:r>
      <w:r w:rsidR="007D0DEE">
        <w:t>s</w:t>
      </w:r>
      <w:r w:rsidRPr="00AC5C2F" w:rsidR="00F96C74">
        <w:t xml:space="preserve">; and (3) </w:t>
      </w:r>
      <w:r w:rsidRPr="00AC5C2F" w:rsidR="009F2D7D">
        <w:t>develop</w:t>
      </w:r>
      <w:r w:rsidR="00C40961">
        <w:t>ment of</w:t>
      </w:r>
      <w:r w:rsidRPr="00AC5C2F" w:rsidR="00F96C74">
        <w:t xml:space="preserve"> corrective action plans </w:t>
      </w:r>
      <w:r w:rsidR="00043032">
        <w:t>that</w:t>
      </w:r>
      <w:r w:rsidR="0087586D">
        <w:t xml:space="preserve"> </w:t>
      </w:r>
      <w:r w:rsidRPr="00AC5C2F" w:rsidR="00F96C74">
        <w:t xml:space="preserve">mitigate </w:t>
      </w:r>
      <w:r w:rsidR="00860033">
        <w:t>certain</w:t>
      </w:r>
      <w:r w:rsidRPr="00AC5C2F" w:rsidR="00F96C74">
        <w:t xml:space="preserve"> instances </w:t>
      </w:r>
      <w:r w:rsidR="0087586D">
        <w:t>where performance requirements</w:t>
      </w:r>
      <w:r w:rsidRPr="00AC5C2F" w:rsidR="00F96C74">
        <w:t xml:space="preserve"> </w:t>
      </w:r>
      <w:r w:rsidR="003F16FD">
        <w:t>for</w:t>
      </w:r>
      <w:r w:rsidRPr="00AC5C2F" w:rsidR="00F96C74">
        <w:t xml:space="preserve"> extreme heat and cold weather events</w:t>
      </w:r>
      <w:r w:rsidR="00C40961">
        <w:t xml:space="preserve"> are not met</w:t>
      </w:r>
      <w:r w:rsidRPr="00AC5C2F" w:rsidR="00F96C74">
        <w:t>.</w:t>
      </w:r>
      <w:r>
        <w:rPr>
          <w:rStyle w:val="FootnoteReference"/>
        </w:rPr>
        <w:footnoteReference w:id="7"/>
      </w:r>
    </w:p>
    <w:p w:rsidR="007C0C62" w:rsidRPr="00AC5C2F" w:rsidP="0051235F" w14:paraId="18210D93" w14:textId="77777777">
      <w:pPr>
        <w:pStyle w:val="FERCparanumber"/>
        <w:ind w:right="-90"/>
      </w:pPr>
      <w:r w:rsidRPr="00AC5C2F">
        <w:t xml:space="preserve">In its petition, NERC </w:t>
      </w:r>
      <w:r w:rsidRPr="00AC5C2F" w:rsidR="009F2D7D">
        <w:t xml:space="preserve">asserts </w:t>
      </w:r>
      <w:r w:rsidRPr="00AC5C2F">
        <w:t>that proposed Reliability Standard TPL-008-1 is responsive to the Commission’s directives in Order No. 896</w:t>
      </w:r>
      <w:r w:rsidRPr="00AC5C2F" w:rsidR="00C449A6">
        <w:t>.</w:t>
      </w:r>
      <w:r>
        <w:rPr>
          <w:rStyle w:val="FootnoteReference"/>
        </w:rPr>
        <w:footnoteReference w:id="8"/>
      </w:r>
      <w:r w:rsidRPr="00AC5C2F" w:rsidR="00C449A6">
        <w:t xml:space="preserve">  NERC further states </w:t>
      </w:r>
      <w:r w:rsidR="0051235F">
        <w:t xml:space="preserve">       </w:t>
      </w:r>
      <w:r w:rsidRPr="00AC5C2F" w:rsidR="00C449A6">
        <w:t>that</w:t>
      </w:r>
      <w:r w:rsidRPr="00AC5C2F">
        <w:t xml:space="preserve"> the </w:t>
      </w:r>
      <w:r w:rsidRPr="00AC5C2F" w:rsidR="00C449A6">
        <w:t>proposed Reliability Standard “would advance the reliability of the Bulk-Power System by improving how entities plan for the impacts of extreme temperature events on their systems.”</w:t>
      </w:r>
      <w:r>
        <w:rPr>
          <w:rStyle w:val="FootnoteReference"/>
        </w:rPr>
        <w:footnoteReference w:id="9"/>
      </w:r>
      <w:r w:rsidRPr="00AC5C2F" w:rsidR="00827B98">
        <w:t xml:space="preserve">  NERC explains that the proposed Reliability Standard, </w:t>
      </w:r>
      <w:r w:rsidRPr="00AC5C2F" w:rsidR="008D4597">
        <w:t xml:space="preserve">which focuses </w:t>
      </w:r>
      <w:r w:rsidR="0051235F">
        <w:t xml:space="preserve">   </w:t>
      </w:r>
      <w:r w:rsidRPr="00AC5C2F" w:rsidR="008D4597">
        <w:t xml:space="preserve">on improving how planning coordinators and transmission planners plan for extreme heat and </w:t>
      </w:r>
      <w:r w:rsidRPr="00AC5C2F" w:rsidR="00491CF8">
        <w:t xml:space="preserve">extreme </w:t>
      </w:r>
      <w:r w:rsidRPr="00AC5C2F" w:rsidR="008D4597">
        <w:t>cold weather events, establishes a framework for the performance of periodic studies</w:t>
      </w:r>
      <w:r>
        <w:rPr>
          <w:rStyle w:val="FootnoteReference"/>
        </w:rPr>
        <w:footnoteReference w:id="10"/>
      </w:r>
      <w:r w:rsidRPr="00AC5C2F" w:rsidR="008D4597">
        <w:t xml:space="preserve"> of the wide-area impacts </w:t>
      </w:r>
      <w:r w:rsidRPr="00AC5C2F" w:rsidR="00BF0807">
        <w:t xml:space="preserve">on the Bulk-Power System </w:t>
      </w:r>
      <w:r w:rsidRPr="00AC5C2F" w:rsidR="008D4597">
        <w:t xml:space="preserve">of extreme heat and </w:t>
      </w:r>
      <w:r w:rsidRPr="00AC5C2F" w:rsidR="00C7095F">
        <w:t xml:space="preserve">extreme </w:t>
      </w:r>
      <w:r w:rsidRPr="00AC5C2F" w:rsidR="008D4597">
        <w:t>cold weather events.</w:t>
      </w:r>
      <w:r>
        <w:rPr>
          <w:rStyle w:val="FootnoteReference"/>
        </w:rPr>
        <w:footnoteReference w:id="11"/>
      </w:r>
      <w:r w:rsidRPr="00AC5C2F" w:rsidR="008D4597">
        <w:t xml:space="preserve">  </w:t>
      </w:r>
      <w:r w:rsidRPr="00AC5C2F">
        <w:t xml:space="preserve">These </w:t>
      </w:r>
      <w:r w:rsidR="00B64341">
        <w:t>extreme temperature assessments</w:t>
      </w:r>
      <w:r w:rsidRPr="00AC5C2F">
        <w:t xml:space="preserve"> would be developed from predefined benchmark temperature events established by NERC</w:t>
      </w:r>
      <w:r w:rsidR="007B2457">
        <w:t>,</w:t>
      </w:r>
      <w:r w:rsidRPr="00AC5C2F">
        <w:t xml:space="preserve"> based on its analysis of 43 years of historical meteorological data.</w:t>
      </w:r>
      <w:r>
        <w:rPr>
          <w:rStyle w:val="FootnoteReference"/>
        </w:rPr>
        <w:footnoteReference w:id="12"/>
      </w:r>
    </w:p>
    <w:p w:rsidR="00C47F21" w:rsidRPr="00AC5C2F" w:rsidP="00AC5C2F" w14:paraId="4712820A" w14:textId="77777777">
      <w:pPr>
        <w:pStyle w:val="FERCparanumber"/>
      </w:pPr>
      <w:r w:rsidRPr="00AC5C2F">
        <w:t>NERC explains that p</w:t>
      </w:r>
      <w:r w:rsidRPr="00AC5C2F" w:rsidR="008D4597">
        <w:t>roposed Reliability Standard TPL-008-1 would require planning entities in</w:t>
      </w:r>
      <w:r w:rsidRPr="00AC5C2F" w:rsidR="00EA57E3">
        <w:t xml:space="preserve"> defined </w:t>
      </w:r>
      <w:r w:rsidRPr="00AC5C2F" w:rsidR="00C613E5">
        <w:t xml:space="preserve">zones </w:t>
      </w:r>
      <w:r w:rsidRPr="00AC5C2F" w:rsidR="00EA57E3">
        <w:t>to coordinate with each other on the development</w:t>
      </w:r>
      <w:r w:rsidR="0051235F">
        <w:t xml:space="preserve">       </w:t>
      </w:r>
      <w:r w:rsidRPr="00AC5C2F" w:rsidR="00EA57E3">
        <w:t xml:space="preserve"> of </w:t>
      </w:r>
      <w:r w:rsidRPr="00AC5C2F">
        <w:t>extreme temperature assessments</w:t>
      </w:r>
      <w:r w:rsidR="001B0E79">
        <w:t xml:space="preserve"> at least once every five years</w:t>
      </w:r>
      <w:r w:rsidRPr="00AC5C2F" w:rsidR="00EA57E3">
        <w:t>.</w:t>
      </w:r>
      <w:r>
        <w:rPr>
          <w:rStyle w:val="FootnoteReference"/>
        </w:rPr>
        <w:footnoteReference w:id="13"/>
      </w:r>
      <w:r w:rsidRPr="00AC5C2F" w:rsidR="00EA57E3">
        <w:t xml:space="preserve">  I</w:t>
      </w:r>
      <w:r w:rsidRPr="00AC5C2F" w:rsidR="005D0DD7">
        <w:t xml:space="preserve">f </w:t>
      </w:r>
      <w:r w:rsidRPr="00AC5C2F" w:rsidR="007D79A2">
        <w:t>a</w:t>
      </w:r>
      <w:r w:rsidRPr="00AC5C2F">
        <w:t xml:space="preserve">n extreme </w:t>
      </w:r>
      <w:r w:rsidRPr="00AC5C2F">
        <w:t xml:space="preserve">temperature assessment </w:t>
      </w:r>
      <w:r w:rsidRPr="00AC5C2F" w:rsidR="00EA57E3">
        <w:t>identif</w:t>
      </w:r>
      <w:r w:rsidRPr="00AC5C2F" w:rsidR="007D79A2">
        <w:t xml:space="preserve">ies certain </w:t>
      </w:r>
      <w:r w:rsidRPr="00AC5C2F" w:rsidR="00EA57E3">
        <w:t xml:space="preserve">instances where system performance requirements would not be met during extreme heat or </w:t>
      </w:r>
      <w:r w:rsidRPr="00AC5C2F" w:rsidR="00382702">
        <w:t xml:space="preserve">extreme </w:t>
      </w:r>
      <w:r w:rsidRPr="00AC5C2F" w:rsidR="00EA57E3">
        <w:t xml:space="preserve">cold weather events, </w:t>
      </w:r>
      <w:r w:rsidR="0051235F">
        <w:t xml:space="preserve">     </w:t>
      </w:r>
      <w:r w:rsidRPr="00AC5C2F" w:rsidR="00EA57E3">
        <w:t xml:space="preserve">the proposed Reliability Standard would require </w:t>
      </w:r>
      <w:r w:rsidRPr="00AC5C2F" w:rsidR="007D79A2">
        <w:t xml:space="preserve">applicable </w:t>
      </w:r>
      <w:r w:rsidRPr="00AC5C2F" w:rsidR="00EA57E3">
        <w:t xml:space="preserve">planning entities to develop and share corrective action plans </w:t>
      </w:r>
      <w:r w:rsidRPr="00AC5C2F" w:rsidR="007D79A2">
        <w:t>that would remedy the identified problem.</w:t>
      </w:r>
      <w:r>
        <w:rPr>
          <w:rStyle w:val="FootnoteReference"/>
        </w:rPr>
        <w:footnoteReference w:id="14"/>
      </w:r>
      <w:r w:rsidRPr="00AC5C2F">
        <w:t xml:space="preserve">  If non-consequential load shed </w:t>
      </w:r>
      <w:r w:rsidRPr="00AC5C2F" w:rsidR="00E4180D">
        <w:t xml:space="preserve">is identified </w:t>
      </w:r>
      <w:r w:rsidRPr="00AC5C2F">
        <w:t xml:space="preserve">as </w:t>
      </w:r>
      <w:r w:rsidRPr="00AC5C2F" w:rsidR="00E4180D">
        <w:t>an element of a corrective action plan</w:t>
      </w:r>
      <w:r w:rsidRPr="00AC5C2F">
        <w:t>, the proposed Reliability Standard would require the applicable planning entity to</w:t>
      </w:r>
      <w:r w:rsidRPr="00AC5C2F" w:rsidR="00E4180D">
        <w:t xml:space="preserve"> consider and document alternative corrective measures</w:t>
      </w:r>
      <w:r w:rsidRPr="00AC5C2F" w:rsidR="00A43C2F">
        <w:t xml:space="preserve"> that would avoid load shed</w:t>
      </w:r>
      <w:r w:rsidRPr="00AC5C2F" w:rsidR="00E4180D">
        <w:t>.</w:t>
      </w:r>
      <w:r>
        <w:rPr>
          <w:rStyle w:val="FootnoteReference"/>
        </w:rPr>
        <w:footnoteReference w:id="15"/>
      </w:r>
      <w:r w:rsidRPr="00AC5C2F" w:rsidR="00E4180D">
        <w:t xml:space="preserve">  The proposed Reliability Standard would also require planning </w:t>
      </w:r>
      <w:r w:rsidRPr="00AC5C2F" w:rsidR="00627806">
        <w:t xml:space="preserve">entities </w:t>
      </w:r>
      <w:r w:rsidRPr="00AC5C2F" w:rsidR="00E4180D">
        <w:t>to share their corrective action plans with, and solicit feedback from, the applicable regulatory authorities or governing bodies responsible for retail electric service.</w:t>
      </w:r>
      <w:r>
        <w:rPr>
          <w:rStyle w:val="FootnoteReference"/>
        </w:rPr>
        <w:footnoteReference w:id="16"/>
      </w:r>
    </w:p>
    <w:p w:rsidR="000D5B08" w:rsidRPr="00AC5C2F" w:rsidP="00AC5C2F" w14:paraId="2C1397F8" w14:textId="77777777">
      <w:pPr>
        <w:pStyle w:val="FERCparanumber"/>
      </w:pPr>
      <w:r w:rsidRPr="00AC5C2F">
        <w:t>NERC propose</w:t>
      </w:r>
      <w:r w:rsidRPr="00AC5C2F" w:rsidR="005E40D5">
        <w:t>s</w:t>
      </w:r>
      <w:r w:rsidRPr="00AC5C2F" w:rsidR="002E4BB9">
        <w:t xml:space="preserve"> an</w:t>
      </w:r>
      <w:r w:rsidRPr="00AC5C2F">
        <w:t xml:space="preserve"> implementation plan </w:t>
      </w:r>
      <w:r w:rsidRPr="00AC5C2F" w:rsidR="00411FE2">
        <w:t>consist</w:t>
      </w:r>
      <w:r w:rsidRPr="00AC5C2F" w:rsidR="002E4BB9">
        <w:t>ing</w:t>
      </w:r>
      <w:r w:rsidRPr="00AC5C2F" w:rsidR="00411FE2">
        <w:t xml:space="preserve"> of </w:t>
      </w:r>
      <w:r w:rsidRPr="00AC5C2F" w:rsidR="00697ECF">
        <w:t>phased-in compliance</w:t>
      </w:r>
      <w:r w:rsidR="0051235F">
        <w:t xml:space="preserve">   </w:t>
      </w:r>
      <w:r w:rsidRPr="00AC5C2F" w:rsidR="00697ECF">
        <w:t xml:space="preserve"> dates</w:t>
      </w:r>
      <w:r w:rsidRPr="00AC5C2F" w:rsidR="00411FE2">
        <w:t xml:space="preserve"> over </w:t>
      </w:r>
      <w:r w:rsidRPr="00AC5C2F" w:rsidR="002E4BB9">
        <w:t xml:space="preserve">a </w:t>
      </w:r>
      <w:r w:rsidRPr="00AC5C2F" w:rsidR="00411FE2">
        <w:t>five</w:t>
      </w:r>
      <w:r w:rsidRPr="00AC5C2F" w:rsidR="002E4BB9">
        <w:t>-</w:t>
      </w:r>
      <w:r w:rsidRPr="00AC5C2F" w:rsidR="00411FE2">
        <w:t>year</w:t>
      </w:r>
      <w:r w:rsidRPr="00AC5C2F" w:rsidR="002E4BB9">
        <w:t xml:space="preserve"> period</w:t>
      </w:r>
      <w:r w:rsidRPr="00AC5C2F" w:rsidR="00411FE2">
        <w:t xml:space="preserve">.  </w:t>
      </w:r>
      <w:r w:rsidRPr="00AC5C2F" w:rsidR="0097630B">
        <w:t>NERC asserts that this implementation plan “balances</w:t>
      </w:r>
      <w:r w:rsidR="0051235F">
        <w:t xml:space="preserve">    </w:t>
      </w:r>
      <w:r w:rsidRPr="00AC5C2F" w:rsidR="0097630B">
        <w:t xml:space="preserve"> the urgency in the need to implement the proposed Reliability Standard against the reasonableness of the time allowed for those who must comply to develop </w:t>
      </w:r>
      <w:r w:rsidRPr="00AC5C2F" w:rsidR="006E2413">
        <w:t>th</w:t>
      </w:r>
      <w:r w:rsidRPr="00AC5C2F" w:rsidR="00480FE2">
        <w:t>e necessary processes and capabilities to perform these new wide-area extreme temperature studies.”</w:t>
      </w:r>
      <w:r>
        <w:rPr>
          <w:rStyle w:val="FootnoteReference"/>
        </w:rPr>
        <w:footnoteReference w:id="17"/>
      </w:r>
    </w:p>
    <w:p w:rsidR="00E4180D" w:rsidRPr="00AC5C2F" w:rsidP="00AC5C2F" w14:paraId="06B9D2E0" w14:textId="77777777">
      <w:pPr>
        <w:pStyle w:val="FERCparanumber"/>
      </w:pPr>
      <w:r w:rsidRPr="00AC5C2F">
        <w:t>Notice of NERC’s December 1</w:t>
      </w:r>
      <w:r w:rsidRPr="00AC5C2F" w:rsidR="008D6BE8">
        <w:t>7</w:t>
      </w:r>
      <w:r w:rsidRPr="00AC5C2F">
        <w:t xml:space="preserve">, 2024 petition was published in the </w:t>
      </w:r>
      <w:r w:rsidRPr="00AC5C2F">
        <w:rPr>
          <w:i/>
          <w:iCs/>
        </w:rPr>
        <w:t>Federal Register</w:t>
      </w:r>
      <w:r w:rsidRPr="00AC5C2F">
        <w:t>, 89 Fed. Reg. 10503</w:t>
      </w:r>
      <w:r w:rsidRPr="00AC5C2F" w:rsidR="00641DB0">
        <w:t>8</w:t>
      </w:r>
      <w:r w:rsidRPr="00AC5C2F">
        <w:t xml:space="preserve"> (Dec. 26, 2024), with interventions and protests due on or before January 17, 2025.  </w:t>
      </w:r>
      <w:r w:rsidRPr="00AC5C2F" w:rsidR="000D5F9A">
        <w:t xml:space="preserve">Ameren Services Company </w:t>
      </w:r>
      <w:r w:rsidRPr="00AC5C2F" w:rsidR="00A41A8C">
        <w:t xml:space="preserve">filed a timely motion to intervene. </w:t>
      </w:r>
      <w:r w:rsidRPr="00AC5C2F" w:rsidR="001C6B2B">
        <w:t xml:space="preserve"> </w:t>
      </w:r>
      <w:r w:rsidRPr="00AC5C2F" w:rsidR="00A333B8">
        <w:t>Pursuant to Rule 214 of the Commission’s Rules of Practice and Procedure, 18 C.F.R. § 385.214 (2024), the timely, unopposed motion to intervene serve</w:t>
      </w:r>
      <w:r w:rsidR="003075BA">
        <w:t>s</w:t>
      </w:r>
      <w:r w:rsidRPr="00AC5C2F" w:rsidR="00A333B8">
        <w:t xml:space="preserve"> to make the above entit</w:t>
      </w:r>
      <w:r w:rsidRPr="00AC5C2F" w:rsidR="00877120">
        <w:t>y</w:t>
      </w:r>
      <w:r w:rsidRPr="00AC5C2F" w:rsidR="00A333B8">
        <w:t xml:space="preserve"> </w:t>
      </w:r>
      <w:r w:rsidRPr="00AC5C2F" w:rsidR="00877120">
        <w:t xml:space="preserve">a </w:t>
      </w:r>
      <w:r w:rsidRPr="00AC5C2F" w:rsidR="00A333B8">
        <w:t>part</w:t>
      </w:r>
      <w:r w:rsidRPr="00AC5C2F" w:rsidR="00877120">
        <w:t>y</w:t>
      </w:r>
      <w:r w:rsidRPr="00AC5C2F" w:rsidR="00A333B8">
        <w:t xml:space="preserve"> to th</w:t>
      </w:r>
      <w:r w:rsidRPr="00AC5C2F" w:rsidR="00877120">
        <w:t>is</w:t>
      </w:r>
      <w:r w:rsidRPr="00AC5C2F" w:rsidR="00A333B8">
        <w:t xml:space="preserve"> proceeding.</w:t>
      </w:r>
      <w:r w:rsidR="009C1591">
        <w:t xml:space="preserve">  No comments or protests were submitted.</w:t>
      </w:r>
    </w:p>
    <w:p w:rsidR="00A333B8" w:rsidRPr="00AC5C2F" w:rsidP="00AC5C2F" w14:paraId="21DB7D52" w14:textId="77777777">
      <w:pPr>
        <w:pStyle w:val="FERCparanumber"/>
      </w:pPr>
      <w:r w:rsidRPr="00AC5C2F">
        <w:t>Pursuant to section 215(d)(2) of the FPA, we approve proposed Reliability Standard TPL-008-1 as just and reasonable and not unduly discriminatory or preferential and in the public interest.</w:t>
      </w:r>
      <w:r>
        <w:rPr>
          <w:b/>
          <w:bCs/>
          <w:vertAlign w:val="superscript"/>
        </w:rPr>
        <w:footnoteReference w:id="18"/>
      </w:r>
      <w:r w:rsidRPr="00AC5C2F">
        <w:t xml:space="preserve">  We approve the proposed Reliability Standard’</w:t>
      </w:r>
      <w:r w:rsidRPr="00AC5C2F" w:rsidR="00940E35">
        <w:t>s</w:t>
      </w:r>
      <w:r w:rsidRPr="00AC5C2F">
        <w:t xml:space="preserve"> associated violation risk factors and violation severity levels and the proposed implementation plan.  We also approve NERC’s proposed definition of “extreme temperature </w:t>
      </w:r>
      <w:r w:rsidRPr="00AC5C2F" w:rsidR="001415B0">
        <w:t>assessment</w:t>
      </w:r>
      <w:r w:rsidRPr="00AC5C2F">
        <w:t>” for inclusion in the NERC Glossary.</w:t>
      </w:r>
    </w:p>
    <w:p w:rsidR="00093338" w:rsidRPr="00AC5C2F" w:rsidP="00AC5C2F" w14:paraId="7C637120" w14:textId="77777777">
      <w:pPr>
        <w:pStyle w:val="FERCparanumber"/>
      </w:pPr>
      <w:r w:rsidRPr="00AC5C2F">
        <w:t xml:space="preserve">We find that proposed Reliability Standard TPL-008-1 satisfies the Commission’s directives from Order No. 896 to submit a new or modified Reliability Standard that addresses concerns pertaining to transmission system planning for extreme heat and </w:t>
      </w:r>
      <w:r w:rsidRPr="00AC5C2F" w:rsidR="0027666C">
        <w:t xml:space="preserve">extreme </w:t>
      </w:r>
      <w:r w:rsidRPr="00AC5C2F">
        <w:t>cold weather events that impact the Reliable Operation of the Bulk-Power System.</w:t>
      </w:r>
      <w:r w:rsidRPr="00AC5C2F" w:rsidR="009842BA">
        <w:t xml:space="preserve">  Although system planning measures alone will not eliminate the reliability</w:t>
      </w:r>
      <w:r w:rsidR="0051235F">
        <w:t xml:space="preserve">    </w:t>
      </w:r>
      <w:r w:rsidRPr="00AC5C2F" w:rsidR="009842BA">
        <w:t xml:space="preserve">risk associated with extreme heat and </w:t>
      </w:r>
      <w:r w:rsidRPr="00AC5C2F" w:rsidR="002D3A69">
        <w:t xml:space="preserve">extreme </w:t>
      </w:r>
      <w:r w:rsidRPr="00AC5C2F" w:rsidR="009842BA">
        <w:t>cold events</w:t>
      </w:r>
      <w:r w:rsidRPr="00AC5C2F" w:rsidR="007500CC">
        <w:t xml:space="preserve">, </w:t>
      </w:r>
      <w:r w:rsidRPr="00AC5C2F" w:rsidR="00B968AB">
        <w:t xml:space="preserve">we find that </w:t>
      </w:r>
      <w:r w:rsidRPr="00AC5C2F" w:rsidR="007500CC">
        <w:t>Reliability Standard TPL-008-1</w:t>
      </w:r>
      <w:r w:rsidRPr="00AC5C2F" w:rsidR="009842BA">
        <w:t xml:space="preserve"> will </w:t>
      </w:r>
      <w:r w:rsidRPr="00AC5C2F" w:rsidR="00671557">
        <w:t xml:space="preserve">help </w:t>
      </w:r>
      <w:r w:rsidRPr="00AC5C2F" w:rsidR="009842BA">
        <w:t>prepare the Bulk-Power System for extreme weather events in</w:t>
      </w:r>
      <w:r w:rsidR="0051235F">
        <w:t xml:space="preserve"> </w:t>
      </w:r>
      <w:r w:rsidRPr="00AC5C2F" w:rsidR="009842BA">
        <w:t>the long term and</w:t>
      </w:r>
      <w:r w:rsidRPr="00AC5C2F" w:rsidR="000856B3">
        <w:t xml:space="preserve">, </w:t>
      </w:r>
      <w:r w:rsidRPr="00AC5C2F" w:rsidR="009842BA">
        <w:t>together with the requirements in the Cold Weather Reliability Standards</w:t>
      </w:r>
      <w:r w:rsidRPr="00AC5C2F" w:rsidR="000856B3">
        <w:t>,</w:t>
      </w:r>
      <w:r>
        <w:rPr>
          <w:rStyle w:val="FootnoteReference"/>
        </w:rPr>
        <w:footnoteReference w:id="19"/>
      </w:r>
      <w:r w:rsidRPr="00AC5C2F" w:rsidR="009842BA">
        <w:t xml:space="preserve"> </w:t>
      </w:r>
      <w:r w:rsidRPr="00AC5C2F" w:rsidR="000856B3">
        <w:t xml:space="preserve">will work </w:t>
      </w:r>
      <w:r w:rsidRPr="00AC5C2F" w:rsidR="009842BA">
        <w:t>to mitigate the near-term reliability impact</w:t>
      </w:r>
      <w:r w:rsidRPr="00AC5C2F" w:rsidR="00BD38EF">
        <w:t>s</w:t>
      </w:r>
      <w:r w:rsidRPr="00AC5C2F" w:rsidR="009842BA">
        <w:t xml:space="preserve"> of</w:t>
      </w:r>
      <w:r w:rsidR="0051235F">
        <w:t xml:space="preserve">   </w:t>
      </w:r>
      <w:r w:rsidRPr="00AC5C2F" w:rsidR="009842BA">
        <w:t xml:space="preserve"> extreme weather events.</w:t>
      </w:r>
    </w:p>
    <w:p w:rsidR="00A333B8" w:rsidRPr="00AC5C2F" w:rsidP="00AC5C2F" w14:paraId="0DF7DDA0" w14:textId="77777777">
      <w:pPr>
        <w:pStyle w:val="FERCparanumber"/>
      </w:pPr>
      <w:r w:rsidRPr="00AC5C2F">
        <w:t>Given the increasing frequency and intensity of extreme weather events</w:t>
      </w:r>
      <w:r w:rsidRPr="00AC5C2F" w:rsidR="00C20D51">
        <w:t xml:space="preserve">, </w:t>
      </w:r>
      <w:r w:rsidRPr="00AC5C2F" w:rsidR="00C20D51">
        <w:t xml:space="preserve">we </w:t>
      </w:r>
      <w:r w:rsidRPr="00AC5C2F" w:rsidR="00674253">
        <w:t xml:space="preserve">agree with NERC that </w:t>
      </w:r>
      <w:r w:rsidRPr="00AC5C2F" w:rsidR="00FD1581">
        <w:t xml:space="preserve">the use of </w:t>
      </w:r>
      <w:r w:rsidRPr="00780C5B" w:rsidR="00FD1581">
        <w:rPr>
          <w:i/>
        </w:rPr>
        <w:t>future</w:t>
      </w:r>
      <w:r w:rsidRPr="00AC5C2F" w:rsidR="00AC1E25">
        <w:t xml:space="preserve"> meteorological projections </w:t>
      </w:r>
      <w:r w:rsidRPr="00AC5C2F" w:rsidR="00473B0F">
        <w:t xml:space="preserve">for developing benchmark temperature events </w:t>
      </w:r>
      <w:r w:rsidRPr="00AC5C2F" w:rsidR="001921AE">
        <w:t>c</w:t>
      </w:r>
      <w:r w:rsidRPr="00AC5C2F" w:rsidR="00473B0F">
        <w:t xml:space="preserve">ould advance accurate system </w:t>
      </w:r>
      <w:r w:rsidRPr="00AC5C2F" w:rsidR="00604D95">
        <w:t>planning</w:t>
      </w:r>
      <w:r w:rsidRPr="00AC5C2F" w:rsidR="001921AE">
        <w:t>.</w:t>
      </w:r>
      <w:r>
        <w:rPr>
          <w:rStyle w:val="FootnoteReference"/>
        </w:rPr>
        <w:footnoteReference w:id="20"/>
      </w:r>
      <w:r w:rsidRPr="00AC5C2F" w:rsidR="00604D95">
        <w:t xml:space="preserve"> </w:t>
      </w:r>
      <w:r w:rsidRPr="00AC5C2F" w:rsidR="001921AE">
        <w:t xml:space="preserve"> We</w:t>
      </w:r>
      <w:r w:rsidRPr="00AC5C2F" w:rsidR="00473B0F">
        <w:t xml:space="preserve"> </w:t>
      </w:r>
      <w:r w:rsidRPr="00AC5C2F" w:rsidR="3016B7A1">
        <w:t>expect</w:t>
      </w:r>
      <w:r w:rsidRPr="00AC5C2F" w:rsidR="00473B0F">
        <w:t xml:space="preserve"> NERC to continue working </w:t>
      </w:r>
      <w:r w:rsidR="003E4B1E">
        <w:t>to</w:t>
      </w:r>
      <w:r w:rsidRPr="00AC5C2F" w:rsidR="00473B0F">
        <w:t xml:space="preserve"> expand its </w:t>
      </w:r>
      <w:r w:rsidRPr="00AC5C2F" w:rsidR="003C0BBB">
        <w:t xml:space="preserve">benchmark temperature event library to </w:t>
      </w:r>
      <w:r w:rsidR="00114DD1">
        <w:t>cover</w:t>
      </w:r>
      <w:r w:rsidRPr="00AC5C2F" w:rsidR="003C0BBB">
        <w:t xml:space="preserve"> </w:t>
      </w:r>
      <w:r w:rsidR="00621A34">
        <w:t xml:space="preserve">future </w:t>
      </w:r>
      <w:r w:rsidRPr="00AC5C2F" w:rsidR="00ED65F6">
        <w:t>meteorological projections.</w:t>
      </w:r>
      <w:r>
        <w:rPr>
          <w:rStyle w:val="FootnoteReference"/>
        </w:rPr>
        <w:footnoteReference w:id="21"/>
      </w:r>
      <w:r w:rsidRPr="00AC5C2F" w:rsidR="00604D95">
        <w:t xml:space="preserve">  Further, </w:t>
      </w:r>
      <w:r w:rsidRPr="00AC5C2F">
        <w:t xml:space="preserve">we strongly encourage planning entities that </w:t>
      </w:r>
      <w:r w:rsidR="0051235F">
        <w:t xml:space="preserve">      </w:t>
      </w:r>
      <w:r w:rsidRPr="00AC5C2F" w:rsidR="00040129">
        <w:t>can comply</w:t>
      </w:r>
      <w:r w:rsidR="00847DAA">
        <w:t xml:space="preserve"> with the requirements of </w:t>
      </w:r>
      <w:r w:rsidR="008D077B">
        <w:t xml:space="preserve">Reliability Standard </w:t>
      </w:r>
      <w:r w:rsidR="00847DAA">
        <w:t>TPL-008-1</w:t>
      </w:r>
      <w:r w:rsidRPr="00AC5C2F">
        <w:t xml:space="preserve"> earlier than the mandatory and enforceable date</w:t>
      </w:r>
      <w:r w:rsidRPr="00AC5C2F" w:rsidR="00040129">
        <w:t>s</w:t>
      </w:r>
      <w:r w:rsidRPr="00AC5C2F">
        <w:t xml:space="preserve"> to do so.</w:t>
      </w:r>
    </w:p>
    <w:p w:rsidR="00EF736B" w:rsidRPr="00AC5C2F" w:rsidP="00EF736B" w14:paraId="78FE067B" w14:textId="77777777">
      <w:pPr>
        <w:pStyle w:val="FERCparanumber"/>
        <w:numPr>
          <w:ilvl w:val="0"/>
          <w:numId w:val="0"/>
        </w:numPr>
        <w:rPr>
          <w:b/>
          <w:bCs/>
          <w:u w:val="single"/>
        </w:rPr>
      </w:pPr>
      <w:r w:rsidRPr="00AC5C2F">
        <w:rPr>
          <w:b/>
          <w:bCs/>
          <w:u w:val="single"/>
        </w:rPr>
        <w:t>Information Collection Statement</w:t>
      </w:r>
    </w:p>
    <w:p w:rsidR="00EF736B" w:rsidRPr="00AC5C2F" w:rsidP="00AC5C2F" w14:paraId="444BA833" w14:textId="77777777">
      <w:pPr>
        <w:pStyle w:val="FERCparanumber"/>
      </w:pPr>
      <w:r w:rsidRPr="00AC5C2F">
        <w:t xml:space="preserve">The FERC-725N information collection requirements are subject to review by </w:t>
      </w:r>
      <w:r w:rsidR="0051235F">
        <w:t xml:space="preserve">  </w:t>
      </w:r>
      <w:r w:rsidRPr="00AC5C2F">
        <w:t>the Office of Management and Budget (OMB) under section 3507(d) of the Paperwork 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EF736B" w:rsidRPr="00AC5C2F" w:rsidP="00AC5C2F" w14:paraId="25808EC3" w14:textId="77777777">
      <w:pPr>
        <w:pStyle w:val="FERCparanumber"/>
      </w:pPr>
      <w:r w:rsidRPr="00AC5C2F">
        <w:t xml:space="preserve">The Commission bases its paperwork burden estimates on the additional paperwork burden presented by the proposed new Reliability Standard TPL-008-1.  </w:t>
      </w:r>
      <w:r w:rsidR="00D53935">
        <w:t xml:space="preserve">     </w:t>
      </w:r>
      <w:r w:rsidRPr="00AC5C2F">
        <w:t xml:space="preserve">The new defined term “extreme temperature assessment” is not expected to generate </w:t>
      </w:r>
      <w:r w:rsidR="00D53935">
        <w:t xml:space="preserve">    </w:t>
      </w:r>
      <w:r w:rsidRPr="00AC5C2F">
        <w:t>any new burden as it is a definition used within the body of Reliability Standards.  Reliability Standards are objective-based and allow entities to choose compliance approaches best tailored to their systems.  Additionally, proposed Reliability Standard TPL-008-1, Requirement R1 identifies each responsible entity that shall complete its responsibilities such that the extreme temperature assessment is completed at least once every five calendar years.  The NERC Compliance Registry, as of November 20, 2024, identifies unique U.S. entities that are subject to mandatory compliance with proposed Reliability Standard TPL-008-1, as 62 planning coordinators (PC) and 204 transmission planners (TP).  Based on these assumptions, we estimate the following reporting burden:</w:t>
      </w:r>
      <w:r w:rsidR="00D53935">
        <w:t xml:space="preserve">  </w:t>
      </w:r>
    </w:p>
    <w:tbl>
      <w:tblPr>
        <w:tblStyle w:val="TableGrid"/>
        <w:tblW w:w="9625" w:type="dxa"/>
        <w:tblLayout w:type="fixed"/>
        <w:tblLook w:val="04A0"/>
      </w:tblPr>
      <w:tblGrid>
        <w:gridCol w:w="1525"/>
        <w:gridCol w:w="1530"/>
        <w:gridCol w:w="1620"/>
        <w:gridCol w:w="1440"/>
        <w:gridCol w:w="1890"/>
        <w:gridCol w:w="1620"/>
      </w:tblGrid>
      <w:tr w14:paraId="7FE1C66E" w14:textId="77777777" w:rsidTr="00780C5B">
        <w:tblPrEx>
          <w:tblW w:w="9625" w:type="dxa"/>
          <w:tblLayout w:type="fixed"/>
          <w:tblLook w:val="04A0"/>
        </w:tblPrEx>
        <w:tc>
          <w:tcPr>
            <w:tcW w:w="9625" w:type="dxa"/>
            <w:gridSpan w:val="6"/>
            <w:shd w:val="clear" w:color="auto" w:fill="D0CECE" w:themeFill="background2" w:themeFillShade="E6"/>
          </w:tcPr>
          <w:p w:rsidR="00EF736B" w:rsidRPr="00AC5C2F" w14:paraId="4FF18756" w14:textId="77777777">
            <w:pPr>
              <w:jc w:val="center"/>
              <w:rPr>
                <w:szCs w:val="24"/>
              </w:rPr>
            </w:pPr>
            <w:r w:rsidRPr="00AC5C2F">
              <w:rPr>
                <w:b/>
                <w:bCs/>
                <w:szCs w:val="24"/>
              </w:rPr>
              <w:t>Proposed Burden TPL-008-1 Docket No. RD25-4</w:t>
            </w:r>
          </w:p>
        </w:tc>
      </w:tr>
      <w:tr w14:paraId="6EECEC8B" w14:textId="77777777" w:rsidTr="00780C5B">
        <w:tblPrEx>
          <w:tblW w:w="9625" w:type="dxa"/>
          <w:tblLayout w:type="fixed"/>
          <w:tblLook w:val="04A0"/>
        </w:tblPrEx>
        <w:trPr>
          <w:trHeight w:val="1241"/>
        </w:trPr>
        <w:tc>
          <w:tcPr>
            <w:tcW w:w="1525" w:type="dxa"/>
          </w:tcPr>
          <w:p w:rsidR="00EF736B" w:rsidRPr="00AC5C2F" w14:paraId="13866226" w14:textId="77777777">
            <w:pPr>
              <w:rPr>
                <w:szCs w:val="24"/>
              </w:rPr>
            </w:pPr>
            <w:r w:rsidRPr="00AC5C2F">
              <w:rPr>
                <w:b/>
                <w:bCs/>
                <w:szCs w:val="24"/>
              </w:rPr>
              <w:t>Reliability Standard</w:t>
            </w:r>
          </w:p>
        </w:tc>
        <w:tc>
          <w:tcPr>
            <w:tcW w:w="1530" w:type="dxa"/>
          </w:tcPr>
          <w:p w:rsidR="00EF736B" w:rsidRPr="00AC5C2F" w14:paraId="25700CC5" w14:textId="77777777">
            <w:pPr>
              <w:rPr>
                <w:szCs w:val="24"/>
              </w:rPr>
            </w:pPr>
            <w:r w:rsidRPr="00AC5C2F">
              <w:rPr>
                <w:b/>
                <w:bCs/>
                <w:szCs w:val="24"/>
              </w:rPr>
              <w:t>Type and Number of Entity</w:t>
            </w:r>
            <w:r>
              <w:rPr>
                <w:b/>
                <w:szCs w:val="24"/>
                <w:vertAlign w:val="superscript"/>
              </w:rPr>
              <w:footnoteReference w:id="22"/>
            </w:r>
            <w:r w:rsidRPr="00AC5C2F">
              <w:rPr>
                <w:szCs w:val="24"/>
              </w:rPr>
              <w:t> </w:t>
            </w:r>
            <w:r w:rsidRPr="00780C5B">
              <w:rPr>
                <w:b/>
                <w:szCs w:val="24"/>
              </w:rPr>
              <w:t>(1)</w:t>
            </w:r>
            <w:r w:rsidRPr="00AC5C2F">
              <w:rPr>
                <w:szCs w:val="24"/>
              </w:rPr>
              <w:t> </w:t>
            </w:r>
          </w:p>
        </w:tc>
        <w:tc>
          <w:tcPr>
            <w:tcW w:w="1620" w:type="dxa"/>
          </w:tcPr>
          <w:p w:rsidR="00EF736B" w:rsidRPr="00AC5C2F" w14:paraId="56A6A78C" w14:textId="77777777">
            <w:pPr>
              <w:rPr>
                <w:szCs w:val="24"/>
              </w:rPr>
            </w:pPr>
            <w:r w:rsidRPr="71861D31">
              <w:rPr>
                <w:b/>
              </w:rPr>
              <w:t>Number of Annual Responses Per Entity</w:t>
            </w:r>
            <w:r w:rsidRPr="00AC5C2F">
              <w:rPr>
                <w:szCs w:val="24"/>
              </w:rPr>
              <w:t> </w:t>
            </w:r>
            <w:r w:rsidRPr="71861D31">
              <w:rPr>
                <w:b/>
              </w:rPr>
              <w:t>(</w:t>
            </w:r>
            <w:r w:rsidRPr="00780C5B">
              <w:rPr>
                <w:b/>
              </w:rPr>
              <w:t>2)</w:t>
            </w:r>
          </w:p>
        </w:tc>
        <w:tc>
          <w:tcPr>
            <w:tcW w:w="1440" w:type="dxa"/>
          </w:tcPr>
          <w:p w:rsidR="00EF736B" w:rsidRPr="00AC5C2F" w14:paraId="527698B9" w14:textId="77777777">
            <w:pPr>
              <w:rPr>
                <w:kern w:val="2"/>
                <w:szCs w:val="24"/>
                <w14:ligatures w14:val="standardContextual"/>
              </w:rPr>
            </w:pPr>
            <w:r w:rsidRPr="00AC5C2F">
              <w:rPr>
                <w:b/>
                <w:bCs/>
                <w:kern w:val="2"/>
                <w:szCs w:val="24"/>
                <w14:ligatures w14:val="standardContextual"/>
              </w:rPr>
              <w:t>Total Number of Responses</w:t>
            </w:r>
            <w:r w:rsidRPr="00AC5C2F">
              <w:rPr>
                <w:kern w:val="2"/>
                <w:szCs w:val="24"/>
                <w14:ligatures w14:val="standardContextual"/>
              </w:rPr>
              <w:t> </w:t>
            </w:r>
          </w:p>
          <w:p w:rsidR="00EF736B" w:rsidRPr="00AC5C2F" w14:paraId="2ACDDC82" w14:textId="77777777">
            <w:pPr>
              <w:rPr>
                <w:szCs w:val="24"/>
              </w:rPr>
            </w:pPr>
            <w:r w:rsidRPr="00AC5C2F">
              <w:rPr>
                <w:b/>
                <w:bCs/>
                <w:kern w:val="2"/>
                <w:szCs w:val="24"/>
                <w14:ligatures w14:val="standardContextual"/>
              </w:rPr>
              <w:t>(1)*(2)=(3)</w:t>
            </w:r>
            <w:r w:rsidRPr="00AC5C2F">
              <w:rPr>
                <w:kern w:val="2"/>
                <w:szCs w:val="24"/>
                <w14:ligatures w14:val="standardContextual"/>
              </w:rPr>
              <w:t> </w:t>
            </w:r>
          </w:p>
        </w:tc>
        <w:tc>
          <w:tcPr>
            <w:tcW w:w="1890" w:type="dxa"/>
          </w:tcPr>
          <w:p w:rsidR="00EF736B" w:rsidRPr="00AC5C2F" w:rsidP="00845EF3" w14:paraId="36911EE6" w14:textId="77777777">
            <w:pPr>
              <w:rPr>
                <w:szCs w:val="24"/>
              </w:rPr>
            </w:pPr>
            <w:r w:rsidRPr="00AC5C2F">
              <w:rPr>
                <w:b/>
                <w:bCs/>
                <w:kern w:val="2"/>
                <w:szCs w:val="24"/>
                <w14:ligatures w14:val="standardContextual"/>
              </w:rPr>
              <w:t>Average Number of Burden Hours per Response</w:t>
            </w:r>
            <w:r>
              <w:rPr>
                <w:b/>
                <w:bCs/>
                <w:kern w:val="2"/>
                <w:szCs w:val="24"/>
                <w:vertAlign w:val="superscript"/>
                <w14:ligatures w14:val="standardContextual"/>
              </w:rPr>
              <w:footnoteReference w:id="23"/>
            </w:r>
            <w:r w:rsidRPr="00AC5C2F">
              <w:rPr>
                <w:kern w:val="2"/>
                <w:szCs w:val="24"/>
                <w14:ligatures w14:val="standardContextual"/>
              </w:rPr>
              <w:t> </w:t>
            </w:r>
            <w:r w:rsidRPr="00AC5C2F">
              <w:rPr>
                <w:b/>
                <w:bCs/>
                <w:kern w:val="2"/>
                <w:szCs w:val="24"/>
                <w14:ligatures w14:val="standardContextual"/>
              </w:rPr>
              <w:t>(4)</w:t>
            </w:r>
            <w:r w:rsidRPr="00AC5C2F">
              <w:rPr>
                <w:kern w:val="2"/>
                <w:szCs w:val="24"/>
                <w14:ligatures w14:val="standardContextual"/>
              </w:rPr>
              <w:t> </w:t>
            </w:r>
          </w:p>
        </w:tc>
        <w:tc>
          <w:tcPr>
            <w:tcW w:w="1620" w:type="dxa"/>
          </w:tcPr>
          <w:p w:rsidR="00EF736B" w:rsidRPr="00AC5C2F" w14:paraId="785B35D1" w14:textId="77777777">
            <w:pPr>
              <w:rPr>
                <w:szCs w:val="24"/>
              </w:rPr>
            </w:pPr>
            <w:r w:rsidRPr="00AC5C2F">
              <w:rPr>
                <w:b/>
                <w:bCs/>
                <w:szCs w:val="24"/>
              </w:rPr>
              <w:t>Total Burden Hours</w:t>
            </w:r>
            <w:r w:rsidRPr="00AC5C2F">
              <w:rPr>
                <w:szCs w:val="24"/>
              </w:rPr>
              <w:t> </w:t>
            </w:r>
          </w:p>
          <w:p w:rsidR="00EF736B" w:rsidRPr="00AC5C2F" w14:paraId="5E2C9214" w14:textId="77777777">
            <w:pPr>
              <w:rPr>
                <w:szCs w:val="24"/>
              </w:rPr>
            </w:pPr>
            <w:r w:rsidRPr="00AC5C2F">
              <w:rPr>
                <w:b/>
                <w:bCs/>
                <w:szCs w:val="24"/>
              </w:rPr>
              <w:t>(3)*(4)=(5)</w:t>
            </w:r>
            <w:r w:rsidRPr="00AC5C2F">
              <w:rPr>
                <w:szCs w:val="24"/>
              </w:rPr>
              <w:t> </w:t>
            </w:r>
          </w:p>
        </w:tc>
      </w:tr>
      <w:tr w14:paraId="104AEA4D" w14:textId="77777777" w:rsidTr="00780C5B">
        <w:tblPrEx>
          <w:tblW w:w="9625" w:type="dxa"/>
          <w:tblLayout w:type="fixed"/>
          <w:tblLook w:val="04A0"/>
        </w:tblPrEx>
        <w:trPr>
          <w:trHeight w:val="467"/>
        </w:trPr>
        <w:tc>
          <w:tcPr>
            <w:tcW w:w="9625" w:type="dxa"/>
            <w:gridSpan w:val="6"/>
            <w:shd w:val="clear" w:color="auto" w:fill="D0CECE" w:themeFill="background2" w:themeFillShade="E6"/>
          </w:tcPr>
          <w:p w:rsidR="00EF736B" w:rsidRPr="00AC5C2F" w14:paraId="123B8430" w14:textId="77777777">
            <w:pPr>
              <w:spacing w:line="480" w:lineRule="auto"/>
              <w:jc w:val="center"/>
              <w:rPr>
                <w:szCs w:val="24"/>
              </w:rPr>
            </w:pPr>
            <w:r w:rsidRPr="00AC5C2F">
              <w:rPr>
                <w:b/>
                <w:bCs/>
                <w:szCs w:val="24"/>
              </w:rPr>
              <w:t>Annual Collection TPL-008-1 FERC-725N</w:t>
            </w:r>
          </w:p>
        </w:tc>
      </w:tr>
      <w:tr w14:paraId="2E347D3B" w14:textId="77777777" w:rsidTr="00780C5B">
        <w:tblPrEx>
          <w:tblW w:w="9625" w:type="dxa"/>
          <w:tblLayout w:type="fixed"/>
          <w:tblLook w:val="04A0"/>
        </w:tblPrEx>
        <w:tc>
          <w:tcPr>
            <w:tcW w:w="1525" w:type="dxa"/>
            <w:vMerge w:val="restart"/>
          </w:tcPr>
          <w:p w:rsidR="00EF736B" w:rsidRPr="00AC5C2F" w14:paraId="250B3CAE" w14:textId="77777777">
            <w:pPr>
              <w:rPr>
                <w:szCs w:val="26"/>
              </w:rPr>
            </w:pPr>
            <w:r w:rsidRPr="00AC5C2F">
              <w:rPr>
                <w:b/>
                <w:bCs/>
              </w:rPr>
              <w:t>Annual review and record retention</w:t>
            </w:r>
          </w:p>
        </w:tc>
        <w:tc>
          <w:tcPr>
            <w:tcW w:w="1530" w:type="dxa"/>
          </w:tcPr>
          <w:p w:rsidR="00EF736B" w:rsidRPr="00AC5C2F" w14:paraId="3B23953C" w14:textId="77777777">
            <w:pPr>
              <w:spacing w:line="480" w:lineRule="auto"/>
              <w:jc w:val="center"/>
              <w:rPr>
                <w:szCs w:val="26"/>
              </w:rPr>
            </w:pPr>
            <w:r w:rsidRPr="00AC5C2F">
              <w:rPr>
                <w:kern w:val="2"/>
                <w14:ligatures w14:val="standardContextual"/>
              </w:rPr>
              <w:t>62 (PC)</w:t>
            </w:r>
          </w:p>
        </w:tc>
        <w:tc>
          <w:tcPr>
            <w:tcW w:w="1620" w:type="dxa"/>
          </w:tcPr>
          <w:p w:rsidR="00EF736B" w:rsidRPr="00AC5C2F" w14:paraId="5F20F736" w14:textId="77777777">
            <w:pPr>
              <w:spacing w:line="480" w:lineRule="auto"/>
              <w:jc w:val="center"/>
              <w:rPr>
                <w:szCs w:val="26"/>
              </w:rPr>
            </w:pPr>
            <w:r>
              <w:rPr>
                <w:kern w:val="2"/>
                <w14:ligatures w14:val="standardContextual"/>
              </w:rPr>
              <w:t>1</w:t>
            </w:r>
          </w:p>
        </w:tc>
        <w:tc>
          <w:tcPr>
            <w:tcW w:w="1440" w:type="dxa"/>
          </w:tcPr>
          <w:p w:rsidR="00EF736B" w:rsidRPr="00AC5C2F" w14:paraId="0EB8B959" w14:textId="77777777">
            <w:pPr>
              <w:spacing w:line="480" w:lineRule="auto"/>
              <w:jc w:val="center"/>
              <w:rPr>
                <w:szCs w:val="26"/>
              </w:rPr>
            </w:pPr>
            <w:r>
              <w:rPr>
                <w:kern w:val="2"/>
                <w14:ligatures w14:val="standardContextual"/>
              </w:rPr>
              <w:t>62</w:t>
            </w:r>
          </w:p>
        </w:tc>
        <w:tc>
          <w:tcPr>
            <w:tcW w:w="1890" w:type="dxa"/>
          </w:tcPr>
          <w:p w:rsidR="00EF736B" w:rsidRPr="00AC5C2F" w14:paraId="5FAB3FEE" w14:textId="77777777">
            <w:pPr>
              <w:jc w:val="right"/>
              <w:rPr>
                <w:kern w:val="2"/>
                <w14:ligatures w14:val="standardContextual"/>
              </w:rPr>
            </w:pPr>
            <w:r>
              <w:rPr>
                <w:kern w:val="2"/>
                <w14:ligatures w14:val="standardContextual"/>
              </w:rPr>
              <w:t>88</w:t>
            </w:r>
            <w:r w:rsidRPr="00AC5C2F" w:rsidR="006D674C">
              <w:rPr>
                <w:kern w:val="2"/>
                <w14:ligatures w14:val="standardContextual"/>
              </w:rPr>
              <w:t xml:space="preserve"> </w:t>
            </w:r>
            <w:r w:rsidRPr="00AC5C2F">
              <w:rPr>
                <w:kern w:val="2"/>
                <w14:ligatures w14:val="standardContextual"/>
              </w:rPr>
              <w:t>hrs.</w:t>
            </w:r>
          </w:p>
          <w:p w:rsidR="00EF736B" w:rsidRPr="00AC5C2F" w14:paraId="47C07AEE" w14:textId="77777777">
            <w:pPr>
              <w:spacing w:line="480" w:lineRule="auto"/>
              <w:jc w:val="right"/>
              <w:rPr>
                <w:szCs w:val="26"/>
              </w:rPr>
            </w:pPr>
            <w:r w:rsidRPr="00AC5C2F">
              <w:rPr>
                <w:kern w:val="2"/>
                <w14:ligatures w14:val="standardContextual"/>
              </w:rPr>
              <w:t>$ 70.67/hr</w:t>
            </w:r>
          </w:p>
        </w:tc>
        <w:tc>
          <w:tcPr>
            <w:tcW w:w="1620" w:type="dxa"/>
          </w:tcPr>
          <w:p w:rsidR="00EF736B" w:rsidRPr="00AC5C2F" w14:paraId="3E38E4C3" w14:textId="77777777">
            <w:pPr>
              <w:jc w:val="right"/>
              <w:rPr>
                <w:kern w:val="2"/>
                <w14:ligatures w14:val="standardContextual"/>
              </w:rPr>
            </w:pPr>
            <w:r>
              <w:rPr>
                <w:kern w:val="2"/>
                <w14:ligatures w14:val="standardContextual"/>
              </w:rPr>
              <w:t>5,</w:t>
            </w:r>
            <w:r w:rsidR="009A17B3">
              <w:rPr>
                <w:kern w:val="2"/>
                <w14:ligatures w14:val="standardContextual"/>
              </w:rPr>
              <w:t xml:space="preserve">456 </w:t>
            </w:r>
            <w:r w:rsidRPr="00AC5C2F">
              <w:rPr>
                <w:kern w:val="2"/>
                <w14:ligatures w14:val="standardContextual"/>
              </w:rPr>
              <w:t>hrs.</w:t>
            </w:r>
          </w:p>
          <w:p w:rsidR="00EF736B" w:rsidRPr="00AC5C2F" w14:paraId="27ACE0B0" w14:textId="77777777">
            <w:pPr>
              <w:spacing w:line="480" w:lineRule="auto"/>
              <w:jc w:val="right"/>
              <w:rPr>
                <w:szCs w:val="26"/>
              </w:rPr>
            </w:pPr>
            <w:r w:rsidRPr="00AC5C2F">
              <w:rPr>
                <w:kern w:val="2"/>
                <w14:ligatures w14:val="standardContextual"/>
              </w:rPr>
              <w:t>$</w:t>
            </w:r>
            <w:r w:rsidR="001B57A7">
              <w:rPr>
                <w:kern w:val="2"/>
                <w14:ligatures w14:val="standardContextual"/>
              </w:rPr>
              <w:t>385,</w:t>
            </w:r>
            <w:r w:rsidR="00D80D4C">
              <w:rPr>
                <w:kern w:val="2"/>
                <w14:ligatures w14:val="standardContextual"/>
              </w:rPr>
              <w:t>576</w:t>
            </w:r>
          </w:p>
        </w:tc>
      </w:tr>
      <w:tr w14:paraId="29D05BFD" w14:textId="77777777" w:rsidTr="00780C5B">
        <w:tblPrEx>
          <w:tblW w:w="9625" w:type="dxa"/>
          <w:tblLayout w:type="fixed"/>
          <w:tblLook w:val="04A0"/>
        </w:tblPrEx>
        <w:tc>
          <w:tcPr>
            <w:tcW w:w="1525" w:type="dxa"/>
            <w:vMerge/>
          </w:tcPr>
          <w:p w:rsidR="00EF736B" w:rsidRPr="00AC5C2F" w14:paraId="2EB50A3D" w14:textId="77777777">
            <w:pPr>
              <w:rPr>
                <w:b/>
                <w:bCs/>
              </w:rPr>
            </w:pPr>
          </w:p>
        </w:tc>
        <w:tc>
          <w:tcPr>
            <w:tcW w:w="1530" w:type="dxa"/>
          </w:tcPr>
          <w:p w:rsidR="00EF736B" w:rsidRPr="00AC5C2F" w14:paraId="72569CC6" w14:textId="77777777">
            <w:pPr>
              <w:spacing w:line="480" w:lineRule="auto"/>
              <w:jc w:val="center"/>
              <w:rPr>
                <w:kern w:val="2"/>
                <w14:ligatures w14:val="standardContextual"/>
              </w:rPr>
            </w:pPr>
            <w:r w:rsidRPr="00AC5C2F">
              <w:rPr>
                <w:kern w:val="2"/>
                <w14:ligatures w14:val="standardContextual"/>
              </w:rPr>
              <w:t>204 (TP)</w:t>
            </w:r>
          </w:p>
        </w:tc>
        <w:tc>
          <w:tcPr>
            <w:tcW w:w="1620" w:type="dxa"/>
          </w:tcPr>
          <w:p w:rsidR="00EF736B" w:rsidRPr="00AC5C2F" w14:paraId="7FC9573B" w14:textId="77777777">
            <w:pPr>
              <w:spacing w:line="480" w:lineRule="auto"/>
              <w:jc w:val="center"/>
              <w:rPr>
                <w:kern w:val="2"/>
                <w14:ligatures w14:val="standardContextual"/>
              </w:rPr>
            </w:pPr>
            <w:r>
              <w:rPr>
                <w:kern w:val="2"/>
                <w14:ligatures w14:val="standardContextual"/>
              </w:rPr>
              <w:t>1</w:t>
            </w:r>
          </w:p>
        </w:tc>
        <w:tc>
          <w:tcPr>
            <w:tcW w:w="1440" w:type="dxa"/>
          </w:tcPr>
          <w:p w:rsidR="00EF736B" w:rsidRPr="00AC5C2F" w14:paraId="6A2463A6" w14:textId="77777777">
            <w:pPr>
              <w:spacing w:line="480" w:lineRule="auto"/>
              <w:jc w:val="center"/>
              <w:rPr>
                <w:kern w:val="2"/>
                <w14:ligatures w14:val="standardContextual"/>
              </w:rPr>
            </w:pPr>
            <w:r>
              <w:rPr>
                <w:kern w:val="2"/>
                <w14:ligatures w14:val="standardContextual"/>
              </w:rPr>
              <w:t>204</w:t>
            </w:r>
          </w:p>
        </w:tc>
        <w:tc>
          <w:tcPr>
            <w:tcW w:w="1890" w:type="dxa"/>
          </w:tcPr>
          <w:p w:rsidR="00EF736B" w:rsidRPr="00AC5C2F" w14:paraId="110FC2D4" w14:textId="77777777">
            <w:pPr>
              <w:jc w:val="right"/>
              <w:rPr>
                <w:kern w:val="2"/>
                <w14:ligatures w14:val="standardContextual"/>
              </w:rPr>
            </w:pPr>
            <w:r>
              <w:rPr>
                <w:kern w:val="2"/>
                <w14:ligatures w14:val="standardContextual"/>
              </w:rPr>
              <w:t>56</w:t>
            </w:r>
            <w:r w:rsidRPr="00AC5C2F" w:rsidR="0011154B">
              <w:rPr>
                <w:kern w:val="2"/>
                <w14:ligatures w14:val="standardContextual"/>
              </w:rPr>
              <w:t xml:space="preserve"> </w:t>
            </w:r>
            <w:r w:rsidRPr="00AC5C2F">
              <w:rPr>
                <w:kern w:val="2"/>
                <w14:ligatures w14:val="standardContextual"/>
              </w:rPr>
              <w:t>hrs.</w:t>
            </w:r>
          </w:p>
          <w:p w:rsidR="00EF736B" w:rsidRPr="00AC5C2F" w14:paraId="24B20B98" w14:textId="77777777">
            <w:pPr>
              <w:jc w:val="right"/>
              <w:rPr>
                <w:kern w:val="2"/>
                <w:highlight w:val="yellow"/>
                <w14:ligatures w14:val="standardContextual"/>
              </w:rPr>
            </w:pPr>
            <w:r w:rsidRPr="00AC5C2F">
              <w:rPr>
                <w:kern w:val="2"/>
                <w14:ligatures w14:val="standardContextual"/>
              </w:rPr>
              <w:t>$ 70.67/hr</w:t>
            </w:r>
          </w:p>
        </w:tc>
        <w:tc>
          <w:tcPr>
            <w:tcW w:w="1620" w:type="dxa"/>
          </w:tcPr>
          <w:p w:rsidR="00EF736B" w:rsidRPr="00AC5C2F" w14:paraId="5D73921F" w14:textId="77777777">
            <w:pPr>
              <w:jc w:val="right"/>
              <w:rPr>
                <w:kern w:val="2"/>
                <w14:ligatures w14:val="standardContextual"/>
              </w:rPr>
            </w:pPr>
            <w:r>
              <w:rPr>
                <w:kern w:val="2"/>
                <w14:ligatures w14:val="standardContextual"/>
              </w:rPr>
              <w:t>11,4</w:t>
            </w:r>
            <w:r w:rsidR="004A3F90">
              <w:rPr>
                <w:kern w:val="2"/>
                <w14:ligatures w14:val="standardContextual"/>
              </w:rPr>
              <w:t>24</w:t>
            </w:r>
            <w:r w:rsidR="00E30066">
              <w:rPr>
                <w:kern w:val="2"/>
                <w14:ligatures w14:val="standardContextual"/>
              </w:rPr>
              <w:t xml:space="preserve"> </w:t>
            </w:r>
            <w:r w:rsidRPr="00AC5C2F">
              <w:rPr>
                <w:kern w:val="2"/>
                <w14:ligatures w14:val="standardContextual"/>
              </w:rPr>
              <w:t>hrs.</w:t>
            </w:r>
          </w:p>
          <w:p w:rsidR="00EF736B" w:rsidRPr="00AC5C2F" w14:paraId="35B9892D" w14:textId="77777777">
            <w:pPr>
              <w:jc w:val="right"/>
              <w:rPr>
                <w:kern w:val="2"/>
                <w14:ligatures w14:val="standardContextual"/>
              </w:rPr>
            </w:pPr>
            <w:r w:rsidRPr="00006D5D">
              <w:rPr>
                <w:kern w:val="2"/>
                <w14:ligatures w14:val="standardContextual"/>
              </w:rPr>
              <w:t>$</w:t>
            </w:r>
            <w:r w:rsidR="004A3F90">
              <w:rPr>
                <w:kern w:val="2"/>
                <w14:ligatures w14:val="standardContextual"/>
              </w:rPr>
              <w:t>807,</w:t>
            </w:r>
            <w:r w:rsidR="00600E0E">
              <w:rPr>
                <w:kern w:val="2"/>
                <w14:ligatures w14:val="standardContextual"/>
              </w:rPr>
              <w:t>334</w:t>
            </w:r>
          </w:p>
        </w:tc>
      </w:tr>
      <w:tr w14:paraId="152456A1" w14:textId="77777777" w:rsidTr="00780C5B">
        <w:tblPrEx>
          <w:tblW w:w="9625" w:type="dxa"/>
          <w:tblLayout w:type="fixed"/>
          <w:tblLook w:val="04A0"/>
        </w:tblPrEx>
        <w:trPr>
          <w:trHeight w:val="593"/>
        </w:trPr>
        <w:tc>
          <w:tcPr>
            <w:tcW w:w="1525" w:type="dxa"/>
          </w:tcPr>
          <w:p w:rsidR="00EF736B" w:rsidRPr="00AC5C2F" w14:paraId="3965CE2E" w14:textId="77777777">
            <w:pPr>
              <w:rPr>
                <w:szCs w:val="26"/>
              </w:rPr>
            </w:pPr>
            <w:r w:rsidRPr="00AC5C2F">
              <w:rPr>
                <w:b/>
                <w:bCs/>
                <w:kern w:val="2"/>
                <w14:ligatures w14:val="standardContextual"/>
              </w:rPr>
              <w:t>Total for TPL-008-1</w:t>
            </w:r>
          </w:p>
        </w:tc>
        <w:tc>
          <w:tcPr>
            <w:tcW w:w="1530" w:type="dxa"/>
            <w:shd w:val="clear" w:color="auto" w:fill="BFBFBF" w:themeFill="background1" w:themeFillShade="BF"/>
          </w:tcPr>
          <w:p w:rsidR="00EF736B" w:rsidRPr="00AC5C2F" w14:paraId="11A38950" w14:textId="77777777">
            <w:pPr>
              <w:spacing w:line="480" w:lineRule="auto"/>
              <w:jc w:val="center"/>
              <w:rPr>
                <w:szCs w:val="26"/>
                <w:highlight w:val="black"/>
              </w:rPr>
            </w:pPr>
          </w:p>
        </w:tc>
        <w:tc>
          <w:tcPr>
            <w:tcW w:w="1620" w:type="dxa"/>
            <w:shd w:val="clear" w:color="auto" w:fill="BFBFBF" w:themeFill="background1" w:themeFillShade="BF"/>
          </w:tcPr>
          <w:p w:rsidR="00EF736B" w:rsidRPr="00AC5C2F" w14:paraId="49D78A4B" w14:textId="77777777">
            <w:pPr>
              <w:spacing w:line="480" w:lineRule="auto"/>
              <w:jc w:val="center"/>
              <w:rPr>
                <w:szCs w:val="26"/>
                <w:highlight w:val="lightGray"/>
              </w:rPr>
            </w:pPr>
          </w:p>
        </w:tc>
        <w:tc>
          <w:tcPr>
            <w:tcW w:w="1440" w:type="dxa"/>
          </w:tcPr>
          <w:p w:rsidR="00EF736B" w:rsidRPr="00AC5C2F" w14:paraId="6CE13CFB" w14:textId="77777777">
            <w:pPr>
              <w:spacing w:line="480" w:lineRule="auto"/>
              <w:jc w:val="center"/>
              <w:rPr>
                <w:szCs w:val="26"/>
              </w:rPr>
            </w:pPr>
            <w:r>
              <w:rPr>
                <w:b/>
                <w:bCs/>
                <w:kern w:val="2"/>
                <w14:ligatures w14:val="standardContextual"/>
              </w:rPr>
              <w:t>266</w:t>
            </w:r>
          </w:p>
        </w:tc>
        <w:tc>
          <w:tcPr>
            <w:tcW w:w="1890" w:type="dxa"/>
            <w:shd w:val="clear" w:color="auto" w:fill="BFBFBF" w:themeFill="background1" w:themeFillShade="BF"/>
          </w:tcPr>
          <w:p w:rsidR="00EF736B" w:rsidRPr="00AC5C2F" w14:paraId="17ED4BF1" w14:textId="77777777">
            <w:pPr>
              <w:spacing w:line="480" w:lineRule="auto"/>
              <w:jc w:val="right"/>
              <w:rPr>
                <w:szCs w:val="26"/>
              </w:rPr>
            </w:pPr>
          </w:p>
        </w:tc>
        <w:tc>
          <w:tcPr>
            <w:tcW w:w="1620" w:type="dxa"/>
          </w:tcPr>
          <w:p w:rsidR="00EF736B" w:rsidRPr="00AC5C2F" w14:paraId="05871F9E" w14:textId="77777777">
            <w:pPr>
              <w:jc w:val="right"/>
              <w:rPr>
                <w:kern w:val="2"/>
                <w14:ligatures w14:val="standardContextual"/>
              </w:rPr>
            </w:pPr>
            <w:r>
              <w:rPr>
                <w:kern w:val="2"/>
                <w14:ligatures w14:val="standardContextual"/>
              </w:rPr>
              <w:t>16,880</w:t>
            </w:r>
            <w:r w:rsidR="00410FC9">
              <w:rPr>
                <w:kern w:val="2"/>
                <w14:ligatures w14:val="standardContextual"/>
              </w:rPr>
              <w:t xml:space="preserve"> </w:t>
            </w:r>
            <w:r w:rsidRPr="00AC5C2F">
              <w:rPr>
                <w:kern w:val="2"/>
                <w14:ligatures w14:val="standardContextual"/>
              </w:rPr>
              <w:t xml:space="preserve">hrs. </w:t>
            </w:r>
          </w:p>
          <w:p w:rsidR="00EF736B" w:rsidRPr="00AC5C2F" w14:paraId="2BD49351" w14:textId="77777777">
            <w:pPr>
              <w:spacing w:line="480" w:lineRule="auto"/>
              <w:jc w:val="right"/>
              <w:rPr>
                <w:szCs w:val="26"/>
              </w:rPr>
            </w:pPr>
            <w:r w:rsidRPr="007A4D86">
              <w:rPr>
                <w:kern w:val="2"/>
                <w14:ligatures w14:val="standardContextual"/>
              </w:rPr>
              <w:t>$</w:t>
            </w:r>
            <w:r w:rsidR="00686F8F">
              <w:rPr>
                <w:kern w:val="2"/>
                <w14:ligatures w14:val="standardContextual"/>
              </w:rPr>
              <w:t>1,192,910</w:t>
            </w:r>
          </w:p>
        </w:tc>
      </w:tr>
    </w:tbl>
    <w:p w:rsidR="00EF736B" w:rsidRPr="00AC5C2F" w:rsidP="00D53935" w14:paraId="2E1C2DEA" w14:textId="77777777">
      <w:pPr>
        <w:pStyle w:val="FERCparanumber"/>
        <w:ind w:right="-360"/>
      </w:pPr>
      <w:r>
        <w:t>The annual responses and burden hours</w:t>
      </w:r>
      <w:r w:rsidRPr="00AC5C2F">
        <w:t xml:space="preserve"> for proposed Reliability </w:t>
      </w:r>
      <w:r w:rsidRPr="00AC5C2F" w:rsidR="00187CEA">
        <w:t>Standard</w:t>
      </w:r>
      <w:r w:rsidR="00C73770">
        <w:t> </w:t>
      </w:r>
      <w:r w:rsidRPr="00AC5C2F">
        <w:t xml:space="preserve">TPL-008-1 will be </w:t>
      </w:r>
      <w:r w:rsidR="00D66046">
        <w:rPr>
          <w:kern w:val="2"/>
          <w14:ligatures w14:val="standardContextual"/>
        </w:rPr>
        <w:t>266</w:t>
      </w:r>
      <w:r w:rsidRPr="00AC5C2F">
        <w:t xml:space="preserve"> responses; </w:t>
      </w:r>
      <w:r w:rsidR="00C73FB1">
        <w:t>16</w:t>
      </w:r>
      <w:r w:rsidRPr="00AC5C2F" w:rsidR="25F8A413">
        <w:t>,</w:t>
      </w:r>
      <w:r w:rsidR="00C73FB1">
        <w:t>880</w:t>
      </w:r>
      <w:r w:rsidRPr="00AC5C2F">
        <w:rPr>
          <w:kern w:val="2"/>
          <w14:ligatures w14:val="standardContextual"/>
        </w:rPr>
        <w:t xml:space="preserve"> </w:t>
      </w:r>
      <w:r w:rsidRPr="00AC5C2F">
        <w:t>hours.</w:t>
      </w:r>
    </w:p>
    <w:p w:rsidR="00EF736B" w:rsidRPr="00AC5C2F" w:rsidP="00AC5C2F" w14:paraId="0A1A322B" w14:textId="77777777">
      <w:pPr>
        <w:pStyle w:val="FERCparanumber"/>
      </w:pPr>
      <w:r w:rsidRPr="00AC5C2F">
        <w:t xml:space="preserve">The annual cost burden is </w:t>
      </w:r>
      <w:r w:rsidRPr="00AC5C2F">
        <w:rPr>
          <w:kern w:val="2"/>
          <w14:ligatures w14:val="standardContextual"/>
        </w:rPr>
        <w:t>$</w:t>
      </w:r>
      <w:r w:rsidRPr="00AC5C2F" w:rsidR="08C46E78">
        <w:rPr>
          <w:kern w:val="2"/>
          <w14:ligatures w14:val="standardContextual"/>
        </w:rPr>
        <w:t>1,</w:t>
      </w:r>
      <w:r w:rsidR="00C73FB1">
        <w:rPr>
          <w:kern w:val="2"/>
          <w14:ligatures w14:val="standardContextual"/>
        </w:rPr>
        <w:t>192,910</w:t>
      </w:r>
      <w:r w:rsidR="009C6036">
        <w:rPr>
          <w:kern w:val="2"/>
          <w14:ligatures w14:val="standardContextual"/>
        </w:rPr>
        <w:t>.00</w:t>
      </w:r>
      <w:r w:rsidRPr="00AC5C2F">
        <w:t xml:space="preserve"> </w:t>
      </w:r>
      <w:r w:rsidR="00402FD7">
        <w:t>for</w:t>
      </w:r>
      <w:r w:rsidRPr="00AC5C2F">
        <w:t xml:space="preserve"> proposed Reliability Standard</w:t>
      </w:r>
      <w:r w:rsidR="00D53935">
        <w:t xml:space="preserve">     </w:t>
      </w:r>
      <w:r w:rsidRPr="00AC5C2F">
        <w:t xml:space="preserve"> TPL-008-1.</w:t>
      </w:r>
    </w:p>
    <w:p w:rsidR="00EF736B" w:rsidRPr="00AC5C2F" w:rsidP="00AC5C2F" w14:paraId="2A034C07" w14:textId="77777777">
      <w:pPr>
        <w:pStyle w:val="FERCparanumber"/>
      </w:pPr>
      <w:r w:rsidRPr="00AC5C2F">
        <w:rPr>
          <w:u w:val="single"/>
        </w:rPr>
        <w:t>Title</w:t>
      </w:r>
      <w:r w:rsidRPr="00AC5C2F">
        <w:t>:  Mandatory Reliability Standards</w:t>
      </w:r>
      <w:r w:rsidR="0053621B">
        <w:t xml:space="preserve">: </w:t>
      </w:r>
      <w:r w:rsidR="0051235F">
        <w:t xml:space="preserve"> </w:t>
      </w:r>
      <w:r w:rsidR="0053621B">
        <w:t>TPL Reliability Standards</w:t>
      </w:r>
      <w:r w:rsidR="00D53935">
        <w:t>.</w:t>
      </w:r>
    </w:p>
    <w:p w:rsidR="00EF736B" w:rsidRPr="00AC5C2F" w:rsidP="00AC5C2F" w14:paraId="5B88690E" w14:textId="77777777">
      <w:pPr>
        <w:pStyle w:val="FERCparanumber"/>
      </w:pPr>
      <w:r w:rsidRPr="00AC5C2F">
        <w:rPr>
          <w:u w:val="single"/>
        </w:rPr>
        <w:t>Action</w:t>
      </w:r>
      <w:r w:rsidRPr="00AC5C2F">
        <w:t>:  Revision to FERC-725N information collection.</w:t>
      </w:r>
    </w:p>
    <w:p w:rsidR="00EF736B" w:rsidRPr="00AC5C2F" w:rsidP="00AC5C2F" w14:paraId="1B3326FD" w14:textId="77777777">
      <w:pPr>
        <w:pStyle w:val="FERCparanumber"/>
      </w:pPr>
      <w:r w:rsidRPr="00D512E7">
        <w:rPr>
          <w:u w:val="single"/>
        </w:rPr>
        <w:t>OMB Control No.</w:t>
      </w:r>
      <w:r w:rsidRPr="00753290">
        <w:t>:  1902-0264.</w:t>
      </w:r>
    </w:p>
    <w:p w:rsidR="00EF736B" w:rsidRPr="00AC5C2F" w:rsidP="00AC5C2F" w14:paraId="146B76C7" w14:textId="77777777">
      <w:pPr>
        <w:pStyle w:val="FERCparanumber"/>
      </w:pPr>
      <w:r w:rsidRPr="00AC5C2F">
        <w:rPr>
          <w:u w:val="single"/>
        </w:rPr>
        <w:t>Respondents</w:t>
      </w:r>
      <w:r w:rsidRPr="00AC5C2F">
        <w:t>:  Businesses or other for-profit institutions; not-for-profit institutions.</w:t>
      </w:r>
    </w:p>
    <w:p w:rsidR="00EF736B" w:rsidRPr="00AC5C2F" w:rsidP="00AC5C2F" w14:paraId="79B872FA" w14:textId="77777777">
      <w:pPr>
        <w:pStyle w:val="FERCparanumber"/>
      </w:pPr>
      <w:r w:rsidRPr="00753290">
        <w:rPr>
          <w:u w:val="single"/>
        </w:rPr>
        <w:t>Frequency of Responses</w:t>
      </w:r>
      <w:r w:rsidRPr="00AC5C2F">
        <w:t xml:space="preserve">:  On </w:t>
      </w:r>
      <w:r w:rsidR="0099183E">
        <w:t>o</w:t>
      </w:r>
      <w:r w:rsidRPr="00AC5C2F" w:rsidR="0099183E">
        <w:t>ccasion</w:t>
      </w:r>
      <w:r w:rsidRPr="00AC5C2F">
        <w:t>.</w:t>
      </w:r>
    </w:p>
    <w:p w:rsidR="00EF736B" w:rsidRPr="00AC5C2F" w:rsidP="00AC5C2F" w14:paraId="341FD3FC" w14:textId="77777777">
      <w:pPr>
        <w:pStyle w:val="FERCparanumber"/>
      </w:pPr>
      <w:r w:rsidRPr="00AC5C2F">
        <w:rPr>
          <w:u w:val="single"/>
        </w:rPr>
        <w:t>Necessity of the Information</w:t>
      </w:r>
      <w:r w:rsidRPr="00AC5C2F">
        <w:t xml:space="preserve">:  This </w:t>
      </w:r>
      <w:r w:rsidR="008D077B">
        <w:t>order approves</w:t>
      </w:r>
      <w:r w:rsidRPr="00AC5C2F">
        <w:t xml:space="preserve"> the Reliability Standard pertaining to </w:t>
      </w:r>
      <w:r w:rsidR="003075BA">
        <w:t>t</w:t>
      </w:r>
      <w:r w:rsidRPr="00AC5C2F" w:rsidR="003075BA">
        <w:t xml:space="preserve">ransmission </w:t>
      </w:r>
      <w:r w:rsidR="003075BA">
        <w:t>s</w:t>
      </w:r>
      <w:r w:rsidRPr="00AC5C2F" w:rsidR="003075BA">
        <w:t xml:space="preserve">ystem </w:t>
      </w:r>
      <w:r w:rsidR="003075BA">
        <w:t>p</w:t>
      </w:r>
      <w:r w:rsidRPr="00AC5C2F" w:rsidR="003075BA">
        <w:t xml:space="preserve">lanning </w:t>
      </w:r>
      <w:r w:rsidR="003075BA">
        <w:t>p</w:t>
      </w:r>
      <w:r w:rsidRPr="00AC5C2F" w:rsidR="003075BA">
        <w:t xml:space="preserve">erformance </w:t>
      </w:r>
      <w:r w:rsidR="003075BA">
        <w:t>r</w:t>
      </w:r>
      <w:r w:rsidRPr="00AC5C2F" w:rsidR="003075BA">
        <w:t xml:space="preserve">equirements for </w:t>
      </w:r>
      <w:r w:rsidR="003075BA">
        <w:t>e</w:t>
      </w:r>
      <w:r w:rsidRPr="00AC5C2F" w:rsidR="003075BA">
        <w:t xml:space="preserve">xtreme </w:t>
      </w:r>
      <w:r w:rsidR="003075BA">
        <w:t>t</w:t>
      </w:r>
      <w:r w:rsidRPr="00AC5C2F" w:rsidR="003075BA">
        <w:t xml:space="preserve">emperature </w:t>
      </w:r>
      <w:r w:rsidR="003075BA">
        <w:t>e</w:t>
      </w:r>
      <w:r w:rsidRPr="00AC5C2F" w:rsidR="003075BA">
        <w:t>vents</w:t>
      </w:r>
      <w:r w:rsidRPr="00AC5C2F">
        <w:t xml:space="preserve">.  As discussed above, the Commission proposes to approve proposed Reliability Standard TPL-008-1 pursuant to section 215(d)(2) of the FPA because it establishes transmission system planning performance requirements to </w:t>
      </w:r>
      <w:r w:rsidR="0053621B">
        <w:t>help ensure that the</w:t>
      </w:r>
      <w:r w:rsidRPr="00AC5C2F">
        <w:t xml:space="preserve"> Bulk</w:t>
      </w:r>
      <w:r w:rsidR="003075BA">
        <w:t>-</w:t>
      </w:r>
      <w:r w:rsidRPr="00AC5C2F">
        <w:t>Power System</w:t>
      </w:r>
      <w:r w:rsidR="003075BA">
        <w:t xml:space="preserve"> </w:t>
      </w:r>
      <w:r w:rsidRPr="00AC5C2F">
        <w:t>will operate reliably during extreme heat and extreme cold temperature events.</w:t>
      </w:r>
    </w:p>
    <w:p w:rsidR="00EF736B" w:rsidRPr="00AC5C2F" w:rsidP="00AC5C2F" w14:paraId="44144B6E" w14:textId="77777777">
      <w:pPr>
        <w:pStyle w:val="FERCparanumber"/>
      </w:pPr>
      <w:r w:rsidRPr="00AC5C2F">
        <w:rPr>
          <w:u w:val="single"/>
        </w:rPr>
        <w:t>Internal Review</w:t>
      </w:r>
      <w:r w:rsidRPr="00AC5C2F">
        <w:t>:  The Commission has reviewed the proposed Reliability Standard and made a determination that its action is necessary to implement section 215 of the FPA.</w:t>
      </w:r>
    </w:p>
    <w:p w:rsidR="00EF736B" w:rsidRPr="00AC5C2F" w:rsidP="00AC5C2F" w14:paraId="599E8F7B" w14:textId="77777777">
      <w:pPr>
        <w:pStyle w:val="FERCparanumber"/>
      </w:pPr>
      <w:r w:rsidRPr="00AC5C2F">
        <w:t xml:space="preserve">Interested persons may obtain information on the reporting requirements by contacting the following:  Federal Energy Regulatory Commission, 888 First Street, NE Washington, DC </w:t>
      </w:r>
      <w:r w:rsidR="0051235F">
        <w:t xml:space="preserve"> </w:t>
      </w:r>
      <w:r w:rsidRPr="00AC5C2F">
        <w:t xml:space="preserve">20426 [Attention: Kayla Williams, Office of the Executive Director, email:  DataClearance@ferc.gov, phone: </w:t>
      </w:r>
      <w:r w:rsidR="00D53935">
        <w:t xml:space="preserve"> </w:t>
      </w:r>
      <w:r w:rsidRPr="00AC5C2F">
        <w:t>(202) 502-6468.</w:t>
      </w:r>
    </w:p>
    <w:p w:rsidR="005B3F99" w:rsidRPr="00AC5C2F" w:rsidP="00AC5C2F" w14:paraId="32F33754" w14:textId="77777777">
      <w:pPr>
        <w:pStyle w:val="FERCparanumber"/>
      </w:pPr>
      <w:r w:rsidRPr="00AC5C2F">
        <w:t>For submitting comments concerning the collection(s) of information and the associated burden estimate(s), please send your comments to the Commission, and to</w:t>
      </w:r>
      <w:r w:rsidR="00D53935">
        <w:t xml:space="preserve">   </w:t>
      </w:r>
      <w:r w:rsidRPr="00AC5C2F">
        <w:t xml:space="preserve"> the Office of Management and Budget, Office of Information and Regulatory Affairs, Washington, DC </w:t>
      </w:r>
      <w:r w:rsidR="0051235F">
        <w:t xml:space="preserve"> </w:t>
      </w:r>
      <w:r w:rsidRPr="00AC5C2F">
        <w:t xml:space="preserve">20503 [Attention: Desk Officer for the Federal Energy Regulatory Commission, phone: </w:t>
      </w:r>
      <w:r w:rsidR="00D53935">
        <w:t xml:space="preserve"> </w:t>
      </w:r>
      <w:r w:rsidRPr="00AC5C2F">
        <w:t>(202) 395-4638, fax:</w:t>
      </w:r>
      <w:r w:rsidR="00D53935">
        <w:t xml:space="preserve"> </w:t>
      </w:r>
      <w:r w:rsidRPr="00AC5C2F">
        <w:t xml:space="preserve"> (202) 395-7285].  For security reasons, comments to OMB should be submitted by e-mail to: oira_submission@omb.eop.gov.  Comments submitted to OMB should include Docket Number RD25-4-000 and OMB Control Number 1902-0264.</w:t>
      </w:r>
    </w:p>
    <w:p w:rsidR="00040129" w:rsidRPr="00AC5C2F" w:rsidP="00AC5C2F" w14:paraId="379E5C98" w14:textId="77777777">
      <w:pPr>
        <w:pStyle w:val="FERCparanumber"/>
      </w:pPr>
      <w:r w:rsidRPr="00AC5C2F">
        <w:t xml:space="preserve">In addition to publishing the full text of this document in the </w:t>
      </w:r>
      <w:r w:rsidRPr="00AC5C2F">
        <w:rPr>
          <w:i/>
        </w:rPr>
        <w:t>Federal Register</w:t>
      </w:r>
      <w:r w:rsidRPr="00AC5C2F">
        <w:t xml:space="preserve">, </w:t>
      </w:r>
      <w:r w:rsidR="00D53935">
        <w:t xml:space="preserve">  </w:t>
      </w:r>
      <w:r w:rsidRPr="00AC5C2F">
        <w:t xml:space="preserve">the Commission provides all interested persons an opportunity to view and/or print the </w:t>
      </w:r>
      <w:r w:rsidRPr="00AC5C2F" w:rsidR="0051235F">
        <w:t>contents of this document via the Internet through the Commission’s Home Page (</w:t>
      </w:r>
      <w:r w:rsidRPr="00C350CA" w:rsidR="0051235F">
        <w:t>http://www.ferc.gov</w:t>
      </w:r>
      <w:r w:rsidRPr="00AC5C2F" w:rsidR="0051235F">
        <w:t>).</w:t>
      </w:r>
    </w:p>
    <w:p w:rsidR="00040129" w:rsidRPr="00AC5C2F" w:rsidP="00AC5C2F" w14:paraId="51530D35" w14:textId="77777777">
      <w:pPr>
        <w:pStyle w:val="FERCparanumber"/>
      </w:pPr>
      <w:r w:rsidRPr="00AC5C2F">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040129" w:rsidRPr="00AC5C2F" w:rsidP="00AC5C2F" w14:paraId="7A2E89DC" w14:textId="77777777">
      <w:pPr>
        <w:pStyle w:val="FERCparanumber"/>
      </w:pPr>
      <w:r w:rsidRPr="00AC5C2F">
        <w:t xml:space="preserve">User assistance is available for eLibrary and the Commission’s website during normal business hours from the Commission’s Online Support at (202) 502-6652 (toll free at 1-866-208-3676) or email at ferconlinesupport@ferc.gov, or the Public Reference </w:t>
      </w:r>
      <w:r w:rsidRPr="00AC5C2F" w:rsidR="0051235F">
        <w:t xml:space="preserve">Room at (202) 502-8371, TTY (202) 502-8659.  E-mail the Public Reference Room at </w:t>
      </w:r>
      <w:r w:rsidRPr="00C350CA" w:rsidR="0051235F">
        <w:t>public.referenceroom@ferc.gov</w:t>
      </w:r>
      <w:r w:rsidRPr="00AC5C2F" w:rsidR="0051235F">
        <w:t>.</w:t>
      </w:r>
    </w:p>
    <w:p w:rsidR="00040129" w:rsidRPr="00AC5C2F" w:rsidP="00AC5C2F" w14:paraId="666BB46E" w14:textId="77777777">
      <w:pPr>
        <w:pStyle w:val="FERCparanumber"/>
      </w:pPr>
      <w:r w:rsidRPr="00AC5C2F">
        <w:t xml:space="preserve">All submissions must be formatted and filed in accordance with submission guidelines at:  </w:t>
      </w:r>
      <w:r w:rsidRPr="00C350CA">
        <w:t>http://www.ferc.gov/help/submission-guide.asp</w:t>
      </w:r>
      <w:r w:rsidRPr="00AC5C2F">
        <w:t>.</w:t>
      </w:r>
      <w:r w:rsidR="00D53935">
        <w:t xml:space="preserve"> </w:t>
      </w:r>
      <w:r w:rsidRPr="00AC5C2F">
        <w:t xml:space="preserve"> For user assistance, contact FERC Online Support by e-mail at ferconlinesupport@ferc.gov, or by phone at:  (866) 208-3676 (toll-free), or (202) 502-8659 for TTY.</w:t>
      </w:r>
    </w:p>
    <w:p w:rsidR="00C47F21" w:rsidRPr="00AC5C2F" w:rsidP="00D53935" w14:paraId="4CF5D560" w14:textId="77777777">
      <w:pPr>
        <w:ind w:firstLine="720"/>
      </w:pPr>
      <w:r w:rsidRPr="00AC5C2F">
        <w:t>By direction of the Commission</w:t>
      </w:r>
      <w:r w:rsidR="0051235F">
        <w:t>.</w:t>
      </w:r>
    </w:p>
    <w:p w:rsidR="00C47F21" w:rsidRPr="00AC5C2F" w:rsidP="00D47E17" w14:paraId="0E078F8E" w14:textId="77777777"/>
    <w:p w:rsidR="00C47F21" w:rsidP="00D53935" w14:paraId="531AFF98" w14:textId="77777777">
      <w:pPr>
        <w:widowControl/>
      </w:pPr>
      <w:r w:rsidRPr="00AC5C2F">
        <w:tab/>
      </w:r>
      <w:r w:rsidRPr="00AC5C2F">
        <w:tab/>
      </w:r>
      <w:r w:rsidRPr="00AC5C2F">
        <w:tab/>
      </w:r>
      <w:r w:rsidRPr="00AC5C2F">
        <w:tab/>
      </w:r>
      <w:r w:rsidRPr="00AC5C2F">
        <w:tab/>
      </w:r>
      <w:r w:rsidRPr="00AC5C2F">
        <w:tab/>
      </w:r>
      <w:r w:rsidRPr="00AC5C2F">
        <w:tab/>
      </w:r>
      <w:r w:rsidRPr="00AC5C2F">
        <w:tab/>
      </w:r>
      <w:r w:rsidRPr="00AC5C2F">
        <w:tab/>
      </w:r>
    </w:p>
    <w:p w:rsidR="00D53935" w:rsidP="00D53935" w14:paraId="4DCC4F39" w14:textId="77777777">
      <w:pPr>
        <w:widowControl/>
      </w:pPr>
    </w:p>
    <w:p w:rsidR="00D53935" w:rsidP="00D53935" w14:paraId="320811DA" w14:textId="77777777">
      <w:pPr>
        <w:widowControl/>
      </w:pPr>
    </w:p>
    <w:p w:rsidR="00D53935" w:rsidP="00D53935" w14:paraId="7AA1B15B" w14:textId="77777777">
      <w:pPr>
        <w:widowControl/>
      </w:pPr>
    </w:p>
    <w:p w:rsidR="00D53935" w:rsidRPr="00D53935" w:rsidP="00D53935" w14:paraId="281DF61B" w14:textId="77777777">
      <w:pPr>
        <w:widowControl/>
        <w:ind w:firstLine="2174"/>
        <w:jc w:val="center"/>
      </w:pPr>
      <w:r w:rsidRPr="00D53935">
        <w:t>Carlos D. Clay,</w:t>
      </w:r>
    </w:p>
    <w:p w:rsidR="00D53935" w:rsidRPr="00D53935" w:rsidP="00D53935" w14:paraId="20774200" w14:textId="77777777">
      <w:pPr>
        <w:widowControl/>
        <w:ind w:firstLine="2174"/>
        <w:jc w:val="center"/>
      </w:pPr>
      <w:r w:rsidRPr="00D53935">
        <w:t>Deputy Secretary.</w:t>
      </w:r>
    </w:p>
    <w:p w:rsidR="00D53935" w:rsidRPr="00AC5C2F" w:rsidP="00D53935" w14:paraId="1A2BCBD3" w14:textId="77777777">
      <w:pPr>
        <w:widowControl/>
      </w:pPr>
    </w:p>
    <w:p w:rsidR="00FF32A1" w:rsidRPr="00AC5C2F" w:rsidP="000D7E4E" w14:paraId="1D371E9E" w14:textId="77777777">
      <w:pPr>
        <w:pStyle w:val="FootnoteText"/>
        <w:ind w:firstLine="0"/>
      </w:pPr>
    </w:p>
    <w:sectPr w:rsidSect="00C47F21">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504F0" w:rsidP="0048020B" w14:paraId="58EAF5CA" w14:textId="77777777">
      <w:r>
        <w:separator/>
      </w:r>
    </w:p>
  </w:endnote>
  <w:endnote w:type="continuationSeparator" w:id="1">
    <w:p w:rsidR="002504F0" w:rsidP="0048020B" w14:paraId="71E605B0" w14:textId="77777777">
      <w:r>
        <w:continuationSeparator/>
      </w:r>
    </w:p>
  </w:endnote>
  <w:endnote w:type="continuationNotice" w:id="2">
    <w:p w:rsidR="002504F0" w14:paraId="4952D6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04F0" w:rsidP="0048020B" w14:paraId="63D7D11A" w14:textId="77777777">
      <w:r>
        <w:separator/>
      </w:r>
    </w:p>
  </w:footnote>
  <w:footnote w:type="continuationSeparator" w:id="1">
    <w:p w:rsidR="002504F0" w:rsidP="0048020B" w14:paraId="17E50010" w14:textId="77777777">
      <w:r>
        <w:continuationSeparator/>
      </w:r>
    </w:p>
  </w:footnote>
  <w:footnote w:type="continuationNotice" w:id="2">
    <w:p w:rsidR="002504F0" w:rsidRPr="00272C7B" w:rsidP="00272C7B" w14:paraId="00DAA046" w14:textId="77777777">
      <w:pPr>
        <w:spacing w:line="14" w:lineRule="exact"/>
        <w:rPr>
          <w:sz w:val="2"/>
        </w:rPr>
      </w:pPr>
    </w:p>
  </w:footnote>
  <w:footnote w:id="3">
    <w:p w:rsidR="00240A33" w14:paraId="3755F761" w14:textId="77777777">
      <w:pPr>
        <w:pStyle w:val="FootnoteText"/>
      </w:pPr>
      <w:r>
        <w:rPr>
          <w:rStyle w:val="FootnoteReference"/>
        </w:rPr>
        <w:footnoteRef/>
      </w:r>
      <w:r>
        <w:t xml:space="preserve"> </w:t>
      </w:r>
      <w:r w:rsidR="00425AB6">
        <w:t>Petition</w:t>
      </w:r>
      <w:r w:rsidR="00B921BF">
        <w:t xml:space="preserve"> at 1.</w:t>
      </w:r>
    </w:p>
  </w:footnote>
  <w:footnote w:id="4">
    <w:p w:rsidR="00811BBF" w:rsidRPr="001E33CC" w14:paraId="78001A2E" w14:textId="77777777">
      <w:pPr>
        <w:pStyle w:val="FootnoteText"/>
      </w:pPr>
      <w:r>
        <w:rPr>
          <w:rStyle w:val="FootnoteReference"/>
        </w:rPr>
        <w:footnoteRef/>
      </w:r>
      <w:r>
        <w:t xml:space="preserve"> </w:t>
      </w:r>
      <w:r w:rsidR="001E33CC">
        <w:rPr>
          <w:i/>
          <w:iCs/>
        </w:rPr>
        <w:t>Id.</w:t>
      </w:r>
      <w:r w:rsidR="001E33CC">
        <w:t xml:space="preserve"> </w:t>
      </w:r>
      <w:r w:rsidR="00FC738F">
        <w:t xml:space="preserve">at </w:t>
      </w:r>
      <w:r w:rsidR="00AE398A">
        <w:t>16</w:t>
      </w:r>
      <w:r w:rsidR="00FC41D2">
        <w:t>.</w:t>
      </w:r>
    </w:p>
  </w:footnote>
  <w:footnote w:id="5">
    <w:p w:rsidR="00811BBF" w:rsidP="00811BBF" w14:paraId="36F93DAA" w14:textId="77777777">
      <w:pPr>
        <w:pStyle w:val="FootnoteText"/>
      </w:pPr>
      <w:r>
        <w:rPr>
          <w:rStyle w:val="FootnoteReference"/>
        </w:rPr>
        <w:footnoteRef/>
      </w:r>
      <w:r>
        <w:t xml:space="preserve"> 16 U.S.C. </w:t>
      </w:r>
      <w:r w:rsidRPr="00C96E22">
        <w:t>§</w:t>
      </w:r>
      <w:r>
        <w:t xml:space="preserve"> 824o</w:t>
      </w:r>
      <w:r w:rsidR="007F02AB">
        <w:t>(d)(2)</w:t>
      </w:r>
      <w:r>
        <w:t>.</w:t>
      </w:r>
    </w:p>
  </w:footnote>
  <w:footnote w:id="6">
    <w:p w:rsidR="00811BBF" w14:paraId="12BF6C6A" w14:textId="77777777">
      <w:pPr>
        <w:pStyle w:val="FootnoteText"/>
      </w:pPr>
      <w:r>
        <w:rPr>
          <w:rStyle w:val="FootnoteReference"/>
        </w:rPr>
        <w:footnoteRef/>
      </w:r>
      <w:r>
        <w:t xml:space="preserve"> </w:t>
      </w:r>
      <w:r w:rsidRPr="00B62A79">
        <w:rPr>
          <w:i/>
          <w:iCs/>
        </w:rPr>
        <w:t>Transmission Sys</w:t>
      </w:r>
      <w:r w:rsidR="0051235F">
        <w:rPr>
          <w:i/>
          <w:iCs/>
        </w:rPr>
        <w:t>.</w:t>
      </w:r>
      <w:r w:rsidRPr="00B62A79">
        <w:rPr>
          <w:i/>
          <w:iCs/>
        </w:rPr>
        <w:t xml:space="preserve"> Plan</w:t>
      </w:r>
      <w:r w:rsidR="0051235F">
        <w:rPr>
          <w:i/>
          <w:iCs/>
        </w:rPr>
        <w:t>.</w:t>
      </w:r>
      <w:r w:rsidRPr="00B62A79">
        <w:rPr>
          <w:i/>
          <w:iCs/>
        </w:rPr>
        <w:t xml:space="preserve"> Performance Requirements for Extreme Weather</w:t>
      </w:r>
      <w:r>
        <w:t xml:space="preserve">, Order No. 896, </w:t>
      </w:r>
      <w:r w:rsidRPr="00811BBF">
        <w:t>183 FERC ¶ 61,191</w:t>
      </w:r>
      <w:r>
        <w:t xml:space="preserve"> (2023).</w:t>
      </w:r>
    </w:p>
  </w:footnote>
  <w:footnote w:id="7">
    <w:p w:rsidR="00F96C74" w14:paraId="54AEE730" w14:textId="77777777">
      <w:pPr>
        <w:pStyle w:val="FootnoteText"/>
      </w:pPr>
      <w:r>
        <w:rPr>
          <w:rStyle w:val="FootnoteReference"/>
        </w:rPr>
        <w:footnoteRef/>
      </w:r>
      <w:r>
        <w:t xml:space="preserve"> </w:t>
      </w:r>
      <w:r w:rsidRPr="00780C5B" w:rsidR="00A81703">
        <w:rPr>
          <w:i/>
          <w:iCs/>
        </w:rPr>
        <w:t>Id.</w:t>
      </w:r>
      <w:r>
        <w:t xml:space="preserve"> at P 6.</w:t>
      </w:r>
    </w:p>
  </w:footnote>
  <w:footnote w:id="8">
    <w:p w:rsidR="000C0F30" w14:paraId="54E7FD9E" w14:textId="77777777">
      <w:pPr>
        <w:pStyle w:val="FootnoteText"/>
      </w:pPr>
      <w:r>
        <w:rPr>
          <w:rStyle w:val="FootnoteReference"/>
        </w:rPr>
        <w:footnoteRef/>
      </w:r>
      <w:r>
        <w:t xml:space="preserve"> </w:t>
      </w:r>
      <w:r w:rsidR="006E41C0">
        <w:t>Petition at 15.</w:t>
      </w:r>
    </w:p>
  </w:footnote>
  <w:footnote w:id="9">
    <w:p w:rsidR="00C449A6" w14:paraId="62F986CA" w14:textId="77777777">
      <w:pPr>
        <w:pStyle w:val="FootnoteText"/>
      </w:pPr>
      <w:r>
        <w:rPr>
          <w:rStyle w:val="FootnoteReference"/>
        </w:rPr>
        <w:footnoteRef/>
      </w:r>
      <w:r>
        <w:t xml:space="preserve"> </w:t>
      </w:r>
      <w:r w:rsidR="001B520E">
        <w:rPr>
          <w:i/>
          <w:iCs/>
        </w:rPr>
        <w:t>Id.</w:t>
      </w:r>
    </w:p>
  </w:footnote>
  <w:footnote w:id="10">
    <w:p w:rsidR="00F146E0" w:rsidP="00F146E0" w14:paraId="19B4DEE8" w14:textId="77777777">
      <w:pPr>
        <w:pStyle w:val="FootnoteText"/>
      </w:pPr>
      <w:r>
        <w:rPr>
          <w:rStyle w:val="FootnoteReference"/>
        </w:rPr>
        <w:footnoteRef/>
      </w:r>
      <w:r>
        <w:t xml:space="preserve"> NERC’s petition refers to these periodic studies as “extreme temperature assessments,” which NERC proposes to define in the NERC Glossary as a “[d]</w:t>
      </w:r>
      <w:r w:rsidRPr="00EA57E3">
        <w:t>ocumented evaluation of future Bulk Electric System performance for extreme heat and extreme cold benchmark temperature events.</w:t>
      </w:r>
      <w:r>
        <w:t xml:space="preserve">”  </w:t>
      </w:r>
      <w:r w:rsidR="007F74D6">
        <w:rPr>
          <w:i/>
          <w:iCs/>
        </w:rPr>
        <w:t>Id.</w:t>
      </w:r>
      <w:r>
        <w:t xml:space="preserve"> at 16.</w:t>
      </w:r>
    </w:p>
  </w:footnote>
  <w:footnote w:id="11">
    <w:p w:rsidR="00772588" w14:paraId="4AD836DC" w14:textId="77777777">
      <w:pPr>
        <w:pStyle w:val="FootnoteText"/>
      </w:pPr>
      <w:r>
        <w:rPr>
          <w:rStyle w:val="FootnoteReference"/>
        </w:rPr>
        <w:footnoteRef/>
      </w:r>
      <w:r>
        <w:t xml:space="preserve"> </w:t>
      </w:r>
      <w:r w:rsidR="007F74D6">
        <w:rPr>
          <w:i/>
          <w:iCs/>
        </w:rPr>
        <w:t>Id.</w:t>
      </w:r>
      <w:r w:rsidR="007F74D6">
        <w:t xml:space="preserve"> </w:t>
      </w:r>
      <w:r w:rsidR="009F27B2">
        <w:t>at 14.</w:t>
      </w:r>
    </w:p>
  </w:footnote>
  <w:footnote w:id="12">
    <w:p w:rsidR="007C0C62" w:rsidRPr="006D1AC5" w14:paraId="63BD61D3" w14:textId="77777777">
      <w:pPr>
        <w:pStyle w:val="FootnoteText"/>
      </w:pPr>
      <w:r>
        <w:rPr>
          <w:rStyle w:val="FootnoteReference"/>
        </w:rPr>
        <w:footnoteRef/>
      </w:r>
      <w:r>
        <w:t xml:space="preserve"> </w:t>
      </w:r>
      <w:r w:rsidR="00015194">
        <w:rPr>
          <w:i/>
          <w:iCs/>
        </w:rPr>
        <w:t>Id.</w:t>
      </w:r>
      <w:r w:rsidR="00015194">
        <w:t xml:space="preserve"> </w:t>
      </w:r>
      <w:r>
        <w:t>at 23.</w:t>
      </w:r>
      <w:r w:rsidR="009D5A76">
        <w:t xml:space="preserve">  </w:t>
      </w:r>
      <w:r w:rsidR="006344F8">
        <w:t xml:space="preserve">Conversely, </w:t>
      </w:r>
      <w:r w:rsidR="00215938">
        <w:t xml:space="preserve">subject to NERC approval, </w:t>
      </w:r>
      <w:r w:rsidR="003075BA">
        <w:t>p</w:t>
      </w:r>
      <w:r w:rsidR="00F83D4E">
        <w:t xml:space="preserve">lanning </w:t>
      </w:r>
      <w:r w:rsidR="003075BA">
        <w:t>c</w:t>
      </w:r>
      <w:r w:rsidR="00F83D4E">
        <w:t xml:space="preserve">oordinators </w:t>
      </w:r>
      <w:r w:rsidR="0051235F">
        <w:t xml:space="preserve">       </w:t>
      </w:r>
      <w:r w:rsidR="00F83D4E">
        <w:t>may develop</w:t>
      </w:r>
      <w:r w:rsidR="00240CD1">
        <w:t xml:space="preserve"> </w:t>
      </w:r>
      <w:r w:rsidR="007309BA">
        <w:t xml:space="preserve">and use </w:t>
      </w:r>
      <w:r w:rsidR="00F83D4E">
        <w:t xml:space="preserve">benchmark </w:t>
      </w:r>
      <w:r w:rsidR="00240CD1">
        <w:t xml:space="preserve">temperature events that meet </w:t>
      </w:r>
      <w:r w:rsidR="0022696F">
        <w:t xml:space="preserve">the criteria outlined </w:t>
      </w:r>
      <w:r w:rsidR="00C05A53">
        <w:t>in Requirements R2.1-</w:t>
      </w:r>
      <w:r w:rsidR="00E51530">
        <w:t>R2.2</w:t>
      </w:r>
      <w:r w:rsidR="007309BA">
        <w:t xml:space="preserve"> of the proposed Reliability Standard</w:t>
      </w:r>
      <w:r w:rsidR="00215938">
        <w:t>.</w:t>
      </w:r>
      <w:r w:rsidR="007309BA">
        <w:t xml:space="preserve">  </w:t>
      </w:r>
      <w:r w:rsidR="007309BA">
        <w:rPr>
          <w:i/>
          <w:iCs/>
        </w:rPr>
        <w:t>Id.</w:t>
      </w:r>
      <w:r w:rsidR="007309BA">
        <w:t xml:space="preserve"> at 25.</w:t>
      </w:r>
    </w:p>
  </w:footnote>
  <w:footnote w:id="13">
    <w:p w:rsidR="00EA57E3" w14:paraId="735EB590" w14:textId="77777777">
      <w:pPr>
        <w:pStyle w:val="FootnoteText"/>
      </w:pPr>
      <w:r>
        <w:rPr>
          <w:rStyle w:val="FootnoteReference"/>
        </w:rPr>
        <w:footnoteRef/>
      </w:r>
      <w:r>
        <w:t xml:space="preserve"> </w:t>
      </w:r>
      <w:r w:rsidR="00015194">
        <w:rPr>
          <w:i/>
          <w:iCs/>
        </w:rPr>
        <w:t>Id.</w:t>
      </w:r>
      <w:r w:rsidR="00015194">
        <w:t xml:space="preserve"> </w:t>
      </w:r>
      <w:r>
        <w:t>at 14-15</w:t>
      </w:r>
      <w:r w:rsidR="00015194">
        <w:t>, 19</w:t>
      </w:r>
      <w:r>
        <w:t>.</w:t>
      </w:r>
    </w:p>
  </w:footnote>
  <w:footnote w:id="14">
    <w:p w:rsidR="00EA57E3" w14:paraId="13685452" w14:textId="77777777">
      <w:pPr>
        <w:pStyle w:val="FootnoteText"/>
      </w:pPr>
      <w:r>
        <w:rPr>
          <w:rStyle w:val="FootnoteReference"/>
        </w:rPr>
        <w:footnoteRef/>
      </w:r>
      <w:r>
        <w:t xml:space="preserve"> </w:t>
      </w:r>
      <w:r w:rsidR="00015194">
        <w:rPr>
          <w:i/>
          <w:iCs/>
        </w:rPr>
        <w:t>Id.</w:t>
      </w:r>
      <w:r w:rsidR="00015194">
        <w:t xml:space="preserve"> </w:t>
      </w:r>
      <w:r>
        <w:t>at 14-15.</w:t>
      </w:r>
    </w:p>
  </w:footnote>
  <w:footnote w:id="15">
    <w:p w:rsidR="00E4180D" w14:paraId="24777CC5" w14:textId="77777777">
      <w:pPr>
        <w:pStyle w:val="FootnoteText"/>
      </w:pPr>
      <w:r>
        <w:rPr>
          <w:rStyle w:val="FootnoteReference"/>
        </w:rPr>
        <w:footnoteRef/>
      </w:r>
      <w:r>
        <w:t xml:space="preserve"> </w:t>
      </w:r>
      <w:r w:rsidR="00015194">
        <w:rPr>
          <w:i/>
          <w:iCs/>
        </w:rPr>
        <w:t>Id.</w:t>
      </w:r>
      <w:r w:rsidR="00015194">
        <w:t xml:space="preserve"> </w:t>
      </w:r>
      <w:r>
        <w:t>at 47-48.</w:t>
      </w:r>
    </w:p>
  </w:footnote>
  <w:footnote w:id="16">
    <w:p w:rsidR="00E4180D" w:rsidRPr="00780C5B" w14:paraId="16FA6723" w14:textId="77777777">
      <w:pPr>
        <w:pStyle w:val="FootnoteText"/>
        <w:rPr>
          <w:i/>
          <w:iCs/>
        </w:rPr>
      </w:pPr>
      <w:r>
        <w:rPr>
          <w:rStyle w:val="FootnoteReference"/>
        </w:rPr>
        <w:footnoteRef/>
      </w:r>
      <w:r>
        <w:t xml:space="preserve"> </w:t>
      </w:r>
      <w:r w:rsidR="00DB2B56">
        <w:rPr>
          <w:i/>
          <w:iCs/>
        </w:rPr>
        <w:t>Id.</w:t>
      </w:r>
    </w:p>
  </w:footnote>
  <w:footnote w:id="17">
    <w:p w:rsidR="00480FE2" w:rsidP="00480FE2" w14:paraId="1F536DD4" w14:textId="77777777">
      <w:pPr>
        <w:pStyle w:val="FootnoteText"/>
      </w:pPr>
      <w:r>
        <w:rPr>
          <w:rStyle w:val="FootnoteReference"/>
        </w:rPr>
        <w:footnoteRef/>
      </w:r>
      <w:r>
        <w:t xml:space="preserve"> </w:t>
      </w:r>
      <w:r w:rsidR="00DB2B56">
        <w:rPr>
          <w:i/>
          <w:iCs/>
        </w:rPr>
        <w:t>Id.</w:t>
      </w:r>
      <w:r w:rsidR="00DB2B56">
        <w:t xml:space="preserve"> </w:t>
      </w:r>
      <w:r>
        <w:t>at 59-60.</w:t>
      </w:r>
    </w:p>
  </w:footnote>
  <w:footnote w:id="18">
    <w:p w:rsidR="00A333B8" w:rsidP="00A333B8" w14:paraId="5EA915C3" w14:textId="77777777">
      <w:pPr>
        <w:pStyle w:val="FootnoteText"/>
      </w:pPr>
      <w:r>
        <w:rPr>
          <w:rStyle w:val="FootnoteReference"/>
        </w:rPr>
        <w:footnoteRef/>
      </w:r>
      <w:r>
        <w:t xml:space="preserve"> 16 U.S.C. 824o(d)(2).</w:t>
      </w:r>
    </w:p>
  </w:footnote>
  <w:footnote w:id="19">
    <w:p w:rsidR="00E66987" w14:paraId="17B4B914" w14:textId="77777777">
      <w:pPr>
        <w:pStyle w:val="FootnoteText"/>
      </w:pPr>
      <w:r>
        <w:rPr>
          <w:rStyle w:val="FootnoteReference"/>
        </w:rPr>
        <w:footnoteRef/>
      </w:r>
      <w:r>
        <w:t xml:space="preserve"> </w:t>
      </w:r>
      <w:r>
        <w:rPr>
          <w:i/>
          <w:iCs/>
        </w:rPr>
        <w:t xml:space="preserve">See </w:t>
      </w:r>
      <w:r w:rsidRPr="00E66987">
        <w:t xml:space="preserve">Reliability Standard EOP-011-2 (Emergency Preparedness and Operations); </w:t>
      </w:r>
      <w:r w:rsidR="00AA65E5">
        <w:t>Reliability Standard EOP-012-2 (</w:t>
      </w:r>
      <w:r w:rsidRPr="007F7782" w:rsidR="007F7782">
        <w:t>Extreme Cold Weather Preparedness and Operations</w:t>
      </w:r>
      <w:r w:rsidR="00AA65E5">
        <w:t xml:space="preserve">); </w:t>
      </w:r>
      <w:r>
        <w:t xml:space="preserve">Reliability Standard </w:t>
      </w:r>
      <w:r w:rsidRPr="00E66987">
        <w:t>IRO-010-4 (Reliability Coordinator Data Specification and Collection)</w:t>
      </w:r>
      <w:r w:rsidR="00F85889">
        <w:t xml:space="preserve">; Reliability Standard TOP-003-5 </w:t>
      </w:r>
      <w:r w:rsidR="0000030F">
        <w:t>(</w:t>
      </w:r>
      <w:r w:rsidRPr="0000030F" w:rsidR="0000030F">
        <w:t>Operational Reliability Data</w:t>
      </w:r>
      <w:r w:rsidR="0000030F">
        <w:t>).</w:t>
      </w:r>
    </w:p>
  </w:footnote>
  <w:footnote w:id="20">
    <w:p w:rsidR="00AC5873" w14:paraId="0B2CE293" w14:textId="77777777">
      <w:pPr>
        <w:pStyle w:val="FootnoteText"/>
      </w:pPr>
      <w:r>
        <w:rPr>
          <w:rStyle w:val="FootnoteReference"/>
        </w:rPr>
        <w:footnoteRef/>
      </w:r>
      <w:r>
        <w:t xml:space="preserve"> Petition at </w:t>
      </w:r>
      <w:r w:rsidR="006F2A7F">
        <w:t>23</w:t>
      </w:r>
      <w:r>
        <w:t>.</w:t>
      </w:r>
    </w:p>
  </w:footnote>
  <w:footnote w:id="21">
    <w:p w:rsidR="00BD6AA9" w:rsidRPr="008D68F9" w14:paraId="53FCDE9E" w14:textId="77777777">
      <w:pPr>
        <w:pStyle w:val="FootnoteText"/>
      </w:pPr>
      <w:r>
        <w:rPr>
          <w:rStyle w:val="FootnoteReference"/>
        </w:rPr>
        <w:footnoteRef/>
      </w:r>
      <w:r>
        <w:t xml:space="preserve"> </w:t>
      </w:r>
      <w:r w:rsidR="008D68F9">
        <w:rPr>
          <w:i/>
          <w:iCs/>
        </w:rPr>
        <w:t>See</w:t>
      </w:r>
      <w:r w:rsidR="008D68F9">
        <w:t xml:space="preserve"> Order No. 896</w:t>
      </w:r>
      <w:r w:rsidR="004D3450">
        <w:t xml:space="preserve">, </w:t>
      </w:r>
      <w:r w:rsidRPr="00811BBF" w:rsidR="004D3450">
        <w:t>183 FERC ¶ 61,191</w:t>
      </w:r>
      <w:r w:rsidR="008D68F9">
        <w:t xml:space="preserve"> at P 36 n.70.</w:t>
      </w:r>
    </w:p>
  </w:footnote>
  <w:footnote w:id="22">
    <w:p w:rsidR="00EF736B" w:rsidRPr="00A5379E" w:rsidP="00E220A0" w14:paraId="26F53C9A" w14:textId="77777777">
      <w:pPr>
        <w:pStyle w:val="FootnoteText"/>
        <w:rPr>
          <w:szCs w:val="26"/>
        </w:rPr>
      </w:pPr>
      <w:r w:rsidRPr="00E220A0">
        <w:rPr>
          <w:b/>
          <w:vertAlign w:val="superscript"/>
        </w:rPr>
        <w:footnoteRef/>
      </w:r>
      <w:r w:rsidRPr="00A5379E">
        <w:rPr>
          <w:szCs w:val="26"/>
        </w:rPr>
        <w:t xml:space="preserve"> Number of entit</w:t>
      </w:r>
      <w:r w:rsidR="008D077B">
        <w:rPr>
          <w:szCs w:val="26"/>
        </w:rPr>
        <w:t>ies</w:t>
      </w:r>
      <w:r w:rsidRPr="00A5379E">
        <w:rPr>
          <w:szCs w:val="26"/>
        </w:rPr>
        <w:t xml:space="preserve"> data taken from the NERC compliance registry, dated </w:t>
      </w:r>
      <w:r>
        <w:rPr>
          <w:szCs w:val="26"/>
        </w:rPr>
        <w:t>November 20, 2024</w:t>
      </w:r>
      <w:r w:rsidRPr="00A5379E">
        <w:rPr>
          <w:szCs w:val="26"/>
        </w:rPr>
        <w:t>.</w:t>
      </w:r>
    </w:p>
  </w:footnote>
  <w:footnote w:id="23">
    <w:p w:rsidR="00EF736B" w:rsidP="00EF736B" w14:paraId="29229452" w14:textId="77777777">
      <w:pPr>
        <w:pStyle w:val="FootnoteText"/>
      </w:pPr>
      <w:r w:rsidRPr="00E220A0">
        <w:rPr>
          <w:b/>
          <w:vertAlign w:val="superscript"/>
        </w:rPr>
        <w:footnoteRef/>
      </w:r>
      <w:r w:rsidRPr="00A5379E">
        <w:rPr>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51793E6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335BC2E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C47F21" w14:paraId="49C9C1BC" w14:textId="77777777">
    <w:pPr>
      <w:pStyle w:val="Header"/>
      <w:tabs>
        <w:tab w:val="clear" w:pos="4680"/>
      </w:tabs>
      <w:spacing w:after="240"/>
    </w:pPr>
    <w:r>
      <w:t xml:space="preserve">Docket No. RD25-4-000 </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724141B2"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19"/>
  </w:num>
  <w:num w:numId="12" w16cid:durableId="52506773">
    <w:abstractNumId w:val="17"/>
  </w:num>
  <w:num w:numId="13" w16cid:durableId="859006164">
    <w:abstractNumId w:val="13"/>
  </w:num>
  <w:num w:numId="14" w16cid:durableId="311065281">
    <w:abstractNumId w:val="18"/>
  </w:num>
  <w:num w:numId="15" w16cid:durableId="1146164863">
    <w:abstractNumId w:val="16"/>
  </w:num>
  <w:num w:numId="16" w16cid:durableId="107139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4"/>
  </w:num>
  <w:num w:numId="20" w16cid:durableId="1399862505">
    <w:abstractNumId w:val="12"/>
  </w:num>
  <w:num w:numId="21" w16cid:durableId="984897000">
    <w:abstractNumId w:val="20"/>
  </w:num>
  <w:num w:numId="22" w16cid:durableId="46496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1"/>
    <w:rsid w:val="0000030F"/>
    <w:rsid w:val="00001596"/>
    <w:rsid w:val="00003340"/>
    <w:rsid w:val="000037D7"/>
    <w:rsid w:val="00003F41"/>
    <w:rsid w:val="00006D5D"/>
    <w:rsid w:val="0000731D"/>
    <w:rsid w:val="00010FA6"/>
    <w:rsid w:val="000118C8"/>
    <w:rsid w:val="000123A6"/>
    <w:rsid w:val="000143AA"/>
    <w:rsid w:val="00015194"/>
    <w:rsid w:val="000166AD"/>
    <w:rsid w:val="0001772B"/>
    <w:rsid w:val="0002042F"/>
    <w:rsid w:val="00021F9B"/>
    <w:rsid w:val="00022A33"/>
    <w:rsid w:val="0002355F"/>
    <w:rsid w:val="00023814"/>
    <w:rsid w:val="000250C3"/>
    <w:rsid w:val="00025855"/>
    <w:rsid w:val="00026146"/>
    <w:rsid w:val="00026815"/>
    <w:rsid w:val="00027EA5"/>
    <w:rsid w:val="00032D60"/>
    <w:rsid w:val="0003382F"/>
    <w:rsid w:val="000345D0"/>
    <w:rsid w:val="00040129"/>
    <w:rsid w:val="00040482"/>
    <w:rsid w:val="00040C61"/>
    <w:rsid w:val="00040F8B"/>
    <w:rsid w:val="000428C4"/>
    <w:rsid w:val="00043032"/>
    <w:rsid w:val="0004624A"/>
    <w:rsid w:val="0005135D"/>
    <w:rsid w:val="00051852"/>
    <w:rsid w:val="000550DC"/>
    <w:rsid w:val="00055F5F"/>
    <w:rsid w:val="000609DA"/>
    <w:rsid w:val="0006117F"/>
    <w:rsid w:val="00062732"/>
    <w:rsid w:val="000646FF"/>
    <w:rsid w:val="000663FB"/>
    <w:rsid w:val="000667B8"/>
    <w:rsid w:val="00070857"/>
    <w:rsid w:val="0007377C"/>
    <w:rsid w:val="000759BB"/>
    <w:rsid w:val="0007636C"/>
    <w:rsid w:val="00077AED"/>
    <w:rsid w:val="00081F12"/>
    <w:rsid w:val="00083A30"/>
    <w:rsid w:val="0008478C"/>
    <w:rsid w:val="00084A31"/>
    <w:rsid w:val="000856B3"/>
    <w:rsid w:val="00086A67"/>
    <w:rsid w:val="00086B68"/>
    <w:rsid w:val="00086D98"/>
    <w:rsid w:val="0008778D"/>
    <w:rsid w:val="00091CDC"/>
    <w:rsid w:val="00092634"/>
    <w:rsid w:val="00093338"/>
    <w:rsid w:val="00097C05"/>
    <w:rsid w:val="000A39EC"/>
    <w:rsid w:val="000A3D2F"/>
    <w:rsid w:val="000A6835"/>
    <w:rsid w:val="000A6C08"/>
    <w:rsid w:val="000A75FD"/>
    <w:rsid w:val="000B18C8"/>
    <w:rsid w:val="000B1CCC"/>
    <w:rsid w:val="000B4124"/>
    <w:rsid w:val="000B7E62"/>
    <w:rsid w:val="000C0253"/>
    <w:rsid w:val="000C0F30"/>
    <w:rsid w:val="000C1297"/>
    <w:rsid w:val="000C1E94"/>
    <w:rsid w:val="000C1FCA"/>
    <w:rsid w:val="000C2326"/>
    <w:rsid w:val="000C4A0B"/>
    <w:rsid w:val="000C6869"/>
    <w:rsid w:val="000D072A"/>
    <w:rsid w:val="000D0EE6"/>
    <w:rsid w:val="000D1D4B"/>
    <w:rsid w:val="000D1FB6"/>
    <w:rsid w:val="000D5B08"/>
    <w:rsid w:val="000D5DF8"/>
    <w:rsid w:val="000D5F9A"/>
    <w:rsid w:val="000D739B"/>
    <w:rsid w:val="000D7DD4"/>
    <w:rsid w:val="000D7E4E"/>
    <w:rsid w:val="000D7E96"/>
    <w:rsid w:val="000E065C"/>
    <w:rsid w:val="000E0857"/>
    <w:rsid w:val="000E0FB3"/>
    <w:rsid w:val="000E194E"/>
    <w:rsid w:val="000E1A75"/>
    <w:rsid w:val="000E2BFA"/>
    <w:rsid w:val="000F16CC"/>
    <w:rsid w:val="000F1FF3"/>
    <w:rsid w:val="000F2DC1"/>
    <w:rsid w:val="000F372C"/>
    <w:rsid w:val="000F3EFD"/>
    <w:rsid w:val="000F400A"/>
    <w:rsid w:val="000F603B"/>
    <w:rsid w:val="000F6403"/>
    <w:rsid w:val="000F6C7F"/>
    <w:rsid w:val="00100E1B"/>
    <w:rsid w:val="00101107"/>
    <w:rsid w:val="00102736"/>
    <w:rsid w:val="0010290F"/>
    <w:rsid w:val="00104E99"/>
    <w:rsid w:val="00104F76"/>
    <w:rsid w:val="0011154B"/>
    <w:rsid w:val="00114DD1"/>
    <w:rsid w:val="001176CE"/>
    <w:rsid w:val="00120603"/>
    <w:rsid w:val="001208A2"/>
    <w:rsid w:val="001209EF"/>
    <w:rsid w:val="001236E4"/>
    <w:rsid w:val="001238D9"/>
    <w:rsid w:val="00124C66"/>
    <w:rsid w:val="00124E5F"/>
    <w:rsid w:val="00125763"/>
    <w:rsid w:val="0012713F"/>
    <w:rsid w:val="00127478"/>
    <w:rsid w:val="001279B9"/>
    <w:rsid w:val="00130CCE"/>
    <w:rsid w:val="00132D57"/>
    <w:rsid w:val="001342AA"/>
    <w:rsid w:val="00134EE9"/>
    <w:rsid w:val="00136C96"/>
    <w:rsid w:val="00136F01"/>
    <w:rsid w:val="0013733D"/>
    <w:rsid w:val="00140B01"/>
    <w:rsid w:val="001415B0"/>
    <w:rsid w:val="00141DB8"/>
    <w:rsid w:val="001421AA"/>
    <w:rsid w:val="00145515"/>
    <w:rsid w:val="00146074"/>
    <w:rsid w:val="00146A50"/>
    <w:rsid w:val="001512A7"/>
    <w:rsid w:val="001520D4"/>
    <w:rsid w:val="001549DE"/>
    <w:rsid w:val="00154C7A"/>
    <w:rsid w:val="0016531B"/>
    <w:rsid w:val="00171536"/>
    <w:rsid w:val="00172019"/>
    <w:rsid w:val="00172728"/>
    <w:rsid w:val="00174A46"/>
    <w:rsid w:val="0017696A"/>
    <w:rsid w:val="0017701D"/>
    <w:rsid w:val="00177556"/>
    <w:rsid w:val="0018758C"/>
    <w:rsid w:val="00187CEA"/>
    <w:rsid w:val="00191617"/>
    <w:rsid w:val="001921AE"/>
    <w:rsid w:val="0019292E"/>
    <w:rsid w:val="00195716"/>
    <w:rsid w:val="001960DD"/>
    <w:rsid w:val="001A1641"/>
    <w:rsid w:val="001A1693"/>
    <w:rsid w:val="001A2AF1"/>
    <w:rsid w:val="001A33D6"/>
    <w:rsid w:val="001A563A"/>
    <w:rsid w:val="001A58F3"/>
    <w:rsid w:val="001B010E"/>
    <w:rsid w:val="001B020F"/>
    <w:rsid w:val="001B042B"/>
    <w:rsid w:val="001B0E79"/>
    <w:rsid w:val="001B1FAE"/>
    <w:rsid w:val="001B1FE9"/>
    <w:rsid w:val="001B24FD"/>
    <w:rsid w:val="001B2C6D"/>
    <w:rsid w:val="001B2DF9"/>
    <w:rsid w:val="001B2E3E"/>
    <w:rsid w:val="001B348A"/>
    <w:rsid w:val="001B362D"/>
    <w:rsid w:val="001B49F3"/>
    <w:rsid w:val="001B4FB2"/>
    <w:rsid w:val="001B520E"/>
    <w:rsid w:val="001B57A7"/>
    <w:rsid w:val="001C03C8"/>
    <w:rsid w:val="001C2FBB"/>
    <w:rsid w:val="001C4F87"/>
    <w:rsid w:val="001C5064"/>
    <w:rsid w:val="001C5FBF"/>
    <w:rsid w:val="001C6B2B"/>
    <w:rsid w:val="001C7073"/>
    <w:rsid w:val="001D02D5"/>
    <w:rsid w:val="001D1EB2"/>
    <w:rsid w:val="001D264B"/>
    <w:rsid w:val="001D3B0D"/>
    <w:rsid w:val="001D4D92"/>
    <w:rsid w:val="001D506C"/>
    <w:rsid w:val="001D6AB4"/>
    <w:rsid w:val="001D7927"/>
    <w:rsid w:val="001E33CC"/>
    <w:rsid w:val="001E4084"/>
    <w:rsid w:val="001E59F9"/>
    <w:rsid w:val="001E61D7"/>
    <w:rsid w:val="001E7A8F"/>
    <w:rsid w:val="001F106C"/>
    <w:rsid w:val="001F3890"/>
    <w:rsid w:val="001F3AAE"/>
    <w:rsid w:val="001F46D9"/>
    <w:rsid w:val="001F51A0"/>
    <w:rsid w:val="001F5CC6"/>
    <w:rsid w:val="001F63ED"/>
    <w:rsid w:val="00202BC3"/>
    <w:rsid w:val="00203911"/>
    <w:rsid w:val="002039B9"/>
    <w:rsid w:val="002072CF"/>
    <w:rsid w:val="002110E3"/>
    <w:rsid w:val="0021135A"/>
    <w:rsid w:val="00211765"/>
    <w:rsid w:val="002136E7"/>
    <w:rsid w:val="00215938"/>
    <w:rsid w:val="002176E6"/>
    <w:rsid w:val="002206DB"/>
    <w:rsid w:val="0022182D"/>
    <w:rsid w:val="002233B3"/>
    <w:rsid w:val="0022466C"/>
    <w:rsid w:val="00224859"/>
    <w:rsid w:val="0022504F"/>
    <w:rsid w:val="00225A12"/>
    <w:rsid w:val="002261B3"/>
    <w:rsid w:val="0022696F"/>
    <w:rsid w:val="002318B6"/>
    <w:rsid w:val="00233CEF"/>
    <w:rsid w:val="00233FD0"/>
    <w:rsid w:val="002352B0"/>
    <w:rsid w:val="002354E4"/>
    <w:rsid w:val="00240493"/>
    <w:rsid w:val="00240A33"/>
    <w:rsid w:val="00240CD1"/>
    <w:rsid w:val="00243942"/>
    <w:rsid w:val="002464E8"/>
    <w:rsid w:val="0024710C"/>
    <w:rsid w:val="002504F0"/>
    <w:rsid w:val="00253776"/>
    <w:rsid w:val="00255417"/>
    <w:rsid w:val="0025796F"/>
    <w:rsid w:val="00257989"/>
    <w:rsid w:val="00260517"/>
    <w:rsid w:val="002606CC"/>
    <w:rsid w:val="00262FED"/>
    <w:rsid w:val="00267328"/>
    <w:rsid w:val="00271168"/>
    <w:rsid w:val="00272C7B"/>
    <w:rsid w:val="00274963"/>
    <w:rsid w:val="00275075"/>
    <w:rsid w:val="0027666C"/>
    <w:rsid w:val="002809CF"/>
    <w:rsid w:val="002817CE"/>
    <w:rsid w:val="002838FB"/>
    <w:rsid w:val="00283AA6"/>
    <w:rsid w:val="0028432C"/>
    <w:rsid w:val="00284E46"/>
    <w:rsid w:val="002857E2"/>
    <w:rsid w:val="00286840"/>
    <w:rsid w:val="002870A9"/>
    <w:rsid w:val="002874DA"/>
    <w:rsid w:val="00290471"/>
    <w:rsid w:val="00290ABD"/>
    <w:rsid w:val="00290F55"/>
    <w:rsid w:val="00292DAB"/>
    <w:rsid w:val="00293E05"/>
    <w:rsid w:val="002A0B4A"/>
    <w:rsid w:val="002A2E48"/>
    <w:rsid w:val="002A34C1"/>
    <w:rsid w:val="002A37FE"/>
    <w:rsid w:val="002A474B"/>
    <w:rsid w:val="002A5C43"/>
    <w:rsid w:val="002A64CF"/>
    <w:rsid w:val="002A729E"/>
    <w:rsid w:val="002A7FB5"/>
    <w:rsid w:val="002B1F4F"/>
    <w:rsid w:val="002B262D"/>
    <w:rsid w:val="002B35F2"/>
    <w:rsid w:val="002B3E11"/>
    <w:rsid w:val="002B6125"/>
    <w:rsid w:val="002B613D"/>
    <w:rsid w:val="002B6E79"/>
    <w:rsid w:val="002C30EB"/>
    <w:rsid w:val="002C57E5"/>
    <w:rsid w:val="002C6080"/>
    <w:rsid w:val="002C7704"/>
    <w:rsid w:val="002C7F13"/>
    <w:rsid w:val="002D1417"/>
    <w:rsid w:val="002D1528"/>
    <w:rsid w:val="002D206A"/>
    <w:rsid w:val="002D2A01"/>
    <w:rsid w:val="002D358E"/>
    <w:rsid w:val="002D3A69"/>
    <w:rsid w:val="002D4853"/>
    <w:rsid w:val="002D65B3"/>
    <w:rsid w:val="002D7D6B"/>
    <w:rsid w:val="002E1AF5"/>
    <w:rsid w:val="002E1BB5"/>
    <w:rsid w:val="002E1C3E"/>
    <w:rsid w:val="002E2247"/>
    <w:rsid w:val="002E4BB9"/>
    <w:rsid w:val="002E4E8A"/>
    <w:rsid w:val="002E72E8"/>
    <w:rsid w:val="002F08DF"/>
    <w:rsid w:val="002F33CD"/>
    <w:rsid w:val="002F44CB"/>
    <w:rsid w:val="002F52A9"/>
    <w:rsid w:val="00301D68"/>
    <w:rsid w:val="003031DA"/>
    <w:rsid w:val="003075BA"/>
    <w:rsid w:val="0031215B"/>
    <w:rsid w:val="00312651"/>
    <w:rsid w:val="003133AC"/>
    <w:rsid w:val="00313634"/>
    <w:rsid w:val="003228D7"/>
    <w:rsid w:val="00322F05"/>
    <w:rsid w:val="003242DE"/>
    <w:rsid w:val="00324F79"/>
    <w:rsid w:val="003251E2"/>
    <w:rsid w:val="003262EC"/>
    <w:rsid w:val="00327401"/>
    <w:rsid w:val="003346EB"/>
    <w:rsid w:val="00335933"/>
    <w:rsid w:val="003370E4"/>
    <w:rsid w:val="003413D1"/>
    <w:rsid w:val="003437BD"/>
    <w:rsid w:val="00343D67"/>
    <w:rsid w:val="00344081"/>
    <w:rsid w:val="00345444"/>
    <w:rsid w:val="003478CF"/>
    <w:rsid w:val="0035038B"/>
    <w:rsid w:val="00350E98"/>
    <w:rsid w:val="00350FC8"/>
    <w:rsid w:val="003520AD"/>
    <w:rsid w:val="0035655B"/>
    <w:rsid w:val="00356733"/>
    <w:rsid w:val="003608E7"/>
    <w:rsid w:val="00360AA1"/>
    <w:rsid w:val="003613A2"/>
    <w:rsid w:val="00364E6F"/>
    <w:rsid w:val="0036500A"/>
    <w:rsid w:val="00374532"/>
    <w:rsid w:val="00374868"/>
    <w:rsid w:val="00374EAB"/>
    <w:rsid w:val="00375DF4"/>
    <w:rsid w:val="00376313"/>
    <w:rsid w:val="00377536"/>
    <w:rsid w:val="00382702"/>
    <w:rsid w:val="00383004"/>
    <w:rsid w:val="003830CE"/>
    <w:rsid w:val="00385591"/>
    <w:rsid w:val="00385E2D"/>
    <w:rsid w:val="0038731B"/>
    <w:rsid w:val="0038763E"/>
    <w:rsid w:val="0039262E"/>
    <w:rsid w:val="003937F3"/>
    <w:rsid w:val="00396753"/>
    <w:rsid w:val="0039781E"/>
    <w:rsid w:val="003A0422"/>
    <w:rsid w:val="003A15D6"/>
    <w:rsid w:val="003A404E"/>
    <w:rsid w:val="003A5145"/>
    <w:rsid w:val="003A74C7"/>
    <w:rsid w:val="003B1787"/>
    <w:rsid w:val="003B2445"/>
    <w:rsid w:val="003B546D"/>
    <w:rsid w:val="003B6A5F"/>
    <w:rsid w:val="003B757E"/>
    <w:rsid w:val="003B7E9A"/>
    <w:rsid w:val="003B7F05"/>
    <w:rsid w:val="003C0BBB"/>
    <w:rsid w:val="003C1777"/>
    <w:rsid w:val="003C3A1E"/>
    <w:rsid w:val="003C505B"/>
    <w:rsid w:val="003C5FFF"/>
    <w:rsid w:val="003C6F0F"/>
    <w:rsid w:val="003C71CF"/>
    <w:rsid w:val="003C789D"/>
    <w:rsid w:val="003D215C"/>
    <w:rsid w:val="003D2583"/>
    <w:rsid w:val="003D260B"/>
    <w:rsid w:val="003D3D5B"/>
    <w:rsid w:val="003D4A56"/>
    <w:rsid w:val="003D5827"/>
    <w:rsid w:val="003D6552"/>
    <w:rsid w:val="003D7B2C"/>
    <w:rsid w:val="003E1917"/>
    <w:rsid w:val="003E259A"/>
    <w:rsid w:val="003E4B1E"/>
    <w:rsid w:val="003E4CCC"/>
    <w:rsid w:val="003E5211"/>
    <w:rsid w:val="003E6529"/>
    <w:rsid w:val="003F0667"/>
    <w:rsid w:val="003F16FD"/>
    <w:rsid w:val="003F31D2"/>
    <w:rsid w:val="003F3716"/>
    <w:rsid w:val="003F3DC0"/>
    <w:rsid w:val="003F4845"/>
    <w:rsid w:val="003F4DBE"/>
    <w:rsid w:val="003F557E"/>
    <w:rsid w:val="003F7CC5"/>
    <w:rsid w:val="00400D68"/>
    <w:rsid w:val="00401A63"/>
    <w:rsid w:val="004024E9"/>
    <w:rsid w:val="00402526"/>
    <w:rsid w:val="00402FD7"/>
    <w:rsid w:val="004057F9"/>
    <w:rsid w:val="004067AD"/>
    <w:rsid w:val="00407EE0"/>
    <w:rsid w:val="00410FC9"/>
    <w:rsid w:val="0041151E"/>
    <w:rsid w:val="00411FE2"/>
    <w:rsid w:val="00414806"/>
    <w:rsid w:val="00414C57"/>
    <w:rsid w:val="00416C69"/>
    <w:rsid w:val="00422E1F"/>
    <w:rsid w:val="00424B78"/>
    <w:rsid w:val="00424F42"/>
    <w:rsid w:val="00425AB6"/>
    <w:rsid w:val="004335E8"/>
    <w:rsid w:val="00434208"/>
    <w:rsid w:val="00436898"/>
    <w:rsid w:val="00436A3E"/>
    <w:rsid w:val="00437068"/>
    <w:rsid w:val="00437F0E"/>
    <w:rsid w:val="00440173"/>
    <w:rsid w:val="00440988"/>
    <w:rsid w:val="00440B24"/>
    <w:rsid w:val="00440D78"/>
    <w:rsid w:val="00441A2A"/>
    <w:rsid w:val="004420F6"/>
    <w:rsid w:val="00443594"/>
    <w:rsid w:val="0044359A"/>
    <w:rsid w:val="00443C01"/>
    <w:rsid w:val="00444F65"/>
    <w:rsid w:val="00446720"/>
    <w:rsid w:val="004476C6"/>
    <w:rsid w:val="0045130C"/>
    <w:rsid w:val="00452BB8"/>
    <w:rsid w:val="00453578"/>
    <w:rsid w:val="00454A58"/>
    <w:rsid w:val="00455214"/>
    <w:rsid w:val="00456136"/>
    <w:rsid w:val="00456730"/>
    <w:rsid w:val="00456D5A"/>
    <w:rsid w:val="00457FF1"/>
    <w:rsid w:val="0046022D"/>
    <w:rsid w:val="0046133D"/>
    <w:rsid w:val="00462F7E"/>
    <w:rsid w:val="00464328"/>
    <w:rsid w:val="0046507C"/>
    <w:rsid w:val="00471FCF"/>
    <w:rsid w:val="00472C9B"/>
    <w:rsid w:val="00473A5E"/>
    <w:rsid w:val="00473B0F"/>
    <w:rsid w:val="00474329"/>
    <w:rsid w:val="00474F59"/>
    <w:rsid w:val="004758A9"/>
    <w:rsid w:val="00476273"/>
    <w:rsid w:val="00476790"/>
    <w:rsid w:val="00477399"/>
    <w:rsid w:val="0048020B"/>
    <w:rsid w:val="00480FE2"/>
    <w:rsid w:val="004852B1"/>
    <w:rsid w:val="00485DCA"/>
    <w:rsid w:val="004864DA"/>
    <w:rsid w:val="004872BC"/>
    <w:rsid w:val="004874A4"/>
    <w:rsid w:val="00491CF8"/>
    <w:rsid w:val="00494355"/>
    <w:rsid w:val="00494725"/>
    <w:rsid w:val="00494945"/>
    <w:rsid w:val="00494BA4"/>
    <w:rsid w:val="00495E07"/>
    <w:rsid w:val="004969AD"/>
    <w:rsid w:val="00497298"/>
    <w:rsid w:val="004972B7"/>
    <w:rsid w:val="00497F70"/>
    <w:rsid w:val="004A03E5"/>
    <w:rsid w:val="004A3F90"/>
    <w:rsid w:val="004A503D"/>
    <w:rsid w:val="004A50D2"/>
    <w:rsid w:val="004B141F"/>
    <w:rsid w:val="004B4A8D"/>
    <w:rsid w:val="004B615C"/>
    <w:rsid w:val="004C021F"/>
    <w:rsid w:val="004C0E28"/>
    <w:rsid w:val="004C190E"/>
    <w:rsid w:val="004C456B"/>
    <w:rsid w:val="004C4D5F"/>
    <w:rsid w:val="004C5E8F"/>
    <w:rsid w:val="004C7901"/>
    <w:rsid w:val="004D3450"/>
    <w:rsid w:val="004D35E8"/>
    <w:rsid w:val="004D3887"/>
    <w:rsid w:val="004D614C"/>
    <w:rsid w:val="004E1DAE"/>
    <w:rsid w:val="004E25A6"/>
    <w:rsid w:val="004E4465"/>
    <w:rsid w:val="004F00B2"/>
    <w:rsid w:val="004F0FDD"/>
    <w:rsid w:val="004F5759"/>
    <w:rsid w:val="004F5FDC"/>
    <w:rsid w:val="004F612D"/>
    <w:rsid w:val="004F63B5"/>
    <w:rsid w:val="004F6475"/>
    <w:rsid w:val="004F7405"/>
    <w:rsid w:val="0050001C"/>
    <w:rsid w:val="00503D8D"/>
    <w:rsid w:val="005040AF"/>
    <w:rsid w:val="005047DF"/>
    <w:rsid w:val="0051235F"/>
    <w:rsid w:val="00513ADB"/>
    <w:rsid w:val="00513E14"/>
    <w:rsid w:val="005154C1"/>
    <w:rsid w:val="005162AB"/>
    <w:rsid w:val="00516F26"/>
    <w:rsid w:val="00517539"/>
    <w:rsid w:val="00517EE0"/>
    <w:rsid w:val="00521122"/>
    <w:rsid w:val="005217B0"/>
    <w:rsid w:val="0052351B"/>
    <w:rsid w:val="00523740"/>
    <w:rsid w:val="00525458"/>
    <w:rsid w:val="00526FED"/>
    <w:rsid w:val="00527FE1"/>
    <w:rsid w:val="00531E72"/>
    <w:rsid w:val="0053621B"/>
    <w:rsid w:val="005365CD"/>
    <w:rsid w:val="00536E2E"/>
    <w:rsid w:val="00541146"/>
    <w:rsid w:val="00542814"/>
    <w:rsid w:val="00545CC2"/>
    <w:rsid w:val="00546238"/>
    <w:rsid w:val="00547D3F"/>
    <w:rsid w:val="00551B8D"/>
    <w:rsid w:val="00552271"/>
    <w:rsid w:val="00552A11"/>
    <w:rsid w:val="00553958"/>
    <w:rsid w:val="0055583F"/>
    <w:rsid w:val="005559D1"/>
    <w:rsid w:val="00555C73"/>
    <w:rsid w:val="005577D9"/>
    <w:rsid w:val="0056010D"/>
    <w:rsid w:val="00560431"/>
    <w:rsid w:val="00561DA8"/>
    <w:rsid w:val="00562CB2"/>
    <w:rsid w:val="005673CD"/>
    <w:rsid w:val="00571893"/>
    <w:rsid w:val="00571D6D"/>
    <w:rsid w:val="00572F46"/>
    <w:rsid w:val="00574A02"/>
    <w:rsid w:val="005754C3"/>
    <w:rsid w:val="00576363"/>
    <w:rsid w:val="00576A54"/>
    <w:rsid w:val="00577DC6"/>
    <w:rsid w:val="005816F4"/>
    <w:rsid w:val="00581BDF"/>
    <w:rsid w:val="00583257"/>
    <w:rsid w:val="00585174"/>
    <w:rsid w:val="00585405"/>
    <w:rsid w:val="00587B48"/>
    <w:rsid w:val="0059012D"/>
    <w:rsid w:val="0059038C"/>
    <w:rsid w:val="00590EEA"/>
    <w:rsid w:val="005921E2"/>
    <w:rsid w:val="00594E87"/>
    <w:rsid w:val="005950E5"/>
    <w:rsid w:val="00596FBE"/>
    <w:rsid w:val="00597309"/>
    <w:rsid w:val="005A1772"/>
    <w:rsid w:val="005A4146"/>
    <w:rsid w:val="005A4948"/>
    <w:rsid w:val="005A4CD3"/>
    <w:rsid w:val="005A5A05"/>
    <w:rsid w:val="005A6F7C"/>
    <w:rsid w:val="005B132F"/>
    <w:rsid w:val="005B15EB"/>
    <w:rsid w:val="005B18B2"/>
    <w:rsid w:val="005B1B45"/>
    <w:rsid w:val="005B38E7"/>
    <w:rsid w:val="005B3F99"/>
    <w:rsid w:val="005B40A6"/>
    <w:rsid w:val="005C0180"/>
    <w:rsid w:val="005C01B7"/>
    <w:rsid w:val="005D0DD7"/>
    <w:rsid w:val="005D2A79"/>
    <w:rsid w:val="005D3004"/>
    <w:rsid w:val="005D3688"/>
    <w:rsid w:val="005D3D39"/>
    <w:rsid w:val="005D45C5"/>
    <w:rsid w:val="005D610A"/>
    <w:rsid w:val="005D650B"/>
    <w:rsid w:val="005D787E"/>
    <w:rsid w:val="005D7C39"/>
    <w:rsid w:val="005E07C2"/>
    <w:rsid w:val="005E13DF"/>
    <w:rsid w:val="005E23C7"/>
    <w:rsid w:val="005E387D"/>
    <w:rsid w:val="005E3B75"/>
    <w:rsid w:val="005E3D15"/>
    <w:rsid w:val="005E40D5"/>
    <w:rsid w:val="005E4C65"/>
    <w:rsid w:val="005E55B1"/>
    <w:rsid w:val="005F2946"/>
    <w:rsid w:val="005F34C6"/>
    <w:rsid w:val="005F3E50"/>
    <w:rsid w:val="005F4318"/>
    <w:rsid w:val="005F4F8E"/>
    <w:rsid w:val="005F54A4"/>
    <w:rsid w:val="005F71D1"/>
    <w:rsid w:val="0060035F"/>
    <w:rsid w:val="00600E0E"/>
    <w:rsid w:val="00601637"/>
    <w:rsid w:val="00602969"/>
    <w:rsid w:val="00604045"/>
    <w:rsid w:val="006045BE"/>
    <w:rsid w:val="00604D95"/>
    <w:rsid w:val="006058DA"/>
    <w:rsid w:val="0060700A"/>
    <w:rsid w:val="00607205"/>
    <w:rsid w:val="006074E4"/>
    <w:rsid w:val="006112D1"/>
    <w:rsid w:val="006112FA"/>
    <w:rsid w:val="00611660"/>
    <w:rsid w:val="006177F8"/>
    <w:rsid w:val="00620205"/>
    <w:rsid w:val="00621A34"/>
    <w:rsid w:val="00622D42"/>
    <w:rsid w:val="00622F63"/>
    <w:rsid w:val="00623402"/>
    <w:rsid w:val="00624B34"/>
    <w:rsid w:val="00625B93"/>
    <w:rsid w:val="00626AD6"/>
    <w:rsid w:val="00627806"/>
    <w:rsid w:val="00627C1B"/>
    <w:rsid w:val="006308E9"/>
    <w:rsid w:val="00633563"/>
    <w:rsid w:val="006341C0"/>
    <w:rsid w:val="006344F8"/>
    <w:rsid w:val="00635CDF"/>
    <w:rsid w:val="00636271"/>
    <w:rsid w:val="00637180"/>
    <w:rsid w:val="006406F8"/>
    <w:rsid w:val="00641DB0"/>
    <w:rsid w:val="00643C5A"/>
    <w:rsid w:val="006502FA"/>
    <w:rsid w:val="00653D8D"/>
    <w:rsid w:val="00655A79"/>
    <w:rsid w:val="00657F63"/>
    <w:rsid w:val="00660E1B"/>
    <w:rsid w:val="00661560"/>
    <w:rsid w:val="00661639"/>
    <w:rsid w:val="00662BC9"/>
    <w:rsid w:val="00663308"/>
    <w:rsid w:val="00663344"/>
    <w:rsid w:val="00664A7C"/>
    <w:rsid w:val="006657BE"/>
    <w:rsid w:val="00667B22"/>
    <w:rsid w:val="006710C1"/>
    <w:rsid w:val="00671557"/>
    <w:rsid w:val="0067304E"/>
    <w:rsid w:val="00674253"/>
    <w:rsid w:val="006745E5"/>
    <w:rsid w:val="00677A0E"/>
    <w:rsid w:val="006805E2"/>
    <w:rsid w:val="00681181"/>
    <w:rsid w:val="00681F54"/>
    <w:rsid w:val="00682099"/>
    <w:rsid w:val="0068245C"/>
    <w:rsid w:val="00682BF1"/>
    <w:rsid w:val="006849ED"/>
    <w:rsid w:val="0068595A"/>
    <w:rsid w:val="006859E9"/>
    <w:rsid w:val="00685A22"/>
    <w:rsid w:val="00685EF4"/>
    <w:rsid w:val="00686648"/>
    <w:rsid w:val="00686F8F"/>
    <w:rsid w:val="00690021"/>
    <w:rsid w:val="0069376A"/>
    <w:rsid w:val="00694D8A"/>
    <w:rsid w:val="00694E05"/>
    <w:rsid w:val="00694F3D"/>
    <w:rsid w:val="00697ECF"/>
    <w:rsid w:val="006A18B6"/>
    <w:rsid w:val="006A1EDC"/>
    <w:rsid w:val="006A2823"/>
    <w:rsid w:val="006A2C6B"/>
    <w:rsid w:val="006A4342"/>
    <w:rsid w:val="006A581A"/>
    <w:rsid w:val="006A5B0F"/>
    <w:rsid w:val="006A5ED6"/>
    <w:rsid w:val="006A5FF3"/>
    <w:rsid w:val="006A754D"/>
    <w:rsid w:val="006B07EE"/>
    <w:rsid w:val="006B165C"/>
    <w:rsid w:val="006B20EE"/>
    <w:rsid w:val="006B4826"/>
    <w:rsid w:val="006B5B8D"/>
    <w:rsid w:val="006B6B8D"/>
    <w:rsid w:val="006C1614"/>
    <w:rsid w:val="006C1D8C"/>
    <w:rsid w:val="006C20C9"/>
    <w:rsid w:val="006C51D5"/>
    <w:rsid w:val="006C5DB2"/>
    <w:rsid w:val="006D18FA"/>
    <w:rsid w:val="006D1AC5"/>
    <w:rsid w:val="006D1E49"/>
    <w:rsid w:val="006D2553"/>
    <w:rsid w:val="006D3EA4"/>
    <w:rsid w:val="006D432E"/>
    <w:rsid w:val="006D5B0E"/>
    <w:rsid w:val="006D674C"/>
    <w:rsid w:val="006E0EF5"/>
    <w:rsid w:val="006E1CF4"/>
    <w:rsid w:val="006E2413"/>
    <w:rsid w:val="006E41C0"/>
    <w:rsid w:val="006E4894"/>
    <w:rsid w:val="006E5E13"/>
    <w:rsid w:val="006E6044"/>
    <w:rsid w:val="006F0AFA"/>
    <w:rsid w:val="006F1B52"/>
    <w:rsid w:val="006F27A6"/>
    <w:rsid w:val="006F2A7F"/>
    <w:rsid w:val="006F39A4"/>
    <w:rsid w:val="006F42DE"/>
    <w:rsid w:val="007016A4"/>
    <w:rsid w:val="00703B29"/>
    <w:rsid w:val="00705294"/>
    <w:rsid w:val="00705B33"/>
    <w:rsid w:val="0070615E"/>
    <w:rsid w:val="00706C4B"/>
    <w:rsid w:val="00710A58"/>
    <w:rsid w:val="00710F29"/>
    <w:rsid w:val="007113D1"/>
    <w:rsid w:val="007116AC"/>
    <w:rsid w:val="007124A2"/>
    <w:rsid w:val="007133ED"/>
    <w:rsid w:val="0072101D"/>
    <w:rsid w:val="007230D6"/>
    <w:rsid w:val="00723E4B"/>
    <w:rsid w:val="00724553"/>
    <w:rsid w:val="0072563F"/>
    <w:rsid w:val="007305C0"/>
    <w:rsid w:val="007309BA"/>
    <w:rsid w:val="00730B31"/>
    <w:rsid w:val="00732374"/>
    <w:rsid w:val="00732CFA"/>
    <w:rsid w:val="00732E2C"/>
    <w:rsid w:val="00733398"/>
    <w:rsid w:val="00734468"/>
    <w:rsid w:val="00735ECF"/>
    <w:rsid w:val="007368A2"/>
    <w:rsid w:val="00736DE9"/>
    <w:rsid w:val="0074194F"/>
    <w:rsid w:val="00742439"/>
    <w:rsid w:val="0074298E"/>
    <w:rsid w:val="00743A10"/>
    <w:rsid w:val="007448DE"/>
    <w:rsid w:val="007465A9"/>
    <w:rsid w:val="00746B9A"/>
    <w:rsid w:val="00747558"/>
    <w:rsid w:val="007500CC"/>
    <w:rsid w:val="00751434"/>
    <w:rsid w:val="00753290"/>
    <w:rsid w:val="00753E0F"/>
    <w:rsid w:val="00754A0D"/>
    <w:rsid w:val="007552C1"/>
    <w:rsid w:val="007562E2"/>
    <w:rsid w:val="007577C2"/>
    <w:rsid w:val="00762F2B"/>
    <w:rsid w:val="0076328E"/>
    <w:rsid w:val="0076419C"/>
    <w:rsid w:val="0076561E"/>
    <w:rsid w:val="00765859"/>
    <w:rsid w:val="007661B0"/>
    <w:rsid w:val="0076755A"/>
    <w:rsid w:val="00772588"/>
    <w:rsid w:val="00773353"/>
    <w:rsid w:val="0077651B"/>
    <w:rsid w:val="00777D77"/>
    <w:rsid w:val="00780A45"/>
    <w:rsid w:val="00780C5B"/>
    <w:rsid w:val="00783842"/>
    <w:rsid w:val="007876E3"/>
    <w:rsid w:val="00790F8C"/>
    <w:rsid w:val="007928AD"/>
    <w:rsid w:val="007932B0"/>
    <w:rsid w:val="00793653"/>
    <w:rsid w:val="00793AFD"/>
    <w:rsid w:val="00794724"/>
    <w:rsid w:val="00795132"/>
    <w:rsid w:val="00795265"/>
    <w:rsid w:val="007A0174"/>
    <w:rsid w:val="007A0BB2"/>
    <w:rsid w:val="007A4D86"/>
    <w:rsid w:val="007A5131"/>
    <w:rsid w:val="007B2457"/>
    <w:rsid w:val="007B26C6"/>
    <w:rsid w:val="007B3196"/>
    <w:rsid w:val="007B3FE1"/>
    <w:rsid w:val="007B4019"/>
    <w:rsid w:val="007B66A0"/>
    <w:rsid w:val="007B6CFA"/>
    <w:rsid w:val="007B6E4E"/>
    <w:rsid w:val="007B71E9"/>
    <w:rsid w:val="007B7763"/>
    <w:rsid w:val="007C0C62"/>
    <w:rsid w:val="007C1702"/>
    <w:rsid w:val="007C1819"/>
    <w:rsid w:val="007C41D1"/>
    <w:rsid w:val="007C48C7"/>
    <w:rsid w:val="007C5032"/>
    <w:rsid w:val="007C5661"/>
    <w:rsid w:val="007C5AEB"/>
    <w:rsid w:val="007C69D6"/>
    <w:rsid w:val="007D0DEE"/>
    <w:rsid w:val="007D20EC"/>
    <w:rsid w:val="007D2CEB"/>
    <w:rsid w:val="007D3591"/>
    <w:rsid w:val="007D5113"/>
    <w:rsid w:val="007D5189"/>
    <w:rsid w:val="007D6683"/>
    <w:rsid w:val="007D79A2"/>
    <w:rsid w:val="007E0FB7"/>
    <w:rsid w:val="007E1205"/>
    <w:rsid w:val="007E606B"/>
    <w:rsid w:val="007E6167"/>
    <w:rsid w:val="007E6C1C"/>
    <w:rsid w:val="007E74C5"/>
    <w:rsid w:val="007F02AB"/>
    <w:rsid w:val="007F0E34"/>
    <w:rsid w:val="007F32C6"/>
    <w:rsid w:val="007F6368"/>
    <w:rsid w:val="007F74D6"/>
    <w:rsid w:val="007F7782"/>
    <w:rsid w:val="007F7ADD"/>
    <w:rsid w:val="007F7B7F"/>
    <w:rsid w:val="00802413"/>
    <w:rsid w:val="008043DE"/>
    <w:rsid w:val="0080498D"/>
    <w:rsid w:val="0080606A"/>
    <w:rsid w:val="008065F0"/>
    <w:rsid w:val="00807C2F"/>
    <w:rsid w:val="00810B67"/>
    <w:rsid w:val="00811BBF"/>
    <w:rsid w:val="008126FB"/>
    <w:rsid w:val="008129C6"/>
    <w:rsid w:val="00812E0A"/>
    <w:rsid w:val="0081352B"/>
    <w:rsid w:val="008140C1"/>
    <w:rsid w:val="00814514"/>
    <w:rsid w:val="00815334"/>
    <w:rsid w:val="008155F7"/>
    <w:rsid w:val="008237E2"/>
    <w:rsid w:val="008255E4"/>
    <w:rsid w:val="00825833"/>
    <w:rsid w:val="0082585B"/>
    <w:rsid w:val="00825FBF"/>
    <w:rsid w:val="008265EF"/>
    <w:rsid w:val="00827870"/>
    <w:rsid w:val="00827B98"/>
    <w:rsid w:val="00827BAD"/>
    <w:rsid w:val="00830639"/>
    <w:rsid w:val="008309C9"/>
    <w:rsid w:val="00830BC7"/>
    <w:rsid w:val="008335E3"/>
    <w:rsid w:val="00834091"/>
    <w:rsid w:val="00834DCB"/>
    <w:rsid w:val="00836673"/>
    <w:rsid w:val="00840C01"/>
    <w:rsid w:val="00840C42"/>
    <w:rsid w:val="0084167C"/>
    <w:rsid w:val="00843AB3"/>
    <w:rsid w:val="00844F10"/>
    <w:rsid w:val="00845186"/>
    <w:rsid w:val="00845B0E"/>
    <w:rsid w:val="00845BBC"/>
    <w:rsid w:val="00845EF3"/>
    <w:rsid w:val="00846996"/>
    <w:rsid w:val="00847DAA"/>
    <w:rsid w:val="00847F2B"/>
    <w:rsid w:val="00850048"/>
    <w:rsid w:val="00850F3A"/>
    <w:rsid w:val="008513D8"/>
    <w:rsid w:val="00852C25"/>
    <w:rsid w:val="008532D9"/>
    <w:rsid w:val="00855D43"/>
    <w:rsid w:val="008561D7"/>
    <w:rsid w:val="00860033"/>
    <w:rsid w:val="008607B4"/>
    <w:rsid w:val="00860B22"/>
    <w:rsid w:val="00861074"/>
    <w:rsid w:val="00862F30"/>
    <w:rsid w:val="008636FC"/>
    <w:rsid w:val="00863DB6"/>
    <w:rsid w:val="00865B86"/>
    <w:rsid w:val="0086739D"/>
    <w:rsid w:val="00870368"/>
    <w:rsid w:val="00870C7F"/>
    <w:rsid w:val="00871164"/>
    <w:rsid w:val="008725DC"/>
    <w:rsid w:val="00873BC6"/>
    <w:rsid w:val="00874FB1"/>
    <w:rsid w:val="0087586D"/>
    <w:rsid w:val="008760B2"/>
    <w:rsid w:val="00877120"/>
    <w:rsid w:val="008771F4"/>
    <w:rsid w:val="00880902"/>
    <w:rsid w:val="0088180F"/>
    <w:rsid w:val="00881E3C"/>
    <w:rsid w:val="0088596A"/>
    <w:rsid w:val="00886E9D"/>
    <w:rsid w:val="0088740E"/>
    <w:rsid w:val="00892A4E"/>
    <w:rsid w:val="00892BE3"/>
    <w:rsid w:val="00894A27"/>
    <w:rsid w:val="00894DC2"/>
    <w:rsid w:val="00896A4C"/>
    <w:rsid w:val="00896EBA"/>
    <w:rsid w:val="0089797F"/>
    <w:rsid w:val="008A23C9"/>
    <w:rsid w:val="008A321B"/>
    <w:rsid w:val="008A39F8"/>
    <w:rsid w:val="008B0B3A"/>
    <w:rsid w:val="008B1F7D"/>
    <w:rsid w:val="008B32A9"/>
    <w:rsid w:val="008B4F96"/>
    <w:rsid w:val="008B53D0"/>
    <w:rsid w:val="008C0083"/>
    <w:rsid w:val="008C2EDB"/>
    <w:rsid w:val="008C6C9A"/>
    <w:rsid w:val="008C701E"/>
    <w:rsid w:val="008C71BA"/>
    <w:rsid w:val="008C71DA"/>
    <w:rsid w:val="008D077B"/>
    <w:rsid w:val="008D1B64"/>
    <w:rsid w:val="008D1FE6"/>
    <w:rsid w:val="008D405D"/>
    <w:rsid w:val="008D4162"/>
    <w:rsid w:val="008D4597"/>
    <w:rsid w:val="008D4C91"/>
    <w:rsid w:val="008D4E54"/>
    <w:rsid w:val="008D68F9"/>
    <w:rsid w:val="008D6BE8"/>
    <w:rsid w:val="008E4C89"/>
    <w:rsid w:val="008E51AF"/>
    <w:rsid w:val="008E548A"/>
    <w:rsid w:val="008E6822"/>
    <w:rsid w:val="008E74A2"/>
    <w:rsid w:val="008F0A57"/>
    <w:rsid w:val="008F0B4B"/>
    <w:rsid w:val="008F4B82"/>
    <w:rsid w:val="009006A6"/>
    <w:rsid w:val="009016D7"/>
    <w:rsid w:val="009018F7"/>
    <w:rsid w:val="00901C7E"/>
    <w:rsid w:val="00903AC3"/>
    <w:rsid w:val="0090412E"/>
    <w:rsid w:val="00904536"/>
    <w:rsid w:val="0090478A"/>
    <w:rsid w:val="009102A7"/>
    <w:rsid w:val="0091042F"/>
    <w:rsid w:val="00911D86"/>
    <w:rsid w:val="009144B5"/>
    <w:rsid w:val="009146F6"/>
    <w:rsid w:val="00915302"/>
    <w:rsid w:val="00915863"/>
    <w:rsid w:val="00916ED7"/>
    <w:rsid w:val="00920CEA"/>
    <w:rsid w:val="00922E70"/>
    <w:rsid w:val="00924420"/>
    <w:rsid w:val="00924D62"/>
    <w:rsid w:val="00925764"/>
    <w:rsid w:val="00926442"/>
    <w:rsid w:val="00926E69"/>
    <w:rsid w:val="009301DC"/>
    <w:rsid w:val="00930EF7"/>
    <w:rsid w:val="0093125C"/>
    <w:rsid w:val="009317B8"/>
    <w:rsid w:val="009350C6"/>
    <w:rsid w:val="009360D6"/>
    <w:rsid w:val="00936282"/>
    <w:rsid w:val="00936510"/>
    <w:rsid w:val="00940E35"/>
    <w:rsid w:val="00941336"/>
    <w:rsid w:val="00945476"/>
    <w:rsid w:val="00945E92"/>
    <w:rsid w:val="009466EE"/>
    <w:rsid w:val="0094698E"/>
    <w:rsid w:val="00947D0E"/>
    <w:rsid w:val="00951188"/>
    <w:rsid w:val="009511A3"/>
    <w:rsid w:val="00953CB0"/>
    <w:rsid w:val="00954664"/>
    <w:rsid w:val="009575E1"/>
    <w:rsid w:val="00957AD7"/>
    <w:rsid w:val="00960BC7"/>
    <w:rsid w:val="00962129"/>
    <w:rsid w:val="00962B0D"/>
    <w:rsid w:val="009632C9"/>
    <w:rsid w:val="00964625"/>
    <w:rsid w:val="009659E1"/>
    <w:rsid w:val="009667EE"/>
    <w:rsid w:val="0097023B"/>
    <w:rsid w:val="00970A86"/>
    <w:rsid w:val="009720B6"/>
    <w:rsid w:val="00972D93"/>
    <w:rsid w:val="0097316B"/>
    <w:rsid w:val="0097333C"/>
    <w:rsid w:val="0097354A"/>
    <w:rsid w:val="00974FAA"/>
    <w:rsid w:val="0097630B"/>
    <w:rsid w:val="00977184"/>
    <w:rsid w:val="0097718F"/>
    <w:rsid w:val="009802C9"/>
    <w:rsid w:val="00983EC1"/>
    <w:rsid w:val="009842BA"/>
    <w:rsid w:val="00985ABF"/>
    <w:rsid w:val="00991685"/>
    <w:rsid w:val="0099183E"/>
    <w:rsid w:val="009927FA"/>
    <w:rsid w:val="009967F2"/>
    <w:rsid w:val="00997790"/>
    <w:rsid w:val="009A17B3"/>
    <w:rsid w:val="009A2169"/>
    <w:rsid w:val="009A299B"/>
    <w:rsid w:val="009A3C9A"/>
    <w:rsid w:val="009A5114"/>
    <w:rsid w:val="009A5390"/>
    <w:rsid w:val="009A66D0"/>
    <w:rsid w:val="009A6910"/>
    <w:rsid w:val="009A745C"/>
    <w:rsid w:val="009B01FC"/>
    <w:rsid w:val="009B0A16"/>
    <w:rsid w:val="009B1BFE"/>
    <w:rsid w:val="009B2207"/>
    <w:rsid w:val="009B42E8"/>
    <w:rsid w:val="009B7367"/>
    <w:rsid w:val="009C1591"/>
    <w:rsid w:val="009C5A1F"/>
    <w:rsid w:val="009C6036"/>
    <w:rsid w:val="009D1639"/>
    <w:rsid w:val="009D2CA7"/>
    <w:rsid w:val="009D3F76"/>
    <w:rsid w:val="009D5A76"/>
    <w:rsid w:val="009D6839"/>
    <w:rsid w:val="009E021E"/>
    <w:rsid w:val="009E0EA2"/>
    <w:rsid w:val="009E214D"/>
    <w:rsid w:val="009E28EC"/>
    <w:rsid w:val="009E2DBF"/>
    <w:rsid w:val="009E315A"/>
    <w:rsid w:val="009E4841"/>
    <w:rsid w:val="009E78E7"/>
    <w:rsid w:val="009E7983"/>
    <w:rsid w:val="009F01AD"/>
    <w:rsid w:val="009F04B5"/>
    <w:rsid w:val="009F1163"/>
    <w:rsid w:val="009F1BD2"/>
    <w:rsid w:val="009F27B2"/>
    <w:rsid w:val="009F2D7D"/>
    <w:rsid w:val="009F2E31"/>
    <w:rsid w:val="009F352E"/>
    <w:rsid w:val="009F3F1F"/>
    <w:rsid w:val="009F4FB3"/>
    <w:rsid w:val="009F71D1"/>
    <w:rsid w:val="00A00DD6"/>
    <w:rsid w:val="00A017BA"/>
    <w:rsid w:val="00A01EFD"/>
    <w:rsid w:val="00A02616"/>
    <w:rsid w:val="00A026DF"/>
    <w:rsid w:val="00A03A5F"/>
    <w:rsid w:val="00A03D86"/>
    <w:rsid w:val="00A04100"/>
    <w:rsid w:val="00A066DE"/>
    <w:rsid w:val="00A075C8"/>
    <w:rsid w:val="00A10B65"/>
    <w:rsid w:val="00A11AEF"/>
    <w:rsid w:val="00A13D1C"/>
    <w:rsid w:val="00A14065"/>
    <w:rsid w:val="00A141E5"/>
    <w:rsid w:val="00A14734"/>
    <w:rsid w:val="00A15310"/>
    <w:rsid w:val="00A15581"/>
    <w:rsid w:val="00A1593F"/>
    <w:rsid w:val="00A15B57"/>
    <w:rsid w:val="00A15FE8"/>
    <w:rsid w:val="00A17340"/>
    <w:rsid w:val="00A21F92"/>
    <w:rsid w:val="00A23BFB"/>
    <w:rsid w:val="00A2536F"/>
    <w:rsid w:val="00A263F4"/>
    <w:rsid w:val="00A26AF6"/>
    <w:rsid w:val="00A30AF9"/>
    <w:rsid w:val="00A30DB3"/>
    <w:rsid w:val="00A3254F"/>
    <w:rsid w:val="00A333B8"/>
    <w:rsid w:val="00A344A6"/>
    <w:rsid w:val="00A345A4"/>
    <w:rsid w:val="00A34856"/>
    <w:rsid w:val="00A403E9"/>
    <w:rsid w:val="00A406DC"/>
    <w:rsid w:val="00A41119"/>
    <w:rsid w:val="00A41A8C"/>
    <w:rsid w:val="00A42CBB"/>
    <w:rsid w:val="00A4347E"/>
    <w:rsid w:val="00A4381E"/>
    <w:rsid w:val="00A438C1"/>
    <w:rsid w:val="00A43C2F"/>
    <w:rsid w:val="00A45F52"/>
    <w:rsid w:val="00A4630E"/>
    <w:rsid w:val="00A47DE3"/>
    <w:rsid w:val="00A51F94"/>
    <w:rsid w:val="00A5227A"/>
    <w:rsid w:val="00A52B5E"/>
    <w:rsid w:val="00A5379E"/>
    <w:rsid w:val="00A55A52"/>
    <w:rsid w:val="00A55DE0"/>
    <w:rsid w:val="00A5760F"/>
    <w:rsid w:val="00A57D42"/>
    <w:rsid w:val="00A60BBB"/>
    <w:rsid w:val="00A60C83"/>
    <w:rsid w:val="00A61CB4"/>
    <w:rsid w:val="00A63A99"/>
    <w:rsid w:val="00A65F1E"/>
    <w:rsid w:val="00A70423"/>
    <w:rsid w:val="00A7099A"/>
    <w:rsid w:val="00A70FF5"/>
    <w:rsid w:val="00A721E5"/>
    <w:rsid w:val="00A73360"/>
    <w:rsid w:val="00A73904"/>
    <w:rsid w:val="00A739AD"/>
    <w:rsid w:val="00A7764F"/>
    <w:rsid w:val="00A80964"/>
    <w:rsid w:val="00A81703"/>
    <w:rsid w:val="00A83111"/>
    <w:rsid w:val="00A84047"/>
    <w:rsid w:val="00A855AA"/>
    <w:rsid w:val="00A85982"/>
    <w:rsid w:val="00A90123"/>
    <w:rsid w:val="00A932E8"/>
    <w:rsid w:val="00A934C1"/>
    <w:rsid w:val="00A971A6"/>
    <w:rsid w:val="00A972FF"/>
    <w:rsid w:val="00A97B9A"/>
    <w:rsid w:val="00AA0450"/>
    <w:rsid w:val="00AA0C3D"/>
    <w:rsid w:val="00AA22FC"/>
    <w:rsid w:val="00AA535D"/>
    <w:rsid w:val="00AA65E5"/>
    <w:rsid w:val="00AB0683"/>
    <w:rsid w:val="00AB179B"/>
    <w:rsid w:val="00AB197C"/>
    <w:rsid w:val="00AB199E"/>
    <w:rsid w:val="00AB2DA9"/>
    <w:rsid w:val="00AB3E88"/>
    <w:rsid w:val="00AB5052"/>
    <w:rsid w:val="00AB5560"/>
    <w:rsid w:val="00AC1E25"/>
    <w:rsid w:val="00AC2F1A"/>
    <w:rsid w:val="00AC44CC"/>
    <w:rsid w:val="00AC478C"/>
    <w:rsid w:val="00AC4EF9"/>
    <w:rsid w:val="00AC5873"/>
    <w:rsid w:val="00AC58FC"/>
    <w:rsid w:val="00AC5C2F"/>
    <w:rsid w:val="00AC6733"/>
    <w:rsid w:val="00AC6B6C"/>
    <w:rsid w:val="00AC6CD8"/>
    <w:rsid w:val="00AC7AC9"/>
    <w:rsid w:val="00AC7D76"/>
    <w:rsid w:val="00AD0909"/>
    <w:rsid w:val="00AD34DE"/>
    <w:rsid w:val="00AD48BE"/>
    <w:rsid w:val="00AD5869"/>
    <w:rsid w:val="00AD5B44"/>
    <w:rsid w:val="00AD5E69"/>
    <w:rsid w:val="00AD74A5"/>
    <w:rsid w:val="00AD78A7"/>
    <w:rsid w:val="00AD7AA1"/>
    <w:rsid w:val="00AE16EC"/>
    <w:rsid w:val="00AE398A"/>
    <w:rsid w:val="00AE7762"/>
    <w:rsid w:val="00AE7B86"/>
    <w:rsid w:val="00AF1C2F"/>
    <w:rsid w:val="00AF2305"/>
    <w:rsid w:val="00AF2A93"/>
    <w:rsid w:val="00AF46AA"/>
    <w:rsid w:val="00AF5D98"/>
    <w:rsid w:val="00AF7307"/>
    <w:rsid w:val="00B03A57"/>
    <w:rsid w:val="00B044C6"/>
    <w:rsid w:val="00B05898"/>
    <w:rsid w:val="00B07A0A"/>
    <w:rsid w:val="00B10634"/>
    <w:rsid w:val="00B11481"/>
    <w:rsid w:val="00B11FF2"/>
    <w:rsid w:val="00B13400"/>
    <w:rsid w:val="00B2222C"/>
    <w:rsid w:val="00B24F9D"/>
    <w:rsid w:val="00B25E15"/>
    <w:rsid w:val="00B26221"/>
    <w:rsid w:val="00B26386"/>
    <w:rsid w:val="00B2789E"/>
    <w:rsid w:val="00B27A34"/>
    <w:rsid w:val="00B31647"/>
    <w:rsid w:val="00B32CE5"/>
    <w:rsid w:val="00B32CF1"/>
    <w:rsid w:val="00B33799"/>
    <w:rsid w:val="00B34F63"/>
    <w:rsid w:val="00B35670"/>
    <w:rsid w:val="00B361AE"/>
    <w:rsid w:val="00B3689A"/>
    <w:rsid w:val="00B4012B"/>
    <w:rsid w:val="00B40EDB"/>
    <w:rsid w:val="00B43126"/>
    <w:rsid w:val="00B447CB"/>
    <w:rsid w:val="00B462FA"/>
    <w:rsid w:val="00B526CB"/>
    <w:rsid w:val="00B5275C"/>
    <w:rsid w:val="00B53A21"/>
    <w:rsid w:val="00B53B49"/>
    <w:rsid w:val="00B548FA"/>
    <w:rsid w:val="00B54A0A"/>
    <w:rsid w:val="00B54B6D"/>
    <w:rsid w:val="00B54BD9"/>
    <w:rsid w:val="00B556E0"/>
    <w:rsid w:val="00B55A92"/>
    <w:rsid w:val="00B56FF3"/>
    <w:rsid w:val="00B57AFD"/>
    <w:rsid w:val="00B57EA9"/>
    <w:rsid w:val="00B606D4"/>
    <w:rsid w:val="00B6183C"/>
    <w:rsid w:val="00B61D39"/>
    <w:rsid w:val="00B625DD"/>
    <w:rsid w:val="00B62A79"/>
    <w:rsid w:val="00B641F8"/>
    <w:rsid w:val="00B64341"/>
    <w:rsid w:val="00B64399"/>
    <w:rsid w:val="00B7228A"/>
    <w:rsid w:val="00B75904"/>
    <w:rsid w:val="00B75CDF"/>
    <w:rsid w:val="00B7662E"/>
    <w:rsid w:val="00B82086"/>
    <w:rsid w:val="00B86D75"/>
    <w:rsid w:val="00B91263"/>
    <w:rsid w:val="00B921BF"/>
    <w:rsid w:val="00B92245"/>
    <w:rsid w:val="00B927E5"/>
    <w:rsid w:val="00B968AB"/>
    <w:rsid w:val="00B975F3"/>
    <w:rsid w:val="00BA0DEE"/>
    <w:rsid w:val="00BA1E11"/>
    <w:rsid w:val="00BA2559"/>
    <w:rsid w:val="00BA32CC"/>
    <w:rsid w:val="00BA5DFA"/>
    <w:rsid w:val="00BB2FF6"/>
    <w:rsid w:val="00BB3B42"/>
    <w:rsid w:val="00BB69A5"/>
    <w:rsid w:val="00BC0EFB"/>
    <w:rsid w:val="00BC21EE"/>
    <w:rsid w:val="00BC65D8"/>
    <w:rsid w:val="00BC6609"/>
    <w:rsid w:val="00BC69B0"/>
    <w:rsid w:val="00BD1415"/>
    <w:rsid w:val="00BD316B"/>
    <w:rsid w:val="00BD38EF"/>
    <w:rsid w:val="00BD4653"/>
    <w:rsid w:val="00BD560B"/>
    <w:rsid w:val="00BD5DAE"/>
    <w:rsid w:val="00BD6475"/>
    <w:rsid w:val="00BD6AA9"/>
    <w:rsid w:val="00BE03E7"/>
    <w:rsid w:val="00BE0DF3"/>
    <w:rsid w:val="00BE2499"/>
    <w:rsid w:val="00BE3CC7"/>
    <w:rsid w:val="00BE5AD6"/>
    <w:rsid w:val="00BE5C95"/>
    <w:rsid w:val="00BE5E43"/>
    <w:rsid w:val="00BE6721"/>
    <w:rsid w:val="00BF0271"/>
    <w:rsid w:val="00BF06DD"/>
    <w:rsid w:val="00BF0807"/>
    <w:rsid w:val="00BF12C4"/>
    <w:rsid w:val="00BF2C0E"/>
    <w:rsid w:val="00BF4A21"/>
    <w:rsid w:val="00BF5E81"/>
    <w:rsid w:val="00BF65CA"/>
    <w:rsid w:val="00C0046A"/>
    <w:rsid w:val="00C01123"/>
    <w:rsid w:val="00C032DC"/>
    <w:rsid w:val="00C03A44"/>
    <w:rsid w:val="00C0524A"/>
    <w:rsid w:val="00C05A53"/>
    <w:rsid w:val="00C06F95"/>
    <w:rsid w:val="00C1110D"/>
    <w:rsid w:val="00C11532"/>
    <w:rsid w:val="00C11A50"/>
    <w:rsid w:val="00C127B1"/>
    <w:rsid w:val="00C134B7"/>
    <w:rsid w:val="00C15E87"/>
    <w:rsid w:val="00C16FC7"/>
    <w:rsid w:val="00C175D0"/>
    <w:rsid w:val="00C2096B"/>
    <w:rsid w:val="00C20D51"/>
    <w:rsid w:val="00C20FDB"/>
    <w:rsid w:val="00C21A8D"/>
    <w:rsid w:val="00C21E2C"/>
    <w:rsid w:val="00C22D8B"/>
    <w:rsid w:val="00C2323C"/>
    <w:rsid w:val="00C24DB0"/>
    <w:rsid w:val="00C2672A"/>
    <w:rsid w:val="00C26B1C"/>
    <w:rsid w:val="00C274AA"/>
    <w:rsid w:val="00C30588"/>
    <w:rsid w:val="00C30C69"/>
    <w:rsid w:val="00C32965"/>
    <w:rsid w:val="00C337E1"/>
    <w:rsid w:val="00C3426D"/>
    <w:rsid w:val="00C350CA"/>
    <w:rsid w:val="00C35931"/>
    <w:rsid w:val="00C360EB"/>
    <w:rsid w:val="00C37341"/>
    <w:rsid w:val="00C40961"/>
    <w:rsid w:val="00C449A6"/>
    <w:rsid w:val="00C44ADA"/>
    <w:rsid w:val="00C46060"/>
    <w:rsid w:val="00C476C8"/>
    <w:rsid w:val="00C47F21"/>
    <w:rsid w:val="00C50711"/>
    <w:rsid w:val="00C5234A"/>
    <w:rsid w:val="00C523C6"/>
    <w:rsid w:val="00C525BA"/>
    <w:rsid w:val="00C53065"/>
    <w:rsid w:val="00C54204"/>
    <w:rsid w:val="00C55300"/>
    <w:rsid w:val="00C55524"/>
    <w:rsid w:val="00C555F7"/>
    <w:rsid w:val="00C55EF8"/>
    <w:rsid w:val="00C56446"/>
    <w:rsid w:val="00C60863"/>
    <w:rsid w:val="00C613E5"/>
    <w:rsid w:val="00C6285D"/>
    <w:rsid w:val="00C639E3"/>
    <w:rsid w:val="00C640E3"/>
    <w:rsid w:val="00C64D77"/>
    <w:rsid w:val="00C70563"/>
    <w:rsid w:val="00C7095F"/>
    <w:rsid w:val="00C71292"/>
    <w:rsid w:val="00C71484"/>
    <w:rsid w:val="00C714C2"/>
    <w:rsid w:val="00C716CA"/>
    <w:rsid w:val="00C72305"/>
    <w:rsid w:val="00C726EF"/>
    <w:rsid w:val="00C735A7"/>
    <w:rsid w:val="00C73770"/>
    <w:rsid w:val="00C73FB1"/>
    <w:rsid w:val="00C75238"/>
    <w:rsid w:val="00C7548A"/>
    <w:rsid w:val="00C76FAC"/>
    <w:rsid w:val="00C77BC1"/>
    <w:rsid w:val="00C823CE"/>
    <w:rsid w:val="00C8566F"/>
    <w:rsid w:val="00C859AE"/>
    <w:rsid w:val="00C87C43"/>
    <w:rsid w:val="00C93B0E"/>
    <w:rsid w:val="00C96E22"/>
    <w:rsid w:val="00C979D0"/>
    <w:rsid w:val="00CA410E"/>
    <w:rsid w:val="00CA447E"/>
    <w:rsid w:val="00CA663B"/>
    <w:rsid w:val="00CA7E6A"/>
    <w:rsid w:val="00CB0CDF"/>
    <w:rsid w:val="00CB0FE7"/>
    <w:rsid w:val="00CB1A0B"/>
    <w:rsid w:val="00CB1DDE"/>
    <w:rsid w:val="00CB2608"/>
    <w:rsid w:val="00CB27FD"/>
    <w:rsid w:val="00CB2F2B"/>
    <w:rsid w:val="00CB528D"/>
    <w:rsid w:val="00CB635C"/>
    <w:rsid w:val="00CB7321"/>
    <w:rsid w:val="00CB7E0A"/>
    <w:rsid w:val="00CC2FB6"/>
    <w:rsid w:val="00CC3027"/>
    <w:rsid w:val="00CC390D"/>
    <w:rsid w:val="00CC421B"/>
    <w:rsid w:val="00CC71D5"/>
    <w:rsid w:val="00CD1798"/>
    <w:rsid w:val="00CD1BC6"/>
    <w:rsid w:val="00CD27EE"/>
    <w:rsid w:val="00CD690F"/>
    <w:rsid w:val="00CE10BD"/>
    <w:rsid w:val="00CE1F17"/>
    <w:rsid w:val="00CE3129"/>
    <w:rsid w:val="00CE7F13"/>
    <w:rsid w:val="00CF26BF"/>
    <w:rsid w:val="00CF3FB2"/>
    <w:rsid w:val="00CF66A7"/>
    <w:rsid w:val="00D004BE"/>
    <w:rsid w:val="00D00852"/>
    <w:rsid w:val="00D00DBC"/>
    <w:rsid w:val="00D02EFC"/>
    <w:rsid w:val="00D03586"/>
    <w:rsid w:val="00D03B28"/>
    <w:rsid w:val="00D05726"/>
    <w:rsid w:val="00D075C6"/>
    <w:rsid w:val="00D07E19"/>
    <w:rsid w:val="00D1075C"/>
    <w:rsid w:val="00D10972"/>
    <w:rsid w:val="00D10A17"/>
    <w:rsid w:val="00D1185E"/>
    <w:rsid w:val="00D14FB9"/>
    <w:rsid w:val="00D1561D"/>
    <w:rsid w:val="00D213E9"/>
    <w:rsid w:val="00D22F1D"/>
    <w:rsid w:val="00D25465"/>
    <w:rsid w:val="00D27922"/>
    <w:rsid w:val="00D30E72"/>
    <w:rsid w:val="00D32704"/>
    <w:rsid w:val="00D339F5"/>
    <w:rsid w:val="00D33B6C"/>
    <w:rsid w:val="00D3454C"/>
    <w:rsid w:val="00D37F45"/>
    <w:rsid w:val="00D4105E"/>
    <w:rsid w:val="00D41BB2"/>
    <w:rsid w:val="00D42E24"/>
    <w:rsid w:val="00D44A44"/>
    <w:rsid w:val="00D46107"/>
    <w:rsid w:val="00D47ADE"/>
    <w:rsid w:val="00D47E17"/>
    <w:rsid w:val="00D50854"/>
    <w:rsid w:val="00D50899"/>
    <w:rsid w:val="00D51245"/>
    <w:rsid w:val="00D512E7"/>
    <w:rsid w:val="00D53935"/>
    <w:rsid w:val="00D54158"/>
    <w:rsid w:val="00D54E97"/>
    <w:rsid w:val="00D5688B"/>
    <w:rsid w:val="00D57030"/>
    <w:rsid w:val="00D60DAA"/>
    <w:rsid w:val="00D63672"/>
    <w:rsid w:val="00D63D53"/>
    <w:rsid w:val="00D66046"/>
    <w:rsid w:val="00D72181"/>
    <w:rsid w:val="00D7396F"/>
    <w:rsid w:val="00D7523E"/>
    <w:rsid w:val="00D76A33"/>
    <w:rsid w:val="00D80D4C"/>
    <w:rsid w:val="00D81AF1"/>
    <w:rsid w:val="00D825E8"/>
    <w:rsid w:val="00D82BF9"/>
    <w:rsid w:val="00D83885"/>
    <w:rsid w:val="00D843D7"/>
    <w:rsid w:val="00D8495A"/>
    <w:rsid w:val="00D84E4B"/>
    <w:rsid w:val="00D90345"/>
    <w:rsid w:val="00D90456"/>
    <w:rsid w:val="00D906AD"/>
    <w:rsid w:val="00D92A4E"/>
    <w:rsid w:val="00D95BB2"/>
    <w:rsid w:val="00D9733D"/>
    <w:rsid w:val="00D97D5E"/>
    <w:rsid w:val="00DA04EF"/>
    <w:rsid w:val="00DA3D19"/>
    <w:rsid w:val="00DA4017"/>
    <w:rsid w:val="00DA5B94"/>
    <w:rsid w:val="00DA72DC"/>
    <w:rsid w:val="00DB16ED"/>
    <w:rsid w:val="00DB2B56"/>
    <w:rsid w:val="00DB335C"/>
    <w:rsid w:val="00DB44D3"/>
    <w:rsid w:val="00DB4CDE"/>
    <w:rsid w:val="00DB5C76"/>
    <w:rsid w:val="00DB6535"/>
    <w:rsid w:val="00DC0159"/>
    <w:rsid w:val="00DC0500"/>
    <w:rsid w:val="00DC0DF1"/>
    <w:rsid w:val="00DC31B2"/>
    <w:rsid w:val="00DC46F3"/>
    <w:rsid w:val="00DC5090"/>
    <w:rsid w:val="00DD0227"/>
    <w:rsid w:val="00DD1675"/>
    <w:rsid w:val="00DD1854"/>
    <w:rsid w:val="00DD1C49"/>
    <w:rsid w:val="00DD2B27"/>
    <w:rsid w:val="00DD2F32"/>
    <w:rsid w:val="00DD444A"/>
    <w:rsid w:val="00DD46EB"/>
    <w:rsid w:val="00DD69DD"/>
    <w:rsid w:val="00DD6D90"/>
    <w:rsid w:val="00DD776A"/>
    <w:rsid w:val="00DD7E17"/>
    <w:rsid w:val="00DE261E"/>
    <w:rsid w:val="00DE35DB"/>
    <w:rsid w:val="00DE38F3"/>
    <w:rsid w:val="00DE3964"/>
    <w:rsid w:val="00DE7144"/>
    <w:rsid w:val="00DF3569"/>
    <w:rsid w:val="00E00DC4"/>
    <w:rsid w:val="00E012DF"/>
    <w:rsid w:val="00E021C3"/>
    <w:rsid w:val="00E03B9D"/>
    <w:rsid w:val="00E07CC8"/>
    <w:rsid w:val="00E114C1"/>
    <w:rsid w:val="00E164A3"/>
    <w:rsid w:val="00E1655A"/>
    <w:rsid w:val="00E16D6E"/>
    <w:rsid w:val="00E21126"/>
    <w:rsid w:val="00E216A6"/>
    <w:rsid w:val="00E220A0"/>
    <w:rsid w:val="00E24C85"/>
    <w:rsid w:val="00E2749E"/>
    <w:rsid w:val="00E30066"/>
    <w:rsid w:val="00E332F7"/>
    <w:rsid w:val="00E359CC"/>
    <w:rsid w:val="00E35B18"/>
    <w:rsid w:val="00E3699A"/>
    <w:rsid w:val="00E36F79"/>
    <w:rsid w:val="00E374E0"/>
    <w:rsid w:val="00E4180D"/>
    <w:rsid w:val="00E418B7"/>
    <w:rsid w:val="00E444F1"/>
    <w:rsid w:val="00E47430"/>
    <w:rsid w:val="00E4775F"/>
    <w:rsid w:val="00E50484"/>
    <w:rsid w:val="00E5119E"/>
    <w:rsid w:val="00E51530"/>
    <w:rsid w:val="00E523F8"/>
    <w:rsid w:val="00E52CCB"/>
    <w:rsid w:val="00E530A8"/>
    <w:rsid w:val="00E5645E"/>
    <w:rsid w:val="00E57030"/>
    <w:rsid w:val="00E57505"/>
    <w:rsid w:val="00E6233B"/>
    <w:rsid w:val="00E642B1"/>
    <w:rsid w:val="00E66987"/>
    <w:rsid w:val="00E80C6D"/>
    <w:rsid w:val="00E811D6"/>
    <w:rsid w:val="00E814AC"/>
    <w:rsid w:val="00E81C52"/>
    <w:rsid w:val="00E82A7A"/>
    <w:rsid w:val="00E833AE"/>
    <w:rsid w:val="00E84EA5"/>
    <w:rsid w:val="00E8507C"/>
    <w:rsid w:val="00E867B4"/>
    <w:rsid w:val="00E86D8A"/>
    <w:rsid w:val="00E87F29"/>
    <w:rsid w:val="00E9133F"/>
    <w:rsid w:val="00E917E1"/>
    <w:rsid w:val="00E9253B"/>
    <w:rsid w:val="00E928FE"/>
    <w:rsid w:val="00E92C22"/>
    <w:rsid w:val="00E92EFC"/>
    <w:rsid w:val="00E92F00"/>
    <w:rsid w:val="00E950E7"/>
    <w:rsid w:val="00E9758C"/>
    <w:rsid w:val="00E97592"/>
    <w:rsid w:val="00E97F4A"/>
    <w:rsid w:val="00EA0482"/>
    <w:rsid w:val="00EA2A81"/>
    <w:rsid w:val="00EA35D6"/>
    <w:rsid w:val="00EA3C70"/>
    <w:rsid w:val="00EA57E3"/>
    <w:rsid w:val="00EA6A2C"/>
    <w:rsid w:val="00EA7477"/>
    <w:rsid w:val="00EA77F3"/>
    <w:rsid w:val="00EA79D0"/>
    <w:rsid w:val="00EB0A3C"/>
    <w:rsid w:val="00EB1C86"/>
    <w:rsid w:val="00EB4C7D"/>
    <w:rsid w:val="00EB5D6A"/>
    <w:rsid w:val="00EB7932"/>
    <w:rsid w:val="00EC0FA2"/>
    <w:rsid w:val="00EC3F55"/>
    <w:rsid w:val="00EC42CA"/>
    <w:rsid w:val="00EC53C5"/>
    <w:rsid w:val="00EC58B1"/>
    <w:rsid w:val="00EC5D8C"/>
    <w:rsid w:val="00ED0125"/>
    <w:rsid w:val="00ED14E1"/>
    <w:rsid w:val="00ED14FF"/>
    <w:rsid w:val="00ED1C2B"/>
    <w:rsid w:val="00ED29DD"/>
    <w:rsid w:val="00ED3640"/>
    <w:rsid w:val="00ED488F"/>
    <w:rsid w:val="00ED65F6"/>
    <w:rsid w:val="00EE00AB"/>
    <w:rsid w:val="00EE1CF6"/>
    <w:rsid w:val="00EE427B"/>
    <w:rsid w:val="00EE4650"/>
    <w:rsid w:val="00EE79C9"/>
    <w:rsid w:val="00EF15FD"/>
    <w:rsid w:val="00EF6E86"/>
    <w:rsid w:val="00EF736B"/>
    <w:rsid w:val="00F0000F"/>
    <w:rsid w:val="00F00AF7"/>
    <w:rsid w:val="00F01066"/>
    <w:rsid w:val="00F01397"/>
    <w:rsid w:val="00F017D2"/>
    <w:rsid w:val="00F033E6"/>
    <w:rsid w:val="00F05F9A"/>
    <w:rsid w:val="00F07694"/>
    <w:rsid w:val="00F07BDD"/>
    <w:rsid w:val="00F12D19"/>
    <w:rsid w:val="00F1412A"/>
    <w:rsid w:val="00F146E0"/>
    <w:rsid w:val="00F1588F"/>
    <w:rsid w:val="00F171EE"/>
    <w:rsid w:val="00F2272A"/>
    <w:rsid w:val="00F242AC"/>
    <w:rsid w:val="00F242F8"/>
    <w:rsid w:val="00F2682F"/>
    <w:rsid w:val="00F275E2"/>
    <w:rsid w:val="00F31085"/>
    <w:rsid w:val="00F3188E"/>
    <w:rsid w:val="00F3385A"/>
    <w:rsid w:val="00F3698E"/>
    <w:rsid w:val="00F36E4A"/>
    <w:rsid w:val="00F41DE4"/>
    <w:rsid w:val="00F42328"/>
    <w:rsid w:val="00F42671"/>
    <w:rsid w:val="00F439B5"/>
    <w:rsid w:val="00F43DE7"/>
    <w:rsid w:val="00F50CB0"/>
    <w:rsid w:val="00F513BC"/>
    <w:rsid w:val="00F53E57"/>
    <w:rsid w:val="00F53F7F"/>
    <w:rsid w:val="00F54419"/>
    <w:rsid w:val="00F54657"/>
    <w:rsid w:val="00F56DC0"/>
    <w:rsid w:val="00F60365"/>
    <w:rsid w:val="00F60452"/>
    <w:rsid w:val="00F61174"/>
    <w:rsid w:val="00F612C8"/>
    <w:rsid w:val="00F616DF"/>
    <w:rsid w:val="00F61DE6"/>
    <w:rsid w:val="00F64F0E"/>
    <w:rsid w:val="00F66A3B"/>
    <w:rsid w:val="00F66AD3"/>
    <w:rsid w:val="00F66FE7"/>
    <w:rsid w:val="00F7000C"/>
    <w:rsid w:val="00F71008"/>
    <w:rsid w:val="00F71582"/>
    <w:rsid w:val="00F734B4"/>
    <w:rsid w:val="00F75823"/>
    <w:rsid w:val="00F765E6"/>
    <w:rsid w:val="00F77DC4"/>
    <w:rsid w:val="00F8041E"/>
    <w:rsid w:val="00F81978"/>
    <w:rsid w:val="00F83D4E"/>
    <w:rsid w:val="00F84A29"/>
    <w:rsid w:val="00F84A4E"/>
    <w:rsid w:val="00F8546F"/>
    <w:rsid w:val="00F85889"/>
    <w:rsid w:val="00F913C1"/>
    <w:rsid w:val="00F91475"/>
    <w:rsid w:val="00F92FC1"/>
    <w:rsid w:val="00F949DA"/>
    <w:rsid w:val="00F94E87"/>
    <w:rsid w:val="00F96C74"/>
    <w:rsid w:val="00F979BA"/>
    <w:rsid w:val="00FA0A68"/>
    <w:rsid w:val="00FA0BCE"/>
    <w:rsid w:val="00FA0FC5"/>
    <w:rsid w:val="00FA2AEA"/>
    <w:rsid w:val="00FA5090"/>
    <w:rsid w:val="00FA5A84"/>
    <w:rsid w:val="00FA6EB5"/>
    <w:rsid w:val="00FA72A2"/>
    <w:rsid w:val="00FA7E3C"/>
    <w:rsid w:val="00FB354C"/>
    <w:rsid w:val="00FB44AA"/>
    <w:rsid w:val="00FB44D0"/>
    <w:rsid w:val="00FB48D4"/>
    <w:rsid w:val="00FB65C9"/>
    <w:rsid w:val="00FC0871"/>
    <w:rsid w:val="00FC0EAE"/>
    <w:rsid w:val="00FC13CF"/>
    <w:rsid w:val="00FC2012"/>
    <w:rsid w:val="00FC27B2"/>
    <w:rsid w:val="00FC351C"/>
    <w:rsid w:val="00FC39EB"/>
    <w:rsid w:val="00FC41D2"/>
    <w:rsid w:val="00FC497B"/>
    <w:rsid w:val="00FC5373"/>
    <w:rsid w:val="00FC5EA8"/>
    <w:rsid w:val="00FC738F"/>
    <w:rsid w:val="00FD1581"/>
    <w:rsid w:val="00FD2449"/>
    <w:rsid w:val="00FD3D3B"/>
    <w:rsid w:val="00FD4046"/>
    <w:rsid w:val="00FD5DD2"/>
    <w:rsid w:val="00FD6867"/>
    <w:rsid w:val="00FE04C3"/>
    <w:rsid w:val="00FE0711"/>
    <w:rsid w:val="00FE161E"/>
    <w:rsid w:val="00FE1BF4"/>
    <w:rsid w:val="00FE519C"/>
    <w:rsid w:val="00FE566C"/>
    <w:rsid w:val="00FE57C2"/>
    <w:rsid w:val="00FF00BE"/>
    <w:rsid w:val="00FF1582"/>
    <w:rsid w:val="00FF32A1"/>
    <w:rsid w:val="00FF41BA"/>
    <w:rsid w:val="00FF4E89"/>
    <w:rsid w:val="00FF60E9"/>
    <w:rsid w:val="01D05B6C"/>
    <w:rsid w:val="055334A2"/>
    <w:rsid w:val="08C46E78"/>
    <w:rsid w:val="0A233652"/>
    <w:rsid w:val="0AB7498B"/>
    <w:rsid w:val="100AD20A"/>
    <w:rsid w:val="25F8A413"/>
    <w:rsid w:val="285904C9"/>
    <w:rsid w:val="3016B7A1"/>
    <w:rsid w:val="37810781"/>
    <w:rsid w:val="3B70BC84"/>
    <w:rsid w:val="3C959896"/>
    <w:rsid w:val="3DC93A2E"/>
    <w:rsid w:val="477E9161"/>
    <w:rsid w:val="4AB7A614"/>
    <w:rsid w:val="51B89BC3"/>
    <w:rsid w:val="557F20CE"/>
    <w:rsid w:val="6CEB0C7F"/>
    <w:rsid w:val="71861D31"/>
    <w:rsid w:val="754F711C"/>
    <w:rsid w:val="77976823"/>
    <w:rsid w:val="7B3DA47A"/>
    <w:rsid w:val="7CD6BC85"/>
    <w:rsid w:val="7F1BC1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9E3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6D9"/>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F46D9"/>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1F46D9"/>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1F46D9"/>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1F46D9"/>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1F46D9"/>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1F46D9"/>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1F46D9"/>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1F46D9"/>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1F46D9"/>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1F46D9"/>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1F46D9"/>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1F46D9"/>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1F46D9"/>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1F46D9"/>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1F46D9"/>
    <w:pPr>
      <w:tabs>
        <w:tab w:val="right" w:leader="dot" w:pos="9360"/>
      </w:tabs>
      <w:ind w:left="1440"/>
    </w:pPr>
    <w:rPr>
      <w:rFonts w:eastAsia="Times New Roman"/>
      <w:szCs w:val="26"/>
    </w:rPr>
  </w:style>
  <w:style w:type="paragraph" w:customStyle="1" w:styleId="myTOC7">
    <w:name w:val="myTOC 7"/>
    <w:basedOn w:val="Normal"/>
    <w:next w:val="Normal"/>
    <w:rsid w:val="001F46D9"/>
    <w:pPr>
      <w:tabs>
        <w:tab w:val="right" w:leader="dot" w:pos="9360"/>
      </w:tabs>
      <w:ind w:left="1728"/>
    </w:pPr>
    <w:rPr>
      <w:rFonts w:eastAsia="Times New Roman"/>
      <w:szCs w:val="26"/>
    </w:rPr>
  </w:style>
  <w:style w:type="paragraph" w:customStyle="1" w:styleId="myTOC8">
    <w:name w:val="myTOC 8"/>
    <w:basedOn w:val="Normal"/>
    <w:next w:val="Normal"/>
    <w:rsid w:val="001F46D9"/>
    <w:pPr>
      <w:tabs>
        <w:tab w:val="right" w:leader="dot" w:pos="9360"/>
      </w:tabs>
      <w:ind w:left="2016"/>
    </w:pPr>
    <w:rPr>
      <w:rFonts w:eastAsia="Times New Roman"/>
      <w:szCs w:val="26"/>
    </w:rPr>
  </w:style>
  <w:style w:type="paragraph" w:customStyle="1" w:styleId="myTOC9">
    <w:name w:val="myTOC 9"/>
    <w:basedOn w:val="Normal"/>
    <w:next w:val="Normal"/>
    <w:rsid w:val="001F46D9"/>
    <w:pPr>
      <w:tabs>
        <w:tab w:val="right" w:leader="dot" w:pos="9360"/>
      </w:tabs>
      <w:ind w:left="2304"/>
    </w:pPr>
    <w:rPr>
      <w:rFonts w:eastAsia="Times New Roman"/>
      <w:szCs w:val="26"/>
    </w:rPr>
  </w:style>
  <w:style w:type="paragraph" w:customStyle="1" w:styleId="Non-TOCStyle">
    <w:name w:val="Non-TOC Style"/>
    <w:basedOn w:val="Normal"/>
    <w:next w:val="FERCparanumber"/>
    <w:rsid w:val="001F46D9"/>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1F46D9"/>
    <w:rPr>
      <w:rFonts w:ascii="Arial" w:hAnsi="Arial" w:cs="Arial"/>
      <w:sz w:val="20"/>
      <w:szCs w:val="18"/>
    </w:rPr>
  </w:style>
  <w:style w:type="character" w:customStyle="1" w:styleId="BalloonTextChar">
    <w:name w:val="Balloon Text Char"/>
    <w:basedOn w:val="DefaultParagraphFont"/>
    <w:link w:val="BalloonText"/>
    <w:uiPriority w:val="99"/>
    <w:semiHidden/>
    <w:rsid w:val="001F46D9"/>
    <w:rPr>
      <w:rFonts w:ascii="Arial" w:hAnsi="Arial" w:cs="Arial"/>
      <w:sz w:val="20"/>
      <w:szCs w:val="18"/>
    </w:rPr>
  </w:style>
  <w:style w:type="paragraph" w:styleId="Bibliography">
    <w:name w:val="Bibliography"/>
    <w:basedOn w:val="Normal"/>
    <w:next w:val="Normal"/>
    <w:uiPriority w:val="37"/>
    <w:semiHidden/>
    <w:unhideWhenUsed/>
    <w:rsid w:val="001F46D9"/>
  </w:style>
  <w:style w:type="paragraph" w:styleId="BlockText">
    <w:name w:val="Block Text"/>
    <w:basedOn w:val="Normal"/>
    <w:uiPriority w:val="99"/>
    <w:semiHidden/>
    <w:unhideWhenUsed/>
    <w:rsid w:val="001F46D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1F46D9"/>
    <w:pPr>
      <w:spacing w:after="240"/>
      <w:ind w:firstLine="720"/>
    </w:pPr>
  </w:style>
  <w:style w:type="character" w:customStyle="1" w:styleId="BodyTextChar">
    <w:name w:val="Body Text Char"/>
    <w:basedOn w:val="DefaultParagraphFont"/>
    <w:link w:val="BodyText"/>
    <w:uiPriority w:val="99"/>
    <w:rsid w:val="001F46D9"/>
    <w:rPr>
      <w:rFonts w:ascii="Times New Roman" w:hAnsi="Times New Roman" w:cs="Times New Roman"/>
      <w:sz w:val="26"/>
    </w:rPr>
  </w:style>
  <w:style w:type="paragraph" w:styleId="BodyText2">
    <w:name w:val="Body Text 2"/>
    <w:basedOn w:val="Normal"/>
    <w:link w:val="BodyText2Char"/>
    <w:uiPriority w:val="99"/>
    <w:semiHidden/>
    <w:unhideWhenUsed/>
    <w:rsid w:val="001F46D9"/>
    <w:pPr>
      <w:spacing w:after="120" w:line="480" w:lineRule="auto"/>
    </w:pPr>
  </w:style>
  <w:style w:type="character" w:customStyle="1" w:styleId="BodyText2Char">
    <w:name w:val="Body Text 2 Char"/>
    <w:basedOn w:val="DefaultParagraphFont"/>
    <w:link w:val="BodyText2"/>
    <w:uiPriority w:val="99"/>
    <w:semiHidden/>
    <w:rsid w:val="001F46D9"/>
    <w:rPr>
      <w:rFonts w:ascii="Times New Roman" w:hAnsi="Times New Roman" w:cs="Times New Roman"/>
      <w:sz w:val="26"/>
    </w:rPr>
  </w:style>
  <w:style w:type="paragraph" w:styleId="BodyText3">
    <w:name w:val="Body Text 3"/>
    <w:basedOn w:val="Normal"/>
    <w:link w:val="BodyText3Char"/>
    <w:uiPriority w:val="99"/>
    <w:semiHidden/>
    <w:unhideWhenUsed/>
    <w:rsid w:val="001F46D9"/>
    <w:pPr>
      <w:spacing w:after="120"/>
    </w:pPr>
    <w:rPr>
      <w:sz w:val="16"/>
      <w:szCs w:val="16"/>
    </w:rPr>
  </w:style>
  <w:style w:type="character" w:customStyle="1" w:styleId="BodyText3Char">
    <w:name w:val="Body Text 3 Char"/>
    <w:basedOn w:val="DefaultParagraphFont"/>
    <w:link w:val="BodyText3"/>
    <w:uiPriority w:val="99"/>
    <w:semiHidden/>
    <w:rsid w:val="001F46D9"/>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1F46D9"/>
    <w:pPr>
      <w:spacing w:after="160"/>
      <w:ind w:firstLine="360"/>
    </w:pPr>
  </w:style>
  <w:style w:type="character" w:customStyle="1" w:styleId="BodyTextFirstIndentChar">
    <w:name w:val="Body Text First Indent Char"/>
    <w:basedOn w:val="BodyTextChar"/>
    <w:link w:val="BodyTextFirstIndent"/>
    <w:uiPriority w:val="99"/>
    <w:semiHidden/>
    <w:rsid w:val="001F46D9"/>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1F46D9"/>
    <w:pPr>
      <w:spacing w:after="120"/>
      <w:ind w:left="360"/>
    </w:pPr>
  </w:style>
  <w:style w:type="character" w:customStyle="1" w:styleId="BodyTextIndentChar">
    <w:name w:val="Body Text Indent Char"/>
    <w:basedOn w:val="DefaultParagraphFont"/>
    <w:link w:val="BodyTextIndent"/>
    <w:uiPriority w:val="99"/>
    <w:semiHidden/>
    <w:rsid w:val="001F46D9"/>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1F46D9"/>
    <w:pPr>
      <w:spacing w:after="160"/>
      <w:ind w:firstLine="360"/>
    </w:pPr>
  </w:style>
  <w:style w:type="character" w:customStyle="1" w:styleId="BodyTextFirstIndent2Char">
    <w:name w:val="Body Text First Indent 2 Char"/>
    <w:basedOn w:val="BodyTextIndentChar"/>
    <w:link w:val="BodyTextFirstIndent2"/>
    <w:uiPriority w:val="99"/>
    <w:semiHidden/>
    <w:rsid w:val="001F46D9"/>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1F46D9"/>
    <w:pPr>
      <w:spacing w:after="120" w:line="480" w:lineRule="auto"/>
      <w:ind w:left="360"/>
    </w:pPr>
  </w:style>
  <w:style w:type="character" w:customStyle="1" w:styleId="BodyTextIndent2Char">
    <w:name w:val="Body Text Indent 2 Char"/>
    <w:basedOn w:val="DefaultParagraphFont"/>
    <w:link w:val="BodyTextIndent2"/>
    <w:uiPriority w:val="99"/>
    <w:semiHidden/>
    <w:rsid w:val="001F46D9"/>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1F46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46D9"/>
    <w:rPr>
      <w:rFonts w:ascii="Times New Roman" w:hAnsi="Times New Roman" w:cs="Times New Roman"/>
      <w:sz w:val="16"/>
      <w:szCs w:val="16"/>
    </w:rPr>
  </w:style>
  <w:style w:type="paragraph" w:styleId="Caption">
    <w:name w:val="caption"/>
    <w:basedOn w:val="Normal"/>
    <w:next w:val="Normal"/>
    <w:uiPriority w:val="35"/>
    <w:semiHidden/>
    <w:unhideWhenUsed/>
    <w:qFormat/>
    <w:rsid w:val="001F46D9"/>
    <w:pPr>
      <w:spacing w:after="200"/>
    </w:pPr>
    <w:rPr>
      <w:iCs/>
      <w:szCs w:val="18"/>
    </w:rPr>
  </w:style>
  <w:style w:type="paragraph" w:styleId="Closing">
    <w:name w:val="Closing"/>
    <w:basedOn w:val="Normal"/>
    <w:link w:val="ClosingChar"/>
    <w:uiPriority w:val="99"/>
    <w:semiHidden/>
    <w:unhideWhenUsed/>
    <w:rsid w:val="001F46D9"/>
    <w:pPr>
      <w:ind w:left="4320"/>
    </w:pPr>
  </w:style>
  <w:style w:type="character" w:customStyle="1" w:styleId="ClosingChar">
    <w:name w:val="Closing Char"/>
    <w:basedOn w:val="DefaultParagraphFont"/>
    <w:link w:val="Closing"/>
    <w:uiPriority w:val="99"/>
    <w:semiHidden/>
    <w:rsid w:val="001F46D9"/>
    <w:rPr>
      <w:rFonts w:ascii="Times New Roman" w:hAnsi="Times New Roman" w:cs="Times New Roman"/>
      <w:sz w:val="26"/>
    </w:rPr>
  </w:style>
  <w:style w:type="paragraph" w:styleId="CommentText">
    <w:name w:val="annotation text"/>
    <w:basedOn w:val="Normal"/>
    <w:link w:val="CommentTextChar"/>
    <w:uiPriority w:val="99"/>
    <w:unhideWhenUsed/>
    <w:rsid w:val="001F46D9"/>
    <w:rPr>
      <w:rFonts w:ascii="Arial" w:hAnsi="Arial" w:cs="Arial"/>
      <w:sz w:val="20"/>
      <w:szCs w:val="20"/>
    </w:rPr>
  </w:style>
  <w:style w:type="character" w:customStyle="1" w:styleId="CommentTextChar">
    <w:name w:val="Comment Text Char"/>
    <w:basedOn w:val="DefaultParagraphFont"/>
    <w:link w:val="CommentText"/>
    <w:uiPriority w:val="99"/>
    <w:rsid w:val="001F46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F46D9"/>
    <w:rPr>
      <w:b/>
      <w:bCs/>
    </w:rPr>
  </w:style>
  <w:style w:type="character" w:customStyle="1" w:styleId="CommentSubjectChar">
    <w:name w:val="Comment Subject Char"/>
    <w:basedOn w:val="CommentTextChar"/>
    <w:link w:val="CommentSubject"/>
    <w:uiPriority w:val="99"/>
    <w:semiHidden/>
    <w:rsid w:val="001F46D9"/>
    <w:rPr>
      <w:rFonts w:ascii="Arial" w:hAnsi="Arial" w:cs="Arial"/>
      <w:b/>
      <w:bCs/>
      <w:sz w:val="20"/>
      <w:szCs w:val="20"/>
    </w:rPr>
  </w:style>
  <w:style w:type="paragraph" w:styleId="Date">
    <w:name w:val="Date"/>
    <w:basedOn w:val="Normal"/>
    <w:next w:val="Normal"/>
    <w:link w:val="DateChar"/>
    <w:uiPriority w:val="99"/>
    <w:semiHidden/>
    <w:unhideWhenUsed/>
    <w:rsid w:val="001F46D9"/>
  </w:style>
  <w:style w:type="character" w:customStyle="1" w:styleId="DateChar">
    <w:name w:val="Date Char"/>
    <w:basedOn w:val="DefaultParagraphFont"/>
    <w:link w:val="Date"/>
    <w:uiPriority w:val="99"/>
    <w:semiHidden/>
    <w:rsid w:val="001F46D9"/>
    <w:rPr>
      <w:rFonts w:ascii="Times New Roman" w:hAnsi="Times New Roman" w:cs="Times New Roman"/>
      <w:sz w:val="26"/>
    </w:rPr>
  </w:style>
  <w:style w:type="paragraph" w:styleId="DocumentMap">
    <w:name w:val="Document Map"/>
    <w:basedOn w:val="Normal"/>
    <w:link w:val="DocumentMapChar"/>
    <w:uiPriority w:val="99"/>
    <w:semiHidden/>
    <w:unhideWhenUsed/>
    <w:rsid w:val="001F46D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F46D9"/>
    <w:rPr>
      <w:rFonts w:ascii="Segoe UI" w:hAnsi="Segoe UI" w:cs="Segoe UI"/>
      <w:sz w:val="16"/>
      <w:szCs w:val="16"/>
    </w:rPr>
  </w:style>
  <w:style w:type="paragraph" w:styleId="E-mailSignature">
    <w:name w:val="E-mail Signature"/>
    <w:basedOn w:val="Normal"/>
    <w:link w:val="E-mailSignatureChar"/>
    <w:uiPriority w:val="99"/>
    <w:semiHidden/>
    <w:unhideWhenUsed/>
    <w:rsid w:val="001F46D9"/>
  </w:style>
  <w:style w:type="character" w:customStyle="1" w:styleId="E-mailSignatureChar">
    <w:name w:val="E-mail Signature Char"/>
    <w:basedOn w:val="DefaultParagraphFont"/>
    <w:link w:val="E-mailSignature"/>
    <w:uiPriority w:val="99"/>
    <w:semiHidden/>
    <w:rsid w:val="001F46D9"/>
    <w:rPr>
      <w:rFonts w:ascii="Times New Roman" w:hAnsi="Times New Roman" w:cs="Times New Roman"/>
      <w:sz w:val="26"/>
    </w:rPr>
  </w:style>
  <w:style w:type="paragraph" w:styleId="EndnoteText">
    <w:name w:val="endnote text"/>
    <w:basedOn w:val="Normal"/>
    <w:link w:val="EndnoteTextChar"/>
    <w:uiPriority w:val="99"/>
    <w:semiHidden/>
    <w:unhideWhenUsed/>
    <w:rsid w:val="001F46D9"/>
    <w:rPr>
      <w:sz w:val="20"/>
      <w:szCs w:val="20"/>
    </w:rPr>
  </w:style>
  <w:style w:type="character" w:customStyle="1" w:styleId="EndnoteTextChar">
    <w:name w:val="Endnote Text Char"/>
    <w:basedOn w:val="DefaultParagraphFont"/>
    <w:link w:val="EndnoteText"/>
    <w:uiPriority w:val="99"/>
    <w:semiHidden/>
    <w:rsid w:val="001F46D9"/>
    <w:rPr>
      <w:rFonts w:ascii="Times New Roman" w:hAnsi="Times New Roman" w:cs="Times New Roman"/>
      <w:sz w:val="20"/>
      <w:szCs w:val="20"/>
    </w:rPr>
  </w:style>
  <w:style w:type="paragraph" w:styleId="EnvelopeAddress">
    <w:name w:val="envelope address"/>
    <w:basedOn w:val="Normal"/>
    <w:uiPriority w:val="99"/>
    <w:semiHidden/>
    <w:unhideWhenUsed/>
    <w:rsid w:val="001F46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F46D9"/>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1F46D9"/>
    <w:pPr>
      <w:tabs>
        <w:tab w:val="center" w:pos="4680"/>
        <w:tab w:val="right" w:pos="9360"/>
      </w:tabs>
    </w:pPr>
  </w:style>
  <w:style w:type="character" w:customStyle="1" w:styleId="FooterChar">
    <w:name w:val="Footer Char"/>
    <w:basedOn w:val="DefaultParagraphFont"/>
    <w:link w:val="Footer"/>
    <w:uiPriority w:val="99"/>
    <w:rsid w:val="001F46D9"/>
    <w:rPr>
      <w:rFonts w:ascii="Times New Roman" w:hAnsi="Times New Roman" w:cs="Times New Roman"/>
      <w:sz w:val="26"/>
    </w:rPr>
  </w:style>
  <w:style w:type="paragraph" w:styleId="Header">
    <w:name w:val="header"/>
    <w:basedOn w:val="Normal"/>
    <w:link w:val="HeaderChar"/>
    <w:uiPriority w:val="99"/>
    <w:unhideWhenUsed/>
    <w:rsid w:val="001F46D9"/>
    <w:pPr>
      <w:tabs>
        <w:tab w:val="center" w:pos="4680"/>
        <w:tab w:val="right" w:pos="9360"/>
      </w:tabs>
    </w:pPr>
  </w:style>
  <w:style w:type="character" w:customStyle="1" w:styleId="HeaderChar">
    <w:name w:val="Header Char"/>
    <w:basedOn w:val="DefaultParagraphFont"/>
    <w:link w:val="Header"/>
    <w:uiPriority w:val="99"/>
    <w:rsid w:val="001F46D9"/>
    <w:rPr>
      <w:rFonts w:ascii="Times New Roman" w:hAnsi="Times New Roman" w:cs="Times New Roman"/>
      <w:sz w:val="26"/>
    </w:rPr>
  </w:style>
  <w:style w:type="paragraph" w:styleId="HTMLAddress">
    <w:name w:val="HTML Address"/>
    <w:basedOn w:val="Normal"/>
    <w:link w:val="HTMLAddressChar"/>
    <w:uiPriority w:val="99"/>
    <w:semiHidden/>
    <w:unhideWhenUsed/>
    <w:rsid w:val="001F46D9"/>
    <w:rPr>
      <w:i/>
      <w:iCs/>
    </w:rPr>
  </w:style>
  <w:style w:type="character" w:customStyle="1" w:styleId="HTMLAddressChar">
    <w:name w:val="HTML Address Char"/>
    <w:basedOn w:val="DefaultParagraphFont"/>
    <w:link w:val="HTMLAddress"/>
    <w:uiPriority w:val="99"/>
    <w:semiHidden/>
    <w:rsid w:val="001F46D9"/>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1F46D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F46D9"/>
    <w:rPr>
      <w:rFonts w:ascii="Consolas" w:hAnsi="Consolas" w:cs="Consolas"/>
      <w:sz w:val="20"/>
      <w:szCs w:val="20"/>
    </w:rPr>
  </w:style>
  <w:style w:type="paragraph" w:styleId="Index1">
    <w:name w:val="index 1"/>
    <w:basedOn w:val="Normal"/>
    <w:next w:val="Normal"/>
    <w:uiPriority w:val="99"/>
    <w:semiHidden/>
    <w:unhideWhenUsed/>
    <w:rsid w:val="001F46D9"/>
    <w:pPr>
      <w:ind w:left="220" w:hanging="220"/>
    </w:pPr>
  </w:style>
  <w:style w:type="paragraph" w:styleId="Index2">
    <w:name w:val="index 2"/>
    <w:basedOn w:val="Normal"/>
    <w:next w:val="Normal"/>
    <w:uiPriority w:val="99"/>
    <w:semiHidden/>
    <w:unhideWhenUsed/>
    <w:rsid w:val="001F46D9"/>
    <w:pPr>
      <w:ind w:left="440" w:hanging="220"/>
    </w:pPr>
  </w:style>
  <w:style w:type="paragraph" w:styleId="Index3">
    <w:name w:val="index 3"/>
    <w:basedOn w:val="Normal"/>
    <w:next w:val="Normal"/>
    <w:uiPriority w:val="99"/>
    <w:semiHidden/>
    <w:unhideWhenUsed/>
    <w:rsid w:val="001F46D9"/>
    <w:pPr>
      <w:ind w:left="660" w:hanging="220"/>
    </w:pPr>
  </w:style>
  <w:style w:type="paragraph" w:styleId="Index4">
    <w:name w:val="index 4"/>
    <w:basedOn w:val="Normal"/>
    <w:next w:val="Normal"/>
    <w:uiPriority w:val="99"/>
    <w:semiHidden/>
    <w:unhideWhenUsed/>
    <w:rsid w:val="001F46D9"/>
    <w:pPr>
      <w:ind w:left="880" w:hanging="220"/>
    </w:pPr>
  </w:style>
  <w:style w:type="paragraph" w:styleId="Index5">
    <w:name w:val="index 5"/>
    <w:basedOn w:val="Normal"/>
    <w:next w:val="Normal"/>
    <w:uiPriority w:val="99"/>
    <w:semiHidden/>
    <w:unhideWhenUsed/>
    <w:rsid w:val="001F46D9"/>
    <w:pPr>
      <w:ind w:left="1100" w:hanging="220"/>
    </w:pPr>
  </w:style>
  <w:style w:type="paragraph" w:styleId="Index6">
    <w:name w:val="index 6"/>
    <w:basedOn w:val="Normal"/>
    <w:next w:val="Normal"/>
    <w:uiPriority w:val="99"/>
    <w:semiHidden/>
    <w:unhideWhenUsed/>
    <w:rsid w:val="001F46D9"/>
    <w:pPr>
      <w:ind w:left="1320" w:hanging="220"/>
    </w:pPr>
  </w:style>
  <w:style w:type="paragraph" w:styleId="Index7">
    <w:name w:val="index 7"/>
    <w:basedOn w:val="Normal"/>
    <w:next w:val="Normal"/>
    <w:uiPriority w:val="99"/>
    <w:semiHidden/>
    <w:unhideWhenUsed/>
    <w:rsid w:val="001F46D9"/>
    <w:pPr>
      <w:ind w:left="1540" w:hanging="220"/>
    </w:pPr>
  </w:style>
  <w:style w:type="paragraph" w:styleId="Index8">
    <w:name w:val="index 8"/>
    <w:basedOn w:val="Normal"/>
    <w:next w:val="Normal"/>
    <w:uiPriority w:val="99"/>
    <w:semiHidden/>
    <w:unhideWhenUsed/>
    <w:rsid w:val="001F46D9"/>
    <w:pPr>
      <w:ind w:left="1760" w:hanging="220"/>
    </w:pPr>
  </w:style>
  <w:style w:type="paragraph" w:styleId="Index9">
    <w:name w:val="index 9"/>
    <w:basedOn w:val="Normal"/>
    <w:next w:val="Normal"/>
    <w:uiPriority w:val="99"/>
    <w:semiHidden/>
    <w:unhideWhenUsed/>
    <w:rsid w:val="001F46D9"/>
    <w:pPr>
      <w:ind w:left="1980" w:hanging="220"/>
    </w:pPr>
  </w:style>
  <w:style w:type="paragraph" w:styleId="IndexHeading">
    <w:name w:val="index heading"/>
    <w:basedOn w:val="Normal"/>
    <w:next w:val="Index1"/>
    <w:uiPriority w:val="99"/>
    <w:semiHidden/>
    <w:unhideWhenUsed/>
    <w:rsid w:val="001F46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F46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F46D9"/>
    <w:rPr>
      <w:rFonts w:ascii="Times New Roman" w:hAnsi="Times New Roman" w:cs="Times New Roman"/>
      <w:i/>
      <w:iCs/>
      <w:color w:val="5B9BD5" w:themeColor="accent1"/>
      <w:sz w:val="26"/>
    </w:rPr>
  </w:style>
  <w:style w:type="paragraph" w:styleId="List">
    <w:name w:val="List"/>
    <w:basedOn w:val="Normal"/>
    <w:uiPriority w:val="99"/>
    <w:semiHidden/>
    <w:unhideWhenUsed/>
    <w:rsid w:val="001F46D9"/>
    <w:pPr>
      <w:ind w:left="360" w:hanging="360"/>
      <w:contextualSpacing/>
    </w:pPr>
  </w:style>
  <w:style w:type="paragraph" w:styleId="List2">
    <w:name w:val="List 2"/>
    <w:basedOn w:val="Normal"/>
    <w:uiPriority w:val="99"/>
    <w:semiHidden/>
    <w:unhideWhenUsed/>
    <w:rsid w:val="001F46D9"/>
    <w:pPr>
      <w:ind w:left="720" w:hanging="360"/>
      <w:contextualSpacing/>
    </w:pPr>
  </w:style>
  <w:style w:type="paragraph" w:styleId="List3">
    <w:name w:val="List 3"/>
    <w:basedOn w:val="Normal"/>
    <w:uiPriority w:val="99"/>
    <w:semiHidden/>
    <w:unhideWhenUsed/>
    <w:rsid w:val="001F46D9"/>
    <w:pPr>
      <w:ind w:left="1080" w:hanging="360"/>
      <w:contextualSpacing/>
    </w:pPr>
  </w:style>
  <w:style w:type="paragraph" w:styleId="List4">
    <w:name w:val="List 4"/>
    <w:basedOn w:val="Normal"/>
    <w:uiPriority w:val="99"/>
    <w:semiHidden/>
    <w:unhideWhenUsed/>
    <w:rsid w:val="001F46D9"/>
    <w:pPr>
      <w:ind w:left="1440" w:hanging="360"/>
      <w:contextualSpacing/>
    </w:pPr>
  </w:style>
  <w:style w:type="paragraph" w:styleId="List5">
    <w:name w:val="List 5"/>
    <w:basedOn w:val="Normal"/>
    <w:uiPriority w:val="99"/>
    <w:semiHidden/>
    <w:unhideWhenUsed/>
    <w:rsid w:val="001F46D9"/>
    <w:pPr>
      <w:ind w:left="1800" w:hanging="360"/>
      <w:contextualSpacing/>
    </w:pPr>
  </w:style>
  <w:style w:type="paragraph" w:styleId="ListBullet">
    <w:name w:val="List Bullet"/>
    <w:basedOn w:val="Normal"/>
    <w:uiPriority w:val="99"/>
    <w:semiHidden/>
    <w:unhideWhenUsed/>
    <w:rsid w:val="001F46D9"/>
    <w:pPr>
      <w:numPr>
        <w:numId w:val="1"/>
      </w:numPr>
      <w:contextualSpacing/>
    </w:pPr>
  </w:style>
  <w:style w:type="paragraph" w:styleId="ListBullet2">
    <w:name w:val="List Bullet 2"/>
    <w:basedOn w:val="Normal"/>
    <w:uiPriority w:val="99"/>
    <w:semiHidden/>
    <w:unhideWhenUsed/>
    <w:rsid w:val="001F46D9"/>
    <w:pPr>
      <w:numPr>
        <w:numId w:val="2"/>
      </w:numPr>
      <w:contextualSpacing/>
    </w:pPr>
  </w:style>
  <w:style w:type="paragraph" w:styleId="ListBullet3">
    <w:name w:val="List Bullet 3"/>
    <w:basedOn w:val="Normal"/>
    <w:uiPriority w:val="99"/>
    <w:semiHidden/>
    <w:unhideWhenUsed/>
    <w:rsid w:val="001F46D9"/>
    <w:pPr>
      <w:numPr>
        <w:numId w:val="3"/>
      </w:numPr>
      <w:contextualSpacing/>
    </w:pPr>
  </w:style>
  <w:style w:type="paragraph" w:styleId="ListBullet4">
    <w:name w:val="List Bullet 4"/>
    <w:basedOn w:val="Normal"/>
    <w:uiPriority w:val="99"/>
    <w:semiHidden/>
    <w:unhideWhenUsed/>
    <w:rsid w:val="001F46D9"/>
    <w:pPr>
      <w:numPr>
        <w:numId w:val="4"/>
      </w:numPr>
      <w:contextualSpacing/>
    </w:pPr>
  </w:style>
  <w:style w:type="paragraph" w:styleId="ListBullet5">
    <w:name w:val="List Bullet 5"/>
    <w:basedOn w:val="Normal"/>
    <w:uiPriority w:val="99"/>
    <w:semiHidden/>
    <w:unhideWhenUsed/>
    <w:rsid w:val="001F46D9"/>
    <w:pPr>
      <w:numPr>
        <w:numId w:val="5"/>
      </w:numPr>
      <w:contextualSpacing/>
    </w:pPr>
  </w:style>
  <w:style w:type="paragraph" w:styleId="ListContinue">
    <w:name w:val="List Continue"/>
    <w:basedOn w:val="Normal"/>
    <w:uiPriority w:val="99"/>
    <w:semiHidden/>
    <w:unhideWhenUsed/>
    <w:rsid w:val="001F46D9"/>
    <w:pPr>
      <w:spacing w:after="120"/>
      <w:ind w:left="360"/>
      <w:contextualSpacing/>
    </w:pPr>
  </w:style>
  <w:style w:type="paragraph" w:styleId="ListContinue2">
    <w:name w:val="List Continue 2"/>
    <w:basedOn w:val="Normal"/>
    <w:uiPriority w:val="99"/>
    <w:semiHidden/>
    <w:unhideWhenUsed/>
    <w:rsid w:val="001F46D9"/>
    <w:pPr>
      <w:spacing w:after="120"/>
      <w:ind w:left="720"/>
      <w:contextualSpacing/>
    </w:pPr>
  </w:style>
  <w:style w:type="paragraph" w:styleId="ListContinue3">
    <w:name w:val="List Continue 3"/>
    <w:basedOn w:val="Normal"/>
    <w:uiPriority w:val="99"/>
    <w:semiHidden/>
    <w:unhideWhenUsed/>
    <w:rsid w:val="001F46D9"/>
    <w:pPr>
      <w:spacing w:after="120"/>
      <w:ind w:left="1080"/>
      <w:contextualSpacing/>
    </w:pPr>
  </w:style>
  <w:style w:type="paragraph" w:styleId="ListContinue4">
    <w:name w:val="List Continue 4"/>
    <w:basedOn w:val="Normal"/>
    <w:uiPriority w:val="99"/>
    <w:semiHidden/>
    <w:unhideWhenUsed/>
    <w:rsid w:val="001F46D9"/>
    <w:pPr>
      <w:spacing w:after="120"/>
      <w:ind w:left="1440"/>
      <w:contextualSpacing/>
    </w:pPr>
  </w:style>
  <w:style w:type="paragraph" w:styleId="ListContinue5">
    <w:name w:val="List Continue 5"/>
    <w:basedOn w:val="Normal"/>
    <w:uiPriority w:val="99"/>
    <w:semiHidden/>
    <w:unhideWhenUsed/>
    <w:rsid w:val="001F46D9"/>
    <w:pPr>
      <w:spacing w:after="120"/>
      <w:ind w:left="1800"/>
      <w:contextualSpacing/>
    </w:pPr>
  </w:style>
  <w:style w:type="paragraph" w:styleId="ListNumber">
    <w:name w:val="List Number"/>
    <w:basedOn w:val="Normal"/>
    <w:uiPriority w:val="99"/>
    <w:semiHidden/>
    <w:unhideWhenUsed/>
    <w:rsid w:val="001F46D9"/>
    <w:pPr>
      <w:numPr>
        <w:numId w:val="6"/>
      </w:numPr>
      <w:contextualSpacing/>
    </w:pPr>
  </w:style>
  <w:style w:type="paragraph" w:styleId="ListNumber2">
    <w:name w:val="List Number 2"/>
    <w:basedOn w:val="Normal"/>
    <w:uiPriority w:val="99"/>
    <w:semiHidden/>
    <w:unhideWhenUsed/>
    <w:rsid w:val="001F46D9"/>
    <w:pPr>
      <w:numPr>
        <w:numId w:val="7"/>
      </w:numPr>
      <w:contextualSpacing/>
    </w:pPr>
  </w:style>
  <w:style w:type="paragraph" w:styleId="ListNumber3">
    <w:name w:val="List Number 3"/>
    <w:basedOn w:val="Normal"/>
    <w:uiPriority w:val="99"/>
    <w:semiHidden/>
    <w:unhideWhenUsed/>
    <w:rsid w:val="001F46D9"/>
    <w:pPr>
      <w:numPr>
        <w:numId w:val="8"/>
      </w:numPr>
      <w:contextualSpacing/>
    </w:pPr>
  </w:style>
  <w:style w:type="paragraph" w:styleId="ListNumber4">
    <w:name w:val="List Number 4"/>
    <w:basedOn w:val="Normal"/>
    <w:uiPriority w:val="99"/>
    <w:semiHidden/>
    <w:unhideWhenUsed/>
    <w:rsid w:val="001F46D9"/>
    <w:pPr>
      <w:numPr>
        <w:numId w:val="9"/>
      </w:numPr>
      <w:contextualSpacing/>
    </w:pPr>
  </w:style>
  <w:style w:type="paragraph" w:styleId="ListNumber5">
    <w:name w:val="List Number 5"/>
    <w:basedOn w:val="Normal"/>
    <w:uiPriority w:val="99"/>
    <w:semiHidden/>
    <w:unhideWhenUsed/>
    <w:rsid w:val="001F46D9"/>
    <w:pPr>
      <w:numPr>
        <w:numId w:val="10"/>
      </w:numPr>
      <w:contextualSpacing/>
    </w:pPr>
  </w:style>
  <w:style w:type="paragraph" w:styleId="ListParagraph">
    <w:name w:val="List Paragraph"/>
    <w:basedOn w:val="Normal"/>
    <w:uiPriority w:val="34"/>
    <w:qFormat/>
    <w:rsid w:val="001F46D9"/>
    <w:pPr>
      <w:ind w:left="720"/>
      <w:contextualSpacing/>
    </w:pPr>
  </w:style>
  <w:style w:type="paragraph" w:styleId="Macro">
    <w:name w:val="macro"/>
    <w:link w:val="MacroTextChar"/>
    <w:uiPriority w:val="99"/>
    <w:semiHidden/>
    <w:unhideWhenUsed/>
    <w:rsid w:val="001F46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1F46D9"/>
    <w:rPr>
      <w:rFonts w:ascii="Consolas" w:hAnsi="Consolas" w:cs="Consolas"/>
      <w:sz w:val="20"/>
      <w:szCs w:val="20"/>
    </w:rPr>
  </w:style>
  <w:style w:type="paragraph" w:styleId="MessageHeader">
    <w:name w:val="Message Header"/>
    <w:basedOn w:val="Normal"/>
    <w:link w:val="MessageHeaderChar"/>
    <w:uiPriority w:val="99"/>
    <w:semiHidden/>
    <w:unhideWhenUsed/>
    <w:rsid w:val="001F46D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F46D9"/>
    <w:rPr>
      <w:rFonts w:asciiTheme="majorHAnsi" w:eastAsiaTheme="majorEastAsia" w:hAnsiTheme="majorHAnsi" w:cstheme="majorBidi"/>
      <w:sz w:val="24"/>
      <w:szCs w:val="24"/>
      <w:shd w:val="pct20" w:color="auto" w:fill="auto"/>
    </w:rPr>
  </w:style>
  <w:style w:type="paragraph" w:styleId="NoSpacing">
    <w:name w:val="No Spacing"/>
    <w:uiPriority w:val="3"/>
    <w:qFormat/>
    <w:rsid w:val="001F46D9"/>
    <w:pPr>
      <w:spacing w:after="0" w:line="240" w:lineRule="auto"/>
    </w:pPr>
  </w:style>
  <w:style w:type="paragraph" w:styleId="NormalWeb">
    <w:name w:val="Normal (Web)"/>
    <w:basedOn w:val="Normal"/>
    <w:uiPriority w:val="99"/>
    <w:semiHidden/>
    <w:unhideWhenUsed/>
    <w:rsid w:val="001F46D9"/>
    <w:rPr>
      <w:sz w:val="24"/>
      <w:szCs w:val="24"/>
    </w:rPr>
  </w:style>
  <w:style w:type="paragraph" w:styleId="NormalIndent">
    <w:name w:val="Normal Indent"/>
    <w:basedOn w:val="Normal"/>
    <w:uiPriority w:val="99"/>
    <w:semiHidden/>
    <w:unhideWhenUsed/>
    <w:rsid w:val="001F46D9"/>
    <w:pPr>
      <w:ind w:left="720"/>
    </w:pPr>
  </w:style>
  <w:style w:type="paragraph" w:styleId="NoteHeading">
    <w:name w:val="Note Heading"/>
    <w:basedOn w:val="Normal"/>
    <w:next w:val="Normal"/>
    <w:link w:val="NoteHeadingChar"/>
    <w:uiPriority w:val="99"/>
    <w:semiHidden/>
    <w:unhideWhenUsed/>
    <w:rsid w:val="001F46D9"/>
  </w:style>
  <w:style w:type="character" w:customStyle="1" w:styleId="NoteHeadingChar">
    <w:name w:val="Note Heading Char"/>
    <w:basedOn w:val="DefaultParagraphFont"/>
    <w:link w:val="NoteHeading"/>
    <w:uiPriority w:val="99"/>
    <w:semiHidden/>
    <w:rsid w:val="001F46D9"/>
    <w:rPr>
      <w:rFonts w:ascii="Times New Roman" w:hAnsi="Times New Roman" w:cs="Times New Roman"/>
      <w:sz w:val="26"/>
    </w:rPr>
  </w:style>
  <w:style w:type="paragraph" w:styleId="PlainText">
    <w:name w:val="Plain Text"/>
    <w:basedOn w:val="Normal"/>
    <w:link w:val="PlainTextChar"/>
    <w:uiPriority w:val="99"/>
    <w:semiHidden/>
    <w:unhideWhenUsed/>
    <w:rsid w:val="001F46D9"/>
    <w:rPr>
      <w:rFonts w:ascii="Consolas" w:hAnsi="Consolas" w:cs="Consolas"/>
      <w:sz w:val="21"/>
      <w:szCs w:val="21"/>
    </w:rPr>
  </w:style>
  <w:style w:type="character" w:customStyle="1" w:styleId="PlainTextChar">
    <w:name w:val="Plain Text Char"/>
    <w:basedOn w:val="DefaultParagraphFont"/>
    <w:link w:val="PlainText"/>
    <w:uiPriority w:val="99"/>
    <w:semiHidden/>
    <w:rsid w:val="001F46D9"/>
    <w:rPr>
      <w:rFonts w:ascii="Consolas" w:hAnsi="Consolas" w:cs="Consolas"/>
      <w:sz w:val="21"/>
      <w:szCs w:val="21"/>
    </w:rPr>
  </w:style>
  <w:style w:type="paragraph" w:styleId="Quote">
    <w:name w:val="Quote"/>
    <w:basedOn w:val="Normal"/>
    <w:next w:val="Normal"/>
    <w:link w:val="QuoteChar"/>
    <w:uiPriority w:val="29"/>
    <w:qFormat/>
    <w:rsid w:val="001F46D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F46D9"/>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1F46D9"/>
  </w:style>
  <w:style w:type="character" w:customStyle="1" w:styleId="SalutationChar">
    <w:name w:val="Salutation Char"/>
    <w:basedOn w:val="DefaultParagraphFont"/>
    <w:link w:val="Salutation"/>
    <w:uiPriority w:val="99"/>
    <w:semiHidden/>
    <w:rsid w:val="001F46D9"/>
    <w:rPr>
      <w:rFonts w:ascii="Times New Roman" w:hAnsi="Times New Roman" w:cs="Times New Roman"/>
      <w:sz w:val="26"/>
    </w:rPr>
  </w:style>
  <w:style w:type="paragraph" w:styleId="Signature">
    <w:name w:val="Signature"/>
    <w:basedOn w:val="Normal"/>
    <w:link w:val="SignatureChar"/>
    <w:uiPriority w:val="99"/>
    <w:semiHidden/>
    <w:unhideWhenUsed/>
    <w:rsid w:val="001F46D9"/>
    <w:pPr>
      <w:ind w:left="4320"/>
    </w:pPr>
  </w:style>
  <w:style w:type="character" w:customStyle="1" w:styleId="SignatureChar">
    <w:name w:val="Signature Char"/>
    <w:basedOn w:val="DefaultParagraphFont"/>
    <w:link w:val="Signature"/>
    <w:uiPriority w:val="99"/>
    <w:semiHidden/>
    <w:rsid w:val="001F46D9"/>
    <w:rPr>
      <w:rFonts w:ascii="Times New Roman" w:hAnsi="Times New Roman" w:cs="Times New Roman"/>
      <w:sz w:val="26"/>
    </w:rPr>
  </w:style>
  <w:style w:type="paragraph" w:styleId="Subtitle">
    <w:name w:val="Subtitle"/>
    <w:basedOn w:val="Normal"/>
    <w:next w:val="Normal"/>
    <w:link w:val="SubtitleChar"/>
    <w:uiPriority w:val="11"/>
    <w:qFormat/>
    <w:rsid w:val="001F46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46D9"/>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1F46D9"/>
    <w:pPr>
      <w:ind w:left="220" w:hanging="220"/>
    </w:pPr>
  </w:style>
  <w:style w:type="paragraph" w:styleId="TableofFigures">
    <w:name w:val="table of figures"/>
    <w:basedOn w:val="Normal"/>
    <w:next w:val="Normal"/>
    <w:uiPriority w:val="99"/>
    <w:semiHidden/>
    <w:unhideWhenUsed/>
    <w:rsid w:val="001F46D9"/>
  </w:style>
  <w:style w:type="paragraph" w:styleId="Title">
    <w:name w:val="Title"/>
    <w:basedOn w:val="Normal"/>
    <w:next w:val="Normal"/>
    <w:link w:val="TitleChar"/>
    <w:uiPriority w:val="10"/>
    <w:qFormat/>
    <w:rsid w:val="001F46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6D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F46D9"/>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1F46D9"/>
    <w:pPr>
      <w:spacing w:after="100"/>
    </w:pPr>
  </w:style>
  <w:style w:type="paragraph" w:styleId="TOC2">
    <w:name w:val="toc 2"/>
    <w:basedOn w:val="Normal"/>
    <w:next w:val="Normal"/>
    <w:uiPriority w:val="39"/>
    <w:semiHidden/>
    <w:unhideWhenUsed/>
    <w:rsid w:val="001F46D9"/>
    <w:pPr>
      <w:spacing w:after="100"/>
      <w:ind w:left="220"/>
    </w:pPr>
  </w:style>
  <w:style w:type="paragraph" w:styleId="TOC3">
    <w:name w:val="toc 3"/>
    <w:basedOn w:val="Normal"/>
    <w:next w:val="Normal"/>
    <w:uiPriority w:val="39"/>
    <w:semiHidden/>
    <w:unhideWhenUsed/>
    <w:rsid w:val="001F46D9"/>
    <w:pPr>
      <w:spacing w:after="100"/>
      <w:ind w:left="440"/>
    </w:pPr>
  </w:style>
  <w:style w:type="paragraph" w:styleId="TOC4">
    <w:name w:val="toc 4"/>
    <w:basedOn w:val="Normal"/>
    <w:next w:val="Normal"/>
    <w:uiPriority w:val="39"/>
    <w:semiHidden/>
    <w:unhideWhenUsed/>
    <w:rsid w:val="001F46D9"/>
    <w:pPr>
      <w:spacing w:after="100"/>
      <w:ind w:left="660"/>
    </w:pPr>
  </w:style>
  <w:style w:type="paragraph" w:styleId="TOC5">
    <w:name w:val="toc 5"/>
    <w:basedOn w:val="Normal"/>
    <w:next w:val="Normal"/>
    <w:uiPriority w:val="39"/>
    <w:semiHidden/>
    <w:unhideWhenUsed/>
    <w:rsid w:val="001F46D9"/>
    <w:pPr>
      <w:spacing w:after="100"/>
      <w:ind w:left="880"/>
    </w:pPr>
  </w:style>
  <w:style w:type="paragraph" w:styleId="TOC6">
    <w:name w:val="toc 6"/>
    <w:basedOn w:val="Normal"/>
    <w:next w:val="Normal"/>
    <w:uiPriority w:val="39"/>
    <w:semiHidden/>
    <w:unhideWhenUsed/>
    <w:rsid w:val="001F46D9"/>
    <w:pPr>
      <w:spacing w:after="100"/>
      <w:ind w:left="1100"/>
    </w:pPr>
  </w:style>
  <w:style w:type="paragraph" w:styleId="TOC7">
    <w:name w:val="toc 7"/>
    <w:basedOn w:val="Normal"/>
    <w:next w:val="Normal"/>
    <w:uiPriority w:val="39"/>
    <w:semiHidden/>
    <w:unhideWhenUsed/>
    <w:rsid w:val="001F46D9"/>
    <w:pPr>
      <w:spacing w:after="100"/>
      <w:ind w:left="1320"/>
    </w:pPr>
  </w:style>
  <w:style w:type="paragraph" w:styleId="TOC8">
    <w:name w:val="toc 8"/>
    <w:basedOn w:val="Normal"/>
    <w:next w:val="Normal"/>
    <w:uiPriority w:val="39"/>
    <w:semiHidden/>
    <w:unhideWhenUsed/>
    <w:rsid w:val="001F46D9"/>
    <w:pPr>
      <w:spacing w:after="100"/>
      <w:ind w:left="1540"/>
    </w:pPr>
  </w:style>
  <w:style w:type="paragraph" w:styleId="TOC9">
    <w:name w:val="toc 9"/>
    <w:basedOn w:val="Normal"/>
    <w:next w:val="Normal"/>
    <w:uiPriority w:val="39"/>
    <w:semiHidden/>
    <w:unhideWhenUsed/>
    <w:rsid w:val="001F46D9"/>
    <w:pPr>
      <w:spacing w:after="100"/>
      <w:ind w:left="1760"/>
    </w:pPr>
  </w:style>
  <w:style w:type="paragraph" w:styleId="TOCHeading">
    <w:name w:val="TOC Heading"/>
    <w:basedOn w:val="Heading1"/>
    <w:next w:val="Normal"/>
    <w:uiPriority w:val="39"/>
    <w:semiHidden/>
    <w:unhideWhenUsed/>
    <w:qFormat/>
    <w:rsid w:val="001F46D9"/>
    <w:pPr>
      <w:numPr>
        <w:numId w:val="0"/>
      </w:numPr>
      <w:outlineLvl w:val="9"/>
    </w:pPr>
  </w:style>
  <w:style w:type="paragraph" w:customStyle="1" w:styleId="FERCparanumber">
    <w:name w:val="FERC paranumber"/>
    <w:basedOn w:val="Normal"/>
    <w:link w:val="FERCparanumberChar"/>
    <w:qFormat/>
    <w:rsid w:val="001F46D9"/>
    <w:pPr>
      <w:widowControl/>
      <w:numPr>
        <w:numId w:val="16"/>
      </w:numPr>
      <w:spacing w:after="260"/>
    </w:pPr>
  </w:style>
  <w:style w:type="character" w:customStyle="1" w:styleId="FERCparanumberChar">
    <w:name w:val="FERC paranumber Char"/>
    <w:basedOn w:val="DefaultParagraphFont"/>
    <w:link w:val="FERCparanumber"/>
    <w:rsid w:val="001F46D9"/>
    <w:rPr>
      <w:rFonts w:ascii="Times New Roman" w:hAnsi="Times New Roman" w:cs="Times New Roman"/>
      <w:sz w:val="26"/>
    </w:rPr>
  </w:style>
  <w:style w:type="character" w:styleId="PageNumber">
    <w:name w:val="page number"/>
    <w:basedOn w:val="DefaultParagraphFont"/>
    <w:rsid w:val="001F46D9"/>
  </w:style>
  <w:style w:type="table" w:styleId="TableGrid">
    <w:name w:val="Table Grid"/>
    <w:basedOn w:val="TableNormal"/>
    <w:rsid w:val="001F46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6D9"/>
    <w:rPr>
      <w:color w:val="0563C1" w:themeColor="hyperlink"/>
      <w:u w:val="single"/>
    </w:rPr>
  </w:style>
  <w:style w:type="character" w:customStyle="1" w:styleId="Heading1Char">
    <w:name w:val="Heading 1 Char"/>
    <w:basedOn w:val="DefaultParagraphFont"/>
    <w:link w:val="Heading1"/>
    <w:uiPriority w:val="9"/>
    <w:rsid w:val="001F46D9"/>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1F46D9"/>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
    <w:basedOn w:val="Normal"/>
    <w:link w:val="FootnoteTextChar"/>
    <w:uiPriority w:val="99"/>
    <w:unhideWhenUsed/>
    <w:rsid w:val="001F46D9"/>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rsid w:val="001F46D9"/>
    <w:rPr>
      <w:rFonts w:ascii="Times New Roman" w:hAnsi="Times New Roman" w:cs="Times New Roman"/>
      <w:b/>
      <w:sz w:val="26"/>
      <w:vertAlign w:val="superscript"/>
    </w:rPr>
  </w:style>
  <w:style w:type="paragraph" w:customStyle="1" w:styleId="FERCNopara">
    <w:name w:val="FERC Nopara"/>
    <w:basedOn w:val="Normal"/>
    <w:uiPriority w:val="1"/>
    <w:qFormat/>
    <w:rsid w:val="001F46D9"/>
    <w:pPr>
      <w:spacing w:after="260"/>
      <w:ind w:firstLine="720"/>
    </w:pPr>
  </w:style>
  <w:style w:type="character" w:styleId="CommentReference">
    <w:name w:val="annotation reference"/>
    <w:basedOn w:val="DefaultParagraphFont"/>
    <w:uiPriority w:val="99"/>
    <w:semiHidden/>
    <w:unhideWhenUsed/>
    <w:rsid w:val="001F46D9"/>
    <w:rPr>
      <w:sz w:val="16"/>
      <w:szCs w:val="16"/>
    </w:rPr>
  </w:style>
  <w:style w:type="character" w:styleId="UnresolvedMention">
    <w:name w:val="Unresolved Mention"/>
    <w:basedOn w:val="DefaultParagraphFont"/>
    <w:uiPriority w:val="99"/>
    <w:semiHidden/>
    <w:unhideWhenUsed/>
    <w:rsid w:val="001F46D9"/>
    <w:rPr>
      <w:color w:val="605E5C"/>
      <w:shd w:val="clear" w:color="auto" w:fill="E1DFDD"/>
    </w:rPr>
  </w:style>
  <w:style w:type="character" w:styleId="Mention">
    <w:name w:val="Mention"/>
    <w:basedOn w:val="DefaultParagraphFont"/>
    <w:uiPriority w:val="99"/>
    <w:unhideWhenUsed/>
    <w:rsid w:val="00177556"/>
    <w:rPr>
      <w:color w:val="2B579A"/>
      <w:shd w:val="clear" w:color="auto" w:fill="E1DFDD"/>
    </w:rPr>
  </w:style>
  <w:style w:type="paragraph" w:styleId="Revision">
    <w:name w:val="Revision"/>
    <w:hidden/>
    <w:uiPriority w:val="99"/>
    <w:semiHidden/>
    <w:rsid w:val="00491CF8"/>
    <w:pPr>
      <w:spacing w:after="0" w:line="240" w:lineRule="auto"/>
    </w:pPr>
    <w:rPr>
      <w:rFonts w:ascii="Times New Roman" w:hAnsi="Times New Roman" w:cs="Times New Roman"/>
      <w:sz w:val="26"/>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EF736B"/>
    <w:rPr>
      <w:rFonts w:ascii="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7F171-F6DB-4799-A3FF-568A5932CC7F}">
  <ds:schemaRefs>
    <ds:schemaRef ds:uri="Microsoft.SharePoint.Taxonomy.ContentTypeSync"/>
  </ds:schemaRefs>
</ds:datastoreItem>
</file>

<file path=customXml/itemProps2.xml><?xml version="1.0" encoding="utf-8"?>
<ds:datastoreItem xmlns:ds="http://schemas.openxmlformats.org/officeDocument/2006/customXml" ds:itemID="{85802539-3F7A-4447-85A8-AE122BA5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41C83-9FB8-4290-A6FA-156B3FEDBFA0}">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29E5010B-1547-4BC7-A425-0D4CFD7CC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10808</Characters>
  <Application>Microsoft Office Word</Application>
  <DocSecurity>0</DocSecurity>
  <Lines>360</Lines>
  <Paragraphs>138</Paragraphs>
  <ScaleCrop>false</ScaleCrop>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2025-05-09T17:59:00Z</dcterms:created>
  <dcterms:modified xsi:type="dcterms:W3CDTF">2025-05-09T17:59:00Z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0ffb92a7-fc53-4acd-8830-a60bb65958ff</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2025-05-09T17:58:47Z</vt:lpwstr>
  </property>
  <property fmtid="{D5CDD505-2E9C-101B-9397-08002B2CF9AE}" pid="8" name="MSIP_Label_bd24d06a-0e85-4d57-b1e0-ba34b1abc708_SiteId">
    <vt:lpwstr>19caa9e9-04ff-43fa-885f-d77fac387903</vt:lpwstr>
  </property>
</Properties>
</file>