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001D40" w:rsidP="00001D40" w14:paraId="46692DEB" w14:textId="18E8CE09">
      <w:pPr>
        <w:spacing w:after="0" w:line="276" w:lineRule="auto"/>
        <w:jc w:val="center"/>
        <w:rPr>
          <w:rFonts w:cstheme="minorHAnsi"/>
          <w:sz w:val="32"/>
          <w:szCs w:val="32"/>
        </w:rPr>
      </w:pPr>
      <w:bookmarkStart w:id="0" w:name="_Toc49148152"/>
      <w:r w:rsidRPr="00001D40">
        <w:rPr>
          <w:rFonts w:cstheme="minorHAnsi"/>
          <w:sz w:val="32"/>
          <w:szCs w:val="32"/>
        </w:rPr>
        <w:t>U.S. Environmental Protection Agency</w:t>
      </w:r>
    </w:p>
    <w:p w:rsidR="00DE4E0C" w:rsidRPr="00001D40" w:rsidP="00001D40" w14:paraId="1A3CA841" w14:textId="4B14E2EE">
      <w:pPr>
        <w:spacing w:line="276" w:lineRule="auto"/>
        <w:jc w:val="center"/>
        <w:rPr>
          <w:rFonts w:cstheme="minorHAnsi"/>
          <w:sz w:val="32"/>
          <w:szCs w:val="32"/>
        </w:rPr>
      </w:pPr>
      <w:r w:rsidRPr="00001D40">
        <w:rPr>
          <w:rFonts w:cstheme="minorHAnsi"/>
          <w:sz w:val="32"/>
          <w:szCs w:val="32"/>
        </w:rPr>
        <w:t>Information Collection Request</w:t>
      </w:r>
    </w:p>
    <w:p w:rsidR="00EA0D20" w:rsidRPr="00001D40" w:rsidP="00001D40" w14:paraId="77D1C27C" w14:textId="77777777">
      <w:pPr>
        <w:spacing w:line="276" w:lineRule="auto"/>
        <w:rPr>
          <w:rFonts w:cstheme="minorHAnsi"/>
          <w:b/>
          <w:bCs/>
        </w:rPr>
      </w:pPr>
    </w:p>
    <w:p w:rsidR="00BB432F" w:rsidRPr="00001D40" w:rsidP="00001D40" w14:paraId="7B82FD92" w14:textId="0025A2AD">
      <w:pPr>
        <w:spacing w:after="0" w:line="276" w:lineRule="auto"/>
        <w:textAlignment w:val="baseline"/>
        <w:rPr>
          <w:rFonts w:eastAsia="Times New Roman" w:cstheme="minorHAnsi"/>
        </w:rPr>
      </w:pPr>
      <w:r w:rsidRPr="00001D40">
        <w:rPr>
          <w:rFonts w:cstheme="minorHAnsi"/>
          <w:b/>
          <w:bCs/>
        </w:rPr>
        <w:t>Title:</w:t>
      </w:r>
      <w:r w:rsidRPr="00001D40" w:rsidR="001F34A5">
        <w:rPr>
          <w:rFonts w:cstheme="minorHAnsi"/>
        </w:rPr>
        <w:t xml:space="preserve"> </w:t>
      </w:r>
      <w:r w:rsidRPr="00001D40" w:rsidR="004518C2">
        <w:rPr>
          <w:rFonts w:eastAsia="Times New Roman" w:cstheme="minorHAnsi"/>
          <w:color w:val="444444"/>
          <w:shd w:val="clear" w:color="auto" w:fill="FFFFFF"/>
        </w:rPr>
        <w:t>Acid Rain Program under Title IV of the Clean Air Act Amendments (Renewal)</w:t>
      </w:r>
    </w:p>
    <w:p w:rsidR="004518C2" w:rsidRPr="00001D40" w:rsidP="00001D40" w14:paraId="77247E0A" w14:textId="77777777">
      <w:pPr>
        <w:spacing w:after="0" w:line="276" w:lineRule="auto"/>
        <w:textAlignment w:val="baseline"/>
        <w:rPr>
          <w:rFonts w:eastAsia="Times New Roman" w:cstheme="minorHAnsi"/>
        </w:rPr>
      </w:pPr>
    </w:p>
    <w:p w:rsidR="00EE2403" w:rsidRPr="00001D40" w:rsidP="5C753766" w14:paraId="71D5121E" w14:textId="51AD7E6A">
      <w:pPr>
        <w:spacing w:line="276" w:lineRule="auto"/>
      </w:pPr>
      <w:r w:rsidRPr="5C753766">
        <w:rPr>
          <w:b/>
          <w:bCs/>
        </w:rPr>
        <w:t>OMB Control Number:</w:t>
      </w:r>
      <w:r w:rsidRPr="5C753766" w:rsidR="00BB432F">
        <w:t xml:space="preserve"> </w:t>
      </w:r>
      <w:r w:rsidRPr="5C753766" w:rsidR="00EC77C0">
        <w:t>2</w:t>
      </w:r>
      <w:r w:rsidRPr="5C753766" w:rsidR="00C36FC6">
        <w:t>060</w:t>
      </w:r>
      <w:r w:rsidRPr="5C753766" w:rsidR="00EC77C0">
        <w:t>-025</w:t>
      </w:r>
      <w:r w:rsidRPr="5C753766" w:rsidR="5C4A8E78">
        <w:t>8</w:t>
      </w:r>
    </w:p>
    <w:p w:rsidR="00EE2403" w:rsidRPr="00001D40" w:rsidP="00001D40" w14:paraId="4FB77BCA" w14:textId="66D0881F">
      <w:pPr>
        <w:spacing w:before="240" w:line="276" w:lineRule="auto"/>
        <w:rPr>
          <w:rFonts w:cstheme="minorHAnsi"/>
        </w:rPr>
      </w:pPr>
      <w:r w:rsidRPr="00001D40">
        <w:rPr>
          <w:rFonts w:cstheme="minorHAnsi"/>
          <w:b/>
          <w:bCs/>
        </w:rPr>
        <w:t>EPA ICR Number:</w:t>
      </w:r>
      <w:r w:rsidRPr="00001D40" w:rsidR="00B2663E">
        <w:rPr>
          <w:rFonts w:cstheme="minorHAnsi"/>
        </w:rPr>
        <w:t xml:space="preserve"> 1633.19 </w:t>
      </w:r>
    </w:p>
    <w:p w:rsidR="00BB432F" w:rsidRPr="00001D40" w:rsidP="00001D40" w14:paraId="6A3E928D" w14:textId="3842F213">
      <w:pPr>
        <w:tabs>
          <w:tab w:val="left" w:pos="1892"/>
        </w:tabs>
        <w:spacing w:before="240" w:line="276" w:lineRule="auto"/>
        <w:rPr>
          <w:rFonts w:cstheme="minorHAnsi"/>
        </w:rPr>
      </w:pPr>
      <w:r w:rsidRPr="00001D40">
        <w:rPr>
          <w:rFonts w:cstheme="minorHAnsi"/>
          <w:b/>
          <w:bCs/>
        </w:rPr>
        <w:t>Abstract:</w:t>
      </w:r>
    </w:p>
    <w:p w:rsidR="00B2663E" w:rsidRPr="00001D40" w:rsidP="00001D40" w14:paraId="36B9FFD8" w14:textId="4D48B171">
      <w:pPr>
        <w:spacing w:line="276" w:lineRule="auto"/>
        <w:rPr>
          <w:rFonts w:cstheme="minorHAnsi"/>
        </w:rPr>
      </w:pPr>
      <w:r w:rsidRPr="00001D40">
        <w:rPr>
          <w:rFonts w:cstheme="minorHAnsi"/>
        </w:rPr>
        <w:t>The United States Environmental Protection Agency (EPA) is renewing an information collection request (ICR) for the Acid Rain Program.  Congress established the program in title IV of the 1990 Clean Air Act (CAA) Amendments to address acid deposition by reducing emissions of sulfur dioxide (SO</w:t>
      </w:r>
      <w:r w:rsidRPr="00001D40">
        <w:rPr>
          <w:rFonts w:cstheme="minorHAnsi"/>
          <w:vertAlign w:val="subscript"/>
        </w:rPr>
        <w:t>2</w:t>
      </w:r>
      <w:r w:rsidRPr="00001D40">
        <w:rPr>
          <w:rFonts w:cstheme="minorHAnsi"/>
        </w:rPr>
        <w:t>) and nitrogen oxides (NO</w:t>
      </w:r>
      <w:r w:rsidRPr="00001D40">
        <w:rPr>
          <w:rFonts w:cstheme="minorHAnsi"/>
          <w:vertAlign w:val="subscript"/>
        </w:rPr>
        <w:t>X</w:t>
      </w:r>
      <w:r w:rsidRPr="00001D40">
        <w:rPr>
          <w:rFonts w:cstheme="minorHAnsi"/>
        </w:rPr>
        <w:t xml:space="preserve">). This renewal generally </w:t>
      </w:r>
      <w:r w:rsidR="006B5F6E">
        <w:rPr>
          <w:rFonts w:cstheme="minorHAnsi"/>
        </w:rPr>
        <w:t xml:space="preserve">outlines programmatic aspects </w:t>
      </w:r>
      <w:r w:rsidR="006B37F5">
        <w:rPr>
          <w:rFonts w:cstheme="minorHAnsi"/>
        </w:rPr>
        <w:t>as established in the</w:t>
      </w:r>
      <w:r w:rsidRPr="00001D40">
        <w:rPr>
          <w:rFonts w:cstheme="minorHAnsi"/>
        </w:rPr>
        <w:t xml:space="preserve"> previous ICR </w:t>
      </w:r>
      <w:r w:rsidR="006B37F5">
        <w:rPr>
          <w:rFonts w:cstheme="minorHAnsi"/>
        </w:rPr>
        <w:t>with</w:t>
      </w:r>
      <w:r w:rsidRPr="00001D40">
        <w:rPr>
          <w:rFonts w:cstheme="minorHAnsi"/>
        </w:rPr>
        <w:t xml:space="preserve"> adjustments to reflect current labor costs and estimates of the numbers of respondents and transactions. </w:t>
      </w:r>
    </w:p>
    <w:p w:rsidR="00B2663E" w:rsidRPr="00001D40" w:rsidP="00001D40" w14:paraId="3C69E8A1" w14:textId="7BE17ABF">
      <w:pPr>
        <w:spacing w:line="276" w:lineRule="auto"/>
        <w:rPr>
          <w:rFonts w:cstheme="minorHAnsi"/>
        </w:rPr>
      </w:pPr>
      <w:r w:rsidRPr="00001D40">
        <w:rPr>
          <w:rFonts w:cstheme="minorHAnsi"/>
        </w:rPr>
        <w:t>To reduce SO</w:t>
      </w:r>
      <w:r w:rsidRPr="00001D40">
        <w:rPr>
          <w:rFonts w:cstheme="minorHAnsi"/>
          <w:vertAlign w:val="subscript"/>
        </w:rPr>
        <w:t>2</w:t>
      </w:r>
      <w:r w:rsidRPr="00001D40">
        <w:rPr>
          <w:rFonts w:cstheme="minorHAnsi"/>
        </w:rPr>
        <w:t xml:space="preserve"> emissions, the Acid Rain Program uses a cap-and-trade system applicable to most large fossil fuel-fired electricity generating units in the contiguous United States.  Affected sources are required to hold one tradable allowance for each ton of SO</w:t>
      </w:r>
      <w:r w:rsidRPr="00001D40">
        <w:rPr>
          <w:rFonts w:cstheme="minorHAnsi"/>
          <w:vertAlign w:val="subscript"/>
        </w:rPr>
        <w:t>2</w:t>
      </w:r>
      <w:r w:rsidRPr="00001D40">
        <w:rPr>
          <w:rFonts w:cstheme="minorHAnsi"/>
        </w:rPr>
        <w:t xml:space="preserve"> emitted, and the total number of allowances issued is capped.    </w:t>
      </w:r>
      <w:r w:rsidR="00F30270">
        <w:rPr>
          <w:rFonts w:cstheme="minorHAnsi"/>
        </w:rPr>
        <w:t xml:space="preserve">In addition to affected sources, </w:t>
      </w:r>
      <w:r w:rsidR="0088319D">
        <w:rPr>
          <w:rFonts w:cstheme="minorHAnsi"/>
        </w:rPr>
        <w:t>a</w:t>
      </w:r>
      <w:r w:rsidRPr="00001D40">
        <w:rPr>
          <w:rFonts w:cstheme="minorHAnsi"/>
        </w:rPr>
        <w:t xml:space="preserve">ny person </w:t>
      </w:r>
      <w:r w:rsidR="0088319D">
        <w:rPr>
          <w:rFonts w:cstheme="minorHAnsi"/>
        </w:rPr>
        <w:t xml:space="preserve">or entity </w:t>
      </w:r>
      <w:r w:rsidRPr="00001D40">
        <w:rPr>
          <w:rFonts w:cstheme="minorHAnsi"/>
        </w:rPr>
        <w:t xml:space="preserve">may </w:t>
      </w:r>
      <w:r w:rsidR="0088319D">
        <w:rPr>
          <w:rFonts w:cstheme="minorHAnsi"/>
        </w:rPr>
        <w:t xml:space="preserve">establish an account to </w:t>
      </w:r>
      <w:r w:rsidRPr="00001D40">
        <w:rPr>
          <w:rFonts w:cstheme="minorHAnsi"/>
        </w:rPr>
        <w:t xml:space="preserve">buy and sell allowances. EPA is required to conduct an allowance auction each year to promote market liquidity and price transparency.  </w:t>
      </w:r>
    </w:p>
    <w:p w:rsidR="00B2663E" w:rsidRPr="00001D40" w:rsidP="00001D40" w14:paraId="2A97F343" w14:textId="47F35A22">
      <w:pPr>
        <w:spacing w:line="276" w:lineRule="auto"/>
        <w:rPr>
          <w:rFonts w:cstheme="minorHAnsi"/>
        </w:rPr>
      </w:pPr>
      <w:r w:rsidRPr="00001D40">
        <w:rPr>
          <w:rFonts w:cstheme="minorHAnsi"/>
        </w:rPr>
        <w:t>To reduce NO</w:t>
      </w:r>
      <w:r w:rsidRPr="00001D40">
        <w:rPr>
          <w:rFonts w:cstheme="minorHAnsi"/>
          <w:vertAlign w:val="subscript"/>
        </w:rPr>
        <w:t>X</w:t>
      </w:r>
      <w:r w:rsidRPr="00001D40">
        <w:rPr>
          <w:rFonts w:cstheme="minorHAnsi"/>
        </w:rPr>
        <w:t xml:space="preserve"> emissions, the Acid Rain Program applies NO</w:t>
      </w:r>
      <w:r w:rsidRPr="00001D40">
        <w:rPr>
          <w:rFonts w:cstheme="minorHAnsi"/>
          <w:vertAlign w:val="subscript"/>
        </w:rPr>
        <w:t>X</w:t>
      </w:r>
      <w:r w:rsidRPr="00001D40">
        <w:rPr>
          <w:rFonts w:cstheme="minorHAnsi"/>
        </w:rPr>
        <w:t xml:space="preserve"> emission rate limits to a subset of affected units.  Each such unit may either meet its standard emission rate limit, arrange to comply on a group basis under an averaging plan, or seek approval for an alternative emission limitation (AEL) based on demonstrated inability to meet its otherwise applicable standard limit. </w:t>
      </w:r>
    </w:p>
    <w:p w:rsidR="00B2663E" w:rsidRPr="00001D40" w:rsidP="00001D40" w14:paraId="4028CC7A" w14:textId="0001EF3F">
      <w:pPr>
        <w:spacing w:line="276" w:lineRule="auto"/>
        <w:rPr>
          <w:rFonts w:cstheme="minorHAnsi"/>
        </w:rPr>
      </w:pPr>
      <w:r w:rsidRPr="00001D40">
        <w:rPr>
          <w:rFonts w:cstheme="minorHAnsi"/>
        </w:rPr>
        <w:t>Affected units under the Acid Rain Program are required to monitor opacity and SO</w:t>
      </w:r>
      <w:r w:rsidRPr="00001D40">
        <w:rPr>
          <w:rFonts w:cstheme="minorHAnsi"/>
          <w:vertAlign w:val="subscript"/>
        </w:rPr>
        <w:t>2</w:t>
      </w:r>
      <w:r w:rsidRPr="00001D40">
        <w:rPr>
          <w:rFonts w:cstheme="minorHAnsi"/>
        </w:rPr>
        <w:t>, NO</w:t>
      </w:r>
      <w:r w:rsidRPr="00001D40">
        <w:rPr>
          <w:rFonts w:cstheme="minorHAnsi"/>
          <w:vertAlign w:val="subscript"/>
        </w:rPr>
        <w:t>X</w:t>
      </w:r>
      <w:r w:rsidRPr="00001D40">
        <w:rPr>
          <w:rFonts w:cstheme="minorHAnsi"/>
        </w:rPr>
        <w:t>, and carbon dioxide (CO</w:t>
      </w:r>
      <w:r w:rsidRPr="00001D40">
        <w:rPr>
          <w:rFonts w:cstheme="minorHAnsi"/>
          <w:vertAlign w:val="subscript"/>
        </w:rPr>
        <w:t>2</w:t>
      </w:r>
      <w:r w:rsidRPr="00001D40">
        <w:rPr>
          <w:rFonts w:cstheme="minorHAnsi"/>
        </w:rPr>
        <w:t>) emissions using continuous emission monitoring systems (CEMS</w:t>
      </w:r>
      <w:r w:rsidRPr="00001D40">
        <w:rPr>
          <w:rFonts w:cstheme="minorHAnsi"/>
        </w:rPr>
        <w:t>)</w:t>
      </w:r>
      <w:r w:rsidRPr="00001D40">
        <w:rPr>
          <w:rFonts w:cstheme="minorHAnsi"/>
        </w:rPr>
        <w:t xml:space="preserve"> or alternative monitoring methods approved by the EPA Administrator. All affected units are also required to obtain and periodically renew permits that identify their plans for complying with the program’s applicable SO</w:t>
      </w:r>
      <w:r w:rsidRPr="00001D40">
        <w:rPr>
          <w:rFonts w:cstheme="minorHAnsi"/>
          <w:vertAlign w:val="subscript"/>
        </w:rPr>
        <w:t>2</w:t>
      </w:r>
      <w:r w:rsidRPr="00001D40">
        <w:rPr>
          <w:rFonts w:cstheme="minorHAnsi"/>
        </w:rPr>
        <w:t xml:space="preserve"> and NO</w:t>
      </w:r>
      <w:r w:rsidRPr="00001D40">
        <w:rPr>
          <w:rFonts w:cstheme="minorHAnsi"/>
          <w:vertAlign w:val="subscript"/>
        </w:rPr>
        <w:t>X</w:t>
      </w:r>
      <w:r w:rsidRPr="00001D40">
        <w:rPr>
          <w:rFonts w:cstheme="minorHAnsi"/>
        </w:rPr>
        <w:t xml:space="preserve"> requirements. </w:t>
      </w:r>
    </w:p>
    <w:p w:rsidR="00B2663E" w:rsidRPr="00001D40" w:rsidP="00001D40" w14:paraId="45A28D1F" w14:textId="1FA9043F">
      <w:pPr>
        <w:spacing w:line="276" w:lineRule="auto"/>
      </w:pPr>
      <w:r w:rsidRPr="7E39D980">
        <w:t xml:space="preserve">As in previous Acid Rain Program ICRs, most of the topical discussions in this ICR renewal are organized around </w:t>
      </w:r>
      <w:r w:rsidRPr="7356E76F" w:rsidR="61796E23">
        <w:t>the main</w:t>
      </w:r>
      <w:r w:rsidRPr="7E39D980">
        <w:t xml:space="preserve"> program elements established under different CAA sections:</w:t>
      </w:r>
    </w:p>
    <w:p w:rsidR="00B2663E" w:rsidRPr="00001D40" w:rsidP="00001D40" w14:paraId="080CAE37" w14:textId="77777777">
      <w:pPr>
        <w:pStyle w:val="ListParagraph"/>
        <w:numPr>
          <w:ilvl w:val="0"/>
          <w:numId w:val="4"/>
        </w:numPr>
        <w:autoSpaceDE w:val="0"/>
        <w:autoSpaceDN w:val="0"/>
        <w:adjustRightInd w:val="0"/>
        <w:spacing w:after="0" w:line="276" w:lineRule="auto"/>
        <w:rPr>
          <w:rFonts w:cstheme="minorHAnsi"/>
        </w:rPr>
      </w:pPr>
      <w:r w:rsidRPr="00001D40">
        <w:rPr>
          <w:rFonts w:cstheme="minorHAnsi"/>
        </w:rPr>
        <w:t>Allowance transfers (CAA section 403).</w:t>
      </w:r>
    </w:p>
    <w:p w:rsidR="00B2663E" w:rsidRPr="00001D40" w:rsidP="00001D40" w14:paraId="69842030" w14:textId="77777777">
      <w:pPr>
        <w:pStyle w:val="ListParagraph"/>
        <w:numPr>
          <w:ilvl w:val="0"/>
          <w:numId w:val="4"/>
        </w:numPr>
        <w:autoSpaceDE w:val="0"/>
        <w:autoSpaceDN w:val="0"/>
        <w:adjustRightInd w:val="0"/>
        <w:spacing w:after="0" w:line="276" w:lineRule="auto"/>
        <w:rPr>
          <w:rFonts w:cstheme="minorHAnsi"/>
        </w:rPr>
      </w:pPr>
      <w:r w:rsidRPr="00001D40">
        <w:rPr>
          <w:rFonts w:cstheme="minorHAnsi"/>
        </w:rPr>
        <w:t>Permits (CAA section 408).</w:t>
      </w:r>
    </w:p>
    <w:p w:rsidR="00B2663E" w:rsidRPr="00001D40" w:rsidP="00001D40" w14:paraId="0CD3B1B9" w14:textId="77777777">
      <w:pPr>
        <w:pStyle w:val="ListParagraph"/>
        <w:numPr>
          <w:ilvl w:val="0"/>
          <w:numId w:val="4"/>
        </w:numPr>
        <w:autoSpaceDE w:val="0"/>
        <w:autoSpaceDN w:val="0"/>
        <w:adjustRightInd w:val="0"/>
        <w:spacing w:after="0" w:line="276" w:lineRule="auto"/>
        <w:rPr>
          <w:rFonts w:cstheme="minorHAnsi"/>
        </w:rPr>
      </w:pPr>
      <w:r w:rsidRPr="00001D40">
        <w:rPr>
          <w:rFonts w:cstheme="minorHAnsi"/>
        </w:rPr>
        <w:t>Emissions monitoring (CAA section 412).</w:t>
      </w:r>
    </w:p>
    <w:p w:rsidR="00B2663E" w:rsidRPr="00001D40" w:rsidP="00001D40" w14:paraId="3055C958" w14:textId="77777777">
      <w:pPr>
        <w:pStyle w:val="ListParagraph"/>
        <w:numPr>
          <w:ilvl w:val="0"/>
          <w:numId w:val="4"/>
        </w:numPr>
        <w:autoSpaceDE w:val="0"/>
        <w:autoSpaceDN w:val="0"/>
        <w:adjustRightInd w:val="0"/>
        <w:spacing w:after="0" w:line="276" w:lineRule="auto"/>
        <w:rPr>
          <w:rFonts w:cstheme="minorHAnsi"/>
        </w:rPr>
      </w:pPr>
      <w:r w:rsidRPr="00001D40">
        <w:rPr>
          <w:rFonts w:cstheme="minorHAnsi"/>
        </w:rPr>
        <w:t>Auctions (CAA section 416).</w:t>
      </w:r>
    </w:p>
    <w:p w:rsidR="00B2663E" w:rsidRPr="00001D40" w:rsidP="005A3549" w14:paraId="661A0537" w14:textId="663C5384">
      <w:pPr>
        <w:pStyle w:val="ListParagraph"/>
        <w:autoSpaceDE w:val="0"/>
        <w:autoSpaceDN w:val="0"/>
        <w:adjustRightInd w:val="0"/>
        <w:spacing w:after="0" w:line="276" w:lineRule="auto"/>
        <w:rPr>
          <w:rFonts w:cstheme="minorHAnsi"/>
        </w:rPr>
      </w:pPr>
    </w:p>
    <w:p w:rsidR="00B2663E" w:rsidRPr="00001D40" w:rsidP="00001D40" w14:paraId="683B9C75" w14:textId="6652E505">
      <w:pPr>
        <w:pStyle w:val="ListParagraph"/>
        <w:numPr>
          <w:ilvl w:val="0"/>
          <w:numId w:val="4"/>
        </w:numPr>
        <w:autoSpaceDE w:val="0"/>
        <w:autoSpaceDN w:val="0"/>
        <w:adjustRightInd w:val="0"/>
        <w:spacing w:after="0" w:line="276" w:lineRule="auto"/>
        <w:rPr>
          <w:rFonts w:cstheme="minorHAnsi"/>
        </w:rPr>
      </w:pPr>
      <w:r w:rsidRPr="00001D40">
        <w:rPr>
          <w:rFonts w:cstheme="minorHAnsi"/>
        </w:rPr>
        <w:t>N</w:t>
      </w:r>
      <w:r w:rsidRPr="00001D40" w:rsidR="00071B97">
        <w:rPr>
          <w:rFonts w:cstheme="minorHAnsi"/>
        </w:rPr>
        <w:t>Ox</w:t>
      </w:r>
      <w:r w:rsidRPr="00001D40">
        <w:rPr>
          <w:rFonts w:cstheme="minorHAnsi"/>
        </w:rPr>
        <w:t xml:space="preserve"> permitting (CAA section 407).</w:t>
      </w:r>
    </w:p>
    <w:p w:rsidR="00BF0318" w:rsidRPr="000825AD" w:rsidP="00B6021B" w14:paraId="5AA50F00" w14:textId="55094689">
      <w:pPr>
        <w:autoSpaceDE w:val="0"/>
        <w:autoSpaceDN w:val="0"/>
        <w:adjustRightInd w:val="0"/>
        <w:spacing w:after="0" w:line="276" w:lineRule="auto"/>
        <w:rPr>
          <w:rFonts w:cstheme="minorHAnsi"/>
        </w:rPr>
      </w:pPr>
      <w:r>
        <w:rPr>
          <w:rFonts w:cstheme="minorHAnsi"/>
        </w:rPr>
        <w:t xml:space="preserve">NOTE: </w:t>
      </w:r>
      <w:r w:rsidR="003E3CA8">
        <w:rPr>
          <w:rFonts w:cstheme="minorHAnsi"/>
        </w:rPr>
        <w:t xml:space="preserve">For this ICR renewal, EPA is not including </w:t>
      </w:r>
      <w:r w:rsidR="002B66E5">
        <w:rPr>
          <w:rFonts w:cstheme="minorHAnsi"/>
        </w:rPr>
        <w:t xml:space="preserve">the Opt-in </w:t>
      </w:r>
      <w:r w:rsidR="00F9142C">
        <w:rPr>
          <w:rFonts w:cstheme="minorHAnsi"/>
        </w:rPr>
        <w:t xml:space="preserve">(CAA section 410) </w:t>
      </w:r>
      <w:r w:rsidR="006542D0">
        <w:rPr>
          <w:rFonts w:cstheme="minorHAnsi"/>
        </w:rPr>
        <w:t xml:space="preserve">portion of the program </w:t>
      </w:r>
      <w:r w:rsidR="000D1C12">
        <w:rPr>
          <w:rFonts w:cstheme="minorHAnsi"/>
        </w:rPr>
        <w:t xml:space="preserve">as </w:t>
      </w:r>
      <w:r w:rsidR="00C454A2">
        <w:rPr>
          <w:rFonts w:cstheme="minorHAnsi"/>
        </w:rPr>
        <w:t xml:space="preserve">EPA has not received an opt-in application </w:t>
      </w:r>
      <w:r w:rsidR="00E921BB">
        <w:rPr>
          <w:rFonts w:cstheme="minorHAnsi"/>
        </w:rPr>
        <w:t xml:space="preserve">in over 10 years and </w:t>
      </w:r>
      <w:r w:rsidR="00896602">
        <w:rPr>
          <w:rFonts w:cstheme="minorHAnsi"/>
        </w:rPr>
        <w:t xml:space="preserve">does not anticipate </w:t>
      </w:r>
      <w:r w:rsidR="00AD0166">
        <w:rPr>
          <w:rFonts w:cstheme="minorHAnsi"/>
        </w:rPr>
        <w:t xml:space="preserve">receiving </w:t>
      </w:r>
      <w:r w:rsidR="00A33E3E">
        <w:rPr>
          <w:rFonts w:cstheme="minorHAnsi"/>
        </w:rPr>
        <w:t xml:space="preserve">applications </w:t>
      </w:r>
      <w:r w:rsidR="00081CB2">
        <w:rPr>
          <w:rFonts w:cstheme="minorHAnsi"/>
        </w:rPr>
        <w:t xml:space="preserve">in </w:t>
      </w:r>
      <w:r w:rsidR="008C5C3A">
        <w:rPr>
          <w:rFonts w:cstheme="minorHAnsi"/>
        </w:rPr>
        <w:t xml:space="preserve">the future. </w:t>
      </w:r>
    </w:p>
    <w:p w:rsidR="00B2663E" w:rsidRPr="00001D40" w:rsidP="00001D40" w14:paraId="61805A01" w14:textId="77777777">
      <w:pPr>
        <w:pStyle w:val="ListParagraph"/>
        <w:autoSpaceDE w:val="0"/>
        <w:autoSpaceDN w:val="0"/>
        <w:adjustRightInd w:val="0"/>
        <w:spacing w:after="0" w:line="276" w:lineRule="auto"/>
        <w:rPr>
          <w:rFonts w:cstheme="minorHAnsi"/>
        </w:rPr>
      </w:pPr>
    </w:p>
    <w:p w:rsidR="00B2663E" w:rsidRPr="00001D40" w:rsidP="00001D40" w14:paraId="533FC3FA" w14:textId="77777777">
      <w:pPr>
        <w:pStyle w:val="ListParagraph"/>
        <w:autoSpaceDE w:val="0"/>
        <w:autoSpaceDN w:val="0"/>
        <w:adjustRightInd w:val="0"/>
        <w:spacing w:after="0" w:line="276" w:lineRule="auto"/>
        <w:rPr>
          <w:rFonts w:cstheme="minorHAnsi"/>
        </w:rPr>
      </w:pPr>
    </w:p>
    <w:p w:rsidR="00DE4E0C" w:rsidRPr="00001D40" w:rsidP="00001D40" w14:paraId="12DA0580" w14:textId="3A9EBC77">
      <w:pPr>
        <w:spacing w:line="276" w:lineRule="auto"/>
        <w:rPr>
          <w:rFonts w:cstheme="minorHAnsi"/>
          <w:b/>
          <w:bCs/>
          <w:u w:val="single"/>
        </w:rPr>
      </w:pPr>
      <w:r w:rsidRPr="00001D40">
        <w:rPr>
          <w:rFonts w:cstheme="minorHAnsi"/>
          <w:b/>
          <w:bCs/>
          <w:u w:val="single"/>
        </w:rPr>
        <w:t>Supporting Statement A</w:t>
      </w:r>
      <w:bookmarkEnd w:id="0"/>
    </w:p>
    <w:p w:rsidR="00D47CB3" w:rsidRPr="00001D40" w:rsidP="00001D40" w14:paraId="73FF37C3" w14:textId="77C3FA07">
      <w:pPr>
        <w:pStyle w:val="ListParagraph"/>
        <w:numPr>
          <w:ilvl w:val="0"/>
          <w:numId w:val="2"/>
        </w:numPr>
        <w:pBdr>
          <w:bottom w:val="single" w:sz="4" w:space="1" w:color="auto"/>
        </w:pBdr>
        <w:spacing w:before="240" w:after="0" w:line="276" w:lineRule="auto"/>
        <w:rPr>
          <w:rFonts w:cstheme="minorHAnsi"/>
          <w:b/>
          <w:bCs/>
        </w:rPr>
      </w:pPr>
      <w:bookmarkStart w:id="1" w:name="_Toc156593368"/>
      <w:r w:rsidRPr="00001D40">
        <w:rPr>
          <w:rFonts w:cstheme="minorHAnsi"/>
          <w:b/>
          <w:bCs/>
        </w:rPr>
        <w:t>NEED AND AUTHORITY FOR THE COLLECTION</w:t>
      </w:r>
      <w:bookmarkEnd w:id="1"/>
    </w:p>
    <w:p w:rsidR="00A27E5C" w:rsidRPr="00001D40" w:rsidP="00001D40" w14:paraId="0D31D853" w14:textId="354D5D40">
      <w:pPr>
        <w:pBdr>
          <w:bottom w:val="single" w:sz="4" w:space="1" w:color="auto"/>
        </w:pBdr>
        <w:spacing w:before="60" w:line="276" w:lineRule="auto"/>
        <w:rPr>
          <w:rFonts w:cstheme="minorHAnsi"/>
          <w:i/>
          <w:iCs/>
        </w:rPr>
      </w:pPr>
      <w:r w:rsidRPr="00001D40">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B2663E" w:rsidRPr="00001D40" w:rsidP="00001D40" w14:paraId="3E8DC2D1" w14:textId="77777777">
      <w:pPr>
        <w:numPr>
          <w:ilvl w:val="12"/>
          <w:numId w:val="0"/>
        </w:numPr>
        <w:spacing w:line="276" w:lineRule="auto"/>
        <w:rPr>
          <w:rFonts w:cstheme="minorHAnsi"/>
        </w:rPr>
      </w:pPr>
      <w:r w:rsidRPr="00001D40">
        <w:rPr>
          <w:rFonts w:cstheme="minorHAnsi"/>
        </w:rPr>
        <w:t>Collection of the information requested from respondents under the Acid Rain Program is expressly required or otherwise authorized by statute, in most cases CAA sections 401 through 416 (42 U.S.C. §§ 7651-7651</w:t>
      </w:r>
      <w:r w:rsidRPr="00001D40">
        <w:rPr>
          <w:rFonts w:cstheme="minorHAnsi"/>
          <w:i/>
        </w:rPr>
        <w:t>o</w:t>
      </w:r>
      <w:r w:rsidRPr="00001D40">
        <w:rPr>
          <w:rFonts w:cstheme="minorHAnsi"/>
        </w:rPr>
        <w:t>) or CAA section 504 (42 U.S.C. § 7661c). The specific statutory authorities are identified below.</w:t>
      </w:r>
    </w:p>
    <w:p w:rsidR="00BB432F" w:rsidRPr="00001D40" w:rsidP="00001D40" w14:paraId="61662F16" w14:textId="71C09C27">
      <w:pPr>
        <w:keepNext/>
        <w:spacing w:line="276" w:lineRule="auto"/>
        <w:rPr>
          <w:rFonts w:cstheme="minorHAnsi"/>
        </w:rPr>
      </w:pPr>
      <w:r w:rsidRPr="00001D40">
        <w:rPr>
          <w:rFonts w:cstheme="minorHAnsi"/>
        </w:rPr>
        <w:t>1</w:t>
      </w:r>
      <w:r w:rsidRPr="00001D40" w:rsidR="00071B97">
        <w:rPr>
          <w:rFonts w:cstheme="minorHAnsi"/>
        </w:rPr>
        <w:t xml:space="preserve">.1 </w:t>
      </w:r>
      <w:r w:rsidRPr="00001D40">
        <w:rPr>
          <w:rFonts w:cstheme="minorHAnsi"/>
        </w:rPr>
        <w:t xml:space="preserve">Allowance Transfers </w:t>
      </w:r>
    </w:p>
    <w:p w:rsidR="00B2663E" w:rsidRPr="00001D40" w:rsidP="00001D40" w14:paraId="4C8AE061" w14:textId="77777777">
      <w:pPr>
        <w:numPr>
          <w:ilvl w:val="12"/>
          <w:numId w:val="0"/>
        </w:numPr>
        <w:spacing w:line="276" w:lineRule="auto"/>
        <w:rPr>
          <w:rFonts w:cstheme="minorHAnsi"/>
        </w:rPr>
      </w:pPr>
      <w:r w:rsidRPr="00001D40">
        <w:rPr>
          <w:rFonts w:cstheme="minorHAnsi"/>
        </w:rPr>
        <w:t>CAA section 403(b) provides for the transfer of allowances among designated representatives of owners and operators of affected sources and any person who holds allowances. Transfers of allowances are not deemed effective until written certification of the transfer, signed by a responsible official of each party to the transfer, is received and recorded by EPA. CAA section 403(d) requires EPA to develop a system for issuing, recording, and tracking allowances (intended to help ensure an orderly and competitive allowance system).</w:t>
      </w:r>
    </w:p>
    <w:p w:rsidR="00B2663E" w:rsidRPr="00001D40" w:rsidP="00001D40" w14:paraId="1408A3EA" w14:textId="47566A3D">
      <w:pPr>
        <w:keepNext/>
        <w:spacing w:line="276" w:lineRule="auto"/>
        <w:rPr>
          <w:rFonts w:cstheme="minorHAnsi"/>
        </w:rPr>
      </w:pPr>
      <w:r w:rsidRPr="00001D40">
        <w:rPr>
          <w:rFonts w:cstheme="minorHAnsi"/>
        </w:rPr>
        <w:t xml:space="preserve">1.2 Permits </w:t>
      </w:r>
    </w:p>
    <w:p w:rsidR="00B2663E" w:rsidRPr="00001D40" w:rsidP="00001D40" w14:paraId="1B0C7ACB" w14:textId="77777777">
      <w:pPr>
        <w:numPr>
          <w:ilvl w:val="12"/>
          <w:numId w:val="0"/>
        </w:numPr>
        <w:spacing w:line="276" w:lineRule="auto"/>
        <w:rPr>
          <w:rFonts w:cstheme="minorHAnsi"/>
        </w:rPr>
      </w:pPr>
      <w:r w:rsidRPr="00001D40">
        <w:rPr>
          <w:rFonts w:cstheme="minorHAnsi"/>
        </w:rPr>
        <w:t>CAA sections 403(d) and 408(</w:t>
      </w:r>
      <w:r w:rsidRPr="00001D40">
        <w:rPr>
          <w:rFonts w:cstheme="minorHAnsi"/>
        </w:rPr>
        <w:t>i</w:t>
      </w:r>
      <w:r w:rsidRPr="00001D40">
        <w:rPr>
          <w:rFonts w:cstheme="minorHAnsi"/>
        </w:rPr>
        <w:t>) require an affected source’s owners and operators to identify a designated representative. CAA section 408 requires the designated representative of the owners and operators of each affected source under the Acid Rain Program to obtain a permit. Section 408 also specifies that the permitting authority, usually a State or local agency, issue the permits with a term of five years.</w:t>
      </w:r>
    </w:p>
    <w:p w:rsidR="00B2663E" w:rsidRPr="00001D40" w:rsidP="00001D40" w14:paraId="70E5C509" w14:textId="520F858B">
      <w:pPr>
        <w:keepNext/>
        <w:spacing w:line="276" w:lineRule="auto"/>
        <w:rPr>
          <w:rFonts w:cstheme="minorHAnsi"/>
        </w:rPr>
      </w:pPr>
      <w:r w:rsidRPr="00001D40">
        <w:rPr>
          <w:rFonts w:cstheme="minorHAnsi"/>
        </w:rPr>
        <w:t xml:space="preserve">1.3 Emissions Monitoring </w:t>
      </w:r>
    </w:p>
    <w:p w:rsidR="00B2663E" w:rsidRPr="00001D40" w:rsidP="00001D40" w14:paraId="04A2209E" w14:textId="43C30E1D">
      <w:pPr>
        <w:numPr>
          <w:ilvl w:val="12"/>
          <w:numId w:val="0"/>
        </w:numPr>
        <w:spacing w:line="276" w:lineRule="auto"/>
        <w:rPr>
          <w:rFonts w:cstheme="minorHAnsi"/>
        </w:rPr>
      </w:pPr>
      <w:r w:rsidRPr="00001D40">
        <w:rPr>
          <w:rFonts w:cstheme="minorHAnsi"/>
        </w:rPr>
        <w:t xml:space="preserve">CAA section 412(a) requires the use of CEMS (or alternative monitoring systems demonstrated to be equivalent) at each affected unit's source of emissions. CAA section 504(c) requires each permit (which contains Acid Rain Program applicable requirements) to set forth inspection, entry, monitoring, compliance certification, and reporting requirements to assure compliance with the permit terms and conditions. CAA section 504(a) requires that the results of any required monitoring be submitted to the permitting authority no less often than every six months. The information collection is consistent with satisfying these minimum statutory requirements. Note that reports are submitted quarterly rather than </w:t>
      </w:r>
      <w:r w:rsidRPr="00001D40">
        <w:rPr>
          <w:rFonts w:cstheme="minorHAnsi"/>
        </w:rPr>
        <w:t xml:space="preserve">semiannually. The Acid Rain Advisory Committee recommended that EPA collect emissions data on a quarterly basis and this schedule has proven to allow for effective implementation of the program. </w:t>
      </w:r>
    </w:p>
    <w:p w:rsidR="00B2663E" w:rsidRPr="00001D40" w:rsidP="00001D40" w14:paraId="5ACA0153" w14:textId="77777777">
      <w:pPr>
        <w:numPr>
          <w:ilvl w:val="12"/>
          <w:numId w:val="0"/>
        </w:numPr>
        <w:spacing w:line="276" w:lineRule="auto"/>
        <w:rPr>
          <w:rFonts w:cstheme="minorHAnsi"/>
        </w:rPr>
      </w:pPr>
      <w:r w:rsidRPr="00001D40">
        <w:rPr>
          <w:rFonts w:cstheme="minorHAnsi"/>
        </w:rPr>
        <w:t>Requirements for the collection of CO</w:t>
      </w:r>
      <w:r w:rsidRPr="00001D40">
        <w:rPr>
          <w:rFonts w:cstheme="minorHAnsi"/>
          <w:vertAlign w:val="subscript"/>
        </w:rPr>
        <w:t>2</w:t>
      </w:r>
      <w:r w:rsidRPr="00001D40">
        <w:rPr>
          <w:rFonts w:cstheme="minorHAnsi"/>
        </w:rPr>
        <w:t xml:space="preserve"> emissions data are established under section 821 of the 1990 CAA Amendments (Pub. L. 101-549, § 821, 104 Stat. 2399, 2699). </w:t>
      </w:r>
    </w:p>
    <w:p w:rsidR="00B2663E" w:rsidRPr="00001D40" w:rsidP="00001D40" w14:paraId="25BDF6FD" w14:textId="314D6638">
      <w:pPr>
        <w:numPr>
          <w:ilvl w:val="12"/>
          <w:numId w:val="0"/>
        </w:numPr>
        <w:spacing w:line="276" w:lineRule="auto"/>
        <w:rPr>
          <w:rFonts w:cstheme="minorHAnsi"/>
        </w:rPr>
      </w:pPr>
      <w:r w:rsidRPr="00001D40">
        <w:rPr>
          <w:rFonts w:cstheme="minorHAnsi"/>
        </w:rPr>
        <w:t>1.4 Auctions</w:t>
      </w:r>
    </w:p>
    <w:p w:rsidR="00B2663E" w:rsidRPr="00001D40" w:rsidP="00001D40" w14:paraId="7DE85167" w14:textId="4D2463C4">
      <w:pPr>
        <w:numPr>
          <w:ilvl w:val="12"/>
          <w:numId w:val="0"/>
        </w:numPr>
        <w:spacing w:line="276" w:lineRule="auto"/>
        <w:rPr>
          <w:rFonts w:cstheme="minorHAnsi"/>
        </w:rPr>
      </w:pPr>
      <w:r w:rsidRPr="00001D40">
        <w:rPr>
          <w:rFonts w:cstheme="minorHAnsi"/>
        </w:rPr>
        <w:t xml:space="preserve">Although participation in the annual auctions is voluntary, the auctions themselves are required under CAA section 416(d) and the information to be collected is necessary for auction administration. </w:t>
      </w:r>
    </w:p>
    <w:p w:rsidR="00B2663E" w:rsidRPr="00001D40" w:rsidP="00001D40" w14:paraId="232449E7" w14:textId="2B877005">
      <w:pPr>
        <w:numPr>
          <w:ilvl w:val="12"/>
          <w:numId w:val="0"/>
        </w:numPr>
        <w:spacing w:line="276" w:lineRule="auto"/>
        <w:rPr>
          <w:rFonts w:cstheme="minorHAnsi"/>
        </w:rPr>
      </w:pPr>
      <w:r w:rsidRPr="00001D40">
        <w:rPr>
          <w:rFonts w:cstheme="minorHAnsi"/>
        </w:rPr>
        <w:t>1.</w:t>
      </w:r>
      <w:r w:rsidR="00D542B4">
        <w:rPr>
          <w:rFonts w:cstheme="minorHAnsi"/>
        </w:rPr>
        <w:t>5</w:t>
      </w:r>
      <w:r w:rsidRPr="00001D40">
        <w:rPr>
          <w:rFonts w:cstheme="minorHAnsi"/>
        </w:rPr>
        <w:t xml:space="preserve"> NOx Permitting </w:t>
      </w:r>
    </w:p>
    <w:p w:rsidR="00B2663E" w:rsidRPr="00001D40" w:rsidP="00001D40" w14:paraId="2BDBACBE" w14:textId="3C9210AF">
      <w:pPr>
        <w:numPr>
          <w:ilvl w:val="12"/>
          <w:numId w:val="0"/>
        </w:numPr>
        <w:spacing w:line="276" w:lineRule="auto"/>
        <w:rPr>
          <w:rFonts w:cstheme="minorHAnsi"/>
        </w:rPr>
      </w:pPr>
      <w:r w:rsidRPr="00001D40">
        <w:rPr>
          <w:rFonts w:cstheme="minorHAnsi"/>
        </w:rPr>
        <w:t>CAA section 408 specifies that utility owners and operators of affected units must submit permit applications and compliance plans (including NO</w:t>
      </w:r>
      <w:r w:rsidRPr="00001D40">
        <w:rPr>
          <w:rFonts w:cstheme="minorHAnsi"/>
          <w:vertAlign w:val="subscript"/>
        </w:rPr>
        <w:t>X</w:t>
      </w:r>
      <w:r w:rsidRPr="00001D40">
        <w:rPr>
          <w:rFonts w:cstheme="minorHAnsi"/>
        </w:rPr>
        <w:t xml:space="preserve"> compliance plans), and the permitting authority must issue permits. Section 408 provides general authority for the information collections related to NO</w:t>
      </w:r>
      <w:r w:rsidRPr="00001D40">
        <w:rPr>
          <w:rFonts w:cstheme="minorHAnsi"/>
          <w:vertAlign w:val="subscript"/>
        </w:rPr>
        <w:t>X</w:t>
      </w:r>
      <w:r w:rsidRPr="00001D40">
        <w:rPr>
          <w:rFonts w:cstheme="minorHAnsi"/>
        </w:rPr>
        <w:t xml:space="preserve"> permitting.  In addition: </w:t>
      </w:r>
    </w:p>
    <w:p w:rsidR="00B2663E" w:rsidRPr="00001D40" w:rsidP="00001D40" w14:paraId="257EBE9B" w14:textId="77777777">
      <w:pPr>
        <w:pStyle w:val="Level1"/>
        <w:widowControl/>
        <w:tabs>
          <w:tab w:val="left" w:pos="720"/>
          <w:tab w:val="left" w:pos="1440"/>
        </w:tabs>
        <w:spacing w:line="276" w:lineRule="auto"/>
        <w:ind w:hanging="360"/>
        <w:jc w:val="left"/>
        <w:rPr>
          <w:rFonts w:asciiTheme="minorHAnsi" w:hAnsiTheme="minorHAnsi" w:cstheme="minorHAnsi"/>
          <w:sz w:val="22"/>
          <w:szCs w:val="22"/>
        </w:rPr>
      </w:pPr>
      <w:r w:rsidRPr="00001D40">
        <w:rPr>
          <w:rFonts w:asciiTheme="minorHAnsi" w:hAnsiTheme="minorHAnsi" w:cstheme="minorHAnsi"/>
          <w:sz w:val="22"/>
          <w:szCs w:val="22"/>
        </w:rPr>
        <w:t>●</w:t>
      </w:r>
      <w:r w:rsidRPr="00001D40">
        <w:rPr>
          <w:rFonts w:asciiTheme="minorHAnsi" w:hAnsiTheme="minorHAnsi" w:cstheme="minorHAnsi"/>
          <w:sz w:val="22"/>
          <w:szCs w:val="22"/>
        </w:rPr>
        <w:tab/>
        <w:t>CAA section 407(e) allows the owner or operator of two or more affected units to petition the permitting authority for a NO</w:t>
      </w:r>
      <w:r w:rsidRPr="00001D40">
        <w:rPr>
          <w:rFonts w:asciiTheme="minorHAnsi" w:hAnsiTheme="minorHAnsi" w:cstheme="minorHAnsi"/>
          <w:sz w:val="22"/>
          <w:szCs w:val="22"/>
          <w:vertAlign w:val="subscript"/>
        </w:rPr>
        <w:t>X</w:t>
      </w:r>
      <w:r w:rsidRPr="00001D40">
        <w:rPr>
          <w:rFonts w:asciiTheme="minorHAnsi" w:hAnsiTheme="minorHAnsi" w:cstheme="minorHAnsi"/>
          <w:sz w:val="22"/>
          <w:szCs w:val="22"/>
        </w:rPr>
        <w:t xml:space="preserve"> averaging plan.</w:t>
      </w:r>
    </w:p>
    <w:p w:rsidR="00B2663E" w:rsidRPr="00001D40" w:rsidP="00001D40" w14:paraId="0A630206" w14:textId="77777777">
      <w:pPr>
        <w:pStyle w:val="Level1"/>
        <w:widowControl/>
        <w:tabs>
          <w:tab w:val="left" w:pos="720"/>
          <w:tab w:val="left" w:pos="1440"/>
        </w:tabs>
        <w:spacing w:line="276" w:lineRule="auto"/>
        <w:ind w:hanging="360"/>
        <w:jc w:val="left"/>
        <w:rPr>
          <w:rFonts w:asciiTheme="minorHAnsi" w:hAnsiTheme="minorHAnsi" w:cstheme="minorHAnsi"/>
          <w:sz w:val="22"/>
          <w:szCs w:val="22"/>
        </w:rPr>
      </w:pPr>
    </w:p>
    <w:p w:rsidR="00B2663E" w:rsidRPr="00001D40" w:rsidP="00001D40" w14:paraId="13515F1F" w14:textId="77777777">
      <w:pPr>
        <w:pStyle w:val="Level1"/>
        <w:widowControl/>
        <w:tabs>
          <w:tab w:val="left" w:pos="720"/>
          <w:tab w:val="left" w:pos="1440"/>
        </w:tabs>
        <w:spacing w:line="276" w:lineRule="auto"/>
        <w:ind w:hanging="360"/>
        <w:jc w:val="left"/>
        <w:rPr>
          <w:rFonts w:asciiTheme="minorHAnsi" w:hAnsiTheme="minorHAnsi" w:cstheme="minorHAnsi"/>
          <w:sz w:val="22"/>
          <w:szCs w:val="22"/>
        </w:rPr>
      </w:pPr>
      <w:r w:rsidRPr="00001D40">
        <w:rPr>
          <w:rFonts w:asciiTheme="minorHAnsi" w:hAnsiTheme="minorHAnsi" w:cstheme="minorHAnsi"/>
          <w:sz w:val="22"/>
          <w:szCs w:val="22"/>
        </w:rPr>
        <w:t>●</w:t>
      </w:r>
      <w:r w:rsidRPr="00001D40">
        <w:rPr>
          <w:rFonts w:asciiTheme="minorHAnsi" w:hAnsiTheme="minorHAnsi" w:cstheme="minorHAnsi"/>
          <w:sz w:val="22"/>
          <w:szCs w:val="22"/>
        </w:rPr>
        <w:tab/>
        <w:t>CAA section 407(d) provides for AELs for units that cannot meet the applicable standard limitation using low-NO</w:t>
      </w:r>
      <w:r w:rsidRPr="00001D40">
        <w:rPr>
          <w:rFonts w:asciiTheme="minorHAnsi" w:hAnsiTheme="minorHAnsi" w:cstheme="minorHAnsi"/>
          <w:sz w:val="22"/>
          <w:szCs w:val="22"/>
          <w:vertAlign w:val="subscript"/>
        </w:rPr>
        <w:t>X</w:t>
      </w:r>
      <w:r w:rsidRPr="00001D40">
        <w:rPr>
          <w:rFonts w:asciiTheme="minorHAnsi" w:hAnsiTheme="minorHAnsi" w:cstheme="minorHAnsi"/>
          <w:sz w:val="22"/>
          <w:szCs w:val="22"/>
        </w:rPr>
        <w:t xml:space="preserve"> burner technology or the technology on which the standard limitation was based. Section 407(d) specifies that an owner or operator requesting an AEL must show the permitting authority that (1) appropriate control equipment has been properly installed, and (2) the equipment has been properly operated for a period of fifteen months (or another </w:t>
      </w:r>
      <w:r w:rsidRPr="00001D40">
        <w:rPr>
          <w:rFonts w:asciiTheme="minorHAnsi" w:hAnsiTheme="minorHAnsi" w:cstheme="minorHAnsi"/>
          <w:sz w:val="22"/>
          <w:szCs w:val="22"/>
        </w:rPr>
        <w:t>period of time</w:t>
      </w:r>
      <w:r w:rsidRPr="00001D40">
        <w:rPr>
          <w:rFonts w:asciiTheme="minorHAnsi" w:hAnsiTheme="minorHAnsi" w:cstheme="minorHAnsi"/>
          <w:sz w:val="22"/>
          <w:szCs w:val="22"/>
        </w:rPr>
        <w:t xml:space="preserve"> as established by regulation) and operating and monitoring data for such period demonstrate that the unit cannot meet the applicable standard emission rate. The owner or operator must also specify an emission rate that the unit can meet on an annual average basis.  </w:t>
      </w:r>
    </w:p>
    <w:p w:rsidR="00B2663E" w:rsidRPr="00001D40" w:rsidP="00001D40" w14:paraId="13C120F8" w14:textId="77777777">
      <w:pPr>
        <w:keepNext/>
        <w:spacing w:line="276" w:lineRule="auto"/>
        <w:rPr>
          <w:rFonts w:cstheme="minorHAnsi"/>
        </w:rPr>
      </w:pPr>
    </w:p>
    <w:p w:rsidR="00D47CB3" w:rsidRPr="00001D40" w:rsidP="00001D40" w14:paraId="24F38A28" w14:textId="345BCCC4">
      <w:pPr>
        <w:pStyle w:val="ListParagraph"/>
        <w:numPr>
          <w:ilvl w:val="0"/>
          <w:numId w:val="2"/>
        </w:numPr>
        <w:pBdr>
          <w:bottom w:val="single" w:sz="4" w:space="1" w:color="auto"/>
        </w:pBdr>
        <w:spacing w:before="240" w:after="0" w:line="276" w:lineRule="auto"/>
        <w:rPr>
          <w:rFonts w:cstheme="minorHAnsi"/>
          <w:b/>
          <w:bCs/>
        </w:rPr>
      </w:pPr>
      <w:bookmarkStart w:id="2" w:name="_Toc156593369"/>
      <w:r w:rsidRPr="00001D40">
        <w:rPr>
          <w:rFonts w:cstheme="minorHAnsi"/>
          <w:b/>
          <w:bCs/>
        </w:rPr>
        <w:t>PRACTICAL UTILITY/USERS OF THE DATA</w:t>
      </w:r>
      <w:bookmarkEnd w:id="2"/>
    </w:p>
    <w:p w:rsidR="004252C1" w:rsidRPr="00001D40" w:rsidP="00001D40" w14:paraId="3E2FC7F8" w14:textId="1DCB8D2C">
      <w:pPr>
        <w:pBdr>
          <w:bottom w:val="single" w:sz="4" w:space="1" w:color="auto"/>
        </w:pBdr>
        <w:spacing w:before="60" w:line="276" w:lineRule="auto"/>
        <w:rPr>
          <w:rFonts w:cstheme="minorHAnsi"/>
          <w:i/>
          <w:iCs/>
          <w:color w:val="000000"/>
          <w:shd w:val="clear" w:color="auto" w:fill="FFFFFF"/>
        </w:rPr>
      </w:pPr>
      <w:r w:rsidRPr="00001D40">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2663E" w:rsidRPr="00001D40" w:rsidP="00001D40" w14:paraId="32DFC200" w14:textId="77777777">
      <w:pPr>
        <w:pBdr>
          <w:bottom w:val="single" w:sz="4" w:space="1" w:color="auto"/>
        </w:pBdr>
        <w:spacing w:before="60" w:line="276" w:lineRule="auto"/>
        <w:rPr>
          <w:rFonts w:cstheme="minorHAnsi"/>
          <w:i/>
          <w:iCs/>
          <w:color w:val="000000"/>
          <w:shd w:val="clear" w:color="auto" w:fill="FFFFFF"/>
        </w:rPr>
      </w:pPr>
    </w:p>
    <w:p w:rsidR="00BB432F" w:rsidRPr="00001D40" w:rsidP="00001D40" w14:paraId="1E879A61" w14:textId="7DADB897">
      <w:pPr>
        <w:pBdr>
          <w:top w:val="single" w:sz="6" w:space="0" w:color="FFFFFF"/>
          <w:left w:val="single" w:sz="6" w:space="0" w:color="FFFFFF"/>
          <w:bottom w:val="single" w:sz="6" w:space="0" w:color="FFFFFF"/>
          <w:right w:val="single" w:sz="6" w:space="0" w:color="FFFFFF"/>
        </w:pBdr>
        <w:spacing w:line="276" w:lineRule="auto"/>
        <w:rPr>
          <w:rFonts w:cstheme="minorHAnsi"/>
        </w:rPr>
      </w:pPr>
      <w:r w:rsidRPr="00001D40">
        <w:rPr>
          <w:rFonts w:cstheme="minorHAnsi"/>
        </w:rPr>
        <w:t xml:space="preserve">2.1 Allowance Transfers </w:t>
      </w:r>
    </w:p>
    <w:p w:rsidR="0084542D" w:rsidRPr="00001D40" w:rsidP="00001D40" w14:paraId="30DC9818" w14:textId="28DD3C72">
      <w:pPr>
        <w:numPr>
          <w:ilvl w:val="12"/>
          <w:numId w:val="0"/>
        </w:numPr>
        <w:spacing w:line="276" w:lineRule="auto"/>
        <w:rPr>
          <w:rFonts w:cstheme="minorHAnsi"/>
        </w:rPr>
      </w:pPr>
      <w:r w:rsidRPr="00001D40">
        <w:rPr>
          <w:rFonts w:cstheme="minorHAnsi"/>
        </w:rPr>
        <w:t xml:space="preserve">Information collected on allowance transfers is used by EPA to track allowances for the purpose of determining compliance with the Acid Rain Program. Information on allowance transfers is also used by participants in the allowance market and the public to evaluate the activities of utilities, and by EPA for program evaluation. </w:t>
      </w:r>
    </w:p>
    <w:p w:rsidR="007562C7" w:rsidRPr="00001D40" w:rsidP="00001D40" w14:paraId="76B10B5E" w14:textId="0B5D9D2E">
      <w:pPr>
        <w:pBdr>
          <w:top w:val="single" w:sz="6" w:space="0" w:color="FFFFFF"/>
          <w:left w:val="single" w:sz="6" w:space="0" w:color="FFFFFF"/>
          <w:bottom w:val="single" w:sz="6" w:space="0" w:color="FFFFFF"/>
          <w:right w:val="single" w:sz="6" w:space="0" w:color="FFFFFF"/>
        </w:pBdr>
        <w:spacing w:line="276" w:lineRule="auto"/>
        <w:rPr>
          <w:rFonts w:cstheme="minorHAnsi"/>
        </w:rPr>
      </w:pPr>
      <w:r w:rsidRPr="00001D40">
        <w:rPr>
          <w:rFonts w:cstheme="minorHAnsi"/>
        </w:rPr>
        <w:t xml:space="preserve">2.2 Permits </w:t>
      </w:r>
    </w:p>
    <w:p w:rsidR="0084542D" w:rsidRPr="00001D40" w:rsidP="00001D40" w14:paraId="217F2E00" w14:textId="2B5633CA">
      <w:pPr>
        <w:numPr>
          <w:ilvl w:val="12"/>
          <w:numId w:val="0"/>
        </w:numPr>
        <w:spacing w:line="276" w:lineRule="auto"/>
        <w:rPr>
          <w:rFonts w:cstheme="minorHAnsi"/>
        </w:rPr>
      </w:pPr>
      <w:r w:rsidRPr="00001D40">
        <w:rPr>
          <w:rFonts w:cstheme="minorHAnsi"/>
        </w:rPr>
        <w:t xml:space="preserve">Acid rain permit applications are used by EPA and permitting authorities to issue operating permits. A permit application is legally binding on the owners, operators, and designated representative of a source until the actual permit is issued. This aspect of the permit application reduces significantly the uncertainty imposed on a source due to possible delays at EPA or the permitting authority. Affected sources may rely on the permit for information on the requirements with which they must comply. Because permit applications and permits are public documents, they may be used by the public to examine activities undertaken by affected sources.  </w:t>
      </w:r>
    </w:p>
    <w:p w:rsidR="0084542D" w:rsidRPr="00001D40" w:rsidP="00001D40" w14:paraId="45379058" w14:textId="16739706">
      <w:pPr>
        <w:numPr>
          <w:ilvl w:val="12"/>
          <w:numId w:val="0"/>
        </w:numPr>
        <w:spacing w:line="276" w:lineRule="auto"/>
        <w:rPr>
          <w:rFonts w:cstheme="minorHAnsi"/>
        </w:rPr>
      </w:pPr>
      <w:r w:rsidRPr="00001D40">
        <w:rPr>
          <w:rFonts w:cstheme="minorHAnsi"/>
        </w:rPr>
        <w:t>The designated representative certification, which designates a responsible official through whom the owners and operators of each affected source and each affected unit can obtain and maintain permits, trade allowances, and report emissions, serves to remove EPA from involvement in disputes among owners and operators of affected units.</w:t>
      </w:r>
    </w:p>
    <w:p w:rsidR="007562C7" w:rsidRPr="00001D40" w:rsidP="00001D40" w14:paraId="0722B4FE" w14:textId="4D41E253">
      <w:pPr>
        <w:pBdr>
          <w:top w:val="single" w:sz="6" w:space="0" w:color="FFFFFF"/>
          <w:left w:val="single" w:sz="6" w:space="0" w:color="FFFFFF"/>
          <w:bottom w:val="single" w:sz="6" w:space="0" w:color="FFFFFF"/>
          <w:right w:val="single" w:sz="6" w:space="0" w:color="FFFFFF"/>
        </w:pBdr>
        <w:tabs>
          <w:tab w:val="left" w:pos="2955"/>
        </w:tabs>
        <w:spacing w:line="276" w:lineRule="auto"/>
        <w:rPr>
          <w:rFonts w:cstheme="minorHAnsi"/>
        </w:rPr>
      </w:pPr>
      <w:r w:rsidRPr="00001D40">
        <w:rPr>
          <w:rFonts w:cstheme="minorHAnsi"/>
        </w:rPr>
        <w:t xml:space="preserve">2.3 Emissions Monitoring </w:t>
      </w:r>
      <w:r w:rsidRPr="00001D40" w:rsidR="0084542D">
        <w:rPr>
          <w:rFonts w:cstheme="minorHAnsi"/>
        </w:rPr>
        <w:tab/>
      </w:r>
    </w:p>
    <w:p w:rsidR="0084542D" w:rsidRPr="00001D40" w:rsidP="00001D40" w14:paraId="57CAD3E9" w14:textId="77777777">
      <w:pPr>
        <w:numPr>
          <w:ilvl w:val="12"/>
          <w:numId w:val="0"/>
        </w:numPr>
        <w:spacing w:line="276" w:lineRule="auto"/>
        <w:rPr>
          <w:rFonts w:cstheme="minorHAnsi"/>
        </w:rPr>
      </w:pPr>
      <w:r w:rsidRPr="00001D40">
        <w:rPr>
          <w:rFonts w:cstheme="minorHAnsi"/>
        </w:rPr>
        <w:t xml:space="preserve">Data from emissions monitoring are indispensable to successful implementation of the Acid Rain Program for two reasons:  </w:t>
      </w:r>
    </w:p>
    <w:p w:rsidR="00785207" w:rsidRPr="00001D40" w:rsidP="00001D40" w14:paraId="42ABB558" w14:textId="77777777">
      <w:pPr>
        <w:pStyle w:val="ListParagraph"/>
        <w:numPr>
          <w:ilvl w:val="0"/>
          <w:numId w:val="5"/>
        </w:numPr>
        <w:spacing w:line="276" w:lineRule="auto"/>
        <w:rPr>
          <w:rFonts w:cstheme="minorHAnsi"/>
        </w:rPr>
      </w:pPr>
      <w:r w:rsidRPr="00001D40">
        <w:rPr>
          <w:rFonts w:cstheme="minorHAnsi"/>
        </w:rPr>
        <w:t>CAA section 401 states that the primary purpose of the Acid Rain Program is to reduce the adverse effects of acid deposition by reducing annual emissions of SO</w:t>
      </w:r>
      <w:r w:rsidRPr="00001D40">
        <w:rPr>
          <w:rFonts w:cstheme="minorHAnsi"/>
          <w:vertAlign w:val="subscript"/>
        </w:rPr>
        <w:t>2</w:t>
      </w:r>
      <w:r w:rsidRPr="00001D40">
        <w:rPr>
          <w:rFonts w:cstheme="minorHAnsi"/>
        </w:rPr>
        <w:t xml:space="preserve"> and NO</w:t>
      </w:r>
      <w:r w:rsidRPr="00001D40">
        <w:rPr>
          <w:rFonts w:cstheme="minorHAnsi"/>
          <w:vertAlign w:val="subscript"/>
        </w:rPr>
        <w:t>X</w:t>
      </w:r>
      <w:r w:rsidRPr="00001D40">
        <w:rPr>
          <w:rFonts w:cstheme="minorHAnsi"/>
        </w:rPr>
        <w:t>. For SO</w:t>
      </w:r>
      <w:r w:rsidRPr="00001D40">
        <w:rPr>
          <w:rFonts w:cstheme="minorHAnsi"/>
          <w:vertAlign w:val="subscript"/>
        </w:rPr>
        <w:t>2</w:t>
      </w:r>
      <w:r w:rsidRPr="00001D40">
        <w:rPr>
          <w:rFonts w:cstheme="minorHAnsi"/>
        </w:rPr>
        <w:t xml:space="preserve"> emissions, the statutory objective is achieved through an emissions trading program. For NO</w:t>
      </w:r>
      <w:r w:rsidRPr="00001D40">
        <w:rPr>
          <w:rFonts w:cstheme="minorHAnsi"/>
          <w:vertAlign w:val="subscript"/>
        </w:rPr>
        <w:t>X</w:t>
      </w:r>
      <w:r w:rsidRPr="00001D40">
        <w:rPr>
          <w:rFonts w:cstheme="minorHAnsi"/>
        </w:rPr>
        <w:t xml:space="preserve"> emissions, the statutory objective is achieved through annual emission rate limitations on certain units.</w:t>
      </w:r>
    </w:p>
    <w:p w:rsidR="0084542D" w:rsidRPr="00001D40" w:rsidP="00001D40" w14:paraId="5BE0C42C" w14:textId="556B0F60">
      <w:pPr>
        <w:pStyle w:val="ListParagraph"/>
        <w:numPr>
          <w:ilvl w:val="0"/>
          <w:numId w:val="5"/>
        </w:numPr>
        <w:spacing w:line="276" w:lineRule="auto"/>
        <w:rPr>
          <w:rFonts w:cstheme="minorHAnsi"/>
        </w:rPr>
      </w:pPr>
      <w:r w:rsidRPr="00001D40">
        <w:rPr>
          <w:rFonts w:cstheme="minorHAnsi"/>
        </w:rPr>
        <w:t>EPA can only enforce the SO</w:t>
      </w:r>
      <w:r w:rsidRPr="00001D40">
        <w:rPr>
          <w:rFonts w:cstheme="minorHAnsi"/>
          <w:vertAlign w:val="subscript"/>
        </w:rPr>
        <w:t>2</w:t>
      </w:r>
      <w:r w:rsidRPr="00001D40">
        <w:rPr>
          <w:rFonts w:cstheme="minorHAnsi"/>
        </w:rPr>
        <w:t xml:space="preserve"> trading program and the NO</w:t>
      </w:r>
      <w:r w:rsidRPr="00001D40">
        <w:rPr>
          <w:rFonts w:cstheme="minorHAnsi"/>
          <w:vertAlign w:val="subscript"/>
        </w:rPr>
        <w:t>X</w:t>
      </w:r>
      <w:r w:rsidRPr="00001D40">
        <w:rPr>
          <w:rFonts w:cstheme="minorHAnsi"/>
        </w:rPr>
        <w:t xml:space="preserve"> emission limitation program by having accurate emissions data for each affected unit. The affected sources’ certification of the emissions data, EPA’s electronic data audits and EPA’s and the permitting authorities’ CEMS field auditing all contribute to verifying the overall emissions data integrity. </w:t>
      </w:r>
    </w:p>
    <w:p w:rsidR="0084542D" w:rsidRPr="00001D40" w:rsidP="00001D40" w14:paraId="27B9D897" w14:textId="5058DBE4">
      <w:pPr>
        <w:numPr>
          <w:ilvl w:val="12"/>
          <w:numId w:val="0"/>
        </w:numPr>
        <w:spacing w:line="276" w:lineRule="auto"/>
        <w:rPr>
          <w:rFonts w:cstheme="minorHAnsi"/>
        </w:rPr>
      </w:pPr>
      <w:r w:rsidRPr="00001D40">
        <w:rPr>
          <w:rFonts w:cstheme="minorHAnsi"/>
        </w:rPr>
        <w:t>Electric utilities, energy consultants, and power marketing companies can use the Acid Rain program emissions data to project future SO</w:t>
      </w:r>
      <w:r w:rsidRPr="00001D40">
        <w:rPr>
          <w:rFonts w:cstheme="minorHAnsi"/>
          <w:vertAlign w:val="subscript"/>
        </w:rPr>
        <w:t>2</w:t>
      </w:r>
      <w:r w:rsidRPr="00001D40">
        <w:rPr>
          <w:rFonts w:cstheme="minorHAnsi"/>
        </w:rPr>
        <w:t xml:space="preserve"> allowance costs and availability. Academic institutions can perform data modeling to evaluate environmental benefits and estimate health effects of SO</w:t>
      </w:r>
      <w:r w:rsidRPr="00001D40">
        <w:rPr>
          <w:rFonts w:cstheme="minorHAnsi"/>
          <w:vertAlign w:val="subscript"/>
        </w:rPr>
        <w:t>2</w:t>
      </w:r>
      <w:r w:rsidRPr="00001D40">
        <w:rPr>
          <w:rFonts w:cstheme="minorHAnsi"/>
        </w:rPr>
        <w:t xml:space="preserve"> reductions. EPA and other agencies use it to try to correlate the reduction of SO</w:t>
      </w:r>
      <w:r w:rsidRPr="00001D40">
        <w:rPr>
          <w:rFonts w:cstheme="minorHAnsi"/>
          <w:vertAlign w:val="subscript"/>
        </w:rPr>
        <w:t>2</w:t>
      </w:r>
      <w:r w:rsidRPr="00001D40">
        <w:rPr>
          <w:rFonts w:cstheme="minorHAnsi"/>
        </w:rPr>
        <w:t xml:space="preserve"> and NO</w:t>
      </w:r>
      <w:r w:rsidRPr="00001D40">
        <w:rPr>
          <w:rFonts w:cstheme="minorHAnsi"/>
          <w:vertAlign w:val="subscript"/>
        </w:rPr>
        <w:t>X</w:t>
      </w:r>
      <w:r w:rsidRPr="00001D40">
        <w:rPr>
          <w:rFonts w:cstheme="minorHAnsi"/>
        </w:rPr>
        <w:t xml:space="preserve"> emissions with a decrease in acid precipitation, </w:t>
      </w:r>
      <w:r w:rsidRPr="00001D40">
        <w:rPr>
          <w:rFonts w:cstheme="minorHAnsi"/>
        </w:rPr>
        <w:t>and also</w:t>
      </w:r>
      <w:r w:rsidRPr="00001D40">
        <w:rPr>
          <w:rFonts w:cstheme="minorHAnsi"/>
        </w:rPr>
        <w:t xml:space="preserve"> to measure the impacts of other existing and proposed emissions trading programs. Monitoring plan submissions are used by EPA to verify that the emissions monitoring system at each unit </w:t>
      </w:r>
      <w:r w:rsidRPr="00001D40">
        <w:rPr>
          <w:rFonts w:cstheme="minorHAnsi"/>
        </w:rPr>
        <w:t>is capable of providing</w:t>
      </w:r>
      <w:r w:rsidRPr="00001D40">
        <w:rPr>
          <w:rFonts w:cstheme="minorHAnsi"/>
        </w:rPr>
        <w:t xml:space="preserve"> quality-assured emissions data and to verify that reported data are being calculated from equations that are appropriate given the parameters that are being measured, and the results of quality assurance tests allow EPA to verify that the monitors are providing quality-assured data on an ongoing basis.</w:t>
      </w:r>
    </w:p>
    <w:p w:rsidR="0084542D" w:rsidRPr="00001D40" w:rsidP="00001D40" w14:paraId="1E0961BE" w14:textId="12EF57F4">
      <w:pPr>
        <w:numPr>
          <w:ilvl w:val="12"/>
          <w:numId w:val="0"/>
        </w:numPr>
        <w:spacing w:line="276" w:lineRule="auto"/>
        <w:rPr>
          <w:rFonts w:cstheme="minorHAnsi"/>
        </w:rPr>
      </w:pPr>
      <w:r w:rsidRPr="00001D40">
        <w:rPr>
          <w:rFonts w:cstheme="minorHAnsi"/>
        </w:rPr>
        <w:t>Together, the allowance trading system, operating permits, and emissions data provide the accountability to allow the Acid Rain Program to function without more stringent command and control approaches.</w:t>
      </w:r>
    </w:p>
    <w:p w:rsidR="00785207" w:rsidRPr="00001D40" w:rsidP="00001D40" w14:paraId="12B74E02" w14:textId="77777777">
      <w:pPr>
        <w:pBdr>
          <w:top w:val="single" w:sz="6" w:space="0" w:color="FFFFFF"/>
          <w:left w:val="single" w:sz="6" w:space="0" w:color="FFFFFF"/>
          <w:bottom w:val="single" w:sz="6" w:space="0" w:color="FFFFFF"/>
          <w:right w:val="single" w:sz="6" w:space="0" w:color="FFFFFF"/>
        </w:pBdr>
        <w:tabs>
          <w:tab w:val="left" w:pos="1603"/>
        </w:tabs>
        <w:spacing w:line="276" w:lineRule="auto"/>
        <w:rPr>
          <w:rFonts w:cstheme="minorHAnsi"/>
        </w:rPr>
      </w:pPr>
      <w:r w:rsidRPr="00001D40">
        <w:rPr>
          <w:rFonts w:cstheme="minorHAnsi"/>
        </w:rPr>
        <w:t>2.4 Auctions</w:t>
      </w:r>
    </w:p>
    <w:p w:rsidR="0084542D" w:rsidRPr="00001D40" w:rsidP="00001D40" w14:paraId="36B155FD" w14:textId="46EC210B">
      <w:pPr>
        <w:pBdr>
          <w:top w:val="single" w:sz="6" w:space="0" w:color="FFFFFF"/>
          <w:left w:val="single" w:sz="6" w:space="0" w:color="FFFFFF"/>
          <w:bottom w:val="single" w:sz="6" w:space="0" w:color="FFFFFF"/>
          <w:right w:val="single" w:sz="6" w:space="0" w:color="FFFFFF"/>
        </w:pBdr>
        <w:tabs>
          <w:tab w:val="left" w:pos="1603"/>
        </w:tabs>
        <w:spacing w:line="276" w:lineRule="auto"/>
        <w:rPr>
          <w:rFonts w:cstheme="minorHAnsi"/>
        </w:rPr>
      </w:pPr>
      <w:r w:rsidRPr="00001D40">
        <w:rPr>
          <w:rFonts w:cstheme="minorHAnsi"/>
        </w:rPr>
        <w:t xml:space="preserve">EPA uses the information collected for the allowance auction to conduct and facilitate administration of auctions. The basic information requested requires little evaluation. </w:t>
      </w:r>
      <w:r w:rsidR="003B502D">
        <w:rPr>
          <w:rFonts w:cstheme="minorHAnsi"/>
        </w:rPr>
        <w:t xml:space="preserve">The </w:t>
      </w:r>
      <w:r w:rsidR="00334861">
        <w:rPr>
          <w:rFonts w:cstheme="minorHAnsi"/>
        </w:rPr>
        <w:t>b</w:t>
      </w:r>
      <w:r w:rsidRPr="00001D40">
        <w:rPr>
          <w:rFonts w:cstheme="minorHAnsi"/>
        </w:rPr>
        <w:t>ids submitted for auctions are ranked to select winning bidders and to conduct transfers of emission allowances. The auction information results are also used by participants in the allowance market.</w:t>
      </w:r>
    </w:p>
    <w:p w:rsidR="00785207" w:rsidRPr="00001D40" w:rsidP="00001D40" w14:paraId="2183F3DE" w14:textId="0CAF1335">
      <w:pPr>
        <w:pBdr>
          <w:top w:val="single" w:sz="6" w:space="0" w:color="FFFFFF"/>
          <w:left w:val="single" w:sz="6" w:space="0" w:color="FFFFFF"/>
          <w:bottom w:val="single" w:sz="6" w:space="0" w:color="FFFFFF"/>
          <w:right w:val="single" w:sz="6" w:space="0" w:color="FFFFFF"/>
        </w:pBdr>
        <w:spacing w:line="276" w:lineRule="auto"/>
        <w:rPr>
          <w:rFonts w:cstheme="minorHAnsi"/>
        </w:rPr>
      </w:pPr>
      <w:r w:rsidRPr="00001D40">
        <w:rPr>
          <w:rFonts w:cstheme="minorHAnsi"/>
        </w:rPr>
        <w:t>2.</w:t>
      </w:r>
      <w:r w:rsidR="00D542B4">
        <w:rPr>
          <w:rFonts w:cstheme="minorHAnsi"/>
        </w:rPr>
        <w:t>5</w:t>
      </w:r>
      <w:r w:rsidRPr="00001D40">
        <w:rPr>
          <w:rFonts w:cstheme="minorHAnsi"/>
        </w:rPr>
        <w:t xml:space="preserve"> NOx Permitting</w:t>
      </w:r>
    </w:p>
    <w:p w:rsidR="0084542D" w:rsidRPr="00001D40" w:rsidP="00001D40" w14:paraId="59FCCB4C" w14:textId="6E8FE653">
      <w:pPr>
        <w:pBdr>
          <w:top w:val="single" w:sz="6" w:space="0" w:color="FFFFFF"/>
          <w:left w:val="single" w:sz="6" w:space="0" w:color="FFFFFF"/>
          <w:bottom w:val="single" w:sz="6" w:space="0" w:color="FFFFFF"/>
          <w:right w:val="single" w:sz="6" w:space="0" w:color="FFFFFF"/>
        </w:pBdr>
        <w:spacing w:line="276" w:lineRule="auto"/>
        <w:rPr>
          <w:rFonts w:cstheme="minorHAnsi"/>
        </w:rPr>
      </w:pPr>
      <w:r w:rsidRPr="00001D40">
        <w:rPr>
          <w:rFonts w:cstheme="minorHAnsi"/>
        </w:rPr>
        <w:t>Information collected on NO</w:t>
      </w:r>
      <w:r w:rsidRPr="00001D40">
        <w:rPr>
          <w:rFonts w:cstheme="minorHAnsi"/>
          <w:vertAlign w:val="subscript"/>
        </w:rPr>
        <w:t>X</w:t>
      </w:r>
      <w:r w:rsidRPr="00001D40">
        <w:rPr>
          <w:rFonts w:cstheme="minorHAnsi"/>
        </w:rPr>
        <w:t xml:space="preserve"> compliance plans is used by EPA to evaluate these compliance plans. Information collected on applications for emissions averaging groups or AELs is used by EPA to determine whether to approve these applications. This information may also be used by the regulated community and the public to evaluate the activities of utilities, and by EPA for program evaluation.</w:t>
      </w:r>
    </w:p>
    <w:p w:rsidR="00FA40ED" w:rsidRPr="00001D40" w:rsidP="00001D40" w14:paraId="45055F32" w14:textId="77777777">
      <w:pPr>
        <w:pBdr>
          <w:top w:val="single" w:sz="6" w:space="0" w:color="FFFFFF"/>
          <w:left w:val="single" w:sz="6" w:space="0" w:color="FFFFFF"/>
          <w:bottom w:val="single" w:sz="6" w:space="0" w:color="FFFFFF"/>
          <w:right w:val="single" w:sz="6" w:space="0" w:color="FFFFFF"/>
        </w:pBdr>
        <w:spacing w:line="276" w:lineRule="auto"/>
        <w:rPr>
          <w:rFonts w:cstheme="minorHAnsi"/>
        </w:rPr>
      </w:pPr>
    </w:p>
    <w:p w:rsidR="00074917" w:rsidRPr="00001D40" w:rsidP="00001D40" w14:paraId="1522D565" w14:textId="553E3A2D">
      <w:pPr>
        <w:pStyle w:val="ListParagraph"/>
        <w:numPr>
          <w:ilvl w:val="0"/>
          <w:numId w:val="2"/>
        </w:numPr>
        <w:pBdr>
          <w:bottom w:val="single" w:sz="4" w:space="1" w:color="auto"/>
        </w:pBdr>
        <w:spacing w:before="240" w:after="0" w:line="276" w:lineRule="auto"/>
        <w:rPr>
          <w:rFonts w:cstheme="minorHAnsi"/>
          <w:b/>
          <w:bCs/>
        </w:rPr>
      </w:pPr>
      <w:bookmarkStart w:id="3" w:name="_Toc156593370"/>
      <w:r w:rsidRPr="00001D40">
        <w:rPr>
          <w:rFonts w:cstheme="minorHAnsi"/>
          <w:b/>
          <w:bCs/>
        </w:rPr>
        <w:t>USE OF TECHNOLOGY</w:t>
      </w:r>
      <w:bookmarkEnd w:id="3"/>
    </w:p>
    <w:p w:rsidR="00D47CB3" w:rsidRPr="00001D40" w:rsidP="00001D40" w14:paraId="50A4BA09" w14:textId="2FD9C2D1">
      <w:pPr>
        <w:pBdr>
          <w:bottom w:val="single" w:sz="4" w:space="1" w:color="auto"/>
        </w:pBdr>
        <w:spacing w:before="60" w:line="276" w:lineRule="auto"/>
        <w:rPr>
          <w:rFonts w:cstheme="minorHAnsi"/>
          <w:i/>
          <w:iCs/>
        </w:rPr>
      </w:pPr>
      <w:r w:rsidRPr="00001D40">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956B0" w:rsidP="00001D40" w14:paraId="32F8B2CA" w14:textId="790A9805">
      <w:pPr>
        <w:pBdr>
          <w:top w:val="single" w:sz="6" w:space="0" w:color="FFFFFF"/>
          <w:left w:val="single" w:sz="6" w:space="0" w:color="FFFFFF"/>
          <w:bottom w:val="single" w:sz="6" w:space="0" w:color="FFFFFF"/>
          <w:right w:val="single" w:sz="6" w:space="0" w:color="FFFFFF"/>
        </w:pBdr>
        <w:spacing w:line="276" w:lineRule="auto"/>
        <w:rPr>
          <w:rFonts w:cstheme="minorHAnsi"/>
          <w:color w:val="000000"/>
        </w:rPr>
      </w:pPr>
      <w:r w:rsidRPr="00001D40">
        <w:rPr>
          <w:rFonts w:cstheme="minorHAnsi"/>
          <w:color w:val="000000"/>
        </w:rPr>
        <w:t xml:space="preserve">Several computer systems and associated databases have been developed to (1) track allowances, (2) record quarterly emissions monitoring data, (3) track auction proceed payments, and (4) calculate the number of allowances to be deducted each year. These systems and databases are designed to provide easy access to information for use by the Agency, states, the regulated community, and the </w:t>
      </w:r>
      <w:r w:rsidRPr="00001D40">
        <w:rPr>
          <w:rFonts w:cstheme="minorHAnsi"/>
          <w:color w:val="000000"/>
        </w:rPr>
        <w:t>general public</w:t>
      </w:r>
      <w:r w:rsidRPr="00001D40">
        <w:rPr>
          <w:rFonts w:cstheme="minorHAnsi"/>
          <w:color w:val="000000"/>
        </w:rPr>
        <w:t>. EPA provides access to the data on emissions and allowance activity in both detailed and summary formats on the C</w:t>
      </w:r>
      <w:r w:rsidR="00DA141E">
        <w:rPr>
          <w:rFonts w:cstheme="minorHAnsi"/>
          <w:color w:val="000000"/>
        </w:rPr>
        <w:t>lean Air Power Sector Programs</w:t>
      </w:r>
      <w:r w:rsidRPr="00001D40">
        <w:rPr>
          <w:rFonts w:cstheme="minorHAnsi"/>
          <w:color w:val="000000"/>
        </w:rPr>
        <w:t xml:space="preserve"> website.</w:t>
      </w:r>
    </w:p>
    <w:p w:rsidR="001B0ED4" w:rsidRPr="00001D40" w:rsidP="00001D40" w14:paraId="3CCCAF37" w14:textId="7FCEB816">
      <w:pPr>
        <w:pBdr>
          <w:top w:val="single" w:sz="6" w:space="0" w:color="FFFFFF"/>
          <w:left w:val="single" w:sz="6" w:space="0" w:color="FFFFFF"/>
          <w:bottom w:val="single" w:sz="6" w:space="0" w:color="FFFFFF"/>
          <w:right w:val="single" w:sz="6" w:space="0" w:color="FFFFFF"/>
        </w:pBdr>
        <w:spacing w:line="276" w:lineRule="auto"/>
        <w:rPr>
          <w:rFonts w:cstheme="minorHAnsi"/>
          <w:color w:val="000000"/>
        </w:rPr>
      </w:pPr>
      <w:r>
        <w:rPr>
          <w:rFonts w:cstheme="minorHAnsi"/>
          <w:color w:val="000000"/>
        </w:rPr>
        <w:t xml:space="preserve">The use of the electronic data system allows EPA to expedite the data entry process, ensure consistent formatting of collections, and quality assure the information submitted. </w:t>
      </w:r>
      <w:r w:rsidR="00F14CB2">
        <w:rPr>
          <w:rFonts w:cstheme="minorHAnsi"/>
          <w:color w:val="000000"/>
        </w:rPr>
        <w:t xml:space="preserve">The EPA encourages electronic submissions to the extent possible </w:t>
      </w:r>
      <w:r w:rsidR="00360D59">
        <w:rPr>
          <w:rFonts w:cstheme="minorHAnsi"/>
          <w:color w:val="000000"/>
        </w:rPr>
        <w:t>with standard written form submissions available where needed. The EPA requires the information collected under 40 CFR part 75 (emissions monitoring) to be submitted via direct electronic submission. Allowance transfer information is mainly collected through an electronic application with the written form option available. Permit applications, and information associated with permitting (new unit exemptions, retired unit exemptions, NO</w:t>
      </w:r>
      <w:r w:rsidRPr="00E455B8" w:rsidR="00360D59">
        <w:rPr>
          <w:rFonts w:cstheme="minorHAnsi"/>
          <w:color w:val="000000"/>
          <w:vertAlign w:val="subscript"/>
        </w:rPr>
        <w:t>x</w:t>
      </w:r>
      <w:r w:rsidR="00360D59">
        <w:rPr>
          <w:rFonts w:cstheme="minorHAnsi"/>
          <w:color w:val="000000"/>
        </w:rPr>
        <w:t xml:space="preserve"> compliance plans) are submitted on standard paper forms. </w:t>
      </w:r>
    </w:p>
    <w:p w:rsidR="00A26BBA" w:rsidRPr="00001D40" w:rsidP="00001D40" w14:paraId="7B175F73" w14:textId="77777777">
      <w:pPr>
        <w:pBdr>
          <w:top w:val="single" w:sz="6" w:space="0" w:color="FFFFFF"/>
          <w:left w:val="single" w:sz="6" w:space="0" w:color="FFFFFF"/>
          <w:bottom w:val="single" w:sz="6" w:space="0" w:color="FFFFFF"/>
          <w:right w:val="single" w:sz="6" w:space="0" w:color="FFFFFF"/>
        </w:pBdr>
        <w:spacing w:line="276" w:lineRule="auto"/>
        <w:rPr>
          <w:rFonts w:cstheme="minorHAnsi"/>
          <w:color w:val="000000"/>
        </w:rPr>
      </w:pPr>
    </w:p>
    <w:p w:rsidR="005263EC" w:rsidRPr="00001D40" w:rsidP="00001D40" w14:paraId="2CB3B868" w14:textId="58CBB947">
      <w:pPr>
        <w:pStyle w:val="ListParagraph"/>
        <w:numPr>
          <w:ilvl w:val="0"/>
          <w:numId w:val="2"/>
        </w:numPr>
        <w:pBdr>
          <w:bottom w:val="single" w:sz="4" w:space="1" w:color="auto"/>
        </w:pBdr>
        <w:spacing w:before="240" w:after="0" w:line="276" w:lineRule="auto"/>
        <w:rPr>
          <w:rFonts w:cstheme="minorHAnsi"/>
          <w:b/>
          <w:bCs/>
        </w:rPr>
      </w:pPr>
      <w:bookmarkStart w:id="4" w:name="_Toc156593371"/>
      <w:r w:rsidRPr="00001D40">
        <w:rPr>
          <w:rFonts w:cstheme="minorHAnsi"/>
          <w:b/>
          <w:bCs/>
        </w:rPr>
        <w:t>EFFORTS TO IDENTIFY DUPLICATION</w:t>
      </w:r>
      <w:bookmarkEnd w:id="4"/>
    </w:p>
    <w:p w:rsidR="00D47CB3" w:rsidRPr="00001D40" w:rsidP="00001D40" w14:paraId="15DFF081" w14:textId="57054C58">
      <w:pPr>
        <w:pBdr>
          <w:bottom w:val="single" w:sz="4" w:space="1" w:color="auto"/>
        </w:pBdr>
        <w:spacing w:before="60" w:line="276" w:lineRule="auto"/>
        <w:rPr>
          <w:rFonts w:cstheme="minorHAnsi"/>
          <w:i/>
          <w:iCs/>
        </w:rPr>
      </w:pPr>
      <w:r w:rsidRPr="00001D40">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B17B6C" w:rsidRPr="00001D40" w:rsidP="00001D40" w14:paraId="37E64458" w14:textId="5E2F4CE9">
      <w:pPr>
        <w:numPr>
          <w:ilvl w:val="12"/>
          <w:numId w:val="0"/>
        </w:numPr>
        <w:spacing w:line="276" w:lineRule="auto"/>
        <w:rPr>
          <w:rFonts w:cstheme="minorHAnsi"/>
        </w:rPr>
      </w:pPr>
      <w:bookmarkStart w:id="5" w:name="_Toc156593372"/>
      <w:r w:rsidRPr="00001D40">
        <w:rPr>
          <w:rFonts w:cstheme="minorHAnsi"/>
        </w:rPr>
        <w:t xml:space="preserve">Almost none of the information requested from respondents under this ICR is available from other sources. EPA notes that many of the units that are subject to the Acid Rain Program are also subject to </w:t>
      </w:r>
      <w:r w:rsidRPr="00001D40">
        <w:rPr>
          <w:rFonts w:cstheme="minorHAnsi"/>
        </w:rPr>
        <w:t xml:space="preserve">other programs, such as the New Source Performance Standards (NSPS). Under programs such as NSPS, sources are required to submit monitoring data reports that match the </w:t>
      </w:r>
      <w:r w:rsidRPr="00001D40">
        <w:rPr>
          <w:rFonts w:cstheme="minorHAnsi"/>
        </w:rPr>
        <w:t>particular format</w:t>
      </w:r>
      <w:r w:rsidRPr="00001D40">
        <w:rPr>
          <w:rFonts w:cstheme="minorHAnsi"/>
        </w:rPr>
        <w:t xml:space="preserve"> and averaging time of the applicable emission limits under those standards. Although not the same information as the information provided under the Acid Rain Program, the information is often generated by the same monitoring equipment.  </w:t>
      </w:r>
    </w:p>
    <w:p w:rsidR="00B17B6C" w:rsidRPr="00001D40" w:rsidP="00001D40" w14:paraId="6E951B49" w14:textId="2676FF4A">
      <w:pPr>
        <w:numPr>
          <w:ilvl w:val="12"/>
          <w:numId w:val="0"/>
        </w:numPr>
        <w:spacing w:line="276" w:lineRule="auto"/>
        <w:rPr>
          <w:rFonts w:cstheme="minorHAnsi"/>
        </w:rPr>
      </w:pPr>
      <w:r w:rsidRPr="00001D40">
        <w:rPr>
          <w:rFonts w:cstheme="minorHAnsi"/>
        </w:rPr>
        <w:t>Many of the Acid Rain Program’s information collection requirements substantially overlap with information collection requirements of the Cross-State Air Pollution Rule (CSAPR) and Texas SO</w:t>
      </w:r>
      <w:r w:rsidRPr="00001D40">
        <w:rPr>
          <w:rFonts w:cstheme="minorHAnsi"/>
          <w:vertAlign w:val="subscript"/>
        </w:rPr>
        <w:t>2</w:t>
      </w:r>
      <w:r w:rsidRPr="00001D40">
        <w:rPr>
          <w:rFonts w:cstheme="minorHAnsi"/>
        </w:rPr>
        <w:t xml:space="preserve"> trading programs under 40 CFR part 97, subparts AAAAA through </w:t>
      </w:r>
      <w:r w:rsidR="008519B3">
        <w:rPr>
          <w:rFonts w:cstheme="minorHAnsi"/>
        </w:rPr>
        <w:t>GGGGG</w:t>
      </w:r>
      <w:r w:rsidRPr="00001D40">
        <w:rPr>
          <w:rFonts w:cstheme="minorHAnsi"/>
        </w:rPr>
        <w:t>, which are addressed in a separate ICR (OMB control number 2060-0667).  The reporting formats for affected sources under the CSAPR and Texas SO</w:t>
      </w:r>
      <w:r w:rsidRPr="00001D40">
        <w:rPr>
          <w:rFonts w:cstheme="minorHAnsi"/>
          <w:vertAlign w:val="subscript"/>
        </w:rPr>
        <w:t>2</w:t>
      </w:r>
      <w:r w:rsidRPr="00001D40">
        <w:rPr>
          <w:rFonts w:cstheme="minorHAnsi"/>
        </w:rPr>
        <w:t xml:space="preserve"> programs and the Acid Rain Program are integrated so that a single quarterly submission is used to satisfy the quarterly reporting requirements for all programs.  The information collection procedures under the various programs for submitting and updating certificates of representation, identifying retired units, and establishing non-source general accounts in the allowance tracking system are similarly integrated so that in each case, a representative can submit a single form to address the analogous requirements under all applicable programs.</w:t>
      </w:r>
    </w:p>
    <w:p w:rsidR="002956B0" w:rsidRPr="00001D40" w:rsidP="00001D40" w14:paraId="3D72E2D4" w14:textId="77777777">
      <w:pPr>
        <w:numPr>
          <w:ilvl w:val="12"/>
          <w:numId w:val="0"/>
        </w:numPr>
        <w:spacing w:line="276" w:lineRule="auto"/>
        <w:rPr>
          <w:rFonts w:cstheme="minorHAnsi"/>
        </w:rPr>
      </w:pPr>
    </w:p>
    <w:p w:rsidR="00251151" w:rsidRPr="00001D40" w:rsidP="00001D40" w14:paraId="79D36B3F" w14:textId="440DD77F">
      <w:pPr>
        <w:pStyle w:val="ListParagraph"/>
        <w:numPr>
          <w:ilvl w:val="0"/>
          <w:numId w:val="2"/>
        </w:numPr>
        <w:pBdr>
          <w:bottom w:val="single" w:sz="4" w:space="1" w:color="auto"/>
        </w:pBdr>
        <w:spacing w:before="240" w:after="0" w:line="276" w:lineRule="auto"/>
        <w:rPr>
          <w:rFonts w:cstheme="minorHAnsi"/>
          <w:b/>
          <w:bCs/>
        </w:rPr>
      </w:pPr>
      <w:r w:rsidRPr="00001D40">
        <w:rPr>
          <w:rFonts w:cstheme="minorHAnsi"/>
          <w:b/>
          <w:bCs/>
        </w:rPr>
        <w:t xml:space="preserve">MINIMIZING BURDEN ON SMALL </w:t>
      </w:r>
      <w:r w:rsidRPr="00001D40" w:rsidR="0F43C128">
        <w:rPr>
          <w:rFonts w:cstheme="minorHAnsi"/>
          <w:b/>
          <w:bCs/>
        </w:rPr>
        <w:t xml:space="preserve">BUSINESSES AND SMALL </w:t>
      </w:r>
      <w:r w:rsidRPr="00001D40">
        <w:rPr>
          <w:rFonts w:cstheme="minorHAnsi"/>
          <w:b/>
          <w:bCs/>
        </w:rPr>
        <w:t>ENTITIES</w:t>
      </w:r>
      <w:bookmarkEnd w:id="5"/>
    </w:p>
    <w:p w:rsidR="00D47CB3" w:rsidRPr="00001D40" w:rsidP="00001D40" w14:paraId="3D612A53" w14:textId="12EBD254">
      <w:pPr>
        <w:pBdr>
          <w:bottom w:val="single" w:sz="4" w:space="1" w:color="auto"/>
        </w:pBdr>
        <w:spacing w:before="60" w:line="276" w:lineRule="auto"/>
        <w:rPr>
          <w:rFonts w:cstheme="minorHAnsi"/>
          <w:i/>
          <w:iCs/>
        </w:rPr>
      </w:pPr>
      <w:r w:rsidRPr="00001D40">
        <w:rPr>
          <w:rFonts w:cstheme="minorHAnsi"/>
          <w:i/>
          <w:iCs/>
          <w:color w:val="000000"/>
          <w:shd w:val="clear" w:color="auto" w:fill="FFFFFF"/>
        </w:rPr>
        <w:t>If the collection of information impacts small businesses or other small entities, describe any methods used to minimize burden.</w:t>
      </w:r>
    </w:p>
    <w:p w:rsidR="00785207" w:rsidRPr="00001D40" w:rsidP="00001D40" w14:paraId="6AB95FB8" w14:textId="709D8D1F">
      <w:pPr>
        <w:numPr>
          <w:ilvl w:val="12"/>
          <w:numId w:val="0"/>
        </w:numPr>
        <w:spacing w:line="276" w:lineRule="auto"/>
        <w:rPr>
          <w:rFonts w:cstheme="minorHAnsi"/>
        </w:rPr>
      </w:pPr>
      <w:r w:rsidRPr="00001D40">
        <w:rPr>
          <w:rFonts w:cstheme="minorHAnsi"/>
        </w:rPr>
        <w:t>In general, pursuant to CAA requirements, all affected sources under the Acid Rain Program are required to submit permit applications and to respond to other collections under this ICR without regard to entity size, except that retired units are exempted from most reporting requirements.  The use of standardized forms will enable small entities to understand and complete permit application submissions without the level of staffing which would be necessary in the absence of such forms.</w:t>
      </w:r>
    </w:p>
    <w:p w:rsidR="00785207" w:rsidRPr="00001D40" w:rsidP="00001D40" w14:paraId="053B8852" w14:textId="2603D8E2">
      <w:pPr>
        <w:numPr>
          <w:ilvl w:val="12"/>
          <w:numId w:val="0"/>
        </w:numPr>
        <w:spacing w:line="276" w:lineRule="auto"/>
        <w:rPr>
          <w:rFonts w:cstheme="minorHAnsi"/>
        </w:rPr>
      </w:pPr>
      <w:r w:rsidRPr="00001D40">
        <w:rPr>
          <w:rFonts w:cstheme="minorHAnsi"/>
        </w:rPr>
        <w:t>The Acid Rain Program regulations at 40 CFR 72.7 provide a conditional exemption from the program’s emissions reduction, permitting, and emissions monitoring requirements for new units having a nameplate capacity no greater than 25 MW that burn fuels with a sulfur content no greater than 0.05 percent by weight.  The program’s monitoring regulations at 40 CFR 75.19 create an additional exception available to many small units, specifically those that combust gas and/or fuel oil and that have low levels of mass emissions (referred to as LME units). An LME unit must emit no more than 25 tons of SO</w:t>
      </w:r>
      <w:r w:rsidRPr="00001D40">
        <w:rPr>
          <w:rFonts w:cstheme="minorHAnsi"/>
          <w:vertAlign w:val="subscript"/>
        </w:rPr>
        <w:t>2</w:t>
      </w:r>
      <w:r w:rsidRPr="00001D40">
        <w:rPr>
          <w:rFonts w:cstheme="minorHAnsi"/>
        </w:rPr>
        <w:t xml:space="preserve"> annually, less than 100 tons of NO</w:t>
      </w:r>
      <w:r w:rsidRPr="00001D40">
        <w:rPr>
          <w:rFonts w:cstheme="minorHAnsi"/>
          <w:vertAlign w:val="subscript"/>
        </w:rPr>
        <w:t>X</w:t>
      </w:r>
      <w:r w:rsidRPr="00001D40">
        <w:rPr>
          <w:rFonts w:cstheme="minorHAnsi"/>
        </w:rPr>
        <w:t xml:space="preserve"> annually, and no more than 50 tons of NO</w:t>
      </w:r>
      <w:r w:rsidRPr="00001D40">
        <w:rPr>
          <w:rFonts w:cstheme="minorHAnsi"/>
          <w:vertAlign w:val="subscript"/>
        </w:rPr>
        <w:t>X</w:t>
      </w:r>
      <w:r w:rsidRPr="00001D40">
        <w:rPr>
          <w:rFonts w:cstheme="minorHAnsi"/>
        </w:rPr>
        <w:t xml:space="preserve"> during the May-September ozone season (for units subject to part 75 requirements under an ozone season NO</w:t>
      </w:r>
      <w:r w:rsidRPr="00001D40">
        <w:rPr>
          <w:rFonts w:cstheme="minorHAnsi"/>
          <w:vertAlign w:val="subscript"/>
        </w:rPr>
        <w:t>X</w:t>
      </w:r>
      <w:r w:rsidRPr="00001D40">
        <w:rPr>
          <w:rFonts w:cstheme="minorHAnsi"/>
        </w:rPr>
        <w:t xml:space="preserve"> program) and must be able to demonstrate continued compliance with these ceilings each year under conservative assumptions.  Units that qualify are exempted from certain requirements to install and operate monitoring equipment, conduct fuel sampling, and perform quality assurance or quality control tests.  Moreover, emissions reporting requirements are significantly simplified for these units.</w:t>
      </w:r>
    </w:p>
    <w:p w:rsidR="00785207" w:rsidRPr="00001D40" w:rsidP="00001D40" w14:paraId="30FB4693" w14:textId="7CA41C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001D40">
        <w:rPr>
          <w:rFonts w:cstheme="minorHAnsi"/>
        </w:rPr>
        <w:t xml:space="preserve">Gas- or oil-fired units that do not qualify for the new unit exemption or the LME provisions may still meet criteria that allow for the use of alternatives to CEMS for measuring emissions.  As discussed in the </w:t>
      </w:r>
      <w:r w:rsidRPr="00001D40">
        <w:rPr>
          <w:rFonts w:cstheme="minorHAnsi"/>
        </w:rPr>
        <w:t>Regulatory Impact Analysis (RIA) for the initial Acid Rain rules (October 19, 1992), smaller utilities are more likely to be dependent on these oil- and gas-fired units, especially very small utilities (see pp. 5-14 of that RIA document).</w:t>
      </w:r>
    </w:p>
    <w:p w:rsidR="00ED57A4" w:rsidRPr="00001D40" w:rsidP="00001D40" w14:paraId="518B46AB" w14:textId="3EE783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001D40">
        <w:rPr>
          <w:rFonts w:cstheme="minorHAnsi"/>
        </w:rPr>
        <w:t>Opportunities to further reduce Acid Rain Program requirements specifically for small entities are limited because of the statutory requirements that all affected units use CEMS (or an equivalent method) to record and report emissions data.</w:t>
      </w:r>
    </w:p>
    <w:p w:rsidR="002956B0" w:rsidRPr="00001D40" w:rsidP="00001D40" w14:paraId="4EC82439" w14:textId="77777777">
      <w:pPr>
        <w:spacing w:line="276" w:lineRule="auto"/>
        <w:rPr>
          <w:rFonts w:cstheme="minorHAnsi"/>
        </w:rPr>
      </w:pPr>
    </w:p>
    <w:p w:rsidR="004252C1" w:rsidRPr="00001D40" w:rsidP="00001D40" w14:paraId="1FF5A778" w14:textId="02F91DFF">
      <w:pPr>
        <w:pStyle w:val="ListParagraph"/>
        <w:numPr>
          <w:ilvl w:val="0"/>
          <w:numId w:val="2"/>
        </w:numPr>
        <w:pBdr>
          <w:bottom w:val="single" w:sz="4" w:space="1" w:color="auto"/>
        </w:pBdr>
        <w:spacing w:before="240" w:after="0" w:line="276" w:lineRule="auto"/>
        <w:rPr>
          <w:rFonts w:cstheme="minorHAnsi"/>
          <w:b/>
          <w:bCs/>
        </w:rPr>
      </w:pPr>
      <w:bookmarkStart w:id="6" w:name="_Toc156593373"/>
      <w:r w:rsidRPr="00001D40">
        <w:rPr>
          <w:rFonts w:cstheme="minorHAnsi"/>
          <w:b/>
          <w:bCs/>
        </w:rPr>
        <w:t>CONSEQUENCES</w:t>
      </w:r>
      <w:r w:rsidRPr="00001D40" w:rsidR="00061A77">
        <w:rPr>
          <w:rFonts w:cstheme="minorHAnsi"/>
          <w:b/>
          <w:bCs/>
        </w:rPr>
        <w:t xml:space="preserve"> OF LESS FREQUENT COLLECTION</w:t>
      </w:r>
      <w:bookmarkEnd w:id="6"/>
    </w:p>
    <w:p w:rsidR="00D47CB3" w:rsidRPr="00001D40" w:rsidP="00001D40" w14:paraId="00E27992" w14:textId="51FE3814">
      <w:pPr>
        <w:pBdr>
          <w:bottom w:val="single" w:sz="4" w:space="1" w:color="auto"/>
        </w:pBdr>
        <w:tabs>
          <w:tab w:val="left" w:pos="921"/>
        </w:tabs>
        <w:spacing w:before="60" w:line="276" w:lineRule="auto"/>
        <w:rPr>
          <w:rFonts w:cstheme="minorHAnsi"/>
          <w:i/>
          <w:iCs/>
        </w:rPr>
      </w:pPr>
      <w:r w:rsidRPr="00001D40">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C94DD4" w:rsidRPr="00001D40" w:rsidP="00001D40" w14:paraId="2FE6D70D" w14:textId="5503A694">
      <w:pPr>
        <w:keepNext/>
        <w:numPr>
          <w:ilvl w:val="12"/>
          <w:numId w:val="0"/>
        </w:numPr>
        <w:spacing w:line="276" w:lineRule="auto"/>
        <w:rPr>
          <w:rFonts w:cstheme="minorHAnsi"/>
        </w:rPr>
      </w:pPr>
      <w:r w:rsidRPr="00001D40">
        <w:rPr>
          <w:rFonts w:cstheme="minorHAnsi"/>
        </w:rPr>
        <w:t xml:space="preserve">6.1 </w:t>
      </w:r>
      <w:r w:rsidRPr="00001D40">
        <w:rPr>
          <w:rFonts w:cstheme="minorHAnsi"/>
        </w:rPr>
        <w:t>Allowance Transfers</w:t>
      </w:r>
    </w:p>
    <w:p w:rsidR="0051647F" w:rsidRPr="00001D40" w:rsidP="00001D40" w14:paraId="1F21BB80" w14:textId="01A20A85">
      <w:pPr>
        <w:keepNext/>
        <w:numPr>
          <w:ilvl w:val="12"/>
          <w:numId w:val="0"/>
        </w:numPr>
        <w:spacing w:line="276" w:lineRule="auto"/>
        <w:rPr>
          <w:rFonts w:cstheme="minorHAnsi"/>
        </w:rPr>
      </w:pPr>
      <w:r w:rsidRPr="00001D40">
        <w:rPr>
          <w:rFonts w:cstheme="minorHAnsi"/>
        </w:rPr>
        <w:t xml:space="preserve">Collection of allowance transfer information for each transfer of allowances is necessary to effectively implement a system for issuing, recording, and tracking allowances. To facilitate accurate tracking of allowances and to help ensure the orderly and competitive functioning of the allowance system, it is essential that participants be able to report information on allowance transfers as they occur. </w:t>
      </w:r>
    </w:p>
    <w:p w:rsidR="00C94DD4" w:rsidRPr="00001D40" w:rsidP="00001D40" w14:paraId="287B016F" w14:textId="4F1C8A36">
      <w:pPr>
        <w:keepNext/>
        <w:numPr>
          <w:ilvl w:val="12"/>
          <w:numId w:val="0"/>
        </w:numPr>
        <w:spacing w:line="276" w:lineRule="auto"/>
        <w:rPr>
          <w:rFonts w:cstheme="minorHAnsi"/>
        </w:rPr>
      </w:pPr>
      <w:r w:rsidRPr="00001D40">
        <w:rPr>
          <w:rFonts w:cstheme="minorHAnsi"/>
        </w:rPr>
        <w:t>6.2</w:t>
      </w:r>
      <w:r w:rsidRPr="00001D40">
        <w:rPr>
          <w:rFonts w:cstheme="minorHAnsi"/>
        </w:rPr>
        <w:t xml:space="preserve"> Permits</w:t>
      </w:r>
    </w:p>
    <w:p w:rsidR="00C94DD4" w:rsidRPr="00001D40" w:rsidP="00001D40" w14:paraId="28F59ACC" w14:textId="407A4644">
      <w:pPr>
        <w:keepNext/>
        <w:numPr>
          <w:ilvl w:val="12"/>
          <w:numId w:val="0"/>
        </w:numPr>
        <w:spacing w:line="276" w:lineRule="auto"/>
        <w:rPr>
          <w:rFonts w:cstheme="minorHAnsi"/>
        </w:rPr>
      </w:pPr>
      <w:r w:rsidRPr="00001D40">
        <w:rPr>
          <w:rFonts w:cstheme="minorHAnsi"/>
        </w:rPr>
        <w:t xml:space="preserve">The requirement for the designated representatives of owners and operators of affected sources to submit permit applications every five years is statutory.  </w:t>
      </w:r>
    </w:p>
    <w:p w:rsidR="00C94DD4" w:rsidRPr="00001D40" w:rsidP="00001D40" w14:paraId="4CFF4959" w14:textId="5423BF13">
      <w:pPr>
        <w:numPr>
          <w:ilvl w:val="12"/>
          <w:numId w:val="0"/>
        </w:numPr>
        <w:spacing w:line="276" w:lineRule="auto"/>
        <w:rPr>
          <w:rFonts w:cstheme="minorHAnsi"/>
        </w:rPr>
      </w:pPr>
      <w:r w:rsidRPr="00001D40">
        <w:rPr>
          <w:rFonts w:cstheme="minorHAnsi"/>
        </w:rPr>
        <w:t>6.3 Emissions</w:t>
      </w:r>
      <w:r w:rsidRPr="00001D40">
        <w:rPr>
          <w:rFonts w:cstheme="minorHAnsi"/>
        </w:rPr>
        <w:t xml:space="preserve"> Monitoring</w:t>
      </w:r>
    </w:p>
    <w:p w:rsidR="00C94DD4" w:rsidRPr="00001D40" w:rsidP="00001D40" w14:paraId="38FB4274" w14:textId="2DE67027">
      <w:pPr>
        <w:numPr>
          <w:ilvl w:val="12"/>
          <w:numId w:val="0"/>
        </w:numPr>
        <w:spacing w:line="276" w:lineRule="auto"/>
        <w:rPr>
          <w:rFonts w:cstheme="minorHAnsi"/>
        </w:rPr>
      </w:pPr>
      <w:r w:rsidRPr="00001D40">
        <w:rPr>
          <w:rFonts w:cstheme="minorHAnsi"/>
        </w:rPr>
        <w:t>One-time submission of monitoring plans and submission of the results of any required monitoring no less often than every six months are required by statute.  Quarterly collection of emissions data allows for frequent checking of data for errors and provides rapid feedback to industry of needed adjustments to data collection systems, thereby promoting more accurate and reliable emissions data.  Also, existing federal and state emission monitoring programs often require reporting on a quarterly or even monthly basis.  Less frequent collection, i.e., semi-annually, would increase the amount of preparation and review time at the end of the reporting period both for regulated sources and for EPA, and would slow down the process of compliance determination.</w:t>
      </w:r>
    </w:p>
    <w:p w:rsidR="00C94DD4" w:rsidRPr="00001D40" w:rsidP="00001D40" w14:paraId="6B8C3FE4" w14:textId="6FA6A610">
      <w:pPr>
        <w:numPr>
          <w:ilvl w:val="12"/>
          <w:numId w:val="0"/>
        </w:numPr>
        <w:spacing w:line="276" w:lineRule="auto"/>
        <w:rPr>
          <w:rFonts w:cstheme="minorHAnsi"/>
        </w:rPr>
      </w:pPr>
      <w:r w:rsidRPr="00001D40">
        <w:rPr>
          <w:rFonts w:cstheme="minorHAnsi"/>
        </w:rPr>
        <w:t xml:space="preserve">6.4 </w:t>
      </w:r>
      <w:r w:rsidRPr="00001D40">
        <w:rPr>
          <w:rFonts w:cstheme="minorHAnsi"/>
        </w:rPr>
        <w:t>Auctions</w:t>
      </w:r>
    </w:p>
    <w:p w:rsidR="0051647F" w:rsidRPr="00001D40" w:rsidP="00001D40" w14:paraId="537BEB99" w14:textId="7C69581D">
      <w:pPr>
        <w:numPr>
          <w:ilvl w:val="12"/>
          <w:numId w:val="0"/>
        </w:numPr>
        <w:spacing w:line="276" w:lineRule="auto"/>
        <w:rPr>
          <w:rFonts w:cstheme="minorHAnsi"/>
        </w:rPr>
      </w:pPr>
      <w:r w:rsidRPr="00001D40">
        <w:rPr>
          <w:rFonts w:cstheme="minorHAnsi"/>
        </w:rPr>
        <w:t>Collection of bid and payment information for the statutorily required allowance auctions occurs shortly before each annual auction.  The auctions could not be conducted without collection of bid information before each auction.  Simultaneous collection of payment information ensures that the bids are binding, which is essential to the integrity of the auction process.</w:t>
      </w:r>
    </w:p>
    <w:p w:rsidR="00C94DD4" w:rsidRPr="00001D40" w:rsidP="00001D40" w14:paraId="4CE087DD" w14:textId="217FB667">
      <w:pPr>
        <w:numPr>
          <w:ilvl w:val="12"/>
          <w:numId w:val="0"/>
        </w:numPr>
        <w:spacing w:line="276" w:lineRule="auto"/>
        <w:rPr>
          <w:rFonts w:cstheme="minorHAnsi"/>
        </w:rPr>
      </w:pPr>
      <w:r w:rsidRPr="00001D40">
        <w:rPr>
          <w:rFonts w:cstheme="minorHAnsi"/>
        </w:rPr>
        <w:t>6.</w:t>
      </w:r>
      <w:r w:rsidR="00505B04">
        <w:rPr>
          <w:rFonts w:cstheme="minorHAnsi"/>
        </w:rPr>
        <w:t>5</w:t>
      </w:r>
      <w:r w:rsidR="005623F5">
        <w:rPr>
          <w:rFonts w:cstheme="minorHAnsi"/>
        </w:rPr>
        <w:t xml:space="preserve"> </w:t>
      </w:r>
      <w:r w:rsidRPr="00001D40">
        <w:rPr>
          <w:rFonts w:cstheme="minorHAnsi"/>
        </w:rPr>
        <w:t>NO</w:t>
      </w:r>
      <w:r w:rsidRPr="00001D40">
        <w:rPr>
          <w:rFonts w:cstheme="minorHAnsi"/>
          <w:vertAlign w:val="subscript"/>
        </w:rPr>
        <w:t>X</w:t>
      </w:r>
      <w:r w:rsidRPr="00001D40">
        <w:rPr>
          <w:rFonts w:cstheme="minorHAnsi"/>
        </w:rPr>
        <w:t xml:space="preserve"> Permitting</w:t>
      </w:r>
    </w:p>
    <w:p w:rsidR="00ED57A4" w:rsidRPr="00001D40" w:rsidP="00001D40" w14:paraId="5934FB28" w14:textId="1F1D6107">
      <w:pPr>
        <w:keepNext/>
        <w:numPr>
          <w:ilvl w:val="12"/>
          <w:numId w:val="0"/>
        </w:numPr>
        <w:spacing w:line="276" w:lineRule="auto"/>
        <w:rPr>
          <w:rFonts w:cstheme="minorHAnsi"/>
        </w:rPr>
      </w:pPr>
      <w:r w:rsidRPr="00001D40">
        <w:rPr>
          <w:rFonts w:cstheme="minorHAnsi"/>
        </w:rPr>
        <w:t>The Agency is required by statute to include NO</w:t>
      </w:r>
      <w:r w:rsidRPr="00001D40">
        <w:rPr>
          <w:rFonts w:cstheme="minorHAnsi"/>
          <w:vertAlign w:val="subscript"/>
        </w:rPr>
        <w:t>X</w:t>
      </w:r>
      <w:r w:rsidRPr="00001D40">
        <w:rPr>
          <w:rFonts w:cstheme="minorHAnsi"/>
        </w:rPr>
        <w:t xml:space="preserve"> compliance plans as part of the Acid Rain permits. As mentioned earlier, Acid Rain permits are renewed every five years, so NO</w:t>
      </w:r>
      <w:r w:rsidRPr="00001D40">
        <w:rPr>
          <w:rFonts w:cstheme="minorHAnsi"/>
          <w:vertAlign w:val="subscript"/>
        </w:rPr>
        <w:t>X</w:t>
      </w:r>
      <w:r w:rsidRPr="00001D40">
        <w:rPr>
          <w:rFonts w:cstheme="minorHAnsi"/>
        </w:rPr>
        <w:t xml:space="preserve"> affected sources must submit a NO</w:t>
      </w:r>
      <w:r w:rsidRPr="00001D40">
        <w:rPr>
          <w:rFonts w:cstheme="minorHAnsi"/>
          <w:vertAlign w:val="subscript"/>
        </w:rPr>
        <w:t>X</w:t>
      </w:r>
      <w:r w:rsidRPr="00001D40">
        <w:rPr>
          <w:rFonts w:cstheme="minorHAnsi"/>
        </w:rPr>
        <w:t xml:space="preserve"> compliance plan once every five years.</w:t>
      </w:r>
    </w:p>
    <w:p w:rsidR="00FE059C" w:rsidRPr="00001D40" w:rsidP="00001D40" w14:paraId="15BFBBA6" w14:textId="77777777">
      <w:pPr>
        <w:keepNext/>
        <w:numPr>
          <w:ilvl w:val="12"/>
          <w:numId w:val="0"/>
        </w:numPr>
        <w:spacing w:line="276" w:lineRule="auto"/>
        <w:rPr>
          <w:rFonts w:cstheme="minorHAnsi"/>
        </w:rPr>
      </w:pPr>
    </w:p>
    <w:p w:rsidR="00A233E0" w:rsidRPr="00001D40" w:rsidP="00001D40" w14:paraId="27596CC0" w14:textId="77777777">
      <w:pPr>
        <w:pStyle w:val="ListParagraph"/>
        <w:numPr>
          <w:ilvl w:val="0"/>
          <w:numId w:val="2"/>
        </w:numPr>
        <w:pBdr>
          <w:bottom w:val="single" w:sz="4" w:space="1" w:color="auto"/>
        </w:pBdr>
        <w:spacing w:before="240" w:after="0" w:line="276" w:lineRule="auto"/>
        <w:rPr>
          <w:rFonts w:cstheme="minorHAnsi"/>
          <w:b/>
          <w:bCs/>
        </w:rPr>
      </w:pPr>
      <w:bookmarkStart w:id="7" w:name="_Toc156593374"/>
      <w:r w:rsidRPr="00001D40">
        <w:rPr>
          <w:rFonts w:cstheme="minorHAnsi"/>
          <w:b/>
          <w:bCs/>
        </w:rPr>
        <w:t>GENERAL GUIDELINES</w:t>
      </w:r>
      <w:bookmarkEnd w:id="7"/>
    </w:p>
    <w:p w:rsidR="0051647F" w:rsidRPr="00001D40" w:rsidP="00001D40" w14:paraId="2439B1D9" w14:textId="17FA6109">
      <w:pPr>
        <w:pBdr>
          <w:bottom w:val="single" w:sz="4" w:space="1" w:color="auto"/>
        </w:pBdr>
        <w:spacing w:before="60" w:line="276" w:lineRule="auto"/>
        <w:rPr>
          <w:rFonts w:cstheme="minorHAnsi"/>
        </w:rPr>
      </w:pPr>
      <w:r w:rsidRPr="00001D40">
        <w:rPr>
          <w:rFonts w:cstheme="minorHAnsi"/>
          <w:i/>
          <w:iCs/>
        </w:rPr>
        <w:t>Explain any special circumstances that require the collection to be conducted in a manner inconsistent with OMB guidelines.</w:t>
      </w:r>
    </w:p>
    <w:p w:rsidR="00111663" w:rsidRPr="00001D40" w:rsidP="00001D40" w14:paraId="775EDF16" w14:textId="52B4FC7D">
      <w:pPr>
        <w:numPr>
          <w:ilvl w:val="12"/>
          <w:numId w:val="0"/>
        </w:numPr>
        <w:spacing w:line="276" w:lineRule="auto"/>
        <w:rPr>
          <w:rFonts w:cstheme="minorHAnsi"/>
        </w:rPr>
      </w:pPr>
      <w:r w:rsidRPr="00001D40">
        <w:rPr>
          <w:rFonts w:cstheme="minorHAnsi"/>
        </w:rPr>
        <w:t>This information collection does not violate the general guidelines set forth by OMB. In some cases, records of NO</w:t>
      </w:r>
      <w:r w:rsidRPr="00001D40">
        <w:rPr>
          <w:rFonts w:cstheme="minorHAnsi"/>
          <w:vertAlign w:val="subscript"/>
        </w:rPr>
        <w:t>X</w:t>
      </w:r>
      <w:r w:rsidRPr="00001D40">
        <w:rPr>
          <w:rFonts w:cstheme="minorHAnsi"/>
        </w:rPr>
        <w:t xml:space="preserve"> emission rate test results or fuel flowmeter calibration test results may need to be retained for up to five years, but only if the owner or operator chooses to take advantage of the ability to extend the period between tests up to five years. In all other circumstances, monitoring records under part 75 must be kept for only three years. The five-year life of an Acid Rain permit, which is the basis for the requirement to retain records supporting permit applications for five years, is established by CAA section 408(a). </w:t>
      </w:r>
    </w:p>
    <w:p w:rsidR="00FE059C" w:rsidRPr="00001D40" w:rsidP="00001D40" w14:paraId="6B43993C" w14:textId="77777777">
      <w:pPr>
        <w:numPr>
          <w:ilvl w:val="12"/>
          <w:numId w:val="0"/>
        </w:numPr>
        <w:spacing w:line="276" w:lineRule="auto"/>
        <w:rPr>
          <w:rFonts w:cstheme="minorHAnsi"/>
        </w:rPr>
      </w:pPr>
    </w:p>
    <w:p w:rsidR="006036CD" w:rsidRPr="00001D40" w:rsidP="00001D40" w14:paraId="02EE9B8D" w14:textId="77777777">
      <w:pPr>
        <w:pStyle w:val="ListParagraph"/>
        <w:numPr>
          <w:ilvl w:val="0"/>
          <w:numId w:val="2"/>
        </w:numPr>
        <w:pBdr>
          <w:bottom w:val="single" w:sz="4" w:space="1" w:color="auto"/>
        </w:pBdr>
        <w:spacing w:before="240" w:after="0" w:line="276" w:lineRule="auto"/>
        <w:rPr>
          <w:rFonts w:cstheme="minorHAnsi"/>
          <w:b/>
          <w:bCs/>
        </w:rPr>
      </w:pPr>
      <w:bookmarkStart w:id="8" w:name="_Toc156593375"/>
      <w:r w:rsidRPr="00001D40">
        <w:rPr>
          <w:rFonts w:cstheme="minorHAnsi"/>
          <w:b/>
          <w:bCs/>
        </w:rPr>
        <w:t>PUBLIC COMMENT AND CONSULTATIONS</w:t>
      </w:r>
      <w:bookmarkStart w:id="9" w:name="_Toc156593376"/>
      <w:bookmarkEnd w:id="8"/>
    </w:p>
    <w:p w:rsidR="00DD2682" w:rsidRPr="00001D40" w:rsidP="00001D40" w14:paraId="4922639E" w14:textId="016E742A">
      <w:pPr>
        <w:spacing w:before="120" w:after="0" w:line="276" w:lineRule="auto"/>
        <w:rPr>
          <w:rFonts w:cstheme="minorHAnsi"/>
          <w:b/>
          <w:bCs/>
        </w:rPr>
      </w:pPr>
      <w:r w:rsidRPr="00001D40">
        <w:rPr>
          <w:rFonts w:cstheme="minorHAnsi"/>
          <w:b/>
          <w:bCs/>
        </w:rPr>
        <w:t xml:space="preserve">8a. </w:t>
      </w:r>
      <w:r w:rsidRPr="00001D40" w:rsidR="00A82647">
        <w:rPr>
          <w:rFonts w:cstheme="minorHAnsi"/>
          <w:b/>
          <w:bCs/>
        </w:rPr>
        <w:t>Public Comment</w:t>
      </w:r>
      <w:bookmarkStart w:id="10" w:name="_Toc156593377"/>
      <w:bookmarkEnd w:id="9"/>
    </w:p>
    <w:p w:rsidR="00A233E0" w:rsidRPr="00001D40" w:rsidP="00001D40" w14:paraId="4D2D25D5" w14:textId="77777777">
      <w:pPr>
        <w:spacing w:line="276" w:lineRule="auto"/>
        <w:rPr>
          <w:rFonts w:cstheme="minorHAnsi"/>
          <w:i/>
          <w:iCs/>
        </w:rPr>
      </w:pPr>
      <w:r w:rsidRPr="00001D40">
        <w:rPr>
          <w:rFonts w:cstheme="minorHAnsi"/>
          <w:i/>
          <w:iCs/>
        </w:rPr>
        <w:t xml:space="preserve">If applicable, provide a copy and identify the date and page number of </w:t>
      </w:r>
      <w:r w:rsidRPr="00001D40">
        <w:rPr>
          <w:rFonts w:cstheme="minorHAnsi"/>
          <w:i/>
          <w:iCs/>
        </w:rPr>
        <w:t>publication</w:t>
      </w:r>
      <w:r w:rsidRPr="00001D4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001D40" w:rsidP="3E8B0C35" w14:paraId="102C4D0F" w14:textId="12087CB1">
      <w:pPr>
        <w:pBdr>
          <w:top w:val="single" w:sz="6" w:space="0" w:color="FFFFFF"/>
          <w:left w:val="single" w:sz="6" w:space="0" w:color="FFFFFF"/>
          <w:bottom w:val="single" w:sz="6" w:space="0" w:color="FFFFFF"/>
          <w:right w:val="single" w:sz="6" w:space="0" w:color="FFFFFF"/>
        </w:pBdr>
        <w:spacing w:line="276" w:lineRule="auto"/>
        <w:rPr>
          <w:color w:val="000000"/>
        </w:rPr>
      </w:pPr>
      <w:r w:rsidRPr="3E8B0C35">
        <w:t xml:space="preserve">EPA provided public notice of the proposed ICR in the Federal Register on </w:t>
      </w:r>
      <w:r w:rsidRPr="3E8B0C35" w:rsidR="7F0EF2FC">
        <w:t>9/5/2024</w:t>
      </w:r>
      <w:r w:rsidRPr="3E8B0C35">
        <w:t xml:space="preserve"> (</w:t>
      </w:r>
      <w:r w:rsidRPr="3E8B0C35" w:rsidR="00113BB4">
        <w:t>FRL-12192-01-OAR</w:t>
      </w:r>
      <w:r w:rsidRPr="3E8B0C35">
        <w:t xml:space="preserve">). </w:t>
      </w:r>
      <w:r w:rsidR="00E835D2">
        <w:t xml:space="preserve">The EPA did not receive any </w:t>
      </w:r>
      <w:r w:rsidR="008859CF">
        <w:t xml:space="preserve">public comments </w:t>
      </w:r>
      <w:r w:rsidR="00D8643D">
        <w:t xml:space="preserve">for this ICR. </w:t>
      </w:r>
    </w:p>
    <w:p w:rsidR="00DB7775" w:rsidRPr="00001D40" w:rsidP="00001D40" w14:paraId="71A9B3CC" w14:textId="77087A05">
      <w:pPr>
        <w:spacing w:before="120" w:after="0" w:line="276" w:lineRule="auto"/>
        <w:rPr>
          <w:rFonts w:cstheme="minorHAnsi"/>
          <w:b/>
          <w:bCs/>
        </w:rPr>
      </w:pPr>
      <w:r w:rsidRPr="00001D40">
        <w:rPr>
          <w:rFonts w:cstheme="minorHAnsi"/>
          <w:b/>
          <w:bCs/>
        </w:rPr>
        <w:t xml:space="preserve">8b. </w:t>
      </w:r>
      <w:r w:rsidRPr="00001D40" w:rsidR="0061689C">
        <w:rPr>
          <w:rFonts w:cstheme="minorHAnsi"/>
          <w:b/>
          <w:bCs/>
        </w:rPr>
        <w:t>C</w:t>
      </w:r>
      <w:bookmarkEnd w:id="10"/>
      <w:r w:rsidRPr="00001D40" w:rsidR="005D140B">
        <w:rPr>
          <w:rFonts w:cstheme="minorHAnsi"/>
          <w:b/>
          <w:bCs/>
        </w:rPr>
        <w:t>onsultations</w:t>
      </w:r>
    </w:p>
    <w:p w:rsidR="00A233E0" w:rsidRPr="00001D40" w:rsidP="00001D40" w14:paraId="04F99483" w14:textId="77777777">
      <w:pPr>
        <w:spacing w:line="276" w:lineRule="auto"/>
        <w:rPr>
          <w:rFonts w:cstheme="minorHAnsi"/>
          <w:i/>
          <w:iCs/>
        </w:rPr>
      </w:pPr>
      <w:r w:rsidRPr="00001D4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53C93" w:rsidRPr="00001D40" w:rsidP="00001D40" w14:paraId="59E7EE82" w14:textId="04472EAA">
      <w:pPr>
        <w:numPr>
          <w:ilvl w:val="12"/>
          <w:numId w:val="0"/>
        </w:numPr>
        <w:spacing w:line="276" w:lineRule="auto"/>
        <w:rPr>
          <w:rFonts w:cstheme="minorHAnsi"/>
        </w:rPr>
      </w:pPr>
      <w:r w:rsidRPr="000772CB">
        <w:rPr>
          <w:rFonts w:cstheme="minorHAnsi"/>
        </w:rPr>
        <w:t>The data requirements for the Acid Rain Program were developed with the benefit of extensive consultation with the Acid Rain Advisory Committee (ARAC) during five meetings in 1991 lasting two to three days each.</w:t>
      </w:r>
      <w:r w:rsidRPr="00001D40">
        <w:rPr>
          <w:rFonts w:cstheme="minorHAnsi"/>
        </w:rPr>
        <w:t xml:space="preserve"> The Committee was composed of representatives of those entities most affected by or interested in the information requirements of the Acid Rain Program. Representation on the Committee </w:t>
      </w:r>
      <w:r w:rsidRPr="00001D40">
        <w:rPr>
          <w:rFonts w:cstheme="minorHAnsi"/>
        </w:rPr>
        <w:t>was provided for industry, states, and environmental groups. Other parties consulted include the Utility Air Regulatory Group (UARG), the State and Territorial Air Pollution Program Administrators (STAPPA), and the Association of Local Air Pollution Control Officers (ALAPCO).</w:t>
      </w:r>
      <w:r w:rsidRPr="00001D40">
        <w:rPr>
          <w:rFonts w:cstheme="minorHAnsi"/>
        </w:rPr>
        <w:tab/>
      </w:r>
    </w:p>
    <w:p w:rsidR="002975D3" w:rsidRPr="00001D40" w:rsidP="00001D40" w14:paraId="4A102F14" w14:textId="77777777">
      <w:pPr>
        <w:numPr>
          <w:ilvl w:val="12"/>
          <w:numId w:val="0"/>
        </w:numPr>
        <w:spacing w:line="276" w:lineRule="auto"/>
        <w:rPr>
          <w:rFonts w:cstheme="minorHAnsi"/>
        </w:rPr>
      </w:pPr>
      <w:r w:rsidRPr="00001D40">
        <w:rPr>
          <w:rFonts w:cstheme="minorHAnsi"/>
        </w:rPr>
        <w:t>Recommendations provided by ARAC strongly supported the use of standardized reporting forms for acid rain permit applications:</w:t>
      </w:r>
    </w:p>
    <w:p w:rsidR="002975D3" w:rsidRPr="00001D40" w:rsidP="00001D40" w14:paraId="7765DAE4" w14:textId="77777777">
      <w:pPr>
        <w:pStyle w:val="ListParagraph"/>
        <w:numPr>
          <w:ilvl w:val="0"/>
          <w:numId w:val="23"/>
        </w:numPr>
        <w:spacing w:line="276" w:lineRule="auto"/>
        <w:rPr>
          <w:rFonts w:cstheme="minorHAnsi"/>
        </w:rPr>
      </w:pPr>
      <w:r w:rsidRPr="00001D40">
        <w:rPr>
          <w:rFonts w:cstheme="minorHAnsi"/>
        </w:rPr>
        <w:t xml:space="preserve">Utilities affirmed that standardized forms reduce uncertainty about what constitutes a complete application and thus reduce the need to supply additional information in a second </w:t>
      </w:r>
      <w:r w:rsidRPr="00001D40">
        <w:rPr>
          <w:rFonts w:cstheme="minorHAnsi"/>
        </w:rPr>
        <w:t>submission;</w:t>
      </w:r>
    </w:p>
    <w:p w:rsidR="002975D3" w:rsidRPr="00001D40" w:rsidP="00001D40" w14:paraId="47078EB8" w14:textId="77777777">
      <w:pPr>
        <w:pStyle w:val="ListParagraph"/>
        <w:numPr>
          <w:ilvl w:val="0"/>
          <w:numId w:val="23"/>
        </w:numPr>
        <w:spacing w:line="276" w:lineRule="auto"/>
        <w:rPr>
          <w:rFonts w:cstheme="minorHAnsi"/>
        </w:rPr>
      </w:pPr>
      <w:r w:rsidRPr="00001D40">
        <w:rPr>
          <w:rFonts w:cstheme="minorHAnsi"/>
        </w:rPr>
        <w:t>States asserted that the use of standardized forms developed by EPA would reduce the time and effort states will need to implement an acid rain permit program; and</w:t>
      </w:r>
    </w:p>
    <w:p w:rsidR="002975D3" w:rsidRPr="00001D40" w:rsidP="00001D40" w14:paraId="7D09725B" w14:textId="77777777">
      <w:pPr>
        <w:pStyle w:val="ListParagraph"/>
        <w:numPr>
          <w:ilvl w:val="0"/>
          <w:numId w:val="23"/>
        </w:numPr>
        <w:spacing w:line="276" w:lineRule="auto"/>
        <w:rPr>
          <w:rFonts w:cstheme="minorHAnsi"/>
        </w:rPr>
      </w:pPr>
      <w:r w:rsidRPr="00001D40">
        <w:rPr>
          <w:rFonts w:cstheme="minorHAnsi"/>
        </w:rPr>
        <w:t>Environmental groups argued that the use of standardized forms provides greater assurance that permits will be enforceable in a consistent manner nationwide.</w:t>
      </w:r>
    </w:p>
    <w:p w:rsidR="00F1789F" w:rsidRPr="00001D40" w:rsidP="00001D40" w14:paraId="75B9F76A" w14:textId="6BCB9B15">
      <w:pPr>
        <w:spacing w:line="276" w:lineRule="auto"/>
        <w:rPr>
          <w:rFonts w:cstheme="minorHAnsi"/>
        </w:rPr>
      </w:pPr>
      <w:r w:rsidRPr="000772CB">
        <w:rPr>
          <w:rFonts w:cstheme="minorHAnsi"/>
        </w:rPr>
        <w:t>Many ARAC recommendations were incorporated into the acid rain regulations regarding permits and the related standardized forms.  Comments and suggestions from working groups including UARG, Class of ‘85 Regulatory Response Group, and the PJM Interconnection also were incorporated in designing the annual compliance forms.</w:t>
      </w:r>
      <w:r w:rsidRPr="00001D40">
        <w:rPr>
          <w:rFonts w:cstheme="minorHAnsi"/>
        </w:rPr>
        <w:t xml:space="preserve">  </w:t>
      </w:r>
    </w:p>
    <w:p w:rsidR="00F1789F" w:rsidRPr="00001D40" w:rsidP="00001D40" w14:paraId="42F490D4" w14:textId="5F35F28D">
      <w:pPr>
        <w:numPr>
          <w:ilvl w:val="12"/>
          <w:numId w:val="0"/>
        </w:numPr>
        <w:spacing w:line="276" w:lineRule="auto"/>
        <w:rPr>
          <w:rFonts w:cstheme="minorHAnsi"/>
        </w:rPr>
      </w:pPr>
      <w:r w:rsidRPr="00001D40">
        <w:rPr>
          <w:rFonts w:cstheme="minorHAnsi"/>
        </w:rPr>
        <w:t>Since the beginning of implementation of the Acid Rain Program, representatives from the utility industry, monitoring equipment vendors, software programmers, consultants working together with utilities, and other interested parties have offered comments on the existing rule requirements, standard forms, and electronic data reporting formats used to implement the emissions monitoring, recordkeeping, and reporting requirements in 40 CFR part 75. EPA has used these comments and experience gained from administering the program to revise the rules, forms, and reporting formats multiple times.</w:t>
      </w:r>
    </w:p>
    <w:p w:rsidR="00111663" w:rsidP="00001D40" w14:paraId="5E198479" w14:textId="27DA2EAA">
      <w:pPr>
        <w:spacing w:line="276" w:lineRule="auto"/>
        <w:rPr>
          <w:rFonts w:cstheme="minorHAnsi"/>
        </w:rPr>
      </w:pPr>
      <w:r>
        <w:rPr>
          <w:rFonts w:cstheme="minorHAnsi"/>
        </w:rPr>
        <w:t xml:space="preserve">For this ICR renewal, EPA reached out to a </w:t>
      </w:r>
      <w:r w:rsidR="00E112EB">
        <w:rPr>
          <w:rFonts w:cstheme="minorHAnsi"/>
        </w:rPr>
        <w:t xml:space="preserve">representative sample </w:t>
      </w:r>
      <w:r w:rsidR="000514D8">
        <w:rPr>
          <w:rFonts w:cstheme="minorHAnsi"/>
        </w:rPr>
        <w:t xml:space="preserve">of affected </w:t>
      </w:r>
      <w:r w:rsidR="00697E3A">
        <w:rPr>
          <w:rFonts w:cstheme="minorHAnsi"/>
        </w:rPr>
        <w:t xml:space="preserve">sources </w:t>
      </w:r>
      <w:r w:rsidR="00EF65F7">
        <w:rPr>
          <w:rFonts w:cstheme="minorHAnsi"/>
        </w:rPr>
        <w:t xml:space="preserve">who are subject </w:t>
      </w:r>
      <w:r w:rsidR="00C71C8F">
        <w:rPr>
          <w:rFonts w:cstheme="minorHAnsi"/>
        </w:rPr>
        <w:t xml:space="preserve">to the </w:t>
      </w:r>
      <w:r w:rsidR="000B0366">
        <w:rPr>
          <w:rFonts w:cstheme="minorHAnsi"/>
        </w:rPr>
        <w:t xml:space="preserve">Acid Rain requirements. The sources were asked for their </w:t>
      </w:r>
      <w:r w:rsidR="00A45EAB">
        <w:rPr>
          <w:rFonts w:cstheme="minorHAnsi"/>
        </w:rPr>
        <w:t xml:space="preserve">voluntary input regarding </w:t>
      </w:r>
      <w:r w:rsidR="00A33864">
        <w:rPr>
          <w:rFonts w:cstheme="minorHAnsi"/>
        </w:rPr>
        <w:t xml:space="preserve">estimated labor hours and costs </w:t>
      </w:r>
      <w:r w:rsidR="00835A67">
        <w:rPr>
          <w:rFonts w:cstheme="minorHAnsi"/>
        </w:rPr>
        <w:t xml:space="preserve">associated with various tasks related to emissions monitoring and </w:t>
      </w:r>
      <w:r w:rsidR="00D578B2">
        <w:rPr>
          <w:rFonts w:cstheme="minorHAnsi"/>
        </w:rPr>
        <w:t xml:space="preserve">data submissions under the Acid Rain Program. </w:t>
      </w:r>
      <w:r w:rsidR="006C4A16">
        <w:rPr>
          <w:rFonts w:cstheme="minorHAnsi"/>
        </w:rPr>
        <w:t xml:space="preserve">Based on the </w:t>
      </w:r>
      <w:r w:rsidR="001A7235">
        <w:rPr>
          <w:rFonts w:cstheme="minorHAnsi"/>
        </w:rPr>
        <w:t xml:space="preserve">limited </w:t>
      </w:r>
      <w:r w:rsidR="006C4A16">
        <w:rPr>
          <w:rFonts w:cstheme="minorHAnsi"/>
        </w:rPr>
        <w:t>responses received, t</w:t>
      </w:r>
      <w:r w:rsidR="006B6978">
        <w:rPr>
          <w:rFonts w:cstheme="minorHAnsi"/>
        </w:rPr>
        <w:t xml:space="preserve">he EPA </w:t>
      </w:r>
      <w:r w:rsidR="0016677A">
        <w:rPr>
          <w:rFonts w:cstheme="minorHAnsi"/>
        </w:rPr>
        <w:t>re</w:t>
      </w:r>
      <w:r w:rsidR="00483DB8">
        <w:rPr>
          <w:rFonts w:cstheme="minorHAnsi"/>
        </w:rPr>
        <w:t>-evaluated th</w:t>
      </w:r>
      <w:r w:rsidR="007A594C">
        <w:rPr>
          <w:rFonts w:cstheme="minorHAnsi"/>
        </w:rPr>
        <w:t xml:space="preserve">e burden hours for specific tasks and </w:t>
      </w:r>
      <w:r w:rsidR="002F6663">
        <w:rPr>
          <w:rFonts w:cstheme="minorHAnsi"/>
        </w:rPr>
        <w:t xml:space="preserve">capital and O&amp;M costs incurred under the program. </w:t>
      </w:r>
      <w:r w:rsidR="004073CA">
        <w:rPr>
          <w:rFonts w:cstheme="minorHAnsi"/>
        </w:rPr>
        <w:t xml:space="preserve"> </w:t>
      </w:r>
    </w:p>
    <w:p w:rsidR="00505B04" w:rsidRPr="00001D40" w:rsidP="00001D40" w14:paraId="567039BC" w14:textId="77777777">
      <w:pPr>
        <w:spacing w:line="276" w:lineRule="auto"/>
        <w:rPr>
          <w:rFonts w:cstheme="minorHAnsi"/>
        </w:rPr>
      </w:pPr>
    </w:p>
    <w:p w:rsidR="00A233E0" w:rsidRPr="00001D40" w:rsidP="00001D40" w14:paraId="191560B2" w14:textId="77777777">
      <w:pPr>
        <w:pStyle w:val="ListParagraph"/>
        <w:numPr>
          <w:ilvl w:val="0"/>
          <w:numId w:val="2"/>
        </w:numPr>
        <w:pBdr>
          <w:bottom w:val="single" w:sz="4" w:space="1" w:color="auto"/>
        </w:pBdr>
        <w:spacing w:before="240" w:after="0" w:line="276" w:lineRule="auto"/>
        <w:rPr>
          <w:rFonts w:cstheme="minorHAnsi"/>
          <w:b/>
          <w:bCs/>
        </w:rPr>
      </w:pPr>
      <w:bookmarkStart w:id="11" w:name="_Toc156593378"/>
      <w:r w:rsidRPr="00001D40">
        <w:rPr>
          <w:rFonts w:cstheme="minorHAnsi"/>
          <w:b/>
          <w:bCs/>
        </w:rPr>
        <w:t>PAYMENTS OR GIFTS TO RESPONDENTS</w:t>
      </w:r>
      <w:bookmarkEnd w:id="11"/>
    </w:p>
    <w:p w:rsidR="00D47CB3" w:rsidRPr="00001D40" w:rsidP="00001D40" w14:paraId="5B1B6C7F" w14:textId="1A951D95">
      <w:pPr>
        <w:pBdr>
          <w:bottom w:val="single" w:sz="4" w:space="1" w:color="auto"/>
        </w:pBdr>
        <w:spacing w:before="60" w:line="276" w:lineRule="auto"/>
        <w:rPr>
          <w:rFonts w:cstheme="minorHAnsi"/>
        </w:rPr>
      </w:pPr>
      <w:r w:rsidRPr="00001D40">
        <w:rPr>
          <w:rFonts w:cstheme="minorHAnsi"/>
          <w:i/>
          <w:iCs/>
        </w:rPr>
        <w:t>Explain any decisions to provide payments or gifts to respondents, other than remuneration of contractors or grantees.</w:t>
      </w:r>
    </w:p>
    <w:p w:rsidR="00ED57A4" w:rsidRPr="00001D40" w:rsidP="00001D40" w14:paraId="0D75D3D3" w14:textId="5FC65F0D">
      <w:pPr>
        <w:spacing w:line="276" w:lineRule="auto"/>
        <w:rPr>
          <w:rStyle w:val="normaltextrun"/>
          <w:rFonts w:cstheme="minorHAnsi"/>
          <w:color w:val="000000"/>
          <w:bdr w:val="none" w:sz="0" w:space="0" w:color="auto" w:frame="1"/>
        </w:rPr>
      </w:pPr>
      <w:r w:rsidRPr="00001D40">
        <w:rPr>
          <w:rStyle w:val="normaltextrun"/>
          <w:rFonts w:cstheme="minorHAnsi"/>
          <w:color w:val="000000"/>
          <w:bdr w:val="none" w:sz="0" w:space="0" w:color="auto" w:frame="1"/>
        </w:rPr>
        <w:t>Respon</w:t>
      </w:r>
      <w:r w:rsidRPr="00001D40" w:rsidR="003C4C0C">
        <w:rPr>
          <w:rStyle w:val="normaltextrun"/>
          <w:rFonts w:cstheme="minorHAnsi"/>
          <w:color w:val="000000"/>
          <w:bdr w:val="none" w:sz="0" w:space="0" w:color="auto" w:frame="1"/>
        </w:rPr>
        <w:t xml:space="preserve">dents will not receive payments or gifts. </w:t>
      </w:r>
    </w:p>
    <w:p w:rsidR="003C4C0C" w:rsidRPr="00001D40" w:rsidP="00001D40" w14:paraId="2A3812C7" w14:textId="77777777">
      <w:pPr>
        <w:spacing w:line="276" w:lineRule="auto"/>
        <w:rPr>
          <w:rFonts w:cstheme="minorHAnsi"/>
        </w:rPr>
      </w:pPr>
    </w:p>
    <w:p w:rsidR="4C04BBF2" w:rsidRPr="00001D40" w:rsidP="00001D40" w14:paraId="333FE36D" w14:textId="45DEA41F">
      <w:pPr>
        <w:pStyle w:val="ListParagraph"/>
        <w:numPr>
          <w:ilvl w:val="0"/>
          <w:numId w:val="2"/>
        </w:numPr>
        <w:pBdr>
          <w:bottom w:val="single" w:sz="4" w:space="1" w:color="auto"/>
        </w:pBdr>
        <w:spacing w:before="240" w:after="0" w:line="276" w:lineRule="auto"/>
        <w:rPr>
          <w:rFonts w:cstheme="minorHAnsi"/>
          <w:b/>
          <w:bCs/>
        </w:rPr>
      </w:pPr>
      <w:r w:rsidRPr="00001D40">
        <w:rPr>
          <w:rFonts w:cstheme="minorHAnsi"/>
          <w:b/>
          <w:bCs/>
        </w:rPr>
        <w:t>ASSURANCE OF CONFIDENTIALITY</w:t>
      </w:r>
    </w:p>
    <w:p w:rsidR="00E86880" w:rsidRPr="00001D40" w:rsidP="00001D40" w14:paraId="654CE296" w14:textId="4BB2F8DD">
      <w:pPr>
        <w:pBdr>
          <w:bottom w:val="single" w:sz="4" w:space="1" w:color="auto"/>
        </w:pBdr>
        <w:spacing w:before="60" w:line="276" w:lineRule="auto"/>
        <w:rPr>
          <w:rFonts w:cstheme="minorHAnsi"/>
        </w:rPr>
      </w:pPr>
      <w:r w:rsidRPr="00001D40">
        <w:rPr>
          <w:rFonts w:cstheme="minorHAnsi"/>
          <w:i/>
          <w:iCs/>
        </w:rPr>
        <w:t xml:space="preserve">Describe any assurance of confidentiality provided to respondents and the basis for the assurance in statute, regulation, or Agency policy. If the collection requires a </w:t>
      </w:r>
      <w:r w:rsidRPr="00001D40">
        <w:rPr>
          <w:rFonts w:cstheme="minorHAnsi"/>
          <w:i/>
          <w:iCs/>
        </w:rPr>
        <w:t>systems of records notice (SORN)</w:t>
      </w:r>
      <w:r w:rsidRPr="00001D40">
        <w:rPr>
          <w:rFonts w:cstheme="minorHAnsi"/>
          <w:i/>
          <w:iCs/>
        </w:rPr>
        <w:t xml:space="preserve"> or privacy impact assessment (PIA), those should be cited and described here.</w:t>
      </w:r>
    </w:p>
    <w:p w:rsidR="00E86880" w:rsidRPr="00001D40" w:rsidP="00001D40" w14:paraId="519D9392" w14:textId="2C0204B3">
      <w:pPr>
        <w:numPr>
          <w:ilvl w:val="12"/>
          <w:numId w:val="0"/>
        </w:numPr>
        <w:spacing w:line="276" w:lineRule="auto"/>
        <w:rPr>
          <w:rFonts w:cstheme="minorHAnsi"/>
        </w:rPr>
      </w:pPr>
      <w:r w:rsidRPr="00001D40">
        <w:rPr>
          <w:rFonts w:cstheme="minorHAnsi"/>
        </w:rPr>
        <w:t xml:space="preserve">None of the information collected will be treated as confidential.  CAA section 114(c) specifically requires that estimates or measurements of emissions must be treated as non-confidential.  </w:t>
      </w:r>
    </w:p>
    <w:p w:rsidR="009F1E00" w:rsidRPr="00001D40" w:rsidP="00001D40" w14:paraId="3676EBC5" w14:textId="30FC9780">
      <w:pPr>
        <w:pBdr>
          <w:top w:val="single" w:sz="6" w:space="0" w:color="FFFFFF"/>
          <w:left w:val="single" w:sz="6" w:space="0" w:color="FFFFFF"/>
          <w:bottom w:val="single" w:sz="6" w:space="0" w:color="FFFFFF"/>
          <w:right w:val="single" w:sz="6" w:space="0" w:color="FFFFFF"/>
        </w:pBdr>
        <w:spacing w:line="276" w:lineRule="auto"/>
        <w:rPr>
          <w:rFonts w:cstheme="minorHAnsi"/>
          <w:color w:val="000000"/>
        </w:rPr>
      </w:pPr>
    </w:p>
    <w:p w:rsidR="00A233E0" w:rsidRPr="00001D40" w:rsidP="00001D40" w14:paraId="36FBAEFB" w14:textId="77777777">
      <w:pPr>
        <w:pStyle w:val="ListParagraph"/>
        <w:numPr>
          <w:ilvl w:val="0"/>
          <w:numId w:val="2"/>
        </w:numPr>
        <w:pBdr>
          <w:bottom w:val="single" w:sz="4" w:space="1" w:color="auto"/>
        </w:pBdr>
        <w:spacing w:before="240" w:after="0" w:line="276" w:lineRule="auto"/>
        <w:rPr>
          <w:rFonts w:cstheme="minorHAnsi"/>
          <w:b/>
          <w:bCs/>
        </w:rPr>
      </w:pPr>
      <w:bookmarkStart w:id="12" w:name="_Toc156593380"/>
      <w:r w:rsidRPr="00001D40">
        <w:rPr>
          <w:rFonts w:cstheme="minorHAnsi"/>
          <w:b/>
          <w:bCs/>
        </w:rPr>
        <w:t>JUSTIFICATION FOR SENSITIVE QUESTIONS</w:t>
      </w:r>
      <w:bookmarkEnd w:id="12"/>
    </w:p>
    <w:p w:rsidR="00A233E0" w:rsidRPr="00001D40" w:rsidP="00001D40" w14:paraId="6E3B78D8" w14:textId="5C334C1C">
      <w:pPr>
        <w:pBdr>
          <w:bottom w:val="single" w:sz="4" w:space="1" w:color="auto"/>
        </w:pBdr>
        <w:spacing w:before="60" w:line="276" w:lineRule="auto"/>
        <w:rPr>
          <w:rFonts w:cstheme="minorHAnsi"/>
        </w:rPr>
      </w:pPr>
      <w:r w:rsidRPr="00001D4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C0A5C" w:rsidRPr="00001D40" w:rsidP="00001D40" w14:paraId="49D71B04" w14:textId="2ED3DD74">
      <w:pPr>
        <w:numPr>
          <w:ilvl w:val="12"/>
          <w:numId w:val="0"/>
        </w:numPr>
        <w:spacing w:line="276" w:lineRule="auto"/>
        <w:rPr>
          <w:rFonts w:cstheme="minorHAnsi"/>
        </w:rPr>
      </w:pPr>
      <w:r w:rsidRPr="00001D40">
        <w:rPr>
          <w:rFonts w:cstheme="minorHAnsi"/>
        </w:rPr>
        <w:t>This information collection does not ask any questions concerning sexual behavior or attitudes, religious beliefs, or other matters usually considered private.</w:t>
      </w:r>
    </w:p>
    <w:p w:rsidR="009F1E00" w:rsidRPr="00001D40" w:rsidP="00001D40" w14:paraId="77467D05" w14:textId="7EA01012">
      <w:pPr>
        <w:pBdr>
          <w:top w:val="single" w:sz="6" w:space="0" w:color="FFFFFF"/>
          <w:left w:val="single" w:sz="6" w:space="0" w:color="FFFFFF"/>
          <w:bottom w:val="single" w:sz="6" w:space="0" w:color="FFFFFF"/>
          <w:right w:val="single" w:sz="6" w:space="0" w:color="FFFFFF"/>
        </w:pBdr>
        <w:spacing w:line="276" w:lineRule="auto"/>
        <w:rPr>
          <w:rFonts w:cstheme="minorHAnsi"/>
          <w:color w:val="000000"/>
        </w:rPr>
      </w:pPr>
    </w:p>
    <w:p w:rsidR="001172FE" w:rsidRPr="00001D40" w:rsidP="00001D40" w14:paraId="637A8E82" w14:textId="77777777">
      <w:pPr>
        <w:pStyle w:val="ListParagraph"/>
        <w:numPr>
          <w:ilvl w:val="0"/>
          <w:numId w:val="2"/>
        </w:numPr>
        <w:spacing w:before="240" w:after="0" w:line="276" w:lineRule="auto"/>
        <w:rPr>
          <w:rFonts w:cstheme="minorHAnsi"/>
          <w:b/>
          <w:bCs/>
        </w:rPr>
      </w:pPr>
      <w:bookmarkStart w:id="13" w:name="_Toc156593381"/>
      <w:r w:rsidRPr="00001D40">
        <w:rPr>
          <w:rFonts w:cstheme="minorHAnsi"/>
          <w:b/>
          <w:bCs/>
        </w:rPr>
        <w:t>RESPONDENT BURDEN HOURS</w:t>
      </w:r>
      <w:r w:rsidRPr="00001D40" w:rsidR="00DB799B">
        <w:rPr>
          <w:rFonts w:cstheme="minorHAnsi"/>
          <w:b/>
          <w:bCs/>
        </w:rPr>
        <w:t xml:space="preserve"> &amp; LABOR COSTS</w:t>
      </w:r>
      <w:bookmarkStart w:id="14" w:name="_Toc156593382"/>
      <w:bookmarkEnd w:id="13"/>
    </w:p>
    <w:p w:rsidR="00A233E0" w:rsidRPr="00001D40" w:rsidP="00001D40" w14:paraId="71F2FC12" w14:textId="77777777">
      <w:pPr>
        <w:pStyle w:val="ListParagraph"/>
        <w:spacing w:line="276" w:lineRule="auto"/>
        <w:ind w:left="0"/>
        <w:rPr>
          <w:rFonts w:cstheme="minorHAnsi"/>
          <w:i/>
          <w:iCs/>
        </w:rPr>
      </w:pPr>
      <w:r w:rsidRPr="00001D40">
        <w:rPr>
          <w:rFonts w:cstheme="minorHAnsi"/>
          <w:i/>
          <w:iCs/>
        </w:rPr>
        <w:t>Provide estimates of the hour burden of the collection of information. The statement should:</w:t>
      </w:r>
    </w:p>
    <w:p w:rsidR="00A233E0" w:rsidRPr="00001D40" w:rsidP="00001D40" w14:paraId="11BD2D70" w14:textId="77777777">
      <w:pPr>
        <w:pStyle w:val="ListParagraph"/>
        <w:numPr>
          <w:ilvl w:val="0"/>
          <w:numId w:val="1"/>
        </w:numPr>
        <w:spacing w:line="276" w:lineRule="auto"/>
        <w:ind w:left="446"/>
        <w:rPr>
          <w:rFonts w:cstheme="minorHAnsi"/>
          <w:i/>
          <w:iCs/>
        </w:rPr>
      </w:pPr>
      <w:r w:rsidRPr="00001D40">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001D40" w:rsidP="00001D40" w14:paraId="2184CE92" w14:textId="77777777">
      <w:pPr>
        <w:pStyle w:val="ListParagraph"/>
        <w:numPr>
          <w:ilvl w:val="0"/>
          <w:numId w:val="1"/>
        </w:numPr>
        <w:spacing w:line="276" w:lineRule="auto"/>
        <w:ind w:left="450"/>
        <w:rPr>
          <w:rFonts w:cstheme="minorHAnsi"/>
          <w:i/>
          <w:iCs/>
        </w:rPr>
      </w:pPr>
      <w:r w:rsidRPr="00001D40">
        <w:rPr>
          <w:rFonts w:cstheme="minorHAnsi"/>
          <w:i/>
          <w:iCs/>
        </w:rPr>
        <w:t>If this request for approval covers more than one form, provide separate hour burden estimates for each form and the aggregate the hour burdens.</w:t>
      </w:r>
    </w:p>
    <w:p w:rsidR="00A233E0" w:rsidRPr="00001D40" w:rsidP="00001D40" w14:paraId="7EF5894F" w14:textId="5EEBA470">
      <w:pPr>
        <w:pStyle w:val="ListParagraph"/>
        <w:numPr>
          <w:ilvl w:val="0"/>
          <w:numId w:val="1"/>
        </w:numPr>
        <w:pBdr>
          <w:bottom w:val="single" w:sz="4" w:space="1" w:color="auto"/>
        </w:pBdr>
        <w:spacing w:line="276" w:lineRule="auto"/>
        <w:ind w:left="446"/>
        <w:rPr>
          <w:rFonts w:cstheme="minorHAnsi"/>
          <w:i/>
          <w:iCs/>
        </w:rPr>
      </w:pPr>
      <w:r w:rsidRPr="00001D40">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001D40" w:rsidR="001F0834">
        <w:rPr>
          <w:rFonts w:cstheme="minorHAnsi"/>
          <w:i/>
          <w:iCs/>
        </w:rPr>
        <w:t>.</w:t>
      </w:r>
    </w:p>
    <w:p w:rsidR="001172FE" w:rsidRPr="00001D40" w:rsidP="00001D40" w14:paraId="571186E5" w14:textId="0147BC5F">
      <w:pPr>
        <w:spacing w:before="120" w:after="0" w:line="276" w:lineRule="auto"/>
        <w:rPr>
          <w:rFonts w:cstheme="minorHAnsi"/>
          <w:b/>
          <w:bCs/>
        </w:rPr>
      </w:pPr>
      <w:r w:rsidRPr="004D25B1">
        <w:rPr>
          <w:rFonts w:cstheme="minorHAnsi"/>
          <w:b/>
          <w:bCs/>
        </w:rPr>
        <w:t xml:space="preserve">12a. </w:t>
      </w:r>
      <w:r w:rsidRPr="004D25B1" w:rsidR="00557E8F">
        <w:rPr>
          <w:rFonts w:cstheme="minorHAnsi"/>
          <w:b/>
          <w:bCs/>
        </w:rPr>
        <w:t>Respondents/NAICS Codes</w:t>
      </w:r>
      <w:bookmarkStart w:id="15" w:name="_Toc156593383"/>
      <w:bookmarkEnd w:id="14"/>
    </w:p>
    <w:p w:rsidR="0053646F" w:rsidRPr="00001D40" w:rsidP="00001D40" w14:paraId="23E58019" w14:textId="5F7B1361">
      <w:pPr>
        <w:pBdr>
          <w:top w:val="single" w:sz="6" w:space="0" w:color="FFFFFF"/>
          <w:left w:val="single" w:sz="6" w:space="0" w:color="FFFFFF"/>
          <w:bottom w:val="single" w:sz="6" w:space="0" w:color="FFFFFF"/>
          <w:right w:val="single" w:sz="6" w:space="0" w:color="FFFFFF"/>
        </w:pBdr>
        <w:spacing w:before="60" w:line="276" w:lineRule="auto"/>
        <w:rPr>
          <w:rFonts w:cstheme="minorHAnsi"/>
          <w:color w:val="000000"/>
        </w:rPr>
      </w:pPr>
      <w:r w:rsidRPr="00001D40">
        <w:rPr>
          <w:rFonts w:cstheme="minorHAnsi"/>
          <w:color w:val="000000"/>
        </w:rPr>
        <w:t xml:space="preserve">The Acid Rain Program generally applies to fossil fuel-fired combustion sources that serve a generator producing electricity for sale or that did so in 1985. In the North American Industry Classification System, these sources are generally classified as NAICS code 221112 – Fossil Fuel-Fired Electric Power Generation.  </w:t>
      </w:r>
      <w:r w:rsidRPr="00001D40">
        <w:rPr>
          <w:rFonts w:cstheme="minorHAnsi"/>
          <w:color w:val="000000"/>
        </w:rPr>
        <w:t>All of</w:t>
      </w:r>
      <w:r w:rsidRPr="00001D40">
        <w:rPr>
          <w:rFonts w:cstheme="minorHAnsi"/>
          <w:color w:val="000000"/>
        </w:rPr>
        <w:t xml:space="preserve"> these sources are subject to the program’s information collection requirements related to allowance transfers, permits, and emissions monitoring, and a subset of these sources that combust coal are subject to the program’s information collection requirements related to NOX permitting.  </w:t>
      </w:r>
    </w:p>
    <w:p w:rsidR="00BB3410" w:rsidRPr="00001D40" w:rsidP="00001D40" w14:paraId="0DA69975" w14:textId="10BD2D66">
      <w:pPr>
        <w:pBdr>
          <w:top w:val="single" w:sz="6" w:space="0" w:color="FFFFFF"/>
          <w:left w:val="single" w:sz="6" w:space="0" w:color="FFFFFF"/>
          <w:bottom w:val="single" w:sz="6" w:space="0" w:color="FFFFFF"/>
          <w:right w:val="single" w:sz="6" w:space="0" w:color="FFFFFF"/>
        </w:pBdr>
        <w:spacing w:before="60" w:line="276" w:lineRule="auto"/>
        <w:rPr>
          <w:rFonts w:cstheme="minorHAnsi"/>
          <w:color w:val="000000"/>
        </w:rPr>
      </w:pPr>
      <w:r w:rsidRPr="00001D40">
        <w:rPr>
          <w:rFonts w:cstheme="minorHAnsi"/>
          <w:color w:val="000000"/>
        </w:rPr>
        <w:t xml:space="preserve">In addition to affected </w:t>
      </w:r>
      <w:r w:rsidRPr="00001D40" w:rsidR="00505B04">
        <w:rPr>
          <w:rFonts w:cstheme="minorHAnsi"/>
          <w:color w:val="000000"/>
        </w:rPr>
        <w:t>sources</w:t>
      </w:r>
      <w:r w:rsidR="00505B04">
        <w:rPr>
          <w:rFonts w:cstheme="minorHAnsi"/>
          <w:color w:val="000000"/>
        </w:rPr>
        <w:t>,</w:t>
      </w:r>
      <w:r w:rsidRPr="00001D40" w:rsidR="00505B04">
        <w:rPr>
          <w:rFonts w:cstheme="minorHAnsi"/>
          <w:color w:val="000000"/>
        </w:rPr>
        <w:t xml:space="preserve"> any</w:t>
      </w:r>
      <w:r w:rsidRPr="00001D40">
        <w:rPr>
          <w:rFonts w:cstheme="minorHAnsi"/>
          <w:color w:val="000000"/>
        </w:rPr>
        <w:t xml:space="preserve"> other person may engage in voluntary allowance transfer or auction activities under the Acid Rain Program subject to the respective information collection requirements.</w:t>
      </w:r>
    </w:p>
    <w:p w:rsidR="0053646F" w:rsidRPr="00001D40" w:rsidP="00001D40" w14:paraId="7DD4B10B" w14:textId="77777777">
      <w:pPr>
        <w:pBdr>
          <w:top w:val="single" w:sz="6" w:space="0" w:color="FFFFFF"/>
          <w:left w:val="single" w:sz="6" w:space="0" w:color="FFFFFF"/>
          <w:bottom w:val="single" w:sz="6" w:space="0" w:color="FFFFFF"/>
          <w:right w:val="single" w:sz="6" w:space="0" w:color="FFFFFF"/>
        </w:pBdr>
        <w:spacing w:before="60" w:line="276" w:lineRule="auto"/>
        <w:rPr>
          <w:rFonts w:cstheme="minorHAnsi"/>
          <w:color w:val="000000"/>
        </w:rPr>
      </w:pPr>
    </w:p>
    <w:p w:rsidR="00796BAE" w:rsidRPr="00001D40" w:rsidP="00001D40" w14:paraId="42FB97EA" w14:textId="5D59C69D">
      <w:pPr>
        <w:spacing w:before="120" w:after="0" w:line="276" w:lineRule="auto"/>
        <w:rPr>
          <w:rFonts w:cstheme="minorHAnsi"/>
          <w:b/>
          <w:bCs/>
        </w:rPr>
      </w:pPr>
      <w:r w:rsidRPr="00001D40">
        <w:rPr>
          <w:rFonts w:cstheme="minorHAnsi"/>
          <w:b/>
          <w:bCs/>
        </w:rPr>
        <w:t xml:space="preserve">12b. </w:t>
      </w:r>
      <w:r w:rsidRPr="00001D40" w:rsidR="00BB7DA0">
        <w:rPr>
          <w:rFonts w:cstheme="minorHAnsi"/>
          <w:b/>
          <w:bCs/>
        </w:rPr>
        <w:t>Information Requested</w:t>
      </w:r>
      <w:bookmarkStart w:id="16" w:name="_Toc156593384"/>
      <w:bookmarkEnd w:id="15"/>
    </w:p>
    <w:p w:rsidR="00050974" w:rsidP="00050974" w14:paraId="300A3822" w14:textId="77777777">
      <w:pPr>
        <w:pStyle w:val="ListParagraph"/>
        <w:numPr>
          <w:ilvl w:val="0"/>
          <w:numId w:val="40"/>
        </w:numPr>
        <w:spacing w:line="276" w:lineRule="auto"/>
        <w:rPr>
          <w:rFonts w:cstheme="minorHAnsi"/>
        </w:rPr>
      </w:pPr>
      <w:r w:rsidRPr="004A4319">
        <w:rPr>
          <w:rFonts w:cstheme="minorHAnsi"/>
        </w:rPr>
        <w:t xml:space="preserve"> </w:t>
      </w:r>
      <w:r w:rsidRPr="004A4319" w:rsidR="00CF01E1">
        <w:rPr>
          <w:rFonts w:cstheme="minorHAnsi"/>
        </w:rPr>
        <w:t>Allowance Transfers</w:t>
      </w:r>
    </w:p>
    <w:p w:rsidR="00814EB1" w:rsidP="00814EB1" w14:paraId="7F3B15C3" w14:textId="4B1DF2FA">
      <w:pPr>
        <w:pStyle w:val="ListParagraph"/>
        <w:numPr>
          <w:ilvl w:val="1"/>
          <w:numId w:val="40"/>
        </w:numPr>
        <w:spacing w:line="276" w:lineRule="auto"/>
        <w:rPr>
          <w:rFonts w:cstheme="minorHAnsi"/>
        </w:rPr>
      </w:pPr>
      <w:r w:rsidRPr="00050974">
        <w:rPr>
          <w:rFonts w:cstheme="minorHAnsi"/>
          <w:i/>
        </w:rPr>
        <w:t>Information regarding individual transfer transactions</w:t>
      </w:r>
      <w:r w:rsidRPr="00050974">
        <w:rPr>
          <w:rFonts w:cstheme="minorHAnsi"/>
        </w:rPr>
        <w:t xml:space="preserve">. All participants </w:t>
      </w:r>
      <w:r w:rsidR="007228F0">
        <w:rPr>
          <w:rFonts w:cstheme="minorHAnsi"/>
        </w:rPr>
        <w:t>submitting</w:t>
      </w:r>
      <w:r w:rsidRPr="00050974">
        <w:rPr>
          <w:rFonts w:cstheme="minorHAnsi"/>
        </w:rPr>
        <w:t xml:space="preserve"> allowance transfers are required to provide the following information for each allowance transfer</w:t>
      </w:r>
      <w:r w:rsidR="007228F0">
        <w:rPr>
          <w:rFonts w:cstheme="minorHAnsi"/>
        </w:rPr>
        <w:t xml:space="preserve"> </w:t>
      </w:r>
      <w:r w:rsidR="00AE7917">
        <w:rPr>
          <w:rFonts w:cstheme="minorHAnsi"/>
        </w:rPr>
        <w:t xml:space="preserve">through the </w:t>
      </w:r>
      <w:r w:rsidR="00B36C86">
        <w:rPr>
          <w:rFonts w:cstheme="minorHAnsi"/>
        </w:rPr>
        <w:t>allowance tracking system or by paper form</w:t>
      </w:r>
      <w:r w:rsidRPr="00050974">
        <w:rPr>
          <w:rFonts w:cstheme="minorHAnsi"/>
        </w:rPr>
        <w:t>:</w:t>
      </w:r>
    </w:p>
    <w:p w:rsidR="00814EB1" w:rsidP="00814EB1" w14:paraId="3FB57E69" w14:textId="77777777">
      <w:pPr>
        <w:pStyle w:val="ListParagraph"/>
        <w:numPr>
          <w:ilvl w:val="2"/>
          <w:numId w:val="40"/>
        </w:numPr>
        <w:spacing w:line="276" w:lineRule="auto"/>
        <w:rPr>
          <w:rFonts w:cstheme="minorHAnsi"/>
        </w:rPr>
      </w:pPr>
      <w:r w:rsidRPr="00814EB1">
        <w:rPr>
          <w:rFonts w:cstheme="minorHAnsi"/>
        </w:rPr>
        <w:t xml:space="preserve">Allowance tracking system account </w:t>
      </w:r>
      <w:r w:rsidRPr="00814EB1">
        <w:rPr>
          <w:rFonts w:cstheme="minorHAnsi"/>
        </w:rPr>
        <w:t>number;</w:t>
      </w:r>
    </w:p>
    <w:p w:rsidR="00814EB1" w:rsidP="00814EB1" w14:paraId="07E252CA" w14:textId="77777777">
      <w:pPr>
        <w:pStyle w:val="ListParagraph"/>
        <w:numPr>
          <w:ilvl w:val="2"/>
          <w:numId w:val="40"/>
        </w:numPr>
        <w:spacing w:line="276" w:lineRule="auto"/>
        <w:rPr>
          <w:rFonts w:cstheme="minorHAnsi"/>
        </w:rPr>
      </w:pPr>
      <w:r w:rsidRPr="00814EB1">
        <w:rPr>
          <w:rFonts w:cstheme="minorHAnsi"/>
        </w:rPr>
        <w:t>Name, phone number, and facsimile number of the authorized account representative, along with the representative's signature and date of submission; and</w:t>
      </w:r>
    </w:p>
    <w:p w:rsidR="00814EB1" w:rsidP="00814EB1" w14:paraId="76CE46B8" w14:textId="77777777">
      <w:pPr>
        <w:pStyle w:val="ListParagraph"/>
        <w:numPr>
          <w:ilvl w:val="2"/>
          <w:numId w:val="40"/>
        </w:numPr>
        <w:spacing w:line="276" w:lineRule="auto"/>
        <w:rPr>
          <w:rFonts w:cstheme="minorHAnsi"/>
        </w:rPr>
      </w:pPr>
      <w:r w:rsidRPr="00814EB1">
        <w:rPr>
          <w:rFonts w:cstheme="minorHAnsi"/>
        </w:rPr>
        <w:t>Serial numbers of allowances to be transferred.</w:t>
      </w:r>
    </w:p>
    <w:p w:rsidR="00374D98" w:rsidP="00374D98" w14:paraId="60450AD6" w14:textId="742E2110">
      <w:pPr>
        <w:pStyle w:val="ListParagraph"/>
        <w:numPr>
          <w:ilvl w:val="1"/>
          <w:numId w:val="40"/>
        </w:numPr>
        <w:spacing w:line="276" w:lineRule="auto"/>
        <w:rPr>
          <w:rFonts w:cstheme="minorHAnsi"/>
        </w:rPr>
      </w:pPr>
      <w:r w:rsidRPr="00814EB1">
        <w:rPr>
          <w:rFonts w:cstheme="minorHAnsi"/>
          <w:i/>
        </w:rPr>
        <w:t>Optional identification of specific allowances for deduction</w:t>
      </w:r>
      <w:r w:rsidRPr="00814EB1">
        <w:rPr>
          <w:rFonts w:cstheme="minorHAnsi"/>
        </w:rPr>
        <w:t xml:space="preserve">. In addition, if the designated representative chooses to identify the specific </w:t>
      </w:r>
      <w:r w:rsidRPr="00814EB1">
        <w:rPr>
          <w:rFonts w:cstheme="minorHAnsi"/>
        </w:rPr>
        <w:t>serially-numbered</w:t>
      </w:r>
      <w:r w:rsidRPr="00814EB1">
        <w:rPr>
          <w:rFonts w:cstheme="minorHAnsi"/>
        </w:rPr>
        <w:t xml:space="preserve"> allowances to be deducted from the unit's allowance tracking system account for annual reconciliation, then the following information is required</w:t>
      </w:r>
      <w:r w:rsidR="00B36C86">
        <w:rPr>
          <w:rFonts w:cstheme="minorHAnsi"/>
        </w:rPr>
        <w:t>:</w:t>
      </w:r>
    </w:p>
    <w:p w:rsidR="00374D98" w:rsidP="00374D98" w14:paraId="2AD4F745" w14:textId="77777777">
      <w:pPr>
        <w:pStyle w:val="ListParagraph"/>
        <w:numPr>
          <w:ilvl w:val="2"/>
          <w:numId w:val="40"/>
        </w:numPr>
        <w:spacing w:line="276" w:lineRule="auto"/>
        <w:rPr>
          <w:rFonts w:cstheme="minorHAnsi"/>
        </w:rPr>
      </w:pPr>
      <w:r w:rsidRPr="00374D98">
        <w:rPr>
          <w:rFonts w:cstheme="minorHAnsi"/>
        </w:rPr>
        <w:t xml:space="preserve">Allowance tracking system account </w:t>
      </w:r>
      <w:r w:rsidRPr="00374D98">
        <w:rPr>
          <w:rFonts w:cstheme="minorHAnsi"/>
        </w:rPr>
        <w:t>number;</w:t>
      </w:r>
    </w:p>
    <w:p w:rsidR="00374D98" w:rsidP="00374D98" w14:paraId="5536C183" w14:textId="77777777">
      <w:pPr>
        <w:pStyle w:val="ListParagraph"/>
        <w:numPr>
          <w:ilvl w:val="2"/>
          <w:numId w:val="40"/>
        </w:numPr>
        <w:spacing w:line="276" w:lineRule="auto"/>
        <w:rPr>
          <w:rFonts w:cstheme="minorHAnsi"/>
        </w:rPr>
      </w:pPr>
      <w:r w:rsidRPr="00374D98">
        <w:rPr>
          <w:rFonts w:cstheme="minorHAnsi"/>
        </w:rPr>
        <w:t xml:space="preserve">Type of </w:t>
      </w:r>
      <w:r w:rsidRPr="00374D98">
        <w:rPr>
          <w:rFonts w:cstheme="minorHAnsi"/>
        </w:rPr>
        <w:t>deduction;</w:t>
      </w:r>
    </w:p>
    <w:p w:rsidR="00374D98" w:rsidP="00374D98" w14:paraId="29A27220" w14:textId="77777777">
      <w:pPr>
        <w:pStyle w:val="ListParagraph"/>
        <w:numPr>
          <w:ilvl w:val="2"/>
          <w:numId w:val="40"/>
        </w:numPr>
        <w:spacing w:line="276" w:lineRule="auto"/>
        <w:rPr>
          <w:rFonts w:cstheme="minorHAnsi"/>
        </w:rPr>
      </w:pPr>
      <w:r w:rsidRPr="00374D98">
        <w:rPr>
          <w:rFonts w:cstheme="minorHAnsi"/>
        </w:rPr>
        <w:t>Serial numbers of the allowance blocks to be deducted; and</w:t>
      </w:r>
    </w:p>
    <w:p w:rsidR="00374D98" w:rsidP="00374D98" w14:paraId="770E283A" w14:textId="77777777">
      <w:pPr>
        <w:pStyle w:val="ListParagraph"/>
        <w:numPr>
          <w:ilvl w:val="2"/>
          <w:numId w:val="40"/>
        </w:numPr>
        <w:spacing w:line="276" w:lineRule="auto"/>
        <w:rPr>
          <w:rFonts w:cstheme="minorHAnsi"/>
        </w:rPr>
      </w:pPr>
      <w:r w:rsidRPr="00374D98">
        <w:rPr>
          <w:rFonts w:cstheme="minorHAnsi"/>
        </w:rPr>
        <w:t>Dated signature of the designated representative.</w:t>
      </w:r>
    </w:p>
    <w:p w:rsidR="00374D98" w:rsidP="00374D98" w14:paraId="79CE6AEC" w14:textId="77777777">
      <w:pPr>
        <w:pStyle w:val="ListParagraph"/>
        <w:numPr>
          <w:ilvl w:val="1"/>
          <w:numId w:val="40"/>
        </w:numPr>
        <w:spacing w:line="276" w:lineRule="auto"/>
        <w:rPr>
          <w:rFonts w:cstheme="minorHAnsi"/>
        </w:rPr>
      </w:pPr>
      <w:r w:rsidRPr="00374D98">
        <w:rPr>
          <w:rFonts w:cstheme="minorHAnsi"/>
          <w:i/>
        </w:rPr>
        <w:t>Notification for distribution of auction proceeds</w:t>
      </w:r>
      <w:r w:rsidRPr="00374D98">
        <w:rPr>
          <w:rFonts w:cstheme="minorHAnsi"/>
        </w:rPr>
        <w:t>. The proceeds from the annual auctions of allowances are generally distributed among affected sources via electronic funds transfer or direct deposit. The sources must notify EPA of information needed to complete the distributions. The following information is required:</w:t>
      </w:r>
    </w:p>
    <w:p w:rsidR="00374D98" w:rsidP="00374D98" w14:paraId="290554B9" w14:textId="77777777">
      <w:pPr>
        <w:pStyle w:val="ListParagraph"/>
        <w:numPr>
          <w:ilvl w:val="2"/>
          <w:numId w:val="40"/>
        </w:numPr>
        <w:spacing w:line="276" w:lineRule="auto"/>
        <w:rPr>
          <w:rFonts w:cstheme="minorHAnsi"/>
        </w:rPr>
      </w:pPr>
      <w:r w:rsidRPr="00374D98">
        <w:rPr>
          <w:rFonts w:cstheme="minorHAnsi"/>
        </w:rPr>
        <w:t xml:space="preserve">Authorized Account Representative (AAR) </w:t>
      </w:r>
      <w:r w:rsidRPr="00374D98">
        <w:rPr>
          <w:rFonts w:cstheme="minorHAnsi"/>
        </w:rPr>
        <w:t>Identification;</w:t>
      </w:r>
    </w:p>
    <w:p w:rsidR="00374D98" w:rsidP="00374D98" w14:paraId="223042BC" w14:textId="77777777">
      <w:pPr>
        <w:pStyle w:val="ListParagraph"/>
        <w:numPr>
          <w:ilvl w:val="2"/>
          <w:numId w:val="40"/>
        </w:numPr>
        <w:spacing w:line="276" w:lineRule="auto"/>
        <w:rPr>
          <w:rFonts w:cstheme="minorHAnsi"/>
        </w:rPr>
      </w:pPr>
      <w:r w:rsidRPr="00374D98">
        <w:rPr>
          <w:rFonts w:cstheme="minorHAnsi"/>
        </w:rPr>
        <w:t xml:space="preserve">Name of the company receiving the </w:t>
      </w:r>
      <w:r w:rsidRPr="00374D98">
        <w:rPr>
          <w:rFonts w:cstheme="minorHAnsi"/>
        </w:rPr>
        <w:t>payment;</w:t>
      </w:r>
    </w:p>
    <w:p w:rsidR="00374D98" w:rsidP="00374D98" w14:paraId="1FB682F1" w14:textId="77777777">
      <w:pPr>
        <w:pStyle w:val="ListParagraph"/>
        <w:numPr>
          <w:ilvl w:val="2"/>
          <w:numId w:val="40"/>
        </w:numPr>
        <w:spacing w:line="276" w:lineRule="auto"/>
        <w:rPr>
          <w:rFonts w:cstheme="minorHAnsi"/>
        </w:rPr>
      </w:pPr>
      <w:r w:rsidRPr="00374D98">
        <w:rPr>
          <w:rFonts w:cstheme="minorHAnsi"/>
        </w:rPr>
        <w:t xml:space="preserve">The company's taxpayer identification </w:t>
      </w:r>
      <w:r w:rsidRPr="00374D98">
        <w:rPr>
          <w:rFonts w:cstheme="minorHAnsi"/>
        </w:rPr>
        <w:t>number;</w:t>
      </w:r>
    </w:p>
    <w:p w:rsidR="00374D98" w:rsidP="00374D98" w14:paraId="434A7B90" w14:textId="77777777">
      <w:pPr>
        <w:pStyle w:val="ListParagraph"/>
        <w:numPr>
          <w:ilvl w:val="2"/>
          <w:numId w:val="40"/>
        </w:numPr>
        <w:spacing w:line="276" w:lineRule="auto"/>
        <w:rPr>
          <w:rFonts w:cstheme="minorHAnsi"/>
        </w:rPr>
      </w:pPr>
      <w:r w:rsidRPr="00374D98">
        <w:rPr>
          <w:rFonts w:cstheme="minorHAnsi"/>
        </w:rPr>
        <w:t xml:space="preserve">Bank account </w:t>
      </w:r>
      <w:r w:rsidRPr="00374D98">
        <w:rPr>
          <w:rFonts w:cstheme="minorHAnsi"/>
        </w:rPr>
        <w:t>information;</w:t>
      </w:r>
    </w:p>
    <w:p w:rsidR="00374D98" w:rsidP="00374D98" w14:paraId="43AEAA86" w14:textId="77777777">
      <w:pPr>
        <w:pStyle w:val="ListParagraph"/>
        <w:numPr>
          <w:ilvl w:val="2"/>
          <w:numId w:val="40"/>
        </w:numPr>
        <w:spacing w:line="276" w:lineRule="auto"/>
        <w:rPr>
          <w:rFonts w:cstheme="minorHAnsi"/>
        </w:rPr>
      </w:pPr>
      <w:r w:rsidRPr="00374D98">
        <w:rPr>
          <w:rFonts w:cstheme="minorHAnsi"/>
        </w:rPr>
        <w:t>Plant name and plant code; and</w:t>
      </w:r>
    </w:p>
    <w:p w:rsidR="00374D98" w:rsidP="00374D98" w14:paraId="28BCF861" w14:textId="77777777">
      <w:pPr>
        <w:pStyle w:val="ListParagraph"/>
        <w:numPr>
          <w:ilvl w:val="2"/>
          <w:numId w:val="40"/>
        </w:numPr>
        <w:spacing w:line="276" w:lineRule="auto"/>
        <w:rPr>
          <w:rFonts w:cstheme="minorHAnsi"/>
        </w:rPr>
      </w:pPr>
      <w:r w:rsidRPr="00374D98">
        <w:rPr>
          <w:rFonts w:cstheme="minorHAnsi"/>
        </w:rPr>
        <w:t>Signature of AAR.</w:t>
      </w:r>
    </w:p>
    <w:p w:rsidR="00374D98" w:rsidP="00374D98" w14:paraId="7407A93B" w14:textId="77777777">
      <w:pPr>
        <w:pStyle w:val="ListParagraph"/>
        <w:numPr>
          <w:ilvl w:val="1"/>
          <w:numId w:val="40"/>
        </w:numPr>
        <w:spacing w:line="276" w:lineRule="auto"/>
        <w:rPr>
          <w:rFonts w:cstheme="minorHAnsi"/>
        </w:rPr>
      </w:pPr>
      <w:r w:rsidRPr="00374D98">
        <w:rPr>
          <w:rFonts w:cstheme="minorHAnsi"/>
          <w:i/>
        </w:rPr>
        <w:t>Applic</w:t>
      </w:r>
      <w:r w:rsidRPr="00374D98" w:rsidR="00796BAE">
        <w:rPr>
          <w:rFonts w:cstheme="minorHAnsi"/>
          <w:i/>
        </w:rPr>
        <w:t>a</w:t>
      </w:r>
      <w:r w:rsidRPr="00374D98">
        <w:rPr>
          <w:rFonts w:cstheme="minorHAnsi"/>
          <w:i/>
        </w:rPr>
        <w:t>tion for general account in allowance tracking system</w:t>
      </w:r>
      <w:r w:rsidRPr="00374D98">
        <w:rPr>
          <w:rFonts w:cstheme="minorHAnsi"/>
        </w:rPr>
        <w:t>. An entity other than an affected source that desires to trade allowances is required to submit a completed general account information application or provide the following information to obtain an allowance tracking system account number, prior to or simultaneous with the first transfer:</w:t>
      </w:r>
    </w:p>
    <w:p w:rsidR="00374D98" w:rsidP="00374D98" w14:paraId="550514E8" w14:textId="77777777">
      <w:pPr>
        <w:pStyle w:val="ListParagraph"/>
        <w:numPr>
          <w:ilvl w:val="2"/>
          <w:numId w:val="40"/>
        </w:numPr>
        <w:spacing w:line="276" w:lineRule="auto"/>
        <w:rPr>
          <w:rFonts w:cstheme="minorHAnsi"/>
        </w:rPr>
      </w:pPr>
      <w:r w:rsidRPr="00374D98">
        <w:rPr>
          <w:rFonts w:cstheme="minorHAnsi"/>
        </w:rPr>
        <w:t>Organization or company name (if applicable</w:t>
      </w:r>
      <w:r w:rsidRPr="00374D98">
        <w:rPr>
          <w:rFonts w:cstheme="minorHAnsi"/>
        </w:rPr>
        <w:t>);</w:t>
      </w:r>
      <w:r w:rsidRPr="00374D98">
        <w:rPr>
          <w:rFonts w:cstheme="minorHAnsi"/>
        </w:rPr>
        <w:t xml:space="preserve"> </w:t>
      </w:r>
    </w:p>
    <w:p w:rsidR="00374D98" w:rsidP="00374D98" w14:paraId="08C1D4E1" w14:textId="77777777">
      <w:pPr>
        <w:pStyle w:val="ListParagraph"/>
        <w:numPr>
          <w:ilvl w:val="2"/>
          <w:numId w:val="40"/>
        </w:numPr>
        <w:spacing w:line="276" w:lineRule="auto"/>
        <w:rPr>
          <w:rFonts w:cstheme="minorHAnsi"/>
        </w:rPr>
      </w:pPr>
      <w:r w:rsidRPr="00374D98">
        <w:rPr>
          <w:rFonts w:cstheme="minorHAnsi"/>
        </w:rPr>
        <w:t xml:space="preserve">Name, mailing address, phone number, and email address of the authorized account </w:t>
      </w:r>
      <w:r w:rsidRPr="00374D98" w:rsidR="00796BAE">
        <w:rPr>
          <w:rFonts w:cstheme="minorHAnsi"/>
        </w:rPr>
        <w:t>r</w:t>
      </w:r>
      <w:r w:rsidRPr="00374D98">
        <w:rPr>
          <w:rFonts w:cstheme="minorHAnsi"/>
        </w:rPr>
        <w:t>epresentative;</w:t>
      </w:r>
    </w:p>
    <w:p w:rsidR="00A227E7" w:rsidP="00A227E7" w14:paraId="623D9897" w14:textId="77777777">
      <w:pPr>
        <w:pStyle w:val="ListParagraph"/>
        <w:numPr>
          <w:ilvl w:val="2"/>
          <w:numId w:val="40"/>
        </w:numPr>
        <w:spacing w:line="276" w:lineRule="auto"/>
        <w:rPr>
          <w:rFonts w:cstheme="minorHAnsi"/>
        </w:rPr>
      </w:pPr>
      <w:r>
        <w:rPr>
          <w:rFonts w:cstheme="minorHAnsi"/>
        </w:rPr>
        <w:t>N</w:t>
      </w:r>
      <w:r w:rsidRPr="00374D98" w:rsidR="00CF01E1">
        <w:rPr>
          <w:rFonts w:cstheme="minorHAnsi"/>
        </w:rPr>
        <w:t>ame of the alternate authorized account representative (optional</w:t>
      </w:r>
      <w:r w:rsidRPr="00374D98" w:rsidR="00CF01E1">
        <w:rPr>
          <w:rFonts w:cstheme="minorHAnsi"/>
        </w:rPr>
        <w:t>);</w:t>
      </w:r>
      <w:r w:rsidRPr="00374D98" w:rsidR="00CF01E1">
        <w:rPr>
          <w:rFonts w:cstheme="minorHAnsi"/>
        </w:rPr>
        <w:t xml:space="preserve"> </w:t>
      </w:r>
    </w:p>
    <w:p w:rsidR="00A227E7" w:rsidP="00A227E7" w14:paraId="17CBBB52" w14:textId="77777777">
      <w:pPr>
        <w:pStyle w:val="ListParagraph"/>
        <w:numPr>
          <w:ilvl w:val="2"/>
          <w:numId w:val="40"/>
        </w:numPr>
        <w:spacing w:line="276" w:lineRule="auto"/>
        <w:rPr>
          <w:rFonts w:cstheme="minorHAnsi"/>
        </w:rPr>
      </w:pPr>
      <w:r w:rsidRPr="00A227E7">
        <w:rPr>
          <w:rFonts w:cstheme="minorHAnsi"/>
        </w:rPr>
        <w:t>A list of all persons subject to a binding agreement for the authorized account representative to represent their ownership interests with respect to the allowances held in the account; and</w:t>
      </w:r>
    </w:p>
    <w:p w:rsidR="00CF01E1" w:rsidRPr="00A227E7" w:rsidP="00A227E7" w14:paraId="0C136E72" w14:textId="5CF756D9">
      <w:pPr>
        <w:pStyle w:val="ListParagraph"/>
        <w:numPr>
          <w:ilvl w:val="2"/>
          <w:numId w:val="40"/>
        </w:numPr>
        <w:spacing w:line="276" w:lineRule="auto"/>
        <w:rPr>
          <w:rFonts w:cstheme="minorHAnsi"/>
        </w:rPr>
      </w:pPr>
      <w:r w:rsidRPr="00A227E7">
        <w:rPr>
          <w:rFonts w:cstheme="minorHAnsi"/>
        </w:rPr>
        <w:t>Certification statement and the signatures and date for the authorized account representative, and alternate authorized account representative, if any.</w:t>
      </w:r>
    </w:p>
    <w:p w:rsidR="00796BAE" w:rsidRPr="00001D40" w:rsidP="00001D40" w14:paraId="5838B618" w14:textId="77777777">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0"/>
        <w:jc w:val="left"/>
        <w:rPr>
          <w:rFonts w:asciiTheme="minorHAnsi" w:hAnsiTheme="minorHAnsi" w:cstheme="minorHAnsi"/>
          <w:sz w:val="22"/>
          <w:szCs w:val="22"/>
        </w:rPr>
      </w:pPr>
    </w:p>
    <w:p w:rsidR="0076316F" w:rsidP="0076316F" w14:paraId="6D471D5A" w14:textId="77777777">
      <w:pPr>
        <w:pStyle w:val="ListParagraph"/>
        <w:numPr>
          <w:ilvl w:val="0"/>
          <w:numId w:val="40"/>
        </w:numPr>
        <w:spacing w:line="276" w:lineRule="auto"/>
        <w:rPr>
          <w:rFonts w:cstheme="minorHAnsi"/>
        </w:rPr>
      </w:pPr>
      <w:r>
        <w:rPr>
          <w:rFonts w:cstheme="minorHAnsi"/>
        </w:rPr>
        <w:t xml:space="preserve">Permits </w:t>
      </w:r>
    </w:p>
    <w:p w:rsidR="00694F50" w:rsidP="00694F50" w14:paraId="78684E13" w14:textId="77777777">
      <w:pPr>
        <w:pStyle w:val="ListParagraph"/>
        <w:numPr>
          <w:ilvl w:val="1"/>
          <w:numId w:val="40"/>
        </w:numPr>
        <w:spacing w:line="276" w:lineRule="auto"/>
        <w:rPr>
          <w:rFonts w:cstheme="minorHAnsi"/>
        </w:rPr>
      </w:pPr>
      <w:r w:rsidRPr="0076316F">
        <w:rPr>
          <w:rFonts w:cstheme="minorHAnsi"/>
        </w:rPr>
        <w:t xml:space="preserve">Every affected source is required to submit and, when necessary, update a certificate of representation identifying a designated representative authorized to act on behalf of the source’s owners and operators. Every affected source is also required to have an Acid Rain permit. Acid Rain permits have five-year permit terms. The permitting authority's operating permits rule governs the issuance of permits to new units and for renewal of existing Acid Rain permits.  </w:t>
      </w:r>
    </w:p>
    <w:p w:rsidR="00694F50" w:rsidP="00694F50" w14:paraId="31D25A47" w14:textId="77777777">
      <w:pPr>
        <w:pStyle w:val="ListParagraph"/>
        <w:numPr>
          <w:ilvl w:val="1"/>
          <w:numId w:val="40"/>
        </w:numPr>
        <w:spacing w:line="276" w:lineRule="auto"/>
        <w:rPr>
          <w:rFonts w:cstheme="minorHAnsi"/>
        </w:rPr>
      </w:pPr>
      <w:r w:rsidRPr="00694F50">
        <w:rPr>
          <w:rFonts w:cstheme="minorHAnsi"/>
          <w:i/>
        </w:rPr>
        <w:t>Certificate of Representation</w:t>
      </w:r>
      <w:r w:rsidRPr="00694F50">
        <w:rPr>
          <w:rFonts w:cstheme="minorHAnsi"/>
        </w:rPr>
        <w:t>. Affected sources are assigned an allowance tracking system number and appoint a designated representative by submitting a certificate of representation. The data items requested for the certificate of representation are as follows:</w:t>
      </w:r>
    </w:p>
    <w:p w:rsidR="00694F50" w:rsidP="00694F50" w14:paraId="1844BB55" w14:textId="77777777">
      <w:pPr>
        <w:pStyle w:val="ListParagraph"/>
        <w:numPr>
          <w:ilvl w:val="2"/>
          <w:numId w:val="40"/>
        </w:numPr>
        <w:spacing w:line="276" w:lineRule="auto"/>
        <w:rPr>
          <w:rFonts w:cstheme="minorHAnsi"/>
        </w:rPr>
      </w:pPr>
      <w:r w:rsidRPr="00694F50">
        <w:rPr>
          <w:rFonts w:cstheme="minorHAnsi"/>
        </w:rPr>
        <w:t xml:space="preserve">Source </w:t>
      </w:r>
      <w:r w:rsidRPr="00694F50">
        <w:rPr>
          <w:rFonts w:cstheme="minorHAnsi"/>
        </w:rPr>
        <w:t>identification;</w:t>
      </w:r>
    </w:p>
    <w:p w:rsidR="00694F50" w:rsidP="00694F50" w14:paraId="63CC2D0B" w14:textId="77777777">
      <w:pPr>
        <w:pStyle w:val="ListParagraph"/>
        <w:numPr>
          <w:ilvl w:val="2"/>
          <w:numId w:val="40"/>
        </w:numPr>
        <w:spacing w:line="276" w:lineRule="auto"/>
        <w:rPr>
          <w:rFonts w:cstheme="minorHAnsi"/>
        </w:rPr>
      </w:pPr>
      <w:r w:rsidRPr="00694F50">
        <w:rPr>
          <w:rFonts w:cstheme="minorHAnsi"/>
        </w:rPr>
        <w:t xml:space="preserve">Unit identification, </w:t>
      </w:r>
      <w:r w:rsidRPr="00694F50">
        <w:rPr>
          <w:rFonts w:cstheme="minorHAnsi"/>
        </w:rPr>
        <w:t>including;</w:t>
      </w:r>
      <w:r w:rsidRPr="00694F50">
        <w:rPr>
          <w:rFonts w:cstheme="minorHAnsi"/>
        </w:rPr>
        <w:t xml:space="preserve"> </w:t>
      </w:r>
    </w:p>
    <w:p w:rsidR="00694F50" w:rsidP="00694F50" w14:paraId="7F0F968B" w14:textId="77777777">
      <w:pPr>
        <w:pStyle w:val="ListParagraph"/>
        <w:numPr>
          <w:ilvl w:val="2"/>
          <w:numId w:val="40"/>
        </w:numPr>
        <w:spacing w:line="276" w:lineRule="auto"/>
        <w:rPr>
          <w:rFonts w:cstheme="minorHAnsi"/>
        </w:rPr>
      </w:pPr>
      <w:r w:rsidRPr="00694F50">
        <w:rPr>
          <w:rFonts w:cstheme="minorHAnsi"/>
        </w:rPr>
        <w:t xml:space="preserve">Unit type and </w:t>
      </w:r>
      <w:r w:rsidRPr="00694F50">
        <w:rPr>
          <w:rFonts w:cstheme="minorHAnsi"/>
        </w:rPr>
        <w:t>category;</w:t>
      </w:r>
    </w:p>
    <w:p w:rsidR="00694F50" w:rsidP="00694F50" w14:paraId="206504D7" w14:textId="77777777">
      <w:pPr>
        <w:pStyle w:val="ListParagraph"/>
        <w:numPr>
          <w:ilvl w:val="2"/>
          <w:numId w:val="40"/>
        </w:numPr>
        <w:spacing w:line="276" w:lineRule="auto"/>
        <w:rPr>
          <w:rFonts w:cstheme="minorHAnsi"/>
        </w:rPr>
      </w:pPr>
      <w:r w:rsidRPr="00694F50">
        <w:rPr>
          <w:rFonts w:cstheme="minorHAnsi"/>
        </w:rPr>
        <w:t xml:space="preserve">Date of commencement of commercial </w:t>
      </w:r>
      <w:r w:rsidRPr="00694F50">
        <w:rPr>
          <w:rFonts w:cstheme="minorHAnsi"/>
        </w:rPr>
        <w:t>operation;</w:t>
      </w:r>
    </w:p>
    <w:p w:rsidR="00694F50" w:rsidP="00694F50" w14:paraId="077F08A5" w14:textId="77777777">
      <w:pPr>
        <w:pStyle w:val="ListParagraph"/>
        <w:numPr>
          <w:ilvl w:val="2"/>
          <w:numId w:val="40"/>
        </w:numPr>
        <w:spacing w:line="276" w:lineRule="auto"/>
        <w:rPr>
          <w:rFonts w:cstheme="minorHAnsi"/>
        </w:rPr>
      </w:pPr>
      <w:r w:rsidRPr="00694F50">
        <w:rPr>
          <w:rFonts w:cstheme="minorHAnsi"/>
        </w:rPr>
        <w:t xml:space="preserve">Generator IDs of generators served by </w:t>
      </w:r>
      <w:r w:rsidRPr="00694F50">
        <w:rPr>
          <w:rFonts w:cstheme="minorHAnsi"/>
        </w:rPr>
        <w:t>unit;</w:t>
      </w:r>
    </w:p>
    <w:p w:rsidR="00694F50" w:rsidP="00694F50" w14:paraId="068E3127" w14:textId="77777777">
      <w:pPr>
        <w:pStyle w:val="ListParagraph"/>
        <w:numPr>
          <w:ilvl w:val="2"/>
          <w:numId w:val="40"/>
        </w:numPr>
        <w:spacing w:line="276" w:lineRule="auto"/>
        <w:rPr>
          <w:rFonts w:cstheme="minorHAnsi"/>
        </w:rPr>
      </w:pPr>
      <w:r w:rsidRPr="00694F50">
        <w:rPr>
          <w:rFonts w:cstheme="minorHAnsi"/>
        </w:rPr>
        <w:t xml:space="preserve">Nameplate capacity(s) of the generators served by the </w:t>
      </w:r>
      <w:r w:rsidRPr="00694F50">
        <w:rPr>
          <w:rFonts w:cstheme="minorHAnsi"/>
        </w:rPr>
        <w:t>unit;</w:t>
      </w:r>
    </w:p>
    <w:p w:rsidR="00694F50" w:rsidP="00694F50" w14:paraId="665FC96B" w14:textId="77777777">
      <w:pPr>
        <w:pStyle w:val="ListParagraph"/>
        <w:numPr>
          <w:ilvl w:val="2"/>
          <w:numId w:val="40"/>
        </w:numPr>
        <w:spacing w:line="276" w:lineRule="auto"/>
        <w:rPr>
          <w:rFonts w:cstheme="minorHAnsi"/>
        </w:rPr>
      </w:pPr>
      <w:r w:rsidRPr="00694F50">
        <w:rPr>
          <w:rFonts w:cstheme="minorHAnsi"/>
        </w:rPr>
        <w:t>List of applicable programs that the unit is subject to; and</w:t>
      </w:r>
    </w:p>
    <w:p w:rsidR="00694F50" w:rsidP="00694F50" w14:paraId="2758D645" w14:textId="77777777">
      <w:pPr>
        <w:pStyle w:val="ListParagraph"/>
        <w:numPr>
          <w:ilvl w:val="2"/>
          <w:numId w:val="40"/>
        </w:numPr>
        <w:spacing w:line="276" w:lineRule="auto"/>
        <w:rPr>
          <w:rFonts w:cstheme="minorHAnsi"/>
        </w:rPr>
      </w:pPr>
      <w:r w:rsidRPr="00694F50">
        <w:rPr>
          <w:rFonts w:cstheme="minorHAnsi"/>
        </w:rPr>
        <w:t>NAICS Code.</w:t>
      </w:r>
    </w:p>
    <w:p w:rsidR="00694F50" w:rsidP="00694F50" w14:paraId="3FA9A3CC" w14:textId="77777777">
      <w:pPr>
        <w:pStyle w:val="ListParagraph"/>
        <w:numPr>
          <w:ilvl w:val="2"/>
          <w:numId w:val="40"/>
        </w:numPr>
        <w:spacing w:line="276" w:lineRule="auto"/>
        <w:rPr>
          <w:rFonts w:cstheme="minorHAnsi"/>
        </w:rPr>
      </w:pPr>
      <w:r w:rsidRPr="00694F50">
        <w:rPr>
          <w:rFonts w:cstheme="minorHAnsi"/>
        </w:rPr>
        <w:t xml:space="preserve">Name, address, email, telephone and facsimile number of the designated </w:t>
      </w:r>
      <w:r w:rsidRPr="00694F50">
        <w:rPr>
          <w:rFonts w:cstheme="minorHAnsi"/>
        </w:rPr>
        <w:t>representative;</w:t>
      </w:r>
    </w:p>
    <w:p w:rsidR="00694F50" w:rsidP="00694F50" w14:paraId="6F548332" w14:textId="77777777">
      <w:pPr>
        <w:pStyle w:val="ListParagraph"/>
        <w:numPr>
          <w:ilvl w:val="2"/>
          <w:numId w:val="40"/>
        </w:numPr>
        <w:spacing w:line="276" w:lineRule="auto"/>
        <w:rPr>
          <w:rFonts w:cstheme="minorHAnsi"/>
        </w:rPr>
      </w:pPr>
      <w:r w:rsidRPr="00694F50">
        <w:rPr>
          <w:rFonts w:cstheme="minorHAnsi"/>
        </w:rPr>
        <w:t xml:space="preserve">Name, address, email, telephone and facsimile number of the alternate designated </w:t>
      </w:r>
      <w:r w:rsidRPr="00694F50">
        <w:rPr>
          <w:rFonts w:cstheme="minorHAnsi"/>
        </w:rPr>
        <w:t>representative</w:t>
      </w:r>
      <w:r>
        <w:rPr>
          <w:rFonts w:cstheme="minorHAnsi"/>
        </w:rPr>
        <w:t>;</w:t>
      </w:r>
    </w:p>
    <w:p w:rsidR="00694F50" w:rsidP="00694F50" w14:paraId="2F1A8F07" w14:textId="77777777">
      <w:pPr>
        <w:pStyle w:val="ListParagraph"/>
        <w:numPr>
          <w:ilvl w:val="2"/>
          <w:numId w:val="40"/>
        </w:numPr>
        <w:spacing w:line="276" w:lineRule="auto"/>
        <w:rPr>
          <w:rFonts w:cstheme="minorHAnsi"/>
        </w:rPr>
      </w:pPr>
      <w:r w:rsidRPr="00694F50">
        <w:rPr>
          <w:rFonts w:cstheme="minorHAnsi"/>
        </w:rPr>
        <w:t xml:space="preserve">List of "owners and operators" of the source and each unit at the </w:t>
      </w:r>
      <w:r w:rsidRPr="00694F50">
        <w:rPr>
          <w:rFonts w:cstheme="minorHAnsi"/>
        </w:rPr>
        <w:t>source;</w:t>
      </w:r>
    </w:p>
    <w:p w:rsidR="00694F50" w:rsidP="00694F50" w14:paraId="137E8726" w14:textId="77777777">
      <w:pPr>
        <w:pStyle w:val="ListParagraph"/>
        <w:numPr>
          <w:ilvl w:val="2"/>
          <w:numId w:val="40"/>
        </w:numPr>
        <w:spacing w:line="276" w:lineRule="auto"/>
        <w:rPr>
          <w:rFonts w:cstheme="minorHAnsi"/>
        </w:rPr>
      </w:pPr>
      <w:r w:rsidRPr="00694F50">
        <w:rPr>
          <w:rFonts w:cstheme="minorHAnsi"/>
        </w:rPr>
        <w:t xml:space="preserve">Certification </w:t>
      </w:r>
      <w:r w:rsidRPr="00694F50">
        <w:rPr>
          <w:rFonts w:cstheme="minorHAnsi"/>
        </w:rPr>
        <w:t>statement;</w:t>
      </w:r>
    </w:p>
    <w:p w:rsidR="00694F50" w:rsidP="00694F50" w14:paraId="2B55F97D" w14:textId="77777777">
      <w:pPr>
        <w:pStyle w:val="ListParagraph"/>
        <w:numPr>
          <w:ilvl w:val="2"/>
          <w:numId w:val="40"/>
        </w:numPr>
        <w:spacing w:line="276" w:lineRule="auto"/>
        <w:rPr>
          <w:rFonts w:cstheme="minorHAnsi"/>
        </w:rPr>
      </w:pPr>
      <w:r w:rsidRPr="00694F50">
        <w:rPr>
          <w:rFonts w:cstheme="minorHAnsi"/>
        </w:rPr>
        <w:t xml:space="preserve">Signature of designated </w:t>
      </w:r>
      <w:r w:rsidRPr="00694F50">
        <w:rPr>
          <w:rFonts w:cstheme="minorHAnsi"/>
        </w:rPr>
        <w:t>representative</w:t>
      </w:r>
      <w:r>
        <w:rPr>
          <w:rFonts w:cstheme="minorHAnsi"/>
        </w:rPr>
        <w:t>;</w:t>
      </w:r>
    </w:p>
    <w:p w:rsidR="00694F50" w:rsidP="00694F50" w14:paraId="43EF5A80" w14:textId="77777777">
      <w:pPr>
        <w:pStyle w:val="ListParagraph"/>
        <w:numPr>
          <w:ilvl w:val="2"/>
          <w:numId w:val="40"/>
        </w:numPr>
        <w:spacing w:line="276" w:lineRule="auto"/>
        <w:rPr>
          <w:rFonts w:cstheme="minorHAnsi"/>
        </w:rPr>
      </w:pPr>
      <w:r w:rsidRPr="00694F50">
        <w:rPr>
          <w:rFonts w:cstheme="minorHAnsi"/>
        </w:rPr>
        <w:t>Signature of alternate designated representative; and</w:t>
      </w:r>
    </w:p>
    <w:p w:rsidR="00694F50" w:rsidP="00694F50" w14:paraId="02B8471C" w14:textId="77777777">
      <w:pPr>
        <w:pStyle w:val="ListParagraph"/>
        <w:numPr>
          <w:ilvl w:val="2"/>
          <w:numId w:val="40"/>
        </w:numPr>
        <w:spacing w:line="276" w:lineRule="auto"/>
        <w:rPr>
          <w:rFonts w:cstheme="minorHAnsi"/>
        </w:rPr>
      </w:pPr>
      <w:r w:rsidRPr="00694F50">
        <w:rPr>
          <w:rFonts w:cstheme="minorHAnsi"/>
        </w:rPr>
        <w:t>Date signed.</w:t>
      </w:r>
    </w:p>
    <w:p w:rsidR="00694F50" w:rsidP="00694F50" w14:paraId="1F278536" w14:textId="77777777">
      <w:pPr>
        <w:pStyle w:val="ListParagraph"/>
        <w:numPr>
          <w:ilvl w:val="1"/>
          <w:numId w:val="40"/>
        </w:numPr>
        <w:spacing w:line="276" w:lineRule="auto"/>
        <w:rPr>
          <w:rFonts w:cstheme="minorHAnsi"/>
        </w:rPr>
      </w:pPr>
      <w:r w:rsidRPr="00694F50">
        <w:rPr>
          <w:rFonts w:cstheme="minorHAnsi"/>
          <w:i/>
        </w:rPr>
        <w:t>Acid Rain Permit application</w:t>
      </w:r>
      <w:r w:rsidRPr="00694F50">
        <w:rPr>
          <w:rFonts w:cstheme="minorHAnsi"/>
        </w:rPr>
        <w:t>. A complete Acid Rain permit application includes the following information:</w:t>
      </w:r>
    </w:p>
    <w:p w:rsidR="00694F50" w:rsidP="00694F50" w14:paraId="79262476" w14:textId="77777777">
      <w:pPr>
        <w:pStyle w:val="ListParagraph"/>
        <w:numPr>
          <w:ilvl w:val="2"/>
          <w:numId w:val="40"/>
        </w:numPr>
        <w:spacing w:line="276" w:lineRule="auto"/>
        <w:rPr>
          <w:rFonts w:cstheme="minorHAnsi"/>
        </w:rPr>
      </w:pPr>
      <w:r w:rsidRPr="00694F50">
        <w:rPr>
          <w:rFonts w:cstheme="minorHAnsi"/>
        </w:rPr>
        <w:t>Identification of the source (plant name, ORIS code, State</w:t>
      </w:r>
      <w:r w:rsidRPr="00694F50">
        <w:rPr>
          <w:rFonts w:cstheme="minorHAnsi"/>
        </w:rPr>
        <w:t>);</w:t>
      </w:r>
    </w:p>
    <w:p w:rsidR="00694F50" w:rsidP="00694F50" w14:paraId="40344E9B" w14:textId="77777777">
      <w:pPr>
        <w:pStyle w:val="ListParagraph"/>
        <w:numPr>
          <w:ilvl w:val="2"/>
          <w:numId w:val="40"/>
        </w:numPr>
        <w:spacing w:line="276" w:lineRule="auto"/>
        <w:rPr>
          <w:rFonts w:cstheme="minorHAnsi"/>
        </w:rPr>
      </w:pPr>
      <w:r w:rsidRPr="00694F50">
        <w:rPr>
          <w:rFonts w:cstheme="minorHAnsi"/>
        </w:rPr>
        <w:t xml:space="preserve">Identification of affected </w:t>
      </w:r>
      <w:r w:rsidRPr="00694F50">
        <w:rPr>
          <w:rFonts w:cstheme="minorHAnsi"/>
        </w:rPr>
        <w:t>units;</w:t>
      </w:r>
    </w:p>
    <w:p w:rsidR="00694F50" w:rsidP="00694F50" w14:paraId="0F027923" w14:textId="77777777">
      <w:pPr>
        <w:pStyle w:val="ListParagraph"/>
        <w:numPr>
          <w:ilvl w:val="2"/>
          <w:numId w:val="40"/>
        </w:numPr>
        <w:spacing w:line="276" w:lineRule="auto"/>
        <w:rPr>
          <w:rFonts w:cstheme="minorHAnsi"/>
        </w:rPr>
      </w:pPr>
      <w:r w:rsidRPr="00694F50">
        <w:rPr>
          <w:rFonts w:cstheme="minorHAnsi"/>
        </w:rPr>
        <w:t xml:space="preserve">A complete compliance </w:t>
      </w:r>
      <w:r w:rsidRPr="00694F50">
        <w:rPr>
          <w:rFonts w:cstheme="minorHAnsi"/>
        </w:rPr>
        <w:t>plan;</w:t>
      </w:r>
    </w:p>
    <w:p w:rsidR="00694F50" w:rsidP="00694F50" w14:paraId="414B9706" w14:textId="77777777">
      <w:pPr>
        <w:pStyle w:val="ListParagraph"/>
        <w:numPr>
          <w:ilvl w:val="2"/>
          <w:numId w:val="40"/>
        </w:numPr>
        <w:spacing w:line="276" w:lineRule="auto"/>
        <w:rPr>
          <w:rFonts w:cstheme="minorHAnsi"/>
        </w:rPr>
      </w:pPr>
      <w:r w:rsidRPr="00694F50">
        <w:rPr>
          <w:rFonts w:cstheme="minorHAnsi"/>
        </w:rPr>
        <w:t xml:space="preserve">Standard requirements at 40 CFR </w:t>
      </w:r>
      <w:r w:rsidRPr="00694F50">
        <w:rPr>
          <w:rFonts w:cstheme="minorHAnsi"/>
        </w:rPr>
        <w:t>72.9;</w:t>
      </w:r>
    </w:p>
    <w:p w:rsidR="00694F50" w:rsidP="00694F50" w14:paraId="18C2ADCB" w14:textId="77777777">
      <w:pPr>
        <w:pStyle w:val="ListParagraph"/>
        <w:numPr>
          <w:ilvl w:val="2"/>
          <w:numId w:val="40"/>
        </w:numPr>
        <w:spacing w:line="276" w:lineRule="auto"/>
        <w:rPr>
          <w:rFonts w:cstheme="minorHAnsi"/>
        </w:rPr>
      </w:pPr>
      <w:r w:rsidRPr="00694F50">
        <w:rPr>
          <w:rFonts w:cstheme="minorHAnsi"/>
        </w:rPr>
        <w:t xml:space="preserve">For new units, commence operation date and monitor certification </w:t>
      </w:r>
      <w:r w:rsidRPr="00694F50">
        <w:rPr>
          <w:rFonts w:cstheme="minorHAnsi"/>
        </w:rPr>
        <w:t>deadline;</w:t>
      </w:r>
    </w:p>
    <w:p w:rsidR="00694F50" w:rsidP="00694F50" w14:paraId="29D8B376" w14:textId="77777777">
      <w:pPr>
        <w:pStyle w:val="ListParagraph"/>
        <w:numPr>
          <w:ilvl w:val="2"/>
          <w:numId w:val="40"/>
        </w:numPr>
        <w:spacing w:line="276" w:lineRule="auto"/>
        <w:rPr>
          <w:rFonts w:cstheme="minorHAnsi"/>
        </w:rPr>
      </w:pPr>
      <w:r w:rsidRPr="00694F50">
        <w:rPr>
          <w:rFonts w:cstheme="minorHAnsi"/>
        </w:rPr>
        <w:t>Standard certification; and</w:t>
      </w:r>
    </w:p>
    <w:p w:rsidR="00694F50" w:rsidP="00694F50" w14:paraId="51DF7BDB" w14:textId="77777777">
      <w:pPr>
        <w:pStyle w:val="ListParagraph"/>
        <w:numPr>
          <w:ilvl w:val="2"/>
          <w:numId w:val="40"/>
        </w:numPr>
        <w:spacing w:line="276" w:lineRule="auto"/>
        <w:rPr>
          <w:rFonts w:cstheme="minorHAnsi"/>
        </w:rPr>
      </w:pPr>
      <w:r w:rsidRPr="00694F50">
        <w:rPr>
          <w:rFonts w:cstheme="minorHAnsi"/>
        </w:rPr>
        <w:t>Name and signature of designated representative.</w:t>
      </w:r>
    </w:p>
    <w:p w:rsidR="00694F50" w:rsidP="00694F50" w14:paraId="671E5117" w14:textId="77777777">
      <w:pPr>
        <w:pStyle w:val="ListParagraph"/>
        <w:numPr>
          <w:ilvl w:val="1"/>
          <w:numId w:val="40"/>
        </w:numPr>
        <w:spacing w:line="276" w:lineRule="auto"/>
        <w:rPr>
          <w:rFonts w:cstheme="minorHAnsi"/>
        </w:rPr>
      </w:pPr>
      <w:r w:rsidRPr="00694F50">
        <w:rPr>
          <w:rFonts w:cstheme="minorHAnsi"/>
          <w:i/>
        </w:rPr>
        <w:t>Exemption for certain new units under 40 CFR 72.7</w:t>
      </w:r>
      <w:r w:rsidRPr="00694F50">
        <w:rPr>
          <w:rFonts w:cstheme="minorHAnsi"/>
        </w:rPr>
        <w:t>. Operators of new units that serve generators with a nameplate capacity of 25 MW or less and use fuel with a sulfur content by weight of less than 0.05 percent may obtain an exemption from most requirements of the Acid Rain Program if they submit a certification with the following information:</w:t>
      </w:r>
    </w:p>
    <w:p w:rsidR="00694F50" w:rsidP="00694F50" w14:paraId="45CBB90A" w14:textId="77777777">
      <w:pPr>
        <w:pStyle w:val="ListParagraph"/>
        <w:numPr>
          <w:ilvl w:val="2"/>
          <w:numId w:val="40"/>
        </w:numPr>
        <w:spacing w:line="276" w:lineRule="auto"/>
        <w:rPr>
          <w:rFonts w:cstheme="minorHAnsi"/>
        </w:rPr>
      </w:pPr>
      <w:r w:rsidRPr="00694F50">
        <w:rPr>
          <w:rFonts w:cstheme="minorHAnsi"/>
        </w:rPr>
        <w:t xml:space="preserve">Unit </w:t>
      </w:r>
      <w:r w:rsidRPr="00694F50">
        <w:rPr>
          <w:rFonts w:cstheme="minorHAnsi"/>
        </w:rPr>
        <w:t>Identification;</w:t>
      </w:r>
    </w:p>
    <w:p w:rsidR="00694F50" w:rsidP="00694F50" w14:paraId="7D8388AF" w14:textId="77777777">
      <w:pPr>
        <w:pStyle w:val="ListParagraph"/>
        <w:numPr>
          <w:ilvl w:val="2"/>
          <w:numId w:val="40"/>
        </w:numPr>
        <w:spacing w:line="276" w:lineRule="auto"/>
        <w:rPr>
          <w:rFonts w:cstheme="minorHAnsi"/>
        </w:rPr>
      </w:pPr>
      <w:r w:rsidRPr="00694F50">
        <w:rPr>
          <w:rFonts w:cstheme="minorHAnsi"/>
        </w:rPr>
        <w:t xml:space="preserve">Nameplate capacity of </w:t>
      </w:r>
      <w:r w:rsidRPr="00694F50">
        <w:rPr>
          <w:rFonts w:cstheme="minorHAnsi"/>
          <w:u w:val="single"/>
        </w:rPr>
        <w:t>each</w:t>
      </w:r>
      <w:r w:rsidRPr="00694F50">
        <w:rPr>
          <w:rFonts w:cstheme="minorHAnsi"/>
        </w:rPr>
        <w:t xml:space="preserve"> of the generators served by the </w:t>
      </w:r>
      <w:r w:rsidRPr="00694F50">
        <w:rPr>
          <w:rFonts w:cstheme="minorHAnsi"/>
        </w:rPr>
        <w:t>unit;</w:t>
      </w:r>
    </w:p>
    <w:p w:rsidR="00694F50" w:rsidP="00694F50" w14:paraId="65F78D8B" w14:textId="77777777">
      <w:pPr>
        <w:pStyle w:val="ListParagraph"/>
        <w:numPr>
          <w:ilvl w:val="2"/>
          <w:numId w:val="40"/>
        </w:numPr>
        <w:spacing w:line="276" w:lineRule="auto"/>
        <w:rPr>
          <w:rFonts w:cstheme="minorHAnsi"/>
        </w:rPr>
      </w:pPr>
      <w:r w:rsidRPr="00694F50">
        <w:rPr>
          <w:rFonts w:cstheme="minorHAnsi"/>
        </w:rPr>
        <w:t xml:space="preserve">The first full calendar year that the unit will meet the exemption </w:t>
      </w:r>
      <w:r w:rsidRPr="00694F50">
        <w:rPr>
          <w:rFonts w:cstheme="minorHAnsi"/>
        </w:rPr>
        <w:t>requirements;</w:t>
      </w:r>
    </w:p>
    <w:p w:rsidR="00694F50" w:rsidP="00694F50" w14:paraId="1990F0D7" w14:textId="77777777">
      <w:pPr>
        <w:pStyle w:val="ListParagraph"/>
        <w:numPr>
          <w:ilvl w:val="2"/>
          <w:numId w:val="40"/>
        </w:numPr>
        <w:spacing w:line="276" w:lineRule="auto"/>
        <w:rPr>
          <w:rFonts w:cstheme="minorHAnsi"/>
        </w:rPr>
      </w:pPr>
      <w:r w:rsidRPr="00694F50">
        <w:rPr>
          <w:rFonts w:cstheme="minorHAnsi"/>
        </w:rPr>
        <w:t xml:space="preserve">The fuels currently burned by the unit, and that will be burned in the future, and their sulfur content by </w:t>
      </w:r>
      <w:r w:rsidRPr="00694F50">
        <w:rPr>
          <w:rFonts w:cstheme="minorHAnsi"/>
        </w:rPr>
        <w:t>weight;</w:t>
      </w:r>
    </w:p>
    <w:p w:rsidR="00694F50" w:rsidP="00694F50" w14:paraId="2B9BD6C2" w14:textId="77777777">
      <w:pPr>
        <w:pStyle w:val="ListParagraph"/>
        <w:numPr>
          <w:ilvl w:val="2"/>
          <w:numId w:val="40"/>
        </w:numPr>
        <w:spacing w:line="276" w:lineRule="auto"/>
        <w:rPr>
          <w:rFonts w:cstheme="minorHAnsi"/>
        </w:rPr>
      </w:pPr>
      <w:r w:rsidRPr="00694F50">
        <w:rPr>
          <w:rFonts w:cstheme="minorHAnsi"/>
        </w:rPr>
        <w:t>Certification that the owners and operators will comply with all necessary requirements; and</w:t>
      </w:r>
    </w:p>
    <w:p w:rsidR="00C53887" w:rsidP="00C53887" w14:paraId="191BBEFC" w14:textId="77777777">
      <w:pPr>
        <w:pStyle w:val="ListParagraph"/>
        <w:numPr>
          <w:ilvl w:val="2"/>
          <w:numId w:val="40"/>
        </w:numPr>
        <w:spacing w:line="276" w:lineRule="auto"/>
        <w:rPr>
          <w:rFonts w:cstheme="minorHAnsi"/>
        </w:rPr>
      </w:pPr>
      <w:r w:rsidRPr="00694F50">
        <w:rPr>
          <w:rFonts w:cstheme="minorHAnsi"/>
        </w:rPr>
        <w:t>Standard certification at § 72.21(d)(2).</w:t>
      </w:r>
    </w:p>
    <w:p w:rsidR="00C53887" w:rsidP="00C53887" w14:paraId="1AC07A1F" w14:textId="77777777">
      <w:pPr>
        <w:pStyle w:val="ListParagraph"/>
        <w:numPr>
          <w:ilvl w:val="1"/>
          <w:numId w:val="40"/>
        </w:numPr>
        <w:spacing w:line="276" w:lineRule="auto"/>
        <w:rPr>
          <w:rFonts w:cstheme="minorHAnsi"/>
        </w:rPr>
      </w:pPr>
      <w:r w:rsidRPr="00C53887">
        <w:rPr>
          <w:rFonts w:cstheme="minorHAnsi"/>
          <w:i/>
        </w:rPr>
        <w:t>Exemption for retired units under 40 CFR 72.8</w:t>
      </w:r>
      <w:r w:rsidRPr="00C53887">
        <w:rPr>
          <w:rFonts w:cstheme="minorHAnsi"/>
        </w:rPr>
        <w:t>. Operators of affected units that are retired may obtain an exemption from most requirement of the Acid Rain Program if they submit a retired unit exemption form with the following information:</w:t>
      </w:r>
    </w:p>
    <w:p w:rsidR="00C53887" w:rsidP="00C53887" w14:paraId="0B646F21" w14:textId="77777777">
      <w:pPr>
        <w:pStyle w:val="ListParagraph"/>
        <w:numPr>
          <w:ilvl w:val="2"/>
          <w:numId w:val="40"/>
        </w:numPr>
        <w:spacing w:line="276" w:lineRule="auto"/>
        <w:rPr>
          <w:rFonts w:cstheme="minorHAnsi"/>
        </w:rPr>
      </w:pPr>
      <w:r w:rsidRPr="00C53887">
        <w:rPr>
          <w:rFonts w:cstheme="minorHAnsi"/>
        </w:rPr>
        <w:t xml:space="preserve">Unit </w:t>
      </w:r>
      <w:r w:rsidRPr="00C53887">
        <w:rPr>
          <w:rFonts w:cstheme="minorHAnsi"/>
        </w:rPr>
        <w:t>identification;</w:t>
      </w:r>
    </w:p>
    <w:p w:rsidR="00C53887" w:rsidP="00C53887" w14:paraId="59CED8DB" w14:textId="77777777">
      <w:pPr>
        <w:pStyle w:val="ListParagraph"/>
        <w:numPr>
          <w:ilvl w:val="2"/>
          <w:numId w:val="40"/>
        </w:numPr>
        <w:spacing w:line="276" w:lineRule="auto"/>
        <w:rPr>
          <w:rFonts w:cstheme="minorHAnsi"/>
        </w:rPr>
      </w:pPr>
      <w:r w:rsidRPr="00C53887">
        <w:rPr>
          <w:rFonts w:cstheme="minorHAnsi"/>
        </w:rPr>
        <w:t xml:space="preserve">The date that the unit was (or will be) permanently </w:t>
      </w:r>
      <w:r w:rsidRPr="00C53887">
        <w:rPr>
          <w:rFonts w:cstheme="minorHAnsi"/>
        </w:rPr>
        <w:t>retired;</w:t>
      </w:r>
    </w:p>
    <w:p w:rsidR="00C53887" w:rsidP="00C53887" w14:paraId="4E74B9C8" w14:textId="77777777">
      <w:pPr>
        <w:pStyle w:val="ListParagraph"/>
        <w:numPr>
          <w:ilvl w:val="2"/>
          <w:numId w:val="40"/>
        </w:numPr>
        <w:spacing w:line="276" w:lineRule="auto"/>
        <w:rPr>
          <w:rFonts w:cstheme="minorHAnsi"/>
        </w:rPr>
      </w:pPr>
      <w:r w:rsidRPr="00C53887">
        <w:rPr>
          <w:rFonts w:cstheme="minorHAnsi"/>
        </w:rPr>
        <w:t xml:space="preserve">The first full calendar year that the unit will meet the exemption </w:t>
      </w:r>
      <w:r w:rsidRPr="00C53887">
        <w:rPr>
          <w:rFonts w:cstheme="minorHAnsi"/>
        </w:rPr>
        <w:t>requirements;</w:t>
      </w:r>
    </w:p>
    <w:p w:rsidR="00C53887" w:rsidP="00C53887" w14:paraId="0EF1F379" w14:textId="77777777">
      <w:pPr>
        <w:pStyle w:val="ListParagraph"/>
        <w:numPr>
          <w:ilvl w:val="2"/>
          <w:numId w:val="40"/>
        </w:numPr>
        <w:spacing w:line="276" w:lineRule="auto"/>
        <w:rPr>
          <w:rFonts w:cstheme="minorHAnsi"/>
        </w:rPr>
      </w:pPr>
      <w:r w:rsidRPr="00C53887">
        <w:rPr>
          <w:rFonts w:cstheme="minorHAnsi"/>
        </w:rPr>
        <w:t xml:space="preserve">Certification that the unit is permanently retired and will comply with all necessary </w:t>
      </w:r>
      <w:r w:rsidRPr="00C53887" w:rsidR="00A84C39">
        <w:rPr>
          <w:rFonts w:cstheme="minorHAnsi"/>
        </w:rPr>
        <w:t>r</w:t>
      </w:r>
      <w:r w:rsidRPr="00C53887">
        <w:rPr>
          <w:rFonts w:cstheme="minorHAnsi"/>
        </w:rPr>
        <w:t>equirements; and</w:t>
      </w:r>
    </w:p>
    <w:p w:rsidR="00E312AA" w:rsidP="00E312AA" w14:paraId="050C7DF7" w14:textId="77777777">
      <w:pPr>
        <w:pStyle w:val="ListParagraph"/>
        <w:numPr>
          <w:ilvl w:val="2"/>
          <w:numId w:val="40"/>
        </w:numPr>
        <w:spacing w:line="276" w:lineRule="auto"/>
        <w:rPr>
          <w:rFonts w:cstheme="minorHAnsi"/>
        </w:rPr>
      </w:pPr>
      <w:r w:rsidRPr="00C53887">
        <w:rPr>
          <w:rFonts w:cstheme="minorHAnsi"/>
        </w:rPr>
        <w:t>S</w:t>
      </w:r>
      <w:r w:rsidRPr="00C53887" w:rsidR="00CF01E1">
        <w:rPr>
          <w:rFonts w:cstheme="minorHAnsi"/>
        </w:rPr>
        <w:t>tandard certification at § 72.21(d)(2).</w:t>
      </w:r>
    </w:p>
    <w:p w:rsidR="00CF01E1" w:rsidP="00E312AA" w14:paraId="02ACA61F" w14:textId="02334C8D">
      <w:pPr>
        <w:pStyle w:val="ListParagraph"/>
        <w:numPr>
          <w:ilvl w:val="1"/>
          <w:numId w:val="40"/>
        </w:numPr>
        <w:spacing w:line="276" w:lineRule="auto"/>
        <w:rPr>
          <w:rFonts w:cstheme="minorHAnsi"/>
        </w:rPr>
      </w:pPr>
      <w:r w:rsidRPr="00E312AA">
        <w:rPr>
          <w:rFonts w:cstheme="minorHAnsi"/>
        </w:rPr>
        <w:t>All data items requested from permit applicants must be submitted on standard forms. Most of the information requested in the forms is specifically required by law.</w:t>
      </w:r>
    </w:p>
    <w:p w:rsidR="00E312AA" w:rsidRPr="00E312AA" w:rsidP="00E312AA" w14:paraId="23CFD4F1" w14:textId="77777777">
      <w:pPr>
        <w:pStyle w:val="ListParagraph"/>
        <w:spacing w:line="276" w:lineRule="auto"/>
        <w:ind w:left="1440"/>
        <w:rPr>
          <w:rFonts w:cstheme="minorHAnsi"/>
        </w:rPr>
      </w:pPr>
    </w:p>
    <w:p w:rsidR="0046372E" w:rsidP="0046372E" w14:paraId="3FF840C9" w14:textId="77777777">
      <w:pPr>
        <w:pStyle w:val="ListParagraph"/>
        <w:numPr>
          <w:ilvl w:val="0"/>
          <w:numId w:val="40"/>
        </w:numPr>
        <w:spacing w:line="276" w:lineRule="auto"/>
        <w:rPr>
          <w:rFonts w:cstheme="minorHAnsi"/>
        </w:rPr>
      </w:pPr>
      <w:r w:rsidRPr="00E312AA">
        <w:rPr>
          <w:rFonts w:cstheme="minorHAnsi"/>
        </w:rPr>
        <w:t xml:space="preserve"> </w:t>
      </w:r>
      <w:r w:rsidRPr="00E312AA" w:rsidR="00CF01E1">
        <w:rPr>
          <w:rFonts w:cstheme="minorHAnsi"/>
        </w:rPr>
        <w:t>Emissions Monitorin</w:t>
      </w:r>
      <w:r>
        <w:rPr>
          <w:rFonts w:cstheme="minorHAnsi"/>
        </w:rPr>
        <w:t>g</w:t>
      </w:r>
    </w:p>
    <w:p w:rsidR="0046372E" w:rsidP="0046372E" w14:paraId="58FEFF95" w14:textId="7F27A02F">
      <w:pPr>
        <w:pStyle w:val="ListParagraph"/>
        <w:numPr>
          <w:ilvl w:val="1"/>
          <w:numId w:val="40"/>
        </w:numPr>
        <w:spacing w:line="276" w:lineRule="auto"/>
        <w:rPr>
          <w:rFonts w:cstheme="minorHAnsi"/>
        </w:rPr>
      </w:pPr>
      <w:r w:rsidRPr="0046372E">
        <w:rPr>
          <w:rFonts w:cstheme="minorHAnsi"/>
        </w:rPr>
        <w:t xml:space="preserve">Emissions monitoring requirements specify that affected sources must (1) submit a monitoring plan for each affected unit at a source; (2) submit data for certification of each monitor; (3) record hourly operational, pollutant monitor, and flow monitor data for each affected unit; and (4) submit quarterly reports of their emissions data to EPA. </w:t>
      </w:r>
    </w:p>
    <w:p w:rsidR="00CF01E1" w:rsidRPr="00E672D7" w:rsidP="00E672D7" w14:paraId="2E5FE2E5" w14:textId="528C3F9B">
      <w:pPr>
        <w:pStyle w:val="ListParagraph"/>
        <w:numPr>
          <w:ilvl w:val="1"/>
          <w:numId w:val="40"/>
        </w:numPr>
        <w:spacing w:line="276" w:lineRule="auto"/>
        <w:rPr>
          <w:rFonts w:cstheme="minorHAnsi"/>
        </w:rPr>
      </w:pPr>
      <w:r w:rsidRPr="0046372E">
        <w:rPr>
          <w:rFonts w:cstheme="minorHAnsi"/>
        </w:rPr>
        <w:t xml:space="preserve">Respondents are required by 40 CFR 75.64 to submit the quarterly emissions data electronically, by direct electronic submission to EPA, and must also include a certification statement by the designated representative of the unit. EPA requires the certification statement to be submitted electronically unless it approves a hardcopy submission. </w:t>
      </w:r>
      <w:r w:rsidRPr="00587CEE" w:rsidR="00E672D7">
        <w:rPr>
          <w:rFonts w:cstheme="minorHAnsi"/>
        </w:rPr>
        <w:t>All records are to be kept for three years, except for permitting records which are to be kept for the duration of the permit, or up to five years and certain new monitoring provisions.</w:t>
      </w:r>
    </w:p>
    <w:p w:rsidR="00F801DB" w:rsidRPr="0046372E" w:rsidP="00F801DB" w14:paraId="076E9E91" w14:textId="77777777">
      <w:pPr>
        <w:pStyle w:val="ListParagraph"/>
        <w:spacing w:line="276" w:lineRule="auto"/>
        <w:ind w:left="1440"/>
        <w:rPr>
          <w:rFonts w:cstheme="minorHAnsi"/>
        </w:rPr>
      </w:pPr>
    </w:p>
    <w:p w:rsidR="00F801DB" w:rsidP="00F801DB" w14:paraId="566F5E78" w14:textId="77777777">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Pr>
          <w:rFonts w:cstheme="minorHAnsi"/>
        </w:rPr>
        <w:t>Auctions</w:t>
      </w:r>
    </w:p>
    <w:p w:rsidR="00F801DB" w:rsidP="00F801DB" w14:paraId="28862FA3" w14:textId="77777777">
      <w:pPr>
        <w:pStyle w:val="ListParagraph"/>
        <w:keepNext/>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F801DB">
        <w:rPr>
          <w:rFonts w:cstheme="minorHAnsi"/>
        </w:rPr>
        <w:t xml:space="preserve">For auctions, participants are required to submit an electronic bid and a payment method at least six days prior to the date of the auction. Sealed bids are submitted </w:t>
      </w:r>
      <w:r w:rsidRPr="00F801DB">
        <w:rPr>
          <w:rFonts w:cstheme="minorHAnsi"/>
        </w:rPr>
        <w:t>electronically using the Clean Air Markets Division (CAMD) Business System. Each bid provides the following basic information:</w:t>
      </w:r>
    </w:p>
    <w:p w:rsidR="00F801DB" w:rsidP="00F801DB" w14:paraId="3A8BE0DC"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F801DB">
        <w:rPr>
          <w:rFonts w:cstheme="minorHAnsi"/>
        </w:rPr>
        <w:t>Name;</w:t>
      </w:r>
    </w:p>
    <w:p w:rsidR="00F801DB" w:rsidP="00F801DB" w14:paraId="09184D14"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F801DB">
        <w:rPr>
          <w:rFonts w:cstheme="minorHAnsi"/>
        </w:rPr>
        <w:t>Account number (or new account information</w:t>
      </w:r>
      <w:r w:rsidRPr="00F801DB">
        <w:rPr>
          <w:rFonts w:cstheme="minorHAnsi"/>
        </w:rPr>
        <w:t>);</w:t>
      </w:r>
    </w:p>
    <w:p w:rsidR="00F801DB" w:rsidP="00F801DB" w14:paraId="2B730589"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Pr>
          <w:rFonts w:cstheme="minorHAnsi"/>
        </w:rPr>
        <w:t>A</w:t>
      </w:r>
      <w:r w:rsidRPr="00F801DB" w:rsidR="00CF01E1">
        <w:rPr>
          <w:rFonts w:cstheme="minorHAnsi"/>
        </w:rPr>
        <w:t>llowance quantity and price; and</w:t>
      </w:r>
    </w:p>
    <w:p w:rsidR="00F801DB" w:rsidP="00F801DB" w14:paraId="7FED4ADA"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F801DB">
        <w:rPr>
          <w:rFonts w:cstheme="minorHAnsi"/>
        </w:rPr>
        <w:t>Type of auction (spot or advance).</w:t>
      </w:r>
    </w:p>
    <w:p w:rsidR="00CF01E1" w:rsidP="00F801DB" w14:paraId="04339A70" w14:textId="281670AC">
      <w:pPr>
        <w:pStyle w:val="ListParagraph"/>
        <w:keepNext/>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F801DB">
        <w:rPr>
          <w:rFonts w:cstheme="minorHAnsi"/>
        </w:rPr>
        <w:t>The bid also specifies an acceptable method of payment for the total bid price. Full payment for allowances -- in an acceptable form -- is required with the bid at the time of submission.</w:t>
      </w:r>
    </w:p>
    <w:p w:rsidR="00505B04" w:rsidRPr="00F801DB" w:rsidP="00505B04" w14:paraId="1954E2DA" w14:textId="777777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rPr>
          <w:rFonts w:cstheme="minorHAnsi"/>
        </w:rPr>
      </w:pPr>
    </w:p>
    <w:p w:rsidR="00180790" w:rsidP="00180790" w14:paraId="4F0E4671" w14:textId="77777777">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37A85">
        <w:rPr>
          <w:rFonts w:cstheme="minorHAnsi"/>
        </w:rPr>
        <w:t>NO</w:t>
      </w:r>
      <w:r w:rsidRPr="00137A85">
        <w:rPr>
          <w:rFonts w:cstheme="minorHAnsi"/>
          <w:vertAlign w:val="subscript"/>
        </w:rPr>
        <w:t>X</w:t>
      </w:r>
      <w:r w:rsidRPr="00137A85">
        <w:rPr>
          <w:rFonts w:cstheme="minorHAnsi"/>
        </w:rPr>
        <w:t xml:space="preserve"> Permitting</w:t>
      </w:r>
    </w:p>
    <w:p w:rsidR="00AF3371" w:rsidRPr="00AF3371" w:rsidP="00AF3371" w14:paraId="73B7B1B4" w14:textId="7528A285">
      <w:pPr>
        <w:pStyle w:val="ListParagraph"/>
        <w:keepNext/>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An owner or operator of a unit subject to a NO</w:t>
      </w:r>
      <w:r w:rsidRPr="00180790">
        <w:rPr>
          <w:rFonts w:cstheme="minorHAnsi"/>
          <w:vertAlign w:val="subscript"/>
        </w:rPr>
        <w:t>X</w:t>
      </w:r>
      <w:r w:rsidRPr="00180790">
        <w:rPr>
          <w:rFonts w:cstheme="minorHAnsi"/>
        </w:rPr>
        <w:t xml:space="preserve"> emission limitation may meet the requirements through one of three compliance options:  meeting the applicable standard limit, obtaining approval to comply on a group basis as one of multiple units i</w:t>
      </w:r>
      <w:r w:rsidR="00505B04">
        <w:rPr>
          <w:rFonts w:cstheme="minorHAnsi"/>
        </w:rPr>
        <w:t xml:space="preserve">n </w:t>
      </w:r>
      <w:r w:rsidRPr="00180790">
        <w:rPr>
          <w:rFonts w:cstheme="minorHAnsi"/>
        </w:rPr>
        <w:t xml:space="preserve">an </w:t>
      </w:r>
      <w:r w:rsidRPr="00180790">
        <w:rPr>
          <w:rFonts w:cstheme="minorHAnsi"/>
        </w:rPr>
        <w:t>emissions</w:t>
      </w:r>
      <w:r w:rsidRPr="00180790">
        <w:rPr>
          <w:rFonts w:cstheme="minorHAnsi"/>
        </w:rPr>
        <w:t xml:space="preserve"> averaging plan, or obtaining approval for an alternative emission limit (AEL) based on demonstrated inability to meet the applicable standard limit. </w:t>
      </w:r>
    </w:p>
    <w:p w:rsidR="00180790" w:rsidP="00180790" w14:paraId="5DD14134" w14:textId="4F78F1C0">
      <w:pPr>
        <w:pStyle w:val="ListParagraph"/>
        <w:keepNext/>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Regardless</w:t>
      </w:r>
      <w:r w:rsidR="00AF3371">
        <w:rPr>
          <w:rFonts w:cstheme="minorHAnsi"/>
        </w:rPr>
        <w:t xml:space="preserve"> </w:t>
      </w:r>
      <w:r w:rsidRPr="00180790">
        <w:rPr>
          <w:rFonts w:cstheme="minorHAnsi"/>
        </w:rPr>
        <w:t>of the compliance option selected, the following elements must be included in the compliance plan for each source:</w:t>
      </w:r>
    </w:p>
    <w:p w:rsidR="00180790" w:rsidP="00180790" w14:paraId="07B982EC"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 xml:space="preserve">Identification of the </w:t>
      </w:r>
      <w:r w:rsidRPr="00180790">
        <w:rPr>
          <w:rFonts w:cstheme="minorHAnsi"/>
        </w:rPr>
        <w:t>source;</w:t>
      </w:r>
    </w:p>
    <w:p w:rsidR="00180790" w:rsidP="00180790" w14:paraId="3833236C"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 xml:space="preserve">Identification of each affected unit at the source that is subject to these </w:t>
      </w:r>
      <w:r w:rsidRPr="00180790">
        <w:rPr>
          <w:rFonts w:cstheme="minorHAnsi"/>
        </w:rPr>
        <w:t>regulations;</w:t>
      </w:r>
    </w:p>
    <w:p w:rsidR="00180790" w:rsidP="00180790" w14:paraId="0285C6B4"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Identification of the boiler type of each unit; and</w:t>
      </w:r>
    </w:p>
    <w:p w:rsidR="00180790" w:rsidP="00180790" w14:paraId="349B5538"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Identification of the compliance option proposed for each unit.</w:t>
      </w:r>
    </w:p>
    <w:p w:rsidR="00180790" w:rsidP="00180790" w14:paraId="037D66F6" w14:textId="77777777">
      <w:pPr>
        <w:pStyle w:val="ListParagraph"/>
        <w:keepNext/>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F</w:t>
      </w:r>
      <w:r w:rsidRPr="00180790" w:rsidR="00CF01E1">
        <w:rPr>
          <w:rFonts w:cstheme="minorHAnsi"/>
        </w:rPr>
        <w:t>or units that are choosing standard limits, the designated representative must simply check the appropriate box(es) to indicate the NO</w:t>
      </w:r>
      <w:r w:rsidRPr="00180790" w:rsidR="00CF01E1">
        <w:rPr>
          <w:rFonts w:cstheme="minorHAnsi"/>
          <w:vertAlign w:val="subscript"/>
        </w:rPr>
        <w:t>X</w:t>
      </w:r>
      <w:r w:rsidRPr="00180790" w:rsidR="00CF01E1">
        <w:rPr>
          <w:rFonts w:cstheme="minorHAnsi"/>
        </w:rPr>
        <w:t xml:space="preserve"> compliance plan that is chosen.</w:t>
      </w:r>
    </w:p>
    <w:p w:rsidR="00180790" w:rsidP="00180790" w14:paraId="4DC1C60F" w14:textId="77777777">
      <w:pPr>
        <w:pStyle w:val="ListParagraph"/>
        <w:keepNext/>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For units that are in an averaging plan, the following additional information must be submitted:</w:t>
      </w:r>
    </w:p>
    <w:p w:rsidR="00180790" w:rsidP="00180790" w14:paraId="1B4FBF7D"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 xml:space="preserve">Identification of each unit in the </w:t>
      </w:r>
      <w:r w:rsidRPr="00180790">
        <w:rPr>
          <w:rFonts w:cstheme="minorHAnsi"/>
        </w:rPr>
        <w:t>plan;</w:t>
      </w:r>
    </w:p>
    <w:p w:rsidR="00180790" w:rsidP="00180790" w14:paraId="0BA5A502"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 xml:space="preserve">Each unit's standard emission </w:t>
      </w:r>
      <w:r w:rsidRPr="00180790">
        <w:rPr>
          <w:rFonts w:cstheme="minorHAnsi"/>
        </w:rPr>
        <w:t>limitation;</w:t>
      </w:r>
    </w:p>
    <w:p w:rsidR="00180790" w:rsidP="00180790" w14:paraId="517205BB"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 xml:space="preserve">The alternative contemporaneous annual emission limitation for each unit (in </w:t>
      </w:r>
      <w:r w:rsidRPr="00180790">
        <w:rPr>
          <w:rFonts w:cstheme="minorHAnsi"/>
        </w:rPr>
        <w:t>lb</w:t>
      </w:r>
      <w:r w:rsidRPr="00180790">
        <w:rPr>
          <w:rFonts w:cstheme="minorHAnsi"/>
        </w:rPr>
        <w:t>/</w:t>
      </w:r>
      <w:r w:rsidRPr="00180790">
        <w:rPr>
          <w:rFonts w:cstheme="minorHAnsi"/>
        </w:rPr>
        <w:t>mmBtu</w:t>
      </w:r>
      <w:r w:rsidRPr="00180790">
        <w:rPr>
          <w:rFonts w:cstheme="minorHAnsi"/>
        </w:rPr>
        <w:t>);</w:t>
      </w:r>
      <w:r>
        <w:rPr>
          <w:rFonts w:cstheme="minorHAnsi"/>
        </w:rPr>
        <w:tab/>
      </w:r>
    </w:p>
    <w:p w:rsidR="00180790" w:rsidP="00180790" w14:paraId="21798330"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 xml:space="preserve">The annual heat input limit for each unit (in </w:t>
      </w:r>
      <w:r w:rsidRPr="00180790">
        <w:rPr>
          <w:rFonts w:cstheme="minorHAnsi"/>
        </w:rPr>
        <w:t>mmBtu</w:t>
      </w:r>
      <w:r w:rsidRPr="00180790">
        <w:rPr>
          <w:rFonts w:cstheme="minorHAnsi"/>
        </w:rPr>
        <w:t>);</w:t>
      </w:r>
    </w:p>
    <w:p w:rsidR="00180790" w:rsidP="00180790" w14:paraId="733AD615"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The calculation for the equation outlined in Step 2 of the EPA form for emissions averaging; and</w:t>
      </w:r>
    </w:p>
    <w:p w:rsidR="000502BF" w:rsidP="00180790" w14:paraId="02CDC17B" w14:textId="77777777">
      <w:pPr>
        <w:pStyle w:val="ListParagraph"/>
        <w:keepNext/>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r w:rsidRPr="00180790">
        <w:rPr>
          <w:rFonts w:cstheme="minorHAnsi"/>
        </w:rPr>
        <w:t>The calendar years for which the averaging plan applies</w:t>
      </w:r>
      <w:r>
        <w:rPr>
          <w:rFonts w:cstheme="minorHAnsi"/>
        </w:rPr>
        <w:t>.</w:t>
      </w:r>
    </w:p>
    <w:p w:rsidR="00E672D7" w:rsidRPr="00587CEE" w:rsidP="00E672D7" w14:paraId="3158555A" w14:textId="731EAC58">
      <w:pPr>
        <w:pStyle w:val="ListParagraph"/>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160"/>
        <w:rPr>
          <w:rFonts w:cstheme="minorHAnsi"/>
        </w:rPr>
      </w:pPr>
      <w:r w:rsidRPr="00180790">
        <w:rPr>
          <w:rFonts w:cstheme="minorHAnsi"/>
        </w:rPr>
        <w:t xml:space="preserve">For an AEL, the </w:t>
      </w:r>
      <w:r w:rsidR="003F052A">
        <w:rPr>
          <w:rFonts w:cstheme="minorHAnsi"/>
        </w:rPr>
        <w:t xml:space="preserve">EPA does not anticipate </w:t>
      </w:r>
      <w:r w:rsidR="00324834">
        <w:rPr>
          <w:rFonts w:cstheme="minorHAnsi"/>
        </w:rPr>
        <w:t xml:space="preserve">a submission under this </w:t>
      </w:r>
      <w:r w:rsidR="00312062">
        <w:rPr>
          <w:rFonts w:cstheme="minorHAnsi"/>
        </w:rPr>
        <w:t xml:space="preserve">option </w:t>
      </w:r>
      <w:r w:rsidR="000D6CF0">
        <w:rPr>
          <w:rFonts w:cstheme="minorHAnsi"/>
        </w:rPr>
        <w:t xml:space="preserve">during the </w:t>
      </w:r>
      <w:r w:rsidR="000D6CF0">
        <w:rPr>
          <w:rFonts w:cstheme="minorHAnsi"/>
        </w:rPr>
        <w:t>time period</w:t>
      </w:r>
      <w:r w:rsidR="000D6CF0">
        <w:rPr>
          <w:rFonts w:cstheme="minorHAnsi"/>
        </w:rPr>
        <w:t xml:space="preserve"> covered by this ICR. </w:t>
      </w:r>
      <w:r w:rsidR="0036572E">
        <w:rPr>
          <w:rFonts w:cstheme="minorHAnsi"/>
        </w:rPr>
        <w:t>Th</w:t>
      </w:r>
      <w:r w:rsidR="00F90E32">
        <w:rPr>
          <w:rFonts w:cstheme="minorHAnsi"/>
        </w:rPr>
        <w:t>is</w:t>
      </w:r>
      <w:r w:rsidR="0036572E">
        <w:rPr>
          <w:rFonts w:cstheme="minorHAnsi"/>
        </w:rPr>
        <w:t xml:space="preserve"> </w:t>
      </w:r>
      <w:r w:rsidR="00C22227">
        <w:rPr>
          <w:rFonts w:cstheme="minorHAnsi"/>
        </w:rPr>
        <w:t xml:space="preserve">option </w:t>
      </w:r>
      <w:r w:rsidR="00703332">
        <w:rPr>
          <w:rFonts w:cstheme="minorHAnsi"/>
        </w:rPr>
        <w:t xml:space="preserve">was not exercised </w:t>
      </w:r>
      <w:r w:rsidR="00682CEA">
        <w:rPr>
          <w:rFonts w:cstheme="minorHAnsi"/>
        </w:rPr>
        <w:t xml:space="preserve">during the previous two ICR </w:t>
      </w:r>
      <w:r w:rsidR="00BD1082">
        <w:rPr>
          <w:rFonts w:cstheme="minorHAnsi"/>
        </w:rPr>
        <w:t>time periods.</w:t>
      </w:r>
      <w:r w:rsidR="001342DB">
        <w:rPr>
          <w:rFonts w:cstheme="minorHAnsi"/>
        </w:rPr>
        <w:t xml:space="preserve"> </w:t>
      </w:r>
    </w:p>
    <w:p w:rsidR="00587CEE" w:rsidP="00587CEE" w14:paraId="73CD55EA" w14:textId="77777777">
      <w:pPr>
        <w:pStyle w:val="ListParagraph"/>
        <w:numPr>
          <w:ilvl w:val="0"/>
          <w:numId w:val="40"/>
        </w:numPr>
        <w:spacing w:line="276" w:lineRule="auto"/>
        <w:rPr>
          <w:rFonts w:cstheme="minorHAnsi"/>
        </w:rPr>
      </w:pPr>
      <w:r w:rsidRPr="00587CEE">
        <w:rPr>
          <w:rFonts w:cstheme="minorHAnsi"/>
        </w:rPr>
        <w:t>Recordkeepin</w:t>
      </w:r>
      <w:r>
        <w:rPr>
          <w:rFonts w:cstheme="minorHAnsi"/>
        </w:rPr>
        <w:t>g</w:t>
      </w:r>
    </w:p>
    <w:p w:rsidR="00BB3410" w:rsidRPr="00587CEE" w:rsidP="00587CEE" w14:paraId="42074A5E" w14:textId="576FB706">
      <w:pPr>
        <w:pStyle w:val="ListParagraph"/>
        <w:numPr>
          <w:ilvl w:val="1"/>
          <w:numId w:val="40"/>
        </w:numPr>
        <w:spacing w:line="276" w:lineRule="auto"/>
        <w:rPr>
          <w:rFonts w:cstheme="minorHAnsi"/>
        </w:rPr>
      </w:pPr>
      <w:r w:rsidRPr="00587CEE">
        <w:rPr>
          <w:rFonts w:cstheme="minorHAnsi"/>
        </w:rPr>
        <w:t>All records are to be kept for three years, except for permitting records which are to be kept for the duration of the permit, or up to five years and certain new monitoring provisions.</w:t>
      </w:r>
    </w:p>
    <w:p w:rsidR="004D59AB" w:rsidRPr="004D59AB" w:rsidP="004D59AB" w14:paraId="297FCDC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rPr>
      </w:pPr>
    </w:p>
    <w:p w:rsidR="001172FE" w:rsidRPr="00001D40" w:rsidP="00001D40" w14:paraId="7B8A0ACD" w14:textId="27119692">
      <w:pPr>
        <w:spacing w:before="120" w:after="0" w:line="276" w:lineRule="auto"/>
        <w:rPr>
          <w:rFonts w:cstheme="minorHAnsi"/>
          <w:b/>
          <w:bCs/>
        </w:rPr>
      </w:pPr>
      <w:r w:rsidRPr="00001D40">
        <w:rPr>
          <w:rFonts w:cstheme="minorHAnsi"/>
          <w:b/>
          <w:bCs/>
        </w:rPr>
        <w:t xml:space="preserve">12c. </w:t>
      </w:r>
      <w:r w:rsidRPr="00001D40" w:rsidR="00DD718B">
        <w:rPr>
          <w:rFonts w:cstheme="minorHAnsi"/>
          <w:b/>
          <w:bCs/>
        </w:rPr>
        <w:t>Respondent Activities</w:t>
      </w:r>
      <w:bookmarkStart w:id="17" w:name="_Toc156593385"/>
      <w:bookmarkEnd w:id="16"/>
    </w:p>
    <w:p w:rsidR="00587CEE" w:rsidP="0028126B" w14:paraId="15458586" w14:textId="77777777">
      <w:pPr>
        <w:pStyle w:val="ListParagraph"/>
        <w:keepNext/>
        <w:numPr>
          <w:ilvl w:val="0"/>
          <w:numId w:val="45"/>
        </w:numPr>
        <w:rPr>
          <w:rFonts w:cstheme="minorHAnsi"/>
        </w:rPr>
      </w:pPr>
      <w:r w:rsidRPr="00587CEE">
        <w:rPr>
          <w:rFonts w:cstheme="minorHAnsi"/>
        </w:rPr>
        <w:t>Allowance Transfer</w:t>
      </w:r>
      <w:r>
        <w:rPr>
          <w:rFonts w:cstheme="minorHAnsi"/>
        </w:rPr>
        <w:t>s</w:t>
      </w:r>
    </w:p>
    <w:p w:rsidR="00587CEE" w:rsidP="00587CEE" w14:paraId="24C72310" w14:textId="77777777">
      <w:pPr>
        <w:pStyle w:val="ListParagraph"/>
        <w:keepNext/>
        <w:numPr>
          <w:ilvl w:val="1"/>
          <w:numId w:val="45"/>
        </w:numPr>
        <w:rPr>
          <w:rFonts w:cstheme="minorHAnsi"/>
        </w:rPr>
      </w:pPr>
      <w:r w:rsidRPr="00587CEE">
        <w:rPr>
          <w:rFonts w:cstheme="minorHAnsi"/>
        </w:rPr>
        <w:t>P</w:t>
      </w:r>
      <w:r w:rsidRPr="00587CEE" w:rsidR="0028126B">
        <w:rPr>
          <w:rFonts w:cstheme="minorHAnsi"/>
        </w:rPr>
        <w:t>articipants in the allowance transfer system that are not affected units are required to perform two tasks: (1) negotiate an agreement to designate an authorized account representative and file an account information application to open an allowance tracking system general account, and (2) complete and submit allowance transfers. Designating an authorized account representative and filing an account information application is required one time only, prior to or concurrently with conducting the first transfer of allowances. For each transfer of allowances, participants are required to complete and submit an allowance transfer form or provide the required information using the CAMD Business System. The designated representative of an affected unit may identify the serial numbers of allowances to be deducted for annual reconciliation using the Allowance Deduction Form.</w:t>
      </w:r>
    </w:p>
    <w:p w:rsidR="0028126B" w:rsidP="00587CEE" w14:paraId="11DA10BD" w14:textId="6E754AE5">
      <w:pPr>
        <w:pStyle w:val="ListParagraph"/>
        <w:keepNext/>
        <w:numPr>
          <w:ilvl w:val="1"/>
          <w:numId w:val="45"/>
        </w:numPr>
        <w:rPr>
          <w:rFonts w:cstheme="minorHAnsi"/>
        </w:rPr>
      </w:pPr>
      <w:r w:rsidRPr="00587CEE">
        <w:rPr>
          <w:rFonts w:cstheme="minorHAnsi"/>
        </w:rPr>
        <w:t>G</w:t>
      </w:r>
      <w:r w:rsidRPr="00587CEE">
        <w:rPr>
          <w:rFonts w:cstheme="minorHAnsi"/>
        </w:rPr>
        <w:t>eneral account holders and affected units may change the authorized account representatives by submitting a subsequent allowance account information form or certificate of representation form respectively.</w:t>
      </w:r>
    </w:p>
    <w:p w:rsidR="00403A60" w:rsidRPr="00587CEE" w:rsidP="00403A60" w14:paraId="44DF917F" w14:textId="77777777">
      <w:pPr>
        <w:pStyle w:val="ListParagraph"/>
        <w:keepNext/>
        <w:ind w:left="1440"/>
        <w:rPr>
          <w:rFonts w:cstheme="minorHAnsi"/>
        </w:rPr>
      </w:pPr>
    </w:p>
    <w:p w:rsidR="00B17EFE" w:rsidP="00403A60" w14:paraId="58AC389C" w14:textId="77777777">
      <w:pPr>
        <w:pStyle w:val="ListParagraph"/>
        <w:keepNext/>
        <w:numPr>
          <w:ilvl w:val="0"/>
          <w:numId w:val="45"/>
        </w:numPr>
        <w:rPr>
          <w:rFonts w:cstheme="minorHAnsi"/>
        </w:rPr>
      </w:pPr>
      <w:r>
        <w:rPr>
          <w:rFonts w:cstheme="minorHAnsi"/>
        </w:rPr>
        <w:t>Permits</w:t>
      </w:r>
    </w:p>
    <w:p w:rsidR="00403A60" w:rsidP="00C05154" w14:paraId="70388EF2" w14:textId="613F6901">
      <w:pPr>
        <w:pStyle w:val="ListParagraph"/>
        <w:keepNext/>
        <w:numPr>
          <w:ilvl w:val="1"/>
          <w:numId w:val="45"/>
        </w:numPr>
        <w:rPr>
          <w:rFonts w:cstheme="minorHAnsi"/>
        </w:rPr>
      </w:pPr>
      <w:r w:rsidRPr="00403A60">
        <w:rPr>
          <w:rFonts w:cstheme="minorHAnsi"/>
        </w:rPr>
        <w:t xml:space="preserve">The primary tasks to obtain a permit are listed below. These tasks are performed by existing sources required to renew their permits and new units during the period covered by this ICR. In general, sources with existing units, must reapply at least six months prior to the expiration of an existing permit, but the actual timeframe is governed by the permitting authority's operating permits rules.  </w:t>
      </w:r>
    </w:p>
    <w:p w:rsidR="00403A60" w:rsidP="00C05154" w14:paraId="3DB507D6" w14:textId="77777777">
      <w:pPr>
        <w:pStyle w:val="ListParagraph"/>
        <w:keepNext/>
        <w:numPr>
          <w:ilvl w:val="2"/>
          <w:numId w:val="45"/>
        </w:numPr>
        <w:rPr>
          <w:rFonts w:cstheme="minorHAnsi"/>
        </w:rPr>
      </w:pPr>
      <w:r w:rsidRPr="00403A60">
        <w:rPr>
          <w:rFonts w:cstheme="minorHAnsi"/>
          <w:u w:val="single"/>
        </w:rPr>
        <w:t>Designate a representative of the owners and operators of a source</w:t>
      </w:r>
      <w:r w:rsidRPr="00403A60">
        <w:rPr>
          <w:rFonts w:cstheme="minorHAnsi"/>
        </w:rPr>
        <w:t>. Read the designated representative certification procedures. Negotiate an agreement to designate a representative for each unit at a source. Complete and submit the certification. This task is only relevant for a new source or if a source changes the designated representative.</w:t>
      </w:r>
    </w:p>
    <w:p w:rsidR="0028126B" w:rsidP="00C05154" w14:paraId="10B8C561" w14:textId="3747CE25">
      <w:pPr>
        <w:pStyle w:val="ListParagraph"/>
        <w:keepNext/>
        <w:numPr>
          <w:ilvl w:val="2"/>
          <w:numId w:val="45"/>
        </w:numPr>
        <w:rPr>
          <w:rFonts w:cstheme="minorHAnsi"/>
        </w:rPr>
      </w:pPr>
      <w:r w:rsidRPr="00403A60">
        <w:rPr>
          <w:rFonts w:cstheme="minorHAnsi"/>
          <w:u w:val="single"/>
        </w:rPr>
        <w:t>Prepare the permit application</w:t>
      </w:r>
      <w:r w:rsidRPr="00403A60">
        <w:rPr>
          <w:rFonts w:cstheme="minorHAnsi"/>
        </w:rPr>
        <w:t>. Read the permit application instructions, then collect relevant information for the permit application. Complete the acid rain permit application. Where appropriate, provide specific information to support the use of compliance options for NO</w:t>
      </w:r>
      <w:r w:rsidRPr="00403A60">
        <w:rPr>
          <w:rFonts w:cstheme="minorHAnsi"/>
          <w:vertAlign w:val="subscript"/>
        </w:rPr>
        <w:t>X</w:t>
      </w:r>
      <w:r w:rsidRPr="00403A60">
        <w:rPr>
          <w:rFonts w:cstheme="minorHAnsi"/>
        </w:rPr>
        <w:t>. Review the information for accuracy and appropriateness and report the information to the permitting authority.</w:t>
      </w:r>
    </w:p>
    <w:p w:rsidR="00403A60" w:rsidRPr="00403A60" w:rsidP="00403A60" w14:paraId="0260F762" w14:textId="77777777">
      <w:pPr>
        <w:pStyle w:val="ListParagraph"/>
        <w:keepNext/>
        <w:ind w:left="1440"/>
        <w:rPr>
          <w:rFonts w:cstheme="minorHAnsi"/>
        </w:rPr>
      </w:pPr>
    </w:p>
    <w:p w:rsidR="00403A60" w:rsidP="00403A60" w14:paraId="519D97F3" w14:textId="77777777">
      <w:pPr>
        <w:pStyle w:val="ListParagraph"/>
        <w:numPr>
          <w:ilvl w:val="0"/>
          <w:numId w:val="45"/>
        </w:numPr>
        <w:rPr>
          <w:rFonts w:cstheme="minorHAnsi"/>
        </w:rPr>
      </w:pPr>
      <w:r w:rsidRPr="00403A60">
        <w:rPr>
          <w:rFonts w:cstheme="minorHAnsi"/>
        </w:rPr>
        <w:t>Emissions Monitoring</w:t>
      </w:r>
    </w:p>
    <w:p w:rsidR="0028126B" w:rsidP="00403A60" w14:paraId="2B6F8D36" w14:textId="696B3A04">
      <w:pPr>
        <w:pStyle w:val="ListParagraph"/>
        <w:numPr>
          <w:ilvl w:val="1"/>
          <w:numId w:val="45"/>
        </w:numPr>
        <w:rPr>
          <w:rFonts w:cstheme="minorHAnsi"/>
        </w:rPr>
      </w:pPr>
      <w:r w:rsidRPr="00403A60">
        <w:rPr>
          <w:rFonts w:cstheme="minorHAnsi"/>
        </w:rPr>
        <w:t xml:space="preserve">The primary tasks that are performed by respondents to meet the emissions monitoring requirements are (1) completing and submitting appropriate monitoring plans; (2) conducting tests to certify monitors and submitting test results to EPA; (3) recording hourly emissions and operational data (this activity generally is performed electronically); (4) performing operation and maintenance activities associated with the monitoring, including quality assurance activities; (5) assuring data quality, preparing quarterly reports of emissions data, and submitting these reports to EPA; and (6) responding to error messages generated by EPA as a part of automated data checks or </w:t>
      </w:r>
      <w:r w:rsidRPr="00403A60">
        <w:rPr>
          <w:rFonts w:cstheme="minorHAnsi"/>
        </w:rPr>
        <w:t xml:space="preserve">electronic audits, or to field audits conducted by EPA and the permitting authority. In addition, respondents must purchase the necessary monitoring hardware (or pay for fuel sampling and analysis in some cases) and purchase the electronic data reporting software (or software upgrades). EPA’s Emissions Collection and Monitoring Plan System (ECMPS) enables sources to run automated quality checks of reports prior to submittal to EPA and reduces the burden of having to respond to EPA generated error messages or follow-up EPA audits.  </w:t>
      </w:r>
    </w:p>
    <w:p w:rsidR="00A02FEE" w:rsidRPr="00403A60" w:rsidP="00A02FEE" w14:paraId="322354F4" w14:textId="77777777">
      <w:pPr>
        <w:pStyle w:val="ListParagraph"/>
        <w:ind w:left="1440"/>
        <w:rPr>
          <w:rFonts w:cstheme="minorHAnsi"/>
        </w:rPr>
      </w:pPr>
    </w:p>
    <w:p w:rsidR="00A02FEE" w:rsidP="00A02FEE" w14:paraId="0F2ADA7B" w14:textId="77777777">
      <w:pPr>
        <w:pStyle w:val="ListParagraph"/>
        <w:numPr>
          <w:ilvl w:val="0"/>
          <w:numId w:val="45"/>
        </w:numPr>
        <w:rPr>
          <w:rFonts w:cstheme="minorHAnsi"/>
          <w:bCs/>
        </w:rPr>
      </w:pPr>
      <w:r w:rsidRPr="00A02FEE">
        <w:rPr>
          <w:rFonts w:cstheme="minorHAnsi"/>
          <w:bCs/>
        </w:rPr>
        <w:t>Auction</w:t>
      </w:r>
      <w:r>
        <w:rPr>
          <w:rFonts w:cstheme="minorHAnsi"/>
          <w:bCs/>
        </w:rPr>
        <w:t>s</w:t>
      </w:r>
    </w:p>
    <w:p w:rsidR="0028126B" w:rsidRPr="00AF3371" w:rsidP="00A02FEE" w14:paraId="0233DDE6" w14:textId="0FB43390">
      <w:pPr>
        <w:pStyle w:val="ListParagraph"/>
        <w:numPr>
          <w:ilvl w:val="1"/>
          <w:numId w:val="45"/>
        </w:numPr>
        <w:rPr>
          <w:rFonts w:cstheme="minorHAnsi"/>
          <w:bCs/>
        </w:rPr>
      </w:pPr>
      <w:r w:rsidRPr="00A02FEE">
        <w:rPr>
          <w:rFonts w:cstheme="minorHAnsi"/>
        </w:rPr>
        <w:t xml:space="preserve">The tasks that are performed by auction participants are (1) submitting bids, which requires assessing the desired allowance quantities and prices to include in the bid; and (2) submitting payment information, which requires arranging for funds to be available to pay for any allowances acquired through successful bids. </w:t>
      </w:r>
    </w:p>
    <w:p w:rsidR="00AF3371" w:rsidRPr="00A02FEE" w:rsidP="00AF3371" w14:paraId="350BE091" w14:textId="77777777">
      <w:pPr>
        <w:pStyle w:val="ListParagraph"/>
        <w:ind w:left="1440"/>
        <w:rPr>
          <w:rFonts w:cstheme="minorHAnsi"/>
          <w:bCs/>
        </w:rPr>
      </w:pPr>
    </w:p>
    <w:p w:rsidR="0016529F" w:rsidP="00A02FEE" w14:paraId="572F1C71" w14:textId="77777777">
      <w:pPr>
        <w:pStyle w:val="ListParagraph"/>
        <w:keepNext/>
        <w:numPr>
          <w:ilvl w:val="0"/>
          <w:numId w:val="45"/>
        </w:numPr>
        <w:rPr>
          <w:rFonts w:cstheme="minorHAnsi"/>
        </w:rPr>
      </w:pPr>
      <w:r w:rsidRPr="00A02FEE">
        <w:rPr>
          <w:rFonts w:cstheme="minorHAnsi"/>
        </w:rPr>
        <w:t>NO</w:t>
      </w:r>
      <w:r w:rsidRPr="00A02FEE">
        <w:rPr>
          <w:rFonts w:cstheme="minorHAnsi"/>
          <w:vertAlign w:val="subscript"/>
        </w:rPr>
        <w:t>X</w:t>
      </w:r>
      <w:r w:rsidRPr="00A02FEE">
        <w:rPr>
          <w:rFonts w:cstheme="minorHAnsi"/>
        </w:rPr>
        <w:t xml:space="preserve"> Permitting</w:t>
      </w:r>
    </w:p>
    <w:p w:rsidR="0016529F" w:rsidP="0016529F" w14:paraId="479F3E47" w14:textId="77777777">
      <w:pPr>
        <w:pStyle w:val="ListParagraph"/>
        <w:keepNext/>
        <w:numPr>
          <w:ilvl w:val="1"/>
          <w:numId w:val="45"/>
        </w:numPr>
        <w:rPr>
          <w:rFonts w:cstheme="minorHAnsi"/>
        </w:rPr>
      </w:pPr>
      <w:r w:rsidRPr="0016529F">
        <w:rPr>
          <w:rFonts w:cstheme="minorHAnsi"/>
          <w:u w:val="single"/>
        </w:rPr>
        <w:t>Prepare the NO</w:t>
      </w:r>
      <w:r w:rsidRPr="0016529F">
        <w:rPr>
          <w:rFonts w:cstheme="minorHAnsi"/>
          <w:u w:val="single"/>
          <w:vertAlign w:val="subscript"/>
        </w:rPr>
        <w:t>X</w:t>
      </w:r>
      <w:r w:rsidRPr="0016529F">
        <w:rPr>
          <w:rFonts w:cstheme="minorHAnsi"/>
          <w:u w:val="single"/>
        </w:rPr>
        <w:t xml:space="preserve"> compliance plan application</w:t>
      </w:r>
      <w:r w:rsidRPr="0016529F">
        <w:rPr>
          <w:rFonts w:cstheme="minorHAnsi"/>
        </w:rPr>
        <w:t>. Read the application instructions, then collect relevant information. Analyze compliance options and plan compliance. Complete written forms. Review the information for accuracy and appropriateness and report the information to the permitting authority and send a copy to EPA. Preparing a NO</w:t>
      </w:r>
      <w:r w:rsidRPr="0016529F">
        <w:rPr>
          <w:rFonts w:cstheme="minorHAnsi"/>
          <w:vertAlign w:val="subscript"/>
        </w:rPr>
        <w:t>X</w:t>
      </w:r>
      <w:r w:rsidRPr="0016529F">
        <w:rPr>
          <w:rFonts w:cstheme="minorHAnsi"/>
        </w:rPr>
        <w:t xml:space="preserve"> compliance plan application may include interpreting the rule, collecting information and completing and submitting a NO</w:t>
      </w:r>
      <w:r w:rsidRPr="0016529F">
        <w:rPr>
          <w:rFonts w:cstheme="minorHAnsi"/>
          <w:vertAlign w:val="subscript"/>
        </w:rPr>
        <w:t>X</w:t>
      </w:r>
      <w:r w:rsidRPr="0016529F">
        <w:rPr>
          <w:rFonts w:cstheme="minorHAnsi"/>
        </w:rPr>
        <w:t xml:space="preserve"> averaging plan, or an AEL petition.</w:t>
      </w:r>
    </w:p>
    <w:p w:rsidR="0028126B" w:rsidRPr="0016529F" w:rsidP="0016529F" w14:paraId="60F8BB8E" w14:textId="59FFDBC7">
      <w:pPr>
        <w:pStyle w:val="ListParagraph"/>
        <w:keepNext/>
        <w:numPr>
          <w:ilvl w:val="1"/>
          <w:numId w:val="45"/>
        </w:numPr>
        <w:rPr>
          <w:rFonts w:cstheme="minorHAnsi"/>
        </w:rPr>
      </w:pPr>
      <w:r w:rsidRPr="0016529F">
        <w:rPr>
          <w:rFonts w:cstheme="minorHAnsi"/>
        </w:rPr>
        <w:t>Because each source must renew its Acid Rain permit every five years, EPA assumes the tasks for permitting will be performed by 20 percent of all NO</w:t>
      </w:r>
      <w:r w:rsidRPr="0016529F">
        <w:rPr>
          <w:rFonts w:cstheme="minorHAnsi"/>
          <w:vertAlign w:val="subscript"/>
        </w:rPr>
        <w:t>X</w:t>
      </w:r>
      <w:r w:rsidRPr="0016529F">
        <w:rPr>
          <w:rFonts w:cstheme="minorHAnsi"/>
        </w:rPr>
        <w:t xml:space="preserve">-affected sources annually, in accordance with Section 408.  </w:t>
      </w:r>
    </w:p>
    <w:p w:rsidR="0028126B" w:rsidP="0028126B" w14:paraId="414033F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D92ED6" w:rsidRPr="00001D40" w:rsidP="00001D40" w14:paraId="0B6BE1C2" w14:textId="3F49A8F0">
      <w:pPr>
        <w:spacing w:before="120" w:after="0" w:line="276" w:lineRule="auto"/>
        <w:rPr>
          <w:rFonts w:cstheme="minorHAnsi"/>
          <w:b/>
          <w:bCs/>
        </w:rPr>
      </w:pPr>
      <w:r w:rsidRPr="00001D40">
        <w:rPr>
          <w:rFonts w:cstheme="minorHAnsi"/>
          <w:b/>
          <w:bCs/>
        </w:rPr>
        <w:t xml:space="preserve">12d. </w:t>
      </w:r>
      <w:r w:rsidRPr="00001D40">
        <w:rPr>
          <w:rFonts w:cstheme="minorHAnsi"/>
          <w:b/>
          <w:bCs/>
        </w:rPr>
        <w:t xml:space="preserve">Respondent </w:t>
      </w:r>
      <w:r w:rsidRPr="00001D40" w:rsidR="00BB2B15">
        <w:rPr>
          <w:rFonts w:cstheme="minorHAnsi"/>
          <w:b/>
          <w:bCs/>
        </w:rPr>
        <w:t xml:space="preserve">Burden </w:t>
      </w:r>
      <w:r w:rsidRPr="00001D40" w:rsidR="00B666CD">
        <w:rPr>
          <w:rFonts w:cstheme="minorHAnsi"/>
          <w:b/>
          <w:bCs/>
        </w:rPr>
        <w:t>Hour</w:t>
      </w:r>
      <w:r w:rsidRPr="00001D40" w:rsidR="00BB2B15">
        <w:rPr>
          <w:rFonts w:cstheme="minorHAnsi"/>
          <w:b/>
          <w:bCs/>
        </w:rPr>
        <w:t>s</w:t>
      </w:r>
      <w:r w:rsidRPr="00001D40" w:rsidR="00B666CD">
        <w:rPr>
          <w:rFonts w:cstheme="minorHAnsi"/>
          <w:b/>
          <w:bCs/>
        </w:rPr>
        <w:t xml:space="preserve"> and Labor </w:t>
      </w:r>
      <w:bookmarkEnd w:id="17"/>
      <w:r w:rsidRPr="00001D40" w:rsidR="00BB2B15">
        <w:rPr>
          <w:rFonts w:cstheme="minorHAnsi"/>
          <w:b/>
          <w:bCs/>
        </w:rPr>
        <w:t>Costs</w:t>
      </w:r>
    </w:p>
    <w:p w:rsidR="00057F84" w:rsidRPr="00057F84" w:rsidP="00057F84" w14:paraId="21A238BF" w14:textId="18349F3A">
      <w:pPr>
        <w:numPr>
          <w:ilvl w:val="12"/>
          <w:numId w:val="0"/>
        </w:numPr>
        <w:spacing w:line="276" w:lineRule="auto"/>
        <w:rPr>
          <w:rFonts w:cstheme="minorHAnsi"/>
        </w:rPr>
      </w:pPr>
      <w:bookmarkStart w:id="18" w:name="_Toc156593386"/>
      <w:r w:rsidRPr="00057F84">
        <w:rPr>
          <w:rFonts w:cstheme="minorHAnsi"/>
        </w:rPr>
        <w:t xml:space="preserve">This section estimates the burden and cost of (1) tracking and transferring allowances, (2) </w:t>
      </w:r>
      <w:r w:rsidR="00BC7A35">
        <w:rPr>
          <w:rFonts w:cstheme="minorHAnsi"/>
        </w:rPr>
        <w:t xml:space="preserve">obtaining and issuing permits, (3) </w:t>
      </w:r>
      <w:r w:rsidRPr="00057F84">
        <w:rPr>
          <w:rFonts w:cstheme="minorHAnsi"/>
        </w:rPr>
        <w:t>submitting monitoring plans, obtaining certification of each monitor, and recording and reporting data from CEM systems, including quality assurance, (</w:t>
      </w:r>
      <w:r w:rsidR="00BC7A35">
        <w:rPr>
          <w:rFonts w:cstheme="minorHAnsi"/>
        </w:rPr>
        <w:t>4</w:t>
      </w:r>
      <w:r w:rsidRPr="00057F84">
        <w:rPr>
          <w:rFonts w:cstheme="minorHAnsi"/>
        </w:rPr>
        <w:t>) the auction program,</w:t>
      </w:r>
      <w:r w:rsidR="00D82844">
        <w:rPr>
          <w:rFonts w:cstheme="minorHAnsi"/>
        </w:rPr>
        <w:t xml:space="preserve"> </w:t>
      </w:r>
      <w:r w:rsidRPr="00057F84">
        <w:rPr>
          <w:rFonts w:cstheme="minorHAnsi"/>
        </w:rPr>
        <w:t>and (</w:t>
      </w:r>
      <w:r w:rsidR="00F577C4">
        <w:rPr>
          <w:rFonts w:cstheme="minorHAnsi"/>
        </w:rPr>
        <w:t>5</w:t>
      </w:r>
      <w:r w:rsidRPr="00057F84">
        <w:rPr>
          <w:rFonts w:cstheme="minorHAnsi"/>
        </w:rPr>
        <w:t>) NO</w:t>
      </w:r>
      <w:r w:rsidRPr="00057F84">
        <w:rPr>
          <w:rFonts w:cstheme="minorHAnsi"/>
          <w:vertAlign w:val="subscript"/>
        </w:rPr>
        <w:t>X</w:t>
      </w:r>
      <w:r w:rsidRPr="00057F84">
        <w:rPr>
          <w:rFonts w:cstheme="minorHAnsi"/>
        </w:rPr>
        <w:t xml:space="preserve"> permitting.  </w:t>
      </w:r>
    </w:p>
    <w:p w:rsidR="00057F84" w:rsidRPr="00057F84" w:rsidP="00057F84" w14:paraId="6767C037" w14:textId="45580CD5">
      <w:pPr>
        <w:spacing w:line="276" w:lineRule="auto"/>
        <w:rPr>
          <w:rFonts w:cstheme="minorHAnsi"/>
        </w:rPr>
      </w:pPr>
      <w:r w:rsidRPr="00057F84">
        <w:rPr>
          <w:rFonts w:cstheme="minorHAnsi"/>
          <w:i/>
          <w:iCs/>
        </w:rPr>
        <w:t>Labor costs</w:t>
      </w:r>
      <w:r w:rsidRPr="00057F84">
        <w:rPr>
          <w:rFonts w:cstheme="minorHAnsi"/>
        </w:rPr>
        <w:t xml:space="preserve">. In estimating labor costs for industry, EPA </w:t>
      </w:r>
      <w:r w:rsidR="007B2778">
        <w:rPr>
          <w:rFonts w:cstheme="minorHAnsi"/>
        </w:rPr>
        <w:t xml:space="preserve">is estimating </w:t>
      </w:r>
      <w:r w:rsidR="00853AA1">
        <w:rPr>
          <w:rFonts w:cstheme="minorHAnsi"/>
        </w:rPr>
        <w:t>t</w:t>
      </w:r>
      <w:r w:rsidRPr="00057F84">
        <w:rPr>
          <w:rFonts w:cstheme="minorHAnsi"/>
        </w:rPr>
        <w:t>he following amounts: $</w:t>
      </w:r>
      <w:r w:rsidR="008B03DF">
        <w:rPr>
          <w:rFonts w:cstheme="minorHAnsi"/>
        </w:rPr>
        <w:t>123.48</w:t>
      </w:r>
      <w:r w:rsidRPr="00057F84">
        <w:rPr>
          <w:rFonts w:cstheme="minorHAnsi"/>
        </w:rPr>
        <w:t xml:space="preserve"> per hour for managers and $</w:t>
      </w:r>
      <w:r w:rsidR="00BB074A">
        <w:rPr>
          <w:rFonts w:cstheme="minorHAnsi"/>
        </w:rPr>
        <w:t>88.80</w:t>
      </w:r>
      <w:r w:rsidRPr="00057F84">
        <w:rPr>
          <w:rFonts w:cstheme="minorHAnsi"/>
        </w:rPr>
        <w:t xml:space="preserve"> per hour for technicians. EPA </w:t>
      </w:r>
      <w:r w:rsidR="00853AA1">
        <w:rPr>
          <w:rFonts w:cstheme="minorHAnsi"/>
        </w:rPr>
        <w:t xml:space="preserve">estimates are based on </w:t>
      </w:r>
      <w:r w:rsidRPr="00057F84">
        <w:rPr>
          <w:rFonts w:cstheme="minorHAnsi"/>
        </w:rPr>
        <w:t>the Bureau of Labor Statistics (BLS) Employment Cost Index (ECI) to adjust labor rates to current year dollars.</w:t>
      </w:r>
    </w:p>
    <w:p w:rsidR="00057F84" w:rsidRPr="00057F84" w:rsidP="00057F84" w14:paraId="1245ED1A" w14:textId="6227686E">
      <w:pPr>
        <w:spacing w:line="276" w:lineRule="auto"/>
        <w:rPr>
          <w:rFonts w:cstheme="minorHAnsi"/>
        </w:rPr>
      </w:pPr>
      <w:r w:rsidRPr="00057F84">
        <w:rPr>
          <w:rFonts w:cstheme="minorHAnsi"/>
        </w:rPr>
        <w:t>The respondent labor costs were adjusted based on the percent difference in the Employment Cost Index from September 20</w:t>
      </w:r>
      <w:r w:rsidR="00BB074A">
        <w:rPr>
          <w:rFonts w:cstheme="minorHAnsi"/>
        </w:rPr>
        <w:t>20</w:t>
      </w:r>
      <w:r w:rsidRPr="00057F84">
        <w:rPr>
          <w:rFonts w:cstheme="minorHAnsi"/>
        </w:rPr>
        <w:t xml:space="preserve"> (time of previous ICR data) to </w:t>
      </w:r>
      <w:r w:rsidR="00BB074A">
        <w:rPr>
          <w:rFonts w:cstheme="minorHAnsi"/>
        </w:rPr>
        <w:t>March 2024</w:t>
      </w:r>
      <w:r w:rsidRPr="00057F84">
        <w:rPr>
          <w:rFonts w:cstheme="minorHAnsi"/>
        </w:rPr>
        <w:t xml:space="preserve"> (most current data available). The Employment Cost Index values were obtained from </w:t>
      </w:r>
      <w:r w:rsidR="008D0E7C">
        <w:rPr>
          <w:rFonts w:cstheme="minorHAnsi"/>
        </w:rPr>
        <w:t xml:space="preserve">the historical dataset </w:t>
      </w:r>
      <w:r w:rsidR="00A256E9">
        <w:rPr>
          <w:rFonts w:cstheme="minorHAnsi"/>
        </w:rPr>
        <w:t xml:space="preserve">titled </w:t>
      </w:r>
      <w:r w:rsidRPr="00057F84">
        <w:rPr>
          <w:rFonts w:cstheme="minorHAnsi"/>
        </w:rPr>
        <w:t>“</w:t>
      </w:r>
      <w:r w:rsidR="00C31A76">
        <w:rPr>
          <w:rFonts w:cstheme="minorHAnsi"/>
        </w:rPr>
        <w:t>Continuous Data 1975</w:t>
      </w:r>
      <w:r w:rsidR="008D0E7C">
        <w:rPr>
          <w:rFonts w:cstheme="minorHAnsi"/>
        </w:rPr>
        <w:t xml:space="preserve"> – Present” </w:t>
      </w:r>
      <w:r w:rsidR="00A256E9">
        <w:rPr>
          <w:rFonts w:cstheme="minorHAnsi"/>
        </w:rPr>
        <w:t xml:space="preserve">found at </w:t>
      </w:r>
      <w:hyperlink r:id="rId9" w:history="1">
        <w:r w:rsidRPr="005C7067" w:rsidR="00BC14D3">
          <w:rPr>
            <w:rStyle w:val="Hyperlink"/>
            <w:rFonts w:cstheme="minorHAnsi"/>
          </w:rPr>
          <w:t>https://www.bls.gov/eci/tables.htm</w:t>
        </w:r>
      </w:hyperlink>
      <w:r w:rsidR="00BC14D3">
        <w:rPr>
          <w:rFonts w:cstheme="minorHAnsi"/>
        </w:rPr>
        <w:t xml:space="preserve">. </w:t>
      </w:r>
      <w:r w:rsidRPr="00057F84">
        <w:rPr>
          <w:rFonts w:cstheme="minorHAnsi"/>
        </w:rPr>
        <w:t xml:space="preserve">The managerial per hour cost is based on the Employment Cost Index listed under </w:t>
      </w:r>
      <w:r w:rsidR="003F474A">
        <w:rPr>
          <w:rFonts w:cstheme="minorHAnsi"/>
        </w:rPr>
        <w:t>“Private Industry”</w:t>
      </w:r>
      <w:r w:rsidR="007417ED">
        <w:rPr>
          <w:rFonts w:cstheme="minorHAnsi"/>
        </w:rPr>
        <w:t xml:space="preserve">, </w:t>
      </w:r>
      <w:r w:rsidRPr="00057F84">
        <w:rPr>
          <w:rFonts w:cstheme="minorHAnsi"/>
        </w:rPr>
        <w:t>“Management, business, and financial” and “</w:t>
      </w:r>
      <w:r w:rsidR="007417ED">
        <w:rPr>
          <w:rFonts w:cstheme="minorHAnsi"/>
        </w:rPr>
        <w:t>Total Compensation”</w:t>
      </w:r>
      <w:r w:rsidR="006C168D">
        <w:rPr>
          <w:rFonts w:cstheme="minorHAnsi"/>
        </w:rPr>
        <w:t>.</w:t>
      </w:r>
      <w:r w:rsidRPr="00057F84">
        <w:rPr>
          <w:rFonts w:cstheme="minorHAnsi"/>
        </w:rPr>
        <w:t xml:space="preserve"> The technical per hour cost is based on the Employment Cost Index listed under “Professional and related”. Among the occupations categories that are listed, these most closely matched to the managerial and technical work performed under this ICR.  </w:t>
      </w:r>
    </w:p>
    <w:p w:rsidR="0016529F" w:rsidP="00057F84" w14:paraId="3BAFB97A" w14:textId="2143F050">
      <w:pPr>
        <w:numPr>
          <w:ilvl w:val="12"/>
          <w:numId w:val="0"/>
        </w:numPr>
        <w:spacing w:line="276" w:lineRule="auto"/>
        <w:rPr>
          <w:rFonts w:cstheme="minorHAnsi"/>
        </w:rPr>
      </w:pPr>
      <w:r w:rsidRPr="00057F84">
        <w:rPr>
          <w:rFonts w:cstheme="minorHAnsi"/>
        </w:rPr>
        <w:t>The labor rate used for technical staff at state agencies is $</w:t>
      </w:r>
      <w:r w:rsidR="00C06653">
        <w:rPr>
          <w:rFonts w:cstheme="minorHAnsi"/>
        </w:rPr>
        <w:t>61</w:t>
      </w:r>
      <w:r w:rsidR="007D0D06">
        <w:rPr>
          <w:rFonts w:cstheme="minorHAnsi"/>
        </w:rPr>
        <w:t>.27</w:t>
      </w:r>
      <w:r w:rsidRPr="00057F84">
        <w:rPr>
          <w:rFonts w:cstheme="minorHAnsi"/>
        </w:rPr>
        <w:t xml:space="preserve"> per hour, and the labor rate for managerial employees at state agencies is $</w:t>
      </w:r>
      <w:r w:rsidR="007D0D06">
        <w:rPr>
          <w:rFonts w:cstheme="minorHAnsi"/>
        </w:rPr>
        <w:t>72.72</w:t>
      </w:r>
      <w:r w:rsidRPr="00057F84">
        <w:rPr>
          <w:rFonts w:cstheme="minorHAnsi"/>
        </w:rPr>
        <w:t xml:space="preserve">.  These labor rates include benefits and </w:t>
      </w:r>
      <w:r w:rsidRPr="00057F84" w:rsidR="00F577C4">
        <w:rPr>
          <w:rFonts w:cstheme="minorHAnsi"/>
        </w:rPr>
        <w:t>overhead and</w:t>
      </w:r>
      <w:r w:rsidRPr="00057F84">
        <w:rPr>
          <w:rFonts w:cstheme="minorHAnsi"/>
        </w:rPr>
        <w:t xml:space="preserve"> are derived from data on the Bureau of Labor Statistics website at </w:t>
      </w:r>
      <w:hyperlink r:id="rId10" w:history="1">
        <w:r w:rsidRPr="00057F84">
          <w:rPr>
            <w:rFonts w:cstheme="minorHAnsi"/>
            <w:color w:val="0563C1" w:themeColor="hyperlink"/>
            <w:u w:val="single"/>
          </w:rPr>
          <w:t>http://stats.bls.gov/news.release/ecec.toc.htm</w:t>
        </w:r>
      </w:hyperlink>
      <w:r w:rsidRPr="00057F84">
        <w:rPr>
          <w:rFonts w:cstheme="minorHAnsi"/>
        </w:rPr>
        <w:t>.  Wage and salary rates are shown at the link “Table 3:  State and local government, by major occupation and industry group (</w:t>
      </w:r>
      <w:r w:rsidR="00A477F2">
        <w:rPr>
          <w:rFonts w:cstheme="minorHAnsi"/>
        </w:rPr>
        <w:t>March 2024</w:t>
      </w:r>
      <w:r w:rsidRPr="00057F84">
        <w:rPr>
          <w:rFonts w:cstheme="minorHAnsi"/>
        </w:rPr>
        <w:t xml:space="preserve">)."  The wage and salary rates from this table account for benefits provided to workers.  </w:t>
      </w:r>
    </w:p>
    <w:p w:rsidR="0016529F" w:rsidP="0016529F" w14:paraId="438E1017" w14:textId="542664A3">
      <w:pPr>
        <w:pStyle w:val="ListParagraph"/>
        <w:numPr>
          <w:ilvl w:val="0"/>
          <w:numId w:val="46"/>
        </w:numPr>
        <w:spacing w:line="276" w:lineRule="auto"/>
        <w:rPr>
          <w:rFonts w:cstheme="minorHAnsi"/>
        </w:rPr>
      </w:pPr>
      <w:r>
        <w:rPr>
          <w:rFonts w:cstheme="minorHAnsi"/>
        </w:rPr>
        <w:t>Allowance Transfers and Deductions</w:t>
      </w:r>
    </w:p>
    <w:p w:rsidR="0016529F" w:rsidP="00057F84" w14:paraId="09408AAA" w14:textId="77777777">
      <w:pPr>
        <w:pStyle w:val="ListParagraph"/>
        <w:numPr>
          <w:ilvl w:val="1"/>
          <w:numId w:val="46"/>
        </w:numPr>
        <w:spacing w:line="276" w:lineRule="auto"/>
        <w:rPr>
          <w:rFonts w:cstheme="minorHAnsi"/>
        </w:rPr>
      </w:pPr>
      <w:r w:rsidRPr="0016529F">
        <w:rPr>
          <w:rFonts w:cstheme="minorHAnsi"/>
        </w:rPr>
        <w:t xml:space="preserve">Labor burden and costs for collections associated with tracking and transferring allowances are functions of the number of transfers anticipated. Based on the number of transfers recorded by EPA in </w:t>
      </w:r>
      <w:r w:rsidRPr="0016529F" w:rsidR="00B21F97">
        <w:rPr>
          <w:rFonts w:cstheme="minorHAnsi"/>
        </w:rPr>
        <w:t>2021 through 202</w:t>
      </w:r>
      <w:r w:rsidRPr="0016529F" w:rsidR="00F65702">
        <w:rPr>
          <w:rFonts w:cstheme="minorHAnsi"/>
        </w:rPr>
        <w:t>4</w:t>
      </w:r>
      <w:r w:rsidRPr="0016529F">
        <w:rPr>
          <w:rFonts w:cstheme="minorHAnsi"/>
        </w:rPr>
        <w:t xml:space="preserve">, EPA assumes that about </w:t>
      </w:r>
      <w:r w:rsidRPr="0016529F" w:rsidR="006C3704">
        <w:rPr>
          <w:rFonts w:cstheme="minorHAnsi"/>
        </w:rPr>
        <w:t>517</w:t>
      </w:r>
      <w:r w:rsidRPr="0016529F">
        <w:rPr>
          <w:rFonts w:cstheme="minorHAnsi"/>
        </w:rPr>
        <w:t xml:space="preserve"> privately submitted allowance transfers will be made each year, </w:t>
      </w:r>
      <w:r w:rsidRPr="0016529F" w:rsidR="00F15585">
        <w:rPr>
          <w:rFonts w:cstheme="minorHAnsi"/>
        </w:rPr>
        <w:t xml:space="preserve">over the next three years. </w:t>
      </w:r>
    </w:p>
    <w:p w:rsidR="009B2F03" w:rsidP="009B2F03" w14:paraId="77EFED7B" w14:textId="7E4C268F">
      <w:pPr>
        <w:pStyle w:val="ListParagraph"/>
        <w:numPr>
          <w:ilvl w:val="1"/>
          <w:numId w:val="46"/>
        </w:numPr>
        <w:spacing w:line="276" w:lineRule="auto"/>
      </w:pPr>
      <w:r w:rsidRPr="4C3223D0">
        <w:t xml:space="preserve">Affected facilities have the option of identifying specific </w:t>
      </w:r>
      <w:r w:rsidRPr="4C3223D0">
        <w:t>serially-numbered</w:t>
      </w:r>
      <w:r w:rsidRPr="4C3223D0">
        <w:t xml:space="preserve"> allowances to be deducted by EPA. Based on the number of submissions for the </w:t>
      </w:r>
      <w:r w:rsidRPr="4C3223D0" w:rsidR="00753A8A">
        <w:t>2023 and 2024</w:t>
      </w:r>
      <w:r w:rsidRPr="4C3223D0">
        <w:rPr>
          <w:highlight w:val="yellow"/>
        </w:rPr>
        <w:t xml:space="preserve"> </w:t>
      </w:r>
      <w:r w:rsidRPr="0089255B">
        <w:t xml:space="preserve">compliance periods, EPA assumes that approximately </w:t>
      </w:r>
      <w:r w:rsidRPr="0089255B" w:rsidR="00AC1CEB">
        <w:t>152</w:t>
      </w:r>
      <w:r w:rsidRPr="0089255B">
        <w:t xml:space="preserve"> affected facilities will submit optional allowance deduction information each year during the period covered by this ICR.</w:t>
      </w:r>
    </w:p>
    <w:p w:rsidR="009B2F03" w:rsidRPr="009B2F03" w:rsidP="009B2F03" w14:paraId="5C527DDC" w14:textId="77777777">
      <w:pPr>
        <w:pStyle w:val="ListParagraph"/>
        <w:numPr>
          <w:ilvl w:val="1"/>
          <w:numId w:val="46"/>
        </w:numPr>
        <w:spacing w:line="276" w:lineRule="auto"/>
        <w:rPr>
          <w:rFonts w:cstheme="minorHAnsi"/>
          <w:i/>
          <w:iCs/>
        </w:rPr>
      </w:pPr>
      <w:r w:rsidRPr="009B2F03">
        <w:rPr>
          <w:rFonts w:cstheme="minorHAnsi"/>
          <w:i/>
          <w:iCs/>
        </w:rPr>
        <w:t xml:space="preserve">Estimate of Respondent Burden and Costs for Allowance Transfers and Deductions </w:t>
      </w:r>
    </w:p>
    <w:p w:rsidR="009B2F03" w:rsidP="009B2F03" w14:paraId="43D140F5" w14:textId="77777777">
      <w:pPr>
        <w:pStyle w:val="ListParagraph"/>
        <w:numPr>
          <w:ilvl w:val="2"/>
          <w:numId w:val="46"/>
        </w:numPr>
        <w:spacing w:line="276" w:lineRule="auto"/>
        <w:rPr>
          <w:rFonts w:cstheme="minorHAnsi"/>
        </w:rPr>
      </w:pPr>
      <w:r w:rsidRPr="009B2F03">
        <w:rPr>
          <w:rFonts w:cstheme="minorHAnsi"/>
        </w:rPr>
        <w:t xml:space="preserve">Table </w:t>
      </w:r>
      <w:r w:rsidRPr="009B2F03" w:rsidR="004D0EC1">
        <w:rPr>
          <w:rFonts w:cstheme="minorHAnsi"/>
        </w:rPr>
        <w:t>12</w:t>
      </w:r>
      <w:r w:rsidRPr="009B2F03">
        <w:rPr>
          <w:rFonts w:cstheme="minorHAnsi"/>
        </w:rPr>
        <w:t>.1 presents the annual burden and costs to participants in allowance transfers and deductions. Participants that are not affected units are required to negotiate an agreement to designate an authorized account representative and file a new account application; this activity is required only one time, prior to or simultaneously with the participant's first transfer of allowances. All participants are required to complete and submit allowance transfer information for each transfer of allowances. EPA estimates about ten hours to designate an authorized account representative and to open a general account, about two hours to prepare and submit information for an allowance transfer, and about three hours to prepare and submit an optional allowance deduction.</w:t>
      </w:r>
    </w:p>
    <w:p w:rsidR="002E41BC" w:rsidRPr="00D47A32" w:rsidP="00D47A32" w14:paraId="30E22B25" w14:textId="7786A635">
      <w:pPr>
        <w:pStyle w:val="ListParagraph"/>
        <w:numPr>
          <w:ilvl w:val="2"/>
          <w:numId w:val="46"/>
        </w:numPr>
        <w:spacing w:line="276" w:lineRule="auto"/>
        <w:rPr>
          <w:rFonts w:cstheme="minorHAnsi"/>
        </w:rPr>
      </w:pPr>
      <w:r w:rsidRPr="009B2F03">
        <w:rPr>
          <w:rFonts w:cstheme="minorHAnsi"/>
        </w:rPr>
        <w:t>EPA averaged the previous three years number of applications to establish new general accounts (</w:t>
      </w:r>
      <w:r w:rsidR="00E80820">
        <w:rPr>
          <w:rFonts w:cstheme="minorHAnsi"/>
        </w:rPr>
        <w:t>21</w:t>
      </w:r>
      <w:r w:rsidRPr="009B2F03">
        <w:rPr>
          <w:rFonts w:cstheme="minorHAnsi"/>
        </w:rPr>
        <w:t xml:space="preserve">) and assumed that </w:t>
      </w:r>
      <w:r w:rsidR="0045264D">
        <w:rPr>
          <w:rFonts w:cstheme="minorHAnsi"/>
        </w:rPr>
        <w:t>3</w:t>
      </w:r>
      <w:r w:rsidRPr="009B2F03">
        <w:rPr>
          <w:rFonts w:cstheme="minorHAnsi"/>
        </w:rPr>
        <w:t>% of all active general accounts (</w:t>
      </w:r>
      <w:r w:rsidR="00E80820">
        <w:rPr>
          <w:rFonts w:cstheme="minorHAnsi"/>
        </w:rPr>
        <w:t>47</w:t>
      </w:r>
      <w:r w:rsidRPr="009B2F03">
        <w:rPr>
          <w:rFonts w:cstheme="minorHAnsi"/>
        </w:rPr>
        <w:t xml:space="preserve">) will submit a revised application.  </w:t>
      </w:r>
      <w:r w:rsidRPr="009B2F03">
        <w:rPr>
          <w:rFonts w:cstheme="minorHAnsi"/>
        </w:rPr>
        <w:t>Assuming that</w:t>
      </w:r>
      <w:r w:rsidRPr="009B2F03">
        <w:rPr>
          <w:rFonts w:cstheme="minorHAnsi"/>
        </w:rPr>
        <w:t xml:space="preserve"> </w:t>
      </w:r>
      <w:r w:rsidR="00E80820">
        <w:rPr>
          <w:rFonts w:cstheme="minorHAnsi"/>
        </w:rPr>
        <w:t>68</w:t>
      </w:r>
      <w:r w:rsidRPr="009B2F03">
        <w:rPr>
          <w:rFonts w:cstheme="minorHAnsi"/>
        </w:rPr>
        <w:t xml:space="preserve"> participants will file new or revised general account applications, </w:t>
      </w:r>
      <w:r w:rsidR="00F827B4">
        <w:rPr>
          <w:rFonts w:cstheme="minorHAnsi"/>
        </w:rPr>
        <w:t>517</w:t>
      </w:r>
      <w:r w:rsidRPr="009B2F03">
        <w:rPr>
          <w:rFonts w:cstheme="minorHAnsi"/>
        </w:rPr>
        <w:t xml:space="preserve"> transfers will be made annually, and </w:t>
      </w:r>
      <w:r w:rsidR="00C27159">
        <w:rPr>
          <w:rFonts w:cstheme="minorHAnsi"/>
        </w:rPr>
        <w:t>152</w:t>
      </w:r>
      <w:r w:rsidRPr="009B2F03">
        <w:rPr>
          <w:rFonts w:cstheme="minorHAnsi"/>
        </w:rPr>
        <w:t xml:space="preserve"> deduction forms are submitted, the burden to respondents will be about </w:t>
      </w:r>
      <w:r w:rsidRPr="0089255B">
        <w:rPr>
          <w:rFonts w:cstheme="minorHAnsi"/>
        </w:rPr>
        <w:t>3,192 hours annually. The cost to respondents will be about $285,684 annuall</w:t>
      </w:r>
      <w:r w:rsidRPr="0089255B" w:rsidR="00D47A32">
        <w:rPr>
          <w:rFonts w:cstheme="minorHAnsi"/>
        </w:rPr>
        <w:t>y.</w:t>
      </w:r>
    </w:p>
    <w:p w:rsidR="00057F84" w:rsidRPr="00057F84" w:rsidP="00057F84" w14:paraId="3FBA3D3B" w14:textId="2D15EF77">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bCs/>
        </w:rPr>
      </w:pPr>
      <w:r w:rsidRPr="008B0750">
        <w:rPr>
          <w:rFonts w:cstheme="minorHAnsi"/>
          <w:bCs/>
        </w:rPr>
        <w:t>Table 1</w:t>
      </w:r>
      <w:r w:rsidRPr="008B0750" w:rsidR="00F74279">
        <w:rPr>
          <w:rFonts w:cstheme="minorHAnsi"/>
          <w:bCs/>
        </w:rPr>
        <w:t>2.1</w:t>
      </w:r>
      <w:r w:rsidRPr="008B0750">
        <w:rPr>
          <w:rFonts w:cstheme="minorHAnsi"/>
          <w:bCs/>
        </w:rPr>
        <w:t>: Respondent Burden/Cost Estimates for Allowance Transfers and Deductions</w:t>
      </w:r>
    </w:p>
    <w:tbl>
      <w:tblPr>
        <w:tblW w:w="8326" w:type="dxa"/>
        <w:jc w:val="center"/>
        <w:tblLayout w:type="fixed"/>
        <w:tblCellMar>
          <w:top w:w="72" w:type="dxa"/>
          <w:left w:w="72" w:type="dxa"/>
          <w:bottom w:w="72" w:type="dxa"/>
          <w:right w:w="72" w:type="dxa"/>
        </w:tblCellMar>
        <w:tblLook w:val="0000"/>
      </w:tblPr>
      <w:tblGrid>
        <w:gridCol w:w="2882"/>
        <w:gridCol w:w="1521"/>
        <w:gridCol w:w="1282"/>
        <w:gridCol w:w="1440"/>
        <w:gridCol w:w="1201"/>
      </w:tblGrid>
      <w:tr w14:paraId="19A8CC8C" w14:textId="77777777" w:rsidTr="00D47A32">
        <w:tblPrEx>
          <w:tblW w:w="8326" w:type="dxa"/>
          <w:jc w:val="center"/>
          <w:tblLayout w:type="fixed"/>
          <w:tblCellMar>
            <w:top w:w="72" w:type="dxa"/>
            <w:left w:w="72" w:type="dxa"/>
            <w:bottom w:w="72" w:type="dxa"/>
            <w:right w:w="72" w:type="dxa"/>
          </w:tblCellMar>
          <w:tblLook w:val="0000"/>
        </w:tblPrEx>
        <w:trPr>
          <w:trHeight w:val="739"/>
          <w:jc w:val="center"/>
        </w:trPr>
        <w:tc>
          <w:tcPr>
            <w:tcW w:w="2882" w:type="dxa"/>
            <w:tcBorders>
              <w:top w:val="double" w:sz="6" w:space="0" w:color="auto"/>
              <w:left w:val="double" w:sz="6" w:space="0" w:color="auto"/>
              <w:bottom w:val="single" w:sz="6" w:space="0" w:color="auto"/>
              <w:right w:val="nil"/>
            </w:tcBorders>
            <w:shd w:val="clear" w:color="auto" w:fill="auto"/>
            <w:vAlign w:val="bottom"/>
          </w:tcPr>
          <w:p w:rsidR="00057F84" w:rsidRPr="00D47A32" w:rsidP="00057F84" w14:paraId="66CBE3B6" w14:textId="77777777">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b/>
              </w:rPr>
            </w:pPr>
            <w:r w:rsidRPr="00D47A32">
              <w:rPr>
                <w:rFonts w:cstheme="minorHAnsi"/>
                <w:b/>
              </w:rPr>
              <w:t>Tasks</w:t>
            </w:r>
          </w:p>
        </w:tc>
        <w:tc>
          <w:tcPr>
            <w:tcW w:w="1521" w:type="dxa"/>
            <w:tcBorders>
              <w:top w:val="double" w:sz="6" w:space="0" w:color="auto"/>
              <w:left w:val="single" w:sz="6" w:space="0" w:color="auto"/>
              <w:bottom w:val="single" w:sz="6" w:space="0" w:color="auto"/>
              <w:right w:val="nil"/>
            </w:tcBorders>
            <w:shd w:val="clear" w:color="auto" w:fill="auto"/>
            <w:vAlign w:val="bottom"/>
          </w:tcPr>
          <w:p w:rsidR="00057F84" w:rsidRPr="00D47A32" w:rsidP="00057F84" w14:paraId="36EBB0CF" w14:textId="77777777">
            <w:pPr>
              <w:keepNext/>
              <w:numPr>
                <w:ilvl w:val="12"/>
                <w:numId w:val="0"/>
              </w:numPr>
              <w:spacing w:line="276" w:lineRule="auto"/>
              <w:jc w:val="center"/>
              <w:rPr>
                <w:rFonts w:cstheme="minorHAnsi"/>
                <w:b/>
              </w:rPr>
            </w:pPr>
            <w:r w:rsidRPr="00D47A32">
              <w:rPr>
                <w:rFonts w:cstheme="minorHAnsi"/>
                <w:b/>
              </w:rPr>
              <w:t>Burden hours</w:t>
            </w:r>
          </w:p>
          <w:p w:rsidR="00057F84" w:rsidRPr="00D47A32" w:rsidP="00057F84" w14:paraId="0AEABA10" w14:textId="77777777">
            <w:pPr>
              <w:keepNext/>
              <w:numPr>
                <w:ilvl w:val="12"/>
                <w:numId w:val="0"/>
              </w:numPr>
              <w:spacing w:line="276" w:lineRule="auto"/>
              <w:jc w:val="center"/>
              <w:rPr>
                <w:rFonts w:cstheme="minorHAnsi"/>
                <w:b/>
              </w:rPr>
            </w:pPr>
            <w:r w:rsidRPr="00D47A32">
              <w:rPr>
                <w:rFonts w:cstheme="minorHAnsi"/>
                <w:b/>
              </w:rPr>
              <w:t>per occurrence</w:t>
            </w:r>
          </w:p>
        </w:tc>
        <w:tc>
          <w:tcPr>
            <w:tcW w:w="1281" w:type="dxa"/>
            <w:tcBorders>
              <w:top w:val="double" w:sz="6" w:space="0" w:color="auto"/>
              <w:left w:val="single" w:sz="6" w:space="0" w:color="auto"/>
              <w:bottom w:val="single" w:sz="6" w:space="0" w:color="auto"/>
              <w:right w:val="nil"/>
            </w:tcBorders>
            <w:shd w:val="clear" w:color="auto" w:fill="auto"/>
            <w:vAlign w:val="bottom"/>
          </w:tcPr>
          <w:p w:rsidR="00057F84" w:rsidRPr="00D47A32" w:rsidP="00057F84" w14:paraId="69F0A883"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b/>
                <w:bCs/>
              </w:rPr>
            </w:pPr>
            <w:r w:rsidRPr="00D47A32">
              <w:rPr>
                <w:rFonts w:cstheme="minorHAnsi"/>
                <w:b/>
                <w:bCs/>
              </w:rPr>
              <w:t xml:space="preserve">Cost per </w:t>
            </w:r>
            <w:r w:rsidRPr="00D47A32">
              <w:rPr>
                <w:rFonts w:cstheme="minorHAnsi"/>
                <w:b/>
                <w:bCs/>
              </w:rPr>
              <w:t>occurrence</w:t>
            </w:r>
            <w:r w:rsidRPr="00D47A32">
              <w:rPr>
                <w:rFonts w:cstheme="minorHAnsi"/>
                <w:b/>
                <w:bCs/>
                <w:vertAlign w:val="superscript"/>
              </w:rPr>
              <w:t>a</w:t>
            </w:r>
          </w:p>
        </w:tc>
        <w:tc>
          <w:tcPr>
            <w:tcW w:w="1440" w:type="dxa"/>
            <w:tcBorders>
              <w:top w:val="double" w:sz="6" w:space="0" w:color="auto"/>
              <w:left w:val="single" w:sz="6" w:space="0" w:color="auto"/>
              <w:bottom w:val="single" w:sz="6" w:space="0" w:color="auto"/>
              <w:right w:val="nil"/>
            </w:tcBorders>
            <w:shd w:val="clear" w:color="auto" w:fill="auto"/>
            <w:vAlign w:val="bottom"/>
          </w:tcPr>
          <w:p w:rsidR="00057F84" w:rsidRPr="00D47A32" w:rsidP="00057F84" w14:paraId="507DAC5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b/>
                <w:bCs/>
              </w:rPr>
            </w:pPr>
            <w:r w:rsidRPr="00D47A32">
              <w:rPr>
                <w:rFonts w:cstheme="minorHAnsi"/>
                <w:b/>
                <w:bCs/>
              </w:rPr>
              <w:t xml:space="preserve">Total </w:t>
            </w:r>
            <w:r w:rsidRPr="00D47A32">
              <w:rPr>
                <w:rFonts w:cstheme="minorHAnsi"/>
                <w:b/>
                <w:bCs/>
              </w:rPr>
              <w:t>burden</w:t>
            </w:r>
            <w:r w:rsidRPr="00D47A32">
              <w:rPr>
                <w:rFonts w:cstheme="minorHAnsi"/>
                <w:b/>
                <w:bCs/>
                <w:vertAlign w:val="superscript"/>
              </w:rPr>
              <w:t>b</w:t>
            </w:r>
            <w:r w:rsidRPr="00D47A32">
              <w:rPr>
                <w:rFonts w:cstheme="minorHAnsi"/>
                <w:b/>
                <w:bCs/>
              </w:rPr>
              <w:t xml:space="preserve"> (hours)</w:t>
            </w:r>
          </w:p>
        </w:tc>
        <w:tc>
          <w:tcPr>
            <w:tcW w:w="1201" w:type="dxa"/>
            <w:tcBorders>
              <w:top w:val="double" w:sz="6" w:space="0" w:color="auto"/>
              <w:left w:val="single" w:sz="6" w:space="0" w:color="auto"/>
              <w:bottom w:val="single" w:sz="6" w:space="0" w:color="auto"/>
              <w:right w:val="double" w:sz="6" w:space="0" w:color="auto"/>
            </w:tcBorders>
            <w:shd w:val="clear" w:color="auto" w:fill="auto"/>
            <w:vAlign w:val="bottom"/>
          </w:tcPr>
          <w:p w:rsidR="00057F84" w:rsidRPr="00D47A32" w:rsidP="00057F84" w14:paraId="00495E06" w14:textId="77777777">
            <w:pPr>
              <w:keepNext/>
              <w:numPr>
                <w:ilvl w:val="12"/>
                <w:numId w:val="0"/>
              </w:numPr>
              <w:spacing w:line="276" w:lineRule="auto"/>
              <w:jc w:val="center"/>
              <w:rPr>
                <w:rFonts w:cstheme="minorHAnsi"/>
                <w:b/>
              </w:rPr>
            </w:pPr>
            <w:r w:rsidRPr="00D47A32">
              <w:rPr>
                <w:rFonts w:cstheme="minorHAnsi"/>
                <w:b/>
              </w:rPr>
              <w:t>Total cost</w:t>
            </w:r>
          </w:p>
        </w:tc>
      </w:tr>
      <w:tr w14:paraId="3352292A" w14:textId="77777777" w:rsidTr="00D47A32">
        <w:tblPrEx>
          <w:tblW w:w="8326" w:type="dxa"/>
          <w:jc w:val="center"/>
          <w:tblLayout w:type="fixed"/>
          <w:tblCellMar>
            <w:top w:w="72" w:type="dxa"/>
            <w:left w:w="72" w:type="dxa"/>
            <w:bottom w:w="72" w:type="dxa"/>
            <w:right w:w="72" w:type="dxa"/>
          </w:tblCellMar>
          <w:tblLook w:val="0000"/>
        </w:tblPrEx>
        <w:trPr>
          <w:trHeight w:val="843"/>
          <w:jc w:val="center"/>
        </w:trPr>
        <w:tc>
          <w:tcPr>
            <w:tcW w:w="2882" w:type="dxa"/>
            <w:tcBorders>
              <w:top w:val="single" w:sz="6" w:space="0" w:color="auto"/>
              <w:left w:val="double" w:sz="6" w:space="0" w:color="auto"/>
              <w:bottom w:val="nil"/>
              <w:right w:val="single" w:sz="6" w:space="0" w:color="auto"/>
            </w:tcBorders>
          </w:tcPr>
          <w:p w:rsidR="00057F84" w:rsidRPr="00D47A32" w:rsidP="00057F84" w14:paraId="7BBBCB75" w14:textId="77777777">
            <w:pPr>
              <w:keepNext/>
              <w:numPr>
                <w:ilvl w:val="12"/>
                <w:numId w:val="0"/>
              </w:numPr>
              <w:spacing w:line="276" w:lineRule="auto"/>
              <w:rPr>
                <w:rFonts w:cstheme="minorHAnsi"/>
              </w:rPr>
            </w:pPr>
            <w:r w:rsidRPr="00D47A32">
              <w:rPr>
                <w:rFonts w:cstheme="minorHAnsi"/>
              </w:rPr>
              <w:t>Designate an authorized account representative and file new account application.</w:t>
            </w:r>
          </w:p>
        </w:tc>
        <w:tc>
          <w:tcPr>
            <w:tcW w:w="1521" w:type="dxa"/>
            <w:tcBorders>
              <w:top w:val="single" w:sz="6" w:space="0" w:color="auto"/>
              <w:left w:val="single" w:sz="6" w:space="0" w:color="auto"/>
              <w:bottom w:val="nil"/>
              <w:right w:val="single" w:sz="6" w:space="0" w:color="auto"/>
            </w:tcBorders>
          </w:tcPr>
          <w:p w:rsidR="00057F84" w:rsidRPr="00D47A32" w:rsidP="00057F84" w14:paraId="6E794357" w14:textId="77777777">
            <w:pPr>
              <w:keepNext/>
              <w:numPr>
                <w:ilvl w:val="12"/>
                <w:numId w:val="0"/>
              </w:numPr>
              <w:spacing w:line="276" w:lineRule="auto"/>
              <w:jc w:val="center"/>
              <w:rPr>
                <w:rFonts w:cstheme="minorHAnsi"/>
              </w:rPr>
            </w:pPr>
          </w:p>
        </w:tc>
        <w:tc>
          <w:tcPr>
            <w:tcW w:w="1281" w:type="dxa"/>
            <w:tcBorders>
              <w:top w:val="single" w:sz="6" w:space="0" w:color="auto"/>
              <w:left w:val="single" w:sz="6" w:space="0" w:color="auto"/>
              <w:bottom w:val="nil"/>
              <w:right w:val="single" w:sz="6" w:space="0" w:color="auto"/>
            </w:tcBorders>
          </w:tcPr>
          <w:p w:rsidR="00057F84" w:rsidRPr="00D47A32" w:rsidP="00057F84" w14:paraId="3D194BFA" w14:textId="77777777">
            <w:pPr>
              <w:keepNext/>
              <w:numPr>
                <w:ilvl w:val="12"/>
                <w:numId w:val="0"/>
              </w:numPr>
              <w:spacing w:line="276" w:lineRule="auto"/>
              <w:jc w:val="center"/>
              <w:rPr>
                <w:rFonts w:cstheme="minorHAnsi"/>
              </w:rPr>
            </w:pPr>
          </w:p>
        </w:tc>
        <w:tc>
          <w:tcPr>
            <w:tcW w:w="1440" w:type="dxa"/>
            <w:tcBorders>
              <w:top w:val="single" w:sz="6" w:space="0" w:color="auto"/>
              <w:left w:val="single" w:sz="6" w:space="0" w:color="auto"/>
              <w:bottom w:val="nil"/>
              <w:right w:val="single" w:sz="6" w:space="0" w:color="auto"/>
            </w:tcBorders>
          </w:tcPr>
          <w:p w:rsidR="00057F84" w:rsidRPr="00D47A32" w:rsidP="00057F84" w14:paraId="0E849AE7" w14:textId="77777777">
            <w:pPr>
              <w:keepNext/>
              <w:numPr>
                <w:ilvl w:val="12"/>
                <w:numId w:val="0"/>
              </w:numPr>
              <w:spacing w:line="276" w:lineRule="auto"/>
              <w:jc w:val="center"/>
              <w:rPr>
                <w:rFonts w:cstheme="minorHAnsi"/>
              </w:rPr>
            </w:pPr>
          </w:p>
        </w:tc>
        <w:tc>
          <w:tcPr>
            <w:tcW w:w="1201" w:type="dxa"/>
            <w:tcBorders>
              <w:top w:val="single" w:sz="6" w:space="0" w:color="auto"/>
              <w:left w:val="single" w:sz="6" w:space="0" w:color="auto"/>
              <w:bottom w:val="nil"/>
              <w:right w:val="double" w:sz="6" w:space="0" w:color="auto"/>
            </w:tcBorders>
          </w:tcPr>
          <w:p w:rsidR="00057F84" w:rsidRPr="00D47A32" w:rsidP="00057F84" w14:paraId="103744AC" w14:textId="77777777">
            <w:pPr>
              <w:keepNext/>
              <w:numPr>
                <w:ilvl w:val="12"/>
                <w:numId w:val="0"/>
              </w:numPr>
              <w:spacing w:line="276" w:lineRule="auto"/>
              <w:jc w:val="center"/>
              <w:rPr>
                <w:rFonts w:cstheme="minorHAnsi"/>
              </w:rPr>
            </w:pPr>
          </w:p>
        </w:tc>
      </w:tr>
      <w:tr w14:paraId="1B1BAB97" w14:textId="77777777" w:rsidTr="00D47A32">
        <w:tblPrEx>
          <w:tblW w:w="8326" w:type="dxa"/>
          <w:jc w:val="center"/>
          <w:tblLayout w:type="fixed"/>
          <w:tblCellMar>
            <w:top w:w="72" w:type="dxa"/>
            <w:left w:w="72" w:type="dxa"/>
            <w:bottom w:w="72" w:type="dxa"/>
            <w:right w:w="72" w:type="dxa"/>
          </w:tblCellMar>
          <w:tblLook w:val="0000"/>
        </w:tblPrEx>
        <w:trPr>
          <w:trHeight w:val="374"/>
          <w:jc w:val="center"/>
        </w:trPr>
        <w:tc>
          <w:tcPr>
            <w:tcW w:w="2882" w:type="dxa"/>
            <w:tcBorders>
              <w:top w:val="nil"/>
              <w:left w:val="double" w:sz="6" w:space="0" w:color="auto"/>
              <w:bottom w:val="nil"/>
              <w:right w:val="single" w:sz="6" w:space="0" w:color="auto"/>
            </w:tcBorders>
          </w:tcPr>
          <w:p w:rsidR="00057F84" w:rsidRPr="00D47A32" w:rsidP="00057F84" w14:paraId="72021050" w14:textId="77777777">
            <w:pPr>
              <w:keepNext/>
              <w:numPr>
                <w:ilvl w:val="12"/>
                <w:numId w:val="0"/>
              </w:numPr>
              <w:spacing w:line="276" w:lineRule="auto"/>
              <w:ind w:left="378"/>
              <w:rPr>
                <w:rFonts w:cstheme="minorHAnsi"/>
              </w:rPr>
            </w:pPr>
            <w:r w:rsidRPr="00D47A32">
              <w:rPr>
                <w:rFonts w:cstheme="minorHAnsi"/>
              </w:rPr>
              <w:t>Managerial.</w:t>
            </w:r>
          </w:p>
        </w:tc>
        <w:tc>
          <w:tcPr>
            <w:tcW w:w="1521" w:type="dxa"/>
            <w:tcBorders>
              <w:top w:val="nil"/>
              <w:left w:val="single" w:sz="6" w:space="0" w:color="auto"/>
              <w:bottom w:val="nil"/>
              <w:right w:val="single" w:sz="6" w:space="0" w:color="auto"/>
            </w:tcBorders>
            <w:vAlign w:val="bottom"/>
          </w:tcPr>
          <w:p w:rsidR="00057F84" w:rsidRPr="00D47A32" w:rsidP="00057F84" w14:paraId="5438C805" w14:textId="77777777">
            <w:pPr>
              <w:keepNext/>
              <w:numPr>
                <w:ilvl w:val="12"/>
                <w:numId w:val="0"/>
              </w:numPr>
              <w:spacing w:line="276" w:lineRule="auto"/>
              <w:jc w:val="center"/>
              <w:rPr>
                <w:rFonts w:cstheme="minorHAnsi"/>
              </w:rPr>
            </w:pPr>
            <w:r w:rsidRPr="00D47A32">
              <w:rPr>
                <w:rFonts w:cstheme="minorHAnsi"/>
              </w:rPr>
              <w:t>3</w:t>
            </w:r>
          </w:p>
        </w:tc>
        <w:tc>
          <w:tcPr>
            <w:tcW w:w="1281" w:type="dxa"/>
            <w:tcBorders>
              <w:top w:val="nil"/>
              <w:left w:val="single" w:sz="6" w:space="0" w:color="auto"/>
              <w:bottom w:val="nil"/>
              <w:right w:val="single" w:sz="6" w:space="0" w:color="auto"/>
            </w:tcBorders>
            <w:vAlign w:val="center"/>
          </w:tcPr>
          <w:p w:rsidR="00057F84" w:rsidRPr="00D47A32" w:rsidP="00057F84" w14:paraId="215E4481" w14:textId="589DB33F">
            <w:pPr>
              <w:keepNext/>
              <w:numPr>
                <w:ilvl w:val="12"/>
                <w:numId w:val="0"/>
              </w:numPr>
              <w:spacing w:line="276" w:lineRule="auto"/>
              <w:jc w:val="center"/>
              <w:rPr>
                <w:rFonts w:cstheme="minorHAnsi"/>
              </w:rPr>
            </w:pPr>
            <w:r>
              <w:rPr>
                <w:rFonts w:cstheme="minorHAnsi"/>
                <w:color w:val="000000"/>
              </w:rPr>
              <w:t>$370.44</w:t>
            </w:r>
            <w:r w:rsidRPr="00D47A32">
              <w:rPr>
                <w:rFonts w:cstheme="minorHAnsi"/>
                <w:color w:val="000000"/>
              </w:rPr>
              <w:t xml:space="preserve"> </w:t>
            </w:r>
          </w:p>
        </w:tc>
        <w:tc>
          <w:tcPr>
            <w:tcW w:w="1440" w:type="dxa"/>
            <w:tcBorders>
              <w:top w:val="nil"/>
              <w:left w:val="single" w:sz="6" w:space="0" w:color="auto"/>
              <w:bottom w:val="nil"/>
              <w:right w:val="single" w:sz="6" w:space="0" w:color="auto"/>
            </w:tcBorders>
            <w:vAlign w:val="center"/>
          </w:tcPr>
          <w:p w:rsidR="00057F84" w:rsidRPr="00D47A32" w:rsidP="00057F84" w14:paraId="3876D6CA" w14:textId="34F25A32">
            <w:pPr>
              <w:keepNext/>
              <w:numPr>
                <w:ilvl w:val="12"/>
                <w:numId w:val="0"/>
              </w:numPr>
              <w:spacing w:line="276" w:lineRule="auto"/>
              <w:jc w:val="center"/>
              <w:rPr>
                <w:rFonts w:cstheme="minorHAnsi"/>
              </w:rPr>
            </w:pPr>
            <w:r>
              <w:rPr>
                <w:rFonts w:cstheme="minorHAnsi"/>
                <w:color w:val="000000"/>
              </w:rPr>
              <w:t>204</w:t>
            </w:r>
          </w:p>
        </w:tc>
        <w:tc>
          <w:tcPr>
            <w:tcW w:w="1201" w:type="dxa"/>
            <w:tcBorders>
              <w:top w:val="nil"/>
              <w:left w:val="single" w:sz="6" w:space="0" w:color="auto"/>
              <w:bottom w:val="nil"/>
              <w:right w:val="double" w:sz="6" w:space="0" w:color="auto"/>
            </w:tcBorders>
            <w:vAlign w:val="center"/>
          </w:tcPr>
          <w:p w:rsidR="00057F84" w:rsidRPr="00D47A32" w:rsidP="00057F84" w14:paraId="421AD9A0" w14:textId="507AEFA1">
            <w:pPr>
              <w:keepNext/>
              <w:numPr>
                <w:ilvl w:val="12"/>
                <w:numId w:val="0"/>
              </w:numPr>
              <w:spacing w:line="276" w:lineRule="auto"/>
              <w:jc w:val="center"/>
              <w:rPr>
                <w:rFonts w:cstheme="minorHAnsi"/>
              </w:rPr>
            </w:pPr>
            <w:r w:rsidRPr="00D47A32">
              <w:rPr>
                <w:rFonts w:cstheme="minorHAnsi"/>
                <w:color w:val="000000"/>
              </w:rPr>
              <w:t>$</w:t>
            </w:r>
            <w:r w:rsidR="00AD29CB">
              <w:rPr>
                <w:rFonts w:cstheme="minorHAnsi"/>
                <w:color w:val="000000"/>
              </w:rPr>
              <w:t>25,190</w:t>
            </w:r>
            <w:r w:rsidRPr="00D47A32">
              <w:rPr>
                <w:rFonts w:cstheme="minorHAnsi"/>
                <w:color w:val="000000"/>
              </w:rPr>
              <w:t xml:space="preserve"> </w:t>
            </w:r>
          </w:p>
        </w:tc>
      </w:tr>
      <w:tr w14:paraId="3CB049FC" w14:textId="77777777" w:rsidTr="00D47A32">
        <w:tblPrEx>
          <w:tblW w:w="8326" w:type="dxa"/>
          <w:jc w:val="center"/>
          <w:tblLayout w:type="fixed"/>
          <w:tblCellMar>
            <w:top w:w="72" w:type="dxa"/>
            <w:left w:w="72" w:type="dxa"/>
            <w:bottom w:w="72" w:type="dxa"/>
            <w:right w:w="72" w:type="dxa"/>
          </w:tblCellMar>
          <w:tblLook w:val="0000"/>
        </w:tblPrEx>
        <w:trPr>
          <w:trHeight w:val="374"/>
          <w:jc w:val="center"/>
        </w:trPr>
        <w:tc>
          <w:tcPr>
            <w:tcW w:w="2882" w:type="dxa"/>
            <w:tcBorders>
              <w:top w:val="nil"/>
              <w:left w:val="double" w:sz="6" w:space="0" w:color="auto"/>
              <w:bottom w:val="single" w:sz="6" w:space="0" w:color="auto"/>
              <w:right w:val="single" w:sz="6" w:space="0" w:color="auto"/>
            </w:tcBorders>
          </w:tcPr>
          <w:p w:rsidR="00057F84" w:rsidRPr="00D47A32" w:rsidP="00057F84" w14:paraId="0F9278E1" w14:textId="77777777">
            <w:pPr>
              <w:keepNext/>
              <w:numPr>
                <w:ilvl w:val="12"/>
                <w:numId w:val="0"/>
              </w:numPr>
              <w:spacing w:line="276" w:lineRule="auto"/>
              <w:ind w:left="378"/>
              <w:rPr>
                <w:rFonts w:cstheme="minorHAnsi"/>
              </w:rPr>
            </w:pPr>
            <w:r w:rsidRPr="00D47A32">
              <w:rPr>
                <w:rFonts w:cstheme="minorHAnsi"/>
              </w:rPr>
              <w:t>Technical.</w:t>
            </w:r>
          </w:p>
        </w:tc>
        <w:tc>
          <w:tcPr>
            <w:tcW w:w="1521" w:type="dxa"/>
            <w:tcBorders>
              <w:top w:val="nil"/>
              <w:left w:val="single" w:sz="6" w:space="0" w:color="auto"/>
              <w:bottom w:val="single" w:sz="6" w:space="0" w:color="auto"/>
              <w:right w:val="single" w:sz="6" w:space="0" w:color="auto"/>
            </w:tcBorders>
            <w:vAlign w:val="bottom"/>
          </w:tcPr>
          <w:p w:rsidR="00057F84" w:rsidRPr="00D47A32" w:rsidP="00057F84" w14:paraId="01340BFC" w14:textId="77777777">
            <w:pPr>
              <w:keepNext/>
              <w:numPr>
                <w:ilvl w:val="12"/>
                <w:numId w:val="0"/>
              </w:numPr>
              <w:spacing w:line="276" w:lineRule="auto"/>
              <w:jc w:val="center"/>
              <w:rPr>
                <w:rFonts w:cstheme="minorHAnsi"/>
              </w:rPr>
            </w:pPr>
            <w:r w:rsidRPr="00D47A32">
              <w:rPr>
                <w:rFonts w:cstheme="minorHAnsi"/>
              </w:rPr>
              <w:t>7</w:t>
            </w:r>
          </w:p>
        </w:tc>
        <w:tc>
          <w:tcPr>
            <w:tcW w:w="1281" w:type="dxa"/>
            <w:tcBorders>
              <w:top w:val="nil"/>
              <w:left w:val="single" w:sz="6" w:space="0" w:color="auto"/>
              <w:bottom w:val="single" w:sz="6" w:space="0" w:color="auto"/>
              <w:right w:val="single" w:sz="6" w:space="0" w:color="auto"/>
            </w:tcBorders>
            <w:vAlign w:val="center"/>
          </w:tcPr>
          <w:p w:rsidR="00057F84" w:rsidRPr="00D47A32" w:rsidP="00057F84" w14:paraId="44BC7785" w14:textId="1747C790">
            <w:pPr>
              <w:keepNext/>
              <w:numPr>
                <w:ilvl w:val="12"/>
                <w:numId w:val="0"/>
              </w:numPr>
              <w:spacing w:line="276" w:lineRule="auto"/>
              <w:jc w:val="center"/>
              <w:rPr>
                <w:rFonts w:cstheme="minorHAnsi"/>
              </w:rPr>
            </w:pPr>
            <w:r w:rsidRPr="00D47A32">
              <w:rPr>
                <w:rFonts w:cstheme="minorHAnsi"/>
                <w:color w:val="000000"/>
              </w:rPr>
              <w:t>$</w:t>
            </w:r>
            <w:r w:rsidR="00DC50D9">
              <w:rPr>
                <w:rFonts w:cstheme="minorHAnsi"/>
                <w:color w:val="000000"/>
              </w:rPr>
              <w:t>621.60</w:t>
            </w:r>
            <w:r w:rsidRPr="00D47A32">
              <w:rPr>
                <w:rFonts w:cstheme="minorHAnsi"/>
                <w:color w:val="000000"/>
              </w:rPr>
              <w:t xml:space="preserve"> </w:t>
            </w:r>
          </w:p>
        </w:tc>
        <w:tc>
          <w:tcPr>
            <w:tcW w:w="1440" w:type="dxa"/>
            <w:tcBorders>
              <w:top w:val="nil"/>
              <w:left w:val="single" w:sz="6" w:space="0" w:color="auto"/>
              <w:bottom w:val="single" w:sz="6" w:space="0" w:color="auto"/>
              <w:right w:val="single" w:sz="6" w:space="0" w:color="auto"/>
            </w:tcBorders>
            <w:vAlign w:val="center"/>
          </w:tcPr>
          <w:p w:rsidR="00057F84" w:rsidRPr="00D47A32" w:rsidP="00057F84" w14:paraId="0D421345" w14:textId="37BF8B25">
            <w:pPr>
              <w:keepNext/>
              <w:numPr>
                <w:ilvl w:val="12"/>
                <w:numId w:val="0"/>
              </w:numPr>
              <w:spacing w:line="276" w:lineRule="auto"/>
              <w:jc w:val="center"/>
              <w:rPr>
                <w:rFonts w:cstheme="minorHAnsi"/>
              </w:rPr>
            </w:pPr>
            <w:r>
              <w:rPr>
                <w:rFonts w:cstheme="minorHAnsi"/>
                <w:color w:val="000000"/>
              </w:rPr>
              <w:t>476</w:t>
            </w:r>
          </w:p>
        </w:tc>
        <w:tc>
          <w:tcPr>
            <w:tcW w:w="1201" w:type="dxa"/>
            <w:tcBorders>
              <w:top w:val="nil"/>
              <w:left w:val="single" w:sz="6" w:space="0" w:color="auto"/>
              <w:bottom w:val="single" w:sz="6" w:space="0" w:color="auto"/>
              <w:right w:val="double" w:sz="6" w:space="0" w:color="auto"/>
            </w:tcBorders>
            <w:vAlign w:val="center"/>
          </w:tcPr>
          <w:p w:rsidR="00057F84" w:rsidRPr="00D47A32" w:rsidP="00057F84" w14:paraId="3AE9F6DD" w14:textId="4A49EE3F">
            <w:pPr>
              <w:keepNext/>
              <w:numPr>
                <w:ilvl w:val="12"/>
                <w:numId w:val="0"/>
              </w:numPr>
              <w:spacing w:line="276" w:lineRule="auto"/>
              <w:jc w:val="center"/>
              <w:rPr>
                <w:rFonts w:cstheme="minorHAnsi"/>
              </w:rPr>
            </w:pPr>
            <w:r w:rsidRPr="00D47A32">
              <w:rPr>
                <w:rFonts w:cstheme="minorHAnsi"/>
                <w:color w:val="000000"/>
              </w:rPr>
              <w:t>$</w:t>
            </w:r>
            <w:r w:rsidR="00127D3A">
              <w:rPr>
                <w:rFonts w:cstheme="minorHAnsi"/>
                <w:color w:val="000000"/>
              </w:rPr>
              <w:t>42,</w:t>
            </w:r>
            <w:r w:rsidR="00A72F10">
              <w:rPr>
                <w:rFonts w:cstheme="minorHAnsi"/>
                <w:color w:val="000000"/>
              </w:rPr>
              <w:t>269</w:t>
            </w:r>
            <w:r w:rsidRPr="00D47A32">
              <w:rPr>
                <w:rFonts w:cstheme="minorHAnsi"/>
                <w:color w:val="000000"/>
              </w:rPr>
              <w:t xml:space="preserve"> </w:t>
            </w:r>
          </w:p>
        </w:tc>
      </w:tr>
      <w:tr w14:paraId="3A83D859" w14:textId="77777777" w:rsidTr="00D47A32">
        <w:tblPrEx>
          <w:tblW w:w="8326" w:type="dxa"/>
          <w:jc w:val="center"/>
          <w:tblLayout w:type="fixed"/>
          <w:tblCellMar>
            <w:top w:w="72" w:type="dxa"/>
            <w:left w:w="72" w:type="dxa"/>
            <w:bottom w:w="72" w:type="dxa"/>
            <w:right w:w="72" w:type="dxa"/>
          </w:tblCellMar>
          <w:tblLook w:val="0000"/>
        </w:tblPrEx>
        <w:trPr>
          <w:trHeight w:val="608"/>
          <w:jc w:val="center"/>
        </w:trPr>
        <w:tc>
          <w:tcPr>
            <w:tcW w:w="2882" w:type="dxa"/>
            <w:tcBorders>
              <w:top w:val="single" w:sz="6" w:space="0" w:color="auto"/>
              <w:left w:val="double" w:sz="6" w:space="0" w:color="auto"/>
              <w:bottom w:val="nil"/>
              <w:right w:val="single" w:sz="6" w:space="0" w:color="auto"/>
            </w:tcBorders>
          </w:tcPr>
          <w:p w:rsidR="00057F84" w:rsidRPr="00D47A32" w:rsidP="00057F84" w14:paraId="5213303F" w14:textId="77777777">
            <w:pPr>
              <w:keepNext/>
              <w:numPr>
                <w:ilvl w:val="12"/>
                <w:numId w:val="0"/>
              </w:numPr>
              <w:spacing w:line="276" w:lineRule="auto"/>
              <w:rPr>
                <w:rFonts w:cstheme="minorHAnsi"/>
              </w:rPr>
            </w:pPr>
            <w:r w:rsidRPr="00D47A32">
              <w:rPr>
                <w:rFonts w:cstheme="minorHAnsi"/>
              </w:rPr>
              <w:t>Prepare and submit allowance transfer information.</w:t>
            </w:r>
          </w:p>
        </w:tc>
        <w:tc>
          <w:tcPr>
            <w:tcW w:w="1521" w:type="dxa"/>
            <w:tcBorders>
              <w:top w:val="single" w:sz="6" w:space="0" w:color="auto"/>
              <w:left w:val="single" w:sz="6" w:space="0" w:color="auto"/>
              <w:bottom w:val="nil"/>
              <w:right w:val="single" w:sz="6" w:space="0" w:color="auto"/>
            </w:tcBorders>
          </w:tcPr>
          <w:p w:rsidR="00057F84" w:rsidRPr="00D47A32" w:rsidP="00057F84" w14:paraId="452EC9B6" w14:textId="77777777">
            <w:pPr>
              <w:keepNext/>
              <w:numPr>
                <w:ilvl w:val="12"/>
                <w:numId w:val="0"/>
              </w:numPr>
              <w:spacing w:line="276" w:lineRule="auto"/>
              <w:jc w:val="center"/>
              <w:rPr>
                <w:rFonts w:cstheme="minorHAnsi"/>
              </w:rPr>
            </w:pPr>
          </w:p>
        </w:tc>
        <w:tc>
          <w:tcPr>
            <w:tcW w:w="1281" w:type="dxa"/>
            <w:tcBorders>
              <w:top w:val="single" w:sz="6" w:space="0" w:color="auto"/>
              <w:left w:val="single" w:sz="6" w:space="0" w:color="auto"/>
              <w:bottom w:val="nil"/>
              <w:right w:val="single" w:sz="6" w:space="0" w:color="auto"/>
            </w:tcBorders>
            <w:vAlign w:val="center"/>
          </w:tcPr>
          <w:p w:rsidR="00057F84" w:rsidRPr="00D47A32" w:rsidP="00057F84" w14:paraId="2EFD2961" w14:textId="77777777">
            <w:pPr>
              <w:keepNext/>
              <w:numPr>
                <w:ilvl w:val="12"/>
                <w:numId w:val="0"/>
              </w:numPr>
              <w:spacing w:line="276" w:lineRule="auto"/>
              <w:jc w:val="center"/>
              <w:rPr>
                <w:rFonts w:cstheme="minorHAnsi"/>
              </w:rPr>
            </w:pPr>
            <w:r w:rsidRPr="00D47A32">
              <w:rPr>
                <w:rFonts w:cstheme="minorHAnsi"/>
                <w:color w:val="000000"/>
              </w:rPr>
              <w:t> </w:t>
            </w:r>
          </w:p>
        </w:tc>
        <w:tc>
          <w:tcPr>
            <w:tcW w:w="1440" w:type="dxa"/>
            <w:tcBorders>
              <w:top w:val="single" w:sz="6" w:space="0" w:color="auto"/>
              <w:left w:val="single" w:sz="6" w:space="0" w:color="auto"/>
              <w:bottom w:val="nil"/>
              <w:right w:val="single" w:sz="6" w:space="0" w:color="auto"/>
            </w:tcBorders>
            <w:vAlign w:val="center"/>
          </w:tcPr>
          <w:p w:rsidR="00057F84" w:rsidRPr="00D47A32" w:rsidP="00057F84" w14:paraId="4129350C" w14:textId="77777777">
            <w:pPr>
              <w:keepNext/>
              <w:numPr>
                <w:ilvl w:val="12"/>
                <w:numId w:val="0"/>
              </w:numPr>
              <w:spacing w:line="276" w:lineRule="auto"/>
              <w:jc w:val="center"/>
              <w:rPr>
                <w:rFonts w:cstheme="minorHAnsi"/>
              </w:rPr>
            </w:pPr>
            <w:r w:rsidRPr="00D47A32">
              <w:rPr>
                <w:rFonts w:cstheme="minorHAnsi"/>
                <w:color w:val="000000"/>
              </w:rPr>
              <w:t> </w:t>
            </w:r>
          </w:p>
        </w:tc>
        <w:tc>
          <w:tcPr>
            <w:tcW w:w="1201" w:type="dxa"/>
            <w:tcBorders>
              <w:top w:val="single" w:sz="6" w:space="0" w:color="auto"/>
              <w:left w:val="single" w:sz="6" w:space="0" w:color="auto"/>
              <w:bottom w:val="nil"/>
              <w:right w:val="double" w:sz="6" w:space="0" w:color="auto"/>
            </w:tcBorders>
            <w:vAlign w:val="center"/>
          </w:tcPr>
          <w:p w:rsidR="00057F84" w:rsidRPr="00D47A32" w:rsidP="00057F84" w14:paraId="64E4D9C9" w14:textId="77777777">
            <w:pPr>
              <w:keepNext/>
              <w:numPr>
                <w:ilvl w:val="12"/>
                <w:numId w:val="0"/>
              </w:numPr>
              <w:spacing w:line="276" w:lineRule="auto"/>
              <w:jc w:val="center"/>
              <w:rPr>
                <w:rFonts w:cstheme="minorHAnsi"/>
              </w:rPr>
            </w:pPr>
            <w:r w:rsidRPr="00D47A32">
              <w:rPr>
                <w:rFonts w:cstheme="minorHAnsi"/>
                <w:color w:val="000000"/>
              </w:rPr>
              <w:t> </w:t>
            </w:r>
          </w:p>
        </w:tc>
      </w:tr>
      <w:tr w14:paraId="0FE6488F" w14:textId="77777777" w:rsidTr="00D47A32">
        <w:tblPrEx>
          <w:tblW w:w="8326" w:type="dxa"/>
          <w:jc w:val="center"/>
          <w:tblLayout w:type="fixed"/>
          <w:tblCellMar>
            <w:top w:w="72" w:type="dxa"/>
            <w:left w:w="72" w:type="dxa"/>
            <w:bottom w:w="72" w:type="dxa"/>
            <w:right w:w="72" w:type="dxa"/>
          </w:tblCellMar>
          <w:tblLook w:val="0000"/>
        </w:tblPrEx>
        <w:trPr>
          <w:trHeight w:val="374"/>
          <w:jc w:val="center"/>
        </w:trPr>
        <w:tc>
          <w:tcPr>
            <w:tcW w:w="2882" w:type="dxa"/>
            <w:tcBorders>
              <w:top w:val="nil"/>
              <w:left w:val="double" w:sz="6" w:space="0" w:color="auto"/>
              <w:bottom w:val="nil"/>
              <w:right w:val="single" w:sz="6" w:space="0" w:color="auto"/>
            </w:tcBorders>
          </w:tcPr>
          <w:p w:rsidR="00057F84" w:rsidRPr="00D47A32" w:rsidP="00057F84" w14:paraId="6F0FB07C" w14:textId="77777777">
            <w:pPr>
              <w:keepNext/>
              <w:numPr>
                <w:ilvl w:val="12"/>
                <w:numId w:val="0"/>
              </w:numPr>
              <w:spacing w:line="276" w:lineRule="auto"/>
              <w:ind w:left="378"/>
              <w:rPr>
                <w:rFonts w:cstheme="minorHAnsi"/>
              </w:rPr>
            </w:pPr>
            <w:r w:rsidRPr="00D47A32">
              <w:rPr>
                <w:rFonts w:cstheme="minorHAnsi"/>
              </w:rPr>
              <w:t>Managerial.</w:t>
            </w:r>
          </w:p>
        </w:tc>
        <w:tc>
          <w:tcPr>
            <w:tcW w:w="1521" w:type="dxa"/>
            <w:tcBorders>
              <w:top w:val="nil"/>
              <w:left w:val="single" w:sz="6" w:space="0" w:color="auto"/>
              <w:bottom w:val="nil"/>
              <w:right w:val="single" w:sz="6" w:space="0" w:color="auto"/>
            </w:tcBorders>
            <w:vAlign w:val="bottom"/>
          </w:tcPr>
          <w:p w:rsidR="00057F84" w:rsidRPr="00D47A32" w:rsidP="00057F84" w14:paraId="47F2834D" w14:textId="77777777">
            <w:pPr>
              <w:keepNext/>
              <w:numPr>
                <w:ilvl w:val="12"/>
                <w:numId w:val="0"/>
              </w:numPr>
              <w:spacing w:line="276" w:lineRule="auto"/>
              <w:jc w:val="center"/>
              <w:rPr>
                <w:rFonts w:cstheme="minorHAnsi"/>
              </w:rPr>
            </w:pPr>
            <w:r w:rsidRPr="00D47A32">
              <w:rPr>
                <w:rFonts w:cstheme="minorHAnsi"/>
              </w:rPr>
              <w:t>1</w:t>
            </w:r>
          </w:p>
        </w:tc>
        <w:tc>
          <w:tcPr>
            <w:tcW w:w="1281" w:type="dxa"/>
            <w:tcBorders>
              <w:top w:val="nil"/>
              <w:left w:val="single" w:sz="6" w:space="0" w:color="auto"/>
              <w:bottom w:val="nil"/>
              <w:right w:val="single" w:sz="6" w:space="0" w:color="auto"/>
            </w:tcBorders>
            <w:vAlign w:val="center"/>
          </w:tcPr>
          <w:p w:rsidR="00057F84" w:rsidRPr="00D47A32" w:rsidP="00057F84" w14:paraId="3DA3FD5C" w14:textId="41F49BF9">
            <w:pPr>
              <w:keepNext/>
              <w:numPr>
                <w:ilvl w:val="12"/>
                <w:numId w:val="0"/>
              </w:numPr>
              <w:spacing w:line="276" w:lineRule="auto"/>
              <w:jc w:val="center"/>
              <w:rPr>
                <w:rFonts w:cstheme="minorHAnsi"/>
              </w:rPr>
            </w:pPr>
            <w:r w:rsidRPr="00D47A32">
              <w:rPr>
                <w:rFonts w:cstheme="minorHAnsi"/>
                <w:color w:val="000000"/>
              </w:rPr>
              <w:t>$</w:t>
            </w:r>
            <w:r w:rsidR="00A72F10">
              <w:rPr>
                <w:rFonts w:cstheme="minorHAnsi"/>
                <w:color w:val="000000"/>
              </w:rPr>
              <w:t>123.48</w:t>
            </w:r>
            <w:r w:rsidRPr="00D47A32">
              <w:rPr>
                <w:rFonts w:cstheme="minorHAnsi"/>
                <w:color w:val="000000"/>
              </w:rPr>
              <w:t xml:space="preserve"> </w:t>
            </w:r>
          </w:p>
        </w:tc>
        <w:tc>
          <w:tcPr>
            <w:tcW w:w="1440" w:type="dxa"/>
            <w:tcBorders>
              <w:top w:val="nil"/>
              <w:left w:val="single" w:sz="6" w:space="0" w:color="auto"/>
              <w:bottom w:val="nil"/>
              <w:right w:val="single" w:sz="6" w:space="0" w:color="auto"/>
            </w:tcBorders>
            <w:vAlign w:val="center"/>
          </w:tcPr>
          <w:p w:rsidR="00057F84" w:rsidRPr="00D47A32" w:rsidP="00057F84" w14:paraId="573B8AD6" w14:textId="61B4A7D1">
            <w:pPr>
              <w:keepNext/>
              <w:numPr>
                <w:ilvl w:val="12"/>
                <w:numId w:val="0"/>
              </w:numPr>
              <w:spacing w:line="276" w:lineRule="auto"/>
              <w:jc w:val="center"/>
              <w:rPr>
                <w:rFonts w:cstheme="minorHAnsi"/>
              </w:rPr>
            </w:pPr>
            <w:r>
              <w:rPr>
                <w:rFonts w:cstheme="minorHAnsi"/>
                <w:color w:val="000000"/>
              </w:rPr>
              <w:t>517</w:t>
            </w:r>
          </w:p>
        </w:tc>
        <w:tc>
          <w:tcPr>
            <w:tcW w:w="1201" w:type="dxa"/>
            <w:tcBorders>
              <w:top w:val="nil"/>
              <w:left w:val="single" w:sz="6" w:space="0" w:color="auto"/>
              <w:bottom w:val="nil"/>
              <w:right w:val="double" w:sz="6" w:space="0" w:color="auto"/>
            </w:tcBorders>
            <w:vAlign w:val="center"/>
          </w:tcPr>
          <w:p w:rsidR="00057F84" w:rsidRPr="00D47A32" w:rsidP="00057F84" w14:paraId="224A1A79" w14:textId="6A96F63B">
            <w:pPr>
              <w:keepNext/>
              <w:numPr>
                <w:ilvl w:val="12"/>
                <w:numId w:val="0"/>
              </w:numPr>
              <w:spacing w:line="276" w:lineRule="auto"/>
              <w:jc w:val="center"/>
              <w:rPr>
                <w:rFonts w:cstheme="minorHAnsi"/>
              </w:rPr>
            </w:pPr>
            <w:r w:rsidRPr="00D47A32">
              <w:rPr>
                <w:rFonts w:cstheme="minorHAnsi"/>
                <w:color w:val="000000"/>
              </w:rPr>
              <w:t>$</w:t>
            </w:r>
            <w:r w:rsidR="007876AA">
              <w:rPr>
                <w:rFonts w:cstheme="minorHAnsi"/>
                <w:color w:val="000000"/>
              </w:rPr>
              <w:t>63,839</w:t>
            </w:r>
            <w:r w:rsidRPr="00D47A32">
              <w:rPr>
                <w:rFonts w:cstheme="minorHAnsi"/>
                <w:color w:val="000000"/>
              </w:rPr>
              <w:t xml:space="preserve"> </w:t>
            </w:r>
          </w:p>
        </w:tc>
      </w:tr>
      <w:tr w14:paraId="1A3C7468" w14:textId="77777777" w:rsidTr="00D47A32">
        <w:tblPrEx>
          <w:tblW w:w="8326" w:type="dxa"/>
          <w:jc w:val="center"/>
          <w:tblLayout w:type="fixed"/>
          <w:tblCellMar>
            <w:top w:w="72" w:type="dxa"/>
            <w:left w:w="72" w:type="dxa"/>
            <w:bottom w:w="72" w:type="dxa"/>
            <w:right w:w="72" w:type="dxa"/>
          </w:tblCellMar>
          <w:tblLook w:val="0000"/>
        </w:tblPrEx>
        <w:trPr>
          <w:trHeight w:val="374"/>
          <w:jc w:val="center"/>
        </w:trPr>
        <w:tc>
          <w:tcPr>
            <w:tcW w:w="2882" w:type="dxa"/>
            <w:tcBorders>
              <w:top w:val="nil"/>
              <w:left w:val="double" w:sz="6" w:space="0" w:color="auto"/>
              <w:bottom w:val="single" w:sz="6" w:space="0" w:color="auto"/>
              <w:right w:val="single" w:sz="6" w:space="0" w:color="auto"/>
            </w:tcBorders>
          </w:tcPr>
          <w:p w:rsidR="00057F84" w:rsidRPr="00D47A32" w:rsidP="00057F84" w14:paraId="107A5D0F" w14:textId="77777777">
            <w:pPr>
              <w:keepNext/>
              <w:numPr>
                <w:ilvl w:val="12"/>
                <w:numId w:val="0"/>
              </w:numPr>
              <w:spacing w:line="276" w:lineRule="auto"/>
              <w:ind w:left="378"/>
              <w:rPr>
                <w:rFonts w:cstheme="minorHAnsi"/>
              </w:rPr>
            </w:pPr>
            <w:r w:rsidRPr="00D47A32">
              <w:rPr>
                <w:rFonts w:cstheme="minorHAnsi"/>
              </w:rPr>
              <w:t>Technical.</w:t>
            </w:r>
          </w:p>
        </w:tc>
        <w:tc>
          <w:tcPr>
            <w:tcW w:w="1521" w:type="dxa"/>
            <w:tcBorders>
              <w:top w:val="nil"/>
              <w:left w:val="single" w:sz="6" w:space="0" w:color="auto"/>
              <w:bottom w:val="single" w:sz="6" w:space="0" w:color="auto"/>
              <w:right w:val="single" w:sz="6" w:space="0" w:color="auto"/>
            </w:tcBorders>
            <w:vAlign w:val="bottom"/>
          </w:tcPr>
          <w:p w:rsidR="00057F84" w:rsidRPr="00D47A32" w:rsidP="00057F84" w14:paraId="4150CA63" w14:textId="77777777">
            <w:pPr>
              <w:keepNext/>
              <w:numPr>
                <w:ilvl w:val="12"/>
                <w:numId w:val="0"/>
              </w:numPr>
              <w:spacing w:line="276" w:lineRule="auto"/>
              <w:jc w:val="center"/>
              <w:rPr>
                <w:rFonts w:cstheme="minorHAnsi"/>
              </w:rPr>
            </w:pPr>
            <w:r w:rsidRPr="00D47A32">
              <w:rPr>
                <w:rFonts w:cstheme="minorHAnsi"/>
              </w:rPr>
              <w:t>1</w:t>
            </w:r>
          </w:p>
        </w:tc>
        <w:tc>
          <w:tcPr>
            <w:tcW w:w="1281" w:type="dxa"/>
            <w:tcBorders>
              <w:top w:val="nil"/>
              <w:left w:val="single" w:sz="6" w:space="0" w:color="auto"/>
              <w:bottom w:val="single" w:sz="6" w:space="0" w:color="auto"/>
              <w:right w:val="single" w:sz="6" w:space="0" w:color="auto"/>
            </w:tcBorders>
            <w:vAlign w:val="center"/>
          </w:tcPr>
          <w:p w:rsidR="00057F84" w:rsidRPr="00D47A32" w:rsidP="00057F84" w14:paraId="53710BCF" w14:textId="3C71388F">
            <w:pPr>
              <w:keepNext/>
              <w:numPr>
                <w:ilvl w:val="12"/>
                <w:numId w:val="0"/>
              </w:numPr>
              <w:spacing w:line="276" w:lineRule="auto"/>
              <w:jc w:val="center"/>
              <w:rPr>
                <w:rFonts w:cstheme="minorHAnsi"/>
              </w:rPr>
            </w:pPr>
            <w:r w:rsidRPr="00D47A32">
              <w:rPr>
                <w:rFonts w:cstheme="minorHAnsi"/>
                <w:color w:val="000000"/>
              </w:rPr>
              <w:t>$</w:t>
            </w:r>
            <w:r w:rsidR="00A72F10">
              <w:rPr>
                <w:rFonts w:cstheme="minorHAnsi"/>
                <w:color w:val="000000"/>
              </w:rPr>
              <w:t>88.80</w:t>
            </w:r>
            <w:r w:rsidRPr="00D47A32">
              <w:rPr>
                <w:rFonts w:cstheme="minorHAnsi"/>
                <w:color w:val="000000"/>
              </w:rPr>
              <w:t xml:space="preserve"> </w:t>
            </w:r>
          </w:p>
        </w:tc>
        <w:tc>
          <w:tcPr>
            <w:tcW w:w="1440" w:type="dxa"/>
            <w:tcBorders>
              <w:top w:val="nil"/>
              <w:left w:val="single" w:sz="6" w:space="0" w:color="auto"/>
              <w:bottom w:val="single" w:sz="6" w:space="0" w:color="auto"/>
              <w:right w:val="single" w:sz="6" w:space="0" w:color="auto"/>
            </w:tcBorders>
            <w:vAlign w:val="center"/>
          </w:tcPr>
          <w:p w:rsidR="00057F84" w:rsidRPr="00D47A32" w:rsidP="00057F84" w14:paraId="32DEE7DB" w14:textId="5E939AD7">
            <w:pPr>
              <w:keepNext/>
              <w:numPr>
                <w:ilvl w:val="12"/>
                <w:numId w:val="0"/>
              </w:numPr>
              <w:spacing w:line="276" w:lineRule="auto"/>
              <w:jc w:val="center"/>
              <w:rPr>
                <w:rFonts w:cstheme="minorHAnsi"/>
              </w:rPr>
            </w:pPr>
            <w:r>
              <w:rPr>
                <w:rFonts w:cstheme="minorHAnsi"/>
                <w:color w:val="000000"/>
              </w:rPr>
              <w:t>517</w:t>
            </w:r>
          </w:p>
        </w:tc>
        <w:tc>
          <w:tcPr>
            <w:tcW w:w="1201" w:type="dxa"/>
            <w:tcBorders>
              <w:top w:val="nil"/>
              <w:left w:val="single" w:sz="6" w:space="0" w:color="auto"/>
              <w:bottom w:val="single" w:sz="6" w:space="0" w:color="auto"/>
              <w:right w:val="double" w:sz="6" w:space="0" w:color="auto"/>
            </w:tcBorders>
            <w:vAlign w:val="center"/>
          </w:tcPr>
          <w:p w:rsidR="00057F84" w:rsidRPr="00D47A32" w:rsidP="00057F84" w14:paraId="2C71865D" w14:textId="5FA82297">
            <w:pPr>
              <w:keepNext/>
              <w:numPr>
                <w:ilvl w:val="12"/>
                <w:numId w:val="0"/>
              </w:numPr>
              <w:spacing w:line="276" w:lineRule="auto"/>
              <w:jc w:val="center"/>
              <w:rPr>
                <w:rFonts w:cstheme="minorHAnsi"/>
              </w:rPr>
            </w:pPr>
            <w:r w:rsidRPr="00D47A32">
              <w:rPr>
                <w:rFonts w:cstheme="minorHAnsi"/>
                <w:color w:val="000000"/>
              </w:rPr>
              <w:t>$</w:t>
            </w:r>
            <w:r w:rsidR="007876AA">
              <w:rPr>
                <w:rFonts w:cstheme="minorHAnsi"/>
                <w:color w:val="000000"/>
              </w:rPr>
              <w:t>45,910</w:t>
            </w:r>
            <w:r w:rsidRPr="00D47A32">
              <w:rPr>
                <w:rFonts w:cstheme="minorHAnsi"/>
                <w:color w:val="000000"/>
              </w:rPr>
              <w:t xml:space="preserve"> </w:t>
            </w:r>
          </w:p>
        </w:tc>
      </w:tr>
      <w:tr w14:paraId="44D6DA1F" w14:textId="77777777" w:rsidTr="00D47A32">
        <w:tblPrEx>
          <w:tblW w:w="8326" w:type="dxa"/>
          <w:jc w:val="center"/>
          <w:tblLayout w:type="fixed"/>
          <w:tblCellMar>
            <w:top w:w="72" w:type="dxa"/>
            <w:left w:w="72" w:type="dxa"/>
            <w:bottom w:w="72" w:type="dxa"/>
            <w:right w:w="72" w:type="dxa"/>
          </w:tblCellMar>
          <w:tblLook w:val="0000"/>
        </w:tblPrEx>
        <w:trPr>
          <w:trHeight w:val="608"/>
          <w:jc w:val="center"/>
        </w:trPr>
        <w:tc>
          <w:tcPr>
            <w:tcW w:w="2882" w:type="dxa"/>
            <w:tcBorders>
              <w:top w:val="single" w:sz="6" w:space="0" w:color="auto"/>
              <w:left w:val="double" w:sz="6" w:space="0" w:color="auto"/>
              <w:bottom w:val="nil"/>
              <w:right w:val="single" w:sz="6" w:space="0" w:color="auto"/>
            </w:tcBorders>
          </w:tcPr>
          <w:p w:rsidR="00057F84" w:rsidRPr="00D47A32" w:rsidP="00057F84" w14:paraId="1C4A6C5C" w14:textId="3F445E7F">
            <w:pPr>
              <w:keepNext/>
              <w:numPr>
                <w:ilvl w:val="12"/>
                <w:numId w:val="0"/>
              </w:numPr>
              <w:spacing w:line="276" w:lineRule="auto"/>
              <w:rPr>
                <w:rFonts w:cstheme="minorHAnsi"/>
              </w:rPr>
            </w:pPr>
            <w:r w:rsidRPr="00D47A32">
              <w:rPr>
                <w:rFonts w:cstheme="minorHAnsi"/>
              </w:rPr>
              <w:t>Allowance deduction form (optional).</w:t>
            </w:r>
          </w:p>
        </w:tc>
        <w:tc>
          <w:tcPr>
            <w:tcW w:w="1521" w:type="dxa"/>
            <w:tcBorders>
              <w:top w:val="single" w:sz="6" w:space="0" w:color="auto"/>
              <w:left w:val="single" w:sz="6" w:space="0" w:color="auto"/>
              <w:bottom w:val="nil"/>
              <w:right w:val="single" w:sz="6" w:space="0" w:color="auto"/>
            </w:tcBorders>
          </w:tcPr>
          <w:p w:rsidR="00057F84" w:rsidRPr="00D47A32" w:rsidP="00057F84" w14:paraId="6E2BD033" w14:textId="77777777">
            <w:pPr>
              <w:keepNext/>
              <w:numPr>
                <w:ilvl w:val="12"/>
                <w:numId w:val="0"/>
              </w:numPr>
              <w:spacing w:line="276" w:lineRule="auto"/>
              <w:jc w:val="center"/>
              <w:rPr>
                <w:rFonts w:cstheme="minorHAnsi"/>
              </w:rPr>
            </w:pPr>
          </w:p>
        </w:tc>
        <w:tc>
          <w:tcPr>
            <w:tcW w:w="1281" w:type="dxa"/>
            <w:tcBorders>
              <w:top w:val="single" w:sz="6" w:space="0" w:color="auto"/>
              <w:left w:val="single" w:sz="6" w:space="0" w:color="auto"/>
              <w:bottom w:val="nil"/>
              <w:right w:val="single" w:sz="6" w:space="0" w:color="auto"/>
            </w:tcBorders>
            <w:vAlign w:val="center"/>
          </w:tcPr>
          <w:p w:rsidR="00057F84" w:rsidRPr="00D47A32" w:rsidP="00057F84" w14:paraId="21DF1902" w14:textId="77777777">
            <w:pPr>
              <w:keepNext/>
              <w:numPr>
                <w:ilvl w:val="12"/>
                <w:numId w:val="0"/>
              </w:numPr>
              <w:spacing w:line="276" w:lineRule="auto"/>
              <w:jc w:val="center"/>
              <w:rPr>
                <w:rFonts w:cstheme="minorHAnsi"/>
              </w:rPr>
            </w:pPr>
            <w:r w:rsidRPr="00D47A32">
              <w:rPr>
                <w:rFonts w:cstheme="minorHAnsi"/>
                <w:color w:val="000000"/>
              </w:rPr>
              <w:t> </w:t>
            </w:r>
          </w:p>
        </w:tc>
        <w:tc>
          <w:tcPr>
            <w:tcW w:w="1440" w:type="dxa"/>
            <w:tcBorders>
              <w:top w:val="single" w:sz="6" w:space="0" w:color="auto"/>
              <w:left w:val="single" w:sz="6" w:space="0" w:color="auto"/>
              <w:bottom w:val="nil"/>
              <w:right w:val="single" w:sz="6" w:space="0" w:color="auto"/>
            </w:tcBorders>
            <w:vAlign w:val="center"/>
          </w:tcPr>
          <w:p w:rsidR="00057F84" w:rsidRPr="00D47A32" w:rsidP="00057F84" w14:paraId="06CF2B89" w14:textId="77777777">
            <w:pPr>
              <w:keepNext/>
              <w:numPr>
                <w:ilvl w:val="12"/>
                <w:numId w:val="0"/>
              </w:numPr>
              <w:spacing w:line="276" w:lineRule="auto"/>
              <w:jc w:val="center"/>
              <w:rPr>
                <w:rFonts w:cstheme="minorHAnsi"/>
              </w:rPr>
            </w:pPr>
            <w:r w:rsidRPr="00D47A32">
              <w:rPr>
                <w:rFonts w:cstheme="minorHAnsi"/>
                <w:color w:val="000000"/>
              </w:rPr>
              <w:t> </w:t>
            </w:r>
          </w:p>
        </w:tc>
        <w:tc>
          <w:tcPr>
            <w:tcW w:w="1201" w:type="dxa"/>
            <w:tcBorders>
              <w:top w:val="single" w:sz="6" w:space="0" w:color="auto"/>
              <w:left w:val="single" w:sz="6" w:space="0" w:color="auto"/>
              <w:bottom w:val="nil"/>
              <w:right w:val="double" w:sz="6" w:space="0" w:color="auto"/>
            </w:tcBorders>
            <w:vAlign w:val="center"/>
          </w:tcPr>
          <w:p w:rsidR="00057F84" w:rsidRPr="00D47A32" w:rsidP="00057F84" w14:paraId="54C5D706" w14:textId="77777777">
            <w:pPr>
              <w:keepNext/>
              <w:numPr>
                <w:ilvl w:val="12"/>
                <w:numId w:val="0"/>
              </w:numPr>
              <w:spacing w:line="276" w:lineRule="auto"/>
              <w:jc w:val="center"/>
              <w:rPr>
                <w:rFonts w:cstheme="minorHAnsi"/>
              </w:rPr>
            </w:pPr>
            <w:r w:rsidRPr="00D47A32">
              <w:rPr>
                <w:rFonts w:cstheme="minorHAnsi"/>
                <w:color w:val="000000"/>
              </w:rPr>
              <w:t> </w:t>
            </w:r>
          </w:p>
        </w:tc>
      </w:tr>
      <w:tr w14:paraId="5F77C326" w14:textId="77777777" w:rsidTr="00D47A32">
        <w:tblPrEx>
          <w:tblW w:w="8326" w:type="dxa"/>
          <w:jc w:val="center"/>
          <w:tblLayout w:type="fixed"/>
          <w:tblCellMar>
            <w:top w:w="72" w:type="dxa"/>
            <w:left w:w="72" w:type="dxa"/>
            <w:bottom w:w="72" w:type="dxa"/>
            <w:right w:w="72" w:type="dxa"/>
          </w:tblCellMar>
          <w:tblLook w:val="0000"/>
        </w:tblPrEx>
        <w:trPr>
          <w:trHeight w:val="386"/>
          <w:jc w:val="center"/>
        </w:trPr>
        <w:tc>
          <w:tcPr>
            <w:tcW w:w="2882" w:type="dxa"/>
            <w:tcBorders>
              <w:top w:val="nil"/>
              <w:left w:val="double" w:sz="6" w:space="0" w:color="auto"/>
              <w:bottom w:val="nil"/>
              <w:right w:val="single" w:sz="6" w:space="0" w:color="auto"/>
            </w:tcBorders>
          </w:tcPr>
          <w:p w:rsidR="00057F84" w:rsidRPr="00D47A32" w:rsidP="00057F84" w14:paraId="017AA20B" w14:textId="77777777">
            <w:pPr>
              <w:keepNext/>
              <w:numPr>
                <w:ilvl w:val="12"/>
                <w:numId w:val="0"/>
              </w:numPr>
              <w:spacing w:line="276" w:lineRule="auto"/>
              <w:ind w:left="378"/>
              <w:rPr>
                <w:rFonts w:cstheme="minorHAnsi"/>
              </w:rPr>
            </w:pPr>
            <w:r w:rsidRPr="00D47A32">
              <w:rPr>
                <w:rFonts w:cstheme="minorHAnsi"/>
              </w:rPr>
              <w:t>Managerial.</w:t>
            </w:r>
          </w:p>
        </w:tc>
        <w:tc>
          <w:tcPr>
            <w:tcW w:w="1521" w:type="dxa"/>
            <w:tcBorders>
              <w:top w:val="nil"/>
              <w:left w:val="single" w:sz="6" w:space="0" w:color="auto"/>
              <w:bottom w:val="nil"/>
              <w:right w:val="single" w:sz="6" w:space="0" w:color="auto"/>
            </w:tcBorders>
            <w:vAlign w:val="bottom"/>
          </w:tcPr>
          <w:p w:rsidR="00057F84" w:rsidRPr="00D47A32" w:rsidP="00057F84" w14:paraId="58A73E1C" w14:textId="77777777">
            <w:pPr>
              <w:keepNext/>
              <w:numPr>
                <w:ilvl w:val="12"/>
                <w:numId w:val="0"/>
              </w:numPr>
              <w:spacing w:line="276" w:lineRule="auto"/>
              <w:jc w:val="center"/>
              <w:rPr>
                <w:rFonts w:cstheme="minorHAnsi"/>
              </w:rPr>
            </w:pPr>
            <w:r w:rsidRPr="00D47A32">
              <w:rPr>
                <w:rFonts w:cstheme="minorHAnsi"/>
              </w:rPr>
              <w:t>1</w:t>
            </w:r>
          </w:p>
        </w:tc>
        <w:tc>
          <w:tcPr>
            <w:tcW w:w="1281" w:type="dxa"/>
            <w:tcBorders>
              <w:top w:val="nil"/>
              <w:left w:val="single" w:sz="6" w:space="0" w:color="auto"/>
              <w:bottom w:val="nil"/>
              <w:right w:val="single" w:sz="6" w:space="0" w:color="auto"/>
            </w:tcBorders>
            <w:vAlign w:val="center"/>
          </w:tcPr>
          <w:p w:rsidR="00057F84" w:rsidRPr="00D47A32" w:rsidP="00057F84" w14:paraId="2306A845" w14:textId="5043D7B1">
            <w:pPr>
              <w:keepNext/>
              <w:numPr>
                <w:ilvl w:val="12"/>
                <w:numId w:val="0"/>
              </w:numPr>
              <w:spacing w:line="276" w:lineRule="auto"/>
              <w:jc w:val="center"/>
              <w:rPr>
                <w:rFonts w:cstheme="minorHAnsi"/>
              </w:rPr>
            </w:pPr>
            <w:r w:rsidRPr="00D47A32">
              <w:rPr>
                <w:rFonts w:cstheme="minorHAnsi"/>
                <w:color w:val="000000"/>
              </w:rPr>
              <w:t>$</w:t>
            </w:r>
            <w:r w:rsidR="00A941AD">
              <w:rPr>
                <w:rFonts w:cstheme="minorHAnsi"/>
                <w:color w:val="000000"/>
              </w:rPr>
              <w:t>123.48</w:t>
            </w:r>
            <w:r w:rsidRPr="00D47A32">
              <w:rPr>
                <w:rFonts w:cstheme="minorHAnsi"/>
                <w:color w:val="000000"/>
              </w:rPr>
              <w:t xml:space="preserve"> </w:t>
            </w:r>
          </w:p>
        </w:tc>
        <w:tc>
          <w:tcPr>
            <w:tcW w:w="1440" w:type="dxa"/>
            <w:tcBorders>
              <w:top w:val="nil"/>
              <w:left w:val="single" w:sz="6" w:space="0" w:color="auto"/>
              <w:bottom w:val="nil"/>
              <w:right w:val="single" w:sz="6" w:space="0" w:color="auto"/>
            </w:tcBorders>
            <w:vAlign w:val="center"/>
          </w:tcPr>
          <w:p w:rsidR="00057F84" w:rsidRPr="00D47A32" w:rsidP="00057F84" w14:paraId="517213D1" w14:textId="55B67D29">
            <w:pPr>
              <w:keepNext/>
              <w:numPr>
                <w:ilvl w:val="12"/>
                <w:numId w:val="0"/>
              </w:numPr>
              <w:spacing w:line="276" w:lineRule="auto"/>
              <w:jc w:val="center"/>
              <w:rPr>
                <w:rFonts w:cstheme="minorHAnsi"/>
              </w:rPr>
            </w:pPr>
            <w:r>
              <w:rPr>
                <w:rFonts w:cstheme="minorHAnsi"/>
                <w:color w:val="000000"/>
              </w:rPr>
              <w:t>152</w:t>
            </w:r>
          </w:p>
        </w:tc>
        <w:tc>
          <w:tcPr>
            <w:tcW w:w="1201" w:type="dxa"/>
            <w:tcBorders>
              <w:top w:val="nil"/>
              <w:left w:val="single" w:sz="6" w:space="0" w:color="auto"/>
              <w:bottom w:val="nil"/>
              <w:right w:val="double" w:sz="6" w:space="0" w:color="auto"/>
            </w:tcBorders>
            <w:vAlign w:val="center"/>
          </w:tcPr>
          <w:p w:rsidR="00057F84" w:rsidRPr="00D47A32" w:rsidP="00057F84" w14:paraId="206F0DF9" w14:textId="54EC8242">
            <w:pPr>
              <w:keepNext/>
              <w:numPr>
                <w:ilvl w:val="12"/>
                <w:numId w:val="0"/>
              </w:numPr>
              <w:spacing w:line="276" w:lineRule="auto"/>
              <w:jc w:val="center"/>
              <w:rPr>
                <w:rFonts w:cstheme="minorHAnsi"/>
              </w:rPr>
            </w:pPr>
            <w:r w:rsidRPr="00D47A32">
              <w:rPr>
                <w:rFonts w:cstheme="minorHAnsi"/>
                <w:color w:val="000000"/>
              </w:rPr>
              <w:t>$</w:t>
            </w:r>
            <w:r w:rsidR="00BB72A6">
              <w:rPr>
                <w:rFonts w:cstheme="minorHAnsi"/>
                <w:color w:val="000000"/>
              </w:rPr>
              <w:t>18,769</w:t>
            </w:r>
            <w:r w:rsidRPr="00D47A32">
              <w:rPr>
                <w:rFonts w:cstheme="minorHAnsi"/>
                <w:color w:val="000000"/>
              </w:rPr>
              <w:t xml:space="preserve"> </w:t>
            </w:r>
          </w:p>
        </w:tc>
      </w:tr>
      <w:tr w14:paraId="4BEBF868" w14:textId="77777777" w:rsidTr="00D47A32">
        <w:tblPrEx>
          <w:tblW w:w="8326" w:type="dxa"/>
          <w:jc w:val="center"/>
          <w:tblLayout w:type="fixed"/>
          <w:tblCellMar>
            <w:top w:w="72" w:type="dxa"/>
            <w:left w:w="72" w:type="dxa"/>
            <w:bottom w:w="72" w:type="dxa"/>
            <w:right w:w="72" w:type="dxa"/>
          </w:tblCellMar>
          <w:tblLook w:val="0000"/>
        </w:tblPrEx>
        <w:trPr>
          <w:trHeight w:val="374"/>
          <w:jc w:val="center"/>
        </w:trPr>
        <w:tc>
          <w:tcPr>
            <w:tcW w:w="2882" w:type="dxa"/>
            <w:tcBorders>
              <w:top w:val="nil"/>
              <w:left w:val="double" w:sz="6" w:space="0" w:color="auto"/>
              <w:bottom w:val="double" w:sz="6" w:space="0" w:color="auto"/>
              <w:right w:val="single" w:sz="6" w:space="0" w:color="auto"/>
            </w:tcBorders>
          </w:tcPr>
          <w:p w:rsidR="00057F84" w:rsidRPr="00D47A32" w:rsidP="00057F84" w14:paraId="108683C4" w14:textId="77777777">
            <w:pPr>
              <w:keepNext/>
              <w:numPr>
                <w:ilvl w:val="12"/>
                <w:numId w:val="0"/>
              </w:numPr>
              <w:spacing w:line="276" w:lineRule="auto"/>
              <w:ind w:left="378"/>
              <w:rPr>
                <w:rFonts w:cstheme="minorHAnsi"/>
              </w:rPr>
            </w:pPr>
            <w:r w:rsidRPr="00D47A32">
              <w:rPr>
                <w:rFonts w:cstheme="minorHAnsi"/>
              </w:rPr>
              <w:t>Technical.</w:t>
            </w:r>
          </w:p>
        </w:tc>
        <w:tc>
          <w:tcPr>
            <w:tcW w:w="1521" w:type="dxa"/>
            <w:tcBorders>
              <w:top w:val="nil"/>
              <w:left w:val="single" w:sz="6" w:space="0" w:color="auto"/>
              <w:bottom w:val="double" w:sz="6" w:space="0" w:color="auto"/>
              <w:right w:val="single" w:sz="6" w:space="0" w:color="auto"/>
            </w:tcBorders>
            <w:vAlign w:val="bottom"/>
          </w:tcPr>
          <w:p w:rsidR="00057F84" w:rsidRPr="00D47A32" w:rsidP="00057F84" w14:paraId="1379AC74" w14:textId="77777777">
            <w:pPr>
              <w:keepNext/>
              <w:numPr>
                <w:ilvl w:val="12"/>
                <w:numId w:val="0"/>
              </w:numPr>
              <w:spacing w:line="276" w:lineRule="auto"/>
              <w:jc w:val="center"/>
              <w:rPr>
                <w:rFonts w:cstheme="minorHAnsi"/>
              </w:rPr>
            </w:pPr>
            <w:r w:rsidRPr="00D47A32">
              <w:rPr>
                <w:rFonts w:cstheme="minorHAnsi"/>
              </w:rPr>
              <w:t>2</w:t>
            </w:r>
          </w:p>
        </w:tc>
        <w:tc>
          <w:tcPr>
            <w:tcW w:w="1281" w:type="dxa"/>
            <w:tcBorders>
              <w:top w:val="nil"/>
              <w:left w:val="single" w:sz="6" w:space="0" w:color="auto"/>
              <w:bottom w:val="double" w:sz="6" w:space="0" w:color="auto"/>
              <w:right w:val="single" w:sz="6" w:space="0" w:color="auto"/>
            </w:tcBorders>
            <w:vAlign w:val="center"/>
          </w:tcPr>
          <w:p w:rsidR="00057F84" w:rsidRPr="00D47A32" w:rsidP="00057F84" w14:paraId="3DD9A519" w14:textId="104DFB31">
            <w:pPr>
              <w:keepNext/>
              <w:numPr>
                <w:ilvl w:val="12"/>
                <w:numId w:val="0"/>
              </w:numPr>
              <w:spacing w:line="276" w:lineRule="auto"/>
              <w:jc w:val="center"/>
              <w:rPr>
                <w:rFonts w:cstheme="minorHAnsi"/>
              </w:rPr>
            </w:pPr>
            <w:r w:rsidRPr="00D47A32">
              <w:rPr>
                <w:rFonts w:cstheme="minorHAnsi"/>
                <w:color w:val="000000"/>
              </w:rPr>
              <w:t>$</w:t>
            </w:r>
            <w:r w:rsidR="00A941AD">
              <w:rPr>
                <w:rFonts w:cstheme="minorHAnsi"/>
                <w:color w:val="000000"/>
              </w:rPr>
              <w:t>177.60</w:t>
            </w:r>
            <w:r w:rsidRPr="00D47A32">
              <w:rPr>
                <w:rFonts w:cstheme="minorHAnsi"/>
                <w:color w:val="000000"/>
              </w:rPr>
              <w:t xml:space="preserve"> </w:t>
            </w:r>
          </w:p>
        </w:tc>
        <w:tc>
          <w:tcPr>
            <w:tcW w:w="1440" w:type="dxa"/>
            <w:tcBorders>
              <w:top w:val="nil"/>
              <w:left w:val="single" w:sz="6" w:space="0" w:color="auto"/>
              <w:bottom w:val="double" w:sz="6" w:space="0" w:color="auto"/>
              <w:right w:val="single" w:sz="6" w:space="0" w:color="auto"/>
            </w:tcBorders>
            <w:vAlign w:val="center"/>
          </w:tcPr>
          <w:p w:rsidR="00057F84" w:rsidRPr="00D47A32" w:rsidP="00057F84" w14:paraId="619F8A72" w14:textId="1AAA38C8">
            <w:pPr>
              <w:keepNext/>
              <w:numPr>
                <w:ilvl w:val="12"/>
                <w:numId w:val="0"/>
              </w:numPr>
              <w:spacing w:line="276" w:lineRule="auto"/>
              <w:jc w:val="center"/>
              <w:rPr>
                <w:rFonts w:cstheme="minorHAnsi"/>
              </w:rPr>
            </w:pPr>
            <w:r>
              <w:rPr>
                <w:rFonts w:cstheme="minorHAnsi"/>
                <w:color w:val="000000"/>
              </w:rPr>
              <w:t>304</w:t>
            </w:r>
          </w:p>
        </w:tc>
        <w:tc>
          <w:tcPr>
            <w:tcW w:w="1201" w:type="dxa"/>
            <w:tcBorders>
              <w:top w:val="nil"/>
              <w:left w:val="single" w:sz="6" w:space="0" w:color="auto"/>
              <w:bottom w:val="double" w:sz="6" w:space="0" w:color="auto"/>
              <w:right w:val="double" w:sz="6" w:space="0" w:color="auto"/>
            </w:tcBorders>
            <w:vAlign w:val="center"/>
          </w:tcPr>
          <w:p w:rsidR="00057F84" w:rsidRPr="00D47A32" w:rsidP="00057F84" w14:paraId="408F1380" w14:textId="0F510A0E">
            <w:pPr>
              <w:keepNext/>
              <w:numPr>
                <w:ilvl w:val="12"/>
                <w:numId w:val="0"/>
              </w:numPr>
              <w:spacing w:line="276" w:lineRule="auto"/>
              <w:jc w:val="center"/>
              <w:rPr>
                <w:rFonts w:cstheme="minorHAnsi"/>
              </w:rPr>
            </w:pPr>
            <w:r w:rsidRPr="00D47A32">
              <w:rPr>
                <w:rFonts w:cstheme="minorHAnsi"/>
                <w:color w:val="000000"/>
              </w:rPr>
              <w:t>$</w:t>
            </w:r>
            <w:r w:rsidR="00BB72A6">
              <w:rPr>
                <w:rFonts w:cstheme="minorHAnsi"/>
                <w:color w:val="000000"/>
              </w:rPr>
              <w:t>26,995</w:t>
            </w:r>
            <w:r w:rsidRPr="00D47A32">
              <w:rPr>
                <w:rFonts w:cstheme="minorHAnsi"/>
                <w:color w:val="000000"/>
              </w:rPr>
              <w:t xml:space="preserve"> </w:t>
            </w:r>
          </w:p>
        </w:tc>
      </w:tr>
      <w:tr w14:paraId="69A4815F" w14:textId="77777777" w:rsidTr="00D47A32">
        <w:tblPrEx>
          <w:tblW w:w="8326" w:type="dxa"/>
          <w:jc w:val="center"/>
          <w:tblLayout w:type="fixed"/>
          <w:tblCellMar>
            <w:top w:w="72" w:type="dxa"/>
            <w:left w:w="72" w:type="dxa"/>
            <w:bottom w:w="72" w:type="dxa"/>
            <w:right w:w="72" w:type="dxa"/>
          </w:tblCellMar>
          <w:tblLook w:val="0000"/>
        </w:tblPrEx>
        <w:trPr>
          <w:trHeight w:val="351"/>
          <w:jc w:val="center"/>
        </w:trPr>
        <w:tc>
          <w:tcPr>
            <w:tcW w:w="5685" w:type="dxa"/>
            <w:gridSpan w:val="3"/>
            <w:tcBorders>
              <w:top w:val="double" w:sz="6" w:space="0" w:color="auto"/>
              <w:left w:val="double" w:sz="6" w:space="0" w:color="auto"/>
              <w:bottom w:val="double" w:sz="6" w:space="0" w:color="auto"/>
              <w:right w:val="nil"/>
            </w:tcBorders>
          </w:tcPr>
          <w:p w:rsidR="00057F84" w:rsidRPr="00D47A32" w:rsidP="00057F84" w14:paraId="36A57EA1" w14:textId="77777777">
            <w:pPr>
              <w:numPr>
                <w:ilvl w:val="12"/>
                <w:numId w:val="0"/>
              </w:numPr>
              <w:spacing w:line="276" w:lineRule="auto"/>
              <w:rPr>
                <w:rFonts w:cstheme="minorHAnsi"/>
                <w:b/>
              </w:rPr>
            </w:pPr>
            <w:r w:rsidRPr="00D47A32">
              <w:rPr>
                <w:rFonts w:cstheme="minorHAnsi"/>
                <w:b/>
              </w:rPr>
              <w:t>Totals</w:t>
            </w:r>
          </w:p>
        </w:tc>
        <w:tc>
          <w:tcPr>
            <w:tcW w:w="1440" w:type="dxa"/>
            <w:tcBorders>
              <w:top w:val="double" w:sz="6" w:space="0" w:color="auto"/>
              <w:left w:val="single" w:sz="6" w:space="0" w:color="auto"/>
              <w:bottom w:val="double" w:sz="6" w:space="0" w:color="auto"/>
              <w:right w:val="nil"/>
            </w:tcBorders>
            <w:vAlign w:val="bottom"/>
          </w:tcPr>
          <w:p w:rsidR="00057F84" w:rsidRPr="00D47A32" w:rsidP="00057F84" w14:paraId="05F7BFF5" w14:textId="32FB73CF">
            <w:pPr>
              <w:numPr>
                <w:ilvl w:val="12"/>
                <w:numId w:val="0"/>
              </w:numPr>
              <w:spacing w:line="276" w:lineRule="auto"/>
              <w:jc w:val="center"/>
              <w:rPr>
                <w:rFonts w:cstheme="minorHAnsi"/>
                <w:b/>
              </w:rPr>
            </w:pPr>
            <w:r>
              <w:rPr>
                <w:rFonts w:cstheme="minorHAnsi"/>
                <w:b/>
              </w:rPr>
              <w:t>2170</w:t>
            </w:r>
          </w:p>
        </w:tc>
        <w:tc>
          <w:tcPr>
            <w:tcW w:w="1201" w:type="dxa"/>
            <w:tcBorders>
              <w:top w:val="double" w:sz="6" w:space="0" w:color="auto"/>
              <w:left w:val="single" w:sz="6" w:space="0" w:color="auto"/>
              <w:bottom w:val="double" w:sz="6" w:space="0" w:color="auto"/>
              <w:right w:val="double" w:sz="6" w:space="0" w:color="auto"/>
            </w:tcBorders>
          </w:tcPr>
          <w:p w:rsidR="00057F84" w:rsidRPr="00D47A32" w:rsidP="00057F84" w14:paraId="0C8BC8D6" w14:textId="739692EE">
            <w:pPr>
              <w:numPr>
                <w:ilvl w:val="12"/>
                <w:numId w:val="0"/>
              </w:numPr>
              <w:spacing w:line="276" w:lineRule="auto"/>
              <w:jc w:val="center"/>
              <w:rPr>
                <w:rFonts w:cstheme="minorHAnsi"/>
                <w:b/>
              </w:rPr>
            </w:pPr>
            <w:r w:rsidRPr="00D47A32">
              <w:rPr>
                <w:rFonts w:cstheme="minorHAnsi"/>
                <w:b/>
              </w:rPr>
              <w:t>$</w:t>
            </w:r>
            <w:r w:rsidR="008A2121">
              <w:rPr>
                <w:rFonts w:cstheme="minorHAnsi"/>
                <w:b/>
              </w:rPr>
              <w:t>222,972</w:t>
            </w:r>
          </w:p>
        </w:tc>
      </w:tr>
    </w:tbl>
    <w:p w:rsidR="006111EF" w:rsidP="006111EF" w14:paraId="4E4BE3AC" w14:textId="77777777">
      <w:pPr>
        <w:spacing w:line="240" w:lineRule="auto"/>
        <w:contextualSpacing/>
        <w:rPr>
          <w:rFonts w:cstheme="minorHAnsi"/>
          <w:sz w:val="18"/>
          <w:szCs w:val="18"/>
        </w:rPr>
      </w:pPr>
      <w:r w:rsidRPr="00057F84">
        <w:rPr>
          <w:rFonts w:cstheme="minorHAnsi"/>
          <w:sz w:val="18"/>
          <w:szCs w:val="18"/>
          <w:vertAlign w:val="superscript"/>
        </w:rPr>
        <w:t>a</w:t>
      </w:r>
      <w:r w:rsidRPr="00057F84">
        <w:rPr>
          <w:rFonts w:cstheme="minorHAnsi"/>
          <w:sz w:val="18"/>
          <w:szCs w:val="18"/>
        </w:rPr>
        <w:t>202</w:t>
      </w:r>
      <w:r w:rsidR="00400248">
        <w:rPr>
          <w:rFonts w:cstheme="minorHAnsi"/>
          <w:sz w:val="18"/>
          <w:szCs w:val="18"/>
        </w:rPr>
        <w:t>4</w:t>
      </w:r>
      <w:r w:rsidRPr="00057F84">
        <w:rPr>
          <w:rFonts w:cstheme="minorHAnsi"/>
          <w:sz w:val="18"/>
          <w:szCs w:val="18"/>
        </w:rPr>
        <w:t xml:space="preserve"> dollars; managerial hours $</w:t>
      </w:r>
      <w:r w:rsidR="00400248">
        <w:rPr>
          <w:rFonts w:cstheme="minorHAnsi"/>
          <w:sz w:val="18"/>
          <w:szCs w:val="18"/>
        </w:rPr>
        <w:t>123.48</w:t>
      </w:r>
      <w:r w:rsidRPr="00057F84">
        <w:rPr>
          <w:rFonts w:cstheme="minorHAnsi"/>
          <w:sz w:val="18"/>
          <w:szCs w:val="18"/>
        </w:rPr>
        <w:t xml:space="preserve"> per hour and technical hours $</w:t>
      </w:r>
      <w:r w:rsidR="00400248">
        <w:rPr>
          <w:rFonts w:cstheme="minorHAnsi"/>
          <w:sz w:val="18"/>
          <w:szCs w:val="18"/>
        </w:rPr>
        <w:t>88.80</w:t>
      </w:r>
      <w:r w:rsidRPr="00057F84">
        <w:rPr>
          <w:rFonts w:cstheme="minorHAnsi"/>
          <w:sz w:val="18"/>
          <w:szCs w:val="18"/>
        </w:rPr>
        <w:t xml:space="preserve"> per hour.</w:t>
      </w:r>
    </w:p>
    <w:p w:rsidR="00057F84" w:rsidRPr="00057F84" w:rsidP="006111EF" w14:paraId="2155EA6F" w14:textId="402B0AD8">
      <w:pPr>
        <w:spacing w:line="240" w:lineRule="auto"/>
        <w:contextualSpacing/>
        <w:rPr>
          <w:rFonts w:cstheme="minorHAnsi"/>
          <w:sz w:val="18"/>
          <w:szCs w:val="18"/>
        </w:rPr>
      </w:pPr>
      <w:r w:rsidRPr="00057F84">
        <w:rPr>
          <w:rFonts w:cstheme="minorHAnsi"/>
          <w:sz w:val="18"/>
          <w:szCs w:val="18"/>
          <w:vertAlign w:val="superscript"/>
        </w:rPr>
        <w:t>b</w:t>
      </w:r>
      <w:r w:rsidRPr="00057F84">
        <w:rPr>
          <w:rFonts w:cstheme="minorHAnsi"/>
          <w:sz w:val="18"/>
          <w:szCs w:val="18"/>
        </w:rPr>
        <w:t>Assumes</w:t>
      </w:r>
      <w:r w:rsidRPr="00057F84">
        <w:rPr>
          <w:rFonts w:cstheme="minorHAnsi"/>
          <w:sz w:val="18"/>
          <w:szCs w:val="18"/>
        </w:rPr>
        <w:t xml:space="preserve"> </w:t>
      </w:r>
      <w:r w:rsidR="001574C4">
        <w:rPr>
          <w:rFonts w:cstheme="minorHAnsi"/>
          <w:sz w:val="18"/>
          <w:szCs w:val="18"/>
        </w:rPr>
        <w:t>68</w:t>
      </w:r>
      <w:r w:rsidRPr="00057F84">
        <w:rPr>
          <w:rFonts w:cstheme="minorHAnsi"/>
          <w:sz w:val="18"/>
          <w:szCs w:val="18"/>
        </w:rPr>
        <w:t xml:space="preserve"> participants file new or revised account applications, </w:t>
      </w:r>
      <w:r w:rsidR="001574C4">
        <w:rPr>
          <w:rFonts w:cstheme="minorHAnsi"/>
          <w:sz w:val="18"/>
          <w:szCs w:val="18"/>
        </w:rPr>
        <w:t>517</w:t>
      </w:r>
      <w:r w:rsidRPr="00057F84">
        <w:rPr>
          <w:rFonts w:cstheme="minorHAnsi"/>
          <w:sz w:val="18"/>
          <w:szCs w:val="18"/>
        </w:rPr>
        <w:t xml:space="preserve"> transfers are made, and </w:t>
      </w:r>
      <w:r w:rsidR="001574C4">
        <w:rPr>
          <w:rFonts w:cstheme="minorHAnsi"/>
          <w:sz w:val="18"/>
          <w:szCs w:val="18"/>
        </w:rPr>
        <w:t>152</w:t>
      </w:r>
      <w:r w:rsidRPr="00057F84">
        <w:rPr>
          <w:rFonts w:cstheme="minorHAnsi"/>
          <w:sz w:val="18"/>
          <w:szCs w:val="18"/>
        </w:rPr>
        <w:t xml:space="preserve"> optional deductions are submitted. </w:t>
      </w:r>
    </w:p>
    <w:p w:rsidR="00057F84" w:rsidP="00057F84" w14:paraId="780F643C" w14:textId="77777777">
      <w:pPr>
        <w:spacing w:line="276" w:lineRule="auto"/>
        <w:rPr>
          <w:rFonts w:cstheme="minorHAnsi"/>
          <w:sz w:val="18"/>
          <w:szCs w:val="18"/>
        </w:rPr>
      </w:pPr>
    </w:p>
    <w:p w:rsidR="00154B0D" w:rsidP="008B0750" w14:paraId="4537D93D" w14:textId="59AAE2A9">
      <w:pPr>
        <w:pStyle w:val="ListParagraph"/>
        <w:numPr>
          <w:ilvl w:val="0"/>
          <w:numId w:val="46"/>
        </w:numPr>
        <w:spacing w:line="276" w:lineRule="auto"/>
        <w:rPr>
          <w:rFonts w:cstheme="minorHAnsi"/>
        </w:rPr>
      </w:pPr>
      <w:r>
        <w:rPr>
          <w:rFonts w:cstheme="minorHAnsi"/>
        </w:rPr>
        <w:t xml:space="preserve">Permits </w:t>
      </w:r>
    </w:p>
    <w:p w:rsidR="006874A4" w:rsidRPr="008C6233" w:rsidP="008B0750" w14:paraId="447340A0" w14:textId="54725081">
      <w:pPr>
        <w:pStyle w:val="ListParagraph"/>
        <w:numPr>
          <w:ilvl w:val="1"/>
          <w:numId w:val="46"/>
        </w:numPr>
        <w:spacing w:line="276" w:lineRule="auto"/>
        <w:rPr>
          <w:rStyle w:val="normaltextrun"/>
          <w:rFonts w:cstheme="minorHAnsi"/>
        </w:rPr>
      </w:pPr>
      <w:r>
        <w:rPr>
          <w:rFonts w:cstheme="minorHAnsi"/>
        </w:rPr>
        <w:t xml:space="preserve">This subsection estimates the burden and costs </w:t>
      </w:r>
      <w:r w:rsidR="00550EB2">
        <w:rPr>
          <w:rFonts w:cstheme="minorHAnsi"/>
        </w:rPr>
        <w:t>associated with</w:t>
      </w:r>
      <w:r>
        <w:rPr>
          <w:rFonts w:cstheme="minorHAnsi"/>
        </w:rPr>
        <w:t xml:space="preserve"> </w:t>
      </w:r>
      <w:r w:rsidR="00DA1BC9">
        <w:rPr>
          <w:rFonts w:cstheme="minorHAnsi"/>
        </w:rPr>
        <w:t>Acid Rain permitting activities</w:t>
      </w:r>
      <w:r w:rsidR="00F425E5">
        <w:rPr>
          <w:rFonts w:cstheme="minorHAnsi"/>
        </w:rPr>
        <w:t xml:space="preserve"> which include</w:t>
      </w:r>
      <w:r w:rsidR="00DA1BC9">
        <w:rPr>
          <w:rFonts w:cstheme="minorHAnsi"/>
        </w:rPr>
        <w:t xml:space="preserve"> </w:t>
      </w:r>
      <w:r w:rsidR="00340D7C">
        <w:rPr>
          <w:rStyle w:val="normaltextrun"/>
          <w:color w:val="000000"/>
          <w:shd w:val="clear" w:color="auto" w:fill="FFFFFF"/>
        </w:rPr>
        <w:t>(1) selecting a new designated representative, (2) submitting a permit application, (3) submitting a retired unit exemption, and (4) submitting a new unit exemption.</w:t>
      </w:r>
      <w:r w:rsidR="00676D88">
        <w:rPr>
          <w:rStyle w:val="normaltextrun"/>
          <w:color w:val="000000"/>
          <w:shd w:val="clear" w:color="auto" w:fill="FFFFFF"/>
        </w:rPr>
        <w:t xml:space="preserve"> </w:t>
      </w:r>
      <w:r w:rsidR="0021061D">
        <w:rPr>
          <w:rStyle w:val="normaltextrun"/>
          <w:color w:val="000000"/>
          <w:shd w:val="clear" w:color="auto" w:fill="FFFFFF"/>
        </w:rPr>
        <w:t xml:space="preserve">Based on the past three years of operation, EPA assumes that each year </w:t>
      </w:r>
      <w:r w:rsidR="00DD4E45">
        <w:rPr>
          <w:rStyle w:val="normaltextrun"/>
          <w:color w:val="000000"/>
          <w:shd w:val="clear" w:color="auto" w:fill="FFFFFF"/>
        </w:rPr>
        <w:t xml:space="preserve">25% of sources </w:t>
      </w:r>
      <w:r w:rsidR="00EC3F3F">
        <w:rPr>
          <w:rStyle w:val="normaltextrun"/>
          <w:color w:val="000000"/>
          <w:shd w:val="clear" w:color="auto" w:fill="FFFFFF"/>
        </w:rPr>
        <w:t>will require</w:t>
      </w:r>
      <w:r w:rsidR="0021061D">
        <w:rPr>
          <w:rStyle w:val="normaltextrun"/>
          <w:color w:val="000000"/>
          <w:shd w:val="clear" w:color="auto" w:fill="FFFFFF"/>
        </w:rPr>
        <w:t xml:space="preserve"> Certificate of Representation submi</w:t>
      </w:r>
      <w:r w:rsidR="00EC3F3F">
        <w:rPr>
          <w:rStyle w:val="normaltextrun"/>
          <w:color w:val="000000"/>
          <w:shd w:val="clear" w:color="auto" w:fill="FFFFFF"/>
        </w:rPr>
        <w:t>ssions</w:t>
      </w:r>
      <w:r w:rsidR="0021061D">
        <w:rPr>
          <w:rStyle w:val="normaltextrun"/>
          <w:color w:val="000000"/>
          <w:shd w:val="clear" w:color="auto" w:fill="FFFFFF"/>
        </w:rPr>
        <w:t xml:space="preserve"> to appoint new designated representatives, 20 percent of all sources will submit permit applications (this number includes both new sources and sources renewing their permits), </w:t>
      </w:r>
      <w:r w:rsidR="00E26235">
        <w:rPr>
          <w:rStyle w:val="normaltextrun"/>
          <w:color w:val="000000"/>
          <w:shd w:val="clear" w:color="auto" w:fill="FFFFFF"/>
        </w:rPr>
        <w:t>10</w:t>
      </w:r>
      <w:r w:rsidR="0021061D">
        <w:rPr>
          <w:rStyle w:val="normaltextrun"/>
          <w:color w:val="000000"/>
          <w:shd w:val="clear" w:color="auto" w:fill="FFFFFF"/>
        </w:rPr>
        <w:t xml:space="preserve"> units will submit retired unit exemptions, and </w:t>
      </w:r>
      <w:r w:rsidR="00D808E6">
        <w:rPr>
          <w:rStyle w:val="normaltextrun"/>
          <w:color w:val="000000"/>
          <w:shd w:val="clear" w:color="auto" w:fill="FFFFFF"/>
        </w:rPr>
        <w:t>2</w:t>
      </w:r>
      <w:r w:rsidR="0021061D">
        <w:rPr>
          <w:rStyle w:val="normaltextrun"/>
          <w:color w:val="000000"/>
          <w:shd w:val="clear" w:color="auto" w:fill="FFFFFF"/>
        </w:rPr>
        <w:t xml:space="preserve"> units will submit new unit exemptions. The </w:t>
      </w:r>
      <w:r w:rsidR="0021061D">
        <w:rPr>
          <w:rStyle w:val="normaltextrun"/>
          <w:color w:val="000000"/>
          <w:shd w:val="clear" w:color="auto" w:fill="FFFFFF"/>
        </w:rPr>
        <w:t xml:space="preserve">total annual respondent burden is estimated to be </w:t>
      </w:r>
      <w:r w:rsidR="00D14F6B">
        <w:rPr>
          <w:rStyle w:val="normaltextrun"/>
          <w:color w:val="000000"/>
          <w:shd w:val="clear" w:color="auto" w:fill="FFFFFF"/>
        </w:rPr>
        <w:t>5,393</w:t>
      </w:r>
      <w:r w:rsidR="0021061D">
        <w:rPr>
          <w:rStyle w:val="normaltextrun"/>
          <w:color w:val="000000"/>
          <w:shd w:val="clear" w:color="auto" w:fill="FFFFFF"/>
        </w:rPr>
        <w:t xml:space="preserve"> hours. The costs associated with the permitting process are estimated at $</w:t>
      </w:r>
      <w:r w:rsidR="00D14F6B">
        <w:rPr>
          <w:rStyle w:val="normaltextrun"/>
          <w:color w:val="000000"/>
          <w:shd w:val="clear" w:color="auto" w:fill="FFFFFF"/>
        </w:rPr>
        <w:t>592,</w:t>
      </w:r>
      <w:r w:rsidR="00D63B87">
        <w:rPr>
          <w:rStyle w:val="normaltextrun"/>
          <w:color w:val="000000"/>
          <w:shd w:val="clear" w:color="auto" w:fill="FFFFFF"/>
        </w:rPr>
        <w:t>719</w:t>
      </w:r>
      <w:r w:rsidR="0021061D">
        <w:rPr>
          <w:rStyle w:val="normaltextrun"/>
          <w:color w:val="000000"/>
          <w:shd w:val="clear" w:color="auto" w:fill="FFFFFF"/>
        </w:rPr>
        <w:t xml:space="preserve"> annually.</w:t>
      </w:r>
    </w:p>
    <w:p w:rsidR="00461240" w:rsidRPr="00461240" w:rsidP="008C6233" w14:paraId="63C21E15" w14:textId="2E64640D">
      <w:pPr>
        <w:spacing w:line="276" w:lineRule="auto"/>
        <w:jc w:val="center"/>
        <w:rPr>
          <w:rStyle w:val="normaltextrun"/>
          <w:rFonts w:cstheme="minorHAnsi"/>
        </w:rPr>
      </w:pPr>
      <w:r>
        <w:rPr>
          <w:rStyle w:val="normaltextrun"/>
          <w:rFonts w:cstheme="minorHAnsi"/>
        </w:rPr>
        <w:t>12.2</w:t>
      </w:r>
      <w:r w:rsidR="008C6233">
        <w:rPr>
          <w:rStyle w:val="normaltextrun"/>
          <w:rFonts w:cstheme="minorHAnsi"/>
        </w:rPr>
        <w:t xml:space="preserve"> </w:t>
      </w:r>
      <w:r w:rsidRPr="008B0750" w:rsidR="008C6233">
        <w:rPr>
          <w:rFonts w:cstheme="minorHAnsi"/>
          <w:bCs/>
        </w:rPr>
        <w:t xml:space="preserve">Respondent Burden/Cost Estimates for </w:t>
      </w:r>
      <w:r w:rsidR="008C6233">
        <w:rPr>
          <w:rFonts w:cstheme="minorHAnsi"/>
          <w:bCs/>
        </w:rPr>
        <w:t>Permits</w:t>
      </w:r>
    </w:p>
    <w:tbl>
      <w:tblPr>
        <w:tblW w:w="100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73"/>
        <w:gridCol w:w="1828"/>
        <w:gridCol w:w="1573"/>
        <w:gridCol w:w="1745"/>
        <w:gridCol w:w="1457"/>
      </w:tblGrid>
      <w:tr w14:paraId="48D4E2E5" w14:textId="77777777" w:rsidTr="008B0750">
        <w:tblPrEx>
          <w:tblW w:w="100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1"/>
          <w:jc w:val="center"/>
        </w:trPr>
        <w:tc>
          <w:tcPr>
            <w:tcW w:w="3473" w:type="dxa"/>
            <w:tcBorders>
              <w:top w:val="double" w:sz="6" w:space="0" w:color="auto"/>
              <w:left w:val="double" w:sz="6" w:space="0" w:color="auto"/>
              <w:bottom w:val="single" w:sz="6" w:space="0" w:color="auto"/>
              <w:right w:val="nil"/>
            </w:tcBorders>
            <w:shd w:val="clear" w:color="auto" w:fill="auto"/>
            <w:vAlign w:val="bottom"/>
            <w:hideMark/>
          </w:tcPr>
          <w:p w:rsidR="008C7480" w:rsidRPr="00466AE9" w:rsidP="008C7480" w14:paraId="250E8AB4" w14:textId="77777777">
            <w:pPr>
              <w:spacing w:after="0" w:line="240" w:lineRule="auto"/>
              <w:jc w:val="center"/>
              <w:textAlignment w:val="baseline"/>
              <w:rPr>
                <w:rFonts w:eastAsia="Times New Roman" w:cstheme="minorHAnsi"/>
              </w:rPr>
            </w:pPr>
            <w:r w:rsidRPr="00466AE9">
              <w:rPr>
                <w:rFonts w:eastAsia="Times New Roman" w:cstheme="minorHAnsi"/>
                <w:b/>
                <w:bCs/>
              </w:rPr>
              <w:t>Tasks</w:t>
            </w:r>
            <w:r w:rsidRPr="00466AE9">
              <w:rPr>
                <w:rFonts w:eastAsia="Times New Roman" w:cstheme="minorHAnsi"/>
              </w:rPr>
              <w:t> </w:t>
            </w:r>
          </w:p>
        </w:tc>
        <w:tc>
          <w:tcPr>
            <w:tcW w:w="1828" w:type="dxa"/>
            <w:tcBorders>
              <w:top w:val="double" w:sz="6" w:space="0" w:color="auto"/>
              <w:left w:val="single" w:sz="6" w:space="0" w:color="auto"/>
              <w:bottom w:val="single" w:sz="6" w:space="0" w:color="auto"/>
              <w:right w:val="nil"/>
            </w:tcBorders>
            <w:shd w:val="clear" w:color="auto" w:fill="auto"/>
            <w:vAlign w:val="bottom"/>
            <w:hideMark/>
          </w:tcPr>
          <w:p w:rsidR="008C7480" w:rsidRPr="00466AE9" w:rsidP="008C7480" w14:paraId="39EBEB7D" w14:textId="77777777">
            <w:pPr>
              <w:spacing w:after="0" w:line="240" w:lineRule="auto"/>
              <w:jc w:val="center"/>
              <w:textAlignment w:val="baseline"/>
              <w:rPr>
                <w:rFonts w:eastAsia="Times New Roman" w:cstheme="minorHAnsi"/>
              </w:rPr>
            </w:pPr>
            <w:r w:rsidRPr="00466AE9">
              <w:rPr>
                <w:rFonts w:eastAsia="Times New Roman" w:cstheme="minorHAnsi"/>
                <w:b/>
                <w:bCs/>
              </w:rPr>
              <w:t>Burden hours per occurrence</w:t>
            </w:r>
            <w:r w:rsidRPr="00466AE9">
              <w:rPr>
                <w:rFonts w:eastAsia="Times New Roman" w:cstheme="minorHAnsi"/>
              </w:rPr>
              <w:t> </w:t>
            </w:r>
          </w:p>
        </w:tc>
        <w:tc>
          <w:tcPr>
            <w:tcW w:w="1571" w:type="dxa"/>
            <w:tcBorders>
              <w:top w:val="double" w:sz="6" w:space="0" w:color="auto"/>
              <w:left w:val="single" w:sz="6" w:space="0" w:color="auto"/>
              <w:bottom w:val="single" w:sz="6" w:space="0" w:color="auto"/>
              <w:right w:val="nil"/>
            </w:tcBorders>
            <w:shd w:val="clear" w:color="auto" w:fill="auto"/>
            <w:vAlign w:val="bottom"/>
            <w:hideMark/>
          </w:tcPr>
          <w:p w:rsidR="008C7480" w:rsidRPr="00466AE9" w:rsidP="008C7480" w14:paraId="2AB5FAEB" w14:textId="77777777">
            <w:pPr>
              <w:spacing w:after="0" w:line="240" w:lineRule="auto"/>
              <w:jc w:val="center"/>
              <w:textAlignment w:val="baseline"/>
              <w:rPr>
                <w:rFonts w:eastAsia="Times New Roman" w:cstheme="minorHAnsi"/>
              </w:rPr>
            </w:pPr>
            <w:r w:rsidRPr="00466AE9">
              <w:rPr>
                <w:rFonts w:eastAsia="Times New Roman" w:cstheme="minorHAnsi"/>
                <w:b/>
                <w:bCs/>
              </w:rPr>
              <w:t xml:space="preserve">Cost per </w:t>
            </w:r>
            <w:r w:rsidRPr="00466AE9">
              <w:rPr>
                <w:rFonts w:eastAsia="Times New Roman" w:cstheme="minorHAnsi"/>
                <w:b/>
                <w:bCs/>
              </w:rPr>
              <w:t>occurrence</w:t>
            </w:r>
            <w:r w:rsidRPr="00466AE9">
              <w:rPr>
                <w:rFonts w:eastAsia="Times New Roman" w:cstheme="minorHAnsi"/>
                <w:b/>
                <w:bCs/>
                <w:vertAlign w:val="superscript"/>
              </w:rPr>
              <w:t>a</w:t>
            </w:r>
            <w:r w:rsidRPr="00466AE9">
              <w:rPr>
                <w:rFonts w:eastAsia="Times New Roman" w:cstheme="minorHAnsi"/>
              </w:rPr>
              <w:t> </w:t>
            </w:r>
          </w:p>
        </w:tc>
        <w:tc>
          <w:tcPr>
            <w:tcW w:w="1745" w:type="dxa"/>
            <w:tcBorders>
              <w:top w:val="double" w:sz="6" w:space="0" w:color="auto"/>
              <w:left w:val="single" w:sz="6" w:space="0" w:color="auto"/>
              <w:bottom w:val="single" w:sz="6" w:space="0" w:color="auto"/>
              <w:right w:val="nil"/>
            </w:tcBorders>
            <w:shd w:val="clear" w:color="auto" w:fill="auto"/>
            <w:vAlign w:val="bottom"/>
            <w:hideMark/>
          </w:tcPr>
          <w:p w:rsidR="008C7480" w:rsidRPr="00466AE9" w:rsidP="008C7480" w14:paraId="2267E16A" w14:textId="77777777">
            <w:pPr>
              <w:spacing w:after="0" w:line="240" w:lineRule="auto"/>
              <w:jc w:val="center"/>
              <w:textAlignment w:val="baseline"/>
              <w:rPr>
                <w:rFonts w:eastAsia="Times New Roman" w:cstheme="minorHAnsi"/>
              </w:rPr>
            </w:pPr>
            <w:r w:rsidRPr="00466AE9">
              <w:rPr>
                <w:rFonts w:eastAsia="Times New Roman" w:cstheme="minorHAnsi"/>
                <w:b/>
                <w:bCs/>
              </w:rPr>
              <w:t>Total burden (hours)</w:t>
            </w:r>
            <w:r w:rsidRPr="00466AE9">
              <w:rPr>
                <w:rFonts w:eastAsia="Times New Roman" w:cstheme="minorHAnsi"/>
              </w:rPr>
              <w:t> </w:t>
            </w:r>
          </w:p>
        </w:tc>
        <w:tc>
          <w:tcPr>
            <w:tcW w:w="1457"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8C7480" w:rsidRPr="00466AE9" w:rsidP="008C7480" w14:paraId="063F6366" w14:textId="77777777">
            <w:pPr>
              <w:spacing w:after="0" w:line="240" w:lineRule="auto"/>
              <w:jc w:val="center"/>
              <w:textAlignment w:val="baseline"/>
              <w:rPr>
                <w:rFonts w:eastAsia="Times New Roman" w:cstheme="minorHAnsi"/>
              </w:rPr>
            </w:pPr>
            <w:r w:rsidRPr="00466AE9">
              <w:rPr>
                <w:rFonts w:eastAsia="Times New Roman" w:cstheme="minorHAnsi"/>
                <w:b/>
                <w:bCs/>
              </w:rPr>
              <w:t>Total cost</w:t>
            </w:r>
            <w:r w:rsidRPr="00466AE9">
              <w:rPr>
                <w:rFonts w:eastAsia="Times New Roman" w:cstheme="minorHAnsi"/>
              </w:rPr>
              <w:t> </w:t>
            </w:r>
          </w:p>
        </w:tc>
      </w:tr>
      <w:tr w14:paraId="54B3822B" w14:textId="77777777" w:rsidTr="008B0750">
        <w:tblPrEx>
          <w:tblW w:w="10076" w:type="dxa"/>
          <w:jc w:val="center"/>
          <w:tblCellMar>
            <w:left w:w="0" w:type="dxa"/>
            <w:right w:w="0" w:type="dxa"/>
          </w:tblCellMar>
          <w:tblLook w:val="04A0"/>
        </w:tblPrEx>
        <w:trPr>
          <w:trHeight w:val="331"/>
          <w:jc w:val="center"/>
        </w:trPr>
        <w:tc>
          <w:tcPr>
            <w:tcW w:w="3473" w:type="dxa"/>
            <w:tcBorders>
              <w:top w:val="single" w:sz="6" w:space="0" w:color="auto"/>
              <w:left w:val="double" w:sz="6" w:space="0" w:color="auto"/>
              <w:bottom w:val="nil"/>
              <w:right w:val="nil"/>
            </w:tcBorders>
            <w:shd w:val="clear" w:color="auto" w:fill="auto"/>
            <w:hideMark/>
          </w:tcPr>
          <w:p w:rsidR="008C7480" w:rsidRPr="00466AE9" w:rsidP="008C7480" w14:paraId="2A1156CA" w14:textId="77777777">
            <w:pPr>
              <w:spacing w:after="0" w:line="240" w:lineRule="auto"/>
              <w:textAlignment w:val="baseline"/>
              <w:rPr>
                <w:rFonts w:eastAsia="Times New Roman" w:cstheme="minorHAnsi"/>
              </w:rPr>
            </w:pPr>
            <w:r w:rsidRPr="00466AE9">
              <w:rPr>
                <w:rFonts w:eastAsia="Times New Roman" w:cstheme="minorHAnsi"/>
              </w:rPr>
              <w:t xml:space="preserve">Change Designated </w:t>
            </w:r>
            <w:r w:rsidRPr="00466AE9">
              <w:rPr>
                <w:rFonts w:eastAsia="Times New Roman" w:cstheme="minorHAnsi"/>
              </w:rPr>
              <w:t>Representative.</w:t>
            </w:r>
            <w:r w:rsidRPr="00466AE9">
              <w:rPr>
                <w:rFonts w:eastAsia="Times New Roman" w:cstheme="minorHAnsi"/>
                <w:vertAlign w:val="superscript"/>
              </w:rPr>
              <w:t>b</w:t>
            </w:r>
            <w:r w:rsidRPr="00466AE9">
              <w:rPr>
                <w:rFonts w:eastAsia="Times New Roman" w:cstheme="minorHAnsi"/>
              </w:rPr>
              <w:t> </w:t>
            </w:r>
          </w:p>
        </w:tc>
        <w:tc>
          <w:tcPr>
            <w:tcW w:w="1828" w:type="dxa"/>
            <w:tcBorders>
              <w:top w:val="single" w:sz="6" w:space="0" w:color="auto"/>
              <w:left w:val="single" w:sz="6" w:space="0" w:color="auto"/>
              <w:bottom w:val="nil"/>
              <w:right w:val="nil"/>
            </w:tcBorders>
            <w:shd w:val="clear" w:color="auto" w:fill="auto"/>
            <w:vAlign w:val="bottom"/>
            <w:hideMark/>
          </w:tcPr>
          <w:p w:rsidR="008C7480" w:rsidRPr="00466AE9" w:rsidP="008C7480" w14:paraId="763B56ED" w14:textId="77777777">
            <w:pPr>
              <w:spacing w:after="0" w:line="240" w:lineRule="auto"/>
              <w:jc w:val="center"/>
              <w:textAlignment w:val="baseline"/>
              <w:rPr>
                <w:rFonts w:eastAsia="Times New Roman" w:cstheme="minorHAnsi"/>
              </w:rPr>
            </w:pPr>
            <w:r w:rsidRPr="00466AE9">
              <w:rPr>
                <w:rFonts w:eastAsia="Times New Roman" w:cstheme="minorHAnsi"/>
              </w:rPr>
              <w:t> </w:t>
            </w:r>
          </w:p>
        </w:tc>
        <w:tc>
          <w:tcPr>
            <w:tcW w:w="1571" w:type="dxa"/>
            <w:tcBorders>
              <w:top w:val="single" w:sz="6" w:space="0" w:color="auto"/>
              <w:left w:val="single" w:sz="6" w:space="0" w:color="auto"/>
              <w:bottom w:val="nil"/>
              <w:right w:val="nil"/>
            </w:tcBorders>
            <w:shd w:val="clear" w:color="auto" w:fill="auto"/>
            <w:vAlign w:val="bottom"/>
            <w:hideMark/>
          </w:tcPr>
          <w:p w:rsidR="008C7480" w:rsidRPr="00466AE9" w:rsidP="008C7480" w14:paraId="5D82B03E" w14:textId="77777777">
            <w:pPr>
              <w:spacing w:after="0" w:line="240" w:lineRule="auto"/>
              <w:jc w:val="center"/>
              <w:textAlignment w:val="baseline"/>
              <w:rPr>
                <w:rFonts w:eastAsia="Times New Roman" w:cstheme="minorHAnsi"/>
              </w:rPr>
            </w:pPr>
            <w:r w:rsidRPr="00466AE9">
              <w:rPr>
                <w:rFonts w:eastAsia="Times New Roman" w:cstheme="minorHAnsi"/>
              </w:rPr>
              <w:t> </w:t>
            </w:r>
          </w:p>
        </w:tc>
        <w:tc>
          <w:tcPr>
            <w:tcW w:w="1745" w:type="dxa"/>
            <w:tcBorders>
              <w:top w:val="single" w:sz="6" w:space="0" w:color="auto"/>
              <w:left w:val="single" w:sz="6" w:space="0" w:color="auto"/>
              <w:bottom w:val="nil"/>
              <w:right w:val="nil"/>
            </w:tcBorders>
            <w:shd w:val="clear" w:color="auto" w:fill="auto"/>
            <w:vAlign w:val="bottom"/>
            <w:hideMark/>
          </w:tcPr>
          <w:p w:rsidR="008C7480" w:rsidRPr="00466AE9" w:rsidP="008C7480" w14:paraId="79B014F5" w14:textId="77777777">
            <w:pPr>
              <w:spacing w:after="0" w:line="240" w:lineRule="auto"/>
              <w:jc w:val="center"/>
              <w:textAlignment w:val="baseline"/>
              <w:rPr>
                <w:rFonts w:eastAsia="Times New Roman" w:cstheme="minorHAnsi"/>
              </w:rPr>
            </w:pPr>
            <w:r w:rsidRPr="00466AE9">
              <w:rPr>
                <w:rFonts w:eastAsia="Times New Roman" w:cstheme="minorHAnsi"/>
              </w:rPr>
              <w:t> </w:t>
            </w:r>
          </w:p>
        </w:tc>
        <w:tc>
          <w:tcPr>
            <w:tcW w:w="1457" w:type="dxa"/>
            <w:tcBorders>
              <w:top w:val="single" w:sz="6" w:space="0" w:color="auto"/>
              <w:left w:val="single" w:sz="6" w:space="0" w:color="auto"/>
              <w:bottom w:val="nil"/>
              <w:right w:val="double" w:sz="6" w:space="0" w:color="auto"/>
            </w:tcBorders>
            <w:shd w:val="clear" w:color="auto" w:fill="auto"/>
            <w:vAlign w:val="bottom"/>
            <w:hideMark/>
          </w:tcPr>
          <w:p w:rsidR="008C7480" w:rsidRPr="00466AE9" w:rsidP="008C7480" w14:paraId="7321046B" w14:textId="77777777">
            <w:pPr>
              <w:spacing w:after="0" w:line="240" w:lineRule="auto"/>
              <w:jc w:val="center"/>
              <w:textAlignment w:val="baseline"/>
              <w:rPr>
                <w:rFonts w:eastAsia="Times New Roman" w:cstheme="minorHAnsi"/>
              </w:rPr>
            </w:pPr>
            <w:r w:rsidRPr="00466AE9">
              <w:rPr>
                <w:rFonts w:eastAsia="Times New Roman" w:cstheme="minorHAnsi"/>
              </w:rPr>
              <w:t> </w:t>
            </w:r>
          </w:p>
        </w:tc>
      </w:tr>
      <w:tr w14:paraId="5FC207F9"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05958ADC" w14:textId="77777777">
            <w:pPr>
              <w:spacing w:after="0" w:line="240" w:lineRule="auto"/>
              <w:ind w:left="375"/>
              <w:textAlignment w:val="baseline"/>
              <w:rPr>
                <w:rFonts w:eastAsia="Times New Roman" w:cstheme="minorHAnsi"/>
              </w:rPr>
            </w:pPr>
            <w:r w:rsidRPr="00466AE9">
              <w:rPr>
                <w:rFonts w:eastAsia="Times New Roman" w:cstheme="minorHAnsi"/>
              </w:rPr>
              <w:t>Managerial. </w:t>
            </w:r>
          </w:p>
        </w:tc>
        <w:tc>
          <w:tcPr>
            <w:tcW w:w="1828" w:type="dxa"/>
            <w:tcBorders>
              <w:top w:val="nil"/>
              <w:left w:val="single" w:sz="6" w:space="0" w:color="auto"/>
              <w:bottom w:val="nil"/>
              <w:right w:val="nil"/>
            </w:tcBorders>
            <w:shd w:val="clear" w:color="auto" w:fill="auto"/>
            <w:vAlign w:val="bottom"/>
            <w:hideMark/>
          </w:tcPr>
          <w:p w:rsidR="008C7480" w:rsidRPr="00466AE9" w:rsidP="008C7480" w14:paraId="54FCC83A" w14:textId="77777777">
            <w:pPr>
              <w:spacing w:after="0" w:line="240" w:lineRule="auto"/>
              <w:jc w:val="center"/>
              <w:textAlignment w:val="baseline"/>
              <w:rPr>
                <w:rFonts w:eastAsia="Times New Roman" w:cstheme="minorHAnsi"/>
              </w:rPr>
            </w:pPr>
            <w:r w:rsidRPr="00466AE9">
              <w:rPr>
                <w:rFonts w:eastAsia="Times New Roman" w:cstheme="minorHAnsi"/>
              </w:rPr>
              <w:t>10 </w:t>
            </w:r>
          </w:p>
        </w:tc>
        <w:tc>
          <w:tcPr>
            <w:tcW w:w="1571" w:type="dxa"/>
            <w:tcBorders>
              <w:top w:val="nil"/>
              <w:left w:val="single" w:sz="6" w:space="0" w:color="auto"/>
              <w:bottom w:val="nil"/>
              <w:right w:val="nil"/>
            </w:tcBorders>
            <w:shd w:val="clear" w:color="auto" w:fill="auto"/>
            <w:vAlign w:val="center"/>
            <w:hideMark/>
          </w:tcPr>
          <w:p w:rsidR="008C7480" w:rsidRPr="00466AE9" w:rsidP="008C7480" w14:paraId="009A3CA7" w14:textId="44719A1E">
            <w:pPr>
              <w:spacing w:after="0" w:line="240" w:lineRule="auto"/>
              <w:jc w:val="center"/>
              <w:textAlignment w:val="baseline"/>
              <w:rPr>
                <w:rFonts w:eastAsia="Times New Roman" w:cstheme="minorHAnsi"/>
              </w:rPr>
            </w:pPr>
            <w:r w:rsidRPr="00466AE9">
              <w:rPr>
                <w:rFonts w:eastAsia="Times New Roman" w:cstheme="minorHAnsi"/>
                <w:color w:val="000000"/>
              </w:rPr>
              <w:t>$1,</w:t>
            </w:r>
            <w:r w:rsidRPr="00466AE9" w:rsidR="006B7853">
              <w:rPr>
                <w:rFonts w:eastAsia="Times New Roman" w:cstheme="minorHAnsi"/>
                <w:color w:val="000000"/>
              </w:rPr>
              <w:t>234.80</w:t>
            </w:r>
            <w:r w:rsidRPr="00466AE9">
              <w:rPr>
                <w:rFonts w:eastAsia="Times New Roman" w:cstheme="minorHAnsi"/>
                <w:color w:val="000000"/>
              </w:rPr>
              <w:t>  </w:t>
            </w:r>
          </w:p>
        </w:tc>
        <w:tc>
          <w:tcPr>
            <w:tcW w:w="1745" w:type="dxa"/>
            <w:tcBorders>
              <w:top w:val="nil"/>
              <w:left w:val="single" w:sz="6" w:space="0" w:color="auto"/>
              <w:bottom w:val="nil"/>
              <w:right w:val="nil"/>
            </w:tcBorders>
            <w:shd w:val="clear" w:color="auto" w:fill="auto"/>
            <w:vAlign w:val="center"/>
            <w:hideMark/>
          </w:tcPr>
          <w:p w:rsidR="008C7480" w:rsidRPr="00466AE9" w:rsidP="008C7480" w14:paraId="38159581" w14:textId="17E99E0C">
            <w:pPr>
              <w:spacing w:after="0" w:line="240" w:lineRule="auto"/>
              <w:jc w:val="center"/>
              <w:textAlignment w:val="baseline"/>
              <w:rPr>
                <w:rFonts w:eastAsia="Times New Roman" w:cstheme="minorHAnsi"/>
              </w:rPr>
            </w:pPr>
            <w:r w:rsidRPr="00466AE9">
              <w:rPr>
                <w:rFonts w:eastAsia="Times New Roman" w:cstheme="minorHAnsi"/>
                <w:color w:val="000000"/>
              </w:rPr>
              <w:t>2,820</w:t>
            </w:r>
            <w:r w:rsidRPr="00466AE9">
              <w:rPr>
                <w:rFonts w:eastAsia="Times New Roman" w:cstheme="minorHAnsi"/>
                <w:color w:val="000000"/>
              </w:rPr>
              <w:t> </w:t>
            </w:r>
          </w:p>
        </w:tc>
        <w:tc>
          <w:tcPr>
            <w:tcW w:w="1457" w:type="dxa"/>
            <w:tcBorders>
              <w:top w:val="nil"/>
              <w:left w:val="single" w:sz="6" w:space="0" w:color="auto"/>
              <w:bottom w:val="nil"/>
              <w:right w:val="double" w:sz="6" w:space="0" w:color="auto"/>
            </w:tcBorders>
            <w:shd w:val="clear" w:color="auto" w:fill="auto"/>
            <w:vAlign w:val="center"/>
            <w:hideMark/>
          </w:tcPr>
          <w:p w:rsidR="008C7480" w:rsidRPr="00466AE9" w:rsidP="008C7480" w14:paraId="2F15509B" w14:textId="4D794DF4">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A05377">
              <w:rPr>
                <w:rFonts w:eastAsia="Times New Roman" w:cstheme="minorHAnsi"/>
                <w:color w:val="000000"/>
              </w:rPr>
              <w:t>348,214</w:t>
            </w:r>
            <w:r w:rsidRPr="00466AE9">
              <w:rPr>
                <w:rFonts w:eastAsia="Times New Roman" w:cstheme="minorHAnsi"/>
                <w:color w:val="000000"/>
              </w:rPr>
              <w:t>  </w:t>
            </w:r>
          </w:p>
        </w:tc>
      </w:tr>
      <w:tr w14:paraId="0C6B35E2"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31B8C81B" w14:textId="77777777">
            <w:pPr>
              <w:spacing w:after="0" w:line="240" w:lineRule="auto"/>
              <w:ind w:left="375"/>
              <w:textAlignment w:val="baseline"/>
              <w:rPr>
                <w:rFonts w:eastAsia="Times New Roman" w:cstheme="minorHAnsi"/>
              </w:rPr>
            </w:pPr>
            <w:r w:rsidRPr="00466AE9">
              <w:rPr>
                <w:rFonts w:eastAsia="Times New Roman" w:cstheme="minorHAnsi"/>
              </w:rPr>
              <w:t>Technical. </w:t>
            </w:r>
          </w:p>
        </w:tc>
        <w:tc>
          <w:tcPr>
            <w:tcW w:w="1828" w:type="dxa"/>
            <w:tcBorders>
              <w:top w:val="nil"/>
              <w:left w:val="single" w:sz="6" w:space="0" w:color="auto"/>
              <w:bottom w:val="nil"/>
              <w:right w:val="nil"/>
            </w:tcBorders>
            <w:shd w:val="clear" w:color="auto" w:fill="auto"/>
            <w:vAlign w:val="bottom"/>
            <w:hideMark/>
          </w:tcPr>
          <w:p w:rsidR="008C7480" w:rsidRPr="00466AE9" w:rsidP="008C7480" w14:paraId="18E175D3" w14:textId="77777777">
            <w:pPr>
              <w:spacing w:after="0" w:line="240" w:lineRule="auto"/>
              <w:jc w:val="center"/>
              <w:textAlignment w:val="baseline"/>
              <w:rPr>
                <w:rFonts w:eastAsia="Times New Roman" w:cstheme="minorHAnsi"/>
              </w:rPr>
            </w:pPr>
            <w:r w:rsidRPr="00466AE9">
              <w:rPr>
                <w:rFonts w:eastAsia="Times New Roman" w:cstheme="minorHAnsi"/>
              </w:rPr>
              <w:t>5 </w:t>
            </w:r>
          </w:p>
        </w:tc>
        <w:tc>
          <w:tcPr>
            <w:tcW w:w="1571" w:type="dxa"/>
            <w:tcBorders>
              <w:top w:val="nil"/>
              <w:left w:val="single" w:sz="6" w:space="0" w:color="auto"/>
              <w:bottom w:val="nil"/>
              <w:right w:val="nil"/>
            </w:tcBorders>
            <w:shd w:val="clear" w:color="auto" w:fill="auto"/>
            <w:vAlign w:val="center"/>
            <w:hideMark/>
          </w:tcPr>
          <w:p w:rsidR="008C7480" w:rsidRPr="00466AE9" w:rsidP="008C7480" w14:paraId="1C71D41B" w14:textId="6ADE9E7F">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6B7853">
              <w:rPr>
                <w:rFonts w:eastAsia="Times New Roman" w:cstheme="minorHAnsi"/>
                <w:color w:val="000000"/>
              </w:rPr>
              <w:t>444</w:t>
            </w:r>
            <w:r w:rsidRPr="00466AE9" w:rsidR="002B7E6A">
              <w:rPr>
                <w:rFonts w:eastAsia="Times New Roman" w:cstheme="minorHAnsi"/>
                <w:color w:val="000000"/>
              </w:rPr>
              <w:t>.00</w:t>
            </w:r>
            <w:r w:rsidRPr="00466AE9">
              <w:rPr>
                <w:rFonts w:eastAsia="Times New Roman" w:cstheme="minorHAnsi"/>
                <w:color w:val="000000"/>
              </w:rPr>
              <w:t>  </w:t>
            </w:r>
          </w:p>
        </w:tc>
        <w:tc>
          <w:tcPr>
            <w:tcW w:w="1745" w:type="dxa"/>
            <w:tcBorders>
              <w:top w:val="nil"/>
              <w:left w:val="single" w:sz="6" w:space="0" w:color="auto"/>
              <w:bottom w:val="nil"/>
              <w:right w:val="nil"/>
            </w:tcBorders>
            <w:shd w:val="clear" w:color="auto" w:fill="auto"/>
            <w:vAlign w:val="center"/>
            <w:hideMark/>
          </w:tcPr>
          <w:p w:rsidR="008C7480" w:rsidRPr="00466AE9" w:rsidP="008C7480" w14:paraId="55E2C8FA" w14:textId="1B500323">
            <w:pPr>
              <w:spacing w:after="0" w:line="240" w:lineRule="auto"/>
              <w:jc w:val="center"/>
              <w:textAlignment w:val="baseline"/>
              <w:rPr>
                <w:rFonts w:eastAsia="Times New Roman" w:cstheme="minorHAnsi"/>
              </w:rPr>
            </w:pPr>
            <w:r w:rsidRPr="00466AE9">
              <w:rPr>
                <w:rFonts w:eastAsia="Times New Roman" w:cstheme="minorHAnsi"/>
                <w:color w:val="000000"/>
              </w:rPr>
              <w:t>1,</w:t>
            </w:r>
            <w:r w:rsidRPr="00466AE9" w:rsidR="00A05377">
              <w:rPr>
                <w:rFonts w:eastAsia="Times New Roman" w:cstheme="minorHAnsi"/>
                <w:color w:val="000000"/>
              </w:rPr>
              <w:t>410</w:t>
            </w:r>
            <w:r w:rsidRPr="00466AE9">
              <w:rPr>
                <w:rFonts w:eastAsia="Times New Roman" w:cstheme="minorHAnsi"/>
                <w:color w:val="000000"/>
              </w:rPr>
              <w:t> </w:t>
            </w:r>
          </w:p>
        </w:tc>
        <w:tc>
          <w:tcPr>
            <w:tcW w:w="1457" w:type="dxa"/>
            <w:tcBorders>
              <w:top w:val="nil"/>
              <w:left w:val="single" w:sz="6" w:space="0" w:color="auto"/>
              <w:bottom w:val="nil"/>
              <w:right w:val="double" w:sz="6" w:space="0" w:color="auto"/>
            </w:tcBorders>
            <w:shd w:val="clear" w:color="auto" w:fill="auto"/>
            <w:vAlign w:val="center"/>
            <w:hideMark/>
          </w:tcPr>
          <w:p w:rsidR="008C7480" w:rsidRPr="00466AE9" w:rsidP="008C7480" w14:paraId="78450F5C" w14:textId="7AB1551F">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4A09C4">
              <w:rPr>
                <w:rFonts w:eastAsia="Times New Roman" w:cstheme="minorHAnsi"/>
                <w:color w:val="000000"/>
              </w:rPr>
              <w:t>125,208</w:t>
            </w:r>
            <w:r w:rsidRPr="00466AE9">
              <w:rPr>
                <w:rFonts w:eastAsia="Times New Roman" w:cstheme="minorHAnsi"/>
                <w:color w:val="000000"/>
              </w:rPr>
              <w:t>  </w:t>
            </w:r>
          </w:p>
        </w:tc>
      </w:tr>
      <w:tr w14:paraId="05C8A8F4" w14:textId="77777777" w:rsidTr="008B0750">
        <w:tblPrEx>
          <w:tblW w:w="10076" w:type="dxa"/>
          <w:jc w:val="center"/>
          <w:tblCellMar>
            <w:left w:w="0" w:type="dxa"/>
            <w:right w:w="0" w:type="dxa"/>
          </w:tblCellMar>
          <w:tblLook w:val="04A0"/>
        </w:tblPrEx>
        <w:trPr>
          <w:trHeight w:val="331"/>
          <w:jc w:val="center"/>
        </w:trPr>
        <w:tc>
          <w:tcPr>
            <w:tcW w:w="3473" w:type="dxa"/>
            <w:tcBorders>
              <w:top w:val="single" w:sz="6" w:space="0" w:color="auto"/>
              <w:left w:val="double" w:sz="6" w:space="0" w:color="auto"/>
              <w:bottom w:val="nil"/>
              <w:right w:val="nil"/>
            </w:tcBorders>
            <w:shd w:val="clear" w:color="auto" w:fill="auto"/>
            <w:hideMark/>
          </w:tcPr>
          <w:p w:rsidR="008C7480" w:rsidRPr="00466AE9" w:rsidP="008C7480" w14:paraId="07FEE384" w14:textId="77777777">
            <w:pPr>
              <w:spacing w:after="0" w:line="240" w:lineRule="auto"/>
              <w:textAlignment w:val="baseline"/>
              <w:rPr>
                <w:rFonts w:eastAsia="Times New Roman" w:cstheme="minorHAnsi"/>
              </w:rPr>
            </w:pPr>
            <w:r w:rsidRPr="00466AE9">
              <w:rPr>
                <w:rFonts w:eastAsia="Times New Roman" w:cstheme="minorHAnsi"/>
              </w:rPr>
              <w:t xml:space="preserve">Permit </w:t>
            </w:r>
            <w:r w:rsidRPr="00466AE9">
              <w:rPr>
                <w:rFonts w:eastAsia="Times New Roman" w:cstheme="minorHAnsi"/>
              </w:rPr>
              <w:t>applications.</w:t>
            </w:r>
            <w:r w:rsidRPr="00466AE9">
              <w:rPr>
                <w:rFonts w:eastAsia="Times New Roman" w:cstheme="minorHAnsi"/>
                <w:vertAlign w:val="superscript"/>
              </w:rPr>
              <w:t>c</w:t>
            </w:r>
            <w:r w:rsidRPr="00466AE9">
              <w:rPr>
                <w:rFonts w:eastAsia="Times New Roman" w:cstheme="minorHAnsi"/>
              </w:rPr>
              <w:t> </w:t>
            </w:r>
          </w:p>
        </w:tc>
        <w:tc>
          <w:tcPr>
            <w:tcW w:w="1828" w:type="dxa"/>
            <w:tcBorders>
              <w:top w:val="single" w:sz="6" w:space="0" w:color="auto"/>
              <w:left w:val="single" w:sz="6" w:space="0" w:color="auto"/>
              <w:bottom w:val="nil"/>
              <w:right w:val="single" w:sz="6" w:space="0" w:color="auto"/>
            </w:tcBorders>
            <w:shd w:val="clear" w:color="auto" w:fill="auto"/>
            <w:vAlign w:val="bottom"/>
            <w:hideMark/>
          </w:tcPr>
          <w:p w:rsidR="008C7480" w:rsidRPr="00466AE9" w:rsidP="008C7480" w14:paraId="586AEC35" w14:textId="77777777">
            <w:pPr>
              <w:spacing w:after="0" w:line="240" w:lineRule="auto"/>
              <w:jc w:val="center"/>
              <w:textAlignment w:val="baseline"/>
              <w:rPr>
                <w:rFonts w:eastAsia="Times New Roman" w:cstheme="minorHAnsi"/>
              </w:rPr>
            </w:pPr>
            <w:r w:rsidRPr="00466AE9">
              <w:rPr>
                <w:rFonts w:eastAsia="Times New Roman" w:cstheme="minorHAnsi"/>
              </w:rPr>
              <w:t> </w:t>
            </w:r>
          </w:p>
        </w:tc>
        <w:tc>
          <w:tcPr>
            <w:tcW w:w="1571" w:type="dxa"/>
            <w:tcBorders>
              <w:top w:val="single" w:sz="6" w:space="0" w:color="auto"/>
              <w:left w:val="nil"/>
              <w:bottom w:val="nil"/>
              <w:right w:val="single" w:sz="6" w:space="0" w:color="auto"/>
            </w:tcBorders>
            <w:shd w:val="clear" w:color="auto" w:fill="auto"/>
            <w:vAlign w:val="center"/>
            <w:hideMark/>
          </w:tcPr>
          <w:p w:rsidR="008C7480" w:rsidRPr="00466AE9" w:rsidP="008C7480" w14:paraId="18F4A25F"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c>
          <w:tcPr>
            <w:tcW w:w="1745" w:type="dxa"/>
            <w:tcBorders>
              <w:top w:val="single" w:sz="6" w:space="0" w:color="auto"/>
              <w:left w:val="nil"/>
              <w:bottom w:val="nil"/>
              <w:right w:val="single" w:sz="6" w:space="0" w:color="auto"/>
            </w:tcBorders>
            <w:shd w:val="clear" w:color="auto" w:fill="auto"/>
            <w:vAlign w:val="center"/>
            <w:hideMark/>
          </w:tcPr>
          <w:p w:rsidR="008C7480" w:rsidRPr="00466AE9" w:rsidP="008C7480" w14:paraId="7C05C650"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c>
          <w:tcPr>
            <w:tcW w:w="1457" w:type="dxa"/>
            <w:tcBorders>
              <w:top w:val="single" w:sz="6" w:space="0" w:color="auto"/>
              <w:left w:val="nil"/>
              <w:bottom w:val="nil"/>
              <w:right w:val="double" w:sz="6" w:space="0" w:color="auto"/>
            </w:tcBorders>
            <w:shd w:val="clear" w:color="auto" w:fill="auto"/>
            <w:vAlign w:val="center"/>
            <w:hideMark/>
          </w:tcPr>
          <w:p w:rsidR="008C7480" w:rsidRPr="00466AE9" w:rsidP="008C7480" w14:paraId="0495E6EC"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r>
      <w:tr w14:paraId="00AA58CE"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7E065B79" w14:textId="77777777">
            <w:pPr>
              <w:spacing w:after="0" w:line="240" w:lineRule="auto"/>
              <w:ind w:left="375"/>
              <w:textAlignment w:val="baseline"/>
              <w:rPr>
                <w:rFonts w:eastAsia="Times New Roman" w:cstheme="minorHAnsi"/>
              </w:rPr>
            </w:pPr>
            <w:r w:rsidRPr="00466AE9">
              <w:rPr>
                <w:rFonts w:eastAsia="Times New Roman" w:cstheme="minorHAnsi"/>
              </w:rPr>
              <w:t>Managerial. </w:t>
            </w:r>
          </w:p>
        </w:tc>
        <w:tc>
          <w:tcPr>
            <w:tcW w:w="1828" w:type="dxa"/>
            <w:tcBorders>
              <w:top w:val="nil"/>
              <w:left w:val="single" w:sz="6" w:space="0" w:color="auto"/>
              <w:bottom w:val="nil"/>
              <w:right w:val="single" w:sz="6" w:space="0" w:color="auto"/>
            </w:tcBorders>
            <w:shd w:val="clear" w:color="auto" w:fill="auto"/>
            <w:vAlign w:val="bottom"/>
            <w:hideMark/>
          </w:tcPr>
          <w:p w:rsidR="008C7480" w:rsidRPr="00466AE9" w:rsidP="008C7480" w14:paraId="54F0320F" w14:textId="77777777">
            <w:pPr>
              <w:spacing w:after="0" w:line="240" w:lineRule="auto"/>
              <w:jc w:val="center"/>
              <w:textAlignment w:val="baseline"/>
              <w:rPr>
                <w:rFonts w:eastAsia="Times New Roman" w:cstheme="minorHAnsi"/>
              </w:rPr>
            </w:pPr>
            <w:r w:rsidRPr="00466AE9">
              <w:rPr>
                <w:rFonts w:eastAsia="Times New Roman" w:cstheme="minorHAnsi"/>
              </w:rPr>
              <w:t>2 </w:t>
            </w:r>
          </w:p>
        </w:tc>
        <w:tc>
          <w:tcPr>
            <w:tcW w:w="1571" w:type="dxa"/>
            <w:tcBorders>
              <w:top w:val="nil"/>
              <w:left w:val="nil"/>
              <w:bottom w:val="nil"/>
              <w:right w:val="single" w:sz="6" w:space="0" w:color="auto"/>
            </w:tcBorders>
            <w:shd w:val="clear" w:color="auto" w:fill="auto"/>
            <w:vAlign w:val="center"/>
            <w:hideMark/>
          </w:tcPr>
          <w:p w:rsidR="008C7480" w:rsidRPr="00466AE9" w:rsidP="008C7480" w14:paraId="1DBD4218" w14:textId="45412C87">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A06F0C">
              <w:rPr>
                <w:rFonts w:eastAsia="Times New Roman" w:cstheme="minorHAnsi"/>
                <w:color w:val="000000"/>
              </w:rPr>
              <w:t>246.96</w:t>
            </w:r>
            <w:r w:rsidRPr="00466AE9">
              <w:rPr>
                <w:rFonts w:eastAsia="Times New Roman" w:cstheme="minorHAnsi"/>
                <w:color w:val="000000"/>
              </w:rPr>
              <w:t>  </w:t>
            </w:r>
          </w:p>
        </w:tc>
        <w:tc>
          <w:tcPr>
            <w:tcW w:w="1745" w:type="dxa"/>
            <w:tcBorders>
              <w:top w:val="nil"/>
              <w:left w:val="nil"/>
              <w:bottom w:val="nil"/>
              <w:right w:val="single" w:sz="6" w:space="0" w:color="auto"/>
            </w:tcBorders>
            <w:shd w:val="clear" w:color="auto" w:fill="auto"/>
            <w:vAlign w:val="center"/>
            <w:hideMark/>
          </w:tcPr>
          <w:p w:rsidR="008C7480" w:rsidRPr="00466AE9" w:rsidP="008C7480" w14:paraId="009D41A1" w14:textId="778A2873">
            <w:pPr>
              <w:spacing w:after="0" w:line="240" w:lineRule="auto"/>
              <w:jc w:val="center"/>
              <w:textAlignment w:val="baseline"/>
              <w:rPr>
                <w:rFonts w:eastAsia="Times New Roman" w:cstheme="minorHAnsi"/>
              </w:rPr>
            </w:pPr>
            <w:r w:rsidRPr="00466AE9">
              <w:rPr>
                <w:rFonts w:eastAsia="Times New Roman" w:cstheme="minorHAnsi"/>
                <w:color w:val="000000"/>
              </w:rPr>
              <w:t>450</w:t>
            </w:r>
            <w:r w:rsidRPr="00466AE9">
              <w:rPr>
                <w:rFonts w:eastAsia="Times New Roman" w:cstheme="minorHAnsi"/>
                <w:color w:val="000000"/>
              </w:rPr>
              <w:t> </w:t>
            </w:r>
          </w:p>
        </w:tc>
        <w:tc>
          <w:tcPr>
            <w:tcW w:w="1457" w:type="dxa"/>
            <w:tcBorders>
              <w:top w:val="nil"/>
              <w:left w:val="nil"/>
              <w:bottom w:val="nil"/>
              <w:right w:val="double" w:sz="6" w:space="0" w:color="auto"/>
            </w:tcBorders>
            <w:shd w:val="clear" w:color="auto" w:fill="auto"/>
            <w:vAlign w:val="center"/>
            <w:hideMark/>
          </w:tcPr>
          <w:p w:rsidR="008C7480" w:rsidRPr="00466AE9" w:rsidP="008C7480" w14:paraId="2BEB65BA" w14:textId="169303F8">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DC3940">
              <w:rPr>
                <w:rFonts w:eastAsia="Times New Roman" w:cstheme="minorHAnsi"/>
                <w:color w:val="000000"/>
              </w:rPr>
              <w:t>55,566</w:t>
            </w:r>
            <w:r w:rsidRPr="00466AE9">
              <w:rPr>
                <w:rFonts w:eastAsia="Times New Roman" w:cstheme="minorHAnsi"/>
                <w:color w:val="000000"/>
              </w:rPr>
              <w:t>  </w:t>
            </w:r>
          </w:p>
        </w:tc>
      </w:tr>
      <w:tr w14:paraId="4F008D77"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221D99B6" w14:textId="77777777">
            <w:pPr>
              <w:spacing w:after="0" w:line="240" w:lineRule="auto"/>
              <w:ind w:left="375"/>
              <w:textAlignment w:val="baseline"/>
              <w:rPr>
                <w:rFonts w:eastAsia="Times New Roman" w:cstheme="minorHAnsi"/>
              </w:rPr>
            </w:pPr>
            <w:r w:rsidRPr="00466AE9">
              <w:rPr>
                <w:rFonts w:eastAsia="Times New Roman" w:cstheme="minorHAnsi"/>
              </w:rPr>
              <w:t>Technical. </w:t>
            </w:r>
          </w:p>
        </w:tc>
        <w:tc>
          <w:tcPr>
            <w:tcW w:w="1828" w:type="dxa"/>
            <w:tcBorders>
              <w:top w:val="nil"/>
              <w:left w:val="single" w:sz="6" w:space="0" w:color="auto"/>
              <w:bottom w:val="nil"/>
              <w:right w:val="single" w:sz="6" w:space="0" w:color="auto"/>
            </w:tcBorders>
            <w:shd w:val="clear" w:color="auto" w:fill="auto"/>
            <w:vAlign w:val="bottom"/>
            <w:hideMark/>
          </w:tcPr>
          <w:p w:rsidR="008C7480" w:rsidRPr="00466AE9" w:rsidP="008C7480" w14:paraId="649EA628" w14:textId="77777777">
            <w:pPr>
              <w:spacing w:after="0" w:line="240" w:lineRule="auto"/>
              <w:jc w:val="center"/>
              <w:textAlignment w:val="baseline"/>
              <w:rPr>
                <w:rFonts w:eastAsia="Times New Roman" w:cstheme="minorHAnsi"/>
              </w:rPr>
            </w:pPr>
            <w:r w:rsidRPr="00466AE9">
              <w:rPr>
                <w:rFonts w:eastAsia="Times New Roman" w:cstheme="minorHAnsi"/>
              </w:rPr>
              <w:t>3 </w:t>
            </w:r>
          </w:p>
        </w:tc>
        <w:tc>
          <w:tcPr>
            <w:tcW w:w="1571" w:type="dxa"/>
            <w:tcBorders>
              <w:top w:val="nil"/>
              <w:left w:val="nil"/>
              <w:bottom w:val="nil"/>
              <w:right w:val="single" w:sz="6" w:space="0" w:color="auto"/>
            </w:tcBorders>
            <w:shd w:val="clear" w:color="auto" w:fill="auto"/>
            <w:vAlign w:val="center"/>
            <w:hideMark/>
          </w:tcPr>
          <w:p w:rsidR="008C7480" w:rsidRPr="00466AE9" w:rsidP="008C7480" w14:paraId="355941B8" w14:textId="4E59BFAB">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A06F0C">
              <w:rPr>
                <w:rFonts w:eastAsia="Times New Roman" w:cstheme="minorHAnsi"/>
                <w:color w:val="000000"/>
              </w:rPr>
              <w:t>266.40</w:t>
            </w:r>
            <w:r w:rsidRPr="00466AE9">
              <w:rPr>
                <w:rFonts w:eastAsia="Times New Roman" w:cstheme="minorHAnsi"/>
                <w:color w:val="000000"/>
              </w:rPr>
              <w:t>  </w:t>
            </w:r>
          </w:p>
        </w:tc>
        <w:tc>
          <w:tcPr>
            <w:tcW w:w="1745" w:type="dxa"/>
            <w:tcBorders>
              <w:top w:val="nil"/>
              <w:left w:val="nil"/>
              <w:bottom w:val="nil"/>
              <w:right w:val="single" w:sz="6" w:space="0" w:color="auto"/>
            </w:tcBorders>
            <w:shd w:val="clear" w:color="auto" w:fill="auto"/>
            <w:vAlign w:val="center"/>
            <w:hideMark/>
          </w:tcPr>
          <w:p w:rsidR="008C7480" w:rsidRPr="00466AE9" w:rsidP="008C7480" w14:paraId="3C3B0CFB" w14:textId="76F49127">
            <w:pPr>
              <w:spacing w:after="0" w:line="240" w:lineRule="auto"/>
              <w:jc w:val="center"/>
              <w:textAlignment w:val="baseline"/>
              <w:rPr>
                <w:rFonts w:eastAsia="Times New Roman" w:cstheme="minorHAnsi"/>
              </w:rPr>
            </w:pPr>
            <w:r w:rsidRPr="00466AE9">
              <w:rPr>
                <w:rFonts w:eastAsia="Times New Roman" w:cstheme="minorHAnsi"/>
                <w:color w:val="000000"/>
              </w:rPr>
              <w:t>675</w:t>
            </w:r>
            <w:r w:rsidRPr="00466AE9">
              <w:rPr>
                <w:rFonts w:eastAsia="Times New Roman" w:cstheme="minorHAnsi"/>
                <w:color w:val="000000"/>
              </w:rPr>
              <w:t> </w:t>
            </w:r>
          </w:p>
        </w:tc>
        <w:tc>
          <w:tcPr>
            <w:tcW w:w="1457" w:type="dxa"/>
            <w:tcBorders>
              <w:top w:val="nil"/>
              <w:left w:val="nil"/>
              <w:bottom w:val="nil"/>
              <w:right w:val="double" w:sz="6" w:space="0" w:color="auto"/>
            </w:tcBorders>
            <w:shd w:val="clear" w:color="auto" w:fill="auto"/>
            <w:vAlign w:val="center"/>
            <w:hideMark/>
          </w:tcPr>
          <w:p w:rsidR="008C7480" w:rsidRPr="00466AE9" w:rsidP="008C7480" w14:paraId="406DCA8E" w14:textId="6DCCC799">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850839">
              <w:rPr>
                <w:rFonts w:eastAsia="Times New Roman" w:cstheme="minorHAnsi"/>
                <w:color w:val="000000"/>
              </w:rPr>
              <w:t>59,940</w:t>
            </w:r>
            <w:r w:rsidRPr="00466AE9">
              <w:rPr>
                <w:rFonts w:eastAsia="Times New Roman" w:cstheme="minorHAnsi"/>
                <w:color w:val="000000"/>
              </w:rPr>
              <w:t>  </w:t>
            </w:r>
          </w:p>
        </w:tc>
      </w:tr>
      <w:tr w14:paraId="5E28E275" w14:textId="77777777" w:rsidTr="008B0750">
        <w:tblPrEx>
          <w:tblW w:w="10076" w:type="dxa"/>
          <w:jc w:val="center"/>
          <w:tblCellMar>
            <w:left w:w="0" w:type="dxa"/>
            <w:right w:w="0" w:type="dxa"/>
          </w:tblCellMar>
          <w:tblLook w:val="04A0"/>
        </w:tblPrEx>
        <w:trPr>
          <w:trHeight w:val="331"/>
          <w:jc w:val="center"/>
        </w:trPr>
        <w:tc>
          <w:tcPr>
            <w:tcW w:w="3473" w:type="dxa"/>
            <w:tcBorders>
              <w:top w:val="single" w:sz="6" w:space="0" w:color="auto"/>
              <w:left w:val="double" w:sz="6" w:space="0" w:color="auto"/>
              <w:bottom w:val="nil"/>
              <w:right w:val="nil"/>
            </w:tcBorders>
            <w:shd w:val="clear" w:color="auto" w:fill="auto"/>
            <w:hideMark/>
          </w:tcPr>
          <w:p w:rsidR="008C7480" w:rsidRPr="00466AE9" w:rsidP="008C7480" w14:paraId="633FECF0" w14:textId="77777777">
            <w:pPr>
              <w:spacing w:after="0" w:line="240" w:lineRule="auto"/>
              <w:textAlignment w:val="baseline"/>
              <w:rPr>
                <w:rFonts w:eastAsia="Times New Roman" w:cstheme="minorHAnsi"/>
              </w:rPr>
            </w:pPr>
            <w:r w:rsidRPr="00466AE9">
              <w:rPr>
                <w:rFonts w:eastAsia="Times New Roman" w:cstheme="minorHAnsi"/>
              </w:rPr>
              <w:t xml:space="preserve">Retired unit </w:t>
            </w:r>
            <w:r w:rsidRPr="00466AE9">
              <w:rPr>
                <w:rFonts w:eastAsia="Times New Roman" w:cstheme="minorHAnsi"/>
              </w:rPr>
              <w:t>exemption.</w:t>
            </w:r>
            <w:r w:rsidRPr="00466AE9">
              <w:rPr>
                <w:rFonts w:eastAsia="Times New Roman" w:cstheme="minorHAnsi"/>
                <w:vertAlign w:val="superscript"/>
              </w:rPr>
              <w:t>d</w:t>
            </w:r>
            <w:r w:rsidRPr="00466AE9">
              <w:rPr>
                <w:rFonts w:eastAsia="Times New Roman" w:cstheme="minorHAnsi"/>
              </w:rPr>
              <w:t> </w:t>
            </w:r>
          </w:p>
        </w:tc>
        <w:tc>
          <w:tcPr>
            <w:tcW w:w="1828" w:type="dxa"/>
            <w:tcBorders>
              <w:top w:val="single" w:sz="6" w:space="0" w:color="auto"/>
              <w:left w:val="single" w:sz="6" w:space="0" w:color="auto"/>
              <w:bottom w:val="nil"/>
              <w:right w:val="single" w:sz="6" w:space="0" w:color="auto"/>
            </w:tcBorders>
            <w:shd w:val="clear" w:color="auto" w:fill="auto"/>
            <w:vAlign w:val="bottom"/>
            <w:hideMark/>
          </w:tcPr>
          <w:p w:rsidR="008C7480" w:rsidRPr="00466AE9" w:rsidP="008C7480" w14:paraId="2671A3CE" w14:textId="77777777">
            <w:pPr>
              <w:spacing w:after="0" w:line="240" w:lineRule="auto"/>
              <w:jc w:val="center"/>
              <w:textAlignment w:val="baseline"/>
              <w:rPr>
                <w:rFonts w:eastAsia="Times New Roman" w:cstheme="minorHAnsi"/>
              </w:rPr>
            </w:pPr>
            <w:r w:rsidRPr="00466AE9">
              <w:rPr>
                <w:rFonts w:eastAsia="Times New Roman" w:cstheme="minorHAnsi"/>
              </w:rPr>
              <w:t> </w:t>
            </w:r>
          </w:p>
        </w:tc>
        <w:tc>
          <w:tcPr>
            <w:tcW w:w="1571" w:type="dxa"/>
            <w:tcBorders>
              <w:top w:val="single" w:sz="6" w:space="0" w:color="auto"/>
              <w:left w:val="nil"/>
              <w:bottom w:val="nil"/>
              <w:right w:val="single" w:sz="6" w:space="0" w:color="auto"/>
            </w:tcBorders>
            <w:shd w:val="clear" w:color="auto" w:fill="auto"/>
            <w:vAlign w:val="center"/>
            <w:hideMark/>
          </w:tcPr>
          <w:p w:rsidR="008C7480" w:rsidRPr="00466AE9" w:rsidP="008C7480" w14:paraId="70A5EFE6"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c>
          <w:tcPr>
            <w:tcW w:w="1745" w:type="dxa"/>
            <w:tcBorders>
              <w:top w:val="single" w:sz="6" w:space="0" w:color="auto"/>
              <w:left w:val="nil"/>
              <w:bottom w:val="nil"/>
              <w:right w:val="single" w:sz="6" w:space="0" w:color="auto"/>
            </w:tcBorders>
            <w:shd w:val="clear" w:color="auto" w:fill="auto"/>
            <w:vAlign w:val="center"/>
            <w:hideMark/>
          </w:tcPr>
          <w:p w:rsidR="008C7480" w:rsidRPr="00466AE9" w:rsidP="008C7480" w14:paraId="28F13122"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c>
          <w:tcPr>
            <w:tcW w:w="1457" w:type="dxa"/>
            <w:tcBorders>
              <w:top w:val="single" w:sz="6" w:space="0" w:color="auto"/>
              <w:left w:val="nil"/>
              <w:bottom w:val="nil"/>
              <w:right w:val="double" w:sz="6" w:space="0" w:color="auto"/>
            </w:tcBorders>
            <w:shd w:val="clear" w:color="auto" w:fill="auto"/>
            <w:vAlign w:val="center"/>
            <w:hideMark/>
          </w:tcPr>
          <w:p w:rsidR="008C7480" w:rsidRPr="00466AE9" w:rsidP="008C7480" w14:paraId="47F6B274"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r>
      <w:tr w14:paraId="7F45267F"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618485EF" w14:textId="77777777">
            <w:pPr>
              <w:spacing w:after="0" w:line="240" w:lineRule="auto"/>
              <w:ind w:left="375"/>
              <w:textAlignment w:val="baseline"/>
              <w:rPr>
                <w:rFonts w:eastAsia="Times New Roman" w:cstheme="minorHAnsi"/>
              </w:rPr>
            </w:pPr>
            <w:r w:rsidRPr="00466AE9">
              <w:rPr>
                <w:rFonts w:eastAsia="Times New Roman" w:cstheme="minorHAnsi"/>
              </w:rPr>
              <w:t>Managerial. </w:t>
            </w:r>
          </w:p>
        </w:tc>
        <w:tc>
          <w:tcPr>
            <w:tcW w:w="1828" w:type="dxa"/>
            <w:tcBorders>
              <w:top w:val="nil"/>
              <w:left w:val="single" w:sz="6" w:space="0" w:color="auto"/>
              <w:bottom w:val="nil"/>
              <w:right w:val="single" w:sz="6" w:space="0" w:color="auto"/>
            </w:tcBorders>
            <w:shd w:val="clear" w:color="auto" w:fill="auto"/>
            <w:vAlign w:val="bottom"/>
            <w:hideMark/>
          </w:tcPr>
          <w:p w:rsidR="008C7480" w:rsidRPr="00466AE9" w:rsidP="008C7480" w14:paraId="3412FD17" w14:textId="77777777">
            <w:pPr>
              <w:spacing w:after="0" w:line="240" w:lineRule="auto"/>
              <w:jc w:val="center"/>
              <w:textAlignment w:val="baseline"/>
              <w:rPr>
                <w:rFonts w:eastAsia="Times New Roman" w:cstheme="minorHAnsi"/>
              </w:rPr>
            </w:pPr>
            <w:r w:rsidRPr="00466AE9">
              <w:rPr>
                <w:rFonts w:eastAsia="Times New Roman" w:cstheme="minorHAnsi"/>
              </w:rPr>
              <w:t>1 </w:t>
            </w:r>
          </w:p>
        </w:tc>
        <w:tc>
          <w:tcPr>
            <w:tcW w:w="1571" w:type="dxa"/>
            <w:tcBorders>
              <w:top w:val="nil"/>
              <w:left w:val="nil"/>
              <w:bottom w:val="nil"/>
              <w:right w:val="single" w:sz="6" w:space="0" w:color="auto"/>
            </w:tcBorders>
            <w:shd w:val="clear" w:color="auto" w:fill="auto"/>
            <w:vAlign w:val="center"/>
            <w:hideMark/>
          </w:tcPr>
          <w:p w:rsidR="008C7480" w:rsidRPr="00466AE9" w:rsidP="008C7480" w14:paraId="578417F9" w14:textId="7337F0E6">
            <w:pPr>
              <w:spacing w:after="0" w:line="240" w:lineRule="auto"/>
              <w:jc w:val="center"/>
              <w:textAlignment w:val="baseline"/>
              <w:rPr>
                <w:rFonts w:eastAsia="Times New Roman" w:cstheme="minorHAnsi"/>
              </w:rPr>
            </w:pPr>
            <w:r w:rsidRPr="00466AE9">
              <w:rPr>
                <w:rFonts w:eastAsia="Times New Roman" w:cstheme="minorHAnsi"/>
                <w:color w:val="000000"/>
              </w:rPr>
              <w:t>$1</w:t>
            </w:r>
            <w:r w:rsidRPr="00466AE9" w:rsidR="00AC02B9">
              <w:rPr>
                <w:rFonts w:eastAsia="Times New Roman" w:cstheme="minorHAnsi"/>
                <w:color w:val="000000"/>
              </w:rPr>
              <w:t>23.48</w:t>
            </w:r>
            <w:r w:rsidRPr="00466AE9">
              <w:rPr>
                <w:rFonts w:eastAsia="Times New Roman" w:cstheme="minorHAnsi"/>
                <w:color w:val="000000"/>
              </w:rPr>
              <w:t>  </w:t>
            </w:r>
          </w:p>
        </w:tc>
        <w:tc>
          <w:tcPr>
            <w:tcW w:w="1745" w:type="dxa"/>
            <w:tcBorders>
              <w:top w:val="nil"/>
              <w:left w:val="nil"/>
              <w:bottom w:val="nil"/>
              <w:right w:val="single" w:sz="6" w:space="0" w:color="auto"/>
            </w:tcBorders>
            <w:shd w:val="clear" w:color="auto" w:fill="auto"/>
            <w:vAlign w:val="center"/>
            <w:hideMark/>
          </w:tcPr>
          <w:p w:rsidR="008C7480" w:rsidRPr="00466AE9" w:rsidP="008C7480" w14:paraId="01988347" w14:textId="1CE8D627">
            <w:pPr>
              <w:spacing w:after="0" w:line="240" w:lineRule="auto"/>
              <w:jc w:val="center"/>
              <w:textAlignment w:val="baseline"/>
              <w:rPr>
                <w:rFonts w:eastAsia="Times New Roman" w:cstheme="minorHAnsi"/>
              </w:rPr>
            </w:pPr>
            <w:r w:rsidRPr="00466AE9">
              <w:rPr>
                <w:rFonts w:eastAsia="Times New Roman" w:cstheme="minorHAnsi"/>
                <w:color w:val="000000"/>
              </w:rPr>
              <w:t>10</w:t>
            </w:r>
            <w:r w:rsidRPr="00466AE9">
              <w:rPr>
                <w:rFonts w:eastAsia="Times New Roman" w:cstheme="minorHAnsi"/>
                <w:color w:val="000000"/>
              </w:rPr>
              <w:t> </w:t>
            </w:r>
          </w:p>
        </w:tc>
        <w:tc>
          <w:tcPr>
            <w:tcW w:w="1457" w:type="dxa"/>
            <w:tcBorders>
              <w:top w:val="nil"/>
              <w:left w:val="nil"/>
              <w:bottom w:val="nil"/>
              <w:right w:val="double" w:sz="6" w:space="0" w:color="auto"/>
            </w:tcBorders>
            <w:shd w:val="clear" w:color="auto" w:fill="auto"/>
            <w:vAlign w:val="center"/>
            <w:hideMark/>
          </w:tcPr>
          <w:p w:rsidR="008C7480" w:rsidRPr="00466AE9" w:rsidP="008C7480" w14:paraId="52F0E9C6" w14:textId="28957D06">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6959FA">
              <w:rPr>
                <w:rFonts w:eastAsia="Times New Roman" w:cstheme="minorHAnsi"/>
                <w:color w:val="000000"/>
              </w:rPr>
              <w:t>1,</w:t>
            </w:r>
            <w:r w:rsidRPr="00466AE9" w:rsidR="008068AE">
              <w:rPr>
                <w:rFonts w:eastAsia="Times New Roman" w:cstheme="minorHAnsi"/>
                <w:color w:val="000000"/>
              </w:rPr>
              <w:t>235</w:t>
            </w:r>
            <w:r w:rsidRPr="00466AE9">
              <w:rPr>
                <w:rFonts w:eastAsia="Times New Roman" w:cstheme="minorHAnsi"/>
                <w:color w:val="000000"/>
              </w:rPr>
              <w:t>  </w:t>
            </w:r>
          </w:p>
        </w:tc>
      </w:tr>
      <w:tr w14:paraId="6B6E281A"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1AE2CC14" w14:textId="77777777">
            <w:pPr>
              <w:spacing w:after="0" w:line="240" w:lineRule="auto"/>
              <w:ind w:left="375"/>
              <w:textAlignment w:val="baseline"/>
              <w:rPr>
                <w:rFonts w:eastAsia="Times New Roman" w:cstheme="minorHAnsi"/>
              </w:rPr>
            </w:pPr>
            <w:r w:rsidRPr="00466AE9">
              <w:rPr>
                <w:rFonts w:eastAsia="Times New Roman" w:cstheme="minorHAnsi"/>
              </w:rPr>
              <w:t>Technical. </w:t>
            </w:r>
          </w:p>
        </w:tc>
        <w:tc>
          <w:tcPr>
            <w:tcW w:w="1828" w:type="dxa"/>
            <w:tcBorders>
              <w:top w:val="nil"/>
              <w:left w:val="single" w:sz="6" w:space="0" w:color="auto"/>
              <w:bottom w:val="nil"/>
              <w:right w:val="single" w:sz="6" w:space="0" w:color="auto"/>
            </w:tcBorders>
            <w:shd w:val="clear" w:color="auto" w:fill="auto"/>
            <w:vAlign w:val="bottom"/>
            <w:hideMark/>
          </w:tcPr>
          <w:p w:rsidR="008C7480" w:rsidRPr="00466AE9" w:rsidP="008C7480" w14:paraId="09BBCB26" w14:textId="77777777">
            <w:pPr>
              <w:spacing w:after="0" w:line="240" w:lineRule="auto"/>
              <w:jc w:val="center"/>
              <w:textAlignment w:val="baseline"/>
              <w:rPr>
                <w:rFonts w:eastAsia="Times New Roman" w:cstheme="minorHAnsi"/>
              </w:rPr>
            </w:pPr>
            <w:r w:rsidRPr="00466AE9">
              <w:rPr>
                <w:rFonts w:eastAsia="Times New Roman" w:cstheme="minorHAnsi"/>
              </w:rPr>
              <w:t>2 </w:t>
            </w:r>
          </w:p>
        </w:tc>
        <w:tc>
          <w:tcPr>
            <w:tcW w:w="1571" w:type="dxa"/>
            <w:tcBorders>
              <w:top w:val="nil"/>
              <w:left w:val="nil"/>
              <w:bottom w:val="nil"/>
              <w:right w:val="single" w:sz="6" w:space="0" w:color="auto"/>
            </w:tcBorders>
            <w:shd w:val="clear" w:color="auto" w:fill="auto"/>
            <w:vAlign w:val="center"/>
            <w:hideMark/>
          </w:tcPr>
          <w:p w:rsidR="008C7480" w:rsidRPr="00466AE9" w:rsidP="008C7480" w14:paraId="046D26E8" w14:textId="4AD1CE98">
            <w:pPr>
              <w:spacing w:after="0" w:line="240" w:lineRule="auto"/>
              <w:jc w:val="center"/>
              <w:textAlignment w:val="baseline"/>
              <w:rPr>
                <w:rFonts w:eastAsia="Times New Roman" w:cstheme="minorHAnsi"/>
              </w:rPr>
            </w:pPr>
            <w:r w:rsidRPr="00466AE9">
              <w:rPr>
                <w:rFonts w:eastAsia="Times New Roman" w:cstheme="minorHAnsi"/>
                <w:color w:val="000000"/>
              </w:rPr>
              <w:t>$1</w:t>
            </w:r>
            <w:r w:rsidRPr="00466AE9" w:rsidR="00A80F29">
              <w:rPr>
                <w:rFonts w:eastAsia="Times New Roman" w:cstheme="minorHAnsi"/>
                <w:color w:val="000000"/>
              </w:rPr>
              <w:t>77.60</w:t>
            </w:r>
            <w:r w:rsidRPr="00466AE9">
              <w:rPr>
                <w:rFonts w:eastAsia="Times New Roman" w:cstheme="minorHAnsi"/>
                <w:color w:val="000000"/>
              </w:rPr>
              <w:t>  </w:t>
            </w:r>
          </w:p>
        </w:tc>
        <w:tc>
          <w:tcPr>
            <w:tcW w:w="1745" w:type="dxa"/>
            <w:tcBorders>
              <w:top w:val="nil"/>
              <w:left w:val="nil"/>
              <w:bottom w:val="nil"/>
              <w:right w:val="single" w:sz="6" w:space="0" w:color="auto"/>
            </w:tcBorders>
            <w:shd w:val="clear" w:color="auto" w:fill="auto"/>
            <w:vAlign w:val="center"/>
            <w:hideMark/>
          </w:tcPr>
          <w:p w:rsidR="008C7480" w:rsidRPr="00466AE9" w:rsidP="008C7480" w14:paraId="6A7A4B4D" w14:textId="428F45C1">
            <w:pPr>
              <w:spacing w:after="0" w:line="240" w:lineRule="auto"/>
              <w:jc w:val="center"/>
              <w:textAlignment w:val="baseline"/>
              <w:rPr>
                <w:rFonts w:eastAsia="Times New Roman" w:cstheme="minorHAnsi"/>
              </w:rPr>
            </w:pPr>
            <w:r w:rsidRPr="00466AE9">
              <w:rPr>
                <w:rFonts w:eastAsia="Times New Roman" w:cstheme="minorHAnsi"/>
                <w:color w:val="000000"/>
              </w:rPr>
              <w:t>20</w:t>
            </w:r>
            <w:r w:rsidRPr="00466AE9">
              <w:rPr>
                <w:rFonts w:eastAsia="Times New Roman" w:cstheme="minorHAnsi"/>
                <w:color w:val="000000"/>
              </w:rPr>
              <w:t> </w:t>
            </w:r>
          </w:p>
        </w:tc>
        <w:tc>
          <w:tcPr>
            <w:tcW w:w="1457" w:type="dxa"/>
            <w:tcBorders>
              <w:top w:val="nil"/>
              <w:left w:val="nil"/>
              <w:bottom w:val="nil"/>
              <w:right w:val="double" w:sz="6" w:space="0" w:color="auto"/>
            </w:tcBorders>
            <w:shd w:val="clear" w:color="auto" w:fill="auto"/>
            <w:vAlign w:val="center"/>
            <w:hideMark/>
          </w:tcPr>
          <w:p w:rsidR="008C7480" w:rsidRPr="00466AE9" w:rsidP="008C7480" w14:paraId="70A7AB93" w14:textId="36F6620A">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714E3D">
              <w:rPr>
                <w:rFonts w:eastAsia="Times New Roman" w:cstheme="minorHAnsi"/>
                <w:color w:val="000000"/>
              </w:rPr>
              <w:t>1,776</w:t>
            </w:r>
            <w:r w:rsidRPr="00466AE9">
              <w:rPr>
                <w:rFonts w:eastAsia="Times New Roman" w:cstheme="minorHAnsi"/>
                <w:color w:val="000000"/>
              </w:rPr>
              <w:t>  </w:t>
            </w:r>
          </w:p>
        </w:tc>
      </w:tr>
      <w:tr w14:paraId="19B294D8" w14:textId="77777777" w:rsidTr="008B0750">
        <w:tblPrEx>
          <w:tblW w:w="10076" w:type="dxa"/>
          <w:jc w:val="center"/>
          <w:tblCellMar>
            <w:left w:w="0" w:type="dxa"/>
            <w:right w:w="0" w:type="dxa"/>
          </w:tblCellMar>
          <w:tblLook w:val="04A0"/>
        </w:tblPrEx>
        <w:trPr>
          <w:trHeight w:val="331"/>
          <w:jc w:val="center"/>
        </w:trPr>
        <w:tc>
          <w:tcPr>
            <w:tcW w:w="3473" w:type="dxa"/>
            <w:tcBorders>
              <w:top w:val="single" w:sz="6" w:space="0" w:color="auto"/>
              <w:left w:val="double" w:sz="6" w:space="0" w:color="auto"/>
              <w:bottom w:val="nil"/>
              <w:right w:val="nil"/>
            </w:tcBorders>
            <w:shd w:val="clear" w:color="auto" w:fill="auto"/>
            <w:hideMark/>
          </w:tcPr>
          <w:p w:rsidR="008C7480" w:rsidRPr="00466AE9" w:rsidP="008C7480" w14:paraId="7C055777" w14:textId="77777777">
            <w:pPr>
              <w:spacing w:after="0" w:line="240" w:lineRule="auto"/>
              <w:textAlignment w:val="baseline"/>
              <w:rPr>
                <w:rFonts w:eastAsia="Times New Roman" w:cstheme="minorHAnsi"/>
              </w:rPr>
            </w:pPr>
            <w:r w:rsidRPr="00466AE9">
              <w:rPr>
                <w:rFonts w:eastAsia="Times New Roman" w:cstheme="minorHAnsi"/>
              </w:rPr>
              <w:t xml:space="preserve">New unit </w:t>
            </w:r>
            <w:r w:rsidRPr="00466AE9">
              <w:rPr>
                <w:rFonts w:eastAsia="Times New Roman" w:cstheme="minorHAnsi"/>
              </w:rPr>
              <w:t>exemption.</w:t>
            </w:r>
            <w:r w:rsidRPr="00466AE9">
              <w:rPr>
                <w:rFonts w:eastAsia="Times New Roman" w:cstheme="minorHAnsi"/>
                <w:vertAlign w:val="superscript"/>
              </w:rPr>
              <w:t>e</w:t>
            </w:r>
            <w:r w:rsidRPr="00466AE9">
              <w:rPr>
                <w:rFonts w:eastAsia="Times New Roman" w:cstheme="minorHAnsi"/>
              </w:rPr>
              <w:t> </w:t>
            </w:r>
          </w:p>
        </w:tc>
        <w:tc>
          <w:tcPr>
            <w:tcW w:w="1828" w:type="dxa"/>
            <w:tcBorders>
              <w:top w:val="single" w:sz="6" w:space="0" w:color="auto"/>
              <w:left w:val="single" w:sz="6" w:space="0" w:color="auto"/>
              <w:bottom w:val="nil"/>
              <w:right w:val="single" w:sz="6" w:space="0" w:color="auto"/>
            </w:tcBorders>
            <w:shd w:val="clear" w:color="auto" w:fill="auto"/>
            <w:vAlign w:val="bottom"/>
            <w:hideMark/>
          </w:tcPr>
          <w:p w:rsidR="008C7480" w:rsidRPr="00466AE9" w:rsidP="008C7480" w14:paraId="73F97154" w14:textId="77777777">
            <w:pPr>
              <w:spacing w:after="0" w:line="240" w:lineRule="auto"/>
              <w:jc w:val="center"/>
              <w:textAlignment w:val="baseline"/>
              <w:rPr>
                <w:rFonts w:eastAsia="Times New Roman" w:cstheme="minorHAnsi"/>
              </w:rPr>
            </w:pPr>
            <w:r w:rsidRPr="00466AE9">
              <w:rPr>
                <w:rFonts w:eastAsia="Times New Roman" w:cstheme="minorHAnsi"/>
              </w:rPr>
              <w:t> </w:t>
            </w:r>
          </w:p>
        </w:tc>
        <w:tc>
          <w:tcPr>
            <w:tcW w:w="1571" w:type="dxa"/>
            <w:tcBorders>
              <w:top w:val="single" w:sz="6" w:space="0" w:color="auto"/>
              <w:left w:val="nil"/>
              <w:bottom w:val="nil"/>
              <w:right w:val="single" w:sz="6" w:space="0" w:color="auto"/>
            </w:tcBorders>
            <w:shd w:val="clear" w:color="auto" w:fill="auto"/>
            <w:vAlign w:val="center"/>
            <w:hideMark/>
          </w:tcPr>
          <w:p w:rsidR="008C7480" w:rsidRPr="00466AE9" w:rsidP="008C7480" w14:paraId="437DA285"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c>
          <w:tcPr>
            <w:tcW w:w="1745" w:type="dxa"/>
            <w:tcBorders>
              <w:top w:val="single" w:sz="6" w:space="0" w:color="auto"/>
              <w:left w:val="nil"/>
              <w:bottom w:val="nil"/>
              <w:right w:val="single" w:sz="6" w:space="0" w:color="auto"/>
            </w:tcBorders>
            <w:shd w:val="clear" w:color="auto" w:fill="auto"/>
            <w:vAlign w:val="center"/>
            <w:hideMark/>
          </w:tcPr>
          <w:p w:rsidR="008C7480" w:rsidRPr="00466AE9" w:rsidP="008C7480" w14:paraId="45D09DA9"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c>
          <w:tcPr>
            <w:tcW w:w="1457" w:type="dxa"/>
            <w:tcBorders>
              <w:top w:val="single" w:sz="6" w:space="0" w:color="auto"/>
              <w:left w:val="nil"/>
              <w:bottom w:val="nil"/>
              <w:right w:val="double" w:sz="6" w:space="0" w:color="auto"/>
            </w:tcBorders>
            <w:shd w:val="clear" w:color="auto" w:fill="auto"/>
            <w:vAlign w:val="center"/>
            <w:hideMark/>
          </w:tcPr>
          <w:p w:rsidR="008C7480" w:rsidRPr="00466AE9" w:rsidP="008C7480" w14:paraId="6F3D31F6" w14:textId="77777777">
            <w:pPr>
              <w:spacing w:after="0" w:line="240" w:lineRule="auto"/>
              <w:jc w:val="center"/>
              <w:textAlignment w:val="baseline"/>
              <w:rPr>
                <w:rFonts w:eastAsia="Times New Roman" w:cstheme="minorHAnsi"/>
              </w:rPr>
            </w:pPr>
            <w:r w:rsidRPr="00466AE9">
              <w:rPr>
                <w:rFonts w:eastAsia="Times New Roman" w:cstheme="minorHAnsi"/>
                <w:color w:val="000000"/>
              </w:rPr>
              <w:t>  </w:t>
            </w:r>
          </w:p>
        </w:tc>
      </w:tr>
      <w:tr w14:paraId="299AE69E"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nil"/>
              <w:right w:val="nil"/>
            </w:tcBorders>
            <w:shd w:val="clear" w:color="auto" w:fill="auto"/>
            <w:hideMark/>
          </w:tcPr>
          <w:p w:rsidR="008C7480" w:rsidRPr="00466AE9" w:rsidP="008C7480" w14:paraId="7304DA4A" w14:textId="77777777">
            <w:pPr>
              <w:spacing w:after="0" w:line="240" w:lineRule="auto"/>
              <w:ind w:left="375"/>
              <w:textAlignment w:val="baseline"/>
              <w:rPr>
                <w:rFonts w:eastAsia="Times New Roman" w:cstheme="minorHAnsi"/>
              </w:rPr>
            </w:pPr>
            <w:r w:rsidRPr="00466AE9">
              <w:rPr>
                <w:rFonts w:eastAsia="Times New Roman" w:cstheme="minorHAnsi"/>
              </w:rPr>
              <w:t>Managerial. </w:t>
            </w:r>
          </w:p>
        </w:tc>
        <w:tc>
          <w:tcPr>
            <w:tcW w:w="1828" w:type="dxa"/>
            <w:tcBorders>
              <w:top w:val="nil"/>
              <w:left w:val="single" w:sz="6" w:space="0" w:color="auto"/>
              <w:bottom w:val="nil"/>
              <w:right w:val="single" w:sz="6" w:space="0" w:color="auto"/>
            </w:tcBorders>
            <w:shd w:val="clear" w:color="auto" w:fill="auto"/>
            <w:vAlign w:val="bottom"/>
            <w:hideMark/>
          </w:tcPr>
          <w:p w:rsidR="008C7480" w:rsidRPr="00466AE9" w:rsidP="008C7480" w14:paraId="1C372F16" w14:textId="77777777">
            <w:pPr>
              <w:spacing w:after="0" w:line="240" w:lineRule="auto"/>
              <w:jc w:val="center"/>
              <w:textAlignment w:val="baseline"/>
              <w:rPr>
                <w:rFonts w:eastAsia="Times New Roman" w:cstheme="minorHAnsi"/>
              </w:rPr>
            </w:pPr>
            <w:r w:rsidRPr="00466AE9">
              <w:rPr>
                <w:rFonts w:eastAsia="Times New Roman" w:cstheme="minorHAnsi"/>
              </w:rPr>
              <w:t>1 </w:t>
            </w:r>
          </w:p>
        </w:tc>
        <w:tc>
          <w:tcPr>
            <w:tcW w:w="1571" w:type="dxa"/>
            <w:tcBorders>
              <w:top w:val="nil"/>
              <w:left w:val="nil"/>
              <w:bottom w:val="nil"/>
              <w:right w:val="single" w:sz="6" w:space="0" w:color="auto"/>
            </w:tcBorders>
            <w:shd w:val="clear" w:color="auto" w:fill="auto"/>
            <w:vAlign w:val="center"/>
            <w:hideMark/>
          </w:tcPr>
          <w:p w:rsidR="008C7480" w:rsidRPr="00466AE9" w:rsidP="008C7480" w14:paraId="0C162F8B" w14:textId="2760F507">
            <w:pPr>
              <w:spacing w:after="0" w:line="240" w:lineRule="auto"/>
              <w:jc w:val="center"/>
              <w:textAlignment w:val="baseline"/>
              <w:rPr>
                <w:rFonts w:eastAsia="Times New Roman" w:cstheme="minorHAnsi"/>
              </w:rPr>
            </w:pPr>
            <w:r w:rsidRPr="00466AE9">
              <w:rPr>
                <w:rFonts w:eastAsia="Times New Roman" w:cstheme="minorHAnsi"/>
                <w:color w:val="000000"/>
              </w:rPr>
              <w:t>$1</w:t>
            </w:r>
            <w:r w:rsidRPr="00466AE9" w:rsidR="00714E3D">
              <w:rPr>
                <w:rFonts w:eastAsia="Times New Roman" w:cstheme="minorHAnsi"/>
                <w:color w:val="000000"/>
              </w:rPr>
              <w:t>23.48</w:t>
            </w:r>
            <w:r w:rsidRPr="00466AE9">
              <w:rPr>
                <w:rFonts w:eastAsia="Times New Roman" w:cstheme="minorHAnsi"/>
                <w:color w:val="000000"/>
              </w:rPr>
              <w:t>  </w:t>
            </w:r>
          </w:p>
        </w:tc>
        <w:tc>
          <w:tcPr>
            <w:tcW w:w="1745" w:type="dxa"/>
            <w:tcBorders>
              <w:top w:val="nil"/>
              <w:left w:val="nil"/>
              <w:bottom w:val="nil"/>
              <w:right w:val="single" w:sz="6" w:space="0" w:color="auto"/>
            </w:tcBorders>
            <w:shd w:val="clear" w:color="auto" w:fill="auto"/>
            <w:vAlign w:val="center"/>
            <w:hideMark/>
          </w:tcPr>
          <w:p w:rsidR="008C7480" w:rsidRPr="00466AE9" w:rsidP="008C7480" w14:paraId="4A2AA516" w14:textId="525B4945">
            <w:pPr>
              <w:spacing w:after="0" w:line="240" w:lineRule="auto"/>
              <w:jc w:val="center"/>
              <w:textAlignment w:val="baseline"/>
              <w:rPr>
                <w:rFonts w:eastAsia="Times New Roman" w:cstheme="minorHAnsi"/>
              </w:rPr>
            </w:pPr>
            <w:r w:rsidRPr="00466AE9">
              <w:rPr>
                <w:rFonts w:eastAsia="Times New Roman" w:cstheme="minorHAnsi"/>
                <w:color w:val="000000"/>
              </w:rPr>
              <w:t>2</w:t>
            </w:r>
            <w:r w:rsidRPr="00466AE9">
              <w:rPr>
                <w:rFonts w:eastAsia="Times New Roman" w:cstheme="minorHAnsi"/>
                <w:color w:val="000000"/>
              </w:rPr>
              <w:t> </w:t>
            </w:r>
          </w:p>
        </w:tc>
        <w:tc>
          <w:tcPr>
            <w:tcW w:w="1457" w:type="dxa"/>
            <w:tcBorders>
              <w:top w:val="nil"/>
              <w:left w:val="nil"/>
              <w:bottom w:val="nil"/>
              <w:right w:val="double" w:sz="6" w:space="0" w:color="auto"/>
            </w:tcBorders>
            <w:shd w:val="clear" w:color="auto" w:fill="auto"/>
            <w:vAlign w:val="center"/>
            <w:hideMark/>
          </w:tcPr>
          <w:p w:rsidR="008C7480" w:rsidRPr="00466AE9" w:rsidP="008C7480" w14:paraId="610C22AB" w14:textId="5A0AAF3B">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4C2B0F">
              <w:rPr>
                <w:rFonts w:eastAsia="Times New Roman" w:cstheme="minorHAnsi"/>
                <w:color w:val="000000"/>
              </w:rPr>
              <w:t>247</w:t>
            </w:r>
            <w:r w:rsidRPr="00466AE9">
              <w:rPr>
                <w:rFonts w:eastAsia="Times New Roman" w:cstheme="minorHAnsi"/>
                <w:color w:val="000000"/>
              </w:rPr>
              <w:t>  </w:t>
            </w:r>
          </w:p>
        </w:tc>
      </w:tr>
      <w:tr w14:paraId="662681BA" w14:textId="77777777" w:rsidTr="008B0750">
        <w:tblPrEx>
          <w:tblW w:w="10076" w:type="dxa"/>
          <w:jc w:val="center"/>
          <w:tblCellMar>
            <w:left w:w="0" w:type="dxa"/>
            <w:right w:w="0" w:type="dxa"/>
          </w:tblCellMar>
          <w:tblLook w:val="04A0"/>
        </w:tblPrEx>
        <w:trPr>
          <w:trHeight w:val="331"/>
          <w:jc w:val="center"/>
        </w:trPr>
        <w:tc>
          <w:tcPr>
            <w:tcW w:w="3473" w:type="dxa"/>
            <w:tcBorders>
              <w:top w:val="nil"/>
              <w:left w:val="double" w:sz="6" w:space="0" w:color="auto"/>
              <w:bottom w:val="double" w:sz="6" w:space="0" w:color="auto"/>
              <w:right w:val="nil"/>
            </w:tcBorders>
            <w:shd w:val="clear" w:color="auto" w:fill="auto"/>
            <w:hideMark/>
          </w:tcPr>
          <w:p w:rsidR="008C7480" w:rsidRPr="00466AE9" w:rsidP="008C7480" w14:paraId="368E15D6" w14:textId="77777777">
            <w:pPr>
              <w:spacing w:after="0" w:line="240" w:lineRule="auto"/>
              <w:ind w:left="375"/>
              <w:textAlignment w:val="baseline"/>
              <w:rPr>
                <w:rFonts w:eastAsia="Times New Roman" w:cstheme="minorHAnsi"/>
              </w:rPr>
            </w:pPr>
            <w:r w:rsidRPr="00466AE9">
              <w:rPr>
                <w:rFonts w:eastAsia="Times New Roman" w:cstheme="minorHAnsi"/>
              </w:rPr>
              <w:t>Technical. </w:t>
            </w:r>
          </w:p>
        </w:tc>
        <w:tc>
          <w:tcPr>
            <w:tcW w:w="1828" w:type="dxa"/>
            <w:tcBorders>
              <w:top w:val="nil"/>
              <w:left w:val="single" w:sz="6" w:space="0" w:color="auto"/>
              <w:bottom w:val="double" w:sz="6" w:space="0" w:color="auto"/>
              <w:right w:val="single" w:sz="6" w:space="0" w:color="auto"/>
            </w:tcBorders>
            <w:shd w:val="clear" w:color="auto" w:fill="auto"/>
            <w:vAlign w:val="bottom"/>
            <w:hideMark/>
          </w:tcPr>
          <w:p w:rsidR="008C7480" w:rsidRPr="00466AE9" w:rsidP="008C7480" w14:paraId="03E895CD" w14:textId="77777777">
            <w:pPr>
              <w:spacing w:after="0" w:line="240" w:lineRule="auto"/>
              <w:jc w:val="center"/>
              <w:textAlignment w:val="baseline"/>
              <w:rPr>
                <w:rFonts w:eastAsia="Times New Roman" w:cstheme="minorHAnsi"/>
              </w:rPr>
            </w:pPr>
            <w:r w:rsidRPr="00466AE9">
              <w:rPr>
                <w:rFonts w:eastAsia="Times New Roman" w:cstheme="minorHAnsi"/>
              </w:rPr>
              <w:t>3 </w:t>
            </w:r>
          </w:p>
        </w:tc>
        <w:tc>
          <w:tcPr>
            <w:tcW w:w="1571" w:type="dxa"/>
            <w:tcBorders>
              <w:top w:val="nil"/>
              <w:left w:val="nil"/>
              <w:bottom w:val="double" w:sz="6" w:space="0" w:color="auto"/>
              <w:right w:val="single" w:sz="6" w:space="0" w:color="auto"/>
            </w:tcBorders>
            <w:shd w:val="clear" w:color="auto" w:fill="auto"/>
            <w:vAlign w:val="center"/>
            <w:hideMark/>
          </w:tcPr>
          <w:p w:rsidR="008C7480" w:rsidRPr="00466AE9" w:rsidP="008C7480" w14:paraId="0CC791E6" w14:textId="079ADBB3">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793922">
              <w:rPr>
                <w:rFonts w:eastAsia="Times New Roman" w:cstheme="minorHAnsi"/>
                <w:color w:val="000000"/>
              </w:rPr>
              <w:t>266.40</w:t>
            </w:r>
            <w:r w:rsidRPr="00466AE9">
              <w:rPr>
                <w:rFonts w:eastAsia="Times New Roman" w:cstheme="minorHAnsi"/>
                <w:color w:val="000000"/>
              </w:rPr>
              <w:t>  </w:t>
            </w:r>
          </w:p>
        </w:tc>
        <w:tc>
          <w:tcPr>
            <w:tcW w:w="1745" w:type="dxa"/>
            <w:tcBorders>
              <w:top w:val="nil"/>
              <w:left w:val="nil"/>
              <w:bottom w:val="double" w:sz="6" w:space="0" w:color="auto"/>
              <w:right w:val="single" w:sz="6" w:space="0" w:color="auto"/>
            </w:tcBorders>
            <w:shd w:val="clear" w:color="auto" w:fill="auto"/>
            <w:vAlign w:val="center"/>
            <w:hideMark/>
          </w:tcPr>
          <w:p w:rsidR="008C7480" w:rsidRPr="00466AE9" w:rsidP="008C7480" w14:paraId="5F34CF69" w14:textId="2F0C9510">
            <w:pPr>
              <w:spacing w:after="0" w:line="240" w:lineRule="auto"/>
              <w:jc w:val="center"/>
              <w:textAlignment w:val="baseline"/>
              <w:rPr>
                <w:rFonts w:eastAsia="Times New Roman" w:cstheme="minorHAnsi"/>
              </w:rPr>
            </w:pPr>
            <w:r w:rsidRPr="00466AE9">
              <w:rPr>
                <w:rFonts w:eastAsia="Times New Roman" w:cstheme="minorHAnsi"/>
                <w:color w:val="000000"/>
              </w:rPr>
              <w:t>6</w:t>
            </w:r>
            <w:r w:rsidRPr="00466AE9">
              <w:rPr>
                <w:rFonts w:eastAsia="Times New Roman" w:cstheme="minorHAnsi"/>
                <w:color w:val="000000"/>
              </w:rPr>
              <w:t> </w:t>
            </w:r>
          </w:p>
        </w:tc>
        <w:tc>
          <w:tcPr>
            <w:tcW w:w="1457" w:type="dxa"/>
            <w:tcBorders>
              <w:top w:val="nil"/>
              <w:left w:val="nil"/>
              <w:bottom w:val="double" w:sz="6" w:space="0" w:color="auto"/>
              <w:right w:val="double" w:sz="6" w:space="0" w:color="auto"/>
            </w:tcBorders>
            <w:shd w:val="clear" w:color="auto" w:fill="auto"/>
            <w:vAlign w:val="center"/>
            <w:hideMark/>
          </w:tcPr>
          <w:p w:rsidR="008C7480" w:rsidRPr="00466AE9" w:rsidP="008C7480" w14:paraId="0805EB74" w14:textId="7AD5DA26">
            <w:pPr>
              <w:spacing w:after="0" w:line="240" w:lineRule="auto"/>
              <w:jc w:val="center"/>
              <w:textAlignment w:val="baseline"/>
              <w:rPr>
                <w:rFonts w:eastAsia="Times New Roman" w:cstheme="minorHAnsi"/>
              </w:rPr>
            </w:pPr>
            <w:r w:rsidRPr="00466AE9">
              <w:rPr>
                <w:rFonts w:eastAsia="Times New Roman" w:cstheme="minorHAnsi"/>
                <w:color w:val="000000"/>
              </w:rPr>
              <w:t>$</w:t>
            </w:r>
            <w:r w:rsidRPr="00466AE9" w:rsidR="004C2B0F">
              <w:rPr>
                <w:rFonts w:eastAsia="Times New Roman" w:cstheme="minorHAnsi"/>
                <w:color w:val="000000"/>
              </w:rPr>
              <w:t>533</w:t>
            </w:r>
            <w:r w:rsidRPr="00466AE9">
              <w:rPr>
                <w:rFonts w:eastAsia="Times New Roman" w:cstheme="minorHAnsi"/>
                <w:color w:val="000000"/>
              </w:rPr>
              <w:t>  </w:t>
            </w:r>
          </w:p>
        </w:tc>
      </w:tr>
      <w:tr w14:paraId="39584F44" w14:textId="77777777" w:rsidTr="008B0750">
        <w:tblPrEx>
          <w:tblW w:w="10076" w:type="dxa"/>
          <w:jc w:val="center"/>
          <w:tblCellMar>
            <w:left w:w="0" w:type="dxa"/>
            <w:right w:w="0" w:type="dxa"/>
          </w:tblCellMar>
          <w:tblLook w:val="04A0"/>
        </w:tblPrEx>
        <w:trPr>
          <w:trHeight w:val="331"/>
          <w:jc w:val="center"/>
        </w:trPr>
        <w:tc>
          <w:tcPr>
            <w:tcW w:w="6874" w:type="dxa"/>
            <w:gridSpan w:val="3"/>
            <w:tcBorders>
              <w:top w:val="double" w:sz="6" w:space="0" w:color="auto"/>
              <w:left w:val="double" w:sz="6" w:space="0" w:color="auto"/>
              <w:bottom w:val="double" w:sz="6" w:space="0" w:color="auto"/>
              <w:right w:val="single" w:sz="6" w:space="0" w:color="auto"/>
            </w:tcBorders>
            <w:shd w:val="clear" w:color="auto" w:fill="auto"/>
            <w:hideMark/>
          </w:tcPr>
          <w:p w:rsidR="008C7480" w:rsidRPr="00466AE9" w:rsidP="008C7480" w14:paraId="6E4BAC70" w14:textId="77777777">
            <w:pPr>
              <w:spacing w:after="0" w:line="240" w:lineRule="auto"/>
              <w:textAlignment w:val="baseline"/>
              <w:rPr>
                <w:rFonts w:eastAsia="Times New Roman" w:cstheme="minorHAnsi"/>
              </w:rPr>
            </w:pPr>
            <w:r w:rsidRPr="00466AE9">
              <w:rPr>
                <w:rFonts w:eastAsia="Times New Roman" w:cstheme="minorHAnsi"/>
                <w:b/>
                <w:bCs/>
              </w:rPr>
              <w:t>Totals</w:t>
            </w:r>
            <w:r w:rsidRPr="00466AE9">
              <w:rPr>
                <w:rFonts w:eastAsia="Times New Roman" w:cstheme="minorHAnsi"/>
              </w:rPr>
              <w:t> </w:t>
            </w:r>
          </w:p>
        </w:tc>
        <w:tc>
          <w:tcPr>
            <w:tcW w:w="1745" w:type="dxa"/>
            <w:tcBorders>
              <w:top w:val="double" w:sz="6" w:space="0" w:color="auto"/>
              <w:left w:val="single" w:sz="6" w:space="0" w:color="auto"/>
              <w:bottom w:val="double" w:sz="6" w:space="0" w:color="auto"/>
              <w:right w:val="nil"/>
            </w:tcBorders>
            <w:shd w:val="clear" w:color="auto" w:fill="auto"/>
            <w:vAlign w:val="bottom"/>
            <w:hideMark/>
          </w:tcPr>
          <w:p w:rsidR="008C7480" w:rsidRPr="00466AE9" w:rsidP="008C7480" w14:paraId="682325CB" w14:textId="0648522D">
            <w:pPr>
              <w:spacing w:after="0" w:line="240" w:lineRule="auto"/>
              <w:jc w:val="center"/>
              <w:textAlignment w:val="baseline"/>
              <w:rPr>
                <w:rFonts w:eastAsia="Times New Roman" w:cstheme="minorHAnsi"/>
              </w:rPr>
            </w:pPr>
            <w:r w:rsidRPr="00466AE9">
              <w:rPr>
                <w:rFonts w:eastAsia="Times New Roman" w:cstheme="minorHAnsi"/>
                <w:b/>
                <w:bCs/>
              </w:rPr>
              <w:t>5,393</w:t>
            </w:r>
            <w:r w:rsidRPr="00466AE9">
              <w:rPr>
                <w:rFonts w:eastAsia="Times New Roman" w:cstheme="minorHAnsi"/>
                <w:b/>
                <w:bCs/>
              </w:rPr>
              <w:t> </w:t>
            </w:r>
            <w:r w:rsidRPr="00466AE9">
              <w:rPr>
                <w:rFonts w:eastAsia="Times New Roman" w:cstheme="minorHAnsi"/>
              </w:rPr>
              <w:t> </w:t>
            </w:r>
          </w:p>
        </w:tc>
        <w:tc>
          <w:tcPr>
            <w:tcW w:w="1457" w:type="dxa"/>
            <w:tcBorders>
              <w:top w:val="double" w:sz="6" w:space="0" w:color="auto"/>
              <w:left w:val="single" w:sz="6" w:space="0" w:color="auto"/>
              <w:bottom w:val="double" w:sz="6" w:space="0" w:color="auto"/>
              <w:right w:val="double" w:sz="6" w:space="0" w:color="auto"/>
            </w:tcBorders>
            <w:shd w:val="clear" w:color="auto" w:fill="auto"/>
            <w:vAlign w:val="bottom"/>
            <w:hideMark/>
          </w:tcPr>
          <w:p w:rsidR="008C7480" w:rsidRPr="00466AE9" w:rsidP="008C7480" w14:paraId="276DC62C" w14:textId="07AF4E06">
            <w:pPr>
              <w:spacing w:after="0" w:line="240" w:lineRule="auto"/>
              <w:jc w:val="center"/>
              <w:textAlignment w:val="baseline"/>
              <w:rPr>
                <w:rFonts w:eastAsia="Times New Roman" w:cstheme="minorHAnsi"/>
              </w:rPr>
            </w:pPr>
            <w:r w:rsidRPr="00466AE9">
              <w:rPr>
                <w:rFonts w:eastAsia="Times New Roman" w:cstheme="minorHAnsi"/>
                <w:b/>
                <w:bCs/>
              </w:rPr>
              <w:t>$</w:t>
            </w:r>
            <w:r w:rsidRPr="00466AE9" w:rsidR="00121AB6">
              <w:rPr>
                <w:rFonts w:eastAsia="Times New Roman" w:cstheme="minorHAnsi"/>
                <w:b/>
                <w:bCs/>
              </w:rPr>
              <w:t>592,71</w:t>
            </w:r>
            <w:r w:rsidRPr="00466AE9" w:rsidR="00DD135B">
              <w:rPr>
                <w:rFonts w:eastAsia="Times New Roman" w:cstheme="minorHAnsi"/>
                <w:b/>
                <w:bCs/>
              </w:rPr>
              <w:t>9</w:t>
            </w:r>
            <w:r w:rsidRPr="00466AE9">
              <w:rPr>
                <w:rFonts w:eastAsia="Times New Roman" w:cstheme="minorHAnsi"/>
                <w:b/>
                <w:bCs/>
              </w:rPr>
              <w:t> </w:t>
            </w:r>
            <w:r w:rsidRPr="00466AE9">
              <w:rPr>
                <w:rFonts w:eastAsia="Times New Roman" w:cstheme="minorHAnsi"/>
              </w:rPr>
              <w:t> </w:t>
            </w:r>
          </w:p>
        </w:tc>
      </w:tr>
    </w:tbl>
    <w:p w:rsidR="00311E51" w:rsidRPr="00466AE9" w:rsidP="00311E51" w14:paraId="51EC0078" w14:textId="1010FD7E">
      <w:pPr>
        <w:pStyle w:val="paragraph"/>
        <w:spacing w:before="0" w:beforeAutospacing="0" w:after="0" w:afterAutospacing="0"/>
        <w:ind w:left="1080" w:hanging="180"/>
        <w:textAlignment w:val="baseline"/>
        <w:rPr>
          <w:rFonts w:asciiTheme="minorHAnsi" w:hAnsiTheme="minorHAnsi" w:cstheme="minorHAnsi"/>
          <w:sz w:val="18"/>
          <w:szCs w:val="18"/>
        </w:rPr>
      </w:pPr>
      <w:r w:rsidRPr="00466AE9">
        <w:rPr>
          <w:rStyle w:val="normaltextrun"/>
          <w:rFonts w:asciiTheme="minorHAnsi" w:hAnsiTheme="minorHAnsi" w:cstheme="minorHAnsi"/>
          <w:sz w:val="18"/>
          <w:szCs w:val="18"/>
          <w:vertAlign w:val="superscript"/>
        </w:rPr>
        <w:t>a</w:t>
      </w:r>
      <w:r w:rsidRPr="00466AE9">
        <w:rPr>
          <w:rStyle w:val="tabchar"/>
          <w:rFonts w:asciiTheme="minorHAnsi" w:hAnsiTheme="minorHAnsi" w:cstheme="minorHAnsi"/>
          <w:sz w:val="18"/>
          <w:szCs w:val="18"/>
        </w:rPr>
        <w:tab/>
      </w:r>
      <w:r w:rsidRPr="00466AE9">
        <w:rPr>
          <w:rStyle w:val="normaltextrun"/>
          <w:rFonts w:asciiTheme="minorHAnsi" w:hAnsiTheme="minorHAnsi" w:cstheme="minorHAnsi"/>
          <w:sz w:val="18"/>
          <w:szCs w:val="18"/>
        </w:rPr>
        <w:t>202</w:t>
      </w:r>
      <w:r w:rsidRPr="00466AE9" w:rsidR="00376470">
        <w:rPr>
          <w:rStyle w:val="normaltextrun"/>
          <w:rFonts w:asciiTheme="minorHAnsi" w:hAnsiTheme="minorHAnsi" w:cstheme="minorHAnsi"/>
          <w:sz w:val="18"/>
          <w:szCs w:val="18"/>
        </w:rPr>
        <w:t>4</w:t>
      </w:r>
      <w:r w:rsidRPr="00466AE9">
        <w:rPr>
          <w:rStyle w:val="normaltextrun"/>
          <w:rFonts w:asciiTheme="minorHAnsi" w:hAnsiTheme="minorHAnsi" w:cstheme="minorHAnsi"/>
          <w:sz w:val="18"/>
          <w:szCs w:val="18"/>
        </w:rPr>
        <w:t xml:space="preserve"> dollars</w:t>
      </w:r>
      <w:r w:rsidRPr="00466AE9">
        <w:rPr>
          <w:rStyle w:val="normaltextrun"/>
          <w:rFonts w:asciiTheme="minorHAnsi" w:hAnsiTheme="minorHAnsi" w:cstheme="minorHAnsi"/>
          <w:sz w:val="18"/>
          <w:szCs w:val="18"/>
        </w:rPr>
        <w:t>.</w:t>
      </w:r>
      <w:r w:rsidRPr="00466AE9">
        <w:rPr>
          <w:rStyle w:val="eop"/>
          <w:rFonts w:asciiTheme="minorHAnsi" w:hAnsiTheme="minorHAnsi" w:cstheme="minorHAnsi"/>
          <w:sz w:val="18"/>
          <w:szCs w:val="18"/>
        </w:rPr>
        <w:t> </w:t>
      </w:r>
    </w:p>
    <w:p w:rsidR="00311E51" w:rsidRPr="00466AE9" w:rsidP="00311E51" w14:paraId="65DAE158" w14:textId="57F39A1B">
      <w:pPr>
        <w:pStyle w:val="paragraph"/>
        <w:spacing w:before="0" w:beforeAutospacing="0" w:after="0" w:afterAutospacing="0"/>
        <w:ind w:left="1080" w:hanging="180"/>
        <w:textAlignment w:val="baseline"/>
        <w:rPr>
          <w:rFonts w:asciiTheme="minorHAnsi" w:hAnsiTheme="minorHAnsi" w:cstheme="minorHAnsi"/>
          <w:sz w:val="18"/>
          <w:szCs w:val="18"/>
        </w:rPr>
      </w:pPr>
      <w:r w:rsidRPr="00466AE9">
        <w:rPr>
          <w:rStyle w:val="normaltextrun"/>
          <w:rFonts w:asciiTheme="minorHAnsi" w:hAnsiTheme="minorHAnsi" w:cstheme="minorHAnsi"/>
          <w:sz w:val="18"/>
          <w:szCs w:val="18"/>
          <w:vertAlign w:val="superscript"/>
        </w:rPr>
        <w:t>b</w:t>
      </w:r>
      <w:r w:rsidRPr="00466AE9">
        <w:rPr>
          <w:rStyle w:val="tabchar"/>
          <w:rFonts w:asciiTheme="minorHAnsi" w:hAnsiTheme="minorHAnsi" w:cstheme="minorHAnsi"/>
          <w:sz w:val="18"/>
          <w:szCs w:val="18"/>
        </w:rPr>
        <w:tab/>
      </w:r>
      <w:r w:rsidRPr="00466AE9">
        <w:rPr>
          <w:rStyle w:val="normaltextrun"/>
          <w:rFonts w:asciiTheme="minorHAnsi" w:hAnsiTheme="minorHAnsi" w:cstheme="minorHAnsi"/>
          <w:sz w:val="18"/>
          <w:szCs w:val="18"/>
        </w:rPr>
        <w:t xml:space="preserve">Assumes that </w:t>
      </w:r>
      <w:r w:rsidRPr="00466AE9" w:rsidR="00B21F13">
        <w:rPr>
          <w:rStyle w:val="normaltextrun"/>
          <w:rFonts w:asciiTheme="minorHAnsi" w:hAnsiTheme="minorHAnsi" w:cstheme="minorHAnsi"/>
          <w:sz w:val="18"/>
          <w:szCs w:val="18"/>
        </w:rPr>
        <w:t xml:space="preserve">25% of </w:t>
      </w:r>
      <w:r w:rsidRPr="00466AE9" w:rsidR="00751636">
        <w:rPr>
          <w:rStyle w:val="normaltextrun"/>
          <w:rFonts w:asciiTheme="minorHAnsi" w:hAnsiTheme="minorHAnsi" w:cstheme="minorHAnsi"/>
          <w:sz w:val="18"/>
          <w:szCs w:val="18"/>
        </w:rPr>
        <w:t xml:space="preserve">sources will </w:t>
      </w:r>
      <w:r w:rsidRPr="00466AE9" w:rsidR="0080299C">
        <w:rPr>
          <w:rStyle w:val="normaltextrun"/>
          <w:rFonts w:asciiTheme="minorHAnsi" w:hAnsiTheme="minorHAnsi" w:cstheme="minorHAnsi"/>
          <w:sz w:val="18"/>
          <w:szCs w:val="18"/>
        </w:rPr>
        <w:t>require</w:t>
      </w:r>
      <w:r w:rsidRPr="00466AE9">
        <w:rPr>
          <w:rStyle w:val="normaltextrun"/>
          <w:rFonts w:asciiTheme="minorHAnsi" w:hAnsiTheme="minorHAnsi" w:cstheme="minorHAnsi"/>
          <w:sz w:val="18"/>
          <w:szCs w:val="18"/>
        </w:rPr>
        <w:t xml:space="preserve"> certificate of representation submi</w:t>
      </w:r>
      <w:r w:rsidRPr="00466AE9" w:rsidR="0080299C">
        <w:rPr>
          <w:rStyle w:val="normaltextrun"/>
          <w:rFonts w:asciiTheme="minorHAnsi" w:hAnsiTheme="minorHAnsi" w:cstheme="minorHAnsi"/>
          <w:sz w:val="18"/>
          <w:szCs w:val="18"/>
        </w:rPr>
        <w:t>ssions</w:t>
      </w:r>
      <w:r w:rsidRPr="00466AE9">
        <w:rPr>
          <w:rStyle w:val="normaltextrun"/>
          <w:rFonts w:asciiTheme="minorHAnsi" w:hAnsiTheme="minorHAnsi" w:cstheme="minorHAnsi"/>
          <w:sz w:val="18"/>
          <w:szCs w:val="18"/>
        </w:rPr>
        <w:t>.</w:t>
      </w:r>
      <w:r w:rsidRPr="00466AE9">
        <w:rPr>
          <w:rStyle w:val="eop"/>
          <w:rFonts w:asciiTheme="minorHAnsi" w:hAnsiTheme="minorHAnsi" w:cstheme="minorHAnsi"/>
          <w:sz w:val="18"/>
          <w:szCs w:val="18"/>
        </w:rPr>
        <w:t> </w:t>
      </w:r>
    </w:p>
    <w:p w:rsidR="00311E51" w:rsidRPr="00466AE9" w:rsidP="00311E51" w14:paraId="1903E070" w14:textId="05476D3C">
      <w:pPr>
        <w:pStyle w:val="paragraph"/>
        <w:spacing w:before="0" w:beforeAutospacing="0" w:after="0" w:afterAutospacing="0"/>
        <w:ind w:left="1080" w:hanging="180"/>
        <w:textAlignment w:val="baseline"/>
        <w:rPr>
          <w:rFonts w:asciiTheme="minorHAnsi" w:hAnsiTheme="minorHAnsi" w:cstheme="minorHAnsi"/>
          <w:sz w:val="18"/>
          <w:szCs w:val="18"/>
        </w:rPr>
      </w:pPr>
      <w:r w:rsidRPr="00466AE9">
        <w:rPr>
          <w:rStyle w:val="normaltextrun"/>
          <w:rFonts w:asciiTheme="minorHAnsi" w:hAnsiTheme="minorHAnsi" w:cstheme="minorHAnsi"/>
          <w:sz w:val="18"/>
          <w:szCs w:val="18"/>
          <w:vertAlign w:val="superscript"/>
        </w:rPr>
        <w:t>c</w:t>
      </w:r>
      <w:r w:rsidRPr="00466AE9">
        <w:rPr>
          <w:rStyle w:val="tabchar"/>
          <w:rFonts w:asciiTheme="minorHAnsi" w:hAnsiTheme="minorHAnsi" w:cstheme="minorHAnsi"/>
          <w:sz w:val="18"/>
          <w:szCs w:val="18"/>
        </w:rPr>
        <w:tab/>
      </w:r>
      <w:r w:rsidRPr="00466AE9">
        <w:rPr>
          <w:rStyle w:val="normaltextrun"/>
          <w:rFonts w:asciiTheme="minorHAnsi" w:hAnsiTheme="minorHAnsi" w:cstheme="minorHAnsi"/>
          <w:sz w:val="18"/>
          <w:szCs w:val="18"/>
        </w:rPr>
        <w:t>Assumes 2</w:t>
      </w:r>
      <w:r w:rsidRPr="00466AE9" w:rsidR="00913E6F">
        <w:rPr>
          <w:rStyle w:val="normaltextrun"/>
          <w:rFonts w:asciiTheme="minorHAnsi" w:hAnsiTheme="minorHAnsi" w:cstheme="minorHAnsi"/>
          <w:sz w:val="18"/>
          <w:szCs w:val="18"/>
        </w:rPr>
        <w:t>25</w:t>
      </w:r>
      <w:r w:rsidRPr="00466AE9">
        <w:rPr>
          <w:rStyle w:val="normaltextrun"/>
          <w:rFonts w:asciiTheme="minorHAnsi" w:hAnsiTheme="minorHAnsi" w:cstheme="minorHAnsi"/>
          <w:sz w:val="18"/>
          <w:szCs w:val="18"/>
        </w:rPr>
        <w:t xml:space="preserve"> sources (20 percent of all affected sources) will submit permit applications each year.</w:t>
      </w:r>
      <w:r w:rsidRPr="00466AE9">
        <w:rPr>
          <w:rStyle w:val="eop"/>
          <w:rFonts w:asciiTheme="minorHAnsi" w:hAnsiTheme="minorHAnsi" w:cstheme="minorHAnsi"/>
          <w:sz w:val="18"/>
          <w:szCs w:val="18"/>
        </w:rPr>
        <w:t> </w:t>
      </w:r>
    </w:p>
    <w:p w:rsidR="00311E51" w:rsidRPr="00466AE9" w:rsidP="00311E51" w14:paraId="44C5D8A4" w14:textId="1B5AAC98">
      <w:pPr>
        <w:pStyle w:val="paragraph"/>
        <w:spacing w:before="0" w:beforeAutospacing="0" w:after="0" w:afterAutospacing="0"/>
        <w:ind w:left="1080" w:hanging="180"/>
        <w:textAlignment w:val="baseline"/>
        <w:rPr>
          <w:rFonts w:asciiTheme="minorHAnsi" w:hAnsiTheme="minorHAnsi" w:cstheme="minorHAnsi"/>
          <w:sz w:val="18"/>
          <w:szCs w:val="18"/>
        </w:rPr>
      </w:pPr>
      <w:r w:rsidRPr="00466AE9">
        <w:rPr>
          <w:rStyle w:val="normaltextrun"/>
          <w:rFonts w:asciiTheme="minorHAnsi" w:hAnsiTheme="minorHAnsi" w:cstheme="minorHAnsi"/>
          <w:sz w:val="18"/>
          <w:szCs w:val="18"/>
          <w:vertAlign w:val="superscript"/>
        </w:rPr>
        <w:t>d</w:t>
      </w:r>
      <w:r w:rsidRPr="00466AE9">
        <w:rPr>
          <w:rStyle w:val="tabchar"/>
          <w:rFonts w:asciiTheme="minorHAnsi" w:hAnsiTheme="minorHAnsi" w:cstheme="minorHAnsi"/>
          <w:sz w:val="18"/>
          <w:szCs w:val="18"/>
        </w:rPr>
        <w:tab/>
      </w:r>
      <w:r w:rsidRPr="00466AE9">
        <w:rPr>
          <w:rStyle w:val="normaltextrun"/>
          <w:rFonts w:asciiTheme="minorHAnsi" w:hAnsiTheme="minorHAnsi" w:cstheme="minorHAnsi"/>
          <w:sz w:val="18"/>
          <w:szCs w:val="18"/>
        </w:rPr>
        <w:t xml:space="preserve">Assumes </w:t>
      </w:r>
      <w:r w:rsidRPr="00466AE9" w:rsidR="00913E6F">
        <w:rPr>
          <w:rStyle w:val="normaltextrun"/>
          <w:rFonts w:asciiTheme="minorHAnsi" w:hAnsiTheme="minorHAnsi" w:cstheme="minorHAnsi"/>
          <w:sz w:val="18"/>
          <w:szCs w:val="18"/>
        </w:rPr>
        <w:t>10</w:t>
      </w:r>
      <w:r w:rsidRPr="00466AE9">
        <w:rPr>
          <w:rStyle w:val="normaltextrun"/>
          <w:rFonts w:asciiTheme="minorHAnsi" w:hAnsiTheme="minorHAnsi" w:cstheme="minorHAnsi"/>
          <w:sz w:val="18"/>
          <w:szCs w:val="18"/>
        </w:rPr>
        <w:t xml:space="preserve"> units will submit retired unit exemptions each year.</w:t>
      </w:r>
      <w:r w:rsidRPr="00466AE9">
        <w:rPr>
          <w:rStyle w:val="eop"/>
          <w:rFonts w:asciiTheme="minorHAnsi" w:hAnsiTheme="minorHAnsi" w:cstheme="minorHAnsi"/>
          <w:sz w:val="18"/>
          <w:szCs w:val="18"/>
        </w:rPr>
        <w:t> </w:t>
      </w:r>
    </w:p>
    <w:p w:rsidR="00311E51" w:rsidRPr="00466AE9" w:rsidP="00311E51" w14:paraId="7514EF01" w14:textId="7F56BC1F">
      <w:pPr>
        <w:pStyle w:val="paragraph"/>
        <w:spacing w:before="0" w:beforeAutospacing="0" w:after="0" w:afterAutospacing="0"/>
        <w:ind w:left="1080" w:hanging="180"/>
        <w:textAlignment w:val="baseline"/>
        <w:rPr>
          <w:rFonts w:asciiTheme="minorHAnsi" w:hAnsiTheme="minorHAnsi" w:cstheme="minorHAnsi"/>
          <w:sz w:val="18"/>
          <w:szCs w:val="18"/>
        </w:rPr>
      </w:pPr>
      <w:r w:rsidRPr="00466AE9">
        <w:rPr>
          <w:rStyle w:val="normaltextrun"/>
          <w:rFonts w:asciiTheme="minorHAnsi" w:hAnsiTheme="minorHAnsi" w:cstheme="minorHAnsi"/>
          <w:sz w:val="18"/>
          <w:szCs w:val="18"/>
          <w:vertAlign w:val="superscript"/>
        </w:rPr>
        <w:t>e</w:t>
      </w:r>
      <w:r w:rsidRPr="00466AE9">
        <w:rPr>
          <w:rStyle w:val="tabchar"/>
          <w:rFonts w:asciiTheme="minorHAnsi" w:hAnsiTheme="minorHAnsi" w:cstheme="minorHAnsi"/>
          <w:sz w:val="18"/>
          <w:szCs w:val="18"/>
        </w:rPr>
        <w:tab/>
      </w:r>
      <w:r w:rsidRPr="00466AE9">
        <w:rPr>
          <w:rStyle w:val="normaltextrun"/>
          <w:rFonts w:asciiTheme="minorHAnsi" w:hAnsiTheme="minorHAnsi" w:cstheme="minorHAnsi"/>
          <w:sz w:val="18"/>
          <w:szCs w:val="18"/>
        </w:rPr>
        <w:t xml:space="preserve">Assumes </w:t>
      </w:r>
      <w:r w:rsidRPr="00466AE9" w:rsidR="00913E6F">
        <w:rPr>
          <w:rStyle w:val="normaltextrun"/>
          <w:rFonts w:asciiTheme="minorHAnsi" w:hAnsiTheme="minorHAnsi" w:cstheme="minorHAnsi"/>
          <w:sz w:val="18"/>
          <w:szCs w:val="18"/>
        </w:rPr>
        <w:t>2</w:t>
      </w:r>
      <w:r w:rsidRPr="00466AE9">
        <w:rPr>
          <w:rStyle w:val="normaltextrun"/>
          <w:rFonts w:asciiTheme="minorHAnsi" w:hAnsiTheme="minorHAnsi" w:cstheme="minorHAnsi"/>
          <w:sz w:val="18"/>
          <w:szCs w:val="18"/>
        </w:rPr>
        <w:t xml:space="preserve"> units will submit new unit exemptions each year.</w:t>
      </w:r>
      <w:r w:rsidRPr="00466AE9">
        <w:rPr>
          <w:rStyle w:val="eop"/>
          <w:rFonts w:asciiTheme="minorHAnsi" w:hAnsiTheme="minorHAnsi" w:cstheme="minorHAnsi"/>
          <w:sz w:val="18"/>
          <w:szCs w:val="18"/>
        </w:rPr>
        <w:t> </w:t>
      </w:r>
    </w:p>
    <w:p w:rsidR="00311E51" w:rsidRPr="00466AE9" w:rsidP="00311E51" w14:paraId="3F21FAFD" w14:textId="77777777">
      <w:pPr>
        <w:pStyle w:val="paragraph"/>
        <w:spacing w:before="0" w:beforeAutospacing="0" w:after="0" w:afterAutospacing="0"/>
        <w:textAlignment w:val="baseline"/>
        <w:rPr>
          <w:rFonts w:asciiTheme="minorHAnsi" w:hAnsiTheme="minorHAnsi" w:cstheme="minorHAnsi"/>
          <w:sz w:val="18"/>
          <w:szCs w:val="18"/>
        </w:rPr>
      </w:pPr>
      <w:r w:rsidRPr="00466AE9">
        <w:rPr>
          <w:rStyle w:val="eop"/>
          <w:rFonts w:asciiTheme="minorHAnsi" w:hAnsiTheme="minorHAnsi" w:cstheme="minorHAnsi"/>
          <w:sz w:val="18"/>
          <w:szCs w:val="18"/>
        </w:rPr>
        <w:t> </w:t>
      </w:r>
    </w:p>
    <w:p w:rsidR="0021061D" w:rsidRPr="008B0750" w:rsidP="00831DF0" w14:paraId="434466D1" w14:textId="77777777">
      <w:pPr>
        <w:spacing w:line="276" w:lineRule="auto"/>
        <w:rPr>
          <w:rFonts w:cstheme="minorHAnsi"/>
        </w:rPr>
      </w:pPr>
    </w:p>
    <w:p w:rsidR="00FC0F1F" w:rsidRPr="00617C39" w:rsidP="009B2F03" w14:paraId="319FFFFB" w14:textId="3E1E4D19">
      <w:pPr>
        <w:pStyle w:val="ListParagraph"/>
        <w:numPr>
          <w:ilvl w:val="0"/>
          <w:numId w:val="46"/>
        </w:numPr>
        <w:spacing w:after="0" w:line="276" w:lineRule="auto"/>
        <w:textAlignment w:val="baseline"/>
        <w:rPr>
          <w:rFonts w:eastAsia="Times New Roman" w:cstheme="minorHAnsi"/>
        </w:rPr>
      </w:pPr>
      <w:r w:rsidRPr="00617C39">
        <w:rPr>
          <w:rFonts w:eastAsia="Times New Roman" w:cstheme="minorHAnsi"/>
        </w:rPr>
        <w:t>Emissions Monitoring, Recording, and Reporting </w:t>
      </w:r>
    </w:p>
    <w:p w:rsidR="00FC0F1F" w:rsidP="009B2F03" w14:paraId="329D397E" w14:textId="77777777">
      <w:pPr>
        <w:pStyle w:val="ListParagraph"/>
        <w:numPr>
          <w:ilvl w:val="1"/>
          <w:numId w:val="46"/>
        </w:numPr>
        <w:spacing w:after="0" w:line="276" w:lineRule="auto"/>
        <w:textAlignment w:val="baseline"/>
        <w:rPr>
          <w:rFonts w:eastAsia="Times New Roman" w:cstheme="minorHAnsi"/>
        </w:rPr>
      </w:pPr>
      <w:r w:rsidRPr="00FC0F1F">
        <w:rPr>
          <w:rFonts w:eastAsia="Times New Roman" w:cstheme="minorHAnsi"/>
        </w:rPr>
        <w:t>This subsection estimates the burden and cost of submitting monitoring plans, obtaining certification of each monitoring system, conducting monitor quality assurance activities, recording and reporting data from CEM systems (or approved alternatives), and other ancillary activities (such as responding to EPA generated error messages, or responding to EPA audits). </w:t>
      </w:r>
    </w:p>
    <w:p w:rsidR="00FC0F1F" w:rsidP="009B2F03" w14:paraId="4934949E" w14:textId="77777777">
      <w:pPr>
        <w:pStyle w:val="ListParagraph"/>
        <w:numPr>
          <w:ilvl w:val="1"/>
          <w:numId w:val="46"/>
        </w:numPr>
        <w:spacing w:after="0" w:line="276" w:lineRule="auto"/>
        <w:textAlignment w:val="baseline"/>
        <w:rPr>
          <w:rFonts w:eastAsia="Times New Roman" w:cstheme="minorHAnsi"/>
        </w:rPr>
      </w:pPr>
      <w:r w:rsidRPr="00FC0F1F">
        <w:rPr>
          <w:rFonts w:eastAsia="Times New Roman" w:cstheme="minorHAnsi"/>
        </w:rPr>
        <w:t>CAA section 412 requires all affected sources to install SO</w:t>
      </w:r>
      <w:r w:rsidRPr="00FC0F1F">
        <w:rPr>
          <w:rFonts w:eastAsia="Times New Roman" w:cstheme="minorHAnsi"/>
          <w:vertAlign w:val="subscript"/>
        </w:rPr>
        <w:t>2</w:t>
      </w:r>
      <w:r w:rsidRPr="00FC0F1F">
        <w:rPr>
          <w:rFonts w:eastAsia="Times New Roman" w:cstheme="minorHAnsi"/>
        </w:rPr>
        <w:t xml:space="preserve"> and NO</w:t>
      </w:r>
      <w:r w:rsidRPr="00FC0F1F">
        <w:rPr>
          <w:rFonts w:eastAsia="Times New Roman" w:cstheme="minorHAnsi"/>
          <w:vertAlign w:val="subscript"/>
        </w:rPr>
        <w:t>X</w:t>
      </w:r>
      <w:r w:rsidRPr="00FC0F1F">
        <w:rPr>
          <w:rFonts w:eastAsia="Times New Roman" w:cstheme="minorHAnsi"/>
        </w:rPr>
        <w:t xml:space="preserve"> CEMS, continuous opacity monitors (COMS), and flow monitors (or approved alternatives). EPA requires that all affected units required to install CEMS use a data acquisition and handling system (DAHS) to record hourly CEMS and flow monitor data in the XML format. Affected gas- and oil-fired units may elect to use the approved alternative SO</w:t>
      </w:r>
      <w:r w:rsidRPr="00FC0F1F">
        <w:rPr>
          <w:rFonts w:eastAsia="Times New Roman" w:cstheme="minorHAnsi"/>
          <w:vertAlign w:val="subscript"/>
        </w:rPr>
        <w:t>2</w:t>
      </w:r>
      <w:r w:rsidRPr="00FC0F1F">
        <w:rPr>
          <w:rFonts w:eastAsia="Times New Roman" w:cstheme="minorHAnsi"/>
        </w:rPr>
        <w:t xml:space="preserve"> monitoring method and record fuel sulfur analysis data, and then use a DAHS to record and report hourly fuel flow values from a fuel flowmeter in the XML format. In addition, peaking units that burn natural gas and/or fuel oil may use an excepted method for calculating NO</w:t>
      </w:r>
      <w:r w:rsidRPr="00FC0F1F">
        <w:rPr>
          <w:rFonts w:eastAsia="Times New Roman" w:cstheme="minorHAnsi"/>
          <w:vertAlign w:val="subscript"/>
        </w:rPr>
        <w:t>X</w:t>
      </w:r>
      <w:r w:rsidRPr="00FC0F1F">
        <w:rPr>
          <w:rFonts w:eastAsia="Times New Roman" w:cstheme="minorHAnsi"/>
        </w:rPr>
        <w:t xml:space="preserve"> emission rates. Finally, EPA allows certain low mass emissions (LME) </w:t>
      </w:r>
      <w:r w:rsidRPr="00FC0F1F">
        <w:rPr>
          <w:rFonts w:eastAsia="Times New Roman" w:cstheme="minorHAnsi"/>
        </w:rPr>
        <w:t>units to use assumed emission factors together with operational data to calculate emissions. </w:t>
      </w:r>
    </w:p>
    <w:p w:rsidR="00FC0F1F" w:rsidP="009B2F03" w14:paraId="61AC16D7" w14:textId="77777777">
      <w:pPr>
        <w:pStyle w:val="ListParagraph"/>
        <w:numPr>
          <w:ilvl w:val="1"/>
          <w:numId w:val="46"/>
        </w:numPr>
        <w:spacing w:after="0" w:line="276" w:lineRule="auto"/>
        <w:textAlignment w:val="baseline"/>
        <w:rPr>
          <w:rFonts w:eastAsia="Times New Roman" w:cstheme="minorHAnsi"/>
        </w:rPr>
      </w:pPr>
      <w:r w:rsidRPr="00FC0F1F">
        <w:rPr>
          <w:rFonts w:eastAsia="Times New Roman" w:cstheme="minorHAnsi"/>
        </w:rPr>
        <w:t>Affected sources are required to complete and submit a monitoring plan and obtain certification of each monitor (on standard forms) for each affected unit at the source. These plans and certifications, which are only submitted once, have already been submitted for most units. Sources, however, may need to submit revised plans or even recertify if they change some aspect of their existing plan. New units will still need to submit plans and certifications for the first time. In addition, all affected units are required to submit quarterly reports of their emissions data to EPA; these reports include much of the basic monitoring plan data as well. </w:t>
      </w:r>
    </w:p>
    <w:p w:rsidR="00FC0F1F" w:rsidRPr="00FC0F1F" w:rsidP="009B2F03" w14:paraId="27BFF940" w14:textId="77777777">
      <w:pPr>
        <w:pStyle w:val="ListParagraph"/>
        <w:numPr>
          <w:ilvl w:val="1"/>
          <w:numId w:val="46"/>
        </w:numPr>
        <w:spacing w:after="0" w:line="276" w:lineRule="auto"/>
        <w:textAlignment w:val="baseline"/>
        <w:rPr>
          <w:rFonts w:eastAsia="Times New Roman" w:cstheme="minorHAnsi"/>
        </w:rPr>
      </w:pPr>
      <w:r w:rsidRPr="00FC0F1F">
        <w:rPr>
          <w:rFonts w:cstheme="minorHAnsi"/>
        </w:rPr>
        <w:t>To quantify the respondents' burdens and costs, EPA has analyzed existing data reported by the affected sources and developed model unit categories to classify and characterize the affected population. The estimated numbers of units using each model reflect an assumption that approximately 30 new units become affected each year, apportioned among the different monitoring methodologies consistent with recently constructed new units.  </w:t>
      </w:r>
    </w:p>
    <w:p w:rsidR="00FC0F1F" w:rsidRPr="008C6233" w:rsidP="009B2F03" w14:paraId="0F02BC00" w14:textId="7F77698B">
      <w:pPr>
        <w:pStyle w:val="ListParagraph"/>
        <w:numPr>
          <w:ilvl w:val="2"/>
          <w:numId w:val="46"/>
        </w:numPr>
        <w:spacing w:after="0" w:line="276" w:lineRule="auto"/>
        <w:textAlignment w:val="baseline"/>
        <w:rPr>
          <w:rFonts w:eastAsia="Times New Roman" w:cstheme="minorHAnsi"/>
        </w:rPr>
      </w:pPr>
      <w:r w:rsidRPr="008C6233">
        <w:rPr>
          <w:rFonts w:eastAsia="Times New Roman" w:cstheme="minorHAnsi"/>
        </w:rPr>
        <w:t>Model A (units with SO</w:t>
      </w:r>
      <w:r w:rsidRPr="008C6233">
        <w:rPr>
          <w:rFonts w:eastAsia="Times New Roman" w:cstheme="minorHAnsi"/>
          <w:vertAlign w:val="subscript"/>
        </w:rPr>
        <w:t>2</w:t>
      </w:r>
      <w:r w:rsidRPr="008C6233">
        <w:rPr>
          <w:rFonts w:eastAsia="Times New Roman" w:cstheme="minorHAnsi"/>
        </w:rPr>
        <w:t>, NO</w:t>
      </w:r>
      <w:r w:rsidRPr="008C6233">
        <w:rPr>
          <w:rFonts w:eastAsia="Times New Roman" w:cstheme="minorHAnsi"/>
          <w:vertAlign w:val="subscript"/>
        </w:rPr>
        <w:t>X</w:t>
      </w:r>
      <w:r w:rsidRPr="008C6233">
        <w:rPr>
          <w:rFonts w:eastAsia="Times New Roman" w:cstheme="minorHAnsi"/>
        </w:rPr>
        <w:t>, CO</w:t>
      </w:r>
      <w:r w:rsidRPr="008C6233">
        <w:rPr>
          <w:rFonts w:eastAsia="Times New Roman" w:cstheme="minorHAnsi"/>
          <w:vertAlign w:val="subscript"/>
        </w:rPr>
        <w:t>2</w:t>
      </w:r>
      <w:r w:rsidRPr="008C6233">
        <w:rPr>
          <w:rFonts w:eastAsia="Times New Roman" w:cstheme="minorHAnsi"/>
        </w:rPr>
        <w:t xml:space="preserve">, and flow CEMS):  </w:t>
      </w:r>
      <w:r w:rsidRPr="008C6233" w:rsidR="00176A45">
        <w:rPr>
          <w:rFonts w:eastAsia="Times New Roman" w:cstheme="minorHAnsi"/>
        </w:rPr>
        <w:t>460</w:t>
      </w:r>
      <w:r w:rsidRPr="008C6233">
        <w:rPr>
          <w:rFonts w:eastAsia="Times New Roman" w:cstheme="minorHAnsi"/>
        </w:rPr>
        <w:t xml:space="preserve"> total units. </w:t>
      </w:r>
    </w:p>
    <w:p w:rsidR="00FC0F1F" w:rsidRPr="008C6233" w:rsidP="009B2F03" w14:paraId="5E7C8676" w14:textId="23190012">
      <w:pPr>
        <w:pStyle w:val="ListParagraph"/>
        <w:numPr>
          <w:ilvl w:val="2"/>
          <w:numId w:val="46"/>
        </w:numPr>
        <w:spacing w:after="0" w:line="276" w:lineRule="auto"/>
        <w:textAlignment w:val="baseline"/>
        <w:rPr>
          <w:rFonts w:eastAsia="Times New Roman" w:cstheme="minorHAnsi"/>
        </w:rPr>
      </w:pPr>
      <w:r w:rsidRPr="008C6233">
        <w:rPr>
          <w:rFonts w:eastAsia="Times New Roman" w:cstheme="minorHAnsi"/>
        </w:rPr>
        <w:t xml:space="preserve">Model B (units with opacity CEMS solely </w:t>
      </w:r>
      <w:r w:rsidRPr="008C6233">
        <w:rPr>
          <w:rFonts w:eastAsia="Times New Roman" w:cstheme="minorHAnsi"/>
        </w:rPr>
        <w:t>as a result of</w:t>
      </w:r>
      <w:r w:rsidRPr="008C6233">
        <w:rPr>
          <w:rFonts w:eastAsia="Times New Roman" w:cstheme="minorHAnsi"/>
        </w:rPr>
        <w:t xml:space="preserve"> the Acid Rain Program):  </w:t>
      </w:r>
      <w:r w:rsidRPr="008C6233" w:rsidR="00DB6B86">
        <w:rPr>
          <w:rFonts w:eastAsia="Times New Roman" w:cstheme="minorHAnsi"/>
        </w:rPr>
        <w:t>729</w:t>
      </w:r>
      <w:r w:rsidRPr="008C6233">
        <w:rPr>
          <w:rFonts w:eastAsia="Times New Roman" w:cstheme="minorHAnsi"/>
        </w:rPr>
        <w:t xml:space="preserve"> total units. (Note:  these units also are classified under other models for SO</w:t>
      </w:r>
      <w:r w:rsidRPr="008C6233">
        <w:rPr>
          <w:rFonts w:eastAsia="Times New Roman" w:cstheme="minorHAnsi"/>
          <w:vertAlign w:val="subscript"/>
        </w:rPr>
        <w:t>2</w:t>
      </w:r>
      <w:r w:rsidRPr="008C6233">
        <w:rPr>
          <w:rFonts w:eastAsia="Times New Roman" w:cstheme="minorHAnsi"/>
        </w:rPr>
        <w:t>, NO</w:t>
      </w:r>
      <w:r w:rsidRPr="008C6233">
        <w:rPr>
          <w:rFonts w:eastAsia="Times New Roman" w:cstheme="minorHAnsi"/>
          <w:vertAlign w:val="subscript"/>
        </w:rPr>
        <w:t>X</w:t>
      </w:r>
      <w:r w:rsidRPr="008C6233">
        <w:rPr>
          <w:rFonts w:eastAsia="Times New Roman" w:cstheme="minorHAnsi"/>
        </w:rPr>
        <w:t>, and CO</w:t>
      </w:r>
      <w:r w:rsidRPr="008C6233">
        <w:rPr>
          <w:rFonts w:eastAsia="Times New Roman" w:cstheme="minorHAnsi"/>
          <w:vertAlign w:val="subscript"/>
        </w:rPr>
        <w:t>2</w:t>
      </w:r>
      <w:r w:rsidRPr="008C6233">
        <w:rPr>
          <w:rFonts w:eastAsia="Times New Roman" w:cstheme="minorHAnsi"/>
        </w:rPr>
        <w:t xml:space="preserve"> requirements.) </w:t>
      </w:r>
    </w:p>
    <w:p w:rsidR="00FC0F1F" w:rsidRPr="008C6233" w:rsidP="009B2F03" w14:paraId="24E4F239" w14:textId="11246EB6">
      <w:pPr>
        <w:pStyle w:val="ListParagraph"/>
        <w:numPr>
          <w:ilvl w:val="2"/>
          <w:numId w:val="46"/>
        </w:numPr>
        <w:spacing w:after="0" w:line="276" w:lineRule="auto"/>
        <w:textAlignment w:val="baseline"/>
        <w:rPr>
          <w:rFonts w:eastAsia="Times New Roman" w:cstheme="minorHAnsi"/>
        </w:rPr>
      </w:pPr>
      <w:r w:rsidRPr="008C6233">
        <w:rPr>
          <w:rFonts w:eastAsia="Times New Roman" w:cstheme="minorHAnsi"/>
        </w:rPr>
        <w:t>Model C (units with appendix D monitoring for SO</w:t>
      </w:r>
      <w:r w:rsidRPr="008C6233">
        <w:rPr>
          <w:rFonts w:eastAsia="Times New Roman" w:cstheme="minorHAnsi"/>
          <w:vertAlign w:val="subscript"/>
        </w:rPr>
        <w:t>2</w:t>
      </w:r>
      <w:r w:rsidRPr="008C6233">
        <w:rPr>
          <w:rFonts w:eastAsia="Times New Roman" w:cstheme="minorHAnsi"/>
        </w:rPr>
        <w:t xml:space="preserve"> and CEMS for NO</w:t>
      </w:r>
      <w:r w:rsidRPr="008C6233">
        <w:rPr>
          <w:rFonts w:eastAsia="Times New Roman" w:cstheme="minorHAnsi"/>
          <w:vertAlign w:val="subscript"/>
        </w:rPr>
        <w:t>X</w:t>
      </w:r>
      <w:r w:rsidRPr="008C6233">
        <w:rPr>
          <w:rFonts w:eastAsia="Times New Roman" w:cstheme="minorHAnsi"/>
        </w:rPr>
        <w:t xml:space="preserve">):  </w:t>
      </w:r>
      <w:r w:rsidRPr="008C6233" w:rsidR="00DB6B86">
        <w:rPr>
          <w:rFonts w:eastAsia="Times New Roman" w:cstheme="minorHAnsi"/>
        </w:rPr>
        <w:t>2324</w:t>
      </w:r>
      <w:r w:rsidRPr="008C6233">
        <w:rPr>
          <w:rFonts w:eastAsia="Times New Roman" w:cstheme="minorHAnsi"/>
        </w:rPr>
        <w:t xml:space="preserve"> total units. </w:t>
      </w:r>
    </w:p>
    <w:p w:rsidR="00FC0F1F" w:rsidRPr="008C6233" w:rsidP="009B2F03" w14:paraId="071DB816" w14:textId="3DB7EA20">
      <w:pPr>
        <w:pStyle w:val="ListParagraph"/>
        <w:numPr>
          <w:ilvl w:val="2"/>
          <w:numId w:val="46"/>
        </w:numPr>
        <w:spacing w:after="0" w:line="276" w:lineRule="auto"/>
        <w:textAlignment w:val="baseline"/>
        <w:rPr>
          <w:rFonts w:eastAsia="Times New Roman" w:cstheme="minorHAnsi"/>
        </w:rPr>
      </w:pPr>
      <w:r w:rsidRPr="008C6233">
        <w:rPr>
          <w:rFonts w:eastAsia="Times New Roman" w:cstheme="minorHAnsi"/>
        </w:rPr>
        <w:t>Model D (units using appendix D for SO</w:t>
      </w:r>
      <w:r w:rsidRPr="008C6233">
        <w:rPr>
          <w:rFonts w:eastAsia="Times New Roman" w:cstheme="minorHAnsi"/>
          <w:vertAlign w:val="subscript"/>
        </w:rPr>
        <w:t>2</w:t>
      </w:r>
      <w:r w:rsidRPr="008C6233">
        <w:rPr>
          <w:rFonts w:eastAsia="Times New Roman" w:cstheme="minorHAnsi"/>
        </w:rPr>
        <w:t xml:space="preserve"> and appendix E for NO</w:t>
      </w:r>
      <w:r w:rsidRPr="008C6233">
        <w:rPr>
          <w:rFonts w:eastAsia="Times New Roman" w:cstheme="minorHAnsi"/>
          <w:vertAlign w:val="subscript"/>
        </w:rPr>
        <w:t>X</w:t>
      </w:r>
      <w:r w:rsidRPr="008C6233">
        <w:rPr>
          <w:rFonts w:eastAsia="Times New Roman" w:cstheme="minorHAnsi"/>
        </w:rPr>
        <w:t xml:space="preserve">):  </w:t>
      </w:r>
      <w:r w:rsidRPr="008C6233" w:rsidR="00D16149">
        <w:rPr>
          <w:rFonts w:eastAsia="Times New Roman" w:cstheme="minorHAnsi"/>
        </w:rPr>
        <w:t>293</w:t>
      </w:r>
      <w:r w:rsidRPr="008C6233">
        <w:rPr>
          <w:rFonts w:eastAsia="Times New Roman" w:cstheme="minorHAnsi"/>
        </w:rPr>
        <w:t xml:space="preserve"> total units. </w:t>
      </w:r>
    </w:p>
    <w:p w:rsidR="00FC0F1F" w:rsidRPr="008C6233" w:rsidP="009B2F03" w14:paraId="693B8D01" w14:textId="539D9555">
      <w:pPr>
        <w:pStyle w:val="ListParagraph"/>
        <w:numPr>
          <w:ilvl w:val="2"/>
          <w:numId w:val="46"/>
        </w:numPr>
        <w:spacing w:after="0" w:line="276" w:lineRule="auto"/>
        <w:textAlignment w:val="baseline"/>
        <w:rPr>
          <w:rFonts w:eastAsia="Times New Roman" w:cstheme="minorHAnsi"/>
        </w:rPr>
      </w:pPr>
      <w:r w:rsidRPr="008C6233">
        <w:rPr>
          <w:rFonts w:eastAsia="Times New Roman" w:cstheme="minorHAnsi"/>
        </w:rPr>
        <w:t xml:space="preserve">Model E (units using the LME methodology):  </w:t>
      </w:r>
      <w:r w:rsidRPr="008C6233" w:rsidR="00D16149">
        <w:rPr>
          <w:rFonts w:eastAsia="Times New Roman" w:cstheme="minorHAnsi"/>
        </w:rPr>
        <w:t>150</w:t>
      </w:r>
      <w:r w:rsidRPr="008C6233">
        <w:rPr>
          <w:rFonts w:eastAsia="Times New Roman" w:cstheme="minorHAnsi"/>
        </w:rPr>
        <w:t xml:space="preserve"> total </w:t>
      </w:r>
      <w:r w:rsidRPr="008C6233">
        <w:rPr>
          <w:rFonts w:eastAsia="Times New Roman" w:cstheme="minorHAnsi"/>
        </w:rPr>
        <w:t>units</w:t>
      </w:r>
      <w:r w:rsidRPr="008C6233">
        <w:rPr>
          <w:rFonts w:eastAsia="Times New Roman" w:cstheme="minorHAnsi"/>
        </w:rPr>
        <w:t> </w:t>
      </w:r>
    </w:p>
    <w:p w:rsidR="00FC0F1F" w:rsidRPr="008C6233" w:rsidP="009B2F03" w14:paraId="459F882B" w14:textId="5F76B133">
      <w:pPr>
        <w:pStyle w:val="ListParagraph"/>
        <w:numPr>
          <w:ilvl w:val="2"/>
          <w:numId w:val="46"/>
        </w:numPr>
        <w:spacing w:after="0" w:line="276" w:lineRule="auto"/>
        <w:textAlignment w:val="baseline"/>
        <w:rPr>
          <w:rFonts w:eastAsia="Times New Roman" w:cstheme="minorHAnsi"/>
        </w:rPr>
      </w:pPr>
      <w:r w:rsidRPr="008C6233">
        <w:rPr>
          <w:rFonts w:eastAsia="Times New Roman" w:cstheme="minorHAnsi"/>
        </w:rPr>
        <w:t xml:space="preserve">Model F (units with moisture monitors necessary for moisture correction):  </w:t>
      </w:r>
      <w:r w:rsidRPr="008C6233" w:rsidR="00D16149">
        <w:rPr>
          <w:rFonts w:eastAsia="Times New Roman" w:cstheme="minorHAnsi"/>
        </w:rPr>
        <w:t>16</w:t>
      </w:r>
      <w:r w:rsidRPr="008C6233">
        <w:rPr>
          <w:rFonts w:eastAsia="Times New Roman" w:cstheme="minorHAnsi"/>
        </w:rPr>
        <w:t xml:space="preserve"> total units. (Note:  these units are also classified under Model A for other requirements.) </w:t>
      </w:r>
    </w:p>
    <w:p w:rsidR="009B2F03" w:rsidRPr="008C6233" w:rsidP="009B2F03" w14:paraId="53174CF7" w14:textId="60BF508D">
      <w:pPr>
        <w:pStyle w:val="ListParagraph"/>
        <w:numPr>
          <w:ilvl w:val="1"/>
          <w:numId w:val="46"/>
        </w:numPr>
        <w:spacing w:after="0" w:line="276" w:lineRule="auto"/>
        <w:textAlignment w:val="baseline"/>
        <w:rPr>
          <w:rFonts w:eastAsia="Times New Roman" w:cstheme="minorHAnsi"/>
        </w:rPr>
      </w:pPr>
      <w:r w:rsidRPr="008C6233">
        <w:rPr>
          <w:rFonts w:eastAsia="Times New Roman" w:cstheme="minorHAnsi"/>
        </w:rPr>
        <w:t xml:space="preserve">To estimate the burden and/or cost for each model, EPA has </w:t>
      </w:r>
      <w:r w:rsidRPr="008C6233" w:rsidR="00B74A8D">
        <w:rPr>
          <w:rFonts w:eastAsia="Times New Roman" w:cstheme="minorHAnsi"/>
        </w:rPr>
        <w:t xml:space="preserve">consulted with a subset </w:t>
      </w:r>
      <w:r w:rsidRPr="008C6233" w:rsidR="009E06CF">
        <w:rPr>
          <w:rFonts w:eastAsia="Times New Roman" w:cstheme="minorHAnsi"/>
        </w:rPr>
        <w:t>o</w:t>
      </w:r>
      <w:r w:rsidRPr="008C6233" w:rsidR="00764710">
        <w:rPr>
          <w:rFonts w:eastAsia="Times New Roman" w:cstheme="minorHAnsi"/>
        </w:rPr>
        <w:t>f</w:t>
      </w:r>
      <w:r w:rsidRPr="008C6233" w:rsidR="009E06CF">
        <w:rPr>
          <w:rFonts w:eastAsia="Times New Roman" w:cstheme="minorHAnsi"/>
        </w:rPr>
        <w:t xml:space="preserve"> reporting sources </w:t>
      </w:r>
      <w:r w:rsidRPr="008C6233" w:rsidR="00845B0A">
        <w:rPr>
          <w:rFonts w:eastAsia="Times New Roman" w:cstheme="minorHAnsi"/>
        </w:rPr>
        <w:t xml:space="preserve">to review previous estimates and provide </w:t>
      </w:r>
      <w:r w:rsidRPr="008C6233" w:rsidR="00764710">
        <w:rPr>
          <w:rFonts w:eastAsia="Times New Roman" w:cstheme="minorHAnsi"/>
        </w:rPr>
        <w:t>updates as needed</w:t>
      </w:r>
      <w:r w:rsidRPr="008C6233" w:rsidR="00F14CE2">
        <w:rPr>
          <w:rFonts w:eastAsia="Times New Roman" w:cstheme="minorHAnsi"/>
        </w:rPr>
        <w:t xml:space="preserve"> for each reporting activity. </w:t>
      </w:r>
      <w:r w:rsidRPr="008C6233">
        <w:rPr>
          <w:rFonts w:eastAsia="Times New Roman" w:cstheme="minorHAnsi"/>
        </w:rPr>
        <w:t xml:space="preserve">  The hourly labor rates for managerial, technical and clerical staff reflect the labor rates </w:t>
      </w:r>
      <w:r w:rsidRPr="008C6233" w:rsidR="00872F5B">
        <w:rPr>
          <w:rFonts w:eastAsia="Times New Roman" w:cstheme="minorHAnsi"/>
        </w:rPr>
        <w:t xml:space="preserve">adjusted to </w:t>
      </w:r>
      <w:r w:rsidRPr="008C6233" w:rsidR="00A7308F">
        <w:rPr>
          <w:rFonts w:eastAsia="Times New Roman" w:cstheme="minorHAnsi"/>
        </w:rPr>
        <w:t xml:space="preserve">2024 </w:t>
      </w:r>
      <w:r w:rsidRPr="008C6233" w:rsidR="00A7308F">
        <w:rPr>
          <w:rFonts w:eastAsia="Times New Roman" w:cstheme="minorHAnsi"/>
        </w:rPr>
        <w:t xml:space="preserve">dollars </w:t>
      </w:r>
      <w:r w:rsidRPr="008C6233">
        <w:rPr>
          <w:rFonts w:eastAsia="Times New Roman" w:cstheme="minorHAnsi"/>
        </w:rPr>
        <w:t xml:space="preserve"> using</w:t>
      </w:r>
      <w:r w:rsidRPr="008C6233">
        <w:rPr>
          <w:rFonts w:eastAsia="Times New Roman" w:cstheme="minorHAnsi"/>
        </w:rPr>
        <w:t xml:space="preserve"> the Bureau of Labor Statistics Employment Cost Index, consistent with Agency ICR guidance. </w:t>
      </w:r>
    </w:p>
    <w:p w:rsidR="009B2F03" w:rsidRPr="00AE7034" w:rsidP="009B2F03" w14:paraId="6FFBBBD8" w14:textId="77777777">
      <w:pPr>
        <w:pStyle w:val="ListParagraph"/>
        <w:numPr>
          <w:ilvl w:val="1"/>
          <w:numId w:val="46"/>
        </w:numPr>
        <w:spacing w:after="0" w:line="276" w:lineRule="auto"/>
        <w:textAlignment w:val="baseline"/>
        <w:rPr>
          <w:rFonts w:eastAsia="Times New Roman" w:cstheme="minorHAnsi"/>
          <w:i/>
          <w:iCs/>
        </w:rPr>
      </w:pPr>
      <w:r w:rsidRPr="00AE7034">
        <w:rPr>
          <w:rFonts w:eastAsia="Times New Roman" w:cstheme="minorHAnsi"/>
          <w:i/>
          <w:iCs/>
        </w:rPr>
        <w:t>Estimating Respondent Burden </w:t>
      </w:r>
      <w:r w:rsidRPr="00AE7034">
        <w:rPr>
          <w:rFonts w:eastAsia="Times New Roman" w:cstheme="minorHAnsi"/>
          <w:i/>
          <w:iCs/>
        </w:rPr>
        <w:t>for Emissions Monitoring, Recording, and Reporting </w:t>
      </w:r>
    </w:p>
    <w:p w:rsidR="009B2F03" w:rsidP="009B2F03" w14:paraId="2DC6FE61" w14:textId="77777777">
      <w:pPr>
        <w:pStyle w:val="ListParagraph"/>
        <w:numPr>
          <w:ilvl w:val="2"/>
          <w:numId w:val="46"/>
        </w:numPr>
        <w:spacing w:after="0" w:line="276" w:lineRule="auto"/>
        <w:textAlignment w:val="baseline"/>
        <w:rPr>
          <w:rFonts w:eastAsia="Times New Roman" w:cstheme="minorHAnsi"/>
        </w:rPr>
      </w:pPr>
      <w:r w:rsidRPr="009B2F03">
        <w:rPr>
          <w:rFonts w:eastAsia="Times New Roman" w:cstheme="minorHAnsi"/>
        </w:rPr>
        <w:t>The primary tasks performed by owners and operators of affected units are (1) reviewing the regulations, forms and instructions, (2) responding to EPA generated error messages and audits, (3) installing and reprogramming a DAHS and debugging the software, (4) completing and submitting monitoring plans for each unit at the source, (5) performing appropriate tests and providing test results to certify each monitor, (6) performing quality assurance testing and maintenance upon monitors, and (7) assuring the quality of emissions data, preparing quarterly reports of emissions data, and submitting reports to EPA.</w:t>
      </w:r>
    </w:p>
    <w:p w:rsidR="009B2F03" w:rsidP="009B2F03" w14:paraId="12AB9C27" w14:textId="77777777">
      <w:pPr>
        <w:pStyle w:val="ListParagraph"/>
        <w:numPr>
          <w:ilvl w:val="2"/>
          <w:numId w:val="46"/>
        </w:numPr>
        <w:spacing w:after="0" w:line="276" w:lineRule="auto"/>
        <w:textAlignment w:val="baseline"/>
        <w:rPr>
          <w:rFonts w:eastAsia="Times New Roman" w:cstheme="minorHAnsi"/>
        </w:rPr>
      </w:pPr>
      <w:r w:rsidRPr="009B2F03">
        <w:rPr>
          <w:rFonts w:eastAsia="Times New Roman" w:cstheme="minorHAnsi"/>
        </w:rPr>
        <w:t>Regulatory Review </w:t>
      </w:r>
    </w:p>
    <w:p w:rsidR="009B2F03" w:rsidP="009B2F03" w14:paraId="4E590A84" w14:textId="77777777">
      <w:pPr>
        <w:pStyle w:val="ListParagraph"/>
        <w:numPr>
          <w:ilvl w:val="3"/>
          <w:numId w:val="46"/>
        </w:numPr>
        <w:spacing w:after="0" w:line="276" w:lineRule="auto"/>
        <w:textAlignment w:val="baseline"/>
        <w:rPr>
          <w:rFonts w:eastAsia="Times New Roman" w:cstheme="minorHAnsi"/>
        </w:rPr>
      </w:pPr>
      <w:r w:rsidRPr="009B2F03">
        <w:rPr>
          <w:rFonts w:eastAsia="Times New Roman" w:cstheme="minorHAnsi"/>
        </w:rPr>
        <w:t xml:space="preserve">The estimate for time to review instructions and requirements remains consistent with the labor estimates used in previous ICRs (four manager hours and four technician hours) where no substantial changes have been made to the rule. These estimates apply at the facility level and cover reviews independent of the reviews that may occur as part of the reviewing task areas listed below. EPA continues to make available </w:t>
      </w:r>
      <w:hyperlink r:id="rId11" w:tgtFrame="_blank" w:history="1">
        <w:r w:rsidRPr="009B2F03">
          <w:rPr>
            <w:rFonts w:eastAsia="Times New Roman" w:cstheme="minorHAnsi"/>
            <w:color w:val="0000FF"/>
            <w:u w:val="single"/>
          </w:rPr>
          <w:t>Part 75 Emissions Monitoring Technical Q&amp;As</w:t>
        </w:r>
      </w:hyperlink>
      <w:r w:rsidRPr="009B2F03">
        <w:rPr>
          <w:rFonts w:eastAsia="Times New Roman" w:cstheme="minorHAnsi"/>
        </w:rPr>
        <w:t xml:space="preserve">, as well as tutorials, questions and answers, and other guidance documents for using ECMPS. Part 75 is available online through the electronic </w:t>
      </w:r>
      <w:hyperlink r:id="rId12" w:tgtFrame="_blank" w:history="1">
        <w:r w:rsidRPr="009B2F03">
          <w:rPr>
            <w:rFonts w:eastAsia="Times New Roman" w:cstheme="minorHAnsi"/>
            <w:color w:val="0000FF"/>
            <w:u w:val="single"/>
          </w:rPr>
          <w:t>Code of Federal Regulations</w:t>
        </w:r>
      </w:hyperlink>
      <w:r w:rsidRPr="009B2F03">
        <w:rPr>
          <w:rFonts w:eastAsia="Times New Roman" w:cstheme="minorHAnsi"/>
        </w:rPr>
        <w:t xml:space="preserve"> (</w:t>
      </w:r>
      <w:hyperlink r:id="rId12" w:tgtFrame="_blank" w:history="1">
        <w:r w:rsidRPr="009B2F03">
          <w:rPr>
            <w:rFonts w:eastAsia="Times New Roman" w:cstheme="minorHAnsi"/>
            <w:color w:val="0000FF"/>
            <w:u w:val="single"/>
          </w:rPr>
          <w:t>e-CFR</w:t>
        </w:r>
      </w:hyperlink>
      <w:r w:rsidRPr="009B2F03">
        <w:rPr>
          <w:rFonts w:eastAsia="Times New Roman" w:cstheme="minorHAnsi"/>
        </w:rPr>
        <w:t xml:space="preserve">). In addition, EPA in 2005 posted online a text version of its </w:t>
      </w:r>
      <w:hyperlink r:id="rId13" w:tgtFrame="_blank" w:history="1">
        <w:r w:rsidRPr="009B2F03">
          <w:rPr>
            <w:rFonts w:eastAsia="Times New Roman" w:cstheme="minorHAnsi"/>
            <w:color w:val="0000FF"/>
            <w:u w:val="single"/>
          </w:rPr>
          <w:t>Plain English Guide to Part 75</w:t>
        </w:r>
      </w:hyperlink>
      <w:r w:rsidRPr="009B2F03">
        <w:rPr>
          <w:rFonts w:eastAsia="Times New Roman" w:cstheme="minorHAnsi"/>
        </w:rPr>
        <w:t>.   </w:t>
      </w:r>
    </w:p>
    <w:p w:rsidR="009B2F03" w:rsidP="009B2F03" w14:paraId="2A3B5A0E" w14:textId="77777777">
      <w:pPr>
        <w:pStyle w:val="ListParagraph"/>
        <w:numPr>
          <w:ilvl w:val="2"/>
          <w:numId w:val="46"/>
        </w:numPr>
        <w:spacing w:after="0" w:line="276" w:lineRule="auto"/>
        <w:textAlignment w:val="baseline"/>
        <w:rPr>
          <w:rFonts w:eastAsia="Times New Roman" w:cstheme="minorHAnsi"/>
        </w:rPr>
      </w:pPr>
      <w:r w:rsidRPr="009B2F03">
        <w:rPr>
          <w:rFonts w:eastAsia="Times New Roman" w:cstheme="minorHAnsi"/>
        </w:rPr>
        <w:t>Response to Error Messages/Audits </w:t>
      </w:r>
    </w:p>
    <w:p w:rsidR="009B2F03" w:rsidP="009B2F03" w14:paraId="73339505" w14:textId="52712204">
      <w:pPr>
        <w:pStyle w:val="ListParagraph"/>
        <w:numPr>
          <w:ilvl w:val="3"/>
          <w:numId w:val="46"/>
        </w:numPr>
        <w:spacing w:after="0" w:line="276" w:lineRule="auto"/>
        <w:textAlignment w:val="baseline"/>
        <w:rPr>
          <w:rFonts w:eastAsia="Times New Roman" w:cstheme="minorHAnsi"/>
        </w:rPr>
      </w:pPr>
      <w:r w:rsidRPr="009B2F03">
        <w:rPr>
          <w:rFonts w:eastAsia="Times New Roman" w:cstheme="minorHAnsi"/>
        </w:rPr>
        <w:t xml:space="preserve">EPA provides feedback to sources so that suspected errors in submissions by sources are noted and corrected. With the use of the ECMPS software, this occurs before formal data submission because the ECMPS client tool checks all data with more than 1,000 QA checks, prior to the data being submitted. </w:t>
      </w:r>
      <w:r w:rsidRPr="009B2F03">
        <w:rPr>
          <w:rFonts w:eastAsia="Times New Roman" w:cstheme="minorHAnsi"/>
        </w:rPr>
        <w:t>In particular, EPA</w:t>
      </w:r>
      <w:r w:rsidRPr="009B2F03">
        <w:rPr>
          <w:rFonts w:eastAsia="Times New Roman" w:cstheme="minorHAnsi"/>
        </w:rPr>
        <w:t xml:space="preserve"> makes significant use of electronic audits as a means to provide continuous data quality improvement. This effort has already been factored into respondent burden. In addition, if EPA and the permitting authorities conduct a field audit, the burden to a source could involve from 24 to 36 hours. However, on a per unit basis, these field audit impacts are less significant because not every unit will be subject to an audit in a particular year. EPA projects no more than </w:t>
      </w:r>
      <w:r w:rsidR="00BB064C">
        <w:rPr>
          <w:rFonts w:eastAsia="Times New Roman" w:cstheme="minorHAnsi"/>
        </w:rPr>
        <w:t>five</w:t>
      </w:r>
      <w:r w:rsidRPr="009B2F03">
        <w:rPr>
          <w:rFonts w:eastAsia="Times New Roman" w:cstheme="minorHAnsi"/>
        </w:rPr>
        <w:t xml:space="preserve"> audits per year for the agency and no more than ten audits per year for each permitting authority. If the average burden of an audit is 30 hours per audit, the per unit burden for all units that would be associated with EPA's or the permitting authority’s audit activities is less than one hour of burden per respondent. Note that, because this activity should be inapplicable for the simplified reporting required of low mass emissions units, the total number of respondents for this activity excludes the LME units. </w:t>
      </w:r>
    </w:p>
    <w:p w:rsidR="00AE7034" w:rsidP="00AE7034" w14:paraId="7FD642A6" w14:textId="77777777">
      <w:pPr>
        <w:pStyle w:val="ListParagraph"/>
        <w:numPr>
          <w:ilvl w:val="2"/>
          <w:numId w:val="46"/>
        </w:numPr>
        <w:spacing w:after="0" w:line="276" w:lineRule="auto"/>
        <w:textAlignment w:val="baseline"/>
        <w:rPr>
          <w:rFonts w:eastAsia="Times New Roman" w:cstheme="minorHAnsi"/>
        </w:rPr>
      </w:pPr>
      <w:r w:rsidRPr="009B2F03">
        <w:rPr>
          <w:rFonts w:eastAsia="Times New Roman" w:cstheme="minorHAnsi"/>
        </w:rPr>
        <w:t>DAHS Upgrade and Debugging </w:t>
      </w:r>
    </w:p>
    <w:p w:rsidR="00AE7034" w:rsidP="00AE7034" w14:paraId="684B25DC" w14:textId="77777777">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rPr>
        <w:t>During the years immediately preceding the 2010 – 2012 ICR, sources installed computer software designed to implement updated electronic data reporting using XML formats required under the Acid Rain Program. The ongoing annualized capital costs for ARP facilities associated with that DAHS upgrade are accounted for in this ICR.  </w:t>
      </w:r>
    </w:p>
    <w:p w:rsidR="00AE7034" w:rsidP="00AE7034" w14:paraId="3F16E331" w14:textId="77777777">
      <w:pPr>
        <w:pStyle w:val="ListParagraph"/>
        <w:numPr>
          <w:ilvl w:val="2"/>
          <w:numId w:val="46"/>
        </w:numPr>
        <w:spacing w:after="0" w:line="276" w:lineRule="auto"/>
        <w:textAlignment w:val="baseline"/>
        <w:rPr>
          <w:rFonts w:eastAsia="Times New Roman" w:cstheme="minorHAnsi"/>
        </w:rPr>
      </w:pPr>
      <w:r w:rsidRPr="00AE7034">
        <w:rPr>
          <w:rFonts w:eastAsia="Times New Roman" w:cstheme="minorHAnsi"/>
        </w:rPr>
        <w:t>Monitoring Plans </w:t>
      </w:r>
    </w:p>
    <w:p w:rsidR="00AE7034" w:rsidP="00AE7034" w14:paraId="23C38BBD" w14:textId="0872FA75">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rPr>
        <w:t xml:space="preserve">Completing and submitting monitoring plans is estimated to require an average of about 20 hours per unit initially. For existing units, initial monitoring plan submissions have been received prior to the </w:t>
      </w:r>
      <w:r w:rsidRPr="00AE7034">
        <w:rPr>
          <w:rFonts w:eastAsia="Times New Roman" w:cstheme="minorHAnsi"/>
        </w:rPr>
        <w:t xml:space="preserve">time </w:t>
      </w:r>
      <w:r w:rsidRPr="00AE7034">
        <w:rPr>
          <w:rFonts w:eastAsia="Times New Roman" w:cstheme="minorHAnsi"/>
        </w:rPr>
        <w:t>period</w:t>
      </w:r>
      <w:r w:rsidRPr="00AE7034">
        <w:rPr>
          <w:rFonts w:eastAsia="Times New Roman" w:cstheme="minorHAnsi"/>
        </w:rPr>
        <w:t xml:space="preserve"> covered in this renewal ICR, and, consistent with the existing ICR, EPA does not include burden hours for existing units under this initial monitoring plan development task area during </w:t>
      </w:r>
      <w:r w:rsidR="00945A3E">
        <w:rPr>
          <w:rFonts w:eastAsia="Times New Roman" w:cstheme="minorHAnsi"/>
        </w:rPr>
        <w:t>the time period for this ICR.</w:t>
      </w:r>
      <w:r w:rsidRPr="00AE7034">
        <w:rPr>
          <w:rFonts w:eastAsia="Times New Roman" w:cstheme="minorHAnsi"/>
        </w:rPr>
        <w:t xml:space="preserve"> The burden associated with revising the monitoring plan is included in the time for preparing and submitting each quarterly emissions report. </w:t>
      </w:r>
    </w:p>
    <w:p w:rsidR="00AE7034" w:rsidP="00AE7034" w14:paraId="20EAF696" w14:textId="5BC3EE08">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rPr>
        <w:t>Based on EIA's projected one percent per year increase in electricity generating capacity, EPA projects that the number of new units will increase approximately one percent per year over the number of units reporting in 202</w:t>
      </w:r>
      <w:r w:rsidR="00BA3BF5">
        <w:rPr>
          <w:rFonts w:eastAsia="Times New Roman" w:cstheme="minorHAnsi"/>
        </w:rPr>
        <w:t>4</w:t>
      </w:r>
      <w:r w:rsidRPr="00AE7034">
        <w:rPr>
          <w:rFonts w:eastAsia="Times New Roman" w:cstheme="minorHAnsi"/>
        </w:rPr>
        <w:t>. These units have a separate line item for initial monitoring plan preparation. </w:t>
      </w:r>
    </w:p>
    <w:p w:rsidR="00AE7034" w:rsidP="00AE7034" w14:paraId="07ABD88E" w14:textId="77777777">
      <w:pPr>
        <w:pStyle w:val="ListParagraph"/>
        <w:numPr>
          <w:ilvl w:val="2"/>
          <w:numId w:val="46"/>
        </w:numPr>
        <w:spacing w:after="0" w:line="276" w:lineRule="auto"/>
        <w:textAlignment w:val="baseline"/>
        <w:rPr>
          <w:rFonts w:eastAsia="Times New Roman" w:cstheme="minorHAnsi"/>
        </w:rPr>
      </w:pPr>
      <w:r w:rsidRPr="00AE7034">
        <w:rPr>
          <w:rFonts w:eastAsia="Times New Roman" w:cstheme="minorHAnsi"/>
        </w:rPr>
        <w:t>Monitor Certification </w:t>
      </w:r>
    </w:p>
    <w:p w:rsidR="00AE7034" w:rsidP="00AE7034" w14:paraId="1D5567B4" w14:textId="5095B286">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rPr>
        <w:t xml:space="preserve">Based on information gathered as part of the 1999 rule revisions, EPA included assumptions in the previous ICR renewal to include labor burdens for monitor certification activity as well as test contractor costs. For existing units, only recertifications are included in the estimated activities for </w:t>
      </w:r>
      <w:r w:rsidR="009F6EF9">
        <w:rPr>
          <w:rFonts w:eastAsia="Times New Roman" w:cstheme="minorHAnsi"/>
        </w:rPr>
        <w:t>this ICR</w:t>
      </w:r>
      <w:r w:rsidRPr="00AE7034">
        <w:rPr>
          <w:rFonts w:eastAsia="Times New Roman" w:cstheme="minorHAnsi"/>
        </w:rPr>
        <w:t>. The cost and burden figures exclude the costs and burdens associated with conducting a RATA as part of the recertification process because those costs are incorporated within the annual QA costs for previously certified monitoring systems.   </w:t>
      </w:r>
    </w:p>
    <w:p w:rsidR="00AE7034" w:rsidRPr="00AE7034" w:rsidP="00AE7034" w14:paraId="18C4F71B" w14:textId="77777777">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color w:val="000000"/>
        </w:rPr>
        <w:t xml:space="preserve">Under </w:t>
      </w:r>
      <w:r w:rsidRPr="00AE7034">
        <w:rPr>
          <w:rFonts w:eastAsia="Times New Roman" w:cstheme="minorHAnsi"/>
          <w:color w:val="000000"/>
        </w:rPr>
        <w:t>part</w:t>
      </w:r>
      <w:r w:rsidRPr="00AE7034">
        <w:rPr>
          <w:rFonts w:eastAsia="Times New Roman" w:cstheme="minorHAnsi"/>
          <w:color w:val="000000"/>
        </w:rPr>
        <w:t xml:space="preserve"> 75, sources are required to recertify the monitoring systems whenever the source makes a replacement, modification, or change in a certified CEMS or continuous opacity monitoring system that may significantly affect the ability of the system to accurately measure or record the SO</w:t>
      </w:r>
      <w:r w:rsidRPr="00AE7034">
        <w:rPr>
          <w:rFonts w:eastAsia="Times New Roman" w:cstheme="minorHAnsi"/>
          <w:color w:val="000000"/>
          <w:vertAlign w:val="subscript"/>
        </w:rPr>
        <w:t>2</w:t>
      </w:r>
      <w:r w:rsidRPr="00AE7034">
        <w:rPr>
          <w:rFonts w:eastAsia="Times New Roman" w:cstheme="minorHAnsi"/>
          <w:color w:val="000000"/>
        </w:rPr>
        <w:t xml:space="preserve"> or CO</w:t>
      </w:r>
      <w:r w:rsidRPr="00AE7034">
        <w:rPr>
          <w:rFonts w:eastAsia="Times New Roman" w:cstheme="minorHAnsi"/>
          <w:color w:val="000000"/>
          <w:vertAlign w:val="subscript"/>
        </w:rPr>
        <w:t>2</w:t>
      </w:r>
      <w:r w:rsidRPr="00AE7034">
        <w:rPr>
          <w:rFonts w:eastAsia="Times New Roman" w:cstheme="minorHAnsi"/>
          <w:color w:val="000000"/>
        </w:rPr>
        <w:t xml:space="preserve"> concentration, stack gas volumetric flow rate, NO</w:t>
      </w:r>
      <w:r w:rsidRPr="00AE7034">
        <w:rPr>
          <w:rFonts w:eastAsia="Times New Roman" w:cstheme="minorHAnsi"/>
          <w:color w:val="000000"/>
          <w:vertAlign w:val="subscript"/>
        </w:rPr>
        <w:t>X</w:t>
      </w:r>
      <w:r w:rsidRPr="00AE7034">
        <w:rPr>
          <w:rFonts w:eastAsia="Times New Roman" w:cstheme="minorHAnsi"/>
          <w:color w:val="000000"/>
        </w:rPr>
        <w:t xml:space="preserve"> emission rate, or percent moisture, or to meet the QA and QC requirements. Recertification is also necessary whenever the source makes a replacement, modification, or change to the flue gas handling system or unit operation that may significantly change the flow or concentration profile. Examples of changes which require recertification include replacement of the analyzer, change in location or orientation of the sampling probe or site, and complete replacement of an existing CEMS or continuous opacity monitoring system. </w:t>
      </w:r>
    </w:p>
    <w:p w:rsidR="00AE7034" w:rsidP="00AE7034" w14:paraId="0D5BC36A" w14:textId="77777777">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rPr>
        <w:t>For new units, the monitor certification costs are included in the capital/startup costs.</w:t>
      </w:r>
    </w:p>
    <w:p w:rsidR="00AE7034" w:rsidP="00AE7034" w14:paraId="7E3FA138" w14:textId="77777777">
      <w:pPr>
        <w:pStyle w:val="ListParagraph"/>
        <w:numPr>
          <w:ilvl w:val="2"/>
          <w:numId w:val="46"/>
        </w:numPr>
        <w:spacing w:after="0" w:line="276" w:lineRule="auto"/>
        <w:textAlignment w:val="baseline"/>
        <w:rPr>
          <w:rFonts w:eastAsia="Times New Roman" w:cstheme="minorHAnsi"/>
        </w:rPr>
      </w:pPr>
      <w:r w:rsidRPr="00AE7034">
        <w:rPr>
          <w:rFonts w:eastAsia="Times New Roman" w:cstheme="minorHAnsi"/>
        </w:rPr>
        <w:t>Quality Assurance </w:t>
      </w:r>
    </w:p>
    <w:p w:rsidR="000B668F" w:rsidP="00AE7034" w14:paraId="48268C03" w14:textId="6A06474F">
      <w:pPr>
        <w:pStyle w:val="ListParagraph"/>
        <w:numPr>
          <w:ilvl w:val="3"/>
          <w:numId w:val="46"/>
        </w:numPr>
        <w:spacing w:after="0" w:line="276" w:lineRule="auto"/>
        <w:textAlignment w:val="baseline"/>
        <w:rPr>
          <w:rFonts w:eastAsia="Times New Roman" w:cstheme="minorHAnsi"/>
        </w:rPr>
      </w:pPr>
      <w:r w:rsidRPr="00AE7034">
        <w:rPr>
          <w:rFonts w:eastAsia="Times New Roman" w:cstheme="minorHAnsi"/>
        </w:rPr>
        <w:t>Quality assurance (QA) testing and maintenance upon monitoring systems is the largest burden item under the monitoring, reporting and recordkeeping requirements for the Acid Rain Program. The requirements include daily, quarterly</w:t>
      </w:r>
      <w:r w:rsidR="00B96B24">
        <w:rPr>
          <w:rFonts w:eastAsia="Times New Roman" w:cstheme="minorHAnsi"/>
        </w:rPr>
        <w:t>,</w:t>
      </w:r>
      <w:r w:rsidRPr="00AE7034">
        <w:rPr>
          <w:rFonts w:eastAsia="Times New Roman" w:cstheme="minorHAnsi"/>
        </w:rPr>
        <w:t xml:space="preserve"> and annual QA requirements, depending on the monitoring approach being used. For reporting units that use a full set of CEMS (SO</w:t>
      </w:r>
      <w:r w:rsidRPr="00AE7034">
        <w:rPr>
          <w:rFonts w:eastAsia="Times New Roman" w:cstheme="minorHAnsi"/>
          <w:vertAlign w:val="subscript"/>
        </w:rPr>
        <w:t>2</w:t>
      </w:r>
      <w:r w:rsidRPr="00AE7034">
        <w:rPr>
          <w:rFonts w:eastAsia="Times New Roman" w:cstheme="minorHAnsi"/>
        </w:rPr>
        <w:t>, flow, NO</w:t>
      </w:r>
      <w:r w:rsidRPr="00AE7034">
        <w:rPr>
          <w:rFonts w:eastAsia="Times New Roman" w:cstheme="minorHAnsi"/>
          <w:vertAlign w:val="subscript"/>
        </w:rPr>
        <w:t>X</w:t>
      </w:r>
      <w:r w:rsidRPr="00AE7034">
        <w:rPr>
          <w:rFonts w:eastAsia="Times New Roman" w:cstheme="minorHAnsi"/>
        </w:rPr>
        <w:t>, and CO</w:t>
      </w:r>
      <w:r w:rsidRPr="00AE7034">
        <w:rPr>
          <w:rFonts w:eastAsia="Times New Roman" w:cstheme="minorHAnsi"/>
          <w:vertAlign w:val="subscript"/>
        </w:rPr>
        <w:t>2</w:t>
      </w:r>
      <w:r w:rsidRPr="00AE7034">
        <w:rPr>
          <w:rFonts w:eastAsia="Times New Roman" w:cstheme="minorHAnsi"/>
        </w:rPr>
        <w:t xml:space="preserve">), the Agency has </w:t>
      </w:r>
      <w:r w:rsidRPr="00AE7034">
        <w:rPr>
          <w:rFonts w:eastAsia="Times New Roman" w:cstheme="minorHAnsi"/>
        </w:rPr>
        <w:t xml:space="preserve">developed a per unit labor burden based primarily on information gathered from affected sources. For units that also are required to install and maintain a continuous opacity monitoring system (COMS) </w:t>
      </w:r>
      <w:r w:rsidRPr="00AE7034">
        <w:rPr>
          <w:rFonts w:eastAsia="Times New Roman" w:cstheme="minorHAnsi"/>
        </w:rPr>
        <w:t>as a result of</w:t>
      </w:r>
      <w:r w:rsidRPr="00AE7034">
        <w:rPr>
          <w:rFonts w:eastAsia="Times New Roman" w:cstheme="minorHAnsi"/>
        </w:rPr>
        <w:t xml:space="preserve"> part 75, additional labor burdens apply. For units that rely on appendix D excepted methods for SO</w:t>
      </w:r>
      <w:r w:rsidRPr="00AE7034">
        <w:rPr>
          <w:rFonts w:eastAsia="Times New Roman" w:cstheme="minorHAnsi"/>
          <w:vertAlign w:val="subscript"/>
        </w:rPr>
        <w:t>2</w:t>
      </w:r>
      <w:r w:rsidRPr="00AE7034">
        <w:rPr>
          <w:rFonts w:eastAsia="Times New Roman" w:cstheme="minorHAnsi"/>
        </w:rPr>
        <w:t xml:space="preserve"> but use a NO</w:t>
      </w:r>
      <w:r w:rsidRPr="00AE7034">
        <w:rPr>
          <w:rFonts w:eastAsia="Times New Roman" w:cstheme="minorHAnsi"/>
          <w:vertAlign w:val="subscript"/>
        </w:rPr>
        <w:t>X</w:t>
      </w:r>
      <w:r w:rsidRPr="00AE7034">
        <w:rPr>
          <w:rFonts w:eastAsia="Times New Roman" w:cstheme="minorHAnsi"/>
        </w:rPr>
        <w:t xml:space="preserve"> and CO</w:t>
      </w:r>
      <w:r w:rsidRPr="00AE7034">
        <w:rPr>
          <w:rFonts w:eastAsia="Times New Roman" w:cstheme="minorHAnsi"/>
          <w:vertAlign w:val="subscript"/>
        </w:rPr>
        <w:t>2</w:t>
      </w:r>
      <w:r w:rsidRPr="00AE7034">
        <w:rPr>
          <w:rFonts w:eastAsia="Times New Roman" w:cstheme="minorHAnsi"/>
        </w:rPr>
        <w:t xml:space="preserve"> CEMS, reduced labor burden estimates apply because the quality assurance activities for the excepted methods are less than for a CEMS. The labor burdens for these excepted methods were derived primarily from cost estimates provided by a group of affected utilities (see Docket A-97-35, Item II-D-48). For units that rely on the excepted methods under both appendix D and E (i.e., units without CEMS), the burden estimates are reduced further because no CEMS QA is required. For the relatively small number of units that require moisture correction, labor burdens for moisture monitoring QA activities were added based on information supplied by an affected utility (see Docket A-97-35, Item II-D-94). Finally, for units that use the LME provisions, no QA requirements apply except for units that use the unit-specific value option. Those units are required to test the unit to determine a unit-specific value. That cost has been included as a contractor cost for all new LME units. EPA estimates the average respondent </w:t>
      </w:r>
      <w:r w:rsidR="007A7BE8">
        <w:rPr>
          <w:rFonts w:eastAsia="Times New Roman" w:cstheme="minorHAnsi"/>
        </w:rPr>
        <w:t xml:space="preserve">burden per monitoring methodology </w:t>
      </w:r>
      <w:r w:rsidR="000B6F62">
        <w:rPr>
          <w:rFonts w:eastAsia="Times New Roman" w:cstheme="minorHAnsi"/>
        </w:rPr>
        <w:t xml:space="preserve">(models A – F) </w:t>
      </w:r>
      <w:r w:rsidR="007A7BE8">
        <w:rPr>
          <w:rFonts w:eastAsia="Times New Roman" w:cstheme="minorHAnsi"/>
        </w:rPr>
        <w:t>which ranges from 0 – 530 hours</w:t>
      </w:r>
      <w:r w:rsidR="000B6F62">
        <w:rPr>
          <w:rFonts w:eastAsia="Times New Roman" w:cstheme="minorHAnsi"/>
        </w:rPr>
        <w:t>.</w:t>
      </w:r>
    </w:p>
    <w:p w:rsidR="000B668F" w:rsidP="000B668F" w14:paraId="1F78626A" w14:textId="77777777">
      <w:pPr>
        <w:pStyle w:val="ListParagraph"/>
        <w:numPr>
          <w:ilvl w:val="2"/>
          <w:numId w:val="46"/>
        </w:numPr>
        <w:spacing w:after="0" w:line="276" w:lineRule="auto"/>
        <w:textAlignment w:val="baseline"/>
        <w:rPr>
          <w:rFonts w:eastAsia="Times New Roman" w:cstheme="minorHAnsi"/>
        </w:rPr>
      </w:pPr>
      <w:r w:rsidRPr="000B668F">
        <w:rPr>
          <w:rFonts w:eastAsia="Times New Roman" w:cstheme="minorHAnsi"/>
        </w:rPr>
        <w:t>Quarterly Reports </w:t>
      </w:r>
    </w:p>
    <w:p w:rsidR="00037A4F" w:rsidP="000B668F" w14:paraId="51490118" w14:textId="2091F494">
      <w:pPr>
        <w:pStyle w:val="ListParagraph"/>
        <w:numPr>
          <w:ilvl w:val="3"/>
          <w:numId w:val="46"/>
        </w:numPr>
        <w:spacing w:after="0" w:line="276" w:lineRule="auto"/>
        <w:textAlignment w:val="baseline"/>
        <w:rPr>
          <w:rFonts w:eastAsia="Times New Roman" w:cstheme="minorHAnsi"/>
        </w:rPr>
      </w:pPr>
      <w:r w:rsidRPr="000B668F">
        <w:rPr>
          <w:rFonts w:eastAsia="Times New Roman" w:cstheme="minorHAnsi"/>
        </w:rPr>
        <w:t>Tasks performed by utilities in preparing quarterly reports include</w:t>
      </w:r>
      <w:r w:rsidRPr="000B668F">
        <w:rPr>
          <w:rFonts w:eastAsia="Times New Roman" w:cstheme="minorHAnsi"/>
        </w:rPr>
        <w:t>:  (</w:t>
      </w:r>
      <w:r w:rsidRPr="000B668F">
        <w:rPr>
          <w:rFonts w:eastAsia="Times New Roman" w:cstheme="minorHAnsi"/>
        </w:rPr>
        <w:t xml:space="preserve">1) assuring the quality of the data, (2) preparing the quarterly report, (3) revising the monitoring plan, if necessary, (4) preparation of hard copy documentation accompanying the quarterly reports, and (5) managerial review. </w:t>
      </w:r>
    </w:p>
    <w:p w:rsidR="00037A4F" w:rsidRPr="00743D0D" w:rsidP="00037A4F" w14:paraId="0FE1511C" w14:textId="77777777">
      <w:pPr>
        <w:pStyle w:val="ListParagraph"/>
        <w:numPr>
          <w:ilvl w:val="2"/>
          <w:numId w:val="46"/>
        </w:numPr>
        <w:spacing w:after="0" w:line="276" w:lineRule="auto"/>
        <w:textAlignment w:val="baseline"/>
        <w:rPr>
          <w:rFonts w:eastAsia="Times New Roman" w:cstheme="minorHAnsi"/>
        </w:rPr>
      </w:pPr>
      <w:r w:rsidRPr="00743D0D">
        <w:rPr>
          <w:rFonts w:eastAsia="Times New Roman" w:cstheme="minorHAnsi"/>
        </w:rPr>
        <w:t>Estimating the Respondent Universe and Total Burden and Costs </w:t>
      </w:r>
    </w:p>
    <w:p w:rsidR="00057F84" w:rsidRPr="00743D0D" w:rsidP="00037A4F" w14:paraId="36D2277C" w14:textId="7FD233EF">
      <w:pPr>
        <w:pStyle w:val="ListParagraph"/>
        <w:numPr>
          <w:ilvl w:val="3"/>
          <w:numId w:val="46"/>
        </w:numPr>
        <w:spacing w:after="0" w:line="276" w:lineRule="auto"/>
        <w:textAlignment w:val="baseline"/>
        <w:rPr>
          <w:rFonts w:eastAsia="Times New Roman" w:cstheme="minorHAnsi"/>
        </w:rPr>
      </w:pPr>
      <w:r w:rsidRPr="00743D0D">
        <w:rPr>
          <w:rFonts w:eastAsia="Times New Roman" w:cstheme="minorHAnsi"/>
        </w:rPr>
        <w:t xml:space="preserve">EPA estimates </w:t>
      </w:r>
      <w:r w:rsidRPr="00743D0D" w:rsidR="00BE585F">
        <w:rPr>
          <w:rFonts w:eastAsia="Times New Roman" w:cstheme="minorHAnsi"/>
        </w:rPr>
        <w:t>for the time period covered by this ICR:</w:t>
      </w:r>
      <w:r w:rsidRPr="00743D0D">
        <w:rPr>
          <w:rFonts w:eastAsia="Times New Roman" w:cstheme="minorHAnsi"/>
        </w:rPr>
        <w:t>  (a) 1,1</w:t>
      </w:r>
      <w:r w:rsidRPr="00743D0D" w:rsidR="00BE585F">
        <w:rPr>
          <w:rFonts w:eastAsia="Times New Roman" w:cstheme="minorHAnsi"/>
        </w:rPr>
        <w:t>27</w:t>
      </w:r>
      <w:r w:rsidRPr="00743D0D">
        <w:rPr>
          <w:rFonts w:eastAsia="Times New Roman" w:cstheme="minorHAnsi"/>
        </w:rPr>
        <w:t xml:space="preserve"> sources will review instructions and requirements; (b) </w:t>
      </w:r>
      <w:r w:rsidRPr="00743D0D" w:rsidR="00C12EE8">
        <w:rPr>
          <w:rFonts w:eastAsia="Times New Roman" w:cstheme="minorHAnsi"/>
        </w:rPr>
        <w:t>1,075</w:t>
      </w:r>
      <w:r w:rsidRPr="00743D0D">
        <w:rPr>
          <w:rFonts w:eastAsia="Times New Roman" w:cstheme="minorHAnsi"/>
        </w:rPr>
        <w:t xml:space="preserve"> sources (this number excludes sources with only low mass emissions units and new units) will reprogram and debug DAHS computer software; (c) </w:t>
      </w:r>
      <w:r w:rsidRPr="00743D0D" w:rsidR="00212189">
        <w:rPr>
          <w:rFonts w:eastAsia="Times New Roman" w:cstheme="minorHAnsi"/>
        </w:rPr>
        <w:t>3,093</w:t>
      </w:r>
      <w:r w:rsidRPr="00743D0D">
        <w:rPr>
          <w:rFonts w:eastAsia="Times New Roman" w:cstheme="minorHAnsi"/>
        </w:rPr>
        <w:t xml:space="preserve"> units will submit quarterly reports (including </w:t>
      </w:r>
      <w:r w:rsidRPr="00743D0D" w:rsidR="00212189">
        <w:rPr>
          <w:rFonts w:eastAsia="Times New Roman" w:cstheme="minorHAnsi"/>
        </w:rPr>
        <w:t>150</w:t>
      </w:r>
      <w:r w:rsidRPr="00743D0D">
        <w:rPr>
          <w:rFonts w:eastAsia="Times New Roman" w:cstheme="minorHAnsi"/>
        </w:rPr>
        <w:t xml:space="preserve"> units using the LME methodology that submit simpler reports); and (d) </w:t>
      </w:r>
      <w:r w:rsidRPr="00743D0D" w:rsidR="009F1B67">
        <w:rPr>
          <w:rFonts w:eastAsia="Times New Roman" w:cstheme="minorHAnsi"/>
        </w:rPr>
        <w:t>3,243</w:t>
      </w:r>
      <w:r w:rsidRPr="00743D0D">
        <w:rPr>
          <w:rFonts w:eastAsia="Times New Roman" w:cstheme="minorHAnsi"/>
        </w:rPr>
        <w:t xml:space="preserve"> units will respond to EPA generated error messages (of which about </w:t>
      </w:r>
      <w:r w:rsidRPr="00743D0D" w:rsidR="009F1B67">
        <w:rPr>
          <w:rFonts w:eastAsia="Times New Roman" w:cstheme="minorHAnsi"/>
        </w:rPr>
        <w:t>five</w:t>
      </w:r>
      <w:r w:rsidRPr="00743D0D">
        <w:rPr>
          <w:rFonts w:eastAsia="Times New Roman" w:cstheme="minorHAnsi"/>
        </w:rPr>
        <w:t xml:space="preserve"> units will also respond to EPA audit activities), and perform QA testing and maintenance (units using the LME methodology are excluded from these activities).  EPA estimates that approximately </w:t>
      </w:r>
      <w:r w:rsidRPr="00743D0D" w:rsidR="0052328C">
        <w:rPr>
          <w:rFonts w:eastAsia="Times New Roman" w:cstheme="minorHAnsi"/>
        </w:rPr>
        <w:t>648</w:t>
      </w:r>
      <w:r w:rsidRPr="00743D0D">
        <w:rPr>
          <w:rFonts w:eastAsia="Times New Roman" w:cstheme="minorHAnsi"/>
        </w:rPr>
        <w:t xml:space="preserve"> units will recertify annually. </w:t>
      </w:r>
      <w:r w:rsidR="00B60B84">
        <w:rPr>
          <w:rFonts w:eastAsia="Times New Roman" w:cstheme="minorHAnsi"/>
        </w:rPr>
        <w:t xml:space="preserve">EPA </w:t>
      </w:r>
      <w:r w:rsidR="00027C4B">
        <w:rPr>
          <w:rFonts w:eastAsia="Times New Roman" w:cstheme="minorHAnsi"/>
        </w:rPr>
        <w:t>es</w:t>
      </w:r>
      <w:r w:rsidR="00CF472E">
        <w:rPr>
          <w:rFonts w:eastAsia="Times New Roman" w:cstheme="minorHAnsi"/>
        </w:rPr>
        <w:t xml:space="preserve">timates the annual cost of purchasing </w:t>
      </w:r>
      <w:r w:rsidR="00F173E7">
        <w:rPr>
          <w:rFonts w:eastAsia="Times New Roman" w:cstheme="minorHAnsi"/>
        </w:rPr>
        <w:t xml:space="preserve">EPA protocol gases </w:t>
      </w:r>
      <w:r w:rsidR="00D97D70">
        <w:rPr>
          <w:rFonts w:eastAsia="Times New Roman" w:cstheme="minorHAnsi"/>
        </w:rPr>
        <w:t>at $43,392, which are required for</w:t>
      </w:r>
      <w:r w:rsidR="00CF472E">
        <w:rPr>
          <w:rFonts w:eastAsia="Times New Roman" w:cstheme="minorHAnsi"/>
        </w:rPr>
        <w:t xml:space="preserve"> </w:t>
      </w:r>
      <w:r w:rsidR="002409A3">
        <w:rPr>
          <w:rFonts w:eastAsia="Times New Roman" w:cstheme="minorHAnsi"/>
        </w:rPr>
        <w:t xml:space="preserve">calibration of system components. </w:t>
      </w:r>
      <w:r w:rsidRPr="00743D0D">
        <w:rPr>
          <w:rFonts w:eastAsia="Times New Roman" w:cstheme="minorHAnsi"/>
        </w:rPr>
        <w:t>Table 1</w:t>
      </w:r>
      <w:r w:rsidRPr="00743D0D" w:rsidR="00156055">
        <w:rPr>
          <w:rFonts w:eastAsia="Times New Roman" w:cstheme="minorHAnsi"/>
        </w:rPr>
        <w:t>2</w:t>
      </w:r>
      <w:r w:rsidRPr="00743D0D">
        <w:rPr>
          <w:rFonts w:eastAsia="Times New Roman" w:cstheme="minorHAnsi"/>
        </w:rPr>
        <w:t>.2 shows the total burden and total cost based on this respondent universe.  </w:t>
      </w:r>
    </w:p>
    <w:p w:rsidR="00057F84" w:rsidRPr="00057F84" w:rsidP="00057F84" w14:paraId="37419A30" w14:textId="77777777">
      <w:pPr>
        <w:spacing w:after="0" w:line="276" w:lineRule="auto"/>
        <w:ind w:firstLine="720"/>
        <w:textAlignment w:val="baseline"/>
        <w:rPr>
          <w:rFonts w:eastAsia="Times New Roman" w:cstheme="minorHAnsi"/>
        </w:rPr>
      </w:pPr>
    </w:p>
    <w:p w:rsidR="00057F84" w:rsidP="00057F84" w14:paraId="5A445D3D" w14:textId="77777777">
      <w:pPr>
        <w:spacing w:after="0" w:line="276" w:lineRule="auto"/>
        <w:textAlignment w:val="baseline"/>
        <w:rPr>
          <w:rFonts w:eastAsia="Times New Roman" w:cstheme="minorHAnsi"/>
        </w:rPr>
      </w:pPr>
    </w:p>
    <w:p w:rsidR="00037A4F" w:rsidRPr="00057F84" w:rsidP="00057F84" w14:paraId="50AD45C7" w14:textId="77777777">
      <w:pPr>
        <w:spacing w:after="0" w:line="276" w:lineRule="auto"/>
        <w:textAlignment w:val="baseline"/>
        <w:rPr>
          <w:rFonts w:eastAsia="Times New Roman" w:cstheme="minorHAnsi"/>
        </w:rPr>
      </w:pPr>
    </w:p>
    <w:p w:rsidR="00057F84" w:rsidRPr="0096488A" w:rsidP="00057F84" w14:paraId="0BB9C069" w14:textId="0FDBCD5E">
      <w:pPr>
        <w:spacing w:after="0" w:line="276" w:lineRule="auto"/>
        <w:jc w:val="center"/>
        <w:textAlignment w:val="baseline"/>
        <w:rPr>
          <w:rFonts w:eastAsia="Times New Roman" w:cstheme="minorHAnsi"/>
        </w:rPr>
      </w:pPr>
      <w:r w:rsidRPr="00E76E44">
        <w:rPr>
          <w:rFonts w:eastAsia="Times New Roman" w:cstheme="minorHAnsi"/>
        </w:rPr>
        <w:t>Table 1</w:t>
      </w:r>
      <w:r w:rsidRPr="00E76E44" w:rsidR="00156055">
        <w:rPr>
          <w:rFonts w:eastAsia="Times New Roman" w:cstheme="minorHAnsi"/>
        </w:rPr>
        <w:t>2</w:t>
      </w:r>
      <w:r w:rsidRPr="00E76E44">
        <w:rPr>
          <w:rFonts w:eastAsia="Times New Roman" w:cstheme="minorHAnsi"/>
        </w:rPr>
        <w:t>.</w:t>
      </w:r>
      <w:r w:rsidRPr="00E76E44" w:rsidR="00AF32C8">
        <w:rPr>
          <w:rFonts w:eastAsia="Times New Roman" w:cstheme="minorHAnsi"/>
        </w:rPr>
        <w:t>3</w:t>
      </w:r>
      <w:r w:rsidRPr="00E76E44">
        <w:rPr>
          <w:rFonts w:eastAsia="Times New Roman" w:cstheme="minorHAnsi"/>
        </w:rPr>
        <w:t>: Respon</w:t>
      </w:r>
      <w:r w:rsidRPr="00E76E44" w:rsidR="00C06CE5">
        <w:rPr>
          <w:rFonts w:eastAsia="Times New Roman" w:cstheme="minorHAnsi"/>
        </w:rPr>
        <w:t>d</w:t>
      </w:r>
      <w:r w:rsidRPr="00E76E44">
        <w:rPr>
          <w:rFonts w:eastAsia="Times New Roman" w:cstheme="minorHAnsi"/>
        </w:rPr>
        <w:t>ent Burden/Cost Estimates for Emissions Monitoring</w:t>
      </w:r>
    </w:p>
    <w:tbl>
      <w:tblPr>
        <w:tblW w:w="9075"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2"/>
        <w:gridCol w:w="1084"/>
        <w:gridCol w:w="992"/>
        <w:gridCol w:w="1174"/>
        <w:gridCol w:w="870"/>
        <w:gridCol w:w="1010"/>
        <w:gridCol w:w="1021"/>
        <w:gridCol w:w="1292"/>
        <w:gridCol w:w="60"/>
        <w:gridCol w:w="40"/>
      </w:tblGrid>
      <w:tr w14:paraId="3BA3DF55" w14:textId="77777777" w:rsidTr="00AE276C">
        <w:tblPrEx>
          <w:tblW w:w="9075"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40" w:type="dxa"/>
          <w:trHeight w:val="282"/>
        </w:trPr>
        <w:tc>
          <w:tcPr>
            <w:tcW w:w="1532" w:type="dxa"/>
            <w:tcBorders>
              <w:top w:val="double" w:sz="6" w:space="0" w:color="auto"/>
              <w:left w:val="double" w:sz="6" w:space="0" w:color="auto"/>
              <w:bottom w:val="single" w:sz="6" w:space="0" w:color="000000"/>
              <w:right w:val="single" w:sz="6" w:space="0" w:color="auto"/>
            </w:tcBorders>
            <w:shd w:val="clear" w:color="auto" w:fill="E5E5E5"/>
            <w:vAlign w:val="center"/>
            <w:hideMark/>
          </w:tcPr>
          <w:p w:rsidR="00057F84" w:rsidRPr="00057F84" w:rsidP="00057F84" w14:paraId="4368657F"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Task</w:t>
            </w:r>
            <w:r w:rsidRPr="00057F84">
              <w:rPr>
                <w:rFonts w:eastAsia="Times New Roman" w:cstheme="minorHAnsi"/>
                <w:color w:val="000000"/>
                <w:sz w:val="16"/>
                <w:szCs w:val="16"/>
              </w:rPr>
              <w:t> </w:t>
            </w:r>
          </w:p>
        </w:tc>
        <w:tc>
          <w:tcPr>
            <w:tcW w:w="1084" w:type="dxa"/>
            <w:tcBorders>
              <w:top w:val="double" w:sz="6" w:space="0" w:color="auto"/>
              <w:left w:val="single" w:sz="6" w:space="0" w:color="auto"/>
              <w:bottom w:val="single" w:sz="6" w:space="0" w:color="000000"/>
              <w:right w:val="single" w:sz="6" w:space="0" w:color="auto"/>
            </w:tcBorders>
            <w:shd w:val="clear" w:color="auto" w:fill="E5E5E5"/>
            <w:vAlign w:val="center"/>
            <w:hideMark/>
          </w:tcPr>
          <w:p w:rsidR="00057F84" w:rsidRPr="00057F84" w:rsidP="00057F84" w14:paraId="170A8CD6" w14:textId="2BE40D78">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Mgr. $1</w:t>
            </w:r>
            <w:r w:rsidR="0069033F">
              <w:rPr>
                <w:rFonts w:eastAsia="Times New Roman" w:cstheme="minorHAnsi"/>
                <w:b/>
                <w:bCs/>
                <w:color w:val="000000"/>
                <w:sz w:val="16"/>
                <w:szCs w:val="16"/>
              </w:rPr>
              <w:t>23.48</w:t>
            </w:r>
            <w:r w:rsidRPr="00057F84">
              <w:rPr>
                <w:rFonts w:eastAsia="Times New Roman" w:cstheme="minorHAnsi"/>
                <w:b/>
                <w:bCs/>
                <w:color w:val="000000"/>
                <w:sz w:val="16"/>
                <w:szCs w:val="16"/>
              </w:rPr>
              <w:t>/Hour</w:t>
            </w:r>
            <w:r w:rsidRPr="00057F84">
              <w:rPr>
                <w:rFonts w:eastAsia="Times New Roman" w:cstheme="minorHAnsi"/>
                <w:color w:val="000000"/>
                <w:sz w:val="16"/>
                <w:szCs w:val="16"/>
              </w:rPr>
              <w:t> </w:t>
            </w:r>
          </w:p>
        </w:tc>
        <w:tc>
          <w:tcPr>
            <w:tcW w:w="992" w:type="dxa"/>
            <w:tcBorders>
              <w:top w:val="double" w:sz="6" w:space="0" w:color="auto"/>
              <w:left w:val="single" w:sz="6" w:space="0" w:color="auto"/>
              <w:bottom w:val="single" w:sz="6" w:space="0" w:color="000000"/>
              <w:right w:val="single" w:sz="6" w:space="0" w:color="auto"/>
            </w:tcBorders>
            <w:shd w:val="clear" w:color="auto" w:fill="E5E5E5"/>
            <w:vAlign w:val="center"/>
            <w:hideMark/>
          </w:tcPr>
          <w:p w:rsidR="00057F84" w:rsidRPr="00057F84" w:rsidP="00057F84" w14:paraId="0AC99D1A" w14:textId="66E56D63">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Tech. $</w:t>
            </w:r>
            <w:r w:rsidR="00B30148">
              <w:rPr>
                <w:rFonts w:eastAsia="Times New Roman" w:cstheme="minorHAnsi"/>
                <w:b/>
                <w:bCs/>
                <w:color w:val="000000"/>
                <w:sz w:val="16"/>
                <w:szCs w:val="16"/>
              </w:rPr>
              <w:t>88.80</w:t>
            </w:r>
            <w:r w:rsidRPr="00057F84">
              <w:rPr>
                <w:rFonts w:eastAsia="Times New Roman" w:cstheme="minorHAnsi"/>
                <w:b/>
                <w:bCs/>
                <w:color w:val="000000"/>
                <w:sz w:val="16"/>
                <w:szCs w:val="16"/>
              </w:rPr>
              <w:t>/Hour</w:t>
            </w:r>
            <w:r w:rsidRPr="00057F84">
              <w:rPr>
                <w:rFonts w:eastAsia="Times New Roman" w:cstheme="minorHAnsi"/>
                <w:color w:val="000000"/>
                <w:sz w:val="16"/>
                <w:szCs w:val="16"/>
              </w:rPr>
              <w:t> </w:t>
            </w:r>
          </w:p>
        </w:tc>
        <w:tc>
          <w:tcPr>
            <w:tcW w:w="1174" w:type="dxa"/>
            <w:tcBorders>
              <w:top w:val="double" w:sz="6" w:space="0" w:color="auto"/>
              <w:left w:val="single" w:sz="6" w:space="0" w:color="auto"/>
              <w:bottom w:val="single" w:sz="6" w:space="0" w:color="000000"/>
              <w:right w:val="single" w:sz="6" w:space="0" w:color="auto"/>
            </w:tcBorders>
            <w:shd w:val="clear" w:color="auto" w:fill="E5E5E5"/>
            <w:vAlign w:val="center"/>
            <w:hideMark/>
          </w:tcPr>
          <w:p w:rsidR="00057F84" w:rsidRPr="00057F84" w:rsidP="00057F84" w14:paraId="739C9A20"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Respondent Hours/Year</w:t>
            </w:r>
            <w:r w:rsidRPr="00057F84">
              <w:rPr>
                <w:rFonts w:eastAsia="Times New Roman" w:cstheme="minorHAnsi"/>
                <w:color w:val="000000"/>
                <w:sz w:val="16"/>
                <w:szCs w:val="16"/>
              </w:rPr>
              <w:t> </w:t>
            </w:r>
          </w:p>
        </w:tc>
        <w:tc>
          <w:tcPr>
            <w:tcW w:w="870" w:type="dxa"/>
            <w:tcBorders>
              <w:top w:val="double" w:sz="6" w:space="0" w:color="auto"/>
              <w:left w:val="single" w:sz="6" w:space="0" w:color="auto"/>
              <w:bottom w:val="single" w:sz="6" w:space="0" w:color="000000"/>
              <w:right w:val="single" w:sz="6" w:space="0" w:color="auto"/>
            </w:tcBorders>
            <w:shd w:val="clear" w:color="auto" w:fill="E5E5E5"/>
            <w:vAlign w:val="center"/>
            <w:hideMark/>
          </w:tcPr>
          <w:p w:rsidR="00057F84" w:rsidRPr="00057F84" w:rsidP="00057F84" w14:paraId="59D1B9DB"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Labor Cost/Year</w:t>
            </w:r>
            <w:r w:rsidRPr="00057F84">
              <w:rPr>
                <w:rFonts w:eastAsia="Times New Roman" w:cstheme="minorHAnsi"/>
                <w:color w:val="000000"/>
                <w:sz w:val="16"/>
                <w:szCs w:val="16"/>
              </w:rPr>
              <w:t> </w:t>
            </w:r>
          </w:p>
        </w:tc>
        <w:tc>
          <w:tcPr>
            <w:tcW w:w="1010" w:type="dxa"/>
            <w:tcBorders>
              <w:top w:val="double" w:sz="6" w:space="0" w:color="auto"/>
              <w:left w:val="single" w:sz="6" w:space="0" w:color="auto"/>
              <w:bottom w:val="single" w:sz="6" w:space="0" w:color="000000"/>
              <w:right w:val="single" w:sz="6" w:space="0" w:color="auto"/>
            </w:tcBorders>
            <w:shd w:val="clear" w:color="auto" w:fill="E5E5E5"/>
            <w:vAlign w:val="center"/>
            <w:hideMark/>
          </w:tcPr>
          <w:p w:rsidR="00057F84" w:rsidRPr="00057F84" w:rsidP="00057F84" w14:paraId="070FC9C7"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No. of Respondents</w:t>
            </w:r>
            <w:r w:rsidRPr="00057F84">
              <w:rPr>
                <w:rFonts w:eastAsia="Times New Roman" w:cstheme="minorHAnsi"/>
                <w:color w:val="000000"/>
                <w:sz w:val="16"/>
                <w:szCs w:val="16"/>
              </w:rPr>
              <w:t> </w:t>
            </w:r>
          </w:p>
        </w:tc>
        <w:tc>
          <w:tcPr>
            <w:tcW w:w="1021" w:type="dxa"/>
            <w:tcBorders>
              <w:top w:val="double" w:sz="6" w:space="0" w:color="auto"/>
              <w:left w:val="single" w:sz="6" w:space="0" w:color="auto"/>
              <w:bottom w:val="single" w:sz="6" w:space="0" w:color="000000"/>
              <w:right w:val="single" w:sz="6" w:space="0" w:color="auto"/>
            </w:tcBorders>
            <w:shd w:val="clear" w:color="auto" w:fill="E5E5E5"/>
            <w:vAlign w:val="center"/>
            <w:hideMark/>
          </w:tcPr>
          <w:p w:rsidR="00057F84" w:rsidRPr="00057F84" w:rsidP="00057F84" w14:paraId="03BC9EA1"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Total Hours/Year</w:t>
            </w:r>
            <w:r w:rsidRPr="00057F84">
              <w:rPr>
                <w:rFonts w:eastAsia="Times New Roman" w:cstheme="minorHAnsi"/>
                <w:color w:val="000000"/>
                <w:sz w:val="16"/>
                <w:szCs w:val="16"/>
              </w:rPr>
              <w:t> </w:t>
            </w:r>
          </w:p>
        </w:tc>
        <w:tc>
          <w:tcPr>
            <w:tcW w:w="1292" w:type="dxa"/>
            <w:tcBorders>
              <w:top w:val="double" w:sz="6" w:space="0" w:color="auto"/>
              <w:left w:val="single" w:sz="6" w:space="0" w:color="auto"/>
              <w:bottom w:val="single" w:sz="6" w:space="0" w:color="000000"/>
              <w:right w:val="double" w:sz="6" w:space="0" w:color="auto"/>
            </w:tcBorders>
            <w:shd w:val="clear" w:color="auto" w:fill="E5E5E5"/>
            <w:vAlign w:val="center"/>
            <w:hideMark/>
          </w:tcPr>
          <w:p w:rsidR="00057F84" w:rsidRPr="00057F84" w:rsidP="00057F84" w14:paraId="761E36F7"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Total Cost/Year</w:t>
            </w:r>
            <w:r w:rsidRPr="00057F84">
              <w:rPr>
                <w:rFonts w:eastAsia="Times New Roman" w:cstheme="minorHAnsi"/>
                <w:color w:val="000000"/>
                <w:sz w:val="16"/>
                <w:szCs w:val="16"/>
              </w:rPr>
              <w:t> </w:t>
            </w:r>
          </w:p>
        </w:tc>
        <w:tc>
          <w:tcPr>
            <w:tcW w:w="60" w:type="dxa"/>
            <w:tcBorders>
              <w:top w:val="outset" w:sz="6" w:space="0" w:color="auto"/>
              <w:left w:val="outset" w:sz="6" w:space="0" w:color="auto"/>
              <w:bottom w:val="outset" w:sz="6" w:space="0" w:color="auto"/>
              <w:right w:val="outset" w:sz="6" w:space="0" w:color="auto"/>
            </w:tcBorders>
            <w:shd w:val="clear" w:color="auto" w:fill="auto"/>
            <w:hideMark/>
          </w:tcPr>
          <w:p w:rsidR="00057F84" w:rsidRPr="00057F84" w:rsidP="00057F84" w14:paraId="002F8F94" w14:textId="77777777">
            <w:pPr>
              <w:spacing w:after="0" w:line="276" w:lineRule="auto"/>
              <w:rPr>
                <w:rFonts w:eastAsia="Times New Roman" w:cstheme="minorHAnsi"/>
                <w:sz w:val="16"/>
                <w:szCs w:val="16"/>
              </w:rPr>
            </w:pPr>
            <w:r w:rsidRPr="00057F84">
              <w:rPr>
                <w:rFonts w:eastAsia="Times New Roman" w:cstheme="minorHAnsi"/>
                <w:sz w:val="16"/>
                <w:szCs w:val="16"/>
              </w:rPr>
              <w:t> </w:t>
            </w:r>
          </w:p>
        </w:tc>
      </w:tr>
      <w:tr w14:paraId="7ED18027" w14:textId="77777777" w:rsidTr="00AE276C">
        <w:tblPrEx>
          <w:tblW w:w="9075" w:type="dxa"/>
          <w:tblInd w:w="-23" w:type="dxa"/>
          <w:tblCellMar>
            <w:left w:w="0" w:type="dxa"/>
            <w:right w:w="0" w:type="dxa"/>
          </w:tblCellMar>
          <w:tblLook w:val="04A0"/>
        </w:tblPrEx>
        <w:trPr>
          <w:gridAfter w:val="1"/>
          <w:wAfter w:w="40" w:type="dxa"/>
          <w:trHeight w:val="479"/>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16470D1E"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1.  Review Instructions and Requirements.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3ECEF6EA"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24E33FA2"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3D0CEE69"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8 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342313B4" w14:textId="0AA26308">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884A74">
              <w:rPr>
                <w:rFonts w:eastAsia="Times New Roman" w:cstheme="minorHAnsi"/>
                <w:color w:val="000000"/>
                <w:sz w:val="16"/>
                <w:szCs w:val="16"/>
              </w:rPr>
              <w:t>849</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40A19C68" w14:textId="12BDEB3F">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1,1</w:t>
            </w:r>
            <w:r w:rsidR="00884A74">
              <w:rPr>
                <w:rFonts w:eastAsia="Times New Roman" w:cstheme="minorHAnsi"/>
                <w:color w:val="000000"/>
                <w:sz w:val="16"/>
                <w:szCs w:val="16"/>
              </w:rPr>
              <w:t>27</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12FA2271" w14:textId="1AF6925A">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9,</w:t>
            </w:r>
            <w:r w:rsidR="002D338A">
              <w:rPr>
                <w:rFonts w:eastAsia="Times New Roman" w:cstheme="minorHAnsi"/>
                <w:color w:val="000000"/>
                <w:sz w:val="16"/>
                <w:szCs w:val="16"/>
              </w:rPr>
              <w:t>016</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210808AB" w14:textId="00593E99">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FF499D">
              <w:rPr>
                <w:rFonts w:eastAsia="Times New Roman" w:cstheme="minorHAnsi"/>
                <w:color w:val="000000"/>
                <w:sz w:val="16"/>
                <w:szCs w:val="16"/>
              </w:rPr>
              <w:t>956,823</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4C4143C3"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228FA2F8" w14:textId="77777777" w:rsidTr="00AE276C">
        <w:tblPrEx>
          <w:tblW w:w="9075" w:type="dxa"/>
          <w:tblInd w:w="-23" w:type="dxa"/>
          <w:tblCellMar>
            <w:left w:w="0" w:type="dxa"/>
            <w:right w:w="0" w:type="dxa"/>
          </w:tblCellMar>
          <w:tblLook w:val="04A0"/>
        </w:tblPrEx>
        <w:trPr>
          <w:gridAfter w:val="1"/>
          <w:wAfter w:w="40" w:type="dxa"/>
          <w:trHeight w:val="719"/>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462E6316"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2.  Respond to EPA Generated Error Messages, EPA, and Permitting Authority Field Audits.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7C9C13D6"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6 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0AB1F893"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18 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6899CE61"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24 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6F8F5B2B" w14:textId="544E0A8F">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$2,</w:t>
            </w:r>
            <w:r w:rsidR="00FF499D">
              <w:rPr>
                <w:rFonts w:eastAsia="Times New Roman" w:cstheme="minorHAnsi"/>
                <w:color w:val="000000"/>
                <w:sz w:val="16"/>
                <w:szCs w:val="16"/>
              </w:rPr>
              <w:t>339</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40B2651F" w14:textId="50F7F63A">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w:t>
            </w:r>
            <w:r w:rsidR="00FF499D">
              <w:rPr>
                <w:rFonts w:eastAsia="Times New Roman" w:cstheme="minorHAnsi"/>
                <w:color w:val="000000"/>
                <w:sz w:val="16"/>
                <w:szCs w:val="16"/>
              </w:rPr>
              <w:t>243</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16DE26D0" w14:textId="53ADE696">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77,832</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6383B727" w14:textId="5173E853">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7D2A5F">
              <w:rPr>
                <w:rFonts w:eastAsia="Times New Roman" w:cstheme="minorHAnsi"/>
                <w:color w:val="000000"/>
                <w:sz w:val="16"/>
                <w:szCs w:val="16"/>
              </w:rPr>
              <w:t>7,585,377</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4F1638D8"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474E253E"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332D0FCF" w14:textId="3E299779">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3</w:t>
            </w:r>
            <w:r w:rsidRPr="00057F84">
              <w:rPr>
                <w:rFonts w:eastAsia="Times New Roman" w:cstheme="minorHAnsi"/>
                <w:color w:val="000000"/>
                <w:sz w:val="16"/>
                <w:szCs w:val="16"/>
              </w:rPr>
              <w:t>.  DAHS Debugging.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62C44992"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1F4749EC"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12 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0CEB9B15"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16 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45A93EE2" w14:textId="062B1F7C">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w:t>
            </w:r>
            <w:r w:rsidR="005C03C5">
              <w:rPr>
                <w:rFonts w:eastAsia="Times New Roman" w:cstheme="minorHAnsi"/>
                <w:color w:val="000000"/>
                <w:sz w:val="16"/>
                <w:szCs w:val="16"/>
              </w:rPr>
              <w:t>560</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16B059C5" w14:textId="3F63969D">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w:t>
            </w:r>
            <w:r w:rsidR="005C03C5">
              <w:rPr>
                <w:rFonts w:eastAsia="Times New Roman" w:cstheme="minorHAnsi"/>
                <w:color w:val="000000"/>
                <w:sz w:val="16"/>
                <w:szCs w:val="16"/>
              </w:rPr>
              <w:t>075</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0670A9EB" w14:textId="6A95D236">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17,200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2B335D8F" w14:textId="10AE3EE8">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B96E03">
              <w:rPr>
                <w:rFonts w:eastAsia="Times New Roman" w:cstheme="minorHAnsi"/>
                <w:color w:val="000000"/>
                <w:sz w:val="16"/>
                <w:szCs w:val="16"/>
              </w:rPr>
              <w:t>1,677,000</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6C9911D6"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09D80411"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1BF7A7F2"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4.  New Unit Monitoring Plans.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06F2C263"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10 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2A1810C8"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10 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784880B3"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20 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107E4E23" w14:textId="07B0033B">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B96E03">
              <w:rPr>
                <w:rFonts w:eastAsia="Times New Roman" w:cstheme="minorHAnsi"/>
                <w:color w:val="000000"/>
                <w:sz w:val="16"/>
                <w:szCs w:val="16"/>
              </w:rPr>
              <w:t>2,123</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454D0FDB" w14:textId="0678A3B6">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w:t>
            </w:r>
            <w:r w:rsidR="00B96E03">
              <w:rPr>
                <w:rFonts w:eastAsia="Times New Roman" w:cstheme="minorHAnsi"/>
                <w:color w:val="000000"/>
                <w:sz w:val="16"/>
                <w:szCs w:val="16"/>
              </w:rPr>
              <w:t>2</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386619FB" w14:textId="5D2D3636">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6</w:t>
            </w:r>
            <w:r w:rsidR="00A31733">
              <w:rPr>
                <w:rFonts w:eastAsia="Times New Roman" w:cstheme="minorHAnsi"/>
                <w:color w:val="000000"/>
                <w:sz w:val="16"/>
                <w:szCs w:val="16"/>
              </w:rPr>
              <w:t>40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3FFF7F5C" w14:textId="2A859F31">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A31733">
              <w:rPr>
                <w:rFonts w:eastAsia="Times New Roman" w:cstheme="minorHAnsi"/>
                <w:color w:val="000000"/>
                <w:sz w:val="16"/>
                <w:szCs w:val="16"/>
              </w:rPr>
              <w:t>67,936</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47C5C9B5"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2A335F2E"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3F20B573"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5.  Recertify Monitors.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64DDDC3C"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38 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2E56D35F"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12 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53F7BABA"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50 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61C35BE4" w14:textId="6338F204">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D51D97">
              <w:rPr>
                <w:rFonts w:eastAsia="Times New Roman" w:cstheme="minorHAnsi"/>
                <w:color w:val="000000"/>
                <w:sz w:val="16"/>
                <w:szCs w:val="16"/>
              </w:rPr>
              <w:t>5,758</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3B07A943" w14:textId="1AA96DC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6</w:t>
            </w:r>
            <w:r w:rsidR="00D51D97">
              <w:rPr>
                <w:rFonts w:eastAsia="Times New Roman" w:cstheme="minorHAnsi"/>
                <w:color w:val="000000"/>
                <w:sz w:val="16"/>
                <w:szCs w:val="16"/>
              </w:rPr>
              <w:t>48</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2FF5339A" w14:textId="70E53B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w:t>
            </w:r>
            <w:r w:rsidR="00D51D97">
              <w:rPr>
                <w:rFonts w:eastAsia="Times New Roman" w:cstheme="minorHAnsi"/>
                <w:color w:val="000000"/>
                <w:sz w:val="16"/>
                <w:szCs w:val="16"/>
              </w:rPr>
              <w:t>2,400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6CC960A0" w14:textId="34B80B93">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6B61E5">
              <w:rPr>
                <w:rFonts w:eastAsia="Times New Roman" w:cstheme="minorHAnsi"/>
                <w:color w:val="000000"/>
                <w:sz w:val="16"/>
                <w:szCs w:val="16"/>
              </w:rPr>
              <w:t>3,731,184</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048CD77C"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6A4FCE32" w14:textId="77777777" w:rsidTr="00AE276C">
        <w:tblPrEx>
          <w:tblW w:w="9075" w:type="dxa"/>
          <w:tblInd w:w="-23" w:type="dxa"/>
          <w:tblCellMar>
            <w:left w:w="0" w:type="dxa"/>
            <w:right w:w="0" w:type="dxa"/>
          </w:tblCellMar>
          <w:tblLook w:val="04A0"/>
        </w:tblPrEx>
        <w:trPr>
          <w:gridAfter w:val="1"/>
          <w:wAfter w:w="40" w:type="dxa"/>
          <w:trHeight w:val="479"/>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0FD724DB"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6.  Startup/Capital Items and Perform QA Testing and Maintenance.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4BADA16D"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5F16B175"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04A2ADB3" w14:textId="750CC55B">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r w:rsidR="001250DA">
              <w:rPr>
                <w:rFonts w:eastAsia="Times New Roman" w:cstheme="minorHAnsi"/>
                <w:color w:val="000000"/>
                <w:sz w:val="16"/>
                <w:szCs w:val="16"/>
              </w:rPr>
              <w:t>0</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6FEE577C" w14:textId="1FE88011">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r w:rsidR="001250DA">
              <w:rPr>
                <w:rFonts w:eastAsia="Times New Roman" w:cstheme="minorHAnsi"/>
                <w:color w:val="000000"/>
                <w:sz w:val="16"/>
                <w:szCs w:val="16"/>
              </w:rPr>
              <w:t>$0</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22E23B4C"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5C09936C" w14:textId="77124832">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r w:rsidR="00E76E44">
              <w:rPr>
                <w:rFonts w:eastAsia="Times New Roman" w:cstheme="minorHAnsi"/>
                <w:color w:val="000000"/>
                <w:sz w:val="16"/>
                <w:szCs w:val="16"/>
              </w:rPr>
              <w:t>0</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766974A4" w14:textId="487FA2C5">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$0</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46ACB2AF"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2D0C6C98"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12A64037" w14:textId="77777777">
            <w:pPr>
              <w:spacing w:after="0" w:line="276" w:lineRule="auto"/>
              <w:ind w:firstLine="225"/>
              <w:textAlignment w:val="baseline"/>
              <w:rPr>
                <w:rFonts w:eastAsia="Times New Roman" w:cstheme="minorHAnsi"/>
                <w:sz w:val="16"/>
                <w:szCs w:val="16"/>
              </w:rPr>
            </w:pPr>
            <w:r w:rsidRPr="00057F84">
              <w:rPr>
                <w:rFonts w:eastAsia="Times New Roman" w:cstheme="minorHAnsi"/>
                <w:color w:val="000000"/>
                <w:sz w:val="16"/>
                <w:szCs w:val="16"/>
              </w:rPr>
              <w:t>(a) Model A (CEMS).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0EFA2E9D"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50 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2EDAEC17"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480 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1FA00AE5"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530 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59CEB32E" w14:textId="6AC492BF">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w:t>
            </w:r>
            <w:r w:rsidR="00F45008">
              <w:rPr>
                <w:rFonts w:eastAsia="Times New Roman" w:cstheme="minorHAnsi"/>
                <w:color w:val="000000"/>
                <w:sz w:val="16"/>
                <w:szCs w:val="16"/>
              </w:rPr>
              <w:t>8,798</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132566CE" w14:textId="123E9AFB">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460</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1CE5ABEE" w14:textId="06CC50C0">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243,800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32017AB1" w14:textId="3B341F5A">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92770D">
              <w:rPr>
                <w:rFonts w:eastAsia="Times New Roman" w:cstheme="minorHAnsi"/>
                <w:color w:val="000000"/>
                <w:sz w:val="16"/>
                <w:szCs w:val="16"/>
              </w:rPr>
              <w:t>22,447,080</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7DCC98BC"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656CC9CD"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50AEC647" w14:textId="77777777">
            <w:pPr>
              <w:spacing w:after="0" w:line="276" w:lineRule="auto"/>
              <w:ind w:firstLine="225"/>
              <w:textAlignment w:val="baseline"/>
              <w:rPr>
                <w:rFonts w:eastAsia="Times New Roman" w:cstheme="minorHAnsi"/>
                <w:sz w:val="16"/>
                <w:szCs w:val="16"/>
              </w:rPr>
            </w:pPr>
            <w:r w:rsidRPr="00057F84">
              <w:rPr>
                <w:rFonts w:eastAsia="Times New Roman" w:cstheme="minorHAnsi"/>
                <w:color w:val="000000"/>
                <w:sz w:val="16"/>
                <w:szCs w:val="16"/>
              </w:rPr>
              <w:t>(b) Model B (COMS).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5BF9816F"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0DE771E5"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171 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03090742"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171 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0C6810C6" w14:textId="7E386C02">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2919A7">
              <w:rPr>
                <w:rFonts w:eastAsia="Times New Roman" w:cstheme="minorHAnsi"/>
                <w:color w:val="000000"/>
                <w:sz w:val="16"/>
                <w:szCs w:val="16"/>
              </w:rPr>
              <w:t>15,185</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3DD4B456" w14:textId="55947705">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7</w:t>
            </w:r>
            <w:r w:rsidR="002919A7">
              <w:rPr>
                <w:rFonts w:eastAsia="Times New Roman" w:cstheme="minorHAnsi"/>
                <w:color w:val="000000"/>
                <w:sz w:val="16"/>
                <w:szCs w:val="16"/>
              </w:rPr>
              <w:t>29</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24171B77" w14:textId="3BA6E30B">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124,659</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25855E01" w14:textId="613FB80B">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92770D">
              <w:rPr>
                <w:rFonts w:eastAsia="Times New Roman" w:cstheme="minorHAnsi"/>
                <w:color w:val="000000"/>
                <w:sz w:val="16"/>
                <w:szCs w:val="16"/>
              </w:rPr>
              <w:t>11,069,</w:t>
            </w:r>
            <w:r w:rsidR="001E55ED">
              <w:rPr>
                <w:rFonts w:eastAsia="Times New Roman" w:cstheme="minorHAnsi"/>
                <w:color w:val="000000"/>
                <w:sz w:val="16"/>
                <w:szCs w:val="16"/>
              </w:rPr>
              <w:t>865</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08740191"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07F1BDBB" w14:textId="77777777" w:rsidTr="00AE276C">
        <w:tblPrEx>
          <w:tblW w:w="9075" w:type="dxa"/>
          <w:tblInd w:w="-23" w:type="dxa"/>
          <w:tblCellMar>
            <w:left w:w="0" w:type="dxa"/>
            <w:right w:w="0" w:type="dxa"/>
          </w:tblCellMar>
          <w:tblLook w:val="04A0"/>
        </w:tblPrEx>
        <w:trPr>
          <w:gridAfter w:val="1"/>
          <w:wAfter w:w="40" w:type="dxa"/>
          <w:trHeight w:val="282"/>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1986AB2C" w14:textId="77777777">
            <w:pPr>
              <w:spacing w:after="0" w:line="276" w:lineRule="auto"/>
              <w:ind w:firstLine="225"/>
              <w:textAlignment w:val="baseline"/>
              <w:rPr>
                <w:rFonts w:eastAsia="Times New Roman" w:cstheme="minorHAnsi"/>
                <w:sz w:val="16"/>
                <w:szCs w:val="16"/>
              </w:rPr>
            </w:pPr>
            <w:r w:rsidRPr="00057F84">
              <w:rPr>
                <w:rFonts w:eastAsia="Times New Roman" w:cstheme="minorHAnsi"/>
                <w:color w:val="000000"/>
                <w:sz w:val="16"/>
                <w:szCs w:val="16"/>
              </w:rPr>
              <w:t>(c) Model C (App D -- NO</w:t>
            </w:r>
            <w:r w:rsidRPr="00057F84">
              <w:rPr>
                <w:rFonts w:eastAsia="Times New Roman" w:cstheme="minorHAnsi"/>
                <w:color w:val="000000"/>
                <w:sz w:val="16"/>
                <w:szCs w:val="16"/>
                <w:vertAlign w:val="subscript"/>
              </w:rPr>
              <w:t>x</w:t>
            </w:r>
            <w:r w:rsidRPr="00057F84">
              <w:rPr>
                <w:rFonts w:eastAsia="Times New Roman" w:cstheme="minorHAnsi"/>
                <w:color w:val="000000"/>
                <w:sz w:val="16"/>
                <w:szCs w:val="16"/>
              </w:rPr>
              <w:t xml:space="preserve"> CEM).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5E616776"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20 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59CB07B6"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375 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5CF3B5E5"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395 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0C95F7CC" w14:textId="7CF8F7C9">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2C1365">
              <w:rPr>
                <w:rFonts w:eastAsia="Times New Roman" w:cstheme="minorHAnsi"/>
                <w:color w:val="000000"/>
                <w:sz w:val="16"/>
                <w:szCs w:val="16"/>
              </w:rPr>
              <w:t>35,770</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25E647BE" w14:textId="7646C9CF">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2,</w:t>
            </w:r>
            <w:r w:rsidR="0064634F">
              <w:rPr>
                <w:rFonts w:eastAsia="Times New Roman" w:cstheme="minorHAnsi"/>
                <w:color w:val="000000"/>
                <w:sz w:val="16"/>
                <w:szCs w:val="16"/>
              </w:rPr>
              <w:t>324</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0E5B0DE8" w14:textId="14B90AB4">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917,980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56313481" w14:textId="1274891D">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EA4802">
              <w:rPr>
                <w:rFonts w:eastAsia="Times New Roman" w:cstheme="minorHAnsi"/>
                <w:color w:val="000000"/>
                <w:sz w:val="16"/>
                <w:szCs w:val="16"/>
              </w:rPr>
              <w:t>83,129,480</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38B80DAF"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331334AB"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60086987" w14:textId="77777777">
            <w:pPr>
              <w:spacing w:after="0" w:line="276" w:lineRule="auto"/>
              <w:ind w:firstLine="225"/>
              <w:textAlignment w:val="baseline"/>
              <w:rPr>
                <w:rFonts w:eastAsia="Times New Roman" w:cstheme="minorHAnsi"/>
                <w:sz w:val="16"/>
                <w:szCs w:val="16"/>
              </w:rPr>
            </w:pPr>
            <w:r w:rsidRPr="00057F84">
              <w:rPr>
                <w:rFonts w:eastAsia="Times New Roman" w:cstheme="minorHAnsi"/>
                <w:color w:val="000000"/>
                <w:sz w:val="16"/>
                <w:szCs w:val="16"/>
              </w:rPr>
              <w:t>(d) Model D (App D and E).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3DC53B88"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5 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5289A1ED"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30 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0515F2EB"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35 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3614D17A" w14:textId="36C14A2E">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817E7A">
              <w:rPr>
                <w:rFonts w:eastAsia="Times New Roman" w:cstheme="minorHAnsi"/>
                <w:color w:val="000000"/>
                <w:sz w:val="16"/>
                <w:szCs w:val="16"/>
              </w:rPr>
              <w:t>3,281</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314FD2B7" w14:textId="30479251">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293</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5E538740" w14:textId="44C4EB77">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10,255</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45789B1C" w14:textId="0A87301D">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EA4802">
              <w:rPr>
                <w:rFonts w:eastAsia="Times New Roman" w:cstheme="minorHAnsi"/>
                <w:color w:val="000000"/>
                <w:sz w:val="16"/>
                <w:szCs w:val="16"/>
              </w:rPr>
              <w:t>961,</w:t>
            </w:r>
            <w:r w:rsidR="00FF64EE">
              <w:rPr>
                <w:rFonts w:eastAsia="Times New Roman" w:cstheme="minorHAnsi"/>
                <w:color w:val="000000"/>
                <w:sz w:val="16"/>
                <w:szCs w:val="16"/>
              </w:rPr>
              <w:t>333</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3EE35A7D"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5956783A" w14:textId="77777777" w:rsidTr="00AE276C">
        <w:tblPrEx>
          <w:tblW w:w="9075" w:type="dxa"/>
          <w:tblInd w:w="-23" w:type="dxa"/>
          <w:tblCellMar>
            <w:left w:w="0" w:type="dxa"/>
            <w:right w:w="0" w:type="dxa"/>
          </w:tblCellMar>
          <w:tblLook w:val="04A0"/>
        </w:tblPrEx>
        <w:trPr>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02D85400" w14:textId="77777777">
            <w:pPr>
              <w:spacing w:after="0" w:line="276" w:lineRule="auto"/>
              <w:ind w:firstLine="225"/>
              <w:textAlignment w:val="baseline"/>
              <w:rPr>
                <w:rFonts w:eastAsia="Times New Roman" w:cstheme="minorHAnsi"/>
                <w:sz w:val="16"/>
                <w:szCs w:val="16"/>
              </w:rPr>
            </w:pPr>
            <w:r w:rsidRPr="00057F84">
              <w:rPr>
                <w:rFonts w:eastAsia="Times New Roman" w:cstheme="minorHAnsi"/>
                <w:color w:val="000000"/>
                <w:sz w:val="16"/>
                <w:szCs w:val="16"/>
              </w:rPr>
              <w:t>(e) Model E (LME).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401B293D"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6D09ED90"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30EBAD71"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0 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5C6992E7"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$0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3604DC80" w14:textId="3A94FFD4">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150</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738BF409"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0 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5B1DFFCB" w14:textId="10924B26">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0D2ECF">
              <w:rPr>
                <w:rFonts w:eastAsia="Times New Roman" w:cstheme="minorHAnsi"/>
                <w:color w:val="000000"/>
                <w:sz w:val="16"/>
                <w:szCs w:val="16"/>
              </w:rPr>
              <w:t>0</w:t>
            </w:r>
            <w:r w:rsidRPr="00057F84">
              <w:rPr>
                <w:rFonts w:eastAsia="Times New Roman" w:cstheme="minorHAnsi"/>
                <w:color w:val="000000"/>
                <w:sz w:val="16"/>
                <w:szCs w:val="16"/>
              </w:rPr>
              <w:t> </w:t>
            </w:r>
          </w:p>
        </w:tc>
        <w:tc>
          <w:tcPr>
            <w:tcW w:w="100" w:type="dxa"/>
            <w:gridSpan w:val="2"/>
            <w:tcBorders>
              <w:top w:val="nil"/>
              <w:left w:val="nil"/>
              <w:bottom w:val="nil"/>
              <w:right w:val="nil"/>
            </w:tcBorders>
            <w:shd w:val="clear" w:color="auto" w:fill="auto"/>
            <w:vAlign w:val="center"/>
            <w:hideMark/>
          </w:tcPr>
          <w:p w:rsidR="00057F84" w:rsidRPr="00057F84" w:rsidP="00057F84" w14:paraId="28EAF8C5"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07DC6BFB" w14:textId="77777777" w:rsidTr="00AE276C">
        <w:tblPrEx>
          <w:tblW w:w="9075" w:type="dxa"/>
          <w:tblInd w:w="-23" w:type="dxa"/>
          <w:tblCellMar>
            <w:left w:w="0" w:type="dxa"/>
            <w:right w:w="0" w:type="dxa"/>
          </w:tblCellMar>
          <w:tblLook w:val="04A0"/>
        </w:tblPrEx>
        <w:trPr>
          <w:gridAfter w:val="1"/>
          <w:wAfter w:w="40" w:type="dxa"/>
          <w:trHeight w:val="282"/>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654F4107" w14:textId="77777777">
            <w:pPr>
              <w:spacing w:after="0" w:line="276" w:lineRule="auto"/>
              <w:ind w:firstLine="225"/>
              <w:textAlignment w:val="baseline"/>
              <w:rPr>
                <w:rFonts w:eastAsia="Times New Roman" w:cstheme="minorHAnsi"/>
                <w:sz w:val="16"/>
                <w:szCs w:val="16"/>
              </w:rPr>
            </w:pPr>
            <w:r w:rsidRPr="00057F84">
              <w:rPr>
                <w:rFonts w:eastAsia="Times New Roman" w:cstheme="minorHAnsi"/>
                <w:color w:val="000000"/>
                <w:sz w:val="16"/>
                <w:szCs w:val="16"/>
              </w:rPr>
              <w:t>(f) Model F (H</w:t>
            </w:r>
            <w:r w:rsidRPr="00057F84">
              <w:rPr>
                <w:rFonts w:eastAsia="Times New Roman" w:cstheme="minorHAnsi"/>
                <w:color w:val="000000"/>
                <w:sz w:val="16"/>
                <w:szCs w:val="16"/>
                <w:vertAlign w:val="subscript"/>
              </w:rPr>
              <w:t>2</w:t>
            </w:r>
            <w:r w:rsidRPr="00057F84">
              <w:rPr>
                <w:rFonts w:eastAsia="Times New Roman" w:cstheme="minorHAnsi"/>
                <w:color w:val="000000"/>
                <w:sz w:val="16"/>
                <w:szCs w:val="16"/>
              </w:rPr>
              <w:t>O).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2C7EA254"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112642DD"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40 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03DFE3AB"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40 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3F2DC042" w14:textId="012744B5">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455D2F">
              <w:rPr>
                <w:rFonts w:eastAsia="Times New Roman" w:cstheme="minorHAnsi"/>
                <w:color w:val="000000"/>
                <w:sz w:val="16"/>
                <w:szCs w:val="16"/>
              </w:rPr>
              <w:t>3,552</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39517C9B" w14:textId="5A837B51">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16</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06262BD7" w14:textId="011EA8AC">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640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016C8F4E" w14:textId="32BF0058">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7971E7">
              <w:rPr>
                <w:rFonts w:eastAsia="Times New Roman" w:cstheme="minorHAnsi"/>
                <w:color w:val="000000"/>
                <w:sz w:val="16"/>
                <w:szCs w:val="16"/>
              </w:rPr>
              <w:t>56,832</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3CC25FA7"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69F9BBA3" w14:textId="77777777" w:rsidTr="00AE276C">
        <w:tblPrEx>
          <w:tblW w:w="9075" w:type="dxa"/>
          <w:tblInd w:w="-23" w:type="dxa"/>
          <w:tblCellMar>
            <w:left w:w="0" w:type="dxa"/>
            <w:right w:w="0" w:type="dxa"/>
          </w:tblCellMar>
          <w:tblLook w:val="04A0"/>
        </w:tblPrEx>
        <w:trPr>
          <w:gridAfter w:val="1"/>
          <w:wAfter w:w="40" w:type="dxa"/>
          <w:trHeight w:val="719"/>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2E2720C0"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7a.  Assure Data Quality, Prepare Reports (inc. monitor plan update), Submit Reports.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2E2031CE"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20 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24236D53"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82 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7E25D98C"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102 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0D17CC3E" w14:textId="0B57F3BB">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5B49DD">
              <w:rPr>
                <w:rFonts w:eastAsia="Times New Roman" w:cstheme="minorHAnsi"/>
                <w:color w:val="000000"/>
                <w:sz w:val="16"/>
                <w:szCs w:val="16"/>
              </w:rPr>
              <w:t>9,751</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472CD192" w14:textId="482E03F8">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3,093</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1D70B3F2" w14:textId="285B17AD">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315,486</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07B3FF98" w14:textId="49A80A16">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016C84">
              <w:rPr>
                <w:rFonts w:eastAsia="Times New Roman" w:cstheme="minorHAnsi"/>
                <w:color w:val="000000"/>
                <w:sz w:val="16"/>
                <w:szCs w:val="16"/>
              </w:rPr>
              <w:t>30,159,843</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1F6111EF"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1B303D96" w14:textId="77777777" w:rsidTr="00AE276C">
        <w:tblPrEx>
          <w:tblW w:w="9075" w:type="dxa"/>
          <w:tblInd w:w="-23" w:type="dxa"/>
          <w:tblCellMar>
            <w:left w:w="0" w:type="dxa"/>
            <w:right w:w="0" w:type="dxa"/>
          </w:tblCellMar>
          <w:tblLook w:val="04A0"/>
        </w:tblPrEx>
        <w:trPr>
          <w:gridAfter w:val="1"/>
          <w:wAfter w:w="40" w:type="dxa"/>
          <w:trHeight w:val="267"/>
        </w:trPr>
        <w:tc>
          <w:tcPr>
            <w:tcW w:w="1532" w:type="dxa"/>
            <w:tcBorders>
              <w:top w:val="nil"/>
              <w:left w:val="double" w:sz="6" w:space="0" w:color="auto"/>
              <w:bottom w:val="single" w:sz="6" w:space="0" w:color="auto"/>
              <w:right w:val="single" w:sz="6" w:space="0" w:color="auto"/>
            </w:tcBorders>
            <w:shd w:val="clear" w:color="auto" w:fill="auto"/>
            <w:vAlign w:val="center"/>
            <w:hideMark/>
          </w:tcPr>
          <w:p w:rsidR="00057F84" w:rsidRPr="00057F84" w:rsidP="00057F84" w14:paraId="2CA056CD"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7b.  LME Reporting. </w:t>
            </w:r>
          </w:p>
        </w:tc>
        <w:tc>
          <w:tcPr>
            <w:tcW w:w="1084" w:type="dxa"/>
            <w:tcBorders>
              <w:top w:val="nil"/>
              <w:left w:val="nil"/>
              <w:bottom w:val="single" w:sz="6" w:space="0" w:color="auto"/>
              <w:right w:val="single" w:sz="6" w:space="0" w:color="auto"/>
            </w:tcBorders>
            <w:shd w:val="clear" w:color="auto" w:fill="auto"/>
            <w:vAlign w:val="center"/>
            <w:hideMark/>
          </w:tcPr>
          <w:p w:rsidR="00057F84" w:rsidRPr="00057F84" w:rsidP="00057F84" w14:paraId="1E2EB03F"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4 </w:t>
            </w:r>
          </w:p>
        </w:tc>
        <w:tc>
          <w:tcPr>
            <w:tcW w:w="992" w:type="dxa"/>
            <w:tcBorders>
              <w:top w:val="nil"/>
              <w:left w:val="nil"/>
              <w:bottom w:val="single" w:sz="6" w:space="0" w:color="auto"/>
              <w:right w:val="single" w:sz="6" w:space="0" w:color="auto"/>
            </w:tcBorders>
            <w:shd w:val="clear" w:color="auto" w:fill="auto"/>
            <w:vAlign w:val="center"/>
            <w:hideMark/>
          </w:tcPr>
          <w:p w:rsidR="00057F84" w:rsidRPr="00057F84" w:rsidP="00057F84" w14:paraId="002C1617"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12 </w:t>
            </w:r>
          </w:p>
        </w:tc>
        <w:tc>
          <w:tcPr>
            <w:tcW w:w="1174" w:type="dxa"/>
            <w:tcBorders>
              <w:top w:val="nil"/>
              <w:left w:val="nil"/>
              <w:bottom w:val="single" w:sz="6" w:space="0" w:color="auto"/>
              <w:right w:val="single" w:sz="6" w:space="0" w:color="auto"/>
            </w:tcBorders>
            <w:shd w:val="clear" w:color="auto" w:fill="auto"/>
            <w:vAlign w:val="center"/>
            <w:hideMark/>
          </w:tcPr>
          <w:p w:rsidR="00057F84" w:rsidRPr="00057F84" w:rsidP="00057F84" w14:paraId="3658227C"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16 </w:t>
            </w:r>
          </w:p>
        </w:tc>
        <w:tc>
          <w:tcPr>
            <w:tcW w:w="870" w:type="dxa"/>
            <w:tcBorders>
              <w:top w:val="nil"/>
              <w:left w:val="nil"/>
              <w:bottom w:val="single" w:sz="6" w:space="0" w:color="auto"/>
              <w:right w:val="single" w:sz="6" w:space="0" w:color="auto"/>
            </w:tcBorders>
            <w:shd w:val="clear" w:color="auto" w:fill="auto"/>
            <w:vAlign w:val="center"/>
            <w:hideMark/>
          </w:tcPr>
          <w:p w:rsidR="00057F84" w:rsidRPr="00057F84" w:rsidP="00057F84" w14:paraId="6E2FB661" w14:textId="4E97B759">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$1,</w:t>
            </w:r>
            <w:r w:rsidR="00016C84">
              <w:rPr>
                <w:rFonts w:eastAsia="Times New Roman" w:cstheme="minorHAnsi"/>
                <w:color w:val="000000"/>
                <w:sz w:val="16"/>
                <w:szCs w:val="16"/>
              </w:rPr>
              <w:t>560</w:t>
            </w:r>
            <w:r w:rsidRPr="00057F84">
              <w:rPr>
                <w:rFonts w:eastAsia="Times New Roman" w:cstheme="minorHAnsi"/>
                <w:color w:val="000000"/>
                <w:sz w:val="16"/>
                <w:szCs w:val="16"/>
              </w:rPr>
              <w:t> </w:t>
            </w:r>
          </w:p>
        </w:tc>
        <w:tc>
          <w:tcPr>
            <w:tcW w:w="1010" w:type="dxa"/>
            <w:tcBorders>
              <w:top w:val="nil"/>
              <w:left w:val="nil"/>
              <w:bottom w:val="single" w:sz="6" w:space="0" w:color="auto"/>
              <w:right w:val="single" w:sz="6" w:space="0" w:color="auto"/>
            </w:tcBorders>
            <w:shd w:val="clear" w:color="auto" w:fill="auto"/>
            <w:vAlign w:val="center"/>
            <w:hideMark/>
          </w:tcPr>
          <w:p w:rsidR="00057F84" w:rsidRPr="00057F84" w:rsidP="00057F84" w14:paraId="0F5768D5" w14:textId="2D61A481">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150</w:t>
            </w:r>
            <w:r w:rsidRPr="00057F84">
              <w:rPr>
                <w:rFonts w:eastAsia="Times New Roman" w:cstheme="minorHAnsi"/>
                <w:color w:val="000000"/>
                <w:sz w:val="16"/>
                <w:szCs w:val="16"/>
              </w:rPr>
              <w:t> </w:t>
            </w:r>
          </w:p>
        </w:tc>
        <w:tc>
          <w:tcPr>
            <w:tcW w:w="1021" w:type="dxa"/>
            <w:tcBorders>
              <w:top w:val="nil"/>
              <w:left w:val="nil"/>
              <w:bottom w:val="single" w:sz="6" w:space="0" w:color="auto"/>
              <w:right w:val="single" w:sz="6" w:space="0" w:color="auto"/>
            </w:tcBorders>
            <w:shd w:val="clear" w:color="auto" w:fill="auto"/>
            <w:vAlign w:val="center"/>
            <w:hideMark/>
          </w:tcPr>
          <w:p w:rsidR="00057F84" w:rsidRPr="00057F84" w:rsidP="00057F84" w14:paraId="275D69B4" w14:textId="15F0B42B">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2,400</w:t>
            </w:r>
            <w:r w:rsidRPr="00057F84">
              <w:rPr>
                <w:rFonts w:eastAsia="Times New Roman" w:cstheme="minorHAnsi"/>
                <w:color w:val="000000"/>
                <w:sz w:val="16"/>
                <w:szCs w:val="16"/>
              </w:rPr>
              <w:t> </w:t>
            </w:r>
          </w:p>
        </w:tc>
        <w:tc>
          <w:tcPr>
            <w:tcW w:w="1292" w:type="dxa"/>
            <w:tcBorders>
              <w:top w:val="nil"/>
              <w:left w:val="nil"/>
              <w:bottom w:val="single" w:sz="6" w:space="0" w:color="auto"/>
              <w:right w:val="double" w:sz="6" w:space="0" w:color="auto"/>
            </w:tcBorders>
            <w:shd w:val="clear" w:color="auto" w:fill="auto"/>
            <w:vAlign w:val="center"/>
            <w:hideMark/>
          </w:tcPr>
          <w:p w:rsidR="00057F84" w:rsidRPr="00057F84" w:rsidP="00057F84" w14:paraId="45ACEC51" w14:textId="4E3C9E2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w:t>
            </w:r>
            <w:r w:rsidR="00FF4C30">
              <w:rPr>
                <w:rFonts w:eastAsia="Times New Roman" w:cstheme="minorHAnsi"/>
                <w:color w:val="000000"/>
                <w:sz w:val="16"/>
                <w:szCs w:val="16"/>
              </w:rPr>
              <w:t>234,000</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15F2B5AC"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05E09ABF" w14:textId="77777777" w:rsidTr="00AE276C">
        <w:tblPrEx>
          <w:tblW w:w="9075" w:type="dxa"/>
          <w:tblInd w:w="-23" w:type="dxa"/>
          <w:tblCellMar>
            <w:left w:w="0" w:type="dxa"/>
            <w:right w:w="0" w:type="dxa"/>
          </w:tblCellMar>
          <w:tblLook w:val="04A0"/>
        </w:tblPrEx>
        <w:trPr>
          <w:gridAfter w:val="1"/>
          <w:wAfter w:w="40" w:type="dxa"/>
          <w:trHeight w:val="282"/>
        </w:trPr>
        <w:tc>
          <w:tcPr>
            <w:tcW w:w="1532" w:type="dxa"/>
            <w:tcBorders>
              <w:top w:val="nil"/>
              <w:left w:val="double" w:sz="6" w:space="0" w:color="auto"/>
              <w:bottom w:val="nil"/>
              <w:right w:val="single" w:sz="6" w:space="0" w:color="auto"/>
            </w:tcBorders>
            <w:shd w:val="clear" w:color="auto" w:fill="auto"/>
            <w:vAlign w:val="center"/>
            <w:hideMark/>
          </w:tcPr>
          <w:p w:rsidR="00057F84" w:rsidRPr="00057F84" w:rsidP="00057F84" w14:paraId="24B75C84" w14:textId="77777777">
            <w:pPr>
              <w:spacing w:after="0" w:line="276" w:lineRule="auto"/>
              <w:textAlignment w:val="baseline"/>
              <w:rPr>
                <w:rFonts w:eastAsia="Times New Roman" w:cstheme="minorHAnsi"/>
                <w:sz w:val="16"/>
                <w:szCs w:val="16"/>
              </w:rPr>
            </w:pPr>
            <w:r w:rsidRPr="00057F84">
              <w:rPr>
                <w:rFonts w:eastAsia="Times New Roman" w:cstheme="minorHAnsi"/>
                <w:color w:val="000000"/>
                <w:sz w:val="16"/>
                <w:szCs w:val="16"/>
              </w:rPr>
              <w:t>8.  PGVP cylinder Costs </w:t>
            </w:r>
          </w:p>
        </w:tc>
        <w:tc>
          <w:tcPr>
            <w:tcW w:w="1084" w:type="dxa"/>
            <w:tcBorders>
              <w:top w:val="nil"/>
              <w:left w:val="nil"/>
              <w:bottom w:val="nil"/>
              <w:right w:val="single" w:sz="6" w:space="0" w:color="auto"/>
            </w:tcBorders>
            <w:shd w:val="clear" w:color="auto" w:fill="auto"/>
            <w:vAlign w:val="center"/>
            <w:hideMark/>
          </w:tcPr>
          <w:p w:rsidR="00057F84" w:rsidRPr="00057F84" w:rsidP="00057F84" w14:paraId="2964F032"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992" w:type="dxa"/>
            <w:tcBorders>
              <w:top w:val="nil"/>
              <w:left w:val="nil"/>
              <w:bottom w:val="nil"/>
              <w:right w:val="single" w:sz="6" w:space="0" w:color="auto"/>
            </w:tcBorders>
            <w:shd w:val="clear" w:color="auto" w:fill="auto"/>
            <w:vAlign w:val="center"/>
            <w:hideMark/>
          </w:tcPr>
          <w:p w:rsidR="00057F84" w:rsidRPr="00057F84" w:rsidP="00057F84" w14:paraId="205F8981"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1174" w:type="dxa"/>
            <w:tcBorders>
              <w:top w:val="nil"/>
              <w:left w:val="nil"/>
              <w:bottom w:val="nil"/>
              <w:right w:val="single" w:sz="6" w:space="0" w:color="auto"/>
            </w:tcBorders>
            <w:shd w:val="clear" w:color="auto" w:fill="auto"/>
            <w:vAlign w:val="center"/>
            <w:hideMark/>
          </w:tcPr>
          <w:p w:rsidR="00057F84" w:rsidRPr="00057F84" w:rsidP="00057F84" w14:paraId="0C2ADD74"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0 </w:t>
            </w:r>
          </w:p>
        </w:tc>
        <w:tc>
          <w:tcPr>
            <w:tcW w:w="870" w:type="dxa"/>
            <w:tcBorders>
              <w:top w:val="nil"/>
              <w:left w:val="nil"/>
              <w:bottom w:val="nil"/>
              <w:right w:val="single" w:sz="6" w:space="0" w:color="auto"/>
            </w:tcBorders>
            <w:shd w:val="clear" w:color="auto" w:fill="auto"/>
            <w:vAlign w:val="center"/>
            <w:hideMark/>
          </w:tcPr>
          <w:p w:rsidR="00057F84" w:rsidRPr="00057F84" w:rsidP="00057F84" w14:paraId="637E5878"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$0  </w:t>
            </w:r>
          </w:p>
        </w:tc>
        <w:tc>
          <w:tcPr>
            <w:tcW w:w="1010" w:type="dxa"/>
            <w:tcBorders>
              <w:top w:val="nil"/>
              <w:left w:val="nil"/>
              <w:bottom w:val="nil"/>
              <w:right w:val="single" w:sz="6" w:space="0" w:color="auto"/>
            </w:tcBorders>
            <w:shd w:val="clear" w:color="auto" w:fill="auto"/>
            <w:vAlign w:val="center"/>
            <w:hideMark/>
          </w:tcPr>
          <w:p w:rsidR="00057F84" w:rsidRPr="00057F84" w:rsidP="00057F84" w14:paraId="5758D40F"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  </w:t>
            </w:r>
          </w:p>
        </w:tc>
        <w:tc>
          <w:tcPr>
            <w:tcW w:w="1021" w:type="dxa"/>
            <w:tcBorders>
              <w:top w:val="nil"/>
              <w:left w:val="nil"/>
              <w:bottom w:val="nil"/>
              <w:right w:val="single" w:sz="6" w:space="0" w:color="auto"/>
            </w:tcBorders>
            <w:shd w:val="clear" w:color="auto" w:fill="auto"/>
            <w:vAlign w:val="center"/>
            <w:hideMark/>
          </w:tcPr>
          <w:p w:rsidR="00057F84" w:rsidRPr="00057F84" w:rsidP="00057F84" w14:paraId="05CC2EF0"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0 </w:t>
            </w:r>
          </w:p>
        </w:tc>
        <w:tc>
          <w:tcPr>
            <w:tcW w:w="1292" w:type="dxa"/>
            <w:tcBorders>
              <w:top w:val="nil"/>
              <w:left w:val="nil"/>
              <w:bottom w:val="nil"/>
              <w:right w:val="double" w:sz="6" w:space="0" w:color="auto"/>
            </w:tcBorders>
            <w:shd w:val="clear" w:color="auto" w:fill="auto"/>
            <w:vAlign w:val="center"/>
            <w:hideMark/>
          </w:tcPr>
          <w:p w:rsidR="00057F84" w:rsidRPr="00057F84" w:rsidP="00057F84" w14:paraId="05316324" w14:textId="77777777">
            <w:pPr>
              <w:spacing w:after="0" w:line="276" w:lineRule="auto"/>
              <w:jc w:val="center"/>
              <w:textAlignment w:val="baseline"/>
              <w:rPr>
                <w:rFonts w:eastAsia="Times New Roman" w:cstheme="minorHAnsi"/>
                <w:sz w:val="16"/>
                <w:szCs w:val="16"/>
              </w:rPr>
            </w:pPr>
            <w:r w:rsidRPr="00057F84">
              <w:rPr>
                <w:rFonts w:eastAsia="Times New Roman" w:cstheme="minorHAnsi"/>
                <w:color w:val="000000"/>
                <w:sz w:val="16"/>
                <w:szCs w:val="16"/>
              </w:rPr>
              <w:t>$43,392  </w:t>
            </w:r>
          </w:p>
        </w:tc>
        <w:tc>
          <w:tcPr>
            <w:tcW w:w="60" w:type="dxa"/>
            <w:tcBorders>
              <w:top w:val="nil"/>
              <w:left w:val="nil"/>
              <w:bottom w:val="nil"/>
              <w:right w:val="nil"/>
            </w:tcBorders>
            <w:shd w:val="clear" w:color="auto" w:fill="auto"/>
            <w:vAlign w:val="center"/>
            <w:hideMark/>
          </w:tcPr>
          <w:p w:rsidR="00057F84" w:rsidRPr="00057F84" w:rsidP="00057F84" w14:paraId="52B50729"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r w14:paraId="7AB2F142" w14:textId="77777777" w:rsidTr="00AE276C">
        <w:tblPrEx>
          <w:tblW w:w="9075" w:type="dxa"/>
          <w:tblInd w:w="-23" w:type="dxa"/>
          <w:tblCellMar>
            <w:left w:w="0" w:type="dxa"/>
            <w:right w:w="0" w:type="dxa"/>
          </w:tblCellMar>
          <w:tblLook w:val="04A0"/>
        </w:tblPrEx>
        <w:trPr>
          <w:gridAfter w:val="1"/>
          <w:wAfter w:w="40" w:type="dxa"/>
          <w:trHeight w:val="282"/>
        </w:trPr>
        <w:tc>
          <w:tcPr>
            <w:tcW w:w="1532" w:type="dxa"/>
            <w:tcBorders>
              <w:top w:val="double" w:sz="6" w:space="0" w:color="auto"/>
              <w:left w:val="double" w:sz="6" w:space="0" w:color="auto"/>
              <w:bottom w:val="double" w:sz="6" w:space="0" w:color="auto"/>
              <w:right w:val="single" w:sz="6" w:space="0" w:color="auto"/>
            </w:tcBorders>
            <w:shd w:val="clear" w:color="auto" w:fill="auto"/>
            <w:vAlign w:val="center"/>
            <w:hideMark/>
          </w:tcPr>
          <w:p w:rsidR="00057F84" w:rsidRPr="00057F84" w:rsidP="00057F84" w14:paraId="149D459D" w14:textId="77777777">
            <w:pPr>
              <w:spacing w:after="0" w:line="276" w:lineRule="auto"/>
              <w:textAlignment w:val="baseline"/>
              <w:rPr>
                <w:rFonts w:eastAsia="Times New Roman" w:cstheme="minorHAnsi"/>
                <w:sz w:val="16"/>
                <w:szCs w:val="16"/>
              </w:rPr>
            </w:pPr>
            <w:r w:rsidRPr="00057F84">
              <w:rPr>
                <w:rFonts w:eastAsia="Times New Roman" w:cstheme="minorHAnsi"/>
                <w:b/>
                <w:bCs/>
                <w:color w:val="000000"/>
                <w:sz w:val="16"/>
                <w:szCs w:val="16"/>
              </w:rPr>
              <w:t>Totals</w:t>
            </w:r>
            <w:r w:rsidRPr="00057F84">
              <w:rPr>
                <w:rFonts w:eastAsia="Times New Roman" w:cstheme="minorHAnsi"/>
                <w:color w:val="000000"/>
                <w:sz w:val="16"/>
                <w:szCs w:val="16"/>
              </w:rPr>
              <w:t> </w:t>
            </w:r>
          </w:p>
        </w:tc>
        <w:tc>
          <w:tcPr>
            <w:tcW w:w="1084" w:type="dxa"/>
            <w:tcBorders>
              <w:top w:val="double" w:sz="6" w:space="0" w:color="auto"/>
              <w:left w:val="nil"/>
              <w:bottom w:val="double" w:sz="6" w:space="0" w:color="auto"/>
              <w:right w:val="single" w:sz="6" w:space="0" w:color="auto"/>
            </w:tcBorders>
            <w:shd w:val="clear" w:color="auto" w:fill="auto"/>
            <w:vAlign w:val="center"/>
            <w:hideMark/>
          </w:tcPr>
          <w:p w:rsidR="00057F84" w:rsidRPr="00057F84" w:rsidP="00057F84" w14:paraId="708462A9"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161</w:t>
            </w:r>
            <w:r w:rsidRPr="00057F84">
              <w:rPr>
                <w:rFonts w:eastAsia="Times New Roman" w:cstheme="minorHAnsi"/>
                <w:color w:val="000000"/>
                <w:sz w:val="16"/>
                <w:szCs w:val="16"/>
              </w:rPr>
              <w:t> </w:t>
            </w:r>
          </w:p>
        </w:tc>
        <w:tc>
          <w:tcPr>
            <w:tcW w:w="992" w:type="dxa"/>
            <w:tcBorders>
              <w:top w:val="double" w:sz="6" w:space="0" w:color="auto"/>
              <w:left w:val="nil"/>
              <w:bottom w:val="double" w:sz="6" w:space="0" w:color="auto"/>
              <w:right w:val="single" w:sz="6" w:space="0" w:color="auto"/>
            </w:tcBorders>
            <w:shd w:val="clear" w:color="auto" w:fill="auto"/>
            <w:vAlign w:val="center"/>
            <w:hideMark/>
          </w:tcPr>
          <w:p w:rsidR="00057F84" w:rsidRPr="00057F84" w:rsidP="00057F84" w14:paraId="21C9EA4D"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1246</w:t>
            </w:r>
            <w:r w:rsidRPr="00057F84">
              <w:rPr>
                <w:rFonts w:eastAsia="Times New Roman" w:cstheme="minorHAnsi"/>
                <w:color w:val="000000"/>
                <w:sz w:val="16"/>
                <w:szCs w:val="16"/>
              </w:rPr>
              <w:t> </w:t>
            </w:r>
          </w:p>
        </w:tc>
        <w:tc>
          <w:tcPr>
            <w:tcW w:w="1174" w:type="dxa"/>
            <w:tcBorders>
              <w:top w:val="double" w:sz="6" w:space="0" w:color="auto"/>
              <w:left w:val="nil"/>
              <w:bottom w:val="double" w:sz="6" w:space="0" w:color="auto"/>
              <w:right w:val="single" w:sz="6" w:space="0" w:color="auto"/>
            </w:tcBorders>
            <w:shd w:val="clear" w:color="auto" w:fill="auto"/>
            <w:vAlign w:val="center"/>
            <w:hideMark/>
          </w:tcPr>
          <w:p w:rsidR="00057F84" w:rsidRPr="00057F84" w:rsidP="00057F84" w14:paraId="5A2E5E05" w14:textId="77777777">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1407</w:t>
            </w:r>
            <w:r w:rsidRPr="00057F84">
              <w:rPr>
                <w:rFonts w:eastAsia="Times New Roman" w:cstheme="minorHAnsi"/>
                <w:color w:val="000000"/>
                <w:sz w:val="16"/>
                <w:szCs w:val="16"/>
              </w:rPr>
              <w:t> </w:t>
            </w:r>
          </w:p>
        </w:tc>
        <w:tc>
          <w:tcPr>
            <w:tcW w:w="870" w:type="dxa"/>
            <w:tcBorders>
              <w:top w:val="double" w:sz="6" w:space="0" w:color="auto"/>
              <w:left w:val="nil"/>
              <w:bottom w:val="double" w:sz="6" w:space="0" w:color="auto"/>
              <w:right w:val="single" w:sz="6" w:space="0" w:color="auto"/>
            </w:tcBorders>
            <w:shd w:val="clear" w:color="auto" w:fill="auto"/>
            <w:vAlign w:val="center"/>
            <w:hideMark/>
          </w:tcPr>
          <w:p w:rsidR="00057F84" w:rsidRPr="00057F84" w:rsidP="00057F84" w14:paraId="3FD9BBAF" w14:textId="068C116B">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w:t>
            </w:r>
            <w:r w:rsidR="0096543C">
              <w:rPr>
                <w:rFonts w:eastAsia="Times New Roman" w:cstheme="minorHAnsi"/>
                <w:b/>
                <w:bCs/>
                <w:color w:val="000000"/>
                <w:sz w:val="16"/>
                <w:szCs w:val="16"/>
              </w:rPr>
              <w:t>130,525</w:t>
            </w:r>
            <w:r w:rsidRPr="00057F84">
              <w:rPr>
                <w:rFonts w:eastAsia="Times New Roman" w:cstheme="minorHAnsi"/>
                <w:color w:val="000000"/>
                <w:sz w:val="16"/>
                <w:szCs w:val="16"/>
              </w:rPr>
              <w:t> </w:t>
            </w:r>
          </w:p>
        </w:tc>
        <w:tc>
          <w:tcPr>
            <w:tcW w:w="1010" w:type="dxa"/>
            <w:tcBorders>
              <w:top w:val="double" w:sz="6" w:space="0" w:color="auto"/>
              <w:left w:val="nil"/>
              <w:bottom w:val="double" w:sz="6" w:space="0" w:color="auto"/>
              <w:right w:val="single" w:sz="6" w:space="0" w:color="auto"/>
            </w:tcBorders>
            <w:shd w:val="clear" w:color="auto" w:fill="auto"/>
            <w:vAlign w:val="center"/>
            <w:hideMark/>
          </w:tcPr>
          <w:p w:rsidR="00057F84" w:rsidRPr="00057F84" w:rsidP="00057F84" w14:paraId="5BD49F22" w14:textId="53A40DED">
            <w:pPr>
              <w:spacing w:after="0" w:line="276" w:lineRule="auto"/>
              <w:jc w:val="center"/>
              <w:textAlignment w:val="baseline"/>
              <w:rPr>
                <w:rFonts w:eastAsia="Times New Roman" w:cstheme="minorHAnsi"/>
                <w:sz w:val="16"/>
                <w:szCs w:val="16"/>
              </w:rPr>
            </w:pPr>
            <w:r>
              <w:rPr>
                <w:rFonts w:eastAsia="Times New Roman" w:cstheme="minorHAnsi"/>
                <w:b/>
                <w:bCs/>
                <w:color w:val="000000"/>
                <w:sz w:val="16"/>
                <w:szCs w:val="16"/>
              </w:rPr>
              <w:t>13</w:t>
            </w:r>
            <w:r w:rsidR="009A0F7A">
              <w:rPr>
                <w:rFonts w:eastAsia="Times New Roman" w:cstheme="minorHAnsi"/>
                <w:b/>
                <w:bCs/>
                <w:color w:val="000000"/>
                <w:sz w:val="16"/>
                <w:szCs w:val="16"/>
              </w:rPr>
              <w:t>,340</w:t>
            </w:r>
          </w:p>
        </w:tc>
        <w:tc>
          <w:tcPr>
            <w:tcW w:w="1021" w:type="dxa"/>
            <w:tcBorders>
              <w:top w:val="double" w:sz="6" w:space="0" w:color="auto"/>
              <w:left w:val="nil"/>
              <w:bottom w:val="double" w:sz="6" w:space="0" w:color="auto"/>
              <w:right w:val="single" w:sz="6" w:space="0" w:color="auto"/>
            </w:tcBorders>
            <w:shd w:val="clear" w:color="auto" w:fill="auto"/>
            <w:vAlign w:val="center"/>
            <w:hideMark/>
          </w:tcPr>
          <w:p w:rsidR="00057F84" w:rsidRPr="00057F84" w:rsidP="00057F84" w14:paraId="06E9C84D" w14:textId="2915B1CC">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1,</w:t>
            </w:r>
            <w:r w:rsidR="00A441FE">
              <w:rPr>
                <w:rFonts w:eastAsia="Times New Roman" w:cstheme="minorHAnsi"/>
                <w:b/>
                <w:bCs/>
                <w:color w:val="000000"/>
                <w:sz w:val="16"/>
                <w:szCs w:val="16"/>
              </w:rPr>
              <w:t>752,308</w:t>
            </w:r>
            <w:r w:rsidRPr="00057F84">
              <w:rPr>
                <w:rFonts w:eastAsia="Times New Roman" w:cstheme="minorHAnsi"/>
                <w:color w:val="000000"/>
                <w:sz w:val="16"/>
                <w:szCs w:val="16"/>
              </w:rPr>
              <w:t> </w:t>
            </w:r>
          </w:p>
        </w:tc>
        <w:tc>
          <w:tcPr>
            <w:tcW w:w="1292" w:type="dxa"/>
            <w:tcBorders>
              <w:top w:val="double" w:sz="6" w:space="0" w:color="auto"/>
              <w:left w:val="nil"/>
              <w:bottom w:val="double" w:sz="6" w:space="0" w:color="auto"/>
              <w:right w:val="double" w:sz="6" w:space="0" w:color="auto"/>
            </w:tcBorders>
            <w:shd w:val="clear" w:color="auto" w:fill="auto"/>
            <w:vAlign w:val="center"/>
            <w:hideMark/>
          </w:tcPr>
          <w:p w:rsidR="00057F84" w:rsidRPr="00057F84" w:rsidP="00057F84" w14:paraId="51B5E97E" w14:textId="3F00A33D">
            <w:pPr>
              <w:spacing w:after="0" w:line="276" w:lineRule="auto"/>
              <w:jc w:val="center"/>
              <w:textAlignment w:val="baseline"/>
              <w:rPr>
                <w:rFonts w:eastAsia="Times New Roman" w:cstheme="minorHAnsi"/>
                <w:sz w:val="16"/>
                <w:szCs w:val="16"/>
              </w:rPr>
            </w:pPr>
            <w:r w:rsidRPr="00057F84">
              <w:rPr>
                <w:rFonts w:eastAsia="Times New Roman" w:cstheme="minorHAnsi"/>
                <w:b/>
                <w:bCs/>
                <w:color w:val="000000"/>
                <w:sz w:val="16"/>
                <w:szCs w:val="16"/>
              </w:rPr>
              <w:t>$</w:t>
            </w:r>
            <w:r w:rsidR="00276640">
              <w:rPr>
                <w:rFonts w:eastAsia="Times New Roman" w:cstheme="minorHAnsi"/>
                <w:b/>
                <w:bCs/>
                <w:color w:val="000000"/>
                <w:sz w:val="16"/>
                <w:szCs w:val="16"/>
              </w:rPr>
              <w:t>162,120</w:t>
            </w:r>
            <w:r w:rsidR="00CB0D29">
              <w:rPr>
                <w:rFonts w:eastAsia="Times New Roman" w:cstheme="minorHAnsi"/>
                <w:b/>
                <w:bCs/>
                <w:color w:val="000000"/>
                <w:sz w:val="16"/>
                <w:szCs w:val="16"/>
              </w:rPr>
              <w:t>,</w:t>
            </w:r>
            <w:r w:rsidR="00276640">
              <w:rPr>
                <w:rFonts w:eastAsia="Times New Roman" w:cstheme="minorHAnsi"/>
                <w:b/>
                <w:bCs/>
                <w:color w:val="000000"/>
                <w:sz w:val="16"/>
                <w:szCs w:val="16"/>
              </w:rPr>
              <w:t>145</w:t>
            </w:r>
            <w:r w:rsidRPr="00057F84">
              <w:rPr>
                <w:rFonts w:eastAsia="Times New Roman" w:cstheme="minorHAnsi"/>
                <w:b/>
                <w:bCs/>
                <w:color w:val="000000"/>
                <w:sz w:val="16"/>
                <w:szCs w:val="16"/>
              </w:rPr>
              <w:t> </w:t>
            </w:r>
            <w:r w:rsidRPr="00057F84">
              <w:rPr>
                <w:rFonts w:eastAsia="Times New Roman" w:cstheme="minorHAnsi"/>
                <w:color w:val="000000"/>
                <w:sz w:val="16"/>
                <w:szCs w:val="16"/>
              </w:rPr>
              <w:t> </w:t>
            </w:r>
          </w:p>
        </w:tc>
        <w:tc>
          <w:tcPr>
            <w:tcW w:w="60" w:type="dxa"/>
            <w:tcBorders>
              <w:top w:val="nil"/>
              <w:left w:val="nil"/>
              <w:bottom w:val="nil"/>
              <w:right w:val="nil"/>
            </w:tcBorders>
            <w:shd w:val="clear" w:color="auto" w:fill="auto"/>
            <w:vAlign w:val="center"/>
            <w:hideMark/>
          </w:tcPr>
          <w:p w:rsidR="00057F84" w:rsidRPr="00057F84" w:rsidP="00057F84" w14:paraId="4ACB7777" w14:textId="77777777">
            <w:pPr>
              <w:spacing w:after="0" w:line="276" w:lineRule="auto"/>
              <w:textAlignment w:val="baseline"/>
              <w:rPr>
                <w:rFonts w:eastAsia="Times New Roman" w:cstheme="minorHAnsi"/>
                <w:sz w:val="16"/>
                <w:szCs w:val="16"/>
              </w:rPr>
            </w:pPr>
            <w:r w:rsidRPr="00057F84">
              <w:rPr>
                <w:rFonts w:eastAsia="Times New Roman" w:cstheme="minorHAnsi"/>
                <w:sz w:val="16"/>
                <w:szCs w:val="16"/>
              </w:rPr>
              <w:t> </w:t>
            </w:r>
          </w:p>
        </w:tc>
      </w:tr>
    </w:tbl>
    <w:p w:rsidR="00966347" w:rsidP="00966347" w14:paraId="27901CFB" w14:textId="77777777">
      <w:pPr>
        <w:pStyle w:val="ListParagraph"/>
        <w:spacing w:after="0" w:line="276" w:lineRule="auto"/>
        <w:textAlignment w:val="baseline"/>
        <w:rPr>
          <w:rFonts w:eastAsia="Times New Roman" w:cstheme="minorHAnsi"/>
        </w:rPr>
      </w:pPr>
    </w:p>
    <w:p w:rsidR="00037A4F" w:rsidP="00057F84" w14:paraId="6DFA6D15" w14:textId="70FFFCBF">
      <w:pPr>
        <w:pStyle w:val="ListParagraph"/>
        <w:numPr>
          <w:ilvl w:val="0"/>
          <w:numId w:val="46"/>
        </w:numPr>
        <w:spacing w:after="0" w:line="276" w:lineRule="auto"/>
        <w:textAlignment w:val="baseline"/>
        <w:rPr>
          <w:rFonts w:eastAsia="Times New Roman" w:cstheme="minorHAnsi"/>
        </w:rPr>
      </w:pPr>
      <w:r w:rsidRPr="00037A4F">
        <w:rPr>
          <w:rFonts w:eastAsia="Times New Roman" w:cstheme="minorHAnsi"/>
        </w:rPr>
        <w:t>Auctions</w:t>
      </w:r>
    </w:p>
    <w:p w:rsidR="00037A4F" w:rsidP="00057F84" w14:paraId="1564F3C0" w14:textId="77777777">
      <w:pPr>
        <w:pStyle w:val="ListParagraph"/>
        <w:numPr>
          <w:ilvl w:val="1"/>
          <w:numId w:val="46"/>
        </w:numPr>
        <w:spacing w:after="0" w:line="276" w:lineRule="auto"/>
        <w:textAlignment w:val="baseline"/>
        <w:rPr>
          <w:rFonts w:eastAsia="Times New Roman" w:cstheme="minorHAnsi"/>
        </w:rPr>
      </w:pPr>
      <w:r w:rsidRPr="00037A4F">
        <w:rPr>
          <w:rFonts w:eastAsia="Times New Roman" w:cstheme="minorHAnsi"/>
        </w:rPr>
        <w:t>This subsection presents estimates of the burden and costs to participants and EPA associated with the auction program.   </w:t>
      </w:r>
    </w:p>
    <w:p w:rsidR="00037A4F" w:rsidP="00037A4F" w14:paraId="12105C4F" w14:textId="65B93EF8">
      <w:pPr>
        <w:pStyle w:val="ListParagraph"/>
        <w:numPr>
          <w:ilvl w:val="1"/>
          <w:numId w:val="46"/>
        </w:numPr>
        <w:spacing w:after="0" w:line="276" w:lineRule="auto"/>
        <w:textAlignment w:val="baseline"/>
        <w:rPr>
          <w:rFonts w:eastAsia="Times New Roman" w:cstheme="minorHAnsi"/>
        </w:rPr>
      </w:pPr>
      <w:r w:rsidRPr="00037A4F">
        <w:rPr>
          <w:rFonts w:eastAsia="Times New Roman" w:cstheme="minorHAnsi"/>
        </w:rPr>
        <w:t xml:space="preserve">Auctions are held only once a year. No restrictions are placed on the number of allowances for which a participant may bid. Multiple bids from a given participant are permitted, but each bid is treated individually and requires a separate bid submission. Based on the average number of bids in the past three auctions, EPA estimates that </w:t>
      </w:r>
      <w:r w:rsidR="009B767D">
        <w:rPr>
          <w:rFonts w:eastAsia="Times New Roman" w:cstheme="minorHAnsi"/>
        </w:rPr>
        <w:t>5</w:t>
      </w:r>
      <w:r w:rsidRPr="00037A4F">
        <w:rPr>
          <w:rFonts w:eastAsia="Times New Roman" w:cstheme="minorHAnsi"/>
        </w:rPr>
        <w:t xml:space="preserve"> bids will be received each year. </w:t>
      </w:r>
    </w:p>
    <w:p w:rsidR="00037A4F" w:rsidRPr="00037A4F" w:rsidP="00037A4F" w14:paraId="2B7342F0" w14:textId="77777777">
      <w:pPr>
        <w:pStyle w:val="ListParagraph"/>
        <w:numPr>
          <w:ilvl w:val="1"/>
          <w:numId w:val="46"/>
        </w:numPr>
        <w:spacing w:after="0" w:line="276" w:lineRule="auto"/>
        <w:textAlignment w:val="baseline"/>
        <w:rPr>
          <w:rFonts w:eastAsia="Times New Roman" w:cstheme="minorHAnsi"/>
          <w:i/>
          <w:iCs/>
        </w:rPr>
      </w:pPr>
      <w:r w:rsidRPr="00037A4F">
        <w:rPr>
          <w:rFonts w:eastAsia="Times New Roman" w:cstheme="minorHAnsi"/>
          <w:i/>
          <w:iCs/>
        </w:rPr>
        <w:t>Estimate of Respondent Burden and Costs</w:t>
      </w:r>
    </w:p>
    <w:p w:rsidR="00057F84" w:rsidRPr="00635083" w:rsidP="00037A4F" w14:paraId="17E2925F" w14:textId="71C6263D">
      <w:pPr>
        <w:pStyle w:val="ListParagraph"/>
        <w:numPr>
          <w:ilvl w:val="2"/>
          <w:numId w:val="46"/>
        </w:numPr>
        <w:spacing w:after="0" w:line="276" w:lineRule="auto"/>
        <w:textAlignment w:val="baseline"/>
        <w:rPr>
          <w:rFonts w:eastAsia="Times New Roman" w:cstheme="minorHAnsi"/>
        </w:rPr>
      </w:pPr>
      <w:r w:rsidRPr="00037A4F">
        <w:rPr>
          <w:rFonts w:eastAsia="Times New Roman" w:cstheme="minorHAnsi"/>
        </w:rPr>
        <w:t>Table 1</w:t>
      </w:r>
      <w:r w:rsidRPr="00037A4F" w:rsidR="004E2787">
        <w:rPr>
          <w:rFonts w:eastAsia="Times New Roman" w:cstheme="minorHAnsi"/>
        </w:rPr>
        <w:t>2</w:t>
      </w:r>
      <w:r w:rsidRPr="00037A4F">
        <w:rPr>
          <w:rFonts w:eastAsia="Times New Roman" w:cstheme="minorHAnsi"/>
        </w:rPr>
        <w:t xml:space="preserve">.3 depicts the burden and costs to auction participants. Auction participants must complete and submit the information electronically along with a certified check, letter of credit, or wire transfer. EPA estimates that the auction bid submission takes approximately 30 minutes to prepare, and obtaining a means of payment takes approximately one hour. This estimate includes time allocated to research the required information, enter the information on-line, arrange for a certified check, letter of credit, or wire transfer, and send the material to EPA. The burden and cost to auction participants is estimated to be </w:t>
      </w:r>
      <w:r w:rsidR="009B220E">
        <w:rPr>
          <w:rFonts w:eastAsia="Times New Roman" w:cstheme="minorHAnsi"/>
        </w:rPr>
        <w:t>7.</w:t>
      </w:r>
      <w:r w:rsidRPr="00635083" w:rsidR="009B220E">
        <w:rPr>
          <w:rFonts w:eastAsia="Times New Roman" w:cstheme="minorHAnsi"/>
        </w:rPr>
        <w:t>5</w:t>
      </w:r>
      <w:r w:rsidRPr="004C7FCE">
        <w:rPr>
          <w:rFonts w:eastAsia="Times New Roman" w:cstheme="minorHAnsi"/>
        </w:rPr>
        <w:t xml:space="preserve"> hours and $</w:t>
      </w:r>
      <w:r w:rsidRPr="004C7FCE" w:rsidR="00FE7526">
        <w:rPr>
          <w:rFonts w:eastAsia="Times New Roman" w:cstheme="minorHAnsi"/>
        </w:rPr>
        <w:t>874</w:t>
      </w:r>
      <w:r w:rsidRPr="004C7FCE">
        <w:rPr>
          <w:rFonts w:eastAsia="Times New Roman" w:cstheme="minorHAnsi"/>
        </w:rPr>
        <w:t xml:space="preserve"> per year respectively.</w:t>
      </w:r>
      <w:r w:rsidRPr="00635083">
        <w:rPr>
          <w:rFonts w:eastAsia="Times New Roman" w:cstheme="minorHAnsi"/>
        </w:rPr>
        <w:t> </w:t>
      </w:r>
    </w:p>
    <w:p w:rsidR="00057F84" w:rsidRPr="00635083" w:rsidP="00057F84" w14:paraId="6A160154" w14:textId="77777777">
      <w:pPr>
        <w:spacing w:after="0" w:line="276" w:lineRule="auto"/>
        <w:textAlignment w:val="baseline"/>
        <w:rPr>
          <w:rFonts w:eastAsia="Times New Roman" w:cstheme="minorHAnsi"/>
        </w:rPr>
      </w:pPr>
      <w:r w:rsidRPr="00635083">
        <w:rPr>
          <w:rFonts w:eastAsia="Times New Roman" w:cstheme="minorHAnsi"/>
        </w:rPr>
        <w:t> </w:t>
      </w:r>
    </w:p>
    <w:p w:rsidR="00057F84" w:rsidRPr="00057F84" w:rsidP="00057F84" w14:paraId="693DE3E8" w14:textId="0EA40178">
      <w:pPr>
        <w:spacing w:after="0" w:line="276" w:lineRule="auto"/>
        <w:jc w:val="center"/>
        <w:textAlignment w:val="baseline"/>
        <w:rPr>
          <w:rFonts w:eastAsia="Times New Roman" w:cstheme="minorHAnsi"/>
        </w:rPr>
      </w:pPr>
      <w:r w:rsidRPr="00635083">
        <w:rPr>
          <w:rFonts w:eastAsia="Times New Roman" w:cstheme="minorHAnsi"/>
        </w:rPr>
        <w:t> </w:t>
      </w:r>
      <w:r w:rsidRPr="0096488A">
        <w:rPr>
          <w:rFonts w:eastAsia="Times New Roman" w:cstheme="minorHAnsi"/>
        </w:rPr>
        <w:t>Table 1</w:t>
      </w:r>
      <w:r w:rsidRPr="0096488A" w:rsidR="004E2787">
        <w:rPr>
          <w:rFonts w:eastAsia="Times New Roman" w:cstheme="minorHAnsi"/>
        </w:rPr>
        <w:t>2</w:t>
      </w:r>
      <w:r w:rsidRPr="0096488A">
        <w:rPr>
          <w:rFonts w:eastAsia="Times New Roman" w:cstheme="minorHAnsi"/>
        </w:rPr>
        <w:t>.</w:t>
      </w:r>
      <w:r w:rsidRPr="0096488A" w:rsidR="00DB0984">
        <w:rPr>
          <w:rFonts w:eastAsia="Times New Roman" w:cstheme="minorHAnsi"/>
        </w:rPr>
        <w:t>4</w:t>
      </w:r>
      <w:r w:rsidRPr="0096488A">
        <w:rPr>
          <w:rFonts w:eastAsia="Times New Roman" w:cstheme="minorHAnsi"/>
        </w:rPr>
        <w:t>: Respondent Burden/Cost Estimates for Auctions</w:t>
      </w:r>
      <w:r w:rsidRPr="00057F84">
        <w:rPr>
          <w:rFonts w:eastAsia="Times New Roman" w:cstheme="minorHAnsi"/>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0"/>
        <w:gridCol w:w="1600"/>
        <w:gridCol w:w="1153"/>
        <w:gridCol w:w="1600"/>
        <w:gridCol w:w="1331"/>
      </w:tblGrid>
      <w:tr w14:paraId="1562F4A0"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645" w:type="dxa"/>
            <w:tcBorders>
              <w:top w:val="double" w:sz="6" w:space="0" w:color="auto"/>
              <w:left w:val="double" w:sz="6" w:space="0" w:color="auto"/>
              <w:bottom w:val="single" w:sz="6" w:space="0" w:color="auto"/>
              <w:right w:val="nil"/>
            </w:tcBorders>
            <w:shd w:val="clear" w:color="auto" w:fill="auto"/>
            <w:vAlign w:val="bottom"/>
            <w:hideMark/>
          </w:tcPr>
          <w:p w:rsidR="00057F84" w:rsidRPr="00057F84" w:rsidP="00057F84" w14:paraId="065D26CF" w14:textId="77777777">
            <w:pPr>
              <w:spacing w:after="0" w:line="276" w:lineRule="auto"/>
              <w:jc w:val="center"/>
              <w:textAlignment w:val="baseline"/>
              <w:rPr>
                <w:rFonts w:eastAsia="Times New Roman" w:cstheme="minorHAnsi"/>
              </w:rPr>
            </w:pPr>
            <w:r w:rsidRPr="00057F84">
              <w:rPr>
                <w:rFonts w:eastAsia="Times New Roman" w:cstheme="minorHAnsi"/>
                <w:b/>
                <w:bCs/>
              </w:rPr>
              <w:t>Collection activities</w:t>
            </w:r>
            <w:r w:rsidRPr="00057F84">
              <w:rPr>
                <w:rFonts w:eastAsia="Times New Roman" w:cstheme="minorHAnsi"/>
              </w:rPr>
              <w:t> </w:t>
            </w:r>
          </w:p>
        </w:tc>
        <w:tc>
          <w:tcPr>
            <w:tcW w:w="1605" w:type="dxa"/>
            <w:tcBorders>
              <w:top w:val="double" w:sz="6" w:space="0" w:color="auto"/>
              <w:left w:val="single" w:sz="6" w:space="0" w:color="auto"/>
              <w:bottom w:val="single" w:sz="6" w:space="0" w:color="auto"/>
              <w:right w:val="nil"/>
            </w:tcBorders>
            <w:shd w:val="clear" w:color="auto" w:fill="auto"/>
            <w:vAlign w:val="bottom"/>
            <w:hideMark/>
          </w:tcPr>
          <w:p w:rsidR="00057F84" w:rsidRPr="00057F84" w:rsidP="00057F84" w14:paraId="3EA6796A" w14:textId="77777777">
            <w:pPr>
              <w:spacing w:after="0" w:line="276" w:lineRule="auto"/>
              <w:jc w:val="center"/>
              <w:textAlignment w:val="baseline"/>
              <w:rPr>
                <w:rFonts w:eastAsia="Times New Roman" w:cstheme="minorHAnsi"/>
              </w:rPr>
            </w:pPr>
            <w:r w:rsidRPr="00057F84">
              <w:rPr>
                <w:rFonts w:eastAsia="Times New Roman" w:cstheme="minorHAnsi"/>
                <w:b/>
                <w:bCs/>
              </w:rPr>
              <w:t>Burden hours per bid</w:t>
            </w:r>
            <w:r w:rsidRPr="00057F84">
              <w:rPr>
                <w:rFonts w:eastAsia="Times New Roman" w:cstheme="minorHAnsi"/>
              </w:rPr>
              <w:t> </w:t>
            </w:r>
          </w:p>
        </w:tc>
        <w:tc>
          <w:tcPr>
            <w:tcW w:w="1155" w:type="dxa"/>
            <w:tcBorders>
              <w:top w:val="double" w:sz="6" w:space="0" w:color="auto"/>
              <w:left w:val="single" w:sz="6" w:space="0" w:color="auto"/>
              <w:bottom w:val="single" w:sz="6" w:space="0" w:color="auto"/>
              <w:right w:val="nil"/>
            </w:tcBorders>
            <w:shd w:val="clear" w:color="auto" w:fill="auto"/>
            <w:vAlign w:val="bottom"/>
            <w:hideMark/>
          </w:tcPr>
          <w:p w:rsidR="00057F84" w:rsidRPr="00057F84" w:rsidP="00057F84" w14:paraId="138CA36A" w14:textId="77777777">
            <w:pPr>
              <w:spacing w:after="0" w:line="276" w:lineRule="auto"/>
              <w:jc w:val="center"/>
              <w:textAlignment w:val="baseline"/>
              <w:rPr>
                <w:rFonts w:eastAsia="Times New Roman" w:cstheme="minorHAnsi"/>
              </w:rPr>
            </w:pPr>
            <w:r w:rsidRPr="00057F84">
              <w:rPr>
                <w:rFonts w:eastAsia="Times New Roman" w:cstheme="minorHAnsi"/>
                <w:b/>
                <w:bCs/>
              </w:rPr>
              <w:t xml:space="preserve">Cost per </w:t>
            </w:r>
            <w:r w:rsidRPr="00057F84">
              <w:rPr>
                <w:rFonts w:eastAsia="Times New Roman" w:cstheme="minorHAnsi"/>
                <w:b/>
                <w:bCs/>
              </w:rPr>
              <w:t>bid</w:t>
            </w:r>
            <w:r w:rsidRPr="00057F84">
              <w:rPr>
                <w:rFonts w:eastAsia="Times New Roman" w:cstheme="minorHAnsi"/>
                <w:b/>
                <w:bCs/>
                <w:vertAlign w:val="superscript"/>
              </w:rPr>
              <w:t>a</w:t>
            </w:r>
            <w:r w:rsidRPr="00057F84">
              <w:rPr>
                <w:rFonts w:eastAsia="Times New Roman" w:cstheme="minorHAnsi"/>
              </w:rPr>
              <w:t> </w:t>
            </w:r>
          </w:p>
        </w:tc>
        <w:tc>
          <w:tcPr>
            <w:tcW w:w="1605" w:type="dxa"/>
            <w:tcBorders>
              <w:top w:val="double" w:sz="6" w:space="0" w:color="auto"/>
              <w:left w:val="single" w:sz="6" w:space="0" w:color="auto"/>
              <w:bottom w:val="single" w:sz="6" w:space="0" w:color="auto"/>
              <w:right w:val="nil"/>
            </w:tcBorders>
            <w:shd w:val="clear" w:color="auto" w:fill="auto"/>
            <w:vAlign w:val="bottom"/>
            <w:hideMark/>
          </w:tcPr>
          <w:p w:rsidR="00057F84" w:rsidRPr="00057F84" w:rsidP="00057F84" w14:paraId="1565CD10" w14:textId="77777777">
            <w:pPr>
              <w:spacing w:after="0" w:line="276" w:lineRule="auto"/>
              <w:jc w:val="center"/>
              <w:textAlignment w:val="baseline"/>
              <w:rPr>
                <w:rFonts w:eastAsia="Times New Roman" w:cstheme="minorHAnsi"/>
              </w:rPr>
            </w:pPr>
            <w:r w:rsidRPr="00057F84">
              <w:rPr>
                <w:rFonts w:eastAsia="Times New Roman" w:cstheme="minorHAnsi"/>
                <w:b/>
                <w:bCs/>
              </w:rPr>
              <w:t>Burden hours per year</w:t>
            </w:r>
            <w:r w:rsidRPr="00057F84">
              <w:rPr>
                <w:rFonts w:eastAsia="Times New Roman" w:cstheme="minorHAnsi"/>
              </w:rPr>
              <w:t> </w:t>
            </w:r>
          </w:p>
        </w:tc>
        <w:tc>
          <w:tcPr>
            <w:tcW w:w="1335"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057F84" w:rsidRPr="00057F84" w:rsidP="00057F84" w14:paraId="7D789116" w14:textId="77777777">
            <w:pPr>
              <w:spacing w:after="0" w:line="276" w:lineRule="auto"/>
              <w:jc w:val="center"/>
              <w:textAlignment w:val="baseline"/>
              <w:rPr>
                <w:rFonts w:eastAsia="Times New Roman" w:cstheme="minorHAnsi"/>
              </w:rPr>
            </w:pPr>
            <w:r w:rsidRPr="00057F84">
              <w:rPr>
                <w:rFonts w:eastAsia="Times New Roman" w:cstheme="minorHAnsi"/>
                <w:b/>
                <w:bCs/>
              </w:rPr>
              <w:t>Cost per year</w:t>
            </w:r>
            <w:r w:rsidRPr="00057F84">
              <w:rPr>
                <w:rFonts w:eastAsia="Times New Roman" w:cstheme="minorHAnsi"/>
              </w:rPr>
              <w:t> </w:t>
            </w:r>
          </w:p>
        </w:tc>
      </w:tr>
      <w:tr w14:paraId="38CABA85" w14:textId="77777777">
        <w:tblPrEx>
          <w:tblW w:w="0" w:type="dxa"/>
          <w:tblCellMar>
            <w:left w:w="0" w:type="dxa"/>
            <w:right w:w="0" w:type="dxa"/>
          </w:tblCellMar>
          <w:tblLook w:val="04A0"/>
        </w:tblPrEx>
        <w:trPr>
          <w:trHeight w:val="300"/>
        </w:trPr>
        <w:tc>
          <w:tcPr>
            <w:tcW w:w="3645" w:type="dxa"/>
            <w:tcBorders>
              <w:top w:val="single" w:sz="6" w:space="0" w:color="auto"/>
              <w:left w:val="double" w:sz="6" w:space="0" w:color="auto"/>
              <w:bottom w:val="nil"/>
              <w:right w:val="nil"/>
            </w:tcBorders>
            <w:shd w:val="clear" w:color="auto" w:fill="auto"/>
            <w:vAlign w:val="bottom"/>
            <w:hideMark/>
          </w:tcPr>
          <w:p w:rsidR="00057F84" w:rsidRPr="00057F84" w:rsidP="00057F84" w14:paraId="104F6CE1" w14:textId="4F3B98C1">
            <w:pPr>
              <w:spacing w:after="0" w:line="276" w:lineRule="auto"/>
              <w:textAlignment w:val="baseline"/>
              <w:rPr>
                <w:rFonts w:eastAsia="Times New Roman" w:cstheme="minorHAnsi"/>
              </w:rPr>
            </w:pPr>
            <w:r w:rsidRPr="00057F84">
              <w:rPr>
                <w:rFonts w:eastAsia="Times New Roman" w:cstheme="minorHAnsi"/>
              </w:rPr>
              <w:t xml:space="preserve">Submitting bid </w:t>
            </w:r>
            <w:r w:rsidRPr="00057F84">
              <w:rPr>
                <w:rFonts w:eastAsia="Times New Roman" w:cstheme="minorHAnsi"/>
              </w:rPr>
              <w:t>information</w:t>
            </w:r>
            <w:r w:rsidRPr="00057F84">
              <w:rPr>
                <w:rFonts w:eastAsia="Times New Roman" w:cstheme="minorHAnsi"/>
                <w:vertAlign w:val="superscript"/>
              </w:rPr>
              <w:t>b</w:t>
            </w:r>
            <w:r w:rsidRPr="00057F84">
              <w:rPr>
                <w:rFonts w:eastAsia="Times New Roman" w:cstheme="minorHAnsi"/>
              </w:rPr>
              <w:t> </w:t>
            </w:r>
          </w:p>
        </w:tc>
        <w:tc>
          <w:tcPr>
            <w:tcW w:w="1605" w:type="dxa"/>
            <w:tcBorders>
              <w:top w:val="single" w:sz="6" w:space="0" w:color="auto"/>
              <w:left w:val="single" w:sz="6" w:space="0" w:color="auto"/>
              <w:bottom w:val="nil"/>
              <w:right w:val="nil"/>
            </w:tcBorders>
            <w:shd w:val="clear" w:color="auto" w:fill="auto"/>
            <w:vAlign w:val="center"/>
            <w:hideMark/>
          </w:tcPr>
          <w:p w:rsidR="00057F84" w:rsidRPr="00057F84" w:rsidP="00057F84" w14:paraId="5210A38B" w14:textId="77777777">
            <w:pPr>
              <w:spacing w:after="0" w:line="276" w:lineRule="auto"/>
              <w:jc w:val="center"/>
              <w:textAlignment w:val="baseline"/>
              <w:rPr>
                <w:rFonts w:eastAsia="Times New Roman" w:cstheme="minorHAnsi"/>
              </w:rPr>
            </w:pPr>
            <w:r w:rsidRPr="00057F84">
              <w:rPr>
                <w:rFonts w:eastAsia="Times New Roman" w:cstheme="minorHAnsi"/>
                <w:color w:val="000000"/>
              </w:rPr>
              <w:t>0.5 </w:t>
            </w:r>
          </w:p>
        </w:tc>
        <w:tc>
          <w:tcPr>
            <w:tcW w:w="1155" w:type="dxa"/>
            <w:tcBorders>
              <w:top w:val="single" w:sz="6" w:space="0" w:color="auto"/>
              <w:left w:val="single" w:sz="6" w:space="0" w:color="auto"/>
              <w:bottom w:val="nil"/>
              <w:right w:val="nil"/>
            </w:tcBorders>
            <w:shd w:val="clear" w:color="auto" w:fill="auto"/>
            <w:vAlign w:val="center"/>
            <w:hideMark/>
          </w:tcPr>
          <w:p w:rsidR="00057F84" w:rsidRPr="00057F84" w:rsidP="00057F84" w14:paraId="635EE0FD" w14:textId="0CA0FAFC">
            <w:pPr>
              <w:spacing w:after="0" w:line="276" w:lineRule="auto"/>
              <w:jc w:val="center"/>
              <w:textAlignment w:val="baseline"/>
              <w:rPr>
                <w:rFonts w:eastAsia="Times New Roman" w:cstheme="minorHAnsi"/>
              </w:rPr>
            </w:pPr>
            <w:r w:rsidRPr="00057F84">
              <w:rPr>
                <w:rFonts w:eastAsia="Times New Roman" w:cstheme="minorHAnsi"/>
                <w:color w:val="000000"/>
              </w:rPr>
              <w:t>$5</w:t>
            </w:r>
            <w:r w:rsidR="00811CBC">
              <w:rPr>
                <w:rFonts w:eastAsia="Times New Roman" w:cstheme="minorHAnsi"/>
                <w:color w:val="000000"/>
              </w:rPr>
              <w:t>8</w:t>
            </w:r>
            <w:r w:rsidRPr="00057F84">
              <w:rPr>
                <w:rFonts w:eastAsia="Times New Roman" w:cstheme="minorHAnsi"/>
                <w:color w:val="000000"/>
              </w:rPr>
              <w:t>.27  </w:t>
            </w:r>
          </w:p>
        </w:tc>
        <w:tc>
          <w:tcPr>
            <w:tcW w:w="1605" w:type="dxa"/>
            <w:tcBorders>
              <w:top w:val="single" w:sz="6" w:space="0" w:color="auto"/>
              <w:left w:val="single" w:sz="6" w:space="0" w:color="auto"/>
              <w:bottom w:val="nil"/>
              <w:right w:val="nil"/>
            </w:tcBorders>
            <w:shd w:val="clear" w:color="auto" w:fill="auto"/>
            <w:vAlign w:val="center"/>
            <w:hideMark/>
          </w:tcPr>
          <w:p w:rsidR="00057F84" w:rsidRPr="00057F84" w:rsidP="00057F84" w14:paraId="49EA2D6A" w14:textId="16C95C22">
            <w:pPr>
              <w:spacing w:after="0" w:line="276" w:lineRule="auto"/>
              <w:jc w:val="center"/>
              <w:textAlignment w:val="baseline"/>
              <w:rPr>
                <w:rFonts w:eastAsia="Times New Roman" w:cstheme="minorHAnsi"/>
              </w:rPr>
            </w:pPr>
            <w:r>
              <w:rPr>
                <w:rFonts w:eastAsia="Times New Roman" w:cstheme="minorHAnsi"/>
                <w:color w:val="000000"/>
              </w:rPr>
              <w:t>2.5</w:t>
            </w:r>
            <w:r w:rsidRPr="00057F84">
              <w:rPr>
                <w:rFonts w:eastAsia="Times New Roman" w:cstheme="minorHAnsi"/>
                <w:color w:val="000000"/>
              </w:rPr>
              <w:t> </w:t>
            </w:r>
          </w:p>
        </w:tc>
        <w:tc>
          <w:tcPr>
            <w:tcW w:w="1335" w:type="dxa"/>
            <w:tcBorders>
              <w:top w:val="single" w:sz="6" w:space="0" w:color="auto"/>
              <w:left w:val="single" w:sz="6" w:space="0" w:color="auto"/>
              <w:bottom w:val="nil"/>
              <w:right w:val="double" w:sz="6" w:space="0" w:color="auto"/>
            </w:tcBorders>
            <w:shd w:val="clear" w:color="auto" w:fill="auto"/>
            <w:vAlign w:val="center"/>
            <w:hideMark/>
          </w:tcPr>
          <w:p w:rsidR="00057F84" w:rsidRPr="00057F84" w:rsidP="00057F84" w14:paraId="37DD1DBD" w14:textId="45E03BE0">
            <w:pPr>
              <w:spacing w:after="0" w:line="276" w:lineRule="auto"/>
              <w:jc w:val="center"/>
              <w:textAlignment w:val="baseline"/>
              <w:rPr>
                <w:rFonts w:eastAsia="Times New Roman" w:cstheme="minorHAnsi"/>
              </w:rPr>
            </w:pPr>
            <w:r w:rsidRPr="00057F84">
              <w:rPr>
                <w:rFonts w:eastAsia="Times New Roman" w:cstheme="minorHAnsi"/>
                <w:color w:val="000000"/>
              </w:rPr>
              <w:t>$</w:t>
            </w:r>
            <w:r w:rsidR="00BD6A4E">
              <w:rPr>
                <w:rFonts w:eastAsia="Times New Roman" w:cstheme="minorHAnsi"/>
                <w:color w:val="000000"/>
              </w:rPr>
              <w:t>291</w:t>
            </w:r>
            <w:r w:rsidRPr="00057F84">
              <w:rPr>
                <w:rFonts w:eastAsia="Times New Roman" w:cstheme="minorHAnsi"/>
                <w:color w:val="000000"/>
              </w:rPr>
              <w:t>  </w:t>
            </w:r>
          </w:p>
        </w:tc>
      </w:tr>
      <w:tr w14:paraId="6D050C17" w14:textId="77777777">
        <w:tblPrEx>
          <w:tblW w:w="0" w:type="dxa"/>
          <w:tblCellMar>
            <w:left w:w="0" w:type="dxa"/>
            <w:right w:w="0" w:type="dxa"/>
          </w:tblCellMar>
          <w:tblLook w:val="04A0"/>
        </w:tblPrEx>
        <w:trPr>
          <w:trHeight w:val="300"/>
        </w:trPr>
        <w:tc>
          <w:tcPr>
            <w:tcW w:w="3645" w:type="dxa"/>
            <w:tcBorders>
              <w:top w:val="nil"/>
              <w:left w:val="double" w:sz="6" w:space="0" w:color="auto"/>
              <w:bottom w:val="double" w:sz="6" w:space="0" w:color="auto"/>
              <w:right w:val="nil"/>
            </w:tcBorders>
            <w:shd w:val="clear" w:color="auto" w:fill="auto"/>
            <w:vAlign w:val="bottom"/>
            <w:hideMark/>
          </w:tcPr>
          <w:p w:rsidR="00057F84" w:rsidRPr="00057F84" w:rsidP="00057F84" w14:paraId="54625882" w14:textId="5EB48ABF">
            <w:pPr>
              <w:spacing w:after="0" w:line="276" w:lineRule="auto"/>
              <w:textAlignment w:val="baseline"/>
              <w:rPr>
                <w:rFonts w:eastAsia="Times New Roman" w:cstheme="minorHAnsi"/>
              </w:rPr>
            </w:pPr>
            <w:r w:rsidRPr="00057F84">
              <w:rPr>
                <w:rFonts w:eastAsia="Times New Roman" w:cstheme="minorHAnsi"/>
              </w:rPr>
              <w:t xml:space="preserve">Obtaining means of </w:t>
            </w:r>
            <w:r w:rsidRPr="00057F84">
              <w:rPr>
                <w:rFonts w:eastAsia="Times New Roman" w:cstheme="minorHAnsi"/>
              </w:rPr>
              <w:t>payment</w:t>
            </w:r>
            <w:r w:rsidRPr="00057F84">
              <w:rPr>
                <w:rFonts w:eastAsia="Times New Roman" w:cstheme="minorHAnsi"/>
                <w:vertAlign w:val="superscript"/>
              </w:rPr>
              <w:t>b</w:t>
            </w:r>
            <w:r w:rsidRPr="00057F84">
              <w:rPr>
                <w:rFonts w:eastAsia="Times New Roman" w:cstheme="minorHAnsi"/>
              </w:rPr>
              <w:t> </w:t>
            </w:r>
          </w:p>
        </w:tc>
        <w:tc>
          <w:tcPr>
            <w:tcW w:w="1605" w:type="dxa"/>
            <w:tcBorders>
              <w:top w:val="nil"/>
              <w:left w:val="single" w:sz="6" w:space="0" w:color="auto"/>
              <w:bottom w:val="double" w:sz="6" w:space="0" w:color="auto"/>
              <w:right w:val="nil"/>
            </w:tcBorders>
            <w:shd w:val="clear" w:color="auto" w:fill="auto"/>
            <w:vAlign w:val="center"/>
            <w:hideMark/>
          </w:tcPr>
          <w:p w:rsidR="00057F84" w:rsidRPr="00057F84" w:rsidP="00057F84" w14:paraId="5BEA450C" w14:textId="77777777">
            <w:pPr>
              <w:spacing w:after="0" w:line="276" w:lineRule="auto"/>
              <w:jc w:val="center"/>
              <w:textAlignment w:val="baseline"/>
              <w:rPr>
                <w:rFonts w:eastAsia="Times New Roman" w:cstheme="minorHAnsi"/>
              </w:rPr>
            </w:pPr>
            <w:r w:rsidRPr="00057F84">
              <w:rPr>
                <w:rFonts w:eastAsia="Times New Roman" w:cstheme="minorHAnsi"/>
                <w:color w:val="000000"/>
              </w:rPr>
              <w:t>1 </w:t>
            </w:r>
          </w:p>
        </w:tc>
        <w:tc>
          <w:tcPr>
            <w:tcW w:w="1155" w:type="dxa"/>
            <w:tcBorders>
              <w:top w:val="nil"/>
              <w:left w:val="single" w:sz="6" w:space="0" w:color="auto"/>
              <w:bottom w:val="double" w:sz="6" w:space="0" w:color="auto"/>
              <w:right w:val="nil"/>
            </w:tcBorders>
            <w:shd w:val="clear" w:color="auto" w:fill="auto"/>
            <w:vAlign w:val="center"/>
            <w:hideMark/>
          </w:tcPr>
          <w:p w:rsidR="00057F84" w:rsidRPr="00057F84" w:rsidP="00057F84" w14:paraId="4567C4AF" w14:textId="4665CAB4">
            <w:pPr>
              <w:spacing w:after="0" w:line="276" w:lineRule="auto"/>
              <w:jc w:val="center"/>
              <w:textAlignment w:val="baseline"/>
              <w:rPr>
                <w:rFonts w:eastAsia="Times New Roman" w:cstheme="minorHAnsi"/>
              </w:rPr>
            </w:pPr>
            <w:r w:rsidRPr="00057F84">
              <w:rPr>
                <w:rFonts w:eastAsia="Times New Roman" w:cstheme="minorHAnsi"/>
                <w:color w:val="000000"/>
              </w:rPr>
              <w:t>$1</w:t>
            </w:r>
            <w:r w:rsidR="00BD6A4E">
              <w:rPr>
                <w:rFonts w:eastAsia="Times New Roman" w:cstheme="minorHAnsi"/>
                <w:color w:val="000000"/>
              </w:rPr>
              <w:t>16</w:t>
            </w:r>
            <w:r w:rsidRPr="00057F84">
              <w:rPr>
                <w:rFonts w:eastAsia="Times New Roman" w:cstheme="minorHAnsi"/>
                <w:color w:val="000000"/>
              </w:rPr>
              <w:t>.54  </w:t>
            </w:r>
          </w:p>
        </w:tc>
        <w:tc>
          <w:tcPr>
            <w:tcW w:w="1605" w:type="dxa"/>
            <w:tcBorders>
              <w:top w:val="nil"/>
              <w:left w:val="single" w:sz="6" w:space="0" w:color="auto"/>
              <w:bottom w:val="double" w:sz="6" w:space="0" w:color="auto"/>
              <w:right w:val="nil"/>
            </w:tcBorders>
            <w:shd w:val="clear" w:color="auto" w:fill="auto"/>
            <w:vAlign w:val="center"/>
            <w:hideMark/>
          </w:tcPr>
          <w:p w:rsidR="00057F84" w:rsidRPr="00057F84" w:rsidP="00057F84" w14:paraId="38F159EC" w14:textId="4A1E3C6C">
            <w:pPr>
              <w:spacing w:after="0" w:line="276" w:lineRule="auto"/>
              <w:jc w:val="center"/>
              <w:textAlignment w:val="baseline"/>
              <w:rPr>
                <w:rFonts w:eastAsia="Times New Roman" w:cstheme="minorHAnsi"/>
              </w:rPr>
            </w:pPr>
            <w:r>
              <w:rPr>
                <w:rFonts w:eastAsia="Times New Roman" w:cstheme="minorHAnsi"/>
                <w:color w:val="000000"/>
              </w:rPr>
              <w:t>5</w:t>
            </w:r>
            <w:r w:rsidRPr="00057F84">
              <w:rPr>
                <w:rFonts w:eastAsia="Times New Roman" w:cstheme="minorHAnsi"/>
                <w:color w:val="000000"/>
              </w:rPr>
              <w:t> </w:t>
            </w:r>
          </w:p>
        </w:tc>
        <w:tc>
          <w:tcPr>
            <w:tcW w:w="1335" w:type="dxa"/>
            <w:tcBorders>
              <w:top w:val="nil"/>
              <w:left w:val="single" w:sz="6" w:space="0" w:color="auto"/>
              <w:bottom w:val="double" w:sz="6" w:space="0" w:color="auto"/>
              <w:right w:val="double" w:sz="6" w:space="0" w:color="auto"/>
            </w:tcBorders>
            <w:shd w:val="clear" w:color="auto" w:fill="auto"/>
            <w:vAlign w:val="center"/>
            <w:hideMark/>
          </w:tcPr>
          <w:p w:rsidR="00057F84" w:rsidRPr="00057F84" w:rsidP="00057F84" w14:paraId="1E137F3D" w14:textId="0500DDB2">
            <w:pPr>
              <w:spacing w:after="0" w:line="276" w:lineRule="auto"/>
              <w:jc w:val="center"/>
              <w:textAlignment w:val="baseline"/>
              <w:rPr>
                <w:rFonts w:eastAsia="Times New Roman" w:cstheme="minorHAnsi"/>
              </w:rPr>
            </w:pPr>
            <w:r w:rsidRPr="00057F84">
              <w:rPr>
                <w:rFonts w:eastAsia="Times New Roman" w:cstheme="minorHAnsi"/>
                <w:color w:val="000000"/>
              </w:rPr>
              <w:t>$</w:t>
            </w:r>
            <w:r w:rsidR="00BD6A4E">
              <w:rPr>
                <w:rFonts w:eastAsia="Times New Roman" w:cstheme="minorHAnsi"/>
                <w:color w:val="000000"/>
              </w:rPr>
              <w:t>583</w:t>
            </w:r>
            <w:r w:rsidRPr="00057F84">
              <w:rPr>
                <w:rFonts w:eastAsia="Times New Roman" w:cstheme="minorHAnsi"/>
                <w:color w:val="000000"/>
              </w:rPr>
              <w:t>  </w:t>
            </w:r>
          </w:p>
        </w:tc>
      </w:tr>
      <w:tr w14:paraId="0772FDBA" w14:textId="77777777">
        <w:tblPrEx>
          <w:tblW w:w="0" w:type="dxa"/>
          <w:tblCellMar>
            <w:left w:w="0" w:type="dxa"/>
            <w:right w:w="0" w:type="dxa"/>
          </w:tblCellMar>
          <w:tblLook w:val="04A0"/>
        </w:tblPrEx>
        <w:trPr>
          <w:trHeight w:val="300"/>
        </w:trPr>
        <w:tc>
          <w:tcPr>
            <w:tcW w:w="3645" w:type="dxa"/>
            <w:tcBorders>
              <w:top w:val="nil"/>
              <w:left w:val="double" w:sz="6" w:space="0" w:color="auto"/>
              <w:bottom w:val="double" w:sz="6" w:space="0" w:color="auto"/>
              <w:right w:val="nil"/>
            </w:tcBorders>
            <w:shd w:val="clear" w:color="auto" w:fill="auto"/>
            <w:vAlign w:val="bottom"/>
            <w:hideMark/>
          </w:tcPr>
          <w:p w:rsidR="00057F84" w:rsidRPr="00057F84" w:rsidP="00057F84" w14:paraId="75ADD2C0" w14:textId="77777777">
            <w:pPr>
              <w:spacing w:after="0" w:line="276" w:lineRule="auto"/>
              <w:textAlignment w:val="baseline"/>
              <w:rPr>
                <w:rFonts w:eastAsia="Times New Roman" w:cstheme="minorHAnsi"/>
              </w:rPr>
            </w:pPr>
            <w:r w:rsidRPr="00057F84">
              <w:rPr>
                <w:rFonts w:eastAsia="Times New Roman" w:cstheme="minorHAnsi"/>
                <w:b/>
                <w:bCs/>
              </w:rPr>
              <w:t>Totals</w:t>
            </w:r>
            <w:r w:rsidRPr="00057F84">
              <w:rPr>
                <w:rFonts w:eastAsia="Times New Roman" w:cstheme="minorHAnsi"/>
              </w:rPr>
              <w:t> </w:t>
            </w:r>
          </w:p>
        </w:tc>
        <w:tc>
          <w:tcPr>
            <w:tcW w:w="1605" w:type="dxa"/>
            <w:tcBorders>
              <w:top w:val="nil"/>
              <w:left w:val="single" w:sz="6" w:space="0" w:color="auto"/>
              <w:bottom w:val="double" w:sz="6" w:space="0" w:color="auto"/>
              <w:right w:val="nil"/>
            </w:tcBorders>
            <w:shd w:val="clear" w:color="auto" w:fill="auto"/>
            <w:vAlign w:val="center"/>
            <w:hideMark/>
          </w:tcPr>
          <w:p w:rsidR="00057F84" w:rsidRPr="00057F84" w:rsidP="00057F84" w14:paraId="287B0E75" w14:textId="77777777">
            <w:pPr>
              <w:spacing w:after="0" w:line="276" w:lineRule="auto"/>
              <w:jc w:val="center"/>
              <w:textAlignment w:val="baseline"/>
              <w:rPr>
                <w:rFonts w:eastAsia="Times New Roman" w:cstheme="minorHAnsi"/>
              </w:rPr>
            </w:pPr>
            <w:r w:rsidRPr="00057F84">
              <w:rPr>
                <w:rFonts w:eastAsia="Times New Roman" w:cstheme="minorHAnsi"/>
                <w:b/>
                <w:bCs/>
                <w:color w:val="000000"/>
              </w:rPr>
              <w:t>1.5</w:t>
            </w:r>
            <w:r w:rsidRPr="00057F84">
              <w:rPr>
                <w:rFonts w:eastAsia="Times New Roman" w:cstheme="minorHAnsi"/>
                <w:color w:val="000000"/>
              </w:rPr>
              <w:t> </w:t>
            </w:r>
          </w:p>
        </w:tc>
        <w:tc>
          <w:tcPr>
            <w:tcW w:w="1155" w:type="dxa"/>
            <w:tcBorders>
              <w:top w:val="nil"/>
              <w:left w:val="single" w:sz="6" w:space="0" w:color="auto"/>
              <w:bottom w:val="double" w:sz="6" w:space="0" w:color="auto"/>
              <w:right w:val="nil"/>
            </w:tcBorders>
            <w:shd w:val="clear" w:color="auto" w:fill="auto"/>
            <w:vAlign w:val="center"/>
            <w:hideMark/>
          </w:tcPr>
          <w:p w:rsidR="00057F84" w:rsidRPr="00057F84" w:rsidP="00057F84" w14:paraId="13E657FA" w14:textId="266AD01E">
            <w:pPr>
              <w:spacing w:after="0" w:line="276" w:lineRule="auto"/>
              <w:jc w:val="center"/>
              <w:textAlignment w:val="baseline"/>
              <w:rPr>
                <w:rFonts w:eastAsia="Times New Roman" w:cstheme="minorHAnsi"/>
              </w:rPr>
            </w:pPr>
            <w:r>
              <w:rPr>
                <w:rFonts w:eastAsia="Times New Roman" w:cstheme="minorHAnsi"/>
                <w:b/>
                <w:bCs/>
                <w:color w:val="000000"/>
              </w:rPr>
              <w:t>174.8</w:t>
            </w:r>
            <w:r w:rsidR="00C85ACD">
              <w:rPr>
                <w:rFonts w:eastAsia="Times New Roman" w:cstheme="minorHAnsi"/>
                <w:b/>
                <w:bCs/>
                <w:color w:val="000000"/>
              </w:rPr>
              <w:t>1</w:t>
            </w:r>
            <w:r w:rsidRPr="00057F84">
              <w:rPr>
                <w:rFonts w:eastAsia="Times New Roman" w:cstheme="minorHAnsi"/>
                <w:color w:val="000000"/>
              </w:rPr>
              <w:t> </w:t>
            </w:r>
          </w:p>
        </w:tc>
        <w:tc>
          <w:tcPr>
            <w:tcW w:w="1605" w:type="dxa"/>
            <w:tcBorders>
              <w:top w:val="nil"/>
              <w:left w:val="single" w:sz="6" w:space="0" w:color="auto"/>
              <w:bottom w:val="double" w:sz="6" w:space="0" w:color="auto"/>
              <w:right w:val="nil"/>
            </w:tcBorders>
            <w:shd w:val="clear" w:color="auto" w:fill="auto"/>
            <w:vAlign w:val="center"/>
            <w:hideMark/>
          </w:tcPr>
          <w:p w:rsidR="00057F84" w:rsidRPr="00057F84" w:rsidP="00057F84" w14:paraId="06C9D183" w14:textId="42997138">
            <w:pPr>
              <w:spacing w:after="0" w:line="276" w:lineRule="auto"/>
              <w:jc w:val="center"/>
              <w:textAlignment w:val="baseline"/>
              <w:rPr>
                <w:rFonts w:eastAsia="Times New Roman" w:cstheme="minorHAnsi"/>
              </w:rPr>
            </w:pPr>
            <w:r>
              <w:rPr>
                <w:rFonts w:eastAsia="Times New Roman" w:cstheme="minorHAnsi"/>
                <w:b/>
                <w:bCs/>
                <w:color w:val="000000"/>
              </w:rPr>
              <w:t>7.5</w:t>
            </w:r>
            <w:r w:rsidRPr="00057F84">
              <w:rPr>
                <w:rFonts w:eastAsia="Times New Roman" w:cstheme="minorHAnsi"/>
                <w:color w:val="000000"/>
              </w:rPr>
              <w:t> </w:t>
            </w:r>
          </w:p>
        </w:tc>
        <w:tc>
          <w:tcPr>
            <w:tcW w:w="1335" w:type="dxa"/>
            <w:tcBorders>
              <w:top w:val="nil"/>
              <w:left w:val="single" w:sz="6" w:space="0" w:color="auto"/>
              <w:bottom w:val="double" w:sz="6" w:space="0" w:color="auto"/>
              <w:right w:val="double" w:sz="6" w:space="0" w:color="auto"/>
            </w:tcBorders>
            <w:shd w:val="clear" w:color="auto" w:fill="auto"/>
            <w:vAlign w:val="center"/>
            <w:hideMark/>
          </w:tcPr>
          <w:p w:rsidR="00057F84" w:rsidRPr="00057F84" w:rsidP="00057F84" w14:paraId="07775134" w14:textId="1399444B">
            <w:pPr>
              <w:spacing w:after="0" w:line="276" w:lineRule="auto"/>
              <w:jc w:val="center"/>
              <w:textAlignment w:val="baseline"/>
              <w:rPr>
                <w:rFonts w:eastAsia="Times New Roman" w:cstheme="minorHAnsi"/>
              </w:rPr>
            </w:pPr>
            <w:r w:rsidRPr="00057F84">
              <w:rPr>
                <w:rFonts w:eastAsia="Times New Roman" w:cstheme="minorHAnsi"/>
                <w:b/>
                <w:bCs/>
                <w:color w:val="000000"/>
              </w:rPr>
              <w:t>$</w:t>
            </w:r>
            <w:r w:rsidR="00BD6A4E">
              <w:rPr>
                <w:rFonts w:eastAsia="Times New Roman" w:cstheme="minorHAnsi"/>
                <w:b/>
                <w:bCs/>
                <w:color w:val="000000"/>
              </w:rPr>
              <w:t>874</w:t>
            </w:r>
            <w:r w:rsidRPr="00057F84">
              <w:rPr>
                <w:rFonts w:eastAsia="Times New Roman" w:cstheme="minorHAnsi"/>
                <w:color w:val="000000"/>
              </w:rPr>
              <w:t> </w:t>
            </w:r>
          </w:p>
        </w:tc>
      </w:tr>
    </w:tbl>
    <w:p w:rsidR="00057F84" w:rsidRPr="00057F84" w:rsidP="00057F84" w14:paraId="617C8722" w14:textId="6E23D1D3">
      <w:pPr>
        <w:spacing w:after="0" w:line="276" w:lineRule="auto"/>
        <w:textAlignment w:val="baseline"/>
        <w:rPr>
          <w:rFonts w:eastAsia="Times New Roman" w:cstheme="minorHAnsi"/>
          <w:sz w:val="18"/>
          <w:szCs w:val="18"/>
        </w:rPr>
      </w:pPr>
      <w:r w:rsidRPr="00057F84">
        <w:rPr>
          <w:rFonts w:eastAsia="Times New Roman" w:cstheme="minorHAnsi"/>
          <w:sz w:val="18"/>
          <w:szCs w:val="18"/>
          <w:vertAlign w:val="superscript"/>
        </w:rPr>
        <w:t>a</w:t>
      </w:r>
      <w:r w:rsidRPr="00057F84">
        <w:rPr>
          <w:rFonts w:eastAsia="Times New Roman" w:cstheme="minorHAnsi"/>
          <w:sz w:val="18"/>
          <w:szCs w:val="18"/>
        </w:rPr>
        <w:t>Based</w:t>
      </w:r>
      <w:r w:rsidRPr="00057F84">
        <w:rPr>
          <w:rFonts w:eastAsia="Times New Roman" w:cstheme="minorHAnsi"/>
          <w:sz w:val="18"/>
          <w:szCs w:val="18"/>
        </w:rPr>
        <w:t xml:space="preserve"> on an average rate of $1</w:t>
      </w:r>
      <w:r w:rsidR="003C5E4E">
        <w:rPr>
          <w:rFonts w:eastAsia="Times New Roman" w:cstheme="minorHAnsi"/>
          <w:sz w:val="18"/>
          <w:szCs w:val="18"/>
        </w:rPr>
        <w:t>16.54</w:t>
      </w:r>
      <w:r w:rsidRPr="00057F84">
        <w:rPr>
          <w:rFonts w:eastAsia="Times New Roman" w:cstheme="minorHAnsi"/>
          <w:sz w:val="18"/>
          <w:szCs w:val="18"/>
        </w:rPr>
        <w:t xml:space="preserve"> per hour (for costing purposes, it is assumed that 80 percent of the total hours will be Managerial ($1</w:t>
      </w:r>
      <w:r w:rsidR="00510DB6">
        <w:rPr>
          <w:rFonts w:eastAsia="Times New Roman" w:cstheme="minorHAnsi"/>
          <w:sz w:val="18"/>
          <w:szCs w:val="18"/>
        </w:rPr>
        <w:t>23.48</w:t>
      </w:r>
      <w:r w:rsidRPr="00057F84">
        <w:rPr>
          <w:rFonts w:eastAsia="Times New Roman" w:cstheme="minorHAnsi"/>
          <w:sz w:val="18"/>
          <w:szCs w:val="18"/>
        </w:rPr>
        <w:t xml:space="preserve"> per hour</w:t>
      </w:r>
      <w:r w:rsidRPr="00057F84">
        <w:rPr>
          <w:rFonts w:eastAsia="Times New Roman" w:cstheme="minorHAnsi"/>
          <w:sz w:val="18"/>
          <w:szCs w:val="18"/>
        </w:rPr>
        <w:t>)</w:t>
      </w:r>
      <w:r w:rsidRPr="00057F84">
        <w:rPr>
          <w:rFonts w:eastAsia="Times New Roman" w:cstheme="minorHAnsi"/>
          <w:sz w:val="18"/>
          <w:szCs w:val="18"/>
        </w:rPr>
        <w:t xml:space="preserve"> and 20 percent will be Technical ($</w:t>
      </w:r>
      <w:r w:rsidR="00F57AF9">
        <w:rPr>
          <w:rFonts w:eastAsia="Times New Roman" w:cstheme="minorHAnsi"/>
          <w:sz w:val="18"/>
          <w:szCs w:val="18"/>
        </w:rPr>
        <w:t>88.80</w:t>
      </w:r>
      <w:r w:rsidRPr="00057F84">
        <w:rPr>
          <w:rFonts w:eastAsia="Times New Roman" w:cstheme="minorHAnsi"/>
          <w:sz w:val="18"/>
          <w:szCs w:val="18"/>
        </w:rPr>
        <w:t xml:space="preserve"> per hour). These estimates are based on 202</w:t>
      </w:r>
      <w:r w:rsidR="00F57AF9">
        <w:rPr>
          <w:rFonts w:eastAsia="Times New Roman" w:cstheme="minorHAnsi"/>
          <w:sz w:val="18"/>
          <w:szCs w:val="18"/>
        </w:rPr>
        <w:t>4</w:t>
      </w:r>
      <w:r w:rsidRPr="00057F84">
        <w:rPr>
          <w:rFonts w:eastAsia="Times New Roman" w:cstheme="minorHAnsi"/>
          <w:sz w:val="18"/>
          <w:szCs w:val="18"/>
        </w:rPr>
        <w:t xml:space="preserve"> dollars.</w:t>
      </w:r>
    </w:p>
    <w:p w:rsidR="00057F84" w:rsidRPr="00057F84" w:rsidP="00057F84" w14:paraId="015916E5" w14:textId="6F358BB4">
      <w:pPr>
        <w:spacing w:after="0" w:line="276" w:lineRule="auto"/>
        <w:textAlignment w:val="baseline"/>
        <w:rPr>
          <w:rFonts w:eastAsia="Times New Roman" w:cstheme="minorHAnsi"/>
          <w:sz w:val="18"/>
          <w:szCs w:val="18"/>
        </w:rPr>
      </w:pPr>
      <w:r w:rsidRPr="00057F84">
        <w:rPr>
          <w:rFonts w:eastAsia="Times New Roman" w:cstheme="minorHAnsi"/>
          <w:sz w:val="18"/>
          <w:szCs w:val="18"/>
          <w:vertAlign w:val="superscript"/>
        </w:rPr>
        <w:t>b</w:t>
      </w:r>
      <w:r w:rsidRPr="00057F84">
        <w:rPr>
          <w:rFonts w:eastAsia="Times New Roman" w:cstheme="minorHAnsi"/>
          <w:sz w:val="18"/>
          <w:szCs w:val="18"/>
        </w:rPr>
        <w:t>The</w:t>
      </w:r>
      <w:r w:rsidRPr="00057F84">
        <w:rPr>
          <w:rFonts w:eastAsia="Times New Roman" w:cstheme="minorHAnsi"/>
          <w:sz w:val="18"/>
          <w:szCs w:val="18"/>
        </w:rPr>
        <w:t xml:space="preserve"> </w:t>
      </w:r>
      <w:r w:rsidR="000F7669">
        <w:rPr>
          <w:rFonts w:eastAsia="Times New Roman" w:cstheme="minorHAnsi"/>
          <w:sz w:val="18"/>
          <w:szCs w:val="18"/>
        </w:rPr>
        <w:t>5</w:t>
      </w:r>
      <w:r w:rsidRPr="00057F84">
        <w:rPr>
          <w:rFonts w:eastAsia="Times New Roman" w:cstheme="minorHAnsi"/>
          <w:sz w:val="18"/>
          <w:szCs w:val="18"/>
        </w:rPr>
        <w:t xml:space="preserve"> bids represents an average number of bids over the past three EPA auctions.   </w:t>
      </w:r>
    </w:p>
    <w:p w:rsidR="00057F84" w:rsidRPr="00057F84" w:rsidP="00057F84" w14:paraId="51D0061D" w14:textId="77777777">
      <w:pPr>
        <w:numPr>
          <w:ilvl w:val="12"/>
          <w:numId w:val="0"/>
        </w:numPr>
        <w:spacing w:line="276" w:lineRule="auto"/>
        <w:rPr>
          <w:rFonts w:cstheme="minorHAnsi"/>
        </w:rPr>
      </w:pPr>
    </w:p>
    <w:p w:rsidR="00037A4F" w:rsidP="00057F84" w14:paraId="74E660AC" w14:textId="77777777">
      <w:pPr>
        <w:pStyle w:val="ListParagraph"/>
        <w:numPr>
          <w:ilvl w:val="0"/>
          <w:numId w:val="46"/>
        </w:numPr>
        <w:spacing w:after="0" w:line="276" w:lineRule="auto"/>
        <w:textAlignment w:val="baseline"/>
        <w:rPr>
          <w:rFonts w:eastAsia="Times New Roman" w:cstheme="minorHAnsi"/>
        </w:rPr>
      </w:pPr>
      <w:r w:rsidRPr="00037A4F">
        <w:rPr>
          <w:rFonts w:eastAsia="Times New Roman" w:cstheme="minorHAnsi"/>
        </w:rPr>
        <w:t>NO</w:t>
      </w:r>
      <w:r w:rsidRPr="00037A4F">
        <w:rPr>
          <w:rFonts w:eastAsia="Times New Roman" w:cstheme="minorHAnsi"/>
          <w:vertAlign w:val="subscript"/>
        </w:rPr>
        <w:t>X</w:t>
      </w:r>
      <w:r w:rsidRPr="00037A4F">
        <w:rPr>
          <w:rFonts w:eastAsia="Times New Roman" w:cstheme="minorHAnsi"/>
        </w:rPr>
        <w:t xml:space="preserve"> Permitting </w:t>
      </w:r>
    </w:p>
    <w:p w:rsidR="00037A4F" w:rsidP="00037A4F" w14:paraId="2BFA5723" w14:textId="77777777">
      <w:pPr>
        <w:pStyle w:val="ListParagraph"/>
        <w:numPr>
          <w:ilvl w:val="1"/>
          <w:numId w:val="46"/>
        </w:numPr>
        <w:spacing w:after="0" w:line="276" w:lineRule="auto"/>
        <w:textAlignment w:val="baseline"/>
        <w:rPr>
          <w:rFonts w:eastAsia="Times New Roman" w:cstheme="minorHAnsi"/>
        </w:rPr>
      </w:pPr>
      <w:r w:rsidRPr="00037A4F">
        <w:rPr>
          <w:rFonts w:eastAsia="Times New Roman" w:cstheme="minorHAnsi"/>
        </w:rPr>
        <w:t>This subsection estimates the burden and cost of renewing and revising NO</w:t>
      </w:r>
      <w:r w:rsidRPr="00037A4F">
        <w:rPr>
          <w:rFonts w:eastAsia="Times New Roman" w:cstheme="minorHAnsi"/>
          <w:vertAlign w:val="subscript"/>
        </w:rPr>
        <w:t>X</w:t>
      </w:r>
      <w:r w:rsidRPr="00037A4F">
        <w:rPr>
          <w:rFonts w:eastAsia="Times New Roman" w:cstheme="minorHAnsi"/>
        </w:rPr>
        <w:t xml:space="preserve"> compliance plans.  </w:t>
      </w:r>
    </w:p>
    <w:p w:rsidR="00037A4F" w:rsidP="00037A4F" w14:paraId="7A9E8D10" w14:textId="77777777">
      <w:pPr>
        <w:pStyle w:val="ListParagraph"/>
        <w:numPr>
          <w:ilvl w:val="1"/>
          <w:numId w:val="46"/>
        </w:numPr>
        <w:spacing w:after="0" w:line="276" w:lineRule="auto"/>
        <w:textAlignment w:val="baseline"/>
        <w:rPr>
          <w:rFonts w:eastAsia="Times New Roman" w:cstheme="minorHAnsi"/>
          <w:i/>
          <w:iCs/>
        </w:rPr>
      </w:pPr>
      <w:r w:rsidRPr="00037A4F">
        <w:rPr>
          <w:rFonts w:eastAsia="Times New Roman" w:cstheme="minorHAnsi"/>
          <w:i/>
          <w:iCs/>
        </w:rPr>
        <w:t xml:space="preserve">Estimate of Respondent Burden and Costs </w:t>
      </w:r>
    </w:p>
    <w:p w:rsidR="00037A4F" w:rsidRPr="00037A4F" w:rsidP="00037A4F" w14:paraId="63A23CE3" w14:textId="316C92C9">
      <w:pPr>
        <w:pStyle w:val="ListParagraph"/>
        <w:numPr>
          <w:ilvl w:val="2"/>
          <w:numId w:val="46"/>
        </w:numPr>
        <w:spacing w:after="0" w:line="276" w:lineRule="auto"/>
        <w:textAlignment w:val="baseline"/>
        <w:rPr>
          <w:rFonts w:eastAsia="Times New Roman" w:cstheme="minorHAnsi"/>
          <w:i/>
          <w:iCs/>
        </w:rPr>
      </w:pPr>
      <w:r w:rsidRPr="008553A7">
        <w:rPr>
          <w:rFonts w:eastAsia="Times New Roman" w:cstheme="minorHAnsi"/>
        </w:rPr>
        <w:t xml:space="preserve">Table </w:t>
      </w:r>
      <w:r w:rsidRPr="008553A7" w:rsidR="008553A7">
        <w:rPr>
          <w:rFonts w:eastAsia="Times New Roman" w:cstheme="minorHAnsi"/>
        </w:rPr>
        <w:t xml:space="preserve">12.6 </w:t>
      </w:r>
      <w:r w:rsidRPr="00037A4F" w:rsidR="008553A7">
        <w:rPr>
          <w:rFonts w:eastAsia="Times New Roman" w:cstheme="minorHAnsi"/>
        </w:rPr>
        <w:t>presents</w:t>
      </w:r>
      <w:r w:rsidRPr="00037A4F" w:rsidR="00057F84">
        <w:rPr>
          <w:rFonts w:eastAsia="Times New Roman" w:cstheme="minorHAnsi"/>
        </w:rPr>
        <w:t xml:space="preserve"> the burden and costs to applicants for preparing and submitting NO</w:t>
      </w:r>
      <w:r w:rsidRPr="00037A4F" w:rsidR="00057F84">
        <w:rPr>
          <w:rFonts w:eastAsia="Times New Roman" w:cstheme="minorHAnsi"/>
          <w:vertAlign w:val="subscript"/>
        </w:rPr>
        <w:t>X</w:t>
      </w:r>
      <w:r w:rsidRPr="00037A4F" w:rsidR="00057F84">
        <w:rPr>
          <w:rFonts w:eastAsia="Times New Roman" w:cstheme="minorHAnsi"/>
        </w:rPr>
        <w:t xml:space="preserve"> compliance plan renewal applications and revising NO</w:t>
      </w:r>
      <w:r w:rsidRPr="00037A4F" w:rsidR="00057F84">
        <w:rPr>
          <w:rFonts w:eastAsia="Times New Roman" w:cstheme="minorHAnsi"/>
          <w:vertAlign w:val="subscript"/>
        </w:rPr>
        <w:t>x</w:t>
      </w:r>
      <w:r w:rsidRPr="00037A4F" w:rsidR="00057F84">
        <w:rPr>
          <w:rFonts w:eastAsia="Times New Roman" w:cstheme="minorHAnsi"/>
        </w:rPr>
        <w:t xml:space="preserve"> compliance plans. Permits, including NO</w:t>
      </w:r>
      <w:r w:rsidRPr="00037A4F" w:rsidR="00057F84">
        <w:rPr>
          <w:rFonts w:eastAsia="Times New Roman" w:cstheme="minorHAnsi"/>
          <w:vertAlign w:val="subscript"/>
        </w:rPr>
        <w:t>X</w:t>
      </w:r>
      <w:r w:rsidRPr="00037A4F" w:rsidR="00057F84">
        <w:rPr>
          <w:rFonts w:eastAsia="Times New Roman" w:cstheme="minorHAnsi"/>
        </w:rPr>
        <w:t xml:space="preserve"> compliance plans for units affected for NO</w:t>
      </w:r>
      <w:r w:rsidRPr="00037A4F" w:rsidR="00057F84">
        <w:rPr>
          <w:rFonts w:eastAsia="Times New Roman" w:cstheme="minorHAnsi"/>
          <w:vertAlign w:val="subscript"/>
        </w:rPr>
        <w:t>X</w:t>
      </w:r>
      <w:r w:rsidRPr="00037A4F" w:rsidR="00057F84">
        <w:rPr>
          <w:rFonts w:eastAsia="Times New Roman" w:cstheme="minorHAnsi"/>
        </w:rPr>
        <w:t>, must be renewed every five years. Therefore, EPA assumes 20 percent of all units affected for NO</w:t>
      </w:r>
      <w:r w:rsidRPr="00037A4F" w:rsidR="00057F84">
        <w:rPr>
          <w:rFonts w:eastAsia="Times New Roman" w:cstheme="minorHAnsi"/>
          <w:vertAlign w:val="subscript"/>
        </w:rPr>
        <w:t xml:space="preserve">X </w:t>
      </w:r>
      <w:r w:rsidRPr="00037A4F" w:rsidR="00057F84">
        <w:rPr>
          <w:rFonts w:eastAsia="Times New Roman" w:cstheme="minorHAnsi"/>
        </w:rPr>
        <w:t xml:space="preserve">(i.e., </w:t>
      </w:r>
      <w:r w:rsidR="0092377C">
        <w:rPr>
          <w:rFonts w:eastAsia="Times New Roman" w:cstheme="minorHAnsi"/>
        </w:rPr>
        <w:t>8</w:t>
      </w:r>
      <w:r w:rsidRPr="00037A4F" w:rsidR="00057F84">
        <w:rPr>
          <w:rFonts w:eastAsia="Times New Roman" w:cstheme="minorHAnsi"/>
        </w:rPr>
        <w:t>6 units) will submit NO</w:t>
      </w:r>
      <w:r w:rsidRPr="00037A4F" w:rsidR="00057F84">
        <w:rPr>
          <w:rFonts w:eastAsia="Times New Roman" w:cstheme="minorHAnsi"/>
          <w:vertAlign w:val="subscript"/>
        </w:rPr>
        <w:t>X</w:t>
      </w:r>
      <w:r w:rsidRPr="00037A4F" w:rsidR="00057F84">
        <w:rPr>
          <w:rFonts w:eastAsia="Times New Roman" w:cstheme="minorHAnsi"/>
        </w:rPr>
        <w:t xml:space="preserve"> compliance plan renewal applications each year. Based on previous years of the program, EPA </w:t>
      </w:r>
      <w:r w:rsidR="00503BD0">
        <w:rPr>
          <w:rFonts w:eastAsia="Times New Roman" w:cstheme="minorHAnsi"/>
        </w:rPr>
        <w:t xml:space="preserve">anticipates5% of sources </w:t>
      </w:r>
      <w:r w:rsidR="00A656AB">
        <w:rPr>
          <w:rFonts w:eastAsia="Times New Roman" w:cstheme="minorHAnsi"/>
        </w:rPr>
        <w:t xml:space="preserve">(21) </w:t>
      </w:r>
      <w:r w:rsidR="00F465F9">
        <w:rPr>
          <w:rFonts w:eastAsia="Times New Roman" w:cstheme="minorHAnsi"/>
        </w:rPr>
        <w:t xml:space="preserve">to make </w:t>
      </w:r>
      <w:r w:rsidRPr="00037A4F" w:rsidR="00057F84">
        <w:rPr>
          <w:rFonts w:eastAsia="Times New Roman" w:cstheme="minorHAnsi"/>
        </w:rPr>
        <w:t>NO</w:t>
      </w:r>
      <w:r w:rsidRPr="00037A4F" w:rsidR="00057F84">
        <w:rPr>
          <w:rFonts w:eastAsia="Times New Roman" w:cstheme="minorHAnsi"/>
          <w:vertAlign w:val="subscript"/>
        </w:rPr>
        <w:t>X</w:t>
      </w:r>
      <w:r w:rsidRPr="00037A4F" w:rsidR="00057F84">
        <w:rPr>
          <w:rFonts w:eastAsia="Times New Roman" w:cstheme="minorHAnsi"/>
        </w:rPr>
        <w:t xml:space="preserve"> compliance plan revisions each year.   </w:t>
      </w:r>
    </w:p>
    <w:p w:rsidR="00797DB2" w:rsidRPr="001D3AF0" w:rsidP="001D3AF0" w14:paraId="01613CAC" w14:textId="2D8F7DB7">
      <w:pPr>
        <w:pStyle w:val="ListParagraph"/>
        <w:numPr>
          <w:ilvl w:val="2"/>
          <w:numId w:val="46"/>
        </w:numPr>
        <w:spacing w:after="0" w:line="276" w:lineRule="auto"/>
        <w:textAlignment w:val="baseline"/>
        <w:rPr>
          <w:rFonts w:eastAsia="Times New Roman" w:cstheme="minorHAnsi"/>
          <w:i/>
          <w:iCs/>
        </w:rPr>
      </w:pPr>
      <w:r w:rsidRPr="00037A4F">
        <w:rPr>
          <w:rFonts w:eastAsia="Times New Roman" w:cstheme="minorHAnsi"/>
        </w:rPr>
        <w:t>For each compliance plan renewal, EPA estimates that the applicant will require about five hours, while compliance plan revisions will require about ten hours. The total respondent burden for NO</w:t>
      </w:r>
      <w:r w:rsidRPr="00037A4F">
        <w:rPr>
          <w:rFonts w:eastAsia="Times New Roman" w:cstheme="minorHAnsi"/>
          <w:vertAlign w:val="subscript"/>
        </w:rPr>
        <w:t>X</w:t>
      </w:r>
      <w:r w:rsidRPr="00037A4F">
        <w:rPr>
          <w:rFonts w:eastAsia="Times New Roman" w:cstheme="minorHAnsi"/>
        </w:rPr>
        <w:t xml:space="preserve"> permitting, as shown in Table 1</w:t>
      </w:r>
      <w:r w:rsidRPr="00037A4F">
        <w:rPr>
          <w:rFonts w:eastAsia="Times New Roman" w:cstheme="minorHAnsi"/>
        </w:rPr>
        <w:t>2</w:t>
      </w:r>
      <w:r w:rsidRPr="00037A4F">
        <w:rPr>
          <w:rFonts w:eastAsia="Times New Roman" w:cstheme="minorHAnsi"/>
        </w:rPr>
        <w:t xml:space="preserve">.6, is estimated to be </w:t>
      </w:r>
      <w:r w:rsidRPr="0081446C" w:rsidR="0081446C">
        <w:rPr>
          <w:rFonts w:eastAsia="Times New Roman" w:cstheme="minorHAnsi"/>
        </w:rPr>
        <w:t>640</w:t>
      </w:r>
      <w:r w:rsidRPr="0081446C">
        <w:rPr>
          <w:rFonts w:eastAsia="Times New Roman" w:cstheme="minorHAnsi"/>
        </w:rPr>
        <w:t xml:space="preserve"> hours each year. The costs associated with NO</w:t>
      </w:r>
      <w:r w:rsidRPr="0081446C">
        <w:rPr>
          <w:rFonts w:eastAsia="Times New Roman" w:cstheme="minorHAnsi"/>
          <w:vertAlign w:val="subscript"/>
        </w:rPr>
        <w:t>X</w:t>
      </w:r>
      <w:r w:rsidRPr="0081446C">
        <w:rPr>
          <w:rFonts w:eastAsia="Times New Roman" w:cstheme="minorHAnsi"/>
        </w:rPr>
        <w:t xml:space="preserve"> permitting are estimated at $</w:t>
      </w:r>
      <w:r w:rsidRPr="0081446C" w:rsidR="0081446C">
        <w:rPr>
          <w:rFonts w:eastAsia="Times New Roman" w:cstheme="minorHAnsi"/>
        </w:rPr>
        <w:t>66,438</w:t>
      </w:r>
      <w:r w:rsidRPr="0081446C">
        <w:rPr>
          <w:rFonts w:eastAsia="Times New Roman" w:cstheme="minorHAnsi"/>
        </w:rPr>
        <w:t xml:space="preserve"> per year. </w:t>
      </w:r>
    </w:p>
    <w:p w:rsidR="00057F84" w:rsidRPr="00057F84" w:rsidP="00057F84" w14:paraId="5F100F46" w14:textId="77777777">
      <w:pPr>
        <w:spacing w:after="0" w:line="276" w:lineRule="auto"/>
        <w:textAlignment w:val="baseline"/>
        <w:rPr>
          <w:rFonts w:eastAsia="Times New Roman" w:cstheme="minorHAnsi"/>
        </w:rPr>
      </w:pPr>
      <w:r w:rsidRPr="00057F84">
        <w:rPr>
          <w:rFonts w:eastAsia="Times New Roman" w:cstheme="minorHAnsi"/>
        </w:rPr>
        <w:t> </w:t>
      </w:r>
    </w:p>
    <w:p w:rsidR="00057F84" w:rsidRPr="00057F84" w:rsidP="00057F84" w14:paraId="0626DD3B" w14:textId="33976568">
      <w:pPr>
        <w:spacing w:after="0" w:line="276" w:lineRule="auto"/>
        <w:jc w:val="center"/>
        <w:textAlignment w:val="baseline"/>
        <w:rPr>
          <w:rFonts w:eastAsia="Times New Roman" w:cstheme="minorHAnsi"/>
        </w:rPr>
      </w:pPr>
      <w:r w:rsidRPr="00753C9D">
        <w:rPr>
          <w:rFonts w:eastAsia="Times New Roman" w:cstheme="minorHAnsi"/>
        </w:rPr>
        <w:t>Table 1</w:t>
      </w:r>
      <w:r w:rsidRPr="00753C9D" w:rsidR="00797DB2">
        <w:rPr>
          <w:rFonts w:eastAsia="Times New Roman" w:cstheme="minorHAnsi"/>
        </w:rPr>
        <w:t>2</w:t>
      </w:r>
      <w:r w:rsidRPr="00753C9D">
        <w:rPr>
          <w:rFonts w:eastAsia="Times New Roman" w:cstheme="minorHAnsi"/>
        </w:rPr>
        <w:t>.6: Respondent Burden/Cost Estimates for NO</w:t>
      </w:r>
      <w:r w:rsidRPr="00753C9D">
        <w:rPr>
          <w:rFonts w:eastAsia="Times New Roman" w:cstheme="minorHAnsi"/>
          <w:vertAlign w:val="subscript"/>
        </w:rPr>
        <w:t>x</w:t>
      </w:r>
      <w:r w:rsidRPr="00753C9D">
        <w:rPr>
          <w:rFonts w:eastAsia="Times New Roman" w:cstheme="minorHAnsi"/>
        </w:rPr>
        <w:t xml:space="preserve"> Permitting</w:t>
      </w:r>
    </w:p>
    <w:tbl>
      <w:tblPr>
        <w:tblW w:w="9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2"/>
        <w:gridCol w:w="1705"/>
        <w:gridCol w:w="1438"/>
        <w:gridCol w:w="1613"/>
        <w:gridCol w:w="1346"/>
      </w:tblGrid>
      <w:tr w14:paraId="3187F59D" w14:textId="77777777" w:rsidTr="00C06CE5">
        <w:tblPrEx>
          <w:tblW w:w="9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12" w:type="dxa"/>
            <w:tcBorders>
              <w:top w:val="double" w:sz="6" w:space="0" w:color="auto"/>
              <w:left w:val="double" w:sz="6" w:space="0" w:color="auto"/>
              <w:bottom w:val="single" w:sz="6" w:space="0" w:color="auto"/>
              <w:right w:val="single" w:sz="6" w:space="0" w:color="auto"/>
            </w:tcBorders>
            <w:shd w:val="clear" w:color="auto" w:fill="auto"/>
            <w:vAlign w:val="bottom"/>
            <w:hideMark/>
          </w:tcPr>
          <w:p w:rsidR="00057F84" w:rsidRPr="00057F84" w:rsidP="00057F84" w14:paraId="0BAFF464" w14:textId="77777777">
            <w:pPr>
              <w:spacing w:after="0" w:line="276" w:lineRule="auto"/>
              <w:jc w:val="center"/>
              <w:textAlignment w:val="baseline"/>
              <w:rPr>
                <w:rFonts w:eastAsia="Times New Roman" w:cstheme="minorHAnsi"/>
              </w:rPr>
            </w:pPr>
            <w:r w:rsidRPr="00057F84">
              <w:rPr>
                <w:rFonts w:eastAsia="Times New Roman" w:cstheme="minorHAnsi"/>
                <w:b/>
                <w:bCs/>
              </w:rPr>
              <w:t>Tasks</w:t>
            </w:r>
            <w:r w:rsidRPr="00057F84">
              <w:rPr>
                <w:rFonts w:eastAsia="Times New Roman" w:cstheme="minorHAnsi"/>
              </w:rPr>
              <w:t> </w:t>
            </w:r>
          </w:p>
        </w:tc>
        <w:tc>
          <w:tcPr>
            <w:tcW w:w="1705" w:type="dxa"/>
            <w:tcBorders>
              <w:top w:val="double" w:sz="6" w:space="0" w:color="auto"/>
              <w:left w:val="single" w:sz="6" w:space="0" w:color="auto"/>
              <w:bottom w:val="single" w:sz="6" w:space="0" w:color="auto"/>
              <w:right w:val="single" w:sz="6" w:space="0" w:color="auto"/>
            </w:tcBorders>
            <w:shd w:val="clear" w:color="auto" w:fill="auto"/>
            <w:vAlign w:val="bottom"/>
            <w:hideMark/>
          </w:tcPr>
          <w:p w:rsidR="00057F84" w:rsidRPr="00057F84" w:rsidP="00057F84" w14:paraId="783F5A3F" w14:textId="77777777">
            <w:pPr>
              <w:spacing w:after="0" w:line="276" w:lineRule="auto"/>
              <w:jc w:val="center"/>
              <w:textAlignment w:val="baseline"/>
              <w:rPr>
                <w:rFonts w:eastAsia="Times New Roman" w:cstheme="minorHAnsi"/>
              </w:rPr>
            </w:pPr>
            <w:r w:rsidRPr="00057F84">
              <w:rPr>
                <w:rFonts w:eastAsia="Times New Roman" w:cstheme="minorHAnsi"/>
                <w:b/>
                <w:bCs/>
              </w:rPr>
              <w:t>Burden hours per occurrence</w:t>
            </w:r>
            <w:r w:rsidRPr="00057F84">
              <w:rPr>
                <w:rFonts w:eastAsia="Times New Roman" w:cstheme="minorHAnsi"/>
              </w:rPr>
              <w:t> </w:t>
            </w:r>
          </w:p>
        </w:tc>
        <w:tc>
          <w:tcPr>
            <w:tcW w:w="1438" w:type="dxa"/>
            <w:tcBorders>
              <w:top w:val="double" w:sz="6" w:space="0" w:color="auto"/>
              <w:left w:val="single" w:sz="6" w:space="0" w:color="auto"/>
              <w:bottom w:val="single" w:sz="6" w:space="0" w:color="auto"/>
              <w:right w:val="single" w:sz="6" w:space="0" w:color="auto"/>
            </w:tcBorders>
            <w:shd w:val="clear" w:color="auto" w:fill="auto"/>
            <w:vAlign w:val="bottom"/>
            <w:hideMark/>
          </w:tcPr>
          <w:p w:rsidR="00057F84" w:rsidRPr="00057F84" w:rsidP="00057F84" w14:paraId="31760C63" w14:textId="77777777">
            <w:pPr>
              <w:spacing w:after="0" w:line="276" w:lineRule="auto"/>
              <w:jc w:val="center"/>
              <w:textAlignment w:val="baseline"/>
              <w:rPr>
                <w:rFonts w:eastAsia="Times New Roman" w:cstheme="minorHAnsi"/>
              </w:rPr>
            </w:pPr>
            <w:r w:rsidRPr="00057F84">
              <w:rPr>
                <w:rFonts w:eastAsia="Times New Roman" w:cstheme="minorHAnsi"/>
                <w:b/>
                <w:bCs/>
              </w:rPr>
              <w:t xml:space="preserve">Cost per </w:t>
            </w:r>
            <w:r w:rsidRPr="00057F84">
              <w:rPr>
                <w:rFonts w:eastAsia="Times New Roman" w:cstheme="minorHAnsi"/>
                <w:b/>
                <w:bCs/>
              </w:rPr>
              <w:t>occurrence</w:t>
            </w:r>
            <w:r w:rsidRPr="00057F84">
              <w:rPr>
                <w:rFonts w:eastAsia="Times New Roman" w:cstheme="minorHAnsi"/>
                <w:b/>
                <w:bCs/>
                <w:vertAlign w:val="superscript"/>
              </w:rPr>
              <w:t>a</w:t>
            </w:r>
            <w:r w:rsidRPr="00057F84">
              <w:rPr>
                <w:rFonts w:eastAsia="Times New Roman" w:cstheme="minorHAnsi"/>
              </w:rPr>
              <w:t> </w:t>
            </w:r>
          </w:p>
        </w:tc>
        <w:tc>
          <w:tcPr>
            <w:tcW w:w="1613" w:type="dxa"/>
            <w:tcBorders>
              <w:top w:val="double" w:sz="6" w:space="0" w:color="auto"/>
              <w:left w:val="single" w:sz="6" w:space="0" w:color="auto"/>
              <w:bottom w:val="single" w:sz="6" w:space="0" w:color="auto"/>
              <w:right w:val="single" w:sz="6" w:space="0" w:color="auto"/>
            </w:tcBorders>
            <w:shd w:val="clear" w:color="auto" w:fill="auto"/>
            <w:vAlign w:val="bottom"/>
            <w:hideMark/>
          </w:tcPr>
          <w:p w:rsidR="00057F84" w:rsidRPr="00057F84" w:rsidP="00057F84" w14:paraId="18C60237" w14:textId="77777777">
            <w:pPr>
              <w:spacing w:after="0" w:line="276" w:lineRule="auto"/>
              <w:jc w:val="center"/>
              <w:textAlignment w:val="baseline"/>
              <w:rPr>
                <w:rFonts w:eastAsia="Times New Roman" w:cstheme="minorHAnsi"/>
              </w:rPr>
            </w:pPr>
            <w:r w:rsidRPr="00057F84">
              <w:rPr>
                <w:rFonts w:eastAsia="Times New Roman" w:cstheme="minorHAnsi"/>
                <w:b/>
                <w:bCs/>
              </w:rPr>
              <w:t>Total burden (hours)</w:t>
            </w:r>
            <w:r w:rsidRPr="00057F84">
              <w:rPr>
                <w:rFonts w:eastAsia="Times New Roman" w:cstheme="minorHAnsi"/>
              </w:rPr>
              <w:t> </w:t>
            </w:r>
          </w:p>
        </w:tc>
        <w:tc>
          <w:tcPr>
            <w:tcW w:w="1346"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057F84" w:rsidRPr="00057F84" w:rsidP="00057F84" w14:paraId="7F4FC00F" w14:textId="77777777">
            <w:pPr>
              <w:spacing w:after="0" w:line="276" w:lineRule="auto"/>
              <w:jc w:val="center"/>
              <w:textAlignment w:val="baseline"/>
              <w:rPr>
                <w:rFonts w:eastAsia="Times New Roman" w:cstheme="minorHAnsi"/>
              </w:rPr>
            </w:pPr>
            <w:r w:rsidRPr="00057F84">
              <w:rPr>
                <w:rFonts w:eastAsia="Times New Roman" w:cstheme="minorHAnsi"/>
                <w:b/>
                <w:bCs/>
              </w:rPr>
              <w:t>Total cost</w:t>
            </w:r>
            <w:r w:rsidRPr="00057F84">
              <w:rPr>
                <w:rFonts w:eastAsia="Times New Roman" w:cstheme="minorHAnsi"/>
              </w:rPr>
              <w:t> </w:t>
            </w:r>
          </w:p>
        </w:tc>
      </w:tr>
      <w:tr w14:paraId="431F5DC3" w14:textId="77777777" w:rsidTr="00C06CE5">
        <w:tblPrEx>
          <w:tblW w:w="9314" w:type="dxa"/>
          <w:tblCellMar>
            <w:left w:w="0" w:type="dxa"/>
            <w:right w:w="0" w:type="dxa"/>
          </w:tblCellMar>
          <w:tblLook w:val="04A0"/>
        </w:tblPrEx>
        <w:trPr>
          <w:trHeight w:val="420"/>
        </w:trPr>
        <w:tc>
          <w:tcPr>
            <w:tcW w:w="3212" w:type="dxa"/>
            <w:tcBorders>
              <w:top w:val="single" w:sz="6" w:space="0" w:color="auto"/>
              <w:left w:val="double" w:sz="6" w:space="0" w:color="auto"/>
              <w:bottom w:val="nil"/>
              <w:right w:val="single" w:sz="6" w:space="0" w:color="auto"/>
            </w:tcBorders>
            <w:shd w:val="clear" w:color="auto" w:fill="auto"/>
            <w:hideMark/>
          </w:tcPr>
          <w:p w:rsidR="00057F84" w:rsidRPr="00057F84" w:rsidP="00057F84" w14:paraId="47E64CBF" w14:textId="77777777">
            <w:pPr>
              <w:spacing w:after="0" w:line="276" w:lineRule="auto"/>
              <w:textAlignment w:val="baseline"/>
              <w:rPr>
                <w:rFonts w:eastAsia="Times New Roman" w:cstheme="minorHAnsi"/>
              </w:rPr>
            </w:pPr>
            <w:r w:rsidRPr="00057F84">
              <w:rPr>
                <w:rFonts w:eastAsia="Times New Roman" w:cstheme="minorHAnsi"/>
              </w:rPr>
              <w:t>Prepare NO</w:t>
            </w:r>
            <w:r w:rsidRPr="00057F84">
              <w:rPr>
                <w:rFonts w:eastAsia="Times New Roman" w:cstheme="minorHAnsi"/>
                <w:vertAlign w:val="subscript"/>
              </w:rPr>
              <w:t>X</w:t>
            </w:r>
            <w:r w:rsidRPr="00057F84">
              <w:rPr>
                <w:rFonts w:eastAsia="Times New Roman" w:cstheme="minorHAnsi"/>
              </w:rPr>
              <w:t xml:space="preserve"> compliance plan renewal </w:t>
            </w:r>
            <w:r w:rsidRPr="00057F84">
              <w:rPr>
                <w:rFonts w:eastAsia="Times New Roman" w:cstheme="minorHAnsi"/>
              </w:rPr>
              <w:t>applications.</w:t>
            </w:r>
            <w:r w:rsidRPr="00057F84">
              <w:rPr>
                <w:rFonts w:eastAsia="Times New Roman" w:cstheme="minorHAnsi"/>
                <w:vertAlign w:val="superscript"/>
              </w:rPr>
              <w:t>b</w:t>
            </w:r>
            <w:r w:rsidRPr="00057F84">
              <w:rPr>
                <w:rFonts w:eastAsia="Times New Roman" w:cstheme="minorHAnsi"/>
              </w:rPr>
              <w:t> </w:t>
            </w:r>
          </w:p>
        </w:tc>
        <w:tc>
          <w:tcPr>
            <w:tcW w:w="1705" w:type="dxa"/>
            <w:tcBorders>
              <w:top w:val="single" w:sz="6" w:space="0" w:color="auto"/>
              <w:left w:val="single" w:sz="6" w:space="0" w:color="auto"/>
              <w:bottom w:val="nil"/>
              <w:right w:val="single" w:sz="6" w:space="0" w:color="auto"/>
            </w:tcBorders>
            <w:shd w:val="clear" w:color="auto" w:fill="auto"/>
            <w:hideMark/>
          </w:tcPr>
          <w:p w:rsidR="00057F84" w:rsidRPr="00057F84" w:rsidP="00057F84" w14:paraId="691B0484" w14:textId="77777777">
            <w:pPr>
              <w:spacing w:after="0" w:line="276" w:lineRule="auto"/>
              <w:jc w:val="center"/>
              <w:textAlignment w:val="baseline"/>
              <w:rPr>
                <w:rFonts w:eastAsia="Times New Roman" w:cstheme="minorHAnsi"/>
              </w:rPr>
            </w:pPr>
            <w:r w:rsidRPr="00057F84">
              <w:rPr>
                <w:rFonts w:eastAsia="Times New Roman" w:cstheme="minorHAnsi"/>
              </w:rPr>
              <w:t> </w:t>
            </w:r>
          </w:p>
        </w:tc>
        <w:tc>
          <w:tcPr>
            <w:tcW w:w="1438" w:type="dxa"/>
            <w:tcBorders>
              <w:top w:val="single" w:sz="6" w:space="0" w:color="auto"/>
              <w:left w:val="single" w:sz="6" w:space="0" w:color="auto"/>
              <w:bottom w:val="nil"/>
              <w:right w:val="single" w:sz="6" w:space="0" w:color="auto"/>
            </w:tcBorders>
            <w:shd w:val="clear" w:color="auto" w:fill="auto"/>
            <w:hideMark/>
          </w:tcPr>
          <w:p w:rsidR="00057F84" w:rsidRPr="00057F84" w:rsidP="00057F84" w14:paraId="4C892095" w14:textId="77777777">
            <w:pPr>
              <w:spacing w:after="0" w:line="276" w:lineRule="auto"/>
              <w:jc w:val="center"/>
              <w:textAlignment w:val="baseline"/>
              <w:rPr>
                <w:rFonts w:eastAsia="Times New Roman" w:cstheme="minorHAnsi"/>
              </w:rPr>
            </w:pPr>
            <w:r w:rsidRPr="00057F84">
              <w:rPr>
                <w:rFonts w:eastAsia="Times New Roman" w:cstheme="minorHAnsi"/>
              </w:rPr>
              <w:t> </w:t>
            </w:r>
          </w:p>
        </w:tc>
        <w:tc>
          <w:tcPr>
            <w:tcW w:w="1613" w:type="dxa"/>
            <w:tcBorders>
              <w:top w:val="single" w:sz="6" w:space="0" w:color="auto"/>
              <w:left w:val="single" w:sz="6" w:space="0" w:color="auto"/>
              <w:bottom w:val="nil"/>
              <w:right w:val="single" w:sz="6" w:space="0" w:color="auto"/>
            </w:tcBorders>
            <w:shd w:val="clear" w:color="auto" w:fill="auto"/>
            <w:hideMark/>
          </w:tcPr>
          <w:p w:rsidR="00057F84" w:rsidRPr="00057F84" w:rsidP="00057F84" w14:paraId="43B3CBCC" w14:textId="77777777">
            <w:pPr>
              <w:spacing w:after="0" w:line="276" w:lineRule="auto"/>
              <w:jc w:val="center"/>
              <w:textAlignment w:val="baseline"/>
              <w:rPr>
                <w:rFonts w:eastAsia="Times New Roman" w:cstheme="minorHAnsi"/>
              </w:rPr>
            </w:pPr>
            <w:r w:rsidRPr="00057F84">
              <w:rPr>
                <w:rFonts w:eastAsia="Times New Roman" w:cstheme="minorHAnsi"/>
              </w:rPr>
              <w:t> </w:t>
            </w:r>
          </w:p>
        </w:tc>
        <w:tc>
          <w:tcPr>
            <w:tcW w:w="1346" w:type="dxa"/>
            <w:tcBorders>
              <w:top w:val="single" w:sz="6" w:space="0" w:color="auto"/>
              <w:left w:val="single" w:sz="6" w:space="0" w:color="auto"/>
              <w:bottom w:val="nil"/>
              <w:right w:val="double" w:sz="6" w:space="0" w:color="auto"/>
            </w:tcBorders>
            <w:shd w:val="clear" w:color="auto" w:fill="auto"/>
            <w:hideMark/>
          </w:tcPr>
          <w:p w:rsidR="00057F84" w:rsidRPr="00057F84" w:rsidP="00057F84" w14:paraId="639E1884" w14:textId="77777777">
            <w:pPr>
              <w:spacing w:after="0" w:line="276" w:lineRule="auto"/>
              <w:jc w:val="center"/>
              <w:textAlignment w:val="baseline"/>
              <w:rPr>
                <w:rFonts w:eastAsia="Times New Roman" w:cstheme="minorHAnsi"/>
              </w:rPr>
            </w:pPr>
            <w:r w:rsidRPr="00057F84">
              <w:rPr>
                <w:rFonts w:eastAsia="Times New Roman" w:cstheme="minorHAnsi"/>
              </w:rPr>
              <w:t> </w:t>
            </w:r>
          </w:p>
        </w:tc>
      </w:tr>
      <w:tr w14:paraId="06E0EF27" w14:textId="77777777" w:rsidTr="00C06CE5">
        <w:tblPrEx>
          <w:tblW w:w="9314" w:type="dxa"/>
          <w:tblCellMar>
            <w:left w:w="0" w:type="dxa"/>
            <w:right w:w="0" w:type="dxa"/>
          </w:tblCellMar>
          <w:tblLook w:val="04A0"/>
        </w:tblPrEx>
        <w:trPr>
          <w:trHeight w:val="270"/>
        </w:trPr>
        <w:tc>
          <w:tcPr>
            <w:tcW w:w="3212" w:type="dxa"/>
            <w:tcBorders>
              <w:top w:val="nil"/>
              <w:left w:val="double" w:sz="6" w:space="0" w:color="auto"/>
              <w:bottom w:val="nil"/>
              <w:right w:val="single" w:sz="6" w:space="0" w:color="auto"/>
            </w:tcBorders>
            <w:shd w:val="clear" w:color="auto" w:fill="auto"/>
            <w:hideMark/>
          </w:tcPr>
          <w:p w:rsidR="00057F84" w:rsidRPr="00057F84" w:rsidP="00057F84" w14:paraId="255CEB91" w14:textId="77777777">
            <w:pPr>
              <w:spacing w:after="0" w:line="276" w:lineRule="auto"/>
              <w:ind w:left="375"/>
              <w:textAlignment w:val="baseline"/>
              <w:rPr>
                <w:rFonts w:eastAsia="Times New Roman" w:cstheme="minorHAnsi"/>
              </w:rPr>
            </w:pPr>
            <w:r w:rsidRPr="00057F84">
              <w:rPr>
                <w:rFonts w:eastAsia="Times New Roman" w:cstheme="minorHAnsi"/>
              </w:rPr>
              <w:t>Managerial. </w:t>
            </w:r>
          </w:p>
        </w:tc>
        <w:tc>
          <w:tcPr>
            <w:tcW w:w="1705" w:type="dxa"/>
            <w:tcBorders>
              <w:top w:val="nil"/>
              <w:left w:val="single" w:sz="6" w:space="0" w:color="auto"/>
              <w:bottom w:val="nil"/>
              <w:right w:val="single" w:sz="6" w:space="0" w:color="auto"/>
            </w:tcBorders>
            <w:shd w:val="clear" w:color="auto" w:fill="auto"/>
            <w:hideMark/>
          </w:tcPr>
          <w:p w:rsidR="00057F84" w:rsidRPr="00057F84" w:rsidP="00057F84" w14:paraId="78C5D876" w14:textId="77777777">
            <w:pPr>
              <w:spacing w:after="0" w:line="276" w:lineRule="auto"/>
              <w:jc w:val="center"/>
              <w:textAlignment w:val="baseline"/>
              <w:rPr>
                <w:rFonts w:eastAsia="Times New Roman" w:cstheme="minorHAnsi"/>
              </w:rPr>
            </w:pPr>
            <w:r w:rsidRPr="00057F84">
              <w:rPr>
                <w:rFonts w:eastAsia="Times New Roman" w:cstheme="minorHAnsi"/>
              </w:rPr>
              <w:t>2 </w:t>
            </w:r>
          </w:p>
        </w:tc>
        <w:tc>
          <w:tcPr>
            <w:tcW w:w="1438" w:type="dxa"/>
            <w:tcBorders>
              <w:top w:val="nil"/>
              <w:left w:val="single" w:sz="6" w:space="0" w:color="auto"/>
              <w:bottom w:val="nil"/>
              <w:right w:val="single" w:sz="6" w:space="0" w:color="auto"/>
            </w:tcBorders>
            <w:shd w:val="clear" w:color="auto" w:fill="auto"/>
            <w:vAlign w:val="center"/>
            <w:hideMark/>
          </w:tcPr>
          <w:p w:rsidR="00057F84" w:rsidRPr="00057F84" w:rsidP="00057F84" w14:paraId="590E2F4F" w14:textId="45886F95">
            <w:pPr>
              <w:spacing w:after="0" w:line="276" w:lineRule="auto"/>
              <w:jc w:val="center"/>
              <w:textAlignment w:val="baseline"/>
              <w:rPr>
                <w:rFonts w:eastAsia="Times New Roman" w:cstheme="minorHAnsi"/>
              </w:rPr>
            </w:pPr>
            <w:r w:rsidRPr="00057F84">
              <w:rPr>
                <w:rFonts w:eastAsia="Times New Roman" w:cstheme="minorHAnsi"/>
                <w:color w:val="000000"/>
              </w:rPr>
              <w:t>$2</w:t>
            </w:r>
            <w:r w:rsidR="001063CB">
              <w:rPr>
                <w:rFonts w:eastAsia="Times New Roman" w:cstheme="minorHAnsi"/>
                <w:color w:val="000000"/>
              </w:rPr>
              <w:t>46.96</w:t>
            </w:r>
            <w:r w:rsidRPr="00057F84">
              <w:rPr>
                <w:rFonts w:eastAsia="Times New Roman" w:cstheme="minorHAnsi"/>
                <w:color w:val="000000"/>
              </w:rPr>
              <w:t>  </w:t>
            </w:r>
          </w:p>
        </w:tc>
        <w:tc>
          <w:tcPr>
            <w:tcW w:w="1613" w:type="dxa"/>
            <w:tcBorders>
              <w:top w:val="nil"/>
              <w:left w:val="single" w:sz="6" w:space="0" w:color="auto"/>
              <w:bottom w:val="nil"/>
              <w:right w:val="single" w:sz="6" w:space="0" w:color="auto"/>
            </w:tcBorders>
            <w:shd w:val="clear" w:color="auto" w:fill="auto"/>
            <w:vAlign w:val="center"/>
            <w:hideMark/>
          </w:tcPr>
          <w:p w:rsidR="00057F84" w:rsidRPr="00057F84" w:rsidP="00057F84" w14:paraId="1039E110" w14:textId="1E2D8CCF">
            <w:pPr>
              <w:spacing w:after="0" w:line="276" w:lineRule="auto"/>
              <w:jc w:val="center"/>
              <w:textAlignment w:val="baseline"/>
              <w:rPr>
                <w:rFonts w:eastAsia="Times New Roman" w:cstheme="minorHAnsi"/>
              </w:rPr>
            </w:pPr>
            <w:r>
              <w:rPr>
                <w:rFonts w:eastAsia="Times New Roman" w:cstheme="minorHAnsi"/>
                <w:color w:val="000000"/>
              </w:rPr>
              <w:t>172</w:t>
            </w:r>
            <w:r w:rsidRPr="00057F84">
              <w:rPr>
                <w:rFonts w:eastAsia="Times New Roman" w:cstheme="minorHAnsi"/>
                <w:color w:val="000000"/>
              </w:rPr>
              <w:t> </w:t>
            </w:r>
          </w:p>
        </w:tc>
        <w:tc>
          <w:tcPr>
            <w:tcW w:w="1346" w:type="dxa"/>
            <w:tcBorders>
              <w:top w:val="nil"/>
              <w:left w:val="single" w:sz="6" w:space="0" w:color="auto"/>
              <w:bottom w:val="nil"/>
              <w:right w:val="double" w:sz="6" w:space="0" w:color="auto"/>
            </w:tcBorders>
            <w:shd w:val="clear" w:color="auto" w:fill="auto"/>
            <w:vAlign w:val="center"/>
            <w:hideMark/>
          </w:tcPr>
          <w:p w:rsidR="00057F84" w:rsidRPr="00057F84" w:rsidP="00057F84" w14:paraId="177BE3DA" w14:textId="547FA755">
            <w:pPr>
              <w:spacing w:after="0" w:line="276" w:lineRule="auto"/>
              <w:jc w:val="center"/>
              <w:textAlignment w:val="baseline"/>
              <w:rPr>
                <w:rFonts w:eastAsia="Times New Roman" w:cstheme="minorHAnsi"/>
              </w:rPr>
            </w:pPr>
            <w:r w:rsidRPr="00057F84">
              <w:rPr>
                <w:rFonts w:eastAsia="Times New Roman" w:cstheme="minorHAnsi"/>
                <w:color w:val="000000"/>
              </w:rPr>
              <w:t>$</w:t>
            </w:r>
            <w:r w:rsidR="001063CB">
              <w:rPr>
                <w:rFonts w:eastAsia="Times New Roman" w:cstheme="minorHAnsi"/>
                <w:color w:val="000000"/>
              </w:rPr>
              <w:t>21,239</w:t>
            </w:r>
            <w:r w:rsidRPr="00057F84">
              <w:rPr>
                <w:rFonts w:eastAsia="Times New Roman" w:cstheme="minorHAnsi"/>
                <w:color w:val="000000"/>
              </w:rPr>
              <w:t>  </w:t>
            </w:r>
          </w:p>
        </w:tc>
      </w:tr>
      <w:tr w14:paraId="00E194A8" w14:textId="77777777" w:rsidTr="00C06CE5">
        <w:tblPrEx>
          <w:tblW w:w="9314" w:type="dxa"/>
          <w:tblCellMar>
            <w:left w:w="0" w:type="dxa"/>
            <w:right w:w="0" w:type="dxa"/>
          </w:tblCellMar>
          <w:tblLook w:val="04A0"/>
        </w:tblPrEx>
        <w:trPr>
          <w:trHeight w:val="195"/>
        </w:trPr>
        <w:tc>
          <w:tcPr>
            <w:tcW w:w="3212" w:type="dxa"/>
            <w:tcBorders>
              <w:top w:val="nil"/>
              <w:left w:val="double" w:sz="6" w:space="0" w:color="auto"/>
              <w:bottom w:val="nil"/>
              <w:right w:val="single" w:sz="6" w:space="0" w:color="auto"/>
            </w:tcBorders>
            <w:shd w:val="clear" w:color="auto" w:fill="auto"/>
            <w:hideMark/>
          </w:tcPr>
          <w:p w:rsidR="00057F84" w:rsidRPr="00057F84" w:rsidP="00057F84" w14:paraId="7E434D2F" w14:textId="77777777">
            <w:pPr>
              <w:spacing w:after="0" w:line="276" w:lineRule="auto"/>
              <w:ind w:left="375"/>
              <w:textAlignment w:val="baseline"/>
              <w:rPr>
                <w:rFonts w:eastAsia="Times New Roman" w:cstheme="minorHAnsi"/>
              </w:rPr>
            </w:pPr>
            <w:r w:rsidRPr="00057F84">
              <w:rPr>
                <w:rFonts w:eastAsia="Times New Roman" w:cstheme="minorHAnsi"/>
              </w:rPr>
              <w:t>Technical. </w:t>
            </w:r>
          </w:p>
        </w:tc>
        <w:tc>
          <w:tcPr>
            <w:tcW w:w="1705" w:type="dxa"/>
            <w:tcBorders>
              <w:top w:val="nil"/>
              <w:left w:val="single" w:sz="6" w:space="0" w:color="auto"/>
              <w:bottom w:val="nil"/>
              <w:right w:val="single" w:sz="6" w:space="0" w:color="auto"/>
            </w:tcBorders>
            <w:shd w:val="clear" w:color="auto" w:fill="auto"/>
            <w:hideMark/>
          </w:tcPr>
          <w:p w:rsidR="00057F84" w:rsidRPr="00057F84" w:rsidP="00057F84" w14:paraId="76F4EFBE" w14:textId="77777777">
            <w:pPr>
              <w:spacing w:after="0" w:line="276" w:lineRule="auto"/>
              <w:jc w:val="center"/>
              <w:textAlignment w:val="baseline"/>
              <w:rPr>
                <w:rFonts w:eastAsia="Times New Roman" w:cstheme="minorHAnsi"/>
              </w:rPr>
            </w:pPr>
            <w:r w:rsidRPr="00057F84">
              <w:rPr>
                <w:rFonts w:eastAsia="Times New Roman" w:cstheme="minorHAnsi"/>
              </w:rPr>
              <w:t>3 </w:t>
            </w:r>
          </w:p>
        </w:tc>
        <w:tc>
          <w:tcPr>
            <w:tcW w:w="1438" w:type="dxa"/>
            <w:tcBorders>
              <w:top w:val="nil"/>
              <w:left w:val="single" w:sz="6" w:space="0" w:color="auto"/>
              <w:bottom w:val="nil"/>
              <w:right w:val="single" w:sz="6" w:space="0" w:color="auto"/>
            </w:tcBorders>
            <w:shd w:val="clear" w:color="auto" w:fill="auto"/>
            <w:vAlign w:val="center"/>
            <w:hideMark/>
          </w:tcPr>
          <w:p w:rsidR="00057F84" w:rsidRPr="00057F84" w:rsidP="00057F84" w14:paraId="2D9E4CFA" w14:textId="6F54007A">
            <w:pPr>
              <w:spacing w:after="0" w:line="276" w:lineRule="auto"/>
              <w:jc w:val="center"/>
              <w:textAlignment w:val="baseline"/>
              <w:rPr>
                <w:rFonts w:eastAsia="Times New Roman" w:cstheme="minorHAnsi"/>
              </w:rPr>
            </w:pPr>
            <w:r w:rsidRPr="00057F84">
              <w:rPr>
                <w:rFonts w:eastAsia="Times New Roman" w:cstheme="minorHAnsi"/>
                <w:color w:val="000000"/>
              </w:rPr>
              <w:t>$2</w:t>
            </w:r>
            <w:r w:rsidR="001063CB">
              <w:rPr>
                <w:rFonts w:eastAsia="Times New Roman" w:cstheme="minorHAnsi"/>
                <w:color w:val="000000"/>
              </w:rPr>
              <w:t>66.40</w:t>
            </w:r>
            <w:r w:rsidRPr="00057F84">
              <w:rPr>
                <w:rFonts w:eastAsia="Times New Roman" w:cstheme="minorHAnsi"/>
                <w:color w:val="000000"/>
              </w:rPr>
              <w:t>  </w:t>
            </w:r>
          </w:p>
        </w:tc>
        <w:tc>
          <w:tcPr>
            <w:tcW w:w="1613" w:type="dxa"/>
            <w:tcBorders>
              <w:top w:val="nil"/>
              <w:left w:val="single" w:sz="6" w:space="0" w:color="auto"/>
              <w:bottom w:val="nil"/>
              <w:right w:val="single" w:sz="6" w:space="0" w:color="auto"/>
            </w:tcBorders>
            <w:shd w:val="clear" w:color="auto" w:fill="auto"/>
            <w:vAlign w:val="center"/>
            <w:hideMark/>
          </w:tcPr>
          <w:p w:rsidR="00057F84" w:rsidRPr="00057F84" w:rsidP="00057F84" w14:paraId="2CFBDD86" w14:textId="04A34D79">
            <w:pPr>
              <w:spacing w:after="0" w:line="276" w:lineRule="auto"/>
              <w:jc w:val="center"/>
              <w:textAlignment w:val="baseline"/>
              <w:rPr>
                <w:rFonts w:eastAsia="Times New Roman" w:cstheme="minorHAnsi"/>
              </w:rPr>
            </w:pPr>
            <w:r>
              <w:rPr>
                <w:rFonts w:eastAsia="Times New Roman" w:cstheme="minorHAnsi"/>
                <w:color w:val="000000"/>
              </w:rPr>
              <w:t>258</w:t>
            </w:r>
            <w:r w:rsidRPr="00057F84">
              <w:rPr>
                <w:rFonts w:eastAsia="Times New Roman" w:cstheme="minorHAnsi"/>
                <w:color w:val="000000"/>
              </w:rPr>
              <w:t> </w:t>
            </w:r>
          </w:p>
        </w:tc>
        <w:tc>
          <w:tcPr>
            <w:tcW w:w="1346" w:type="dxa"/>
            <w:tcBorders>
              <w:top w:val="nil"/>
              <w:left w:val="single" w:sz="6" w:space="0" w:color="auto"/>
              <w:bottom w:val="nil"/>
              <w:right w:val="double" w:sz="6" w:space="0" w:color="auto"/>
            </w:tcBorders>
            <w:shd w:val="clear" w:color="auto" w:fill="auto"/>
            <w:vAlign w:val="center"/>
            <w:hideMark/>
          </w:tcPr>
          <w:p w:rsidR="00057F84" w:rsidRPr="00057F84" w:rsidP="00057F84" w14:paraId="556E3B30" w14:textId="07DFC5E5">
            <w:pPr>
              <w:spacing w:after="0" w:line="276" w:lineRule="auto"/>
              <w:jc w:val="center"/>
              <w:textAlignment w:val="baseline"/>
              <w:rPr>
                <w:rFonts w:eastAsia="Times New Roman" w:cstheme="minorHAnsi"/>
              </w:rPr>
            </w:pPr>
            <w:r w:rsidRPr="00057F84">
              <w:rPr>
                <w:rFonts w:eastAsia="Times New Roman" w:cstheme="minorHAnsi"/>
                <w:color w:val="000000"/>
              </w:rPr>
              <w:t>$</w:t>
            </w:r>
            <w:r w:rsidR="002B2DCC">
              <w:rPr>
                <w:rFonts w:eastAsia="Times New Roman" w:cstheme="minorHAnsi"/>
                <w:color w:val="000000"/>
              </w:rPr>
              <w:t>22,910</w:t>
            </w:r>
            <w:r w:rsidRPr="00057F84">
              <w:rPr>
                <w:rFonts w:eastAsia="Times New Roman" w:cstheme="minorHAnsi"/>
                <w:color w:val="000000"/>
              </w:rPr>
              <w:t>  </w:t>
            </w:r>
          </w:p>
        </w:tc>
      </w:tr>
      <w:tr w14:paraId="4538CE92" w14:textId="77777777" w:rsidTr="00C06CE5">
        <w:tblPrEx>
          <w:tblW w:w="9314" w:type="dxa"/>
          <w:tblCellMar>
            <w:left w:w="0" w:type="dxa"/>
            <w:right w:w="0" w:type="dxa"/>
          </w:tblCellMar>
          <w:tblLook w:val="04A0"/>
        </w:tblPrEx>
        <w:trPr>
          <w:trHeight w:val="375"/>
        </w:trPr>
        <w:tc>
          <w:tcPr>
            <w:tcW w:w="3212" w:type="dxa"/>
            <w:tcBorders>
              <w:top w:val="nil"/>
              <w:left w:val="double" w:sz="6" w:space="0" w:color="auto"/>
              <w:bottom w:val="nil"/>
              <w:right w:val="single" w:sz="6" w:space="0" w:color="auto"/>
            </w:tcBorders>
            <w:shd w:val="clear" w:color="auto" w:fill="auto"/>
            <w:hideMark/>
          </w:tcPr>
          <w:p w:rsidR="00057F84" w:rsidRPr="00057F84" w:rsidP="00057F84" w14:paraId="691099F1" w14:textId="77777777">
            <w:pPr>
              <w:spacing w:after="0" w:line="276" w:lineRule="auto"/>
              <w:textAlignment w:val="baseline"/>
              <w:rPr>
                <w:rFonts w:eastAsia="Times New Roman" w:cstheme="minorHAnsi"/>
              </w:rPr>
            </w:pPr>
            <w:r w:rsidRPr="00057F84">
              <w:rPr>
                <w:rFonts w:eastAsia="Times New Roman" w:cstheme="minorHAnsi"/>
              </w:rPr>
              <w:t>Revise NO</w:t>
            </w:r>
            <w:r w:rsidRPr="00057F84">
              <w:rPr>
                <w:rFonts w:eastAsia="Times New Roman" w:cstheme="minorHAnsi"/>
                <w:vertAlign w:val="subscript"/>
              </w:rPr>
              <w:t>X</w:t>
            </w:r>
            <w:r w:rsidRPr="00057F84">
              <w:rPr>
                <w:rFonts w:eastAsia="Times New Roman" w:cstheme="minorHAnsi"/>
              </w:rPr>
              <w:t xml:space="preserve"> compliance plan (e.g., emissions averaging plans).</w:t>
            </w:r>
            <w:r w:rsidRPr="00057F84">
              <w:rPr>
                <w:rFonts w:eastAsia="Times New Roman" w:cstheme="minorHAnsi"/>
                <w:vertAlign w:val="superscript"/>
              </w:rPr>
              <w:t>c</w:t>
            </w:r>
            <w:r w:rsidRPr="00057F84">
              <w:rPr>
                <w:rFonts w:eastAsia="Times New Roman" w:cstheme="minorHAnsi"/>
              </w:rPr>
              <w:t> </w:t>
            </w:r>
          </w:p>
        </w:tc>
        <w:tc>
          <w:tcPr>
            <w:tcW w:w="1705" w:type="dxa"/>
            <w:tcBorders>
              <w:top w:val="nil"/>
              <w:left w:val="single" w:sz="6" w:space="0" w:color="auto"/>
              <w:bottom w:val="nil"/>
              <w:right w:val="single" w:sz="6" w:space="0" w:color="auto"/>
            </w:tcBorders>
            <w:shd w:val="clear" w:color="auto" w:fill="auto"/>
            <w:hideMark/>
          </w:tcPr>
          <w:p w:rsidR="00057F84" w:rsidRPr="00057F84" w:rsidP="00057F84" w14:paraId="3CEE9323" w14:textId="77777777">
            <w:pPr>
              <w:spacing w:after="0" w:line="276" w:lineRule="auto"/>
              <w:jc w:val="center"/>
              <w:textAlignment w:val="baseline"/>
              <w:rPr>
                <w:rFonts w:eastAsia="Times New Roman" w:cstheme="minorHAnsi"/>
              </w:rPr>
            </w:pPr>
            <w:r w:rsidRPr="00057F84">
              <w:rPr>
                <w:rFonts w:eastAsia="Times New Roman" w:cstheme="minorHAnsi"/>
              </w:rPr>
              <w:t> </w:t>
            </w:r>
          </w:p>
        </w:tc>
        <w:tc>
          <w:tcPr>
            <w:tcW w:w="1438" w:type="dxa"/>
            <w:tcBorders>
              <w:top w:val="nil"/>
              <w:left w:val="single" w:sz="6" w:space="0" w:color="auto"/>
              <w:bottom w:val="nil"/>
              <w:right w:val="single" w:sz="6" w:space="0" w:color="auto"/>
            </w:tcBorders>
            <w:shd w:val="clear" w:color="auto" w:fill="auto"/>
            <w:vAlign w:val="center"/>
            <w:hideMark/>
          </w:tcPr>
          <w:p w:rsidR="00057F84" w:rsidRPr="00057F84" w:rsidP="00057F84" w14:paraId="278F69D4" w14:textId="77777777">
            <w:pPr>
              <w:spacing w:after="0" w:line="276" w:lineRule="auto"/>
              <w:jc w:val="center"/>
              <w:textAlignment w:val="baseline"/>
              <w:rPr>
                <w:rFonts w:eastAsia="Times New Roman" w:cstheme="minorHAnsi"/>
              </w:rPr>
            </w:pPr>
            <w:r w:rsidRPr="00057F84">
              <w:rPr>
                <w:rFonts w:eastAsia="Times New Roman" w:cstheme="minorHAnsi"/>
                <w:color w:val="000000"/>
              </w:rPr>
              <w:t>  </w:t>
            </w:r>
          </w:p>
        </w:tc>
        <w:tc>
          <w:tcPr>
            <w:tcW w:w="1613" w:type="dxa"/>
            <w:tcBorders>
              <w:top w:val="nil"/>
              <w:left w:val="single" w:sz="6" w:space="0" w:color="auto"/>
              <w:bottom w:val="nil"/>
              <w:right w:val="single" w:sz="6" w:space="0" w:color="auto"/>
            </w:tcBorders>
            <w:shd w:val="clear" w:color="auto" w:fill="auto"/>
            <w:vAlign w:val="center"/>
            <w:hideMark/>
          </w:tcPr>
          <w:p w:rsidR="00057F84" w:rsidRPr="00057F84" w:rsidP="00057F84" w14:paraId="43DBA1C3" w14:textId="77777777">
            <w:pPr>
              <w:spacing w:after="0" w:line="276" w:lineRule="auto"/>
              <w:jc w:val="center"/>
              <w:textAlignment w:val="baseline"/>
              <w:rPr>
                <w:rFonts w:eastAsia="Times New Roman" w:cstheme="minorHAnsi"/>
              </w:rPr>
            </w:pPr>
            <w:r w:rsidRPr="00057F84">
              <w:rPr>
                <w:rFonts w:eastAsia="Times New Roman" w:cstheme="minorHAnsi"/>
                <w:color w:val="000000"/>
              </w:rPr>
              <w:t>  </w:t>
            </w:r>
          </w:p>
        </w:tc>
        <w:tc>
          <w:tcPr>
            <w:tcW w:w="1346" w:type="dxa"/>
            <w:tcBorders>
              <w:top w:val="nil"/>
              <w:left w:val="single" w:sz="6" w:space="0" w:color="auto"/>
              <w:bottom w:val="nil"/>
              <w:right w:val="double" w:sz="6" w:space="0" w:color="auto"/>
            </w:tcBorders>
            <w:shd w:val="clear" w:color="auto" w:fill="auto"/>
            <w:vAlign w:val="center"/>
            <w:hideMark/>
          </w:tcPr>
          <w:p w:rsidR="00057F84" w:rsidRPr="00057F84" w:rsidP="00057F84" w14:paraId="5BD99513" w14:textId="77777777">
            <w:pPr>
              <w:spacing w:after="0" w:line="276" w:lineRule="auto"/>
              <w:jc w:val="center"/>
              <w:textAlignment w:val="baseline"/>
              <w:rPr>
                <w:rFonts w:eastAsia="Times New Roman" w:cstheme="minorHAnsi"/>
              </w:rPr>
            </w:pPr>
            <w:r w:rsidRPr="00057F84">
              <w:rPr>
                <w:rFonts w:eastAsia="Times New Roman" w:cstheme="minorHAnsi"/>
                <w:color w:val="000000"/>
              </w:rPr>
              <w:t>  </w:t>
            </w:r>
          </w:p>
        </w:tc>
      </w:tr>
      <w:tr w14:paraId="57884B24" w14:textId="77777777" w:rsidTr="00C06CE5">
        <w:tblPrEx>
          <w:tblW w:w="9314" w:type="dxa"/>
          <w:tblCellMar>
            <w:left w:w="0" w:type="dxa"/>
            <w:right w:w="0" w:type="dxa"/>
          </w:tblCellMar>
          <w:tblLook w:val="04A0"/>
        </w:tblPrEx>
        <w:trPr>
          <w:trHeight w:val="225"/>
        </w:trPr>
        <w:tc>
          <w:tcPr>
            <w:tcW w:w="3212" w:type="dxa"/>
            <w:tcBorders>
              <w:top w:val="nil"/>
              <w:left w:val="double" w:sz="6" w:space="0" w:color="auto"/>
              <w:bottom w:val="nil"/>
              <w:right w:val="single" w:sz="6" w:space="0" w:color="auto"/>
            </w:tcBorders>
            <w:shd w:val="clear" w:color="auto" w:fill="auto"/>
            <w:hideMark/>
          </w:tcPr>
          <w:p w:rsidR="00057F84" w:rsidRPr="00057F84" w:rsidP="00057F84" w14:paraId="2F599A9F" w14:textId="77777777">
            <w:pPr>
              <w:spacing w:after="0" w:line="276" w:lineRule="auto"/>
              <w:ind w:left="375"/>
              <w:textAlignment w:val="baseline"/>
              <w:rPr>
                <w:rFonts w:eastAsia="Times New Roman" w:cstheme="minorHAnsi"/>
              </w:rPr>
            </w:pPr>
            <w:r w:rsidRPr="00057F84">
              <w:rPr>
                <w:rFonts w:eastAsia="Times New Roman" w:cstheme="minorHAnsi"/>
              </w:rPr>
              <w:t>Managerial. </w:t>
            </w:r>
          </w:p>
        </w:tc>
        <w:tc>
          <w:tcPr>
            <w:tcW w:w="1705" w:type="dxa"/>
            <w:tcBorders>
              <w:top w:val="nil"/>
              <w:left w:val="single" w:sz="6" w:space="0" w:color="auto"/>
              <w:bottom w:val="nil"/>
              <w:right w:val="single" w:sz="6" w:space="0" w:color="auto"/>
            </w:tcBorders>
            <w:shd w:val="clear" w:color="auto" w:fill="auto"/>
            <w:hideMark/>
          </w:tcPr>
          <w:p w:rsidR="00057F84" w:rsidRPr="00057F84" w:rsidP="00057F84" w14:paraId="1B8D889A" w14:textId="77777777">
            <w:pPr>
              <w:spacing w:after="0" w:line="276" w:lineRule="auto"/>
              <w:jc w:val="center"/>
              <w:textAlignment w:val="baseline"/>
              <w:rPr>
                <w:rFonts w:eastAsia="Times New Roman" w:cstheme="minorHAnsi"/>
              </w:rPr>
            </w:pPr>
            <w:r w:rsidRPr="00057F84">
              <w:rPr>
                <w:rFonts w:eastAsia="Times New Roman" w:cstheme="minorHAnsi"/>
              </w:rPr>
              <w:t>5 </w:t>
            </w:r>
          </w:p>
        </w:tc>
        <w:tc>
          <w:tcPr>
            <w:tcW w:w="1438" w:type="dxa"/>
            <w:tcBorders>
              <w:top w:val="nil"/>
              <w:left w:val="single" w:sz="6" w:space="0" w:color="auto"/>
              <w:bottom w:val="nil"/>
              <w:right w:val="single" w:sz="6" w:space="0" w:color="auto"/>
            </w:tcBorders>
            <w:shd w:val="clear" w:color="auto" w:fill="auto"/>
            <w:vAlign w:val="center"/>
            <w:hideMark/>
          </w:tcPr>
          <w:p w:rsidR="00057F84" w:rsidRPr="00057F84" w:rsidP="00057F84" w14:paraId="1FBE3053" w14:textId="2EB798BE">
            <w:pPr>
              <w:spacing w:after="0" w:line="276" w:lineRule="auto"/>
              <w:jc w:val="center"/>
              <w:textAlignment w:val="baseline"/>
              <w:rPr>
                <w:rFonts w:eastAsia="Times New Roman" w:cstheme="minorHAnsi"/>
              </w:rPr>
            </w:pPr>
            <w:r w:rsidRPr="00057F84">
              <w:rPr>
                <w:rFonts w:eastAsia="Times New Roman" w:cstheme="minorHAnsi"/>
                <w:color w:val="000000"/>
              </w:rPr>
              <w:t>$</w:t>
            </w:r>
            <w:r w:rsidR="002B2DCC">
              <w:rPr>
                <w:rFonts w:eastAsia="Times New Roman" w:cstheme="minorHAnsi"/>
                <w:color w:val="000000"/>
              </w:rPr>
              <w:t>617.40</w:t>
            </w:r>
            <w:r w:rsidRPr="00057F84">
              <w:rPr>
                <w:rFonts w:eastAsia="Times New Roman" w:cstheme="minorHAnsi"/>
                <w:color w:val="000000"/>
              </w:rPr>
              <w:t>  </w:t>
            </w:r>
          </w:p>
        </w:tc>
        <w:tc>
          <w:tcPr>
            <w:tcW w:w="1613" w:type="dxa"/>
            <w:tcBorders>
              <w:top w:val="nil"/>
              <w:left w:val="single" w:sz="6" w:space="0" w:color="auto"/>
              <w:bottom w:val="nil"/>
              <w:right w:val="single" w:sz="6" w:space="0" w:color="auto"/>
            </w:tcBorders>
            <w:shd w:val="clear" w:color="auto" w:fill="auto"/>
            <w:vAlign w:val="center"/>
            <w:hideMark/>
          </w:tcPr>
          <w:p w:rsidR="00057F84" w:rsidRPr="00057F84" w:rsidP="00057F84" w14:paraId="5E50925A" w14:textId="546B6D7D">
            <w:pPr>
              <w:spacing w:after="0" w:line="276" w:lineRule="auto"/>
              <w:jc w:val="center"/>
              <w:textAlignment w:val="baseline"/>
              <w:rPr>
                <w:rFonts w:eastAsia="Times New Roman" w:cstheme="minorHAnsi"/>
              </w:rPr>
            </w:pPr>
            <w:r w:rsidRPr="00057F84">
              <w:rPr>
                <w:rFonts w:eastAsia="Times New Roman" w:cstheme="minorHAnsi"/>
                <w:color w:val="000000"/>
              </w:rPr>
              <w:t>1</w:t>
            </w:r>
            <w:r w:rsidR="00D878B9">
              <w:rPr>
                <w:rFonts w:eastAsia="Times New Roman" w:cstheme="minorHAnsi"/>
                <w:color w:val="000000"/>
              </w:rPr>
              <w:t>05</w:t>
            </w:r>
            <w:r w:rsidRPr="00057F84">
              <w:rPr>
                <w:rFonts w:eastAsia="Times New Roman" w:cstheme="minorHAnsi"/>
                <w:color w:val="000000"/>
              </w:rPr>
              <w:t> </w:t>
            </w:r>
          </w:p>
        </w:tc>
        <w:tc>
          <w:tcPr>
            <w:tcW w:w="1346" w:type="dxa"/>
            <w:tcBorders>
              <w:top w:val="nil"/>
              <w:left w:val="single" w:sz="6" w:space="0" w:color="auto"/>
              <w:bottom w:val="nil"/>
              <w:right w:val="double" w:sz="6" w:space="0" w:color="auto"/>
            </w:tcBorders>
            <w:shd w:val="clear" w:color="auto" w:fill="auto"/>
            <w:vAlign w:val="center"/>
            <w:hideMark/>
          </w:tcPr>
          <w:p w:rsidR="00057F84" w:rsidRPr="00057F84" w:rsidP="00057F84" w14:paraId="540B7B5C" w14:textId="385444A7">
            <w:pPr>
              <w:spacing w:after="0" w:line="276" w:lineRule="auto"/>
              <w:jc w:val="center"/>
              <w:textAlignment w:val="baseline"/>
              <w:rPr>
                <w:rFonts w:eastAsia="Times New Roman" w:cstheme="minorHAnsi"/>
              </w:rPr>
            </w:pPr>
            <w:r w:rsidRPr="00057F84">
              <w:rPr>
                <w:rFonts w:eastAsia="Times New Roman" w:cstheme="minorHAnsi"/>
                <w:color w:val="000000"/>
              </w:rPr>
              <w:t>$</w:t>
            </w:r>
            <w:r w:rsidR="006A5D5D">
              <w:rPr>
                <w:rFonts w:eastAsia="Times New Roman" w:cstheme="minorHAnsi"/>
                <w:color w:val="000000"/>
              </w:rPr>
              <w:t>12,965</w:t>
            </w:r>
            <w:r w:rsidRPr="00057F84">
              <w:rPr>
                <w:rFonts w:eastAsia="Times New Roman" w:cstheme="minorHAnsi"/>
                <w:color w:val="000000"/>
              </w:rPr>
              <w:t>  </w:t>
            </w:r>
          </w:p>
        </w:tc>
      </w:tr>
      <w:tr w14:paraId="5D5B9C01" w14:textId="77777777" w:rsidTr="00C06CE5">
        <w:tblPrEx>
          <w:tblW w:w="9314" w:type="dxa"/>
          <w:tblCellMar>
            <w:left w:w="0" w:type="dxa"/>
            <w:right w:w="0" w:type="dxa"/>
          </w:tblCellMar>
          <w:tblLook w:val="04A0"/>
        </w:tblPrEx>
        <w:trPr>
          <w:trHeight w:val="210"/>
        </w:trPr>
        <w:tc>
          <w:tcPr>
            <w:tcW w:w="3212" w:type="dxa"/>
            <w:tcBorders>
              <w:top w:val="nil"/>
              <w:left w:val="double" w:sz="6" w:space="0" w:color="auto"/>
              <w:bottom w:val="nil"/>
              <w:right w:val="single" w:sz="6" w:space="0" w:color="auto"/>
            </w:tcBorders>
            <w:shd w:val="clear" w:color="auto" w:fill="auto"/>
            <w:hideMark/>
          </w:tcPr>
          <w:p w:rsidR="00057F84" w:rsidRPr="00057F84" w:rsidP="00057F84" w14:paraId="22B7924D" w14:textId="77777777">
            <w:pPr>
              <w:spacing w:after="0" w:line="276" w:lineRule="auto"/>
              <w:ind w:left="375"/>
              <w:textAlignment w:val="baseline"/>
              <w:rPr>
                <w:rFonts w:eastAsia="Times New Roman" w:cstheme="minorHAnsi"/>
              </w:rPr>
            </w:pPr>
            <w:r w:rsidRPr="00057F84">
              <w:rPr>
                <w:rFonts w:eastAsia="Times New Roman" w:cstheme="minorHAnsi"/>
              </w:rPr>
              <w:t>Technical. </w:t>
            </w:r>
          </w:p>
        </w:tc>
        <w:tc>
          <w:tcPr>
            <w:tcW w:w="1705" w:type="dxa"/>
            <w:tcBorders>
              <w:top w:val="nil"/>
              <w:left w:val="single" w:sz="6" w:space="0" w:color="auto"/>
              <w:bottom w:val="nil"/>
              <w:right w:val="single" w:sz="6" w:space="0" w:color="auto"/>
            </w:tcBorders>
            <w:shd w:val="clear" w:color="auto" w:fill="auto"/>
            <w:hideMark/>
          </w:tcPr>
          <w:p w:rsidR="00057F84" w:rsidRPr="00057F84" w:rsidP="00057F84" w14:paraId="77744EDD" w14:textId="77777777">
            <w:pPr>
              <w:spacing w:after="0" w:line="276" w:lineRule="auto"/>
              <w:jc w:val="center"/>
              <w:textAlignment w:val="baseline"/>
              <w:rPr>
                <w:rFonts w:eastAsia="Times New Roman" w:cstheme="minorHAnsi"/>
              </w:rPr>
            </w:pPr>
            <w:r w:rsidRPr="00057F84">
              <w:rPr>
                <w:rFonts w:eastAsia="Times New Roman" w:cstheme="minorHAnsi"/>
              </w:rPr>
              <w:t>5 </w:t>
            </w:r>
          </w:p>
        </w:tc>
        <w:tc>
          <w:tcPr>
            <w:tcW w:w="1438" w:type="dxa"/>
            <w:tcBorders>
              <w:top w:val="nil"/>
              <w:left w:val="single" w:sz="6" w:space="0" w:color="auto"/>
              <w:bottom w:val="nil"/>
              <w:right w:val="single" w:sz="6" w:space="0" w:color="auto"/>
            </w:tcBorders>
            <w:shd w:val="clear" w:color="auto" w:fill="auto"/>
            <w:vAlign w:val="center"/>
            <w:hideMark/>
          </w:tcPr>
          <w:p w:rsidR="00057F84" w:rsidRPr="00057F84" w:rsidP="00057F84" w14:paraId="44026BA5" w14:textId="13DA9842">
            <w:pPr>
              <w:spacing w:after="0" w:line="276" w:lineRule="auto"/>
              <w:jc w:val="center"/>
              <w:textAlignment w:val="baseline"/>
              <w:rPr>
                <w:rFonts w:eastAsia="Times New Roman" w:cstheme="minorHAnsi"/>
              </w:rPr>
            </w:pPr>
            <w:r w:rsidRPr="00057F84">
              <w:rPr>
                <w:rFonts w:eastAsia="Times New Roman" w:cstheme="minorHAnsi"/>
                <w:color w:val="000000"/>
              </w:rPr>
              <w:t>$</w:t>
            </w:r>
            <w:r w:rsidR="00D878B9">
              <w:rPr>
                <w:rFonts w:eastAsia="Times New Roman" w:cstheme="minorHAnsi"/>
                <w:color w:val="000000"/>
              </w:rPr>
              <w:t>444.00</w:t>
            </w:r>
            <w:r w:rsidRPr="00057F84">
              <w:rPr>
                <w:rFonts w:eastAsia="Times New Roman" w:cstheme="minorHAnsi"/>
                <w:color w:val="000000"/>
              </w:rPr>
              <w:t>  </w:t>
            </w:r>
          </w:p>
        </w:tc>
        <w:tc>
          <w:tcPr>
            <w:tcW w:w="1613" w:type="dxa"/>
            <w:tcBorders>
              <w:top w:val="nil"/>
              <w:left w:val="single" w:sz="6" w:space="0" w:color="auto"/>
              <w:bottom w:val="nil"/>
              <w:right w:val="single" w:sz="6" w:space="0" w:color="auto"/>
            </w:tcBorders>
            <w:shd w:val="clear" w:color="auto" w:fill="auto"/>
            <w:vAlign w:val="center"/>
            <w:hideMark/>
          </w:tcPr>
          <w:p w:rsidR="00057F84" w:rsidRPr="00057F84" w:rsidP="00057F84" w14:paraId="2BE8806B" w14:textId="440FCA6F">
            <w:pPr>
              <w:spacing w:after="0" w:line="276" w:lineRule="auto"/>
              <w:jc w:val="center"/>
              <w:textAlignment w:val="baseline"/>
              <w:rPr>
                <w:rFonts w:eastAsia="Times New Roman" w:cstheme="minorHAnsi"/>
              </w:rPr>
            </w:pPr>
            <w:r w:rsidRPr="00057F84">
              <w:rPr>
                <w:rFonts w:eastAsia="Times New Roman" w:cstheme="minorHAnsi"/>
                <w:color w:val="000000"/>
              </w:rPr>
              <w:t>1</w:t>
            </w:r>
            <w:r w:rsidR="00D878B9">
              <w:rPr>
                <w:rFonts w:eastAsia="Times New Roman" w:cstheme="minorHAnsi"/>
                <w:color w:val="000000"/>
              </w:rPr>
              <w:t>05</w:t>
            </w:r>
            <w:r w:rsidRPr="00057F84">
              <w:rPr>
                <w:rFonts w:eastAsia="Times New Roman" w:cstheme="minorHAnsi"/>
                <w:color w:val="000000"/>
              </w:rPr>
              <w:t> </w:t>
            </w:r>
          </w:p>
        </w:tc>
        <w:tc>
          <w:tcPr>
            <w:tcW w:w="1346" w:type="dxa"/>
            <w:tcBorders>
              <w:top w:val="nil"/>
              <w:left w:val="single" w:sz="6" w:space="0" w:color="auto"/>
              <w:bottom w:val="nil"/>
              <w:right w:val="double" w:sz="6" w:space="0" w:color="auto"/>
            </w:tcBorders>
            <w:shd w:val="clear" w:color="auto" w:fill="auto"/>
            <w:vAlign w:val="center"/>
            <w:hideMark/>
          </w:tcPr>
          <w:p w:rsidR="00057F84" w:rsidRPr="00057F84" w:rsidP="00057F84" w14:paraId="11935CCB" w14:textId="2CD5CF7B">
            <w:pPr>
              <w:spacing w:after="0" w:line="276" w:lineRule="auto"/>
              <w:jc w:val="center"/>
              <w:textAlignment w:val="baseline"/>
              <w:rPr>
                <w:rFonts w:eastAsia="Times New Roman" w:cstheme="minorHAnsi"/>
              </w:rPr>
            </w:pPr>
            <w:r w:rsidRPr="00057F84">
              <w:rPr>
                <w:rFonts w:eastAsia="Times New Roman" w:cstheme="minorHAnsi"/>
                <w:color w:val="000000"/>
              </w:rPr>
              <w:t>$</w:t>
            </w:r>
            <w:r w:rsidR="006A5D5D">
              <w:rPr>
                <w:rFonts w:eastAsia="Times New Roman" w:cstheme="minorHAnsi"/>
                <w:color w:val="000000"/>
              </w:rPr>
              <w:t>9,324</w:t>
            </w:r>
            <w:r w:rsidRPr="00057F84">
              <w:rPr>
                <w:rFonts w:eastAsia="Times New Roman" w:cstheme="minorHAnsi"/>
                <w:color w:val="000000"/>
              </w:rPr>
              <w:t>  </w:t>
            </w:r>
          </w:p>
        </w:tc>
      </w:tr>
      <w:tr w14:paraId="557159E3" w14:textId="77777777" w:rsidTr="00C06CE5">
        <w:tblPrEx>
          <w:tblW w:w="9314" w:type="dxa"/>
          <w:tblCellMar>
            <w:left w:w="0" w:type="dxa"/>
            <w:right w:w="0" w:type="dxa"/>
          </w:tblCellMar>
          <w:tblLook w:val="04A0"/>
        </w:tblPrEx>
        <w:trPr>
          <w:trHeight w:val="240"/>
        </w:trPr>
        <w:tc>
          <w:tcPr>
            <w:tcW w:w="6355" w:type="dxa"/>
            <w:gridSpan w:val="3"/>
            <w:tcBorders>
              <w:top w:val="double" w:sz="6" w:space="0" w:color="auto"/>
              <w:left w:val="double" w:sz="6" w:space="0" w:color="auto"/>
              <w:bottom w:val="double" w:sz="6" w:space="0" w:color="auto"/>
              <w:right w:val="single" w:sz="6" w:space="0" w:color="auto"/>
            </w:tcBorders>
            <w:shd w:val="clear" w:color="auto" w:fill="auto"/>
            <w:hideMark/>
          </w:tcPr>
          <w:p w:rsidR="00057F84" w:rsidRPr="00057F84" w:rsidP="00057F84" w14:paraId="1E7CBE6A" w14:textId="77777777">
            <w:pPr>
              <w:spacing w:after="0" w:line="276" w:lineRule="auto"/>
              <w:textAlignment w:val="baseline"/>
              <w:rPr>
                <w:rFonts w:eastAsia="Times New Roman" w:cstheme="minorHAnsi"/>
              </w:rPr>
            </w:pPr>
            <w:r w:rsidRPr="00057F84">
              <w:rPr>
                <w:rFonts w:eastAsia="Times New Roman" w:cstheme="minorHAnsi"/>
                <w:b/>
                <w:bCs/>
              </w:rPr>
              <w:t>Totals</w:t>
            </w:r>
            <w:r w:rsidRPr="00057F84">
              <w:rPr>
                <w:rFonts w:eastAsia="Times New Roman" w:cstheme="minorHAnsi"/>
              </w:rPr>
              <w:t> </w:t>
            </w:r>
          </w:p>
        </w:tc>
        <w:tc>
          <w:tcPr>
            <w:tcW w:w="1613" w:type="dxa"/>
            <w:tcBorders>
              <w:top w:val="double" w:sz="6" w:space="0" w:color="auto"/>
              <w:left w:val="single" w:sz="6" w:space="0" w:color="auto"/>
              <w:bottom w:val="double" w:sz="6" w:space="0" w:color="auto"/>
              <w:right w:val="single" w:sz="6" w:space="0" w:color="auto"/>
            </w:tcBorders>
            <w:shd w:val="clear" w:color="auto" w:fill="auto"/>
            <w:hideMark/>
          </w:tcPr>
          <w:p w:rsidR="00057F84" w:rsidRPr="00057F84" w:rsidP="00057F84" w14:paraId="32A19923" w14:textId="21855C48">
            <w:pPr>
              <w:spacing w:after="0" w:line="276" w:lineRule="auto"/>
              <w:jc w:val="center"/>
              <w:textAlignment w:val="baseline"/>
              <w:rPr>
                <w:rFonts w:eastAsia="Times New Roman" w:cstheme="minorHAnsi"/>
              </w:rPr>
            </w:pPr>
            <w:r>
              <w:rPr>
                <w:rFonts w:eastAsia="Times New Roman" w:cstheme="minorHAnsi"/>
                <w:b/>
                <w:bCs/>
              </w:rPr>
              <w:t>640</w:t>
            </w:r>
            <w:r w:rsidRPr="00057F84">
              <w:rPr>
                <w:rFonts w:eastAsia="Times New Roman" w:cstheme="minorHAnsi"/>
              </w:rPr>
              <w:t> </w:t>
            </w:r>
          </w:p>
        </w:tc>
        <w:tc>
          <w:tcPr>
            <w:tcW w:w="1346" w:type="dxa"/>
            <w:tcBorders>
              <w:top w:val="double" w:sz="6" w:space="0" w:color="auto"/>
              <w:left w:val="single" w:sz="6" w:space="0" w:color="auto"/>
              <w:bottom w:val="double" w:sz="6" w:space="0" w:color="auto"/>
              <w:right w:val="double" w:sz="6" w:space="0" w:color="auto"/>
            </w:tcBorders>
            <w:shd w:val="clear" w:color="auto" w:fill="auto"/>
            <w:hideMark/>
          </w:tcPr>
          <w:p w:rsidR="00057F84" w:rsidRPr="00057F84" w:rsidP="00057F84" w14:paraId="7C7CA921" w14:textId="1431EB49">
            <w:pPr>
              <w:spacing w:after="0" w:line="276" w:lineRule="auto"/>
              <w:jc w:val="center"/>
              <w:textAlignment w:val="baseline"/>
              <w:rPr>
                <w:rFonts w:eastAsia="Times New Roman" w:cstheme="minorHAnsi"/>
              </w:rPr>
            </w:pPr>
            <w:r w:rsidRPr="00057F84">
              <w:rPr>
                <w:rFonts w:eastAsia="Times New Roman" w:cstheme="minorHAnsi"/>
                <w:b/>
                <w:bCs/>
              </w:rPr>
              <w:t>$</w:t>
            </w:r>
            <w:r w:rsidR="000D4C94">
              <w:rPr>
                <w:rFonts w:eastAsia="Times New Roman" w:cstheme="minorHAnsi"/>
                <w:b/>
                <w:bCs/>
              </w:rPr>
              <w:t>66,438</w:t>
            </w:r>
            <w:r w:rsidRPr="00057F84">
              <w:rPr>
                <w:rFonts w:eastAsia="Times New Roman" w:cstheme="minorHAnsi"/>
              </w:rPr>
              <w:t> </w:t>
            </w:r>
          </w:p>
        </w:tc>
      </w:tr>
    </w:tbl>
    <w:p w:rsidR="00057F84" w:rsidRPr="00057F84" w:rsidP="00057F84" w14:paraId="78923FE4" w14:textId="60673539">
      <w:pPr>
        <w:spacing w:after="0" w:line="276" w:lineRule="auto"/>
        <w:textAlignment w:val="baseline"/>
        <w:rPr>
          <w:rFonts w:eastAsia="Times New Roman" w:cstheme="minorHAnsi"/>
        </w:rPr>
      </w:pPr>
      <w:r w:rsidRPr="00057F84">
        <w:rPr>
          <w:rFonts w:eastAsia="Times New Roman" w:cstheme="minorHAnsi"/>
        </w:rPr>
        <w:t> </w:t>
      </w:r>
      <w:r w:rsidRPr="00057F84">
        <w:rPr>
          <w:rFonts w:eastAsia="Times New Roman" w:cstheme="minorHAnsi"/>
          <w:sz w:val="18"/>
          <w:szCs w:val="18"/>
          <w:vertAlign w:val="superscript"/>
        </w:rPr>
        <w:t>a</w:t>
      </w:r>
      <w:r w:rsidRPr="00057F84">
        <w:rPr>
          <w:rFonts w:eastAsia="Times New Roman" w:cstheme="minorHAnsi"/>
          <w:sz w:val="18"/>
          <w:szCs w:val="18"/>
        </w:rPr>
        <w:t>202</w:t>
      </w:r>
      <w:r w:rsidR="0070270D">
        <w:rPr>
          <w:rFonts w:eastAsia="Times New Roman" w:cstheme="minorHAnsi"/>
          <w:sz w:val="18"/>
          <w:szCs w:val="18"/>
        </w:rPr>
        <w:t>4</w:t>
      </w:r>
      <w:r w:rsidRPr="00057F84">
        <w:rPr>
          <w:rFonts w:eastAsia="Times New Roman" w:cstheme="minorHAnsi"/>
          <w:sz w:val="18"/>
          <w:szCs w:val="18"/>
        </w:rPr>
        <w:t xml:space="preserve"> dollars. </w:t>
      </w:r>
    </w:p>
    <w:p w:rsidR="00057F84" w:rsidRPr="00057F84" w:rsidP="00057F84" w14:paraId="1DA9F349" w14:textId="7271A518">
      <w:pPr>
        <w:spacing w:after="0" w:line="276" w:lineRule="auto"/>
        <w:textAlignment w:val="baseline"/>
        <w:rPr>
          <w:rFonts w:eastAsia="Times New Roman" w:cstheme="minorHAnsi"/>
          <w:sz w:val="18"/>
          <w:szCs w:val="18"/>
          <w:vertAlign w:val="superscript"/>
        </w:rPr>
      </w:pPr>
      <w:r w:rsidRPr="00057F84">
        <w:rPr>
          <w:rFonts w:eastAsia="Times New Roman" w:cstheme="minorHAnsi"/>
          <w:sz w:val="18"/>
          <w:szCs w:val="18"/>
          <w:vertAlign w:val="superscript"/>
        </w:rPr>
        <w:t>  </w:t>
      </w:r>
      <w:r w:rsidRPr="00057F84">
        <w:rPr>
          <w:rFonts w:eastAsia="Times New Roman" w:cstheme="minorHAnsi"/>
          <w:sz w:val="18"/>
          <w:szCs w:val="18"/>
          <w:vertAlign w:val="superscript"/>
        </w:rPr>
        <w:t>b</w:t>
      </w:r>
      <w:r w:rsidRPr="00057F84">
        <w:rPr>
          <w:rFonts w:eastAsia="Times New Roman" w:cstheme="minorHAnsi"/>
          <w:sz w:val="18"/>
          <w:szCs w:val="18"/>
        </w:rPr>
        <w:t>Assumes</w:t>
      </w:r>
      <w:r w:rsidRPr="00057F84">
        <w:rPr>
          <w:rFonts w:eastAsia="Times New Roman" w:cstheme="minorHAnsi"/>
          <w:sz w:val="18"/>
          <w:szCs w:val="18"/>
        </w:rPr>
        <w:t xml:space="preserve"> </w:t>
      </w:r>
      <w:r w:rsidR="0070270D">
        <w:rPr>
          <w:rFonts w:eastAsia="Times New Roman" w:cstheme="minorHAnsi"/>
          <w:sz w:val="18"/>
          <w:szCs w:val="18"/>
        </w:rPr>
        <w:t>8</w:t>
      </w:r>
      <w:r w:rsidRPr="00057F84">
        <w:rPr>
          <w:rFonts w:eastAsia="Times New Roman" w:cstheme="minorHAnsi"/>
          <w:sz w:val="18"/>
          <w:szCs w:val="18"/>
        </w:rPr>
        <w:t>6 units (20 percent of all NO</w:t>
      </w:r>
      <w:r w:rsidRPr="00057F84">
        <w:rPr>
          <w:rFonts w:eastAsia="Times New Roman" w:cstheme="minorHAnsi"/>
          <w:sz w:val="18"/>
          <w:szCs w:val="18"/>
          <w:vertAlign w:val="subscript"/>
        </w:rPr>
        <w:t>X</w:t>
      </w:r>
      <w:r w:rsidRPr="00057F84">
        <w:rPr>
          <w:rFonts w:eastAsia="Times New Roman" w:cstheme="minorHAnsi"/>
          <w:sz w:val="18"/>
          <w:szCs w:val="18"/>
        </w:rPr>
        <w:t xml:space="preserve"> affected units) submit NO</w:t>
      </w:r>
      <w:r w:rsidRPr="00057F84">
        <w:rPr>
          <w:rFonts w:eastAsia="Times New Roman" w:cstheme="minorHAnsi"/>
          <w:sz w:val="18"/>
          <w:szCs w:val="18"/>
          <w:vertAlign w:val="subscript"/>
        </w:rPr>
        <w:t>X</w:t>
      </w:r>
      <w:r w:rsidRPr="00057F84">
        <w:rPr>
          <w:rFonts w:eastAsia="Times New Roman" w:cstheme="minorHAnsi"/>
          <w:sz w:val="18"/>
          <w:szCs w:val="18"/>
        </w:rPr>
        <w:t xml:space="preserve"> compliance plan renewals each year.   </w:t>
      </w:r>
      <w:r w:rsidRPr="00057F84">
        <w:rPr>
          <w:rFonts w:eastAsia="Times New Roman" w:cstheme="minorHAnsi"/>
          <w:sz w:val="18"/>
          <w:szCs w:val="18"/>
          <w:vertAlign w:val="superscript"/>
        </w:rPr>
        <w:t>    </w:t>
      </w:r>
    </w:p>
    <w:p w:rsidR="00057F84" w:rsidRPr="00057F84" w:rsidP="00057F84" w14:paraId="1BE6E8E6" w14:textId="700E6935">
      <w:pPr>
        <w:spacing w:after="0" w:line="276" w:lineRule="auto"/>
        <w:textAlignment w:val="baseline"/>
        <w:rPr>
          <w:rFonts w:eastAsia="Times New Roman" w:cstheme="minorHAnsi"/>
          <w:sz w:val="18"/>
          <w:szCs w:val="18"/>
        </w:rPr>
      </w:pPr>
      <w:r>
        <w:rPr>
          <w:rFonts w:eastAsia="Times New Roman" w:cstheme="minorHAnsi"/>
          <w:sz w:val="18"/>
          <w:szCs w:val="18"/>
          <w:vertAlign w:val="superscript"/>
        </w:rPr>
        <w:t xml:space="preserve">  </w:t>
      </w:r>
      <w:r w:rsidRPr="00057F84">
        <w:rPr>
          <w:rFonts w:eastAsia="Times New Roman" w:cstheme="minorHAnsi"/>
          <w:sz w:val="18"/>
          <w:szCs w:val="18"/>
          <w:vertAlign w:val="superscript"/>
        </w:rPr>
        <w:t>c</w:t>
      </w:r>
      <w:r w:rsidRPr="00057F84">
        <w:rPr>
          <w:rFonts w:eastAsia="Times New Roman" w:cstheme="minorHAnsi"/>
          <w:sz w:val="18"/>
          <w:szCs w:val="18"/>
        </w:rPr>
        <w:t>Assumes</w:t>
      </w:r>
      <w:r w:rsidRPr="00057F84">
        <w:rPr>
          <w:rFonts w:eastAsia="Times New Roman" w:cstheme="minorHAnsi"/>
          <w:sz w:val="18"/>
          <w:szCs w:val="18"/>
        </w:rPr>
        <w:t xml:space="preserve"> 2</w:t>
      </w:r>
      <w:r w:rsidR="00503AAF">
        <w:rPr>
          <w:rFonts w:eastAsia="Times New Roman" w:cstheme="minorHAnsi"/>
          <w:sz w:val="18"/>
          <w:szCs w:val="18"/>
        </w:rPr>
        <w:t>1</w:t>
      </w:r>
      <w:r w:rsidRPr="00057F84">
        <w:rPr>
          <w:rFonts w:eastAsia="Times New Roman" w:cstheme="minorHAnsi"/>
          <w:sz w:val="18"/>
          <w:szCs w:val="18"/>
        </w:rPr>
        <w:t xml:space="preserve"> respondents revise emissions averaging plans each year. </w:t>
      </w:r>
    </w:p>
    <w:p w:rsidR="00797DB2" w:rsidP="00C06CE5" w14:paraId="3D42DA39" w14:textId="77777777">
      <w:pPr>
        <w:spacing w:after="0" w:line="276" w:lineRule="auto"/>
        <w:jc w:val="center"/>
        <w:textAlignment w:val="baseline"/>
        <w:rPr>
          <w:rFonts w:eastAsia="Times New Roman" w:cstheme="minorHAnsi"/>
          <w:highlight w:val="yellow"/>
        </w:rPr>
      </w:pPr>
    </w:p>
    <w:p w:rsidR="00797DB2" w:rsidP="00C06CE5" w14:paraId="3706635D" w14:textId="77777777">
      <w:pPr>
        <w:spacing w:after="0" w:line="276" w:lineRule="auto"/>
        <w:jc w:val="center"/>
        <w:textAlignment w:val="baseline"/>
        <w:rPr>
          <w:rFonts w:eastAsia="Times New Roman" w:cstheme="minorHAnsi"/>
          <w:highlight w:val="yellow"/>
        </w:rPr>
      </w:pPr>
    </w:p>
    <w:p w:rsidR="00057F84" w:rsidRPr="00057F84" w:rsidP="00C06CE5" w14:paraId="111B44E8" w14:textId="4B1DF694">
      <w:pPr>
        <w:spacing w:after="0" w:line="276" w:lineRule="auto"/>
        <w:jc w:val="center"/>
        <w:textAlignment w:val="baseline"/>
        <w:rPr>
          <w:rFonts w:eastAsia="Times New Roman" w:cstheme="minorHAnsi"/>
        </w:rPr>
      </w:pPr>
      <w:r w:rsidRPr="002D2A06">
        <w:rPr>
          <w:rFonts w:eastAsia="Times New Roman" w:cstheme="minorHAnsi"/>
        </w:rPr>
        <w:t>Table 1</w:t>
      </w:r>
      <w:r w:rsidRPr="002D2A06" w:rsidR="00797DB2">
        <w:rPr>
          <w:rFonts w:eastAsia="Times New Roman" w:cstheme="minorHAnsi"/>
        </w:rPr>
        <w:t>2</w:t>
      </w:r>
      <w:r w:rsidRPr="002D2A06">
        <w:rPr>
          <w:rFonts w:eastAsia="Times New Roman" w:cstheme="minorHAnsi"/>
        </w:rPr>
        <w:t>.7: Aggregate Annual Respondent Burden and Cost</w:t>
      </w:r>
      <w:r w:rsidRPr="00057F84">
        <w:rPr>
          <w:rFonts w:eastAsia="Times New Roman" w:cstheme="minorHAnsi"/>
        </w:rPr>
        <w:t xml:space="preserve">  </w:t>
      </w:r>
    </w:p>
    <w:tbl>
      <w:tblPr>
        <w:tblW w:w="7245" w:type="dxa"/>
        <w:tblInd w:w="1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5"/>
        <w:gridCol w:w="2775"/>
        <w:gridCol w:w="1875"/>
      </w:tblGrid>
      <w:tr w14:paraId="072F3B7B" w14:textId="77777777">
        <w:tblPrEx>
          <w:tblW w:w="7245" w:type="dxa"/>
          <w:tblInd w:w="1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595" w:type="dxa"/>
            <w:tcBorders>
              <w:top w:val="double" w:sz="6" w:space="0" w:color="auto"/>
              <w:left w:val="double" w:sz="6" w:space="0" w:color="auto"/>
              <w:bottom w:val="double" w:sz="6" w:space="0" w:color="auto"/>
              <w:right w:val="nil"/>
            </w:tcBorders>
            <w:shd w:val="clear" w:color="auto" w:fill="E5E5E5"/>
            <w:vAlign w:val="center"/>
            <w:hideMark/>
          </w:tcPr>
          <w:p w:rsidR="00057F84" w:rsidRPr="00057F84" w:rsidP="00057F84" w14:paraId="5E2F338C" w14:textId="77777777">
            <w:pPr>
              <w:spacing w:after="0" w:line="276" w:lineRule="auto"/>
              <w:jc w:val="center"/>
              <w:textAlignment w:val="baseline"/>
              <w:rPr>
                <w:rFonts w:eastAsia="Times New Roman" w:cstheme="minorHAnsi"/>
              </w:rPr>
            </w:pPr>
            <w:r w:rsidRPr="00057F84">
              <w:rPr>
                <w:rFonts w:eastAsia="Times New Roman" w:cstheme="minorHAnsi"/>
                <w:b/>
                <w:bCs/>
                <w:color w:val="000000"/>
              </w:rPr>
              <w:t>Program element</w:t>
            </w:r>
            <w:r w:rsidRPr="00057F84">
              <w:rPr>
                <w:rFonts w:eastAsia="Times New Roman" w:cstheme="minorHAnsi"/>
                <w:color w:val="000000"/>
              </w:rPr>
              <w:t> </w:t>
            </w:r>
          </w:p>
        </w:tc>
        <w:tc>
          <w:tcPr>
            <w:tcW w:w="2775" w:type="dxa"/>
            <w:tcBorders>
              <w:top w:val="double" w:sz="6" w:space="0" w:color="auto"/>
              <w:left w:val="single" w:sz="6" w:space="0" w:color="auto"/>
              <w:bottom w:val="double" w:sz="6" w:space="0" w:color="auto"/>
              <w:right w:val="nil"/>
            </w:tcBorders>
            <w:shd w:val="clear" w:color="auto" w:fill="E5E5E5"/>
            <w:vAlign w:val="center"/>
            <w:hideMark/>
          </w:tcPr>
          <w:p w:rsidR="00057F84" w:rsidRPr="00057F84" w:rsidP="00057F84" w14:paraId="53D975B3" w14:textId="77777777">
            <w:pPr>
              <w:spacing w:after="0" w:line="276" w:lineRule="auto"/>
              <w:jc w:val="center"/>
              <w:textAlignment w:val="baseline"/>
              <w:rPr>
                <w:rFonts w:eastAsia="Times New Roman" w:cstheme="minorHAnsi"/>
              </w:rPr>
            </w:pPr>
            <w:r w:rsidRPr="00057F84">
              <w:rPr>
                <w:rFonts w:eastAsia="Times New Roman" w:cstheme="minorHAnsi"/>
                <w:b/>
                <w:bCs/>
                <w:color w:val="000000"/>
              </w:rPr>
              <w:t>Total burden (hours)</w:t>
            </w:r>
            <w:r w:rsidRPr="00057F84">
              <w:rPr>
                <w:rFonts w:eastAsia="Times New Roman" w:cstheme="minorHAnsi"/>
                <w:color w:val="000000"/>
              </w:rPr>
              <w:t> </w:t>
            </w:r>
          </w:p>
        </w:tc>
        <w:tc>
          <w:tcPr>
            <w:tcW w:w="1875" w:type="dxa"/>
            <w:tcBorders>
              <w:top w:val="double" w:sz="6" w:space="0" w:color="auto"/>
              <w:left w:val="single" w:sz="6" w:space="0" w:color="auto"/>
              <w:bottom w:val="double" w:sz="6" w:space="0" w:color="auto"/>
              <w:right w:val="double" w:sz="6" w:space="0" w:color="auto"/>
            </w:tcBorders>
            <w:shd w:val="clear" w:color="auto" w:fill="E5E5E5"/>
            <w:vAlign w:val="center"/>
            <w:hideMark/>
          </w:tcPr>
          <w:p w:rsidR="00057F84" w:rsidRPr="00057F84" w:rsidP="00057F84" w14:paraId="588526D2" w14:textId="77777777">
            <w:pPr>
              <w:spacing w:after="0" w:line="276" w:lineRule="auto"/>
              <w:jc w:val="center"/>
              <w:textAlignment w:val="baseline"/>
              <w:rPr>
                <w:rFonts w:eastAsia="Times New Roman" w:cstheme="minorHAnsi"/>
              </w:rPr>
            </w:pPr>
            <w:r w:rsidRPr="00057F84">
              <w:rPr>
                <w:rFonts w:eastAsia="Times New Roman" w:cstheme="minorHAnsi"/>
                <w:b/>
                <w:bCs/>
                <w:color w:val="000000"/>
              </w:rPr>
              <w:t xml:space="preserve">Total </w:t>
            </w:r>
            <w:r w:rsidRPr="00057F84">
              <w:rPr>
                <w:rFonts w:eastAsia="Times New Roman" w:cstheme="minorHAnsi"/>
                <w:b/>
                <w:bCs/>
                <w:color w:val="000000"/>
              </w:rPr>
              <w:t>costs</w:t>
            </w:r>
            <w:r w:rsidRPr="00057F84">
              <w:rPr>
                <w:rFonts w:eastAsia="Times New Roman" w:cstheme="minorHAnsi"/>
                <w:b/>
                <w:bCs/>
                <w:color w:val="000000"/>
                <w:vertAlign w:val="superscript"/>
              </w:rPr>
              <w:t>a</w:t>
            </w:r>
            <w:r w:rsidRPr="00057F84">
              <w:rPr>
                <w:rFonts w:eastAsia="Times New Roman" w:cstheme="minorHAnsi"/>
                <w:color w:val="000000"/>
              </w:rPr>
              <w:t> </w:t>
            </w:r>
          </w:p>
        </w:tc>
      </w:tr>
      <w:tr w14:paraId="13ADE253" w14:textId="77777777">
        <w:tblPrEx>
          <w:tblW w:w="7245" w:type="dxa"/>
          <w:tblInd w:w="1023" w:type="dxa"/>
          <w:tblCellMar>
            <w:left w:w="0" w:type="dxa"/>
            <w:right w:w="0" w:type="dxa"/>
          </w:tblCellMar>
          <w:tblLook w:val="04A0"/>
        </w:tblPrEx>
        <w:trPr>
          <w:trHeight w:val="300"/>
        </w:trPr>
        <w:tc>
          <w:tcPr>
            <w:tcW w:w="2595" w:type="dxa"/>
            <w:tcBorders>
              <w:top w:val="double" w:sz="6" w:space="0" w:color="auto"/>
              <w:left w:val="double" w:sz="6" w:space="0" w:color="auto"/>
              <w:bottom w:val="single" w:sz="6" w:space="0" w:color="auto"/>
              <w:right w:val="nil"/>
            </w:tcBorders>
            <w:shd w:val="clear" w:color="auto" w:fill="auto"/>
            <w:vAlign w:val="center"/>
            <w:hideMark/>
          </w:tcPr>
          <w:p w:rsidR="00057F84" w:rsidRPr="00057F84" w:rsidP="00057F84" w14:paraId="3A099475" w14:textId="77777777">
            <w:pPr>
              <w:spacing w:after="0" w:line="276" w:lineRule="auto"/>
              <w:textAlignment w:val="baseline"/>
              <w:rPr>
                <w:rFonts w:eastAsia="Times New Roman" w:cstheme="minorHAnsi"/>
              </w:rPr>
            </w:pPr>
            <w:r w:rsidRPr="00057F84">
              <w:rPr>
                <w:rFonts w:eastAsia="Times New Roman" w:cstheme="minorHAnsi"/>
                <w:color w:val="000000"/>
              </w:rPr>
              <w:t>Allowance transfers. </w:t>
            </w:r>
          </w:p>
        </w:tc>
        <w:tc>
          <w:tcPr>
            <w:tcW w:w="2775" w:type="dxa"/>
            <w:tcBorders>
              <w:top w:val="double" w:sz="6" w:space="0" w:color="auto"/>
              <w:left w:val="single" w:sz="6" w:space="0" w:color="auto"/>
              <w:bottom w:val="single" w:sz="6" w:space="0" w:color="auto"/>
              <w:right w:val="nil"/>
            </w:tcBorders>
            <w:shd w:val="clear" w:color="auto" w:fill="auto"/>
            <w:vAlign w:val="center"/>
            <w:hideMark/>
          </w:tcPr>
          <w:p w:rsidR="00057F84" w:rsidRPr="00057F84" w:rsidP="00057F84" w14:paraId="1C911DE1" w14:textId="1ACF0795">
            <w:pPr>
              <w:spacing w:after="0" w:line="276" w:lineRule="auto"/>
              <w:jc w:val="center"/>
              <w:textAlignment w:val="baseline"/>
              <w:rPr>
                <w:rFonts w:eastAsia="Times New Roman" w:cstheme="minorHAnsi"/>
              </w:rPr>
            </w:pPr>
            <w:r>
              <w:rPr>
                <w:rFonts w:eastAsia="Times New Roman" w:cstheme="minorHAnsi"/>
                <w:color w:val="000000"/>
              </w:rPr>
              <w:t>2,17</w:t>
            </w:r>
            <w:r w:rsidR="006E2AA7">
              <w:rPr>
                <w:rFonts w:eastAsia="Times New Roman" w:cstheme="minorHAnsi"/>
                <w:color w:val="000000"/>
              </w:rPr>
              <w:t>0</w:t>
            </w:r>
            <w:r w:rsidRPr="00057F84">
              <w:rPr>
                <w:rFonts w:eastAsia="Times New Roman" w:cstheme="minorHAnsi"/>
                <w:color w:val="000000"/>
              </w:rPr>
              <w:t> </w:t>
            </w:r>
          </w:p>
        </w:tc>
        <w:tc>
          <w:tcPr>
            <w:tcW w:w="1875" w:type="dxa"/>
            <w:tcBorders>
              <w:top w:val="double" w:sz="6" w:space="0" w:color="auto"/>
              <w:left w:val="single" w:sz="6" w:space="0" w:color="auto"/>
              <w:bottom w:val="single" w:sz="6" w:space="0" w:color="auto"/>
              <w:right w:val="double" w:sz="6" w:space="0" w:color="auto"/>
            </w:tcBorders>
            <w:shd w:val="clear" w:color="auto" w:fill="auto"/>
            <w:vAlign w:val="center"/>
            <w:hideMark/>
          </w:tcPr>
          <w:p w:rsidR="00057F84" w:rsidRPr="00057F84" w:rsidP="00057F84" w14:paraId="0633FE42" w14:textId="1FE4EE21">
            <w:pPr>
              <w:spacing w:after="0" w:line="276" w:lineRule="auto"/>
              <w:jc w:val="center"/>
              <w:textAlignment w:val="baseline"/>
              <w:rPr>
                <w:rFonts w:eastAsia="Times New Roman" w:cstheme="minorHAnsi"/>
              </w:rPr>
            </w:pPr>
            <w:r w:rsidRPr="00057F84">
              <w:rPr>
                <w:rFonts w:eastAsia="Times New Roman" w:cstheme="minorHAnsi"/>
                <w:color w:val="000000"/>
              </w:rPr>
              <w:t>$</w:t>
            </w:r>
            <w:r w:rsidR="006E2AA7">
              <w:rPr>
                <w:rFonts w:eastAsia="Times New Roman" w:cstheme="minorHAnsi"/>
                <w:color w:val="000000"/>
              </w:rPr>
              <w:t>222,972</w:t>
            </w:r>
            <w:r w:rsidRPr="00057F84">
              <w:rPr>
                <w:rFonts w:eastAsia="Times New Roman" w:cstheme="minorHAnsi"/>
                <w:color w:val="000000"/>
              </w:rPr>
              <w:t> </w:t>
            </w:r>
          </w:p>
        </w:tc>
      </w:tr>
      <w:tr w14:paraId="1CB67563" w14:textId="77777777">
        <w:tblPrEx>
          <w:tblW w:w="7245" w:type="dxa"/>
          <w:tblInd w:w="1023" w:type="dxa"/>
          <w:tblCellMar>
            <w:left w:w="0" w:type="dxa"/>
            <w:right w:w="0" w:type="dxa"/>
          </w:tblCellMar>
          <w:tblLook w:val="04A0"/>
        </w:tblPrEx>
        <w:trPr>
          <w:trHeight w:val="300"/>
        </w:trPr>
        <w:tc>
          <w:tcPr>
            <w:tcW w:w="2595" w:type="dxa"/>
            <w:tcBorders>
              <w:top w:val="nil"/>
              <w:left w:val="double" w:sz="6" w:space="0" w:color="auto"/>
              <w:bottom w:val="single" w:sz="6" w:space="0" w:color="auto"/>
              <w:right w:val="nil"/>
            </w:tcBorders>
            <w:shd w:val="clear" w:color="auto" w:fill="auto"/>
            <w:vAlign w:val="center"/>
            <w:hideMark/>
          </w:tcPr>
          <w:p w:rsidR="00057F84" w:rsidRPr="00057F84" w:rsidP="00057F84" w14:paraId="10D05469" w14:textId="77777777">
            <w:pPr>
              <w:spacing w:after="0" w:line="276" w:lineRule="auto"/>
              <w:textAlignment w:val="baseline"/>
              <w:rPr>
                <w:rFonts w:eastAsia="Times New Roman" w:cstheme="minorHAnsi"/>
              </w:rPr>
            </w:pPr>
            <w:r w:rsidRPr="00057F84">
              <w:rPr>
                <w:rFonts w:eastAsia="Times New Roman" w:cstheme="minorHAnsi"/>
                <w:color w:val="000000"/>
              </w:rPr>
              <w:t>Permits. </w:t>
            </w:r>
          </w:p>
        </w:tc>
        <w:tc>
          <w:tcPr>
            <w:tcW w:w="2775" w:type="dxa"/>
            <w:tcBorders>
              <w:top w:val="nil"/>
              <w:left w:val="single" w:sz="6" w:space="0" w:color="auto"/>
              <w:bottom w:val="single" w:sz="6" w:space="0" w:color="auto"/>
              <w:right w:val="nil"/>
            </w:tcBorders>
            <w:shd w:val="clear" w:color="auto" w:fill="auto"/>
            <w:vAlign w:val="center"/>
            <w:hideMark/>
          </w:tcPr>
          <w:p w:rsidR="00057F84" w:rsidRPr="00057F84" w:rsidP="00057F84" w14:paraId="2342F3D9" w14:textId="1704576E">
            <w:pPr>
              <w:spacing w:after="0" w:line="276" w:lineRule="auto"/>
              <w:jc w:val="center"/>
              <w:textAlignment w:val="baseline"/>
              <w:rPr>
                <w:rFonts w:eastAsia="Times New Roman" w:cstheme="minorHAnsi"/>
              </w:rPr>
            </w:pPr>
            <w:r>
              <w:rPr>
                <w:rFonts w:eastAsia="Times New Roman" w:cstheme="minorHAnsi"/>
                <w:color w:val="000000"/>
              </w:rPr>
              <w:t>5,393</w:t>
            </w:r>
            <w:r w:rsidRPr="00057F84">
              <w:rPr>
                <w:rFonts w:eastAsia="Times New Roman" w:cstheme="minorHAnsi"/>
                <w:color w:val="000000"/>
              </w:rPr>
              <w:t> </w:t>
            </w:r>
          </w:p>
        </w:tc>
        <w:tc>
          <w:tcPr>
            <w:tcW w:w="1875" w:type="dxa"/>
            <w:tcBorders>
              <w:top w:val="nil"/>
              <w:left w:val="single" w:sz="6" w:space="0" w:color="auto"/>
              <w:bottom w:val="single" w:sz="6" w:space="0" w:color="auto"/>
              <w:right w:val="double" w:sz="6" w:space="0" w:color="auto"/>
            </w:tcBorders>
            <w:shd w:val="clear" w:color="auto" w:fill="auto"/>
            <w:vAlign w:val="center"/>
            <w:hideMark/>
          </w:tcPr>
          <w:p w:rsidR="00057F84" w:rsidRPr="00057F84" w:rsidP="00057F84" w14:paraId="5A918C0B" w14:textId="54BB8DA5">
            <w:pPr>
              <w:spacing w:after="0" w:line="276" w:lineRule="auto"/>
              <w:jc w:val="center"/>
              <w:textAlignment w:val="baseline"/>
              <w:rPr>
                <w:rFonts w:eastAsia="Times New Roman" w:cstheme="minorHAnsi"/>
              </w:rPr>
            </w:pPr>
            <w:r w:rsidRPr="00057F84">
              <w:rPr>
                <w:rFonts w:eastAsia="Times New Roman" w:cstheme="minorHAnsi"/>
                <w:color w:val="000000"/>
              </w:rPr>
              <w:t>$</w:t>
            </w:r>
            <w:r w:rsidR="008938A1">
              <w:rPr>
                <w:rFonts w:eastAsia="Times New Roman" w:cstheme="minorHAnsi"/>
                <w:color w:val="000000"/>
              </w:rPr>
              <w:t>592,719</w:t>
            </w:r>
            <w:r w:rsidRPr="00057F84">
              <w:rPr>
                <w:rFonts w:eastAsia="Times New Roman" w:cstheme="minorHAnsi"/>
                <w:color w:val="000000"/>
              </w:rPr>
              <w:t> </w:t>
            </w:r>
          </w:p>
        </w:tc>
      </w:tr>
      <w:tr w14:paraId="3A27433D" w14:textId="77777777">
        <w:tblPrEx>
          <w:tblW w:w="7245" w:type="dxa"/>
          <w:tblInd w:w="1023" w:type="dxa"/>
          <w:tblCellMar>
            <w:left w:w="0" w:type="dxa"/>
            <w:right w:w="0" w:type="dxa"/>
          </w:tblCellMar>
          <w:tblLook w:val="04A0"/>
        </w:tblPrEx>
        <w:trPr>
          <w:trHeight w:val="300"/>
        </w:trPr>
        <w:tc>
          <w:tcPr>
            <w:tcW w:w="2595" w:type="dxa"/>
            <w:tcBorders>
              <w:top w:val="nil"/>
              <w:left w:val="double" w:sz="6" w:space="0" w:color="auto"/>
              <w:bottom w:val="single" w:sz="6" w:space="0" w:color="auto"/>
              <w:right w:val="nil"/>
            </w:tcBorders>
            <w:shd w:val="clear" w:color="auto" w:fill="auto"/>
            <w:vAlign w:val="center"/>
            <w:hideMark/>
          </w:tcPr>
          <w:p w:rsidR="00057F84" w:rsidRPr="00057F84" w:rsidP="00057F84" w14:paraId="1EC22651" w14:textId="77777777">
            <w:pPr>
              <w:spacing w:after="0" w:line="276" w:lineRule="auto"/>
              <w:textAlignment w:val="baseline"/>
              <w:rPr>
                <w:rFonts w:eastAsia="Times New Roman" w:cstheme="minorHAnsi"/>
              </w:rPr>
            </w:pPr>
            <w:r w:rsidRPr="00057F84">
              <w:rPr>
                <w:rFonts w:eastAsia="Times New Roman" w:cstheme="minorHAnsi"/>
                <w:color w:val="000000"/>
              </w:rPr>
              <w:t>Emissions reporting. </w:t>
            </w:r>
          </w:p>
        </w:tc>
        <w:tc>
          <w:tcPr>
            <w:tcW w:w="2775" w:type="dxa"/>
            <w:tcBorders>
              <w:top w:val="nil"/>
              <w:left w:val="single" w:sz="6" w:space="0" w:color="auto"/>
              <w:bottom w:val="single" w:sz="6" w:space="0" w:color="auto"/>
              <w:right w:val="nil"/>
            </w:tcBorders>
            <w:shd w:val="clear" w:color="auto" w:fill="auto"/>
            <w:vAlign w:val="center"/>
            <w:hideMark/>
          </w:tcPr>
          <w:p w:rsidR="00057F84" w:rsidRPr="00057F84" w:rsidP="00057F84" w14:paraId="1944B29E" w14:textId="07FCCC96">
            <w:pPr>
              <w:spacing w:after="0" w:line="276" w:lineRule="auto"/>
              <w:jc w:val="center"/>
              <w:textAlignment w:val="baseline"/>
              <w:rPr>
                <w:rFonts w:eastAsia="Times New Roman" w:cstheme="minorHAnsi"/>
              </w:rPr>
            </w:pPr>
            <w:r w:rsidRPr="00057F84">
              <w:rPr>
                <w:rFonts w:eastAsia="Times New Roman" w:cstheme="minorHAnsi"/>
                <w:color w:val="000000"/>
              </w:rPr>
              <w:t>1,</w:t>
            </w:r>
            <w:r w:rsidR="005E47F9">
              <w:rPr>
                <w:rFonts w:eastAsia="Times New Roman" w:cstheme="minorHAnsi"/>
                <w:color w:val="000000"/>
              </w:rPr>
              <w:t>752,308</w:t>
            </w:r>
            <w:r w:rsidRPr="00057F84">
              <w:rPr>
                <w:rFonts w:eastAsia="Times New Roman" w:cstheme="minorHAnsi"/>
                <w:color w:val="000000"/>
              </w:rPr>
              <w:t> </w:t>
            </w:r>
          </w:p>
        </w:tc>
        <w:tc>
          <w:tcPr>
            <w:tcW w:w="1875" w:type="dxa"/>
            <w:tcBorders>
              <w:top w:val="nil"/>
              <w:left w:val="single" w:sz="6" w:space="0" w:color="auto"/>
              <w:bottom w:val="single" w:sz="6" w:space="0" w:color="auto"/>
              <w:right w:val="double" w:sz="6" w:space="0" w:color="auto"/>
            </w:tcBorders>
            <w:shd w:val="clear" w:color="auto" w:fill="auto"/>
            <w:vAlign w:val="center"/>
            <w:hideMark/>
          </w:tcPr>
          <w:p w:rsidR="00057F84" w:rsidRPr="00057F84" w:rsidP="00057F84" w14:paraId="7B850BEB" w14:textId="21C4E944">
            <w:pPr>
              <w:spacing w:after="0" w:line="276" w:lineRule="auto"/>
              <w:jc w:val="center"/>
              <w:textAlignment w:val="baseline"/>
              <w:rPr>
                <w:rFonts w:eastAsia="Times New Roman" w:cstheme="minorHAnsi"/>
              </w:rPr>
            </w:pPr>
            <w:r w:rsidRPr="00057F84">
              <w:rPr>
                <w:rFonts w:eastAsia="Times New Roman" w:cstheme="minorHAnsi"/>
                <w:color w:val="000000"/>
              </w:rPr>
              <w:t>$</w:t>
            </w:r>
            <w:r w:rsidR="0072225D">
              <w:rPr>
                <w:rFonts w:eastAsia="Times New Roman" w:cstheme="minorHAnsi"/>
                <w:color w:val="000000"/>
              </w:rPr>
              <w:t>162,1</w:t>
            </w:r>
            <w:r w:rsidR="001E7357">
              <w:rPr>
                <w:rFonts w:eastAsia="Times New Roman" w:cstheme="minorHAnsi"/>
                <w:color w:val="000000"/>
              </w:rPr>
              <w:t>2</w:t>
            </w:r>
            <w:r w:rsidR="0072225D">
              <w:rPr>
                <w:rFonts w:eastAsia="Times New Roman" w:cstheme="minorHAnsi"/>
                <w:color w:val="000000"/>
              </w:rPr>
              <w:t>0,1</w:t>
            </w:r>
            <w:r w:rsidR="001E7357">
              <w:rPr>
                <w:rFonts w:eastAsia="Times New Roman" w:cstheme="minorHAnsi"/>
                <w:color w:val="000000"/>
              </w:rPr>
              <w:t>45</w:t>
            </w:r>
            <w:r w:rsidRPr="00057F84">
              <w:rPr>
                <w:rFonts w:eastAsia="Times New Roman" w:cstheme="minorHAnsi"/>
                <w:color w:val="000000"/>
              </w:rPr>
              <w:t>  </w:t>
            </w:r>
          </w:p>
        </w:tc>
      </w:tr>
      <w:tr w14:paraId="255B2F12" w14:textId="77777777">
        <w:tblPrEx>
          <w:tblW w:w="7245" w:type="dxa"/>
          <w:tblInd w:w="1023" w:type="dxa"/>
          <w:tblCellMar>
            <w:left w:w="0" w:type="dxa"/>
            <w:right w:w="0" w:type="dxa"/>
          </w:tblCellMar>
          <w:tblLook w:val="04A0"/>
        </w:tblPrEx>
        <w:trPr>
          <w:trHeight w:val="300"/>
        </w:trPr>
        <w:tc>
          <w:tcPr>
            <w:tcW w:w="2595" w:type="dxa"/>
            <w:tcBorders>
              <w:top w:val="nil"/>
              <w:left w:val="double" w:sz="6" w:space="0" w:color="auto"/>
              <w:bottom w:val="single" w:sz="6" w:space="0" w:color="auto"/>
              <w:right w:val="nil"/>
            </w:tcBorders>
            <w:shd w:val="clear" w:color="auto" w:fill="auto"/>
            <w:vAlign w:val="center"/>
            <w:hideMark/>
          </w:tcPr>
          <w:p w:rsidR="00057F84" w:rsidRPr="00057F84" w:rsidP="00057F84" w14:paraId="0F4B4139" w14:textId="77777777">
            <w:pPr>
              <w:spacing w:after="0" w:line="276" w:lineRule="auto"/>
              <w:textAlignment w:val="baseline"/>
              <w:rPr>
                <w:rFonts w:eastAsia="Times New Roman" w:cstheme="minorHAnsi"/>
              </w:rPr>
            </w:pPr>
            <w:r w:rsidRPr="00057F84">
              <w:rPr>
                <w:rFonts w:eastAsia="Times New Roman" w:cstheme="minorHAnsi"/>
                <w:color w:val="000000"/>
              </w:rPr>
              <w:t>Auctions. </w:t>
            </w:r>
          </w:p>
        </w:tc>
        <w:tc>
          <w:tcPr>
            <w:tcW w:w="2775" w:type="dxa"/>
            <w:tcBorders>
              <w:top w:val="nil"/>
              <w:left w:val="single" w:sz="6" w:space="0" w:color="auto"/>
              <w:bottom w:val="single" w:sz="6" w:space="0" w:color="auto"/>
              <w:right w:val="nil"/>
            </w:tcBorders>
            <w:shd w:val="clear" w:color="auto" w:fill="auto"/>
            <w:vAlign w:val="center"/>
            <w:hideMark/>
          </w:tcPr>
          <w:p w:rsidR="00057F84" w:rsidRPr="00057F84" w:rsidP="00057F84" w14:paraId="5511D4D0" w14:textId="0143C7D3">
            <w:pPr>
              <w:spacing w:after="0" w:line="276" w:lineRule="auto"/>
              <w:jc w:val="center"/>
              <w:textAlignment w:val="baseline"/>
              <w:rPr>
                <w:rFonts w:eastAsia="Times New Roman" w:cstheme="minorHAnsi"/>
              </w:rPr>
            </w:pPr>
            <w:r>
              <w:rPr>
                <w:rFonts w:eastAsia="Times New Roman" w:cstheme="minorHAnsi"/>
                <w:color w:val="000000"/>
              </w:rPr>
              <w:t>8</w:t>
            </w:r>
            <w:r w:rsidRPr="00057F84">
              <w:rPr>
                <w:rFonts w:eastAsia="Times New Roman" w:cstheme="minorHAnsi"/>
                <w:color w:val="000000"/>
              </w:rPr>
              <w:t> </w:t>
            </w:r>
          </w:p>
        </w:tc>
        <w:tc>
          <w:tcPr>
            <w:tcW w:w="1875" w:type="dxa"/>
            <w:tcBorders>
              <w:top w:val="nil"/>
              <w:left w:val="single" w:sz="6" w:space="0" w:color="auto"/>
              <w:bottom w:val="single" w:sz="6" w:space="0" w:color="auto"/>
              <w:right w:val="double" w:sz="6" w:space="0" w:color="auto"/>
            </w:tcBorders>
            <w:shd w:val="clear" w:color="auto" w:fill="auto"/>
            <w:vAlign w:val="center"/>
            <w:hideMark/>
          </w:tcPr>
          <w:p w:rsidR="00057F84" w:rsidRPr="00057F84" w:rsidP="00057F84" w14:paraId="281E16BE" w14:textId="3FE7F47B">
            <w:pPr>
              <w:spacing w:after="0" w:line="276" w:lineRule="auto"/>
              <w:jc w:val="center"/>
              <w:textAlignment w:val="baseline"/>
              <w:rPr>
                <w:rFonts w:eastAsia="Times New Roman" w:cstheme="minorHAnsi"/>
              </w:rPr>
            </w:pPr>
            <w:r w:rsidRPr="00057F84">
              <w:rPr>
                <w:rFonts w:eastAsia="Times New Roman" w:cstheme="minorHAnsi"/>
                <w:color w:val="000000"/>
              </w:rPr>
              <w:t>$</w:t>
            </w:r>
            <w:r w:rsidR="00980748">
              <w:rPr>
                <w:rFonts w:eastAsia="Times New Roman" w:cstheme="minorHAnsi"/>
                <w:color w:val="000000"/>
              </w:rPr>
              <w:t>874</w:t>
            </w:r>
            <w:r w:rsidRPr="00057F84">
              <w:rPr>
                <w:rFonts w:eastAsia="Times New Roman" w:cstheme="minorHAnsi"/>
                <w:color w:val="000000"/>
              </w:rPr>
              <w:t> </w:t>
            </w:r>
          </w:p>
        </w:tc>
      </w:tr>
      <w:tr w14:paraId="738017F5" w14:textId="77777777">
        <w:tblPrEx>
          <w:tblW w:w="7245" w:type="dxa"/>
          <w:tblInd w:w="1023" w:type="dxa"/>
          <w:tblCellMar>
            <w:left w:w="0" w:type="dxa"/>
            <w:right w:w="0" w:type="dxa"/>
          </w:tblCellMar>
          <w:tblLook w:val="04A0"/>
        </w:tblPrEx>
        <w:trPr>
          <w:trHeight w:val="315"/>
        </w:trPr>
        <w:tc>
          <w:tcPr>
            <w:tcW w:w="2595" w:type="dxa"/>
            <w:tcBorders>
              <w:top w:val="nil"/>
              <w:left w:val="double" w:sz="6" w:space="0" w:color="auto"/>
              <w:bottom w:val="double" w:sz="6" w:space="0" w:color="auto"/>
              <w:right w:val="nil"/>
            </w:tcBorders>
            <w:shd w:val="clear" w:color="auto" w:fill="auto"/>
            <w:vAlign w:val="center"/>
            <w:hideMark/>
          </w:tcPr>
          <w:p w:rsidR="00057F84" w:rsidRPr="00057F84" w:rsidP="00057F84" w14:paraId="09591EAC" w14:textId="77777777">
            <w:pPr>
              <w:spacing w:after="0" w:line="276" w:lineRule="auto"/>
              <w:textAlignment w:val="baseline"/>
              <w:rPr>
                <w:rFonts w:eastAsia="Times New Roman" w:cstheme="minorHAnsi"/>
              </w:rPr>
            </w:pPr>
            <w:r w:rsidRPr="00057F84">
              <w:rPr>
                <w:rFonts w:eastAsia="Times New Roman" w:cstheme="minorHAnsi"/>
                <w:color w:val="000000"/>
              </w:rPr>
              <w:t>NO</w:t>
            </w:r>
            <w:r w:rsidRPr="00057F84">
              <w:rPr>
                <w:rFonts w:eastAsia="Times New Roman" w:cstheme="minorHAnsi"/>
                <w:color w:val="000000"/>
                <w:vertAlign w:val="subscript"/>
              </w:rPr>
              <w:t>X</w:t>
            </w:r>
            <w:r w:rsidRPr="00057F84">
              <w:rPr>
                <w:rFonts w:eastAsia="Times New Roman" w:cstheme="minorHAnsi"/>
                <w:color w:val="000000"/>
              </w:rPr>
              <w:t xml:space="preserve"> permitting. </w:t>
            </w:r>
          </w:p>
        </w:tc>
        <w:tc>
          <w:tcPr>
            <w:tcW w:w="2775" w:type="dxa"/>
            <w:tcBorders>
              <w:top w:val="nil"/>
              <w:left w:val="single" w:sz="6" w:space="0" w:color="auto"/>
              <w:bottom w:val="double" w:sz="6" w:space="0" w:color="auto"/>
              <w:right w:val="nil"/>
            </w:tcBorders>
            <w:shd w:val="clear" w:color="auto" w:fill="auto"/>
            <w:vAlign w:val="center"/>
            <w:hideMark/>
          </w:tcPr>
          <w:p w:rsidR="00057F84" w:rsidRPr="00057F84" w:rsidP="00057F84" w14:paraId="3AFA620F" w14:textId="27E6CF6E">
            <w:pPr>
              <w:spacing w:after="0" w:line="276" w:lineRule="auto"/>
              <w:jc w:val="center"/>
              <w:textAlignment w:val="baseline"/>
              <w:rPr>
                <w:rFonts w:eastAsia="Times New Roman" w:cstheme="minorHAnsi"/>
              </w:rPr>
            </w:pPr>
            <w:r>
              <w:rPr>
                <w:rFonts w:eastAsia="Times New Roman" w:cstheme="minorHAnsi"/>
                <w:color w:val="000000"/>
              </w:rPr>
              <w:t>640</w:t>
            </w:r>
            <w:r w:rsidRPr="00057F84">
              <w:rPr>
                <w:rFonts w:eastAsia="Times New Roman" w:cstheme="minorHAnsi"/>
                <w:color w:val="000000"/>
              </w:rPr>
              <w:t> </w:t>
            </w:r>
          </w:p>
        </w:tc>
        <w:tc>
          <w:tcPr>
            <w:tcW w:w="1875" w:type="dxa"/>
            <w:tcBorders>
              <w:top w:val="nil"/>
              <w:left w:val="single" w:sz="6" w:space="0" w:color="auto"/>
              <w:bottom w:val="double" w:sz="6" w:space="0" w:color="auto"/>
              <w:right w:val="double" w:sz="6" w:space="0" w:color="auto"/>
            </w:tcBorders>
            <w:shd w:val="clear" w:color="auto" w:fill="auto"/>
            <w:vAlign w:val="center"/>
            <w:hideMark/>
          </w:tcPr>
          <w:p w:rsidR="00057F84" w:rsidRPr="00057F84" w:rsidP="00057F84" w14:paraId="3290AE6B" w14:textId="5B426574">
            <w:pPr>
              <w:spacing w:after="0" w:line="276" w:lineRule="auto"/>
              <w:jc w:val="center"/>
              <w:textAlignment w:val="baseline"/>
              <w:rPr>
                <w:rFonts w:eastAsia="Times New Roman" w:cstheme="minorHAnsi"/>
              </w:rPr>
            </w:pPr>
            <w:r w:rsidRPr="00057F84">
              <w:rPr>
                <w:rFonts w:eastAsia="Times New Roman" w:cstheme="minorHAnsi"/>
                <w:color w:val="000000"/>
              </w:rPr>
              <w:t>$</w:t>
            </w:r>
            <w:r w:rsidR="007C2AA6">
              <w:rPr>
                <w:rFonts w:eastAsia="Times New Roman" w:cstheme="minorHAnsi"/>
                <w:color w:val="000000"/>
              </w:rPr>
              <w:t>66,438</w:t>
            </w:r>
            <w:r w:rsidRPr="00057F84">
              <w:rPr>
                <w:rFonts w:eastAsia="Times New Roman" w:cstheme="minorHAnsi"/>
                <w:color w:val="000000"/>
              </w:rPr>
              <w:t> </w:t>
            </w:r>
          </w:p>
        </w:tc>
      </w:tr>
      <w:tr w14:paraId="35514B98" w14:textId="77777777">
        <w:tblPrEx>
          <w:tblW w:w="7245" w:type="dxa"/>
          <w:tblInd w:w="1023" w:type="dxa"/>
          <w:tblCellMar>
            <w:left w:w="0" w:type="dxa"/>
            <w:right w:w="0" w:type="dxa"/>
          </w:tblCellMar>
          <w:tblLook w:val="04A0"/>
        </w:tblPrEx>
        <w:trPr>
          <w:trHeight w:val="315"/>
        </w:trPr>
        <w:tc>
          <w:tcPr>
            <w:tcW w:w="2595" w:type="dxa"/>
            <w:tcBorders>
              <w:top w:val="double" w:sz="6" w:space="0" w:color="auto"/>
              <w:left w:val="double" w:sz="6" w:space="0" w:color="auto"/>
              <w:bottom w:val="double" w:sz="6" w:space="0" w:color="auto"/>
              <w:right w:val="nil"/>
            </w:tcBorders>
            <w:shd w:val="clear" w:color="auto" w:fill="auto"/>
            <w:vAlign w:val="center"/>
            <w:hideMark/>
          </w:tcPr>
          <w:p w:rsidR="00057F84" w:rsidRPr="00057F84" w:rsidP="00057F84" w14:paraId="14241116" w14:textId="77777777">
            <w:pPr>
              <w:spacing w:after="0" w:line="276" w:lineRule="auto"/>
              <w:textAlignment w:val="baseline"/>
              <w:rPr>
                <w:rFonts w:eastAsia="Times New Roman" w:cstheme="minorHAnsi"/>
              </w:rPr>
            </w:pPr>
            <w:r w:rsidRPr="00057F84">
              <w:rPr>
                <w:rFonts w:eastAsia="Times New Roman" w:cstheme="minorHAnsi"/>
                <w:b/>
                <w:bCs/>
                <w:color w:val="000000"/>
              </w:rPr>
              <w:t>Totals</w:t>
            </w:r>
            <w:r w:rsidRPr="00057F84">
              <w:rPr>
                <w:rFonts w:eastAsia="Times New Roman" w:cstheme="minorHAnsi"/>
                <w:color w:val="000000"/>
              </w:rPr>
              <w:t> </w:t>
            </w:r>
          </w:p>
        </w:tc>
        <w:tc>
          <w:tcPr>
            <w:tcW w:w="2775" w:type="dxa"/>
            <w:tcBorders>
              <w:top w:val="double" w:sz="6" w:space="0" w:color="auto"/>
              <w:left w:val="single" w:sz="6" w:space="0" w:color="auto"/>
              <w:bottom w:val="double" w:sz="6" w:space="0" w:color="auto"/>
              <w:right w:val="nil"/>
            </w:tcBorders>
            <w:shd w:val="clear" w:color="auto" w:fill="auto"/>
            <w:vAlign w:val="center"/>
            <w:hideMark/>
          </w:tcPr>
          <w:p w:rsidR="00057F84" w:rsidRPr="00057F84" w:rsidP="00057F84" w14:paraId="46B02EDE" w14:textId="50D71AE8">
            <w:pPr>
              <w:spacing w:after="0" w:line="276" w:lineRule="auto"/>
              <w:jc w:val="center"/>
              <w:textAlignment w:val="baseline"/>
              <w:rPr>
                <w:rFonts w:eastAsia="Times New Roman" w:cstheme="minorHAnsi"/>
              </w:rPr>
            </w:pPr>
            <w:r w:rsidRPr="00057F84">
              <w:rPr>
                <w:rFonts w:eastAsia="Times New Roman" w:cstheme="minorHAnsi"/>
                <w:b/>
                <w:bCs/>
                <w:color w:val="000000"/>
              </w:rPr>
              <w:t>1,</w:t>
            </w:r>
            <w:r w:rsidR="00633353">
              <w:rPr>
                <w:rFonts w:eastAsia="Times New Roman" w:cstheme="minorHAnsi"/>
                <w:b/>
                <w:bCs/>
                <w:color w:val="000000"/>
              </w:rPr>
              <w:t>760,51</w:t>
            </w:r>
            <w:r w:rsidR="00B73A96">
              <w:rPr>
                <w:rFonts w:eastAsia="Times New Roman" w:cstheme="minorHAnsi"/>
                <w:b/>
                <w:bCs/>
                <w:color w:val="000000"/>
              </w:rPr>
              <w:t>9</w:t>
            </w:r>
            <w:r w:rsidRPr="00057F84">
              <w:rPr>
                <w:rFonts w:eastAsia="Times New Roman" w:cstheme="minorHAnsi"/>
                <w:color w:val="000000"/>
              </w:rPr>
              <w:t> </w:t>
            </w:r>
          </w:p>
        </w:tc>
        <w:tc>
          <w:tcPr>
            <w:tcW w:w="1875" w:type="dxa"/>
            <w:tcBorders>
              <w:top w:val="double" w:sz="6" w:space="0" w:color="auto"/>
              <w:left w:val="single" w:sz="6" w:space="0" w:color="auto"/>
              <w:bottom w:val="double" w:sz="6" w:space="0" w:color="auto"/>
              <w:right w:val="double" w:sz="6" w:space="0" w:color="auto"/>
            </w:tcBorders>
            <w:shd w:val="clear" w:color="auto" w:fill="auto"/>
            <w:vAlign w:val="center"/>
            <w:hideMark/>
          </w:tcPr>
          <w:p w:rsidR="00057F84" w:rsidRPr="00057F84" w:rsidP="00057F84" w14:paraId="7002C520" w14:textId="49349989">
            <w:pPr>
              <w:spacing w:after="0" w:line="276" w:lineRule="auto"/>
              <w:jc w:val="center"/>
              <w:textAlignment w:val="baseline"/>
              <w:rPr>
                <w:rFonts w:eastAsia="Times New Roman" w:cstheme="minorHAnsi"/>
              </w:rPr>
            </w:pPr>
            <w:r w:rsidRPr="00057F84">
              <w:rPr>
                <w:rFonts w:eastAsia="Times New Roman" w:cstheme="minorHAnsi"/>
                <w:b/>
                <w:bCs/>
                <w:color w:val="000000"/>
              </w:rPr>
              <w:t>$</w:t>
            </w:r>
            <w:r w:rsidR="00872C63">
              <w:rPr>
                <w:rFonts w:eastAsia="Times New Roman" w:cstheme="minorHAnsi"/>
                <w:b/>
                <w:bCs/>
                <w:color w:val="000000"/>
              </w:rPr>
              <w:t>163,003,148</w:t>
            </w:r>
            <w:r w:rsidRPr="00057F84">
              <w:rPr>
                <w:rFonts w:eastAsia="Times New Roman" w:cstheme="minorHAnsi"/>
                <w:b/>
                <w:bCs/>
                <w:color w:val="000000"/>
              </w:rPr>
              <w:t> </w:t>
            </w:r>
            <w:r w:rsidRPr="00057F84">
              <w:rPr>
                <w:rFonts w:eastAsia="Times New Roman" w:cstheme="minorHAnsi"/>
                <w:color w:val="000000"/>
              </w:rPr>
              <w:t> </w:t>
            </w:r>
          </w:p>
        </w:tc>
      </w:tr>
    </w:tbl>
    <w:p w:rsidR="00057F84" w:rsidRPr="00057F84" w:rsidP="004D4E6B" w14:paraId="0ACDE083" w14:textId="4A1C3E51">
      <w:pPr>
        <w:spacing w:after="0" w:line="276" w:lineRule="auto"/>
        <w:ind w:left="720" w:firstLine="720"/>
        <w:textAlignment w:val="baseline"/>
        <w:rPr>
          <w:rFonts w:eastAsia="Times New Roman" w:cstheme="minorHAnsi"/>
          <w:sz w:val="18"/>
          <w:szCs w:val="18"/>
        </w:rPr>
      </w:pPr>
      <w:r w:rsidRPr="00057F84">
        <w:rPr>
          <w:rFonts w:eastAsia="Times New Roman" w:cstheme="minorHAnsi"/>
          <w:sz w:val="18"/>
          <w:szCs w:val="18"/>
          <w:vertAlign w:val="superscript"/>
        </w:rPr>
        <w:t>a</w:t>
      </w:r>
      <w:r w:rsidRPr="00057F84">
        <w:rPr>
          <w:rFonts w:eastAsia="Times New Roman" w:cstheme="minorHAnsi"/>
          <w:sz w:val="18"/>
          <w:szCs w:val="18"/>
        </w:rPr>
        <w:t>202</w:t>
      </w:r>
      <w:r w:rsidR="002734DD">
        <w:rPr>
          <w:rFonts w:eastAsia="Times New Roman" w:cstheme="minorHAnsi"/>
          <w:sz w:val="18"/>
          <w:szCs w:val="18"/>
        </w:rPr>
        <w:t>4</w:t>
      </w:r>
      <w:r w:rsidRPr="00057F84">
        <w:rPr>
          <w:rFonts w:eastAsia="Times New Roman" w:cstheme="minorHAnsi"/>
          <w:sz w:val="18"/>
          <w:szCs w:val="18"/>
        </w:rPr>
        <w:t xml:space="preserve"> dollars. </w:t>
      </w:r>
    </w:p>
    <w:p w:rsidR="00057F84" w:rsidP="00057F84" w14:paraId="172AB059" w14:textId="77777777">
      <w:pPr>
        <w:numPr>
          <w:ilvl w:val="12"/>
          <w:numId w:val="0"/>
        </w:numPr>
        <w:spacing w:line="276" w:lineRule="auto"/>
        <w:rPr>
          <w:rFonts w:cstheme="minorHAnsi"/>
          <w:highlight w:val="yellow"/>
        </w:rPr>
      </w:pPr>
    </w:p>
    <w:p w:rsidR="00037A4F" w:rsidRPr="00057F84" w:rsidP="00057F84" w14:paraId="486A2033" w14:textId="77777777">
      <w:pPr>
        <w:numPr>
          <w:ilvl w:val="12"/>
          <w:numId w:val="0"/>
        </w:numPr>
        <w:spacing w:line="276" w:lineRule="auto"/>
        <w:rPr>
          <w:rFonts w:cstheme="minorHAnsi"/>
          <w:highlight w:val="yellow"/>
        </w:rPr>
      </w:pPr>
    </w:p>
    <w:bookmarkEnd w:id="18"/>
    <w:p w:rsidR="002974C6" w:rsidRPr="00D92BA1" w:rsidP="002974C6" w14:paraId="2A7AD340" w14:textId="77777777">
      <w:pPr>
        <w:pStyle w:val="ListParagraph"/>
        <w:numPr>
          <w:ilvl w:val="0"/>
          <w:numId w:val="2"/>
        </w:numPr>
        <w:spacing w:before="240" w:after="0" w:line="276" w:lineRule="auto"/>
        <w:rPr>
          <w:rFonts w:cstheme="minorHAnsi"/>
          <w:b/>
          <w:bCs/>
          <w:caps/>
        </w:rPr>
      </w:pPr>
      <w:r w:rsidRPr="00D92BA1">
        <w:rPr>
          <w:rFonts w:cstheme="minorHAnsi"/>
          <w:b/>
          <w:bCs/>
          <w:caps/>
        </w:rPr>
        <w:t xml:space="preserve">Respondent CAPITAL AND O&amp;m CostS </w:t>
      </w:r>
    </w:p>
    <w:p w:rsidR="002974C6" w:rsidRPr="00001D40" w:rsidP="002974C6" w14:paraId="45070954" w14:textId="77777777">
      <w:pPr>
        <w:spacing w:after="0" w:line="276" w:lineRule="auto"/>
        <w:rPr>
          <w:rFonts w:cstheme="minorHAnsi"/>
          <w:i/>
          <w:iCs/>
        </w:rPr>
      </w:pPr>
      <w:r w:rsidRPr="00001D40">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2974C6" w:rsidRPr="00001D40" w:rsidP="002974C6" w14:paraId="39FDB581" w14:textId="77777777">
      <w:pPr>
        <w:spacing w:before="120" w:after="0" w:line="276" w:lineRule="auto"/>
        <w:rPr>
          <w:rFonts w:cstheme="minorHAnsi"/>
          <w:i/>
          <w:iCs/>
        </w:rPr>
      </w:pPr>
      <w:r w:rsidRPr="00001D40">
        <w:rPr>
          <w:rFonts w:cstheme="minorHAnsi"/>
          <w:i/>
          <w:iCs/>
        </w:rPr>
        <w:t xml:space="preserve">The cost estimate should be split into two components: (a) a total capital and start-up </w:t>
      </w:r>
      <w:r w:rsidRPr="00001D40">
        <w:rPr>
          <w:rFonts w:cstheme="minorHAnsi"/>
          <w:i/>
          <w:iCs/>
        </w:rPr>
        <w:t>cost</w:t>
      </w:r>
    </w:p>
    <w:p w:rsidR="002974C6" w:rsidRPr="00001D40" w:rsidP="002974C6" w14:paraId="5528F579" w14:textId="77777777">
      <w:pPr>
        <w:spacing w:after="0" w:line="276" w:lineRule="auto"/>
        <w:rPr>
          <w:rFonts w:cstheme="minorHAnsi"/>
          <w:i/>
          <w:iCs/>
        </w:rPr>
      </w:pPr>
      <w:r w:rsidRPr="00001D40">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2974C6" w:rsidRPr="00001D40" w:rsidP="002974C6" w14:paraId="1F5DF41B" w14:textId="77777777">
      <w:pPr>
        <w:spacing w:line="276" w:lineRule="auto"/>
        <w:rPr>
          <w:rFonts w:cstheme="minorHAnsi"/>
          <w:i/>
          <w:iCs/>
        </w:rPr>
      </w:pPr>
      <w:r w:rsidRPr="00001D40">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2974C6" w:rsidRPr="004B39D6" w:rsidP="004B39D6" w14:paraId="2B9FC67B" w14:textId="3DE2C0BA">
      <w:pPr>
        <w:pBdr>
          <w:bottom w:val="single" w:sz="4" w:space="1" w:color="auto"/>
        </w:pBdr>
        <w:spacing w:line="276" w:lineRule="auto"/>
        <w:rPr>
          <w:rFonts w:cstheme="minorHAnsi"/>
          <w:i/>
          <w:iCs/>
        </w:rPr>
      </w:pPr>
      <w:r w:rsidRPr="00001D40">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83505A">
        <w:rPr>
          <w:rFonts w:eastAsia="Times New Roman" w:cstheme="minorHAnsi"/>
        </w:rPr>
        <w:t> </w:t>
      </w:r>
    </w:p>
    <w:p w:rsidR="002974C6" w:rsidRPr="0083505A" w:rsidP="002974C6" w14:paraId="2B8E2058" w14:textId="54364CF2">
      <w:pPr>
        <w:spacing w:after="0" w:line="276" w:lineRule="auto"/>
        <w:textAlignment w:val="baseline"/>
        <w:rPr>
          <w:rFonts w:eastAsia="Times New Roman" w:cstheme="minorHAnsi"/>
        </w:rPr>
      </w:pPr>
      <w:r w:rsidRPr="0083505A">
        <w:rPr>
          <w:rFonts w:eastAsia="Times New Roman" w:cstheme="minorHAnsi"/>
        </w:rPr>
        <w:t>CAA section 412 requires all affected sources to install SO</w:t>
      </w:r>
      <w:r w:rsidRPr="0083505A">
        <w:rPr>
          <w:rFonts w:eastAsia="Times New Roman" w:cstheme="minorHAnsi"/>
          <w:vertAlign w:val="subscript"/>
        </w:rPr>
        <w:t>2</w:t>
      </w:r>
      <w:r w:rsidRPr="0083505A">
        <w:rPr>
          <w:rFonts w:eastAsia="Times New Roman" w:cstheme="minorHAnsi"/>
        </w:rPr>
        <w:t xml:space="preserve"> and NO</w:t>
      </w:r>
      <w:r w:rsidRPr="0083505A">
        <w:rPr>
          <w:rFonts w:eastAsia="Times New Roman" w:cstheme="minorHAnsi"/>
          <w:vertAlign w:val="subscript"/>
        </w:rPr>
        <w:t>X</w:t>
      </w:r>
      <w:r w:rsidRPr="0083505A">
        <w:rPr>
          <w:rFonts w:eastAsia="Times New Roman" w:cstheme="minorHAnsi"/>
        </w:rPr>
        <w:t xml:space="preserve"> CEMS, continuous opacity monitors (COMS), and flow monitors (or approved alternatives). EPA requires that all affected units required to install CEMS use a data acquisition and handling system (DAHS) to record hourly CEMS and flow monitor data</w:t>
      </w:r>
      <w:r w:rsidR="00B5036A">
        <w:rPr>
          <w:rFonts w:eastAsia="Times New Roman" w:cstheme="minorHAnsi"/>
        </w:rPr>
        <w:t>.</w:t>
      </w:r>
      <w:r w:rsidRPr="0083505A">
        <w:rPr>
          <w:rFonts w:eastAsia="Times New Roman" w:cstheme="minorHAnsi"/>
        </w:rPr>
        <w:t xml:space="preserve"> Affected gas- and oil-fired units may elect to use the approved alternative SO</w:t>
      </w:r>
      <w:r w:rsidRPr="0083505A">
        <w:rPr>
          <w:rFonts w:eastAsia="Times New Roman" w:cstheme="minorHAnsi"/>
          <w:vertAlign w:val="subscript"/>
        </w:rPr>
        <w:t>2</w:t>
      </w:r>
      <w:r w:rsidRPr="0083505A">
        <w:rPr>
          <w:rFonts w:eastAsia="Times New Roman" w:cstheme="minorHAnsi"/>
        </w:rPr>
        <w:t xml:space="preserve"> monitoring method and record fuel sulfur analysis data, and then use a DAHS to record and report hourly fuel flow values from a fuel flowmeter</w:t>
      </w:r>
      <w:r w:rsidR="00145150">
        <w:rPr>
          <w:rFonts w:eastAsia="Times New Roman" w:cstheme="minorHAnsi"/>
        </w:rPr>
        <w:t>.</w:t>
      </w:r>
      <w:r w:rsidRPr="0083505A">
        <w:rPr>
          <w:rFonts w:eastAsia="Times New Roman" w:cstheme="minorHAnsi"/>
        </w:rPr>
        <w:t xml:space="preserve"> In addition, peaking units that burn natural gas and/or fuel oil may use an excepted method for calculating NO</w:t>
      </w:r>
      <w:r w:rsidRPr="0083505A">
        <w:rPr>
          <w:rFonts w:eastAsia="Times New Roman" w:cstheme="minorHAnsi"/>
          <w:vertAlign w:val="subscript"/>
        </w:rPr>
        <w:t>X</w:t>
      </w:r>
      <w:r w:rsidRPr="0083505A">
        <w:rPr>
          <w:rFonts w:eastAsia="Times New Roman" w:cstheme="minorHAnsi"/>
        </w:rPr>
        <w:t xml:space="preserve"> emission rates. Finally, EPA allows certain low mass emissions (LME) units to use assumed emission factors together with operational data to calculate emissions. </w:t>
      </w:r>
    </w:p>
    <w:p w:rsidR="002974C6" w:rsidRPr="00001D40" w:rsidP="00AB2EDE" w14:paraId="3EE3CCF8" w14:textId="67DE7B7D">
      <w:pPr>
        <w:spacing w:after="0" w:line="276" w:lineRule="auto"/>
        <w:ind w:firstLine="720"/>
        <w:textAlignment w:val="baseline"/>
        <w:rPr>
          <w:rFonts w:cstheme="minorHAnsi"/>
        </w:rPr>
      </w:pPr>
      <w:r w:rsidRPr="0083505A">
        <w:rPr>
          <w:rFonts w:eastAsia="Times New Roman" w:cstheme="minorHAnsi"/>
        </w:rPr>
        <w:t> </w:t>
      </w:r>
    </w:p>
    <w:p w:rsidR="004B39D6" w:rsidP="00AB64F9" w14:paraId="09E6311A" w14:textId="77777777">
      <w:pPr>
        <w:pStyle w:val="paragraph"/>
        <w:numPr>
          <w:ilvl w:val="1"/>
          <w:numId w:val="38"/>
        </w:numPr>
        <w:spacing w:before="0" w:beforeAutospacing="0" w:after="0" w:afterAutospacing="0" w:line="276" w:lineRule="auto"/>
        <w:textAlignment w:val="baseline"/>
        <w:rPr>
          <w:rFonts w:asciiTheme="minorHAnsi" w:hAnsiTheme="minorHAnsi" w:cstheme="minorHAnsi"/>
          <w:sz w:val="22"/>
          <w:szCs w:val="22"/>
        </w:rPr>
      </w:pPr>
      <w:r w:rsidRPr="00001D40">
        <w:rPr>
          <w:rFonts w:asciiTheme="minorHAnsi" w:hAnsiTheme="minorHAnsi" w:cstheme="minorHAnsi"/>
          <w:sz w:val="22"/>
          <w:szCs w:val="22"/>
        </w:rPr>
        <w:t>Estimating Total Capital and Annual Operations and Maintenance Costs </w:t>
      </w:r>
    </w:p>
    <w:p w:rsidR="00EB157A" w:rsidP="00AB2EDE" w14:paraId="687902FA" w14:textId="77777777">
      <w:pPr>
        <w:pStyle w:val="paragraph"/>
        <w:spacing w:before="0" w:beforeAutospacing="0" w:after="0" w:afterAutospacing="0" w:line="276" w:lineRule="auto"/>
        <w:ind w:left="1080"/>
        <w:textAlignment w:val="baseline"/>
        <w:rPr>
          <w:rFonts w:asciiTheme="minorHAnsi" w:hAnsiTheme="minorHAnsi" w:cstheme="minorHAnsi"/>
          <w:sz w:val="22"/>
          <w:szCs w:val="22"/>
        </w:rPr>
      </w:pPr>
      <w:r w:rsidRPr="004B39D6">
        <w:rPr>
          <w:rFonts w:asciiTheme="minorHAnsi" w:hAnsiTheme="minorHAnsi" w:cstheme="minorHAnsi"/>
          <w:sz w:val="22"/>
          <w:szCs w:val="22"/>
        </w:rPr>
        <w:t>Capital/start-up costs include the cost of installing required CEMS or alternatives. The Agency developed the capital cost estimates for the CEM and other equipment based on EPA CEM cost models, existing ICRs, and comments from various affected utilities. The cost estimates vary depending on the number and type of monitors that are required. Annualized capital cost estimates are included for each of the Models A – F</w:t>
      </w:r>
      <w:r w:rsidR="00D4270E">
        <w:rPr>
          <w:rFonts w:asciiTheme="minorHAnsi" w:hAnsiTheme="minorHAnsi" w:cstheme="minorHAnsi"/>
          <w:sz w:val="22"/>
          <w:szCs w:val="22"/>
        </w:rPr>
        <w:t>:</w:t>
      </w:r>
      <w:r w:rsidRPr="004B39D6">
        <w:rPr>
          <w:rFonts w:asciiTheme="minorHAnsi" w:hAnsiTheme="minorHAnsi" w:cstheme="minorHAnsi"/>
          <w:sz w:val="22"/>
          <w:szCs w:val="22"/>
        </w:rPr>
        <w:t xml:space="preserve"> </w:t>
      </w:r>
    </w:p>
    <w:p w:rsidR="00E43908" w:rsidRPr="00F74C02" w:rsidP="00F74C02" w14:paraId="30813A1F" w14:textId="5837C0A8">
      <w:pPr>
        <w:pStyle w:val="paragraph"/>
        <w:numPr>
          <w:ilvl w:val="3"/>
          <w:numId w:val="38"/>
        </w:numPr>
        <w:spacing w:before="0" w:beforeAutospacing="0" w:after="0" w:afterAutospacing="0" w:line="276" w:lineRule="auto"/>
        <w:textAlignment w:val="baseline"/>
        <w:rPr>
          <w:rFonts w:asciiTheme="minorHAnsi" w:hAnsiTheme="minorHAnsi" w:cstheme="minorHAnsi"/>
          <w:sz w:val="22"/>
          <w:szCs w:val="22"/>
        </w:rPr>
      </w:pPr>
      <w:r w:rsidRPr="00F74C02">
        <w:rPr>
          <w:rStyle w:val="normaltextrun"/>
          <w:rFonts w:asciiTheme="minorHAnsi" w:hAnsiTheme="minorHAnsi" w:cstheme="minorHAnsi"/>
          <w:sz w:val="22"/>
          <w:szCs w:val="22"/>
        </w:rPr>
        <w:t>Model A (units with SO</w:t>
      </w:r>
      <w:r w:rsidRPr="00F74C02">
        <w:rPr>
          <w:rStyle w:val="normaltextrun"/>
          <w:rFonts w:asciiTheme="minorHAnsi" w:hAnsiTheme="minorHAnsi" w:cstheme="minorHAnsi"/>
          <w:sz w:val="22"/>
          <w:szCs w:val="22"/>
          <w:vertAlign w:val="subscript"/>
        </w:rPr>
        <w:t>2</w:t>
      </w:r>
      <w:r w:rsidRPr="00F74C02">
        <w:rPr>
          <w:rStyle w:val="normaltextrun"/>
          <w:rFonts w:asciiTheme="minorHAnsi" w:hAnsiTheme="minorHAnsi" w:cstheme="minorHAnsi"/>
          <w:sz w:val="22"/>
          <w:szCs w:val="22"/>
        </w:rPr>
        <w:t>, NO</w:t>
      </w:r>
      <w:r w:rsidRPr="00F74C02">
        <w:rPr>
          <w:rStyle w:val="normaltextrun"/>
          <w:rFonts w:asciiTheme="minorHAnsi" w:hAnsiTheme="minorHAnsi" w:cstheme="minorHAnsi"/>
          <w:sz w:val="22"/>
          <w:szCs w:val="22"/>
          <w:vertAlign w:val="subscript"/>
        </w:rPr>
        <w:t>X</w:t>
      </w:r>
      <w:r w:rsidRPr="00F74C02">
        <w:rPr>
          <w:rStyle w:val="normaltextrun"/>
          <w:rFonts w:asciiTheme="minorHAnsi" w:hAnsiTheme="minorHAnsi" w:cstheme="minorHAnsi"/>
          <w:sz w:val="22"/>
          <w:szCs w:val="22"/>
        </w:rPr>
        <w:t>, CO</w:t>
      </w:r>
      <w:r w:rsidRPr="00F74C02">
        <w:rPr>
          <w:rStyle w:val="normaltextrun"/>
          <w:rFonts w:asciiTheme="minorHAnsi" w:hAnsiTheme="minorHAnsi" w:cstheme="minorHAnsi"/>
          <w:sz w:val="22"/>
          <w:szCs w:val="22"/>
          <w:vertAlign w:val="subscript"/>
        </w:rPr>
        <w:t>2</w:t>
      </w:r>
      <w:r w:rsidRPr="00F74C02">
        <w:rPr>
          <w:rStyle w:val="normaltextrun"/>
          <w:rFonts w:asciiTheme="minorHAnsi" w:hAnsiTheme="minorHAnsi" w:cstheme="minorHAnsi"/>
          <w:sz w:val="22"/>
          <w:szCs w:val="22"/>
        </w:rPr>
        <w:t>, and flow CEMS): </w:t>
      </w:r>
      <w:r w:rsidRPr="00F74C02" w:rsidR="003944FA">
        <w:rPr>
          <w:rStyle w:val="normaltextrun"/>
          <w:rFonts w:asciiTheme="minorHAnsi" w:hAnsiTheme="minorHAnsi" w:cstheme="minorHAnsi"/>
          <w:sz w:val="22"/>
          <w:szCs w:val="22"/>
        </w:rPr>
        <w:t>460</w:t>
      </w:r>
      <w:r w:rsidRPr="00F74C02">
        <w:rPr>
          <w:rStyle w:val="normaltextrun"/>
          <w:rFonts w:asciiTheme="minorHAnsi" w:hAnsiTheme="minorHAnsi" w:cstheme="minorHAnsi"/>
          <w:sz w:val="22"/>
          <w:szCs w:val="22"/>
        </w:rPr>
        <w:t xml:space="preserve"> total units.</w:t>
      </w:r>
      <w:r w:rsidRPr="00F74C02">
        <w:rPr>
          <w:rStyle w:val="eop"/>
          <w:rFonts w:asciiTheme="minorHAnsi" w:hAnsiTheme="minorHAnsi" w:cstheme="minorHAnsi"/>
          <w:sz w:val="22"/>
          <w:szCs w:val="22"/>
        </w:rPr>
        <w:t> </w:t>
      </w:r>
    </w:p>
    <w:p w:rsidR="00E43908" w:rsidRPr="00F74C02" w:rsidP="00F74C02" w14:paraId="689F7D9E" w14:textId="6DE6CFEF">
      <w:pPr>
        <w:pStyle w:val="paragraph"/>
        <w:numPr>
          <w:ilvl w:val="3"/>
          <w:numId w:val="38"/>
        </w:numPr>
        <w:spacing w:before="0" w:beforeAutospacing="0" w:after="0" w:afterAutospacing="0" w:line="276" w:lineRule="auto"/>
        <w:textAlignment w:val="baseline"/>
        <w:rPr>
          <w:rFonts w:asciiTheme="minorHAnsi" w:hAnsiTheme="minorHAnsi" w:cstheme="minorHAnsi"/>
          <w:sz w:val="22"/>
          <w:szCs w:val="22"/>
        </w:rPr>
      </w:pPr>
      <w:r w:rsidRPr="00F74C02">
        <w:rPr>
          <w:rStyle w:val="normaltextrun"/>
          <w:rFonts w:asciiTheme="minorHAnsi" w:hAnsiTheme="minorHAnsi" w:cstheme="minorHAnsi"/>
          <w:sz w:val="22"/>
          <w:szCs w:val="22"/>
        </w:rPr>
        <w:t xml:space="preserve">Model B (units with opacity CEMS solely </w:t>
      </w:r>
      <w:r w:rsidRPr="00F74C02">
        <w:rPr>
          <w:rStyle w:val="normaltextrun"/>
          <w:rFonts w:asciiTheme="minorHAnsi" w:hAnsiTheme="minorHAnsi" w:cstheme="minorHAnsi"/>
          <w:sz w:val="22"/>
          <w:szCs w:val="22"/>
        </w:rPr>
        <w:t>as a result of</w:t>
      </w:r>
      <w:r w:rsidRPr="00F74C02">
        <w:rPr>
          <w:rStyle w:val="normaltextrun"/>
          <w:rFonts w:asciiTheme="minorHAnsi" w:hAnsiTheme="minorHAnsi" w:cstheme="minorHAnsi"/>
          <w:sz w:val="22"/>
          <w:szCs w:val="22"/>
        </w:rPr>
        <w:t xml:space="preserve"> the Acid Rain Program): </w:t>
      </w:r>
      <w:r w:rsidRPr="00F74C02" w:rsidR="007F1FF7">
        <w:rPr>
          <w:rStyle w:val="normaltextrun"/>
          <w:rFonts w:asciiTheme="minorHAnsi" w:hAnsiTheme="minorHAnsi" w:cstheme="minorHAnsi"/>
          <w:sz w:val="22"/>
          <w:szCs w:val="22"/>
        </w:rPr>
        <w:t>729</w:t>
      </w:r>
      <w:r w:rsidRPr="00F74C02">
        <w:rPr>
          <w:rStyle w:val="normaltextrun"/>
          <w:rFonts w:asciiTheme="minorHAnsi" w:hAnsiTheme="minorHAnsi" w:cstheme="minorHAnsi"/>
          <w:sz w:val="22"/>
          <w:szCs w:val="22"/>
        </w:rPr>
        <w:t xml:space="preserve"> total units. (Note:  these units also are classified under other models for SO</w:t>
      </w:r>
      <w:r w:rsidRPr="00F74C02">
        <w:rPr>
          <w:rStyle w:val="normaltextrun"/>
          <w:rFonts w:asciiTheme="minorHAnsi" w:hAnsiTheme="minorHAnsi" w:cstheme="minorHAnsi"/>
          <w:sz w:val="22"/>
          <w:szCs w:val="22"/>
          <w:vertAlign w:val="subscript"/>
        </w:rPr>
        <w:t>2</w:t>
      </w:r>
      <w:r w:rsidRPr="00F74C02">
        <w:rPr>
          <w:rStyle w:val="normaltextrun"/>
          <w:rFonts w:asciiTheme="minorHAnsi" w:hAnsiTheme="minorHAnsi" w:cstheme="minorHAnsi"/>
          <w:sz w:val="22"/>
          <w:szCs w:val="22"/>
        </w:rPr>
        <w:t>, NO</w:t>
      </w:r>
      <w:r w:rsidRPr="00F74C02">
        <w:rPr>
          <w:rStyle w:val="normaltextrun"/>
          <w:rFonts w:asciiTheme="minorHAnsi" w:hAnsiTheme="minorHAnsi" w:cstheme="minorHAnsi"/>
          <w:sz w:val="22"/>
          <w:szCs w:val="22"/>
          <w:vertAlign w:val="subscript"/>
        </w:rPr>
        <w:t>X</w:t>
      </w:r>
      <w:r w:rsidRPr="00F74C02">
        <w:rPr>
          <w:rStyle w:val="normaltextrun"/>
          <w:rFonts w:asciiTheme="minorHAnsi" w:hAnsiTheme="minorHAnsi" w:cstheme="minorHAnsi"/>
          <w:sz w:val="22"/>
          <w:szCs w:val="22"/>
        </w:rPr>
        <w:t>, and CO</w:t>
      </w:r>
      <w:r w:rsidRPr="00F74C02">
        <w:rPr>
          <w:rStyle w:val="normaltextrun"/>
          <w:rFonts w:asciiTheme="minorHAnsi" w:hAnsiTheme="minorHAnsi" w:cstheme="minorHAnsi"/>
          <w:sz w:val="22"/>
          <w:szCs w:val="22"/>
          <w:vertAlign w:val="subscript"/>
        </w:rPr>
        <w:t>2</w:t>
      </w:r>
      <w:r w:rsidRPr="00F74C02">
        <w:rPr>
          <w:rStyle w:val="normaltextrun"/>
          <w:rFonts w:asciiTheme="minorHAnsi" w:hAnsiTheme="minorHAnsi" w:cstheme="minorHAnsi"/>
          <w:sz w:val="22"/>
          <w:szCs w:val="22"/>
        </w:rPr>
        <w:t xml:space="preserve"> requirements.)</w:t>
      </w:r>
      <w:r w:rsidRPr="00F74C02">
        <w:rPr>
          <w:rStyle w:val="eop"/>
          <w:rFonts w:asciiTheme="minorHAnsi" w:hAnsiTheme="minorHAnsi" w:cstheme="minorHAnsi"/>
          <w:sz w:val="22"/>
          <w:szCs w:val="22"/>
        </w:rPr>
        <w:t> </w:t>
      </w:r>
    </w:p>
    <w:p w:rsidR="00E43908" w:rsidRPr="00F74C02" w:rsidP="00F74C02" w14:paraId="49A305BE" w14:textId="4AC3FB09">
      <w:pPr>
        <w:pStyle w:val="paragraph"/>
        <w:numPr>
          <w:ilvl w:val="3"/>
          <w:numId w:val="38"/>
        </w:numPr>
        <w:spacing w:before="0" w:beforeAutospacing="0" w:after="0" w:afterAutospacing="0" w:line="276" w:lineRule="auto"/>
        <w:textAlignment w:val="baseline"/>
        <w:rPr>
          <w:rFonts w:asciiTheme="minorHAnsi" w:hAnsiTheme="minorHAnsi" w:cstheme="minorHAnsi"/>
          <w:sz w:val="22"/>
          <w:szCs w:val="22"/>
        </w:rPr>
      </w:pPr>
      <w:r w:rsidRPr="00F74C02">
        <w:rPr>
          <w:rStyle w:val="normaltextrun"/>
          <w:rFonts w:asciiTheme="minorHAnsi" w:hAnsiTheme="minorHAnsi" w:cstheme="minorHAnsi"/>
          <w:sz w:val="22"/>
          <w:szCs w:val="22"/>
        </w:rPr>
        <w:t>Model C (units with appendix D monitoring for SO</w:t>
      </w:r>
      <w:r w:rsidRPr="00F74C02">
        <w:rPr>
          <w:rStyle w:val="normaltextrun"/>
          <w:rFonts w:asciiTheme="minorHAnsi" w:hAnsiTheme="minorHAnsi" w:cstheme="minorHAnsi"/>
          <w:sz w:val="22"/>
          <w:szCs w:val="22"/>
          <w:vertAlign w:val="subscript"/>
        </w:rPr>
        <w:t>2</w:t>
      </w:r>
      <w:r w:rsidRPr="00F74C02">
        <w:rPr>
          <w:rStyle w:val="normaltextrun"/>
          <w:rFonts w:asciiTheme="minorHAnsi" w:hAnsiTheme="minorHAnsi" w:cstheme="minorHAnsi"/>
          <w:sz w:val="22"/>
          <w:szCs w:val="22"/>
        </w:rPr>
        <w:t xml:space="preserve"> and CEMS for NO</w:t>
      </w:r>
      <w:r w:rsidRPr="00F74C02">
        <w:rPr>
          <w:rStyle w:val="normaltextrun"/>
          <w:rFonts w:asciiTheme="minorHAnsi" w:hAnsiTheme="minorHAnsi" w:cstheme="minorHAnsi"/>
          <w:sz w:val="22"/>
          <w:szCs w:val="22"/>
          <w:vertAlign w:val="subscript"/>
        </w:rPr>
        <w:t>X</w:t>
      </w:r>
      <w:r w:rsidRPr="00F74C02">
        <w:rPr>
          <w:rStyle w:val="normaltextrun"/>
          <w:rFonts w:asciiTheme="minorHAnsi" w:hAnsiTheme="minorHAnsi" w:cstheme="minorHAnsi"/>
          <w:sz w:val="22"/>
          <w:szCs w:val="22"/>
        </w:rPr>
        <w:t>): </w:t>
      </w:r>
      <w:r w:rsidRPr="00F74C02" w:rsidR="000F40D6">
        <w:rPr>
          <w:rStyle w:val="normaltextrun"/>
          <w:rFonts w:asciiTheme="minorHAnsi" w:hAnsiTheme="minorHAnsi" w:cstheme="minorHAnsi"/>
          <w:sz w:val="22"/>
          <w:szCs w:val="22"/>
        </w:rPr>
        <w:t>2</w:t>
      </w:r>
      <w:r w:rsidR="00711C30">
        <w:rPr>
          <w:rStyle w:val="normaltextrun"/>
          <w:rFonts w:asciiTheme="minorHAnsi" w:hAnsiTheme="minorHAnsi" w:cstheme="minorHAnsi"/>
          <w:sz w:val="22"/>
          <w:szCs w:val="22"/>
        </w:rPr>
        <w:t>,</w:t>
      </w:r>
      <w:r w:rsidRPr="00F74C02" w:rsidR="000F40D6">
        <w:rPr>
          <w:rStyle w:val="normaltextrun"/>
          <w:rFonts w:asciiTheme="minorHAnsi" w:hAnsiTheme="minorHAnsi" w:cstheme="minorHAnsi"/>
          <w:sz w:val="22"/>
          <w:szCs w:val="22"/>
        </w:rPr>
        <w:t>324</w:t>
      </w:r>
      <w:r w:rsidRPr="00F74C02">
        <w:rPr>
          <w:rStyle w:val="normaltextrun"/>
          <w:rFonts w:asciiTheme="minorHAnsi" w:hAnsiTheme="minorHAnsi" w:cstheme="minorHAnsi"/>
          <w:sz w:val="22"/>
          <w:szCs w:val="22"/>
        </w:rPr>
        <w:t xml:space="preserve"> total units.</w:t>
      </w:r>
      <w:r w:rsidRPr="00F74C02">
        <w:rPr>
          <w:rStyle w:val="eop"/>
          <w:rFonts w:asciiTheme="minorHAnsi" w:hAnsiTheme="minorHAnsi" w:cstheme="minorHAnsi"/>
          <w:sz w:val="22"/>
          <w:szCs w:val="22"/>
        </w:rPr>
        <w:t> </w:t>
      </w:r>
    </w:p>
    <w:p w:rsidR="00E43908" w:rsidRPr="00F74C02" w:rsidP="00F74C02" w14:paraId="0E2020B8" w14:textId="5B8261CF">
      <w:pPr>
        <w:pStyle w:val="paragraph"/>
        <w:numPr>
          <w:ilvl w:val="3"/>
          <w:numId w:val="38"/>
        </w:numPr>
        <w:spacing w:before="0" w:beforeAutospacing="0" w:after="0" w:afterAutospacing="0" w:line="276" w:lineRule="auto"/>
        <w:textAlignment w:val="baseline"/>
        <w:rPr>
          <w:rFonts w:asciiTheme="minorHAnsi" w:hAnsiTheme="minorHAnsi" w:cstheme="minorHAnsi"/>
          <w:sz w:val="22"/>
          <w:szCs w:val="22"/>
        </w:rPr>
      </w:pPr>
      <w:r w:rsidRPr="00F74C02">
        <w:rPr>
          <w:rStyle w:val="normaltextrun"/>
          <w:rFonts w:asciiTheme="minorHAnsi" w:hAnsiTheme="minorHAnsi" w:cstheme="minorHAnsi"/>
          <w:sz w:val="22"/>
          <w:szCs w:val="22"/>
        </w:rPr>
        <w:t>Model D (units using appendix D for SO</w:t>
      </w:r>
      <w:r w:rsidRPr="00F74C02">
        <w:rPr>
          <w:rStyle w:val="normaltextrun"/>
          <w:rFonts w:asciiTheme="minorHAnsi" w:hAnsiTheme="minorHAnsi" w:cstheme="minorHAnsi"/>
          <w:sz w:val="22"/>
          <w:szCs w:val="22"/>
          <w:vertAlign w:val="subscript"/>
        </w:rPr>
        <w:t>2</w:t>
      </w:r>
      <w:r w:rsidRPr="00F74C02">
        <w:rPr>
          <w:rStyle w:val="normaltextrun"/>
          <w:rFonts w:asciiTheme="minorHAnsi" w:hAnsiTheme="minorHAnsi" w:cstheme="minorHAnsi"/>
          <w:sz w:val="22"/>
          <w:szCs w:val="22"/>
        </w:rPr>
        <w:t xml:space="preserve"> and appendix E for NO</w:t>
      </w:r>
      <w:r w:rsidRPr="00F74C02">
        <w:rPr>
          <w:rStyle w:val="normaltextrun"/>
          <w:rFonts w:asciiTheme="minorHAnsi" w:hAnsiTheme="minorHAnsi" w:cstheme="minorHAnsi"/>
          <w:sz w:val="22"/>
          <w:szCs w:val="22"/>
          <w:vertAlign w:val="subscript"/>
        </w:rPr>
        <w:t>X</w:t>
      </w:r>
      <w:r w:rsidRPr="00F74C02">
        <w:rPr>
          <w:rStyle w:val="normaltextrun"/>
          <w:rFonts w:asciiTheme="minorHAnsi" w:hAnsiTheme="minorHAnsi" w:cstheme="minorHAnsi"/>
          <w:sz w:val="22"/>
          <w:szCs w:val="22"/>
        </w:rPr>
        <w:t>): </w:t>
      </w:r>
      <w:r w:rsidRPr="00F74C02" w:rsidR="00E73F3B">
        <w:rPr>
          <w:rStyle w:val="normaltextrun"/>
          <w:rFonts w:asciiTheme="minorHAnsi" w:hAnsiTheme="minorHAnsi" w:cstheme="minorHAnsi"/>
          <w:sz w:val="22"/>
          <w:szCs w:val="22"/>
        </w:rPr>
        <w:t>293</w:t>
      </w:r>
      <w:r w:rsidRPr="00F74C02">
        <w:rPr>
          <w:rStyle w:val="normaltextrun"/>
          <w:rFonts w:asciiTheme="minorHAnsi" w:hAnsiTheme="minorHAnsi" w:cstheme="minorHAnsi"/>
          <w:sz w:val="22"/>
          <w:szCs w:val="22"/>
        </w:rPr>
        <w:t xml:space="preserve"> total units.</w:t>
      </w:r>
      <w:r w:rsidRPr="00F74C02">
        <w:rPr>
          <w:rStyle w:val="eop"/>
          <w:rFonts w:asciiTheme="minorHAnsi" w:hAnsiTheme="minorHAnsi" w:cstheme="minorHAnsi"/>
          <w:sz w:val="22"/>
          <w:szCs w:val="22"/>
        </w:rPr>
        <w:t> </w:t>
      </w:r>
    </w:p>
    <w:p w:rsidR="00E43908" w:rsidRPr="00F74C02" w:rsidP="00F74C02" w14:paraId="0193EC65" w14:textId="369D8949">
      <w:pPr>
        <w:pStyle w:val="paragraph"/>
        <w:numPr>
          <w:ilvl w:val="3"/>
          <w:numId w:val="38"/>
        </w:numPr>
        <w:spacing w:before="0" w:beforeAutospacing="0" w:after="0" w:afterAutospacing="0" w:line="276" w:lineRule="auto"/>
        <w:textAlignment w:val="baseline"/>
        <w:rPr>
          <w:rFonts w:asciiTheme="minorHAnsi" w:hAnsiTheme="minorHAnsi" w:cstheme="minorHAnsi"/>
          <w:sz w:val="22"/>
          <w:szCs w:val="22"/>
        </w:rPr>
      </w:pPr>
      <w:r w:rsidRPr="00F74C02">
        <w:rPr>
          <w:rStyle w:val="normaltextrun"/>
          <w:rFonts w:asciiTheme="minorHAnsi" w:hAnsiTheme="minorHAnsi" w:cstheme="minorHAnsi"/>
          <w:sz w:val="22"/>
          <w:szCs w:val="22"/>
        </w:rPr>
        <w:t>Model E (units using the LME methodology):  1</w:t>
      </w:r>
      <w:r w:rsidRPr="00F74C02" w:rsidR="00DA5CC8">
        <w:rPr>
          <w:rStyle w:val="normaltextrun"/>
          <w:rFonts w:asciiTheme="minorHAnsi" w:hAnsiTheme="minorHAnsi" w:cstheme="minorHAnsi"/>
          <w:sz w:val="22"/>
          <w:szCs w:val="22"/>
        </w:rPr>
        <w:t>5</w:t>
      </w:r>
      <w:r w:rsidRPr="00F74C02">
        <w:rPr>
          <w:rStyle w:val="normaltextrun"/>
          <w:rFonts w:asciiTheme="minorHAnsi" w:hAnsiTheme="minorHAnsi" w:cstheme="minorHAnsi"/>
          <w:sz w:val="22"/>
          <w:szCs w:val="22"/>
        </w:rPr>
        <w:t>0 total units</w:t>
      </w:r>
      <w:r w:rsidR="00E72D3D">
        <w:rPr>
          <w:rStyle w:val="normaltextrun"/>
          <w:rFonts w:asciiTheme="minorHAnsi" w:hAnsiTheme="minorHAnsi" w:cstheme="minorHAnsi"/>
          <w:sz w:val="22"/>
          <w:szCs w:val="22"/>
        </w:rPr>
        <w:t>.</w:t>
      </w:r>
      <w:r w:rsidRPr="00F74C02">
        <w:rPr>
          <w:rStyle w:val="eop"/>
          <w:rFonts w:asciiTheme="minorHAnsi" w:hAnsiTheme="minorHAnsi" w:cstheme="minorHAnsi"/>
          <w:sz w:val="22"/>
          <w:szCs w:val="22"/>
        </w:rPr>
        <w:t> </w:t>
      </w:r>
    </w:p>
    <w:p w:rsidR="00E43908" w:rsidRPr="00F74C02" w:rsidP="00F74C02" w14:paraId="22E07EFD" w14:textId="33EF1E5D">
      <w:pPr>
        <w:pStyle w:val="paragraph"/>
        <w:numPr>
          <w:ilvl w:val="3"/>
          <w:numId w:val="38"/>
        </w:numPr>
        <w:spacing w:before="0" w:beforeAutospacing="0" w:after="0" w:afterAutospacing="0" w:line="276" w:lineRule="auto"/>
        <w:textAlignment w:val="baseline"/>
        <w:rPr>
          <w:rFonts w:asciiTheme="minorHAnsi" w:hAnsiTheme="minorHAnsi" w:cstheme="minorHAnsi"/>
          <w:sz w:val="22"/>
          <w:szCs w:val="22"/>
        </w:rPr>
      </w:pPr>
      <w:r w:rsidRPr="00F74C02">
        <w:rPr>
          <w:rStyle w:val="normaltextrun"/>
          <w:rFonts w:asciiTheme="minorHAnsi" w:hAnsiTheme="minorHAnsi" w:cstheme="minorHAnsi"/>
          <w:sz w:val="22"/>
          <w:szCs w:val="22"/>
        </w:rPr>
        <w:t>Model F (units with moisture monitors necessary for moisture correction): </w:t>
      </w:r>
      <w:r w:rsidRPr="00F74C02" w:rsidR="00DA5CC8">
        <w:rPr>
          <w:rStyle w:val="normaltextrun"/>
          <w:rFonts w:asciiTheme="minorHAnsi" w:hAnsiTheme="minorHAnsi" w:cstheme="minorHAnsi"/>
          <w:sz w:val="22"/>
          <w:szCs w:val="22"/>
        </w:rPr>
        <w:t>16</w:t>
      </w:r>
      <w:r w:rsidRPr="00F74C02">
        <w:rPr>
          <w:rStyle w:val="normaltextrun"/>
          <w:rFonts w:asciiTheme="minorHAnsi" w:hAnsiTheme="minorHAnsi" w:cstheme="minorHAnsi"/>
          <w:sz w:val="22"/>
          <w:szCs w:val="22"/>
        </w:rPr>
        <w:t xml:space="preserve"> total units. (Note:  these units are also classified under Model A for other requirements.)</w:t>
      </w:r>
      <w:r w:rsidRPr="00F74C02">
        <w:rPr>
          <w:rStyle w:val="eop"/>
          <w:rFonts w:asciiTheme="minorHAnsi" w:hAnsiTheme="minorHAnsi" w:cstheme="minorHAnsi"/>
          <w:sz w:val="22"/>
          <w:szCs w:val="22"/>
        </w:rPr>
        <w:t> </w:t>
      </w:r>
    </w:p>
    <w:p w:rsidR="004B39D6" w:rsidP="00AB64F9" w14:paraId="2427B9B0" w14:textId="26571FB6">
      <w:pPr>
        <w:pStyle w:val="paragraph"/>
        <w:numPr>
          <w:ilvl w:val="2"/>
          <w:numId w:val="38"/>
        </w:numPr>
        <w:spacing w:before="0" w:beforeAutospacing="0" w:after="0" w:afterAutospacing="0" w:line="276" w:lineRule="auto"/>
        <w:textAlignment w:val="baseline"/>
        <w:rPr>
          <w:rFonts w:asciiTheme="minorHAnsi" w:hAnsiTheme="minorHAnsi" w:cstheme="minorHAnsi"/>
          <w:sz w:val="22"/>
          <w:szCs w:val="22"/>
        </w:rPr>
      </w:pPr>
      <w:r w:rsidRPr="004B39D6">
        <w:rPr>
          <w:rFonts w:asciiTheme="minorHAnsi" w:hAnsiTheme="minorHAnsi" w:cstheme="minorHAnsi"/>
          <w:sz w:val="22"/>
          <w:szCs w:val="22"/>
        </w:rPr>
        <w:t xml:space="preserve">In addition to capital/start-up costs, respondents incur operation and maintenance (O&amp;M) costs (exclusive of labor costs) that reflect ongoing costs to a unit. These costs include both contractor costs for the required recertification, diagnostic, and quality assurance (QA) testing, and other direct maintenance-related expenses (e.g., spare parts and calibration gases). The cost estimates used in this renewal ICR were derived from EPA CEM cost models, existing ICRs, Agency staff experience, information gathered during development of the 1999 and 2002 part 75 revisions, and estimates provided </w:t>
      </w:r>
      <w:r w:rsidR="008A6264">
        <w:rPr>
          <w:rFonts w:asciiTheme="minorHAnsi" w:hAnsiTheme="minorHAnsi" w:cstheme="minorHAnsi"/>
          <w:sz w:val="22"/>
          <w:szCs w:val="22"/>
        </w:rPr>
        <w:t>through consultation for this ICR</w:t>
      </w:r>
      <w:r w:rsidR="00EF2C44">
        <w:rPr>
          <w:rFonts w:asciiTheme="minorHAnsi" w:hAnsiTheme="minorHAnsi" w:cstheme="minorHAnsi"/>
          <w:sz w:val="22"/>
          <w:szCs w:val="22"/>
        </w:rPr>
        <w:t xml:space="preserve">. </w:t>
      </w:r>
      <w:r w:rsidRPr="004B39D6">
        <w:rPr>
          <w:rFonts w:asciiTheme="minorHAnsi" w:hAnsiTheme="minorHAnsi" w:cstheme="minorHAnsi"/>
          <w:sz w:val="22"/>
          <w:szCs w:val="22"/>
        </w:rPr>
        <w:t>.</w:t>
      </w:r>
      <w:r w:rsidRPr="004B39D6">
        <w:rPr>
          <w:rFonts w:asciiTheme="minorHAnsi" w:hAnsiTheme="minorHAnsi" w:cstheme="minorHAnsi"/>
          <w:sz w:val="22"/>
          <w:szCs w:val="22"/>
        </w:rPr>
        <w:t xml:space="preserve"> </w:t>
      </w:r>
    </w:p>
    <w:p w:rsidR="002974C6" w:rsidRPr="004B39D6" w:rsidP="00AB64F9" w14:paraId="0A939D8F" w14:textId="28D590FB">
      <w:pPr>
        <w:pStyle w:val="paragraph"/>
        <w:numPr>
          <w:ilvl w:val="2"/>
          <w:numId w:val="38"/>
        </w:numPr>
        <w:spacing w:before="0" w:beforeAutospacing="0" w:after="0" w:afterAutospacing="0" w:line="276" w:lineRule="auto"/>
        <w:textAlignment w:val="baseline"/>
        <w:rPr>
          <w:rFonts w:asciiTheme="minorHAnsi" w:hAnsiTheme="minorHAnsi" w:cstheme="minorHAnsi"/>
          <w:sz w:val="22"/>
          <w:szCs w:val="22"/>
        </w:rPr>
      </w:pPr>
      <w:r w:rsidRPr="004B39D6">
        <w:rPr>
          <w:rFonts w:asciiTheme="minorHAnsi" w:hAnsiTheme="minorHAnsi" w:cstheme="minorHAnsi"/>
          <w:sz w:val="22"/>
          <w:szCs w:val="22"/>
        </w:rPr>
        <w:t>Note that testing contractor costs for certification, recertification and annual RATAs are presented as other direct costs and are not converted to equivalent source labor hours. This approach is consistent with the common business practice for obtaining outside contractors to conduct certification/recertification tests and annual relative accuracy test audits. For initial certification, the certification test costs are commonly bundled with equipment purchase contracts, according to information provided by a range of CEMS equipment vendors. For RATAs that are conducted either as part of the annual quality assurance requirements or as part of recertification, industry contacts have indicated that RATA testing is usually performed under a fixed price contract basis, except for travel costs that may be billed on an hourly basis beyond the basic contract cost. For annual RATAs, the sources indicated that an annual contract between a testing company and utility is often used. One municipal utility representative indicated that the applicable municipal regulations required that outside contracts be on a flat fee, not hourly, basis. </w:t>
      </w:r>
    </w:p>
    <w:p w:rsidR="00D20EB7" w:rsidRPr="00001D40" w:rsidP="004B39D6" w14:paraId="5F5ADB92" w14:textId="77777777">
      <w:pPr>
        <w:pStyle w:val="paragraph"/>
        <w:spacing w:before="0" w:beforeAutospacing="0" w:after="0" w:afterAutospacing="0" w:line="276" w:lineRule="auto"/>
        <w:ind w:left="720"/>
        <w:textAlignment w:val="baseline"/>
        <w:rPr>
          <w:rFonts w:asciiTheme="minorHAnsi" w:hAnsiTheme="minorHAnsi" w:cstheme="minorHAnsi"/>
          <w:sz w:val="22"/>
          <w:szCs w:val="22"/>
        </w:rPr>
      </w:pPr>
    </w:p>
    <w:p w:rsidR="004B39D6" w:rsidP="00AB64F9" w14:paraId="45F4A95B" w14:textId="77777777">
      <w:pPr>
        <w:pStyle w:val="paragraph"/>
        <w:numPr>
          <w:ilvl w:val="1"/>
          <w:numId w:val="38"/>
        </w:numPr>
        <w:spacing w:before="0" w:beforeAutospacing="0" w:after="0" w:afterAutospacing="0" w:line="276" w:lineRule="auto"/>
        <w:ind w:left="360"/>
        <w:textAlignment w:val="baseline"/>
        <w:rPr>
          <w:rFonts w:asciiTheme="minorHAnsi" w:hAnsiTheme="minorHAnsi" w:cstheme="minorHAnsi"/>
          <w:sz w:val="22"/>
          <w:szCs w:val="22"/>
        </w:rPr>
      </w:pPr>
      <w:r w:rsidRPr="00001D40">
        <w:rPr>
          <w:rFonts w:asciiTheme="minorHAnsi" w:hAnsiTheme="minorHAnsi" w:cstheme="minorHAnsi"/>
          <w:sz w:val="22"/>
          <w:szCs w:val="22"/>
        </w:rPr>
        <w:t>Capital/Start-up vs. Operating and Maintenance (O&amp;M) Costs </w:t>
      </w:r>
    </w:p>
    <w:p w:rsidR="002974C6" w:rsidRPr="004B39D6" w:rsidP="00AB64F9" w14:paraId="70EB23C7" w14:textId="2E5D222B">
      <w:pPr>
        <w:pStyle w:val="paragraph"/>
        <w:numPr>
          <w:ilvl w:val="2"/>
          <w:numId w:val="38"/>
        </w:numPr>
        <w:spacing w:before="0" w:beforeAutospacing="0" w:after="0" w:afterAutospacing="0" w:line="276" w:lineRule="auto"/>
        <w:textAlignment w:val="baseline"/>
        <w:rPr>
          <w:rFonts w:asciiTheme="minorHAnsi" w:hAnsiTheme="minorHAnsi" w:cstheme="minorHAnsi"/>
          <w:sz w:val="22"/>
          <w:szCs w:val="22"/>
        </w:rPr>
      </w:pPr>
      <w:r w:rsidRPr="004B39D6">
        <w:rPr>
          <w:rFonts w:asciiTheme="minorHAnsi" w:hAnsiTheme="minorHAnsi" w:cstheme="minorHAnsi"/>
          <w:sz w:val="22"/>
          <w:szCs w:val="22"/>
        </w:rPr>
        <w:t>Capital costs reflect one-time costs for purchase of equipment which will be used over a period of years. Conversely, operating and maintenance costs are those costs which are incurred on an annual or other scheduled basis. For instance, costs associated with quality assurance activities, such as spare parts or contractor costs for work, will be incurred on an annual basis.</w:t>
      </w:r>
    </w:p>
    <w:p w:rsidR="00D20EB7" w:rsidRPr="00001D40" w:rsidP="004B39D6" w14:paraId="79106481" w14:textId="77777777">
      <w:pPr>
        <w:pStyle w:val="paragraph"/>
        <w:spacing w:before="0" w:beforeAutospacing="0" w:after="0" w:afterAutospacing="0" w:line="276" w:lineRule="auto"/>
        <w:ind w:left="720"/>
        <w:textAlignment w:val="baseline"/>
        <w:rPr>
          <w:rFonts w:asciiTheme="minorHAnsi" w:hAnsiTheme="minorHAnsi" w:cstheme="minorHAnsi"/>
          <w:sz w:val="22"/>
          <w:szCs w:val="22"/>
        </w:rPr>
      </w:pPr>
    </w:p>
    <w:p w:rsidR="004B39D6" w:rsidP="00AB64F9" w14:paraId="2F9A97FC" w14:textId="396A3A8B">
      <w:pPr>
        <w:pStyle w:val="paragraph"/>
        <w:numPr>
          <w:ilvl w:val="1"/>
          <w:numId w:val="38"/>
        </w:numPr>
        <w:spacing w:before="0" w:beforeAutospacing="0" w:after="0" w:afterAutospacing="0" w:line="276" w:lineRule="auto"/>
        <w:ind w:left="360"/>
        <w:textAlignment w:val="baseline"/>
        <w:rPr>
          <w:rFonts w:asciiTheme="minorHAnsi" w:hAnsiTheme="minorHAnsi" w:cstheme="minorHAnsi"/>
          <w:sz w:val="22"/>
          <w:szCs w:val="22"/>
        </w:rPr>
      </w:pPr>
      <w:r w:rsidRPr="00001D40">
        <w:rPr>
          <w:rFonts w:asciiTheme="minorHAnsi" w:hAnsiTheme="minorHAnsi" w:cstheme="minorHAnsi"/>
          <w:sz w:val="22"/>
          <w:szCs w:val="22"/>
        </w:rPr>
        <w:t>Annualizing Capital Costs</w:t>
      </w:r>
      <w:r w:rsidR="00CF788F">
        <w:rPr>
          <w:rFonts w:asciiTheme="minorHAnsi" w:hAnsiTheme="minorHAnsi" w:cstheme="minorHAnsi"/>
          <w:sz w:val="22"/>
          <w:szCs w:val="22"/>
        </w:rPr>
        <w:t xml:space="preserve"> </w:t>
      </w:r>
    </w:p>
    <w:p w:rsidR="002974C6" w:rsidRPr="004B39D6" w:rsidP="00AB64F9" w14:paraId="335DFE2A" w14:textId="76264679">
      <w:pPr>
        <w:pStyle w:val="paragraph"/>
        <w:numPr>
          <w:ilvl w:val="2"/>
          <w:numId w:val="38"/>
        </w:numPr>
        <w:spacing w:before="0" w:beforeAutospacing="0" w:after="0" w:afterAutospacing="0" w:line="276" w:lineRule="auto"/>
        <w:textAlignment w:val="baseline"/>
        <w:rPr>
          <w:rFonts w:asciiTheme="minorHAnsi" w:hAnsiTheme="minorHAnsi" w:cstheme="minorHAnsi"/>
          <w:sz w:val="22"/>
          <w:szCs w:val="22"/>
        </w:rPr>
      </w:pPr>
      <w:r w:rsidRPr="004B39D6">
        <w:rPr>
          <w:rFonts w:asciiTheme="minorHAnsi" w:hAnsiTheme="minorHAnsi" w:cstheme="minorHAnsi"/>
          <w:sz w:val="22"/>
          <w:szCs w:val="22"/>
        </w:rPr>
        <w:t xml:space="preserve">Capital costs for this ICR were annualized at a rate of seven percent (i.e., the annualized capital cost was calculated assuming money to purchase the capital equipment was borrowed at a seven percent annual interest rate). The cost of the loan was amortized over the life of the loan to repay the original borrowed amount plus interest. The result is the annualized capital cost reported. The annualized cost of the necessary monitoring equipment capital purchases varies from $2,359 to $30,282, per year, per unit, depending on the type of monitoring methodology. </w:t>
      </w:r>
    </w:p>
    <w:p w:rsidR="001D3AF0" w:rsidP="001D3AF0" w14:paraId="62D6D60F" w14:textId="77777777">
      <w:pPr>
        <w:spacing w:after="0" w:line="276" w:lineRule="auto"/>
        <w:textAlignment w:val="baseline"/>
        <w:rPr>
          <w:rFonts w:eastAsia="Times New Roman" w:cstheme="minorHAnsi"/>
        </w:rPr>
      </w:pPr>
    </w:p>
    <w:p w:rsidR="001D3AF0" w:rsidP="001D3AF0" w14:paraId="242DAD60" w14:textId="77777777">
      <w:pPr>
        <w:spacing w:after="0" w:line="276" w:lineRule="auto"/>
        <w:textAlignment w:val="baseline"/>
        <w:rPr>
          <w:rFonts w:eastAsia="Times New Roman" w:cstheme="minorHAnsi"/>
        </w:rPr>
      </w:pPr>
    </w:p>
    <w:p w:rsidR="002974C6" w:rsidRPr="00880AAC" w:rsidP="002974C6" w14:paraId="22E2DD3A" w14:textId="77777777">
      <w:pPr>
        <w:spacing w:after="0" w:line="276" w:lineRule="auto"/>
        <w:jc w:val="center"/>
        <w:textAlignment w:val="baseline"/>
        <w:rPr>
          <w:rFonts w:eastAsia="Times New Roman" w:cstheme="minorHAnsi"/>
        </w:rPr>
      </w:pPr>
      <w:r w:rsidRPr="00F74C02">
        <w:rPr>
          <w:rFonts w:eastAsia="Times New Roman" w:cstheme="minorHAnsi"/>
          <w:b/>
          <w:bCs/>
        </w:rPr>
        <w:t>Table 13.1: Respondent Burden/Cost Estimates for Emissions Monitoring</w:t>
      </w:r>
    </w:p>
    <w:p w:rsidR="002974C6" w:rsidRPr="00880AAC" w:rsidP="002974C6" w14:paraId="744DD21C" w14:textId="77777777">
      <w:pPr>
        <w:spacing w:after="0" w:line="276" w:lineRule="auto"/>
        <w:jc w:val="center"/>
        <w:textAlignment w:val="baseline"/>
        <w:rPr>
          <w:rFonts w:eastAsia="Times New Roman" w:cstheme="minorHAnsi"/>
        </w:rPr>
      </w:pPr>
      <w:r w:rsidRPr="00880AAC">
        <w:rPr>
          <w:rFonts w:eastAsia="Times New Roman" w:cstheme="minorHAnsi"/>
        </w:rPr>
        <w:t> </w:t>
      </w:r>
    </w:p>
    <w:tbl>
      <w:tblPr>
        <w:tblW w:w="775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34"/>
        <w:gridCol w:w="1271"/>
        <w:gridCol w:w="1459"/>
        <w:gridCol w:w="1454"/>
        <w:gridCol w:w="1599"/>
        <w:gridCol w:w="40"/>
      </w:tblGrid>
      <w:tr w14:paraId="0E1C7AF2" w14:textId="77777777" w:rsidTr="0068779F">
        <w:tblPrEx>
          <w:tblW w:w="775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9"/>
          <w:jc w:val="center"/>
        </w:trPr>
        <w:tc>
          <w:tcPr>
            <w:tcW w:w="1934" w:type="dxa"/>
            <w:vMerge w:val="restart"/>
            <w:tcBorders>
              <w:top w:val="double" w:sz="6" w:space="0" w:color="auto"/>
              <w:left w:val="double" w:sz="6" w:space="0" w:color="auto"/>
              <w:bottom w:val="single" w:sz="6" w:space="0" w:color="000000"/>
              <w:right w:val="single" w:sz="6" w:space="0" w:color="auto"/>
            </w:tcBorders>
            <w:shd w:val="clear" w:color="auto" w:fill="E5E5E5"/>
            <w:vAlign w:val="center"/>
            <w:hideMark/>
          </w:tcPr>
          <w:p w:rsidR="002974C6" w:rsidRPr="000C11E3" w14:paraId="688271EB"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Task</w:t>
            </w:r>
            <w:r w:rsidRPr="000C11E3">
              <w:rPr>
                <w:rFonts w:eastAsia="Times New Roman" w:cstheme="minorHAnsi"/>
                <w:color w:val="000000"/>
                <w:sz w:val="16"/>
                <w:szCs w:val="16"/>
              </w:rPr>
              <w:t> </w:t>
            </w:r>
          </w:p>
        </w:tc>
        <w:tc>
          <w:tcPr>
            <w:tcW w:w="1271" w:type="dxa"/>
            <w:vMerge w:val="restart"/>
            <w:tcBorders>
              <w:top w:val="double" w:sz="6" w:space="0" w:color="auto"/>
              <w:left w:val="single" w:sz="6" w:space="0" w:color="auto"/>
              <w:bottom w:val="single" w:sz="6" w:space="0" w:color="000000"/>
              <w:right w:val="single" w:sz="6" w:space="0" w:color="auto"/>
            </w:tcBorders>
            <w:shd w:val="clear" w:color="auto" w:fill="E5E5E5"/>
            <w:vAlign w:val="center"/>
            <w:hideMark/>
          </w:tcPr>
          <w:p w:rsidR="002974C6" w:rsidRPr="000C11E3" w14:paraId="6A56901D"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Cont./O&amp;M Cost</w:t>
            </w:r>
            <w:r w:rsidRPr="000C11E3">
              <w:rPr>
                <w:rFonts w:eastAsia="Times New Roman" w:cstheme="minorHAnsi"/>
                <w:color w:val="000000"/>
                <w:sz w:val="16"/>
                <w:szCs w:val="16"/>
              </w:rPr>
              <w:t> </w:t>
            </w:r>
          </w:p>
        </w:tc>
        <w:tc>
          <w:tcPr>
            <w:tcW w:w="1459" w:type="dxa"/>
            <w:vMerge w:val="restart"/>
            <w:tcBorders>
              <w:top w:val="double" w:sz="6" w:space="0" w:color="auto"/>
              <w:left w:val="single" w:sz="6" w:space="0" w:color="auto"/>
              <w:bottom w:val="single" w:sz="6" w:space="0" w:color="000000"/>
              <w:right w:val="single" w:sz="6" w:space="0" w:color="auto"/>
            </w:tcBorders>
            <w:shd w:val="clear" w:color="auto" w:fill="E5E5E5"/>
            <w:vAlign w:val="center"/>
            <w:hideMark/>
          </w:tcPr>
          <w:p w:rsidR="002974C6" w:rsidRPr="000C11E3" w14:paraId="15E3A72B"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Capital/Start-up Cost</w:t>
            </w:r>
            <w:r w:rsidRPr="000C11E3">
              <w:rPr>
                <w:rFonts w:eastAsia="Times New Roman" w:cstheme="minorHAnsi"/>
                <w:color w:val="000000"/>
                <w:sz w:val="16"/>
                <w:szCs w:val="16"/>
              </w:rPr>
              <w:t> </w:t>
            </w:r>
          </w:p>
        </w:tc>
        <w:tc>
          <w:tcPr>
            <w:tcW w:w="1454" w:type="dxa"/>
            <w:vMerge w:val="restart"/>
            <w:tcBorders>
              <w:top w:val="double" w:sz="6" w:space="0" w:color="auto"/>
              <w:left w:val="single" w:sz="6" w:space="0" w:color="auto"/>
              <w:bottom w:val="single" w:sz="6" w:space="0" w:color="000000"/>
              <w:right w:val="single" w:sz="6" w:space="0" w:color="auto"/>
            </w:tcBorders>
            <w:shd w:val="clear" w:color="auto" w:fill="E5E5E5"/>
            <w:vAlign w:val="center"/>
            <w:hideMark/>
          </w:tcPr>
          <w:p w:rsidR="002974C6" w:rsidRPr="000C11E3" w14:paraId="5990CF0C"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No. of Respondents</w:t>
            </w:r>
            <w:r w:rsidRPr="000C11E3">
              <w:rPr>
                <w:rFonts w:eastAsia="Times New Roman" w:cstheme="minorHAnsi"/>
                <w:color w:val="000000"/>
                <w:sz w:val="16"/>
                <w:szCs w:val="16"/>
              </w:rPr>
              <w:t> </w:t>
            </w:r>
          </w:p>
        </w:tc>
        <w:tc>
          <w:tcPr>
            <w:tcW w:w="1599" w:type="dxa"/>
            <w:vMerge w:val="restart"/>
            <w:tcBorders>
              <w:top w:val="double" w:sz="6" w:space="0" w:color="auto"/>
              <w:left w:val="single" w:sz="6" w:space="0" w:color="auto"/>
              <w:bottom w:val="single" w:sz="6" w:space="0" w:color="000000"/>
              <w:right w:val="double" w:sz="6" w:space="0" w:color="auto"/>
            </w:tcBorders>
            <w:shd w:val="clear" w:color="auto" w:fill="E5E5E5"/>
            <w:vAlign w:val="center"/>
            <w:hideMark/>
          </w:tcPr>
          <w:p w:rsidR="002974C6" w:rsidRPr="000C11E3" w14:paraId="49F79B08"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Total Cost/Year</w:t>
            </w:r>
            <w:r w:rsidRPr="000C11E3">
              <w:rPr>
                <w:rFonts w:eastAsia="Times New Roman" w:cstheme="minorHAnsi"/>
                <w:color w:val="000000"/>
                <w:sz w:val="16"/>
                <w:szCs w:val="16"/>
              </w:rPr>
              <w:t> </w:t>
            </w:r>
          </w:p>
        </w:tc>
        <w:tc>
          <w:tcPr>
            <w:tcW w:w="40" w:type="dxa"/>
            <w:tcBorders>
              <w:top w:val="outset" w:sz="6" w:space="0" w:color="auto"/>
              <w:left w:val="outset" w:sz="6" w:space="0" w:color="auto"/>
              <w:bottom w:val="outset" w:sz="6" w:space="0" w:color="auto"/>
              <w:right w:val="outset" w:sz="6" w:space="0" w:color="auto"/>
            </w:tcBorders>
            <w:shd w:val="clear" w:color="auto" w:fill="auto"/>
            <w:hideMark/>
          </w:tcPr>
          <w:p w:rsidR="002974C6" w:rsidRPr="000C11E3" w14:paraId="3B037140" w14:textId="77777777">
            <w:pPr>
              <w:spacing w:after="0" w:line="276" w:lineRule="auto"/>
              <w:rPr>
                <w:rFonts w:eastAsia="Times New Roman" w:cstheme="minorHAnsi"/>
                <w:sz w:val="16"/>
                <w:szCs w:val="16"/>
              </w:rPr>
            </w:pPr>
            <w:r w:rsidRPr="000C11E3">
              <w:rPr>
                <w:rFonts w:eastAsia="Times New Roman" w:cstheme="minorHAnsi"/>
                <w:sz w:val="16"/>
                <w:szCs w:val="16"/>
              </w:rPr>
              <w:t> </w:t>
            </w:r>
          </w:p>
        </w:tc>
      </w:tr>
      <w:tr w14:paraId="1934650B" w14:textId="77777777" w:rsidTr="0068779F">
        <w:tblPrEx>
          <w:tblW w:w="7757" w:type="dxa"/>
          <w:jc w:val="center"/>
          <w:tblLayout w:type="fixed"/>
          <w:tblCellMar>
            <w:left w:w="0" w:type="dxa"/>
            <w:right w:w="0" w:type="dxa"/>
          </w:tblCellMar>
          <w:tblLook w:val="04A0"/>
        </w:tblPrEx>
        <w:trPr>
          <w:trHeight w:val="449"/>
          <w:jc w:val="center"/>
        </w:trPr>
        <w:tc>
          <w:tcPr>
            <w:tcW w:w="1934" w:type="dxa"/>
            <w:vMerge/>
            <w:tcBorders>
              <w:top w:val="double" w:sz="6" w:space="0" w:color="auto"/>
              <w:left w:val="double" w:sz="6" w:space="0" w:color="auto"/>
              <w:bottom w:val="single" w:sz="6" w:space="0" w:color="000000"/>
              <w:right w:val="single" w:sz="6" w:space="0" w:color="auto"/>
            </w:tcBorders>
            <w:shd w:val="clear" w:color="auto" w:fill="auto"/>
            <w:vAlign w:val="center"/>
            <w:hideMark/>
          </w:tcPr>
          <w:p w:rsidR="002974C6" w:rsidRPr="000C11E3" w14:paraId="75A54F75" w14:textId="77777777">
            <w:pPr>
              <w:spacing w:after="0" w:line="276" w:lineRule="auto"/>
              <w:rPr>
                <w:rFonts w:eastAsia="Times New Roman" w:cstheme="minorHAnsi"/>
                <w:sz w:val="16"/>
                <w:szCs w:val="16"/>
              </w:rPr>
            </w:pPr>
          </w:p>
        </w:tc>
        <w:tc>
          <w:tcPr>
            <w:tcW w:w="1271" w:type="dxa"/>
            <w:vMerge/>
            <w:tcBorders>
              <w:top w:val="double" w:sz="6" w:space="0" w:color="auto"/>
              <w:left w:val="single" w:sz="6" w:space="0" w:color="auto"/>
              <w:bottom w:val="single" w:sz="6" w:space="0" w:color="000000"/>
              <w:right w:val="single" w:sz="6" w:space="0" w:color="auto"/>
            </w:tcBorders>
            <w:shd w:val="clear" w:color="auto" w:fill="auto"/>
            <w:vAlign w:val="center"/>
            <w:hideMark/>
          </w:tcPr>
          <w:p w:rsidR="002974C6" w:rsidRPr="000C11E3" w14:paraId="5AE5D248" w14:textId="77777777">
            <w:pPr>
              <w:spacing w:after="0" w:line="276" w:lineRule="auto"/>
              <w:rPr>
                <w:rFonts w:eastAsia="Times New Roman" w:cstheme="minorHAnsi"/>
                <w:sz w:val="16"/>
                <w:szCs w:val="16"/>
              </w:rPr>
            </w:pPr>
          </w:p>
        </w:tc>
        <w:tc>
          <w:tcPr>
            <w:tcW w:w="1459" w:type="dxa"/>
            <w:vMerge/>
            <w:tcBorders>
              <w:top w:val="double" w:sz="6" w:space="0" w:color="auto"/>
              <w:left w:val="single" w:sz="6" w:space="0" w:color="auto"/>
              <w:bottom w:val="single" w:sz="6" w:space="0" w:color="000000"/>
              <w:right w:val="single" w:sz="6" w:space="0" w:color="auto"/>
            </w:tcBorders>
            <w:shd w:val="clear" w:color="auto" w:fill="auto"/>
            <w:vAlign w:val="center"/>
            <w:hideMark/>
          </w:tcPr>
          <w:p w:rsidR="002974C6" w:rsidRPr="000C11E3" w14:paraId="3DC0F6D6" w14:textId="77777777">
            <w:pPr>
              <w:spacing w:after="0" w:line="276" w:lineRule="auto"/>
              <w:rPr>
                <w:rFonts w:eastAsia="Times New Roman" w:cstheme="minorHAnsi"/>
                <w:sz w:val="16"/>
                <w:szCs w:val="16"/>
              </w:rPr>
            </w:pPr>
          </w:p>
        </w:tc>
        <w:tc>
          <w:tcPr>
            <w:tcW w:w="1454" w:type="dxa"/>
            <w:vMerge/>
            <w:tcBorders>
              <w:top w:val="double" w:sz="6" w:space="0" w:color="auto"/>
              <w:left w:val="single" w:sz="6" w:space="0" w:color="auto"/>
              <w:bottom w:val="single" w:sz="6" w:space="0" w:color="000000"/>
              <w:right w:val="single" w:sz="6" w:space="0" w:color="auto"/>
            </w:tcBorders>
            <w:shd w:val="clear" w:color="auto" w:fill="auto"/>
            <w:vAlign w:val="center"/>
            <w:hideMark/>
          </w:tcPr>
          <w:p w:rsidR="002974C6" w:rsidRPr="000C11E3" w14:paraId="2ECA520D" w14:textId="77777777">
            <w:pPr>
              <w:spacing w:after="0" w:line="276" w:lineRule="auto"/>
              <w:rPr>
                <w:rFonts w:eastAsia="Times New Roman" w:cstheme="minorHAnsi"/>
                <w:sz w:val="16"/>
                <w:szCs w:val="16"/>
              </w:rPr>
            </w:pPr>
          </w:p>
        </w:tc>
        <w:tc>
          <w:tcPr>
            <w:tcW w:w="1599" w:type="dxa"/>
            <w:vMerge/>
            <w:tcBorders>
              <w:top w:val="double" w:sz="6" w:space="0" w:color="auto"/>
              <w:left w:val="single" w:sz="6" w:space="0" w:color="auto"/>
              <w:bottom w:val="single" w:sz="6" w:space="0" w:color="000000"/>
              <w:right w:val="double" w:sz="6" w:space="0" w:color="auto"/>
            </w:tcBorders>
            <w:shd w:val="clear" w:color="auto" w:fill="auto"/>
            <w:vAlign w:val="center"/>
            <w:hideMark/>
          </w:tcPr>
          <w:p w:rsidR="002974C6" w:rsidRPr="000C11E3" w14:paraId="673B1181" w14:textId="77777777">
            <w:pPr>
              <w:spacing w:after="0" w:line="276" w:lineRule="auto"/>
              <w:rPr>
                <w:rFonts w:eastAsia="Times New Roman" w:cstheme="minorHAnsi"/>
                <w:sz w:val="16"/>
                <w:szCs w:val="16"/>
              </w:rPr>
            </w:pPr>
          </w:p>
        </w:tc>
        <w:tc>
          <w:tcPr>
            <w:tcW w:w="40" w:type="dxa"/>
            <w:tcBorders>
              <w:top w:val="nil"/>
              <w:left w:val="nil"/>
              <w:bottom w:val="nil"/>
              <w:right w:val="nil"/>
            </w:tcBorders>
            <w:shd w:val="clear" w:color="auto" w:fill="auto"/>
            <w:vAlign w:val="bottom"/>
            <w:hideMark/>
          </w:tcPr>
          <w:p w:rsidR="002974C6" w:rsidRPr="000C11E3" w14:paraId="601B7A6C"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 </w:t>
            </w:r>
          </w:p>
        </w:tc>
      </w:tr>
      <w:tr w14:paraId="2BABF722" w14:textId="77777777" w:rsidTr="0068779F">
        <w:tblPrEx>
          <w:tblW w:w="7757" w:type="dxa"/>
          <w:jc w:val="center"/>
          <w:tblLayout w:type="fixed"/>
          <w:tblCellMar>
            <w:left w:w="0" w:type="dxa"/>
            <w:right w:w="0" w:type="dxa"/>
          </w:tblCellMar>
          <w:tblLook w:val="04A0"/>
        </w:tblPrEx>
        <w:trPr>
          <w:trHeight w:val="294"/>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C266A6" w:rsidRPr="000C11E3" w14:paraId="58B7C1D1" w14:textId="5DE51330">
            <w:pPr>
              <w:spacing w:after="0" w:line="276" w:lineRule="auto"/>
              <w:textAlignment w:val="baseline"/>
              <w:rPr>
                <w:rFonts w:eastAsia="Times New Roman" w:cstheme="minorHAnsi"/>
                <w:sz w:val="16"/>
                <w:szCs w:val="16"/>
              </w:rPr>
            </w:pPr>
            <w:r>
              <w:rPr>
                <w:rFonts w:eastAsia="Times New Roman" w:cstheme="minorHAnsi"/>
                <w:color w:val="000000"/>
                <w:sz w:val="16"/>
                <w:szCs w:val="16"/>
              </w:rPr>
              <w:t>1</w:t>
            </w:r>
            <w:r w:rsidRPr="000C11E3">
              <w:rPr>
                <w:rFonts w:eastAsia="Times New Roman" w:cstheme="minorHAnsi"/>
                <w:color w:val="000000"/>
                <w:sz w:val="16"/>
                <w:szCs w:val="16"/>
              </w:rPr>
              <w:t>.  DAHS Upgrade. </w:t>
            </w:r>
          </w:p>
        </w:tc>
        <w:tc>
          <w:tcPr>
            <w:tcW w:w="1271" w:type="dxa"/>
            <w:tcBorders>
              <w:top w:val="nil"/>
              <w:left w:val="nil"/>
              <w:bottom w:val="single" w:sz="6" w:space="0" w:color="auto"/>
              <w:right w:val="single" w:sz="6" w:space="0" w:color="auto"/>
            </w:tcBorders>
            <w:shd w:val="clear" w:color="auto" w:fill="auto"/>
            <w:vAlign w:val="center"/>
            <w:hideMark/>
          </w:tcPr>
          <w:p w:rsidR="00C266A6" w:rsidRPr="000C11E3" w14:paraId="181E5F1B" w14:textId="77777777">
            <w:pPr>
              <w:spacing w:after="0" w:line="276" w:lineRule="auto"/>
              <w:textAlignment w:val="baseline"/>
              <w:rPr>
                <w:rFonts w:eastAsia="Times New Roman" w:cstheme="minorHAnsi"/>
                <w:sz w:val="16"/>
                <w:szCs w:val="16"/>
              </w:rPr>
            </w:pPr>
            <w:r w:rsidRPr="000C11E3">
              <w:rPr>
                <w:rFonts w:eastAsia="Times New Roman" w:cstheme="minorHAnsi"/>
                <w:color w:val="000000"/>
                <w:sz w:val="16"/>
                <w:szCs w:val="16"/>
              </w:rPr>
              <w:t>  </w:t>
            </w:r>
          </w:p>
        </w:tc>
        <w:tc>
          <w:tcPr>
            <w:tcW w:w="1459" w:type="dxa"/>
            <w:tcBorders>
              <w:top w:val="nil"/>
              <w:left w:val="nil"/>
              <w:bottom w:val="single" w:sz="6" w:space="0" w:color="auto"/>
              <w:right w:val="single" w:sz="6" w:space="0" w:color="auto"/>
            </w:tcBorders>
            <w:shd w:val="clear" w:color="auto" w:fill="auto"/>
            <w:vAlign w:val="center"/>
            <w:hideMark/>
          </w:tcPr>
          <w:p w:rsidR="00C266A6" w:rsidRPr="000C11E3" w14:paraId="60334774"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$570  </w:t>
            </w:r>
          </w:p>
        </w:tc>
        <w:tc>
          <w:tcPr>
            <w:tcW w:w="1454" w:type="dxa"/>
            <w:tcBorders>
              <w:top w:val="nil"/>
              <w:left w:val="nil"/>
              <w:bottom w:val="single" w:sz="6" w:space="0" w:color="auto"/>
              <w:right w:val="single" w:sz="6" w:space="0" w:color="auto"/>
            </w:tcBorders>
            <w:shd w:val="clear" w:color="auto" w:fill="auto"/>
            <w:vAlign w:val="center"/>
            <w:hideMark/>
          </w:tcPr>
          <w:p w:rsidR="00C266A6" w:rsidRPr="000C11E3" w14:paraId="2A491345" w14:textId="22B0FEA4">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1,075</w:t>
            </w:r>
            <w:r w:rsidRPr="000C11E3">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C266A6" w:rsidRPr="000C11E3" w14:paraId="34B32D05" w14:textId="79340FC9">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747E9B">
              <w:rPr>
                <w:rFonts w:eastAsia="Times New Roman" w:cstheme="minorHAnsi"/>
                <w:color w:val="000000"/>
                <w:sz w:val="16"/>
                <w:szCs w:val="16"/>
              </w:rPr>
              <w:t>612,750</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C266A6" w:rsidRPr="000C11E3" w14:paraId="58D2D7C1"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01327828" w14:textId="77777777" w:rsidTr="0068779F">
        <w:tblPrEx>
          <w:tblW w:w="7757" w:type="dxa"/>
          <w:jc w:val="center"/>
          <w:tblLayout w:type="fixed"/>
          <w:tblCellMar>
            <w:left w:w="0" w:type="dxa"/>
            <w:right w:w="0" w:type="dxa"/>
          </w:tblCellMar>
          <w:tblLook w:val="04A0"/>
        </w:tblPrEx>
        <w:trPr>
          <w:trHeight w:val="294"/>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1D19B00F" w14:textId="554437BA">
            <w:pPr>
              <w:spacing w:after="0" w:line="276" w:lineRule="auto"/>
              <w:textAlignment w:val="baseline"/>
              <w:rPr>
                <w:rFonts w:eastAsia="Times New Roman" w:cstheme="minorHAnsi"/>
                <w:sz w:val="16"/>
                <w:szCs w:val="16"/>
              </w:rPr>
            </w:pPr>
            <w:r>
              <w:rPr>
                <w:rFonts w:eastAsia="Times New Roman" w:cstheme="minorHAnsi"/>
                <w:color w:val="000000"/>
                <w:sz w:val="16"/>
                <w:szCs w:val="16"/>
              </w:rPr>
              <w:t>2</w:t>
            </w:r>
            <w:r w:rsidRPr="000C11E3">
              <w:rPr>
                <w:rFonts w:eastAsia="Times New Roman" w:cstheme="minorHAnsi"/>
                <w:color w:val="000000"/>
                <w:sz w:val="16"/>
                <w:szCs w:val="16"/>
              </w:rPr>
              <w:t>.  Recertify Monitors.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7C840B48"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$3,482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70B1BFD7" w14:textId="77777777">
            <w:pPr>
              <w:spacing w:after="0" w:line="276" w:lineRule="auto"/>
              <w:textAlignment w:val="baseline"/>
              <w:rPr>
                <w:rFonts w:eastAsia="Times New Roman" w:cstheme="minorHAnsi"/>
                <w:sz w:val="16"/>
                <w:szCs w:val="16"/>
              </w:rPr>
            </w:pPr>
            <w:r w:rsidRPr="000C11E3">
              <w:rPr>
                <w:rFonts w:eastAsia="Times New Roman" w:cstheme="minorHAnsi"/>
                <w:color w:val="000000"/>
                <w:sz w:val="16"/>
                <w:szCs w:val="16"/>
              </w:rPr>
              <w:t>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6E199084" w14:textId="3DAC3619">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648</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12F12098" w14:textId="0A239410">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3A44BF">
              <w:rPr>
                <w:rFonts w:eastAsia="Times New Roman" w:cstheme="minorHAnsi"/>
                <w:color w:val="000000"/>
                <w:sz w:val="16"/>
                <w:szCs w:val="16"/>
              </w:rPr>
              <w:t>2,256,336</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477C28B5"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69817689" w14:textId="77777777" w:rsidTr="0068779F">
        <w:tblPrEx>
          <w:tblW w:w="7757" w:type="dxa"/>
          <w:jc w:val="center"/>
          <w:tblLayout w:type="fixed"/>
          <w:tblCellMar>
            <w:left w:w="0" w:type="dxa"/>
            <w:right w:w="0" w:type="dxa"/>
          </w:tblCellMar>
          <w:tblLook w:val="04A0"/>
        </w:tblPrEx>
        <w:trPr>
          <w:trHeight w:val="527"/>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08384630" w14:textId="10564085">
            <w:pPr>
              <w:spacing w:after="0" w:line="276" w:lineRule="auto"/>
              <w:textAlignment w:val="baseline"/>
              <w:rPr>
                <w:rFonts w:eastAsia="Times New Roman" w:cstheme="minorHAnsi"/>
                <w:sz w:val="16"/>
                <w:szCs w:val="16"/>
              </w:rPr>
            </w:pPr>
            <w:r>
              <w:rPr>
                <w:rFonts w:eastAsia="Times New Roman" w:cstheme="minorHAnsi"/>
                <w:color w:val="000000"/>
                <w:sz w:val="16"/>
                <w:szCs w:val="16"/>
              </w:rPr>
              <w:t>3</w:t>
            </w:r>
            <w:r w:rsidRPr="000C11E3">
              <w:rPr>
                <w:rFonts w:eastAsia="Times New Roman" w:cstheme="minorHAnsi"/>
                <w:color w:val="000000"/>
                <w:sz w:val="16"/>
                <w:szCs w:val="16"/>
              </w:rPr>
              <w:t>.  Startup/Capital Items and Perform QA Testing and Maintenance.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2433E8B3"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7672E5CE"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30E6F451"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19CB5B0E" w14:textId="3C862F0B">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2970DAAA"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0CF15D07" w14:textId="77777777" w:rsidTr="0068779F">
        <w:tblPrEx>
          <w:tblW w:w="7757" w:type="dxa"/>
          <w:jc w:val="center"/>
          <w:tblLayout w:type="fixed"/>
          <w:tblCellMar>
            <w:left w:w="0" w:type="dxa"/>
            <w:right w:w="0" w:type="dxa"/>
          </w:tblCellMar>
          <w:tblLook w:val="04A0"/>
        </w:tblPrEx>
        <w:trPr>
          <w:trHeight w:val="294"/>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26AD4A40" w14:textId="77777777">
            <w:pPr>
              <w:spacing w:after="0" w:line="276" w:lineRule="auto"/>
              <w:ind w:firstLine="225"/>
              <w:textAlignment w:val="baseline"/>
              <w:rPr>
                <w:rFonts w:eastAsia="Times New Roman" w:cstheme="minorHAnsi"/>
                <w:sz w:val="16"/>
                <w:szCs w:val="16"/>
              </w:rPr>
            </w:pPr>
            <w:r w:rsidRPr="000C11E3">
              <w:rPr>
                <w:rFonts w:eastAsia="Times New Roman" w:cstheme="minorHAnsi"/>
                <w:color w:val="000000"/>
                <w:sz w:val="16"/>
                <w:szCs w:val="16"/>
              </w:rPr>
              <w:t>(a) Model A (CEMS).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67378524"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$31,949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57FBAB7D"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$30,282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6CEECC73" w14:textId="427749C0">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460</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76EAEDE1" w14:textId="5DE18924">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9B6C54">
              <w:rPr>
                <w:rFonts w:eastAsia="Times New Roman" w:cstheme="minorHAnsi"/>
                <w:color w:val="000000"/>
                <w:sz w:val="16"/>
                <w:szCs w:val="16"/>
              </w:rPr>
              <w:t>28,626,260</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2DB4D237"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5C63D03C" w14:textId="77777777" w:rsidTr="0068779F">
        <w:tblPrEx>
          <w:tblW w:w="7757" w:type="dxa"/>
          <w:jc w:val="center"/>
          <w:tblLayout w:type="fixed"/>
          <w:tblCellMar>
            <w:left w:w="0" w:type="dxa"/>
            <w:right w:w="0" w:type="dxa"/>
          </w:tblCellMar>
          <w:tblLook w:val="04A0"/>
        </w:tblPrEx>
        <w:trPr>
          <w:trHeight w:val="294"/>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228A8F3D" w14:textId="77777777">
            <w:pPr>
              <w:spacing w:after="0" w:line="276" w:lineRule="auto"/>
              <w:ind w:firstLine="225"/>
              <w:textAlignment w:val="baseline"/>
              <w:rPr>
                <w:rFonts w:eastAsia="Times New Roman" w:cstheme="minorHAnsi"/>
                <w:sz w:val="16"/>
                <w:szCs w:val="16"/>
              </w:rPr>
            </w:pPr>
            <w:r w:rsidRPr="000C11E3">
              <w:rPr>
                <w:rFonts w:eastAsia="Times New Roman" w:cstheme="minorHAnsi"/>
                <w:color w:val="000000"/>
                <w:sz w:val="16"/>
                <w:szCs w:val="16"/>
              </w:rPr>
              <w:t>(b) Model B (COMS).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73CA2C04"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$295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2E07864C"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$3,733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71B7DA5D" w14:textId="63CC6AFE">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729</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1B27023F" w14:textId="5D93140B">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475205">
              <w:rPr>
                <w:rFonts w:eastAsia="Times New Roman" w:cstheme="minorHAnsi"/>
                <w:color w:val="000000"/>
                <w:sz w:val="16"/>
                <w:szCs w:val="16"/>
              </w:rPr>
              <w:t>2,936,412</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428DFE5B"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62D623BC" w14:textId="77777777" w:rsidTr="0068779F">
        <w:tblPrEx>
          <w:tblW w:w="7757" w:type="dxa"/>
          <w:jc w:val="center"/>
          <w:tblLayout w:type="fixed"/>
          <w:tblCellMar>
            <w:left w:w="0" w:type="dxa"/>
            <w:right w:w="0" w:type="dxa"/>
          </w:tblCellMar>
          <w:tblLook w:val="04A0"/>
        </w:tblPrEx>
        <w:trPr>
          <w:trHeight w:val="309"/>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7C386C34" w14:textId="77777777">
            <w:pPr>
              <w:spacing w:after="0" w:line="276" w:lineRule="auto"/>
              <w:ind w:firstLine="225"/>
              <w:textAlignment w:val="baseline"/>
              <w:rPr>
                <w:rFonts w:eastAsia="Times New Roman" w:cstheme="minorHAnsi"/>
                <w:sz w:val="16"/>
                <w:szCs w:val="16"/>
              </w:rPr>
            </w:pPr>
            <w:r w:rsidRPr="000C11E3">
              <w:rPr>
                <w:rFonts w:eastAsia="Times New Roman" w:cstheme="minorHAnsi"/>
                <w:color w:val="000000"/>
                <w:sz w:val="16"/>
                <w:szCs w:val="16"/>
              </w:rPr>
              <w:t>(c) Model C (App D -- NO</w:t>
            </w:r>
            <w:r w:rsidRPr="000C11E3">
              <w:rPr>
                <w:rFonts w:eastAsia="Times New Roman" w:cstheme="minorHAnsi"/>
                <w:color w:val="000000"/>
                <w:sz w:val="16"/>
                <w:szCs w:val="16"/>
                <w:vertAlign w:val="subscript"/>
              </w:rPr>
              <w:t>x</w:t>
            </w:r>
            <w:r w:rsidRPr="000C11E3">
              <w:rPr>
                <w:rFonts w:eastAsia="Times New Roman" w:cstheme="minorHAnsi"/>
                <w:color w:val="000000"/>
                <w:sz w:val="16"/>
                <w:szCs w:val="16"/>
              </w:rPr>
              <w:t xml:space="preserve"> CEM).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6123DC67"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$17,818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37CB37F5"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$19,661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0A2E71FF" w14:textId="3E6E8551">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2,324</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22E21D31" w14:textId="56674586">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5C2F6C">
              <w:rPr>
                <w:rFonts w:eastAsia="Times New Roman" w:cstheme="minorHAnsi"/>
                <w:color w:val="000000"/>
                <w:sz w:val="16"/>
                <w:szCs w:val="16"/>
              </w:rPr>
              <w:t>87,101,</w:t>
            </w:r>
            <w:r w:rsidR="006003C4">
              <w:rPr>
                <w:rFonts w:eastAsia="Times New Roman" w:cstheme="minorHAnsi"/>
                <w:color w:val="000000"/>
                <w:sz w:val="16"/>
                <w:szCs w:val="16"/>
              </w:rPr>
              <w:t>196</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5786A0DD"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3FA82D55" w14:textId="77777777" w:rsidTr="0068779F">
        <w:tblPrEx>
          <w:tblW w:w="7757" w:type="dxa"/>
          <w:jc w:val="center"/>
          <w:tblLayout w:type="fixed"/>
          <w:tblCellMar>
            <w:left w:w="0" w:type="dxa"/>
            <w:right w:w="0" w:type="dxa"/>
          </w:tblCellMar>
          <w:tblLook w:val="04A0"/>
        </w:tblPrEx>
        <w:trPr>
          <w:trHeight w:val="294"/>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4C25E140" w14:textId="77777777">
            <w:pPr>
              <w:spacing w:after="0" w:line="276" w:lineRule="auto"/>
              <w:ind w:firstLine="225"/>
              <w:textAlignment w:val="baseline"/>
              <w:rPr>
                <w:rFonts w:eastAsia="Times New Roman" w:cstheme="minorHAnsi"/>
                <w:sz w:val="16"/>
                <w:szCs w:val="16"/>
              </w:rPr>
            </w:pPr>
            <w:r w:rsidRPr="000C11E3">
              <w:rPr>
                <w:rFonts w:eastAsia="Times New Roman" w:cstheme="minorHAnsi"/>
                <w:color w:val="000000"/>
                <w:sz w:val="16"/>
                <w:szCs w:val="16"/>
              </w:rPr>
              <w:t>(d) Model D (App D and E).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5485BB4F"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$1,843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296FBB1D"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$2,359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3E6A1337" w14:textId="28722915">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293</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0E7073EB" w14:textId="5FC8EDEF">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$1,</w:t>
            </w:r>
            <w:r w:rsidR="00D6737C">
              <w:rPr>
                <w:rFonts w:eastAsia="Times New Roman" w:cstheme="minorHAnsi"/>
                <w:color w:val="000000"/>
                <w:sz w:val="16"/>
                <w:szCs w:val="16"/>
              </w:rPr>
              <w:t>231,186</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0B1BAC28"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2CA04DCD" w14:textId="77777777" w:rsidTr="0068779F">
        <w:tblPrEx>
          <w:tblW w:w="7757" w:type="dxa"/>
          <w:jc w:val="center"/>
          <w:tblLayout w:type="fixed"/>
          <w:tblCellMar>
            <w:left w:w="0" w:type="dxa"/>
            <w:right w:w="0" w:type="dxa"/>
          </w:tblCellMar>
          <w:tblLook w:val="04A0"/>
        </w:tblPrEx>
        <w:trPr>
          <w:trHeight w:val="294"/>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31DFF590" w14:textId="77777777">
            <w:pPr>
              <w:spacing w:after="0" w:line="276" w:lineRule="auto"/>
              <w:ind w:firstLine="225"/>
              <w:textAlignment w:val="baseline"/>
              <w:rPr>
                <w:rFonts w:eastAsia="Times New Roman" w:cstheme="minorHAnsi"/>
                <w:sz w:val="16"/>
                <w:szCs w:val="16"/>
              </w:rPr>
            </w:pPr>
            <w:r w:rsidRPr="000C11E3">
              <w:rPr>
                <w:rFonts w:eastAsia="Times New Roman" w:cstheme="minorHAnsi"/>
                <w:color w:val="000000"/>
                <w:sz w:val="16"/>
                <w:szCs w:val="16"/>
              </w:rPr>
              <w:t>(e) Model E (LME).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2236CF18"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$1,991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2BB38D35" w14:textId="77777777">
            <w:pPr>
              <w:spacing w:after="0" w:line="276" w:lineRule="auto"/>
              <w:textAlignment w:val="baseline"/>
              <w:rPr>
                <w:rFonts w:eastAsia="Times New Roman" w:cstheme="minorHAnsi"/>
                <w:sz w:val="16"/>
                <w:szCs w:val="16"/>
              </w:rPr>
            </w:pPr>
            <w:r w:rsidRPr="000C11E3">
              <w:rPr>
                <w:rFonts w:eastAsia="Times New Roman" w:cstheme="minorHAnsi"/>
                <w:color w:val="000000"/>
                <w:sz w:val="16"/>
                <w:szCs w:val="16"/>
              </w:rPr>
              <w:t>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223CFAA7" w14:textId="6BB622FF">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150</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03025D80" w14:textId="0353990D">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D6737C">
              <w:rPr>
                <w:rFonts w:eastAsia="Times New Roman" w:cstheme="minorHAnsi"/>
                <w:color w:val="000000"/>
                <w:sz w:val="16"/>
                <w:szCs w:val="16"/>
              </w:rPr>
              <w:t>298,650</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0CC99686"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1649E03B" w14:textId="77777777" w:rsidTr="0068779F">
        <w:tblPrEx>
          <w:tblW w:w="7757" w:type="dxa"/>
          <w:jc w:val="center"/>
          <w:tblLayout w:type="fixed"/>
          <w:tblCellMar>
            <w:left w:w="0" w:type="dxa"/>
            <w:right w:w="0" w:type="dxa"/>
          </w:tblCellMar>
          <w:tblLook w:val="04A0"/>
        </w:tblPrEx>
        <w:trPr>
          <w:trHeight w:val="309"/>
          <w:jc w:val="center"/>
        </w:trPr>
        <w:tc>
          <w:tcPr>
            <w:tcW w:w="1934" w:type="dxa"/>
            <w:tcBorders>
              <w:top w:val="nil"/>
              <w:left w:val="double" w:sz="6" w:space="0" w:color="auto"/>
              <w:bottom w:val="single" w:sz="6" w:space="0" w:color="auto"/>
              <w:right w:val="single" w:sz="6" w:space="0" w:color="auto"/>
            </w:tcBorders>
            <w:shd w:val="clear" w:color="auto" w:fill="auto"/>
            <w:vAlign w:val="center"/>
            <w:hideMark/>
          </w:tcPr>
          <w:p w:rsidR="002974C6" w:rsidRPr="000C11E3" w14:paraId="1CD58802" w14:textId="77777777">
            <w:pPr>
              <w:spacing w:after="0" w:line="276" w:lineRule="auto"/>
              <w:ind w:firstLine="225"/>
              <w:textAlignment w:val="baseline"/>
              <w:rPr>
                <w:rFonts w:eastAsia="Times New Roman" w:cstheme="minorHAnsi"/>
                <w:sz w:val="16"/>
                <w:szCs w:val="16"/>
              </w:rPr>
            </w:pPr>
            <w:r w:rsidRPr="000C11E3">
              <w:rPr>
                <w:rFonts w:eastAsia="Times New Roman" w:cstheme="minorHAnsi"/>
                <w:color w:val="000000"/>
                <w:sz w:val="16"/>
                <w:szCs w:val="16"/>
              </w:rPr>
              <w:t>(f) Model F (H</w:t>
            </w:r>
            <w:r w:rsidRPr="000C11E3">
              <w:rPr>
                <w:rFonts w:eastAsia="Times New Roman" w:cstheme="minorHAnsi"/>
                <w:color w:val="000000"/>
                <w:sz w:val="16"/>
                <w:szCs w:val="16"/>
                <w:vertAlign w:val="subscript"/>
              </w:rPr>
              <w:t>2</w:t>
            </w:r>
            <w:r w:rsidRPr="000C11E3">
              <w:rPr>
                <w:rFonts w:eastAsia="Times New Roman" w:cstheme="minorHAnsi"/>
                <w:color w:val="000000"/>
                <w:sz w:val="16"/>
                <w:szCs w:val="16"/>
              </w:rPr>
              <w:t>O). </w:t>
            </w:r>
          </w:p>
        </w:tc>
        <w:tc>
          <w:tcPr>
            <w:tcW w:w="1271" w:type="dxa"/>
            <w:tcBorders>
              <w:top w:val="nil"/>
              <w:left w:val="nil"/>
              <w:bottom w:val="single" w:sz="6" w:space="0" w:color="auto"/>
              <w:right w:val="single" w:sz="6" w:space="0" w:color="auto"/>
            </w:tcBorders>
            <w:shd w:val="clear" w:color="auto" w:fill="auto"/>
            <w:vAlign w:val="center"/>
            <w:hideMark/>
          </w:tcPr>
          <w:p w:rsidR="002974C6" w:rsidRPr="000C11E3" w14:paraId="70CD4BDE"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$8,192  </w:t>
            </w:r>
          </w:p>
        </w:tc>
        <w:tc>
          <w:tcPr>
            <w:tcW w:w="1459" w:type="dxa"/>
            <w:tcBorders>
              <w:top w:val="nil"/>
              <w:left w:val="nil"/>
              <w:bottom w:val="single" w:sz="6" w:space="0" w:color="auto"/>
              <w:right w:val="single" w:sz="6" w:space="0" w:color="auto"/>
            </w:tcBorders>
            <w:shd w:val="clear" w:color="auto" w:fill="auto"/>
            <w:vAlign w:val="center"/>
            <w:hideMark/>
          </w:tcPr>
          <w:p w:rsidR="002974C6" w:rsidRPr="000C11E3" w14:paraId="0EE48474" w14:textId="77777777">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$895  </w:t>
            </w:r>
          </w:p>
        </w:tc>
        <w:tc>
          <w:tcPr>
            <w:tcW w:w="1454" w:type="dxa"/>
            <w:tcBorders>
              <w:top w:val="nil"/>
              <w:left w:val="nil"/>
              <w:bottom w:val="single" w:sz="6" w:space="0" w:color="auto"/>
              <w:right w:val="single" w:sz="6" w:space="0" w:color="auto"/>
            </w:tcBorders>
            <w:shd w:val="clear" w:color="auto" w:fill="auto"/>
            <w:vAlign w:val="center"/>
            <w:hideMark/>
          </w:tcPr>
          <w:p w:rsidR="002974C6" w:rsidRPr="000C11E3" w14:paraId="6FBA12E8" w14:textId="7C233614">
            <w:pPr>
              <w:spacing w:after="0" w:line="276" w:lineRule="auto"/>
              <w:jc w:val="center"/>
              <w:textAlignment w:val="baseline"/>
              <w:rPr>
                <w:rFonts w:eastAsia="Times New Roman" w:cstheme="minorHAnsi"/>
                <w:sz w:val="16"/>
                <w:szCs w:val="16"/>
              </w:rPr>
            </w:pPr>
            <w:r>
              <w:rPr>
                <w:rFonts w:eastAsia="Times New Roman" w:cstheme="minorHAnsi"/>
                <w:color w:val="000000"/>
                <w:sz w:val="16"/>
                <w:szCs w:val="16"/>
              </w:rPr>
              <w:t>16</w:t>
            </w:r>
            <w:r w:rsidRPr="000C11E3" w:rsidR="00C266A6">
              <w:rPr>
                <w:rFonts w:eastAsia="Times New Roman" w:cstheme="minorHAnsi"/>
                <w:color w:val="000000"/>
                <w:sz w:val="16"/>
                <w:szCs w:val="16"/>
              </w:rPr>
              <w:t> </w:t>
            </w:r>
          </w:p>
        </w:tc>
        <w:tc>
          <w:tcPr>
            <w:tcW w:w="1599" w:type="dxa"/>
            <w:tcBorders>
              <w:top w:val="nil"/>
              <w:left w:val="nil"/>
              <w:bottom w:val="single" w:sz="6" w:space="0" w:color="auto"/>
              <w:right w:val="double" w:sz="6" w:space="0" w:color="auto"/>
            </w:tcBorders>
            <w:shd w:val="clear" w:color="auto" w:fill="auto"/>
            <w:vAlign w:val="center"/>
            <w:hideMark/>
          </w:tcPr>
          <w:p w:rsidR="002974C6" w:rsidRPr="000C11E3" w14:paraId="14FD0A86" w14:textId="0A28153E">
            <w:pPr>
              <w:spacing w:after="0" w:line="276" w:lineRule="auto"/>
              <w:jc w:val="center"/>
              <w:textAlignment w:val="baseline"/>
              <w:rPr>
                <w:rFonts w:eastAsia="Times New Roman" w:cstheme="minorHAnsi"/>
                <w:sz w:val="16"/>
                <w:szCs w:val="16"/>
              </w:rPr>
            </w:pPr>
            <w:r w:rsidRPr="000C11E3">
              <w:rPr>
                <w:rFonts w:eastAsia="Times New Roman" w:cstheme="minorHAnsi"/>
                <w:color w:val="000000"/>
                <w:sz w:val="16"/>
                <w:szCs w:val="16"/>
              </w:rPr>
              <w:t>$</w:t>
            </w:r>
            <w:r w:rsidR="00D360A3">
              <w:rPr>
                <w:rFonts w:eastAsia="Times New Roman" w:cstheme="minorHAnsi"/>
                <w:color w:val="000000"/>
                <w:sz w:val="16"/>
                <w:szCs w:val="16"/>
              </w:rPr>
              <w:t>145,</w:t>
            </w:r>
            <w:r w:rsidR="009338AE">
              <w:rPr>
                <w:rFonts w:eastAsia="Times New Roman" w:cstheme="minorHAnsi"/>
                <w:color w:val="000000"/>
                <w:sz w:val="16"/>
                <w:szCs w:val="16"/>
              </w:rPr>
              <w:t>392</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4A897492"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r w14:paraId="6AA4F1CC" w14:textId="77777777" w:rsidTr="0068779F">
        <w:tblPrEx>
          <w:tblW w:w="7757" w:type="dxa"/>
          <w:jc w:val="center"/>
          <w:tblLayout w:type="fixed"/>
          <w:tblCellMar>
            <w:left w:w="0" w:type="dxa"/>
            <w:right w:w="0" w:type="dxa"/>
          </w:tblCellMar>
          <w:tblLook w:val="04A0"/>
        </w:tblPrEx>
        <w:trPr>
          <w:trHeight w:val="309"/>
          <w:jc w:val="center"/>
        </w:trPr>
        <w:tc>
          <w:tcPr>
            <w:tcW w:w="1934" w:type="dxa"/>
            <w:tcBorders>
              <w:top w:val="double" w:sz="6" w:space="0" w:color="auto"/>
              <w:left w:val="double" w:sz="6" w:space="0" w:color="auto"/>
              <w:bottom w:val="double" w:sz="6" w:space="0" w:color="auto"/>
              <w:right w:val="single" w:sz="6" w:space="0" w:color="auto"/>
            </w:tcBorders>
            <w:shd w:val="clear" w:color="auto" w:fill="auto"/>
            <w:vAlign w:val="center"/>
            <w:hideMark/>
          </w:tcPr>
          <w:p w:rsidR="002974C6" w:rsidRPr="000C11E3" w14:paraId="34A2AD29" w14:textId="77777777">
            <w:pPr>
              <w:spacing w:after="0" w:line="276" w:lineRule="auto"/>
              <w:textAlignment w:val="baseline"/>
              <w:rPr>
                <w:rFonts w:eastAsia="Times New Roman" w:cstheme="minorHAnsi"/>
                <w:sz w:val="16"/>
                <w:szCs w:val="16"/>
              </w:rPr>
            </w:pPr>
            <w:r w:rsidRPr="000C11E3">
              <w:rPr>
                <w:rFonts w:eastAsia="Times New Roman" w:cstheme="minorHAnsi"/>
                <w:b/>
                <w:bCs/>
                <w:color w:val="000000"/>
                <w:sz w:val="16"/>
                <w:szCs w:val="16"/>
              </w:rPr>
              <w:t>Totals</w:t>
            </w:r>
            <w:r w:rsidRPr="000C11E3">
              <w:rPr>
                <w:rFonts w:eastAsia="Times New Roman" w:cstheme="minorHAnsi"/>
                <w:color w:val="000000"/>
                <w:sz w:val="16"/>
                <w:szCs w:val="16"/>
              </w:rPr>
              <w:t> </w:t>
            </w:r>
          </w:p>
        </w:tc>
        <w:tc>
          <w:tcPr>
            <w:tcW w:w="1271" w:type="dxa"/>
            <w:tcBorders>
              <w:top w:val="double" w:sz="6" w:space="0" w:color="auto"/>
              <w:left w:val="nil"/>
              <w:bottom w:val="double" w:sz="6" w:space="0" w:color="auto"/>
              <w:right w:val="single" w:sz="6" w:space="0" w:color="auto"/>
            </w:tcBorders>
            <w:shd w:val="clear" w:color="auto" w:fill="auto"/>
            <w:vAlign w:val="center"/>
            <w:hideMark/>
          </w:tcPr>
          <w:p w:rsidR="002974C6" w:rsidRPr="000C11E3" w14:paraId="37B0DA2D"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$65,570</w:t>
            </w:r>
            <w:r w:rsidRPr="000C11E3">
              <w:rPr>
                <w:rFonts w:eastAsia="Times New Roman" w:cstheme="minorHAnsi"/>
                <w:color w:val="000000"/>
                <w:sz w:val="16"/>
                <w:szCs w:val="16"/>
              </w:rPr>
              <w:t> </w:t>
            </w:r>
          </w:p>
        </w:tc>
        <w:tc>
          <w:tcPr>
            <w:tcW w:w="1459" w:type="dxa"/>
            <w:tcBorders>
              <w:top w:val="double" w:sz="6" w:space="0" w:color="auto"/>
              <w:left w:val="nil"/>
              <w:bottom w:val="double" w:sz="6" w:space="0" w:color="auto"/>
              <w:right w:val="single" w:sz="6" w:space="0" w:color="auto"/>
            </w:tcBorders>
            <w:shd w:val="clear" w:color="auto" w:fill="auto"/>
            <w:vAlign w:val="center"/>
            <w:hideMark/>
          </w:tcPr>
          <w:p w:rsidR="002974C6" w:rsidRPr="000C11E3" w14:paraId="16AECF82" w14:textId="77777777">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$57,500</w:t>
            </w:r>
            <w:r w:rsidRPr="000C11E3">
              <w:rPr>
                <w:rFonts w:eastAsia="Times New Roman" w:cstheme="minorHAnsi"/>
                <w:color w:val="000000"/>
                <w:sz w:val="16"/>
                <w:szCs w:val="16"/>
              </w:rPr>
              <w:t> </w:t>
            </w:r>
          </w:p>
        </w:tc>
        <w:tc>
          <w:tcPr>
            <w:tcW w:w="1454" w:type="dxa"/>
            <w:tcBorders>
              <w:top w:val="double" w:sz="6" w:space="0" w:color="auto"/>
              <w:left w:val="nil"/>
              <w:bottom w:val="double" w:sz="6" w:space="0" w:color="auto"/>
              <w:right w:val="single" w:sz="6" w:space="0" w:color="auto"/>
            </w:tcBorders>
            <w:shd w:val="clear" w:color="auto" w:fill="auto"/>
            <w:vAlign w:val="center"/>
            <w:hideMark/>
          </w:tcPr>
          <w:p w:rsidR="002974C6" w:rsidRPr="000C11E3" w14:paraId="4B5B7BED" w14:textId="5B7F226B">
            <w:pPr>
              <w:spacing w:after="0" w:line="276" w:lineRule="auto"/>
              <w:jc w:val="center"/>
              <w:textAlignment w:val="baseline"/>
              <w:rPr>
                <w:rFonts w:eastAsia="Times New Roman" w:cstheme="minorHAnsi"/>
                <w:sz w:val="16"/>
                <w:szCs w:val="16"/>
              </w:rPr>
            </w:pPr>
            <w:r>
              <w:rPr>
                <w:rFonts w:eastAsia="Times New Roman" w:cstheme="minorHAnsi"/>
                <w:b/>
                <w:bCs/>
                <w:color w:val="000000"/>
                <w:sz w:val="16"/>
                <w:szCs w:val="16"/>
              </w:rPr>
              <w:t>5</w:t>
            </w:r>
            <w:r w:rsidR="00435C76">
              <w:rPr>
                <w:rFonts w:eastAsia="Times New Roman" w:cstheme="minorHAnsi"/>
                <w:b/>
                <w:bCs/>
                <w:color w:val="000000"/>
                <w:sz w:val="16"/>
                <w:szCs w:val="16"/>
              </w:rPr>
              <w:t>,</w:t>
            </w:r>
            <w:r>
              <w:rPr>
                <w:rFonts w:eastAsia="Times New Roman" w:cstheme="minorHAnsi"/>
                <w:b/>
                <w:bCs/>
                <w:color w:val="000000"/>
                <w:sz w:val="16"/>
                <w:szCs w:val="16"/>
              </w:rPr>
              <w:t>695</w:t>
            </w:r>
            <w:r w:rsidRPr="000C11E3" w:rsidR="00C266A6">
              <w:rPr>
                <w:rFonts w:eastAsia="Times New Roman" w:cstheme="minorHAnsi"/>
                <w:color w:val="000000"/>
                <w:sz w:val="16"/>
                <w:szCs w:val="16"/>
              </w:rPr>
              <w:t> </w:t>
            </w:r>
          </w:p>
        </w:tc>
        <w:tc>
          <w:tcPr>
            <w:tcW w:w="1599" w:type="dxa"/>
            <w:tcBorders>
              <w:top w:val="double" w:sz="6" w:space="0" w:color="auto"/>
              <w:left w:val="nil"/>
              <w:bottom w:val="double" w:sz="6" w:space="0" w:color="auto"/>
              <w:right w:val="double" w:sz="6" w:space="0" w:color="auto"/>
            </w:tcBorders>
            <w:shd w:val="clear" w:color="auto" w:fill="auto"/>
            <w:vAlign w:val="center"/>
            <w:hideMark/>
          </w:tcPr>
          <w:p w:rsidR="002974C6" w:rsidRPr="000C11E3" w14:paraId="2546ECF0" w14:textId="17F24F0B">
            <w:pPr>
              <w:spacing w:after="0" w:line="276" w:lineRule="auto"/>
              <w:jc w:val="center"/>
              <w:textAlignment w:val="baseline"/>
              <w:rPr>
                <w:rFonts w:eastAsia="Times New Roman" w:cstheme="minorHAnsi"/>
                <w:sz w:val="16"/>
                <w:szCs w:val="16"/>
              </w:rPr>
            </w:pPr>
            <w:r w:rsidRPr="000C11E3">
              <w:rPr>
                <w:rFonts w:eastAsia="Times New Roman" w:cstheme="minorHAnsi"/>
                <w:b/>
                <w:bCs/>
                <w:color w:val="000000"/>
                <w:sz w:val="16"/>
                <w:szCs w:val="16"/>
              </w:rPr>
              <w:t>$</w:t>
            </w:r>
            <w:r w:rsidR="005C7779">
              <w:rPr>
                <w:rFonts w:eastAsia="Times New Roman" w:cstheme="minorHAnsi"/>
                <w:b/>
                <w:bCs/>
                <w:color w:val="000000"/>
                <w:sz w:val="16"/>
                <w:szCs w:val="16"/>
              </w:rPr>
              <w:t>123,208,182</w:t>
            </w:r>
            <w:r w:rsidRPr="000C11E3">
              <w:rPr>
                <w:rFonts w:eastAsia="Times New Roman" w:cstheme="minorHAnsi"/>
                <w:b/>
                <w:bCs/>
                <w:color w:val="000000"/>
                <w:sz w:val="16"/>
                <w:szCs w:val="16"/>
              </w:rPr>
              <w:t> </w:t>
            </w:r>
            <w:r w:rsidRPr="000C11E3">
              <w:rPr>
                <w:rFonts w:eastAsia="Times New Roman" w:cstheme="minorHAnsi"/>
                <w:color w:val="000000"/>
                <w:sz w:val="16"/>
                <w:szCs w:val="16"/>
              </w:rPr>
              <w:t> </w:t>
            </w:r>
          </w:p>
        </w:tc>
        <w:tc>
          <w:tcPr>
            <w:tcW w:w="40" w:type="dxa"/>
            <w:tcBorders>
              <w:top w:val="nil"/>
              <w:left w:val="nil"/>
              <w:bottom w:val="nil"/>
              <w:right w:val="nil"/>
            </w:tcBorders>
            <w:shd w:val="clear" w:color="auto" w:fill="auto"/>
            <w:vAlign w:val="center"/>
            <w:hideMark/>
          </w:tcPr>
          <w:p w:rsidR="002974C6" w:rsidRPr="000C11E3" w14:paraId="2CFC6B16" w14:textId="77777777">
            <w:pPr>
              <w:spacing w:after="0" w:line="276" w:lineRule="auto"/>
              <w:textAlignment w:val="baseline"/>
              <w:rPr>
                <w:rFonts w:eastAsia="Times New Roman" w:cstheme="minorHAnsi"/>
                <w:sz w:val="16"/>
                <w:szCs w:val="16"/>
              </w:rPr>
            </w:pPr>
            <w:r w:rsidRPr="000C11E3">
              <w:rPr>
                <w:rFonts w:eastAsia="Times New Roman" w:cstheme="minorHAnsi"/>
                <w:sz w:val="16"/>
                <w:szCs w:val="16"/>
              </w:rPr>
              <w:t> </w:t>
            </w:r>
          </w:p>
        </w:tc>
      </w:tr>
    </w:tbl>
    <w:p w:rsidR="007B6F64" w:rsidP="00F847E5" w14:paraId="4DDE2389" w14:textId="77777777">
      <w:pPr>
        <w:spacing w:after="0" w:line="276" w:lineRule="auto"/>
        <w:textAlignment w:val="baseline"/>
        <w:rPr>
          <w:rFonts w:eastAsia="Times New Roman" w:cstheme="minorHAnsi"/>
          <w:sz w:val="18"/>
          <w:szCs w:val="18"/>
        </w:rPr>
      </w:pPr>
    </w:p>
    <w:p w:rsidR="007B6F64" w:rsidRPr="00F847E5" w:rsidP="00F847E5" w14:paraId="4B7B832E" w14:textId="77777777">
      <w:pPr>
        <w:spacing w:after="0" w:line="276" w:lineRule="auto"/>
        <w:textAlignment w:val="baseline"/>
        <w:rPr>
          <w:rFonts w:eastAsia="Times New Roman" w:cstheme="minorHAnsi"/>
          <w:sz w:val="18"/>
          <w:szCs w:val="18"/>
        </w:rPr>
      </w:pPr>
    </w:p>
    <w:p w:rsidR="00023EFE" w:rsidRPr="00001D40" w:rsidP="00001D40" w14:paraId="7D2BF7DE" w14:textId="77777777">
      <w:pPr>
        <w:pStyle w:val="ListParagraph"/>
        <w:numPr>
          <w:ilvl w:val="0"/>
          <w:numId w:val="2"/>
        </w:numPr>
        <w:pBdr>
          <w:bottom w:val="single" w:sz="4" w:space="1" w:color="auto"/>
        </w:pBdr>
        <w:spacing w:before="240" w:after="0" w:line="276" w:lineRule="auto"/>
        <w:rPr>
          <w:rFonts w:cstheme="minorHAnsi"/>
          <w:b/>
          <w:bCs/>
        </w:rPr>
      </w:pPr>
      <w:bookmarkStart w:id="19" w:name="_Toc156593387"/>
      <w:r w:rsidRPr="00001D40">
        <w:rPr>
          <w:rFonts w:cstheme="minorHAnsi"/>
          <w:b/>
          <w:bCs/>
        </w:rPr>
        <w:t xml:space="preserve">AGENCY </w:t>
      </w:r>
      <w:bookmarkStart w:id="20" w:name="_Toc156593388"/>
      <w:bookmarkEnd w:id="19"/>
      <w:r w:rsidRPr="00001D40" w:rsidR="00BB2B15">
        <w:rPr>
          <w:rFonts w:cstheme="minorHAnsi"/>
          <w:b/>
          <w:bCs/>
        </w:rPr>
        <w:t>COSTS</w:t>
      </w:r>
    </w:p>
    <w:p w:rsidR="001F0834" w:rsidRPr="00001D40" w:rsidP="00001D40" w14:paraId="3D696CEA" w14:textId="0286EBA4">
      <w:pPr>
        <w:pBdr>
          <w:bottom w:val="single" w:sz="4" w:space="1" w:color="auto"/>
        </w:pBdr>
        <w:spacing w:line="276" w:lineRule="auto"/>
        <w:rPr>
          <w:rFonts w:cstheme="minorHAnsi"/>
          <w:bCs/>
          <w:i/>
          <w:iCs/>
        </w:rPr>
      </w:pPr>
      <w:r w:rsidRPr="00001D40">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2246C" w:rsidRPr="00001D40" w:rsidP="00001D40" w14:paraId="1E65421B" w14:textId="5A9B0024">
      <w:pPr>
        <w:spacing w:before="120" w:after="0" w:line="276" w:lineRule="auto"/>
        <w:rPr>
          <w:rFonts w:cstheme="minorHAnsi"/>
          <w:b/>
          <w:bCs/>
        </w:rPr>
      </w:pPr>
      <w:r w:rsidRPr="00001D40">
        <w:rPr>
          <w:rFonts w:eastAsiaTheme="majorEastAsia" w:cstheme="minorHAnsi"/>
          <w:b/>
          <w:bCs/>
        </w:rPr>
        <w:t xml:space="preserve">14a. </w:t>
      </w:r>
      <w:r w:rsidRPr="00001D40" w:rsidR="00BB2B15">
        <w:rPr>
          <w:rFonts w:eastAsiaTheme="majorEastAsia" w:cstheme="minorHAnsi"/>
          <w:b/>
          <w:bCs/>
        </w:rPr>
        <w:t>Agency Activities</w:t>
      </w:r>
    </w:p>
    <w:p w:rsidR="00F847E5" w:rsidP="00AB64F9" w14:paraId="7467CCE7" w14:textId="77777777">
      <w:pPr>
        <w:pStyle w:val="ListParagraph"/>
        <w:numPr>
          <w:ilvl w:val="0"/>
          <w:numId w:val="37"/>
        </w:numPr>
        <w:spacing w:line="276" w:lineRule="auto"/>
        <w:rPr>
          <w:rFonts w:cstheme="minorHAnsi"/>
        </w:rPr>
      </w:pPr>
      <w:r w:rsidRPr="00F847E5">
        <w:rPr>
          <w:rFonts w:cstheme="minorHAnsi"/>
        </w:rPr>
        <w:t xml:space="preserve"> Allowance Transfer</w:t>
      </w:r>
      <w:r>
        <w:rPr>
          <w:rFonts w:cstheme="minorHAnsi"/>
        </w:rPr>
        <w:t>s</w:t>
      </w:r>
    </w:p>
    <w:p w:rsidR="00A2246C" w:rsidRPr="00F847E5" w:rsidP="00AB64F9" w14:paraId="090F04E3" w14:textId="7353E43C">
      <w:pPr>
        <w:pStyle w:val="ListParagraph"/>
        <w:numPr>
          <w:ilvl w:val="1"/>
          <w:numId w:val="37"/>
        </w:numPr>
        <w:spacing w:line="276" w:lineRule="auto"/>
        <w:rPr>
          <w:rFonts w:cstheme="minorHAnsi"/>
        </w:rPr>
      </w:pPr>
      <w:r w:rsidRPr="00F847E5">
        <w:rPr>
          <w:rFonts w:cstheme="minorHAnsi"/>
        </w:rPr>
        <w:t xml:space="preserve">Collections associated with operating the allowance transfer system require EPA to (1) track allowance holders and maintain allowance accounts, (2) review allowance transfer information for completeness and ensure that all requirements are met, (3) record allowance transfers, and (4) notify both participants in a transfer whether the transfer was recorded. EPA has developed a computerized allowance tracking system to track allowances and maintain information on accounts that allow market participants to submit transfers via the internet in real time with instantaneous confirmation.  </w:t>
      </w:r>
    </w:p>
    <w:p w:rsidR="00F847E5" w:rsidP="00AB64F9" w14:paraId="4A6CCB91" w14:textId="77777777">
      <w:pPr>
        <w:pStyle w:val="ListParagraph"/>
        <w:keepNext/>
        <w:numPr>
          <w:ilvl w:val="0"/>
          <w:numId w:val="37"/>
        </w:numPr>
        <w:spacing w:line="276" w:lineRule="auto"/>
        <w:rPr>
          <w:rFonts w:cstheme="minorHAnsi"/>
        </w:rPr>
      </w:pPr>
      <w:r w:rsidRPr="00F847E5">
        <w:rPr>
          <w:rFonts w:cstheme="minorHAnsi"/>
        </w:rPr>
        <w:t>Permits</w:t>
      </w:r>
    </w:p>
    <w:p w:rsidR="00F847E5" w:rsidP="00AB64F9" w14:paraId="16D04D13" w14:textId="77777777">
      <w:pPr>
        <w:pStyle w:val="ListParagraph"/>
        <w:keepNext/>
        <w:numPr>
          <w:ilvl w:val="1"/>
          <w:numId w:val="37"/>
        </w:numPr>
        <w:spacing w:line="276" w:lineRule="auto"/>
        <w:rPr>
          <w:rFonts w:cstheme="minorHAnsi"/>
        </w:rPr>
      </w:pPr>
      <w:r w:rsidRPr="00F847E5">
        <w:rPr>
          <w:rFonts w:cstheme="minorHAnsi"/>
        </w:rPr>
        <w:t>EPA staff administering the permit program perform the following task:</w:t>
      </w:r>
      <w:r>
        <w:rPr>
          <w:rFonts w:cstheme="minorHAnsi"/>
        </w:rPr>
        <w:t xml:space="preserve"> </w:t>
      </w:r>
    </w:p>
    <w:p w:rsidR="00F847E5" w:rsidP="00AB64F9" w14:paraId="66BECF72" w14:textId="05D350D2">
      <w:pPr>
        <w:pStyle w:val="ListParagraph"/>
        <w:keepNext/>
        <w:numPr>
          <w:ilvl w:val="2"/>
          <w:numId w:val="37"/>
        </w:numPr>
        <w:spacing w:line="276" w:lineRule="auto"/>
        <w:rPr>
          <w:rFonts w:cstheme="minorHAnsi"/>
        </w:rPr>
      </w:pPr>
      <w:r w:rsidRPr="00F847E5">
        <w:rPr>
          <w:rFonts w:cstheme="minorHAnsi"/>
        </w:rPr>
        <w:t>Review certificates of representation, enter the information in the CAMD database, and notify the representative.</w:t>
      </w:r>
    </w:p>
    <w:p w:rsidR="00F847E5" w:rsidP="00AB64F9" w14:paraId="5813ACA6" w14:textId="77777777">
      <w:pPr>
        <w:pStyle w:val="ListParagraph"/>
        <w:keepNext/>
        <w:numPr>
          <w:ilvl w:val="1"/>
          <w:numId w:val="37"/>
        </w:numPr>
        <w:spacing w:line="276" w:lineRule="auto"/>
        <w:rPr>
          <w:rFonts w:cstheme="minorHAnsi"/>
        </w:rPr>
      </w:pPr>
      <w:r w:rsidRPr="00F847E5">
        <w:rPr>
          <w:rFonts w:cstheme="minorHAnsi"/>
        </w:rPr>
        <w:t>Permitting authority staff, generally at the state or local level, perform the following task:</w:t>
      </w:r>
    </w:p>
    <w:p w:rsidR="00A2246C" w:rsidRPr="001D3AF0" w:rsidP="001D3AF0" w14:paraId="63B38778" w14:textId="7F24397B">
      <w:pPr>
        <w:pStyle w:val="ListParagraph"/>
        <w:keepNext/>
        <w:numPr>
          <w:ilvl w:val="2"/>
          <w:numId w:val="37"/>
        </w:numPr>
        <w:spacing w:line="276" w:lineRule="auto"/>
        <w:rPr>
          <w:rFonts w:cstheme="minorHAnsi"/>
        </w:rPr>
      </w:pPr>
      <w:r w:rsidRPr="00F847E5">
        <w:rPr>
          <w:rFonts w:cstheme="minorHAnsi"/>
          <w:u w:val="single"/>
        </w:rPr>
        <w:t>Review permit applications and issue permits</w:t>
      </w:r>
      <w:r w:rsidRPr="00F847E5">
        <w:rPr>
          <w:rFonts w:cstheme="minorHAnsi"/>
        </w:rPr>
        <w:t>. Receive and review permit applications and record submissions. Provide notice to applicants whether permit applications are complete. Reformat collected data items to constitute proposed and final permits. Provide opportunities for public comment and participation.</w:t>
      </w:r>
    </w:p>
    <w:p w:rsidR="00F847E5" w:rsidP="00AB64F9" w14:paraId="1AAA1300" w14:textId="77777777">
      <w:pPr>
        <w:pStyle w:val="ListParagraph"/>
        <w:keepNext/>
        <w:numPr>
          <w:ilvl w:val="0"/>
          <w:numId w:val="37"/>
        </w:numPr>
        <w:spacing w:line="276" w:lineRule="auto"/>
        <w:rPr>
          <w:rFonts w:cstheme="minorHAnsi"/>
        </w:rPr>
      </w:pPr>
      <w:r w:rsidRPr="00F847E5">
        <w:rPr>
          <w:rFonts w:cstheme="minorHAnsi"/>
        </w:rPr>
        <w:t xml:space="preserve">Emissions Monitoring </w:t>
      </w:r>
    </w:p>
    <w:p w:rsidR="00A2246C" w:rsidRPr="00F847E5" w:rsidP="00AB64F9" w14:paraId="58041870" w14:textId="29DCE781">
      <w:pPr>
        <w:pStyle w:val="ListParagraph"/>
        <w:keepNext/>
        <w:numPr>
          <w:ilvl w:val="1"/>
          <w:numId w:val="37"/>
        </w:numPr>
        <w:spacing w:line="276" w:lineRule="auto"/>
        <w:rPr>
          <w:rFonts w:cstheme="minorHAnsi"/>
        </w:rPr>
      </w:pPr>
      <w:r w:rsidRPr="00F847E5">
        <w:rPr>
          <w:rFonts w:cstheme="minorHAnsi"/>
        </w:rPr>
        <w:t xml:space="preserve">The major EPA activities related to emissions monitoring and reporting include (1) reviewing monitoring plans and certification applications, and (2) processing, reviewing and evaluating reports of quarterly emissions data from affected units. EPA's ECMPS computer system tracks and maintains this information. EPA also answers respondent questions and conducts audits of data submissions and field audits of monitoring </w:t>
      </w:r>
      <w:r w:rsidRPr="00F847E5">
        <w:rPr>
          <w:rFonts w:cstheme="minorHAnsi"/>
        </w:rPr>
        <w:t xml:space="preserve">systems. The use of the ECMPS software streamlines EPA's process for conducting many of these data checks. </w:t>
      </w:r>
    </w:p>
    <w:p w:rsidR="00F847E5" w:rsidP="00AB64F9" w14:paraId="6F1B7556" w14:textId="77777777">
      <w:pPr>
        <w:pStyle w:val="ListParagraph"/>
        <w:numPr>
          <w:ilvl w:val="0"/>
          <w:numId w:val="37"/>
        </w:numPr>
        <w:spacing w:line="276" w:lineRule="auto"/>
        <w:rPr>
          <w:rFonts w:cstheme="minorHAnsi"/>
        </w:rPr>
      </w:pPr>
      <w:r w:rsidRPr="00F847E5">
        <w:rPr>
          <w:rFonts w:cstheme="minorHAnsi"/>
        </w:rPr>
        <w:t xml:space="preserve"> </w:t>
      </w:r>
      <w:r w:rsidRPr="00F847E5" w:rsidR="00A2246C">
        <w:rPr>
          <w:rFonts w:cstheme="minorHAnsi"/>
        </w:rPr>
        <w:t>Auctions</w:t>
      </w:r>
      <w:r w:rsidRPr="00F847E5">
        <w:rPr>
          <w:rFonts w:cstheme="minorHAnsi"/>
        </w:rPr>
        <w:t xml:space="preserve"> </w:t>
      </w:r>
    </w:p>
    <w:p w:rsidR="00A2246C" w:rsidRPr="00F847E5" w:rsidP="00AB64F9" w14:paraId="5A1B4979" w14:textId="7C128F96">
      <w:pPr>
        <w:pStyle w:val="ListParagraph"/>
        <w:numPr>
          <w:ilvl w:val="1"/>
          <w:numId w:val="37"/>
        </w:numPr>
        <w:spacing w:line="276" w:lineRule="auto"/>
        <w:rPr>
          <w:rFonts w:cstheme="minorHAnsi"/>
        </w:rPr>
      </w:pPr>
      <w:r w:rsidRPr="00F847E5">
        <w:rPr>
          <w:rFonts w:cstheme="minorHAnsi"/>
        </w:rPr>
        <w:t>EPA staff administering the auctions receive the sealed bids and payments. The bids are submitted electronically by the participants, and payment is made via wire transfer, certified check, or letter of credit. After bids are received, they are ranked using a computer program and then the allowances are allocated. EPA announces the results by posting them on the EPA website. Finally, after payment is verified, EPA records the transfer of allowances and transfers the auction proceeds to the owners and operators from whom the allowances were withheld. EPA has developed a computer system to run the entire auction.</w:t>
      </w:r>
    </w:p>
    <w:p w:rsidR="009439AC" w:rsidRPr="001D3AF0" w:rsidP="001D3AF0" w14:paraId="4A08A4B7" w14:textId="319EC81F">
      <w:pPr>
        <w:pStyle w:val="ListParagraph"/>
        <w:numPr>
          <w:ilvl w:val="0"/>
          <w:numId w:val="37"/>
        </w:numPr>
        <w:spacing w:line="276" w:lineRule="auto"/>
        <w:rPr>
          <w:rFonts w:cstheme="minorHAnsi"/>
        </w:rPr>
      </w:pPr>
      <w:r w:rsidRPr="001D3AF0">
        <w:rPr>
          <w:rFonts w:cstheme="minorHAnsi"/>
        </w:rPr>
        <w:t>NO</w:t>
      </w:r>
      <w:r w:rsidRPr="001D3AF0">
        <w:rPr>
          <w:rFonts w:cstheme="minorHAnsi"/>
          <w:vertAlign w:val="subscript"/>
        </w:rPr>
        <w:t>X</w:t>
      </w:r>
      <w:r w:rsidRPr="001D3AF0">
        <w:rPr>
          <w:rFonts w:cstheme="minorHAnsi"/>
        </w:rPr>
        <w:t xml:space="preserve"> Permitting</w:t>
      </w:r>
    </w:p>
    <w:p w:rsidR="009439AC" w:rsidP="00AB64F9" w14:paraId="6ED650D0" w14:textId="77777777">
      <w:pPr>
        <w:pStyle w:val="ListParagraph"/>
        <w:numPr>
          <w:ilvl w:val="1"/>
          <w:numId w:val="37"/>
        </w:numPr>
        <w:spacing w:line="276" w:lineRule="auto"/>
        <w:rPr>
          <w:rFonts w:cstheme="minorHAnsi"/>
        </w:rPr>
      </w:pPr>
      <w:r w:rsidRPr="009439AC">
        <w:rPr>
          <w:rFonts w:cstheme="minorHAnsi"/>
        </w:rPr>
        <w:t>Agency staff perform the following task:</w:t>
      </w:r>
    </w:p>
    <w:p w:rsidR="00A2246C" w:rsidRPr="009439AC" w:rsidP="00AB64F9" w14:paraId="2DD3FDBF" w14:textId="36D14D61">
      <w:pPr>
        <w:pStyle w:val="ListParagraph"/>
        <w:numPr>
          <w:ilvl w:val="2"/>
          <w:numId w:val="37"/>
        </w:numPr>
        <w:spacing w:line="276" w:lineRule="auto"/>
        <w:rPr>
          <w:rFonts w:cstheme="minorHAnsi"/>
        </w:rPr>
      </w:pPr>
      <w:r w:rsidRPr="009439AC">
        <w:rPr>
          <w:rFonts w:cstheme="minorHAnsi"/>
          <w:u w:val="single"/>
        </w:rPr>
        <w:t>Review NO</w:t>
      </w:r>
      <w:r w:rsidRPr="009439AC">
        <w:rPr>
          <w:rFonts w:cstheme="minorHAnsi"/>
          <w:u w:val="single"/>
          <w:vertAlign w:val="subscript"/>
        </w:rPr>
        <w:t>X</w:t>
      </w:r>
      <w:r w:rsidRPr="009439AC">
        <w:rPr>
          <w:rFonts w:cstheme="minorHAnsi"/>
          <w:u w:val="single"/>
        </w:rPr>
        <w:t xml:space="preserve"> compliance plan applications</w:t>
      </w:r>
      <w:r w:rsidRPr="009439AC">
        <w:rPr>
          <w:rFonts w:cstheme="minorHAnsi"/>
        </w:rPr>
        <w:t>. Receive and review applications and record submissions. Provide notice to applicants whether applications are complete.</w:t>
      </w:r>
    </w:p>
    <w:p w:rsidR="00011CC2" w:rsidP="00AB64F9" w14:paraId="15239E54" w14:textId="77777777">
      <w:pPr>
        <w:pStyle w:val="ListParagraph"/>
        <w:keepNext/>
        <w:numPr>
          <w:ilvl w:val="0"/>
          <w:numId w:val="37"/>
        </w:numPr>
        <w:spacing w:line="276" w:lineRule="auto"/>
        <w:rPr>
          <w:rFonts w:cstheme="minorHAnsi"/>
        </w:rPr>
      </w:pPr>
      <w:r w:rsidRPr="009439AC">
        <w:rPr>
          <w:rFonts w:cstheme="minorHAnsi"/>
        </w:rPr>
        <w:t>Collection</w:t>
      </w:r>
      <w:r w:rsidRPr="009439AC" w:rsidR="00A2246C">
        <w:rPr>
          <w:rFonts w:cstheme="minorHAnsi"/>
        </w:rPr>
        <w:t xml:space="preserve"> Methodology and Management</w:t>
      </w:r>
    </w:p>
    <w:p w:rsidR="00011CC2" w:rsidP="00AB64F9" w14:paraId="0EF1A014" w14:textId="77777777">
      <w:pPr>
        <w:pStyle w:val="ListParagraph"/>
        <w:keepNext/>
        <w:numPr>
          <w:ilvl w:val="1"/>
          <w:numId w:val="37"/>
        </w:numPr>
        <w:spacing w:line="276" w:lineRule="auto"/>
        <w:rPr>
          <w:rFonts w:cstheme="minorHAnsi"/>
        </w:rPr>
      </w:pPr>
      <w:r w:rsidRPr="00011CC2">
        <w:rPr>
          <w:rFonts w:cstheme="minorHAnsi"/>
        </w:rPr>
        <w:t xml:space="preserve">To ensure consistency nationwide and to expedite (1) data entry and (2) permit issuance, EPA requires that standard reporting forms or equivalent formats or standard electronic reporting formats be used to submit all information to be collected under this ICR. </w:t>
      </w:r>
    </w:p>
    <w:p w:rsidR="00011CC2" w:rsidP="00AB64F9" w14:paraId="4CA58388" w14:textId="77777777">
      <w:pPr>
        <w:pStyle w:val="ListParagraph"/>
        <w:keepNext/>
        <w:numPr>
          <w:ilvl w:val="1"/>
          <w:numId w:val="37"/>
        </w:numPr>
        <w:spacing w:line="276" w:lineRule="auto"/>
        <w:rPr>
          <w:rFonts w:cstheme="minorHAnsi"/>
        </w:rPr>
      </w:pPr>
      <w:r w:rsidRPr="00011CC2">
        <w:rPr>
          <w:rFonts w:cstheme="minorHAnsi"/>
        </w:rPr>
        <w:t xml:space="preserve">Currently, respondents to collections for allowance transfer information may submit the required information on a standard written form or using an electronic format. Permit applications are submitted on standard paper forms, as are certifications for new and retired unit exemptions. EPA requires the information collected under </w:t>
      </w:r>
      <w:r w:rsidRPr="00011CC2">
        <w:rPr>
          <w:rFonts w:cstheme="minorHAnsi"/>
        </w:rPr>
        <w:t>part</w:t>
      </w:r>
      <w:r w:rsidRPr="00011CC2">
        <w:rPr>
          <w:rFonts w:cstheme="minorHAnsi"/>
        </w:rPr>
        <w:t xml:space="preserve"> 75 to be submitted in XML format via direct electronic submission. </w:t>
      </w:r>
    </w:p>
    <w:p w:rsidR="00817F71" w:rsidP="00AB64F9" w14:paraId="030813EE" w14:textId="5A9D6B5D">
      <w:pPr>
        <w:pStyle w:val="ListParagraph"/>
        <w:keepNext/>
        <w:numPr>
          <w:ilvl w:val="1"/>
          <w:numId w:val="37"/>
        </w:numPr>
        <w:spacing w:line="276" w:lineRule="auto"/>
        <w:rPr>
          <w:rFonts w:cstheme="minorHAnsi"/>
        </w:rPr>
      </w:pPr>
      <w:r w:rsidRPr="00011CC2">
        <w:rPr>
          <w:rFonts w:cstheme="minorHAnsi"/>
        </w:rPr>
        <w:t xml:space="preserve">Several computer systems and associated databases have been developed to (1) track allowances, (2) record quarterly emissions monitoring data, (3) track auction proceed payments, and (4) calculate the number of allowances to be deducted each year. These systems and databases are designed to provide easy access to information for use by the Agency, states, the regulated community, and the </w:t>
      </w:r>
      <w:r w:rsidRPr="00011CC2">
        <w:rPr>
          <w:rFonts w:cstheme="minorHAnsi"/>
        </w:rPr>
        <w:t>general public</w:t>
      </w:r>
      <w:r w:rsidRPr="00011CC2">
        <w:rPr>
          <w:rFonts w:cstheme="minorHAnsi"/>
        </w:rPr>
        <w:t>. EPA provides access to the data on emissions and allowance activity in both detailed and summary formats on the CAMD website.</w:t>
      </w:r>
    </w:p>
    <w:p w:rsidR="00B470E4" w:rsidRPr="00B470E4" w:rsidP="00B470E4" w14:paraId="2327F2F3" w14:textId="77777777">
      <w:pPr>
        <w:pStyle w:val="ListParagraph"/>
        <w:keepNext/>
        <w:spacing w:line="276" w:lineRule="auto"/>
        <w:ind w:left="1440"/>
        <w:rPr>
          <w:rFonts w:cstheme="minorHAnsi"/>
        </w:rPr>
      </w:pPr>
    </w:p>
    <w:p w:rsidR="00023EFE" w:rsidRPr="00001D40" w:rsidP="00001D40" w14:paraId="30F74537" w14:textId="3975E491">
      <w:pPr>
        <w:spacing w:before="120" w:after="0" w:line="276" w:lineRule="auto"/>
        <w:rPr>
          <w:rFonts w:cstheme="minorHAnsi"/>
          <w:b/>
          <w:bCs/>
        </w:rPr>
      </w:pPr>
      <w:r w:rsidRPr="00001D40">
        <w:rPr>
          <w:rFonts w:eastAsiaTheme="majorEastAsia" w:cstheme="minorHAnsi"/>
          <w:b/>
          <w:bCs/>
        </w:rPr>
        <w:t xml:space="preserve">14b. </w:t>
      </w:r>
      <w:r w:rsidRPr="00001D40" w:rsidR="00BB2B15">
        <w:rPr>
          <w:rFonts w:eastAsiaTheme="majorEastAsia" w:cstheme="minorHAnsi"/>
          <w:b/>
          <w:bCs/>
        </w:rPr>
        <w:t>Agency Labor Cost</w:t>
      </w:r>
    </w:p>
    <w:p w:rsidR="00325C27" w:rsidRPr="00001D40" w:rsidP="00001D40" w14:paraId="07A6683D" w14:textId="77777777">
      <w:pPr>
        <w:pStyle w:val="paragraph"/>
        <w:spacing w:before="0" w:beforeAutospacing="0" w:after="0" w:afterAutospacing="0" w:line="276" w:lineRule="auto"/>
        <w:textAlignment w:val="baseline"/>
        <w:rPr>
          <w:rFonts w:asciiTheme="minorHAnsi" w:hAnsiTheme="minorHAnsi" w:cstheme="minorHAnsi"/>
          <w:sz w:val="22"/>
          <w:szCs w:val="22"/>
        </w:rPr>
      </w:pPr>
      <w:r w:rsidRPr="00001D40">
        <w:rPr>
          <w:rStyle w:val="normaltextrun"/>
          <w:rFonts w:asciiTheme="minorHAnsi" w:hAnsiTheme="minorHAnsi" w:cstheme="minorHAnsi"/>
          <w:sz w:val="22"/>
          <w:szCs w:val="22"/>
        </w:rPr>
        <w:t>This section estimates the burden and cost of (1) tracking and transferring allowances, (2) obtaining and issuing permits, (3) submitting monitoring plans, obtaining certification of each monitor, and recording and reporting data from CEM systems, including quality assurance, (4) the auction program, (5) the opt-in program, and (6) NO</w:t>
      </w:r>
      <w:r w:rsidRPr="00001D40">
        <w:rPr>
          <w:rStyle w:val="normaltextrun"/>
          <w:rFonts w:asciiTheme="minorHAnsi" w:hAnsiTheme="minorHAnsi" w:cstheme="minorHAnsi"/>
          <w:sz w:val="22"/>
          <w:szCs w:val="22"/>
          <w:vertAlign w:val="subscript"/>
        </w:rPr>
        <w:t>X</w:t>
      </w:r>
      <w:r w:rsidRPr="00001D40">
        <w:rPr>
          <w:rStyle w:val="normaltextrun"/>
          <w:rFonts w:asciiTheme="minorHAnsi" w:hAnsiTheme="minorHAnsi" w:cstheme="minorHAnsi"/>
          <w:sz w:val="22"/>
          <w:szCs w:val="22"/>
        </w:rPr>
        <w:t xml:space="preserve"> permitting.  </w:t>
      </w:r>
      <w:r w:rsidRPr="00001D40">
        <w:rPr>
          <w:rStyle w:val="eop"/>
          <w:rFonts w:asciiTheme="minorHAnsi" w:hAnsiTheme="minorHAnsi" w:cstheme="minorHAnsi"/>
          <w:sz w:val="22"/>
          <w:szCs w:val="22"/>
        </w:rPr>
        <w:t> </w:t>
      </w:r>
    </w:p>
    <w:p w:rsidR="00D6362C" w:rsidRPr="00001D40" w:rsidP="00001D40" w14:paraId="5BE3FD84" w14:textId="77777777">
      <w:pPr>
        <w:pStyle w:val="paragraph"/>
        <w:spacing w:before="0" w:beforeAutospacing="0" w:after="0" w:afterAutospacing="0" w:line="276" w:lineRule="auto"/>
        <w:textAlignment w:val="baseline"/>
        <w:rPr>
          <w:rStyle w:val="eop"/>
          <w:rFonts w:asciiTheme="minorHAnsi" w:hAnsiTheme="minorHAnsi" w:cstheme="minorHAnsi"/>
          <w:sz w:val="22"/>
          <w:szCs w:val="22"/>
        </w:rPr>
      </w:pPr>
    </w:p>
    <w:p w:rsidR="00C43349" w:rsidRPr="00001D40" w:rsidP="00001D40" w14:paraId="47B3B2E2" w14:textId="0C0B0E75">
      <w:pPr>
        <w:pStyle w:val="paragraph"/>
        <w:spacing w:before="0" w:beforeAutospacing="0" w:after="0" w:afterAutospacing="0" w:line="276" w:lineRule="auto"/>
        <w:textAlignment w:val="baseline"/>
        <w:rPr>
          <w:rFonts w:asciiTheme="minorHAnsi" w:hAnsiTheme="minorHAnsi" w:cstheme="minorHAnsi"/>
          <w:sz w:val="22"/>
          <w:szCs w:val="22"/>
        </w:rPr>
      </w:pPr>
      <w:r w:rsidRPr="00191125">
        <w:rPr>
          <w:rFonts w:asciiTheme="minorHAnsi" w:hAnsiTheme="minorHAnsi" w:cstheme="minorHAnsi"/>
          <w:sz w:val="22"/>
          <w:szCs w:val="22"/>
        </w:rPr>
        <w:t>Federal Agency labor rates were assumed to be $</w:t>
      </w:r>
      <w:r w:rsidRPr="00191125" w:rsidR="00360F59">
        <w:rPr>
          <w:rFonts w:asciiTheme="minorHAnsi" w:hAnsiTheme="minorHAnsi" w:cstheme="minorHAnsi"/>
          <w:sz w:val="22"/>
          <w:szCs w:val="22"/>
        </w:rPr>
        <w:t>94.</w:t>
      </w:r>
      <w:r w:rsidR="00107CF9">
        <w:rPr>
          <w:rFonts w:asciiTheme="minorHAnsi" w:hAnsiTheme="minorHAnsi" w:cstheme="minorHAnsi"/>
          <w:sz w:val="22"/>
          <w:szCs w:val="22"/>
        </w:rPr>
        <w:t>49</w:t>
      </w:r>
      <w:r w:rsidRPr="00191125">
        <w:rPr>
          <w:rFonts w:asciiTheme="minorHAnsi" w:hAnsiTheme="minorHAnsi" w:cstheme="minorHAnsi"/>
          <w:sz w:val="22"/>
          <w:szCs w:val="22"/>
        </w:rPr>
        <w:t xml:space="preserve"> per hour.</w:t>
      </w:r>
      <w:r w:rsidRPr="00191125" w:rsidR="007F7A67">
        <w:rPr>
          <w:rFonts w:asciiTheme="minorHAnsi" w:hAnsiTheme="minorHAnsi" w:cstheme="minorHAnsi"/>
          <w:sz w:val="22"/>
          <w:szCs w:val="22"/>
        </w:rPr>
        <w:t xml:space="preserve"> </w:t>
      </w:r>
      <w:r w:rsidRPr="00191125">
        <w:rPr>
          <w:rFonts w:asciiTheme="minorHAnsi" w:hAnsiTheme="minorHAnsi" w:cstheme="minorHAnsi"/>
          <w:sz w:val="22"/>
          <w:szCs w:val="22"/>
        </w:rPr>
        <w:t>This labor rate was derived from the federal government's 202</w:t>
      </w:r>
      <w:r w:rsidRPr="00191125" w:rsidR="007F7A67">
        <w:rPr>
          <w:rFonts w:asciiTheme="minorHAnsi" w:hAnsiTheme="minorHAnsi" w:cstheme="minorHAnsi"/>
          <w:sz w:val="22"/>
          <w:szCs w:val="22"/>
        </w:rPr>
        <w:t>4</w:t>
      </w:r>
      <w:r w:rsidRPr="00191125">
        <w:rPr>
          <w:rFonts w:asciiTheme="minorHAnsi" w:hAnsiTheme="minorHAnsi" w:cstheme="minorHAnsi"/>
          <w:sz w:val="22"/>
          <w:szCs w:val="22"/>
        </w:rPr>
        <w:t xml:space="preserve"> U.S. Office of Personnel Management General Schedule "Salary Table 202</w:t>
      </w:r>
      <w:r w:rsidRPr="00191125" w:rsidR="00C14835">
        <w:rPr>
          <w:rFonts w:asciiTheme="minorHAnsi" w:hAnsiTheme="minorHAnsi" w:cstheme="minorHAnsi"/>
          <w:sz w:val="22"/>
          <w:szCs w:val="22"/>
        </w:rPr>
        <w:t>4</w:t>
      </w:r>
      <w:r w:rsidRPr="00191125">
        <w:rPr>
          <w:rFonts w:asciiTheme="minorHAnsi" w:hAnsiTheme="minorHAnsi" w:cstheme="minorHAnsi"/>
          <w:sz w:val="22"/>
          <w:szCs w:val="22"/>
        </w:rPr>
        <w:t>-</w:t>
      </w:r>
      <w:r w:rsidRPr="00191125" w:rsidR="00011AE3">
        <w:rPr>
          <w:rFonts w:asciiTheme="minorHAnsi" w:hAnsiTheme="minorHAnsi" w:cstheme="minorHAnsi"/>
          <w:sz w:val="22"/>
          <w:szCs w:val="22"/>
        </w:rPr>
        <w:t>GS</w:t>
      </w:r>
      <w:r w:rsidRPr="00191125">
        <w:rPr>
          <w:rFonts w:asciiTheme="minorHAnsi" w:hAnsiTheme="minorHAnsi" w:cstheme="minorHAnsi"/>
          <w:sz w:val="22"/>
          <w:szCs w:val="22"/>
        </w:rPr>
        <w:t xml:space="preserve">" </w:t>
      </w:r>
      <w:r w:rsidRPr="00191125" w:rsidR="00191125">
        <w:rPr>
          <w:rFonts w:asciiTheme="minorHAnsi" w:hAnsiTheme="minorHAnsi" w:cstheme="minorHAnsi"/>
          <w:sz w:val="22"/>
          <w:szCs w:val="22"/>
        </w:rPr>
        <w:t>(</w:t>
      </w:r>
      <w:hyperlink r:id="rId14" w:history="1">
        <w:r w:rsidRPr="00191125" w:rsidR="00191125">
          <w:rPr>
            <w:rStyle w:val="Hyperlink"/>
            <w:rFonts w:asciiTheme="minorHAnsi" w:hAnsiTheme="minorHAnsi" w:cstheme="minorHAnsi"/>
            <w:sz w:val="22"/>
            <w:szCs w:val="22"/>
          </w:rPr>
          <w:t>https://www.opm.gov/policy-data-oversight/pay-leave/salaries-wages/2024/general-schedule</w:t>
        </w:r>
      </w:hyperlink>
      <w:r w:rsidRPr="00191125" w:rsidR="00191125">
        <w:rPr>
          <w:rFonts w:asciiTheme="minorHAnsi" w:hAnsiTheme="minorHAnsi" w:cstheme="minorHAnsi"/>
          <w:sz w:val="22"/>
          <w:szCs w:val="22"/>
        </w:rPr>
        <w:t xml:space="preserve">) </w:t>
      </w:r>
      <w:r w:rsidRPr="00191125">
        <w:rPr>
          <w:rFonts w:asciiTheme="minorHAnsi" w:hAnsiTheme="minorHAnsi" w:cstheme="minorHAnsi"/>
          <w:sz w:val="22"/>
          <w:szCs w:val="22"/>
        </w:rPr>
        <w:t xml:space="preserve">using the factors in Table </w:t>
      </w:r>
      <w:r w:rsidRPr="00191125" w:rsidR="00C34DD9">
        <w:rPr>
          <w:rFonts w:asciiTheme="minorHAnsi" w:hAnsiTheme="minorHAnsi" w:cstheme="minorHAnsi"/>
          <w:sz w:val="22"/>
          <w:szCs w:val="22"/>
        </w:rPr>
        <w:t>14.</w:t>
      </w:r>
      <w:r w:rsidRPr="00191125">
        <w:rPr>
          <w:rFonts w:asciiTheme="minorHAnsi" w:hAnsiTheme="minorHAnsi" w:cstheme="minorHAnsi"/>
          <w:sz w:val="22"/>
          <w:szCs w:val="22"/>
        </w:rPr>
        <w:t>1 below.</w:t>
      </w:r>
      <w:r w:rsidRPr="00001D40">
        <w:rPr>
          <w:rFonts w:asciiTheme="minorHAnsi" w:hAnsiTheme="minorHAnsi" w:cstheme="minorHAnsi"/>
          <w:sz w:val="22"/>
          <w:szCs w:val="22"/>
        </w:rPr>
        <w:t>   </w:t>
      </w:r>
    </w:p>
    <w:p w:rsidR="00C43349" w:rsidRPr="00C43349" w:rsidP="00001D40" w14:paraId="53E26503" w14:textId="77777777">
      <w:pPr>
        <w:spacing w:after="0" w:line="276" w:lineRule="auto"/>
        <w:textAlignment w:val="baseline"/>
        <w:rPr>
          <w:rFonts w:eastAsia="Times New Roman" w:cstheme="minorHAnsi"/>
        </w:rPr>
      </w:pPr>
      <w:r w:rsidRPr="00C43349">
        <w:rPr>
          <w:rFonts w:eastAsia="Times New Roman" w:cstheme="minorHAnsi"/>
        </w:rPr>
        <w:t> </w:t>
      </w:r>
    </w:p>
    <w:p w:rsidR="00C43349" w:rsidRPr="00C43349" w:rsidP="00F53842" w14:paraId="45F8559D" w14:textId="647F9639">
      <w:pPr>
        <w:spacing w:after="0" w:line="276" w:lineRule="auto"/>
        <w:jc w:val="center"/>
        <w:textAlignment w:val="baseline"/>
        <w:rPr>
          <w:rFonts w:eastAsia="Times New Roman" w:cstheme="minorHAnsi"/>
        </w:rPr>
      </w:pPr>
      <w:r w:rsidRPr="00191125">
        <w:rPr>
          <w:rFonts w:eastAsia="Times New Roman" w:cstheme="minorHAnsi"/>
          <w:b/>
          <w:bCs/>
        </w:rPr>
        <w:t xml:space="preserve">Table </w:t>
      </w:r>
      <w:r w:rsidRPr="00191125" w:rsidR="00C34DD9">
        <w:rPr>
          <w:rFonts w:eastAsia="Times New Roman" w:cstheme="minorHAnsi"/>
          <w:b/>
          <w:bCs/>
        </w:rPr>
        <w:t>14.</w:t>
      </w:r>
      <w:r w:rsidRPr="00191125">
        <w:rPr>
          <w:rFonts w:eastAsia="Times New Roman" w:cstheme="minorHAnsi"/>
          <w:b/>
          <w:bCs/>
        </w:rPr>
        <w:t>1:  Determination of Federal Wage Rates</w:t>
      </w:r>
      <w:r w:rsidRPr="00C43349">
        <w:rPr>
          <w:rFonts w:eastAsia="Times New Roman" w:cstheme="minorHAnsi"/>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65"/>
        <w:gridCol w:w="1530"/>
        <w:gridCol w:w="1635"/>
      </w:tblGrid>
      <w:tr w14:paraId="710A2F1C" w14:textId="77777777" w:rsidTr="009D64AE">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5"/>
        </w:trPr>
        <w:tc>
          <w:tcPr>
            <w:tcW w:w="6165"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C43349" w:rsidRPr="00C43349" w:rsidP="00001D40" w14:paraId="62F9459E" w14:textId="77777777">
            <w:pPr>
              <w:spacing w:after="0" w:line="276" w:lineRule="auto"/>
              <w:jc w:val="center"/>
              <w:textAlignment w:val="baseline"/>
              <w:rPr>
                <w:rFonts w:eastAsia="Times New Roman" w:cstheme="minorHAnsi"/>
              </w:rPr>
            </w:pPr>
            <w:r w:rsidRPr="00C43349">
              <w:rPr>
                <w:rFonts w:eastAsia="Times New Roman" w:cstheme="minorHAnsi"/>
                <w:b/>
                <w:bCs/>
              </w:rPr>
              <w:t>Labor category</w:t>
            </w:r>
            <w:r w:rsidRPr="00C43349">
              <w:rPr>
                <w:rFonts w:eastAsia="Times New Roman" w:cstheme="minorHAnsi"/>
              </w:rPr>
              <w:t> </w:t>
            </w:r>
          </w:p>
        </w:tc>
        <w:tc>
          <w:tcPr>
            <w:tcW w:w="1530" w:type="dxa"/>
            <w:tcBorders>
              <w:top w:val="single" w:sz="6" w:space="0" w:color="auto"/>
              <w:left w:val="nil"/>
              <w:bottom w:val="single" w:sz="6" w:space="0" w:color="auto"/>
              <w:right w:val="single" w:sz="6" w:space="0" w:color="auto"/>
            </w:tcBorders>
            <w:shd w:val="clear" w:color="auto" w:fill="D9D9D9"/>
            <w:hideMark/>
          </w:tcPr>
          <w:p w:rsidR="00C43349" w:rsidRPr="00C43349" w:rsidP="00001D40" w14:paraId="0FF0B995" w14:textId="77777777">
            <w:pPr>
              <w:spacing w:after="0" w:line="276" w:lineRule="auto"/>
              <w:jc w:val="center"/>
              <w:textAlignment w:val="baseline"/>
              <w:rPr>
                <w:rFonts w:eastAsia="Times New Roman" w:cstheme="minorHAnsi"/>
              </w:rPr>
            </w:pPr>
            <w:r w:rsidRPr="00C43349">
              <w:rPr>
                <w:rFonts w:eastAsia="Times New Roman" w:cstheme="minorHAnsi"/>
                <w:b/>
                <w:bCs/>
              </w:rPr>
              <w:t>Factors</w:t>
            </w:r>
            <w:r w:rsidRPr="00C43349">
              <w:rPr>
                <w:rFonts w:eastAsia="Times New Roman" w:cstheme="minorHAnsi"/>
              </w:rPr>
              <w:t> </w:t>
            </w:r>
          </w:p>
        </w:tc>
        <w:tc>
          <w:tcPr>
            <w:tcW w:w="1635" w:type="dxa"/>
            <w:tcBorders>
              <w:top w:val="single" w:sz="6" w:space="0" w:color="auto"/>
              <w:left w:val="nil"/>
              <w:bottom w:val="single" w:sz="6" w:space="0" w:color="auto"/>
              <w:right w:val="single" w:sz="6" w:space="0" w:color="auto"/>
            </w:tcBorders>
            <w:shd w:val="clear" w:color="auto" w:fill="D9D9D9"/>
            <w:hideMark/>
          </w:tcPr>
          <w:p w:rsidR="00C43349" w:rsidRPr="00C43349" w:rsidP="00001D40" w14:paraId="210C5449" w14:textId="77777777">
            <w:pPr>
              <w:spacing w:after="0" w:line="276" w:lineRule="auto"/>
              <w:jc w:val="center"/>
              <w:textAlignment w:val="baseline"/>
              <w:rPr>
                <w:rFonts w:eastAsia="Times New Roman" w:cstheme="minorHAnsi"/>
              </w:rPr>
            </w:pPr>
            <w:r w:rsidRPr="00C43349">
              <w:rPr>
                <w:rFonts w:eastAsia="Times New Roman" w:cstheme="minorHAnsi"/>
                <w:b/>
                <w:bCs/>
              </w:rPr>
              <w:t>Total</w:t>
            </w:r>
            <w:r w:rsidRPr="00C43349">
              <w:rPr>
                <w:rFonts w:eastAsia="Times New Roman" w:cstheme="minorHAnsi"/>
              </w:rPr>
              <w:t> </w:t>
            </w:r>
          </w:p>
        </w:tc>
      </w:tr>
      <w:tr w14:paraId="4B0CE4D4" w14:textId="77777777" w:rsidTr="009D64AE">
        <w:tblPrEx>
          <w:tblW w:w="9330" w:type="dxa"/>
          <w:tblCellMar>
            <w:left w:w="0" w:type="dxa"/>
            <w:right w:w="0" w:type="dxa"/>
          </w:tblCellMar>
          <w:tblLook w:val="04A0"/>
        </w:tblPrEx>
        <w:trPr>
          <w:trHeight w:val="15"/>
        </w:trPr>
        <w:tc>
          <w:tcPr>
            <w:tcW w:w="61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3349" w:rsidRPr="00C43349" w:rsidP="00001D40" w14:paraId="2EBE4706" w14:textId="77777777">
            <w:pPr>
              <w:spacing w:after="0" w:line="276" w:lineRule="auto"/>
              <w:textAlignment w:val="baseline"/>
              <w:rPr>
                <w:rFonts w:eastAsia="Times New Roman" w:cstheme="minorHAnsi"/>
              </w:rPr>
            </w:pPr>
            <w:r w:rsidRPr="00C43349">
              <w:rPr>
                <w:rFonts w:eastAsia="Times New Roman" w:cstheme="minorHAnsi"/>
              </w:rPr>
              <w:t>Annual salary of technical staff, GS 13, Step 8  </w:t>
            </w:r>
          </w:p>
        </w:tc>
        <w:tc>
          <w:tcPr>
            <w:tcW w:w="1530" w:type="dxa"/>
            <w:tcBorders>
              <w:top w:val="single" w:sz="6" w:space="0" w:color="auto"/>
              <w:left w:val="nil"/>
              <w:bottom w:val="single" w:sz="6" w:space="0" w:color="auto"/>
              <w:right w:val="single" w:sz="6" w:space="0" w:color="auto"/>
            </w:tcBorders>
            <w:shd w:val="clear" w:color="auto" w:fill="auto"/>
            <w:hideMark/>
          </w:tcPr>
          <w:p w:rsidR="00C43349" w:rsidRPr="00C43349" w:rsidP="00001D40" w14:paraId="54B782C7" w14:textId="77777777">
            <w:pPr>
              <w:spacing w:after="0" w:line="276" w:lineRule="auto"/>
              <w:jc w:val="right"/>
              <w:textAlignment w:val="baseline"/>
              <w:rPr>
                <w:rFonts w:eastAsia="Times New Roman" w:cstheme="minorHAnsi"/>
              </w:rPr>
            </w:pPr>
            <w:r w:rsidRPr="00C43349">
              <w:rPr>
                <w:rFonts w:eastAsia="Times New Roman" w:cstheme="minorHAnsi"/>
              </w:rPr>
              <w:t> </w:t>
            </w:r>
          </w:p>
        </w:tc>
        <w:tc>
          <w:tcPr>
            <w:tcW w:w="1635" w:type="dxa"/>
            <w:tcBorders>
              <w:top w:val="single" w:sz="6" w:space="0" w:color="auto"/>
              <w:left w:val="nil"/>
              <w:bottom w:val="single" w:sz="6" w:space="0" w:color="auto"/>
              <w:right w:val="single" w:sz="6" w:space="0" w:color="auto"/>
            </w:tcBorders>
            <w:shd w:val="clear" w:color="auto" w:fill="auto"/>
            <w:hideMark/>
          </w:tcPr>
          <w:p w:rsidR="00C43349" w:rsidRPr="00C43349" w:rsidP="00001D40" w14:paraId="1F20DEB7" w14:textId="65ED1590">
            <w:pPr>
              <w:spacing w:after="0" w:line="276" w:lineRule="auto"/>
              <w:jc w:val="right"/>
              <w:textAlignment w:val="baseline"/>
              <w:rPr>
                <w:rFonts w:eastAsia="Times New Roman" w:cstheme="minorHAnsi"/>
              </w:rPr>
            </w:pPr>
            <w:r w:rsidRPr="00C43349">
              <w:rPr>
                <w:rFonts w:eastAsia="Times New Roman" w:cstheme="minorHAnsi"/>
              </w:rPr>
              <w:t>$</w:t>
            </w:r>
            <w:r w:rsidR="002900DD">
              <w:rPr>
                <w:rFonts w:eastAsia="Times New Roman" w:cstheme="minorHAnsi"/>
              </w:rPr>
              <w:t>109,177</w:t>
            </w:r>
            <w:r w:rsidRPr="00C43349">
              <w:rPr>
                <w:rFonts w:eastAsia="Times New Roman" w:cstheme="minorHAnsi"/>
              </w:rPr>
              <w:t> </w:t>
            </w:r>
          </w:p>
        </w:tc>
      </w:tr>
      <w:tr w14:paraId="65621ABE" w14:textId="77777777" w:rsidTr="009D64AE">
        <w:tblPrEx>
          <w:tblW w:w="9330" w:type="dxa"/>
          <w:tblCellMar>
            <w:left w:w="0" w:type="dxa"/>
            <w:right w:w="0" w:type="dxa"/>
          </w:tblCellMar>
          <w:tblLook w:val="04A0"/>
        </w:tblPrEx>
        <w:trPr>
          <w:trHeight w:val="15"/>
        </w:trPr>
        <w:tc>
          <w:tcPr>
            <w:tcW w:w="6165" w:type="dxa"/>
            <w:tcBorders>
              <w:top w:val="nil"/>
              <w:left w:val="single" w:sz="6" w:space="0" w:color="auto"/>
              <w:bottom w:val="single" w:sz="6" w:space="0" w:color="auto"/>
              <w:right w:val="single" w:sz="6" w:space="0" w:color="auto"/>
            </w:tcBorders>
            <w:shd w:val="clear" w:color="auto" w:fill="auto"/>
            <w:vAlign w:val="bottom"/>
            <w:hideMark/>
          </w:tcPr>
          <w:p w:rsidR="00C43349" w:rsidRPr="00C43349" w:rsidP="00001D40" w14:paraId="48B36465" w14:textId="77777777">
            <w:pPr>
              <w:spacing w:after="0" w:line="276" w:lineRule="auto"/>
              <w:textAlignment w:val="baseline"/>
              <w:rPr>
                <w:rFonts w:eastAsia="Times New Roman" w:cstheme="minorHAnsi"/>
              </w:rPr>
            </w:pPr>
            <w:r w:rsidRPr="00C43349">
              <w:rPr>
                <w:rFonts w:eastAsia="Times New Roman" w:cstheme="minorHAnsi"/>
              </w:rPr>
              <w:t>Annual cost of supervisory staff, GS 15, Step 8  </w:t>
            </w:r>
          </w:p>
        </w:tc>
        <w:tc>
          <w:tcPr>
            <w:tcW w:w="1530" w:type="dxa"/>
            <w:tcBorders>
              <w:top w:val="nil"/>
              <w:left w:val="nil"/>
              <w:bottom w:val="single" w:sz="6" w:space="0" w:color="auto"/>
              <w:right w:val="single" w:sz="6" w:space="0" w:color="auto"/>
            </w:tcBorders>
            <w:shd w:val="clear" w:color="auto" w:fill="auto"/>
            <w:hideMark/>
          </w:tcPr>
          <w:p w:rsidR="00C43349" w:rsidRPr="00C43349" w:rsidP="00001D40" w14:paraId="251F4631" w14:textId="33F76E4E">
            <w:pPr>
              <w:spacing w:after="0" w:line="276" w:lineRule="auto"/>
              <w:jc w:val="right"/>
              <w:textAlignment w:val="baseline"/>
              <w:rPr>
                <w:rFonts w:eastAsia="Times New Roman" w:cstheme="minorHAnsi"/>
              </w:rPr>
            </w:pPr>
            <w:r w:rsidRPr="00C43349">
              <w:rPr>
                <w:rFonts w:eastAsia="Times New Roman" w:cstheme="minorHAnsi"/>
              </w:rPr>
              <w:t>$</w:t>
            </w:r>
            <w:r w:rsidR="00E70ED0">
              <w:rPr>
                <w:rFonts w:eastAsia="Times New Roman" w:cstheme="minorHAnsi"/>
              </w:rPr>
              <w:t>1</w:t>
            </w:r>
            <w:r w:rsidR="00B345D5">
              <w:rPr>
                <w:rFonts w:eastAsia="Times New Roman" w:cstheme="minorHAnsi"/>
              </w:rPr>
              <w:t>51,748</w:t>
            </w:r>
            <w:r w:rsidRPr="00C43349">
              <w:rPr>
                <w:rFonts w:eastAsia="Times New Roman" w:cstheme="minorHAnsi"/>
              </w:rPr>
              <w:t> </w:t>
            </w:r>
          </w:p>
        </w:tc>
        <w:tc>
          <w:tcPr>
            <w:tcW w:w="1635" w:type="dxa"/>
            <w:tcBorders>
              <w:top w:val="nil"/>
              <w:left w:val="nil"/>
              <w:bottom w:val="single" w:sz="6" w:space="0" w:color="auto"/>
              <w:right w:val="single" w:sz="6" w:space="0" w:color="auto"/>
            </w:tcBorders>
            <w:shd w:val="clear" w:color="auto" w:fill="auto"/>
            <w:hideMark/>
          </w:tcPr>
          <w:p w:rsidR="00C43349" w:rsidRPr="00C43349" w:rsidP="00001D40" w14:paraId="3BD494ED" w14:textId="77777777">
            <w:pPr>
              <w:spacing w:after="0" w:line="276" w:lineRule="auto"/>
              <w:jc w:val="right"/>
              <w:textAlignment w:val="baseline"/>
              <w:rPr>
                <w:rFonts w:eastAsia="Times New Roman" w:cstheme="minorHAnsi"/>
              </w:rPr>
            </w:pPr>
            <w:r w:rsidRPr="00C43349">
              <w:rPr>
                <w:rFonts w:eastAsia="Times New Roman" w:cstheme="minorHAnsi"/>
              </w:rPr>
              <w:t> </w:t>
            </w:r>
          </w:p>
        </w:tc>
      </w:tr>
      <w:tr w14:paraId="1ACBB016" w14:textId="77777777" w:rsidTr="009D64AE">
        <w:tblPrEx>
          <w:tblW w:w="9330" w:type="dxa"/>
          <w:tblCellMar>
            <w:left w:w="0" w:type="dxa"/>
            <w:right w:w="0" w:type="dxa"/>
          </w:tblCellMar>
          <w:tblLook w:val="04A0"/>
        </w:tblPrEx>
        <w:trPr>
          <w:trHeight w:val="15"/>
        </w:trPr>
        <w:tc>
          <w:tcPr>
            <w:tcW w:w="6165" w:type="dxa"/>
            <w:tcBorders>
              <w:top w:val="nil"/>
              <w:left w:val="single" w:sz="6" w:space="0" w:color="auto"/>
              <w:bottom w:val="single" w:sz="6" w:space="0" w:color="auto"/>
              <w:right w:val="single" w:sz="6" w:space="0" w:color="auto"/>
            </w:tcBorders>
            <w:shd w:val="clear" w:color="auto" w:fill="auto"/>
            <w:vAlign w:val="bottom"/>
            <w:hideMark/>
          </w:tcPr>
          <w:p w:rsidR="00C43349" w:rsidRPr="00C43349" w:rsidP="00001D40" w14:paraId="7FA8D245" w14:textId="77777777">
            <w:pPr>
              <w:spacing w:after="0" w:line="276" w:lineRule="auto"/>
              <w:textAlignment w:val="baseline"/>
              <w:rPr>
                <w:rFonts w:eastAsia="Times New Roman" w:cstheme="minorHAnsi"/>
              </w:rPr>
            </w:pPr>
            <w:r w:rsidRPr="00C43349">
              <w:rPr>
                <w:rFonts w:eastAsia="Times New Roman" w:cstheme="minorHAnsi"/>
              </w:rPr>
              <w:t>Factor (1/11) applied to cost of supervisory staff </w:t>
            </w:r>
          </w:p>
        </w:tc>
        <w:tc>
          <w:tcPr>
            <w:tcW w:w="1530" w:type="dxa"/>
            <w:tcBorders>
              <w:top w:val="nil"/>
              <w:left w:val="nil"/>
              <w:bottom w:val="single" w:sz="6" w:space="0" w:color="auto"/>
              <w:right w:val="single" w:sz="6" w:space="0" w:color="auto"/>
            </w:tcBorders>
            <w:shd w:val="clear" w:color="auto" w:fill="auto"/>
            <w:hideMark/>
          </w:tcPr>
          <w:p w:rsidR="00C43349" w:rsidRPr="00C43349" w:rsidP="00001D40" w14:paraId="0A97ACD0" w14:textId="77777777">
            <w:pPr>
              <w:spacing w:after="0" w:line="276" w:lineRule="auto"/>
              <w:jc w:val="right"/>
              <w:textAlignment w:val="baseline"/>
              <w:rPr>
                <w:rFonts w:eastAsia="Times New Roman" w:cstheme="minorHAnsi"/>
              </w:rPr>
            </w:pPr>
            <w:r w:rsidRPr="00C43349">
              <w:rPr>
                <w:rFonts w:eastAsia="Times New Roman" w:cstheme="minorHAnsi"/>
              </w:rPr>
              <w:t>0.09 </w:t>
            </w:r>
          </w:p>
        </w:tc>
        <w:tc>
          <w:tcPr>
            <w:tcW w:w="1635" w:type="dxa"/>
            <w:tcBorders>
              <w:top w:val="nil"/>
              <w:left w:val="nil"/>
              <w:bottom w:val="single" w:sz="6" w:space="0" w:color="auto"/>
              <w:right w:val="single" w:sz="6" w:space="0" w:color="auto"/>
            </w:tcBorders>
            <w:shd w:val="clear" w:color="auto" w:fill="auto"/>
            <w:hideMark/>
          </w:tcPr>
          <w:p w:rsidR="00C43349" w:rsidRPr="00C43349" w:rsidP="00001D40" w14:paraId="77CD51E5" w14:textId="77777777">
            <w:pPr>
              <w:spacing w:after="0" w:line="276" w:lineRule="auto"/>
              <w:jc w:val="right"/>
              <w:textAlignment w:val="baseline"/>
              <w:rPr>
                <w:rFonts w:eastAsia="Times New Roman" w:cstheme="minorHAnsi"/>
              </w:rPr>
            </w:pPr>
            <w:r w:rsidRPr="00C43349">
              <w:rPr>
                <w:rFonts w:eastAsia="Times New Roman" w:cstheme="minorHAnsi"/>
              </w:rPr>
              <w:t> </w:t>
            </w:r>
          </w:p>
        </w:tc>
      </w:tr>
      <w:tr w14:paraId="7F64B2AC" w14:textId="77777777" w:rsidTr="009D64AE">
        <w:tblPrEx>
          <w:tblW w:w="9330" w:type="dxa"/>
          <w:tblCellMar>
            <w:left w:w="0" w:type="dxa"/>
            <w:right w:w="0" w:type="dxa"/>
          </w:tblCellMar>
          <w:tblLook w:val="04A0"/>
        </w:tblPrEx>
        <w:trPr>
          <w:trHeight w:val="15"/>
        </w:trPr>
        <w:tc>
          <w:tcPr>
            <w:tcW w:w="6165" w:type="dxa"/>
            <w:tcBorders>
              <w:top w:val="nil"/>
              <w:left w:val="single" w:sz="6" w:space="0" w:color="auto"/>
              <w:bottom w:val="single" w:sz="6" w:space="0" w:color="auto"/>
              <w:right w:val="single" w:sz="6" w:space="0" w:color="auto"/>
            </w:tcBorders>
            <w:shd w:val="clear" w:color="auto" w:fill="auto"/>
            <w:vAlign w:val="bottom"/>
            <w:hideMark/>
          </w:tcPr>
          <w:p w:rsidR="00C43349" w:rsidRPr="00C43349" w:rsidP="00001D40" w14:paraId="132EF311" w14:textId="77777777">
            <w:pPr>
              <w:spacing w:after="0" w:line="276" w:lineRule="auto"/>
              <w:textAlignment w:val="baseline"/>
              <w:rPr>
                <w:rFonts w:eastAsia="Times New Roman" w:cstheme="minorHAnsi"/>
              </w:rPr>
            </w:pPr>
            <w:r w:rsidRPr="00C43349">
              <w:rPr>
                <w:rFonts w:eastAsia="Times New Roman" w:cstheme="minorHAnsi"/>
              </w:rPr>
              <w:t>  </w:t>
            </w:r>
          </w:p>
        </w:tc>
        <w:tc>
          <w:tcPr>
            <w:tcW w:w="1530" w:type="dxa"/>
            <w:tcBorders>
              <w:top w:val="nil"/>
              <w:left w:val="nil"/>
              <w:bottom w:val="single" w:sz="6" w:space="0" w:color="auto"/>
              <w:right w:val="single" w:sz="6" w:space="0" w:color="auto"/>
            </w:tcBorders>
            <w:shd w:val="clear" w:color="auto" w:fill="auto"/>
            <w:hideMark/>
          </w:tcPr>
          <w:p w:rsidR="00C43349" w:rsidRPr="00C43349" w:rsidP="00001D40" w14:paraId="0B2F9A10" w14:textId="77777777">
            <w:pPr>
              <w:spacing w:after="0" w:line="276" w:lineRule="auto"/>
              <w:jc w:val="right"/>
              <w:textAlignment w:val="baseline"/>
              <w:rPr>
                <w:rFonts w:eastAsia="Times New Roman" w:cstheme="minorHAnsi"/>
              </w:rPr>
            </w:pPr>
            <w:r w:rsidRPr="00C43349">
              <w:rPr>
                <w:rFonts w:eastAsia="Times New Roman" w:cstheme="minorHAnsi"/>
              </w:rPr>
              <w:t> </w:t>
            </w:r>
          </w:p>
        </w:tc>
        <w:tc>
          <w:tcPr>
            <w:tcW w:w="1635" w:type="dxa"/>
            <w:tcBorders>
              <w:top w:val="nil"/>
              <w:left w:val="nil"/>
              <w:bottom w:val="single" w:sz="6" w:space="0" w:color="auto"/>
              <w:right w:val="single" w:sz="6" w:space="0" w:color="auto"/>
            </w:tcBorders>
            <w:shd w:val="clear" w:color="auto" w:fill="auto"/>
            <w:vAlign w:val="bottom"/>
            <w:hideMark/>
          </w:tcPr>
          <w:p w:rsidR="00C43349" w:rsidRPr="00C43349" w:rsidP="00001D40" w14:paraId="3C3604D8" w14:textId="588CC10B">
            <w:pPr>
              <w:spacing w:after="0" w:line="276" w:lineRule="auto"/>
              <w:jc w:val="right"/>
              <w:textAlignment w:val="baseline"/>
              <w:rPr>
                <w:rFonts w:eastAsia="Times New Roman" w:cstheme="minorHAnsi"/>
              </w:rPr>
            </w:pPr>
            <w:r w:rsidRPr="00C43349">
              <w:rPr>
                <w:rFonts w:eastAsia="Times New Roman" w:cstheme="minorHAnsi"/>
              </w:rPr>
              <w:t>$</w:t>
            </w:r>
            <w:r w:rsidR="00246C79">
              <w:rPr>
                <w:rFonts w:eastAsia="Times New Roman" w:cstheme="minorHAnsi"/>
              </w:rPr>
              <w:t>1</w:t>
            </w:r>
            <w:r w:rsidR="008D31D6">
              <w:rPr>
                <w:rFonts w:eastAsia="Times New Roman" w:cstheme="minorHAnsi"/>
              </w:rPr>
              <w:t>3,657.32</w:t>
            </w:r>
            <w:r w:rsidRPr="00C43349">
              <w:rPr>
                <w:rFonts w:eastAsia="Times New Roman" w:cstheme="minorHAnsi"/>
              </w:rPr>
              <w:t>  </w:t>
            </w:r>
          </w:p>
        </w:tc>
      </w:tr>
      <w:tr w14:paraId="5DE6B073" w14:textId="77777777" w:rsidTr="009D64AE">
        <w:tblPrEx>
          <w:tblW w:w="9330" w:type="dxa"/>
          <w:tblCellMar>
            <w:left w:w="0" w:type="dxa"/>
            <w:right w:w="0" w:type="dxa"/>
          </w:tblCellMar>
          <w:tblLook w:val="04A0"/>
        </w:tblPrEx>
        <w:trPr>
          <w:trHeight w:val="15"/>
        </w:trPr>
        <w:tc>
          <w:tcPr>
            <w:tcW w:w="6165" w:type="dxa"/>
            <w:tcBorders>
              <w:top w:val="nil"/>
              <w:left w:val="single" w:sz="6" w:space="0" w:color="auto"/>
              <w:bottom w:val="single" w:sz="6" w:space="0" w:color="auto"/>
              <w:right w:val="single" w:sz="6" w:space="0" w:color="auto"/>
            </w:tcBorders>
            <w:shd w:val="clear" w:color="auto" w:fill="auto"/>
            <w:vAlign w:val="bottom"/>
            <w:hideMark/>
          </w:tcPr>
          <w:p w:rsidR="00C43349" w:rsidRPr="00C43349" w:rsidP="00001D40" w14:paraId="55277961" w14:textId="77777777">
            <w:pPr>
              <w:spacing w:after="0" w:line="276" w:lineRule="auto"/>
              <w:textAlignment w:val="baseline"/>
              <w:rPr>
                <w:rFonts w:eastAsia="Times New Roman" w:cstheme="minorHAnsi"/>
              </w:rPr>
            </w:pPr>
            <w:r w:rsidRPr="00C43349">
              <w:rPr>
                <w:rFonts w:eastAsia="Times New Roman" w:cstheme="minorHAnsi"/>
              </w:rPr>
              <w:t>Benefits </w:t>
            </w:r>
          </w:p>
        </w:tc>
        <w:tc>
          <w:tcPr>
            <w:tcW w:w="1530" w:type="dxa"/>
            <w:tcBorders>
              <w:top w:val="nil"/>
              <w:left w:val="nil"/>
              <w:bottom w:val="single" w:sz="6" w:space="0" w:color="auto"/>
              <w:right w:val="single" w:sz="6" w:space="0" w:color="auto"/>
            </w:tcBorders>
            <w:shd w:val="clear" w:color="auto" w:fill="auto"/>
            <w:hideMark/>
          </w:tcPr>
          <w:p w:rsidR="00C43349" w:rsidRPr="00C43349" w:rsidP="00001D40" w14:paraId="666852AE" w14:textId="77777777">
            <w:pPr>
              <w:spacing w:after="0" w:line="276" w:lineRule="auto"/>
              <w:jc w:val="right"/>
              <w:textAlignment w:val="baseline"/>
              <w:rPr>
                <w:rFonts w:eastAsia="Times New Roman" w:cstheme="minorHAnsi"/>
              </w:rPr>
            </w:pPr>
            <w:r w:rsidRPr="00C43349">
              <w:rPr>
                <w:rFonts w:eastAsia="Times New Roman" w:cstheme="minorHAnsi"/>
              </w:rPr>
              <w:t>1.6 </w:t>
            </w:r>
          </w:p>
        </w:tc>
        <w:tc>
          <w:tcPr>
            <w:tcW w:w="1635" w:type="dxa"/>
            <w:tcBorders>
              <w:top w:val="nil"/>
              <w:left w:val="nil"/>
              <w:bottom w:val="single" w:sz="6" w:space="0" w:color="auto"/>
              <w:right w:val="single" w:sz="6" w:space="0" w:color="auto"/>
            </w:tcBorders>
            <w:shd w:val="clear" w:color="auto" w:fill="auto"/>
            <w:vAlign w:val="bottom"/>
            <w:hideMark/>
          </w:tcPr>
          <w:p w:rsidR="00C43349" w:rsidRPr="00C43349" w:rsidP="00001D40" w14:paraId="4B38D240" w14:textId="77777777">
            <w:pPr>
              <w:spacing w:after="0" w:line="276" w:lineRule="auto"/>
              <w:jc w:val="right"/>
              <w:textAlignment w:val="baseline"/>
              <w:rPr>
                <w:rFonts w:eastAsia="Times New Roman" w:cstheme="minorHAnsi"/>
              </w:rPr>
            </w:pPr>
            <w:r w:rsidRPr="00C43349">
              <w:rPr>
                <w:rFonts w:eastAsia="Times New Roman" w:cstheme="minorHAnsi"/>
              </w:rPr>
              <w:t> </w:t>
            </w:r>
          </w:p>
        </w:tc>
      </w:tr>
      <w:tr w14:paraId="0824B6F4" w14:textId="77777777" w:rsidTr="009D64AE">
        <w:tblPrEx>
          <w:tblW w:w="9330" w:type="dxa"/>
          <w:tblCellMar>
            <w:left w:w="0" w:type="dxa"/>
            <w:right w:w="0" w:type="dxa"/>
          </w:tblCellMar>
          <w:tblLook w:val="04A0"/>
        </w:tblPrEx>
        <w:trPr>
          <w:trHeight w:val="15"/>
        </w:trPr>
        <w:tc>
          <w:tcPr>
            <w:tcW w:w="6165" w:type="dxa"/>
            <w:tcBorders>
              <w:top w:val="nil"/>
              <w:left w:val="single" w:sz="6" w:space="0" w:color="auto"/>
              <w:bottom w:val="single" w:sz="6" w:space="0" w:color="auto"/>
              <w:right w:val="single" w:sz="6" w:space="0" w:color="auto"/>
            </w:tcBorders>
            <w:shd w:val="clear" w:color="auto" w:fill="auto"/>
            <w:vAlign w:val="bottom"/>
            <w:hideMark/>
          </w:tcPr>
          <w:p w:rsidR="00C43349" w:rsidRPr="00C43349" w:rsidP="00001D40" w14:paraId="760C0563" w14:textId="77777777">
            <w:pPr>
              <w:spacing w:after="0" w:line="276" w:lineRule="auto"/>
              <w:textAlignment w:val="baseline"/>
              <w:rPr>
                <w:rFonts w:eastAsia="Times New Roman" w:cstheme="minorHAnsi"/>
              </w:rPr>
            </w:pPr>
            <w:r w:rsidRPr="00C43349">
              <w:rPr>
                <w:rFonts w:eastAsia="Times New Roman" w:cstheme="minorHAnsi"/>
              </w:rPr>
              <w:t>Total cost per FTE  </w:t>
            </w:r>
          </w:p>
        </w:tc>
        <w:tc>
          <w:tcPr>
            <w:tcW w:w="1530" w:type="dxa"/>
            <w:tcBorders>
              <w:top w:val="nil"/>
              <w:left w:val="nil"/>
              <w:bottom w:val="single" w:sz="6" w:space="0" w:color="auto"/>
              <w:right w:val="single" w:sz="6" w:space="0" w:color="auto"/>
            </w:tcBorders>
            <w:shd w:val="clear" w:color="auto" w:fill="auto"/>
            <w:hideMark/>
          </w:tcPr>
          <w:p w:rsidR="00C43349" w:rsidRPr="00C43349" w:rsidP="00001D40" w14:paraId="4637B075" w14:textId="77777777">
            <w:pPr>
              <w:spacing w:after="0" w:line="276" w:lineRule="auto"/>
              <w:jc w:val="right"/>
              <w:textAlignment w:val="baseline"/>
              <w:rPr>
                <w:rFonts w:eastAsia="Times New Roman" w:cstheme="minorHAnsi"/>
              </w:rPr>
            </w:pPr>
            <w:r w:rsidRPr="00C43349">
              <w:rPr>
                <w:rFonts w:eastAsia="Times New Roman" w:cstheme="minorHAnsi"/>
              </w:rPr>
              <w:t> </w:t>
            </w:r>
          </w:p>
        </w:tc>
        <w:tc>
          <w:tcPr>
            <w:tcW w:w="1635" w:type="dxa"/>
            <w:tcBorders>
              <w:top w:val="nil"/>
              <w:left w:val="nil"/>
              <w:bottom w:val="single" w:sz="6" w:space="0" w:color="auto"/>
              <w:right w:val="single" w:sz="6" w:space="0" w:color="auto"/>
            </w:tcBorders>
            <w:shd w:val="clear" w:color="auto" w:fill="auto"/>
            <w:vAlign w:val="bottom"/>
            <w:hideMark/>
          </w:tcPr>
          <w:p w:rsidR="00C43349" w:rsidRPr="00C43349" w:rsidP="00001D40" w14:paraId="61795E54" w14:textId="06AC8CB0">
            <w:pPr>
              <w:spacing w:after="0" w:line="276" w:lineRule="auto"/>
              <w:jc w:val="right"/>
              <w:textAlignment w:val="baseline"/>
              <w:rPr>
                <w:rFonts w:eastAsia="Times New Roman" w:cstheme="minorHAnsi"/>
              </w:rPr>
            </w:pPr>
            <w:r>
              <w:rPr>
                <w:rFonts w:eastAsia="Times New Roman" w:cstheme="minorHAnsi"/>
              </w:rPr>
              <w:t>$196,534.91</w:t>
            </w:r>
            <w:r w:rsidRPr="00C43349">
              <w:rPr>
                <w:rFonts w:eastAsia="Times New Roman" w:cstheme="minorHAnsi"/>
              </w:rPr>
              <w:t>  </w:t>
            </w:r>
          </w:p>
        </w:tc>
      </w:tr>
      <w:tr w14:paraId="42DFA181" w14:textId="77777777" w:rsidTr="009D64AE">
        <w:tblPrEx>
          <w:tblW w:w="9330" w:type="dxa"/>
          <w:tblCellMar>
            <w:left w:w="0" w:type="dxa"/>
            <w:right w:w="0" w:type="dxa"/>
          </w:tblCellMar>
          <w:tblLook w:val="04A0"/>
        </w:tblPrEx>
        <w:trPr>
          <w:trHeight w:val="15"/>
        </w:trPr>
        <w:tc>
          <w:tcPr>
            <w:tcW w:w="6165" w:type="dxa"/>
            <w:tcBorders>
              <w:top w:val="nil"/>
              <w:left w:val="single" w:sz="6" w:space="0" w:color="auto"/>
              <w:bottom w:val="single" w:sz="6" w:space="0" w:color="auto"/>
              <w:right w:val="single" w:sz="6" w:space="0" w:color="auto"/>
            </w:tcBorders>
            <w:shd w:val="clear" w:color="auto" w:fill="auto"/>
            <w:vAlign w:val="bottom"/>
            <w:hideMark/>
          </w:tcPr>
          <w:p w:rsidR="00C43349" w:rsidRPr="00C43349" w:rsidP="00001D40" w14:paraId="038B5A7A" w14:textId="77777777">
            <w:pPr>
              <w:spacing w:after="0" w:line="276" w:lineRule="auto"/>
              <w:textAlignment w:val="baseline"/>
              <w:rPr>
                <w:rFonts w:eastAsia="Times New Roman" w:cstheme="minorHAnsi"/>
              </w:rPr>
            </w:pPr>
            <w:r w:rsidRPr="00C43349">
              <w:rPr>
                <w:rFonts w:eastAsia="Times New Roman" w:cstheme="minorHAnsi"/>
              </w:rPr>
              <w:t>Total hourly cost (total cost per FTE divided by 2,080 hours per year) </w:t>
            </w:r>
          </w:p>
        </w:tc>
        <w:tc>
          <w:tcPr>
            <w:tcW w:w="1530" w:type="dxa"/>
            <w:tcBorders>
              <w:top w:val="nil"/>
              <w:left w:val="nil"/>
              <w:bottom w:val="single" w:sz="6" w:space="0" w:color="auto"/>
              <w:right w:val="single" w:sz="6" w:space="0" w:color="auto"/>
            </w:tcBorders>
            <w:shd w:val="clear" w:color="auto" w:fill="auto"/>
            <w:hideMark/>
          </w:tcPr>
          <w:p w:rsidR="00C43349" w:rsidRPr="00C43349" w:rsidP="00001D40" w14:paraId="141AB7C4" w14:textId="77777777">
            <w:pPr>
              <w:spacing w:after="0" w:line="276" w:lineRule="auto"/>
              <w:jc w:val="right"/>
              <w:textAlignment w:val="baseline"/>
              <w:rPr>
                <w:rFonts w:eastAsia="Times New Roman" w:cstheme="minorHAnsi"/>
              </w:rPr>
            </w:pPr>
            <w:r w:rsidRPr="00C43349">
              <w:rPr>
                <w:rFonts w:eastAsia="Times New Roman" w:cstheme="minorHAnsi"/>
              </w:rPr>
              <w:t> </w:t>
            </w:r>
          </w:p>
        </w:tc>
        <w:tc>
          <w:tcPr>
            <w:tcW w:w="1635" w:type="dxa"/>
            <w:tcBorders>
              <w:top w:val="nil"/>
              <w:left w:val="nil"/>
              <w:bottom w:val="single" w:sz="6" w:space="0" w:color="auto"/>
              <w:right w:val="single" w:sz="6" w:space="0" w:color="auto"/>
            </w:tcBorders>
            <w:shd w:val="clear" w:color="auto" w:fill="auto"/>
            <w:vAlign w:val="bottom"/>
            <w:hideMark/>
          </w:tcPr>
          <w:p w:rsidR="00C43349" w:rsidRPr="00C43349" w:rsidP="00001D40" w14:paraId="60088B94" w14:textId="40FC2D88">
            <w:pPr>
              <w:spacing w:after="0" w:line="276" w:lineRule="auto"/>
              <w:jc w:val="right"/>
              <w:textAlignment w:val="baseline"/>
              <w:rPr>
                <w:rFonts w:eastAsia="Times New Roman" w:cstheme="minorHAnsi"/>
              </w:rPr>
            </w:pPr>
            <w:r w:rsidRPr="00C43349">
              <w:rPr>
                <w:rFonts w:eastAsia="Times New Roman" w:cstheme="minorHAnsi"/>
              </w:rPr>
              <w:t>$</w:t>
            </w:r>
            <w:r w:rsidR="00ED36AB">
              <w:rPr>
                <w:rFonts w:eastAsia="Times New Roman" w:cstheme="minorHAnsi"/>
              </w:rPr>
              <w:t>94.</w:t>
            </w:r>
            <w:r w:rsidR="00107CF9">
              <w:rPr>
                <w:rFonts w:eastAsia="Times New Roman" w:cstheme="minorHAnsi"/>
              </w:rPr>
              <w:t>49</w:t>
            </w:r>
            <w:r w:rsidRPr="00C43349">
              <w:rPr>
                <w:rFonts w:eastAsia="Times New Roman" w:cstheme="minorHAnsi"/>
              </w:rPr>
              <w:t>  </w:t>
            </w:r>
          </w:p>
        </w:tc>
      </w:tr>
    </w:tbl>
    <w:p w:rsidR="009D64AE" w:rsidRPr="00A67ABA" w:rsidP="009D64AE" w14:paraId="08D27CF1" w14:textId="77777777">
      <w:pPr>
        <w:spacing w:after="0" w:line="276" w:lineRule="auto"/>
        <w:textAlignment w:val="baseline"/>
        <w:rPr>
          <w:rFonts w:eastAsia="Times New Roman" w:cstheme="minorHAnsi"/>
          <w:sz w:val="18"/>
          <w:szCs w:val="18"/>
        </w:rPr>
      </w:pPr>
      <w:r w:rsidRPr="00A67ABA">
        <w:rPr>
          <w:rFonts w:eastAsia="Times New Roman" w:cstheme="minorHAnsi"/>
          <w:sz w:val="18"/>
          <w:szCs w:val="18"/>
          <w:vertAlign w:val="superscript"/>
        </w:rPr>
        <w:t>a</w:t>
      </w:r>
      <w:r w:rsidRPr="00A67ABA">
        <w:rPr>
          <w:rFonts w:eastAsia="Times New Roman" w:cstheme="minorHAnsi"/>
          <w:sz w:val="18"/>
          <w:szCs w:val="18"/>
        </w:rPr>
        <w:t>202</w:t>
      </w:r>
      <w:r>
        <w:rPr>
          <w:rFonts w:eastAsia="Times New Roman" w:cstheme="minorHAnsi"/>
          <w:sz w:val="18"/>
          <w:szCs w:val="18"/>
        </w:rPr>
        <w:t>4</w:t>
      </w:r>
      <w:r w:rsidRPr="00A67ABA">
        <w:rPr>
          <w:rFonts w:eastAsia="Times New Roman" w:cstheme="minorHAnsi"/>
          <w:sz w:val="18"/>
          <w:szCs w:val="18"/>
        </w:rPr>
        <w:t xml:space="preserve"> dollars. </w:t>
      </w:r>
    </w:p>
    <w:p w:rsidR="00325C27" w:rsidRPr="00001D40" w:rsidP="00001D40" w14:paraId="06CFABCC" w14:textId="77777777">
      <w:pPr>
        <w:spacing w:before="120" w:after="0" w:line="276" w:lineRule="auto"/>
        <w:rPr>
          <w:rStyle w:val="eop"/>
          <w:rFonts w:cstheme="minorHAnsi"/>
          <w:color w:val="000000"/>
          <w:shd w:val="clear" w:color="auto" w:fill="FFFFFF"/>
        </w:rPr>
      </w:pPr>
    </w:p>
    <w:p w:rsidR="00814DE8" w:rsidP="00AB64F9" w14:paraId="4FC5A289" w14:textId="06876E82">
      <w:pPr>
        <w:pStyle w:val="paragraph"/>
        <w:numPr>
          <w:ilvl w:val="0"/>
          <w:numId w:val="39"/>
        </w:numPr>
        <w:spacing w:before="0" w:beforeAutospacing="0" w:after="0" w:afterAutospacing="0" w:line="276" w:lineRule="auto"/>
        <w:textAlignment w:val="baseline"/>
        <w:rPr>
          <w:rFonts w:asciiTheme="minorHAnsi" w:hAnsiTheme="minorHAnsi" w:cstheme="minorHAnsi"/>
          <w:sz w:val="22"/>
          <w:szCs w:val="22"/>
        </w:rPr>
      </w:pPr>
      <w:r w:rsidRPr="00814DE8">
        <w:rPr>
          <w:rStyle w:val="normaltextrun"/>
          <w:rFonts w:asciiTheme="minorHAnsi" w:hAnsiTheme="minorHAnsi" w:cstheme="minorHAnsi"/>
          <w:sz w:val="22"/>
          <w:szCs w:val="22"/>
        </w:rPr>
        <w:t>Tracking, Transferring, and Deducting Allowances</w:t>
      </w:r>
      <w:r w:rsidRPr="00814DE8">
        <w:rPr>
          <w:rStyle w:val="eop"/>
          <w:rFonts w:asciiTheme="minorHAnsi" w:hAnsiTheme="minorHAnsi" w:cstheme="minorHAnsi"/>
          <w:sz w:val="22"/>
          <w:szCs w:val="22"/>
        </w:rPr>
        <w:t> </w:t>
      </w:r>
    </w:p>
    <w:p w:rsidR="00814DE8" w:rsidRPr="00592D3F" w:rsidP="00AB64F9" w14:paraId="4944E148" w14:textId="627CCD7F">
      <w:pPr>
        <w:pStyle w:val="paragraph"/>
        <w:numPr>
          <w:ilvl w:val="1"/>
          <w:numId w:val="39"/>
        </w:numPr>
        <w:spacing w:before="0" w:beforeAutospacing="0" w:after="0" w:afterAutospacing="0" w:line="276" w:lineRule="auto"/>
        <w:textAlignment w:val="baseline"/>
        <w:rPr>
          <w:rFonts w:asciiTheme="minorHAnsi" w:hAnsiTheme="minorHAnsi" w:cstheme="minorHAnsi"/>
          <w:sz w:val="22"/>
          <w:szCs w:val="22"/>
        </w:rPr>
      </w:pPr>
      <w:r w:rsidRPr="00592D3F">
        <w:rPr>
          <w:rStyle w:val="normaltextrun"/>
          <w:rFonts w:asciiTheme="minorHAnsi" w:hAnsiTheme="minorHAnsi" w:cstheme="minorHAnsi"/>
          <w:sz w:val="22"/>
          <w:szCs w:val="22"/>
        </w:rPr>
        <w:t xml:space="preserve">Labor burden and costs for collections associated with tracking and transferring allowances are functions of the number of transfers anticipated. </w:t>
      </w:r>
      <w:r w:rsidRPr="00592D3F" w:rsidR="00C87922">
        <w:rPr>
          <w:rFonts w:asciiTheme="minorHAnsi" w:hAnsiTheme="minorHAnsi" w:cstheme="minorHAnsi"/>
          <w:sz w:val="22"/>
          <w:szCs w:val="22"/>
        </w:rPr>
        <w:t xml:space="preserve">Based on the number of transfers recorded by EPA in 2021 through 2024, EPA assumes that about 517 privately submitted allowance transfers will be made each year, over the next three years. </w:t>
      </w:r>
      <w:r w:rsidRPr="00592D3F" w:rsidR="006C7283">
        <w:rPr>
          <w:rFonts w:asciiTheme="minorHAnsi" w:hAnsiTheme="minorHAnsi" w:cstheme="minorHAnsi"/>
          <w:sz w:val="22"/>
          <w:szCs w:val="22"/>
        </w:rPr>
        <w:t xml:space="preserve">For </w:t>
      </w:r>
      <w:r w:rsidRPr="00592D3F" w:rsidR="001A5FD2">
        <w:rPr>
          <w:rFonts w:asciiTheme="minorHAnsi" w:hAnsiTheme="minorHAnsi" w:cstheme="minorHAnsi"/>
          <w:sz w:val="22"/>
          <w:szCs w:val="22"/>
        </w:rPr>
        <w:t>transfers requiring agency action, the EPA estimates 1%</w:t>
      </w:r>
      <w:r w:rsidRPr="00592D3F" w:rsidR="006C7283">
        <w:rPr>
          <w:rFonts w:asciiTheme="minorHAnsi" w:hAnsiTheme="minorHAnsi" w:cstheme="minorHAnsi"/>
          <w:sz w:val="22"/>
          <w:szCs w:val="22"/>
        </w:rPr>
        <w:t xml:space="preserve"> </w:t>
      </w:r>
      <w:r w:rsidRPr="00592D3F" w:rsidR="00902C4D">
        <w:rPr>
          <w:rFonts w:asciiTheme="minorHAnsi" w:hAnsiTheme="minorHAnsi" w:cstheme="minorHAnsi"/>
          <w:sz w:val="22"/>
          <w:szCs w:val="22"/>
        </w:rPr>
        <w:t xml:space="preserve">of total transfers will be submitted via </w:t>
      </w:r>
      <w:r w:rsidRPr="00592D3F" w:rsidR="007B00D8">
        <w:rPr>
          <w:rFonts w:asciiTheme="minorHAnsi" w:hAnsiTheme="minorHAnsi" w:cstheme="minorHAnsi"/>
          <w:sz w:val="22"/>
          <w:szCs w:val="22"/>
        </w:rPr>
        <w:t>hard copy form requiring processing by EPA</w:t>
      </w:r>
      <w:r w:rsidRPr="00592D3F" w:rsidR="001125B5">
        <w:rPr>
          <w:rFonts w:asciiTheme="minorHAnsi" w:hAnsiTheme="minorHAnsi" w:cstheme="minorHAnsi"/>
          <w:sz w:val="22"/>
          <w:szCs w:val="22"/>
        </w:rPr>
        <w:t xml:space="preserve"> staff</w:t>
      </w:r>
      <w:r w:rsidRPr="00592D3F" w:rsidR="007B00D8">
        <w:rPr>
          <w:rFonts w:asciiTheme="minorHAnsi" w:hAnsiTheme="minorHAnsi" w:cstheme="minorHAnsi"/>
          <w:sz w:val="22"/>
          <w:szCs w:val="22"/>
        </w:rPr>
        <w:t>.</w:t>
      </w:r>
      <w:r w:rsidRPr="00592D3F">
        <w:rPr>
          <w:rStyle w:val="eop"/>
          <w:rFonts w:asciiTheme="minorHAnsi" w:hAnsiTheme="minorHAnsi" w:cstheme="minorHAnsi"/>
          <w:sz w:val="22"/>
          <w:szCs w:val="22"/>
        </w:rPr>
        <w:t> </w:t>
      </w:r>
    </w:p>
    <w:p w:rsidR="00AE3D21" w:rsidRPr="00592D3F" w:rsidP="3E8B0C35" w14:paraId="00C22DE5" w14:textId="19D08BDC">
      <w:pPr>
        <w:pStyle w:val="paragraph"/>
        <w:numPr>
          <w:ilvl w:val="1"/>
          <w:numId w:val="39"/>
        </w:numPr>
        <w:spacing w:before="0" w:beforeAutospacing="0" w:after="0" w:afterAutospacing="0" w:line="276" w:lineRule="auto"/>
        <w:textAlignment w:val="baseline"/>
        <w:rPr>
          <w:rStyle w:val="eop"/>
          <w:rFonts w:asciiTheme="minorHAnsi" w:hAnsiTheme="minorHAnsi" w:cstheme="minorBidi"/>
          <w:sz w:val="22"/>
          <w:szCs w:val="22"/>
        </w:rPr>
      </w:pPr>
      <w:r w:rsidRPr="3E8B0C35">
        <w:rPr>
          <w:rStyle w:val="normaltextrun"/>
          <w:rFonts w:asciiTheme="minorHAnsi" w:hAnsiTheme="minorHAnsi" w:cstheme="minorBidi"/>
          <w:sz w:val="22"/>
          <w:szCs w:val="22"/>
        </w:rPr>
        <w:t xml:space="preserve">Affected facilities have the option of identifying specific </w:t>
      </w:r>
      <w:r w:rsidRPr="3E8B0C35">
        <w:rPr>
          <w:rStyle w:val="normaltextrun"/>
          <w:rFonts w:asciiTheme="minorHAnsi" w:hAnsiTheme="minorHAnsi" w:cstheme="minorBidi"/>
          <w:sz w:val="22"/>
          <w:szCs w:val="22"/>
        </w:rPr>
        <w:t>serially-numbered</w:t>
      </w:r>
      <w:r w:rsidRPr="3E8B0C35">
        <w:rPr>
          <w:rStyle w:val="normaltextrun"/>
          <w:rFonts w:asciiTheme="minorHAnsi" w:hAnsiTheme="minorHAnsi" w:cstheme="minorBidi"/>
          <w:sz w:val="22"/>
          <w:szCs w:val="22"/>
        </w:rPr>
        <w:t xml:space="preserve"> allowances to be deducted by EPA. </w:t>
      </w:r>
      <w:r w:rsidRPr="3E8B0C35" w:rsidR="008C0D9B">
        <w:rPr>
          <w:rFonts w:asciiTheme="minorHAnsi" w:hAnsiTheme="minorHAnsi" w:cstheme="minorBidi"/>
          <w:sz w:val="22"/>
          <w:szCs w:val="22"/>
        </w:rPr>
        <w:t>Based on the number of submissions for the 2023 and 2024 compliance periods, EPA assumes that approximately 152 affected facilities will submit optional allowance deduction information each year during the period covered by this ICR.</w:t>
      </w:r>
      <w:r w:rsidRPr="3E8B0C35" w:rsidR="007730D1">
        <w:rPr>
          <w:rFonts w:asciiTheme="minorHAnsi" w:hAnsiTheme="minorHAnsi" w:cstheme="minorBidi"/>
          <w:sz w:val="22"/>
          <w:szCs w:val="22"/>
        </w:rPr>
        <w:t xml:space="preserve"> </w:t>
      </w:r>
      <w:r w:rsidRPr="3E8B0C35" w:rsidR="00385832">
        <w:rPr>
          <w:rFonts w:asciiTheme="minorHAnsi" w:hAnsiTheme="minorHAnsi" w:cstheme="minorBidi"/>
          <w:sz w:val="22"/>
          <w:szCs w:val="22"/>
        </w:rPr>
        <w:t>EPA esti</w:t>
      </w:r>
      <w:r w:rsidRPr="3E8B0C35" w:rsidR="007112CA">
        <w:rPr>
          <w:rFonts w:asciiTheme="minorHAnsi" w:hAnsiTheme="minorHAnsi" w:cstheme="minorBidi"/>
          <w:sz w:val="22"/>
          <w:szCs w:val="22"/>
        </w:rPr>
        <w:t xml:space="preserve">mates </w:t>
      </w:r>
      <w:r w:rsidRPr="3E8B0C35" w:rsidR="00C65155">
        <w:rPr>
          <w:rFonts w:asciiTheme="minorHAnsi" w:hAnsiTheme="minorHAnsi" w:cstheme="minorBidi"/>
          <w:sz w:val="22"/>
          <w:szCs w:val="22"/>
        </w:rPr>
        <w:t>2 submissions will be sub</w:t>
      </w:r>
      <w:r w:rsidRPr="3E8B0C35" w:rsidR="0042619D">
        <w:rPr>
          <w:rFonts w:asciiTheme="minorHAnsi" w:hAnsiTheme="minorHAnsi" w:cstheme="minorBidi"/>
          <w:sz w:val="22"/>
          <w:szCs w:val="22"/>
        </w:rPr>
        <w:t>m</w:t>
      </w:r>
      <w:r w:rsidRPr="3E8B0C35" w:rsidR="00C65155">
        <w:rPr>
          <w:rFonts w:asciiTheme="minorHAnsi" w:hAnsiTheme="minorHAnsi" w:cstheme="minorBidi"/>
          <w:sz w:val="22"/>
          <w:szCs w:val="22"/>
        </w:rPr>
        <w:t>i</w:t>
      </w:r>
      <w:r w:rsidRPr="3E8B0C35" w:rsidR="0042619D">
        <w:rPr>
          <w:rFonts w:asciiTheme="minorHAnsi" w:hAnsiTheme="minorHAnsi" w:cstheme="minorBidi"/>
          <w:sz w:val="22"/>
          <w:szCs w:val="22"/>
        </w:rPr>
        <w:t>t</w:t>
      </w:r>
      <w:r w:rsidRPr="3E8B0C35" w:rsidR="00C65155">
        <w:rPr>
          <w:rFonts w:asciiTheme="minorHAnsi" w:hAnsiTheme="minorHAnsi" w:cstheme="minorBidi"/>
          <w:sz w:val="22"/>
          <w:szCs w:val="22"/>
        </w:rPr>
        <w:t xml:space="preserve">ted via hard copy </w:t>
      </w:r>
      <w:r w:rsidRPr="3E8B0C35" w:rsidR="00F75462">
        <w:rPr>
          <w:rFonts w:asciiTheme="minorHAnsi" w:hAnsiTheme="minorHAnsi" w:cstheme="minorBidi"/>
          <w:sz w:val="22"/>
          <w:szCs w:val="22"/>
        </w:rPr>
        <w:t xml:space="preserve">form </w:t>
      </w:r>
      <w:r w:rsidRPr="3E8B0C35" w:rsidR="00C65155">
        <w:rPr>
          <w:rFonts w:asciiTheme="minorHAnsi" w:hAnsiTheme="minorHAnsi" w:cstheme="minorBidi"/>
          <w:sz w:val="22"/>
          <w:szCs w:val="22"/>
        </w:rPr>
        <w:t>requiring</w:t>
      </w:r>
      <w:r w:rsidRPr="3E8B0C35" w:rsidR="007112CA">
        <w:rPr>
          <w:rFonts w:asciiTheme="minorHAnsi" w:hAnsiTheme="minorHAnsi" w:cstheme="minorBidi"/>
          <w:sz w:val="22"/>
          <w:szCs w:val="22"/>
        </w:rPr>
        <w:t xml:space="preserve"> </w:t>
      </w:r>
      <w:r w:rsidRPr="3E8B0C35" w:rsidR="00794A17">
        <w:rPr>
          <w:rFonts w:asciiTheme="minorHAnsi" w:hAnsiTheme="minorHAnsi" w:cstheme="minorBidi"/>
          <w:sz w:val="22"/>
          <w:szCs w:val="22"/>
        </w:rPr>
        <w:t xml:space="preserve">processing by </w:t>
      </w:r>
      <w:r w:rsidRPr="3E8B0C35" w:rsidR="00F070E1">
        <w:rPr>
          <w:rFonts w:asciiTheme="minorHAnsi" w:hAnsiTheme="minorHAnsi" w:cstheme="minorBidi"/>
          <w:sz w:val="22"/>
          <w:szCs w:val="22"/>
        </w:rPr>
        <w:t>EPA</w:t>
      </w:r>
      <w:r w:rsidRPr="3E8B0C35" w:rsidR="001125B5">
        <w:rPr>
          <w:rFonts w:asciiTheme="minorHAnsi" w:hAnsiTheme="minorHAnsi" w:cstheme="minorBidi"/>
          <w:sz w:val="22"/>
          <w:szCs w:val="22"/>
        </w:rPr>
        <w:t xml:space="preserve"> staff.</w:t>
      </w:r>
      <w:r w:rsidRPr="3E8B0C35" w:rsidR="00F070E1">
        <w:rPr>
          <w:rFonts w:asciiTheme="minorHAnsi" w:hAnsiTheme="minorHAnsi" w:cstheme="minorBidi"/>
          <w:sz w:val="22"/>
          <w:szCs w:val="22"/>
        </w:rPr>
        <w:t xml:space="preserve"> </w:t>
      </w:r>
    </w:p>
    <w:p w:rsidR="00F53842" w:rsidRPr="00592D3F" w:rsidP="00AB64F9" w14:paraId="53575D25" w14:textId="5DCC9A2B">
      <w:pPr>
        <w:pStyle w:val="ListParagraph"/>
        <w:numPr>
          <w:ilvl w:val="1"/>
          <w:numId w:val="39"/>
        </w:numPr>
        <w:spacing w:after="0" w:line="276" w:lineRule="auto"/>
        <w:textAlignment w:val="baseline"/>
        <w:rPr>
          <w:rFonts w:eastAsia="Times New Roman" w:cstheme="minorHAnsi"/>
        </w:rPr>
      </w:pPr>
      <w:r w:rsidRPr="00592D3F">
        <w:rPr>
          <w:rFonts w:eastAsia="Times New Roman" w:cstheme="minorHAnsi"/>
        </w:rPr>
        <w:t>Agency burden and costs are divided into those costs associated with implementing a tracking</w:t>
      </w:r>
      <w:r w:rsidRPr="00592D3F" w:rsidR="00AE3D21">
        <w:rPr>
          <w:rFonts w:eastAsia="Times New Roman" w:cstheme="minorHAnsi"/>
        </w:rPr>
        <w:t xml:space="preserve"> </w:t>
      </w:r>
      <w:r w:rsidRPr="00592D3F">
        <w:rPr>
          <w:rFonts w:eastAsia="Times New Roman" w:cstheme="minorHAnsi"/>
        </w:rPr>
        <w:t>system, and those associated with transferring and deducting allowances. </w:t>
      </w:r>
    </w:p>
    <w:p w:rsidR="00085FEF" w:rsidRPr="00592D3F" w:rsidP="00AB64F9" w14:paraId="779D1C2E" w14:textId="21C66682">
      <w:pPr>
        <w:pStyle w:val="ListParagraph"/>
        <w:numPr>
          <w:ilvl w:val="2"/>
          <w:numId w:val="39"/>
        </w:numPr>
        <w:spacing w:after="0" w:line="276" w:lineRule="auto"/>
        <w:textAlignment w:val="baseline"/>
        <w:rPr>
          <w:rFonts w:eastAsia="Times New Roman" w:cstheme="minorHAnsi"/>
        </w:rPr>
      </w:pPr>
      <w:r w:rsidRPr="00592D3F">
        <w:rPr>
          <w:rFonts w:eastAsia="Times New Roman" w:cstheme="minorHAnsi"/>
        </w:rPr>
        <w:t>Allowance Tracking System </w:t>
      </w:r>
    </w:p>
    <w:p w:rsidR="00085FEF" w:rsidRPr="00001D40" w:rsidP="00AB64F9" w14:paraId="5753B7DF" w14:textId="77777777">
      <w:pPr>
        <w:pStyle w:val="ListParagraph"/>
        <w:numPr>
          <w:ilvl w:val="3"/>
          <w:numId w:val="39"/>
        </w:numPr>
        <w:spacing w:after="0" w:line="276" w:lineRule="auto"/>
        <w:textAlignment w:val="baseline"/>
        <w:rPr>
          <w:rFonts w:eastAsia="Times New Roman" w:cstheme="minorHAnsi"/>
        </w:rPr>
      </w:pPr>
      <w:r w:rsidRPr="00592D3F">
        <w:rPr>
          <w:rFonts w:eastAsia="Times New Roman" w:cstheme="minorHAnsi"/>
        </w:rPr>
        <w:t>The allowance system regulations set the general requirements for the</w:t>
      </w:r>
      <w:r w:rsidRPr="00001D40">
        <w:rPr>
          <w:rFonts w:eastAsia="Times New Roman" w:cstheme="minorHAnsi"/>
        </w:rPr>
        <w:t xml:space="preserve"> tracking system, which has been developed by EPA. </w:t>
      </w:r>
      <w:r w:rsidRPr="00001D40">
        <w:rPr>
          <w:rFonts w:eastAsia="Times New Roman" w:cstheme="minorHAnsi"/>
        </w:rPr>
        <w:t>In order to</w:t>
      </w:r>
      <w:r w:rsidRPr="00001D40">
        <w:rPr>
          <w:rFonts w:eastAsia="Times New Roman" w:cstheme="minorHAnsi"/>
        </w:rPr>
        <w:t xml:space="preserve"> track allowances, the allowance tracking system must include information on (1) allowance allocations for each affected facility, (2) allowance transfers and deductions, and (3) allowance holders. Also, to allow for the transfer of future year allowances, the allowance tracking system will contain allowance information for thirty years into the future. EPA has made the information compiled in the allowance tracking system </w:t>
      </w:r>
      <w:r w:rsidRPr="00001D40">
        <w:rPr>
          <w:rFonts w:eastAsia="Times New Roman" w:cstheme="minorHAnsi"/>
        </w:rPr>
        <w:t>publicly available on the internet and is continually working to improve electronic access. </w:t>
      </w:r>
    </w:p>
    <w:p w:rsidR="00F53842" w:rsidRPr="004D4E6B" w:rsidP="3E8B0C35" w14:paraId="2478B1B6" w14:textId="33750A2C">
      <w:pPr>
        <w:pStyle w:val="ListParagraph"/>
        <w:numPr>
          <w:ilvl w:val="3"/>
          <w:numId w:val="39"/>
        </w:numPr>
        <w:spacing w:after="0" w:line="276" w:lineRule="auto"/>
        <w:textAlignment w:val="baseline"/>
        <w:rPr>
          <w:rFonts w:eastAsia="Times New Roman"/>
        </w:rPr>
      </w:pPr>
      <w:r w:rsidRPr="3E8B0C35">
        <w:rPr>
          <w:rFonts w:eastAsia="Times New Roman"/>
        </w:rPr>
        <w:t>EPA incurs annual operation and maintenance (O&amp;M) costs for running an electronic transmission network, system enhancement, general maintenance, and employee salaries. These O&amp;M costs are estimated at $2.5 million annually.</w:t>
      </w:r>
    </w:p>
    <w:p w:rsidR="00085FEF" w:rsidRPr="00001D40" w:rsidP="00AB64F9" w14:paraId="7579DF56" w14:textId="77777777">
      <w:pPr>
        <w:pStyle w:val="ListParagraph"/>
        <w:numPr>
          <w:ilvl w:val="2"/>
          <w:numId w:val="39"/>
        </w:numPr>
        <w:spacing w:after="0" w:line="276" w:lineRule="auto"/>
        <w:textAlignment w:val="baseline"/>
        <w:rPr>
          <w:rFonts w:eastAsia="Times New Roman" w:cstheme="minorHAnsi"/>
        </w:rPr>
      </w:pPr>
      <w:r w:rsidRPr="00001D40">
        <w:rPr>
          <w:rFonts w:eastAsia="Times New Roman" w:cstheme="minorHAnsi"/>
        </w:rPr>
        <w:t>Transferring and Deducting Allowances </w:t>
      </w:r>
    </w:p>
    <w:p w:rsidR="00CA3449" w:rsidRPr="00001D40" w:rsidP="00AB64F9" w14:paraId="64A82684" w14:textId="77777777">
      <w:pPr>
        <w:pStyle w:val="ListParagraph"/>
        <w:numPr>
          <w:ilvl w:val="3"/>
          <w:numId w:val="39"/>
        </w:numPr>
        <w:spacing w:after="0" w:line="276" w:lineRule="auto"/>
        <w:textAlignment w:val="baseline"/>
        <w:rPr>
          <w:rFonts w:eastAsia="Times New Roman" w:cstheme="minorHAnsi"/>
        </w:rPr>
      </w:pPr>
      <w:r w:rsidRPr="00001D40">
        <w:rPr>
          <w:rFonts w:eastAsia="Times New Roman" w:cstheme="minorHAnsi"/>
        </w:rPr>
        <w:t>Upon receipt of an allowance transfer notification in hard copy form, EPA will (1) review allowance transfer information for completeness and ensure that all requirements have been met, (2) record allowance transfers, and (3) notify both participants to a transfer whether the transfer was recorded. EPA estimates that it will require an average of one hour to perform these activities for each notification. Upon receipt of an optional allowance deduction form, in hard copy, EPA will record the data into the EPA data system. This is estimated to take about 30 minutes per form. </w:t>
      </w:r>
    </w:p>
    <w:p w:rsidR="00A67ABA" w:rsidP="00AB64F9" w14:paraId="39499BCD" w14:textId="5F24CEDA">
      <w:pPr>
        <w:pStyle w:val="ListParagraph"/>
        <w:numPr>
          <w:ilvl w:val="3"/>
          <w:numId w:val="39"/>
        </w:numPr>
        <w:spacing w:after="0" w:line="276" w:lineRule="auto"/>
        <w:textAlignment w:val="baseline"/>
        <w:rPr>
          <w:rFonts w:eastAsia="Times New Roman" w:cstheme="minorHAnsi"/>
        </w:rPr>
      </w:pPr>
      <w:r>
        <w:rPr>
          <w:rFonts w:eastAsia="Times New Roman" w:cstheme="minorHAnsi"/>
        </w:rPr>
        <w:t>The EPA estimates</w:t>
      </w:r>
      <w:r w:rsidRPr="00001D40">
        <w:rPr>
          <w:rFonts w:eastAsia="Times New Roman" w:cstheme="minorHAnsi"/>
        </w:rPr>
        <w:t xml:space="preserve"> </w:t>
      </w:r>
      <w:r w:rsidR="00BF15BE">
        <w:rPr>
          <w:rFonts w:eastAsia="Times New Roman" w:cstheme="minorHAnsi"/>
        </w:rPr>
        <w:t>5</w:t>
      </w:r>
      <w:r w:rsidRPr="00001D40">
        <w:rPr>
          <w:rFonts w:eastAsia="Times New Roman" w:cstheme="minorHAnsi"/>
        </w:rPr>
        <w:t xml:space="preserve"> (out of the </w:t>
      </w:r>
      <w:r w:rsidR="00BF15BE">
        <w:rPr>
          <w:rFonts w:eastAsia="Times New Roman" w:cstheme="minorHAnsi"/>
        </w:rPr>
        <w:t>517</w:t>
      </w:r>
      <w:r w:rsidRPr="00001D40">
        <w:rPr>
          <w:rFonts w:eastAsia="Times New Roman" w:cstheme="minorHAnsi"/>
        </w:rPr>
        <w:t xml:space="preserve">total) transfers will be made using paper forms each year and 2 (out of the </w:t>
      </w:r>
      <w:r>
        <w:rPr>
          <w:rFonts w:eastAsia="Times New Roman" w:cstheme="minorHAnsi"/>
        </w:rPr>
        <w:t>152</w:t>
      </w:r>
      <w:r w:rsidRPr="00001D40">
        <w:rPr>
          <w:rFonts w:eastAsia="Times New Roman" w:cstheme="minorHAnsi"/>
        </w:rPr>
        <w:t xml:space="preserve"> total) deduction submissions will be </w:t>
      </w:r>
      <w:r w:rsidR="00D44FAF">
        <w:rPr>
          <w:rFonts w:eastAsia="Times New Roman" w:cstheme="minorHAnsi"/>
        </w:rPr>
        <w:t xml:space="preserve">made using </w:t>
      </w:r>
      <w:r w:rsidR="00301D0B">
        <w:rPr>
          <w:rFonts w:eastAsia="Times New Roman" w:cstheme="minorHAnsi"/>
        </w:rPr>
        <w:t>a paper form</w:t>
      </w:r>
      <w:r w:rsidRPr="00001D40">
        <w:rPr>
          <w:rFonts w:eastAsia="Times New Roman" w:cstheme="minorHAnsi"/>
        </w:rPr>
        <w:t xml:space="preserve">, the annual burden to EPA will be about </w:t>
      </w:r>
      <w:r w:rsidR="000B20C4">
        <w:rPr>
          <w:rFonts w:eastAsia="Times New Roman" w:cstheme="minorHAnsi"/>
        </w:rPr>
        <w:t>6</w:t>
      </w:r>
      <w:r w:rsidRPr="00001D40">
        <w:rPr>
          <w:rFonts w:eastAsia="Times New Roman" w:cstheme="minorHAnsi"/>
        </w:rPr>
        <w:t xml:space="preserve"> hours. There is no Agency burden when participants use the electronic online transfer system (also used for the optional deduction submission), since all EPA functions are automated. Costs for maintaining the online system are included in the O&amp;M costs. The total </w:t>
      </w:r>
      <w:r w:rsidR="00C16D1B">
        <w:rPr>
          <w:rFonts w:eastAsia="Times New Roman" w:cstheme="minorHAnsi"/>
        </w:rPr>
        <w:t>labor</w:t>
      </w:r>
      <w:r w:rsidRPr="00001D40">
        <w:rPr>
          <w:rFonts w:eastAsia="Times New Roman" w:cstheme="minorHAnsi"/>
        </w:rPr>
        <w:t xml:space="preserve"> cost to EPA will be about </w:t>
      </w:r>
      <w:r w:rsidRPr="0010043D">
        <w:rPr>
          <w:rFonts w:eastAsia="Times New Roman" w:cstheme="minorHAnsi"/>
        </w:rPr>
        <w:t>$</w:t>
      </w:r>
      <w:r w:rsidR="004B25C7">
        <w:rPr>
          <w:rFonts w:eastAsia="Times New Roman" w:cstheme="minorHAnsi"/>
        </w:rPr>
        <w:t>567</w:t>
      </w:r>
      <w:r w:rsidRPr="0010043D">
        <w:rPr>
          <w:rFonts w:eastAsia="Times New Roman" w:cstheme="minorHAnsi"/>
        </w:rPr>
        <w:t xml:space="preserve"> annually.</w:t>
      </w:r>
      <w:r w:rsidRPr="00001D40">
        <w:rPr>
          <w:rFonts w:eastAsia="Times New Roman" w:cstheme="minorHAnsi"/>
        </w:rPr>
        <w:t xml:space="preserve"> </w:t>
      </w:r>
      <w:r w:rsidRPr="00001D40" w:rsidR="00CD22D4">
        <w:rPr>
          <w:rFonts w:eastAsia="Times New Roman" w:cstheme="minorHAnsi"/>
        </w:rPr>
        <w:t xml:space="preserve">Table </w:t>
      </w:r>
      <w:r w:rsidRPr="00001D40" w:rsidR="00C34DD9">
        <w:rPr>
          <w:rFonts w:eastAsia="Times New Roman" w:cstheme="minorHAnsi"/>
        </w:rPr>
        <w:t>14.</w:t>
      </w:r>
      <w:r w:rsidRPr="00001D40" w:rsidR="00CD22D4">
        <w:rPr>
          <w:rFonts w:eastAsia="Times New Roman" w:cstheme="minorHAnsi"/>
        </w:rPr>
        <w:t xml:space="preserve">2 </w:t>
      </w:r>
      <w:r w:rsidRPr="00001D40">
        <w:rPr>
          <w:rFonts w:eastAsia="Times New Roman" w:cstheme="minorHAnsi"/>
        </w:rPr>
        <w:t>summarizes the Agency burden and cost estimates for recording and transferring allowances. </w:t>
      </w:r>
    </w:p>
    <w:p w:rsidR="006D6864" w:rsidP="006D6864" w14:paraId="760C58A4" w14:textId="77777777">
      <w:pPr>
        <w:spacing w:after="0" w:line="276" w:lineRule="auto"/>
        <w:textAlignment w:val="baseline"/>
        <w:rPr>
          <w:rFonts w:eastAsia="Times New Roman" w:cstheme="minorHAnsi"/>
        </w:rPr>
      </w:pPr>
    </w:p>
    <w:p w:rsidR="00A67ABA" w:rsidRPr="00A67ABA" w:rsidP="006D6864" w14:paraId="57EAE8BA" w14:textId="6297D67D">
      <w:pPr>
        <w:spacing w:after="0" w:line="276" w:lineRule="auto"/>
        <w:textAlignment w:val="baseline"/>
        <w:rPr>
          <w:rFonts w:eastAsia="Times New Roman" w:cstheme="minorHAnsi"/>
        </w:rPr>
      </w:pPr>
      <w:r w:rsidRPr="00A67ABA">
        <w:rPr>
          <w:rFonts w:eastAsia="Times New Roman" w:cstheme="minorHAnsi"/>
        </w:rPr>
        <w:t> </w:t>
      </w:r>
    </w:p>
    <w:p w:rsidR="00A67ABA" w:rsidRPr="00A67ABA" w:rsidP="00A12E2A" w14:paraId="493D263C" w14:textId="301B5EBF">
      <w:pPr>
        <w:spacing w:after="0" w:line="276" w:lineRule="auto"/>
        <w:jc w:val="center"/>
        <w:textAlignment w:val="baseline"/>
        <w:rPr>
          <w:rFonts w:eastAsia="Times New Roman" w:cstheme="minorHAnsi"/>
        </w:rPr>
      </w:pPr>
      <w:r w:rsidRPr="009D64AE">
        <w:rPr>
          <w:rFonts w:eastAsia="Times New Roman" w:cstheme="minorHAnsi"/>
          <w:b/>
          <w:bCs/>
        </w:rPr>
        <w:t xml:space="preserve">Table </w:t>
      </w:r>
      <w:r w:rsidRPr="009D64AE" w:rsidR="00C34DD9">
        <w:rPr>
          <w:rFonts w:eastAsia="Times New Roman" w:cstheme="minorHAnsi"/>
          <w:b/>
          <w:bCs/>
        </w:rPr>
        <w:t>14.</w:t>
      </w:r>
      <w:r w:rsidRPr="009D64AE">
        <w:rPr>
          <w:rFonts w:eastAsia="Times New Roman" w:cstheme="minorHAnsi"/>
          <w:b/>
          <w:bCs/>
        </w:rPr>
        <w:t>2: Agency Burden/Cost Estimates for Allowance Transfers</w:t>
      </w:r>
      <w:r w:rsidRPr="00A67ABA">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2"/>
        <w:gridCol w:w="1678"/>
        <w:gridCol w:w="1439"/>
        <w:gridCol w:w="1602"/>
        <w:gridCol w:w="1333"/>
      </w:tblGrid>
      <w:tr w14:paraId="01ED4C72" w14:textId="77777777" w:rsidTr="00A67ABA">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70" w:type="dxa"/>
            <w:tcBorders>
              <w:top w:val="double" w:sz="6" w:space="0" w:color="auto"/>
              <w:left w:val="double" w:sz="6" w:space="0" w:color="auto"/>
              <w:bottom w:val="single" w:sz="6" w:space="0" w:color="auto"/>
              <w:right w:val="nil"/>
            </w:tcBorders>
            <w:shd w:val="clear" w:color="auto" w:fill="auto"/>
            <w:vAlign w:val="bottom"/>
            <w:hideMark/>
          </w:tcPr>
          <w:p w:rsidR="00A67ABA" w:rsidRPr="00A67ABA" w:rsidP="00001D40" w14:paraId="49F0BA8A" w14:textId="77777777">
            <w:pPr>
              <w:spacing w:after="0" w:line="276" w:lineRule="auto"/>
              <w:jc w:val="center"/>
              <w:textAlignment w:val="baseline"/>
              <w:rPr>
                <w:rFonts w:eastAsia="Times New Roman" w:cstheme="minorHAnsi"/>
              </w:rPr>
            </w:pPr>
            <w:r w:rsidRPr="00A67ABA">
              <w:rPr>
                <w:rFonts w:eastAsia="Times New Roman" w:cstheme="minorHAnsi"/>
                <w:b/>
                <w:bCs/>
              </w:rPr>
              <w:t>Tasks</w:t>
            </w:r>
            <w:r w:rsidRPr="00A67ABA">
              <w:rPr>
                <w:rFonts w:eastAsia="Times New Roman" w:cstheme="minorHAnsi"/>
              </w:rPr>
              <w:t> </w:t>
            </w:r>
          </w:p>
        </w:tc>
        <w:tc>
          <w:tcPr>
            <w:tcW w:w="1680" w:type="dxa"/>
            <w:tcBorders>
              <w:top w:val="double" w:sz="6" w:space="0" w:color="auto"/>
              <w:left w:val="single" w:sz="6" w:space="0" w:color="auto"/>
              <w:bottom w:val="single" w:sz="6" w:space="0" w:color="auto"/>
              <w:right w:val="nil"/>
            </w:tcBorders>
            <w:shd w:val="clear" w:color="auto" w:fill="auto"/>
            <w:vAlign w:val="bottom"/>
            <w:hideMark/>
          </w:tcPr>
          <w:p w:rsidR="00A67ABA" w:rsidRPr="00A67ABA" w:rsidP="00001D40" w14:paraId="33312BCE" w14:textId="77777777">
            <w:pPr>
              <w:spacing w:after="0" w:line="276" w:lineRule="auto"/>
              <w:jc w:val="center"/>
              <w:textAlignment w:val="baseline"/>
              <w:rPr>
                <w:rFonts w:eastAsia="Times New Roman" w:cstheme="minorHAnsi"/>
              </w:rPr>
            </w:pPr>
            <w:r w:rsidRPr="00A67ABA">
              <w:rPr>
                <w:rFonts w:eastAsia="Times New Roman" w:cstheme="minorHAnsi"/>
                <w:b/>
                <w:bCs/>
              </w:rPr>
              <w:t>Burden hours</w:t>
            </w:r>
            <w:r w:rsidRPr="00A67ABA">
              <w:rPr>
                <w:rFonts w:eastAsia="Times New Roman" w:cstheme="minorHAnsi"/>
              </w:rPr>
              <w:t> </w:t>
            </w:r>
          </w:p>
          <w:p w:rsidR="00A67ABA" w:rsidRPr="00A67ABA" w:rsidP="00001D40" w14:paraId="006A585B" w14:textId="77777777">
            <w:pPr>
              <w:spacing w:after="0" w:line="276" w:lineRule="auto"/>
              <w:jc w:val="center"/>
              <w:textAlignment w:val="baseline"/>
              <w:rPr>
                <w:rFonts w:eastAsia="Times New Roman" w:cstheme="minorHAnsi"/>
              </w:rPr>
            </w:pPr>
            <w:r w:rsidRPr="00A67ABA">
              <w:rPr>
                <w:rFonts w:eastAsia="Times New Roman" w:cstheme="minorHAnsi"/>
                <w:b/>
                <w:bCs/>
              </w:rPr>
              <w:t>per occurrence</w:t>
            </w:r>
            <w:r w:rsidRPr="00A67ABA">
              <w:rPr>
                <w:rFonts w:eastAsia="Times New Roman" w:cstheme="minorHAnsi"/>
              </w:rPr>
              <w:t> </w:t>
            </w:r>
          </w:p>
        </w:tc>
        <w:tc>
          <w:tcPr>
            <w:tcW w:w="1425" w:type="dxa"/>
            <w:tcBorders>
              <w:top w:val="double" w:sz="6" w:space="0" w:color="auto"/>
              <w:left w:val="single" w:sz="6" w:space="0" w:color="auto"/>
              <w:bottom w:val="single" w:sz="6" w:space="0" w:color="auto"/>
              <w:right w:val="nil"/>
            </w:tcBorders>
            <w:shd w:val="clear" w:color="auto" w:fill="auto"/>
            <w:vAlign w:val="bottom"/>
            <w:hideMark/>
          </w:tcPr>
          <w:p w:rsidR="00A67ABA" w:rsidRPr="00A67ABA" w:rsidP="00001D40" w14:paraId="0ACC385C" w14:textId="77777777">
            <w:pPr>
              <w:spacing w:after="0" w:line="276" w:lineRule="auto"/>
              <w:jc w:val="center"/>
              <w:textAlignment w:val="baseline"/>
              <w:rPr>
                <w:rFonts w:eastAsia="Times New Roman" w:cstheme="minorHAnsi"/>
              </w:rPr>
            </w:pPr>
            <w:r w:rsidRPr="00A67ABA">
              <w:rPr>
                <w:rFonts w:eastAsia="Times New Roman" w:cstheme="minorHAnsi"/>
                <w:b/>
                <w:bCs/>
              </w:rPr>
              <w:t xml:space="preserve">Cost per </w:t>
            </w:r>
            <w:r w:rsidRPr="00A67ABA">
              <w:rPr>
                <w:rFonts w:eastAsia="Times New Roman" w:cstheme="minorHAnsi"/>
                <w:b/>
                <w:bCs/>
              </w:rPr>
              <w:t>occurrence</w:t>
            </w:r>
            <w:r w:rsidRPr="00A67ABA">
              <w:rPr>
                <w:rFonts w:eastAsia="Times New Roman" w:cstheme="minorHAnsi"/>
                <w:b/>
                <w:bCs/>
                <w:vertAlign w:val="superscript"/>
              </w:rPr>
              <w:t>a</w:t>
            </w:r>
            <w:r w:rsidRPr="00A67ABA">
              <w:rPr>
                <w:rFonts w:eastAsia="Times New Roman" w:cstheme="minorHAnsi"/>
              </w:rPr>
              <w:t> </w:t>
            </w:r>
          </w:p>
        </w:tc>
        <w:tc>
          <w:tcPr>
            <w:tcW w:w="1605" w:type="dxa"/>
            <w:tcBorders>
              <w:top w:val="double" w:sz="6" w:space="0" w:color="auto"/>
              <w:left w:val="single" w:sz="6" w:space="0" w:color="auto"/>
              <w:bottom w:val="single" w:sz="6" w:space="0" w:color="auto"/>
              <w:right w:val="nil"/>
            </w:tcBorders>
            <w:shd w:val="clear" w:color="auto" w:fill="auto"/>
            <w:vAlign w:val="bottom"/>
            <w:hideMark/>
          </w:tcPr>
          <w:p w:rsidR="00A67ABA" w:rsidRPr="00A67ABA" w:rsidP="00001D40" w14:paraId="579AD5B9" w14:textId="77777777">
            <w:pPr>
              <w:spacing w:after="0" w:line="276" w:lineRule="auto"/>
              <w:jc w:val="center"/>
              <w:textAlignment w:val="baseline"/>
              <w:rPr>
                <w:rFonts w:eastAsia="Times New Roman" w:cstheme="minorHAnsi"/>
              </w:rPr>
            </w:pPr>
            <w:r w:rsidRPr="00A67ABA">
              <w:rPr>
                <w:rFonts w:eastAsia="Times New Roman" w:cstheme="minorHAnsi"/>
                <w:b/>
                <w:bCs/>
              </w:rPr>
              <w:t xml:space="preserve">Total </w:t>
            </w:r>
            <w:r w:rsidRPr="00A67ABA">
              <w:rPr>
                <w:rFonts w:eastAsia="Times New Roman" w:cstheme="minorHAnsi"/>
                <w:b/>
                <w:bCs/>
              </w:rPr>
              <w:t>burden</w:t>
            </w:r>
            <w:r w:rsidRPr="00A67ABA">
              <w:rPr>
                <w:rFonts w:eastAsia="Times New Roman" w:cstheme="minorHAnsi"/>
                <w:b/>
                <w:bCs/>
                <w:vertAlign w:val="superscript"/>
              </w:rPr>
              <w:t>b</w:t>
            </w:r>
            <w:r w:rsidRPr="00A67ABA">
              <w:rPr>
                <w:rFonts w:eastAsia="Times New Roman" w:cstheme="minorHAnsi"/>
                <w:b/>
                <w:bCs/>
              </w:rPr>
              <w:t xml:space="preserve"> (hours)</w:t>
            </w:r>
            <w:r w:rsidRPr="00A67ABA">
              <w:rPr>
                <w:rFonts w:eastAsia="Times New Roman" w:cstheme="minorHAnsi"/>
              </w:rPr>
              <w:t> </w:t>
            </w:r>
          </w:p>
        </w:tc>
        <w:tc>
          <w:tcPr>
            <w:tcW w:w="1335"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A67ABA" w:rsidRPr="00A67ABA" w:rsidP="00001D40" w14:paraId="6A05F74E" w14:textId="77777777">
            <w:pPr>
              <w:spacing w:after="0" w:line="276" w:lineRule="auto"/>
              <w:jc w:val="center"/>
              <w:textAlignment w:val="baseline"/>
              <w:rPr>
                <w:rFonts w:eastAsia="Times New Roman" w:cstheme="minorHAnsi"/>
              </w:rPr>
            </w:pPr>
            <w:r w:rsidRPr="00A67ABA">
              <w:rPr>
                <w:rFonts w:eastAsia="Times New Roman" w:cstheme="minorHAnsi"/>
                <w:b/>
                <w:bCs/>
              </w:rPr>
              <w:t>Total cost</w:t>
            </w:r>
            <w:r w:rsidRPr="00A67ABA">
              <w:rPr>
                <w:rFonts w:eastAsia="Times New Roman" w:cstheme="minorHAnsi"/>
              </w:rPr>
              <w:t> </w:t>
            </w:r>
          </w:p>
        </w:tc>
      </w:tr>
      <w:tr w14:paraId="0E316524" w14:textId="77777777" w:rsidTr="00A67ABA">
        <w:tblPrEx>
          <w:tblW w:w="0" w:type="dxa"/>
          <w:tblCellMar>
            <w:left w:w="0" w:type="dxa"/>
            <w:right w:w="0" w:type="dxa"/>
          </w:tblCellMar>
          <w:tblLook w:val="04A0"/>
        </w:tblPrEx>
        <w:trPr>
          <w:trHeight w:val="300"/>
        </w:trPr>
        <w:tc>
          <w:tcPr>
            <w:tcW w:w="3270" w:type="dxa"/>
            <w:tcBorders>
              <w:top w:val="single" w:sz="6" w:space="0" w:color="auto"/>
              <w:left w:val="double" w:sz="6" w:space="0" w:color="auto"/>
              <w:bottom w:val="nil"/>
              <w:right w:val="nil"/>
            </w:tcBorders>
            <w:shd w:val="clear" w:color="auto" w:fill="auto"/>
            <w:hideMark/>
          </w:tcPr>
          <w:p w:rsidR="00A67ABA" w:rsidRPr="00A67ABA" w:rsidP="00001D40" w14:paraId="079A747B" w14:textId="77777777">
            <w:pPr>
              <w:spacing w:after="0" w:line="276" w:lineRule="auto"/>
              <w:textAlignment w:val="baseline"/>
              <w:rPr>
                <w:rFonts w:eastAsia="Times New Roman" w:cstheme="minorHAnsi"/>
              </w:rPr>
            </w:pPr>
            <w:r w:rsidRPr="00A67ABA">
              <w:rPr>
                <w:rFonts w:eastAsia="Times New Roman" w:cstheme="minorHAnsi"/>
              </w:rPr>
              <w:t>Review allowance transfer information, record transfer, and notify transfer participants. </w:t>
            </w:r>
          </w:p>
        </w:tc>
        <w:tc>
          <w:tcPr>
            <w:tcW w:w="1680" w:type="dxa"/>
            <w:tcBorders>
              <w:top w:val="single" w:sz="6" w:space="0" w:color="auto"/>
              <w:left w:val="single" w:sz="6" w:space="0" w:color="auto"/>
              <w:bottom w:val="nil"/>
              <w:right w:val="nil"/>
            </w:tcBorders>
            <w:shd w:val="clear" w:color="auto" w:fill="auto"/>
            <w:vAlign w:val="center"/>
            <w:hideMark/>
          </w:tcPr>
          <w:p w:rsidR="00A67ABA" w:rsidRPr="00A67ABA" w:rsidP="00001D40" w14:paraId="4B73359A" w14:textId="77777777">
            <w:pPr>
              <w:spacing w:after="0" w:line="276" w:lineRule="auto"/>
              <w:jc w:val="center"/>
              <w:textAlignment w:val="baseline"/>
              <w:rPr>
                <w:rFonts w:eastAsia="Times New Roman" w:cstheme="minorHAnsi"/>
              </w:rPr>
            </w:pPr>
            <w:r w:rsidRPr="00A67ABA">
              <w:rPr>
                <w:rFonts w:eastAsia="Times New Roman" w:cstheme="minorHAnsi"/>
              </w:rPr>
              <w:t>1 </w:t>
            </w:r>
          </w:p>
        </w:tc>
        <w:tc>
          <w:tcPr>
            <w:tcW w:w="1425" w:type="dxa"/>
            <w:tcBorders>
              <w:top w:val="single" w:sz="6" w:space="0" w:color="auto"/>
              <w:left w:val="single" w:sz="6" w:space="0" w:color="auto"/>
              <w:bottom w:val="nil"/>
              <w:right w:val="nil"/>
            </w:tcBorders>
            <w:shd w:val="clear" w:color="auto" w:fill="auto"/>
            <w:vAlign w:val="center"/>
            <w:hideMark/>
          </w:tcPr>
          <w:p w:rsidR="00A67ABA" w:rsidRPr="00A67ABA" w:rsidP="00001D40" w14:paraId="1DDC3825" w14:textId="531D0ECA">
            <w:pPr>
              <w:spacing w:after="0" w:line="276" w:lineRule="auto"/>
              <w:jc w:val="center"/>
              <w:textAlignment w:val="baseline"/>
              <w:rPr>
                <w:rFonts w:eastAsia="Times New Roman" w:cstheme="minorHAnsi"/>
              </w:rPr>
            </w:pPr>
            <w:r w:rsidRPr="00A67ABA">
              <w:rPr>
                <w:rFonts w:eastAsia="Times New Roman" w:cstheme="minorHAnsi"/>
                <w:color w:val="000000"/>
              </w:rPr>
              <w:t>$</w:t>
            </w:r>
            <w:r w:rsidR="00620BA9">
              <w:rPr>
                <w:rFonts w:eastAsia="Times New Roman" w:cstheme="minorHAnsi"/>
                <w:color w:val="000000"/>
              </w:rPr>
              <w:t>94.</w:t>
            </w:r>
            <w:r w:rsidR="009872D2">
              <w:rPr>
                <w:rFonts w:eastAsia="Times New Roman" w:cstheme="minorHAnsi"/>
                <w:color w:val="000000"/>
              </w:rPr>
              <w:t>49</w:t>
            </w:r>
            <w:r w:rsidRPr="00A67ABA">
              <w:rPr>
                <w:rFonts w:eastAsia="Times New Roman" w:cstheme="minorHAnsi"/>
                <w:color w:val="000000"/>
              </w:rPr>
              <w:t>  </w:t>
            </w:r>
          </w:p>
        </w:tc>
        <w:tc>
          <w:tcPr>
            <w:tcW w:w="1605" w:type="dxa"/>
            <w:tcBorders>
              <w:top w:val="single" w:sz="6" w:space="0" w:color="auto"/>
              <w:left w:val="single" w:sz="6" w:space="0" w:color="auto"/>
              <w:bottom w:val="nil"/>
              <w:right w:val="nil"/>
            </w:tcBorders>
            <w:shd w:val="clear" w:color="auto" w:fill="auto"/>
            <w:vAlign w:val="center"/>
            <w:hideMark/>
          </w:tcPr>
          <w:p w:rsidR="00A67ABA" w:rsidRPr="007942B8" w:rsidP="00001D40" w14:paraId="24629A84" w14:textId="370E5122">
            <w:pPr>
              <w:spacing w:after="0" w:line="276" w:lineRule="auto"/>
              <w:jc w:val="center"/>
              <w:textAlignment w:val="baseline"/>
              <w:rPr>
                <w:rFonts w:eastAsia="Times New Roman" w:cstheme="minorHAnsi"/>
              </w:rPr>
            </w:pPr>
            <w:r w:rsidRPr="007942B8">
              <w:rPr>
                <w:rFonts w:eastAsia="Times New Roman" w:cstheme="minorHAnsi"/>
                <w:color w:val="000000"/>
              </w:rPr>
              <w:t>5</w:t>
            </w:r>
          </w:p>
        </w:tc>
        <w:tc>
          <w:tcPr>
            <w:tcW w:w="1335" w:type="dxa"/>
            <w:tcBorders>
              <w:top w:val="single" w:sz="6" w:space="0" w:color="auto"/>
              <w:left w:val="single" w:sz="6" w:space="0" w:color="auto"/>
              <w:bottom w:val="nil"/>
              <w:right w:val="double" w:sz="6" w:space="0" w:color="auto"/>
            </w:tcBorders>
            <w:shd w:val="clear" w:color="auto" w:fill="auto"/>
            <w:vAlign w:val="center"/>
            <w:hideMark/>
          </w:tcPr>
          <w:p w:rsidR="00A67ABA" w:rsidRPr="007942B8" w:rsidP="00001D40" w14:paraId="75CE80D5" w14:textId="3B4B6017">
            <w:pPr>
              <w:spacing w:after="0" w:line="276" w:lineRule="auto"/>
              <w:jc w:val="center"/>
              <w:textAlignment w:val="baseline"/>
              <w:rPr>
                <w:rFonts w:eastAsia="Times New Roman" w:cstheme="minorHAnsi"/>
              </w:rPr>
            </w:pPr>
            <w:r w:rsidRPr="007942B8">
              <w:rPr>
                <w:rFonts w:eastAsia="Times New Roman" w:cstheme="minorHAnsi"/>
                <w:color w:val="000000"/>
              </w:rPr>
              <w:t>$</w:t>
            </w:r>
            <w:r w:rsidRPr="007942B8" w:rsidR="00150AE6">
              <w:rPr>
                <w:rFonts w:eastAsia="Times New Roman" w:cstheme="minorHAnsi"/>
                <w:color w:val="000000"/>
              </w:rPr>
              <w:t>472.45</w:t>
            </w:r>
            <w:r w:rsidRPr="007942B8">
              <w:rPr>
                <w:rFonts w:eastAsia="Times New Roman" w:cstheme="minorHAnsi"/>
                <w:color w:val="000000"/>
              </w:rPr>
              <w:t> </w:t>
            </w:r>
          </w:p>
        </w:tc>
      </w:tr>
      <w:tr w14:paraId="45E64F6B" w14:textId="77777777" w:rsidTr="00A67ABA">
        <w:tblPrEx>
          <w:tblW w:w="0" w:type="dxa"/>
          <w:tblCellMar>
            <w:left w:w="0" w:type="dxa"/>
            <w:right w:w="0" w:type="dxa"/>
          </w:tblCellMar>
          <w:tblLook w:val="04A0"/>
        </w:tblPrEx>
        <w:trPr>
          <w:trHeight w:val="300"/>
        </w:trPr>
        <w:tc>
          <w:tcPr>
            <w:tcW w:w="3270" w:type="dxa"/>
            <w:tcBorders>
              <w:top w:val="single" w:sz="6" w:space="0" w:color="auto"/>
              <w:left w:val="double" w:sz="6" w:space="0" w:color="auto"/>
              <w:bottom w:val="double" w:sz="6" w:space="0" w:color="auto"/>
              <w:right w:val="nil"/>
            </w:tcBorders>
            <w:shd w:val="clear" w:color="auto" w:fill="auto"/>
            <w:hideMark/>
          </w:tcPr>
          <w:p w:rsidR="00A67ABA" w:rsidRPr="00A67ABA" w:rsidP="00001D40" w14:paraId="1801D000" w14:textId="77777777">
            <w:pPr>
              <w:spacing w:after="0" w:line="276" w:lineRule="auto"/>
              <w:textAlignment w:val="baseline"/>
              <w:rPr>
                <w:rFonts w:eastAsia="Times New Roman" w:cstheme="minorHAnsi"/>
              </w:rPr>
            </w:pPr>
            <w:r w:rsidRPr="00A67ABA">
              <w:rPr>
                <w:rFonts w:eastAsia="Times New Roman" w:cstheme="minorHAnsi"/>
              </w:rPr>
              <w:t>Enter deduction data and deduct allowances. </w:t>
            </w:r>
          </w:p>
        </w:tc>
        <w:tc>
          <w:tcPr>
            <w:tcW w:w="1680" w:type="dxa"/>
            <w:tcBorders>
              <w:top w:val="single" w:sz="6" w:space="0" w:color="auto"/>
              <w:left w:val="single" w:sz="6" w:space="0" w:color="auto"/>
              <w:bottom w:val="double" w:sz="6" w:space="0" w:color="auto"/>
              <w:right w:val="nil"/>
            </w:tcBorders>
            <w:shd w:val="clear" w:color="auto" w:fill="auto"/>
            <w:vAlign w:val="center"/>
            <w:hideMark/>
          </w:tcPr>
          <w:p w:rsidR="00A67ABA" w:rsidRPr="00A67ABA" w:rsidP="00001D40" w14:paraId="18955323" w14:textId="77777777">
            <w:pPr>
              <w:spacing w:after="0" w:line="276" w:lineRule="auto"/>
              <w:jc w:val="center"/>
              <w:textAlignment w:val="baseline"/>
              <w:rPr>
                <w:rFonts w:eastAsia="Times New Roman" w:cstheme="minorHAnsi"/>
              </w:rPr>
            </w:pPr>
            <w:r w:rsidRPr="00A67ABA">
              <w:rPr>
                <w:rFonts w:eastAsia="Times New Roman" w:cstheme="minorHAnsi"/>
              </w:rPr>
              <w:t>0.5 </w:t>
            </w:r>
          </w:p>
        </w:tc>
        <w:tc>
          <w:tcPr>
            <w:tcW w:w="1425" w:type="dxa"/>
            <w:tcBorders>
              <w:top w:val="single" w:sz="6" w:space="0" w:color="auto"/>
              <w:left w:val="single" w:sz="6" w:space="0" w:color="auto"/>
              <w:bottom w:val="double" w:sz="6" w:space="0" w:color="auto"/>
              <w:right w:val="nil"/>
            </w:tcBorders>
            <w:shd w:val="clear" w:color="auto" w:fill="auto"/>
            <w:vAlign w:val="center"/>
            <w:hideMark/>
          </w:tcPr>
          <w:p w:rsidR="00A67ABA" w:rsidRPr="00A67ABA" w:rsidP="00001D40" w14:paraId="33A335F7" w14:textId="4713AB5B">
            <w:pPr>
              <w:spacing w:after="0" w:line="276" w:lineRule="auto"/>
              <w:jc w:val="center"/>
              <w:textAlignment w:val="baseline"/>
              <w:rPr>
                <w:rFonts w:eastAsia="Times New Roman" w:cstheme="minorHAnsi"/>
              </w:rPr>
            </w:pPr>
            <w:r w:rsidRPr="00A67ABA">
              <w:rPr>
                <w:rFonts w:eastAsia="Times New Roman" w:cstheme="minorHAnsi"/>
                <w:color w:val="000000"/>
              </w:rPr>
              <w:t>$</w:t>
            </w:r>
            <w:r w:rsidR="00E27377">
              <w:rPr>
                <w:rFonts w:eastAsia="Times New Roman" w:cstheme="minorHAnsi"/>
                <w:color w:val="000000"/>
              </w:rPr>
              <w:t>47.25</w:t>
            </w:r>
            <w:r w:rsidRPr="00A67ABA">
              <w:rPr>
                <w:rFonts w:eastAsia="Times New Roman" w:cstheme="minorHAnsi"/>
                <w:color w:val="000000"/>
              </w:rPr>
              <w:t>  </w:t>
            </w:r>
          </w:p>
        </w:tc>
        <w:tc>
          <w:tcPr>
            <w:tcW w:w="1605" w:type="dxa"/>
            <w:tcBorders>
              <w:top w:val="single" w:sz="6" w:space="0" w:color="auto"/>
              <w:left w:val="single" w:sz="6" w:space="0" w:color="auto"/>
              <w:bottom w:val="double" w:sz="6" w:space="0" w:color="auto"/>
              <w:right w:val="nil"/>
            </w:tcBorders>
            <w:shd w:val="clear" w:color="auto" w:fill="auto"/>
            <w:vAlign w:val="center"/>
            <w:hideMark/>
          </w:tcPr>
          <w:p w:rsidR="00A67ABA" w:rsidRPr="007942B8" w:rsidP="00001D40" w14:paraId="175A0CD0" w14:textId="2F256E09">
            <w:pPr>
              <w:spacing w:after="0" w:line="276" w:lineRule="auto"/>
              <w:jc w:val="center"/>
              <w:textAlignment w:val="baseline"/>
              <w:rPr>
                <w:rFonts w:eastAsia="Times New Roman" w:cstheme="minorHAnsi"/>
              </w:rPr>
            </w:pPr>
            <w:r w:rsidRPr="007942B8">
              <w:rPr>
                <w:rFonts w:eastAsia="Times New Roman" w:cstheme="minorHAnsi"/>
                <w:color w:val="000000"/>
              </w:rPr>
              <w:t xml:space="preserve">1 </w:t>
            </w:r>
          </w:p>
        </w:tc>
        <w:tc>
          <w:tcPr>
            <w:tcW w:w="1335" w:type="dxa"/>
            <w:tcBorders>
              <w:top w:val="single" w:sz="6" w:space="0" w:color="auto"/>
              <w:left w:val="single" w:sz="6" w:space="0" w:color="auto"/>
              <w:bottom w:val="double" w:sz="6" w:space="0" w:color="auto"/>
              <w:right w:val="double" w:sz="6" w:space="0" w:color="auto"/>
            </w:tcBorders>
            <w:shd w:val="clear" w:color="auto" w:fill="auto"/>
            <w:vAlign w:val="center"/>
            <w:hideMark/>
          </w:tcPr>
          <w:p w:rsidR="00A67ABA" w:rsidRPr="007942B8" w:rsidP="00001D40" w14:paraId="74AA575C" w14:textId="3A591792">
            <w:pPr>
              <w:spacing w:after="0" w:line="276" w:lineRule="auto"/>
              <w:jc w:val="center"/>
              <w:textAlignment w:val="baseline"/>
              <w:rPr>
                <w:rFonts w:eastAsia="Times New Roman" w:cstheme="minorHAnsi"/>
              </w:rPr>
            </w:pPr>
            <w:r w:rsidRPr="007942B8">
              <w:rPr>
                <w:rFonts w:eastAsia="Times New Roman" w:cstheme="minorHAnsi"/>
                <w:color w:val="000000"/>
              </w:rPr>
              <w:t>$</w:t>
            </w:r>
            <w:r w:rsidRPr="007942B8" w:rsidR="0073758A">
              <w:rPr>
                <w:rFonts w:eastAsia="Times New Roman" w:cstheme="minorHAnsi"/>
                <w:color w:val="000000"/>
              </w:rPr>
              <w:t>94.50</w:t>
            </w:r>
            <w:r w:rsidRPr="007942B8">
              <w:rPr>
                <w:rFonts w:eastAsia="Times New Roman" w:cstheme="minorHAnsi"/>
                <w:color w:val="000000"/>
              </w:rPr>
              <w:t>  </w:t>
            </w:r>
          </w:p>
        </w:tc>
      </w:tr>
      <w:tr w14:paraId="741ABFE5" w14:textId="77777777" w:rsidTr="00A67ABA">
        <w:tblPrEx>
          <w:tblW w:w="0" w:type="dxa"/>
          <w:tblCellMar>
            <w:left w:w="0" w:type="dxa"/>
            <w:right w:w="0" w:type="dxa"/>
          </w:tblCellMar>
          <w:tblLook w:val="04A0"/>
        </w:tblPrEx>
        <w:trPr>
          <w:trHeight w:val="300"/>
        </w:trPr>
        <w:tc>
          <w:tcPr>
            <w:tcW w:w="6390" w:type="dxa"/>
            <w:gridSpan w:val="3"/>
            <w:tcBorders>
              <w:top w:val="double" w:sz="6" w:space="0" w:color="auto"/>
              <w:left w:val="double" w:sz="6" w:space="0" w:color="auto"/>
              <w:bottom w:val="double" w:sz="6" w:space="0" w:color="auto"/>
              <w:right w:val="nil"/>
            </w:tcBorders>
            <w:shd w:val="clear" w:color="auto" w:fill="auto"/>
            <w:vAlign w:val="bottom"/>
            <w:hideMark/>
          </w:tcPr>
          <w:p w:rsidR="00A67ABA" w:rsidRPr="00A67ABA" w:rsidP="00001D40" w14:paraId="2F81A466" w14:textId="77777777">
            <w:pPr>
              <w:spacing w:after="0" w:line="276" w:lineRule="auto"/>
              <w:textAlignment w:val="baseline"/>
              <w:rPr>
                <w:rFonts w:eastAsia="Times New Roman" w:cstheme="minorHAnsi"/>
              </w:rPr>
            </w:pPr>
            <w:r w:rsidRPr="00A67ABA">
              <w:rPr>
                <w:rFonts w:eastAsia="Times New Roman" w:cstheme="minorHAnsi"/>
                <w:b/>
                <w:bCs/>
              </w:rPr>
              <w:t>Totals</w:t>
            </w:r>
            <w:r w:rsidRPr="00A67ABA">
              <w:rPr>
                <w:rFonts w:eastAsia="Times New Roman" w:cstheme="minorHAnsi"/>
              </w:rPr>
              <w:t> </w:t>
            </w:r>
          </w:p>
        </w:tc>
        <w:tc>
          <w:tcPr>
            <w:tcW w:w="1605" w:type="dxa"/>
            <w:tcBorders>
              <w:top w:val="double" w:sz="6" w:space="0" w:color="auto"/>
              <w:left w:val="single" w:sz="6" w:space="0" w:color="auto"/>
              <w:bottom w:val="double" w:sz="6" w:space="0" w:color="auto"/>
              <w:right w:val="nil"/>
            </w:tcBorders>
            <w:shd w:val="clear" w:color="auto" w:fill="auto"/>
            <w:hideMark/>
          </w:tcPr>
          <w:p w:rsidR="00A67ABA" w:rsidRPr="007942B8" w:rsidP="00001D40" w14:paraId="1B8C9F72" w14:textId="4253D521">
            <w:pPr>
              <w:spacing w:after="0" w:line="276" w:lineRule="auto"/>
              <w:jc w:val="center"/>
              <w:textAlignment w:val="baseline"/>
              <w:rPr>
                <w:rFonts w:eastAsia="Times New Roman" w:cstheme="minorHAnsi"/>
              </w:rPr>
            </w:pPr>
            <w:r w:rsidRPr="007942B8">
              <w:rPr>
                <w:rFonts w:eastAsia="Times New Roman" w:cstheme="minorHAnsi"/>
              </w:rPr>
              <w:t>6</w:t>
            </w:r>
          </w:p>
        </w:tc>
        <w:tc>
          <w:tcPr>
            <w:tcW w:w="1335" w:type="dxa"/>
            <w:tcBorders>
              <w:top w:val="double" w:sz="6" w:space="0" w:color="auto"/>
              <w:left w:val="single" w:sz="6" w:space="0" w:color="auto"/>
              <w:bottom w:val="double" w:sz="6" w:space="0" w:color="auto"/>
              <w:right w:val="double" w:sz="6" w:space="0" w:color="auto"/>
            </w:tcBorders>
            <w:shd w:val="clear" w:color="auto" w:fill="auto"/>
            <w:hideMark/>
          </w:tcPr>
          <w:p w:rsidR="00A67ABA" w:rsidRPr="007942B8" w:rsidP="00001D40" w14:paraId="7CCD8957" w14:textId="2524343F">
            <w:pPr>
              <w:spacing w:after="0" w:line="276" w:lineRule="auto"/>
              <w:jc w:val="center"/>
              <w:textAlignment w:val="baseline"/>
              <w:rPr>
                <w:rFonts w:eastAsia="Times New Roman" w:cstheme="minorHAnsi"/>
              </w:rPr>
            </w:pPr>
            <w:r w:rsidRPr="007942B8">
              <w:rPr>
                <w:rFonts w:eastAsia="Times New Roman" w:cstheme="minorHAnsi"/>
                <w:b/>
                <w:bCs/>
              </w:rPr>
              <w:t>$</w:t>
            </w:r>
            <w:r w:rsidRPr="007942B8" w:rsidR="004B25C7">
              <w:rPr>
                <w:rFonts w:eastAsia="Times New Roman" w:cstheme="minorHAnsi"/>
                <w:b/>
              </w:rPr>
              <w:t>567</w:t>
            </w:r>
            <w:r w:rsidRPr="007942B8">
              <w:rPr>
                <w:rFonts w:eastAsia="Times New Roman" w:cstheme="minorHAnsi"/>
              </w:rPr>
              <w:t> </w:t>
            </w:r>
          </w:p>
        </w:tc>
      </w:tr>
    </w:tbl>
    <w:p w:rsidR="00A67ABA" w:rsidRPr="00A67ABA" w:rsidP="00001D40" w14:paraId="2492852A" w14:textId="4E9FB00B">
      <w:pPr>
        <w:spacing w:after="0" w:line="276" w:lineRule="auto"/>
        <w:textAlignment w:val="baseline"/>
        <w:rPr>
          <w:rFonts w:eastAsia="Times New Roman" w:cstheme="minorHAnsi"/>
          <w:sz w:val="18"/>
          <w:szCs w:val="18"/>
        </w:rPr>
      </w:pPr>
      <w:r w:rsidRPr="00A67ABA">
        <w:rPr>
          <w:rFonts w:eastAsia="Times New Roman" w:cstheme="minorHAnsi"/>
          <w:sz w:val="18"/>
          <w:szCs w:val="18"/>
          <w:vertAlign w:val="superscript"/>
        </w:rPr>
        <w:t>a</w:t>
      </w:r>
      <w:r w:rsidRPr="00A67ABA">
        <w:rPr>
          <w:rFonts w:eastAsia="Times New Roman" w:cstheme="minorHAnsi"/>
          <w:sz w:val="18"/>
          <w:szCs w:val="18"/>
        </w:rPr>
        <w:t>202</w:t>
      </w:r>
      <w:r w:rsidR="009D64AE">
        <w:rPr>
          <w:rFonts w:eastAsia="Times New Roman" w:cstheme="minorHAnsi"/>
          <w:sz w:val="18"/>
          <w:szCs w:val="18"/>
        </w:rPr>
        <w:t>4</w:t>
      </w:r>
      <w:r w:rsidRPr="00A67ABA">
        <w:rPr>
          <w:rFonts w:eastAsia="Times New Roman" w:cstheme="minorHAnsi"/>
          <w:sz w:val="18"/>
          <w:szCs w:val="18"/>
        </w:rPr>
        <w:t xml:space="preserve"> dollars. </w:t>
      </w:r>
    </w:p>
    <w:p w:rsidR="00A67ABA" w:rsidRPr="00A67ABA" w:rsidP="00001D40" w14:paraId="240B6E28" w14:textId="78F525E2">
      <w:pPr>
        <w:spacing w:after="0" w:line="276" w:lineRule="auto"/>
        <w:textAlignment w:val="baseline"/>
        <w:rPr>
          <w:rFonts w:eastAsia="Times New Roman" w:cstheme="minorHAnsi"/>
          <w:sz w:val="18"/>
          <w:szCs w:val="18"/>
        </w:rPr>
      </w:pPr>
      <w:r w:rsidRPr="00A67ABA">
        <w:rPr>
          <w:rFonts w:eastAsia="Times New Roman" w:cstheme="minorHAnsi"/>
          <w:sz w:val="18"/>
          <w:szCs w:val="18"/>
          <w:vertAlign w:val="superscript"/>
        </w:rPr>
        <w:t>b</w:t>
      </w:r>
      <w:r w:rsidRPr="00A67ABA">
        <w:rPr>
          <w:rFonts w:eastAsia="Times New Roman" w:cstheme="minorHAnsi"/>
          <w:sz w:val="18"/>
          <w:szCs w:val="18"/>
        </w:rPr>
        <w:t>Assumes</w:t>
      </w:r>
      <w:r w:rsidRPr="00A67ABA">
        <w:rPr>
          <w:rFonts w:eastAsia="Times New Roman" w:cstheme="minorHAnsi"/>
          <w:sz w:val="18"/>
          <w:szCs w:val="18"/>
        </w:rPr>
        <w:t xml:space="preserve"> </w:t>
      </w:r>
      <w:r w:rsidR="004D7F02">
        <w:rPr>
          <w:rFonts w:eastAsia="Times New Roman" w:cstheme="minorHAnsi"/>
          <w:sz w:val="18"/>
          <w:szCs w:val="18"/>
        </w:rPr>
        <w:t>5</w:t>
      </w:r>
      <w:r w:rsidRPr="00A67ABA">
        <w:rPr>
          <w:rFonts w:eastAsia="Times New Roman" w:cstheme="minorHAnsi"/>
          <w:sz w:val="18"/>
          <w:szCs w:val="18"/>
        </w:rPr>
        <w:t xml:space="preserve"> paper transfer forms and 2 paper optional deduction forms are submitted annually. </w:t>
      </w:r>
    </w:p>
    <w:p w:rsidR="003B1FA7" w:rsidRPr="00755E63" w:rsidP="00001D40" w14:paraId="24AC2A58" w14:textId="77777777">
      <w:pPr>
        <w:spacing w:after="0" w:line="276" w:lineRule="auto"/>
        <w:textAlignment w:val="baseline"/>
        <w:rPr>
          <w:rFonts w:eastAsia="Times New Roman" w:cstheme="minorHAnsi"/>
        </w:rPr>
      </w:pPr>
      <w:r w:rsidRPr="00A67ABA">
        <w:rPr>
          <w:rFonts w:eastAsia="Times New Roman" w:cstheme="minorHAnsi"/>
        </w:rPr>
        <w:t> </w:t>
      </w:r>
    </w:p>
    <w:p w:rsidR="00755E63" w:rsidP="00AB64F9" w14:paraId="03812A7C" w14:textId="77777777">
      <w:pPr>
        <w:pStyle w:val="ListParagraph"/>
        <w:numPr>
          <w:ilvl w:val="0"/>
          <w:numId w:val="39"/>
        </w:numPr>
        <w:spacing w:after="0" w:line="276" w:lineRule="auto"/>
        <w:textAlignment w:val="baseline"/>
        <w:rPr>
          <w:rFonts w:eastAsia="Times New Roman" w:cstheme="minorHAnsi"/>
        </w:rPr>
      </w:pPr>
      <w:r w:rsidRPr="00755E63">
        <w:rPr>
          <w:rFonts w:eastAsia="Times New Roman" w:cstheme="minorHAnsi"/>
        </w:rPr>
        <w:t>Obtaining and Issuing Permits </w:t>
      </w:r>
    </w:p>
    <w:p w:rsidR="00755E63" w:rsidP="00AB64F9" w14:paraId="44D3D117" w14:textId="77777777">
      <w:pPr>
        <w:pStyle w:val="ListParagraph"/>
        <w:numPr>
          <w:ilvl w:val="1"/>
          <w:numId w:val="39"/>
        </w:numPr>
        <w:spacing w:after="0" w:line="276" w:lineRule="auto"/>
        <w:textAlignment w:val="baseline"/>
        <w:rPr>
          <w:rFonts w:eastAsia="Times New Roman" w:cstheme="minorHAnsi"/>
        </w:rPr>
      </w:pPr>
      <w:r w:rsidRPr="00755E63">
        <w:rPr>
          <w:rFonts w:eastAsia="Times New Roman" w:cstheme="minorHAnsi"/>
        </w:rPr>
        <w:t>This subsection presents estimates of the level of effort required and the associated costs to permit applicants and either EPA or the permitting authority of obtaining and issuing permits. This analysis estimates the cost and burden for new sources required to obtain permits, for sources changing designated representatives, and sources renewing their permits.   </w:t>
      </w:r>
    </w:p>
    <w:p w:rsidR="00CD7463" w:rsidRPr="008042CA" w:rsidP="00AB64F9" w14:paraId="68D91FD3" w14:textId="77777777">
      <w:pPr>
        <w:pStyle w:val="ListParagraph"/>
        <w:numPr>
          <w:ilvl w:val="1"/>
          <w:numId w:val="39"/>
        </w:numPr>
        <w:spacing w:after="0" w:line="276" w:lineRule="auto"/>
        <w:textAlignment w:val="baseline"/>
        <w:rPr>
          <w:rFonts w:eastAsia="Times New Roman" w:cstheme="minorHAnsi"/>
        </w:rPr>
      </w:pPr>
      <w:r w:rsidRPr="00755E63">
        <w:rPr>
          <w:rFonts w:eastAsia="Times New Roman" w:cstheme="minorHAnsi"/>
        </w:rPr>
        <w:t>All applicants for permits will be required to submit a general acid rain permit application for each affected source that covers all units at the source. </w:t>
      </w:r>
    </w:p>
    <w:p w:rsidR="00CD7463" w:rsidRPr="008042CA" w:rsidP="00AB64F9" w14:paraId="5A17735F" w14:textId="77777777">
      <w:pPr>
        <w:pStyle w:val="ListParagraph"/>
        <w:numPr>
          <w:ilvl w:val="1"/>
          <w:numId w:val="39"/>
        </w:numPr>
        <w:spacing w:after="0" w:line="276" w:lineRule="auto"/>
        <w:textAlignment w:val="baseline"/>
        <w:rPr>
          <w:rFonts w:eastAsia="Times New Roman" w:cstheme="minorHAnsi"/>
        </w:rPr>
      </w:pPr>
      <w:r w:rsidRPr="008042CA">
        <w:rPr>
          <w:rFonts w:eastAsia="Times New Roman" w:cstheme="minorHAnsi"/>
        </w:rPr>
        <w:t>Estimate of Agency/Permitting Authority Burden and Costs for Permitting </w:t>
      </w:r>
    </w:p>
    <w:p w:rsidR="0073545D" w:rsidRPr="00B27E4C" w:rsidP="0073545D" w14:paraId="1A519A2B" w14:textId="7516597F">
      <w:pPr>
        <w:pStyle w:val="ListParagraph"/>
        <w:numPr>
          <w:ilvl w:val="2"/>
          <w:numId w:val="39"/>
        </w:numPr>
        <w:spacing w:after="0" w:line="276" w:lineRule="auto"/>
        <w:textAlignment w:val="baseline"/>
        <w:rPr>
          <w:rFonts w:eastAsia="Times New Roman" w:cstheme="minorHAnsi"/>
        </w:rPr>
      </w:pPr>
      <w:r w:rsidRPr="00CD7463">
        <w:rPr>
          <w:rFonts w:eastAsia="Times New Roman" w:cstheme="minorHAnsi"/>
        </w:rPr>
        <w:t xml:space="preserve">Table </w:t>
      </w:r>
      <w:r w:rsidRPr="00CD7463" w:rsidR="00C34DD9">
        <w:rPr>
          <w:rFonts w:eastAsia="Times New Roman" w:cstheme="minorHAnsi"/>
        </w:rPr>
        <w:t>14.</w:t>
      </w:r>
      <w:r w:rsidRPr="00CD7463">
        <w:rPr>
          <w:rFonts w:eastAsia="Times New Roman" w:cstheme="minorHAnsi"/>
        </w:rPr>
        <w:t>3</w:t>
      </w:r>
      <w:r w:rsidRPr="00CD7463" w:rsidR="00AC40CC">
        <w:rPr>
          <w:rFonts w:eastAsia="Times New Roman" w:cstheme="minorHAnsi"/>
        </w:rPr>
        <w:t xml:space="preserve"> presents the burden and costs to EPA and the permitting authority to </w:t>
      </w:r>
      <w:r w:rsidRPr="00CD7463" w:rsidR="00AC40CC">
        <w:rPr>
          <w:rFonts w:eastAsia="Times New Roman" w:cstheme="minorHAnsi"/>
        </w:rPr>
        <w:t>review</w:t>
      </w:r>
      <w:r w:rsidRPr="00CD7463" w:rsidR="00AC40CC">
        <w:rPr>
          <w:rFonts w:eastAsia="Times New Roman" w:cstheme="minorHAnsi"/>
        </w:rPr>
        <w:t xml:space="preserve"> and process permit information. The primary tasks performed by EPA are reviewing certificates of representation and reviewing permit applications. The primary tasks performed by the permitting authority are reviewing and processing permit applications, notifying the public, issuing proposed and final permits, and reviewing new and retired unit exemptions. Reviewing a certificate of representation and determining completeness is estimated to require half an hour. Reviewing the permit application, notifying the public, and issuing proposed and final permits is estimated to require nine hours per occurrence.  The total annual estimated burden and cost to EPA and the Permitting Authorities is 2685 hours and </w:t>
      </w:r>
      <w:r w:rsidR="00103C79">
        <w:rPr>
          <w:rFonts w:eastAsia="Times New Roman" w:cstheme="minorHAnsi"/>
        </w:rPr>
        <w:t>$253</w:t>
      </w:r>
      <w:r w:rsidR="006A67ED">
        <w:rPr>
          <w:rFonts w:eastAsia="Times New Roman" w:cstheme="minorHAnsi"/>
        </w:rPr>
        <w:t>,732</w:t>
      </w:r>
      <w:r w:rsidR="00B64134">
        <w:rPr>
          <w:rFonts w:eastAsia="Times New Roman" w:cstheme="minorHAnsi"/>
        </w:rPr>
        <w:t>.50</w:t>
      </w:r>
      <w:r w:rsidR="00B27E4C">
        <w:rPr>
          <w:rFonts w:eastAsia="Times New Roman" w:cstheme="minorHAnsi"/>
        </w:rPr>
        <w:t>.</w:t>
      </w:r>
    </w:p>
    <w:p w:rsidR="0073545D" w:rsidRPr="0073545D" w:rsidP="0073545D" w14:paraId="73550F7D" w14:textId="77777777">
      <w:pPr>
        <w:spacing w:after="0" w:line="276" w:lineRule="auto"/>
        <w:textAlignment w:val="baseline"/>
        <w:rPr>
          <w:rFonts w:eastAsia="Times New Roman" w:cstheme="minorHAnsi"/>
        </w:rPr>
      </w:pPr>
    </w:p>
    <w:p w:rsidR="00AC40CC" w:rsidRPr="00AC40CC" w:rsidP="00001D40" w14:paraId="751F6141" w14:textId="77777777">
      <w:pPr>
        <w:spacing w:after="0" w:line="276" w:lineRule="auto"/>
        <w:textAlignment w:val="baseline"/>
        <w:rPr>
          <w:rFonts w:eastAsia="Times New Roman" w:cstheme="minorHAnsi"/>
        </w:rPr>
      </w:pPr>
      <w:r w:rsidRPr="00AC40CC">
        <w:rPr>
          <w:rFonts w:eastAsia="Times New Roman" w:cstheme="minorHAnsi"/>
        </w:rPr>
        <w:t> </w:t>
      </w:r>
    </w:p>
    <w:p w:rsidR="00AC40CC" w:rsidRPr="00AC40CC" w:rsidP="002B66BD" w14:paraId="3E0CBA85" w14:textId="7145E530">
      <w:pPr>
        <w:spacing w:after="0" w:line="276" w:lineRule="auto"/>
        <w:jc w:val="center"/>
        <w:textAlignment w:val="baseline"/>
        <w:rPr>
          <w:rFonts w:eastAsia="Times New Roman" w:cstheme="minorHAnsi"/>
        </w:rPr>
      </w:pPr>
      <w:r w:rsidRPr="00092374">
        <w:rPr>
          <w:rFonts w:eastAsia="Times New Roman" w:cstheme="minorHAnsi"/>
          <w:b/>
          <w:bCs/>
        </w:rPr>
        <w:t xml:space="preserve">Table </w:t>
      </w:r>
      <w:r w:rsidRPr="00092374" w:rsidR="00C34DD9">
        <w:rPr>
          <w:rFonts w:eastAsia="Times New Roman" w:cstheme="minorHAnsi"/>
          <w:b/>
          <w:bCs/>
        </w:rPr>
        <w:t>14.</w:t>
      </w:r>
      <w:r w:rsidRPr="00092374">
        <w:rPr>
          <w:rFonts w:eastAsia="Times New Roman" w:cstheme="minorHAnsi"/>
          <w:b/>
          <w:bCs/>
        </w:rPr>
        <w:t>3</w:t>
      </w:r>
      <w:r w:rsidRPr="00092374">
        <w:rPr>
          <w:rFonts w:eastAsia="Times New Roman" w:cstheme="minorHAnsi"/>
        </w:rPr>
        <w:t xml:space="preserve">: </w:t>
      </w:r>
      <w:r w:rsidRPr="00092374">
        <w:rPr>
          <w:rFonts w:eastAsia="Times New Roman" w:cstheme="minorHAnsi"/>
          <w:b/>
          <w:bCs/>
        </w:rPr>
        <w:t>Agency/Permitting Authority Burden/Cost Estimates for Permits</w:t>
      </w:r>
      <w:r w:rsidRPr="00AC40C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8"/>
        <w:gridCol w:w="1708"/>
        <w:gridCol w:w="1438"/>
        <w:gridCol w:w="1617"/>
        <w:gridCol w:w="1333"/>
      </w:tblGrid>
      <w:tr w14:paraId="4398801E" w14:textId="77777777" w:rsidTr="00AC40C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25" w:type="dxa"/>
            <w:tcBorders>
              <w:top w:val="double" w:sz="6" w:space="0" w:color="auto"/>
              <w:left w:val="double" w:sz="6" w:space="0" w:color="auto"/>
              <w:bottom w:val="single" w:sz="6" w:space="0" w:color="auto"/>
              <w:right w:val="nil"/>
            </w:tcBorders>
            <w:shd w:val="clear" w:color="auto" w:fill="auto"/>
            <w:vAlign w:val="bottom"/>
            <w:hideMark/>
          </w:tcPr>
          <w:p w:rsidR="00AC40CC" w:rsidRPr="00AC40CC" w:rsidP="00001D40" w14:paraId="095C621A" w14:textId="77777777">
            <w:pPr>
              <w:spacing w:after="0" w:line="276" w:lineRule="auto"/>
              <w:jc w:val="center"/>
              <w:textAlignment w:val="baseline"/>
              <w:rPr>
                <w:rFonts w:eastAsia="Times New Roman" w:cstheme="minorHAnsi"/>
              </w:rPr>
            </w:pPr>
            <w:r w:rsidRPr="00AC40CC">
              <w:rPr>
                <w:rFonts w:eastAsia="Times New Roman" w:cstheme="minorHAnsi"/>
                <w:b/>
                <w:bCs/>
              </w:rPr>
              <w:t>Tasks</w:t>
            </w:r>
            <w:r w:rsidRPr="00AC40CC">
              <w:rPr>
                <w:rFonts w:eastAsia="Times New Roman" w:cstheme="minorHAnsi"/>
              </w:rPr>
              <w:t> </w:t>
            </w:r>
          </w:p>
        </w:tc>
        <w:tc>
          <w:tcPr>
            <w:tcW w:w="1710" w:type="dxa"/>
            <w:tcBorders>
              <w:top w:val="double" w:sz="6" w:space="0" w:color="auto"/>
              <w:left w:val="single" w:sz="6" w:space="0" w:color="auto"/>
              <w:bottom w:val="single" w:sz="6" w:space="0" w:color="auto"/>
              <w:right w:val="nil"/>
            </w:tcBorders>
            <w:shd w:val="clear" w:color="auto" w:fill="auto"/>
            <w:vAlign w:val="bottom"/>
            <w:hideMark/>
          </w:tcPr>
          <w:p w:rsidR="00AC40CC" w:rsidRPr="00AC40CC" w:rsidP="00001D40" w14:paraId="382C347F" w14:textId="77777777">
            <w:pPr>
              <w:spacing w:after="0" w:line="276" w:lineRule="auto"/>
              <w:jc w:val="center"/>
              <w:textAlignment w:val="baseline"/>
              <w:rPr>
                <w:rFonts w:eastAsia="Times New Roman" w:cstheme="minorHAnsi"/>
              </w:rPr>
            </w:pPr>
            <w:r w:rsidRPr="00AC40CC">
              <w:rPr>
                <w:rFonts w:eastAsia="Times New Roman" w:cstheme="minorHAnsi"/>
                <w:b/>
                <w:bCs/>
              </w:rPr>
              <w:t>Burden hours per occurrence</w:t>
            </w:r>
            <w:r w:rsidRPr="00AC40CC">
              <w:rPr>
                <w:rFonts w:eastAsia="Times New Roman" w:cstheme="minorHAnsi"/>
              </w:rPr>
              <w:t> </w:t>
            </w:r>
          </w:p>
        </w:tc>
        <w:tc>
          <w:tcPr>
            <w:tcW w:w="1425" w:type="dxa"/>
            <w:tcBorders>
              <w:top w:val="double" w:sz="6" w:space="0" w:color="auto"/>
              <w:left w:val="single" w:sz="6" w:space="0" w:color="auto"/>
              <w:bottom w:val="single" w:sz="6" w:space="0" w:color="auto"/>
              <w:right w:val="nil"/>
            </w:tcBorders>
            <w:shd w:val="clear" w:color="auto" w:fill="auto"/>
            <w:vAlign w:val="bottom"/>
            <w:hideMark/>
          </w:tcPr>
          <w:p w:rsidR="00AC40CC" w:rsidRPr="00AC40CC" w:rsidP="00001D40" w14:paraId="12E6B6B2" w14:textId="77777777">
            <w:pPr>
              <w:spacing w:after="0" w:line="276" w:lineRule="auto"/>
              <w:jc w:val="center"/>
              <w:textAlignment w:val="baseline"/>
              <w:rPr>
                <w:rFonts w:eastAsia="Times New Roman" w:cstheme="minorHAnsi"/>
              </w:rPr>
            </w:pPr>
            <w:r w:rsidRPr="00AC40CC">
              <w:rPr>
                <w:rFonts w:eastAsia="Times New Roman" w:cstheme="minorHAnsi"/>
                <w:b/>
                <w:bCs/>
              </w:rPr>
              <w:t xml:space="preserve">Cost per </w:t>
            </w:r>
            <w:r w:rsidRPr="00AC40CC">
              <w:rPr>
                <w:rFonts w:eastAsia="Times New Roman" w:cstheme="minorHAnsi"/>
                <w:b/>
                <w:bCs/>
              </w:rPr>
              <w:t>source</w:t>
            </w:r>
            <w:r w:rsidRPr="00AC40CC">
              <w:rPr>
                <w:rFonts w:eastAsia="Times New Roman" w:cstheme="minorHAnsi"/>
                <w:b/>
                <w:bCs/>
                <w:vertAlign w:val="superscript"/>
              </w:rPr>
              <w:t>a</w:t>
            </w:r>
            <w:r w:rsidRPr="00AC40CC">
              <w:rPr>
                <w:rFonts w:eastAsia="Times New Roman" w:cstheme="minorHAnsi"/>
              </w:rPr>
              <w:t> </w:t>
            </w:r>
          </w:p>
        </w:tc>
        <w:tc>
          <w:tcPr>
            <w:tcW w:w="1620" w:type="dxa"/>
            <w:tcBorders>
              <w:top w:val="double" w:sz="6" w:space="0" w:color="auto"/>
              <w:left w:val="single" w:sz="6" w:space="0" w:color="auto"/>
              <w:bottom w:val="single" w:sz="6" w:space="0" w:color="auto"/>
              <w:right w:val="nil"/>
            </w:tcBorders>
            <w:shd w:val="clear" w:color="auto" w:fill="auto"/>
            <w:vAlign w:val="bottom"/>
            <w:hideMark/>
          </w:tcPr>
          <w:p w:rsidR="00AC40CC" w:rsidRPr="00AC40CC" w:rsidP="00001D40" w14:paraId="37FB73E0" w14:textId="77777777">
            <w:pPr>
              <w:spacing w:after="0" w:line="276" w:lineRule="auto"/>
              <w:jc w:val="center"/>
              <w:textAlignment w:val="baseline"/>
              <w:rPr>
                <w:rFonts w:eastAsia="Times New Roman" w:cstheme="minorHAnsi"/>
              </w:rPr>
            </w:pPr>
            <w:r w:rsidRPr="00AC40CC">
              <w:rPr>
                <w:rFonts w:eastAsia="Times New Roman" w:cstheme="minorHAnsi"/>
                <w:b/>
                <w:bCs/>
              </w:rPr>
              <w:t>Total burden (hours)</w:t>
            </w:r>
            <w:r w:rsidRPr="00AC40CC">
              <w:rPr>
                <w:rFonts w:eastAsia="Times New Roman" w:cstheme="minorHAnsi"/>
              </w:rPr>
              <w:t> </w:t>
            </w:r>
          </w:p>
        </w:tc>
        <w:tc>
          <w:tcPr>
            <w:tcW w:w="1335"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AC40CC" w:rsidRPr="00AC40CC" w:rsidP="00001D40" w14:paraId="44992E78" w14:textId="77777777">
            <w:pPr>
              <w:spacing w:after="0" w:line="276" w:lineRule="auto"/>
              <w:jc w:val="center"/>
              <w:textAlignment w:val="baseline"/>
              <w:rPr>
                <w:rFonts w:eastAsia="Times New Roman" w:cstheme="minorHAnsi"/>
              </w:rPr>
            </w:pPr>
            <w:r w:rsidRPr="00AC40CC">
              <w:rPr>
                <w:rFonts w:eastAsia="Times New Roman" w:cstheme="minorHAnsi"/>
                <w:b/>
                <w:bCs/>
              </w:rPr>
              <w:t>Total cost</w:t>
            </w:r>
            <w:r w:rsidRPr="00AC40CC">
              <w:rPr>
                <w:rFonts w:eastAsia="Times New Roman" w:cstheme="minorHAnsi"/>
              </w:rPr>
              <w:t> </w:t>
            </w:r>
          </w:p>
        </w:tc>
      </w:tr>
      <w:tr w14:paraId="02707EC4" w14:textId="77777777" w:rsidTr="00AC40CC">
        <w:tblPrEx>
          <w:tblW w:w="0" w:type="dxa"/>
          <w:tblCellMar>
            <w:left w:w="0" w:type="dxa"/>
            <w:right w:w="0" w:type="dxa"/>
          </w:tblCellMar>
          <w:tblLook w:val="04A0"/>
        </w:tblPrEx>
        <w:trPr>
          <w:trHeight w:val="300"/>
        </w:trPr>
        <w:tc>
          <w:tcPr>
            <w:tcW w:w="3225" w:type="dxa"/>
            <w:tcBorders>
              <w:top w:val="single" w:sz="6" w:space="0" w:color="auto"/>
              <w:left w:val="double" w:sz="6" w:space="0" w:color="auto"/>
              <w:bottom w:val="nil"/>
              <w:right w:val="nil"/>
            </w:tcBorders>
            <w:shd w:val="clear" w:color="auto" w:fill="auto"/>
            <w:hideMark/>
          </w:tcPr>
          <w:p w:rsidR="00AC40CC" w:rsidRPr="00AC40CC" w:rsidP="00001D40" w14:paraId="4C77E686" w14:textId="77777777">
            <w:pPr>
              <w:spacing w:after="0" w:line="276" w:lineRule="auto"/>
              <w:textAlignment w:val="baseline"/>
              <w:rPr>
                <w:rFonts w:eastAsia="Times New Roman" w:cstheme="minorHAnsi"/>
              </w:rPr>
            </w:pPr>
            <w:r w:rsidRPr="00AC40CC">
              <w:rPr>
                <w:rFonts w:eastAsia="Times New Roman" w:cstheme="minorHAnsi"/>
              </w:rPr>
              <w:t xml:space="preserve">EPA reviews certificates of representation and records </w:t>
            </w:r>
            <w:r w:rsidRPr="00AC40CC">
              <w:rPr>
                <w:rFonts w:eastAsia="Times New Roman" w:cstheme="minorHAnsi"/>
              </w:rPr>
              <w:t>information.</w:t>
            </w:r>
            <w:r w:rsidRPr="00AC40CC">
              <w:rPr>
                <w:rFonts w:eastAsia="Times New Roman" w:cstheme="minorHAnsi"/>
                <w:vertAlign w:val="superscript"/>
              </w:rPr>
              <w:t>b</w:t>
            </w:r>
            <w:r w:rsidRPr="00AC40CC">
              <w:rPr>
                <w:rFonts w:eastAsia="Times New Roman" w:cstheme="minorHAnsi"/>
              </w:rPr>
              <w:t> </w:t>
            </w:r>
          </w:p>
        </w:tc>
        <w:tc>
          <w:tcPr>
            <w:tcW w:w="1710" w:type="dxa"/>
            <w:tcBorders>
              <w:top w:val="single" w:sz="6" w:space="0" w:color="auto"/>
              <w:left w:val="single" w:sz="6" w:space="0" w:color="auto"/>
              <w:bottom w:val="nil"/>
              <w:right w:val="nil"/>
            </w:tcBorders>
            <w:shd w:val="clear" w:color="auto" w:fill="auto"/>
            <w:hideMark/>
          </w:tcPr>
          <w:p w:rsidR="008F2EAC" w:rsidP="00001D40" w14:paraId="7B1071EF" w14:textId="77777777">
            <w:pPr>
              <w:spacing w:after="0" w:line="276" w:lineRule="auto"/>
              <w:jc w:val="center"/>
              <w:textAlignment w:val="baseline"/>
              <w:rPr>
                <w:rFonts w:eastAsia="Times New Roman" w:cstheme="minorHAnsi"/>
              </w:rPr>
            </w:pPr>
          </w:p>
          <w:p w:rsidR="008F2EAC" w:rsidP="00001D40" w14:paraId="42526E76" w14:textId="6F646F58">
            <w:pPr>
              <w:spacing w:after="0" w:line="276" w:lineRule="auto"/>
              <w:jc w:val="center"/>
              <w:textAlignment w:val="baseline"/>
              <w:rPr>
                <w:rFonts w:eastAsia="Times New Roman" w:cstheme="minorHAnsi"/>
              </w:rPr>
            </w:pPr>
            <w:r w:rsidRPr="00AC40CC">
              <w:rPr>
                <w:rFonts w:eastAsia="Times New Roman" w:cstheme="minorHAnsi"/>
              </w:rPr>
              <w:t>0.5</w:t>
            </w:r>
          </w:p>
          <w:p w:rsidR="00AC40CC" w:rsidRPr="00AC40CC" w:rsidP="00001D40" w14:paraId="2ED3848A" w14:textId="23E9258E">
            <w:pPr>
              <w:spacing w:after="0" w:line="276" w:lineRule="auto"/>
              <w:jc w:val="center"/>
              <w:textAlignment w:val="baseline"/>
              <w:rPr>
                <w:rFonts w:eastAsia="Times New Roman" w:cstheme="minorHAnsi"/>
              </w:rPr>
            </w:pPr>
            <w:r w:rsidRPr="00AC40CC">
              <w:rPr>
                <w:rFonts w:eastAsia="Times New Roman" w:cstheme="minorHAnsi"/>
              </w:rPr>
              <w:t> </w:t>
            </w:r>
          </w:p>
        </w:tc>
        <w:tc>
          <w:tcPr>
            <w:tcW w:w="1425" w:type="dxa"/>
            <w:tcBorders>
              <w:top w:val="single" w:sz="6" w:space="0" w:color="auto"/>
              <w:left w:val="single" w:sz="6" w:space="0" w:color="auto"/>
              <w:bottom w:val="nil"/>
              <w:right w:val="nil"/>
            </w:tcBorders>
            <w:shd w:val="clear" w:color="auto" w:fill="auto"/>
            <w:vAlign w:val="center"/>
            <w:hideMark/>
          </w:tcPr>
          <w:p w:rsidR="00AC40CC" w:rsidRPr="00AC40CC" w:rsidP="00001D40" w14:paraId="03905E28" w14:textId="72E4959B">
            <w:pPr>
              <w:spacing w:after="0" w:line="276" w:lineRule="auto"/>
              <w:jc w:val="center"/>
              <w:textAlignment w:val="baseline"/>
              <w:rPr>
                <w:rFonts w:eastAsia="Times New Roman" w:cstheme="minorHAnsi"/>
              </w:rPr>
            </w:pPr>
            <w:r w:rsidRPr="00AC40CC">
              <w:rPr>
                <w:rFonts w:eastAsia="Times New Roman" w:cstheme="minorHAnsi"/>
                <w:color w:val="000000"/>
              </w:rPr>
              <w:t>$</w:t>
            </w:r>
            <w:r w:rsidR="00C167E4">
              <w:rPr>
                <w:rFonts w:eastAsia="Times New Roman" w:cstheme="minorHAnsi"/>
                <w:color w:val="000000"/>
              </w:rPr>
              <w:t>47.25</w:t>
            </w:r>
          </w:p>
        </w:tc>
        <w:tc>
          <w:tcPr>
            <w:tcW w:w="1620" w:type="dxa"/>
            <w:tcBorders>
              <w:top w:val="single" w:sz="6" w:space="0" w:color="auto"/>
              <w:left w:val="single" w:sz="6" w:space="0" w:color="auto"/>
              <w:bottom w:val="nil"/>
              <w:right w:val="nil"/>
            </w:tcBorders>
            <w:shd w:val="clear" w:color="auto" w:fill="auto"/>
            <w:vAlign w:val="center"/>
            <w:hideMark/>
          </w:tcPr>
          <w:p w:rsidR="00AC40CC" w:rsidRPr="004575CE" w:rsidP="00001D40" w14:paraId="5478C49A" w14:textId="12A3DE85">
            <w:pPr>
              <w:spacing w:after="0" w:line="276" w:lineRule="auto"/>
              <w:jc w:val="center"/>
              <w:textAlignment w:val="baseline"/>
              <w:rPr>
                <w:rFonts w:eastAsia="Times New Roman" w:cstheme="minorHAnsi"/>
                <w:highlight w:val="yellow"/>
              </w:rPr>
            </w:pPr>
            <w:r w:rsidRPr="004575CE">
              <w:rPr>
                <w:rFonts w:eastAsia="Times New Roman" w:cstheme="minorHAnsi"/>
                <w:color w:val="000000"/>
              </w:rPr>
              <w:t>141</w:t>
            </w:r>
          </w:p>
        </w:tc>
        <w:tc>
          <w:tcPr>
            <w:tcW w:w="1335" w:type="dxa"/>
            <w:tcBorders>
              <w:top w:val="single" w:sz="6" w:space="0" w:color="auto"/>
              <w:left w:val="single" w:sz="6" w:space="0" w:color="auto"/>
              <w:bottom w:val="nil"/>
              <w:right w:val="double" w:sz="6" w:space="0" w:color="auto"/>
            </w:tcBorders>
            <w:shd w:val="clear" w:color="auto" w:fill="auto"/>
            <w:vAlign w:val="center"/>
            <w:hideMark/>
          </w:tcPr>
          <w:p w:rsidR="00AC40CC" w:rsidRPr="00AC40CC" w:rsidP="00001D40" w14:paraId="381B17E5" w14:textId="5A3C537E">
            <w:pPr>
              <w:spacing w:after="0" w:line="276" w:lineRule="auto"/>
              <w:jc w:val="center"/>
              <w:textAlignment w:val="baseline"/>
              <w:rPr>
                <w:rFonts w:eastAsia="Times New Roman" w:cstheme="minorHAnsi"/>
              </w:rPr>
            </w:pPr>
            <w:r w:rsidRPr="00AC40CC">
              <w:rPr>
                <w:rFonts w:eastAsia="Times New Roman" w:cstheme="minorHAnsi"/>
                <w:color w:val="000000"/>
              </w:rPr>
              <w:t>$</w:t>
            </w:r>
            <w:r w:rsidR="00EA00D4">
              <w:rPr>
                <w:rFonts w:eastAsia="Times New Roman" w:cstheme="minorHAnsi"/>
                <w:color w:val="000000"/>
              </w:rPr>
              <w:t>13,323</w:t>
            </w:r>
          </w:p>
        </w:tc>
      </w:tr>
      <w:tr w14:paraId="2985FE4C" w14:textId="77777777" w:rsidTr="00AC40CC">
        <w:tblPrEx>
          <w:tblW w:w="0" w:type="dxa"/>
          <w:tblCellMar>
            <w:left w:w="0" w:type="dxa"/>
            <w:right w:w="0" w:type="dxa"/>
          </w:tblCellMar>
          <w:tblLook w:val="04A0"/>
        </w:tblPrEx>
        <w:trPr>
          <w:trHeight w:val="300"/>
        </w:trPr>
        <w:tc>
          <w:tcPr>
            <w:tcW w:w="3225" w:type="dxa"/>
            <w:tcBorders>
              <w:top w:val="single" w:sz="6" w:space="0" w:color="auto"/>
              <w:left w:val="double" w:sz="6" w:space="0" w:color="auto"/>
              <w:bottom w:val="nil"/>
              <w:right w:val="nil"/>
            </w:tcBorders>
            <w:shd w:val="clear" w:color="auto" w:fill="auto"/>
            <w:hideMark/>
          </w:tcPr>
          <w:p w:rsidR="00AC40CC" w:rsidRPr="00AC40CC" w:rsidP="00001D40" w14:paraId="30BBDF20" w14:textId="77777777">
            <w:pPr>
              <w:spacing w:after="0" w:line="276" w:lineRule="auto"/>
              <w:textAlignment w:val="baseline"/>
              <w:rPr>
                <w:rFonts w:eastAsia="Times New Roman" w:cstheme="minorHAnsi"/>
              </w:rPr>
            </w:pPr>
            <w:r w:rsidRPr="00AC40CC">
              <w:rPr>
                <w:rFonts w:eastAsia="Times New Roman" w:cstheme="minorHAnsi"/>
              </w:rPr>
              <w:t xml:space="preserve">Review permit application, and issue draft, proposed, and final </w:t>
            </w:r>
            <w:r w:rsidRPr="00AC40CC">
              <w:rPr>
                <w:rFonts w:eastAsia="Times New Roman" w:cstheme="minorHAnsi"/>
              </w:rPr>
              <w:t>permit.</w:t>
            </w:r>
            <w:r w:rsidRPr="00AC40CC">
              <w:rPr>
                <w:rFonts w:eastAsia="Times New Roman" w:cstheme="minorHAnsi"/>
                <w:vertAlign w:val="superscript"/>
              </w:rPr>
              <w:t>c</w:t>
            </w:r>
            <w:r w:rsidRPr="00AC40CC">
              <w:rPr>
                <w:rFonts w:eastAsia="Times New Roman" w:cstheme="minorHAnsi"/>
              </w:rPr>
              <w:t> </w:t>
            </w:r>
          </w:p>
        </w:tc>
        <w:tc>
          <w:tcPr>
            <w:tcW w:w="1710" w:type="dxa"/>
            <w:tcBorders>
              <w:top w:val="single" w:sz="6" w:space="0" w:color="auto"/>
              <w:left w:val="single" w:sz="6" w:space="0" w:color="auto"/>
              <w:bottom w:val="nil"/>
              <w:right w:val="single" w:sz="6" w:space="0" w:color="auto"/>
            </w:tcBorders>
            <w:shd w:val="clear" w:color="auto" w:fill="auto"/>
            <w:hideMark/>
          </w:tcPr>
          <w:p w:rsidR="00AC40CC" w:rsidRPr="00AC40CC" w:rsidP="00001D40" w14:paraId="326B91C4" w14:textId="77777777">
            <w:pPr>
              <w:spacing w:after="0" w:line="276" w:lineRule="auto"/>
              <w:jc w:val="center"/>
              <w:textAlignment w:val="baseline"/>
              <w:rPr>
                <w:rFonts w:eastAsia="Times New Roman" w:cstheme="minorHAnsi"/>
              </w:rPr>
            </w:pPr>
            <w:r w:rsidRPr="00AC40CC">
              <w:rPr>
                <w:rFonts w:eastAsia="Times New Roman" w:cstheme="minorHAnsi"/>
              </w:rPr>
              <w:t> </w:t>
            </w:r>
          </w:p>
        </w:tc>
        <w:tc>
          <w:tcPr>
            <w:tcW w:w="1425" w:type="dxa"/>
            <w:tcBorders>
              <w:top w:val="single" w:sz="6" w:space="0" w:color="auto"/>
              <w:left w:val="nil"/>
              <w:bottom w:val="nil"/>
              <w:right w:val="nil"/>
            </w:tcBorders>
            <w:shd w:val="clear" w:color="auto" w:fill="auto"/>
            <w:vAlign w:val="center"/>
            <w:hideMark/>
          </w:tcPr>
          <w:p w:rsidR="00AC40CC" w:rsidRPr="00AC40CC" w:rsidP="00001D40" w14:paraId="63C3CD17" w14:textId="77777777">
            <w:pPr>
              <w:spacing w:after="0" w:line="276" w:lineRule="auto"/>
              <w:jc w:val="center"/>
              <w:textAlignment w:val="baseline"/>
              <w:rPr>
                <w:rFonts w:eastAsia="Times New Roman" w:cstheme="minorHAnsi"/>
              </w:rPr>
            </w:pPr>
            <w:r w:rsidRPr="00AC40CC">
              <w:rPr>
                <w:rFonts w:eastAsia="Times New Roman" w:cstheme="minorHAnsi"/>
                <w:color w:val="000000"/>
              </w:rPr>
              <w:t>  </w:t>
            </w:r>
          </w:p>
        </w:tc>
        <w:tc>
          <w:tcPr>
            <w:tcW w:w="1620" w:type="dxa"/>
            <w:tcBorders>
              <w:top w:val="single" w:sz="6" w:space="0" w:color="auto"/>
              <w:left w:val="single" w:sz="6" w:space="0" w:color="auto"/>
              <w:bottom w:val="nil"/>
              <w:right w:val="single" w:sz="6" w:space="0" w:color="auto"/>
            </w:tcBorders>
            <w:shd w:val="clear" w:color="auto" w:fill="auto"/>
            <w:vAlign w:val="center"/>
            <w:hideMark/>
          </w:tcPr>
          <w:p w:rsidR="00AC40CC" w:rsidRPr="00AC40CC" w:rsidP="00001D40" w14:paraId="699FD0BB" w14:textId="77777777">
            <w:pPr>
              <w:spacing w:after="0" w:line="276" w:lineRule="auto"/>
              <w:jc w:val="center"/>
              <w:textAlignment w:val="baseline"/>
              <w:rPr>
                <w:rFonts w:eastAsia="Times New Roman" w:cstheme="minorHAnsi"/>
              </w:rPr>
            </w:pPr>
            <w:r w:rsidRPr="00AC40CC">
              <w:rPr>
                <w:rFonts w:eastAsia="Times New Roman" w:cstheme="minorHAnsi"/>
                <w:color w:val="000000"/>
              </w:rPr>
              <w:t>  </w:t>
            </w:r>
          </w:p>
        </w:tc>
        <w:tc>
          <w:tcPr>
            <w:tcW w:w="1335" w:type="dxa"/>
            <w:tcBorders>
              <w:top w:val="single" w:sz="6" w:space="0" w:color="auto"/>
              <w:left w:val="nil"/>
              <w:bottom w:val="nil"/>
              <w:right w:val="double" w:sz="6" w:space="0" w:color="auto"/>
            </w:tcBorders>
            <w:shd w:val="clear" w:color="auto" w:fill="auto"/>
            <w:vAlign w:val="center"/>
            <w:hideMark/>
          </w:tcPr>
          <w:p w:rsidR="00AC40CC" w:rsidRPr="00AC40CC" w:rsidP="00001D40" w14:paraId="33178CEC" w14:textId="77777777">
            <w:pPr>
              <w:spacing w:after="0" w:line="276" w:lineRule="auto"/>
              <w:jc w:val="center"/>
              <w:textAlignment w:val="baseline"/>
              <w:rPr>
                <w:rFonts w:eastAsia="Times New Roman" w:cstheme="minorHAnsi"/>
              </w:rPr>
            </w:pPr>
            <w:r w:rsidRPr="00AC40CC">
              <w:rPr>
                <w:rFonts w:eastAsia="Times New Roman" w:cstheme="minorHAnsi"/>
                <w:color w:val="000000"/>
              </w:rPr>
              <w:t>  </w:t>
            </w:r>
          </w:p>
        </w:tc>
      </w:tr>
      <w:tr w14:paraId="6E2C35BC" w14:textId="77777777" w:rsidTr="00AC40CC">
        <w:tblPrEx>
          <w:tblW w:w="0" w:type="dxa"/>
          <w:tblCellMar>
            <w:left w:w="0" w:type="dxa"/>
            <w:right w:w="0" w:type="dxa"/>
          </w:tblCellMar>
          <w:tblLook w:val="04A0"/>
        </w:tblPrEx>
        <w:trPr>
          <w:trHeight w:val="300"/>
        </w:trPr>
        <w:tc>
          <w:tcPr>
            <w:tcW w:w="3225" w:type="dxa"/>
            <w:tcBorders>
              <w:top w:val="nil"/>
              <w:left w:val="double" w:sz="6" w:space="0" w:color="auto"/>
              <w:bottom w:val="nil"/>
              <w:right w:val="nil"/>
            </w:tcBorders>
            <w:shd w:val="clear" w:color="auto" w:fill="auto"/>
            <w:hideMark/>
          </w:tcPr>
          <w:p w:rsidR="00AC40CC" w:rsidRPr="00AC40CC" w:rsidP="00001D40" w14:paraId="147964CE" w14:textId="77777777">
            <w:pPr>
              <w:spacing w:after="0" w:line="276" w:lineRule="auto"/>
              <w:ind w:left="375"/>
              <w:textAlignment w:val="baseline"/>
              <w:rPr>
                <w:rFonts w:eastAsia="Times New Roman" w:cstheme="minorHAnsi"/>
              </w:rPr>
            </w:pPr>
            <w:r w:rsidRPr="00AC40CC">
              <w:rPr>
                <w:rFonts w:eastAsia="Times New Roman" w:cstheme="minorHAnsi"/>
              </w:rPr>
              <w:t>Permitting Authority action. </w:t>
            </w:r>
          </w:p>
        </w:tc>
        <w:tc>
          <w:tcPr>
            <w:tcW w:w="1710" w:type="dxa"/>
            <w:tcBorders>
              <w:top w:val="nil"/>
              <w:left w:val="single" w:sz="6" w:space="0" w:color="auto"/>
              <w:bottom w:val="nil"/>
              <w:right w:val="single" w:sz="6" w:space="0" w:color="auto"/>
            </w:tcBorders>
            <w:shd w:val="clear" w:color="auto" w:fill="auto"/>
            <w:hideMark/>
          </w:tcPr>
          <w:p w:rsidR="00AC40CC" w:rsidRPr="00AC40CC" w:rsidP="00001D40" w14:paraId="101CF959" w14:textId="77777777">
            <w:pPr>
              <w:spacing w:after="0" w:line="276" w:lineRule="auto"/>
              <w:jc w:val="center"/>
              <w:textAlignment w:val="baseline"/>
              <w:rPr>
                <w:rFonts w:eastAsia="Times New Roman" w:cstheme="minorHAnsi"/>
              </w:rPr>
            </w:pPr>
            <w:r w:rsidRPr="00AC40CC">
              <w:rPr>
                <w:rFonts w:eastAsia="Times New Roman" w:cstheme="minorHAnsi"/>
              </w:rPr>
              <w:t>8 </w:t>
            </w:r>
          </w:p>
        </w:tc>
        <w:tc>
          <w:tcPr>
            <w:tcW w:w="1425" w:type="dxa"/>
            <w:tcBorders>
              <w:top w:val="nil"/>
              <w:left w:val="nil"/>
              <w:bottom w:val="nil"/>
              <w:right w:val="nil"/>
            </w:tcBorders>
            <w:shd w:val="clear" w:color="auto" w:fill="auto"/>
            <w:vAlign w:val="center"/>
            <w:hideMark/>
          </w:tcPr>
          <w:p w:rsidR="00AC40CC" w:rsidRPr="00AC40CC" w:rsidP="00001D40" w14:paraId="42967BE3" w14:textId="7B9E9789">
            <w:pPr>
              <w:spacing w:after="0" w:line="276" w:lineRule="auto"/>
              <w:jc w:val="center"/>
              <w:textAlignment w:val="baseline"/>
              <w:rPr>
                <w:rFonts w:eastAsia="Times New Roman" w:cstheme="minorHAnsi"/>
              </w:rPr>
            </w:pPr>
            <w:r w:rsidRPr="00AC40CC">
              <w:rPr>
                <w:rFonts w:eastAsia="Times New Roman" w:cstheme="minorHAnsi"/>
                <w:color w:val="000000"/>
              </w:rPr>
              <w:t>$</w:t>
            </w:r>
            <w:r w:rsidR="00A64434">
              <w:rPr>
                <w:rFonts w:eastAsia="Times New Roman" w:cstheme="minorHAnsi"/>
                <w:color w:val="000000"/>
              </w:rPr>
              <w:t>490.16</w:t>
            </w:r>
          </w:p>
        </w:tc>
        <w:tc>
          <w:tcPr>
            <w:tcW w:w="1620" w:type="dxa"/>
            <w:tcBorders>
              <w:top w:val="nil"/>
              <w:left w:val="single" w:sz="6" w:space="0" w:color="auto"/>
              <w:bottom w:val="nil"/>
              <w:right w:val="single" w:sz="6" w:space="0" w:color="auto"/>
            </w:tcBorders>
            <w:shd w:val="clear" w:color="auto" w:fill="auto"/>
            <w:vAlign w:val="center"/>
            <w:hideMark/>
          </w:tcPr>
          <w:p w:rsidR="00AC40CC" w:rsidRPr="00AC40CC" w:rsidP="00001D40" w14:paraId="221B81EB" w14:textId="19310868">
            <w:pPr>
              <w:spacing w:after="0" w:line="276" w:lineRule="auto"/>
              <w:jc w:val="center"/>
              <w:textAlignment w:val="baseline"/>
              <w:rPr>
                <w:rFonts w:eastAsia="Times New Roman" w:cstheme="minorHAnsi"/>
              </w:rPr>
            </w:pPr>
            <w:r w:rsidRPr="00AC40CC">
              <w:rPr>
                <w:rFonts w:eastAsia="Times New Roman" w:cstheme="minorHAnsi"/>
                <w:color w:val="000000"/>
              </w:rPr>
              <w:t>1,8</w:t>
            </w:r>
            <w:r w:rsidR="00A64434">
              <w:rPr>
                <w:rFonts w:eastAsia="Times New Roman" w:cstheme="minorHAnsi"/>
                <w:color w:val="000000"/>
              </w:rPr>
              <w:t>00</w:t>
            </w:r>
          </w:p>
        </w:tc>
        <w:tc>
          <w:tcPr>
            <w:tcW w:w="1335" w:type="dxa"/>
            <w:tcBorders>
              <w:top w:val="nil"/>
              <w:left w:val="nil"/>
              <w:bottom w:val="nil"/>
              <w:right w:val="double" w:sz="6" w:space="0" w:color="auto"/>
            </w:tcBorders>
            <w:shd w:val="clear" w:color="auto" w:fill="auto"/>
            <w:vAlign w:val="center"/>
            <w:hideMark/>
          </w:tcPr>
          <w:p w:rsidR="00AC40CC" w:rsidRPr="00AC40CC" w:rsidP="00001D40" w14:paraId="1453CEAB" w14:textId="7CCBB017">
            <w:pPr>
              <w:spacing w:after="0" w:line="276" w:lineRule="auto"/>
              <w:jc w:val="center"/>
              <w:textAlignment w:val="baseline"/>
              <w:rPr>
                <w:rFonts w:eastAsia="Times New Roman" w:cstheme="minorHAnsi"/>
              </w:rPr>
            </w:pPr>
            <w:r w:rsidRPr="00AC40CC">
              <w:rPr>
                <w:rFonts w:eastAsia="Times New Roman" w:cstheme="minorHAnsi"/>
                <w:color w:val="000000"/>
              </w:rPr>
              <w:t>$</w:t>
            </w:r>
            <w:r w:rsidR="00A64434">
              <w:rPr>
                <w:rFonts w:eastAsia="Times New Roman" w:cstheme="minorHAnsi"/>
                <w:color w:val="000000"/>
              </w:rPr>
              <w:t>110,286</w:t>
            </w:r>
          </w:p>
        </w:tc>
      </w:tr>
      <w:tr w14:paraId="3B8E0136" w14:textId="77777777" w:rsidTr="00AC40CC">
        <w:tblPrEx>
          <w:tblW w:w="0" w:type="dxa"/>
          <w:tblCellMar>
            <w:left w:w="0" w:type="dxa"/>
            <w:right w:w="0" w:type="dxa"/>
          </w:tblCellMar>
          <w:tblLook w:val="04A0"/>
        </w:tblPrEx>
        <w:trPr>
          <w:trHeight w:val="300"/>
        </w:trPr>
        <w:tc>
          <w:tcPr>
            <w:tcW w:w="3225" w:type="dxa"/>
            <w:tcBorders>
              <w:top w:val="nil"/>
              <w:left w:val="double" w:sz="6" w:space="0" w:color="auto"/>
              <w:bottom w:val="nil"/>
              <w:right w:val="nil"/>
            </w:tcBorders>
            <w:shd w:val="clear" w:color="auto" w:fill="auto"/>
            <w:hideMark/>
          </w:tcPr>
          <w:p w:rsidR="00AC40CC" w:rsidRPr="00AC40CC" w:rsidP="00001D40" w14:paraId="31164F4E" w14:textId="77777777">
            <w:pPr>
              <w:spacing w:after="0" w:line="276" w:lineRule="auto"/>
              <w:ind w:left="375"/>
              <w:textAlignment w:val="baseline"/>
              <w:rPr>
                <w:rFonts w:eastAsia="Times New Roman" w:cstheme="minorHAnsi"/>
              </w:rPr>
            </w:pPr>
            <w:r w:rsidRPr="00AC40CC">
              <w:rPr>
                <w:rFonts w:eastAsia="Times New Roman" w:cstheme="minorHAnsi"/>
              </w:rPr>
              <w:t>EPA review. </w:t>
            </w:r>
          </w:p>
        </w:tc>
        <w:tc>
          <w:tcPr>
            <w:tcW w:w="1710" w:type="dxa"/>
            <w:tcBorders>
              <w:top w:val="nil"/>
              <w:left w:val="single" w:sz="6" w:space="0" w:color="auto"/>
              <w:bottom w:val="nil"/>
              <w:right w:val="single" w:sz="6" w:space="0" w:color="auto"/>
            </w:tcBorders>
            <w:shd w:val="clear" w:color="auto" w:fill="auto"/>
            <w:hideMark/>
          </w:tcPr>
          <w:p w:rsidR="00AC40CC" w:rsidRPr="00AC40CC" w:rsidP="00001D40" w14:paraId="3FED2D4A" w14:textId="77777777">
            <w:pPr>
              <w:spacing w:after="0" w:line="276" w:lineRule="auto"/>
              <w:jc w:val="center"/>
              <w:textAlignment w:val="baseline"/>
              <w:rPr>
                <w:rFonts w:eastAsia="Times New Roman" w:cstheme="minorHAnsi"/>
              </w:rPr>
            </w:pPr>
            <w:r w:rsidRPr="00AC40CC">
              <w:rPr>
                <w:rFonts w:eastAsia="Times New Roman" w:cstheme="minorHAnsi"/>
              </w:rPr>
              <w:t>1 </w:t>
            </w:r>
          </w:p>
        </w:tc>
        <w:tc>
          <w:tcPr>
            <w:tcW w:w="1425" w:type="dxa"/>
            <w:tcBorders>
              <w:top w:val="nil"/>
              <w:left w:val="nil"/>
              <w:bottom w:val="nil"/>
              <w:right w:val="nil"/>
            </w:tcBorders>
            <w:shd w:val="clear" w:color="auto" w:fill="auto"/>
            <w:vAlign w:val="center"/>
            <w:hideMark/>
          </w:tcPr>
          <w:p w:rsidR="00AC40CC" w:rsidRPr="00AC40CC" w:rsidP="00001D40" w14:paraId="08EF5471" w14:textId="4A578214">
            <w:pPr>
              <w:spacing w:after="0" w:line="276" w:lineRule="auto"/>
              <w:jc w:val="center"/>
              <w:textAlignment w:val="baseline"/>
              <w:rPr>
                <w:rFonts w:eastAsia="Times New Roman" w:cstheme="minorHAnsi"/>
              </w:rPr>
            </w:pPr>
            <w:r w:rsidRPr="00AC40CC">
              <w:rPr>
                <w:rFonts w:eastAsia="Times New Roman" w:cstheme="minorHAnsi"/>
                <w:color w:val="000000"/>
              </w:rPr>
              <w:t>$</w:t>
            </w:r>
            <w:r w:rsidR="00991ECE">
              <w:rPr>
                <w:rFonts w:eastAsia="Times New Roman" w:cstheme="minorHAnsi"/>
                <w:color w:val="000000"/>
              </w:rPr>
              <w:t>94.</w:t>
            </w:r>
            <w:r w:rsidR="006A05CD">
              <w:rPr>
                <w:rFonts w:eastAsia="Times New Roman" w:cstheme="minorHAnsi"/>
                <w:color w:val="000000"/>
              </w:rPr>
              <w:t>49</w:t>
            </w:r>
          </w:p>
        </w:tc>
        <w:tc>
          <w:tcPr>
            <w:tcW w:w="1620" w:type="dxa"/>
            <w:tcBorders>
              <w:top w:val="nil"/>
              <w:left w:val="single" w:sz="6" w:space="0" w:color="auto"/>
              <w:bottom w:val="nil"/>
              <w:right w:val="single" w:sz="6" w:space="0" w:color="auto"/>
            </w:tcBorders>
            <w:shd w:val="clear" w:color="auto" w:fill="auto"/>
            <w:vAlign w:val="center"/>
            <w:hideMark/>
          </w:tcPr>
          <w:p w:rsidR="00AC40CC" w:rsidRPr="00AC40CC" w:rsidP="00001D40" w14:paraId="60871D62" w14:textId="696061EC">
            <w:pPr>
              <w:spacing w:after="0" w:line="276" w:lineRule="auto"/>
              <w:jc w:val="center"/>
              <w:textAlignment w:val="baseline"/>
              <w:rPr>
                <w:rFonts w:eastAsia="Times New Roman" w:cstheme="minorHAnsi"/>
              </w:rPr>
            </w:pPr>
            <w:r>
              <w:rPr>
                <w:rFonts w:eastAsia="Times New Roman" w:cstheme="minorHAnsi"/>
                <w:color w:val="000000"/>
              </w:rPr>
              <w:t>225</w:t>
            </w:r>
          </w:p>
        </w:tc>
        <w:tc>
          <w:tcPr>
            <w:tcW w:w="1335" w:type="dxa"/>
            <w:tcBorders>
              <w:top w:val="nil"/>
              <w:left w:val="nil"/>
              <w:bottom w:val="nil"/>
              <w:right w:val="double" w:sz="6" w:space="0" w:color="auto"/>
            </w:tcBorders>
            <w:shd w:val="clear" w:color="auto" w:fill="auto"/>
            <w:vAlign w:val="center"/>
            <w:hideMark/>
          </w:tcPr>
          <w:p w:rsidR="00AC40CC" w:rsidRPr="00AC40CC" w:rsidP="00001D40" w14:paraId="3A7F2A7E" w14:textId="0EDFAEA4">
            <w:pPr>
              <w:spacing w:after="0" w:line="276" w:lineRule="auto"/>
              <w:jc w:val="center"/>
              <w:textAlignment w:val="baseline"/>
              <w:rPr>
                <w:rFonts w:eastAsia="Times New Roman" w:cstheme="minorHAnsi"/>
              </w:rPr>
            </w:pPr>
            <w:r w:rsidRPr="00AC40CC">
              <w:rPr>
                <w:rFonts w:eastAsia="Times New Roman" w:cstheme="minorHAnsi"/>
                <w:color w:val="000000"/>
              </w:rPr>
              <w:t>$</w:t>
            </w:r>
            <w:r w:rsidR="006A05CD">
              <w:rPr>
                <w:rFonts w:eastAsia="Times New Roman" w:cstheme="minorHAnsi"/>
                <w:color w:val="000000"/>
              </w:rPr>
              <w:t>21,260</w:t>
            </w:r>
          </w:p>
        </w:tc>
      </w:tr>
      <w:tr w14:paraId="4D3843DD" w14:textId="77777777" w:rsidTr="00AC40CC">
        <w:tblPrEx>
          <w:tblW w:w="0" w:type="dxa"/>
          <w:tblCellMar>
            <w:left w:w="0" w:type="dxa"/>
            <w:right w:w="0" w:type="dxa"/>
          </w:tblCellMar>
          <w:tblLook w:val="04A0"/>
        </w:tblPrEx>
        <w:trPr>
          <w:trHeight w:val="300"/>
        </w:trPr>
        <w:tc>
          <w:tcPr>
            <w:tcW w:w="3225" w:type="dxa"/>
            <w:tcBorders>
              <w:top w:val="single" w:sz="6" w:space="0" w:color="auto"/>
              <w:left w:val="double" w:sz="6" w:space="0" w:color="auto"/>
              <w:bottom w:val="nil"/>
              <w:right w:val="nil"/>
            </w:tcBorders>
            <w:shd w:val="clear" w:color="auto" w:fill="auto"/>
            <w:hideMark/>
          </w:tcPr>
          <w:p w:rsidR="00AC40CC" w:rsidRPr="00AC40CC" w:rsidP="00001D40" w14:paraId="51D13B80" w14:textId="77777777">
            <w:pPr>
              <w:spacing w:after="0" w:line="276" w:lineRule="auto"/>
              <w:textAlignment w:val="baseline"/>
              <w:rPr>
                <w:rFonts w:eastAsia="Times New Roman" w:cstheme="minorHAnsi"/>
              </w:rPr>
            </w:pPr>
            <w:r w:rsidRPr="00AC40CC">
              <w:rPr>
                <w:rFonts w:eastAsia="Times New Roman" w:cstheme="minorHAnsi"/>
              </w:rPr>
              <w:t xml:space="preserve">Receive and process retired and new unit </w:t>
            </w:r>
            <w:r w:rsidRPr="00AC40CC">
              <w:rPr>
                <w:rFonts w:eastAsia="Times New Roman" w:cstheme="minorHAnsi"/>
              </w:rPr>
              <w:t>exemptions.</w:t>
            </w:r>
            <w:r w:rsidRPr="00AC40CC">
              <w:rPr>
                <w:rFonts w:eastAsia="Times New Roman" w:cstheme="minorHAnsi"/>
                <w:vertAlign w:val="superscript"/>
              </w:rPr>
              <w:t>d</w:t>
            </w:r>
            <w:r w:rsidRPr="00AC40CC">
              <w:rPr>
                <w:rFonts w:eastAsia="Times New Roman" w:cstheme="minorHAnsi"/>
              </w:rPr>
              <w:t> </w:t>
            </w:r>
          </w:p>
        </w:tc>
        <w:tc>
          <w:tcPr>
            <w:tcW w:w="1710" w:type="dxa"/>
            <w:tcBorders>
              <w:top w:val="single" w:sz="6" w:space="0" w:color="auto"/>
              <w:left w:val="single" w:sz="6" w:space="0" w:color="auto"/>
              <w:bottom w:val="nil"/>
              <w:right w:val="single" w:sz="6" w:space="0" w:color="auto"/>
            </w:tcBorders>
            <w:shd w:val="clear" w:color="auto" w:fill="auto"/>
            <w:hideMark/>
          </w:tcPr>
          <w:p w:rsidR="00AC40CC" w:rsidRPr="00AC40CC" w:rsidP="00001D40" w14:paraId="62E470E5" w14:textId="77777777">
            <w:pPr>
              <w:spacing w:after="0" w:line="276" w:lineRule="auto"/>
              <w:jc w:val="center"/>
              <w:textAlignment w:val="baseline"/>
              <w:rPr>
                <w:rFonts w:eastAsia="Times New Roman" w:cstheme="minorHAnsi"/>
              </w:rPr>
            </w:pPr>
            <w:r w:rsidRPr="00AC40CC">
              <w:rPr>
                <w:rFonts w:eastAsia="Times New Roman" w:cstheme="minorHAnsi"/>
              </w:rPr>
              <w:t> </w:t>
            </w:r>
          </w:p>
        </w:tc>
        <w:tc>
          <w:tcPr>
            <w:tcW w:w="1425" w:type="dxa"/>
            <w:tcBorders>
              <w:top w:val="single" w:sz="6" w:space="0" w:color="auto"/>
              <w:left w:val="nil"/>
              <w:bottom w:val="nil"/>
              <w:right w:val="nil"/>
            </w:tcBorders>
            <w:shd w:val="clear" w:color="auto" w:fill="auto"/>
            <w:vAlign w:val="center"/>
            <w:hideMark/>
          </w:tcPr>
          <w:p w:rsidR="00AC40CC" w:rsidRPr="00AC40CC" w:rsidP="00001D40" w14:paraId="70CBE166" w14:textId="77777777">
            <w:pPr>
              <w:spacing w:after="0" w:line="276" w:lineRule="auto"/>
              <w:jc w:val="center"/>
              <w:textAlignment w:val="baseline"/>
              <w:rPr>
                <w:rFonts w:eastAsia="Times New Roman" w:cstheme="minorHAnsi"/>
              </w:rPr>
            </w:pPr>
            <w:r w:rsidRPr="00AC40CC">
              <w:rPr>
                <w:rFonts w:eastAsia="Times New Roman" w:cstheme="minorHAnsi"/>
                <w:color w:val="000000"/>
              </w:rPr>
              <w:t>  </w:t>
            </w:r>
          </w:p>
        </w:tc>
        <w:tc>
          <w:tcPr>
            <w:tcW w:w="1620" w:type="dxa"/>
            <w:tcBorders>
              <w:top w:val="single" w:sz="6" w:space="0" w:color="auto"/>
              <w:left w:val="single" w:sz="6" w:space="0" w:color="auto"/>
              <w:bottom w:val="nil"/>
              <w:right w:val="single" w:sz="6" w:space="0" w:color="auto"/>
            </w:tcBorders>
            <w:shd w:val="clear" w:color="auto" w:fill="auto"/>
            <w:vAlign w:val="center"/>
            <w:hideMark/>
          </w:tcPr>
          <w:p w:rsidR="00AC40CC" w:rsidRPr="00AC40CC" w:rsidP="00001D40" w14:paraId="5892E896" w14:textId="77777777">
            <w:pPr>
              <w:spacing w:after="0" w:line="276" w:lineRule="auto"/>
              <w:jc w:val="center"/>
              <w:textAlignment w:val="baseline"/>
              <w:rPr>
                <w:rFonts w:eastAsia="Times New Roman" w:cstheme="minorHAnsi"/>
              </w:rPr>
            </w:pPr>
            <w:r w:rsidRPr="00AC40CC">
              <w:rPr>
                <w:rFonts w:eastAsia="Times New Roman" w:cstheme="minorHAnsi"/>
                <w:color w:val="000000"/>
              </w:rPr>
              <w:t>  </w:t>
            </w:r>
          </w:p>
        </w:tc>
        <w:tc>
          <w:tcPr>
            <w:tcW w:w="1335" w:type="dxa"/>
            <w:tcBorders>
              <w:top w:val="single" w:sz="6" w:space="0" w:color="auto"/>
              <w:left w:val="nil"/>
              <w:bottom w:val="nil"/>
              <w:right w:val="double" w:sz="6" w:space="0" w:color="auto"/>
            </w:tcBorders>
            <w:shd w:val="clear" w:color="auto" w:fill="auto"/>
            <w:vAlign w:val="center"/>
            <w:hideMark/>
          </w:tcPr>
          <w:p w:rsidR="00AC40CC" w:rsidRPr="00AC40CC" w:rsidP="00001D40" w14:paraId="16F196F0" w14:textId="77777777">
            <w:pPr>
              <w:spacing w:after="0" w:line="276" w:lineRule="auto"/>
              <w:jc w:val="center"/>
              <w:textAlignment w:val="baseline"/>
              <w:rPr>
                <w:rFonts w:eastAsia="Times New Roman" w:cstheme="minorHAnsi"/>
              </w:rPr>
            </w:pPr>
            <w:r w:rsidRPr="00AC40CC">
              <w:rPr>
                <w:rFonts w:eastAsia="Times New Roman" w:cstheme="minorHAnsi"/>
                <w:color w:val="000000"/>
              </w:rPr>
              <w:t>  </w:t>
            </w:r>
          </w:p>
        </w:tc>
      </w:tr>
      <w:tr w14:paraId="3488955A" w14:textId="77777777" w:rsidTr="00AC40CC">
        <w:tblPrEx>
          <w:tblW w:w="0" w:type="dxa"/>
          <w:tblCellMar>
            <w:left w:w="0" w:type="dxa"/>
            <w:right w:w="0" w:type="dxa"/>
          </w:tblCellMar>
          <w:tblLook w:val="04A0"/>
        </w:tblPrEx>
        <w:trPr>
          <w:trHeight w:val="300"/>
        </w:trPr>
        <w:tc>
          <w:tcPr>
            <w:tcW w:w="3225" w:type="dxa"/>
            <w:tcBorders>
              <w:top w:val="nil"/>
              <w:left w:val="double" w:sz="6" w:space="0" w:color="auto"/>
              <w:bottom w:val="nil"/>
              <w:right w:val="nil"/>
            </w:tcBorders>
            <w:shd w:val="clear" w:color="auto" w:fill="auto"/>
            <w:hideMark/>
          </w:tcPr>
          <w:p w:rsidR="00AC40CC" w:rsidRPr="00AC40CC" w:rsidP="00001D40" w14:paraId="0290447D" w14:textId="77777777">
            <w:pPr>
              <w:spacing w:after="0" w:line="276" w:lineRule="auto"/>
              <w:ind w:left="375"/>
              <w:textAlignment w:val="baseline"/>
              <w:rPr>
                <w:rFonts w:eastAsia="Times New Roman" w:cstheme="minorHAnsi"/>
              </w:rPr>
            </w:pPr>
            <w:r w:rsidRPr="00AC40CC">
              <w:rPr>
                <w:rFonts w:eastAsia="Times New Roman" w:cstheme="minorHAnsi"/>
              </w:rPr>
              <w:t>Permitting Authority action. </w:t>
            </w:r>
          </w:p>
        </w:tc>
        <w:tc>
          <w:tcPr>
            <w:tcW w:w="1710" w:type="dxa"/>
            <w:tcBorders>
              <w:top w:val="nil"/>
              <w:left w:val="single" w:sz="6" w:space="0" w:color="auto"/>
              <w:bottom w:val="nil"/>
              <w:right w:val="single" w:sz="6" w:space="0" w:color="auto"/>
            </w:tcBorders>
            <w:shd w:val="clear" w:color="auto" w:fill="auto"/>
            <w:hideMark/>
          </w:tcPr>
          <w:p w:rsidR="00AC40CC" w:rsidRPr="00AC40CC" w:rsidP="00001D40" w14:paraId="73A022A9" w14:textId="77777777">
            <w:pPr>
              <w:spacing w:after="0" w:line="276" w:lineRule="auto"/>
              <w:jc w:val="center"/>
              <w:textAlignment w:val="baseline"/>
              <w:rPr>
                <w:rFonts w:eastAsia="Times New Roman" w:cstheme="minorHAnsi"/>
              </w:rPr>
            </w:pPr>
            <w:r w:rsidRPr="00AC40CC">
              <w:rPr>
                <w:rFonts w:eastAsia="Times New Roman" w:cstheme="minorHAnsi"/>
              </w:rPr>
              <w:t>2 </w:t>
            </w:r>
          </w:p>
        </w:tc>
        <w:tc>
          <w:tcPr>
            <w:tcW w:w="1425" w:type="dxa"/>
            <w:tcBorders>
              <w:top w:val="nil"/>
              <w:left w:val="nil"/>
              <w:bottom w:val="nil"/>
              <w:right w:val="nil"/>
            </w:tcBorders>
            <w:shd w:val="clear" w:color="auto" w:fill="auto"/>
            <w:vAlign w:val="center"/>
            <w:hideMark/>
          </w:tcPr>
          <w:p w:rsidR="00AC40CC" w:rsidRPr="00AC40CC" w:rsidP="00001D40" w14:paraId="615E9086" w14:textId="6BFE27A1">
            <w:pPr>
              <w:spacing w:after="0" w:line="276" w:lineRule="auto"/>
              <w:jc w:val="center"/>
              <w:textAlignment w:val="baseline"/>
              <w:rPr>
                <w:rFonts w:eastAsia="Times New Roman" w:cstheme="minorHAnsi"/>
              </w:rPr>
            </w:pPr>
            <w:r w:rsidRPr="00AC40CC">
              <w:rPr>
                <w:rFonts w:eastAsia="Times New Roman" w:cstheme="minorHAnsi"/>
                <w:color w:val="000000"/>
              </w:rPr>
              <w:t>$</w:t>
            </w:r>
            <w:r w:rsidR="006A05CD">
              <w:rPr>
                <w:rFonts w:eastAsia="Times New Roman" w:cstheme="minorHAnsi"/>
                <w:color w:val="000000"/>
              </w:rPr>
              <w:t>122.54</w:t>
            </w:r>
            <w:r w:rsidRPr="00AC40CC">
              <w:rPr>
                <w:rFonts w:eastAsia="Times New Roman" w:cstheme="minorHAnsi"/>
                <w:color w:val="000000"/>
              </w:rPr>
              <w:t>  </w:t>
            </w:r>
          </w:p>
        </w:tc>
        <w:tc>
          <w:tcPr>
            <w:tcW w:w="1620" w:type="dxa"/>
            <w:tcBorders>
              <w:top w:val="nil"/>
              <w:left w:val="single" w:sz="6" w:space="0" w:color="auto"/>
              <w:bottom w:val="nil"/>
              <w:right w:val="single" w:sz="6" w:space="0" w:color="auto"/>
            </w:tcBorders>
            <w:shd w:val="clear" w:color="auto" w:fill="auto"/>
            <w:vAlign w:val="center"/>
            <w:hideMark/>
          </w:tcPr>
          <w:p w:rsidR="00AC40CC" w:rsidRPr="00AC40CC" w:rsidP="00001D40" w14:paraId="03DB6170" w14:textId="0AB87B48">
            <w:pPr>
              <w:spacing w:after="0" w:line="276" w:lineRule="auto"/>
              <w:jc w:val="center"/>
              <w:textAlignment w:val="baseline"/>
              <w:rPr>
                <w:rFonts w:eastAsia="Times New Roman" w:cstheme="minorHAnsi"/>
              </w:rPr>
            </w:pPr>
            <w:r>
              <w:rPr>
                <w:rFonts w:eastAsia="Times New Roman" w:cstheme="minorHAnsi"/>
                <w:color w:val="000000"/>
              </w:rPr>
              <w:t>24</w:t>
            </w:r>
            <w:r w:rsidRPr="00AC40CC">
              <w:rPr>
                <w:rFonts w:eastAsia="Times New Roman" w:cstheme="minorHAnsi"/>
                <w:color w:val="000000"/>
              </w:rPr>
              <w:t> </w:t>
            </w:r>
          </w:p>
        </w:tc>
        <w:tc>
          <w:tcPr>
            <w:tcW w:w="1335" w:type="dxa"/>
            <w:tcBorders>
              <w:top w:val="nil"/>
              <w:left w:val="nil"/>
              <w:bottom w:val="nil"/>
              <w:right w:val="double" w:sz="6" w:space="0" w:color="auto"/>
            </w:tcBorders>
            <w:shd w:val="clear" w:color="auto" w:fill="auto"/>
            <w:vAlign w:val="center"/>
            <w:hideMark/>
          </w:tcPr>
          <w:p w:rsidR="00AC40CC" w:rsidRPr="00AC40CC" w:rsidP="00001D40" w14:paraId="1235C9BA" w14:textId="327786C1">
            <w:pPr>
              <w:spacing w:after="0" w:line="276" w:lineRule="auto"/>
              <w:jc w:val="center"/>
              <w:textAlignment w:val="baseline"/>
              <w:rPr>
                <w:rFonts w:eastAsia="Times New Roman" w:cstheme="minorHAnsi"/>
              </w:rPr>
            </w:pPr>
            <w:r w:rsidRPr="00AC40CC">
              <w:rPr>
                <w:rFonts w:eastAsia="Times New Roman" w:cstheme="minorHAnsi"/>
                <w:color w:val="000000"/>
              </w:rPr>
              <w:t>$</w:t>
            </w:r>
            <w:r w:rsidR="00C76A98">
              <w:rPr>
                <w:rFonts w:eastAsia="Times New Roman" w:cstheme="minorHAnsi"/>
                <w:color w:val="000000"/>
              </w:rPr>
              <w:t>1,470</w:t>
            </w:r>
            <w:r w:rsidRPr="00AC40CC">
              <w:rPr>
                <w:rFonts w:eastAsia="Times New Roman" w:cstheme="minorHAnsi"/>
                <w:color w:val="000000"/>
              </w:rPr>
              <w:t>  </w:t>
            </w:r>
          </w:p>
        </w:tc>
      </w:tr>
      <w:tr w14:paraId="0B50EC10" w14:textId="77777777" w:rsidTr="00AC40CC">
        <w:tblPrEx>
          <w:tblW w:w="0" w:type="dxa"/>
          <w:tblCellMar>
            <w:left w:w="0" w:type="dxa"/>
            <w:right w:w="0" w:type="dxa"/>
          </w:tblCellMar>
          <w:tblLook w:val="04A0"/>
        </w:tblPrEx>
        <w:trPr>
          <w:trHeight w:val="300"/>
        </w:trPr>
        <w:tc>
          <w:tcPr>
            <w:tcW w:w="3225" w:type="dxa"/>
            <w:tcBorders>
              <w:top w:val="nil"/>
              <w:left w:val="double" w:sz="6" w:space="0" w:color="auto"/>
              <w:bottom w:val="double" w:sz="6" w:space="0" w:color="auto"/>
              <w:right w:val="nil"/>
            </w:tcBorders>
            <w:shd w:val="clear" w:color="auto" w:fill="auto"/>
            <w:hideMark/>
          </w:tcPr>
          <w:p w:rsidR="00AC40CC" w:rsidRPr="00AC40CC" w:rsidP="00001D40" w14:paraId="76D65AAF" w14:textId="77777777">
            <w:pPr>
              <w:spacing w:after="0" w:line="276" w:lineRule="auto"/>
              <w:ind w:left="375"/>
              <w:textAlignment w:val="baseline"/>
              <w:rPr>
                <w:rFonts w:eastAsia="Times New Roman" w:cstheme="minorHAnsi"/>
              </w:rPr>
            </w:pPr>
            <w:r w:rsidRPr="00AC40CC">
              <w:rPr>
                <w:rFonts w:eastAsia="Times New Roman" w:cstheme="minorHAnsi"/>
              </w:rPr>
              <w:t>EPA review. </w:t>
            </w:r>
          </w:p>
        </w:tc>
        <w:tc>
          <w:tcPr>
            <w:tcW w:w="1710" w:type="dxa"/>
            <w:tcBorders>
              <w:top w:val="nil"/>
              <w:left w:val="single" w:sz="6" w:space="0" w:color="auto"/>
              <w:bottom w:val="double" w:sz="6" w:space="0" w:color="auto"/>
              <w:right w:val="single" w:sz="6" w:space="0" w:color="auto"/>
            </w:tcBorders>
            <w:shd w:val="clear" w:color="auto" w:fill="auto"/>
            <w:hideMark/>
          </w:tcPr>
          <w:p w:rsidR="00AC40CC" w:rsidRPr="00AC40CC" w:rsidP="00001D40" w14:paraId="1861E63C" w14:textId="77777777">
            <w:pPr>
              <w:spacing w:after="0" w:line="276" w:lineRule="auto"/>
              <w:jc w:val="center"/>
              <w:textAlignment w:val="baseline"/>
              <w:rPr>
                <w:rFonts w:eastAsia="Times New Roman" w:cstheme="minorHAnsi"/>
              </w:rPr>
            </w:pPr>
            <w:r w:rsidRPr="00AC40CC">
              <w:rPr>
                <w:rFonts w:eastAsia="Times New Roman" w:cstheme="minorHAnsi"/>
              </w:rPr>
              <w:t>0.3 </w:t>
            </w:r>
          </w:p>
        </w:tc>
        <w:tc>
          <w:tcPr>
            <w:tcW w:w="1425" w:type="dxa"/>
            <w:tcBorders>
              <w:top w:val="nil"/>
              <w:left w:val="nil"/>
              <w:bottom w:val="double" w:sz="6" w:space="0" w:color="auto"/>
              <w:right w:val="nil"/>
            </w:tcBorders>
            <w:shd w:val="clear" w:color="auto" w:fill="auto"/>
            <w:vAlign w:val="center"/>
            <w:hideMark/>
          </w:tcPr>
          <w:p w:rsidR="00AC40CC" w:rsidRPr="00AC40CC" w:rsidP="00001D40" w14:paraId="7ECA4C9B" w14:textId="136A1ACD">
            <w:pPr>
              <w:spacing w:after="0" w:line="276" w:lineRule="auto"/>
              <w:jc w:val="center"/>
              <w:textAlignment w:val="baseline"/>
              <w:rPr>
                <w:rFonts w:eastAsia="Times New Roman" w:cstheme="minorHAnsi"/>
              </w:rPr>
            </w:pPr>
            <w:r w:rsidRPr="00AC40CC">
              <w:rPr>
                <w:rFonts w:eastAsia="Times New Roman" w:cstheme="minorHAnsi"/>
                <w:color w:val="000000"/>
              </w:rPr>
              <w:t>$</w:t>
            </w:r>
            <w:r w:rsidR="00AD2124">
              <w:rPr>
                <w:rFonts w:eastAsia="Times New Roman" w:cstheme="minorHAnsi"/>
                <w:color w:val="000000"/>
              </w:rPr>
              <w:t>28.35</w:t>
            </w:r>
            <w:r w:rsidRPr="00AC40CC">
              <w:rPr>
                <w:rFonts w:eastAsia="Times New Roman" w:cstheme="minorHAnsi"/>
                <w:color w:val="000000"/>
              </w:rPr>
              <w:t>  </w:t>
            </w:r>
          </w:p>
        </w:tc>
        <w:tc>
          <w:tcPr>
            <w:tcW w:w="1620" w:type="dxa"/>
            <w:tcBorders>
              <w:top w:val="nil"/>
              <w:left w:val="single" w:sz="6" w:space="0" w:color="auto"/>
              <w:bottom w:val="double" w:sz="6" w:space="0" w:color="auto"/>
              <w:right w:val="single" w:sz="6" w:space="0" w:color="auto"/>
            </w:tcBorders>
            <w:shd w:val="clear" w:color="auto" w:fill="auto"/>
            <w:vAlign w:val="center"/>
            <w:hideMark/>
          </w:tcPr>
          <w:p w:rsidR="00AC40CC" w:rsidRPr="00AC40CC" w:rsidP="00001D40" w14:paraId="31E9DB15" w14:textId="05301173">
            <w:pPr>
              <w:spacing w:after="0" w:line="276" w:lineRule="auto"/>
              <w:jc w:val="center"/>
              <w:textAlignment w:val="baseline"/>
              <w:rPr>
                <w:rFonts w:eastAsia="Times New Roman" w:cstheme="minorHAnsi"/>
              </w:rPr>
            </w:pPr>
            <w:r>
              <w:rPr>
                <w:rFonts w:eastAsia="Times New Roman" w:cstheme="minorHAnsi"/>
                <w:color w:val="000000"/>
              </w:rPr>
              <w:t>3.6</w:t>
            </w:r>
          </w:p>
        </w:tc>
        <w:tc>
          <w:tcPr>
            <w:tcW w:w="1335" w:type="dxa"/>
            <w:tcBorders>
              <w:top w:val="nil"/>
              <w:left w:val="nil"/>
              <w:bottom w:val="double" w:sz="6" w:space="0" w:color="auto"/>
              <w:right w:val="double" w:sz="6" w:space="0" w:color="auto"/>
            </w:tcBorders>
            <w:shd w:val="clear" w:color="auto" w:fill="auto"/>
            <w:vAlign w:val="center"/>
            <w:hideMark/>
          </w:tcPr>
          <w:p w:rsidR="00AC40CC" w:rsidRPr="00AC40CC" w:rsidP="00001D40" w14:paraId="7386895F" w14:textId="65BD727F">
            <w:pPr>
              <w:spacing w:after="0" w:line="276" w:lineRule="auto"/>
              <w:jc w:val="center"/>
              <w:textAlignment w:val="baseline"/>
              <w:rPr>
                <w:rFonts w:eastAsia="Times New Roman" w:cstheme="minorHAnsi"/>
              </w:rPr>
            </w:pPr>
            <w:r w:rsidRPr="00AC40CC">
              <w:rPr>
                <w:rFonts w:eastAsia="Times New Roman" w:cstheme="minorHAnsi"/>
                <w:color w:val="000000"/>
              </w:rPr>
              <w:t>$</w:t>
            </w:r>
            <w:r w:rsidR="00C76A98">
              <w:rPr>
                <w:rFonts w:eastAsia="Times New Roman" w:cstheme="minorHAnsi"/>
                <w:color w:val="000000"/>
              </w:rPr>
              <w:t>340</w:t>
            </w:r>
          </w:p>
        </w:tc>
      </w:tr>
      <w:tr w14:paraId="3A8CD4DE" w14:textId="77777777" w:rsidTr="00AC40CC">
        <w:tblPrEx>
          <w:tblW w:w="0" w:type="dxa"/>
          <w:tblCellMar>
            <w:left w:w="0" w:type="dxa"/>
            <w:right w:w="0" w:type="dxa"/>
          </w:tblCellMar>
          <w:tblLook w:val="04A0"/>
        </w:tblPrEx>
        <w:trPr>
          <w:trHeight w:val="300"/>
        </w:trPr>
        <w:tc>
          <w:tcPr>
            <w:tcW w:w="6375" w:type="dxa"/>
            <w:gridSpan w:val="3"/>
            <w:tcBorders>
              <w:top w:val="double" w:sz="6" w:space="0" w:color="auto"/>
              <w:left w:val="double" w:sz="6" w:space="0" w:color="auto"/>
              <w:bottom w:val="double" w:sz="6" w:space="0" w:color="auto"/>
              <w:right w:val="nil"/>
            </w:tcBorders>
            <w:shd w:val="clear" w:color="auto" w:fill="auto"/>
            <w:hideMark/>
          </w:tcPr>
          <w:p w:rsidR="00AC40CC" w:rsidRPr="00AC40CC" w:rsidP="00001D40" w14:paraId="3A7CE0AE" w14:textId="77777777">
            <w:pPr>
              <w:spacing w:after="0" w:line="276" w:lineRule="auto"/>
              <w:textAlignment w:val="baseline"/>
              <w:rPr>
                <w:rFonts w:eastAsia="Times New Roman" w:cstheme="minorHAnsi"/>
              </w:rPr>
            </w:pPr>
            <w:r w:rsidRPr="00AC40CC">
              <w:rPr>
                <w:rFonts w:eastAsia="Times New Roman" w:cstheme="minorHAnsi"/>
                <w:b/>
                <w:bCs/>
              </w:rPr>
              <w:t>Totals</w:t>
            </w:r>
            <w:r w:rsidRPr="00AC40CC">
              <w:rPr>
                <w:rFonts w:eastAsia="Times New Roman" w:cstheme="minorHAnsi"/>
              </w:rPr>
              <w:t> </w:t>
            </w:r>
          </w:p>
        </w:tc>
        <w:tc>
          <w:tcPr>
            <w:tcW w:w="1620" w:type="dxa"/>
            <w:tcBorders>
              <w:top w:val="double" w:sz="6" w:space="0" w:color="auto"/>
              <w:left w:val="single" w:sz="6" w:space="0" w:color="auto"/>
              <w:bottom w:val="double" w:sz="6" w:space="0" w:color="auto"/>
              <w:right w:val="nil"/>
            </w:tcBorders>
            <w:shd w:val="clear" w:color="auto" w:fill="auto"/>
            <w:hideMark/>
          </w:tcPr>
          <w:p w:rsidR="00AC40CC" w:rsidRPr="00AC40CC" w:rsidP="00001D40" w14:paraId="63C435E5" w14:textId="6B7B03D5">
            <w:pPr>
              <w:spacing w:after="0" w:line="276" w:lineRule="auto"/>
              <w:jc w:val="center"/>
              <w:textAlignment w:val="baseline"/>
              <w:rPr>
                <w:rFonts w:eastAsia="Times New Roman" w:cstheme="minorHAnsi"/>
              </w:rPr>
            </w:pPr>
            <w:r>
              <w:rPr>
                <w:rFonts w:eastAsia="Times New Roman" w:cstheme="minorHAnsi"/>
                <w:b/>
                <w:bCs/>
              </w:rPr>
              <w:t>21</w:t>
            </w:r>
            <w:r w:rsidR="00C64463">
              <w:rPr>
                <w:rFonts w:eastAsia="Times New Roman" w:cstheme="minorHAnsi"/>
                <w:b/>
                <w:bCs/>
              </w:rPr>
              <w:t>9</w:t>
            </w:r>
            <w:r w:rsidR="00290140">
              <w:rPr>
                <w:rFonts w:eastAsia="Times New Roman" w:cstheme="minorHAnsi"/>
                <w:b/>
                <w:bCs/>
              </w:rPr>
              <w:t>4</w:t>
            </w:r>
            <w:r w:rsidRPr="00AC40CC">
              <w:rPr>
                <w:rFonts w:eastAsia="Times New Roman" w:cstheme="minorHAnsi"/>
              </w:rPr>
              <w:t> </w:t>
            </w:r>
          </w:p>
        </w:tc>
        <w:tc>
          <w:tcPr>
            <w:tcW w:w="1335" w:type="dxa"/>
            <w:tcBorders>
              <w:top w:val="double" w:sz="6" w:space="0" w:color="auto"/>
              <w:left w:val="single" w:sz="6" w:space="0" w:color="auto"/>
              <w:bottom w:val="double" w:sz="6" w:space="0" w:color="auto"/>
              <w:right w:val="double" w:sz="6" w:space="0" w:color="auto"/>
            </w:tcBorders>
            <w:shd w:val="clear" w:color="auto" w:fill="auto"/>
            <w:hideMark/>
          </w:tcPr>
          <w:p w:rsidR="00AC40CC" w:rsidRPr="00AC40CC" w:rsidP="00001D40" w14:paraId="7954855A" w14:textId="05A3D82C">
            <w:pPr>
              <w:spacing w:after="0" w:line="276" w:lineRule="auto"/>
              <w:jc w:val="center"/>
              <w:textAlignment w:val="baseline"/>
              <w:rPr>
                <w:rFonts w:eastAsia="Times New Roman" w:cstheme="minorHAnsi"/>
              </w:rPr>
            </w:pPr>
            <w:r w:rsidRPr="00AC40CC">
              <w:rPr>
                <w:rFonts w:eastAsia="Times New Roman" w:cstheme="minorHAnsi"/>
                <w:b/>
                <w:bCs/>
              </w:rPr>
              <w:t>$</w:t>
            </w:r>
            <w:r w:rsidR="00C64463">
              <w:rPr>
                <w:rFonts w:eastAsia="Times New Roman" w:cstheme="minorHAnsi"/>
                <w:b/>
                <w:bCs/>
              </w:rPr>
              <w:t>146,</w:t>
            </w:r>
            <w:r w:rsidR="004575CE">
              <w:rPr>
                <w:rFonts w:eastAsia="Times New Roman" w:cstheme="minorHAnsi"/>
                <w:b/>
                <w:bCs/>
              </w:rPr>
              <w:t>6</w:t>
            </w:r>
            <w:r w:rsidR="006973E8">
              <w:rPr>
                <w:rFonts w:eastAsia="Times New Roman" w:cstheme="minorHAnsi"/>
                <w:b/>
                <w:bCs/>
              </w:rPr>
              <w:t>79</w:t>
            </w:r>
          </w:p>
        </w:tc>
      </w:tr>
    </w:tbl>
    <w:p w:rsidR="00B851E9" w:rsidRPr="00001D40" w:rsidP="00001D40" w14:paraId="28DBB45F" w14:textId="2E216A85">
      <w:pPr>
        <w:spacing w:after="0" w:line="276" w:lineRule="auto"/>
        <w:textAlignment w:val="baseline"/>
        <w:rPr>
          <w:rFonts w:eastAsia="Times New Roman" w:cstheme="minorHAnsi"/>
          <w:sz w:val="18"/>
          <w:szCs w:val="18"/>
        </w:rPr>
      </w:pPr>
      <w:r w:rsidRPr="00AC40CC">
        <w:rPr>
          <w:rFonts w:eastAsia="Times New Roman" w:cstheme="minorHAnsi"/>
          <w:sz w:val="18"/>
          <w:szCs w:val="18"/>
          <w:vertAlign w:val="superscript"/>
        </w:rPr>
        <w:t>a</w:t>
      </w:r>
      <w:r w:rsidRPr="00AC40CC">
        <w:rPr>
          <w:rFonts w:eastAsia="Times New Roman" w:cstheme="minorHAnsi"/>
          <w:sz w:val="18"/>
          <w:szCs w:val="18"/>
        </w:rPr>
        <w:t>202</w:t>
      </w:r>
      <w:r w:rsidR="00B27E4C">
        <w:rPr>
          <w:rFonts w:eastAsia="Times New Roman" w:cstheme="minorHAnsi"/>
          <w:sz w:val="18"/>
          <w:szCs w:val="18"/>
        </w:rPr>
        <w:t>4</w:t>
      </w:r>
      <w:r w:rsidRPr="00AC40CC">
        <w:rPr>
          <w:rFonts w:eastAsia="Times New Roman" w:cstheme="minorHAnsi"/>
          <w:sz w:val="18"/>
          <w:szCs w:val="18"/>
        </w:rPr>
        <w:t xml:space="preserve"> dollars. </w:t>
      </w:r>
    </w:p>
    <w:p w:rsidR="00AC40CC" w:rsidRPr="00AC40CC" w:rsidP="00001D40" w14:paraId="1E68A91B" w14:textId="40BB8FCF">
      <w:pPr>
        <w:spacing w:after="0" w:line="276" w:lineRule="auto"/>
        <w:textAlignment w:val="baseline"/>
        <w:rPr>
          <w:rFonts w:eastAsia="Times New Roman" w:cstheme="minorHAnsi"/>
          <w:sz w:val="18"/>
          <w:szCs w:val="18"/>
        </w:rPr>
      </w:pPr>
      <w:r w:rsidRPr="00AC40CC">
        <w:rPr>
          <w:rFonts w:eastAsia="Times New Roman" w:cstheme="minorHAnsi"/>
          <w:sz w:val="18"/>
          <w:szCs w:val="18"/>
          <w:vertAlign w:val="superscript"/>
        </w:rPr>
        <w:t>b</w:t>
      </w:r>
      <w:r w:rsidRPr="00AC40CC">
        <w:rPr>
          <w:rFonts w:eastAsia="Times New Roman" w:cstheme="minorHAnsi"/>
          <w:sz w:val="18"/>
          <w:szCs w:val="18"/>
        </w:rPr>
        <w:t>Assumes</w:t>
      </w:r>
      <w:r w:rsidRPr="00AC40CC">
        <w:rPr>
          <w:rFonts w:eastAsia="Times New Roman" w:cstheme="minorHAnsi"/>
          <w:sz w:val="18"/>
          <w:szCs w:val="18"/>
        </w:rPr>
        <w:t xml:space="preserve"> </w:t>
      </w:r>
      <w:r w:rsidR="00C82B1D">
        <w:rPr>
          <w:rFonts w:eastAsia="Times New Roman" w:cstheme="minorHAnsi"/>
          <w:sz w:val="18"/>
          <w:szCs w:val="18"/>
        </w:rPr>
        <w:t>282</w:t>
      </w:r>
      <w:r w:rsidRPr="00AC40CC">
        <w:rPr>
          <w:rFonts w:eastAsia="Times New Roman" w:cstheme="minorHAnsi"/>
          <w:sz w:val="18"/>
          <w:szCs w:val="18"/>
        </w:rPr>
        <w:t xml:space="preserve"> sources submit a certificate of representation. </w:t>
      </w:r>
    </w:p>
    <w:p w:rsidR="00AC40CC" w:rsidRPr="00AC40CC" w:rsidP="00001D40" w14:paraId="302C3BF7" w14:textId="3705F251">
      <w:pPr>
        <w:spacing w:after="0" w:line="276" w:lineRule="auto"/>
        <w:textAlignment w:val="baseline"/>
        <w:rPr>
          <w:rFonts w:eastAsia="Times New Roman" w:cstheme="minorHAnsi"/>
          <w:sz w:val="18"/>
          <w:szCs w:val="18"/>
        </w:rPr>
      </w:pPr>
      <w:r w:rsidRPr="00AC40CC">
        <w:rPr>
          <w:rFonts w:eastAsia="Times New Roman" w:cstheme="minorHAnsi"/>
          <w:sz w:val="18"/>
          <w:szCs w:val="18"/>
          <w:vertAlign w:val="superscript"/>
        </w:rPr>
        <w:t>c</w:t>
      </w:r>
      <w:r w:rsidRPr="00AC40CC">
        <w:rPr>
          <w:rFonts w:eastAsia="Times New Roman" w:cstheme="minorHAnsi"/>
          <w:sz w:val="18"/>
          <w:szCs w:val="18"/>
        </w:rPr>
        <w:t>Assumes</w:t>
      </w:r>
      <w:r w:rsidRPr="00AC40CC">
        <w:rPr>
          <w:rFonts w:eastAsia="Times New Roman" w:cstheme="minorHAnsi"/>
          <w:sz w:val="18"/>
          <w:szCs w:val="18"/>
        </w:rPr>
        <w:t xml:space="preserve"> </w:t>
      </w:r>
      <w:r w:rsidR="009C6E50">
        <w:rPr>
          <w:rFonts w:eastAsia="Times New Roman" w:cstheme="minorHAnsi"/>
          <w:sz w:val="18"/>
          <w:szCs w:val="18"/>
        </w:rPr>
        <w:t>225</w:t>
      </w:r>
      <w:r w:rsidRPr="00AC40CC">
        <w:rPr>
          <w:rFonts w:eastAsia="Times New Roman" w:cstheme="minorHAnsi"/>
          <w:sz w:val="18"/>
          <w:szCs w:val="18"/>
        </w:rPr>
        <w:t xml:space="preserve"> sources (20 percent of all affected sources) will submit permit applications each year. </w:t>
      </w:r>
    </w:p>
    <w:p w:rsidR="00AC40CC" w:rsidRPr="00AC40CC" w:rsidP="00001D40" w14:paraId="2C052D53" w14:textId="2277F2DF">
      <w:pPr>
        <w:spacing w:after="0" w:line="276" w:lineRule="auto"/>
        <w:textAlignment w:val="baseline"/>
        <w:rPr>
          <w:rFonts w:eastAsia="Times New Roman" w:cstheme="minorHAnsi"/>
          <w:sz w:val="18"/>
          <w:szCs w:val="18"/>
        </w:rPr>
      </w:pPr>
      <w:r w:rsidRPr="00AC40CC">
        <w:rPr>
          <w:rFonts w:eastAsia="Times New Roman" w:cstheme="minorHAnsi"/>
          <w:sz w:val="18"/>
          <w:szCs w:val="18"/>
          <w:vertAlign w:val="superscript"/>
        </w:rPr>
        <w:t>d</w:t>
      </w:r>
      <w:r w:rsidRPr="00AC40CC">
        <w:rPr>
          <w:rFonts w:eastAsia="Times New Roman" w:cstheme="minorHAnsi"/>
          <w:sz w:val="18"/>
          <w:szCs w:val="18"/>
        </w:rPr>
        <w:t>Assumes</w:t>
      </w:r>
      <w:r w:rsidRPr="00AC40CC">
        <w:rPr>
          <w:rFonts w:eastAsia="Times New Roman" w:cstheme="minorHAnsi"/>
          <w:sz w:val="18"/>
          <w:szCs w:val="18"/>
        </w:rPr>
        <w:t xml:space="preserve"> </w:t>
      </w:r>
      <w:r w:rsidR="002B726A">
        <w:rPr>
          <w:rFonts w:eastAsia="Times New Roman" w:cstheme="minorHAnsi"/>
          <w:sz w:val="18"/>
          <w:szCs w:val="18"/>
        </w:rPr>
        <w:t>10</w:t>
      </w:r>
      <w:r w:rsidRPr="00AC40CC">
        <w:rPr>
          <w:rFonts w:eastAsia="Times New Roman" w:cstheme="minorHAnsi"/>
          <w:sz w:val="18"/>
          <w:szCs w:val="18"/>
        </w:rPr>
        <w:t xml:space="preserve"> retired and </w:t>
      </w:r>
      <w:r w:rsidR="002B726A">
        <w:rPr>
          <w:rFonts w:eastAsia="Times New Roman" w:cstheme="minorHAnsi"/>
          <w:sz w:val="18"/>
          <w:szCs w:val="18"/>
        </w:rPr>
        <w:t>2</w:t>
      </w:r>
      <w:r w:rsidRPr="00AC40CC">
        <w:rPr>
          <w:rFonts w:eastAsia="Times New Roman" w:cstheme="minorHAnsi"/>
          <w:sz w:val="18"/>
          <w:szCs w:val="18"/>
        </w:rPr>
        <w:t xml:space="preserve"> new unit exemptions are submitted each year. </w:t>
      </w:r>
    </w:p>
    <w:p w:rsidR="00B27E4C" w:rsidRPr="00AC40CC" w:rsidP="00001D40" w14:paraId="081D132C" w14:textId="6664B23D">
      <w:pPr>
        <w:spacing w:after="0" w:line="276" w:lineRule="auto"/>
        <w:textAlignment w:val="baseline"/>
        <w:rPr>
          <w:rFonts w:eastAsia="Times New Roman" w:cstheme="minorHAnsi"/>
        </w:rPr>
      </w:pPr>
      <w:r w:rsidRPr="00AC40CC">
        <w:rPr>
          <w:rFonts w:eastAsia="Times New Roman" w:cstheme="minorHAnsi"/>
        </w:rPr>
        <w:t> </w:t>
      </w:r>
    </w:p>
    <w:p w:rsidR="008042CA" w:rsidRPr="00B43818" w:rsidP="00B43818" w14:paraId="231558E6" w14:textId="0BF6BA6B">
      <w:pPr>
        <w:pStyle w:val="ListParagraph"/>
        <w:numPr>
          <w:ilvl w:val="0"/>
          <w:numId w:val="39"/>
        </w:numPr>
        <w:spacing w:after="0" w:line="276" w:lineRule="auto"/>
        <w:textAlignment w:val="baseline"/>
        <w:rPr>
          <w:rFonts w:eastAsia="Times New Roman" w:cstheme="minorHAnsi"/>
        </w:rPr>
      </w:pPr>
      <w:r w:rsidRPr="0050122F">
        <w:rPr>
          <w:rFonts w:eastAsia="Times New Roman" w:cstheme="minorHAnsi"/>
        </w:rPr>
        <w:t>Emissions Monitoring, Recording, and Reporting </w:t>
      </w:r>
    </w:p>
    <w:p w:rsidR="008042CA" w:rsidP="00AB64F9" w14:paraId="6DDB28EF" w14:textId="2E66B314">
      <w:pPr>
        <w:pStyle w:val="ListParagraph"/>
        <w:numPr>
          <w:ilvl w:val="1"/>
          <w:numId w:val="39"/>
        </w:numPr>
        <w:spacing w:after="0" w:line="276" w:lineRule="auto"/>
        <w:textAlignment w:val="baseline"/>
        <w:rPr>
          <w:rFonts w:eastAsia="Times New Roman" w:cstheme="minorHAnsi"/>
        </w:rPr>
      </w:pPr>
      <w:r w:rsidRPr="008042CA">
        <w:rPr>
          <w:rFonts w:eastAsia="Times New Roman" w:cstheme="minorHAnsi"/>
        </w:rPr>
        <w:t>Estimating Agency Burden and Cost </w:t>
      </w:r>
      <w:r w:rsidR="00B655F5">
        <w:rPr>
          <w:rFonts w:eastAsia="Times New Roman" w:cstheme="minorHAnsi"/>
        </w:rPr>
        <w:t xml:space="preserve">for emissions monitoring, recording, reporting </w:t>
      </w:r>
    </w:p>
    <w:p w:rsidR="00AB4BBF" w:rsidP="00AB64F9" w14:paraId="3B9E9ED0" w14:textId="05AACD74">
      <w:pPr>
        <w:pStyle w:val="ListParagraph"/>
        <w:numPr>
          <w:ilvl w:val="2"/>
          <w:numId w:val="39"/>
        </w:numPr>
        <w:spacing w:after="0" w:line="276" w:lineRule="auto"/>
        <w:textAlignment w:val="baseline"/>
        <w:rPr>
          <w:rFonts w:eastAsia="Times New Roman" w:cstheme="minorHAnsi"/>
        </w:rPr>
      </w:pPr>
      <w:r w:rsidRPr="008042CA">
        <w:rPr>
          <w:rFonts w:eastAsia="Times New Roman" w:cstheme="minorHAnsi"/>
        </w:rPr>
        <w:t>The tasks that will be performed by EPA include processing, reviewing, and evaluating emissions data reports submitted by utilities, and conducting appropriate CEMS and data audit activities to verify the information provided. The estimated Agency burden remains at one hour per report, consistent with the previous ICR. EPA's increased audit oversight efforts are more than offset by burden reductions from increasing familiarity with the program and improved automated tools</w:t>
      </w:r>
      <w:r w:rsidRPr="007D3DB0">
        <w:rPr>
          <w:rFonts w:eastAsia="Times New Roman" w:cstheme="minorHAnsi"/>
        </w:rPr>
        <w:t xml:space="preserve">. </w:t>
      </w:r>
      <w:r w:rsidRPr="007D3DB0">
        <w:rPr>
          <w:rFonts w:eastAsia="Times New Roman" w:cstheme="minorHAnsi"/>
        </w:rPr>
        <w:t>Assuming that</w:t>
      </w:r>
      <w:r w:rsidRPr="007D3DB0">
        <w:rPr>
          <w:rFonts w:eastAsia="Times New Roman" w:cstheme="minorHAnsi"/>
        </w:rPr>
        <w:t xml:space="preserve"> affected sources will submit 3,</w:t>
      </w:r>
      <w:r w:rsidR="00397E39">
        <w:rPr>
          <w:rFonts w:eastAsia="Times New Roman" w:cstheme="minorHAnsi"/>
        </w:rPr>
        <w:t>243</w:t>
      </w:r>
      <w:r w:rsidRPr="007D3DB0">
        <w:rPr>
          <w:rFonts w:eastAsia="Times New Roman" w:cstheme="minorHAnsi"/>
        </w:rPr>
        <w:t xml:space="preserve"> emissions reports to EPA per quarter, the total annual burden incurred by the Agency will be </w:t>
      </w:r>
      <w:r w:rsidR="00397E39">
        <w:rPr>
          <w:rFonts w:eastAsia="Times New Roman" w:cstheme="minorHAnsi"/>
        </w:rPr>
        <w:t>12,972</w:t>
      </w:r>
      <w:r w:rsidRPr="007D3DB0">
        <w:rPr>
          <w:rFonts w:eastAsia="Times New Roman" w:cstheme="minorHAnsi"/>
        </w:rPr>
        <w:t xml:space="preserve"> hours. The total annual cost to EPA for processing, </w:t>
      </w:r>
      <w:r w:rsidRPr="000B432C">
        <w:rPr>
          <w:rFonts w:eastAsia="Times New Roman" w:cstheme="minorHAnsi"/>
        </w:rPr>
        <w:t>reviewing, and evaluating these quarterly emissions reports will be approximately $</w:t>
      </w:r>
      <w:r w:rsidRPr="000B432C" w:rsidR="002049EF">
        <w:rPr>
          <w:rFonts w:eastAsia="Times New Roman" w:cstheme="minorHAnsi"/>
        </w:rPr>
        <w:t>1,3</w:t>
      </w:r>
      <w:r w:rsidRPr="000B432C" w:rsidR="007D0E29">
        <w:rPr>
          <w:rFonts w:eastAsia="Times New Roman" w:cstheme="minorHAnsi"/>
        </w:rPr>
        <w:t>23,739</w:t>
      </w:r>
      <w:r w:rsidRPr="000B432C" w:rsidR="00D129E9">
        <w:rPr>
          <w:rFonts w:eastAsia="Times New Roman" w:cstheme="minorHAnsi"/>
        </w:rPr>
        <w:t>.</w:t>
      </w:r>
      <w:r w:rsidR="00D129E9">
        <w:rPr>
          <w:rFonts w:eastAsia="Times New Roman" w:cstheme="minorHAnsi"/>
        </w:rPr>
        <w:t xml:space="preserve"> </w:t>
      </w:r>
      <w:r w:rsidRPr="008042CA" w:rsidR="00A927B7">
        <w:rPr>
          <w:rFonts w:eastAsia="Times New Roman" w:cstheme="minorHAnsi"/>
        </w:rPr>
        <w:t xml:space="preserve">Table </w:t>
      </w:r>
      <w:r w:rsidRPr="008042CA" w:rsidR="00C34DD9">
        <w:rPr>
          <w:rFonts w:eastAsia="Times New Roman" w:cstheme="minorHAnsi"/>
        </w:rPr>
        <w:t>14.</w:t>
      </w:r>
      <w:r w:rsidRPr="008042CA" w:rsidR="00A927B7">
        <w:rPr>
          <w:rFonts w:eastAsia="Times New Roman" w:cstheme="minorHAnsi"/>
        </w:rPr>
        <w:t>4</w:t>
      </w:r>
      <w:r w:rsidRPr="008042CA">
        <w:rPr>
          <w:rFonts w:eastAsia="Times New Roman" w:cstheme="minorHAnsi"/>
        </w:rPr>
        <w:t xml:space="preserve"> summarizes the Agency burden and costs associated with emissions reporting including conducting CEMS audits and reviewing CEMS audits conducted by government contractors.  </w:t>
      </w:r>
    </w:p>
    <w:p w:rsidR="00B27E4C" w:rsidP="00B27E4C" w14:paraId="45E9381B" w14:textId="77777777">
      <w:pPr>
        <w:spacing w:after="0" w:line="276" w:lineRule="auto"/>
        <w:ind w:left="1980"/>
        <w:textAlignment w:val="baseline"/>
        <w:rPr>
          <w:rFonts w:eastAsia="Times New Roman" w:cstheme="minorHAnsi"/>
        </w:rPr>
      </w:pPr>
    </w:p>
    <w:p w:rsidR="00B27E4C" w:rsidP="00B27E4C" w14:paraId="020587ED" w14:textId="77777777">
      <w:pPr>
        <w:spacing w:after="0" w:line="276" w:lineRule="auto"/>
        <w:ind w:left="1980"/>
        <w:textAlignment w:val="baseline"/>
        <w:rPr>
          <w:rFonts w:eastAsia="Times New Roman" w:cstheme="minorHAnsi"/>
        </w:rPr>
      </w:pPr>
    </w:p>
    <w:p w:rsidR="00AB4BBF" w:rsidRPr="0050122F" w:rsidP="00DD5BD1" w14:paraId="31C1D31A" w14:textId="4C859E88">
      <w:pPr>
        <w:spacing w:after="0" w:line="276" w:lineRule="auto"/>
        <w:ind w:left="1980"/>
        <w:textAlignment w:val="baseline"/>
        <w:rPr>
          <w:rFonts w:eastAsia="Times New Roman" w:cstheme="minorHAnsi"/>
          <w:b/>
          <w:bCs/>
        </w:rPr>
      </w:pPr>
      <w:r w:rsidRPr="00DD5BD1">
        <w:rPr>
          <w:rFonts w:eastAsia="Times New Roman" w:cstheme="minorHAnsi"/>
          <w:b/>
          <w:bCs/>
        </w:rPr>
        <w:t xml:space="preserve">Table </w:t>
      </w:r>
      <w:r w:rsidRPr="00DD5BD1" w:rsidR="00C34DD9">
        <w:rPr>
          <w:rFonts w:eastAsia="Times New Roman" w:cstheme="minorHAnsi"/>
          <w:b/>
          <w:bCs/>
        </w:rPr>
        <w:t>14.</w:t>
      </w:r>
      <w:r w:rsidRPr="00DD5BD1">
        <w:rPr>
          <w:rFonts w:eastAsia="Times New Roman" w:cstheme="minorHAnsi"/>
          <w:b/>
          <w:bCs/>
        </w:rPr>
        <w:t>4: Agency Burden/Cost Estimates for Emissions Reporting</w:t>
      </w:r>
      <w:r w:rsidRPr="00AB4BBF">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1440"/>
        <w:gridCol w:w="1470"/>
        <w:gridCol w:w="1140"/>
        <w:gridCol w:w="1740"/>
        <w:gridCol w:w="1245"/>
      </w:tblGrid>
      <w:tr w14:paraId="28DEF411" w14:textId="77777777" w:rsidTr="00AB4BB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100" w:type="dxa"/>
            <w:tcBorders>
              <w:top w:val="double" w:sz="6" w:space="0" w:color="auto"/>
              <w:left w:val="double" w:sz="6" w:space="0" w:color="auto"/>
              <w:bottom w:val="double" w:sz="6" w:space="0" w:color="auto"/>
              <w:right w:val="single" w:sz="6" w:space="0" w:color="auto"/>
            </w:tcBorders>
            <w:shd w:val="clear" w:color="auto" w:fill="E5E5E5"/>
            <w:vAlign w:val="center"/>
            <w:hideMark/>
          </w:tcPr>
          <w:p w:rsidR="00AB4BBF" w:rsidRPr="00AB4BBF" w:rsidP="00001D40" w14:paraId="73CC5A98" w14:textId="77777777">
            <w:pPr>
              <w:spacing w:after="0" w:line="276" w:lineRule="auto"/>
              <w:jc w:val="center"/>
              <w:textAlignment w:val="baseline"/>
              <w:rPr>
                <w:rFonts w:eastAsia="Times New Roman" w:cstheme="minorHAnsi"/>
              </w:rPr>
            </w:pPr>
            <w:r w:rsidRPr="00AB4BBF">
              <w:rPr>
                <w:rFonts w:eastAsia="Times New Roman" w:cstheme="minorHAnsi"/>
                <w:b/>
                <w:bCs/>
                <w:color w:val="000000"/>
              </w:rPr>
              <w:t>Tasks</w:t>
            </w:r>
            <w:r w:rsidRPr="00AB4BBF">
              <w:rPr>
                <w:rFonts w:eastAsia="Times New Roman" w:cstheme="minorHAnsi"/>
                <w:color w:val="000000"/>
              </w:rPr>
              <w:t> </w:t>
            </w:r>
          </w:p>
        </w:tc>
        <w:tc>
          <w:tcPr>
            <w:tcW w:w="1440" w:type="dxa"/>
            <w:tcBorders>
              <w:top w:val="double" w:sz="6" w:space="0" w:color="auto"/>
              <w:left w:val="single" w:sz="6" w:space="0" w:color="auto"/>
              <w:bottom w:val="double" w:sz="6" w:space="0" w:color="auto"/>
              <w:right w:val="single" w:sz="6" w:space="0" w:color="auto"/>
            </w:tcBorders>
            <w:shd w:val="clear" w:color="auto" w:fill="E5E5E5"/>
            <w:vAlign w:val="center"/>
            <w:hideMark/>
          </w:tcPr>
          <w:p w:rsidR="00AB4BBF" w:rsidRPr="00AB4BBF" w:rsidP="00001D40" w14:paraId="01BC645F" w14:textId="77777777">
            <w:pPr>
              <w:spacing w:after="0" w:line="276" w:lineRule="auto"/>
              <w:jc w:val="center"/>
              <w:textAlignment w:val="baseline"/>
              <w:rPr>
                <w:rFonts w:eastAsia="Times New Roman" w:cstheme="minorHAnsi"/>
              </w:rPr>
            </w:pPr>
            <w:r w:rsidRPr="00AB4BBF">
              <w:rPr>
                <w:rFonts w:eastAsia="Times New Roman" w:cstheme="minorHAnsi"/>
                <w:b/>
                <w:bCs/>
                <w:color w:val="000000"/>
              </w:rPr>
              <w:t>Hours per report</w:t>
            </w:r>
            <w:r w:rsidRPr="00AB4BBF">
              <w:rPr>
                <w:rFonts w:eastAsia="Times New Roman" w:cstheme="minorHAnsi"/>
                <w:color w:val="000000"/>
              </w:rPr>
              <w:t> </w:t>
            </w:r>
          </w:p>
        </w:tc>
        <w:tc>
          <w:tcPr>
            <w:tcW w:w="1470" w:type="dxa"/>
            <w:tcBorders>
              <w:top w:val="double" w:sz="6" w:space="0" w:color="auto"/>
              <w:left w:val="single" w:sz="6" w:space="0" w:color="auto"/>
              <w:bottom w:val="double" w:sz="6" w:space="0" w:color="auto"/>
              <w:right w:val="single" w:sz="6" w:space="0" w:color="auto"/>
            </w:tcBorders>
            <w:shd w:val="clear" w:color="auto" w:fill="E5E5E5"/>
            <w:vAlign w:val="center"/>
            <w:hideMark/>
          </w:tcPr>
          <w:p w:rsidR="00AB4BBF" w:rsidRPr="00AB4BBF" w:rsidP="00001D40" w14:paraId="33633A66" w14:textId="54FA5F24">
            <w:pPr>
              <w:spacing w:after="0" w:line="276" w:lineRule="auto"/>
              <w:jc w:val="center"/>
              <w:textAlignment w:val="baseline"/>
              <w:rPr>
                <w:rFonts w:eastAsia="Times New Roman" w:cstheme="minorHAnsi"/>
              </w:rPr>
            </w:pPr>
            <w:r w:rsidRPr="00AB4BBF">
              <w:rPr>
                <w:rFonts w:eastAsia="Times New Roman" w:cstheme="minorHAnsi"/>
                <w:b/>
                <w:bCs/>
                <w:color w:val="000000"/>
              </w:rPr>
              <w:t xml:space="preserve">Quarterly cost per </w:t>
            </w:r>
            <w:r w:rsidRPr="00AB4BBF">
              <w:rPr>
                <w:rFonts w:eastAsia="Times New Roman" w:cstheme="minorHAnsi"/>
                <w:b/>
                <w:bCs/>
                <w:color w:val="000000"/>
              </w:rPr>
              <w:t>report</w:t>
            </w:r>
            <w:r w:rsidRPr="00AB4BBF">
              <w:rPr>
                <w:rFonts w:eastAsia="Times New Roman" w:cstheme="minorHAnsi"/>
                <w:b/>
                <w:bCs/>
                <w:color w:val="000000"/>
                <w:vertAlign w:val="superscript"/>
              </w:rPr>
              <w:t>a</w:t>
            </w:r>
          </w:p>
        </w:tc>
        <w:tc>
          <w:tcPr>
            <w:tcW w:w="1110" w:type="dxa"/>
            <w:tcBorders>
              <w:top w:val="double" w:sz="6" w:space="0" w:color="auto"/>
              <w:left w:val="single" w:sz="6" w:space="0" w:color="auto"/>
              <w:bottom w:val="double" w:sz="6" w:space="0" w:color="auto"/>
              <w:right w:val="single" w:sz="6" w:space="0" w:color="auto"/>
            </w:tcBorders>
            <w:shd w:val="clear" w:color="auto" w:fill="E5E5E5"/>
            <w:vAlign w:val="center"/>
            <w:hideMark/>
          </w:tcPr>
          <w:p w:rsidR="00AB4BBF" w:rsidRPr="00AB4BBF" w:rsidP="00001D40" w14:paraId="00C42324" w14:textId="1796C7BA">
            <w:pPr>
              <w:spacing w:after="0" w:line="276" w:lineRule="auto"/>
              <w:jc w:val="center"/>
              <w:textAlignment w:val="baseline"/>
              <w:rPr>
                <w:rFonts w:eastAsia="Times New Roman" w:cstheme="minorHAnsi"/>
              </w:rPr>
            </w:pPr>
            <w:r w:rsidRPr="00AB4BBF">
              <w:rPr>
                <w:rFonts w:eastAsia="Times New Roman" w:cstheme="minorHAnsi"/>
                <w:b/>
                <w:bCs/>
                <w:color w:val="000000"/>
              </w:rPr>
              <w:t>Number of reports</w:t>
            </w:r>
          </w:p>
        </w:tc>
        <w:tc>
          <w:tcPr>
            <w:tcW w:w="1740" w:type="dxa"/>
            <w:tcBorders>
              <w:top w:val="double" w:sz="6" w:space="0" w:color="auto"/>
              <w:left w:val="nil"/>
              <w:bottom w:val="double" w:sz="6" w:space="0" w:color="auto"/>
              <w:right w:val="single" w:sz="6" w:space="0" w:color="auto"/>
            </w:tcBorders>
            <w:shd w:val="clear" w:color="auto" w:fill="E5E5E5"/>
            <w:vAlign w:val="center"/>
            <w:hideMark/>
          </w:tcPr>
          <w:p w:rsidR="00AB4BBF" w:rsidRPr="00AB4BBF" w:rsidP="00001D40" w14:paraId="7F84DC83" w14:textId="139E2631">
            <w:pPr>
              <w:spacing w:after="0" w:line="276" w:lineRule="auto"/>
              <w:jc w:val="center"/>
              <w:textAlignment w:val="baseline"/>
              <w:rPr>
                <w:rFonts w:eastAsia="Times New Roman" w:cstheme="minorHAnsi"/>
              </w:rPr>
            </w:pPr>
            <w:r w:rsidRPr="00AB4BBF">
              <w:rPr>
                <w:rFonts w:eastAsia="Times New Roman" w:cstheme="minorHAnsi"/>
                <w:b/>
                <w:bCs/>
                <w:color w:val="000000"/>
              </w:rPr>
              <w:t>Total burden per year (hours</w:t>
            </w:r>
            <w:r w:rsidR="00CA1C86">
              <w:rPr>
                <w:rFonts w:eastAsia="Times New Roman" w:cstheme="minorHAnsi"/>
                <w:b/>
                <w:bCs/>
                <w:color w:val="000000"/>
              </w:rPr>
              <w:t>)</w:t>
            </w:r>
          </w:p>
        </w:tc>
        <w:tc>
          <w:tcPr>
            <w:tcW w:w="1245" w:type="dxa"/>
            <w:tcBorders>
              <w:top w:val="double" w:sz="6" w:space="0" w:color="auto"/>
              <w:left w:val="single" w:sz="6" w:space="0" w:color="auto"/>
              <w:bottom w:val="double" w:sz="6" w:space="0" w:color="auto"/>
              <w:right w:val="double" w:sz="6" w:space="0" w:color="auto"/>
            </w:tcBorders>
            <w:shd w:val="clear" w:color="auto" w:fill="E5E5E5"/>
            <w:vAlign w:val="center"/>
            <w:hideMark/>
          </w:tcPr>
          <w:p w:rsidR="00AB4BBF" w:rsidRPr="00AB4BBF" w:rsidP="00001D40" w14:paraId="270C95E3" w14:textId="77777777">
            <w:pPr>
              <w:spacing w:after="0" w:line="276" w:lineRule="auto"/>
              <w:jc w:val="center"/>
              <w:textAlignment w:val="baseline"/>
              <w:rPr>
                <w:rFonts w:eastAsia="Times New Roman" w:cstheme="minorHAnsi"/>
              </w:rPr>
            </w:pPr>
            <w:r w:rsidRPr="00AB4BBF">
              <w:rPr>
                <w:rFonts w:eastAsia="Times New Roman" w:cstheme="minorHAnsi"/>
                <w:b/>
                <w:bCs/>
                <w:color w:val="000000"/>
              </w:rPr>
              <w:t>Total cost</w:t>
            </w:r>
            <w:r w:rsidRPr="00AB4BBF">
              <w:rPr>
                <w:rFonts w:eastAsia="Times New Roman" w:cstheme="minorHAnsi"/>
                <w:color w:val="000000"/>
              </w:rPr>
              <w:t> </w:t>
            </w:r>
          </w:p>
        </w:tc>
      </w:tr>
      <w:tr w14:paraId="37254AF5" w14:textId="77777777" w:rsidTr="00AB4BBF">
        <w:tblPrEx>
          <w:tblW w:w="0" w:type="dxa"/>
          <w:tblCellMar>
            <w:left w:w="0" w:type="dxa"/>
            <w:right w:w="0" w:type="dxa"/>
          </w:tblCellMar>
          <w:tblLook w:val="04A0"/>
        </w:tblPrEx>
        <w:trPr>
          <w:trHeight w:val="1035"/>
        </w:trPr>
        <w:tc>
          <w:tcPr>
            <w:tcW w:w="2100" w:type="dxa"/>
            <w:tcBorders>
              <w:top w:val="double" w:sz="6" w:space="0" w:color="auto"/>
              <w:left w:val="double" w:sz="6" w:space="0" w:color="auto"/>
              <w:bottom w:val="single" w:sz="6" w:space="0" w:color="auto"/>
              <w:right w:val="single" w:sz="6" w:space="0" w:color="auto"/>
            </w:tcBorders>
            <w:shd w:val="clear" w:color="auto" w:fill="auto"/>
            <w:vAlign w:val="center"/>
            <w:hideMark/>
          </w:tcPr>
          <w:p w:rsidR="00AB4BBF" w:rsidRPr="00AB4BBF" w:rsidP="00001D40" w14:paraId="0C45F869" w14:textId="77777777">
            <w:pPr>
              <w:spacing w:after="0" w:line="276" w:lineRule="auto"/>
              <w:textAlignment w:val="baseline"/>
              <w:rPr>
                <w:rFonts w:eastAsia="Times New Roman" w:cstheme="minorHAnsi"/>
              </w:rPr>
            </w:pPr>
            <w:r w:rsidRPr="00AB4BBF">
              <w:rPr>
                <w:rFonts w:eastAsia="Times New Roman" w:cstheme="minorHAnsi"/>
                <w:color w:val="000000"/>
              </w:rPr>
              <w:t>Process, review, and evaluate quarterly report and issue feedback letter. </w:t>
            </w:r>
          </w:p>
        </w:tc>
        <w:tc>
          <w:tcPr>
            <w:tcW w:w="1440" w:type="dxa"/>
            <w:tcBorders>
              <w:top w:val="double" w:sz="6" w:space="0" w:color="auto"/>
              <w:left w:val="nil"/>
              <w:bottom w:val="single" w:sz="6" w:space="0" w:color="auto"/>
              <w:right w:val="single" w:sz="6" w:space="0" w:color="auto"/>
            </w:tcBorders>
            <w:shd w:val="clear" w:color="auto" w:fill="auto"/>
            <w:vAlign w:val="center"/>
            <w:hideMark/>
          </w:tcPr>
          <w:p w:rsidR="00AB4BBF" w:rsidRPr="00AB4BBF" w:rsidP="00001D40" w14:paraId="73578B84" w14:textId="77777777">
            <w:pPr>
              <w:spacing w:after="0" w:line="276" w:lineRule="auto"/>
              <w:jc w:val="center"/>
              <w:textAlignment w:val="baseline"/>
              <w:rPr>
                <w:rFonts w:eastAsia="Times New Roman" w:cstheme="minorHAnsi"/>
              </w:rPr>
            </w:pPr>
            <w:r w:rsidRPr="00AB4BBF">
              <w:rPr>
                <w:rFonts w:eastAsia="Times New Roman" w:cstheme="minorHAnsi"/>
                <w:color w:val="000000"/>
              </w:rPr>
              <w:t>1 </w:t>
            </w:r>
          </w:p>
        </w:tc>
        <w:tc>
          <w:tcPr>
            <w:tcW w:w="1470" w:type="dxa"/>
            <w:tcBorders>
              <w:top w:val="double" w:sz="6" w:space="0" w:color="auto"/>
              <w:left w:val="nil"/>
              <w:bottom w:val="single" w:sz="6" w:space="0" w:color="auto"/>
              <w:right w:val="single" w:sz="6" w:space="0" w:color="auto"/>
            </w:tcBorders>
            <w:shd w:val="clear" w:color="auto" w:fill="auto"/>
            <w:vAlign w:val="center"/>
            <w:hideMark/>
          </w:tcPr>
          <w:p w:rsidR="00AB4BBF" w:rsidRPr="00AB4BBF" w:rsidP="00001D40" w14:paraId="009029B6" w14:textId="39D54451">
            <w:pPr>
              <w:spacing w:after="0" w:line="276" w:lineRule="auto"/>
              <w:jc w:val="center"/>
              <w:textAlignment w:val="baseline"/>
              <w:rPr>
                <w:rFonts w:eastAsia="Times New Roman" w:cstheme="minorHAnsi"/>
              </w:rPr>
            </w:pPr>
            <w:r w:rsidRPr="00AB4BBF">
              <w:rPr>
                <w:rFonts w:eastAsia="Times New Roman" w:cstheme="minorHAnsi"/>
                <w:color w:val="000000"/>
              </w:rPr>
              <w:t>$</w:t>
            </w:r>
            <w:r w:rsidR="000C4E92">
              <w:rPr>
                <w:rFonts w:eastAsia="Times New Roman" w:cstheme="minorHAnsi"/>
                <w:color w:val="000000"/>
              </w:rPr>
              <w:t>94.</w:t>
            </w:r>
            <w:r w:rsidR="005F601A">
              <w:rPr>
                <w:rFonts w:eastAsia="Times New Roman" w:cstheme="minorHAnsi"/>
                <w:color w:val="000000"/>
              </w:rPr>
              <w:t>49</w:t>
            </w:r>
            <w:r w:rsidRPr="00AB4BBF">
              <w:rPr>
                <w:rFonts w:eastAsia="Times New Roman" w:cstheme="minorHAnsi"/>
                <w:color w:val="000000"/>
              </w:rPr>
              <w:t>  </w:t>
            </w:r>
          </w:p>
        </w:tc>
        <w:tc>
          <w:tcPr>
            <w:tcW w:w="1110" w:type="dxa"/>
            <w:tcBorders>
              <w:top w:val="double" w:sz="6" w:space="0" w:color="auto"/>
              <w:left w:val="nil"/>
              <w:bottom w:val="single" w:sz="6" w:space="0" w:color="auto"/>
              <w:right w:val="single" w:sz="6" w:space="0" w:color="auto"/>
            </w:tcBorders>
            <w:shd w:val="clear" w:color="auto" w:fill="auto"/>
            <w:vAlign w:val="center"/>
            <w:hideMark/>
          </w:tcPr>
          <w:p w:rsidR="00AB4BBF" w:rsidRPr="00AB4BBF" w:rsidP="00001D40" w14:paraId="359CEE2E" w14:textId="0CDF9B36">
            <w:pPr>
              <w:spacing w:after="0" w:line="276" w:lineRule="auto"/>
              <w:jc w:val="center"/>
              <w:textAlignment w:val="baseline"/>
              <w:rPr>
                <w:rFonts w:eastAsia="Times New Roman" w:cstheme="minorHAnsi"/>
              </w:rPr>
            </w:pPr>
            <w:r>
              <w:rPr>
                <w:rFonts w:eastAsia="Times New Roman" w:cstheme="minorHAnsi"/>
                <w:color w:val="000000"/>
              </w:rPr>
              <w:t>12,972</w:t>
            </w:r>
            <w:r w:rsidRPr="00AB4BBF">
              <w:rPr>
                <w:rFonts w:eastAsia="Times New Roman" w:cstheme="minorHAnsi"/>
                <w:color w:val="000000"/>
              </w:rPr>
              <w:t> </w:t>
            </w:r>
          </w:p>
        </w:tc>
        <w:tc>
          <w:tcPr>
            <w:tcW w:w="1740" w:type="dxa"/>
            <w:tcBorders>
              <w:top w:val="double" w:sz="6" w:space="0" w:color="auto"/>
              <w:left w:val="nil"/>
              <w:bottom w:val="single" w:sz="6" w:space="0" w:color="auto"/>
              <w:right w:val="single" w:sz="6" w:space="0" w:color="auto"/>
            </w:tcBorders>
            <w:shd w:val="clear" w:color="auto" w:fill="auto"/>
            <w:vAlign w:val="center"/>
            <w:hideMark/>
          </w:tcPr>
          <w:p w:rsidR="00AB4BBF" w:rsidRPr="00AB4BBF" w:rsidP="00001D40" w14:paraId="606A23FE" w14:textId="6B6ABDDF">
            <w:pPr>
              <w:spacing w:after="0" w:line="276" w:lineRule="auto"/>
              <w:jc w:val="center"/>
              <w:textAlignment w:val="baseline"/>
              <w:rPr>
                <w:rFonts w:eastAsia="Times New Roman" w:cstheme="minorHAnsi"/>
              </w:rPr>
            </w:pPr>
            <w:r>
              <w:rPr>
                <w:rFonts w:eastAsia="Times New Roman" w:cstheme="minorHAnsi"/>
                <w:color w:val="000000"/>
              </w:rPr>
              <w:t>12,972</w:t>
            </w:r>
            <w:r w:rsidRPr="00AB4BBF">
              <w:rPr>
                <w:rFonts w:eastAsia="Times New Roman" w:cstheme="minorHAnsi"/>
                <w:color w:val="000000"/>
              </w:rPr>
              <w:t> </w:t>
            </w:r>
          </w:p>
        </w:tc>
        <w:tc>
          <w:tcPr>
            <w:tcW w:w="1245" w:type="dxa"/>
            <w:tcBorders>
              <w:top w:val="double" w:sz="6" w:space="0" w:color="auto"/>
              <w:left w:val="nil"/>
              <w:bottom w:val="single" w:sz="6" w:space="0" w:color="auto"/>
              <w:right w:val="double" w:sz="6" w:space="0" w:color="auto"/>
            </w:tcBorders>
            <w:shd w:val="clear" w:color="auto" w:fill="auto"/>
            <w:vAlign w:val="center"/>
            <w:hideMark/>
          </w:tcPr>
          <w:p w:rsidR="00AB4BBF" w:rsidRPr="00AB4BBF" w:rsidP="00001D40" w14:paraId="62F39EF0" w14:textId="76C9A63D">
            <w:pPr>
              <w:spacing w:after="0" w:line="276" w:lineRule="auto"/>
              <w:jc w:val="center"/>
              <w:textAlignment w:val="baseline"/>
              <w:rPr>
                <w:rFonts w:eastAsia="Times New Roman" w:cstheme="minorHAnsi"/>
              </w:rPr>
            </w:pPr>
            <w:r w:rsidRPr="00AB4BBF">
              <w:rPr>
                <w:rFonts w:eastAsia="Times New Roman" w:cstheme="minorHAnsi"/>
                <w:color w:val="000000"/>
              </w:rPr>
              <w:t>$</w:t>
            </w:r>
            <w:r w:rsidR="003F0DAE">
              <w:rPr>
                <w:rFonts w:eastAsia="Times New Roman" w:cstheme="minorHAnsi"/>
                <w:color w:val="000000"/>
              </w:rPr>
              <w:t>1</w:t>
            </w:r>
            <w:r w:rsidR="00F2186A">
              <w:rPr>
                <w:rFonts w:eastAsia="Times New Roman" w:cstheme="minorHAnsi"/>
                <w:color w:val="000000"/>
              </w:rPr>
              <w:t>,</w:t>
            </w:r>
            <w:r w:rsidR="00EC7098">
              <w:rPr>
                <w:rFonts w:eastAsia="Times New Roman" w:cstheme="minorHAnsi"/>
                <w:color w:val="000000"/>
              </w:rPr>
              <w:t>225,724</w:t>
            </w:r>
            <w:r w:rsidRPr="00AB4BBF">
              <w:rPr>
                <w:rFonts w:eastAsia="Times New Roman" w:cstheme="minorHAnsi"/>
                <w:color w:val="000000"/>
              </w:rPr>
              <w:t>  </w:t>
            </w:r>
          </w:p>
        </w:tc>
      </w:tr>
      <w:tr w14:paraId="7CC28786" w14:textId="77777777" w:rsidTr="00AB4BBF">
        <w:tblPrEx>
          <w:tblW w:w="0" w:type="dxa"/>
          <w:tblCellMar>
            <w:left w:w="0" w:type="dxa"/>
            <w:right w:w="0" w:type="dxa"/>
          </w:tblCellMar>
          <w:tblLook w:val="04A0"/>
        </w:tblPrEx>
        <w:trPr>
          <w:trHeight w:val="525"/>
        </w:trPr>
        <w:tc>
          <w:tcPr>
            <w:tcW w:w="210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AB4BBF" w:rsidRPr="00AB4BBF" w:rsidP="00001D40" w14:paraId="2CB976D1" w14:textId="77777777">
            <w:pPr>
              <w:spacing w:after="0" w:line="276" w:lineRule="auto"/>
              <w:textAlignment w:val="baseline"/>
              <w:rPr>
                <w:rFonts w:eastAsia="Times New Roman" w:cstheme="minorHAnsi"/>
              </w:rPr>
            </w:pPr>
            <w:r w:rsidRPr="00AB4BBF">
              <w:rPr>
                <w:rFonts w:eastAsia="Times New Roman" w:cstheme="minorHAnsi"/>
                <w:color w:val="000000"/>
              </w:rPr>
              <w:t>Conduct and review EPA field audits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620FF349" w14:textId="77777777">
            <w:pPr>
              <w:spacing w:after="0" w:line="276" w:lineRule="auto"/>
              <w:jc w:val="center"/>
              <w:textAlignment w:val="baseline"/>
              <w:rPr>
                <w:rFonts w:eastAsia="Times New Roman" w:cstheme="minorHAnsi"/>
              </w:rPr>
            </w:pPr>
            <w:r w:rsidRPr="00AB4BBF">
              <w:rPr>
                <w:rFonts w:eastAsia="Times New Roman" w:cstheme="minorHAnsi"/>
                <w:color w:val="000000"/>
              </w:rPr>
              <w:t>35 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18F51CAD" w14:textId="5B77D5B3">
            <w:pPr>
              <w:spacing w:after="0" w:line="276" w:lineRule="auto"/>
              <w:jc w:val="center"/>
              <w:textAlignment w:val="baseline"/>
              <w:rPr>
                <w:rFonts w:eastAsia="Times New Roman" w:cstheme="minorHAnsi"/>
              </w:rPr>
            </w:pPr>
            <w:r w:rsidRPr="00AB4BBF">
              <w:rPr>
                <w:rFonts w:eastAsia="Times New Roman" w:cstheme="minorHAnsi"/>
                <w:color w:val="000000"/>
              </w:rPr>
              <w:t>$</w:t>
            </w:r>
            <w:r w:rsidR="0047281F">
              <w:rPr>
                <w:rFonts w:eastAsia="Times New Roman" w:cstheme="minorHAnsi"/>
                <w:color w:val="000000"/>
              </w:rPr>
              <w:t>3,307.</w:t>
            </w:r>
            <w:r w:rsidR="00E0578E">
              <w:rPr>
                <w:rFonts w:eastAsia="Times New Roman" w:cstheme="minorHAnsi"/>
                <w:color w:val="000000"/>
              </w:rPr>
              <w:t>15</w:t>
            </w:r>
            <w:r w:rsidRPr="00AB4BBF">
              <w:rPr>
                <w:rFonts w:eastAsia="Times New Roman" w:cstheme="minorHAnsi"/>
                <w:color w:val="000000"/>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0E59D492" w14:textId="2A01C380">
            <w:pPr>
              <w:spacing w:after="0" w:line="276" w:lineRule="auto"/>
              <w:jc w:val="center"/>
              <w:textAlignment w:val="baseline"/>
              <w:rPr>
                <w:rFonts w:eastAsia="Times New Roman" w:cstheme="minorHAnsi"/>
              </w:rPr>
            </w:pPr>
            <w:r>
              <w:rPr>
                <w:rFonts w:eastAsia="Times New Roman" w:cstheme="minorHAnsi"/>
                <w:color w:val="000000"/>
              </w:rPr>
              <w:t>5</w:t>
            </w:r>
            <w:r w:rsidRPr="00AB4BBF">
              <w:rPr>
                <w:rFonts w:eastAsia="Times New Roman" w:cstheme="minorHAnsi"/>
                <w:color w:val="000000"/>
              </w:rPr>
              <w:t> </w:t>
            </w:r>
          </w:p>
        </w:tc>
        <w:tc>
          <w:tcPr>
            <w:tcW w:w="174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273C8F9A" w14:textId="029C7049">
            <w:pPr>
              <w:spacing w:after="0" w:line="276" w:lineRule="auto"/>
              <w:jc w:val="center"/>
              <w:textAlignment w:val="baseline"/>
              <w:rPr>
                <w:rFonts w:eastAsia="Times New Roman" w:cstheme="minorHAnsi"/>
              </w:rPr>
            </w:pPr>
            <w:r>
              <w:rPr>
                <w:rFonts w:eastAsia="Times New Roman" w:cstheme="minorHAnsi"/>
                <w:color w:val="000000"/>
              </w:rPr>
              <w:t>175</w:t>
            </w:r>
            <w:r w:rsidRPr="00AB4BBF">
              <w:rPr>
                <w:rFonts w:eastAsia="Times New Roman" w:cstheme="minorHAnsi"/>
                <w:color w:val="000000"/>
              </w:rPr>
              <w:t> </w:t>
            </w:r>
          </w:p>
        </w:tc>
        <w:tc>
          <w:tcPr>
            <w:tcW w:w="1245" w:type="dxa"/>
            <w:tcBorders>
              <w:top w:val="single" w:sz="6" w:space="0" w:color="auto"/>
              <w:left w:val="nil"/>
              <w:bottom w:val="single" w:sz="6" w:space="0" w:color="auto"/>
              <w:right w:val="double" w:sz="6" w:space="0" w:color="auto"/>
            </w:tcBorders>
            <w:shd w:val="clear" w:color="auto" w:fill="auto"/>
            <w:vAlign w:val="center"/>
            <w:hideMark/>
          </w:tcPr>
          <w:p w:rsidR="00AB4BBF" w:rsidRPr="00AB4BBF" w:rsidP="00001D40" w14:paraId="595DC103" w14:textId="5358A421">
            <w:pPr>
              <w:spacing w:after="0" w:line="276" w:lineRule="auto"/>
              <w:jc w:val="center"/>
              <w:textAlignment w:val="baseline"/>
              <w:rPr>
                <w:rFonts w:eastAsia="Times New Roman" w:cstheme="minorHAnsi"/>
              </w:rPr>
            </w:pPr>
            <w:r w:rsidRPr="00AB4BBF">
              <w:rPr>
                <w:rFonts w:eastAsia="Times New Roman" w:cstheme="minorHAnsi"/>
                <w:color w:val="000000"/>
              </w:rPr>
              <w:t>$</w:t>
            </w:r>
            <w:r w:rsidR="006C5A8E">
              <w:rPr>
                <w:rFonts w:eastAsia="Times New Roman" w:cstheme="minorHAnsi"/>
                <w:color w:val="000000"/>
              </w:rPr>
              <w:t>16,536</w:t>
            </w:r>
            <w:r w:rsidRPr="00AB4BBF">
              <w:rPr>
                <w:rFonts w:eastAsia="Times New Roman" w:cstheme="minorHAnsi"/>
                <w:color w:val="000000"/>
              </w:rPr>
              <w:t>  </w:t>
            </w:r>
          </w:p>
        </w:tc>
      </w:tr>
      <w:tr w14:paraId="43296376" w14:textId="77777777" w:rsidTr="00AB4BBF">
        <w:tblPrEx>
          <w:tblW w:w="0" w:type="dxa"/>
          <w:tblCellMar>
            <w:left w:w="0" w:type="dxa"/>
            <w:right w:w="0" w:type="dxa"/>
          </w:tblCellMar>
          <w:tblLook w:val="04A0"/>
        </w:tblPrEx>
        <w:trPr>
          <w:trHeight w:val="525"/>
        </w:trPr>
        <w:tc>
          <w:tcPr>
            <w:tcW w:w="2100" w:type="dxa"/>
            <w:tcBorders>
              <w:top w:val="single" w:sz="6" w:space="0" w:color="auto"/>
              <w:left w:val="double" w:sz="6" w:space="0" w:color="auto"/>
              <w:bottom w:val="single" w:sz="6" w:space="0" w:color="auto"/>
              <w:right w:val="single" w:sz="6" w:space="0" w:color="auto"/>
            </w:tcBorders>
            <w:shd w:val="clear" w:color="auto" w:fill="auto"/>
            <w:vAlign w:val="center"/>
            <w:hideMark/>
          </w:tcPr>
          <w:p w:rsidR="00AB4BBF" w:rsidRPr="00AB4BBF" w:rsidP="00001D40" w14:paraId="4DD60E0C" w14:textId="77777777">
            <w:pPr>
              <w:spacing w:after="0" w:line="276" w:lineRule="auto"/>
              <w:textAlignment w:val="baseline"/>
              <w:rPr>
                <w:rFonts w:eastAsia="Times New Roman" w:cstheme="minorHAnsi"/>
              </w:rPr>
            </w:pPr>
            <w:r w:rsidRPr="00AB4BBF">
              <w:rPr>
                <w:rFonts w:eastAsia="Times New Roman" w:cstheme="minorHAnsi"/>
                <w:color w:val="000000"/>
              </w:rPr>
              <w:t>Independent contractor CEMS audits </w:t>
            </w:r>
          </w:p>
        </w:tc>
        <w:tc>
          <w:tcPr>
            <w:tcW w:w="144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27E5D1A1" w14:textId="77777777">
            <w:pPr>
              <w:spacing w:after="0" w:line="276" w:lineRule="auto"/>
              <w:jc w:val="center"/>
              <w:textAlignment w:val="baseline"/>
              <w:rPr>
                <w:rFonts w:eastAsia="Times New Roman" w:cstheme="minorHAnsi"/>
              </w:rPr>
            </w:pPr>
            <w:r w:rsidRPr="00AB4BBF">
              <w:rPr>
                <w:rFonts w:eastAsia="Times New Roman" w:cstheme="minorHAnsi"/>
                <w:color w:val="000000"/>
              </w:rPr>
              <w:t>0 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36A7DD36" w14:textId="77777777">
            <w:pPr>
              <w:spacing w:after="0" w:line="276" w:lineRule="auto"/>
              <w:jc w:val="center"/>
              <w:textAlignment w:val="baseline"/>
              <w:rPr>
                <w:rFonts w:eastAsia="Times New Roman" w:cstheme="minorHAnsi"/>
              </w:rPr>
            </w:pPr>
            <w:r w:rsidRPr="00AB4BBF">
              <w:rPr>
                <w:rFonts w:eastAsia="Times New Roman" w:cstheme="minorHAnsi"/>
                <w:color w:val="000000"/>
              </w:rPr>
              <w:t>$0.00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60DE44A5" w14:textId="77777777">
            <w:pPr>
              <w:spacing w:after="0" w:line="276" w:lineRule="auto"/>
              <w:jc w:val="center"/>
              <w:textAlignment w:val="baseline"/>
              <w:rPr>
                <w:rFonts w:eastAsia="Times New Roman" w:cstheme="minorHAnsi"/>
              </w:rPr>
            </w:pPr>
            <w:r w:rsidRPr="00AB4BBF">
              <w:rPr>
                <w:rFonts w:eastAsia="Times New Roman" w:cstheme="minorHAnsi"/>
                <w:color w:val="000000"/>
              </w:rPr>
              <w:t>0 </w:t>
            </w:r>
          </w:p>
        </w:tc>
        <w:tc>
          <w:tcPr>
            <w:tcW w:w="1740" w:type="dxa"/>
            <w:tcBorders>
              <w:top w:val="single" w:sz="6" w:space="0" w:color="auto"/>
              <w:left w:val="nil"/>
              <w:bottom w:val="single" w:sz="6" w:space="0" w:color="auto"/>
              <w:right w:val="single" w:sz="6" w:space="0" w:color="auto"/>
            </w:tcBorders>
            <w:shd w:val="clear" w:color="auto" w:fill="auto"/>
            <w:vAlign w:val="center"/>
            <w:hideMark/>
          </w:tcPr>
          <w:p w:rsidR="00AB4BBF" w:rsidRPr="00AB4BBF" w:rsidP="00001D40" w14:paraId="49FC5A96" w14:textId="77777777">
            <w:pPr>
              <w:spacing w:after="0" w:line="276" w:lineRule="auto"/>
              <w:jc w:val="center"/>
              <w:textAlignment w:val="baseline"/>
              <w:rPr>
                <w:rFonts w:eastAsia="Times New Roman" w:cstheme="minorHAnsi"/>
              </w:rPr>
            </w:pPr>
            <w:r w:rsidRPr="00AB4BBF">
              <w:rPr>
                <w:rFonts w:eastAsia="Times New Roman" w:cstheme="minorHAnsi"/>
                <w:color w:val="000000"/>
              </w:rPr>
              <w:t>0 </w:t>
            </w:r>
          </w:p>
        </w:tc>
        <w:tc>
          <w:tcPr>
            <w:tcW w:w="1245" w:type="dxa"/>
            <w:tcBorders>
              <w:top w:val="single" w:sz="6" w:space="0" w:color="auto"/>
              <w:left w:val="nil"/>
              <w:bottom w:val="single" w:sz="6" w:space="0" w:color="auto"/>
              <w:right w:val="double" w:sz="6" w:space="0" w:color="auto"/>
            </w:tcBorders>
            <w:shd w:val="clear" w:color="auto" w:fill="auto"/>
            <w:vAlign w:val="center"/>
            <w:hideMark/>
          </w:tcPr>
          <w:p w:rsidR="00AB4BBF" w:rsidRPr="00AB4BBF" w:rsidP="00001D40" w14:paraId="712C14DD" w14:textId="08680FC0">
            <w:pPr>
              <w:spacing w:after="0" w:line="276" w:lineRule="auto"/>
              <w:jc w:val="center"/>
              <w:textAlignment w:val="baseline"/>
              <w:rPr>
                <w:rFonts w:eastAsia="Times New Roman" w:cstheme="minorHAnsi"/>
              </w:rPr>
            </w:pPr>
            <w:r w:rsidRPr="000B432C">
              <w:rPr>
                <w:rFonts w:eastAsia="Times New Roman" w:cstheme="minorHAnsi"/>
                <w:color w:val="000000"/>
              </w:rPr>
              <w:t>$</w:t>
            </w:r>
            <w:r w:rsidRPr="000B432C" w:rsidR="0031151C">
              <w:rPr>
                <w:rFonts w:eastAsia="Times New Roman" w:cstheme="minorHAnsi"/>
                <w:color w:val="000000"/>
              </w:rPr>
              <w:t>68,</w:t>
            </w:r>
            <w:r w:rsidRPr="000B432C" w:rsidR="00D459A4">
              <w:rPr>
                <w:rFonts w:eastAsia="Times New Roman" w:cstheme="minorHAnsi"/>
                <w:color w:val="000000"/>
              </w:rPr>
              <w:t>250</w:t>
            </w:r>
          </w:p>
        </w:tc>
      </w:tr>
      <w:tr w14:paraId="35059CA9" w14:textId="77777777" w:rsidTr="00AB4BBF">
        <w:tblPrEx>
          <w:tblW w:w="0" w:type="dxa"/>
          <w:tblCellMar>
            <w:left w:w="0" w:type="dxa"/>
            <w:right w:w="0" w:type="dxa"/>
          </w:tblCellMar>
          <w:tblLook w:val="04A0"/>
        </w:tblPrEx>
        <w:trPr>
          <w:trHeight w:val="315"/>
        </w:trPr>
        <w:tc>
          <w:tcPr>
            <w:tcW w:w="2100" w:type="dxa"/>
            <w:tcBorders>
              <w:top w:val="single" w:sz="6" w:space="0" w:color="auto"/>
              <w:left w:val="double" w:sz="6" w:space="0" w:color="auto"/>
              <w:bottom w:val="double" w:sz="6" w:space="0" w:color="auto"/>
              <w:right w:val="single" w:sz="6" w:space="0" w:color="auto"/>
            </w:tcBorders>
            <w:shd w:val="clear" w:color="auto" w:fill="auto"/>
            <w:vAlign w:val="center"/>
            <w:hideMark/>
          </w:tcPr>
          <w:p w:rsidR="00AB4BBF" w:rsidRPr="00AB4BBF" w:rsidP="00001D40" w14:paraId="25D98567" w14:textId="77777777">
            <w:pPr>
              <w:spacing w:after="0" w:line="276" w:lineRule="auto"/>
              <w:textAlignment w:val="baseline"/>
              <w:rPr>
                <w:rFonts w:eastAsia="Times New Roman" w:cstheme="minorHAnsi"/>
              </w:rPr>
            </w:pPr>
            <w:r w:rsidRPr="00AB4BBF">
              <w:rPr>
                <w:rFonts w:eastAsia="Times New Roman" w:cstheme="minorHAnsi"/>
                <w:color w:val="000000"/>
              </w:rPr>
              <w:t>Manage PGVP, AETB </w:t>
            </w:r>
          </w:p>
        </w:tc>
        <w:tc>
          <w:tcPr>
            <w:tcW w:w="1440" w:type="dxa"/>
            <w:tcBorders>
              <w:top w:val="single" w:sz="6" w:space="0" w:color="auto"/>
              <w:left w:val="nil"/>
              <w:bottom w:val="double" w:sz="6" w:space="0" w:color="auto"/>
              <w:right w:val="single" w:sz="6" w:space="0" w:color="auto"/>
            </w:tcBorders>
            <w:shd w:val="clear" w:color="auto" w:fill="auto"/>
            <w:vAlign w:val="center"/>
            <w:hideMark/>
          </w:tcPr>
          <w:p w:rsidR="00AB4BBF" w:rsidRPr="00AB4BBF" w:rsidP="00001D40" w14:paraId="24DF8A99" w14:textId="77777777">
            <w:pPr>
              <w:spacing w:after="0" w:line="276" w:lineRule="auto"/>
              <w:jc w:val="center"/>
              <w:textAlignment w:val="baseline"/>
              <w:rPr>
                <w:rFonts w:eastAsia="Times New Roman" w:cstheme="minorHAnsi"/>
              </w:rPr>
            </w:pPr>
            <w:r w:rsidRPr="00AB4BBF">
              <w:rPr>
                <w:rFonts w:eastAsia="Times New Roman" w:cstheme="minorHAnsi"/>
                <w:color w:val="000000"/>
              </w:rPr>
              <w:t>- </w:t>
            </w:r>
          </w:p>
        </w:tc>
        <w:tc>
          <w:tcPr>
            <w:tcW w:w="1470" w:type="dxa"/>
            <w:tcBorders>
              <w:top w:val="single" w:sz="6" w:space="0" w:color="auto"/>
              <w:left w:val="nil"/>
              <w:bottom w:val="double" w:sz="6" w:space="0" w:color="auto"/>
              <w:right w:val="single" w:sz="6" w:space="0" w:color="auto"/>
            </w:tcBorders>
            <w:shd w:val="clear" w:color="auto" w:fill="auto"/>
            <w:vAlign w:val="center"/>
            <w:hideMark/>
          </w:tcPr>
          <w:p w:rsidR="00AB4BBF" w:rsidRPr="00AB4BBF" w:rsidP="00001D40" w14:paraId="2ED4E2AE" w14:textId="77777777">
            <w:pPr>
              <w:spacing w:after="0" w:line="276" w:lineRule="auto"/>
              <w:jc w:val="center"/>
              <w:textAlignment w:val="baseline"/>
              <w:rPr>
                <w:rFonts w:eastAsia="Times New Roman" w:cstheme="minorHAnsi"/>
              </w:rPr>
            </w:pPr>
            <w:r w:rsidRPr="00AB4BBF">
              <w:rPr>
                <w:rFonts w:eastAsia="Times New Roman" w:cstheme="minorHAnsi"/>
                <w:color w:val="000000"/>
              </w:rPr>
              <w:t>  </w:t>
            </w:r>
          </w:p>
        </w:tc>
        <w:tc>
          <w:tcPr>
            <w:tcW w:w="1110" w:type="dxa"/>
            <w:tcBorders>
              <w:top w:val="single" w:sz="6" w:space="0" w:color="auto"/>
              <w:left w:val="nil"/>
              <w:bottom w:val="double" w:sz="6" w:space="0" w:color="auto"/>
              <w:right w:val="single" w:sz="6" w:space="0" w:color="auto"/>
            </w:tcBorders>
            <w:shd w:val="clear" w:color="auto" w:fill="auto"/>
            <w:vAlign w:val="center"/>
            <w:hideMark/>
          </w:tcPr>
          <w:p w:rsidR="00AB4BBF" w:rsidRPr="00AB4BBF" w:rsidP="00001D40" w14:paraId="3808F18C" w14:textId="77777777">
            <w:pPr>
              <w:spacing w:after="0" w:line="276" w:lineRule="auto"/>
              <w:jc w:val="center"/>
              <w:textAlignment w:val="baseline"/>
              <w:rPr>
                <w:rFonts w:eastAsia="Times New Roman" w:cstheme="minorHAnsi"/>
              </w:rPr>
            </w:pPr>
            <w:r w:rsidRPr="00AB4BBF">
              <w:rPr>
                <w:rFonts w:eastAsia="Times New Roman" w:cstheme="minorHAnsi"/>
                <w:color w:val="000000"/>
              </w:rPr>
              <w:t>- </w:t>
            </w:r>
          </w:p>
        </w:tc>
        <w:tc>
          <w:tcPr>
            <w:tcW w:w="1740" w:type="dxa"/>
            <w:tcBorders>
              <w:top w:val="single" w:sz="6" w:space="0" w:color="auto"/>
              <w:left w:val="nil"/>
              <w:bottom w:val="double" w:sz="6" w:space="0" w:color="auto"/>
              <w:right w:val="single" w:sz="6" w:space="0" w:color="auto"/>
            </w:tcBorders>
            <w:shd w:val="clear" w:color="auto" w:fill="auto"/>
            <w:vAlign w:val="center"/>
            <w:hideMark/>
          </w:tcPr>
          <w:p w:rsidR="00AB4BBF" w:rsidRPr="00AB4BBF" w:rsidP="00001D40" w14:paraId="4A275483" w14:textId="77777777">
            <w:pPr>
              <w:spacing w:after="0" w:line="276" w:lineRule="auto"/>
              <w:jc w:val="center"/>
              <w:textAlignment w:val="baseline"/>
              <w:rPr>
                <w:rFonts w:eastAsia="Times New Roman" w:cstheme="minorHAnsi"/>
              </w:rPr>
            </w:pPr>
            <w:r w:rsidRPr="00AB4BBF">
              <w:rPr>
                <w:rFonts w:eastAsia="Times New Roman" w:cstheme="minorHAnsi"/>
                <w:color w:val="000000"/>
              </w:rPr>
              <w:t>140 </w:t>
            </w:r>
          </w:p>
        </w:tc>
        <w:tc>
          <w:tcPr>
            <w:tcW w:w="1245" w:type="dxa"/>
            <w:tcBorders>
              <w:top w:val="single" w:sz="6" w:space="0" w:color="auto"/>
              <w:left w:val="nil"/>
              <w:bottom w:val="double" w:sz="6" w:space="0" w:color="auto"/>
              <w:right w:val="double" w:sz="6" w:space="0" w:color="auto"/>
            </w:tcBorders>
            <w:shd w:val="clear" w:color="auto" w:fill="auto"/>
            <w:vAlign w:val="center"/>
            <w:hideMark/>
          </w:tcPr>
          <w:p w:rsidR="00AB4BBF" w:rsidRPr="00AB4BBF" w:rsidP="00001D40" w14:paraId="61E1F875" w14:textId="367F2A27">
            <w:pPr>
              <w:spacing w:after="0" w:line="276" w:lineRule="auto"/>
              <w:jc w:val="center"/>
              <w:textAlignment w:val="baseline"/>
              <w:rPr>
                <w:rFonts w:eastAsia="Times New Roman" w:cstheme="minorHAnsi"/>
              </w:rPr>
            </w:pPr>
            <w:r w:rsidRPr="00AB4BBF">
              <w:rPr>
                <w:rFonts w:eastAsia="Times New Roman" w:cstheme="minorHAnsi"/>
                <w:color w:val="000000"/>
              </w:rPr>
              <w:t>$</w:t>
            </w:r>
            <w:r w:rsidR="00837AF9">
              <w:rPr>
                <w:rFonts w:eastAsia="Times New Roman" w:cstheme="minorHAnsi"/>
                <w:color w:val="000000"/>
              </w:rPr>
              <w:t>13,2</w:t>
            </w:r>
            <w:r w:rsidR="00E72EF8">
              <w:rPr>
                <w:rFonts w:eastAsia="Times New Roman" w:cstheme="minorHAnsi"/>
                <w:color w:val="000000"/>
              </w:rPr>
              <w:t>29</w:t>
            </w:r>
            <w:r w:rsidRPr="00AB4BBF">
              <w:rPr>
                <w:rFonts w:eastAsia="Times New Roman" w:cstheme="minorHAnsi"/>
                <w:color w:val="000000"/>
              </w:rPr>
              <w:t>  </w:t>
            </w:r>
          </w:p>
        </w:tc>
      </w:tr>
      <w:tr w14:paraId="30C7E78B" w14:textId="77777777" w:rsidTr="00AB4BBF">
        <w:tblPrEx>
          <w:tblW w:w="0" w:type="dxa"/>
          <w:tblCellMar>
            <w:left w:w="0" w:type="dxa"/>
            <w:right w:w="0" w:type="dxa"/>
          </w:tblCellMar>
          <w:tblLook w:val="04A0"/>
        </w:tblPrEx>
        <w:trPr>
          <w:trHeight w:val="315"/>
        </w:trPr>
        <w:tc>
          <w:tcPr>
            <w:tcW w:w="6150" w:type="dxa"/>
            <w:gridSpan w:val="4"/>
            <w:tcBorders>
              <w:top w:val="double" w:sz="6" w:space="0" w:color="auto"/>
              <w:left w:val="double" w:sz="6" w:space="0" w:color="auto"/>
              <w:bottom w:val="double" w:sz="6" w:space="0" w:color="auto"/>
              <w:right w:val="single" w:sz="6" w:space="0" w:color="000000"/>
            </w:tcBorders>
            <w:shd w:val="clear" w:color="auto" w:fill="auto"/>
            <w:vAlign w:val="center"/>
            <w:hideMark/>
          </w:tcPr>
          <w:p w:rsidR="00AB4BBF" w:rsidRPr="00AB4BBF" w:rsidP="00001D40" w14:paraId="3357D869" w14:textId="77777777">
            <w:pPr>
              <w:spacing w:after="0" w:line="276" w:lineRule="auto"/>
              <w:textAlignment w:val="baseline"/>
              <w:rPr>
                <w:rFonts w:eastAsia="Times New Roman" w:cstheme="minorHAnsi"/>
              </w:rPr>
            </w:pPr>
            <w:r w:rsidRPr="00AB4BBF">
              <w:rPr>
                <w:rFonts w:eastAsia="Times New Roman" w:cstheme="minorHAnsi"/>
                <w:color w:val="000000"/>
              </w:rPr>
              <w:t>Totals </w:t>
            </w:r>
          </w:p>
        </w:tc>
        <w:tc>
          <w:tcPr>
            <w:tcW w:w="1740" w:type="dxa"/>
            <w:tcBorders>
              <w:top w:val="double" w:sz="6" w:space="0" w:color="auto"/>
              <w:left w:val="nil"/>
              <w:bottom w:val="double" w:sz="6" w:space="0" w:color="auto"/>
              <w:right w:val="single" w:sz="6" w:space="0" w:color="auto"/>
            </w:tcBorders>
            <w:shd w:val="clear" w:color="auto" w:fill="auto"/>
            <w:vAlign w:val="center"/>
            <w:hideMark/>
          </w:tcPr>
          <w:p w:rsidR="00AB4BBF" w:rsidRPr="00AB4BBF" w:rsidP="00001D40" w14:paraId="4C1605E4" w14:textId="09FFE0ED">
            <w:pPr>
              <w:spacing w:after="0" w:line="276" w:lineRule="auto"/>
              <w:jc w:val="center"/>
              <w:textAlignment w:val="baseline"/>
              <w:rPr>
                <w:rFonts w:eastAsia="Times New Roman" w:cstheme="minorHAnsi"/>
              </w:rPr>
            </w:pPr>
            <w:r w:rsidRPr="00AB4BBF">
              <w:rPr>
                <w:rFonts w:eastAsia="Times New Roman" w:cstheme="minorHAnsi"/>
                <w:color w:val="000000"/>
              </w:rPr>
              <w:t>13,</w:t>
            </w:r>
            <w:r w:rsidR="00E72EF8">
              <w:rPr>
                <w:rFonts w:eastAsia="Times New Roman" w:cstheme="minorHAnsi"/>
                <w:color w:val="000000"/>
              </w:rPr>
              <w:t>287</w:t>
            </w:r>
          </w:p>
        </w:tc>
        <w:tc>
          <w:tcPr>
            <w:tcW w:w="1245" w:type="dxa"/>
            <w:tcBorders>
              <w:top w:val="double" w:sz="6" w:space="0" w:color="auto"/>
              <w:left w:val="nil"/>
              <w:bottom w:val="double" w:sz="6" w:space="0" w:color="auto"/>
              <w:right w:val="double" w:sz="6" w:space="0" w:color="auto"/>
            </w:tcBorders>
            <w:shd w:val="clear" w:color="auto" w:fill="auto"/>
            <w:vAlign w:val="center"/>
            <w:hideMark/>
          </w:tcPr>
          <w:p w:rsidR="00AB4BBF" w:rsidRPr="00AB4BBF" w:rsidP="00001D40" w14:paraId="03ECDC31" w14:textId="716F5CF8">
            <w:pPr>
              <w:spacing w:after="0" w:line="276" w:lineRule="auto"/>
              <w:jc w:val="center"/>
              <w:textAlignment w:val="baseline"/>
              <w:rPr>
                <w:rFonts w:eastAsia="Times New Roman" w:cstheme="minorHAnsi"/>
              </w:rPr>
            </w:pPr>
            <w:r w:rsidRPr="00AB4BBF">
              <w:rPr>
                <w:rFonts w:eastAsia="Times New Roman" w:cstheme="minorHAnsi"/>
                <w:color w:val="000000"/>
              </w:rPr>
              <w:t>$</w:t>
            </w:r>
            <w:r w:rsidRPr="000B432C" w:rsidR="00021FE9">
              <w:rPr>
                <w:rFonts w:eastAsia="Times New Roman" w:cstheme="minorHAnsi"/>
                <w:color w:val="000000"/>
              </w:rPr>
              <w:t>1,3</w:t>
            </w:r>
            <w:r w:rsidRPr="000B432C" w:rsidR="00D471DE">
              <w:rPr>
                <w:rFonts w:eastAsia="Times New Roman" w:cstheme="minorHAnsi"/>
                <w:color w:val="000000"/>
              </w:rPr>
              <w:t>23,739</w:t>
            </w:r>
            <w:r w:rsidRPr="00AB4BBF">
              <w:rPr>
                <w:rFonts w:eastAsia="Times New Roman" w:cstheme="minorHAnsi"/>
                <w:color w:val="000000"/>
              </w:rPr>
              <w:t>  </w:t>
            </w:r>
          </w:p>
        </w:tc>
      </w:tr>
    </w:tbl>
    <w:p w:rsidR="00AB4BBF" w:rsidRPr="00AB4BBF" w:rsidP="00001D40" w14:paraId="722FBD68" w14:textId="4AB084BF">
      <w:pPr>
        <w:spacing w:after="0" w:line="276" w:lineRule="auto"/>
        <w:textAlignment w:val="baseline"/>
        <w:rPr>
          <w:rFonts w:eastAsia="Times New Roman" w:cstheme="minorHAnsi"/>
          <w:sz w:val="18"/>
          <w:szCs w:val="18"/>
        </w:rPr>
      </w:pPr>
      <w:r>
        <w:rPr>
          <w:rFonts w:eastAsia="Times New Roman" w:cstheme="minorHAnsi"/>
          <w:sz w:val="18"/>
          <w:szCs w:val="18"/>
          <w:vertAlign w:val="superscript"/>
        </w:rPr>
        <w:t>a</w:t>
      </w:r>
      <w:r w:rsidR="007C39B4">
        <w:rPr>
          <w:rFonts w:eastAsia="Times New Roman" w:cstheme="minorHAnsi"/>
          <w:sz w:val="18"/>
          <w:szCs w:val="18"/>
        </w:rPr>
        <w:t>2024</w:t>
      </w:r>
      <w:r w:rsidRPr="00AB4BBF">
        <w:rPr>
          <w:rFonts w:eastAsia="Times New Roman" w:cstheme="minorHAnsi"/>
          <w:sz w:val="18"/>
          <w:szCs w:val="18"/>
        </w:rPr>
        <w:t xml:space="preserve"> dollars.   </w:t>
      </w:r>
    </w:p>
    <w:p w:rsidR="00AB4BBF" w:rsidP="00001D40" w14:paraId="2C8222D0" w14:textId="6E3BF0CD">
      <w:pPr>
        <w:spacing w:after="0" w:line="276" w:lineRule="auto"/>
        <w:textAlignment w:val="baseline"/>
        <w:rPr>
          <w:rFonts w:eastAsia="Times New Roman" w:cstheme="minorHAnsi"/>
          <w:sz w:val="18"/>
          <w:szCs w:val="18"/>
        </w:rPr>
      </w:pPr>
      <w:r>
        <w:rPr>
          <w:rFonts w:eastAsia="Times New Roman" w:cstheme="minorHAnsi"/>
          <w:sz w:val="18"/>
          <w:szCs w:val="18"/>
          <w:vertAlign w:val="superscript"/>
        </w:rPr>
        <w:t>b</w:t>
      </w:r>
      <w:r w:rsidRPr="00AB4BBF">
        <w:rPr>
          <w:rFonts w:eastAsia="Times New Roman" w:cstheme="minorHAnsi"/>
          <w:sz w:val="18"/>
          <w:szCs w:val="18"/>
        </w:rPr>
        <w:t>Assumes</w:t>
      </w:r>
      <w:r w:rsidRPr="00AB4BBF">
        <w:rPr>
          <w:rFonts w:eastAsia="Times New Roman" w:cstheme="minorHAnsi"/>
          <w:sz w:val="18"/>
          <w:szCs w:val="18"/>
        </w:rPr>
        <w:t xml:space="preserve"> 3,</w:t>
      </w:r>
      <w:r w:rsidR="00CA0D24">
        <w:rPr>
          <w:rFonts w:eastAsia="Times New Roman" w:cstheme="minorHAnsi"/>
          <w:sz w:val="18"/>
          <w:szCs w:val="18"/>
        </w:rPr>
        <w:t>243</w:t>
      </w:r>
      <w:r w:rsidRPr="00AB4BBF">
        <w:rPr>
          <w:rFonts w:eastAsia="Times New Roman" w:cstheme="minorHAnsi"/>
          <w:sz w:val="18"/>
          <w:szCs w:val="18"/>
        </w:rPr>
        <w:t xml:space="preserve">emission data reports each quarter and an average of </w:t>
      </w:r>
      <w:r w:rsidR="00CA0D24">
        <w:rPr>
          <w:rFonts w:eastAsia="Times New Roman" w:cstheme="minorHAnsi"/>
          <w:sz w:val="18"/>
          <w:szCs w:val="18"/>
        </w:rPr>
        <w:t>5</w:t>
      </w:r>
      <w:r w:rsidRPr="00AB4BBF">
        <w:rPr>
          <w:rFonts w:eastAsia="Times New Roman" w:cstheme="minorHAnsi"/>
          <w:sz w:val="18"/>
          <w:szCs w:val="18"/>
        </w:rPr>
        <w:t xml:space="preserve"> CEMS audits per year. </w:t>
      </w:r>
    </w:p>
    <w:p w:rsidR="00B655F5" w:rsidP="00001D40" w14:paraId="44741C3D" w14:textId="77777777">
      <w:pPr>
        <w:spacing w:after="0" w:line="276" w:lineRule="auto"/>
        <w:textAlignment w:val="baseline"/>
        <w:rPr>
          <w:rFonts w:eastAsia="Times New Roman" w:cstheme="minorHAnsi"/>
          <w:sz w:val="18"/>
          <w:szCs w:val="18"/>
        </w:rPr>
      </w:pPr>
    </w:p>
    <w:p w:rsidR="00B655F5" w:rsidRPr="00AB4BBF" w:rsidP="00001D40" w14:paraId="1196F38C" w14:textId="77777777">
      <w:pPr>
        <w:spacing w:after="0" w:line="276" w:lineRule="auto"/>
        <w:textAlignment w:val="baseline"/>
        <w:rPr>
          <w:rFonts w:eastAsia="Times New Roman" w:cstheme="minorHAnsi"/>
          <w:sz w:val="18"/>
          <w:szCs w:val="18"/>
        </w:rPr>
      </w:pPr>
    </w:p>
    <w:p w:rsidR="001649DE" w:rsidRPr="00B655F5" w:rsidP="00001D40" w14:paraId="4B7F674E" w14:textId="6C8F88A2">
      <w:pPr>
        <w:spacing w:after="0" w:line="276" w:lineRule="auto"/>
        <w:textAlignment w:val="baseline"/>
        <w:rPr>
          <w:rFonts w:eastAsia="Times New Roman" w:cstheme="minorHAnsi"/>
        </w:rPr>
      </w:pPr>
      <w:r w:rsidRPr="00B655F5">
        <w:rPr>
          <w:rFonts w:eastAsia="Times New Roman" w:cstheme="minorHAnsi"/>
        </w:rPr>
        <w:t> </w:t>
      </w:r>
    </w:p>
    <w:p w:rsidR="00740231" w:rsidP="00AB64F9" w14:paraId="6C75F772" w14:textId="77777777">
      <w:pPr>
        <w:pStyle w:val="ListParagraph"/>
        <w:numPr>
          <w:ilvl w:val="0"/>
          <w:numId w:val="39"/>
        </w:numPr>
        <w:spacing w:after="0" w:line="276" w:lineRule="auto"/>
        <w:textAlignment w:val="baseline"/>
        <w:rPr>
          <w:rFonts w:eastAsia="Times New Roman" w:cstheme="minorHAnsi"/>
        </w:rPr>
      </w:pPr>
      <w:r w:rsidRPr="00B655F5">
        <w:rPr>
          <w:rFonts w:eastAsia="Times New Roman" w:cstheme="minorHAnsi"/>
        </w:rPr>
        <w:t>Auctions </w:t>
      </w:r>
    </w:p>
    <w:p w:rsidR="00A824FB" w:rsidP="00AB64F9" w14:paraId="25245691" w14:textId="0EF47EBD">
      <w:pPr>
        <w:pStyle w:val="ListParagraph"/>
        <w:numPr>
          <w:ilvl w:val="1"/>
          <w:numId w:val="39"/>
        </w:numPr>
        <w:spacing w:after="0" w:line="276" w:lineRule="auto"/>
        <w:textAlignment w:val="baseline"/>
        <w:rPr>
          <w:rFonts w:eastAsia="Times New Roman" w:cstheme="minorHAnsi"/>
        </w:rPr>
      </w:pPr>
      <w:r w:rsidRPr="00740231">
        <w:rPr>
          <w:rFonts w:eastAsia="Times New Roman" w:cstheme="minorHAnsi"/>
        </w:rPr>
        <w:t>This subsection presents estimates of the burden and costs to EPA associated with the auction program.  </w:t>
      </w:r>
    </w:p>
    <w:p w:rsidR="002F1C9B" w:rsidRPr="00977FA2" w:rsidP="00AB64F9" w14:paraId="7E616316" w14:textId="0DA1B660">
      <w:pPr>
        <w:pStyle w:val="ListParagraph"/>
        <w:numPr>
          <w:ilvl w:val="1"/>
          <w:numId w:val="39"/>
        </w:numPr>
        <w:spacing w:after="0" w:line="276" w:lineRule="auto"/>
        <w:textAlignment w:val="baseline"/>
        <w:rPr>
          <w:rFonts w:eastAsia="Times New Roman" w:cstheme="minorHAnsi"/>
        </w:rPr>
      </w:pPr>
      <w:r w:rsidRPr="00977FA2">
        <w:rPr>
          <w:rFonts w:eastAsia="Times New Roman" w:cstheme="minorHAnsi"/>
        </w:rPr>
        <w:t>Estimate of Agency Burden and Costs </w:t>
      </w:r>
    </w:p>
    <w:p w:rsidR="00F8577E" w:rsidRPr="00092374" w:rsidP="00001D40" w14:paraId="75F6491C" w14:textId="7F89168D">
      <w:pPr>
        <w:pStyle w:val="ListParagraph"/>
        <w:numPr>
          <w:ilvl w:val="2"/>
          <w:numId w:val="25"/>
        </w:numPr>
        <w:spacing w:after="0" w:line="276" w:lineRule="auto"/>
        <w:textAlignment w:val="baseline"/>
        <w:rPr>
          <w:rFonts w:eastAsia="Times New Roman" w:cstheme="minorHAnsi"/>
        </w:rPr>
      </w:pPr>
      <w:r w:rsidRPr="00001D40">
        <w:rPr>
          <w:rFonts w:eastAsia="Times New Roman" w:cstheme="minorHAnsi"/>
        </w:rPr>
        <w:t xml:space="preserve">Table </w:t>
      </w:r>
      <w:r w:rsidRPr="00001D40" w:rsidR="00C34DD9">
        <w:rPr>
          <w:rFonts w:eastAsia="Times New Roman" w:cstheme="minorHAnsi"/>
        </w:rPr>
        <w:t>14.</w:t>
      </w:r>
      <w:r w:rsidRPr="00001D40">
        <w:rPr>
          <w:rFonts w:eastAsia="Times New Roman" w:cstheme="minorHAnsi"/>
        </w:rPr>
        <w:t>5</w:t>
      </w:r>
      <w:r w:rsidRPr="00001D40" w:rsidR="006929FA">
        <w:rPr>
          <w:rFonts w:eastAsia="Times New Roman" w:cstheme="minorHAnsi"/>
        </w:rPr>
        <w:t xml:space="preserve"> depicts the burden and cost to EPA for the auction program. Based on </w:t>
      </w:r>
      <w:r w:rsidRPr="00001D40" w:rsidR="006929FA">
        <w:rPr>
          <w:rFonts w:eastAsia="Times New Roman" w:cstheme="minorHAnsi"/>
        </w:rPr>
        <w:t>past experience</w:t>
      </w:r>
      <w:r w:rsidRPr="00001D40" w:rsidR="006929FA">
        <w:rPr>
          <w:rFonts w:eastAsia="Times New Roman" w:cstheme="minorHAnsi"/>
        </w:rPr>
        <w:t xml:space="preserve">, the burden and cost to the Agency will be about the same each </w:t>
      </w:r>
      <w:r w:rsidRPr="00001D40" w:rsidR="006929FA">
        <w:rPr>
          <w:rFonts w:eastAsia="Times New Roman" w:cstheme="minorHAnsi"/>
        </w:rPr>
        <w:t xml:space="preserve">year. Setting up and revising allowance tracking system accounts for auction participants is estimated to take one hour, the handling of bid information and checks is estimated to take </w:t>
      </w:r>
      <w:r w:rsidRPr="00071C7B" w:rsidR="006929FA">
        <w:rPr>
          <w:rFonts w:eastAsia="Times New Roman" w:cstheme="minorHAnsi"/>
        </w:rPr>
        <w:t>10 hours, tabulation, checking, and announcing the auction results is estimated to take fifteen hours, and transferring allowances and proceeds is expected to require 40 hours per year. As Exhibit 8 shows, the total burden to EPA for auction activities is 66 hours at a cost of $</w:t>
      </w:r>
      <w:r w:rsidRPr="00071C7B" w:rsidR="004C1285">
        <w:rPr>
          <w:rFonts w:eastAsia="Times New Roman" w:cstheme="minorHAnsi"/>
        </w:rPr>
        <w:t>6,23</w:t>
      </w:r>
      <w:r w:rsidR="008D3959">
        <w:rPr>
          <w:rFonts w:eastAsia="Times New Roman" w:cstheme="minorHAnsi"/>
        </w:rPr>
        <w:t>6</w:t>
      </w:r>
      <w:r w:rsidRPr="00071C7B" w:rsidR="00071C7B">
        <w:rPr>
          <w:rFonts w:eastAsia="Times New Roman" w:cstheme="minorHAnsi"/>
        </w:rPr>
        <w:t>.</w:t>
      </w:r>
    </w:p>
    <w:p w:rsidR="00F8577E" w:rsidRPr="006929FA" w:rsidP="00001D40" w14:paraId="39F40CC1" w14:textId="77777777">
      <w:pPr>
        <w:spacing w:after="0" w:line="276" w:lineRule="auto"/>
        <w:textAlignment w:val="baseline"/>
        <w:rPr>
          <w:rFonts w:eastAsia="Times New Roman" w:cstheme="minorHAnsi"/>
        </w:rPr>
      </w:pPr>
    </w:p>
    <w:p w:rsidR="006929FA" w:rsidRPr="006929FA" w:rsidP="00977FA2" w14:paraId="5888C7A0" w14:textId="2121A256">
      <w:pPr>
        <w:spacing w:after="0" w:line="276" w:lineRule="auto"/>
        <w:jc w:val="center"/>
        <w:textAlignment w:val="baseline"/>
        <w:rPr>
          <w:rFonts w:eastAsia="Times New Roman" w:cstheme="minorHAnsi"/>
        </w:rPr>
      </w:pPr>
      <w:r w:rsidRPr="00071C7B">
        <w:rPr>
          <w:rFonts w:eastAsia="Times New Roman" w:cstheme="minorHAnsi"/>
          <w:b/>
          <w:bCs/>
        </w:rPr>
        <w:t xml:space="preserve">Table </w:t>
      </w:r>
      <w:r w:rsidRPr="00071C7B" w:rsidR="00C34DD9">
        <w:rPr>
          <w:rFonts w:eastAsia="Times New Roman" w:cstheme="minorHAnsi"/>
          <w:b/>
          <w:bCs/>
        </w:rPr>
        <w:t>14.</w:t>
      </w:r>
      <w:r w:rsidRPr="00071C7B">
        <w:rPr>
          <w:rFonts w:eastAsia="Times New Roman" w:cstheme="minorHAnsi"/>
          <w:b/>
          <w:bCs/>
        </w:rPr>
        <w:t>5: Agency Burden/Cost Estimates for Auctions</w:t>
      </w:r>
      <w:r w:rsidRPr="006929FA">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80"/>
        <w:gridCol w:w="2497"/>
        <w:gridCol w:w="2437"/>
      </w:tblGrid>
      <w:tr w14:paraId="5BB93217" w14:textId="77777777" w:rsidTr="00E14151">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395" w:type="dxa"/>
            <w:tcBorders>
              <w:top w:val="double" w:sz="6" w:space="0" w:color="auto"/>
              <w:left w:val="double" w:sz="6" w:space="0" w:color="auto"/>
              <w:bottom w:val="single" w:sz="6" w:space="0" w:color="auto"/>
              <w:right w:val="nil"/>
            </w:tcBorders>
            <w:shd w:val="clear" w:color="auto" w:fill="auto"/>
            <w:vAlign w:val="bottom"/>
            <w:hideMark/>
          </w:tcPr>
          <w:p w:rsidR="006929FA" w:rsidRPr="006929FA" w:rsidP="00001D40" w14:paraId="125F263C" w14:textId="77777777">
            <w:pPr>
              <w:spacing w:after="0" w:line="276" w:lineRule="auto"/>
              <w:jc w:val="center"/>
              <w:textAlignment w:val="baseline"/>
              <w:rPr>
                <w:rFonts w:eastAsia="Times New Roman" w:cstheme="minorHAnsi"/>
              </w:rPr>
            </w:pPr>
            <w:r w:rsidRPr="006929FA">
              <w:rPr>
                <w:rFonts w:eastAsia="Times New Roman" w:cstheme="minorHAnsi"/>
                <w:b/>
                <w:bCs/>
              </w:rPr>
              <w:t>Collection activities</w:t>
            </w:r>
            <w:r w:rsidRPr="006929FA">
              <w:rPr>
                <w:rFonts w:eastAsia="Times New Roman" w:cstheme="minorHAnsi"/>
              </w:rPr>
              <w:t> </w:t>
            </w:r>
          </w:p>
        </w:tc>
        <w:tc>
          <w:tcPr>
            <w:tcW w:w="2505" w:type="dxa"/>
            <w:tcBorders>
              <w:top w:val="double" w:sz="6" w:space="0" w:color="auto"/>
              <w:left w:val="single" w:sz="6" w:space="0" w:color="auto"/>
              <w:bottom w:val="single" w:sz="6" w:space="0" w:color="auto"/>
              <w:right w:val="nil"/>
            </w:tcBorders>
            <w:shd w:val="clear" w:color="auto" w:fill="auto"/>
            <w:vAlign w:val="bottom"/>
            <w:hideMark/>
          </w:tcPr>
          <w:p w:rsidR="006929FA" w:rsidRPr="006929FA" w:rsidP="00001D40" w14:paraId="674A8EDB" w14:textId="77777777">
            <w:pPr>
              <w:spacing w:after="0" w:line="276" w:lineRule="auto"/>
              <w:jc w:val="center"/>
              <w:textAlignment w:val="baseline"/>
              <w:rPr>
                <w:rFonts w:eastAsia="Times New Roman" w:cstheme="minorHAnsi"/>
              </w:rPr>
            </w:pPr>
            <w:r w:rsidRPr="006929FA">
              <w:rPr>
                <w:rFonts w:eastAsia="Times New Roman" w:cstheme="minorHAnsi"/>
                <w:b/>
                <w:bCs/>
              </w:rPr>
              <w:t>Burden hours per year</w:t>
            </w:r>
            <w:r w:rsidRPr="006929FA">
              <w:rPr>
                <w:rFonts w:eastAsia="Times New Roman" w:cstheme="minorHAnsi"/>
              </w:rPr>
              <w:t> </w:t>
            </w:r>
          </w:p>
        </w:tc>
        <w:tc>
          <w:tcPr>
            <w:tcW w:w="2445"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6929FA" w:rsidRPr="006929FA" w:rsidP="00001D40" w14:paraId="32575734" w14:textId="77777777">
            <w:pPr>
              <w:spacing w:after="0" w:line="276" w:lineRule="auto"/>
              <w:jc w:val="center"/>
              <w:textAlignment w:val="baseline"/>
              <w:rPr>
                <w:rFonts w:eastAsia="Times New Roman" w:cstheme="minorHAnsi"/>
              </w:rPr>
            </w:pPr>
            <w:r w:rsidRPr="006929FA">
              <w:rPr>
                <w:rFonts w:eastAsia="Times New Roman" w:cstheme="minorHAnsi"/>
                <w:b/>
                <w:bCs/>
              </w:rPr>
              <w:t xml:space="preserve">Cost per </w:t>
            </w:r>
            <w:r w:rsidRPr="006929FA">
              <w:rPr>
                <w:rFonts w:eastAsia="Times New Roman" w:cstheme="minorHAnsi"/>
                <w:b/>
                <w:bCs/>
              </w:rPr>
              <w:t>year</w:t>
            </w:r>
            <w:r w:rsidRPr="006929FA">
              <w:rPr>
                <w:rFonts w:eastAsia="Times New Roman" w:cstheme="minorHAnsi"/>
                <w:b/>
                <w:bCs/>
                <w:vertAlign w:val="superscript"/>
              </w:rPr>
              <w:t>a</w:t>
            </w:r>
            <w:r w:rsidRPr="006929FA">
              <w:rPr>
                <w:rFonts w:eastAsia="Times New Roman" w:cstheme="minorHAnsi"/>
              </w:rPr>
              <w:t> </w:t>
            </w:r>
          </w:p>
        </w:tc>
      </w:tr>
      <w:tr w14:paraId="31BC765C" w14:textId="77777777" w:rsidTr="00E14151">
        <w:tblPrEx>
          <w:tblW w:w="0" w:type="dxa"/>
          <w:tblCellMar>
            <w:left w:w="0" w:type="dxa"/>
            <w:right w:w="0" w:type="dxa"/>
          </w:tblCellMar>
          <w:tblLook w:val="04A0"/>
        </w:tblPrEx>
        <w:trPr>
          <w:trHeight w:val="300"/>
        </w:trPr>
        <w:tc>
          <w:tcPr>
            <w:tcW w:w="4395" w:type="dxa"/>
            <w:tcBorders>
              <w:top w:val="single" w:sz="6" w:space="0" w:color="auto"/>
              <w:left w:val="double" w:sz="6" w:space="0" w:color="auto"/>
              <w:bottom w:val="single" w:sz="4" w:space="0" w:color="auto"/>
              <w:right w:val="nil"/>
            </w:tcBorders>
            <w:shd w:val="clear" w:color="auto" w:fill="auto"/>
            <w:vAlign w:val="bottom"/>
            <w:hideMark/>
          </w:tcPr>
          <w:p w:rsidR="006929FA" w:rsidRPr="006929FA" w:rsidP="00001D40" w14:paraId="6AC39224" w14:textId="77777777">
            <w:pPr>
              <w:spacing w:after="0" w:line="276" w:lineRule="auto"/>
              <w:textAlignment w:val="baseline"/>
              <w:rPr>
                <w:rFonts w:eastAsia="Times New Roman" w:cstheme="minorHAnsi"/>
              </w:rPr>
            </w:pPr>
            <w:r w:rsidRPr="006929FA">
              <w:rPr>
                <w:rFonts w:eastAsia="Times New Roman" w:cstheme="minorHAnsi"/>
              </w:rPr>
              <w:t>Setup allowance tracking system accounts. </w:t>
            </w:r>
          </w:p>
        </w:tc>
        <w:tc>
          <w:tcPr>
            <w:tcW w:w="2505" w:type="dxa"/>
            <w:tcBorders>
              <w:top w:val="single" w:sz="6" w:space="0" w:color="auto"/>
              <w:left w:val="single" w:sz="6" w:space="0" w:color="auto"/>
              <w:bottom w:val="single" w:sz="4" w:space="0" w:color="auto"/>
              <w:right w:val="nil"/>
            </w:tcBorders>
            <w:shd w:val="clear" w:color="auto" w:fill="auto"/>
            <w:hideMark/>
          </w:tcPr>
          <w:p w:rsidR="006929FA" w:rsidRPr="006929FA" w:rsidP="00001D40" w14:paraId="6BCA5D98" w14:textId="77777777">
            <w:pPr>
              <w:spacing w:after="0" w:line="276" w:lineRule="auto"/>
              <w:jc w:val="center"/>
              <w:textAlignment w:val="baseline"/>
              <w:rPr>
                <w:rFonts w:eastAsia="Times New Roman" w:cstheme="minorHAnsi"/>
              </w:rPr>
            </w:pPr>
            <w:r w:rsidRPr="006929FA">
              <w:rPr>
                <w:rFonts w:eastAsia="Times New Roman" w:cstheme="minorHAnsi"/>
              </w:rPr>
              <w:t>1 </w:t>
            </w:r>
          </w:p>
        </w:tc>
        <w:tc>
          <w:tcPr>
            <w:tcW w:w="2445" w:type="dxa"/>
            <w:tcBorders>
              <w:top w:val="single" w:sz="6" w:space="0" w:color="auto"/>
              <w:left w:val="single" w:sz="6" w:space="0" w:color="auto"/>
              <w:bottom w:val="single" w:sz="4" w:space="0" w:color="auto"/>
              <w:right w:val="double" w:sz="6" w:space="0" w:color="auto"/>
            </w:tcBorders>
            <w:shd w:val="clear" w:color="auto" w:fill="auto"/>
            <w:hideMark/>
          </w:tcPr>
          <w:p w:rsidR="006929FA" w:rsidRPr="006929FA" w:rsidP="00001D40" w14:paraId="4D758D59" w14:textId="3CBC790C">
            <w:pPr>
              <w:spacing w:after="0" w:line="276" w:lineRule="auto"/>
              <w:jc w:val="center"/>
              <w:textAlignment w:val="baseline"/>
              <w:rPr>
                <w:rFonts w:eastAsia="Times New Roman" w:cstheme="minorHAnsi"/>
              </w:rPr>
            </w:pPr>
            <w:r w:rsidRPr="006929FA">
              <w:rPr>
                <w:rFonts w:eastAsia="Times New Roman" w:cstheme="minorHAnsi"/>
              </w:rPr>
              <w:t>$</w:t>
            </w:r>
            <w:r w:rsidR="0063666F">
              <w:rPr>
                <w:rFonts w:eastAsia="Times New Roman" w:cstheme="minorHAnsi"/>
              </w:rPr>
              <w:t>94</w:t>
            </w:r>
            <w:r w:rsidRPr="006929FA">
              <w:rPr>
                <w:rFonts w:eastAsia="Times New Roman" w:cstheme="minorHAnsi"/>
              </w:rPr>
              <w:t> </w:t>
            </w:r>
          </w:p>
        </w:tc>
      </w:tr>
      <w:tr w14:paraId="738AF08F" w14:textId="77777777" w:rsidTr="00E14151">
        <w:tblPrEx>
          <w:tblW w:w="0" w:type="dxa"/>
          <w:tblCellMar>
            <w:left w:w="0" w:type="dxa"/>
            <w:right w:w="0" w:type="dxa"/>
          </w:tblCellMar>
          <w:tblLook w:val="04A0"/>
        </w:tblPrEx>
        <w:trPr>
          <w:trHeight w:val="300"/>
        </w:trPr>
        <w:tc>
          <w:tcPr>
            <w:tcW w:w="4395" w:type="dxa"/>
            <w:tcBorders>
              <w:top w:val="single" w:sz="4" w:space="0" w:color="auto"/>
              <w:left w:val="double" w:sz="6" w:space="0" w:color="auto"/>
              <w:bottom w:val="single" w:sz="4" w:space="0" w:color="auto"/>
              <w:right w:val="nil"/>
            </w:tcBorders>
            <w:shd w:val="clear" w:color="auto" w:fill="auto"/>
            <w:vAlign w:val="bottom"/>
            <w:hideMark/>
          </w:tcPr>
          <w:p w:rsidR="006929FA" w:rsidRPr="006929FA" w:rsidP="00001D40" w14:paraId="261577E6" w14:textId="77777777">
            <w:pPr>
              <w:spacing w:after="0" w:line="276" w:lineRule="auto"/>
              <w:textAlignment w:val="baseline"/>
              <w:rPr>
                <w:rFonts w:eastAsia="Times New Roman" w:cstheme="minorHAnsi"/>
              </w:rPr>
            </w:pPr>
            <w:r w:rsidRPr="006929FA">
              <w:rPr>
                <w:rFonts w:eastAsia="Times New Roman" w:cstheme="minorHAnsi"/>
              </w:rPr>
              <w:t>Handle bids and checks. </w:t>
            </w:r>
          </w:p>
        </w:tc>
        <w:tc>
          <w:tcPr>
            <w:tcW w:w="2505" w:type="dxa"/>
            <w:tcBorders>
              <w:top w:val="single" w:sz="4" w:space="0" w:color="auto"/>
              <w:left w:val="single" w:sz="6" w:space="0" w:color="auto"/>
              <w:bottom w:val="single" w:sz="4" w:space="0" w:color="auto"/>
              <w:right w:val="nil"/>
            </w:tcBorders>
            <w:shd w:val="clear" w:color="auto" w:fill="auto"/>
            <w:hideMark/>
          </w:tcPr>
          <w:p w:rsidR="006929FA" w:rsidRPr="006929FA" w:rsidP="00001D40" w14:paraId="20A5692E" w14:textId="77777777">
            <w:pPr>
              <w:spacing w:after="0" w:line="276" w:lineRule="auto"/>
              <w:jc w:val="center"/>
              <w:textAlignment w:val="baseline"/>
              <w:rPr>
                <w:rFonts w:eastAsia="Times New Roman" w:cstheme="minorHAnsi"/>
              </w:rPr>
            </w:pPr>
            <w:r w:rsidRPr="006929FA">
              <w:rPr>
                <w:rFonts w:eastAsia="Times New Roman" w:cstheme="minorHAnsi"/>
              </w:rPr>
              <w:t>10 </w:t>
            </w:r>
          </w:p>
        </w:tc>
        <w:tc>
          <w:tcPr>
            <w:tcW w:w="2445" w:type="dxa"/>
            <w:tcBorders>
              <w:top w:val="single" w:sz="4" w:space="0" w:color="auto"/>
              <w:left w:val="single" w:sz="6" w:space="0" w:color="auto"/>
              <w:bottom w:val="single" w:sz="4" w:space="0" w:color="auto"/>
              <w:right w:val="double" w:sz="6" w:space="0" w:color="auto"/>
            </w:tcBorders>
            <w:shd w:val="clear" w:color="auto" w:fill="auto"/>
            <w:hideMark/>
          </w:tcPr>
          <w:p w:rsidR="006929FA" w:rsidRPr="006929FA" w:rsidP="00001D40" w14:paraId="04C0CD26" w14:textId="30B920D3">
            <w:pPr>
              <w:spacing w:after="0" w:line="276" w:lineRule="auto"/>
              <w:jc w:val="center"/>
              <w:textAlignment w:val="baseline"/>
              <w:rPr>
                <w:rFonts w:eastAsia="Times New Roman" w:cstheme="minorHAnsi"/>
              </w:rPr>
            </w:pPr>
            <w:r w:rsidRPr="006929FA">
              <w:rPr>
                <w:rFonts w:eastAsia="Times New Roman" w:cstheme="minorHAnsi"/>
              </w:rPr>
              <w:t>$</w:t>
            </w:r>
            <w:r w:rsidR="00E03B95">
              <w:rPr>
                <w:rFonts w:eastAsia="Times New Roman" w:cstheme="minorHAnsi"/>
              </w:rPr>
              <w:t>945</w:t>
            </w:r>
            <w:r w:rsidRPr="006929FA">
              <w:rPr>
                <w:rFonts w:eastAsia="Times New Roman" w:cstheme="minorHAnsi"/>
              </w:rPr>
              <w:t> </w:t>
            </w:r>
          </w:p>
        </w:tc>
      </w:tr>
      <w:tr w14:paraId="2EFCD972" w14:textId="77777777" w:rsidTr="00E14151">
        <w:tblPrEx>
          <w:tblW w:w="0" w:type="dxa"/>
          <w:tblCellMar>
            <w:left w:w="0" w:type="dxa"/>
            <w:right w:w="0" w:type="dxa"/>
          </w:tblCellMar>
          <w:tblLook w:val="04A0"/>
        </w:tblPrEx>
        <w:trPr>
          <w:trHeight w:val="300"/>
        </w:trPr>
        <w:tc>
          <w:tcPr>
            <w:tcW w:w="4395" w:type="dxa"/>
            <w:tcBorders>
              <w:top w:val="single" w:sz="4" w:space="0" w:color="auto"/>
              <w:left w:val="double" w:sz="6" w:space="0" w:color="auto"/>
              <w:bottom w:val="single" w:sz="4" w:space="0" w:color="auto"/>
              <w:right w:val="nil"/>
            </w:tcBorders>
            <w:shd w:val="clear" w:color="auto" w:fill="auto"/>
            <w:hideMark/>
          </w:tcPr>
          <w:p w:rsidR="006929FA" w:rsidRPr="006929FA" w:rsidP="00001D40" w14:paraId="343BA246" w14:textId="77777777">
            <w:pPr>
              <w:spacing w:after="0" w:line="276" w:lineRule="auto"/>
              <w:textAlignment w:val="baseline"/>
              <w:rPr>
                <w:rFonts w:eastAsia="Times New Roman" w:cstheme="minorHAnsi"/>
              </w:rPr>
            </w:pPr>
            <w:r w:rsidRPr="006929FA">
              <w:rPr>
                <w:rFonts w:eastAsia="Times New Roman" w:cstheme="minorHAnsi"/>
              </w:rPr>
              <w:t>Tabulate, check, and announce results. </w:t>
            </w:r>
          </w:p>
        </w:tc>
        <w:tc>
          <w:tcPr>
            <w:tcW w:w="2505" w:type="dxa"/>
            <w:tcBorders>
              <w:top w:val="single" w:sz="4" w:space="0" w:color="auto"/>
              <w:left w:val="single" w:sz="6" w:space="0" w:color="auto"/>
              <w:bottom w:val="single" w:sz="4" w:space="0" w:color="auto"/>
              <w:right w:val="nil"/>
            </w:tcBorders>
            <w:shd w:val="clear" w:color="auto" w:fill="auto"/>
            <w:hideMark/>
          </w:tcPr>
          <w:p w:rsidR="006929FA" w:rsidRPr="006929FA" w:rsidP="00001D40" w14:paraId="6ECD28E0" w14:textId="77777777">
            <w:pPr>
              <w:spacing w:after="0" w:line="276" w:lineRule="auto"/>
              <w:jc w:val="center"/>
              <w:textAlignment w:val="baseline"/>
              <w:rPr>
                <w:rFonts w:eastAsia="Times New Roman" w:cstheme="minorHAnsi"/>
              </w:rPr>
            </w:pPr>
            <w:r w:rsidRPr="006929FA">
              <w:rPr>
                <w:rFonts w:eastAsia="Times New Roman" w:cstheme="minorHAnsi"/>
              </w:rPr>
              <w:t>15 </w:t>
            </w:r>
          </w:p>
        </w:tc>
        <w:tc>
          <w:tcPr>
            <w:tcW w:w="2445" w:type="dxa"/>
            <w:tcBorders>
              <w:top w:val="single" w:sz="4" w:space="0" w:color="auto"/>
              <w:left w:val="single" w:sz="6" w:space="0" w:color="auto"/>
              <w:bottom w:val="single" w:sz="4" w:space="0" w:color="auto"/>
              <w:right w:val="double" w:sz="6" w:space="0" w:color="auto"/>
            </w:tcBorders>
            <w:shd w:val="clear" w:color="auto" w:fill="auto"/>
            <w:hideMark/>
          </w:tcPr>
          <w:p w:rsidR="006929FA" w:rsidRPr="006929FA" w:rsidP="00001D40" w14:paraId="4FA60439" w14:textId="3B595F11">
            <w:pPr>
              <w:spacing w:after="0" w:line="276" w:lineRule="auto"/>
              <w:jc w:val="center"/>
              <w:textAlignment w:val="baseline"/>
              <w:rPr>
                <w:rFonts w:eastAsia="Times New Roman" w:cstheme="minorHAnsi"/>
              </w:rPr>
            </w:pPr>
            <w:r w:rsidRPr="006929FA">
              <w:rPr>
                <w:rFonts w:eastAsia="Times New Roman" w:cstheme="minorHAnsi"/>
              </w:rPr>
              <w:t>$</w:t>
            </w:r>
            <w:r w:rsidR="007E5404">
              <w:rPr>
                <w:rFonts w:eastAsia="Times New Roman" w:cstheme="minorHAnsi"/>
              </w:rPr>
              <w:t>1,417</w:t>
            </w:r>
            <w:r w:rsidRPr="006929FA">
              <w:rPr>
                <w:rFonts w:eastAsia="Times New Roman" w:cstheme="minorHAnsi"/>
              </w:rPr>
              <w:t> </w:t>
            </w:r>
          </w:p>
        </w:tc>
      </w:tr>
      <w:tr w14:paraId="7EEB856B" w14:textId="77777777" w:rsidTr="00E14151">
        <w:tblPrEx>
          <w:tblW w:w="0" w:type="dxa"/>
          <w:tblCellMar>
            <w:left w:w="0" w:type="dxa"/>
            <w:right w:w="0" w:type="dxa"/>
          </w:tblCellMar>
          <w:tblLook w:val="04A0"/>
        </w:tblPrEx>
        <w:trPr>
          <w:trHeight w:val="300"/>
        </w:trPr>
        <w:tc>
          <w:tcPr>
            <w:tcW w:w="4395" w:type="dxa"/>
            <w:tcBorders>
              <w:top w:val="single" w:sz="4" w:space="0" w:color="auto"/>
              <w:left w:val="double" w:sz="6" w:space="0" w:color="auto"/>
              <w:bottom w:val="single" w:sz="4" w:space="0" w:color="auto"/>
              <w:right w:val="nil"/>
            </w:tcBorders>
            <w:shd w:val="clear" w:color="auto" w:fill="auto"/>
            <w:vAlign w:val="bottom"/>
            <w:hideMark/>
          </w:tcPr>
          <w:p w:rsidR="006929FA" w:rsidRPr="006929FA" w:rsidP="00001D40" w14:paraId="352EC2FB" w14:textId="77777777">
            <w:pPr>
              <w:spacing w:after="0" w:line="276" w:lineRule="auto"/>
              <w:textAlignment w:val="baseline"/>
              <w:rPr>
                <w:rFonts w:eastAsia="Times New Roman" w:cstheme="minorHAnsi"/>
              </w:rPr>
            </w:pPr>
            <w:r w:rsidRPr="006929FA">
              <w:rPr>
                <w:rFonts w:eastAsia="Times New Roman" w:cstheme="minorHAnsi"/>
              </w:rPr>
              <w:t>Transfer of allowances and proceeds. </w:t>
            </w:r>
          </w:p>
        </w:tc>
        <w:tc>
          <w:tcPr>
            <w:tcW w:w="2505" w:type="dxa"/>
            <w:tcBorders>
              <w:top w:val="single" w:sz="4" w:space="0" w:color="auto"/>
              <w:left w:val="single" w:sz="6" w:space="0" w:color="auto"/>
              <w:bottom w:val="single" w:sz="4" w:space="0" w:color="auto"/>
              <w:right w:val="nil"/>
            </w:tcBorders>
            <w:shd w:val="clear" w:color="auto" w:fill="auto"/>
            <w:hideMark/>
          </w:tcPr>
          <w:p w:rsidR="006929FA" w:rsidRPr="006929FA" w:rsidP="00001D40" w14:paraId="5DFAE57B" w14:textId="77777777">
            <w:pPr>
              <w:spacing w:after="0" w:line="276" w:lineRule="auto"/>
              <w:jc w:val="center"/>
              <w:textAlignment w:val="baseline"/>
              <w:rPr>
                <w:rFonts w:eastAsia="Times New Roman" w:cstheme="minorHAnsi"/>
              </w:rPr>
            </w:pPr>
            <w:r w:rsidRPr="006929FA">
              <w:rPr>
                <w:rFonts w:eastAsia="Times New Roman" w:cstheme="minorHAnsi"/>
              </w:rPr>
              <w:t>40 </w:t>
            </w:r>
          </w:p>
        </w:tc>
        <w:tc>
          <w:tcPr>
            <w:tcW w:w="2445" w:type="dxa"/>
            <w:tcBorders>
              <w:top w:val="single" w:sz="4" w:space="0" w:color="auto"/>
              <w:left w:val="single" w:sz="6" w:space="0" w:color="auto"/>
              <w:bottom w:val="single" w:sz="4" w:space="0" w:color="auto"/>
              <w:right w:val="double" w:sz="6" w:space="0" w:color="auto"/>
            </w:tcBorders>
            <w:shd w:val="clear" w:color="auto" w:fill="auto"/>
            <w:hideMark/>
          </w:tcPr>
          <w:p w:rsidR="006929FA" w:rsidRPr="006929FA" w:rsidP="00001D40" w14:paraId="7D4298C4" w14:textId="744E1E42">
            <w:pPr>
              <w:spacing w:after="0" w:line="276" w:lineRule="auto"/>
              <w:jc w:val="center"/>
              <w:textAlignment w:val="baseline"/>
              <w:rPr>
                <w:rFonts w:eastAsia="Times New Roman" w:cstheme="minorHAnsi"/>
              </w:rPr>
            </w:pPr>
            <w:r w:rsidRPr="006929FA">
              <w:rPr>
                <w:rFonts w:eastAsia="Times New Roman" w:cstheme="minorHAnsi"/>
              </w:rPr>
              <w:t>$</w:t>
            </w:r>
            <w:r w:rsidR="00E14151">
              <w:rPr>
                <w:rFonts w:eastAsia="Times New Roman" w:cstheme="minorHAnsi"/>
              </w:rPr>
              <w:t>3,780</w:t>
            </w:r>
            <w:r w:rsidRPr="006929FA">
              <w:rPr>
                <w:rFonts w:eastAsia="Times New Roman" w:cstheme="minorHAnsi"/>
              </w:rPr>
              <w:t> </w:t>
            </w:r>
          </w:p>
        </w:tc>
      </w:tr>
      <w:tr w14:paraId="245E9424" w14:textId="77777777" w:rsidTr="00E14151">
        <w:tblPrEx>
          <w:tblW w:w="0" w:type="dxa"/>
          <w:tblCellMar>
            <w:left w:w="0" w:type="dxa"/>
            <w:right w:w="0" w:type="dxa"/>
          </w:tblCellMar>
          <w:tblLook w:val="04A0"/>
        </w:tblPrEx>
        <w:trPr>
          <w:trHeight w:val="300"/>
        </w:trPr>
        <w:tc>
          <w:tcPr>
            <w:tcW w:w="4395" w:type="dxa"/>
            <w:tcBorders>
              <w:top w:val="single" w:sz="4" w:space="0" w:color="auto"/>
              <w:left w:val="double" w:sz="6" w:space="0" w:color="auto"/>
              <w:bottom w:val="double" w:sz="6" w:space="0" w:color="auto"/>
              <w:right w:val="nil"/>
            </w:tcBorders>
            <w:shd w:val="clear" w:color="auto" w:fill="auto"/>
            <w:vAlign w:val="bottom"/>
            <w:hideMark/>
          </w:tcPr>
          <w:p w:rsidR="006929FA" w:rsidRPr="006929FA" w:rsidP="00001D40" w14:paraId="2C6A6191" w14:textId="77777777">
            <w:pPr>
              <w:spacing w:after="0" w:line="276" w:lineRule="auto"/>
              <w:textAlignment w:val="baseline"/>
              <w:rPr>
                <w:rFonts w:eastAsia="Times New Roman" w:cstheme="minorHAnsi"/>
              </w:rPr>
            </w:pPr>
            <w:r w:rsidRPr="006929FA">
              <w:rPr>
                <w:rFonts w:eastAsia="Times New Roman" w:cstheme="minorHAnsi"/>
                <w:b/>
                <w:bCs/>
              </w:rPr>
              <w:t>Totals</w:t>
            </w:r>
            <w:r w:rsidRPr="006929FA">
              <w:rPr>
                <w:rFonts w:eastAsia="Times New Roman" w:cstheme="minorHAnsi"/>
              </w:rPr>
              <w:t> </w:t>
            </w:r>
          </w:p>
        </w:tc>
        <w:tc>
          <w:tcPr>
            <w:tcW w:w="2505" w:type="dxa"/>
            <w:tcBorders>
              <w:top w:val="single" w:sz="4" w:space="0" w:color="auto"/>
              <w:left w:val="single" w:sz="6" w:space="0" w:color="auto"/>
              <w:bottom w:val="double" w:sz="6" w:space="0" w:color="auto"/>
              <w:right w:val="nil"/>
            </w:tcBorders>
            <w:shd w:val="clear" w:color="auto" w:fill="auto"/>
            <w:hideMark/>
          </w:tcPr>
          <w:p w:rsidR="006929FA" w:rsidRPr="006929FA" w:rsidP="00001D40" w14:paraId="082DCFB8" w14:textId="77777777">
            <w:pPr>
              <w:spacing w:after="0" w:line="276" w:lineRule="auto"/>
              <w:jc w:val="center"/>
              <w:textAlignment w:val="baseline"/>
              <w:rPr>
                <w:rFonts w:eastAsia="Times New Roman" w:cstheme="minorHAnsi"/>
              </w:rPr>
            </w:pPr>
            <w:r w:rsidRPr="006929FA">
              <w:rPr>
                <w:rFonts w:eastAsia="Times New Roman" w:cstheme="minorHAnsi"/>
                <w:b/>
                <w:bCs/>
              </w:rPr>
              <w:t>66</w:t>
            </w:r>
            <w:r w:rsidRPr="006929FA">
              <w:rPr>
                <w:rFonts w:eastAsia="Times New Roman" w:cstheme="minorHAnsi"/>
              </w:rPr>
              <w:t> </w:t>
            </w:r>
          </w:p>
        </w:tc>
        <w:tc>
          <w:tcPr>
            <w:tcW w:w="2445" w:type="dxa"/>
            <w:tcBorders>
              <w:top w:val="single" w:sz="4" w:space="0" w:color="auto"/>
              <w:left w:val="single" w:sz="6" w:space="0" w:color="auto"/>
              <w:bottom w:val="double" w:sz="6" w:space="0" w:color="auto"/>
              <w:right w:val="double" w:sz="6" w:space="0" w:color="auto"/>
            </w:tcBorders>
            <w:shd w:val="clear" w:color="auto" w:fill="auto"/>
            <w:hideMark/>
          </w:tcPr>
          <w:p w:rsidR="006929FA" w:rsidRPr="006929FA" w:rsidP="00001D40" w14:paraId="608689BA" w14:textId="249D3F22">
            <w:pPr>
              <w:spacing w:after="0" w:line="276" w:lineRule="auto"/>
              <w:jc w:val="center"/>
              <w:textAlignment w:val="baseline"/>
              <w:rPr>
                <w:rFonts w:eastAsia="Times New Roman" w:cstheme="minorHAnsi"/>
              </w:rPr>
            </w:pPr>
            <w:r w:rsidRPr="006929FA">
              <w:rPr>
                <w:rFonts w:eastAsia="Times New Roman" w:cstheme="minorHAnsi"/>
                <w:b/>
                <w:bCs/>
              </w:rPr>
              <w:t>$</w:t>
            </w:r>
            <w:r w:rsidR="004C1285">
              <w:rPr>
                <w:rFonts w:eastAsia="Times New Roman" w:cstheme="minorHAnsi"/>
                <w:b/>
                <w:bCs/>
              </w:rPr>
              <w:t>6,23</w:t>
            </w:r>
            <w:r w:rsidR="000A76C0">
              <w:rPr>
                <w:rFonts w:eastAsia="Times New Roman" w:cstheme="minorHAnsi"/>
                <w:b/>
                <w:bCs/>
              </w:rPr>
              <w:t>6</w:t>
            </w:r>
            <w:r w:rsidRPr="006929FA">
              <w:rPr>
                <w:rFonts w:eastAsia="Times New Roman" w:cstheme="minorHAnsi"/>
              </w:rPr>
              <w:t> </w:t>
            </w:r>
          </w:p>
        </w:tc>
      </w:tr>
    </w:tbl>
    <w:p w:rsidR="006929FA" w:rsidRPr="006929FA" w:rsidP="00001D40" w14:paraId="7074469B" w14:textId="1596B89F">
      <w:pPr>
        <w:spacing w:after="0" w:line="276" w:lineRule="auto"/>
        <w:textAlignment w:val="baseline"/>
        <w:rPr>
          <w:rFonts w:eastAsia="Times New Roman" w:cstheme="minorHAnsi"/>
        </w:rPr>
      </w:pPr>
      <w:r w:rsidRPr="006929FA">
        <w:rPr>
          <w:rFonts w:eastAsia="Times New Roman" w:cstheme="minorHAnsi"/>
          <w:sz w:val="18"/>
          <w:szCs w:val="18"/>
        </w:rPr>
        <w:t> </w:t>
      </w:r>
      <w:r w:rsidRPr="006929FA">
        <w:rPr>
          <w:rFonts w:eastAsia="Times New Roman" w:cstheme="minorHAnsi"/>
          <w:sz w:val="18"/>
          <w:szCs w:val="18"/>
          <w:vertAlign w:val="superscript"/>
        </w:rPr>
        <w:t>a</w:t>
      </w:r>
      <w:r w:rsidRPr="006929FA">
        <w:rPr>
          <w:rFonts w:eastAsia="Times New Roman" w:cstheme="minorHAnsi"/>
          <w:sz w:val="18"/>
          <w:szCs w:val="18"/>
        </w:rPr>
        <w:t>202</w:t>
      </w:r>
      <w:r w:rsidR="00071C7B">
        <w:rPr>
          <w:rFonts w:eastAsia="Times New Roman" w:cstheme="minorHAnsi"/>
          <w:sz w:val="18"/>
          <w:szCs w:val="18"/>
        </w:rPr>
        <w:t>4</w:t>
      </w:r>
      <w:r w:rsidRPr="006929FA">
        <w:rPr>
          <w:rFonts w:eastAsia="Times New Roman" w:cstheme="minorHAnsi"/>
          <w:sz w:val="18"/>
          <w:szCs w:val="18"/>
        </w:rPr>
        <w:t xml:space="preserve"> dollars. </w:t>
      </w:r>
    </w:p>
    <w:p w:rsidR="006929FA" w:rsidRPr="006929FA" w:rsidP="00001D40" w14:paraId="37C59674" w14:textId="77777777">
      <w:pPr>
        <w:spacing w:after="0" w:line="276" w:lineRule="auto"/>
        <w:textAlignment w:val="baseline"/>
        <w:rPr>
          <w:rFonts w:eastAsia="Times New Roman" w:cstheme="minorHAnsi"/>
        </w:rPr>
      </w:pPr>
      <w:r w:rsidRPr="006929FA">
        <w:rPr>
          <w:rFonts w:eastAsia="Times New Roman" w:cstheme="minorHAnsi"/>
        </w:rPr>
        <w:t> </w:t>
      </w:r>
    </w:p>
    <w:p w:rsidR="000F7FE8" w:rsidRPr="00001D40" w:rsidP="00001D40" w14:paraId="3E0B46DD" w14:textId="77777777">
      <w:pPr>
        <w:spacing w:after="0" w:line="276" w:lineRule="auto"/>
        <w:textAlignment w:val="baseline"/>
        <w:rPr>
          <w:rFonts w:eastAsia="Times New Roman" w:cstheme="minorHAnsi"/>
        </w:rPr>
      </w:pPr>
      <w:r w:rsidRPr="001B068C">
        <w:rPr>
          <w:rFonts w:eastAsia="Times New Roman" w:cstheme="minorHAnsi"/>
        </w:rPr>
        <w:t> </w:t>
      </w:r>
    </w:p>
    <w:p w:rsidR="0073545D" w:rsidP="00AB64F9" w14:paraId="17BE1146" w14:textId="77777777">
      <w:pPr>
        <w:pStyle w:val="ListParagraph"/>
        <w:numPr>
          <w:ilvl w:val="0"/>
          <w:numId w:val="39"/>
        </w:numPr>
        <w:spacing w:after="0" w:line="276" w:lineRule="auto"/>
        <w:textAlignment w:val="baseline"/>
        <w:rPr>
          <w:rFonts w:eastAsia="Times New Roman" w:cstheme="minorHAnsi"/>
        </w:rPr>
      </w:pPr>
      <w:r w:rsidRPr="0073545D">
        <w:rPr>
          <w:rFonts w:eastAsia="Times New Roman" w:cstheme="minorHAnsi"/>
        </w:rPr>
        <w:t>NO</w:t>
      </w:r>
      <w:r w:rsidRPr="0073545D">
        <w:rPr>
          <w:rFonts w:eastAsia="Times New Roman" w:cstheme="minorHAnsi"/>
          <w:vertAlign w:val="subscript"/>
        </w:rPr>
        <w:t>X</w:t>
      </w:r>
      <w:r w:rsidRPr="0073545D">
        <w:rPr>
          <w:rFonts w:eastAsia="Times New Roman" w:cstheme="minorHAnsi"/>
        </w:rPr>
        <w:t xml:space="preserve"> Permitting </w:t>
      </w:r>
    </w:p>
    <w:p w:rsidR="00136EE8" w:rsidRPr="00AB64F9" w:rsidP="00AB64F9" w14:paraId="49B22E43" w14:textId="3BFA2CA0">
      <w:pPr>
        <w:pStyle w:val="ListParagraph"/>
        <w:numPr>
          <w:ilvl w:val="1"/>
          <w:numId w:val="39"/>
        </w:numPr>
        <w:spacing w:after="0" w:line="276" w:lineRule="auto"/>
        <w:textAlignment w:val="baseline"/>
        <w:rPr>
          <w:rFonts w:eastAsia="Times New Roman" w:cstheme="minorHAnsi"/>
        </w:rPr>
      </w:pPr>
      <w:r w:rsidRPr="00AB64F9">
        <w:rPr>
          <w:rFonts w:eastAsia="Times New Roman" w:cstheme="minorHAnsi"/>
        </w:rPr>
        <w:t>Estimate of Agency/Permitting Authority Burden and Costs for NO</w:t>
      </w:r>
      <w:r w:rsidRPr="00AB64F9">
        <w:rPr>
          <w:rFonts w:eastAsia="Times New Roman" w:cstheme="minorHAnsi"/>
          <w:vertAlign w:val="subscript"/>
        </w:rPr>
        <w:t>X</w:t>
      </w:r>
      <w:r w:rsidRPr="00AB64F9">
        <w:rPr>
          <w:rFonts w:eastAsia="Times New Roman" w:cstheme="minorHAnsi"/>
        </w:rPr>
        <w:t> </w:t>
      </w:r>
    </w:p>
    <w:p w:rsidR="00F8510C" w:rsidRPr="00001D40" w:rsidP="00AB64F9" w14:paraId="1B0B96C1" w14:textId="265DB686">
      <w:pPr>
        <w:pStyle w:val="ListParagraph"/>
        <w:numPr>
          <w:ilvl w:val="2"/>
          <w:numId w:val="27"/>
        </w:numPr>
        <w:spacing w:after="0" w:line="276" w:lineRule="auto"/>
        <w:textAlignment w:val="baseline"/>
        <w:rPr>
          <w:rFonts w:eastAsia="Times New Roman" w:cstheme="minorHAnsi"/>
        </w:rPr>
      </w:pPr>
      <w:r w:rsidRPr="00001D40">
        <w:rPr>
          <w:rFonts w:eastAsia="Times New Roman" w:cstheme="minorHAnsi"/>
        </w:rPr>
        <w:t xml:space="preserve">Table </w:t>
      </w:r>
      <w:r w:rsidRPr="00001D40" w:rsidR="00C34DD9">
        <w:rPr>
          <w:rFonts w:eastAsia="Times New Roman" w:cstheme="minorHAnsi"/>
        </w:rPr>
        <w:t>14.</w:t>
      </w:r>
      <w:r w:rsidRPr="00001D40">
        <w:rPr>
          <w:rFonts w:eastAsia="Times New Roman" w:cstheme="minorHAnsi"/>
        </w:rPr>
        <w:t>7</w:t>
      </w:r>
      <w:r w:rsidRPr="00001D40">
        <w:rPr>
          <w:rFonts w:eastAsia="Times New Roman" w:cstheme="minorHAnsi"/>
        </w:rPr>
        <w:t xml:space="preserve"> presents the burden and costs to EPA for NO</w:t>
      </w:r>
      <w:r w:rsidRPr="00001D40">
        <w:rPr>
          <w:rFonts w:eastAsia="Times New Roman" w:cstheme="minorHAnsi"/>
          <w:vertAlign w:val="subscript"/>
        </w:rPr>
        <w:t>X</w:t>
      </w:r>
      <w:r w:rsidRPr="00001D40">
        <w:rPr>
          <w:rFonts w:eastAsia="Times New Roman" w:cstheme="minorHAnsi"/>
        </w:rPr>
        <w:t xml:space="preserve"> permitting. The total annual burden and cost for renewing and revising NO</w:t>
      </w:r>
      <w:r w:rsidRPr="00001D40">
        <w:rPr>
          <w:rFonts w:eastAsia="Times New Roman" w:cstheme="minorHAnsi"/>
          <w:vertAlign w:val="subscript"/>
        </w:rPr>
        <w:t>X</w:t>
      </w:r>
      <w:r w:rsidRPr="00001D40">
        <w:rPr>
          <w:rFonts w:eastAsia="Times New Roman" w:cstheme="minorHAnsi"/>
        </w:rPr>
        <w:t xml:space="preserve"> compliance plans is estimated at 85 hours and </w:t>
      </w:r>
      <w:r w:rsidR="00EE195D">
        <w:rPr>
          <w:rFonts w:eastAsia="Times New Roman" w:cstheme="minorHAnsi"/>
        </w:rPr>
        <w:t>$</w:t>
      </w:r>
      <w:r w:rsidR="000F2BEB">
        <w:rPr>
          <w:rFonts w:eastAsia="Times New Roman" w:cstheme="minorHAnsi"/>
        </w:rPr>
        <w:t>8,032.50</w:t>
      </w:r>
      <w:r w:rsidRPr="00001D40">
        <w:rPr>
          <w:rFonts w:eastAsia="Times New Roman" w:cstheme="minorHAnsi"/>
        </w:rPr>
        <w:t>, respectively. The tasks involved in reviewing applications will include reviewing forms for completeness and entering the revised data from the plans into a NO</w:t>
      </w:r>
      <w:r w:rsidRPr="00001D40">
        <w:rPr>
          <w:rFonts w:eastAsia="Times New Roman" w:cstheme="minorHAnsi"/>
          <w:vertAlign w:val="subscript"/>
        </w:rPr>
        <w:t>X</w:t>
      </w:r>
      <w:r w:rsidRPr="00001D40">
        <w:rPr>
          <w:rFonts w:eastAsia="Times New Roman" w:cstheme="minorHAnsi"/>
        </w:rPr>
        <w:t xml:space="preserve"> compliance database. </w:t>
      </w:r>
    </w:p>
    <w:p w:rsidR="00F8510C" w:rsidRPr="00F8510C" w:rsidP="00001D40" w14:paraId="26A33378" w14:textId="77777777">
      <w:pPr>
        <w:spacing w:after="0" w:line="276" w:lineRule="auto"/>
        <w:jc w:val="center"/>
        <w:textAlignment w:val="baseline"/>
        <w:rPr>
          <w:rFonts w:eastAsia="Times New Roman" w:cstheme="minorHAnsi"/>
        </w:rPr>
      </w:pPr>
      <w:r w:rsidRPr="00F8510C">
        <w:rPr>
          <w:rFonts w:eastAsia="Times New Roman" w:cstheme="minorHAnsi"/>
        </w:rPr>
        <w:t> </w:t>
      </w:r>
    </w:p>
    <w:p w:rsidR="00F8510C" w:rsidRPr="00FA3AF2" w:rsidP="00FA3AF2" w14:paraId="40FB42C2" w14:textId="07C5788C">
      <w:pPr>
        <w:spacing w:after="0" w:line="276" w:lineRule="auto"/>
        <w:jc w:val="center"/>
        <w:textAlignment w:val="baseline"/>
        <w:rPr>
          <w:rFonts w:eastAsia="Times New Roman" w:cstheme="minorHAnsi"/>
          <w:b/>
          <w:bCs/>
        </w:rPr>
      </w:pPr>
      <w:r w:rsidRPr="000F2BEB">
        <w:rPr>
          <w:rFonts w:eastAsia="Times New Roman" w:cstheme="minorHAnsi"/>
          <w:b/>
          <w:bCs/>
        </w:rPr>
        <w:t xml:space="preserve">Table </w:t>
      </w:r>
      <w:r w:rsidRPr="000F2BEB" w:rsidR="00C34DD9">
        <w:rPr>
          <w:rFonts w:eastAsia="Times New Roman" w:cstheme="minorHAnsi"/>
          <w:b/>
          <w:bCs/>
        </w:rPr>
        <w:t>14.</w:t>
      </w:r>
      <w:r w:rsidRPr="000F2BEB">
        <w:rPr>
          <w:rFonts w:eastAsia="Times New Roman" w:cstheme="minorHAnsi"/>
          <w:b/>
          <w:bCs/>
        </w:rPr>
        <w:t>7: Agency Burden/Cost Estimates for NO</w:t>
      </w:r>
      <w:r w:rsidRPr="000F2BEB">
        <w:rPr>
          <w:rFonts w:eastAsia="Times New Roman" w:cstheme="minorHAnsi"/>
          <w:b/>
          <w:bCs/>
          <w:vertAlign w:val="subscript"/>
        </w:rPr>
        <w:t>x</w:t>
      </w:r>
      <w:r w:rsidRPr="000F2BEB">
        <w:rPr>
          <w:rFonts w:eastAsia="Times New Roman" w:cstheme="minorHAnsi"/>
          <w:b/>
          <w:bCs/>
        </w:rPr>
        <w:t xml:space="preserve"> Permitting</w:t>
      </w:r>
      <w:r w:rsidRPr="00F8510C">
        <w:rPr>
          <w:rFonts w:eastAsia="Times New Roman"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0"/>
        <w:gridCol w:w="1706"/>
        <w:gridCol w:w="1438"/>
        <w:gridCol w:w="1614"/>
        <w:gridCol w:w="1346"/>
      </w:tblGrid>
      <w:tr w14:paraId="2038A6D0" w14:textId="77777777" w:rsidTr="00092374">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25" w:type="dxa"/>
            <w:tcBorders>
              <w:top w:val="double" w:sz="6" w:space="0" w:color="auto"/>
              <w:left w:val="double" w:sz="6" w:space="0" w:color="auto"/>
              <w:bottom w:val="single" w:sz="6" w:space="0" w:color="auto"/>
              <w:right w:val="nil"/>
            </w:tcBorders>
            <w:shd w:val="clear" w:color="auto" w:fill="auto"/>
            <w:vAlign w:val="bottom"/>
            <w:hideMark/>
          </w:tcPr>
          <w:p w:rsidR="00F8510C" w:rsidRPr="00F8510C" w:rsidP="00001D40" w14:paraId="023CDFBA" w14:textId="77777777">
            <w:pPr>
              <w:spacing w:after="0" w:line="276" w:lineRule="auto"/>
              <w:jc w:val="center"/>
              <w:textAlignment w:val="baseline"/>
              <w:rPr>
                <w:rFonts w:eastAsia="Times New Roman" w:cstheme="minorHAnsi"/>
              </w:rPr>
            </w:pPr>
            <w:r w:rsidRPr="00F8510C">
              <w:rPr>
                <w:rFonts w:eastAsia="Times New Roman" w:cstheme="minorHAnsi"/>
                <w:b/>
                <w:bCs/>
              </w:rPr>
              <w:t>Tasks</w:t>
            </w:r>
            <w:r w:rsidRPr="00F8510C">
              <w:rPr>
                <w:rFonts w:eastAsia="Times New Roman" w:cstheme="minorHAnsi"/>
              </w:rPr>
              <w:t> </w:t>
            </w:r>
          </w:p>
        </w:tc>
        <w:tc>
          <w:tcPr>
            <w:tcW w:w="1710" w:type="dxa"/>
            <w:tcBorders>
              <w:top w:val="double" w:sz="6" w:space="0" w:color="auto"/>
              <w:left w:val="single" w:sz="6" w:space="0" w:color="auto"/>
              <w:bottom w:val="single" w:sz="6" w:space="0" w:color="auto"/>
              <w:right w:val="nil"/>
            </w:tcBorders>
            <w:shd w:val="clear" w:color="auto" w:fill="auto"/>
            <w:vAlign w:val="bottom"/>
            <w:hideMark/>
          </w:tcPr>
          <w:p w:rsidR="00F8510C" w:rsidRPr="00F8510C" w:rsidP="00001D40" w14:paraId="745F8E7A" w14:textId="77777777">
            <w:pPr>
              <w:spacing w:after="0" w:line="276" w:lineRule="auto"/>
              <w:jc w:val="center"/>
              <w:textAlignment w:val="baseline"/>
              <w:rPr>
                <w:rFonts w:eastAsia="Times New Roman" w:cstheme="minorHAnsi"/>
              </w:rPr>
            </w:pPr>
            <w:r w:rsidRPr="00F8510C">
              <w:rPr>
                <w:rFonts w:eastAsia="Times New Roman" w:cstheme="minorHAnsi"/>
                <w:b/>
                <w:bCs/>
              </w:rPr>
              <w:t>Burden hours per occurrence</w:t>
            </w:r>
            <w:r w:rsidRPr="00F8510C">
              <w:rPr>
                <w:rFonts w:eastAsia="Times New Roman" w:cstheme="minorHAnsi"/>
              </w:rPr>
              <w:t> </w:t>
            </w:r>
          </w:p>
        </w:tc>
        <w:tc>
          <w:tcPr>
            <w:tcW w:w="1425" w:type="dxa"/>
            <w:tcBorders>
              <w:top w:val="double" w:sz="6" w:space="0" w:color="auto"/>
              <w:left w:val="single" w:sz="6" w:space="0" w:color="auto"/>
              <w:bottom w:val="single" w:sz="6" w:space="0" w:color="auto"/>
              <w:right w:val="nil"/>
            </w:tcBorders>
            <w:shd w:val="clear" w:color="auto" w:fill="auto"/>
            <w:vAlign w:val="bottom"/>
            <w:hideMark/>
          </w:tcPr>
          <w:p w:rsidR="00F8510C" w:rsidRPr="00F8510C" w:rsidP="00001D40" w14:paraId="10E9C919" w14:textId="081BF3D5">
            <w:pPr>
              <w:spacing w:after="0" w:line="276" w:lineRule="auto"/>
              <w:jc w:val="center"/>
              <w:textAlignment w:val="baseline"/>
              <w:rPr>
                <w:rFonts w:eastAsia="Times New Roman" w:cstheme="minorHAnsi"/>
              </w:rPr>
            </w:pPr>
            <w:r w:rsidRPr="00F8510C">
              <w:rPr>
                <w:rFonts w:eastAsia="Times New Roman" w:cstheme="minorHAnsi"/>
                <w:b/>
                <w:bCs/>
              </w:rPr>
              <w:t xml:space="preserve">Cost per </w:t>
            </w:r>
            <w:r w:rsidRPr="00F8510C" w:rsidR="00071C7B">
              <w:rPr>
                <w:rFonts w:eastAsia="Times New Roman" w:cstheme="minorHAnsi"/>
                <w:b/>
                <w:bCs/>
              </w:rPr>
              <w:t>occurrence</w:t>
            </w:r>
            <w:r w:rsidRPr="00F8510C">
              <w:rPr>
                <w:rFonts w:eastAsia="Times New Roman" w:cstheme="minorHAnsi"/>
              </w:rPr>
              <w:t> </w:t>
            </w:r>
          </w:p>
        </w:tc>
        <w:tc>
          <w:tcPr>
            <w:tcW w:w="1620" w:type="dxa"/>
            <w:tcBorders>
              <w:top w:val="double" w:sz="6" w:space="0" w:color="auto"/>
              <w:left w:val="single" w:sz="6" w:space="0" w:color="auto"/>
              <w:bottom w:val="single" w:sz="6" w:space="0" w:color="auto"/>
              <w:right w:val="nil"/>
            </w:tcBorders>
            <w:shd w:val="clear" w:color="auto" w:fill="auto"/>
            <w:vAlign w:val="bottom"/>
            <w:hideMark/>
          </w:tcPr>
          <w:p w:rsidR="00F8510C" w:rsidRPr="00F8510C" w:rsidP="00001D40" w14:paraId="73D48857" w14:textId="77777777">
            <w:pPr>
              <w:spacing w:after="0" w:line="276" w:lineRule="auto"/>
              <w:jc w:val="center"/>
              <w:textAlignment w:val="baseline"/>
              <w:rPr>
                <w:rFonts w:eastAsia="Times New Roman" w:cstheme="minorHAnsi"/>
              </w:rPr>
            </w:pPr>
            <w:r w:rsidRPr="00F8510C">
              <w:rPr>
                <w:rFonts w:eastAsia="Times New Roman" w:cstheme="minorHAnsi"/>
                <w:b/>
                <w:bCs/>
              </w:rPr>
              <w:t>Total burden (hours)</w:t>
            </w:r>
            <w:r w:rsidRPr="00F8510C">
              <w:rPr>
                <w:rFonts w:eastAsia="Times New Roman" w:cstheme="minorHAnsi"/>
              </w:rPr>
              <w:t> </w:t>
            </w:r>
          </w:p>
        </w:tc>
        <w:tc>
          <w:tcPr>
            <w:tcW w:w="1350" w:type="dxa"/>
            <w:tcBorders>
              <w:top w:val="double" w:sz="6" w:space="0" w:color="auto"/>
              <w:left w:val="single" w:sz="6" w:space="0" w:color="auto"/>
              <w:bottom w:val="single" w:sz="6" w:space="0" w:color="auto"/>
              <w:right w:val="double" w:sz="6" w:space="0" w:color="auto"/>
            </w:tcBorders>
            <w:shd w:val="clear" w:color="auto" w:fill="auto"/>
            <w:vAlign w:val="bottom"/>
            <w:hideMark/>
          </w:tcPr>
          <w:p w:rsidR="00F8510C" w:rsidRPr="00F8510C" w:rsidP="00001D40" w14:paraId="3B7F5DA7" w14:textId="77777777">
            <w:pPr>
              <w:spacing w:after="0" w:line="276" w:lineRule="auto"/>
              <w:jc w:val="center"/>
              <w:textAlignment w:val="baseline"/>
              <w:rPr>
                <w:rFonts w:eastAsia="Times New Roman" w:cstheme="minorHAnsi"/>
              </w:rPr>
            </w:pPr>
            <w:r w:rsidRPr="00F8510C">
              <w:rPr>
                <w:rFonts w:eastAsia="Times New Roman" w:cstheme="minorHAnsi"/>
                <w:b/>
                <w:bCs/>
              </w:rPr>
              <w:t>Total cost</w:t>
            </w:r>
            <w:r w:rsidRPr="00F8510C">
              <w:rPr>
                <w:rFonts w:eastAsia="Times New Roman" w:cstheme="minorHAnsi"/>
              </w:rPr>
              <w:t> </w:t>
            </w:r>
          </w:p>
        </w:tc>
      </w:tr>
      <w:tr w14:paraId="34B43088" w14:textId="77777777" w:rsidTr="00092374">
        <w:tblPrEx>
          <w:tblW w:w="0" w:type="dxa"/>
          <w:tblCellMar>
            <w:left w:w="0" w:type="dxa"/>
            <w:right w:w="0" w:type="dxa"/>
          </w:tblCellMar>
          <w:tblLook w:val="04A0"/>
        </w:tblPrEx>
        <w:trPr>
          <w:trHeight w:val="300"/>
        </w:trPr>
        <w:tc>
          <w:tcPr>
            <w:tcW w:w="3225" w:type="dxa"/>
            <w:tcBorders>
              <w:top w:val="single" w:sz="6" w:space="0" w:color="auto"/>
              <w:left w:val="double" w:sz="6" w:space="0" w:color="auto"/>
              <w:bottom w:val="single" w:sz="4" w:space="0" w:color="auto"/>
              <w:right w:val="nil"/>
            </w:tcBorders>
            <w:shd w:val="clear" w:color="auto" w:fill="auto"/>
            <w:hideMark/>
          </w:tcPr>
          <w:p w:rsidR="00F8510C" w:rsidRPr="00F8510C" w:rsidP="00001D40" w14:paraId="3864368E" w14:textId="77777777">
            <w:pPr>
              <w:spacing w:after="0" w:line="276" w:lineRule="auto"/>
              <w:textAlignment w:val="baseline"/>
              <w:rPr>
                <w:rFonts w:eastAsia="Times New Roman" w:cstheme="minorHAnsi"/>
              </w:rPr>
            </w:pPr>
            <w:r w:rsidRPr="00F8510C">
              <w:rPr>
                <w:rFonts w:eastAsia="Times New Roman" w:cstheme="minorHAnsi"/>
              </w:rPr>
              <w:t>Renew NO</w:t>
            </w:r>
            <w:r w:rsidRPr="00F8510C">
              <w:rPr>
                <w:rFonts w:eastAsia="Times New Roman" w:cstheme="minorHAnsi"/>
                <w:vertAlign w:val="subscript"/>
              </w:rPr>
              <w:t>X</w:t>
            </w:r>
            <w:r w:rsidRPr="00F8510C">
              <w:rPr>
                <w:rFonts w:eastAsia="Times New Roman" w:cstheme="minorHAnsi"/>
              </w:rPr>
              <w:t xml:space="preserve"> compliance </w:t>
            </w:r>
            <w:r w:rsidRPr="00F8510C">
              <w:rPr>
                <w:rFonts w:eastAsia="Times New Roman" w:cstheme="minorHAnsi"/>
              </w:rPr>
              <w:t>plans.</w:t>
            </w:r>
            <w:r w:rsidRPr="00F8510C">
              <w:rPr>
                <w:rFonts w:eastAsia="Times New Roman" w:cstheme="minorHAnsi"/>
                <w:vertAlign w:val="superscript"/>
              </w:rPr>
              <w:t>b</w:t>
            </w:r>
            <w:r w:rsidRPr="00F8510C">
              <w:rPr>
                <w:rFonts w:eastAsia="Times New Roman" w:cstheme="minorHAnsi"/>
              </w:rPr>
              <w:t> </w:t>
            </w:r>
          </w:p>
        </w:tc>
        <w:tc>
          <w:tcPr>
            <w:tcW w:w="1710" w:type="dxa"/>
            <w:tcBorders>
              <w:top w:val="single" w:sz="6" w:space="0" w:color="auto"/>
              <w:left w:val="single" w:sz="6" w:space="0" w:color="auto"/>
              <w:bottom w:val="single" w:sz="4" w:space="0" w:color="auto"/>
              <w:right w:val="nil"/>
            </w:tcBorders>
            <w:shd w:val="clear" w:color="auto" w:fill="auto"/>
            <w:vAlign w:val="bottom"/>
            <w:hideMark/>
          </w:tcPr>
          <w:p w:rsidR="00F8510C" w:rsidRPr="00F8510C" w:rsidP="00001D40" w14:paraId="778DB9E1" w14:textId="77777777">
            <w:pPr>
              <w:spacing w:after="0" w:line="276" w:lineRule="auto"/>
              <w:jc w:val="center"/>
              <w:textAlignment w:val="baseline"/>
              <w:rPr>
                <w:rFonts w:eastAsia="Times New Roman" w:cstheme="minorHAnsi"/>
              </w:rPr>
            </w:pPr>
            <w:r w:rsidRPr="00F8510C">
              <w:rPr>
                <w:rFonts w:eastAsia="Times New Roman" w:cstheme="minorHAnsi"/>
              </w:rPr>
              <w:t>0.5 </w:t>
            </w:r>
          </w:p>
        </w:tc>
        <w:tc>
          <w:tcPr>
            <w:tcW w:w="1425" w:type="dxa"/>
            <w:tcBorders>
              <w:top w:val="single" w:sz="6" w:space="0" w:color="auto"/>
              <w:left w:val="single" w:sz="6" w:space="0" w:color="auto"/>
              <w:bottom w:val="single" w:sz="4" w:space="0" w:color="auto"/>
              <w:right w:val="nil"/>
            </w:tcBorders>
            <w:shd w:val="clear" w:color="auto" w:fill="auto"/>
            <w:vAlign w:val="center"/>
            <w:hideMark/>
          </w:tcPr>
          <w:p w:rsidR="00F8510C" w:rsidRPr="00F8510C" w:rsidP="00001D40" w14:paraId="1320D3D8" w14:textId="007F9486">
            <w:pPr>
              <w:spacing w:after="0" w:line="276" w:lineRule="auto"/>
              <w:jc w:val="center"/>
              <w:textAlignment w:val="baseline"/>
              <w:rPr>
                <w:rFonts w:eastAsia="Times New Roman" w:cstheme="minorHAnsi"/>
              </w:rPr>
            </w:pPr>
            <w:r w:rsidRPr="00F8510C">
              <w:rPr>
                <w:rFonts w:eastAsia="Times New Roman" w:cstheme="minorHAnsi"/>
                <w:color w:val="000000"/>
              </w:rPr>
              <w:t>$</w:t>
            </w:r>
            <w:r w:rsidR="00071C7B">
              <w:rPr>
                <w:rFonts w:eastAsia="Times New Roman" w:cstheme="minorHAnsi"/>
                <w:color w:val="000000"/>
              </w:rPr>
              <w:t>47.25</w:t>
            </w:r>
            <w:r w:rsidRPr="00F8510C">
              <w:rPr>
                <w:rFonts w:eastAsia="Times New Roman" w:cstheme="minorHAnsi"/>
                <w:color w:val="000000"/>
              </w:rPr>
              <w:t>  </w:t>
            </w:r>
          </w:p>
        </w:tc>
        <w:tc>
          <w:tcPr>
            <w:tcW w:w="1620" w:type="dxa"/>
            <w:tcBorders>
              <w:top w:val="single" w:sz="6" w:space="0" w:color="auto"/>
              <w:left w:val="single" w:sz="6" w:space="0" w:color="auto"/>
              <w:bottom w:val="single" w:sz="4" w:space="0" w:color="auto"/>
              <w:right w:val="nil"/>
            </w:tcBorders>
            <w:shd w:val="clear" w:color="auto" w:fill="auto"/>
            <w:vAlign w:val="center"/>
            <w:hideMark/>
          </w:tcPr>
          <w:p w:rsidR="00F8510C" w:rsidRPr="00F8510C" w:rsidP="00001D40" w14:paraId="6D6BB68B" w14:textId="29B020B2">
            <w:pPr>
              <w:spacing w:after="0" w:line="276" w:lineRule="auto"/>
              <w:jc w:val="center"/>
              <w:textAlignment w:val="baseline"/>
              <w:rPr>
                <w:rFonts w:eastAsia="Times New Roman" w:cstheme="minorHAnsi"/>
              </w:rPr>
            </w:pPr>
            <w:r>
              <w:rPr>
                <w:rFonts w:eastAsia="Times New Roman" w:cstheme="minorHAnsi"/>
                <w:color w:val="000000"/>
              </w:rPr>
              <w:t>43</w:t>
            </w:r>
            <w:r w:rsidRPr="00F8510C">
              <w:rPr>
                <w:rFonts w:eastAsia="Times New Roman" w:cstheme="minorHAnsi"/>
                <w:color w:val="000000"/>
              </w:rPr>
              <w:t> </w:t>
            </w:r>
          </w:p>
        </w:tc>
        <w:tc>
          <w:tcPr>
            <w:tcW w:w="1350" w:type="dxa"/>
            <w:tcBorders>
              <w:top w:val="single" w:sz="6" w:space="0" w:color="auto"/>
              <w:left w:val="single" w:sz="6" w:space="0" w:color="auto"/>
              <w:bottom w:val="single" w:sz="4" w:space="0" w:color="auto"/>
              <w:right w:val="double" w:sz="6" w:space="0" w:color="auto"/>
            </w:tcBorders>
            <w:shd w:val="clear" w:color="auto" w:fill="auto"/>
            <w:vAlign w:val="center"/>
            <w:hideMark/>
          </w:tcPr>
          <w:p w:rsidR="00F8510C" w:rsidRPr="00F8510C" w:rsidP="00001D40" w14:paraId="5846F1B9" w14:textId="6B526E57">
            <w:pPr>
              <w:spacing w:after="0" w:line="276" w:lineRule="auto"/>
              <w:jc w:val="center"/>
              <w:textAlignment w:val="baseline"/>
              <w:rPr>
                <w:rFonts w:eastAsia="Times New Roman" w:cstheme="minorHAnsi"/>
              </w:rPr>
            </w:pPr>
            <w:r w:rsidRPr="00F8510C">
              <w:rPr>
                <w:rFonts w:eastAsia="Times New Roman" w:cstheme="minorHAnsi"/>
                <w:color w:val="000000"/>
              </w:rPr>
              <w:t>$</w:t>
            </w:r>
            <w:r w:rsidR="002B76DC">
              <w:rPr>
                <w:rFonts w:eastAsia="Times New Roman" w:cstheme="minorHAnsi"/>
                <w:color w:val="000000"/>
              </w:rPr>
              <w:t>4,063</w:t>
            </w:r>
            <w:r w:rsidRPr="00F8510C">
              <w:rPr>
                <w:rFonts w:eastAsia="Times New Roman" w:cstheme="minorHAnsi"/>
                <w:color w:val="000000"/>
              </w:rPr>
              <w:t> </w:t>
            </w:r>
          </w:p>
        </w:tc>
      </w:tr>
      <w:tr w14:paraId="2AD15BAD" w14:textId="77777777" w:rsidTr="00092374">
        <w:tblPrEx>
          <w:tblW w:w="0" w:type="dxa"/>
          <w:tblCellMar>
            <w:left w:w="0" w:type="dxa"/>
            <w:right w:w="0" w:type="dxa"/>
          </w:tblCellMar>
          <w:tblLook w:val="04A0"/>
        </w:tblPrEx>
        <w:trPr>
          <w:trHeight w:val="300"/>
        </w:trPr>
        <w:tc>
          <w:tcPr>
            <w:tcW w:w="3225" w:type="dxa"/>
            <w:tcBorders>
              <w:top w:val="single" w:sz="4" w:space="0" w:color="auto"/>
              <w:left w:val="double" w:sz="6" w:space="0" w:color="auto"/>
              <w:bottom w:val="double" w:sz="6" w:space="0" w:color="auto"/>
              <w:right w:val="nil"/>
            </w:tcBorders>
            <w:shd w:val="clear" w:color="auto" w:fill="auto"/>
            <w:hideMark/>
          </w:tcPr>
          <w:p w:rsidR="00F8510C" w:rsidRPr="00F8510C" w:rsidP="00001D40" w14:paraId="7FB6A193" w14:textId="77777777">
            <w:pPr>
              <w:spacing w:after="0" w:line="276" w:lineRule="auto"/>
              <w:textAlignment w:val="baseline"/>
              <w:rPr>
                <w:rFonts w:eastAsia="Times New Roman" w:cstheme="minorHAnsi"/>
              </w:rPr>
            </w:pPr>
            <w:r w:rsidRPr="00F8510C">
              <w:rPr>
                <w:rFonts w:eastAsia="Times New Roman" w:cstheme="minorHAnsi"/>
              </w:rPr>
              <w:t>Revise NO</w:t>
            </w:r>
            <w:r w:rsidRPr="00F8510C">
              <w:rPr>
                <w:rFonts w:eastAsia="Times New Roman" w:cstheme="minorHAnsi"/>
                <w:vertAlign w:val="subscript"/>
              </w:rPr>
              <w:t>X</w:t>
            </w:r>
            <w:r w:rsidRPr="00F8510C">
              <w:rPr>
                <w:rFonts w:eastAsia="Times New Roman" w:cstheme="minorHAnsi"/>
              </w:rPr>
              <w:t xml:space="preserve"> emissions averaging </w:t>
            </w:r>
            <w:r w:rsidRPr="00F8510C">
              <w:rPr>
                <w:rFonts w:eastAsia="Times New Roman" w:cstheme="minorHAnsi"/>
              </w:rPr>
              <w:t>plans.</w:t>
            </w:r>
            <w:r w:rsidRPr="00F8510C">
              <w:rPr>
                <w:rFonts w:eastAsia="Times New Roman" w:cstheme="minorHAnsi"/>
                <w:vertAlign w:val="superscript"/>
              </w:rPr>
              <w:t>c</w:t>
            </w:r>
            <w:r w:rsidRPr="00F8510C">
              <w:rPr>
                <w:rFonts w:eastAsia="Times New Roman" w:cstheme="minorHAnsi"/>
              </w:rPr>
              <w:t> </w:t>
            </w:r>
          </w:p>
        </w:tc>
        <w:tc>
          <w:tcPr>
            <w:tcW w:w="1710" w:type="dxa"/>
            <w:tcBorders>
              <w:top w:val="single" w:sz="4" w:space="0" w:color="auto"/>
              <w:left w:val="single" w:sz="6" w:space="0" w:color="auto"/>
              <w:bottom w:val="double" w:sz="6" w:space="0" w:color="auto"/>
              <w:right w:val="nil"/>
            </w:tcBorders>
            <w:shd w:val="clear" w:color="auto" w:fill="auto"/>
            <w:vAlign w:val="bottom"/>
            <w:hideMark/>
          </w:tcPr>
          <w:p w:rsidR="00F8510C" w:rsidRPr="00F8510C" w:rsidP="00001D40" w14:paraId="1C61923E" w14:textId="77777777">
            <w:pPr>
              <w:spacing w:after="0" w:line="276" w:lineRule="auto"/>
              <w:jc w:val="center"/>
              <w:textAlignment w:val="baseline"/>
              <w:rPr>
                <w:rFonts w:eastAsia="Times New Roman" w:cstheme="minorHAnsi"/>
              </w:rPr>
            </w:pPr>
            <w:r w:rsidRPr="00F8510C">
              <w:rPr>
                <w:rFonts w:eastAsia="Times New Roman" w:cstheme="minorHAnsi"/>
              </w:rPr>
              <w:t>1  </w:t>
            </w:r>
          </w:p>
        </w:tc>
        <w:tc>
          <w:tcPr>
            <w:tcW w:w="1425" w:type="dxa"/>
            <w:tcBorders>
              <w:top w:val="single" w:sz="4" w:space="0" w:color="auto"/>
              <w:left w:val="single" w:sz="6" w:space="0" w:color="auto"/>
              <w:bottom w:val="double" w:sz="6" w:space="0" w:color="auto"/>
              <w:right w:val="nil"/>
            </w:tcBorders>
            <w:shd w:val="clear" w:color="auto" w:fill="auto"/>
            <w:vAlign w:val="center"/>
            <w:hideMark/>
          </w:tcPr>
          <w:p w:rsidR="00092374" w:rsidP="00001D40" w14:paraId="0F4D4227" w14:textId="77777777">
            <w:pPr>
              <w:spacing w:after="0" w:line="276" w:lineRule="auto"/>
              <w:jc w:val="center"/>
              <w:textAlignment w:val="baseline"/>
              <w:rPr>
                <w:rFonts w:eastAsia="Times New Roman" w:cstheme="minorHAnsi"/>
                <w:color w:val="000000"/>
              </w:rPr>
            </w:pPr>
          </w:p>
          <w:p w:rsidR="00F8510C" w:rsidRPr="00F8510C" w:rsidP="00001D40" w14:paraId="66342884" w14:textId="4709CC58">
            <w:pPr>
              <w:spacing w:after="0" w:line="276" w:lineRule="auto"/>
              <w:jc w:val="center"/>
              <w:textAlignment w:val="baseline"/>
              <w:rPr>
                <w:rFonts w:eastAsia="Times New Roman" w:cstheme="minorHAnsi"/>
              </w:rPr>
            </w:pPr>
            <w:r w:rsidRPr="00F8510C">
              <w:rPr>
                <w:rFonts w:eastAsia="Times New Roman" w:cstheme="minorHAnsi"/>
                <w:color w:val="000000"/>
              </w:rPr>
              <w:t>$</w:t>
            </w:r>
            <w:r w:rsidR="00071C7B">
              <w:rPr>
                <w:rFonts w:eastAsia="Times New Roman" w:cstheme="minorHAnsi"/>
                <w:color w:val="000000"/>
              </w:rPr>
              <w:t>94.</w:t>
            </w:r>
            <w:r w:rsidR="004A5608">
              <w:rPr>
                <w:rFonts w:eastAsia="Times New Roman" w:cstheme="minorHAnsi"/>
                <w:color w:val="000000"/>
              </w:rPr>
              <w:t>49</w:t>
            </w:r>
            <w:r w:rsidRPr="00F8510C">
              <w:rPr>
                <w:rFonts w:eastAsia="Times New Roman" w:cstheme="minorHAnsi"/>
                <w:color w:val="000000"/>
              </w:rPr>
              <w:t>  </w:t>
            </w:r>
          </w:p>
        </w:tc>
        <w:tc>
          <w:tcPr>
            <w:tcW w:w="1620" w:type="dxa"/>
            <w:tcBorders>
              <w:top w:val="single" w:sz="4" w:space="0" w:color="auto"/>
              <w:left w:val="single" w:sz="6" w:space="0" w:color="auto"/>
              <w:bottom w:val="double" w:sz="6" w:space="0" w:color="auto"/>
              <w:right w:val="nil"/>
            </w:tcBorders>
            <w:shd w:val="clear" w:color="auto" w:fill="auto"/>
            <w:vAlign w:val="center"/>
            <w:hideMark/>
          </w:tcPr>
          <w:p w:rsidR="00092374" w:rsidP="00001D40" w14:paraId="7EBB7E88" w14:textId="77777777">
            <w:pPr>
              <w:spacing w:after="0" w:line="276" w:lineRule="auto"/>
              <w:jc w:val="center"/>
              <w:textAlignment w:val="baseline"/>
              <w:rPr>
                <w:rFonts w:eastAsia="Times New Roman" w:cstheme="minorHAnsi"/>
                <w:color w:val="000000"/>
              </w:rPr>
            </w:pPr>
          </w:p>
          <w:p w:rsidR="00F8510C" w:rsidRPr="00F8510C" w:rsidP="00001D40" w14:paraId="7A03418B" w14:textId="21EF91DD">
            <w:pPr>
              <w:spacing w:after="0" w:line="276" w:lineRule="auto"/>
              <w:jc w:val="center"/>
              <w:textAlignment w:val="baseline"/>
              <w:rPr>
                <w:rFonts w:eastAsia="Times New Roman" w:cstheme="minorHAnsi"/>
              </w:rPr>
            </w:pPr>
            <w:r w:rsidRPr="00F8510C">
              <w:rPr>
                <w:rFonts w:eastAsia="Times New Roman" w:cstheme="minorHAnsi"/>
                <w:color w:val="000000"/>
              </w:rPr>
              <w:t>27 </w:t>
            </w:r>
          </w:p>
        </w:tc>
        <w:tc>
          <w:tcPr>
            <w:tcW w:w="1350" w:type="dxa"/>
            <w:tcBorders>
              <w:top w:val="single" w:sz="4" w:space="0" w:color="auto"/>
              <w:left w:val="single" w:sz="6" w:space="0" w:color="auto"/>
              <w:bottom w:val="double" w:sz="6" w:space="0" w:color="auto"/>
              <w:right w:val="double" w:sz="6" w:space="0" w:color="auto"/>
            </w:tcBorders>
            <w:shd w:val="clear" w:color="auto" w:fill="auto"/>
            <w:vAlign w:val="center"/>
            <w:hideMark/>
          </w:tcPr>
          <w:p w:rsidR="00092374" w:rsidP="00001D40" w14:paraId="5B4ACD62" w14:textId="77777777">
            <w:pPr>
              <w:spacing w:after="0" w:line="276" w:lineRule="auto"/>
              <w:jc w:val="center"/>
              <w:textAlignment w:val="baseline"/>
              <w:rPr>
                <w:rFonts w:eastAsia="Times New Roman" w:cstheme="minorHAnsi"/>
                <w:color w:val="000000"/>
              </w:rPr>
            </w:pPr>
          </w:p>
          <w:p w:rsidR="00F8510C" w:rsidRPr="00F8510C" w:rsidP="00001D40" w14:paraId="69F6596B" w14:textId="09AC9E99">
            <w:pPr>
              <w:spacing w:after="0" w:line="276" w:lineRule="auto"/>
              <w:jc w:val="center"/>
              <w:textAlignment w:val="baseline"/>
              <w:rPr>
                <w:rFonts w:eastAsia="Times New Roman" w:cstheme="minorHAnsi"/>
              </w:rPr>
            </w:pPr>
            <w:r w:rsidRPr="00F8510C">
              <w:rPr>
                <w:rFonts w:eastAsia="Times New Roman" w:cstheme="minorHAnsi"/>
                <w:color w:val="000000"/>
              </w:rPr>
              <w:t>$</w:t>
            </w:r>
            <w:r w:rsidR="002B76DC">
              <w:rPr>
                <w:rFonts w:eastAsia="Times New Roman" w:cstheme="minorHAnsi"/>
                <w:color w:val="000000"/>
              </w:rPr>
              <w:t>1,984</w:t>
            </w:r>
            <w:r w:rsidRPr="00F8510C">
              <w:rPr>
                <w:rFonts w:eastAsia="Times New Roman" w:cstheme="minorHAnsi"/>
                <w:color w:val="000000"/>
              </w:rPr>
              <w:t>  </w:t>
            </w:r>
          </w:p>
        </w:tc>
      </w:tr>
      <w:tr w14:paraId="11E0D568" w14:textId="77777777" w:rsidTr="00F8510C">
        <w:tblPrEx>
          <w:tblW w:w="0" w:type="dxa"/>
          <w:tblCellMar>
            <w:left w:w="0" w:type="dxa"/>
            <w:right w:w="0" w:type="dxa"/>
          </w:tblCellMar>
          <w:tblLook w:val="04A0"/>
        </w:tblPrEx>
        <w:trPr>
          <w:trHeight w:val="300"/>
        </w:trPr>
        <w:tc>
          <w:tcPr>
            <w:tcW w:w="6375" w:type="dxa"/>
            <w:gridSpan w:val="3"/>
            <w:tcBorders>
              <w:top w:val="double" w:sz="6" w:space="0" w:color="auto"/>
              <w:left w:val="double" w:sz="6" w:space="0" w:color="auto"/>
              <w:bottom w:val="double" w:sz="6" w:space="0" w:color="auto"/>
              <w:right w:val="nil"/>
            </w:tcBorders>
            <w:shd w:val="clear" w:color="auto" w:fill="auto"/>
            <w:hideMark/>
          </w:tcPr>
          <w:p w:rsidR="00F8510C" w:rsidRPr="00F8510C" w:rsidP="00001D40" w14:paraId="3CB6D4B7" w14:textId="77777777">
            <w:pPr>
              <w:spacing w:after="0" w:line="276" w:lineRule="auto"/>
              <w:textAlignment w:val="baseline"/>
              <w:rPr>
                <w:rFonts w:eastAsia="Times New Roman" w:cstheme="minorHAnsi"/>
              </w:rPr>
            </w:pPr>
            <w:r w:rsidRPr="00F8510C">
              <w:rPr>
                <w:rFonts w:eastAsia="Times New Roman" w:cstheme="minorHAnsi"/>
                <w:b/>
                <w:bCs/>
              </w:rPr>
              <w:t>Totals</w:t>
            </w:r>
            <w:r w:rsidRPr="00F8510C">
              <w:rPr>
                <w:rFonts w:eastAsia="Times New Roman" w:cstheme="minorHAnsi"/>
              </w:rPr>
              <w:t> </w:t>
            </w:r>
          </w:p>
        </w:tc>
        <w:tc>
          <w:tcPr>
            <w:tcW w:w="1620" w:type="dxa"/>
            <w:tcBorders>
              <w:top w:val="double" w:sz="6" w:space="0" w:color="auto"/>
              <w:left w:val="single" w:sz="6" w:space="0" w:color="auto"/>
              <w:bottom w:val="double" w:sz="6" w:space="0" w:color="auto"/>
              <w:right w:val="nil"/>
            </w:tcBorders>
            <w:shd w:val="clear" w:color="auto" w:fill="auto"/>
            <w:vAlign w:val="bottom"/>
            <w:hideMark/>
          </w:tcPr>
          <w:p w:rsidR="00F8510C" w:rsidRPr="00F8510C" w:rsidP="00001D40" w14:paraId="4D0B344A" w14:textId="35CFE453">
            <w:pPr>
              <w:spacing w:after="0" w:line="276" w:lineRule="auto"/>
              <w:jc w:val="center"/>
              <w:textAlignment w:val="baseline"/>
              <w:rPr>
                <w:rFonts w:eastAsia="Times New Roman" w:cstheme="minorHAnsi"/>
              </w:rPr>
            </w:pPr>
            <w:r>
              <w:rPr>
                <w:rFonts w:eastAsia="Times New Roman" w:cstheme="minorHAnsi"/>
                <w:b/>
                <w:bCs/>
              </w:rPr>
              <w:t>64</w:t>
            </w:r>
            <w:r w:rsidRPr="00F8510C">
              <w:rPr>
                <w:rFonts w:eastAsia="Times New Roman" w:cstheme="minorHAnsi"/>
              </w:rPr>
              <w:t> </w:t>
            </w:r>
          </w:p>
        </w:tc>
        <w:tc>
          <w:tcPr>
            <w:tcW w:w="1350" w:type="dxa"/>
            <w:tcBorders>
              <w:top w:val="double" w:sz="6" w:space="0" w:color="auto"/>
              <w:left w:val="single" w:sz="6" w:space="0" w:color="auto"/>
              <w:bottom w:val="double" w:sz="6" w:space="0" w:color="auto"/>
              <w:right w:val="double" w:sz="6" w:space="0" w:color="auto"/>
            </w:tcBorders>
            <w:shd w:val="clear" w:color="auto" w:fill="auto"/>
            <w:hideMark/>
          </w:tcPr>
          <w:p w:rsidR="00F8510C" w:rsidRPr="00F8510C" w:rsidP="00001D40" w14:paraId="41E1E37C" w14:textId="6CADE419">
            <w:pPr>
              <w:spacing w:after="0" w:line="276" w:lineRule="auto"/>
              <w:jc w:val="center"/>
              <w:textAlignment w:val="baseline"/>
              <w:rPr>
                <w:rFonts w:eastAsia="Times New Roman" w:cstheme="minorHAnsi"/>
              </w:rPr>
            </w:pPr>
            <w:r w:rsidRPr="00F8510C">
              <w:rPr>
                <w:rFonts w:eastAsia="Times New Roman" w:cstheme="minorHAnsi"/>
                <w:b/>
                <w:bCs/>
              </w:rPr>
              <w:t>$</w:t>
            </w:r>
            <w:r w:rsidR="00DB009F">
              <w:rPr>
                <w:rFonts w:eastAsia="Times New Roman" w:cstheme="minorHAnsi"/>
                <w:b/>
                <w:bCs/>
              </w:rPr>
              <w:t>6,047</w:t>
            </w:r>
          </w:p>
        </w:tc>
      </w:tr>
    </w:tbl>
    <w:p w:rsidR="00627EED" w:rsidRPr="00001D40" w:rsidP="00001D40" w14:paraId="7A769043" w14:textId="5FAD18DE">
      <w:pPr>
        <w:spacing w:after="0" w:line="276" w:lineRule="auto"/>
        <w:textAlignment w:val="baseline"/>
        <w:rPr>
          <w:rFonts w:eastAsia="Times New Roman" w:cstheme="minorHAnsi"/>
          <w:sz w:val="18"/>
          <w:szCs w:val="18"/>
        </w:rPr>
      </w:pPr>
      <w:r w:rsidRPr="00F8510C">
        <w:rPr>
          <w:rFonts w:eastAsia="Times New Roman" w:cstheme="minorHAnsi"/>
          <w:sz w:val="18"/>
          <w:szCs w:val="18"/>
          <w:vertAlign w:val="superscript"/>
        </w:rPr>
        <w:t>a</w:t>
      </w:r>
      <w:r w:rsidRPr="00F8510C">
        <w:rPr>
          <w:rFonts w:eastAsia="Times New Roman" w:cstheme="minorHAnsi"/>
          <w:sz w:val="18"/>
          <w:szCs w:val="18"/>
        </w:rPr>
        <w:t>202</w:t>
      </w:r>
      <w:r w:rsidR="00EE195D">
        <w:rPr>
          <w:rFonts w:eastAsia="Times New Roman" w:cstheme="minorHAnsi"/>
          <w:sz w:val="18"/>
          <w:szCs w:val="18"/>
        </w:rPr>
        <w:t>4</w:t>
      </w:r>
      <w:r w:rsidRPr="00F8510C">
        <w:rPr>
          <w:rFonts w:eastAsia="Times New Roman" w:cstheme="minorHAnsi"/>
          <w:sz w:val="18"/>
          <w:szCs w:val="18"/>
        </w:rPr>
        <w:t xml:space="preserve"> dollars. </w:t>
      </w:r>
    </w:p>
    <w:p w:rsidR="00627EED" w:rsidRPr="00001D40" w:rsidP="00001D40" w14:paraId="2C9B9CD2" w14:textId="16B7355C">
      <w:pPr>
        <w:spacing w:after="0" w:line="276" w:lineRule="auto"/>
        <w:textAlignment w:val="baseline"/>
        <w:rPr>
          <w:rFonts w:eastAsia="Times New Roman" w:cstheme="minorHAnsi"/>
          <w:sz w:val="18"/>
          <w:szCs w:val="18"/>
        </w:rPr>
      </w:pPr>
      <w:r w:rsidRPr="00F8510C">
        <w:rPr>
          <w:rFonts w:eastAsia="Times New Roman" w:cstheme="minorHAnsi"/>
          <w:sz w:val="18"/>
          <w:szCs w:val="18"/>
          <w:vertAlign w:val="superscript"/>
        </w:rPr>
        <w:t>b</w:t>
      </w:r>
      <w:r w:rsidRPr="00F8510C">
        <w:rPr>
          <w:rFonts w:eastAsia="Times New Roman" w:cstheme="minorHAnsi"/>
          <w:sz w:val="18"/>
          <w:szCs w:val="18"/>
        </w:rPr>
        <w:t>Assumes</w:t>
      </w:r>
      <w:r w:rsidRPr="00F8510C">
        <w:rPr>
          <w:rFonts w:eastAsia="Times New Roman" w:cstheme="minorHAnsi"/>
          <w:sz w:val="18"/>
          <w:szCs w:val="18"/>
        </w:rPr>
        <w:t xml:space="preserve"> </w:t>
      </w:r>
      <w:r w:rsidR="004C4E62">
        <w:rPr>
          <w:rFonts w:eastAsia="Times New Roman" w:cstheme="minorHAnsi"/>
          <w:sz w:val="18"/>
          <w:szCs w:val="18"/>
        </w:rPr>
        <w:t>86</w:t>
      </w:r>
      <w:r w:rsidRPr="00F8510C">
        <w:rPr>
          <w:rFonts w:eastAsia="Times New Roman" w:cstheme="minorHAnsi"/>
          <w:sz w:val="18"/>
          <w:szCs w:val="18"/>
        </w:rPr>
        <w:t xml:space="preserve"> units (20 percent of all NO</w:t>
      </w:r>
      <w:r w:rsidRPr="00F8510C">
        <w:rPr>
          <w:rFonts w:eastAsia="Times New Roman" w:cstheme="minorHAnsi"/>
          <w:sz w:val="18"/>
          <w:szCs w:val="18"/>
          <w:vertAlign w:val="subscript"/>
        </w:rPr>
        <w:t>X</w:t>
      </w:r>
      <w:r w:rsidRPr="00F8510C">
        <w:rPr>
          <w:rFonts w:eastAsia="Times New Roman" w:cstheme="minorHAnsi"/>
          <w:sz w:val="18"/>
          <w:szCs w:val="18"/>
        </w:rPr>
        <w:t xml:space="preserve"> affected units) submit NO</w:t>
      </w:r>
      <w:r w:rsidRPr="00F8510C">
        <w:rPr>
          <w:rFonts w:eastAsia="Times New Roman" w:cstheme="minorHAnsi"/>
          <w:sz w:val="18"/>
          <w:szCs w:val="18"/>
          <w:vertAlign w:val="subscript"/>
        </w:rPr>
        <w:t>X</w:t>
      </w:r>
      <w:r w:rsidRPr="00F8510C">
        <w:rPr>
          <w:rFonts w:eastAsia="Times New Roman" w:cstheme="minorHAnsi"/>
          <w:sz w:val="18"/>
          <w:szCs w:val="18"/>
        </w:rPr>
        <w:t xml:space="preserve"> compliance plan renewals each year.   </w:t>
      </w:r>
    </w:p>
    <w:p w:rsidR="00F8510C" w:rsidRPr="00001D40" w:rsidP="00001D40" w14:paraId="79181CB6" w14:textId="38EF37E1">
      <w:pPr>
        <w:spacing w:after="0" w:line="276" w:lineRule="auto"/>
        <w:textAlignment w:val="baseline"/>
        <w:rPr>
          <w:rFonts w:eastAsia="Times New Roman" w:cstheme="minorHAnsi"/>
          <w:sz w:val="18"/>
          <w:szCs w:val="18"/>
        </w:rPr>
      </w:pPr>
      <w:r w:rsidRPr="00F8510C">
        <w:rPr>
          <w:rFonts w:eastAsia="Times New Roman" w:cstheme="minorHAnsi"/>
          <w:sz w:val="18"/>
          <w:szCs w:val="18"/>
          <w:vertAlign w:val="superscript"/>
        </w:rPr>
        <w:t>c</w:t>
      </w:r>
      <w:r w:rsidRPr="00F8510C">
        <w:rPr>
          <w:rFonts w:eastAsia="Times New Roman" w:cstheme="minorHAnsi"/>
          <w:sz w:val="18"/>
          <w:szCs w:val="18"/>
        </w:rPr>
        <w:t>Assumes</w:t>
      </w:r>
      <w:r w:rsidRPr="00F8510C">
        <w:rPr>
          <w:rFonts w:eastAsia="Times New Roman" w:cstheme="minorHAnsi"/>
          <w:sz w:val="18"/>
          <w:szCs w:val="18"/>
        </w:rPr>
        <w:t xml:space="preserve"> 2</w:t>
      </w:r>
      <w:r w:rsidR="004C4E62">
        <w:rPr>
          <w:rFonts w:eastAsia="Times New Roman" w:cstheme="minorHAnsi"/>
          <w:sz w:val="18"/>
          <w:szCs w:val="18"/>
        </w:rPr>
        <w:t>1</w:t>
      </w:r>
      <w:r w:rsidRPr="00F8510C">
        <w:rPr>
          <w:rFonts w:eastAsia="Times New Roman" w:cstheme="minorHAnsi"/>
          <w:sz w:val="18"/>
          <w:szCs w:val="18"/>
        </w:rPr>
        <w:t xml:space="preserve"> respondents revise emissions averaging plans each year. </w:t>
      </w:r>
    </w:p>
    <w:p w:rsidR="00C34DD9" w:rsidRPr="00001D40" w:rsidP="00001D40" w14:paraId="73D42DCA" w14:textId="77777777">
      <w:pPr>
        <w:spacing w:after="0" w:line="276" w:lineRule="auto"/>
        <w:textAlignment w:val="baseline"/>
        <w:rPr>
          <w:rFonts w:eastAsia="Times New Roman" w:cstheme="minorHAnsi"/>
          <w:sz w:val="18"/>
          <w:szCs w:val="18"/>
        </w:rPr>
      </w:pPr>
    </w:p>
    <w:p w:rsidR="00627EED" w:rsidP="00001D40" w14:paraId="563FD8A9" w14:textId="77777777">
      <w:pPr>
        <w:spacing w:after="0" w:line="276" w:lineRule="auto"/>
        <w:textAlignment w:val="baseline"/>
        <w:rPr>
          <w:rFonts w:eastAsia="Times New Roman" w:cstheme="minorHAnsi"/>
          <w:sz w:val="18"/>
          <w:szCs w:val="18"/>
        </w:rPr>
      </w:pPr>
    </w:p>
    <w:p w:rsidR="008230AA" w:rsidP="00001D40" w14:paraId="7F686B6A" w14:textId="77777777">
      <w:pPr>
        <w:spacing w:after="0" w:line="276" w:lineRule="auto"/>
        <w:textAlignment w:val="baseline"/>
        <w:rPr>
          <w:rFonts w:eastAsia="Times New Roman" w:cstheme="minorHAnsi"/>
          <w:sz w:val="18"/>
          <w:szCs w:val="18"/>
        </w:rPr>
      </w:pPr>
    </w:p>
    <w:p w:rsidR="008230AA" w:rsidRPr="00F8510C" w:rsidP="00001D40" w14:paraId="305315B7" w14:textId="77777777">
      <w:pPr>
        <w:spacing w:after="0" w:line="276" w:lineRule="auto"/>
        <w:textAlignment w:val="baseline"/>
        <w:rPr>
          <w:rFonts w:eastAsia="Times New Roman" w:cstheme="minorHAnsi"/>
          <w:sz w:val="18"/>
          <w:szCs w:val="18"/>
        </w:rPr>
      </w:pPr>
    </w:p>
    <w:p w:rsidR="00092EA3" w:rsidRPr="00F847E5" w:rsidP="00FA3AF2" w14:paraId="7162650F" w14:textId="23942FD7">
      <w:pPr>
        <w:spacing w:after="0" w:line="276" w:lineRule="auto"/>
        <w:jc w:val="center"/>
        <w:textAlignment w:val="baseline"/>
        <w:rPr>
          <w:rFonts w:eastAsia="Times New Roman" w:cstheme="minorHAnsi"/>
          <w:b/>
          <w:bCs/>
        </w:rPr>
      </w:pPr>
      <w:r w:rsidRPr="0058461E">
        <w:rPr>
          <w:rFonts w:eastAsia="Times New Roman" w:cstheme="minorHAnsi"/>
          <w:b/>
          <w:bCs/>
        </w:rPr>
        <w:t xml:space="preserve">Table </w:t>
      </w:r>
      <w:r w:rsidRPr="0058461E" w:rsidR="00FA3AF2">
        <w:rPr>
          <w:rFonts w:eastAsia="Times New Roman" w:cstheme="minorHAnsi"/>
          <w:b/>
          <w:bCs/>
        </w:rPr>
        <w:t>14.8</w:t>
      </w:r>
      <w:r w:rsidRPr="0058461E">
        <w:rPr>
          <w:rFonts w:eastAsia="Times New Roman" w:cstheme="minorHAnsi"/>
          <w:b/>
          <w:bCs/>
        </w:rPr>
        <w:t>: Aggregate Annual Agency Burden and Cost</w:t>
      </w:r>
    </w:p>
    <w:tbl>
      <w:tblPr>
        <w:tblW w:w="7245" w:type="dxa"/>
        <w:tblInd w:w="1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0"/>
        <w:gridCol w:w="2520"/>
        <w:gridCol w:w="2235"/>
      </w:tblGrid>
      <w:tr w14:paraId="63E96592" w14:textId="77777777" w:rsidTr="00DA340A">
        <w:tblPrEx>
          <w:tblW w:w="7245" w:type="dxa"/>
          <w:tblInd w:w="1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90" w:type="dxa"/>
            <w:tcBorders>
              <w:top w:val="double" w:sz="6" w:space="0" w:color="auto"/>
              <w:left w:val="double" w:sz="6" w:space="0" w:color="auto"/>
              <w:bottom w:val="double" w:sz="6" w:space="0" w:color="auto"/>
              <w:right w:val="nil"/>
            </w:tcBorders>
            <w:shd w:val="clear" w:color="auto" w:fill="E5E5E5"/>
            <w:vAlign w:val="center"/>
            <w:hideMark/>
          </w:tcPr>
          <w:p w:rsidR="00092EA3" w:rsidRPr="00092EA3" w:rsidP="00001D40" w14:paraId="66CBEEC7" w14:textId="77777777">
            <w:pPr>
              <w:spacing w:after="0" w:line="276" w:lineRule="auto"/>
              <w:jc w:val="center"/>
              <w:textAlignment w:val="baseline"/>
              <w:rPr>
                <w:rFonts w:eastAsia="Times New Roman" w:cstheme="minorHAnsi"/>
              </w:rPr>
            </w:pPr>
            <w:r w:rsidRPr="00092EA3">
              <w:rPr>
                <w:rFonts w:eastAsia="Times New Roman" w:cstheme="minorHAnsi"/>
                <w:b/>
                <w:bCs/>
                <w:color w:val="000000"/>
              </w:rPr>
              <w:t>Program element</w:t>
            </w:r>
            <w:r w:rsidRPr="00092EA3">
              <w:rPr>
                <w:rFonts w:eastAsia="Times New Roman" w:cstheme="minorHAnsi"/>
                <w:color w:val="000000"/>
              </w:rPr>
              <w:t> </w:t>
            </w:r>
          </w:p>
        </w:tc>
        <w:tc>
          <w:tcPr>
            <w:tcW w:w="2520" w:type="dxa"/>
            <w:tcBorders>
              <w:top w:val="double" w:sz="6" w:space="0" w:color="auto"/>
              <w:left w:val="single" w:sz="6" w:space="0" w:color="auto"/>
              <w:bottom w:val="double" w:sz="6" w:space="0" w:color="auto"/>
              <w:right w:val="nil"/>
            </w:tcBorders>
            <w:shd w:val="clear" w:color="auto" w:fill="E5E5E5"/>
            <w:vAlign w:val="center"/>
            <w:hideMark/>
          </w:tcPr>
          <w:p w:rsidR="00092EA3" w:rsidRPr="00092EA3" w:rsidP="00001D40" w14:paraId="38942BB9" w14:textId="77777777">
            <w:pPr>
              <w:spacing w:after="0" w:line="276" w:lineRule="auto"/>
              <w:jc w:val="center"/>
              <w:textAlignment w:val="baseline"/>
              <w:rPr>
                <w:rFonts w:eastAsia="Times New Roman" w:cstheme="minorHAnsi"/>
              </w:rPr>
            </w:pPr>
            <w:r w:rsidRPr="00092EA3">
              <w:rPr>
                <w:rFonts w:eastAsia="Times New Roman" w:cstheme="minorHAnsi"/>
                <w:b/>
                <w:bCs/>
                <w:color w:val="000000"/>
              </w:rPr>
              <w:t>Total burden (hours)</w:t>
            </w:r>
            <w:r w:rsidRPr="00092EA3">
              <w:rPr>
                <w:rFonts w:eastAsia="Times New Roman" w:cstheme="minorHAnsi"/>
                <w:color w:val="000000"/>
              </w:rPr>
              <w:t> </w:t>
            </w:r>
          </w:p>
        </w:tc>
        <w:tc>
          <w:tcPr>
            <w:tcW w:w="2235" w:type="dxa"/>
            <w:tcBorders>
              <w:top w:val="double" w:sz="6" w:space="0" w:color="auto"/>
              <w:left w:val="single" w:sz="6" w:space="0" w:color="auto"/>
              <w:bottom w:val="double" w:sz="6" w:space="0" w:color="auto"/>
              <w:right w:val="double" w:sz="6" w:space="0" w:color="auto"/>
            </w:tcBorders>
            <w:shd w:val="clear" w:color="auto" w:fill="E5E5E5"/>
            <w:vAlign w:val="center"/>
            <w:hideMark/>
          </w:tcPr>
          <w:p w:rsidR="00092EA3" w:rsidRPr="00092EA3" w:rsidP="00001D40" w14:paraId="275E3379" w14:textId="77777777">
            <w:pPr>
              <w:spacing w:after="0" w:line="276" w:lineRule="auto"/>
              <w:jc w:val="center"/>
              <w:textAlignment w:val="baseline"/>
              <w:rPr>
                <w:rFonts w:eastAsia="Times New Roman" w:cstheme="minorHAnsi"/>
              </w:rPr>
            </w:pPr>
            <w:r w:rsidRPr="00092EA3">
              <w:rPr>
                <w:rFonts w:eastAsia="Times New Roman" w:cstheme="minorHAnsi"/>
                <w:b/>
                <w:bCs/>
                <w:color w:val="000000"/>
              </w:rPr>
              <w:t xml:space="preserve">Total </w:t>
            </w:r>
            <w:r w:rsidRPr="00092EA3">
              <w:rPr>
                <w:rFonts w:eastAsia="Times New Roman" w:cstheme="minorHAnsi"/>
                <w:b/>
                <w:bCs/>
                <w:color w:val="000000"/>
              </w:rPr>
              <w:t>costs</w:t>
            </w:r>
            <w:r w:rsidRPr="00092EA3">
              <w:rPr>
                <w:rFonts w:eastAsia="Times New Roman" w:cstheme="minorHAnsi"/>
                <w:b/>
                <w:bCs/>
                <w:color w:val="000000"/>
                <w:vertAlign w:val="superscript"/>
              </w:rPr>
              <w:t>a</w:t>
            </w:r>
            <w:r w:rsidRPr="00092EA3">
              <w:rPr>
                <w:rFonts w:eastAsia="Times New Roman" w:cstheme="minorHAnsi"/>
                <w:color w:val="000000"/>
              </w:rPr>
              <w:t> </w:t>
            </w:r>
          </w:p>
        </w:tc>
      </w:tr>
      <w:tr w14:paraId="6C101156" w14:textId="77777777" w:rsidTr="00DA340A">
        <w:tblPrEx>
          <w:tblW w:w="7245" w:type="dxa"/>
          <w:tblInd w:w="1023" w:type="dxa"/>
          <w:tblCellMar>
            <w:left w:w="0" w:type="dxa"/>
            <w:right w:w="0" w:type="dxa"/>
          </w:tblCellMar>
          <w:tblLook w:val="04A0"/>
        </w:tblPrEx>
        <w:trPr>
          <w:trHeight w:val="300"/>
        </w:trPr>
        <w:tc>
          <w:tcPr>
            <w:tcW w:w="2490" w:type="dxa"/>
            <w:tcBorders>
              <w:top w:val="double" w:sz="6" w:space="0" w:color="auto"/>
              <w:left w:val="double" w:sz="6" w:space="0" w:color="auto"/>
              <w:bottom w:val="single" w:sz="4" w:space="0" w:color="auto"/>
              <w:right w:val="nil"/>
            </w:tcBorders>
            <w:shd w:val="clear" w:color="auto" w:fill="auto"/>
            <w:vAlign w:val="center"/>
            <w:hideMark/>
          </w:tcPr>
          <w:p w:rsidR="00092EA3" w:rsidRPr="00712EEB" w:rsidP="00001D40" w14:paraId="0BEA9039" w14:textId="77777777">
            <w:pPr>
              <w:spacing w:after="0" w:line="276" w:lineRule="auto"/>
              <w:textAlignment w:val="baseline"/>
              <w:rPr>
                <w:rFonts w:eastAsia="Times New Roman" w:cstheme="minorHAnsi"/>
                <w:color w:val="000000"/>
              </w:rPr>
            </w:pPr>
            <w:r w:rsidRPr="00092EA3">
              <w:rPr>
                <w:rFonts w:eastAsia="Times New Roman" w:cstheme="minorHAnsi"/>
                <w:color w:val="000000"/>
              </w:rPr>
              <w:t>Allowance transfers. </w:t>
            </w:r>
          </w:p>
        </w:tc>
        <w:tc>
          <w:tcPr>
            <w:tcW w:w="2520" w:type="dxa"/>
            <w:tcBorders>
              <w:top w:val="double" w:sz="6" w:space="0" w:color="auto"/>
              <w:left w:val="single" w:sz="6" w:space="0" w:color="auto"/>
              <w:bottom w:val="single" w:sz="4" w:space="0" w:color="auto"/>
              <w:right w:val="nil"/>
            </w:tcBorders>
            <w:shd w:val="clear" w:color="auto" w:fill="auto"/>
            <w:vAlign w:val="center"/>
            <w:hideMark/>
          </w:tcPr>
          <w:p w:rsidR="00092EA3" w:rsidRPr="00092EA3" w:rsidP="00001D40" w14:paraId="40AB89B0" w14:textId="186F3EC0">
            <w:pPr>
              <w:spacing w:after="0" w:line="276" w:lineRule="auto"/>
              <w:jc w:val="center"/>
              <w:textAlignment w:val="baseline"/>
              <w:rPr>
                <w:rFonts w:eastAsia="Times New Roman" w:cstheme="minorHAnsi"/>
              </w:rPr>
            </w:pPr>
            <w:r>
              <w:rPr>
                <w:rFonts w:eastAsia="Times New Roman" w:cstheme="minorHAnsi"/>
                <w:color w:val="000000"/>
              </w:rPr>
              <w:t>6</w:t>
            </w:r>
            <w:r w:rsidRPr="00092EA3">
              <w:rPr>
                <w:rFonts w:eastAsia="Times New Roman" w:cstheme="minorHAnsi"/>
                <w:color w:val="000000"/>
              </w:rPr>
              <w:t> </w:t>
            </w:r>
          </w:p>
        </w:tc>
        <w:tc>
          <w:tcPr>
            <w:tcW w:w="2235" w:type="dxa"/>
            <w:tcBorders>
              <w:top w:val="double" w:sz="6" w:space="0" w:color="auto"/>
              <w:left w:val="single" w:sz="6" w:space="0" w:color="auto"/>
              <w:bottom w:val="single" w:sz="4" w:space="0" w:color="auto"/>
              <w:right w:val="double" w:sz="6" w:space="0" w:color="auto"/>
            </w:tcBorders>
            <w:shd w:val="clear" w:color="auto" w:fill="auto"/>
            <w:vAlign w:val="center"/>
            <w:hideMark/>
          </w:tcPr>
          <w:p w:rsidR="00092EA3" w:rsidRPr="00092EA3" w:rsidP="00001D40" w14:paraId="0FCDFA82" w14:textId="1C328350">
            <w:pPr>
              <w:spacing w:after="0" w:line="276" w:lineRule="auto"/>
              <w:jc w:val="center"/>
              <w:textAlignment w:val="baseline"/>
              <w:rPr>
                <w:rFonts w:eastAsia="Times New Roman" w:cstheme="minorHAnsi"/>
              </w:rPr>
            </w:pPr>
            <w:r w:rsidRPr="00092EA3">
              <w:rPr>
                <w:rFonts w:eastAsia="Times New Roman" w:cstheme="minorHAnsi"/>
                <w:color w:val="000000"/>
              </w:rPr>
              <w:t>$</w:t>
            </w:r>
            <w:r w:rsidR="001C78AA">
              <w:rPr>
                <w:rFonts w:eastAsia="Times New Roman" w:cstheme="minorHAnsi"/>
                <w:color w:val="000000"/>
              </w:rPr>
              <w:t>567</w:t>
            </w:r>
          </w:p>
        </w:tc>
      </w:tr>
      <w:tr w14:paraId="59A81191" w14:textId="77777777" w:rsidTr="00DA340A">
        <w:tblPrEx>
          <w:tblW w:w="7245" w:type="dxa"/>
          <w:tblInd w:w="1023" w:type="dxa"/>
          <w:tblCellMar>
            <w:left w:w="0" w:type="dxa"/>
            <w:right w:w="0" w:type="dxa"/>
          </w:tblCellMar>
          <w:tblLook w:val="04A0"/>
        </w:tblPrEx>
        <w:trPr>
          <w:trHeight w:val="300"/>
        </w:trPr>
        <w:tc>
          <w:tcPr>
            <w:tcW w:w="2490" w:type="dxa"/>
            <w:tcBorders>
              <w:top w:val="single" w:sz="4" w:space="0" w:color="auto"/>
              <w:left w:val="thickThinLargeGap" w:sz="4" w:space="0" w:color="auto"/>
              <w:bottom w:val="nil"/>
              <w:right w:val="single" w:sz="4" w:space="0" w:color="auto"/>
            </w:tcBorders>
            <w:shd w:val="clear" w:color="auto" w:fill="auto"/>
            <w:vAlign w:val="center"/>
            <w:hideMark/>
          </w:tcPr>
          <w:p w:rsidR="00092EA3" w:rsidRPr="00092EA3" w:rsidP="00001D40" w14:paraId="3F75EE5A" w14:textId="77777777">
            <w:pPr>
              <w:spacing w:after="0" w:line="276" w:lineRule="auto"/>
              <w:textAlignment w:val="baseline"/>
              <w:rPr>
                <w:rFonts w:eastAsia="Times New Roman" w:cstheme="minorHAnsi"/>
              </w:rPr>
            </w:pPr>
            <w:r w:rsidRPr="00092EA3">
              <w:rPr>
                <w:rFonts w:eastAsia="Times New Roman" w:cstheme="minorHAnsi"/>
                <w:color w:val="000000"/>
              </w:rPr>
              <w:t>Permits. </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rsidR="00092EA3" w:rsidRPr="00092EA3" w:rsidP="00001D40" w14:paraId="2A45D1EE" w14:textId="77777777">
            <w:pPr>
              <w:spacing w:after="0" w:line="276" w:lineRule="auto"/>
              <w:jc w:val="center"/>
              <w:textAlignment w:val="baseline"/>
              <w:rPr>
                <w:rFonts w:eastAsia="Times New Roman" w:cstheme="minorHAnsi"/>
              </w:rPr>
            </w:pPr>
            <w:r w:rsidRPr="00092EA3">
              <w:rPr>
                <w:rFonts w:eastAsia="Times New Roman" w:cstheme="minorHAnsi"/>
                <w:color w:val="000000"/>
              </w:rPr>
              <w:t>  </w:t>
            </w:r>
          </w:p>
        </w:tc>
        <w:tc>
          <w:tcPr>
            <w:tcW w:w="2235" w:type="dxa"/>
            <w:tcBorders>
              <w:top w:val="single" w:sz="4" w:space="0" w:color="auto"/>
              <w:left w:val="single" w:sz="4" w:space="0" w:color="auto"/>
              <w:bottom w:val="nil"/>
              <w:right w:val="thickThinLargeGap" w:sz="4" w:space="0" w:color="auto"/>
            </w:tcBorders>
            <w:shd w:val="clear" w:color="auto" w:fill="auto"/>
            <w:vAlign w:val="center"/>
            <w:hideMark/>
          </w:tcPr>
          <w:p w:rsidR="00092EA3" w:rsidRPr="00092EA3" w:rsidP="00001D40" w14:paraId="53936C21" w14:textId="77777777">
            <w:pPr>
              <w:spacing w:after="0" w:line="276" w:lineRule="auto"/>
              <w:jc w:val="center"/>
              <w:textAlignment w:val="baseline"/>
              <w:rPr>
                <w:rFonts w:eastAsia="Times New Roman" w:cstheme="minorHAnsi"/>
              </w:rPr>
            </w:pPr>
            <w:r w:rsidRPr="00092EA3">
              <w:rPr>
                <w:rFonts w:eastAsia="Times New Roman" w:cstheme="minorHAnsi"/>
                <w:color w:val="000000"/>
              </w:rPr>
              <w:t>  </w:t>
            </w:r>
          </w:p>
        </w:tc>
      </w:tr>
      <w:tr w14:paraId="0FD65CC0" w14:textId="77777777" w:rsidTr="00DA340A">
        <w:tblPrEx>
          <w:tblW w:w="7245" w:type="dxa"/>
          <w:tblInd w:w="1023" w:type="dxa"/>
          <w:tblCellMar>
            <w:left w:w="0" w:type="dxa"/>
            <w:right w:w="0" w:type="dxa"/>
          </w:tblCellMar>
          <w:tblLook w:val="04A0"/>
        </w:tblPrEx>
        <w:trPr>
          <w:trHeight w:val="300"/>
        </w:trPr>
        <w:tc>
          <w:tcPr>
            <w:tcW w:w="2490" w:type="dxa"/>
            <w:tcBorders>
              <w:top w:val="nil"/>
              <w:left w:val="thickThinLargeGap" w:sz="4" w:space="0" w:color="auto"/>
              <w:bottom w:val="nil"/>
              <w:right w:val="single" w:sz="4" w:space="0" w:color="auto"/>
            </w:tcBorders>
            <w:shd w:val="clear" w:color="auto" w:fill="auto"/>
            <w:vAlign w:val="center"/>
            <w:hideMark/>
          </w:tcPr>
          <w:p w:rsidR="00092EA3" w:rsidRPr="00092EA3" w:rsidP="00001D40" w14:paraId="1FB6D0E1" w14:textId="77777777">
            <w:pPr>
              <w:spacing w:after="0" w:line="276" w:lineRule="auto"/>
              <w:ind w:firstLine="450"/>
              <w:textAlignment w:val="baseline"/>
              <w:rPr>
                <w:rFonts w:eastAsia="Times New Roman" w:cstheme="minorHAnsi"/>
              </w:rPr>
            </w:pPr>
            <w:r w:rsidRPr="00092EA3">
              <w:rPr>
                <w:rFonts w:eastAsia="Times New Roman" w:cstheme="minorHAnsi"/>
                <w:color w:val="000000"/>
              </w:rPr>
              <w:t>Permitting Authority. </w:t>
            </w:r>
          </w:p>
        </w:tc>
        <w:tc>
          <w:tcPr>
            <w:tcW w:w="2520" w:type="dxa"/>
            <w:tcBorders>
              <w:top w:val="nil"/>
              <w:left w:val="single" w:sz="4" w:space="0" w:color="auto"/>
              <w:bottom w:val="nil"/>
              <w:right w:val="single" w:sz="4" w:space="0" w:color="auto"/>
            </w:tcBorders>
            <w:shd w:val="clear" w:color="auto" w:fill="auto"/>
            <w:vAlign w:val="center"/>
            <w:hideMark/>
          </w:tcPr>
          <w:p w:rsidR="00092EA3" w:rsidRPr="00092EA3" w:rsidP="00001D40" w14:paraId="4377FC1D" w14:textId="4FF23918">
            <w:pPr>
              <w:spacing w:after="0" w:line="276" w:lineRule="auto"/>
              <w:jc w:val="center"/>
              <w:textAlignment w:val="baseline"/>
              <w:rPr>
                <w:rFonts w:eastAsia="Times New Roman" w:cstheme="minorHAnsi"/>
              </w:rPr>
            </w:pPr>
            <w:r>
              <w:rPr>
                <w:rFonts w:eastAsia="Times New Roman" w:cstheme="minorHAnsi"/>
                <w:color w:val="000000"/>
              </w:rPr>
              <w:t>1,824</w:t>
            </w:r>
            <w:r w:rsidRPr="00092EA3">
              <w:rPr>
                <w:rFonts w:eastAsia="Times New Roman" w:cstheme="minorHAnsi"/>
                <w:color w:val="000000"/>
              </w:rPr>
              <w:t> </w:t>
            </w:r>
          </w:p>
        </w:tc>
        <w:tc>
          <w:tcPr>
            <w:tcW w:w="2235" w:type="dxa"/>
            <w:tcBorders>
              <w:top w:val="nil"/>
              <w:left w:val="single" w:sz="4" w:space="0" w:color="auto"/>
              <w:bottom w:val="nil"/>
              <w:right w:val="thickThinLargeGap" w:sz="4" w:space="0" w:color="auto"/>
            </w:tcBorders>
            <w:shd w:val="clear" w:color="auto" w:fill="auto"/>
            <w:vAlign w:val="center"/>
            <w:hideMark/>
          </w:tcPr>
          <w:p w:rsidR="00092EA3" w:rsidRPr="00092EA3" w:rsidP="00001D40" w14:paraId="6D0FBD19" w14:textId="6C19FC33">
            <w:pPr>
              <w:spacing w:after="0" w:line="276" w:lineRule="auto"/>
              <w:jc w:val="center"/>
              <w:textAlignment w:val="baseline"/>
              <w:rPr>
                <w:rFonts w:eastAsia="Times New Roman" w:cstheme="minorHAnsi"/>
              </w:rPr>
            </w:pPr>
            <w:r w:rsidRPr="00092EA3">
              <w:rPr>
                <w:rFonts w:eastAsia="Times New Roman" w:cstheme="minorHAnsi"/>
                <w:color w:val="000000"/>
              </w:rPr>
              <w:t>$</w:t>
            </w:r>
            <w:r w:rsidR="00E4156C">
              <w:rPr>
                <w:rFonts w:eastAsia="Times New Roman" w:cstheme="minorHAnsi"/>
                <w:color w:val="000000"/>
              </w:rPr>
              <w:t>1</w:t>
            </w:r>
            <w:r w:rsidR="00781DF5">
              <w:rPr>
                <w:rFonts w:eastAsia="Times New Roman" w:cstheme="minorHAnsi"/>
                <w:color w:val="000000"/>
              </w:rPr>
              <w:t>11,756</w:t>
            </w:r>
          </w:p>
        </w:tc>
      </w:tr>
      <w:tr w14:paraId="5E7F92BF" w14:textId="77777777" w:rsidTr="00DA340A">
        <w:tblPrEx>
          <w:tblW w:w="7245" w:type="dxa"/>
          <w:tblInd w:w="1023" w:type="dxa"/>
          <w:tblCellMar>
            <w:left w:w="0" w:type="dxa"/>
            <w:right w:w="0" w:type="dxa"/>
          </w:tblCellMar>
          <w:tblLook w:val="04A0"/>
        </w:tblPrEx>
        <w:trPr>
          <w:trHeight w:val="300"/>
        </w:trPr>
        <w:tc>
          <w:tcPr>
            <w:tcW w:w="2490" w:type="dxa"/>
            <w:tcBorders>
              <w:top w:val="nil"/>
              <w:left w:val="thickThinLargeGap" w:sz="4" w:space="0" w:color="auto"/>
              <w:bottom w:val="single" w:sz="4" w:space="0" w:color="auto"/>
              <w:right w:val="single" w:sz="4" w:space="0" w:color="auto"/>
            </w:tcBorders>
            <w:shd w:val="clear" w:color="auto" w:fill="auto"/>
            <w:vAlign w:val="center"/>
            <w:hideMark/>
          </w:tcPr>
          <w:p w:rsidR="00092EA3" w:rsidRPr="00092EA3" w:rsidP="00001D40" w14:paraId="2DB0DE2F" w14:textId="77777777">
            <w:pPr>
              <w:spacing w:after="0" w:line="276" w:lineRule="auto"/>
              <w:ind w:firstLine="450"/>
              <w:textAlignment w:val="baseline"/>
              <w:rPr>
                <w:rFonts w:eastAsia="Times New Roman" w:cstheme="minorHAnsi"/>
              </w:rPr>
            </w:pPr>
            <w:r w:rsidRPr="00092EA3">
              <w:rPr>
                <w:rFonts w:eastAsia="Times New Roman" w:cstheme="minorHAnsi"/>
                <w:color w:val="000000"/>
              </w:rPr>
              <w:t>EPA. </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092EA3" w:rsidRPr="00092EA3" w:rsidP="00001D40" w14:paraId="75487FE5" w14:textId="34EED5CA">
            <w:pPr>
              <w:spacing w:after="0" w:line="276" w:lineRule="auto"/>
              <w:jc w:val="center"/>
              <w:textAlignment w:val="baseline"/>
              <w:rPr>
                <w:rFonts w:eastAsia="Times New Roman" w:cstheme="minorHAnsi"/>
              </w:rPr>
            </w:pPr>
            <w:r>
              <w:rPr>
                <w:rFonts w:eastAsia="Times New Roman" w:cstheme="minorHAnsi"/>
                <w:color w:val="000000"/>
              </w:rPr>
              <w:t>229</w:t>
            </w:r>
            <w:r w:rsidRPr="00092EA3">
              <w:rPr>
                <w:rFonts w:eastAsia="Times New Roman" w:cstheme="minorHAnsi"/>
                <w:color w:val="000000"/>
              </w:rPr>
              <w:t> </w:t>
            </w:r>
          </w:p>
        </w:tc>
        <w:tc>
          <w:tcPr>
            <w:tcW w:w="2235" w:type="dxa"/>
            <w:tcBorders>
              <w:top w:val="nil"/>
              <w:left w:val="single" w:sz="4" w:space="0" w:color="auto"/>
              <w:bottom w:val="single" w:sz="4" w:space="0" w:color="auto"/>
              <w:right w:val="thickThinLargeGap" w:sz="4" w:space="0" w:color="auto"/>
            </w:tcBorders>
            <w:shd w:val="clear" w:color="auto" w:fill="auto"/>
            <w:vAlign w:val="center"/>
            <w:hideMark/>
          </w:tcPr>
          <w:p w:rsidR="00092EA3" w:rsidRPr="00092EA3" w:rsidP="00001D40" w14:paraId="795F77B0" w14:textId="2480DBAE">
            <w:pPr>
              <w:spacing w:after="0" w:line="276" w:lineRule="auto"/>
              <w:jc w:val="center"/>
              <w:textAlignment w:val="baseline"/>
              <w:rPr>
                <w:rFonts w:eastAsia="Times New Roman" w:cstheme="minorHAnsi"/>
              </w:rPr>
            </w:pPr>
            <w:r w:rsidRPr="00092EA3">
              <w:rPr>
                <w:rFonts w:eastAsia="Times New Roman" w:cstheme="minorHAnsi"/>
                <w:color w:val="000000"/>
              </w:rPr>
              <w:t>$</w:t>
            </w:r>
            <w:r w:rsidR="00A11078">
              <w:rPr>
                <w:rFonts w:eastAsia="Times New Roman" w:cstheme="minorHAnsi"/>
                <w:color w:val="000000"/>
              </w:rPr>
              <w:t>34,923</w:t>
            </w:r>
          </w:p>
        </w:tc>
      </w:tr>
      <w:tr w14:paraId="115B8A0B" w14:textId="77777777" w:rsidTr="00DA340A">
        <w:tblPrEx>
          <w:tblW w:w="7245" w:type="dxa"/>
          <w:tblInd w:w="1023" w:type="dxa"/>
          <w:tblCellMar>
            <w:left w:w="0" w:type="dxa"/>
            <w:right w:w="0" w:type="dxa"/>
          </w:tblCellMar>
          <w:tblLook w:val="04A0"/>
        </w:tblPrEx>
        <w:trPr>
          <w:trHeight w:val="300"/>
        </w:trPr>
        <w:tc>
          <w:tcPr>
            <w:tcW w:w="2490" w:type="dxa"/>
            <w:tcBorders>
              <w:top w:val="single" w:sz="4" w:space="0" w:color="auto"/>
              <w:left w:val="double" w:sz="6" w:space="0" w:color="auto"/>
              <w:bottom w:val="single" w:sz="6" w:space="0" w:color="auto"/>
              <w:right w:val="nil"/>
            </w:tcBorders>
            <w:shd w:val="clear" w:color="auto" w:fill="auto"/>
            <w:vAlign w:val="center"/>
            <w:hideMark/>
          </w:tcPr>
          <w:p w:rsidR="00092EA3" w:rsidRPr="00092EA3" w:rsidP="00001D40" w14:paraId="5F2D944F" w14:textId="77777777">
            <w:pPr>
              <w:spacing w:after="0" w:line="276" w:lineRule="auto"/>
              <w:textAlignment w:val="baseline"/>
              <w:rPr>
                <w:rFonts w:eastAsia="Times New Roman" w:cstheme="minorHAnsi"/>
              </w:rPr>
            </w:pPr>
            <w:r w:rsidRPr="00092EA3">
              <w:rPr>
                <w:rFonts w:eastAsia="Times New Roman" w:cstheme="minorHAnsi"/>
                <w:color w:val="000000"/>
              </w:rPr>
              <w:t>Emissions reporting. </w:t>
            </w:r>
          </w:p>
        </w:tc>
        <w:tc>
          <w:tcPr>
            <w:tcW w:w="2520" w:type="dxa"/>
            <w:tcBorders>
              <w:top w:val="single" w:sz="4" w:space="0" w:color="auto"/>
              <w:left w:val="single" w:sz="6" w:space="0" w:color="auto"/>
              <w:bottom w:val="single" w:sz="6" w:space="0" w:color="auto"/>
              <w:right w:val="nil"/>
            </w:tcBorders>
            <w:shd w:val="clear" w:color="auto" w:fill="auto"/>
            <w:vAlign w:val="center"/>
            <w:hideMark/>
          </w:tcPr>
          <w:p w:rsidR="00092EA3" w:rsidRPr="00092EA3" w:rsidP="00001D40" w14:paraId="729F7C41" w14:textId="3F4C01CD">
            <w:pPr>
              <w:spacing w:after="0" w:line="276" w:lineRule="auto"/>
              <w:jc w:val="center"/>
              <w:textAlignment w:val="baseline"/>
              <w:rPr>
                <w:rFonts w:eastAsia="Times New Roman" w:cstheme="minorHAnsi"/>
              </w:rPr>
            </w:pPr>
            <w:r w:rsidRPr="00092EA3">
              <w:rPr>
                <w:rFonts w:eastAsia="Times New Roman" w:cstheme="minorHAnsi"/>
                <w:color w:val="000000"/>
              </w:rPr>
              <w:t>13,</w:t>
            </w:r>
            <w:r w:rsidR="0081656B">
              <w:rPr>
                <w:rFonts w:eastAsia="Times New Roman" w:cstheme="minorHAnsi"/>
                <w:color w:val="000000"/>
              </w:rPr>
              <w:t>287</w:t>
            </w:r>
          </w:p>
        </w:tc>
        <w:tc>
          <w:tcPr>
            <w:tcW w:w="2235" w:type="dxa"/>
            <w:tcBorders>
              <w:top w:val="single" w:sz="4" w:space="0" w:color="auto"/>
              <w:left w:val="single" w:sz="6" w:space="0" w:color="auto"/>
              <w:bottom w:val="single" w:sz="6" w:space="0" w:color="auto"/>
              <w:right w:val="double" w:sz="6" w:space="0" w:color="auto"/>
            </w:tcBorders>
            <w:shd w:val="clear" w:color="auto" w:fill="auto"/>
            <w:vAlign w:val="center"/>
            <w:hideMark/>
          </w:tcPr>
          <w:p w:rsidR="00092EA3" w:rsidRPr="00092EA3" w:rsidP="00001D40" w14:paraId="6B6EB67B" w14:textId="285D3042">
            <w:pPr>
              <w:spacing w:after="0" w:line="276" w:lineRule="auto"/>
              <w:jc w:val="center"/>
              <w:textAlignment w:val="baseline"/>
              <w:rPr>
                <w:rFonts w:eastAsia="Times New Roman" w:cstheme="minorHAnsi"/>
              </w:rPr>
            </w:pPr>
            <w:r w:rsidRPr="00092EA3">
              <w:rPr>
                <w:rFonts w:eastAsia="Times New Roman" w:cstheme="minorHAnsi"/>
                <w:color w:val="000000"/>
              </w:rPr>
              <w:t>$</w:t>
            </w:r>
            <w:r w:rsidR="00241350">
              <w:rPr>
                <w:rFonts w:eastAsia="Times New Roman" w:cstheme="minorHAnsi"/>
                <w:color w:val="000000"/>
              </w:rPr>
              <w:t>1,3</w:t>
            </w:r>
            <w:r w:rsidR="004E63B0">
              <w:rPr>
                <w:rFonts w:eastAsia="Times New Roman" w:cstheme="minorHAnsi"/>
                <w:color w:val="000000"/>
              </w:rPr>
              <w:t>23,739</w:t>
            </w:r>
            <w:r w:rsidRPr="00092EA3">
              <w:rPr>
                <w:rFonts w:eastAsia="Times New Roman" w:cstheme="minorHAnsi"/>
                <w:color w:val="000000"/>
              </w:rPr>
              <w:t>  </w:t>
            </w:r>
          </w:p>
        </w:tc>
      </w:tr>
      <w:tr w14:paraId="7F0E0133" w14:textId="77777777" w:rsidTr="00DA340A">
        <w:tblPrEx>
          <w:tblW w:w="7245" w:type="dxa"/>
          <w:tblInd w:w="1023" w:type="dxa"/>
          <w:tblCellMar>
            <w:left w:w="0" w:type="dxa"/>
            <w:right w:w="0" w:type="dxa"/>
          </w:tblCellMar>
          <w:tblLook w:val="04A0"/>
        </w:tblPrEx>
        <w:trPr>
          <w:trHeight w:val="300"/>
        </w:trPr>
        <w:tc>
          <w:tcPr>
            <w:tcW w:w="2490" w:type="dxa"/>
            <w:tcBorders>
              <w:top w:val="nil"/>
              <w:left w:val="double" w:sz="6" w:space="0" w:color="auto"/>
              <w:bottom w:val="single" w:sz="6" w:space="0" w:color="auto"/>
              <w:right w:val="nil"/>
            </w:tcBorders>
            <w:shd w:val="clear" w:color="auto" w:fill="auto"/>
            <w:vAlign w:val="center"/>
            <w:hideMark/>
          </w:tcPr>
          <w:p w:rsidR="00092EA3" w:rsidRPr="00092EA3" w:rsidP="00001D40" w14:paraId="7FCB771F" w14:textId="77777777">
            <w:pPr>
              <w:spacing w:after="0" w:line="276" w:lineRule="auto"/>
              <w:textAlignment w:val="baseline"/>
              <w:rPr>
                <w:rFonts w:eastAsia="Times New Roman" w:cstheme="minorHAnsi"/>
              </w:rPr>
            </w:pPr>
            <w:r w:rsidRPr="00092EA3">
              <w:rPr>
                <w:rFonts w:eastAsia="Times New Roman" w:cstheme="minorHAnsi"/>
                <w:color w:val="000000"/>
              </w:rPr>
              <w:t>Auctions. </w:t>
            </w:r>
          </w:p>
        </w:tc>
        <w:tc>
          <w:tcPr>
            <w:tcW w:w="2520" w:type="dxa"/>
            <w:tcBorders>
              <w:top w:val="nil"/>
              <w:left w:val="single" w:sz="6" w:space="0" w:color="auto"/>
              <w:bottom w:val="single" w:sz="6" w:space="0" w:color="auto"/>
              <w:right w:val="nil"/>
            </w:tcBorders>
            <w:shd w:val="clear" w:color="auto" w:fill="auto"/>
            <w:vAlign w:val="center"/>
            <w:hideMark/>
          </w:tcPr>
          <w:p w:rsidR="00092EA3" w:rsidRPr="00092EA3" w:rsidP="00001D40" w14:paraId="3BA5EA21" w14:textId="77777777">
            <w:pPr>
              <w:spacing w:after="0" w:line="276" w:lineRule="auto"/>
              <w:jc w:val="center"/>
              <w:textAlignment w:val="baseline"/>
              <w:rPr>
                <w:rFonts w:eastAsia="Times New Roman" w:cstheme="minorHAnsi"/>
              </w:rPr>
            </w:pPr>
            <w:r w:rsidRPr="00092EA3">
              <w:rPr>
                <w:rFonts w:eastAsia="Times New Roman" w:cstheme="minorHAnsi"/>
                <w:color w:val="000000"/>
              </w:rPr>
              <w:t>66 </w:t>
            </w:r>
          </w:p>
        </w:tc>
        <w:tc>
          <w:tcPr>
            <w:tcW w:w="2235" w:type="dxa"/>
            <w:tcBorders>
              <w:top w:val="nil"/>
              <w:left w:val="single" w:sz="6" w:space="0" w:color="auto"/>
              <w:bottom w:val="single" w:sz="6" w:space="0" w:color="auto"/>
              <w:right w:val="double" w:sz="6" w:space="0" w:color="auto"/>
            </w:tcBorders>
            <w:shd w:val="clear" w:color="auto" w:fill="auto"/>
            <w:vAlign w:val="center"/>
            <w:hideMark/>
          </w:tcPr>
          <w:p w:rsidR="00092EA3" w:rsidRPr="00092EA3" w:rsidP="00001D40" w14:paraId="6713D638" w14:textId="7DE02B3F">
            <w:pPr>
              <w:spacing w:after="0" w:line="276" w:lineRule="auto"/>
              <w:jc w:val="center"/>
              <w:textAlignment w:val="baseline"/>
              <w:rPr>
                <w:rFonts w:eastAsia="Times New Roman" w:cstheme="minorHAnsi"/>
              </w:rPr>
            </w:pPr>
            <w:r w:rsidRPr="00092EA3">
              <w:rPr>
                <w:rFonts w:eastAsia="Times New Roman" w:cstheme="minorHAnsi"/>
                <w:color w:val="000000"/>
              </w:rPr>
              <w:t>$</w:t>
            </w:r>
            <w:r w:rsidR="00765E6B">
              <w:rPr>
                <w:rFonts w:eastAsia="Times New Roman" w:cstheme="minorHAnsi"/>
                <w:color w:val="000000"/>
              </w:rPr>
              <w:t>6,23</w:t>
            </w:r>
            <w:r w:rsidR="00A811E3">
              <w:rPr>
                <w:rFonts w:eastAsia="Times New Roman" w:cstheme="minorHAnsi"/>
                <w:color w:val="000000"/>
              </w:rPr>
              <w:t>6</w:t>
            </w:r>
          </w:p>
        </w:tc>
      </w:tr>
      <w:tr w14:paraId="5B59EA97" w14:textId="77777777" w:rsidTr="00DA340A">
        <w:tblPrEx>
          <w:tblW w:w="7245" w:type="dxa"/>
          <w:tblInd w:w="1023" w:type="dxa"/>
          <w:tblCellMar>
            <w:left w:w="0" w:type="dxa"/>
            <w:right w:w="0" w:type="dxa"/>
          </w:tblCellMar>
          <w:tblLook w:val="04A0"/>
        </w:tblPrEx>
        <w:trPr>
          <w:trHeight w:val="300"/>
        </w:trPr>
        <w:tc>
          <w:tcPr>
            <w:tcW w:w="2490" w:type="dxa"/>
            <w:tcBorders>
              <w:top w:val="nil"/>
              <w:left w:val="double" w:sz="6" w:space="0" w:color="auto"/>
              <w:bottom w:val="single" w:sz="6" w:space="0" w:color="auto"/>
              <w:right w:val="nil"/>
            </w:tcBorders>
            <w:shd w:val="clear" w:color="auto" w:fill="auto"/>
            <w:vAlign w:val="center"/>
            <w:hideMark/>
          </w:tcPr>
          <w:p w:rsidR="00092EA3" w:rsidRPr="00092EA3" w:rsidP="00001D40" w14:paraId="0F82C374" w14:textId="77777777">
            <w:pPr>
              <w:spacing w:after="0" w:line="276" w:lineRule="auto"/>
              <w:textAlignment w:val="baseline"/>
              <w:rPr>
                <w:rFonts w:eastAsia="Times New Roman" w:cstheme="minorHAnsi"/>
              </w:rPr>
            </w:pPr>
            <w:r w:rsidRPr="00092EA3">
              <w:rPr>
                <w:rFonts w:eastAsia="Times New Roman" w:cstheme="minorHAnsi"/>
                <w:color w:val="000000"/>
              </w:rPr>
              <w:t>NO</w:t>
            </w:r>
            <w:r w:rsidRPr="00092EA3">
              <w:rPr>
                <w:rFonts w:eastAsia="Times New Roman" w:cstheme="minorHAnsi"/>
                <w:color w:val="000000"/>
                <w:vertAlign w:val="subscript"/>
              </w:rPr>
              <w:t>X</w:t>
            </w:r>
            <w:r w:rsidRPr="00092EA3">
              <w:rPr>
                <w:rFonts w:eastAsia="Times New Roman" w:cstheme="minorHAnsi"/>
                <w:color w:val="000000"/>
              </w:rPr>
              <w:t xml:space="preserve"> permitting. </w:t>
            </w:r>
          </w:p>
        </w:tc>
        <w:tc>
          <w:tcPr>
            <w:tcW w:w="2520" w:type="dxa"/>
            <w:tcBorders>
              <w:top w:val="nil"/>
              <w:left w:val="single" w:sz="6" w:space="0" w:color="auto"/>
              <w:bottom w:val="single" w:sz="6" w:space="0" w:color="auto"/>
              <w:right w:val="nil"/>
            </w:tcBorders>
            <w:shd w:val="clear" w:color="auto" w:fill="auto"/>
            <w:vAlign w:val="center"/>
            <w:hideMark/>
          </w:tcPr>
          <w:p w:rsidR="00092EA3" w:rsidRPr="00092EA3" w:rsidP="00001D40" w14:paraId="2690FA8E" w14:textId="2409C063">
            <w:pPr>
              <w:spacing w:after="0" w:line="276" w:lineRule="auto"/>
              <w:jc w:val="center"/>
              <w:textAlignment w:val="baseline"/>
              <w:rPr>
                <w:rFonts w:eastAsia="Times New Roman" w:cstheme="minorHAnsi"/>
              </w:rPr>
            </w:pPr>
            <w:r>
              <w:rPr>
                <w:rFonts w:eastAsia="Times New Roman" w:cstheme="minorHAnsi"/>
                <w:color w:val="000000"/>
              </w:rPr>
              <w:t>64</w:t>
            </w:r>
            <w:r w:rsidRPr="00092EA3">
              <w:rPr>
                <w:rFonts w:eastAsia="Times New Roman" w:cstheme="minorHAnsi"/>
                <w:color w:val="000000"/>
              </w:rPr>
              <w:t> </w:t>
            </w:r>
          </w:p>
        </w:tc>
        <w:tc>
          <w:tcPr>
            <w:tcW w:w="2235" w:type="dxa"/>
            <w:tcBorders>
              <w:top w:val="nil"/>
              <w:left w:val="single" w:sz="6" w:space="0" w:color="auto"/>
              <w:bottom w:val="single" w:sz="6" w:space="0" w:color="auto"/>
              <w:right w:val="double" w:sz="6" w:space="0" w:color="auto"/>
            </w:tcBorders>
            <w:shd w:val="clear" w:color="auto" w:fill="auto"/>
            <w:vAlign w:val="center"/>
            <w:hideMark/>
          </w:tcPr>
          <w:p w:rsidR="00092EA3" w:rsidRPr="00092EA3" w:rsidP="00001D40" w14:paraId="22E8E305" w14:textId="04838FBE">
            <w:pPr>
              <w:spacing w:after="0" w:line="276" w:lineRule="auto"/>
              <w:jc w:val="center"/>
              <w:textAlignment w:val="baseline"/>
              <w:rPr>
                <w:rFonts w:eastAsia="Times New Roman" w:cstheme="minorHAnsi"/>
              </w:rPr>
            </w:pPr>
            <w:r w:rsidRPr="00092EA3">
              <w:rPr>
                <w:rFonts w:eastAsia="Times New Roman" w:cstheme="minorHAnsi"/>
                <w:color w:val="000000"/>
              </w:rPr>
              <w:t>$</w:t>
            </w:r>
            <w:r w:rsidR="00A811E3">
              <w:rPr>
                <w:rFonts w:eastAsia="Times New Roman" w:cstheme="minorHAnsi"/>
                <w:color w:val="000000"/>
              </w:rPr>
              <w:t>6,047</w:t>
            </w:r>
            <w:r w:rsidRPr="00092EA3">
              <w:rPr>
                <w:rFonts w:eastAsia="Times New Roman" w:cstheme="minorHAnsi"/>
                <w:color w:val="000000"/>
              </w:rPr>
              <w:t> </w:t>
            </w:r>
          </w:p>
        </w:tc>
      </w:tr>
      <w:tr w14:paraId="0659D092" w14:textId="77777777" w:rsidTr="00DA340A">
        <w:tblPrEx>
          <w:tblW w:w="7245" w:type="dxa"/>
          <w:tblInd w:w="1023" w:type="dxa"/>
          <w:tblCellMar>
            <w:left w:w="0" w:type="dxa"/>
            <w:right w:w="0" w:type="dxa"/>
          </w:tblCellMar>
          <w:tblLook w:val="04A0"/>
        </w:tblPrEx>
        <w:trPr>
          <w:trHeight w:val="315"/>
        </w:trPr>
        <w:tc>
          <w:tcPr>
            <w:tcW w:w="2490" w:type="dxa"/>
            <w:tcBorders>
              <w:top w:val="nil"/>
              <w:left w:val="double" w:sz="6" w:space="0" w:color="auto"/>
              <w:bottom w:val="double" w:sz="6" w:space="0" w:color="auto"/>
              <w:right w:val="nil"/>
            </w:tcBorders>
            <w:shd w:val="clear" w:color="auto" w:fill="auto"/>
            <w:vAlign w:val="center"/>
            <w:hideMark/>
          </w:tcPr>
          <w:p w:rsidR="00092EA3" w:rsidRPr="00092EA3" w:rsidP="00001D40" w14:paraId="633BFC10" w14:textId="77777777">
            <w:pPr>
              <w:spacing w:after="0" w:line="276" w:lineRule="auto"/>
              <w:textAlignment w:val="baseline"/>
              <w:rPr>
                <w:rFonts w:eastAsia="Times New Roman" w:cstheme="minorHAnsi"/>
              </w:rPr>
            </w:pPr>
            <w:r w:rsidRPr="00092EA3">
              <w:rPr>
                <w:rFonts w:eastAsia="Times New Roman" w:cstheme="minorHAnsi"/>
                <w:b/>
                <w:bCs/>
                <w:color w:val="000000"/>
              </w:rPr>
              <w:t>Totals</w:t>
            </w:r>
            <w:r w:rsidRPr="00092EA3">
              <w:rPr>
                <w:rFonts w:eastAsia="Times New Roman" w:cstheme="minorHAnsi"/>
                <w:color w:val="000000"/>
              </w:rPr>
              <w:t> </w:t>
            </w:r>
          </w:p>
        </w:tc>
        <w:tc>
          <w:tcPr>
            <w:tcW w:w="2520" w:type="dxa"/>
            <w:tcBorders>
              <w:top w:val="nil"/>
              <w:left w:val="single" w:sz="6" w:space="0" w:color="auto"/>
              <w:bottom w:val="double" w:sz="6" w:space="0" w:color="auto"/>
              <w:right w:val="nil"/>
            </w:tcBorders>
            <w:shd w:val="clear" w:color="auto" w:fill="auto"/>
            <w:vAlign w:val="center"/>
            <w:hideMark/>
          </w:tcPr>
          <w:p w:rsidR="00092EA3" w:rsidRPr="00092EA3" w:rsidP="00001D40" w14:paraId="0F41DA57" w14:textId="1CF7D6CC">
            <w:pPr>
              <w:spacing w:after="0" w:line="276" w:lineRule="auto"/>
              <w:jc w:val="center"/>
              <w:textAlignment w:val="baseline"/>
              <w:rPr>
                <w:rFonts w:eastAsia="Times New Roman" w:cstheme="minorHAnsi"/>
              </w:rPr>
            </w:pPr>
            <w:r>
              <w:rPr>
                <w:rFonts w:eastAsia="Times New Roman" w:cstheme="minorHAnsi"/>
                <w:b/>
                <w:bCs/>
                <w:color w:val="000000"/>
              </w:rPr>
              <w:t>15,476</w:t>
            </w:r>
            <w:r w:rsidRPr="00092EA3">
              <w:rPr>
                <w:rFonts w:eastAsia="Times New Roman" w:cstheme="minorHAnsi"/>
                <w:color w:val="000000"/>
              </w:rPr>
              <w:t> </w:t>
            </w:r>
          </w:p>
        </w:tc>
        <w:tc>
          <w:tcPr>
            <w:tcW w:w="2235" w:type="dxa"/>
            <w:tcBorders>
              <w:top w:val="nil"/>
              <w:left w:val="single" w:sz="6" w:space="0" w:color="auto"/>
              <w:bottom w:val="double" w:sz="6" w:space="0" w:color="auto"/>
              <w:right w:val="double" w:sz="6" w:space="0" w:color="auto"/>
            </w:tcBorders>
            <w:shd w:val="clear" w:color="auto" w:fill="auto"/>
            <w:vAlign w:val="center"/>
            <w:hideMark/>
          </w:tcPr>
          <w:p w:rsidR="00092EA3" w:rsidRPr="00092EA3" w:rsidP="00001D40" w14:paraId="6C61FDFD" w14:textId="26C35E1C">
            <w:pPr>
              <w:spacing w:after="0" w:line="276" w:lineRule="auto"/>
              <w:jc w:val="center"/>
              <w:textAlignment w:val="baseline"/>
              <w:rPr>
                <w:rFonts w:eastAsia="Times New Roman" w:cstheme="minorHAnsi"/>
              </w:rPr>
            </w:pPr>
            <w:r w:rsidRPr="00092EA3">
              <w:rPr>
                <w:rFonts w:eastAsia="Times New Roman" w:cstheme="minorHAnsi"/>
                <w:b/>
                <w:bCs/>
                <w:color w:val="000000"/>
              </w:rPr>
              <w:t>$</w:t>
            </w:r>
            <w:r w:rsidR="009F403E">
              <w:rPr>
                <w:rFonts w:eastAsia="Times New Roman" w:cstheme="minorHAnsi"/>
                <w:b/>
                <w:bCs/>
                <w:color w:val="000000"/>
              </w:rPr>
              <w:t>1,483,268</w:t>
            </w:r>
          </w:p>
        </w:tc>
      </w:tr>
    </w:tbl>
    <w:p w:rsidR="00092EA3" w:rsidRPr="00092EA3" w:rsidP="000B432C" w14:paraId="7FDBB378" w14:textId="7790F56A">
      <w:pPr>
        <w:spacing w:after="0" w:line="276" w:lineRule="auto"/>
        <w:ind w:left="720" w:firstLine="720"/>
        <w:textAlignment w:val="baseline"/>
        <w:rPr>
          <w:rFonts w:eastAsia="Times New Roman" w:cstheme="minorHAnsi"/>
          <w:sz w:val="18"/>
          <w:szCs w:val="18"/>
        </w:rPr>
      </w:pPr>
      <w:r w:rsidRPr="00092EA3">
        <w:rPr>
          <w:rFonts w:eastAsia="Times New Roman" w:cstheme="minorHAnsi"/>
          <w:sz w:val="18"/>
          <w:szCs w:val="18"/>
          <w:vertAlign w:val="superscript"/>
        </w:rPr>
        <w:t>a</w:t>
      </w:r>
      <w:r w:rsidRPr="00092EA3">
        <w:rPr>
          <w:rFonts w:eastAsia="Times New Roman" w:cstheme="minorHAnsi"/>
          <w:sz w:val="18"/>
          <w:szCs w:val="18"/>
        </w:rPr>
        <w:t>202</w:t>
      </w:r>
      <w:r w:rsidR="003C32CC">
        <w:rPr>
          <w:rFonts w:eastAsia="Times New Roman" w:cstheme="minorHAnsi"/>
          <w:sz w:val="18"/>
          <w:szCs w:val="18"/>
        </w:rPr>
        <w:t>4</w:t>
      </w:r>
      <w:r w:rsidRPr="00092EA3">
        <w:rPr>
          <w:rFonts w:eastAsia="Times New Roman" w:cstheme="minorHAnsi"/>
          <w:sz w:val="18"/>
          <w:szCs w:val="18"/>
        </w:rPr>
        <w:t xml:space="preserve"> dollars. </w:t>
      </w:r>
    </w:p>
    <w:p w:rsidR="002E297E" w:rsidRPr="00001D40" w:rsidP="00001D40" w14:paraId="68BD36E3" w14:textId="77777777">
      <w:pPr>
        <w:spacing w:before="120" w:after="0" w:line="276" w:lineRule="auto"/>
        <w:rPr>
          <w:rStyle w:val="eop"/>
          <w:rFonts w:cstheme="minorHAnsi"/>
          <w:color w:val="000000"/>
          <w:shd w:val="clear" w:color="auto" w:fill="FFFFFF"/>
        </w:rPr>
      </w:pPr>
    </w:p>
    <w:p w:rsidR="007965EE" w:rsidP="007965EE" w14:paraId="17CD7DDE" w14:textId="77777777">
      <w:pPr>
        <w:pStyle w:val="ListParagraph"/>
        <w:spacing w:before="240" w:after="0" w:line="276" w:lineRule="auto"/>
        <w:ind w:left="360"/>
        <w:rPr>
          <w:rFonts w:eastAsia="Times New Roman" w:cstheme="minorHAnsi"/>
        </w:rPr>
      </w:pPr>
      <w:r w:rsidRPr="00001D40">
        <w:rPr>
          <w:rFonts w:eastAsiaTheme="majorEastAsia" w:cstheme="minorHAnsi"/>
          <w:b/>
          <w:bCs/>
        </w:rPr>
        <w:t xml:space="preserve">14c. </w:t>
      </w:r>
      <w:r w:rsidRPr="00001D40" w:rsidR="00D17BB9">
        <w:rPr>
          <w:rFonts w:eastAsiaTheme="majorEastAsia" w:cstheme="minorHAnsi"/>
          <w:b/>
          <w:bCs/>
        </w:rPr>
        <w:t>Agency Non-Labor Costs</w:t>
      </w:r>
      <w:r w:rsidRPr="007965EE">
        <w:rPr>
          <w:rFonts w:eastAsia="Times New Roman" w:cstheme="minorHAnsi"/>
        </w:rPr>
        <w:t xml:space="preserve"> </w:t>
      </w:r>
    </w:p>
    <w:p w:rsidR="007965EE" w:rsidRPr="001A6892" w:rsidP="007965EE" w14:paraId="3294144B" w14:textId="7F666F6C">
      <w:pPr>
        <w:pStyle w:val="ListParagraph"/>
        <w:spacing w:before="240" w:after="0" w:line="276" w:lineRule="auto"/>
        <w:ind w:left="360"/>
        <w:rPr>
          <w:rFonts w:cstheme="minorHAnsi"/>
          <w:b/>
          <w:bCs/>
        </w:rPr>
      </w:pPr>
      <w:r>
        <w:rPr>
          <w:rFonts w:eastAsia="Times New Roman" w:cstheme="minorHAnsi"/>
        </w:rPr>
        <w:t xml:space="preserve">The EPA operates and maintains a data system for the electronic submission of allowance transfers, certification of representation updates, emissions data, monitoring plans, auction bids, etc. </w:t>
      </w:r>
      <w:r w:rsidRPr="00001D40">
        <w:rPr>
          <w:rFonts w:eastAsia="Times New Roman" w:cstheme="minorHAnsi"/>
        </w:rPr>
        <w:t xml:space="preserve">EPA incurs annual operation and maintenance (O&amp;M) costs for running </w:t>
      </w:r>
      <w:r>
        <w:rPr>
          <w:rFonts w:eastAsia="Times New Roman" w:cstheme="minorHAnsi"/>
        </w:rPr>
        <w:t>the system that consists of multiple applications and databases and requires regular maintenance and</w:t>
      </w:r>
      <w:r w:rsidRPr="00001D40">
        <w:rPr>
          <w:rFonts w:eastAsia="Times New Roman" w:cstheme="minorHAnsi"/>
        </w:rPr>
        <w:t xml:space="preserve"> system </w:t>
      </w:r>
      <w:r>
        <w:rPr>
          <w:rFonts w:eastAsia="Times New Roman" w:cstheme="minorHAnsi"/>
        </w:rPr>
        <w:t xml:space="preserve">enhancements. </w:t>
      </w:r>
      <w:r w:rsidRPr="001A6892">
        <w:rPr>
          <w:rFonts w:eastAsia="Times New Roman" w:cstheme="minorHAnsi"/>
        </w:rPr>
        <w:t>The O&amp;M tasks are performed by a procured contractor and the costs for the system are estimated at $2.5 million annually.</w:t>
      </w:r>
    </w:p>
    <w:p w:rsidR="00BB3410" w:rsidRPr="00001D40" w:rsidP="00001D40" w14:paraId="7FCA1ABF" w14:textId="75DB5430">
      <w:pPr>
        <w:spacing w:before="120" w:after="0" w:line="276" w:lineRule="auto"/>
        <w:rPr>
          <w:rFonts w:cstheme="minorHAnsi"/>
          <w:b/>
          <w:bCs/>
        </w:rPr>
      </w:pPr>
    </w:p>
    <w:p w:rsidR="001A6892" w:rsidRPr="001A6892" w:rsidP="00001D40" w14:paraId="5D8ADFBF" w14:textId="77777777">
      <w:pPr>
        <w:pStyle w:val="ListParagraph"/>
        <w:numPr>
          <w:ilvl w:val="0"/>
          <w:numId w:val="3"/>
        </w:numPr>
        <w:spacing w:before="240" w:after="0" w:line="276" w:lineRule="auto"/>
        <w:rPr>
          <w:rFonts w:cstheme="minorHAnsi"/>
          <w:b/>
          <w:bCs/>
        </w:rPr>
      </w:pPr>
      <w:r w:rsidRPr="001A6892">
        <w:rPr>
          <w:rFonts w:cstheme="minorHAnsi"/>
          <w:b/>
          <w:bCs/>
        </w:rPr>
        <w:t>REASONS FOR CHANGE IN BURDEN</w:t>
      </w:r>
      <w:r>
        <w:rPr>
          <w:rFonts w:eastAsia="Times New Roman" w:cstheme="minorHAnsi"/>
        </w:rPr>
        <w:t xml:space="preserve"> </w:t>
      </w:r>
    </w:p>
    <w:bookmarkEnd w:id="20"/>
    <w:p w:rsidR="001F0834" w:rsidRPr="001A6892" w:rsidP="00001D40" w14:paraId="567B01FE" w14:textId="77777777">
      <w:pPr>
        <w:pBdr>
          <w:bottom w:val="single" w:sz="12" w:space="1" w:color="auto"/>
        </w:pBdr>
        <w:spacing w:before="60" w:line="276" w:lineRule="auto"/>
        <w:rPr>
          <w:rFonts w:cstheme="minorHAnsi"/>
          <w:bCs/>
          <w:i/>
          <w:iCs/>
        </w:rPr>
      </w:pPr>
      <w:r w:rsidRPr="001A6892">
        <w:rPr>
          <w:rFonts w:cstheme="minorHAnsi"/>
          <w:bCs/>
          <w:i/>
          <w:iCs/>
        </w:rPr>
        <w:t>Explain the reasons for any program changes or adjustments reported in the burden or capital/O&amp;M cost estimates.</w:t>
      </w:r>
    </w:p>
    <w:p w:rsidR="00ED57A4" w:rsidRPr="007965EE" w:rsidP="007965EE" w14:paraId="18F76AB6" w14:textId="54A9BF01">
      <w:pPr>
        <w:pStyle w:val="Level1"/>
        <w:widowControl/>
        <w:tabs>
          <w:tab w:val="left" w:pos="-1440"/>
          <w:tab w:val="left" w:pos="-720"/>
        </w:tabs>
        <w:spacing w:line="276" w:lineRule="auto"/>
        <w:ind w:left="0"/>
        <w:jc w:val="left"/>
        <w:rPr>
          <w:rFonts w:asciiTheme="minorHAnsi" w:hAnsiTheme="minorHAnsi" w:cstheme="minorHAnsi"/>
          <w:sz w:val="22"/>
          <w:szCs w:val="22"/>
        </w:rPr>
      </w:pPr>
      <w:r w:rsidRPr="007965EE">
        <w:rPr>
          <w:rFonts w:asciiTheme="minorHAnsi" w:hAnsiTheme="minorHAnsi" w:cstheme="minorHAnsi"/>
          <w:sz w:val="22"/>
          <w:szCs w:val="22"/>
        </w:rPr>
        <w:t xml:space="preserve">Overall, the estimated annual </w:t>
      </w:r>
      <w:r w:rsidRPr="007965EE" w:rsidR="007F62E8">
        <w:rPr>
          <w:rFonts w:asciiTheme="minorHAnsi" w:hAnsiTheme="minorHAnsi" w:cstheme="minorHAnsi"/>
          <w:sz w:val="22"/>
          <w:szCs w:val="22"/>
        </w:rPr>
        <w:t>respondent</w:t>
      </w:r>
      <w:r w:rsidRPr="007965EE">
        <w:rPr>
          <w:rFonts w:asciiTheme="minorHAnsi" w:hAnsiTheme="minorHAnsi" w:cstheme="minorHAnsi"/>
          <w:sz w:val="22"/>
          <w:szCs w:val="22"/>
        </w:rPr>
        <w:t xml:space="preserve"> burden </w:t>
      </w:r>
      <w:r w:rsidRPr="007965EE" w:rsidR="00673807">
        <w:rPr>
          <w:rFonts w:asciiTheme="minorHAnsi" w:hAnsiTheme="minorHAnsi" w:cstheme="minorHAnsi"/>
          <w:sz w:val="22"/>
          <w:szCs w:val="22"/>
        </w:rPr>
        <w:t xml:space="preserve">hours </w:t>
      </w:r>
      <w:r w:rsidRPr="007965EE" w:rsidR="00E21046">
        <w:rPr>
          <w:rFonts w:asciiTheme="minorHAnsi" w:hAnsiTheme="minorHAnsi" w:cstheme="minorHAnsi"/>
          <w:sz w:val="22"/>
          <w:szCs w:val="22"/>
        </w:rPr>
        <w:t xml:space="preserve">decreased </w:t>
      </w:r>
      <w:r w:rsidRPr="007965EE" w:rsidR="00185584">
        <w:rPr>
          <w:rFonts w:asciiTheme="minorHAnsi" w:hAnsiTheme="minorHAnsi" w:cstheme="minorHAnsi"/>
          <w:sz w:val="22"/>
          <w:szCs w:val="22"/>
        </w:rPr>
        <w:t>by approximately 3.6%</w:t>
      </w:r>
      <w:r w:rsidRPr="007965EE" w:rsidR="007C39CD">
        <w:rPr>
          <w:rFonts w:asciiTheme="minorHAnsi" w:hAnsiTheme="minorHAnsi" w:cstheme="minorHAnsi"/>
          <w:sz w:val="22"/>
          <w:szCs w:val="22"/>
        </w:rPr>
        <w:t xml:space="preserve"> from the previous ICR</w:t>
      </w:r>
      <w:r w:rsidRPr="007965EE" w:rsidR="00CD7BBD">
        <w:rPr>
          <w:rFonts w:asciiTheme="minorHAnsi" w:hAnsiTheme="minorHAnsi" w:cstheme="minorHAnsi"/>
          <w:sz w:val="22"/>
          <w:szCs w:val="22"/>
        </w:rPr>
        <w:t xml:space="preserve"> and the </w:t>
      </w:r>
      <w:r w:rsidRPr="007965EE" w:rsidR="00EA450D">
        <w:rPr>
          <w:rFonts w:asciiTheme="minorHAnsi" w:hAnsiTheme="minorHAnsi" w:cstheme="minorHAnsi"/>
          <w:sz w:val="22"/>
          <w:szCs w:val="22"/>
        </w:rPr>
        <w:t xml:space="preserve">estimate respondent capital/O&amp;M costs decreased by approximately </w:t>
      </w:r>
      <w:r w:rsidRPr="007965EE" w:rsidR="000729C3">
        <w:rPr>
          <w:rFonts w:asciiTheme="minorHAnsi" w:hAnsiTheme="minorHAnsi" w:cstheme="minorHAnsi"/>
          <w:sz w:val="22"/>
          <w:szCs w:val="22"/>
        </w:rPr>
        <w:t>4.8%</w:t>
      </w:r>
      <w:r w:rsidRPr="007965EE" w:rsidR="003B1031">
        <w:rPr>
          <w:rFonts w:asciiTheme="minorHAnsi" w:hAnsiTheme="minorHAnsi" w:cstheme="minorHAnsi"/>
          <w:sz w:val="22"/>
          <w:szCs w:val="22"/>
        </w:rPr>
        <w:t xml:space="preserve">. </w:t>
      </w:r>
      <w:r w:rsidRPr="007965EE" w:rsidR="001C09E9">
        <w:rPr>
          <w:rFonts w:asciiTheme="minorHAnsi" w:hAnsiTheme="minorHAnsi" w:cstheme="minorHAnsi"/>
          <w:sz w:val="22"/>
          <w:szCs w:val="22"/>
        </w:rPr>
        <w:t xml:space="preserve">These decreases are largely attributed </w:t>
      </w:r>
      <w:r w:rsidRPr="007965EE" w:rsidR="00A2661B">
        <w:rPr>
          <w:rFonts w:asciiTheme="minorHAnsi" w:hAnsiTheme="minorHAnsi" w:cstheme="minorHAnsi"/>
          <w:sz w:val="22"/>
          <w:szCs w:val="22"/>
        </w:rPr>
        <w:t xml:space="preserve">to the reduction in the number of Acid Rain </w:t>
      </w:r>
      <w:r w:rsidRPr="007965EE" w:rsidR="00E052DB">
        <w:rPr>
          <w:rFonts w:asciiTheme="minorHAnsi" w:hAnsiTheme="minorHAnsi" w:cstheme="minorHAnsi"/>
          <w:sz w:val="22"/>
          <w:szCs w:val="22"/>
        </w:rPr>
        <w:t xml:space="preserve">affected units due to </w:t>
      </w:r>
      <w:r w:rsidRPr="007965EE" w:rsidR="00120859">
        <w:rPr>
          <w:rFonts w:asciiTheme="minorHAnsi" w:hAnsiTheme="minorHAnsi" w:cstheme="minorHAnsi"/>
          <w:sz w:val="22"/>
          <w:szCs w:val="22"/>
        </w:rPr>
        <w:t xml:space="preserve">unit retirements. </w:t>
      </w:r>
      <w:r w:rsidRPr="007965EE" w:rsidR="00FB0E31">
        <w:rPr>
          <w:rFonts w:asciiTheme="minorHAnsi" w:hAnsiTheme="minorHAnsi" w:cstheme="minorHAnsi"/>
          <w:sz w:val="22"/>
          <w:szCs w:val="22"/>
        </w:rPr>
        <w:t xml:space="preserve">It is also due to a shift towards </w:t>
      </w:r>
      <w:r w:rsidRPr="007965EE" w:rsidR="00677691">
        <w:rPr>
          <w:rFonts w:asciiTheme="minorHAnsi" w:hAnsiTheme="minorHAnsi" w:cstheme="minorHAnsi"/>
          <w:sz w:val="22"/>
          <w:szCs w:val="22"/>
        </w:rPr>
        <w:t>less burdensome monitoring methodologies</w:t>
      </w:r>
      <w:r w:rsidRPr="007965EE" w:rsidR="00BE0A85">
        <w:rPr>
          <w:rFonts w:asciiTheme="minorHAnsi" w:hAnsiTheme="minorHAnsi" w:cstheme="minorHAnsi"/>
          <w:sz w:val="22"/>
          <w:szCs w:val="22"/>
        </w:rPr>
        <w:t xml:space="preserve">. As </w:t>
      </w:r>
      <w:r w:rsidRPr="007965EE" w:rsidR="0029537D">
        <w:rPr>
          <w:rFonts w:asciiTheme="minorHAnsi" w:hAnsiTheme="minorHAnsi" w:cstheme="minorHAnsi"/>
          <w:sz w:val="22"/>
          <w:szCs w:val="22"/>
        </w:rPr>
        <w:t>units shift to burning natural gas this</w:t>
      </w:r>
      <w:r w:rsidRPr="007965EE" w:rsidR="00677691">
        <w:rPr>
          <w:rFonts w:asciiTheme="minorHAnsi" w:hAnsiTheme="minorHAnsi" w:cstheme="minorHAnsi"/>
          <w:sz w:val="22"/>
          <w:szCs w:val="22"/>
        </w:rPr>
        <w:t xml:space="preserve"> </w:t>
      </w:r>
      <w:r w:rsidRPr="007965EE" w:rsidR="00E47E20">
        <w:rPr>
          <w:rFonts w:asciiTheme="minorHAnsi" w:hAnsiTheme="minorHAnsi" w:cstheme="minorHAnsi"/>
          <w:sz w:val="22"/>
          <w:szCs w:val="22"/>
        </w:rPr>
        <w:t xml:space="preserve">provides opportunities to use </w:t>
      </w:r>
      <w:r w:rsidRPr="007965EE" w:rsidR="001D2290">
        <w:rPr>
          <w:rFonts w:asciiTheme="minorHAnsi" w:hAnsiTheme="minorHAnsi" w:cstheme="minorHAnsi"/>
          <w:sz w:val="22"/>
          <w:szCs w:val="22"/>
        </w:rPr>
        <w:t xml:space="preserve">alternative monitoring methods </w:t>
      </w:r>
      <w:r w:rsidRPr="007965EE" w:rsidR="00BE38BB">
        <w:rPr>
          <w:rFonts w:asciiTheme="minorHAnsi" w:hAnsiTheme="minorHAnsi" w:cstheme="minorHAnsi"/>
          <w:sz w:val="22"/>
          <w:szCs w:val="22"/>
        </w:rPr>
        <w:t xml:space="preserve">which </w:t>
      </w:r>
      <w:r w:rsidRPr="007965EE" w:rsidR="00324EE7">
        <w:rPr>
          <w:rFonts w:asciiTheme="minorHAnsi" w:hAnsiTheme="minorHAnsi" w:cstheme="minorHAnsi"/>
          <w:sz w:val="22"/>
          <w:szCs w:val="22"/>
        </w:rPr>
        <w:t xml:space="preserve">require less costly equipment and require </w:t>
      </w:r>
      <w:r w:rsidRPr="007965EE" w:rsidR="00C85449">
        <w:rPr>
          <w:rFonts w:asciiTheme="minorHAnsi" w:hAnsiTheme="minorHAnsi" w:cstheme="minorHAnsi"/>
          <w:sz w:val="22"/>
          <w:szCs w:val="22"/>
        </w:rPr>
        <w:t>less</w:t>
      </w:r>
      <w:r w:rsidRPr="007965EE" w:rsidR="00C85449">
        <w:rPr>
          <w:rFonts w:asciiTheme="minorHAnsi" w:hAnsiTheme="minorHAnsi" w:cstheme="minorHAnsi"/>
          <w:sz w:val="22"/>
          <w:szCs w:val="22"/>
        </w:rPr>
        <w:t xml:space="preserve"> labor hours. </w:t>
      </w:r>
      <w:r w:rsidRPr="007965EE" w:rsidR="003E6685">
        <w:rPr>
          <w:rFonts w:asciiTheme="minorHAnsi" w:hAnsiTheme="minorHAnsi" w:cstheme="minorHAnsi"/>
          <w:sz w:val="22"/>
          <w:szCs w:val="22"/>
        </w:rPr>
        <w:t>Additio</w:t>
      </w:r>
      <w:r w:rsidRPr="007965EE" w:rsidR="002837E3">
        <w:rPr>
          <w:rFonts w:asciiTheme="minorHAnsi" w:hAnsiTheme="minorHAnsi" w:cstheme="minorHAnsi"/>
          <w:sz w:val="22"/>
          <w:szCs w:val="22"/>
        </w:rPr>
        <w:t xml:space="preserve">nally, </w:t>
      </w:r>
      <w:r w:rsidRPr="007965EE" w:rsidR="0092245C">
        <w:rPr>
          <w:rFonts w:asciiTheme="minorHAnsi" w:hAnsiTheme="minorHAnsi" w:cstheme="minorHAnsi"/>
          <w:sz w:val="22"/>
          <w:szCs w:val="22"/>
        </w:rPr>
        <w:t>with the abundance of available Acid Rain allowances</w:t>
      </w:r>
      <w:r w:rsidRPr="007965EE" w:rsidR="002837E3">
        <w:rPr>
          <w:rFonts w:asciiTheme="minorHAnsi" w:hAnsiTheme="minorHAnsi" w:cstheme="minorHAnsi"/>
          <w:sz w:val="22"/>
          <w:szCs w:val="22"/>
        </w:rPr>
        <w:t xml:space="preserve"> </w:t>
      </w:r>
      <w:r w:rsidRPr="007965EE" w:rsidR="004C27DF">
        <w:rPr>
          <w:rFonts w:asciiTheme="minorHAnsi" w:hAnsiTheme="minorHAnsi" w:cstheme="minorHAnsi"/>
          <w:sz w:val="22"/>
          <w:szCs w:val="22"/>
        </w:rPr>
        <w:t xml:space="preserve">there are less allowance transactions </w:t>
      </w:r>
      <w:r w:rsidRPr="007965EE" w:rsidR="00D66AA8">
        <w:rPr>
          <w:rFonts w:asciiTheme="minorHAnsi" w:hAnsiTheme="minorHAnsi" w:cstheme="minorHAnsi"/>
          <w:sz w:val="22"/>
          <w:szCs w:val="22"/>
        </w:rPr>
        <w:t>occurring</w:t>
      </w:r>
      <w:r w:rsidRPr="007965EE" w:rsidR="004C27DF">
        <w:rPr>
          <w:rFonts w:asciiTheme="minorHAnsi" w:hAnsiTheme="minorHAnsi" w:cstheme="minorHAnsi"/>
          <w:sz w:val="22"/>
          <w:szCs w:val="22"/>
        </w:rPr>
        <w:t xml:space="preserve"> and less participation in the Acid Rain auction.</w:t>
      </w:r>
      <w:r w:rsidRPr="007965EE" w:rsidR="007C39CD">
        <w:rPr>
          <w:rFonts w:asciiTheme="minorHAnsi" w:hAnsiTheme="minorHAnsi" w:cstheme="minorHAnsi"/>
          <w:sz w:val="22"/>
          <w:szCs w:val="22"/>
        </w:rPr>
        <w:t xml:space="preserve"> </w:t>
      </w:r>
    </w:p>
    <w:p w:rsidR="006849BA" w:rsidRPr="00001D40" w:rsidP="00001D40" w14:paraId="34F22B64" w14:textId="77777777">
      <w:pPr>
        <w:pStyle w:val="Level1"/>
        <w:widowControl/>
        <w:tabs>
          <w:tab w:val="left" w:pos="-1440"/>
          <w:tab w:val="left" w:pos="-720"/>
        </w:tabs>
        <w:spacing w:line="276" w:lineRule="auto"/>
        <w:jc w:val="left"/>
        <w:rPr>
          <w:rFonts w:asciiTheme="minorHAnsi" w:hAnsiTheme="minorHAnsi" w:cstheme="minorHAnsi"/>
          <w:sz w:val="22"/>
          <w:szCs w:val="22"/>
        </w:rPr>
      </w:pPr>
    </w:p>
    <w:p w:rsidR="008230AA" w:rsidRPr="008230AA" w:rsidP="008230AA" w14:paraId="0E213AB0" w14:textId="32581008">
      <w:pPr>
        <w:pStyle w:val="ListParagraph"/>
        <w:numPr>
          <w:ilvl w:val="0"/>
          <w:numId w:val="3"/>
        </w:numPr>
        <w:spacing w:before="240" w:after="0" w:line="276" w:lineRule="auto"/>
        <w:rPr>
          <w:rFonts w:cstheme="minorHAnsi"/>
          <w:b/>
          <w:bCs/>
        </w:rPr>
      </w:pPr>
      <w:bookmarkStart w:id="21" w:name="_Toc156593389"/>
      <w:r w:rsidRPr="008230AA">
        <w:rPr>
          <w:rFonts w:cstheme="minorHAnsi"/>
          <w:b/>
          <w:bCs/>
        </w:rPr>
        <w:t xml:space="preserve">PUBLICATION OF </w:t>
      </w:r>
      <w:bookmarkStart w:id="22" w:name="_Toc156593390"/>
      <w:bookmarkEnd w:id="21"/>
      <w:r w:rsidRPr="008230AA" w:rsidR="00E73E81">
        <w:rPr>
          <w:rFonts w:cstheme="minorHAnsi"/>
          <w:b/>
          <w:bCs/>
        </w:rPr>
        <w:t>DATA</w:t>
      </w:r>
    </w:p>
    <w:p w:rsidR="001F0834" w:rsidRPr="00001D40" w:rsidP="00001D40" w14:paraId="21A4F990" w14:textId="77777777">
      <w:pPr>
        <w:pBdr>
          <w:bottom w:val="single" w:sz="12" w:space="1" w:color="auto"/>
        </w:pBdr>
        <w:spacing w:before="60" w:line="276" w:lineRule="auto"/>
        <w:rPr>
          <w:rFonts w:cstheme="minorHAnsi"/>
          <w:bCs/>
          <w:i/>
          <w:iCs/>
        </w:rPr>
      </w:pPr>
      <w:r w:rsidRPr="00001D40">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001D40" w:rsidP="00001D40" w14:paraId="5CBE5491" w14:textId="07138652">
      <w:pPr>
        <w:pBdr>
          <w:top w:val="single" w:sz="6" w:space="0" w:color="FFFFFF"/>
          <w:left w:val="single" w:sz="6" w:space="0" w:color="FFFFFF"/>
          <w:bottom w:val="single" w:sz="6" w:space="0" w:color="FFFFFF"/>
          <w:right w:val="single" w:sz="6" w:space="0" w:color="FFFFFF"/>
        </w:pBdr>
        <w:spacing w:line="276" w:lineRule="auto"/>
        <w:rPr>
          <w:rFonts w:cstheme="minorHAnsi"/>
        </w:rPr>
      </w:pPr>
      <w:r w:rsidRPr="00001D40">
        <w:rPr>
          <w:rFonts w:cstheme="minorHAnsi"/>
        </w:rPr>
        <w:t xml:space="preserve">Data from sources regarding emissions, </w:t>
      </w:r>
      <w:r w:rsidRPr="00001D40" w:rsidR="005D2702">
        <w:rPr>
          <w:rFonts w:cstheme="minorHAnsi"/>
        </w:rPr>
        <w:t>allowances, compliance, and facility information will be published on the Clean Air Markets Program Data (CAMPD</w:t>
      </w:r>
      <w:r w:rsidRPr="00001D40" w:rsidR="001756DB">
        <w:rPr>
          <w:rFonts w:cstheme="minorHAnsi"/>
        </w:rPr>
        <w:t>) site.</w:t>
      </w:r>
      <w:r w:rsidR="00A35DDE">
        <w:rPr>
          <w:rFonts w:cstheme="minorHAnsi"/>
        </w:rPr>
        <w:t xml:space="preserve"> Data is published automatically to </w:t>
      </w:r>
      <w:r w:rsidR="00A35DDE">
        <w:rPr>
          <w:rFonts w:cstheme="minorHAnsi"/>
        </w:rPr>
        <w:t xml:space="preserve">CAMPD. Allowance transfer data is published daily, </w:t>
      </w:r>
      <w:r w:rsidR="00C05ABC">
        <w:rPr>
          <w:rFonts w:cstheme="minorHAnsi"/>
        </w:rPr>
        <w:t xml:space="preserve">emissions data is published quarterly, and compliance data is published yearly. </w:t>
      </w:r>
    </w:p>
    <w:p w:rsidR="00917BB8" w:rsidRPr="00001D40" w:rsidP="00001D40" w14:paraId="09A4D3DA" w14:textId="77777777">
      <w:pPr>
        <w:pBdr>
          <w:top w:val="single" w:sz="6" w:space="0" w:color="FFFFFF"/>
          <w:left w:val="single" w:sz="6" w:space="0" w:color="FFFFFF"/>
          <w:bottom w:val="single" w:sz="6" w:space="0" w:color="FFFFFF"/>
          <w:right w:val="single" w:sz="6" w:space="0" w:color="FFFFFF"/>
        </w:pBdr>
        <w:spacing w:line="276" w:lineRule="auto"/>
        <w:rPr>
          <w:rFonts w:cstheme="minorHAnsi"/>
        </w:rPr>
      </w:pPr>
    </w:p>
    <w:p w:rsidR="00627768" w:rsidRPr="00001D40" w:rsidP="00001D40" w14:paraId="54E9D2D0" w14:textId="67124984">
      <w:pPr>
        <w:pStyle w:val="ListParagraph"/>
        <w:numPr>
          <w:ilvl w:val="0"/>
          <w:numId w:val="3"/>
        </w:numPr>
        <w:spacing w:before="240" w:after="0" w:line="276" w:lineRule="auto"/>
        <w:rPr>
          <w:rFonts w:cstheme="minorHAnsi"/>
          <w:b/>
          <w:bCs/>
        </w:rPr>
      </w:pPr>
      <w:r w:rsidRPr="00001D40">
        <w:rPr>
          <w:rFonts w:cstheme="minorHAnsi"/>
          <w:b/>
          <w:bCs/>
        </w:rPr>
        <w:t xml:space="preserve">DISPLAY </w:t>
      </w:r>
      <w:r w:rsidRPr="00001D40" w:rsidR="00644EBE">
        <w:rPr>
          <w:rFonts w:cstheme="minorHAnsi"/>
          <w:b/>
          <w:bCs/>
        </w:rPr>
        <w:t xml:space="preserve">OF </w:t>
      </w:r>
      <w:r w:rsidRPr="00001D40" w:rsidR="000D5863">
        <w:rPr>
          <w:rFonts w:cstheme="minorHAnsi"/>
          <w:b/>
          <w:bCs/>
        </w:rPr>
        <w:t>EXPIRATION DATE</w:t>
      </w:r>
      <w:bookmarkEnd w:id="22"/>
      <w:r w:rsidRPr="00001D40" w:rsidR="00644EBE">
        <w:rPr>
          <w:rFonts w:cstheme="minorHAnsi"/>
          <w:b/>
          <w:bCs/>
        </w:rPr>
        <w:t xml:space="preserve"> </w:t>
      </w:r>
    </w:p>
    <w:p w:rsidR="001F0834" w:rsidRPr="00001D40" w:rsidP="00001D40" w14:paraId="23256265" w14:textId="77777777">
      <w:pPr>
        <w:pBdr>
          <w:bottom w:val="single" w:sz="12" w:space="1" w:color="auto"/>
        </w:pBdr>
        <w:spacing w:before="60" w:line="276" w:lineRule="auto"/>
        <w:rPr>
          <w:rFonts w:cstheme="minorHAnsi"/>
          <w:i/>
          <w:iCs/>
        </w:rPr>
      </w:pPr>
      <w:r w:rsidRPr="00001D40">
        <w:rPr>
          <w:rFonts w:cstheme="minorHAnsi"/>
          <w:i/>
          <w:iCs/>
        </w:rPr>
        <w:t>If seeking approval to not display the expiration date for OMB approval of the information collection, explain the reasons that display would be inappropriate.</w:t>
      </w:r>
    </w:p>
    <w:p w:rsidR="00ED57A4" w:rsidRPr="00001D40" w:rsidP="00001D40" w14:paraId="38543EA2" w14:textId="4C09F549">
      <w:pPr>
        <w:pBdr>
          <w:top w:val="single" w:sz="6" w:space="0" w:color="FFFFFF"/>
          <w:left w:val="single" w:sz="6" w:space="0" w:color="FFFFFF"/>
          <w:bottom w:val="single" w:sz="6" w:space="0" w:color="FFFFFF"/>
          <w:right w:val="single" w:sz="6" w:space="0" w:color="FFFFFF"/>
        </w:pBdr>
        <w:spacing w:line="276" w:lineRule="auto"/>
        <w:rPr>
          <w:rFonts w:cstheme="minorHAnsi"/>
        </w:rPr>
      </w:pPr>
      <w:r w:rsidRPr="00001D40">
        <w:rPr>
          <w:rFonts w:cstheme="minorHAnsi"/>
        </w:rPr>
        <w:t xml:space="preserve">N/A – expiration date may be displayed. </w:t>
      </w:r>
    </w:p>
    <w:p w:rsidR="001C275C" w:rsidRPr="00001D40" w:rsidP="00001D40" w14:paraId="45BE3B46" w14:textId="77777777">
      <w:pPr>
        <w:pBdr>
          <w:top w:val="single" w:sz="6" w:space="0" w:color="FFFFFF"/>
          <w:left w:val="single" w:sz="6" w:space="0" w:color="FFFFFF"/>
          <w:bottom w:val="single" w:sz="6" w:space="0" w:color="FFFFFF"/>
          <w:right w:val="single" w:sz="6" w:space="0" w:color="FFFFFF"/>
        </w:pBdr>
        <w:spacing w:line="276" w:lineRule="auto"/>
        <w:rPr>
          <w:rFonts w:cstheme="minorHAnsi"/>
        </w:rPr>
      </w:pPr>
    </w:p>
    <w:p w:rsidR="00691828" w:rsidRPr="00001D40" w:rsidP="00001D40" w14:paraId="7CCB26DD" w14:textId="4CB12282">
      <w:pPr>
        <w:pStyle w:val="ListParagraph"/>
        <w:numPr>
          <w:ilvl w:val="0"/>
          <w:numId w:val="3"/>
        </w:numPr>
        <w:spacing w:before="240" w:after="0" w:line="276" w:lineRule="auto"/>
        <w:rPr>
          <w:rFonts w:cstheme="minorHAnsi"/>
          <w:b/>
          <w:bCs/>
        </w:rPr>
      </w:pPr>
      <w:bookmarkStart w:id="23" w:name="_Toc156593391"/>
      <w:r w:rsidRPr="004B15B5">
        <w:rPr>
          <w:rFonts w:cstheme="minorHAnsi"/>
          <w:b/>
          <w:bCs/>
        </w:rPr>
        <w:t>CERTIFICATION STATEMENT</w:t>
      </w:r>
      <w:bookmarkEnd w:id="23"/>
    </w:p>
    <w:p w:rsidR="001F0834" w:rsidRPr="00001D40" w:rsidP="00001D40" w14:paraId="59893047" w14:textId="77777777">
      <w:pPr>
        <w:pBdr>
          <w:bottom w:val="single" w:sz="12" w:space="1" w:color="auto"/>
        </w:pBdr>
        <w:spacing w:before="60" w:line="276" w:lineRule="auto"/>
        <w:rPr>
          <w:rFonts w:cstheme="minorHAnsi"/>
          <w:i/>
          <w:iCs/>
        </w:rPr>
      </w:pPr>
      <w:r w:rsidRPr="00001D40">
        <w:rPr>
          <w:rFonts w:cstheme="minorHAnsi"/>
          <w:i/>
          <w:iCs/>
        </w:rPr>
        <w:t>Explain each exception to the topics of the certification statement identified in “Certification for Paperwork Reduction Act Submissions.”</w:t>
      </w:r>
    </w:p>
    <w:p w:rsidR="00BB3410" w:rsidRPr="00001D40" w:rsidP="00001D40" w14:paraId="0F10E677" w14:textId="17DA7CC7">
      <w:pPr>
        <w:pBdr>
          <w:top w:val="single" w:sz="6" w:space="0" w:color="FFFFFF"/>
          <w:left w:val="single" w:sz="6" w:space="0" w:color="FFFFFF"/>
          <w:bottom w:val="single" w:sz="6" w:space="0" w:color="FFFFFF"/>
          <w:right w:val="single" w:sz="6" w:space="0" w:color="FFFFFF"/>
        </w:pBdr>
        <w:spacing w:line="276" w:lineRule="auto"/>
        <w:rPr>
          <w:rFonts w:cstheme="minorHAnsi"/>
        </w:rPr>
        <w:sectPr>
          <w:footerReference w:type="default" r:id="rId15"/>
          <w:pgSz w:w="12240" w:h="15840"/>
          <w:pgMar w:top="1440" w:right="1440" w:bottom="1440" w:left="1440" w:header="720" w:footer="720" w:gutter="0"/>
          <w:cols w:space="720"/>
          <w:docGrid w:linePitch="360"/>
        </w:sectPr>
      </w:pPr>
      <w:r w:rsidRPr="000C028B">
        <w:rPr>
          <w:rFonts w:cstheme="minorHAnsi"/>
        </w:rPr>
        <w:t>This information collection complies with all provisions of the Certification for Paperwork Reduction Act Submiss</w:t>
      </w:r>
      <w:r w:rsidR="007965EE">
        <w:rPr>
          <w:rFonts w:cstheme="minorHAnsi"/>
        </w:rPr>
        <w:t>ions.</w:t>
      </w:r>
    </w:p>
    <w:p w:rsidR="007965EE" w:rsidRPr="007965EE" w:rsidP="007965EE" w14:paraId="1CA58D7F" w14:textId="1A44C5E0">
      <w:pPr>
        <w:tabs>
          <w:tab w:val="left" w:pos="7224"/>
        </w:tabs>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48372311"/>
      <w:docPartObj>
        <w:docPartGallery w:val="Page Numbers (Bottom of Page)"/>
        <w:docPartUnique/>
      </w:docPartObj>
    </w:sdtPr>
    <w:sdtEndPr>
      <w:rPr>
        <w:noProof/>
      </w:rPr>
    </w:sdtEndPr>
    <w:sdtContent>
      <w:p w:rsidR="002B66BD" w14:paraId="1B59560E" w14:textId="78153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B66BD" w14:paraId="4A62A83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32A32"/>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
    <w:nsid w:val="07822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0840C0"/>
    <w:multiLevelType w:val="hybridMultilevel"/>
    <w:tmpl w:val="7DAA62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9B05C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E52C63"/>
    <w:multiLevelType w:val="multilevel"/>
    <w:tmpl w:val="75802A36"/>
    <w:lvl w:ilvl="0">
      <w:start w:val="1"/>
      <w:numFmt w:val="upperRoman"/>
      <w:lvlText w:val="%1."/>
      <w:lvlJc w:val="righ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nsid w:val="0DE7057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0F4E47B4"/>
    <w:multiLevelType w:val="hybridMultilevel"/>
    <w:tmpl w:val="ECA89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595C00"/>
    <w:multiLevelType w:val="hybridMultilevel"/>
    <w:tmpl w:val="56905D4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86492"/>
    <w:multiLevelType w:val="hybridMultilevel"/>
    <w:tmpl w:val="23A013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E821A7C"/>
    <w:multiLevelType w:val="hybridMultilevel"/>
    <w:tmpl w:val="940C2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382904"/>
    <w:multiLevelType w:val="multilevel"/>
    <w:tmpl w:val="57524AFA"/>
    <w:lvl w:ilvl="0">
      <w:start w:val="1"/>
      <w:numFmt w:val="decimal"/>
      <w:lvlText w:val="%1)"/>
      <w:lvlJc w:val="left"/>
      <w:pPr>
        <w:ind w:left="360" w:hanging="360"/>
      </w:pPr>
    </w:lvl>
    <w:lvl w:ilvl="1">
      <w:start w:val="1"/>
      <w:numFmt w:val="decimal"/>
      <w:lvlText w:val="%2)"/>
      <w:lvlJc w:val="left"/>
      <w:pPr>
        <w:ind w:left="720" w:hanging="360"/>
      </w:pPr>
      <w:rPr>
        <w:rFonts w:eastAsia="Times New Roman" w:asciiTheme="minorHAnsi"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3F6BC7"/>
    <w:multiLevelType w:val="hybridMultilevel"/>
    <w:tmpl w:val="D14AA9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45A4E90"/>
    <w:multiLevelType w:val="hybridMultilevel"/>
    <w:tmpl w:val="B7AE0A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AB1967"/>
    <w:multiLevelType w:val="hybridMultilevel"/>
    <w:tmpl w:val="5C7EA56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2BB02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EAC2FD3"/>
    <w:multiLevelType w:val="hybridMultilevel"/>
    <w:tmpl w:val="80BAC7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3EB6938"/>
    <w:multiLevelType w:val="hybridMultilevel"/>
    <w:tmpl w:val="B9C8B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3E7619"/>
    <w:multiLevelType w:val="hybridMultilevel"/>
    <w:tmpl w:val="E24AAE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BE6C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AFD4D5B"/>
    <w:multiLevelType w:val="hybridMultilevel"/>
    <w:tmpl w:val="524CBE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B83CD5"/>
    <w:multiLevelType w:val="hybridMultilevel"/>
    <w:tmpl w:val="F44827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7A75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A32F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D4092A"/>
    <w:multiLevelType w:val="hybridMultilevel"/>
    <w:tmpl w:val="16AE5C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725154E"/>
    <w:multiLevelType w:val="hybridMultilevel"/>
    <w:tmpl w:val="E92AA288"/>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053501"/>
    <w:multiLevelType w:val="hybridMultilevel"/>
    <w:tmpl w:val="324635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BED1854"/>
    <w:multiLevelType w:val="hybridMultilevel"/>
    <w:tmpl w:val="0518ED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7A3407"/>
    <w:multiLevelType w:val="hybridMultilevel"/>
    <w:tmpl w:val="657E25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8C95A9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nsid w:val="5D217FE1"/>
    <w:multiLevelType w:val="hybridMultilevel"/>
    <w:tmpl w:val="AD2030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FC384D"/>
    <w:multiLevelType w:val="hybridMultilevel"/>
    <w:tmpl w:val="32B4A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886131"/>
    <w:multiLevelType w:val="hybridMultilevel"/>
    <w:tmpl w:val="9C3C13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5C630E2"/>
    <w:multiLevelType w:val="hybridMultilevel"/>
    <w:tmpl w:val="360A90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6105210"/>
    <w:multiLevelType w:val="hybridMultilevel"/>
    <w:tmpl w:val="C8BC8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BA3EAD"/>
    <w:multiLevelType w:val="hybridMultilevel"/>
    <w:tmpl w:val="8B944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F7275D"/>
    <w:multiLevelType w:val="hybridMultilevel"/>
    <w:tmpl w:val="A568F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AA135A"/>
    <w:multiLevelType w:val="hybridMultilevel"/>
    <w:tmpl w:val="104205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EB025BF"/>
    <w:multiLevelType w:val="hybridMultilevel"/>
    <w:tmpl w:val="A482A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D161A4"/>
    <w:multiLevelType w:val="hybridMultilevel"/>
    <w:tmpl w:val="35649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6719EE"/>
    <w:multiLevelType w:val="hybridMultilevel"/>
    <w:tmpl w:val="0CA0B9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9A92D4E"/>
    <w:multiLevelType w:val="hybridMultilevel"/>
    <w:tmpl w:val="82A095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A304ADC"/>
    <w:multiLevelType w:val="hybridMultilevel"/>
    <w:tmpl w:val="17661E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A962DE6"/>
    <w:multiLevelType w:val="hybridMultilevel"/>
    <w:tmpl w:val="BF92E186"/>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Wingdings" w:hAnsi="Wingdings" w:eastAsiaTheme="minorEastAsia" w:cstheme="minorBid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39490726">
    <w:abstractNumId w:val="16"/>
  </w:num>
  <w:num w:numId="2" w16cid:durableId="258569098">
    <w:abstractNumId w:val="28"/>
  </w:num>
  <w:num w:numId="3" w16cid:durableId="1015961391">
    <w:abstractNumId w:val="38"/>
  </w:num>
  <w:num w:numId="4" w16cid:durableId="1705523248">
    <w:abstractNumId w:val="9"/>
  </w:num>
  <w:num w:numId="5" w16cid:durableId="376591461">
    <w:abstractNumId w:val="36"/>
  </w:num>
  <w:num w:numId="6" w16cid:durableId="378631823">
    <w:abstractNumId w:val="13"/>
  </w:num>
  <w:num w:numId="7" w16cid:durableId="394865455">
    <w:abstractNumId w:val="32"/>
  </w:num>
  <w:num w:numId="8" w16cid:durableId="2107844566">
    <w:abstractNumId w:val="41"/>
  </w:num>
  <w:num w:numId="9" w16cid:durableId="1103764964">
    <w:abstractNumId w:val="42"/>
  </w:num>
  <w:num w:numId="10" w16cid:durableId="64306416">
    <w:abstractNumId w:val="45"/>
  </w:num>
  <w:num w:numId="11" w16cid:durableId="1122310599">
    <w:abstractNumId w:val="24"/>
  </w:num>
  <w:num w:numId="12" w16cid:durableId="1980375387">
    <w:abstractNumId w:val="29"/>
  </w:num>
  <w:num w:numId="13" w16cid:durableId="158081054">
    <w:abstractNumId w:val="37"/>
  </w:num>
  <w:num w:numId="14" w16cid:durableId="171536233">
    <w:abstractNumId w:val="27"/>
  </w:num>
  <w:num w:numId="15" w16cid:durableId="1590624590">
    <w:abstractNumId w:val="26"/>
  </w:num>
  <w:num w:numId="16" w16cid:durableId="1481187177">
    <w:abstractNumId w:val="17"/>
  </w:num>
  <w:num w:numId="17" w16cid:durableId="1979073004">
    <w:abstractNumId w:val="21"/>
  </w:num>
  <w:num w:numId="18" w16cid:durableId="729227732">
    <w:abstractNumId w:val="43"/>
  </w:num>
  <w:num w:numId="19" w16cid:durableId="737704107">
    <w:abstractNumId w:val="6"/>
  </w:num>
  <w:num w:numId="20" w16cid:durableId="446126562">
    <w:abstractNumId w:val="39"/>
  </w:num>
  <w:num w:numId="21" w16cid:durableId="857499340">
    <w:abstractNumId w:val="33"/>
  </w:num>
  <w:num w:numId="22" w16cid:durableId="265112470">
    <w:abstractNumId w:val="2"/>
  </w:num>
  <w:num w:numId="23" w16cid:durableId="2121491074">
    <w:abstractNumId w:val="40"/>
  </w:num>
  <w:num w:numId="24" w16cid:durableId="897858272">
    <w:abstractNumId w:val="35"/>
  </w:num>
  <w:num w:numId="25" w16cid:durableId="1927763389">
    <w:abstractNumId w:val="5"/>
  </w:num>
  <w:num w:numId="26" w16cid:durableId="821197046">
    <w:abstractNumId w:val="30"/>
  </w:num>
  <w:num w:numId="27" w16cid:durableId="2018192379">
    <w:abstractNumId w:val="7"/>
  </w:num>
  <w:num w:numId="28" w16cid:durableId="851145664">
    <w:abstractNumId w:val="11"/>
  </w:num>
  <w:num w:numId="29" w16cid:durableId="1716273879">
    <w:abstractNumId w:val="44"/>
  </w:num>
  <w:num w:numId="30" w16cid:durableId="201745224">
    <w:abstractNumId w:val="3"/>
  </w:num>
  <w:num w:numId="31" w16cid:durableId="1168327188">
    <w:abstractNumId w:val="22"/>
  </w:num>
  <w:num w:numId="32" w16cid:durableId="480191781">
    <w:abstractNumId w:val="14"/>
  </w:num>
  <w:num w:numId="33" w16cid:durableId="982807613">
    <w:abstractNumId w:val="1"/>
  </w:num>
  <w:num w:numId="34" w16cid:durableId="635454308">
    <w:abstractNumId w:val="8"/>
  </w:num>
  <w:num w:numId="35" w16cid:durableId="1477531811">
    <w:abstractNumId w:val="18"/>
  </w:num>
  <w:num w:numId="36" w16cid:durableId="1538926616">
    <w:abstractNumId w:val="34"/>
  </w:num>
  <w:num w:numId="37" w16cid:durableId="111828687">
    <w:abstractNumId w:val="31"/>
  </w:num>
  <w:num w:numId="38" w16cid:durableId="1090352771">
    <w:abstractNumId w:val="10"/>
  </w:num>
  <w:num w:numId="39" w16cid:durableId="570694352">
    <w:abstractNumId w:val="25"/>
  </w:num>
  <w:num w:numId="40" w16cid:durableId="2048870256">
    <w:abstractNumId w:val="15"/>
  </w:num>
  <w:num w:numId="41" w16cid:durableId="916789622">
    <w:abstractNumId w:val="0"/>
  </w:num>
  <w:num w:numId="42" w16cid:durableId="544756118">
    <w:abstractNumId w:val="4"/>
  </w:num>
  <w:num w:numId="43" w16cid:durableId="1173378101">
    <w:abstractNumId w:val="19"/>
  </w:num>
  <w:num w:numId="44" w16cid:durableId="1505241195">
    <w:abstractNumId w:val="23"/>
  </w:num>
  <w:num w:numId="45" w16cid:durableId="516122576">
    <w:abstractNumId w:val="12"/>
  </w:num>
  <w:num w:numId="46" w16cid:durableId="266736758">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1D40"/>
    <w:rsid w:val="0000329D"/>
    <w:rsid w:val="00003D64"/>
    <w:rsid w:val="00004678"/>
    <w:rsid w:val="0000475B"/>
    <w:rsid w:val="000069C3"/>
    <w:rsid w:val="00006C95"/>
    <w:rsid w:val="00007298"/>
    <w:rsid w:val="00007FB5"/>
    <w:rsid w:val="000104B1"/>
    <w:rsid w:val="00010798"/>
    <w:rsid w:val="00010EEE"/>
    <w:rsid w:val="00011AE3"/>
    <w:rsid w:val="00011CC2"/>
    <w:rsid w:val="000129E1"/>
    <w:rsid w:val="00013852"/>
    <w:rsid w:val="00013910"/>
    <w:rsid w:val="00013CE8"/>
    <w:rsid w:val="00014B10"/>
    <w:rsid w:val="00015FF6"/>
    <w:rsid w:val="0001637F"/>
    <w:rsid w:val="00016C84"/>
    <w:rsid w:val="00017B90"/>
    <w:rsid w:val="00020791"/>
    <w:rsid w:val="0002138D"/>
    <w:rsid w:val="00021FE9"/>
    <w:rsid w:val="00023EFE"/>
    <w:rsid w:val="000267E1"/>
    <w:rsid w:val="00027C4B"/>
    <w:rsid w:val="00030670"/>
    <w:rsid w:val="0003166C"/>
    <w:rsid w:val="00032552"/>
    <w:rsid w:val="00032B97"/>
    <w:rsid w:val="00033219"/>
    <w:rsid w:val="0003488B"/>
    <w:rsid w:val="000368CF"/>
    <w:rsid w:val="00036CF2"/>
    <w:rsid w:val="00036EB1"/>
    <w:rsid w:val="00037107"/>
    <w:rsid w:val="00037A4F"/>
    <w:rsid w:val="00040A17"/>
    <w:rsid w:val="00041120"/>
    <w:rsid w:val="00041D28"/>
    <w:rsid w:val="00042F77"/>
    <w:rsid w:val="000434C2"/>
    <w:rsid w:val="00043BCC"/>
    <w:rsid w:val="0004467E"/>
    <w:rsid w:val="000452DC"/>
    <w:rsid w:val="00045668"/>
    <w:rsid w:val="000461BA"/>
    <w:rsid w:val="00047160"/>
    <w:rsid w:val="0004774E"/>
    <w:rsid w:val="000502BF"/>
    <w:rsid w:val="00050527"/>
    <w:rsid w:val="00050974"/>
    <w:rsid w:val="00050BB4"/>
    <w:rsid w:val="00050D1D"/>
    <w:rsid w:val="0005101B"/>
    <w:rsid w:val="00051045"/>
    <w:rsid w:val="000514D8"/>
    <w:rsid w:val="000519D2"/>
    <w:rsid w:val="00053570"/>
    <w:rsid w:val="000544D0"/>
    <w:rsid w:val="000555F6"/>
    <w:rsid w:val="0005572E"/>
    <w:rsid w:val="00055829"/>
    <w:rsid w:val="0005629D"/>
    <w:rsid w:val="0005783D"/>
    <w:rsid w:val="00057F84"/>
    <w:rsid w:val="00060163"/>
    <w:rsid w:val="0006085E"/>
    <w:rsid w:val="0006128A"/>
    <w:rsid w:val="00061A77"/>
    <w:rsid w:val="00061BCE"/>
    <w:rsid w:val="000628A9"/>
    <w:rsid w:val="00063CA7"/>
    <w:rsid w:val="00063F44"/>
    <w:rsid w:val="000648D1"/>
    <w:rsid w:val="00065167"/>
    <w:rsid w:val="00065411"/>
    <w:rsid w:val="00066059"/>
    <w:rsid w:val="00067D2F"/>
    <w:rsid w:val="00070074"/>
    <w:rsid w:val="0007045F"/>
    <w:rsid w:val="00070797"/>
    <w:rsid w:val="00070C3A"/>
    <w:rsid w:val="000717CC"/>
    <w:rsid w:val="00071B97"/>
    <w:rsid w:val="00071C7B"/>
    <w:rsid w:val="000728E0"/>
    <w:rsid w:val="000729C3"/>
    <w:rsid w:val="00073116"/>
    <w:rsid w:val="000732CB"/>
    <w:rsid w:val="00073C3D"/>
    <w:rsid w:val="00074836"/>
    <w:rsid w:val="00074917"/>
    <w:rsid w:val="00074E51"/>
    <w:rsid w:val="00075C7A"/>
    <w:rsid w:val="000762A8"/>
    <w:rsid w:val="00076439"/>
    <w:rsid w:val="00076F0F"/>
    <w:rsid w:val="000772CB"/>
    <w:rsid w:val="00077391"/>
    <w:rsid w:val="00077D8A"/>
    <w:rsid w:val="000802AC"/>
    <w:rsid w:val="000805AF"/>
    <w:rsid w:val="0008085E"/>
    <w:rsid w:val="00081CB2"/>
    <w:rsid w:val="000825AD"/>
    <w:rsid w:val="00082A72"/>
    <w:rsid w:val="00083D4A"/>
    <w:rsid w:val="00083DBC"/>
    <w:rsid w:val="00084BF3"/>
    <w:rsid w:val="0008598A"/>
    <w:rsid w:val="00085FEF"/>
    <w:rsid w:val="00087E0E"/>
    <w:rsid w:val="00090317"/>
    <w:rsid w:val="00090627"/>
    <w:rsid w:val="000906D5"/>
    <w:rsid w:val="00090750"/>
    <w:rsid w:val="000911D6"/>
    <w:rsid w:val="00091EB4"/>
    <w:rsid w:val="0009219E"/>
    <w:rsid w:val="00092374"/>
    <w:rsid w:val="000925BD"/>
    <w:rsid w:val="00092EA3"/>
    <w:rsid w:val="000934CD"/>
    <w:rsid w:val="00093C6D"/>
    <w:rsid w:val="00093DC2"/>
    <w:rsid w:val="00093F38"/>
    <w:rsid w:val="00094023"/>
    <w:rsid w:val="0009492C"/>
    <w:rsid w:val="000958F0"/>
    <w:rsid w:val="00095F01"/>
    <w:rsid w:val="00097198"/>
    <w:rsid w:val="000978FD"/>
    <w:rsid w:val="00097F4D"/>
    <w:rsid w:val="000A0CE6"/>
    <w:rsid w:val="000A1198"/>
    <w:rsid w:val="000A11F1"/>
    <w:rsid w:val="000A170A"/>
    <w:rsid w:val="000A397C"/>
    <w:rsid w:val="000A4527"/>
    <w:rsid w:val="000A5DDD"/>
    <w:rsid w:val="000A6C1A"/>
    <w:rsid w:val="000A76C0"/>
    <w:rsid w:val="000B0366"/>
    <w:rsid w:val="000B20C4"/>
    <w:rsid w:val="000B2171"/>
    <w:rsid w:val="000B296A"/>
    <w:rsid w:val="000B2AE2"/>
    <w:rsid w:val="000B3576"/>
    <w:rsid w:val="000B432C"/>
    <w:rsid w:val="000B461B"/>
    <w:rsid w:val="000B480D"/>
    <w:rsid w:val="000B668F"/>
    <w:rsid w:val="000B6F62"/>
    <w:rsid w:val="000B7BBA"/>
    <w:rsid w:val="000C028B"/>
    <w:rsid w:val="000C0594"/>
    <w:rsid w:val="000C0A5C"/>
    <w:rsid w:val="000C11E3"/>
    <w:rsid w:val="000C264D"/>
    <w:rsid w:val="000C28B6"/>
    <w:rsid w:val="000C41A7"/>
    <w:rsid w:val="000C43C8"/>
    <w:rsid w:val="000C4DBA"/>
    <w:rsid w:val="000C4E92"/>
    <w:rsid w:val="000C608D"/>
    <w:rsid w:val="000D0285"/>
    <w:rsid w:val="000D1A38"/>
    <w:rsid w:val="000D1C12"/>
    <w:rsid w:val="000D224E"/>
    <w:rsid w:val="000D251E"/>
    <w:rsid w:val="000D2D5D"/>
    <w:rsid w:val="000D2ECF"/>
    <w:rsid w:val="000D3C22"/>
    <w:rsid w:val="000D3F1F"/>
    <w:rsid w:val="000D45B2"/>
    <w:rsid w:val="000D4C94"/>
    <w:rsid w:val="000D516A"/>
    <w:rsid w:val="000D5863"/>
    <w:rsid w:val="000D5FAE"/>
    <w:rsid w:val="000D6CF0"/>
    <w:rsid w:val="000D6FA4"/>
    <w:rsid w:val="000E1158"/>
    <w:rsid w:val="000E184B"/>
    <w:rsid w:val="000E19CB"/>
    <w:rsid w:val="000E1FE8"/>
    <w:rsid w:val="000E2863"/>
    <w:rsid w:val="000E3182"/>
    <w:rsid w:val="000E3298"/>
    <w:rsid w:val="000E348B"/>
    <w:rsid w:val="000E34D3"/>
    <w:rsid w:val="000E3986"/>
    <w:rsid w:val="000E3B25"/>
    <w:rsid w:val="000E5609"/>
    <w:rsid w:val="000E5BC8"/>
    <w:rsid w:val="000E7410"/>
    <w:rsid w:val="000E7DC1"/>
    <w:rsid w:val="000F0186"/>
    <w:rsid w:val="000F29EE"/>
    <w:rsid w:val="000F2BEB"/>
    <w:rsid w:val="000F338A"/>
    <w:rsid w:val="000F37F7"/>
    <w:rsid w:val="000F3AC3"/>
    <w:rsid w:val="000F40D6"/>
    <w:rsid w:val="000F4DBB"/>
    <w:rsid w:val="000F505F"/>
    <w:rsid w:val="000F5A5F"/>
    <w:rsid w:val="000F5B30"/>
    <w:rsid w:val="000F6D04"/>
    <w:rsid w:val="000F718B"/>
    <w:rsid w:val="000F7669"/>
    <w:rsid w:val="000F7FE8"/>
    <w:rsid w:val="00100432"/>
    <w:rsid w:val="0010043D"/>
    <w:rsid w:val="00100499"/>
    <w:rsid w:val="001006DD"/>
    <w:rsid w:val="00100BF7"/>
    <w:rsid w:val="00100FA6"/>
    <w:rsid w:val="0010106E"/>
    <w:rsid w:val="00101362"/>
    <w:rsid w:val="0010158E"/>
    <w:rsid w:val="00101CBD"/>
    <w:rsid w:val="00101E74"/>
    <w:rsid w:val="0010258D"/>
    <w:rsid w:val="00102EE5"/>
    <w:rsid w:val="00103C79"/>
    <w:rsid w:val="00103DD8"/>
    <w:rsid w:val="001040C3"/>
    <w:rsid w:val="00105573"/>
    <w:rsid w:val="00105F52"/>
    <w:rsid w:val="001063CB"/>
    <w:rsid w:val="00106C2C"/>
    <w:rsid w:val="00107505"/>
    <w:rsid w:val="00107CF9"/>
    <w:rsid w:val="0011032D"/>
    <w:rsid w:val="00111663"/>
    <w:rsid w:val="0011195E"/>
    <w:rsid w:val="00112205"/>
    <w:rsid w:val="00112360"/>
    <w:rsid w:val="0011242E"/>
    <w:rsid w:val="001125B5"/>
    <w:rsid w:val="00112675"/>
    <w:rsid w:val="00113BB4"/>
    <w:rsid w:val="00113F7D"/>
    <w:rsid w:val="001141DA"/>
    <w:rsid w:val="00116064"/>
    <w:rsid w:val="001165FA"/>
    <w:rsid w:val="001172FE"/>
    <w:rsid w:val="00117BAF"/>
    <w:rsid w:val="00117FE1"/>
    <w:rsid w:val="00120445"/>
    <w:rsid w:val="001206C5"/>
    <w:rsid w:val="00120859"/>
    <w:rsid w:val="00121AB6"/>
    <w:rsid w:val="00121B0C"/>
    <w:rsid w:val="00123288"/>
    <w:rsid w:val="00124271"/>
    <w:rsid w:val="001246A8"/>
    <w:rsid w:val="001250DA"/>
    <w:rsid w:val="00125565"/>
    <w:rsid w:val="00127D3A"/>
    <w:rsid w:val="0013006A"/>
    <w:rsid w:val="00130CF9"/>
    <w:rsid w:val="001310E0"/>
    <w:rsid w:val="00131CC4"/>
    <w:rsid w:val="00132921"/>
    <w:rsid w:val="001329B3"/>
    <w:rsid w:val="00133BDD"/>
    <w:rsid w:val="001342DB"/>
    <w:rsid w:val="00135EAD"/>
    <w:rsid w:val="00136237"/>
    <w:rsid w:val="00136E1A"/>
    <w:rsid w:val="00136EE8"/>
    <w:rsid w:val="00137A85"/>
    <w:rsid w:val="00137EB8"/>
    <w:rsid w:val="001405A8"/>
    <w:rsid w:val="00141080"/>
    <w:rsid w:val="001437DE"/>
    <w:rsid w:val="00144C05"/>
    <w:rsid w:val="00145150"/>
    <w:rsid w:val="00145567"/>
    <w:rsid w:val="00145D28"/>
    <w:rsid w:val="00145DAE"/>
    <w:rsid w:val="00146E47"/>
    <w:rsid w:val="001476BB"/>
    <w:rsid w:val="00147B68"/>
    <w:rsid w:val="0015084F"/>
    <w:rsid w:val="00150AE6"/>
    <w:rsid w:val="00150DF5"/>
    <w:rsid w:val="00152A80"/>
    <w:rsid w:val="00152BCE"/>
    <w:rsid w:val="00154B0D"/>
    <w:rsid w:val="00154F24"/>
    <w:rsid w:val="00156055"/>
    <w:rsid w:val="001574C4"/>
    <w:rsid w:val="00160461"/>
    <w:rsid w:val="001615A2"/>
    <w:rsid w:val="00161846"/>
    <w:rsid w:val="00161E15"/>
    <w:rsid w:val="001627CB"/>
    <w:rsid w:val="001629D7"/>
    <w:rsid w:val="001636DA"/>
    <w:rsid w:val="001637BC"/>
    <w:rsid w:val="00163C69"/>
    <w:rsid w:val="00164169"/>
    <w:rsid w:val="001649DE"/>
    <w:rsid w:val="0016529F"/>
    <w:rsid w:val="00165899"/>
    <w:rsid w:val="00165EA2"/>
    <w:rsid w:val="0016677A"/>
    <w:rsid w:val="00166B27"/>
    <w:rsid w:val="00166FFE"/>
    <w:rsid w:val="00170329"/>
    <w:rsid w:val="00170689"/>
    <w:rsid w:val="0017071D"/>
    <w:rsid w:val="00170AE5"/>
    <w:rsid w:val="00170E4A"/>
    <w:rsid w:val="00170EB8"/>
    <w:rsid w:val="00171DC0"/>
    <w:rsid w:val="00173422"/>
    <w:rsid w:val="00173E50"/>
    <w:rsid w:val="0017432C"/>
    <w:rsid w:val="00174790"/>
    <w:rsid w:val="001756DB"/>
    <w:rsid w:val="00176A45"/>
    <w:rsid w:val="00176BA8"/>
    <w:rsid w:val="00177388"/>
    <w:rsid w:val="001775F3"/>
    <w:rsid w:val="00180511"/>
    <w:rsid w:val="001806AB"/>
    <w:rsid w:val="00180790"/>
    <w:rsid w:val="001808DB"/>
    <w:rsid w:val="001815FE"/>
    <w:rsid w:val="00181720"/>
    <w:rsid w:val="00181864"/>
    <w:rsid w:val="00181A18"/>
    <w:rsid w:val="00184011"/>
    <w:rsid w:val="001850A5"/>
    <w:rsid w:val="00185251"/>
    <w:rsid w:val="00185584"/>
    <w:rsid w:val="00187C6A"/>
    <w:rsid w:val="00190118"/>
    <w:rsid w:val="00191125"/>
    <w:rsid w:val="0019149E"/>
    <w:rsid w:val="0019182F"/>
    <w:rsid w:val="0019196F"/>
    <w:rsid w:val="00191C72"/>
    <w:rsid w:val="001925B3"/>
    <w:rsid w:val="0019274D"/>
    <w:rsid w:val="00193CB3"/>
    <w:rsid w:val="00194D41"/>
    <w:rsid w:val="0019580A"/>
    <w:rsid w:val="00195BEB"/>
    <w:rsid w:val="00197A23"/>
    <w:rsid w:val="001A17FF"/>
    <w:rsid w:val="001A1B6C"/>
    <w:rsid w:val="001A20B0"/>
    <w:rsid w:val="001A2118"/>
    <w:rsid w:val="001A21A7"/>
    <w:rsid w:val="001A3351"/>
    <w:rsid w:val="001A4AA1"/>
    <w:rsid w:val="001A4AEE"/>
    <w:rsid w:val="001A5096"/>
    <w:rsid w:val="001A53A7"/>
    <w:rsid w:val="001A5FD2"/>
    <w:rsid w:val="001A6892"/>
    <w:rsid w:val="001A7235"/>
    <w:rsid w:val="001A76B3"/>
    <w:rsid w:val="001A7DEF"/>
    <w:rsid w:val="001B0007"/>
    <w:rsid w:val="001B068C"/>
    <w:rsid w:val="001B0ED4"/>
    <w:rsid w:val="001B1773"/>
    <w:rsid w:val="001B1962"/>
    <w:rsid w:val="001B2C1F"/>
    <w:rsid w:val="001B2D25"/>
    <w:rsid w:val="001B3A92"/>
    <w:rsid w:val="001B4565"/>
    <w:rsid w:val="001B46D7"/>
    <w:rsid w:val="001B4BEC"/>
    <w:rsid w:val="001B65B0"/>
    <w:rsid w:val="001B7A34"/>
    <w:rsid w:val="001B7B47"/>
    <w:rsid w:val="001C0151"/>
    <w:rsid w:val="001C09E9"/>
    <w:rsid w:val="001C260A"/>
    <w:rsid w:val="001C275C"/>
    <w:rsid w:val="001C2D48"/>
    <w:rsid w:val="001C3106"/>
    <w:rsid w:val="001C33FD"/>
    <w:rsid w:val="001C3D5A"/>
    <w:rsid w:val="001C4634"/>
    <w:rsid w:val="001C466F"/>
    <w:rsid w:val="001C484E"/>
    <w:rsid w:val="001C5F89"/>
    <w:rsid w:val="001C6741"/>
    <w:rsid w:val="001C71C6"/>
    <w:rsid w:val="001C7470"/>
    <w:rsid w:val="001C78AA"/>
    <w:rsid w:val="001C7D52"/>
    <w:rsid w:val="001D01BB"/>
    <w:rsid w:val="001D0E93"/>
    <w:rsid w:val="001D1A69"/>
    <w:rsid w:val="001D2290"/>
    <w:rsid w:val="001D294E"/>
    <w:rsid w:val="001D3AF0"/>
    <w:rsid w:val="001D47F8"/>
    <w:rsid w:val="001D4CDC"/>
    <w:rsid w:val="001D4D40"/>
    <w:rsid w:val="001D4F2F"/>
    <w:rsid w:val="001D51D8"/>
    <w:rsid w:val="001D5CED"/>
    <w:rsid w:val="001D6826"/>
    <w:rsid w:val="001E0924"/>
    <w:rsid w:val="001E211E"/>
    <w:rsid w:val="001E2663"/>
    <w:rsid w:val="001E3163"/>
    <w:rsid w:val="001E3A31"/>
    <w:rsid w:val="001E4005"/>
    <w:rsid w:val="001E43D7"/>
    <w:rsid w:val="001E4CAC"/>
    <w:rsid w:val="001E534A"/>
    <w:rsid w:val="001E548A"/>
    <w:rsid w:val="001E5520"/>
    <w:rsid w:val="001E55ED"/>
    <w:rsid w:val="001E601A"/>
    <w:rsid w:val="001E6560"/>
    <w:rsid w:val="001E6E50"/>
    <w:rsid w:val="001E7357"/>
    <w:rsid w:val="001E7480"/>
    <w:rsid w:val="001E74E1"/>
    <w:rsid w:val="001E7645"/>
    <w:rsid w:val="001F0834"/>
    <w:rsid w:val="001F0D3B"/>
    <w:rsid w:val="001F0E87"/>
    <w:rsid w:val="001F1A52"/>
    <w:rsid w:val="001F1F14"/>
    <w:rsid w:val="001F1FBD"/>
    <w:rsid w:val="001F34A5"/>
    <w:rsid w:val="001F370A"/>
    <w:rsid w:val="001F394E"/>
    <w:rsid w:val="001F5541"/>
    <w:rsid w:val="001F5B74"/>
    <w:rsid w:val="001F75D9"/>
    <w:rsid w:val="001F7B1A"/>
    <w:rsid w:val="001F7DF2"/>
    <w:rsid w:val="001F7FE9"/>
    <w:rsid w:val="0020142E"/>
    <w:rsid w:val="00201886"/>
    <w:rsid w:val="00201D7E"/>
    <w:rsid w:val="0020460F"/>
    <w:rsid w:val="002049EF"/>
    <w:rsid w:val="002064A4"/>
    <w:rsid w:val="002067A5"/>
    <w:rsid w:val="0020779E"/>
    <w:rsid w:val="0021061D"/>
    <w:rsid w:val="00210F2E"/>
    <w:rsid w:val="00211627"/>
    <w:rsid w:val="00212189"/>
    <w:rsid w:val="002131D2"/>
    <w:rsid w:val="0021345A"/>
    <w:rsid w:val="0021385C"/>
    <w:rsid w:val="00213AE6"/>
    <w:rsid w:val="00215ADF"/>
    <w:rsid w:val="00215F3A"/>
    <w:rsid w:val="00216C6A"/>
    <w:rsid w:val="00217798"/>
    <w:rsid w:val="0021788C"/>
    <w:rsid w:val="00220258"/>
    <w:rsid w:val="00220C09"/>
    <w:rsid w:val="00221E09"/>
    <w:rsid w:val="00222530"/>
    <w:rsid w:val="0022259D"/>
    <w:rsid w:val="0022416D"/>
    <w:rsid w:val="00224BB3"/>
    <w:rsid w:val="00224D61"/>
    <w:rsid w:val="00224F14"/>
    <w:rsid w:val="002269B8"/>
    <w:rsid w:val="00226D49"/>
    <w:rsid w:val="0022710C"/>
    <w:rsid w:val="002272EE"/>
    <w:rsid w:val="00227759"/>
    <w:rsid w:val="00230F45"/>
    <w:rsid w:val="00232565"/>
    <w:rsid w:val="00232895"/>
    <w:rsid w:val="00232F49"/>
    <w:rsid w:val="00233342"/>
    <w:rsid w:val="002335AB"/>
    <w:rsid w:val="00233E53"/>
    <w:rsid w:val="00234B8D"/>
    <w:rsid w:val="00235E79"/>
    <w:rsid w:val="002360BC"/>
    <w:rsid w:val="00236EFC"/>
    <w:rsid w:val="00237408"/>
    <w:rsid w:val="00237A2C"/>
    <w:rsid w:val="002409A3"/>
    <w:rsid w:val="00240B80"/>
    <w:rsid w:val="00240F23"/>
    <w:rsid w:val="00241350"/>
    <w:rsid w:val="0024175E"/>
    <w:rsid w:val="002420F2"/>
    <w:rsid w:val="00243766"/>
    <w:rsid w:val="00245157"/>
    <w:rsid w:val="002455F0"/>
    <w:rsid w:val="0024599B"/>
    <w:rsid w:val="00246A7E"/>
    <w:rsid w:val="00246AD4"/>
    <w:rsid w:val="00246C59"/>
    <w:rsid w:val="00246C79"/>
    <w:rsid w:val="00247198"/>
    <w:rsid w:val="0025051F"/>
    <w:rsid w:val="002508B8"/>
    <w:rsid w:val="00250A38"/>
    <w:rsid w:val="00250E41"/>
    <w:rsid w:val="00251151"/>
    <w:rsid w:val="0025234A"/>
    <w:rsid w:val="00252974"/>
    <w:rsid w:val="00252A4E"/>
    <w:rsid w:val="0025319A"/>
    <w:rsid w:val="00253410"/>
    <w:rsid w:val="00253C93"/>
    <w:rsid w:val="0025617C"/>
    <w:rsid w:val="00256C87"/>
    <w:rsid w:val="0026050F"/>
    <w:rsid w:val="00260FB7"/>
    <w:rsid w:val="002618D6"/>
    <w:rsid w:val="00262801"/>
    <w:rsid w:val="002648CF"/>
    <w:rsid w:val="00265FE7"/>
    <w:rsid w:val="002663C2"/>
    <w:rsid w:val="00266DAC"/>
    <w:rsid w:val="00270240"/>
    <w:rsid w:val="00270940"/>
    <w:rsid w:val="00270C08"/>
    <w:rsid w:val="002711A4"/>
    <w:rsid w:val="002718C5"/>
    <w:rsid w:val="00271B7E"/>
    <w:rsid w:val="002734DD"/>
    <w:rsid w:val="00276640"/>
    <w:rsid w:val="00277A03"/>
    <w:rsid w:val="00277DCD"/>
    <w:rsid w:val="00280751"/>
    <w:rsid w:val="0028126B"/>
    <w:rsid w:val="002817EE"/>
    <w:rsid w:val="00281F33"/>
    <w:rsid w:val="0028226C"/>
    <w:rsid w:val="0028340E"/>
    <w:rsid w:val="00283764"/>
    <w:rsid w:val="002837E3"/>
    <w:rsid w:val="00283AE9"/>
    <w:rsid w:val="00283C66"/>
    <w:rsid w:val="002847BB"/>
    <w:rsid w:val="00285782"/>
    <w:rsid w:val="00285A68"/>
    <w:rsid w:val="00285BEB"/>
    <w:rsid w:val="00285E95"/>
    <w:rsid w:val="00286298"/>
    <w:rsid w:val="00286861"/>
    <w:rsid w:val="00286FA0"/>
    <w:rsid w:val="0028780C"/>
    <w:rsid w:val="00287F94"/>
    <w:rsid w:val="002900DD"/>
    <w:rsid w:val="00290140"/>
    <w:rsid w:val="00290BEB"/>
    <w:rsid w:val="00290EA4"/>
    <w:rsid w:val="00291064"/>
    <w:rsid w:val="00291493"/>
    <w:rsid w:val="00291589"/>
    <w:rsid w:val="002919A7"/>
    <w:rsid w:val="00292A63"/>
    <w:rsid w:val="0029537D"/>
    <w:rsid w:val="002956B0"/>
    <w:rsid w:val="002974C6"/>
    <w:rsid w:val="0029755D"/>
    <w:rsid w:val="002975D3"/>
    <w:rsid w:val="002A0DB3"/>
    <w:rsid w:val="002A31D1"/>
    <w:rsid w:val="002A43D0"/>
    <w:rsid w:val="002A5719"/>
    <w:rsid w:val="002A6075"/>
    <w:rsid w:val="002A676B"/>
    <w:rsid w:val="002A6E4E"/>
    <w:rsid w:val="002A76CB"/>
    <w:rsid w:val="002A774D"/>
    <w:rsid w:val="002A7860"/>
    <w:rsid w:val="002A78D3"/>
    <w:rsid w:val="002B0036"/>
    <w:rsid w:val="002B2C99"/>
    <w:rsid w:val="002B2DCC"/>
    <w:rsid w:val="002B4615"/>
    <w:rsid w:val="002B66BD"/>
    <w:rsid w:val="002B66E5"/>
    <w:rsid w:val="002B6785"/>
    <w:rsid w:val="002B726A"/>
    <w:rsid w:val="002B7383"/>
    <w:rsid w:val="002B73F1"/>
    <w:rsid w:val="002B76DC"/>
    <w:rsid w:val="002B77A2"/>
    <w:rsid w:val="002B7E6A"/>
    <w:rsid w:val="002C0623"/>
    <w:rsid w:val="002C1365"/>
    <w:rsid w:val="002C1434"/>
    <w:rsid w:val="002C1646"/>
    <w:rsid w:val="002C202A"/>
    <w:rsid w:val="002C261B"/>
    <w:rsid w:val="002C37CB"/>
    <w:rsid w:val="002C4713"/>
    <w:rsid w:val="002C48F5"/>
    <w:rsid w:val="002C6166"/>
    <w:rsid w:val="002C70CC"/>
    <w:rsid w:val="002C76BE"/>
    <w:rsid w:val="002C7DDE"/>
    <w:rsid w:val="002D12DD"/>
    <w:rsid w:val="002D20FC"/>
    <w:rsid w:val="002D2A06"/>
    <w:rsid w:val="002D338A"/>
    <w:rsid w:val="002D3E1A"/>
    <w:rsid w:val="002D66AE"/>
    <w:rsid w:val="002E0088"/>
    <w:rsid w:val="002E019E"/>
    <w:rsid w:val="002E0316"/>
    <w:rsid w:val="002E0884"/>
    <w:rsid w:val="002E0999"/>
    <w:rsid w:val="002E1F8E"/>
    <w:rsid w:val="002E2569"/>
    <w:rsid w:val="002E2762"/>
    <w:rsid w:val="002E297E"/>
    <w:rsid w:val="002E38D3"/>
    <w:rsid w:val="002E41BC"/>
    <w:rsid w:val="002E5BAD"/>
    <w:rsid w:val="002E6047"/>
    <w:rsid w:val="002E6D1D"/>
    <w:rsid w:val="002F060A"/>
    <w:rsid w:val="002F0614"/>
    <w:rsid w:val="002F077A"/>
    <w:rsid w:val="002F0E8F"/>
    <w:rsid w:val="002F10BE"/>
    <w:rsid w:val="002F13DA"/>
    <w:rsid w:val="002F15EB"/>
    <w:rsid w:val="002F1C9B"/>
    <w:rsid w:val="002F1DF4"/>
    <w:rsid w:val="002F1EC8"/>
    <w:rsid w:val="002F314F"/>
    <w:rsid w:val="002F3CE0"/>
    <w:rsid w:val="002F59C6"/>
    <w:rsid w:val="002F6663"/>
    <w:rsid w:val="002F6A76"/>
    <w:rsid w:val="002F6E78"/>
    <w:rsid w:val="002F6F7C"/>
    <w:rsid w:val="003005BB"/>
    <w:rsid w:val="00301D0B"/>
    <w:rsid w:val="00303273"/>
    <w:rsid w:val="00303DE5"/>
    <w:rsid w:val="00304842"/>
    <w:rsid w:val="003050AE"/>
    <w:rsid w:val="0030523B"/>
    <w:rsid w:val="00307411"/>
    <w:rsid w:val="00310429"/>
    <w:rsid w:val="00310657"/>
    <w:rsid w:val="00310FDB"/>
    <w:rsid w:val="0031151C"/>
    <w:rsid w:val="0031181A"/>
    <w:rsid w:val="00311E51"/>
    <w:rsid w:val="00312062"/>
    <w:rsid w:val="00312370"/>
    <w:rsid w:val="00312DBD"/>
    <w:rsid w:val="00312F28"/>
    <w:rsid w:val="003132A5"/>
    <w:rsid w:val="00313941"/>
    <w:rsid w:val="0031486F"/>
    <w:rsid w:val="00316194"/>
    <w:rsid w:val="003169B4"/>
    <w:rsid w:val="00316BE6"/>
    <w:rsid w:val="0031767A"/>
    <w:rsid w:val="00317844"/>
    <w:rsid w:val="00317A6C"/>
    <w:rsid w:val="00317B90"/>
    <w:rsid w:val="00317D89"/>
    <w:rsid w:val="003205C7"/>
    <w:rsid w:val="003224B7"/>
    <w:rsid w:val="00322791"/>
    <w:rsid w:val="00322A16"/>
    <w:rsid w:val="0032350D"/>
    <w:rsid w:val="00323E74"/>
    <w:rsid w:val="00324834"/>
    <w:rsid w:val="00324EE7"/>
    <w:rsid w:val="00324F21"/>
    <w:rsid w:val="00324F89"/>
    <w:rsid w:val="003256A4"/>
    <w:rsid w:val="00325793"/>
    <w:rsid w:val="003259F4"/>
    <w:rsid w:val="00325C27"/>
    <w:rsid w:val="0032629C"/>
    <w:rsid w:val="00327B69"/>
    <w:rsid w:val="00330414"/>
    <w:rsid w:val="00330B87"/>
    <w:rsid w:val="00330CB9"/>
    <w:rsid w:val="0033115F"/>
    <w:rsid w:val="00331168"/>
    <w:rsid w:val="0033211D"/>
    <w:rsid w:val="00332DB1"/>
    <w:rsid w:val="00333489"/>
    <w:rsid w:val="00334861"/>
    <w:rsid w:val="00334FF8"/>
    <w:rsid w:val="00335A21"/>
    <w:rsid w:val="00335CDA"/>
    <w:rsid w:val="00340B50"/>
    <w:rsid w:val="00340D7C"/>
    <w:rsid w:val="003425B0"/>
    <w:rsid w:val="00342DB5"/>
    <w:rsid w:val="00343CEF"/>
    <w:rsid w:val="00344306"/>
    <w:rsid w:val="00344CB0"/>
    <w:rsid w:val="003454AD"/>
    <w:rsid w:val="0034611E"/>
    <w:rsid w:val="003467C8"/>
    <w:rsid w:val="0034742F"/>
    <w:rsid w:val="00347471"/>
    <w:rsid w:val="00347C3C"/>
    <w:rsid w:val="00347E72"/>
    <w:rsid w:val="0035079F"/>
    <w:rsid w:val="0035158C"/>
    <w:rsid w:val="0035270A"/>
    <w:rsid w:val="003527C1"/>
    <w:rsid w:val="00352C25"/>
    <w:rsid w:val="00354336"/>
    <w:rsid w:val="003565B6"/>
    <w:rsid w:val="00356A66"/>
    <w:rsid w:val="00356C92"/>
    <w:rsid w:val="003570EE"/>
    <w:rsid w:val="0035717B"/>
    <w:rsid w:val="00357418"/>
    <w:rsid w:val="00357968"/>
    <w:rsid w:val="003603B7"/>
    <w:rsid w:val="00360B75"/>
    <w:rsid w:val="00360D59"/>
    <w:rsid w:val="00360F59"/>
    <w:rsid w:val="00361737"/>
    <w:rsid w:val="00363F41"/>
    <w:rsid w:val="00364217"/>
    <w:rsid w:val="0036572E"/>
    <w:rsid w:val="00365AED"/>
    <w:rsid w:val="00366D56"/>
    <w:rsid w:val="00367871"/>
    <w:rsid w:val="00367DAD"/>
    <w:rsid w:val="00370875"/>
    <w:rsid w:val="00372D12"/>
    <w:rsid w:val="0037342A"/>
    <w:rsid w:val="00373CC8"/>
    <w:rsid w:val="00374AA1"/>
    <w:rsid w:val="00374D98"/>
    <w:rsid w:val="00374E24"/>
    <w:rsid w:val="0037591E"/>
    <w:rsid w:val="00375E2A"/>
    <w:rsid w:val="00376470"/>
    <w:rsid w:val="00376609"/>
    <w:rsid w:val="003779DE"/>
    <w:rsid w:val="00382AEB"/>
    <w:rsid w:val="0038330C"/>
    <w:rsid w:val="00384C17"/>
    <w:rsid w:val="003856DC"/>
    <w:rsid w:val="00385832"/>
    <w:rsid w:val="00385BBF"/>
    <w:rsid w:val="003901B8"/>
    <w:rsid w:val="00390C81"/>
    <w:rsid w:val="003911D6"/>
    <w:rsid w:val="003944FA"/>
    <w:rsid w:val="0039569B"/>
    <w:rsid w:val="00397E39"/>
    <w:rsid w:val="003A1802"/>
    <w:rsid w:val="003A1BC7"/>
    <w:rsid w:val="003A1D0D"/>
    <w:rsid w:val="003A258D"/>
    <w:rsid w:val="003A291A"/>
    <w:rsid w:val="003A385D"/>
    <w:rsid w:val="003A38FB"/>
    <w:rsid w:val="003A41A0"/>
    <w:rsid w:val="003A44BF"/>
    <w:rsid w:val="003A6799"/>
    <w:rsid w:val="003A6BEF"/>
    <w:rsid w:val="003B04B9"/>
    <w:rsid w:val="003B06A2"/>
    <w:rsid w:val="003B0A8F"/>
    <w:rsid w:val="003B0C2B"/>
    <w:rsid w:val="003B1031"/>
    <w:rsid w:val="003B12A3"/>
    <w:rsid w:val="003B153D"/>
    <w:rsid w:val="003B1FA7"/>
    <w:rsid w:val="003B286C"/>
    <w:rsid w:val="003B2F60"/>
    <w:rsid w:val="003B3B92"/>
    <w:rsid w:val="003B4D4F"/>
    <w:rsid w:val="003B502D"/>
    <w:rsid w:val="003B6B99"/>
    <w:rsid w:val="003C0DBC"/>
    <w:rsid w:val="003C2B04"/>
    <w:rsid w:val="003C2D9F"/>
    <w:rsid w:val="003C321D"/>
    <w:rsid w:val="003C32CC"/>
    <w:rsid w:val="003C4B50"/>
    <w:rsid w:val="003C4C0C"/>
    <w:rsid w:val="003C5631"/>
    <w:rsid w:val="003C5E4E"/>
    <w:rsid w:val="003C68C2"/>
    <w:rsid w:val="003C6CE9"/>
    <w:rsid w:val="003D06CD"/>
    <w:rsid w:val="003D0C03"/>
    <w:rsid w:val="003D1457"/>
    <w:rsid w:val="003D168F"/>
    <w:rsid w:val="003D1E74"/>
    <w:rsid w:val="003D23D5"/>
    <w:rsid w:val="003D29E8"/>
    <w:rsid w:val="003D2AB4"/>
    <w:rsid w:val="003D2F77"/>
    <w:rsid w:val="003D3498"/>
    <w:rsid w:val="003D3A15"/>
    <w:rsid w:val="003D598C"/>
    <w:rsid w:val="003D7167"/>
    <w:rsid w:val="003D7919"/>
    <w:rsid w:val="003D7B2A"/>
    <w:rsid w:val="003E133B"/>
    <w:rsid w:val="003E3CA8"/>
    <w:rsid w:val="003E41CD"/>
    <w:rsid w:val="003E49FB"/>
    <w:rsid w:val="003E4B7A"/>
    <w:rsid w:val="003E5AAE"/>
    <w:rsid w:val="003E5D61"/>
    <w:rsid w:val="003E6042"/>
    <w:rsid w:val="003E6685"/>
    <w:rsid w:val="003E685F"/>
    <w:rsid w:val="003E6D07"/>
    <w:rsid w:val="003E799E"/>
    <w:rsid w:val="003E7E56"/>
    <w:rsid w:val="003E7E88"/>
    <w:rsid w:val="003F052A"/>
    <w:rsid w:val="003F0A11"/>
    <w:rsid w:val="003F0DAE"/>
    <w:rsid w:val="003F2CBB"/>
    <w:rsid w:val="003F36DC"/>
    <w:rsid w:val="003F3D13"/>
    <w:rsid w:val="003F3E1B"/>
    <w:rsid w:val="003F474A"/>
    <w:rsid w:val="003F5429"/>
    <w:rsid w:val="003F639F"/>
    <w:rsid w:val="003F6664"/>
    <w:rsid w:val="003F7119"/>
    <w:rsid w:val="003F72BB"/>
    <w:rsid w:val="00400248"/>
    <w:rsid w:val="00401C79"/>
    <w:rsid w:val="00402C51"/>
    <w:rsid w:val="0040342F"/>
    <w:rsid w:val="00403A60"/>
    <w:rsid w:val="00403FAB"/>
    <w:rsid w:val="00404886"/>
    <w:rsid w:val="00405766"/>
    <w:rsid w:val="0040643E"/>
    <w:rsid w:val="004064AA"/>
    <w:rsid w:val="004073CA"/>
    <w:rsid w:val="00410434"/>
    <w:rsid w:val="004113CD"/>
    <w:rsid w:val="00412576"/>
    <w:rsid w:val="00412827"/>
    <w:rsid w:val="00412B2A"/>
    <w:rsid w:val="00414BB8"/>
    <w:rsid w:val="00415248"/>
    <w:rsid w:val="00415461"/>
    <w:rsid w:val="00415988"/>
    <w:rsid w:val="00417612"/>
    <w:rsid w:val="0042179F"/>
    <w:rsid w:val="00421C66"/>
    <w:rsid w:val="00422074"/>
    <w:rsid w:val="00423481"/>
    <w:rsid w:val="0042383B"/>
    <w:rsid w:val="0042409F"/>
    <w:rsid w:val="00424DDE"/>
    <w:rsid w:val="00424F93"/>
    <w:rsid w:val="004252C1"/>
    <w:rsid w:val="0042541E"/>
    <w:rsid w:val="0042619D"/>
    <w:rsid w:val="0042662D"/>
    <w:rsid w:val="00427079"/>
    <w:rsid w:val="00427467"/>
    <w:rsid w:val="004300FB"/>
    <w:rsid w:val="004306A8"/>
    <w:rsid w:val="00430EDC"/>
    <w:rsid w:val="00431D3F"/>
    <w:rsid w:val="00432AC2"/>
    <w:rsid w:val="0043304F"/>
    <w:rsid w:val="004342A4"/>
    <w:rsid w:val="004349EF"/>
    <w:rsid w:val="0043515D"/>
    <w:rsid w:val="00435C76"/>
    <w:rsid w:val="0043684C"/>
    <w:rsid w:val="00436FD0"/>
    <w:rsid w:val="00437E56"/>
    <w:rsid w:val="004408A6"/>
    <w:rsid w:val="00441783"/>
    <w:rsid w:val="00441D21"/>
    <w:rsid w:val="004420DA"/>
    <w:rsid w:val="00442F5F"/>
    <w:rsid w:val="004445F1"/>
    <w:rsid w:val="00444707"/>
    <w:rsid w:val="00444A27"/>
    <w:rsid w:val="004455F6"/>
    <w:rsid w:val="00445751"/>
    <w:rsid w:val="004468C2"/>
    <w:rsid w:val="00446B8D"/>
    <w:rsid w:val="00447571"/>
    <w:rsid w:val="00450C44"/>
    <w:rsid w:val="004518C2"/>
    <w:rsid w:val="00451E56"/>
    <w:rsid w:val="0045264D"/>
    <w:rsid w:val="00454220"/>
    <w:rsid w:val="00455D2F"/>
    <w:rsid w:val="0045628B"/>
    <w:rsid w:val="00456AB8"/>
    <w:rsid w:val="00456E33"/>
    <w:rsid w:val="004575CE"/>
    <w:rsid w:val="004600ED"/>
    <w:rsid w:val="00460479"/>
    <w:rsid w:val="00461240"/>
    <w:rsid w:val="004620CA"/>
    <w:rsid w:val="00463285"/>
    <w:rsid w:val="0046372E"/>
    <w:rsid w:val="0046401F"/>
    <w:rsid w:val="004657ED"/>
    <w:rsid w:val="00465846"/>
    <w:rsid w:val="00466349"/>
    <w:rsid w:val="00466AE9"/>
    <w:rsid w:val="00466B43"/>
    <w:rsid w:val="00470E22"/>
    <w:rsid w:val="004711AB"/>
    <w:rsid w:val="004715EF"/>
    <w:rsid w:val="00471A51"/>
    <w:rsid w:val="0047281F"/>
    <w:rsid w:val="00472D33"/>
    <w:rsid w:val="0047388C"/>
    <w:rsid w:val="00473B1A"/>
    <w:rsid w:val="00475205"/>
    <w:rsid w:val="00475BA6"/>
    <w:rsid w:val="00477D70"/>
    <w:rsid w:val="004831CC"/>
    <w:rsid w:val="00483DB8"/>
    <w:rsid w:val="00483F69"/>
    <w:rsid w:val="004847B0"/>
    <w:rsid w:val="00485567"/>
    <w:rsid w:val="004855BE"/>
    <w:rsid w:val="00486860"/>
    <w:rsid w:val="00487092"/>
    <w:rsid w:val="0049113D"/>
    <w:rsid w:val="00491CC3"/>
    <w:rsid w:val="00491ED9"/>
    <w:rsid w:val="00492D3F"/>
    <w:rsid w:val="00493195"/>
    <w:rsid w:val="00495623"/>
    <w:rsid w:val="004962E7"/>
    <w:rsid w:val="00496F19"/>
    <w:rsid w:val="0049718B"/>
    <w:rsid w:val="004A09C4"/>
    <w:rsid w:val="004A0C7A"/>
    <w:rsid w:val="004A2646"/>
    <w:rsid w:val="004A284B"/>
    <w:rsid w:val="004A2961"/>
    <w:rsid w:val="004A2CDE"/>
    <w:rsid w:val="004A2EFE"/>
    <w:rsid w:val="004A30B5"/>
    <w:rsid w:val="004A3ABF"/>
    <w:rsid w:val="004A4319"/>
    <w:rsid w:val="004A44A0"/>
    <w:rsid w:val="004A4B8D"/>
    <w:rsid w:val="004A5608"/>
    <w:rsid w:val="004A5982"/>
    <w:rsid w:val="004A5B46"/>
    <w:rsid w:val="004A6B13"/>
    <w:rsid w:val="004A6B62"/>
    <w:rsid w:val="004B0122"/>
    <w:rsid w:val="004B0167"/>
    <w:rsid w:val="004B15B5"/>
    <w:rsid w:val="004B25C7"/>
    <w:rsid w:val="004B282A"/>
    <w:rsid w:val="004B37CF"/>
    <w:rsid w:val="004B39D6"/>
    <w:rsid w:val="004B4C9D"/>
    <w:rsid w:val="004B5343"/>
    <w:rsid w:val="004B710E"/>
    <w:rsid w:val="004C1285"/>
    <w:rsid w:val="004C17A6"/>
    <w:rsid w:val="004C250F"/>
    <w:rsid w:val="004C27DF"/>
    <w:rsid w:val="004C2B0F"/>
    <w:rsid w:val="004C43EA"/>
    <w:rsid w:val="004C4445"/>
    <w:rsid w:val="004C4E62"/>
    <w:rsid w:val="004C53AD"/>
    <w:rsid w:val="004C6291"/>
    <w:rsid w:val="004C65F0"/>
    <w:rsid w:val="004C680C"/>
    <w:rsid w:val="004C6EC4"/>
    <w:rsid w:val="004C7205"/>
    <w:rsid w:val="004C7D75"/>
    <w:rsid w:val="004C7FCE"/>
    <w:rsid w:val="004D0275"/>
    <w:rsid w:val="004D0EC1"/>
    <w:rsid w:val="004D211C"/>
    <w:rsid w:val="004D25B1"/>
    <w:rsid w:val="004D3E36"/>
    <w:rsid w:val="004D4C9F"/>
    <w:rsid w:val="004D4E6B"/>
    <w:rsid w:val="004D54BA"/>
    <w:rsid w:val="004D5586"/>
    <w:rsid w:val="004D59AB"/>
    <w:rsid w:val="004D59E6"/>
    <w:rsid w:val="004D5E8D"/>
    <w:rsid w:val="004D6404"/>
    <w:rsid w:val="004D7F02"/>
    <w:rsid w:val="004E1414"/>
    <w:rsid w:val="004E1EBF"/>
    <w:rsid w:val="004E2787"/>
    <w:rsid w:val="004E336F"/>
    <w:rsid w:val="004E3CB0"/>
    <w:rsid w:val="004E4993"/>
    <w:rsid w:val="004E5457"/>
    <w:rsid w:val="004E5A83"/>
    <w:rsid w:val="004E63B0"/>
    <w:rsid w:val="004E782B"/>
    <w:rsid w:val="004E7F0A"/>
    <w:rsid w:val="004F05B9"/>
    <w:rsid w:val="004F05F2"/>
    <w:rsid w:val="004F106A"/>
    <w:rsid w:val="004F1136"/>
    <w:rsid w:val="004F1426"/>
    <w:rsid w:val="004F2598"/>
    <w:rsid w:val="004F3C8A"/>
    <w:rsid w:val="004F4CDB"/>
    <w:rsid w:val="004F4FDD"/>
    <w:rsid w:val="004F582F"/>
    <w:rsid w:val="004F6CF4"/>
    <w:rsid w:val="00500057"/>
    <w:rsid w:val="00500740"/>
    <w:rsid w:val="0050085E"/>
    <w:rsid w:val="0050122F"/>
    <w:rsid w:val="005016D0"/>
    <w:rsid w:val="00501DE1"/>
    <w:rsid w:val="00501FC1"/>
    <w:rsid w:val="005024CE"/>
    <w:rsid w:val="00502BAA"/>
    <w:rsid w:val="00503614"/>
    <w:rsid w:val="00503AAF"/>
    <w:rsid w:val="00503BD0"/>
    <w:rsid w:val="00504949"/>
    <w:rsid w:val="00505B04"/>
    <w:rsid w:val="00506171"/>
    <w:rsid w:val="005062F5"/>
    <w:rsid w:val="005107B3"/>
    <w:rsid w:val="00510C48"/>
    <w:rsid w:val="00510DB6"/>
    <w:rsid w:val="005119F4"/>
    <w:rsid w:val="00511DDD"/>
    <w:rsid w:val="00512F2D"/>
    <w:rsid w:val="00513479"/>
    <w:rsid w:val="005136C4"/>
    <w:rsid w:val="005146D4"/>
    <w:rsid w:val="00515993"/>
    <w:rsid w:val="0051647F"/>
    <w:rsid w:val="00517F46"/>
    <w:rsid w:val="00520209"/>
    <w:rsid w:val="0052076B"/>
    <w:rsid w:val="00521A60"/>
    <w:rsid w:val="00521C0B"/>
    <w:rsid w:val="005222EF"/>
    <w:rsid w:val="0052328C"/>
    <w:rsid w:val="00523977"/>
    <w:rsid w:val="00523F34"/>
    <w:rsid w:val="00524059"/>
    <w:rsid w:val="0052566A"/>
    <w:rsid w:val="005263EC"/>
    <w:rsid w:val="0052654B"/>
    <w:rsid w:val="00526B12"/>
    <w:rsid w:val="00526DFC"/>
    <w:rsid w:val="00527EB0"/>
    <w:rsid w:val="005303CA"/>
    <w:rsid w:val="00530DF8"/>
    <w:rsid w:val="00531194"/>
    <w:rsid w:val="00531346"/>
    <w:rsid w:val="00531CA7"/>
    <w:rsid w:val="005324A6"/>
    <w:rsid w:val="00532766"/>
    <w:rsid w:val="00533138"/>
    <w:rsid w:val="005346D7"/>
    <w:rsid w:val="00534767"/>
    <w:rsid w:val="00535D3D"/>
    <w:rsid w:val="0053646F"/>
    <w:rsid w:val="00536768"/>
    <w:rsid w:val="00536929"/>
    <w:rsid w:val="00536982"/>
    <w:rsid w:val="005372F7"/>
    <w:rsid w:val="00537322"/>
    <w:rsid w:val="005373D9"/>
    <w:rsid w:val="00537BBF"/>
    <w:rsid w:val="00540493"/>
    <w:rsid w:val="005405A9"/>
    <w:rsid w:val="00540FAF"/>
    <w:rsid w:val="00542227"/>
    <w:rsid w:val="005424B5"/>
    <w:rsid w:val="00542CEE"/>
    <w:rsid w:val="005431A9"/>
    <w:rsid w:val="00543E6F"/>
    <w:rsid w:val="00544C41"/>
    <w:rsid w:val="00544E0D"/>
    <w:rsid w:val="005454EB"/>
    <w:rsid w:val="00546097"/>
    <w:rsid w:val="00546B65"/>
    <w:rsid w:val="00546FB4"/>
    <w:rsid w:val="00546FDA"/>
    <w:rsid w:val="00550EB2"/>
    <w:rsid w:val="005519F6"/>
    <w:rsid w:val="00551E86"/>
    <w:rsid w:val="00552A7B"/>
    <w:rsid w:val="00552BE0"/>
    <w:rsid w:val="005544CE"/>
    <w:rsid w:val="00554865"/>
    <w:rsid w:val="00554D88"/>
    <w:rsid w:val="00555933"/>
    <w:rsid w:val="0055616B"/>
    <w:rsid w:val="005563D3"/>
    <w:rsid w:val="00556D62"/>
    <w:rsid w:val="00557146"/>
    <w:rsid w:val="005576E7"/>
    <w:rsid w:val="00557E8F"/>
    <w:rsid w:val="00560537"/>
    <w:rsid w:val="005609B4"/>
    <w:rsid w:val="00560A26"/>
    <w:rsid w:val="005618B6"/>
    <w:rsid w:val="005623F5"/>
    <w:rsid w:val="005636FA"/>
    <w:rsid w:val="0056373A"/>
    <w:rsid w:val="005641ED"/>
    <w:rsid w:val="00564A1B"/>
    <w:rsid w:val="00564BF4"/>
    <w:rsid w:val="00565A5E"/>
    <w:rsid w:val="00566D60"/>
    <w:rsid w:val="00566EDB"/>
    <w:rsid w:val="00566F71"/>
    <w:rsid w:val="0056700D"/>
    <w:rsid w:val="00571C92"/>
    <w:rsid w:val="00571D24"/>
    <w:rsid w:val="005723B9"/>
    <w:rsid w:val="005726BA"/>
    <w:rsid w:val="00572805"/>
    <w:rsid w:val="0057299B"/>
    <w:rsid w:val="00574C83"/>
    <w:rsid w:val="00577F1D"/>
    <w:rsid w:val="005810DF"/>
    <w:rsid w:val="00582939"/>
    <w:rsid w:val="00583101"/>
    <w:rsid w:val="005836B3"/>
    <w:rsid w:val="00583FDE"/>
    <w:rsid w:val="0058461E"/>
    <w:rsid w:val="00584A68"/>
    <w:rsid w:val="00584D72"/>
    <w:rsid w:val="0058612A"/>
    <w:rsid w:val="0058662D"/>
    <w:rsid w:val="00587CEE"/>
    <w:rsid w:val="005900C3"/>
    <w:rsid w:val="0059045E"/>
    <w:rsid w:val="00590A21"/>
    <w:rsid w:val="00590FEB"/>
    <w:rsid w:val="00592D3F"/>
    <w:rsid w:val="005932EC"/>
    <w:rsid w:val="005935F6"/>
    <w:rsid w:val="00593B90"/>
    <w:rsid w:val="005947C7"/>
    <w:rsid w:val="00595E51"/>
    <w:rsid w:val="0059611D"/>
    <w:rsid w:val="005966D8"/>
    <w:rsid w:val="00596BE5"/>
    <w:rsid w:val="00596FED"/>
    <w:rsid w:val="0059769C"/>
    <w:rsid w:val="005A0F75"/>
    <w:rsid w:val="005A129A"/>
    <w:rsid w:val="005A2DA4"/>
    <w:rsid w:val="005A3097"/>
    <w:rsid w:val="005A3549"/>
    <w:rsid w:val="005A35B4"/>
    <w:rsid w:val="005A422E"/>
    <w:rsid w:val="005A7235"/>
    <w:rsid w:val="005A76CE"/>
    <w:rsid w:val="005A7BA6"/>
    <w:rsid w:val="005B37BF"/>
    <w:rsid w:val="005B40FC"/>
    <w:rsid w:val="005B499E"/>
    <w:rsid w:val="005B49DD"/>
    <w:rsid w:val="005B6A8D"/>
    <w:rsid w:val="005B732E"/>
    <w:rsid w:val="005B771B"/>
    <w:rsid w:val="005C03C5"/>
    <w:rsid w:val="005C03F3"/>
    <w:rsid w:val="005C1465"/>
    <w:rsid w:val="005C15FC"/>
    <w:rsid w:val="005C195D"/>
    <w:rsid w:val="005C2031"/>
    <w:rsid w:val="005C2AEB"/>
    <w:rsid w:val="005C2E1B"/>
    <w:rsid w:val="005C2F6C"/>
    <w:rsid w:val="005C461F"/>
    <w:rsid w:val="005C4899"/>
    <w:rsid w:val="005C7067"/>
    <w:rsid w:val="005C7779"/>
    <w:rsid w:val="005D04FD"/>
    <w:rsid w:val="005D0ACB"/>
    <w:rsid w:val="005D128D"/>
    <w:rsid w:val="005D140B"/>
    <w:rsid w:val="005D1A8E"/>
    <w:rsid w:val="005D1C36"/>
    <w:rsid w:val="005D1F2E"/>
    <w:rsid w:val="005D2654"/>
    <w:rsid w:val="005D2702"/>
    <w:rsid w:val="005D2E6F"/>
    <w:rsid w:val="005D4450"/>
    <w:rsid w:val="005D5624"/>
    <w:rsid w:val="005D5865"/>
    <w:rsid w:val="005D5F1D"/>
    <w:rsid w:val="005E03A2"/>
    <w:rsid w:val="005E093A"/>
    <w:rsid w:val="005E1078"/>
    <w:rsid w:val="005E14C7"/>
    <w:rsid w:val="005E35C4"/>
    <w:rsid w:val="005E3B9C"/>
    <w:rsid w:val="005E47F9"/>
    <w:rsid w:val="005E4A7B"/>
    <w:rsid w:val="005E50B2"/>
    <w:rsid w:val="005E588F"/>
    <w:rsid w:val="005E5BEC"/>
    <w:rsid w:val="005E5D2D"/>
    <w:rsid w:val="005E6FAB"/>
    <w:rsid w:val="005E7A33"/>
    <w:rsid w:val="005F0CCB"/>
    <w:rsid w:val="005F1234"/>
    <w:rsid w:val="005F13AA"/>
    <w:rsid w:val="005F402B"/>
    <w:rsid w:val="005F484B"/>
    <w:rsid w:val="005F601A"/>
    <w:rsid w:val="005F7D2B"/>
    <w:rsid w:val="006003C4"/>
    <w:rsid w:val="00601498"/>
    <w:rsid w:val="00601B3B"/>
    <w:rsid w:val="006024E1"/>
    <w:rsid w:val="00602636"/>
    <w:rsid w:val="006036CD"/>
    <w:rsid w:val="00603985"/>
    <w:rsid w:val="006039E5"/>
    <w:rsid w:val="00603CAA"/>
    <w:rsid w:val="00603CC1"/>
    <w:rsid w:val="0060451D"/>
    <w:rsid w:val="00604681"/>
    <w:rsid w:val="00604D35"/>
    <w:rsid w:val="0060518E"/>
    <w:rsid w:val="0060549C"/>
    <w:rsid w:val="00606E74"/>
    <w:rsid w:val="006071E2"/>
    <w:rsid w:val="0060750F"/>
    <w:rsid w:val="006079C2"/>
    <w:rsid w:val="006111EF"/>
    <w:rsid w:val="00611426"/>
    <w:rsid w:val="0061171A"/>
    <w:rsid w:val="00613362"/>
    <w:rsid w:val="0061464B"/>
    <w:rsid w:val="00614CF2"/>
    <w:rsid w:val="006150A3"/>
    <w:rsid w:val="006161DD"/>
    <w:rsid w:val="00616450"/>
    <w:rsid w:val="0061689C"/>
    <w:rsid w:val="006168AC"/>
    <w:rsid w:val="00617C39"/>
    <w:rsid w:val="00620BA9"/>
    <w:rsid w:val="006210DF"/>
    <w:rsid w:val="0062163B"/>
    <w:rsid w:val="00622434"/>
    <w:rsid w:val="00622500"/>
    <w:rsid w:val="00622738"/>
    <w:rsid w:val="00623817"/>
    <w:rsid w:val="00624119"/>
    <w:rsid w:val="00624BE7"/>
    <w:rsid w:val="00624EE1"/>
    <w:rsid w:val="0062570F"/>
    <w:rsid w:val="006262C0"/>
    <w:rsid w:val="006268E6"/>
    <w:rsid w:val="00627768"/>
    <w:rsid w:val="00627EED"/>
    <w:rsid w:val="006314E3"/>
    <w:rsid w:val="00632227"/>
    <w:rsid w:val="00632A20"/>
    <w:rsid w:val="00632EEA"/>
    <w:rsid w:val="00633353"/>
    <w:rsid w:val="00634E31"/>
    <w:rsid w:val="00634EF8"/>
    <w:rsid w:val="00635083"/>
    <w:rsid w:val="00635E63"/>
    <w:rsid w:val="006364B9"/>
    <w:rsid w:val="0063666F"/>
    <w:rsid w:val="006367B4"/>
    <w:rsid w:val="00637244"/>
    <w:rsid w:val="00640646"/>
    <w:rsid w:val="0064069F"/>
    <w:rsid w:val="006406C5"/>
    <w:rsid w:val="00640DB6"/>
    <w:rsid w:val="006419EB"/>
    <w:rsid w:val="00642467"/>
    <w:rsid w:val="00642D76"/>
    <w:rsid w:val="00643FF8"/>
    <w:rsid w:val="00644B23"/>
    <w:rsid w:val="00644E32"/>
    <w:rsid w:val="00644EBE"/>
    <w:rsid w:val="00645B0D"/>
    <w:rsid w:val="0064611A"/>
    <w:rsid w:val="0064634F"/>
    <w:rsid w:val="006467D1"/>
    <w:rsid w:val="0065126A"/>
    <w:rsid w:val="00651606"/>
    <w:rsid w:val="0065161C"/>
    <w:rsid w:val="00652B35"/>
    <w:rsid w:val="00652EE5"/>
    <w:rsid w:val="00652EE6"/>
    <w:rsid w:val="00653D0A"/>
    <w:rsid w:val="006542D0"/>
    <w:rsid w:val="0065454C"/>
    <w:rsid w:val="0065751C"/>
    <w:rsid w:val="00657566"/>
    <w:rsid w:val="00657AEB"/>
    <w:rsid w:val="00657B4B"/>
    <w:rsid w:val="00657D1F"/>
    <w:rsid w:val="00660027"/>
    <w:rsid w:val="00660B98"/>
    <w:rsid w:val="00661549"/>
    <w:rsid w:val="0066156B"/>
    <w:rsid w:val="00662F17"/>
    <w:rsid w:val="00663D0F"/>
    <w:rsid w:val="00665E49"/>
    <w:rsid w:val="00665EAF"/>
    <w:rsid w:val="00666566"/>
    <w:rsid w:val="00666D5A"/>
    <w:rsid w:val="00667977"/>
    <w:rsid w:val="00670140"/>
    <w:rsid w:val="00670897"/>
    <w:rsid w:val="00670DF2"/>
    <w:rsid w:val="00672A20"/>
    <w:rsid w:val="00672F2D"/>
    <w:rsid w:val="006737EC"/>
    <w:rsid w:val="00673807"/>
    <w:rsid w:val="006739CE"/>
    <w:rsid w:val="00673CA9"/>
    <w:rsid w:val="00673DA5"/>
    <w:rsid w:val="00674516"/>
    <w:rsid w:val="00676D88"/>
    <w:rsid w:val="006771BF"/>
    <w:rsid w:val="006773FF"/>
    <w:rsid w:val="00677691"/>
    <w:rsid w:val="006812C8"/>
    <w:rsid w:val="00682CEA"/>
    <w:rsid w:val="0068304A"/>
    <w:rsid w:val="00683207"/>
    <w:rsid w:val="0068475A"/>
    <w:rsid w:val="006849BA"/>
    <w:rsid w:val="00685023"/>
    <w:rsid w:val="0068596D"/>
    <w:rsid w:val="00686D59"/>
    <w:rsid w:val="00687254"/>
    <w:rsid w:val="006874A4"/>
    <w:rsid w:val="00687583"/>
    <w:rsid w:val="0068779F"/>
    <w:rsid w:val="00690286"/>
    <w:rsid w:val="0069033F"/>
    <w:rsid w:val="00691828"/>
    <w:rsid w:val="00691A07"/>
    <w:rsid w:val="006929FA"/>
    <w:rsid w:val="00692B88"/>
    <w:rsid w:val="00693D40"/>
    <w:rsid w:val="0069448E"/>
    <w:rsid w:val="00694F50"/>
    <w:rsid w:val="0069531D"/>
    <w:rsid w:val="0069574A"/>
    <w:rsid w:val="006959FA"/>
    <w:rsid w:val="006971C6"/>
    <w:rsid w:val="006973E8"/>
    <w:rsid w:val="00697598"/>
    <w:rsid w:val="00697E3A"/>
    <w:rsid w:val="006A01ED"/>
    <w:rsid w:val="006A05CD"/>
    <w:rsid w:val="006A173F"/>
    <w:rsid w:val="006A1AC5"/>
    <w:rsid w:val="006A231D"/>
    <w:rsid w:val="006A29EB"/>
    <w:rsid w:val="006A4A4A"/>
    <w:rsid w:val="006A537A"/>
    <w:rsid w:val="006A5D5D"/>
    <w:rsid w:val="006A67ED"/>
    <w:rsid w:val="006A6EDB"/>
    <w:rsid w:val="006A70AE"/>
    <w:rsid w:val="006A7385"/>
    <w:rsid w:val="006A7ED1"/>
    <w:rsid w:val="006B102F"/>
    <w:rsid w:val="006B15F9"/>
    <w:rsid w:val="006B18D6"/>
    <w:rsid w:val="006B20E9"/>
    <w:rsid w:val="006B2749"/>
    <w:rsid w:val="006B37F5"/>
    <w:rsid w:val="006B42B0"/>
    <w:rsid w:val="006B490F"/>
    <w:rsid w:val="006B50C2"/>
    <w:rsid w:val="006B57A3"/>
    <w:rsid w:val="006B58DB"/>
    <w:rsid w:val="006B5F6E"/>
    <w:rsid w:val="006B61E5"/>
    <w:rsid w:val="006B6448"/>
    <w:rsid w:val="006B6978"/>
    <w:rsid w:val="006B6B7D"/>
    <w:rsid w:val="006B738C"/>
    <w:rsid w:val="006B770D"/>
    <w:rsid w:val="006B7853"/>
    <w:rsid w:val="006C080E"/>
    <w:rsid w:val="006C1677"/>
    <w:rsid w:val="006C168D"/>
    <w:rsid w:val="006C3166"/>
    <w:rsid w:val="006C3704"/>
    <w:rsid w:val="006C4A16"/>
    <w:rsid w:val="006C4CAA"/>
    <w:rsid w:val="006C5A8E"/>
    <w:rsid w:val="006C68A7"/>
    <w:rsid w:val="006C6967"/>
    <w:rsid w:val="006C7283"/>
    <w:rsid w:val="006C780F"/>
    <w:rsid w:val="006C79DB"/>
    <w:rsid w:val="006D09D6"/>
    <w:rsid w:val="006D1400"/>
    <w:rsid w:val="006D16DE"/>
    <w:rsid w:val="006D2758"/>
    <w:rsid w:val="006D3937"/>
    <w:rsid w:val="006D419B"/>
    <w:rsid w:val="006D60F0"/>
    <w:rsid w:val="006D67D5"/>
    <w:rsid w:val="006D6864"/>
    <w:rsid w:val="006D6E50"/>
    <w:rsid w:val="006D7A1A"/>
    <w:rsid w:val="006E002F"/>
    <w:rsid w:val="006E009D"/>
    <w:rsid w:val="006E0122"/>
    <w:rsid w:val="006E0960"/>
    <w:rsid w:val="006E116F"/>
    <w:rsid w:val="006E13FF"/>
    <w:rsid w:val="006E197A"/>
    <w:rsid w:val="006E1DC0"/>
    <w:rsid w:val="006E2AA7"/>
    <w:rsid w:val="006E2F0D"/>
    <w:rsid w:val="006E3069"/>
    <w:rsid w:val="006E4241"/>
    <w:rsid w:val="006E4817"/>
    <w:rsid w:val="006E4950"/>
    <w:rsid w:val="006E6819"/>
    <w:rsid w:val="006E6A2C"/>
    <w:rsid w:val="006E6C7E"/>
    <w:rsid w:val="006E7C14"/>
    <w:rsid w:val="006E7D37"/>
    <w:rsid w:val="006F1F1D"/>
    <w:rsid w:val="006F2300"/>
    <w:rsid w:val="006F3A0E"/>
    <w:rsid w:val="006F41D2"/>
    <w:rsid w:val="006F4946"/>
    <w:rsid w:val="006F4E32"/>
    <w:rsid w:val="006F73EC"/>
    <w:rsid w:val="006F7A5D"/>
    <w:rsid w:val="00700983"/>
    <w:rsid w:val="007020F8"/>
    <w:rsid w:val="00702505"/>
    <w:rsid w:val="0070270D"/>
    <w:rsid w:val="007029CB"/>
    <w:rsid w:val="00702E91"/>
    <w:rsid w:val="00702F36"/>
    <w:rsid w:val="00703332"/>
    <w:rsid w:val="00703FEF"/>
    <w:rsid w:val="00704459"/>
    <w:rsid w:val="007045C4"/>
    <w:rsid w:val="00704CBA"/>
    <w:rsid w:val="0070620B"/>
    <w:rsid w:val="00706B15"/>
    <w:rsid w:val="00706F41"/>
    <w:rsid w:val="00710A21"/>
    <w:rsid w:val="007112CA"/>
    <w:rsid w:val="00711C30"/>
    <w:rsid w:val="0071241D"/>
    <w:rsid w:val="00712749"/>
    <w:rsid w:val="007128E1"/>
    <w:rsid w:val="00712C3D"/>
    <w:rsid w:val="00712EEB"/>
    <w:rsid w:val="007138E3"/>
    <w:rsid w:val="007139DB"/>
    <w:rsid w:val="007140E8"/>
    <w:rsid w:val="0071413B"/>
    <w:rsid w:val="00714967"/>
    <w:rsid w:val="00714A1C"/>
    <w:rsid w:val="00714D14"/>
    <w:rsid w:val="00714E3D"/>
    <w:rsid w:val="00714E66"/>
    <w:rsid w:val="007167A3"/>
    <w:rsid w:val="00716971"/>
    <w:rsid w:val="00716CE1"/>
    <w:rsid w:val="00716D1D"/>
    <w:rsid w:val="007171AE"/>
    <w:rsid w:val="007204AC"/>
    <w:rsid w:val="007205E4"/>
    <w:rsid w:val="0072225D"/>
    <w:rsid w:val="007228F0"/>
    <w:rsid w:val="00724442"/>
    <w:rsid w:val="007245FE"/>
    <w:rsid w:val="00724815"/>
    <w:rsid w:val="00726EFA"/>
    <w:rsid w:val="007279D9"/>
    <w:rsid w:val="00731607"/>
    <w:rsid w:val="007318C8"/>
    <w:rsid w:val="007321F8"/>
    <w:rsid w:val="00732759"/>
    <w:rsid w:val="00732A40"/>
    <w:rsid w:val="007335B9"/>
    <w:rsid w:val="00733B42"/>
    <w:rsid w:val="00735197"/>
    <w:rsid w:val="0073545D"/>
    <w:rsid w:val="00735C37"/>
    <w:rsid w:val="00737230"/>
    <w:rsid w:val="0073758A"/>
    <w:rsid w:val="0073767D"/>
    <w:rsid w:val="00740231"/>
    <w:rsid w:val="00740579"/>
    <w:rsid w:val="0074077E"/>
    <w:rsid w:val="007417ED"/>
    <w:rsid w:val="00741CD7"/>
    <w:rsid w:val="00742631"/>
    <w:rsid w:val="00742DE0"/>
    <w:rsid w:val="00743A10"/>
    <w:rsid w:val="00743BAD"/>
    <w:rsid w:val="00743D0D"/>
    <w:rsid w:val="007440B9"/>
    <w:rsid w:val="00744F2F"/>
    <w:rsid w:val="0074570E"/>
    <w:rsid w:val="0074592C"/>
    <w:rsid w:val="00745A5F"/>
    <w:rsid w:val="00746F8F"/>
    <w:rsid w:val="0074745C"/>
    <w:rsid w:val="00747678"/>
    <w:rsid w:val="00747E9B"/>
    <w:rsid w:val="007504CF"/>
    <w:rsid w:val="00750796"/>
    <w:rsid w:val="00751636"/>
    <w:rsid w:val="007534F8"/>
    <w:rsid w:val="00753A8A"/>
    <w:rsid w:val="00753C9D"/>
    <w:rsid w:val="0075404F"/>
    <w:rsid w:val="00755450"/>
    <w:rsid w:val="007558ED"/>
    <w:rsid w:val="00755E63"/>
    <w:rsid w:val="007560F1"/>
    <w:rsid w:val="007562C7"/>
    <w:rsid w:val="007608E8"/>
    <w:rsid w:val="007617A4"/>
    <w:rsid w:val="00762228"/>
    <w:rsid w:val="0076316F"/>
    <w:rsid w:val="0076336B"/>
    <w:rsid w:val="0076357A"/>
    <w:rsid w:val="00763AA9"/>
    <w:rsid w:val="00763E34"/>
    <w:rsid w:val="0076414A"/>
    <w:rsid w:val="00764710"/>
    <w:rsid w:val="00764EF9"/>
    <w:rsid w:val="00765E6B"/>
    <w:rsid w:val="00765EB3"/>
    <w:rsid w:val="007666EC"/>
    <w:rsid w:val="0076731C"/>
    <w:rsid w:val="0076790F"/>
    <w:rsid w:val="00770981"/>
    <w:rsid w:val="00770A34"/>
    <w:rsid w:val="00770FC4"/>
    <w:rsid w:val="00771029"/>
    <w:rsid w:val="007711BC"/>
    <w:rsid w:val="007713C7"/>
    <w:rsid w:val="00772C87"/>
    <w:rsid w:val="00772D61"/>
    <w:rsid w:val="007730D1"/>
    <w:rsid w:val="0077427A"/>
    <w:rsid w:val="0077482D"/>
    <w:rsid w:val="00775025"/>
    <w:rsid w:val="00776C0D"/>
    <w:rsid w:val="0077747C"/>
    <w:rsid w:val="00780787"/>
    <w:rsid w:val="00781DF5"/>
    <w:rsid w:val="007837C6"/>
    <w:rsid w:val="007838DA"/>
    <w:rsid w:val="0078463B"/>
    <w:rsid w:val="00785207"/>
    <w:rsid w:val="007853D4"/>
    <w:rsid w:val="007860F8"/>
    <w:rsid w:val="00786880"/>
    <w:rsid w:val="00787085"/>
    <w:rsid w:val="007876AA"/>
    <w:rsid w:val="0079112A"/>
    <w:rsid w:val="00791DFE"/>
    <w:rsid w:val="007927B8"/>
    <w:rsid w:val="00793590"/>
    <w:rsid w:val="007937AD"/>
    <w:rsid w:val="0079389E"/>
    <w:rsid w:val="00793922"/>
    <w:rsid w:val="007942B8"/>
    <w:rsid w:val="00794387"/>
    <w:rsid w:val="00794978"/>
    <w:rsid w:val="00794A17"/>
    <w:rsid w:val="00795701"/>
    <w:rsid w:val="007965EE"/>
    <w:rsid w:val="00796BAE"/>
    <w:rsid w:val="00796C67"/>
    <w:rsid w:val="00796ED4"/>
    <w:rsid w:val="007971E7"/>
    <w:rsid w:val="0079747C"/>
    <w:rsid w:val="007975D8"/>
    <w:rsid w:val="00797BC7"/>
    <w:rsid w:val="00797DB2"/>
    <w:rsid w:val="007A0115"/>
    <w:rsid w:val="007A2883"/>
    <w:rsid w:val="007A2FAE"/>
    <w:rsid w:val="007A3403"/>
    <w:rsid w:val="007A3539"/>
    <w:rsid w:val="007A3B08"/>
    <w:rsid w:val="007A3C78"/>
    <w:rsid w:val="007A46DE"/>
    <w:rsid w:val="007A4ADE"/>
    <w:rsid w:val="007A4CD3"/>
    <w:rsid w:val="007A5180"/>
    <w:rsid w:val="007A58A2"/>
    <w:rsid w:val="007A592E"/>
    <w:rsid w:val="007A594C"/>
    <w:rsid w:val="007A5A6C"/>
    <w:rsid w:val="007A5EE5"/>
    <w:rsid w:val="007A680C"/>
    <w:rsid w:val="007A6A76"/>
    <w:rsid w:val="007A7BE8"/>
    <w:rsid w:val="007B00D8"/>
    <w:rsid w:val="007B00E3"/>
    <w:rsid w:val="007B0C69"/>
    <w:rsid w:val="007B14AA"/>
    <w:rsid w:val="007B1897"/>
    <w:rsid w:val="007B22C1"/>
    <w:rsid w:val="007B2778"/>
    <w:rsid w:val="007B2A30"/>
    <w:rsid w:val="007B3F57"/>
    <w:rsid w:val="007B41DD"/>
    <w:rsid w:val="007B4319"/>
    <w:rsid w:val="007B5199"/>
    <w:rsid w:val="007B6F64"/>
    <w:rsid w:val="007B74AA"/>
    <w:rsid w:val="007B7688"/>
    <w:rsid w:val="007C13BF"/>
    <w:rsid w:val="007C1F43"/>
    <w:rsid w:val="007C24BD"/>
    <w:rsid w:val="007C285F"/>
    <w:rsid w:val="007C2A30"/>
    <w:rsid w:val="007C2AA6"/>
    <w:rsid w:val="007C39B4"/>
    <w:rsid w:val="007C39CD"/>
    <w:rsid w:val="007C3A41"/>
    <w:rsid w:val="007C7191"/>
    <w:rsid w:val="007C7392"/>
    <w:rsid w:val="007D091A"/>
    <w:rsid w:val="007D0D06"/>
    <w:rsid w:val="007D0E29"/>
    <w:rsid w:val="007D1451"/>
    <w:rsid w:val="007D1B8B"/>
    <w:rsid w:val="007D2824"/>
    <w:rsid w:val="007D2A5F"/>
    <w:rsid w:val="007D3C4B"/>
    <w:rsid w:val="007D3DB0"/>
    <w:rsid w:val="007D4381"/>
    <w:rsid w:val="007D4742"/>
    <w:rsid w:val="007D47D8"/>
    <w:rsid w:val="007D58A8"/>
    <w:rsid w:val="007D65AF"/>
    <w:rsid w:val="007E0597"/>
    <w:rsid w:val="007E0985"/>
    <w:rsid w:val="007E0E6D"/>
    <w:rsid w:val="007E1BD7"/>
    <w:rsid w:val="007E1DEB"/>
    <w:rsid w:val="007E2141"/>
    <w:rsid w:val="007E2E4D"/>
    <w:rsid w:val="007E403E"/>
    <w:rsid w:val="007E4B86"/>
    <w:rsid w:val="007E53BF"/>
    <w:rsid w:val="007E5404"/>
    <w:rsid w:val="007E5BB1"/>
    <w:rsid w:val="007E6E0D"/>
    <w:rsid w:val="007F127A"/>
    <w:rsid w:val="007F1998"/>
    <w:rsid w:val="007F1FD4"/>
    <w:rsid w:val="007F1FF7"/>
    <w:rsid w:val="007F21BD"/>
    <w:rsid w:val="007F246C"/>
    <w:rsid w:val="007F2A90"/>
    <w:rsid w:val="007F2C6F"/>
    <w:rsid w:val="007F4BE9"/>
    <w:rsid w:val="007F5265"/>
    <w:rsid w:val="007F60B7"/>
    <w:rsid w:val="007F62E8"/>
    <w:rsid w:val="007F63CD"/>
    <w:rsid w:val="007F6706"/>
    <w:rsid w:val="007F7409"/>
    <w:rsid w:val="007F7757"/>
    <w:rsid w:val="007F7A67"/>
    <w:rsid w:val="008008C6"/>
    <w:rsid w:val="0080187D"/>
    <w:rsid w:val="00801E0B"/>
    <w:rsid w:val="00802495"/>
    <w:rsid w:val="0080293D"/>
    <w:rsid w:val="0080299C"/>
    <w:rsid w:val="00803457"/>
    <w:rsid w:val="00803C49"/>
    <w:rsid w:val="008042CA"/>
    <w:rsid w:val="008042DB"/>
    <w:rsid w:val="00804A3E"/>
    <w:rsid w:val="00805D16"/>
    <w:rsid w:val="008068AE"/>
    <w:rsid w:val="00806D50"/>
    <w:rsid w:val="00807B4F"/>
    <w:rsid w:val="0081013C"/>
    <w:rsid w:val="008106D8"/>
    <w:rsid w:val="00811CBC"/>
    <w:rsid w:val="00811D22"/>
    <w:rsid w:val="00811FC2"/>
    <w:rsid w:val="0081446C"/>
    <w:rsid w:val="008144DD"/>
    <w:rsid w:val="00814523"/>
    <w:rsid w:val="0081485B"/>
    <w:rsid w:val="00814DE8"/>
    <w:rsid w:val="00814EB1"/>
    <w:rsid w:val="00815A4C"/>
    <w:rsid w:val="00816010"/>
    <w:rsid w:val="0081656B"/>
    <w:rsid w:val="00816991"/>
    <w:rsid w:val="00817374"/>
    <w:rsid w:val="00817E7A"/>
    <w:rsid w:val="00817F71"/>
    <w:rsid w:val="008201BE"/>
    <w:rsid w:val="008202C9"/>
    <w:rsid w:val="00820388"/>
    <w:rsid w:val="008208CD"/>
    <w:rsid w:val="00820EB6"/>
    <w:rsid w:val="008219AA"/>
    <w:rsid w:val="008230AA"/>
    <w:rsid w:val="0082390B"/>
    <w:rsid w:val="008240E3"/>
    <w:rsid w:val="00824666"/>
    <w:rsid w:val="00824775"/>
    <w:rsid w:val="00824837"/>
    <w:rsid w:val="00824921"/>
    <w:rsid w:val="00824EA0"/>
    <w:rsid w:val="00827596"/>
    <w:rsid w:val="008276E9"/>
    <w:rsid w:val="0082798D"/>
    <w:rsid w:val="00830F44"/>
    <w:rsid w:val="008310D5"/>
    <w:rsid w:val="00831162"/>
    <w:rsid w:val="0083167A"/>
    <w:rsid w:val="008316D7"/>
    <w:rsid w:val="00831944"/>
    <w:rsid w:val="00831B47"/>
    <w:rsid w:val="00831DF0"/>
    <w:rsid w:val="00833742"/>
    <w:rsid w:val="008343F1"/>
    <w:rsid w:val="00834484"/>
    <w:rsid w:val="0083505A"/>
    <w:rsid w:val="00835A67"/>
    <w:rsid w:val="008366EC"/>
    <w:rsid w:val="00837109"/>
    <w:rsid w:val="00837AF9"/>
    <w:rsid w:val="00840AE4"/>
    <w:rsid w:val="008413AE"/>
    <w:rsid w:val="008416DF"/>
    <w:rsid w:val="00842B84"/>
    <w:rsid w:val="008431F5"/>
    <w:rsid w:val="0084409E"/>
    <w:rsid w:val="008443B3"/>
    <w:rsid w:val="0084542D"/>
    <w:rsid w:val="00845B0A"/>
    <w:rsid w:val="00846433"/>
    <w:rsid w:val="0084668A"/>
    <w:rsid w:val="00846946"/>
    <w:rsid w:val="00850839"/>
    <w:rsid w:val="00850DF4"/>
    <w:rsid w:val="008510C7"/>
    <w:rsid w:val="0085150A"/>
    <w:rsid w:val="0085160F"/>
    <w:rsid w:val="008519B3"/>
    <w:rsid w:val="00851E3E"/>
    <w:rsid w:val="00851F72"/>
    <w:rsid w:val="00852BDE"/>
    <w:rsid w:val="0085327B"/>
    <w:rsid w:val="00853AA1"/>
    <w:rsid w:val="00853B1E"/>
    <w:rsid w:val="00854AAE"/>
    <w:rsid w:val="008553A7"/>
    <w:rsid w:val="008563A5"/>
    <w:rsid w:val="00856CDB"/>
    <w:rsid w:val="00857C1B"/>
    <w:rsid w:val="00860243"/>
    <w:rsid w:val="00860360"/>
    <w:rsid w:val="00860BD7"/>
    <w:rsid w:val="00860EFE"/>
    <w:rsid w:val="008624E2"/>
    <w:rsid w:val="00862ACA"/>
    <w:rsid w:val="00863B5C"/>
    <w:rsid w:val="00863E35"/>
    <w:rsid w:val="0086480C"/>
    <w:rsid w:val="0086680C"/>
    <w:rsid w:val="00866A4F"/>
    <w:rsid w:val="00866F44"/>
    <w:rsid w:val="00870F86"/>
    <w:rsid w:val="008712E6"/>
    <w:rsid w:val="00871F2A"/>
    <w:rsid w:val="00872C63"/>
    <w:rsid w:val="00872F5B"/>
    <w:rsid w:val="00873EFF"/>
    <w:rsid w:val="008749E8"/>
    <w:rsid w:val="0087646A"/>
    <w:rsid w:val="00876774"/>
    <w:rsid w:val="00876C6F"/>
    <w:rsid w:val="008803DA"/>
    <w:rsid w:val="00880AAC"/>
    <w:rsid w:val="00881794"/>
    <w:rsid w:val="00881CAD"/>
    <w:rsid w:val="0088319D"/>
    <w:rsid w:val="00883A58"/>
    <w:rsid w:val="00884A74"/>
    <w:rsid w:val="00884D22"/>
    <w:rsid w:val="00884EFF"/>
    <w:rsid w:val="008859CF"/>
    <w:rsid w:val="00885FF2"/>
    <w:rsid w:val="00886114"/>
    <w:rsid w:val="00886778"/>
    <w:rsid w:val="0089255B"/>
    <w:rsid w:val="0089326A"/>
    <w:rsid w:val="0089358E"/>
    <w:rsid w:val="0089379C"/>
    <w:rsid w:val="008938A1"/>
    <w:rsid w:val="00893F67"/>
    <w:rsid w:val="00894424"/>
    <w:rsid w:val="00895E6F"/>
    <w:rsid w:val="00896602"/>
    <w:rsid w:val="00897ED1"/>
    <w:rsid w:val="008A0297"/>
    <w:rsid w:val="008A034D"/>
    <w:rsid w:val="008A1004"/>
    <w:rsid w:val="008A15C2"/>
    <w:rsid w:val="008A1733"/>
    <w:rsid w:val="008A2121"/>
    <w:rsid w:val="008A2F96"/>
    <w:rsid w:val="008A34CB"/>
    <w:rsid w:val="008A474D"/>
    <w:rsid w:val="008A6264"/>
    <w:rsid w:val="008A6835"/>
    <w:rsid w:val="008B0300"/>
    <w:rsid w:val="008B03DF"/>
    <w:rsid w:val="008B0750"/>
    <w:rsid w:val="008B170E"/>
    <w:rsid w:val="008B1EE1"/>
    <w:rsid w:val="008B3246"/>
    <w:rsid w:val="008B37A1"/>
    <w:rsid w:val="008B3D4B"/>
    <w:rsid w:val="008B4625"/>
    <w:rsid w:val="008B467F"/>
    <w:rsid w:val="008B57B0"/>
    <w:rsid w:val="008B5A82"/>
    <w:rsid w:val="008B6B49"/>
    <w:rsid w:val="008C06CB"/>
    <w:rsid w:val="008C0C83"/>
    <w:rsid w:val="008C0D9B"/>
    <w:rsid w:val="008C0E7E"/>
    <w:rsid w:val="008C313F"/>
    <w:rsid w:val="008C4797"/>
    <w:rsid w:val="008C582D"/>
    <w:rsid w:val="008C5C3A"/>
    <w:rsid w:val="008C6233"/>
    <w:rsid w:val="008C6A5F"/>
    <w:rsid w:val="008C6BC1"/>
    <w:rsid w:val="008C7480"/>
    <w:rsid w:val="008C7F35"/>
    <w:rsid w:val="008D0E7C"/>
    <w:rsid w:val="008D1FB6"/>
    <w:rsid w:val="008D2A1E"/>
    <w:rsid w:val="008D2CA0"/>
    <w:rsid w:val="008D2F64"/>
    <w:rsid w:val="008D31D6"/>
    <w:rsid w:val="008D3959"/>
    <w:rsid w:val="008D3B33"/>
    <w:rsid w:val="008D4703"/>
    <w:rsid w:val="008D50DF"/>
    <w:rsid w:val="008D659E"/>
    <w:rsid w:val="008D6656"/>
    <w:rsid w:val="008D7B7C"/>
    <w:rsid w:val="008E016F"/>
    <w:rsid w:val="008E1860"/>
    <w:rsid w:val="008E1CB3"/>
    <w:rsid w:val="008E1E5B"/>
    <w:rsid w:val="008E2B3A"/>
    <w:rsid w:val="008E38B3"/>
    <w:rsid w:val="008E3970"/>
    <w:rsid w:val="008E3EF5"/>
    <w:rsid w:val="008E4DC6"/>
    <w:rsid w:val="008E5913"/>
    <w:rsid w:val="008E5DFF"/>
    <w:rsid w:val="008E6B14"/>
    <w:rsid w:val="008E6FC3"/>
    <w:rsid w:val="008F06A6"/>
    <w:rsid w:val="008F07B1"/>
    <w:rsid w:val="008F0A00"/>
    <w:rsid w:val="008F0EEB"/>
    <w:rsid w:val="008F1720"/>
    <w:rsid w:val="008F1F04"/>
    <w:rsid w:val="008F2C24"/>
    <w:rsid w:val="008F2EAC"/>
    <w:rsid w:val="008F48A5"/>
    <w:rsid w:val="008F4B28"/>
    <w:rsid w:val="008F53AE"/>
    <w:rsid w:val="008F5FAF"/>
    <w:rsid w:val="008F6126"/>
    <w:rsid w:val="008F74C2"/>
    <w:rsid w:val="008F7CEE"/>
    <w:rsid w:val="009001A3"/>
    <w:rsid w:val="009002D8"/>
    <w:rsid w:val="00900E6F"/>
    <w:rsid w:val="00901901"/>
    <w:rsid w:val="00901C53"/>
    <w:rsid w:val="00901FF4"/>
    <w:rsid w:val="00902767"/>
    <w:rsid w:val="00902BB7"/>
    <w:rsid w:val="00902C4D"/>
    <w:rsid w:val="00903068"/>
    <w:rsid w:val="009048BF"/>
    <w:rsid w:val="00904ACB"/>
    <w:rsid w:val="00905F78"/>
    <w:rsid w:val="00910B15"/>
    <w:rsid w:val="00911AAB"/>
    <w:rsid w:val="00911E06"/>
    <w:rsid w:val="009124E7"/>
    <w:rsid w:val="00912F15"/>
    <w:rsid w:val="00913E6F"/>
    <w:rsid w:val="009144E2"/>
    <w:rsid w:val="00916658"/>
    <w:rsid w:val="00916674"/>
    <w:rsid w:val="00916D23"/>
    <w:rsid w:val="0091768B"/>
    <w:rsid w:val="00917BB8"/>
    <w:rsid w:val="0092245C"/>
    <w:rsid w:val="00922AA7"/>
    <w:rsid w:val="00922C6F"/>
    <w:rsid w:val="00922D6B"/>
    <w:rsid w:val="00923155"/>
    <w:rsid w:val="0092377C"/>
    <w:rsid w:val="0092476E"/>
    <w:rsid w:val="00924F79"/>
    <w:rsid w:val="00925391"/>
    <w:rsid w:val="009254E0"/>
    <w:rsid w:val="00925CEA"/>
    <w:rsid w:val="0092770D"/>
    <w:rsid w:val="00927851"/>
    <w:rsid w:val="00927A0F"/>
    <w:rsid w:val="00927A30"/>
    <w:rsid w:val="00927DC6"/>
    <w:rsid w:val="009304A9"/>
    <w:rsid w:val="00931E9D"/>
    <w:rsid w:val="009328B3"/>
    <w:rsid w:val="00932F17"/>
    <w:rsid w:val="009338AE"/>
    <w:rsid w:val="00934EAF"/>
    <w:rsid w:val="00936A54"/>
    <w:rsid w:val="00937543"/>
    <w:rsid w:val="00937AC9"/>
    <w:rsid w:val="00940B0E"/>
    <w:rsid w:val="00940F81"/>
    <w:rsid w:val="00941552"/>
    <w:rsid w:val="00941AFB"/>
    <w:rsid w:val="009422D3"/>
    <w:rsid w:val="00942B82"/>
    <w:rsid w:val="009439AC"/>
    <w:rsid w:val="00943C5A"/>
    <w:rsid w:val="00943DEF"/>
    <w:rsid w:val="00944236"/>
    <w:rsid w:val="00944273"/>
    <w:rsid w:val="0094449B"/>
    <w:rsid w:val="00944C1D"/>
    <w:rsid w:val="00945A3E"/>
    <w:rsid w:val="00945D12"/>
    <w:rsid w:val="0094734F"/>
    <w:rsid w:val="009513DD"/>
    <w:rsid w:val="009516CD"/>
    <w:rsid w:val="0095227C"/>
    <w:rsid w:val="009523A7"/>
    <w:rsid w:val="009523F2"/>
    <w:rsid w:val="00953FB7"/>
    <w:rsid w:val="009551C5"/>
    <w:rsid w:val="00956636"/>
    <w:rsid w:val="00961FE9"/>
    <w:rsid w:val="009620C0"/>
    <w:rsid w:val="009628DB"/>
    <w:rsid w:val="00963312"/>
    <w:rsid w:val="0096386A"/>
    <w:rsid w:val="00963DD2"/>
    <w:rsid w:val="0096488A"/>
    <w:rsid w:val="00964CAC"/>
    <w:rsid w:val="0096508A"/>
    <w:rsid w:val="00965143"/>
    <w:rsid w:val="00965314"/>
    <w:rsid w:val="0096543C"/>
    <w:rsid w:val="00965ABF"/>
    <w:rsid w:val="00966347"/>
    <w:rsid w:val="00967D9F"/>
    <w:rsid w:val="00971781"/>
    <w:rsid w:val="00971A41"/>
    <w:rsid w:val="0097241E"/>
    <w:rsid w:val="0097256A"/>
    <w:rsid w:val="00973B06"/>
    <w:rsid w:val="00975BE8"/>
    <w:rsid w:val="00976A58"/>
    <w:rsid w:val="00977AA1"/>
    <w:rsid w:val="00977FA2"/>
    <w:rsid w:val="00980058"/>
    <w:rsid w:val="00980748"/>
    <w:rsid w:val="00982298"/>
    <w:rsid w:val="00982445"/>
    <w:rsid w:val="00982777"/>
    <w:rsid w:val="00982C40"/>
    <w:rsid w:val="0098375D"/>
    <w:rsid w:val="00985574"/>
    <w:rsid w:val="00986137"/>
    <w:rsid w:val="00986389"/>
    <w:rsid w:val="009872CD"/>
    <w:rsid w:val="009872D2"/>
    <w:rsid w:val="00987A8B"/>
    <w:rsid w:val="00990A46"/>
    <w:rsid w:val="00990AB9"/>
    <w:rsid w:val="009910BE"/>
    <w:rsid w:val="009912BB"/>
    <w:rsid w:val="009919C0"/>
    <w:rsid w:val="00991ECE"/>
    <w:rsid w:val="009920E2"/>
    <w:rsid w:val="00994217"/>
    <w:rsid w:val="00994618"/>
    <w:rsid w:val="00994EF2"/>
    <w:rsid w:val="009963BA"/>
    <w:rsid w:val="00996C54"/>
    <w:rsid w:val="00996CD5"/>
    <w:rsid w:val="00997E71"/>
    <w:rsid w:val="009A0966"/>
    <w:rsid w:val="009A09EC"/>
    <w:rsid w:val="009A0E02"/>
    <w:rsid w:val="009A0F7A"/>
    <w:rsid w:val="009A151F"/>
    <w:rsid w:val="009A24BC"/>
    <w:rsid w:val="009A26E9"/>
    <w:rsid w:val="009A2C67"/>
    <w:rsid w:val="009A3130"/>
    <w:rsid w:val="009A3240"/>
    <w:rsid w:val="009A4398"/>
    <w:rsid w:val="009A442C"/>
    <w:rsid w:val="009A4B85"/>
    <w:rsid w:val="009A4ED8"/>
    <w:rsid w:val="009A55C2"/>
    <w:rsid w:val="009A5C07"/>
    <w:rsid w:val="009A6AF8"/>
    <w:rsid w:val="009A7EF0"/>
    <w:rsid w:val="009B220E"/>
    <w:rsid w:val="009B2A92"/>
    <w:rsid w:val="009B2F03"/>
    <w:rsid w:val="009B3C05"/>
    <w:rsid w:val="009B46F6"/>
    <w:rsid w:val="009B566C"/>
    <w:rsid w:val="009B5CB4"/>
    <w:rsid w:val="009B5E96"/>
    <w:rsid w:val="009B6C54"/>
    <w:rsid w:val="009B767D"/>
    <w:rsid w:val="009B76F3"/>
    <w:rsid w:val="009B7753"/>
    <w:rsid w:val="009C02EE"/>
    <w:rsid w:val="009C0784"/>
    <w:rsid w:val="009C0BA8"/>
    <w:rsid w:val="009C1AAB"/>
    <w:rsid w:val="009C2087"/>
    <w:rsid w:val="009C24FF"/>
    <w:rsid w:val="009C25DE"/>
    <w:rsid w:val="009C25FD"/>
    <w:rsid w:val="009C2DE1"/>
    <w:rsid w:val="009C3712"/>
    <w:rsid w:val="009C3901"/>
    <w:rsid w:val="009C3BA8"/>
    <w:rsid w:val="009C3C64"/>
    <w:rsid w:val="009C48BC"/>
    <w:rsid w:val="009C4D62"/>
    <w:rsid w:val="009C5841"/>
    <w:rsid w:val="009C66BD"/>
    <w:rsid w:val="009C6977"/>
    <w:rsid w:val="009C6E50"/>
    <w:rsid w:val="009D040F"/>
    <w:rsid w:val="009D043F"/>
    <w:rsid w:val="009D0749"/>
    <w:rsid w:val="009D1603"/>
    <w:rsid w:val="009D23AF"/>
    <w:rsid w:val="009D2F92"/>
    <w:rsid w:val="009D375A"/>
    <w:rsid w:val="009D37CF"/>
    <w:rsid w:val="009D3C4A"/>
    <w:rsid w:val="009D4058"/>
    <w:rsid w:val="009D4AA7"/>
    <w:rsid w:val="009D4B0D"/>
    <w:rsid w:val="009D4D9E"/>
    <w:rsid w:val="009D57EC"/>
    <w:rsid w:val="009D5839"/>
    <w:rsid w:val="009D5AD5"/>
    <w:rsid w:val="009D607F"/>
    <w:rsid w:val="009D636E"/>
    <w:rsid w:val="009D64AE"/>
    <w:rsid w:val="009D6EDD"/>
    <w:rsid w:val="009D75E4"/>
    <w:rsid w:val="009D7839"/>
    <w:rsid w:val="009D7CC1"/>
    <w:rsid w:val="009E06CF"/>
    <w:rsid w:val="009E0CD5"/>
    <w:rsid w:val="009E0D62"/>
    <w:rsid w:val="009E107C"/>
    <w:rsid w:val="009E1340"/>
    <w:rsid w:val="009E1EB9"/>
    <w:rsid w:val="009E2265"/>
    <w:rsid w:val="009E25DF"/>
    <w:rsid w:val="009E33E8"/>
    <w:rsid w:val="009E3400"/>
    <w:rsid w:val="009E39DB"/>
    <w:rsid w:val="009E3F6A"/>
    <w:rsid w:val="009E40F8"/>
    <w:rsid w:val="009E5EDB"/>
    <w:rsid w:val="009F027A"/>
    <w:rsid w:val="009F0584"/>
    <w:rsid w:val="009F06DE"/>
    <w:rsid w:val="009F1184"/>
    <w:rsid w:val="009F1359"/>
    <w:rsid w:val="009F1B67"/>
    <w:rsid w:val="009F1E00"/>
    <w:rsid w:val="009F3011"/>
    <w:rsid w:val="009F35D3"/>
    <w:rsid w:val="009F3B27"/>
    <w:rsid w:val="009F403E"/>
    <w:rsid w:val="009F45ED"/>
    <w:rsid w:val="009F6EF9"/>
    <w:rsid w:val="009F7483"/>
    <w:rsid w:val="009F783C"/>
    <w:rsid w:val="009F7F35"/>
    <w:rsid w:val="00A0126A"/>
    <w:rsid w:val="00A02823"/>
    <w:rsid w:val="00A02D1A"/>
    <w:rsid w:val="00A02FEE"/>
    <w:rsid w:val="00A03078"/>
    <w:rsid w:val="00A05377"/>
    <w:rsid w:val="00A05990"/>
    <w:rsid w:val="00A05DF4"/>
    <w:rsid w:val="00A0627A"/>
    <w:rsid w:val="00A06322"/>
    <w:rsid w:val="00A06F0C"/>
    <w:rsid w:val="00A072BE"/>
    <w:rsid w:val="00A10781"/>
    <w:rsid w:val="00A10C30"/>
    <w:rsid w:val="00A11078"/>
    <w:rsid w:val="00A11BAB"/>
    <w:rsid w:val="00A12A1E"/>
    <w:rsid w:val="00A12BD8"/>
    <w:rsid w:val="00A12E2A"/>
    <w:rsid w:val="00A13CD2"/>
    <w:rsid w:val="00A15F64"/>
    <w:rsid w:val="00A166E5"/>
    <w:rsid w:val="00A16DFB"/>
    <w:rsid w:val="00A1729A"/>
    <w:rsid w:val="00A21A3A"/>
    <w:rsid w:val="00A2246C"/>
    <w:rsid w:val="00A227E7"/>
    <w:rsid w:val="00A22EC8"/>
    <w:rsid w:val="00A23362"/>
    <w:rsid w:val="00A233E0"/>
    <w:rsid w:val="00A23BB2"/>
    <w:rsid w:val="00A23BD4"/>
    <w:rsid w:val="00A24D0A"/>
    <w:rsid w:val="00A24F4A"/>
    <w:rsid w:val="00A24F5B"/>
    <w:rsid w:val="00A2547A"/>
    <w:rsid w:val="00A256E9"/>
    <w:rsid w:val="00A25D8C"/>
    <w:rsid w:val="00A26353"/>
    <w:rsid w:val="00A2661B"/>
    <w:rsid w:val="00A26BBA"/>
    <w:rsid w:val="00A26E89"/>
    <w:rsid w:val="00A274B4"/>
    <w:rsid w:val="00A27E5C"/>
    <w:rsid w:val="00A306EB"/>
    <w:rsid w:val="00A31484"/>
    <w:rsid w:val="00A31733"/>
    <w:rsid w:val="00A321FC"/>
    <w:rsid w:val="00A32F91"/>
    <w:rsid w:val="00A33372"/>
    <w:rsid w:val="00A33864"/>
    <w:rsid w:val="00A33E3E"/>
    <w:rsid w:val="00A3420F"/>
    <w:rsid w:val="00A352DB"/>
    <w:rsid w:val="00A358CC"/>
    <w:rsid w:val="00A35BC3"/>
    <w:rsid w:val="00A35DDE"/>
    <w:rsid w:val="00A35F5B"/>
    <w:rsid w:val="00A361A1"/>
    <w:rsid w:val="00A361CE"/>
    <w:rsid w:val="00A3652D"/>
    <w:rsid w:val="00A3683B"/>
    <w:rsid w:val="00A378C5"/>
    <w:rsid w:val="00A43B20"/>
    <w:rsid w:val="00A441FE"/>
    <w:rsid w:val="00A45166"/>
    <w:rsid w:val="00A45770"/>
    <w:rsid w:val="00A45865"/>
    <w:rsid w:val="00A45902"/>
    <w:rsid w:val="00A45EAB"/>
    <w:rsid w:val="00A4607C"/>
    <w:rsid w:val="00A477F2"/>
    <w:rsid w:val="00A50F86"/>
    <w:rsid w:val="00A5137E"/>
    <w:rsid w:val="00A516F1"/>
    <w:rsid w:val="00A5226D"/>
    <w:rsid w:val="00A5335F"/>
    <w:rsid w:val="00A53BD4"/>
    <w:rsid w:val="00A53C8F"/>
    <w:rsid w:val="00A53C9A"/>
    <w:rsid w:val="00A53F9A"/>
    <w:rsid w:val="00A54BBE"/>
    <w:rsid w:val="00A55764"/>
    <w:rsid w:val="00A56C84"/>
    <w:rsid w:val="00A57128"/>
    <w:rsid w:val="00A571A8"/>
    <w:rsid w:val="00A57BBD"/>
    <w:rsid w:val="00A57D4F"/>
    <w:rsid w:val="00A60384"/>
    <w:rsid w:val="00A6282F"/>
    <w:rsid w:val="00A62AFA"/>
    <w:rsid w:val="00A62BDE"/>
    <w:rsid w:val="00A63AAE"/>
    <w:rsid w:val="00A64434"/>
    <w:rsid w:val="00A64B54"/>
    <w:rsid w:val="00A656AB"/>
    <w:rsid w:val="00A65CAD"/>
    <w:rsid w:val="00A666D9"/>
    <w:rsid w:val="00A67ABA"/>
    <w:rsid w:val="00A67FC6"/>
    <w:rsid w:val="00A68791"/>
    <w:rsid w:val="00A71397"/>
    <w:rsid w:val="00A71F84"/>
    <w:rsid w:val="00A72623"/>
    <w:rsid w:val="00A72C0F"/>
    <w:rsid w:val="00A72F10"/>
    <w:rsid w:val="00A7308F"/>
    <w:rsid w:val="00A74137"/>
    <w:rsid w:val="00A768D2"/>
    <w:rsid w:val="00A80A26"/>
    <w:rsid w:val="00A80A27"/>
    <w:rsid w:val="00A80AE3"/>
    <w:rsid w:val="00A80EA7"/>
    <w:rsid w:val="00A80F29"/>
    <w:rsid w:val="00A811E3"/>
    <w:rsid w:val="00A816BC"/>
    <w:rsid w:val="00A824FB"/>
    <w:rsid w:val="00A82647"/>
    <w:rsid w:val="00A84C39"/>
    <w:rsid w:val="00A8542E"/>
    <w:rsid w:val="00A8593A"/>
    <w:rsid w:val="00A908D3"/>
    <w:rsid w:val="00A9188B"/>
    <w:rsid w:val="00A91EFC"/>
    <w:rsid w:val="00A927B7"/>
    <w:rsid w:val="00A92BCA"/>
    <w:rsid w:val="00A93B33"/>
    <w:rsid w:val="00A941AD"/>
    <w:rsid w:val="00A955EC"/>
    <w:rsid w:val="00A96493"/>
    <w:rsid w:val="00A9734E"/>
    <w:rsid w:val="00A975AC"/>
    <w:rsid w:val="00A97EE9"/>
    <w:rsid w:val="00AA176C"/>
    <w:rsid w:val="00AA1D42"/>
    <w:rsid w:val="00AA2033"/>
    <w:rsid w:val="00AA20F7"/>
    <w:rsid w:val="00AA21C6"/>
    <w:rsid w:val="00AA26C8"/>
    <w:rsid w:val="00AA2AE3"/>
    <w:rsid w:val="00AA3857"/>
    <w:rsid w:val="00AA3F6B"/>
    <w:rsid w:val="00AA4A5E"/>
    <w:rsid w:val="00AA4F24"/>
    <w:rsid w:val="00AA5BD7"/>
    <w:rsid w:val="00AA6120"/>
    <w:rsid w:val="00AA658A"/>
    <w:rsid w:val="00AA67A0"/>
    <w:rsid w:val="00AA747F"/>
    <w:rsid w:val="00AA74E9"/>
    <w:rsid w:val="00AB2EDE"/>
    <w:rsid w:val="00AB4BBF"/>
    <w:rsid w:val="00AB58D2"/>
    <w:rsid w:val="00AB5F02"/>
    <w:rsid w:val="00AB64F9"/>
    <w:rsid w:val="00AB6F0D"/>
    <w:rsid w:val="00AC02B9"/>
    <w:rsid w:val="00AC05F7"/>
    <w:rsid w:val="00AC105E"/>
    <w:rsid w:val="00AC1131"/>
    <w:rsid w:val="00AC1AC4"/>
    <w:rsid w:val="00AC1CEB"/>
    <w:rsid w:val="00AC40CC"/>
    <w:rsid w:val="00AC5472"/>
    <w:rsid w:val="00AC5769"/>
    <w:rsid w:val="00AC63E5"/>
    <w:rsid w:val="00AC72A3"/>
    <w:rsid w:val="00AD0166"/>
    <w:rsid w:val="00AD0411"/>
    <w:rsid w:val="00AD0BBA"/>
    <w:rsid w:val="00AD15AC"/>
    <w:rsid w:val="00AD1B66"/>
    <w:rsid w:val="00AD1CFF"/>
    <w:rsid w:val="00AD2124"/>
    <w:rsid w:val="00AD2447"/>
    <w:rsid w:val="00AD29CB"/>
    <w:rsid w:val="00AD3F78"/>
    <w:rsid w:val="00AD40C7"/>
    <w:rsid w:val="00AD46F7"/>
    <w:rsid w:val="00AD4B8F"/>
    <w:rsid w:val="00AD5918"/>
    <w:rsid w:val="00AD6A62"/>
    <w:rsid w:val="00AD718A"/>
    <w:rsid w:val="00AD7C58"/>
    <w:rsid w:val="00AE026A"/>
    <w:rsid w:val="00AE0C29"/>
    <w:rsid w:val="00AE1346"/>
    <w:rsid w:val="00AE198F"/>
    <w:rsid w:val="00AE22F0"/>
    <w:rsid w:val="00AE2337"/>
    <w:rsid w:val="00AE2594"/>
    <w:rsid w:val="00AE274D"/>
    <w:rsid w:val="00AE276C"/>
    <w:rsid w:val="00AE2A21"/>
    <w:rsid w:val="00AE3624"/>
    <w:rsid w:val="00AE3760"/>
    <w:rsid w:val="00AE3D21"/>
    <w:rsid w:val="00AE3F7E"/>
    <w:rsid w:val="00AE4D49"/>
    <w:rsid w:val="00AE6015"/>
    <w:rsid w:val="00AE626D"/>
    <w:rsid w:val="00AE63B1"/>
    <w:rsid w:val="00AE7034"/>
    <w:rsid w:val="00AE7917"/>
    <w:rsid w:val="00AE7BE7"/>
    <w:rsid w:val="00AE7FC5"/>
    <w:rsid w:val="00AF0469"/>
    <w:rsid w:val="00AF0EFC"/>
    <w:rsid w:val="00AF194D"/>
    <w:rsid w:val="00AF19B6"/>
    <w:rsid w:val="00AF2486"/>
    <w:rsid w:val="00AF303A"/>
    <w:rsid w:val="00AF32C8"/>
    <w:rsid w:val="00AF3371"/>
    <w:rsid w:val="00AF3D20"/>
    <w:rsid w:val="00AF4218"/>
    <w:rsid w:val="00AF6F5C"/>
    <w:rsid w:val="00AF7517"/>
    <w:rsid w:val="00B01413"/>
    <w:rsid w:val="00B027C5"/>
    <w:rsid w:val="00B02874"/>
    <w:rsid w:val="00B03221"/>
    <w:rsid w:val="00B04655"/>
    <w:rsid w:val="00B05BD3"/>
    <w:rsid w:val="00B06618"/>
    <w:rsid w:val="00B06750"/>
    <w:rsid w:val="00B07337"/>
    <w:rsid w:val="00B104FF"/>
    <w:rsid w:val="00B11431"/>
    <w:rsid w:val="00B11B2A"/>
    <w:rsid w:val="00B11CEB"/>
    <w:rsid w:val="00B13545"/>
    <w:rsid w:val="00B13985"/>
    <w:rsid w:val="00B13DEC"/>
    <w:rsid w:val="00B15AEE"/>
    <w:rsid w:val="00B15B9E"/>
    <w:rsid w:val="00B17B6C"/>
    <w:rsid w:val="00B17D7F"/>
    <w:rsid w:val="00B17EFE"/>
    <w:rsid w:val="00B209CA"/>
    <w:rsid w:val="00B21F13"/>
    <w:rsid w:val="00B21F97"/>
    <w:rsid w:val="00B222EC"/>
    <w:rsid w:val="00B22810"/>
    <w:rsid w:val="00B22F84"/>
    <w:rsid w:val="00B2326A"/>
    <w:rsid w:val="00B23E0D"/>
    <w:rsid w:val="00B24852"/>
    <w:rsid w:val="00B24DFF"/>
    <w:rsid w:val="00B2537D"/>
    <w:rsid w:val="00B2663E"/>
    <w:rsid w:val="00B26757"/>
    <w:rsid w:val="00B27639"/>
    <w:rsid w:val="00B27E4C"/>
    <w:rsid w:val="00B30148"/>
    <w:rsid w:val="00B3074A"/>
    <w:rsid w:val="00B31C31"/>
    <w:rsid w:val="00B32577"/>
    <w:rsid w:val="00B325B6"/>
    <w:rsid w:val="00B332E5"/>
    <w:rsid w:val="00B33378"/>
    <w:rsid w:val="00B3352C"/>
    <w:rsid w:val="00B345D5"/>
    <w:rsid w:val="00B358C7"/>
    <w:rsid w:val="00B36C86"/>
    <w:rsid w:val="00B37C28"/>
    <w:rsid w:val="00B400AE"/>
    <w:rsid w:val="00B40244"/>
    <w:rsid w:val="00B434D7"/>
    <w:rsid w:val="00B43818"/>
    <w:rsid w:val="00B44297"/>
    <w:rsid w:val="00B45BEF"/>
    <w:rsid w:val="00B4630B"/>
    <w:rsid w:val="00B47058"/>
    <w:rsid w:val="00B470E4"/>
    <w:rsid w:val="00B5036A"/>
    <w:rsid w:val="00B5068E"/>
    <w:rsid w:val="00B51024"/>
    <w:rsid w:val="00B524A9"/>
    <w:rsid w:val="00B52E22"/>
    <w:rsid w:val="00B533EC"/>
    <w:rsid w:val="00B57345"/>
    <w:rsid w:val="00B6021B"/>
    <w:rsid w:val="00B603E4"/>
    <w:rsid w:val="00B6078D"/>
    <w:rsid w:val="00B60B84"/>
    <w:rsid w:val="00B60C86"/>
    <w:rsid w:val="00B62079"/>
    <w:rsid w:val="00B62988"/>
    <w:rsid w:val="00B62DC1"/>
    <w:rsid w:val="00B63B97"/>
    <w:rsid w:val="00B64134"/>
    <w:rsid w:val="00B65237"/>
    <w:rsid w:val="00B655F5"/>
    <w:rsid w:val="00B666CD"/>
    <w:rsid w:val="00B67127"/>
    <w:rsid w:val="00B67894"/>
    <w:rsid w:val="00B67DFA"/>
    <w:rsid w:val="00B7204A"/>
    <w:rsid w:val="00B72371"/>
    <w:rsid w:val="00B72EDD"/>
    <w:rsid w:val="00B72EE9"/>
    <w:rsid w:val="00B737EF"/>
    <w:rsid w:val="00B73A96"/>
    <w:rsid w:val="00B744C9"/>
    <w:rsid w:val="00B74A8D"/>
    <w:rsid w:val="00B74D25"/>
    <w:rsid w:val="00B7519D"/>
    <w:rsid w:val="00B769DC"/>
    <w:rsid w:val="00B77957"/>
    <w:rsid w:val="00B77C81"/>
    <w:rsid w:val="00B802B8"/>
    <w:rsid w:val="00B8089C"/>
    <w:rsid w:val="00B80F76"/>
    <w:rsid w:val="00B818B8"/>
    <w:rsid w:val="00B81A2E"/>
    <w:rsid w:val="00B83587"/>
    <w:rsid w:val="00B8407F"/>
    <w:rsid w:val="00B846E9"/>
    <w:rsid w:val="00B8491D"/>
    <w:rsid w:val="00B851E9"/>
    <w:rsid w:val="00B85B34"/>
    <w:rsid w:val="00B8742C"/>
    <w:rsid w:val="00B90437"/>
    <w:rsid w:val="00B92284"/>
    <w:rsid w:val="00B92344"/>
    <w:rsid w:val="00B93348"/>
    <w:rsid w:val="00B936DB"/>
    <w:rsid w:val="00B9379D"/>
    <w:rsid w:val="00B93F50"/>
    <w:rsid w:val="00B9424F"/>
    <w:rsid w:val="00B9469D"/>
    <w:rsid w:val="00B947F9"/>
    <w:rsid w:val="00B9504D"/>
    <w:rsid w:val="00B957FA"/>
    <w:rsid w:val="00B95BD0"/>
    <w:rsid w:val="00B9602F"/>
    <w:rsid w:val="00B96B24"/>
    <w:rsid w:val="00B96E03"/>
    <w:rsid w:val="00BA0DAD"/>
    <w:rsid w:val="00BA0E33"/>
    <w:rsid w:val="00BA0EB9"/>
    <w:rsid w:val="00BA16A9"/>
    <w:rsid w:val="00BA1A18"/>
    <w:rsid w:val="00BA3BF5"/>
    <w:rsid w:val="00BA3E8E"/>
    <w:rsid w:val="00BA45E6"/>
    <w:rsid w:val="00BA4A18"/>
    <w:rsid w:val="00BA5E6F"/>
    <w:rsid w:val="00BA6D46"/>
    <w:rsid w:val="00BA7E18"/>
    <w:rsid w:val="00BB064C"/>
    <w:rsid w:val="00BB074A"/>
    <w:rsid w:val="00BB0D04"/>
    <w:rsid w:val="00BB1096"/>
    <w:rsid w:val="00BB29FA"/>
    <w:rsid w:val="00BB2B15"/>
    <w:rsid w:val="00BB3410"/>
    <w:rsid w:val="00BB432F"/>
    <w:rsid w:val="00BB49A7"/>
    <w:rsid w:val="00BB49C0"/>
    <w:rsid w:val="00BB5D05"/>
    <w:rsid w:val="00BB6F4C"/>
    <w:rsid w:val="00BB6FB5"/>
    <w:rsid w:val="00BB72A6"/>
    <w:rsid w:val="00BB753F"/>
    <w:rsid w:val="00BB7DA0"/>
    <w:rsid w:val="00BB7FF2"/>
    <w:rsid w:val="00BC0B1A"/>
    <w:rsid w:val="00BC13B4"/>
    <w:rsid w:val="00BC14D3"/>
    <w:rsid w:val="00BC1522"/>
    <w:rsid w:val="00BC1BF0"/>
    <w:rsid w:val="00BC2C12"/>
    <w:rsid w:val="00BC3541"/>
    <w:rsid w:val="00BC3DD2"/>
    <w:rsid w:val="00BC49BF"/>
    <w:rsid w:val="00BC4B93"/>
    <w:rsid w:val="00BC6815"/>
    <w:rsid w:val="00BC68DA"/>
    <w:rsid w:val="00BC7A35"/>
    <w:rsid w:val="00BD1082"/>
    <w:rsid w:val="00BD12E4"/>
    <w:rsid w:val="00BD16CC"/>
    <w:rsid w:val="00BD1E8F"/>
    <w:rsid w:val="00BD45C2"/>
    <w:rsid w:val="00BD6A4E"/>
    <w:rsid w:val="00BD6B16"/>
    <w:rsid w:val="00BE0A85"/>
    <w:rsid w:val="00BE12E1"/>
    <w:rsid w:val="00BE1B26"/>
    <w:rsid w:val="00BE1F44"/>
    <w:rsid w:val="00BE2950"/>
    <w:rsid w:val="00BE2D4E"/>
    <w:rsid w:val="00BE38BB"/>
    <w:rsid w:val="00BE3D6F"/>
    <w:rsid w:val="00BE4548"/>
    <w:rsid w:val="00BE53BF"/>
    <w:rsid w:val="00BE585F"/>
    <w:rsid w:val="00BE6129"/>
    <w:rsid w:val="00BE63D7"/>
    <w:rsid w:val="00BE7366"/>
    <w:rsid w:val="00BF0318"/>
    <w:rsid w:val="00BF0CAD"/>
    <w:rsid w:val="00BF15BE"/>
    <w:rsid w:val="00BF2700"/>
    <w:rsid w:val="00BF2A34"/>
    <w:rsid w:val="00BF2DF6"/>
    <w:rsid w:val="00BF4F1F"/>
    <w:rsid w:val="00BF5699"/>
    <w:rsid w:val="00BF6721"/>
    <w:rsid w:val="00BF7C13"/>
    <w:rsid w:val="00C02D9A"/>
    <w:rsid w:val="00C033E9"/>
    <w:rsid w:val="00C0389F"/>
    <w:rsid w:val="00C04326"/>
    <w:rsid w:val="00C046AD"/>
    <w:rsid w:val="00C04B9A"/>
    <w:rsid w:val="00C04BBE"/>
    <w:rsid w:val="00C04DE7"/>
    <w:rsid w:val="00C05154"/>
    <w:rsid w:val="00C05477"/>
    <w:rsid w:val="00C054E3"/>
    <w:rsid w:val="00C05ABC"/>
    <w:rsid w:val="00C06583"/>
    <w:rsid w:val="00C06653"/>
    <w:rsid w:val="00C066B7"/>
    <w:rsid w:val="00C06CE5"/>
    <w:rsid w:val="00C07AAE"/>
    <w:rsid w:val="00C07D74"/>
    <w:rsid w:val="00C07FDD"/>
    <w:rsid w:val="00C11ED5"/>
    <w:rsid w:val="00C126EB"/>
    <w:rsid w:val="00C12EE8"/>
    <w:rsid w:val="00C135E8"/>
    <w:rsid w:val="00C13614"/>
    <w:rsid w:val="00C13B84"/>
    <w:rsid w:val="00C13C79"/>
    <w:rsid w:val="00C14835"/>
    <w:rsid w:val="00C14B7B"/>
    <w:rsid w:val="00C14D9D"/>
    <w:rsid w:val="00C1628D"/>
    <w:rsid w:val="00C16370"/>
    <w:rsid w:val="00C163C4"/>
    <w:rsid w:val="00C167E4"/>
    <w:rsid w:val="00C16D1B"/>
    <w:rsid w:val="00C20372"/>
    <w:rsid w:val="00C20922"/>
    <w:rsid w:val="00C209C1"/>
    <w:rsid w:val="00C22227"/>
    <w:rsid w:val="00C227A8"/>
    <w:rsid w:val="00C23460"/>
    <w:rsid w:val="00C2356F"/>
    <w:rsid w:val="00C24C6C"/>
    <w:rsid w:val="00C25A7A"/>
    <w:rsid w:val="00C266A6"/>
    <w:rsid w:val="00C27150"/>
    <w:rsid w:val="00C27159"/>
    <w:rsid w:val="00C2794B"/>
    <w:rsid w:val="00C30469"/>
    <w:rsid w:val="00C3183C"/>
    <w:rsid w:val="00C31A76"/>
    <w:rsid w:val="00C32359"/>
    <w:rsid w:val="00C32AD9"/>
    <w:rsid w:val="00C32C7E"/>
    <w:rsid w:val="00C32D5B"/>
    <w:rsid w:val="00C33DA4"/>
    <w:rsid w:val="00C33E98"/>
    <w:rsid w:val="00C347F1"/>
    <w:rsid w:val="00C34842"/>
    <w:rsid w:val="00C34DD9"/>
    <w:rsid w:val="00C35ADB"/>
    <w:rsid w:val="00C36AEE"/>
    <w:rsid w:val="00C36E61"/>
    <w:rsid w:val="00C36FC6"/>
    <w:rsid w:val="00C370FA"/>
    <w:rsid w:val="00C37364"/>
    <w:rsid w:val="00C375CA"/>
    <w:rsid w:val="00C375FC"/>
    <w:rsid w:val="00C37938"/>
    <w:rsid w:val="00C406E3"/>
    <w:rsid w:val="00C40814"/>
    <w:rsid w:val="00C4298A"/>
    <w:rsid w:val="00C42F7B"/>
    <w:rsid w:val="00C43349"/>
    <w:rsid w:val="00C441E0"/>
    <w:rsid w:val="00C44A9E"/>
    <w:rsid w:val="00C44D4A"/>
    <w:rsid w:val="00C454A2"/>
    <w:rsid w:val="00C457F1"/>
    <w:rsid w:val="00C45979"/>
    <w:rsid w:val="00C459CC"/>
    <w:rsid w:val="00C46235"/>
    <w:rsid w:val="00C50474"/>
    <w:rsid w:val="00C51D4B"/>
    <w:rsid w:val="00C53887"/>
    <w:rsid w:val="00C538F7"/>
    <w:rsid w:val="00C53E86"/>
    <w:rsid w:val="00C541C4"/>
    <w:rsid w:val="00C54E17"/>
    <w:rsid w:val="00C54FDB"/>
    <w:rsid w:val="00C573BC"/>
    <w:rsid w:val="00C575BF"/>
    <w:rsid w:val="00C60DDA"/>
    <w:rsid w:val="00C6228D"/>
    <w:rsid w:val="00C62820"/>
    <w:rsid w:val="00C63846"/>
    <w:rsid w:val="00C64463"/>
    <w:rsid w:val="00C64852"/>
    <w:rsid w:val="00C648C6"/>
    <w:rsid w:val="00C65155"/>
    <w:rsid w:val="00C6631C"/>
    <w:rsid w:val="00C663C5"/>
    <w:rsid w:val="00C67D9C"/>
    <w:rsid w:val="00C706D7"/>
    <w:rsid w:val="00C70C53"/>
    <w:rsid w:val="00C71C8F"/>
    <w:rsid w:val="00C72590"/>
    <w:rsid w:val="00C72CCD"/>
    <w:rsid w:val="00C733F7"/>
    <w:rsid w:val="00C7507F"/>
    <w:rsid w:val="00C754FD"/>
    <w:rsid w:val="00C7567B"/>
    <w:rsid w:val="00C75A2D"/>
    <w:rsid w:val="00C76A98"/>
    <w:rsid w:val="00C76FDB"/>
    <w:rsid w:val="00C80007"/>
    <w:rsid w:val="00C80081"/>
    <w:rsid w:val="00C80E50"/>
    <w:rsid w:val="00C8158E"/>
    <w:rsid w:val="00C81982"/>
    <w:rsid w:val="00C81E8A"/>
    <w:rsid w:val="00C82275"/>
    <w:rsid w:val="00C82763"/>
    <w:rsid w:val="00C82B1D"/>
    <w:rsid w:val="00C83417"/>
    <w:rsid w:val="00C83ECD"/>
    <w:rsid w:val="00C8408B"/>
    <w:rsid w:val="00C84A4B"/>
    <w:rsid w:val="00C85445"/>
    <w:rsid w:val="00C85449"/>
    <w:rsid w:val="00C85ACD"/>
    <w:rsid w:val="00C863A7"/>
    <w:rsid w:val="00C8694C"/>
    <w:rsid w:val="00C86ABE"/>
    <w:rsid w:val="00C8720B"/>
    <w:rsid w:val="00C87271"/>
    <w:rsid w:val="00C87922"/>
    <w:rsid w:val="00C87C08"/>
    <w:rsid w:val="00C87E71"/>
    <w:rsid w:val="00C90997"/>
    <w:rsid w:val="00C91270"/>
    <w:rsid w:val="00C9141A"/>
    <w:rsid w:val="00C916DE"/>
    <w:rsid w:val="00C921DC"/>
    <w:rsid w:val="00C934BB"/>
    <w:rsid w:val="00C93634"/>
    <w:rsid w:val="00C943C6"/>
    <w:rsid w:val="00C94D70"/>
    <w:rsid w:val="00C94DD4"/>
    <w:rsid w:val="00C94E38"/>
    <w:rsid w:val="00C9517E"/>
    <w:rsid w:val="00C95B74"/>
    <w:rsid w:val="00C96032"/>
    <w:rsid w:val="00C96BDE"/>
    <w:rsid w:val="00C97197"/>
    <w:rsid w:val="00C979CA"/>
    <w:rsid w:val="00C97A77"/>
    <w:rsid w:val="00CA0D24"/>
    <w:rsid w:val="00CA1C86"/>
    <w:rsid w:val="00CA27B9"/>
    <w:rsid w:val="00CA30C9"/>
    <w:rsid w:val="00CA32FE"/>
    <w:rsid w:val="00CA3449"/>
    <w:rsid w:val="00CA4137"/>
    <w:rsid w:val="00CA4C26"/>
    <w:rsid w:val="00CA5AE4"/>
    <w:rsid w:val="00CA6D14"/>
    <w:rsid w:val="00CA6D18"/>
    <w:rsid w:val="00CA6E7E"/>
    <w:rsid w:val="00CA785F"/>
    <w:rsid w:val="00CA7D74"/>
    <w:rsid w:val="00CB02A1"/>
    <w:rsid w:val="00CB038B"/>
    <w:rsid w:val="00CB0D29"/>
    <w:rsid w:val="00CB1797"/>
    <w:rsid w:val="00CB261B"/>
    <w:rsid w:val="00CB32F4"/>
    <w:rsid w:val="00CB33D1"/>
    <w:rsid w:val="00CB3D56"/>
    <w:rsid w:val="00CB4B04"/>
    <w:rsid w:val="00CB6453"/>
    <w:rsid w:val="00CB6AD7"/>
    <w:rsid w:val="00CB7AC9"/>
    <w:rsid w:val="00CC03C4"/>
    <w:rsid w:val="00CC2231"/>
    <w:rsid w:val="00CC2643"/>
    <w:rsid w:val="00CC338D"/>
    <w:rsid w:val="00CC37C9"/>
    <w:rsid w:val="00CC37DB"/>
    <w:rsid w:val="00CC3C26"/>
    <w:rsid w:val="00CC43C3"/>
    <w:rsid w:val="00CC43C5"/>
    <w:rsid w:val="00CC43CD"/>
    <w:rsid w:val="00CC4618"/>
    <w:rsid w:val="00CC5498"/>
    <w:rsid w:val="00CC5A2A"/>
    <w:rsid w:val="00CC73AE"/>
    <w:rsid w:val="00CD1614"/>
    <w:rsid w:val="00CD1836"/>
    <w:rsid w:val="00CD2096"/>
    <w:rsid w:val="00CD22D4"/>
    <w:rsid w:val="00CD275E"/>
    <w:rsid w:val="00CD2EF7"/>
    <w:rsid w:val="00CD38AB"/>
    <w:rsid w:val="00CD4100"/>
    <w:rsid w:val="00CD4338"/>
    <w:rsid w:val="00CD4809"/>
    <w:rsid w:val="00CD5A92"/>
    <w:rsid w:val="00CD5EF7"/>
    <w:rsid w:val="00CD6055"/>
    <w:rsid w:val="00CD6345"/>
    <w:rsid w:val="00CD7463"/>
    <w:rsid w:val="00CD7BBD"/>
    <w:rsid w:val="00CE0942"/>
    <w:rsid w:val="00CE1EF9"/>
    <w:rsid w:val="00CE2CB1"/>
    <w:rsid w:val="00CE2FF5"/>
    <w:rsid w:val="00CE3ACF"/>
    <w:rsid w:val="00CE4292"/>
    <w:rsid w:val="00CE4DEB"/>
    <w:rsid w:val="00CE4F47"/>
    <w:rsid w:val="00CE571F"/>
    <w:rsid w:val="00CE5752"/>
    <w:rsid w:val="00CE6F2D"/>
    <w:rsid w:val="00CE7E93"/>
    <w:rsid w:val="00CF01E1"/>
    <w:rsid w:val="00CF23B4"/>
    <w:rsid w:val="00CF242E"/>
    <w:rsid w:val="00CF413A"/>
    <w:rsid w:val="00CF4631"/>
    <w:rsid w:val="00CF472E"/>
    <w:rsid w:val="00CF4BFF"/>
    <w:rsid w:val="00CF5A3C"/>
    <w:rsid w:val="00CF5EFF"/>
    <w:rsid w:val="00CF788F"/>
    <w:rsid w:val="00D00106"/>
    <w:rsid w:val="00D00D33"/>
    <w:rsid w:val="00D01499"/>
    <w:rsid w:val="00D015E2"/>
    <w:rsid w:val="00D01A8F"/>
    <w:rsid w:val="00D03097"/>
    <w:rsid w:val="00D04072"/>
    <w:rsid w:val="00D043F3"/>
    <w:rsid w:val="00D04709"/>
    <w:rsid w:val="00D05CC4"/>
    <w:rsid w:val="00D10B82"/>
    <w:rsid w:val="00D129E9"/>
    <w:rsid w:val="00D12D20"/>
    <w:rsid w:val="00D12F28"/>
    <w:rsid w:val="00D14A68"/>
    <w:rsid w:val="00D14F6B"/>
    <w:rsid w:val="00D157FC"/>
    <w:rsid w:val="00D15C7B"/>
    <w:rsid w:val="00D16149"/>
    <w:rsid w:val="00D163B0"/>
    <w:rsid w:val="00D17BB9"/>
    <w:rsid w:val="00D17C9A"/>
    <w:rsid w:val="00D202C7"/>
    <w:rsid w:val="00D20EB7"/>
    <w:rsid w:val="00D210DB"/>
    <w:rsid w:val="00D21B01"/>
    <w:rsid w:val="00D225E2"/>
    <w:rsid w:val="00D22FA7"/>
    <w:rsid w:val="00D23384"/>
    <w:rsid w:val="00D234AD"/>
    <w:rsid w:val="00D237F9"/>
    <w:rsid w:val="00D24AC0"/>
    <w:rsid w:val="00D24C24"/>
    <w:rsid w:val="00D25B19"/>
    <w:rsid w:val="00D26124"/>
    <w:rsid w:val="00D27025"/>
    <w:rsid w:val="00D27251"/>
    <w:rsid w:val="00D27B0C"/>
    <w:rsid w:val="00D30694"/>
    <w:rsid w:val="00D30960"/>
    <w:rsid w:val="00D31DCE"/>
    <w:rsid w:val="00D32EF4"/>
    <w:rsid w:val="00D3342F"/>
    <w:rsid w:val="00D33817"/>
    <w:rsid w:val="00D360A3"/>
    <w:rsid w:val="00D36464"/>
    <w:rsid w:val="00D37D03"/>
    <w:rsid w:val="00D37D3F"/>
    <w:rsid w:val="00D37FE0"/>
    <w:rsid w:val="00D40294"/>
    <w:rsid w:val="00D414EB"/>
    <w:rsid w:val="00D4173C"/>
    <w:rsid w:val="00D4260C"/>
    <w:rsid w:val="00D4270E"/>
    <w:rsid w:val="00D43278"/>
    <w:rsid w:val="00D432B7"/>
    <w:rsid w:val="00D437E5"/>
    <w:rsid w:val="00D443B8"/>
    <w:rsid w:val="00D44444"/>
    <w:rsid w:val="00D4483E"/>
    <w:rsid w:val="00D44FAF"/>
    <w:rsid w:val="00D4591C"/>
    <w:rsid w:val="00D459A4"/>
    <w:rsid w:val="00D45C8A"/>
    <w:rsid w:val="00D471DE"/>
    <w:rsid w:val="00D479A8"/>
    <w:rsid w:val="00D47A32"/>
    <w:rsid w:val="00D47C16"/>
    <w:rsid w:val="00D47C2B"/>
    <w:rsid w:val="00D47CB3"/>
    <w:rsid w:val="00D50C3C"/>
    <w:rsid w:val="00D51356"/>
    <w:rsid w:val="00D517F0"/>
    <w:rsid w:val="00D51D97"/>
    <w:rsid w:val="00D5260D"/>
    <w:rsid w:val="00D542B4"/>
    <w:rsid w:val="00D54334"/>
    <w:rsid w:val="00D544EC"/>
    <w:rsid w:val="00D55926"/>
    <w:rsid w:val="00D55EB1"/>
    <w:rsid w:val="00D56B4A"/>
    <w:rsid w:val="00D56C77"/>
    <w:rsid w:val="00D57716"/>
    <w:rsid w:val="00D578B2"/>
    <w:rsid w:val="00D6030B"/>
    <w:rsid w:val="00D61EDC"/>
    <w:rsid w:val="00D62984"/>
    <w:rsid w:val="00D6362C"/>
    <w:rsid w:val="00D63B87"/>
    <w:rsid w:val="00D64254"/>
    <w:rsid w:val="00D650F5"/>
    <w:rsid w:val="00D66597"/>
    <w:rsid w:val="00D66AA8"/>
    <w:rsid w:val="00D6737C"/>
    <w:rsid w:val="00D72768"/>
    <w:rsid w:val="00D73509"/>
    <w:rsid w:val="00D7382B"/>
    <w:rsid w:val="00D73DBE"/>
    <w:rsid w:val="00D73E09"/>
    <w:rsid w:val="00D73EFE"/>
    <w:rsid w:val="00D74290"/>
    <w:rsid w:val="00D7633E"/>
    <w:rsid w:val="00D76DB3"/>
    <w:rsid w:val="00D771B3"/>
    <w:rsid w:val="00D77C8D"/>
    <w:rsid w:val="00D808E6"/>
    <w:rsid w:val="00D82844"/>
    <w:rsid w:val="00D85DDF"/>
    <w:rsid w:val="00D8643D"/>
    <w:rsid w:val="00D87764"/>
    <w:rsid w:val="00D878B9"/>
    <w:rsid w:val="00D8797C"/>
    <w:rsid w:val="00D90653"/>
    <w:rsid w:val="00D90B67"/>
    <w:rsid w:val="00D921FC"/>
    <w:rsid w:val="00D9294F"/>
    <w:rsid w:val="00D92BA1"/>
    <w:rsid w:val="00D92ED6"/>
    <w:rsid w:val="00D93A05"/>
    <w:rsid w:val="00D94E6A"/>
    <w:rsid w:val="00D95235"/>
    <w:rsid w:val="00D9599C"/>
    <w:rsid w:val="00D959DA"/>
    <w:rsid w:val="00D96214"/>
    <w:rsid w:val="00D97D70"/>
    <w:rsid w:val="00DA05FE"/>
    <w:rsid w:val="00DA141E"/>
    <w:rsid w:val="00DA1BC9"/>
    <w:rsid w:val="00DA1BCA"/>
    <w:rsid w:val="00DA210F"/>
    <w:rsid w:val="00DA340A"/>
    <w:rsid w:val="00DA3758"/>
    <w:rsid w:val="00DA4019"/>
    <w:rsid w:val="00DA4E0C"/>
    <w:rsid w:val="00DA4E2B"/>
    <w:rsid w:val="00DA53F8"/>
    <w:rsid w:val="00DA5CC8"/>
    <w:rsid w:val="00DA74B4"/>
    <w:rsid w:val="00DA7843"/>
    <w:rsid w:val="00DA7E80"/>
    <w:rsid w:val="00DB009F"/>
    <w:rsid w:val="00DB016C"/>
    <w:rsid w:val="00DB096B"/>
    <w:rsid w:val="00DB0984"/>
    <w:rsid w:val="00DB0E66"/>
    <w:rsid w:val="00DB13CB"/>
    <w:rsid w:val="00DB1E9E"/>
    <w:rsid w:val="00DB50A2"/>
    <w:rsid w:val="00DB523F"/>
    <w:rsid w:val="00DB52E0"/>
    <w:rsid w:val="00DB5E95"/>
    <w:rsid w:val="00DB6062"/>
    <w:rsid w:val="00DB6B86"/>
    <w:rsid w:val="00DB74DB"/>
    <w:rsid w:val="00DB7775"/>
    <w:rsid w:val="00DB799B"/>
    <w:rsid w:val="00DC0CEA"/>
    <w:rsid w:val="00DC1889"/>
    <w:rsid w:val="00DC1EEC"/>
    <w:rsid w:val="00DC2044"/>
    <w:rsid w:val="00DC2D99"/>
    <w:rsid w:val="00DC3940"/>
    <w:rsid w:val="00DC4DAD"/>
    <w:rsid w:val="00DC50D9"/>
    <w:rsid w:val="00DC57CD"/>
    <w:rsid w:val="00DC63FF"/>
    <w:rsid w:val="00DC6593"/>
    <w:rsid w:val="00DC6B9F"/>
    <w:rsid w:val="00DC7069"/>
    <w:rsid w:val="00DD135B"/>
    <w:rsid w:val="00DD2682"/>
    <w:rsid w:val="00DD318A"/>
    <w:rsid w:val="00DD35B0"/>
    <w:rsid w:val="00DD4E45"/>
    <w:rsid w:val="00DD4E7A"/>
    <w:rsid w:val="00DD55C1"/>
    <w:rsid w:val="00DD5BD1"/>
    <w:rsid w:val="00DD6533"/>
    <w:rsid w:val="00DD718B"/>
    <w:rsid w:val="00DE0ADB"/>
    <w:rsid w:val="00DE15D8"/>
    <w:rsid w:val="00DE26D9"/>
    <w:rsid w:val="00DE3DF8"/>
    <w:rsid w:val="00DE4E0C"/>
    <w:rsid w:val="00DE50FF"/>
    <w:rsid w:val="00DE534A"/>
    <w:rsid w:val="00DE5FDC"/>
    <w:rsid w:val="00DE60DC"/>
    <w:rsid w:val="00DE647D"/>
    <w:rsid w:val="00DE68CB"/>
    <w:rsid w:val="00DE7A55"/>
    <w:rsid w:val="00DF0955"/>
    <w:rsid w:val="00DF2D94"/>
    <w:rsid w:val="00DF340E"/>
    <w:rsid w:val="00DF3AA1"/>
    <w:rsid w:val="00DF4973"/>
    <w:rsid w:val="00DF4CF0"/>
    <w:rsid w:val="00DF5343"/>
    <w:rsid w:val="00DF6030"/>
    <w:rsid w:val="00DF656B"/>
    <w:rsid w:val="00DF781B"/>
    <w:rsid w:val="00DF7E5D"/>
    <w:rsid w:val="00E00589"/>
    <w:rsid w:val="00E0220E"/>
    <w:rsid w:val="00E02B74"/>
    <w:rsid w:val="00E034D9"/>
    <w:rsid w:val="00E03B95"/>
    <w:rsid w:val="00E03FC8"/>
    <w:rsid w:val="00E04947"/>
    <w:rsid w:val="00E052DB"/>
    <w:rsid w:val="00E053A9"/>
    <w:rsid w:val="00E0578E"/>
    <w:rsid w:val="00E0632A"/>
    <w:rsid w:val="00E06C67"/>
    <w:rsid w:val="00E06FFB"/>
    <w:rsid w:val="00E076DF"/>
    <w:rsid w:val="00E10927"/>
    <w:rsid w:val="00E112EB"/>
    <w:rsid w:val="00E128B1"/>
    <w:rsid w:val="00E14151"/>
    <w:rsid w:val="00E14467"/>
    <w:rsid w:val="00E14BF3"/>
    <w:rsid w:val="00E161C3"/>
    <w:rsid w:val="00E16410"/>
    <w:rsid w:val="00E16D1A"/>
    <w:rsid w:val="00E204FE"/>
    <w:rsid w:val="00E205A3"/>
    <w:rsid w:val="00E21046"/>
    <w:rsid w:val="00E21D63"/>
    <w:rsid w:val="00E2389F"/>
    <w:rsid w:val="00E25157"/>
    <w:rsid w:val="00E26235"/>
    <w:rsid w:val="00E270DA"/>
    <w:rsid w:val="00E27377"/>
    <w:rsid w:val="00E27F78"/>
    <w:rsid w:val="00E30E22"/>
    <w:rsid w:val="00E30F8E"/>
    <w:rsid w:val="00E3122D"/>
    <w:rsid w:val="00E312AA"/>
    <w:rsid w:val="00E3233F"/>
    <w:rsid w:val="00E3328F"/>
    <w:rsid w:val="00E33FC1"/>
    <w:rsid w:val="00E34674"/>
    <w:rsid w:val="00E3518D"/>
    <w:rsid w:val="00E35BF8"/>
    <w:rsid w:val="00E3734D"/>
    <w:rsid w:val="00E37A2B"/>
    <w:rsid w:val="00E37F02"/>
    <w:rsid w:val="00E40D81"/>
    <w:rsid w:val="00E411C6"/>
    <w:rsid w:val="00E4156C"/>
    <w:rsid w:val="00E41FE1"/>
    <w:rsid w:val="00E420A1"/>
    <w:rsid w:val="00E42427"/>
    <w:rsid w:val="00E42EA6"/>
    <w:rsid w:val="00E4322F"/>
    <w:rsid w:val="00E43908"/>
    <w:rsid w:val="00E439D8"/>
    <w:rsid w:val="00E43F79"/>
    <w:rsid w:val="00E455B8"/>
    <w:rsid w:val="00E45993"/>
    <w:rsid w:val="00E459B4"/>
    <w:rsid w:val="00E463E4"/>
    <w:rsid w:val="00E47562"/>
    <w:rsid w:val="00E47E20"/>
    <w:rsid w:val="00E50212"/>
    <w:rsid w:val="00E50CD6"/>
    <w:rsid w:val="00E51AE3"/>
    <w:rsid w:val="00E52A28"/>
    <w:rsid w:val="00E5311D"/>
    <w:rsid w:val="00E53343"/>
    <w:rsid w:val="00E53783"/>
    <w:rsid w:val="00E54B97"/>
    <w:rsid w:val="00E55F68"/>
    <w:rsid w:val="00E562AF"/>
    <w:rsid w:val="00E579B1"/>
    <w:rsid w:val="00E57C81"/>
    <w:rsid w:val="00E604E8"/>
    <w:rsid w:val="00E60691"/>
    <w:rsid w:val="00E6268A"/>
    <w:rsid w:val="00E63258"/>
    <w:rsid w:val="00E63B7C"/>
    <w:rsid w:val="00E64357"/>
    <w:rsid w:val="00E64935"/>
    <w:rsid w:val="00E64F9E"/>
    <w:rsid w:val="00E663AF"/>
    <w:rsid w:val="00E665EC"/>
    <w:rsid w:val="00E6714A"/>
    <w:rsid w:val="00E671A5"/>
    <w:rsid w:val="00E672D7"/>
    <w:rsid w:val="00E67AA0"/>
    <w:rsid w:val="00E70167"/>
    <w:rsid w:val="00E705EC"/>
    <w:rsid w:val="00E70ED0"/>
    <w:rsid w:val="00E71DFE"/>
    <w:rsid w:val="00E71E8B"/>
    <w:rsid w:val="00E71EDA"/>
    <w:rsid w:val="00E72D3D"/>
    <w:rsid w:val="00E72DB0"/>
    <w:rsid w:val="00E72E98"/>
    <w:rsid w:val="00E72EF8"/>
    <w:rsid w:val="00E73765"/>
    <w:rsid w:val="00E73E81"/>
    <w:rsid w:val="00E73F3B"/>
    <w:rsid w:val="00E74511"/>
    <w:rsid w:val="00E75438"/>
    <w:rsid w:val="00E75968"/>
    <w:rsid w:val="00E75DBD"/>
    <w:rsid w:val="00E76E44"/>
    <w:rsid w:val="00E777B0"/>
    <w:rsid w:val="00E7796B"/>
    <w:rsid w:val="00E77E40"/>
    <w:rsid w:val="00E80820"/>
    <w:rsid w:val="00E80FF8"/>
    <w:rsid w:val="00E815E1"/>
    <w:rsid w:val="00E833F8"/>
    <w:rsid w:val="00E835D2"/>
    <w:rsid w:val="00E83A56"/>
    <w:rsid w:val="00E83D5C"/>
    <w:rsid w:val="00E85622"/>
    <w:rsid w:val="00E86880"/>
    <w:rsid w:val="00E87F99"/>
    <w:rsid w:val="00E87FCD"/>
    <w:rsid w:val="00E91C6A"/>
    <w:rsid w:val="00E921BB"/>
    <w:rsid w:val="00E9255E"/>
    <w:rsid w:val="00E94E34"/>
    <w:rsid w:val="00E957A4"/>
    <w:rsid w:val="00E95D17"/>
    <w:rsid w:val="00E9600A"/>
    <w:rsid w:val="00E9609A"/>
    <w:rsid w:val="00E97093"/>
    <w:rsid w:val="00E975ED"/>
    <w:rsid w:val="00E97D76"/>
    <w:rsid w:val="00EA00D4"/>
    <w:rsid w:val="00EA0CF2"/>
    <w:rsid w:val="00EA0D20"/>
    <w:rsid w:val="00EA2F95"/>
    <w:rsid w:val="00EA366E"/>
    <w:rsid w:val="00EA3957"/>
    <w:rsid w:val="00EA3AE4"/>
    <w:rsid w:val="00EA450D"/>
    <w:rsid w:val="00EA4802"/>
    <w:rsid w:val="00EA4A33"/>
    <w:rsid w:val="00EA58E6"/>
    <w:rsid w:val="00EA5D83"/>
    <w:rsid w:val="00EA6184"/>
    <w:rsid w:val="00EA6BDC"/>
    <w:rsid w:val="00EA72AF"/>
    <w:rsid w:val="00EB0C83"/>
    <w:rsid w:val="00EB157A"/>
    <w:rsid w:val="00EB1912"/>
    <w:rsid w:val="00EB1C08"/>
    <w:rsid w:val="00EB2228"/>
    <w:rsid w:val="00EB2A3A"/>
    <w:rsid w:val="00EB34A6"/>
    <w:rsid w:val="00EB444A"/>
    <w:rsid w:val="00EB4C2F"/>
    <w:rsid w:val="00EB604F"/>
    <w:rsid w:val="00EC02D9"/>
    <w:rsid w:val="00EC04E3"/>
    <w:rsid w:val="00EC0D68"/>
    <w:rsid w:val="00EC1141"/>
    <w:rsid w:val="00EC11F9"/>
    <w:rsid w:val="00EC122D"/>
    <w:rsid w:val="00EC1979"/>
    <w:rsid w:val="00EC230D"/>
    <w:rsid w:val="00EC3F3F"/>
    <w:rsid w:val="00EC45D0"/>
    <w:rsid w:val="00EC604A"/>
    <w:rsid w:val="00EC6B27"/>
    <w:rsid w:val="00EC700B"/>
    <w:rsid w:val="00EC7098"/>
    <w:rsid w:val="00EC77C0"/>
    <w:rsid w:val="00EC7AEE"/>
    <w:rsid w:val="00EC7D04"/>
    <w:rsid w:val="00ED0061"/>
    <w:rsid w:val="00ED0082"/>
    <w:rsid w:val="00ED1842"/>
    <w:rsid w:val="00ED1C59"/>
    <w:rsid w:val="00ED2C2E"/>
    <w:rsid w:val="00ED31BD"/>
    <w:rsid w:val="00ED36AB"/>
    <w:rsid w:val="00ED3C90"/>
    <w:rsid w:val="00ED3CCA"/>
    <w:rsid w:val="00ED4385"/>
    <w:rsid w:val="00ED44A3"/>
    <w:rsid w:val="00ED57A4"/>
    <w:rsid w:val="00ED6436"/>
    <w:rsid w:val="00ED6496"/>
    <w:rsid w:val="00ED6B32"/>
    <w:rsid w:val="00EE038B"/>
    <w:rsid w:val="00EE03B6"/>
    <w:rsid w:val="00EE195D"/>
    <w:rsid w:val="00EE1BBC"/>
    <w:rsid w:val="00EE2072"/>
    <w:rsid w:val="00EE2403"/>
    <w:rsid w:val="00EE2B2F"/>
    <w:rsid w:val="00EE56F6"/>
    <w:rsid w:val="00EE5AC9"/>
    <w:rsid w:val="00EE6622"/>
    <w:rsid w:val="00EE68B7"/>
    <w:rsid w:val="00EE720E"/>
    <w:rsid w:val="00EE7609"/>
    <w:rsid w:val="00EE782C"/>
    <w:rsid w:val="00EE7F58"/>
    <w:rsid w:val="00EF2C44"/>
    <w:rsid w:val="00EF2E9D"/>
    <w:rsid w:val="00EF3543"/>
    <w:rsid w:val="00EF37DD"/>
    <w:rsid w:val="00EF3B34"/>
    <w:rsid w:val="00EF46E8"/>
    <w:rsid w:val="00EF4CCF"/>
    <w:rsid w:val="00EF65F7"/>
    <w:rsid w:val="00EF71E8"/>
    <w:rsid w:val="00EF7A31"/>
    <w:rsid w:val="00EF7B2E"/>
    <w:rsid w:val="00F0015C"/>
    <w:rsid w:val="00F0046E"/>
    <w:rsid w:val="00F02003"/>
    <w:rsid w:val="00F0705E"/>
    <w:rsid w:val="00F070E1"/>
    <w:rsid w:val="00F071BE"/>
    <w:rsid w:val="00F07206"/>
    <w:rsid w:val="00F10A09"/>
    <w:rsid w:val="00F10CF0"/>
    <w:rsid w:val="00F1100C"/>
    <w:rsid w:val="00F115B6"/>
    <w:rsid w:val="00F118CA"/>
    <w:rsid w:val="00F13918"/>
    <w:rsid w:val="00F14CB2"/>
    <w:rsid w:val="00F14CE2"/>
    <w:rsid w:val="00F15585"/>
    <w:rsid w:val="00F156E2"/>
    <w:rsid w:val="00F15CFE"/>
    <w:rsid w:val="00F16527"/>
    <w:rsid w:val="00F16972"/>
    <w:rsid w:val="00F171C6"/>
    <w:rsid w:val="00F173E7"/>
    <w:rsid w:val="00F1773A"/>
    <w:rsid w:val="00F1789F"/>
    <w:rsid w:val="00F17E88"/>
    <w:rsid w:val="00F17F8C"/>
    <w:rsid w:val="00F2186A"/>
    <w:rsid w:val="00F21D74"/>
    <w:rsid w:val="00F224A3"/>
    <w:rsid w:val="00F229AC"/>
    <w:rsid w:val="00F252CD"/>
    <w:rsid w:val="00F2554C"/>
    <w:rsid w:val="00F278AD"/>
    <w:rsid w:val="00F27BD2"/>
    <w:rsid w:val="00F3018A"/>
    <w:rsid w:val="00F30270"/>
    <w:rsid w:val="00F3030A"/>
    <w:rsid w:val="00F31236"/>
    <w:rsid w:val="00F31DEE"/>
    <w:rsid w:val="00F32A71"/>
    <w:rsid w:val="00F32BF6"/>
    <w:rsid w:val="00F33388"/>
    <w:rsid w:val="00F33846"/>
    <w:rsid w:val="00F33E4D"/>
    <w:rsid w:val="00F34178"/>
    <w:rsid w:val="00F34BCA"/>
    <w:rsid w:val="00F36460"/>
    <w:rsid w:val="00F3652F"/>
    <w:rsid w:val="00F36723"/>
    <w:rsid w:val="00F37D13"/>
    <w:rsid w:val="00F405E9"/>
    <w:rsid w:val="00F40C42"/>
    <w:rsid w:val="00F41369"/>
    <w:rsid w:val="00F425E5"/>
    <w:rsid w:val="00F43533"/>
    <w:rsid w:val="00F43ED0"/>
    <w:rsid w:val="00F440BC"/>
    <w:rsid w:val="00F4457F"/>
    <w:rsid w:val="00F45008"/>
    <w:rsid w:val="00F4549B"/>
    <w:rsid w:val="00F460D7"/>
    <w:rsid w:val="00F462DB"/>
    <w:rsid w:val="00F465F9"/>
    <w:rsid w:val="00F47EAC"/>
    <w:rsid w:val="00F5019F"/>
    <w:rsid w:val="00F50C29"/>
    <w:rsid w:val="00F5143A"/>
    <w:rsid w:val="00F51F05"/>
    <w:rsid w:val="00F52416"/>
    <w:rsid w:val="00F529B1"/>
    <w:rsid w:val="00F53842"/>
    <w:rsid w:val="00F54280"/>
    <w:rsid w:val="00F56114"/>
    <w:rsid w:val="00F56FB8"/>
    <w:rsid w:val="00F57097"/>
    <w:rsid w:val="00F57184"/>
    <w:rsid w:val="00F573CC"/>
    <w:rsid w:val="00F577C4"/>
    <w:rsid w:val="00F57AF9"/>
    <w:rsid w:val="00F57EAD"/>
    <w:rsid w:val="00F601B4"/>
    <w:rsid w:val="00F6027E"/>
    <w:rsid w:val="00F605F4"/>
    <w:rsid w:val="00F62147"/>
    <w:rsid w:val="00F62BCB"/>
    <w:rsid w:val="00F62C65"/>
    <w:rsid w:val="00F62D45"/>
    <w:rsid w:val="00F63165"/>
    <w:rsid w:val="00F63290"/>
    <w:rsid w:val="00F652A6"/>
    <w:rsid w:val="00F655D9"/>
    <w:rsid w:val="00F65702"/>
    <w:rsid w:val="00F66728"/>
    <w:rsid w:val="00F66E10"/>
    <w:rsid w:val="00F67649"/>
    <w:rsid w:val="00F67C9A"/>
    <w:rsid w:val="00F7072E"/>
    <w:rsid w:val="00F71410"/>
    <w:rsid w:val="00F71C27"/>
    <w:rsid w:val="00F71EDE"/>
    <w:rsid w:val="00F7283C"/>
    <w:rsid w:val="00F741CB"/>
    <w:rsid w:val="00F74279"/>
    <w:rsid w:val="00F74C02"/>
    <w:rsid w:val="00F74CAB"/>
    <w:rsid w:val="00F74FF8"/>
    <w:rsid w:val="00F750D9"/>
    <w:rsid w:val="00F75231"/>
    <w:rsid w:val="00F75462"/>
    <w:rsid w:val="00F7776D"/>
    <w:rsid w:val="00F779DA"/>
    <w:rsid w:val="00F77EF6"/>
    <w:rsid w:val="00F801DB"/>
    <w:rsid w:val="00F823FF"/>
    <w:rsid w:val="00F827B4"/>
    <w:rsid w:val="00F838AE"/>
    <w:rsid w:val="00F847E5"/>
    <w:rsid w:val="00F84AF9"/>
    <w:rsid w:val="00F8510C"/>
    <w:rsid w:val="00F8577E"/>
    <w:rsid w:val="00F85BB1"/>
    <w:rsid w:val="00F8697C"/>
    <w:rsid w:val="00F872AA"/>
    <w:rsid w:val="00F904F9"/>
    <w:rsid w:val="00F90653"/>
    <w:rsid w:val="00F90ACE"/>
    <w:rsid w:val="00F90E32"/>
    <w:rsid w:val="00F9142C"/>
    <w:rsid w:val="00F9157A"/>
    <w:rsid w:val="00F916E8"/>
    <w:rsid w:val="00F91707"/>
    <w:rsid w:val="00F919C9"/>
    <w:rsid w:val="00F91EF0"/>
    <w:rsid w:val="00F92596"/>
    <w:rsid w:val="00F92637"/>
    <w:rsid w:val="00F93EC8"/>
    <w:rsid w:val="00F95973"/>
    <w:rsid w:val="00F96DFB"/>
    <w:rsid w:val="00F97DC2"/>
    <w:rsid w:val="00FA0F0D"/>
    <w:rsid w:val="00FA243A"/>
    <w:rsid w:val="00FA245B"/>
    <w:rsid w:val="00FA2887"/>
    <w:rsid w:val="00FA3AF2"/>
    <w:rsid w:val="00FA40ED"/>
    <w:rsid w:val="00FA4C93"/>
    <w:rsid w:val="00FA5FC1"/>
    <w:rsid w:val="00FA7060"/>
    <w:rsid w:val="00FA7931"/>
    <w:rsid w:val="00FB00AC"/>
    <w:rsid w:val="00FB012C"/>
    <w:rsid w:val="00FB09FC"/>
    <w:rsid w:val="00FB0E31"/>
    <w:rsid w:val="00FB2200"/>
    <w:rsid w:val="00FB307B"/>
    <w:rsid w:val="00FB3253"/>
    <w:rsid w:val="00FB37E2"/>
    <w:rsid w:val="00FB38ED"/>
    <w:rsid w:val="00FB3BCC"/>
    <w:rsid w:val="00FB643F"/>
    <w:rsid w:val="00FB6E02"/>
    <w:rsid w:val="00FB72D9"/>
    <w:rsid w:val="00FB7E9F"/>
    <w:rsid w:val="00FC02BD"/>
    <w:rsid w:val="00FC0F1F"/>
    <w:rsid w:val="00FC0F42"/>
    <w:rsid w:val="00FC1E10"/>
    <w:rsid w:val="00FC21A4"/>
    <w:rsid w:val="00FC2365"/>
    <w:rsid w:val="00FC4CC6"/>
    <w:rsid w:val="00FC4FBB"/>
    <w:rsid w:val="00FC53C7"/>
    <w:rsid w:val="00FC57D4"/>
    <w:rsid w:val="00FC601F"/>
    <w:rsid w:val="00FC6545"/>
    <w:rsid w:val="00FC74F4"/>
    <w:rsid w:val="00FC7578"/>
    <w:rsid w:val="00FC7E37"/>
    <w:rsid w:val="00FD0295"/>
    <w:rsid w:val="00FD0324"/>
    <w:rsid w:val="00FD071A"/>
    <w:rsid w:val="00FD312D"/>
    <w:rsid w:val="00FD333A"/>
    <w:rsid w:val="00FD3EF8"/>
    <w:rsid w:val="00FD54EB"/>
    <w:rsid w:val="00FD6F49"/>
    <w:rsid w:val="00FD7196"/>
    <w:rsid w:val="00FE0111"/>
    <w:rsid w:val="00FE059C"/>
    <w:rsid w:val="00FE0BEA"/>
    <w:rsid w:val="00FE0D6A"/>
    <w:rsid w:val="00FE12B7"/>
    <w:rsid w:val="00FE154D"/>
    <w:rsid w:val="00FE18E3"/>
    <w:rsid w:val="00FE2C1F"/>
    <w:rsid w:val="00FE3942"/>
    <w:rsid w:val="00FE455F"/>
    <w:rsid w:val="00FE4665"/>
    <w:rsid w:val="00FE520F"/>
    <w:rsid w:val="00FE539F"/>
    <w:rsid w:val="00FE53D7"/>
    <w:rsid w:val="00FE56C0"/>
    <w:rsid w:val="00FE6A89"/>
    <w:rsid w:val="00FE7526"/>
    <w:rsid w:val="00FF04B1"/>
    <w:rsid w:val="00FF0A2C"/>
    <w:rsid w:val="00FF0CC3"/>
    <w:rsid w:val="00FF0DE8"/>
    <w:rsid w:val="00FF11A9"/>
    <w:rsid w:val="00FF165F"/>
    <w:rsid w:val="00FF16DB"/>
    <w:rsid w:val="00FF28C1"/>
    <w:rsid w:val="00FF2F17"/>
    <w:rsid w:val="00FF3DDF"/>
    <w:rsid w:val="00FF499D"/>
    <w:rsid w:val="00FF4C30"/>
    <w:rsid w:val="00FF5265"/>
    <w:rsid w:val="00FF55F1"/>
    <w:rsid w:val="00FF566A"/>
    <w:rsid w:val="00FF64EE"/>
    <w:rsid w:val="00FF7229"/>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3AAF5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25A748"/>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6F66553"/>
    <w:rsid w:val="27274B2F"/>
    <w:rsid w:val="275FA0AA"/>
    <w:rsid w:val="279052A7"/>
    <w:rsid w:val="2792BB1F"/>
    <w:rsid w:val="27BDE7A1"/>
    <w:rsid w:val="27BE8256"/>
    <w:rsid w:val="27E825D9"/>
    <w:rsid w:val="284F5BF0"/>
    <w:rsid w:val="286300B2"/>
    <w:rsid w:val="287DB562"/>
    <w:rsid w:val="28A8953E"/>
    <w:rsid w:val="2912FBA6"/>
    <w:rsid w:val="2990A606"/>
    <w:rsid w:val="2A00A404"/>
    <w:rsid w:val="2A8EDDB9"/>
    <w:rsid w:val="2AA44433"/>
    <w:rsid w:val="2AB2567D"/>
    <w:rsid w:val="2B4B5582"/>
    <w:rsid w:val="2BE32438"/>
    <w:rsid w:val="2BE3B9AC"/>
    <w:rsid w:val="2C0DB51F"/>
    <w:rsid w:val="2C4E5B0E"/>
    <w:rsid w:val="2D40FCE6"/>
    <w:rsid w:val="2D9223AC"/>
    <w:rsid w:val="2E4B5F0D"/>
    <w:rsid w:val="2E5E4AEF"/>
    <w:rsid w:val="2EC98FD4"/>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155027"/>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8B0C35"/>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3223D0"/>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9EEB03"/>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4A8E78"/>
    <w:rsid w:val="5C753766"/>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796E2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56E76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3BDAC7"/>
    <w:rsid w:val="7758C1E7"/>
    <w:rsid w:val="778EDDEE"/>
    <w:rsid w:val="77CE5746"/>
    <w:rsid w:val="77F83150"/>
    <w:rsid w:val="78674B66"/>
    <w:rsid w:val="78BF49DD"/>
    <w:rsid w:val="790B3138"/>
    <w:rsid w:val="799DA319"/>
    <w:rsid w:val="79A48D3C"/>
    <w:rsid w:val="79B20E76"/>
    <w:rsid w:val="79C474DB"/>
    <w:rsid w:val="79C64322"/>
    <w:rsid w:val="79D5BFE7"/>
    <w:rsid w:val="7B85C3CB"/>
    <w:rsid w:val="7BD2E15A"/>
    <w:rsid w:val="7C02D676"/>
    <w:rsid w:val="7C55E10E"/>
    <w:rsid w:val="7C6523A7"/>
    <w:rsid w:val="7D0C0225"/>
    <w:rsid w:val="7D4D62A7"/>
    <w:rsid w:val="7D4DE6BD"/>
    <w:rsid w:val="7D7D5244"/>
    <w:rsid w:val="7E06B584"/>
    <w:rsid w:val="7E39D980"/>
    <w:rsid w:val="7E3A3F11"/>
    <w:rsid w:val="7E50821F"/>
    <w:rsid w:val="7F0EF2FC"/>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1A93D501-7398-47C5-825C-99F3756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4AE"/>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Level1">
    <w:name w:val="Level 1"/>
    <w:rsid w:val="00B2663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msonormal">
    <w:name w:val="msonormal"/>
    <w:basedOn w:val="Normal"/>
    <w:rsid w:val="008350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3505A"/>
  </w:style>
  <w:style w:type="character" w:customStyle="1" w:styleId="tabrun">
    <w:name w:val="tabrun"/>
    <w:basedOn w:val="DefaultParagraphFont"/>
    <w:rsid w:val="0083505A"/>
  </w:style>
  <w:style w:type="character" w:customStyle="1" w:styleId="tabchar">
    <w:name w:val="tabchar"/>
    <w:basedOn w:val="DefaultParagraphFont"/>
    <w:rsid w:val="0083505A"/>
  </w:style>
  <w:style w:type="character" w:customStyle="1" w:styleId="tableaderchars">
    <w:name w:val="tableaderchars"/>
    <w:basedOn w:val="DefaultParagraphFont"/>
    <w:rsid w:val="0083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ats.bls.gov/news.release/ecec.toc.htm" TargetMode="External" /><Relationship Id="rId11" Type="http://schemas.openxmlformats.org/officeDocument/2006/relationships/hyperlink" Target="http://www.epa.gov/airmarkt/emissions/monitoring.html" TargetMode="External" /><Relationship Id="rId12" Type="http://schemas.openxmlformats.org/officeDocument/2006/relationships/hyperlink" Target="http://ecfr.gpoaccess.gov/cgi/t/text/text-idx?c=ecfr&amp;tpl=%2Findex.tpl" TargetMode="External" /><Relationship Id="rId13" Type="http://schemas.openxmlformats.org/officeDocument/2006/relationships/hyperlink" Target="http://www.epa.gov/airmarkt/emissions/docs/plain_english_guide_part75_rule.pdf" TargetMode="External" /><Relationship Id="rId14" Type="http://schemas.openxmlformats.org/officeDocument/2006/relationships/hyperlink" Target="https://www.opm.gov/policy-data-oversight/pay-leave/salaries-wages/2024/general-schedule"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eci/tabl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261F9C2EFB24ABA35C5C2B7BA91EB" ma:contentTypeVersion="23" ma:contentTypeDescription="Create a new document." ma:contentTypeScope="" ma:versionID="b61a4e8bf7c903e47f7678968a83b44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5a4662-6dfc-440e-98fd-642ec5771328" xmlns:ns6="7d8dd676-26ca-4e08-b90f-b4e0026a58ac" targetNamespace="http://schemas.microsoft.com/office/2006/metadata/properties" ma:root="true" ma:fieldsID="5f327b99cabe448bbdc3801b736f97f1" ns1:_="" ns2:_="" ns3:_="" ns4:_="" ns5:_="" ns6:_="">
    <xsd:import namespace="http://schemas.microsoft.com/sharepoint/v3"/>
    <xsd:import namespace="4ffa91fb-a0ff-4ac5-b2db-65c790d184a4"/>
    <xsd:import namespace="http://schemas.microsoft.com/sharepoint.v3"/>
    <xsd:import namespace="http://schemas.microsoft.com/sharepoint/v3/fields"/>
    <xsd:import namespace="905a4662-6dfc-440e-98fd-642ec5771328"/>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1:_ip_UnifiedCompliancePolicyProperties" minOccurs="0"/>
                <xsd:element ref="ns1:_ip_UnifiedCompliancePolicyUIAction" minOccurs="0"/>
                <xsd:element ref="ns5:MediaServiceLocation"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a4662-6dfc-440e-98fd-642ec577132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7d8dd676-26ca-4e08-b90f-b4e0026a58ac">
      <UserInfo>
        <DisplayName>Trombley, Michael</DisplayName>
        <AccountId>470</AccountId>
        <AccountType/>
      </UserInfo>
      <UserInfo>
        <DisplayName>McLaughlin, Julie</DisplayName>
        <AccountId>471</AccountId>
        <AccountType/>
      </UserInfo>
      <UserInfo>
        <DisplayName>Hawley, Alison (she/her/hers)</DisplayName>
        <AccountId>456</AccountId>
        <AccountType/>
      </UserInfo>
    </SharedWithUsers>
    <lcf76f155ced4ddcb4097134ff3c332f xmlns="905a4662-6dfc-440e-98fd-642ec5771328">
      <Terms xmlns="http://schemas.microsoft.com/office/infopath/2007/PartnerControls"/>
    </lcf76f155ced4ddcb4097134ff3c332f>
    <e3f09c3df709400db2417a7161762d62 xmlns="4ffa91fb-a0ff-4ac5-b2db-65c790d184a4">
      <Terms xmlns="http://schemas.microsoft.com/office/infopath/2007/PartnerControls"/>
    </e3f09c3df709400db2417a7161762d62>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61D883BF-64DE-44F9-83BE-E3C9BB83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5a4662-6dfc-440e-98fd-642ec5771328"/>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905a4662-6dfc-440e-98fd-642ec5771328"/>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7d8dd676-26ca-4e08-b90f-b4e0026a58ac"/>
    <ds:schemaRef ds:uri="http://www.w3.org/XML/1998/namespace"/>
    <ds:schemaRef ds:uri="http://schemas.microsoft.com/sharepoint/v3/fields"/>
    <ds:schemaRef ds:uri="http://schemas.microsoft.com/sharepoint.v3"/>
    <ds:schemaRef ds:uri="4ffa91fb-a0ff-4ac5-b2db-65c790d184a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13672</Words>
  <Characters>77934</Characters>
  <Application>Microsoft Office Word</Application>
  <DocSecurity>0</DocSecurity>
  <Lines>649</Lines>
  <Paragraphs>182</Paragraphs>
  <ScaleCrop>false</ScaleCrop>
  <Company/>
  <LinksUpToDate>false</LinksUpToDate>
  <CharactersWithSpaces>91424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Kuhns, Jason</cp:lastModifiedBy>
  <cp:revision>2</cp:revision>
  <dcterms:created xsi:type="dcterms:W3CDTF">2024-11-29T17:11:00Z</dcterms:created>
  <dcterms:modified xsi:type="dcterms:W3CDTF">2024-11-29T17:11:00Z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0x01010013F261F9C2EFB24ABA35C5C2B7BA91EB</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