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074FE" w:rsidRPr="00F074FE" w:rsidP="00F074FE" w14:paraId="72C331DA" w14:textId="77777777">
      <w:pPr>
        <w:rPr>
          <w:b/>
          <w:bCs/>
        </w:rPr>
      </w:pPr>
      <w:r w:rsidRPr="00F074FE">
        <w:rPr>
          <w:b/>
          <w:bCs/>
        </w:rPr>
        <w:t>§ 63.9 Notification requirements.</w:t>
      </w:r>
    </w:p>
    <w:p w:rsidR="00F074FE" w:rsidRPr="00F074FE" w:rsidP="00F074FE" w14:paraId="67BFA80B" w14:textId="77777777">
      <w:r w:rsidRPr="00F074FE">
        <w:t xml:space="preserve">(b) </w:t>
      </w:r>
      <w:r w:rsidRPr="00F074FE">
        <w:rPr>
          <w:b/>
          <w:bCs/>
          <w:i/>
          <w:iCs/>
        </w:rPr>
        <w:t>Initial notifications.</w:t>
      </w:r>
      <w:r w:rsidRPr="00F074FE">
        <w:t xml:space="preserve"> </w:t>
      </w:r>
    </w:p>
    <w:p w:rsidR="00F074FE" w:rsidRPr="00F074FE" w:rsidP="00F074FE" w14:paraId="3E9E9745" w14:textId="77777777">
      <w:r w:rsidRPr="00F074FE">
        <w:t xml:space="preserve">(1) </w:t>
      </w:r>
    </w:p>
    <w:p w:rsidR="00F074FE" w:rsidRPr="00F074FE" w:rsidP="00F074FE" w14:paraId="651E13C5" w14:textId="77777777">
      <w:r w:rsidRPr="00F074FE">
        <w:t>(i) The requirements of this paragraph apply to the owner or operator of an affected source when such source becomes subject to a relevant standard.</w:t>
      </w:r>
    </w:p>
    <w:p w:rsidR="00F074FE" w:rsidRPr="00F074FE" w:rsidP="00F074FE" w14:paraId="4DE96760" w14:textId="77777777">
      <w:r w:rsidRPr="00F074FE">
        <w:t xml:space="preserve">(ii) If an area source subsequently becomes a major source that is subject to the emission standard or other requirement, such source shall be subject to the notification requirements of this section. Area sources previously subject to major source requirements that become major sources again are also subject to the notification requirements of this paragraph and must submit the notification according to the requirements of </w:t>
      </w:r>
      <w:hyperlink r:id="rId8" w:anchor="p-63.9(k)" w:history="1">
        <w:r w:rsidRPr="00F074FE">
          <w:rPr>
            <w:rStyle w:val="Hyperlink"/>
          </w:rPr>
          <w:t>paragraph (k)</w:t>
        </w:r>
      </w:hyperlink>
      <w:r w:rsidRPr="00F074FE">
        <w:t xml:space="preserve"> of this section.</w:t>
      </w:r>
    </w:p>
    <w:p w:rsidR="00F074FE" w:rsidRPr="00F074FE" w:rsidP="00F074FE" w14:paraId="0E2F9C8E" w14:textId="77777777">
      <w:r w:rsidRPr="00F074FE">
        <w:t xml:space="preserve">(iii) Affected sources that are required under this paragraph to submit an initial notification may use the application for approval of construction or reconstruction under </w:t>
      </w:r>
      <w:hyperlink r:id="rId9" w:anchor="p-63.5(d)" w:history="1">
        <w:r w:rsidRPr="00F074FE">
          <w:rPr>
            <w:rStyle w:val="Hyperlink"/>
          </w:rPr>
          <w:t>§ 63.5(d) of this subpart</w:t>
        </w:r>
      </w:hyperlink>
      <w:r w:rsidRPr="00F074FE">
        <w:t>, if relevant, to fulfill the initial notification requirements of this paragraph.</w:t>
      </w:r>
    </w:p>
    <w:p w:rsidR="00F074FE" w:rsidRPr="00F074FE" w:rsidP="00F074FE" w14:paraId="53959C6C" w14:textId="77777777">
      <w:r w:rsidRPr="00F074FE">
        <w:t>(2) The owner or operator of an affected source that has an initial startup before the effective date of a relevant standard under this part shall notify the Administrator in writing that the source is subject to the relevant standard. The notification, which shall be submitted not later than 120 calendar days after the effective date of the relevant standard (or within 120 calendar days after the source becomes subject to the relevant standard), shall provide the following information:</w:t>
      </w:r>
    </w:p>
    <w:p w:rsidR="00F074FE" w:rsidRPr="00F074FE" w:rsidP="00F074FE" w14:paraId="2D9EB4DA" w14:textId="77777777">
      <w:r w:rsidRPr="00F074FE">
        <w:t>(i) The name and address of the owner or operator;</w:t>
      </w:r>
    </w:p>
    <w:p w:rsidR="00F074FE" w:rsidRPr="00F074FE" w:rsidP="00F074FE" w14:paraId="3C8CCBF6" w14:textId="77777777">
      <w:r w:rsidRPr="00F074FE">
        <w:t>(ii) The address (i.e., physical location) of the affected source;</w:t>
      </w:r>
    </w:p>
    <w:p w:rsidR="00F074FE" w:rsidRPr="00F074FE" w:rsidP="00F074FE" w14:paraId="00798220" w14:textId="77777777">
      <w:r w:rsidRPr="00F074FE">
        <w:t>(iii) An identification of the relevant standard, or other requirement, that is the basis of the notification and the source's compliance date;</w:t>
      </w:r>
    </w:p>
    <w:p w:rsidR="00F074FE" w:rsidRPr="00F074FE" w:rsidP="00F074FE" w14:paraId="5081AC5D" w14:textId="77777777">
      <w:r w:rsidRPr="00F074FE">
        <w:t>(iv) A brief description of the nature, size, design, and method of operation of the source and an identification of the types of emission points within the affected source subject to the relevant standard and types of hazardous air pollutants emitted; and</w:t>
      </w:r>
    </w:p>
    <w:p w:rsidR="00F074FE" w:rsidRPr="00F074FE" w:rsidP="00F074FE" w14:paraId="19BE421B" w14:textId="77777777">
      <w:r w:rsidRPr="00F074FE">
        <w:t>(v) A statement of whether the affected source is a major source or an area source.</w:t>
      </w:r>
    </w:p>
    <w:p w:rsidR="00F074FE" w:rsidRPr="00F074FE" w:rsidP="00F074FE" w14:paraId="32FACE57" w14:textId="77777777">
      <w:r w:rsidRPr="00F074FE">
        <w:t>(3) [Reserved]</w:t>
      </w:r>
    </w:p>
    <w:p w:rsidR="00F074FE" w:rsidRPr="00F074FE" w:rsidP="00F074FE" w14:paraId="5ACAB2D9" w14:textId="77777777">
      <w:r w:rsidRPr="00F074FE">
        <w:t xml:space="preserve">(4) The owner or operator of a new or reconstructed major affected source for which an application for approval of construction or reconstruction is required under </w:t>
      </w:r>
      <w:hyperlink r:id="rId10" w:anchor="p-63.5(d)" w:history="1">
        <w:r w:rsidRPr="00F074FE">
          <w:rPr>
            <w:rStyle w:val="Hyperlink"/>
          </w:rPr>
          <w:t>§ 63.5(d)</w:t>
        </w:r>
      </w:hyperlink>
      <w:r w:rsidRPr="00F074FE">
        <w:t xml:space="preserve"> must provide the following information in writing to the Administrator:</w:t>
      </w:r>
    </w:p>
    <w:p w:rsidR="00F074FE" w:rsidRPr="00F074FE" w:rsidP="00F074FE" w14:paraId="2D3C2778" w14:textId="77777777">
      <w:r w:rsidRPr="00F074FE">
        <w:t xml:space="preserve">(i) A notification of intention to construct a new major-emitting affected source, reconstruct a major-emitting affected source, or reconstruct a major source such that the source becomes a major-emitting affected source with the application for approval of construction or reconstruction as specified in </w:t>
      </w:r>
      <w:hyperlink r:id="rId10" w:anchor="p-63.5(d)(1)(i)" w:history="1">
        <w:r w:rsidRPr="00F074FE">
          <w:rPr>
            <w:rStyle w:val="Hyperlink"/>
          </w:rPr>
          <w:t>§ 63.5(d)(1)(i)</w:t>
        </w:r>
      </w:hyperlink>
      <w:r w:rsidRPr="00F074FE">
        <w:t>; and</w:t>
      </w:r>
    </w:p>
    <w:p w:rsidR="00F074FE" w:rsidRPr="00F074FE" w:rsidP="00F074FE" w14:paraId="77C2EB00" w14:textId="77777777">
      <w:r w:rsidRPr="00F074FE">
        <w:t>(ii)-(iv) [Reserved]</w:t>
      </w:r>
    </w:p>
    <w:p w:rsidR="00F074FE" w:rsidRPr="00F074FE" w:rsidP="00F074FE" w14:paraId="0BBE58FD" w14:textId="77777777">
      <w:r w:rsidRPr="00F074FE">
        <w:t>(v) A notification of the actual date of startup of the source, delivered or postmarked within 15 calendar days after that date.</w:t>
      </w:r>
    </w:p>
    <w:p w:rsidR="00F074FE" w:rsidRPr="00F074FE" w:rsidP="00F074FE" w14:paraId="20688A4C" w14:textId="77777777">
      <w:r w:rsidRPr="00F074FE">
        <w:t xml:space="preserve">(5) The owner or operator of a new or reconstructed affected source for which an application for approval of construction or reconstruction is not required under </w:t>
      </w:r>
      <w:hyperlink r:id="rId10" w:anchor="p-63.5(d)" w:history="1">
        <w:r w:rsidRPr="00F074FE">
          <w:rPr>
            <w:rStyle w:val="Hyperlink"/>
          </w:rPr>
          <w:t>§ 63.5(d)</w:t>
        </w:r>
      </w:hyperlink>
      <w:r w:rsidRPr="00F074FE">
        <w:t xml:space="preserve"> must provide the following information in writing to the Administrator:</w:t>
      </w:r>
    </w:p>
    <w:p w:rsidR="00F074FE" w:rsidRPr="00F074FE" w:rsidP="00F074FE" w14:paraId="658E5BC6" w14:textId="77777777">
      <w:r w:rsidRPr="00F074FE">
        <w:t>(i) A notification of intention to construct a new affected source, reconstruct an affected source, or reconstruct a source such that the source becomes an affected source, and</w:t>
      </w:r>
    </w:p>
    <w:p w:rsidR="00F074FE" w:rsidRPr="00F074FE" w:rsidP="00F074FE" w14:paraId="2163B6CA" w14:textId="77777777">
      <w:r w:rsidRPr="00F074FE">
        <w:t>(ii) A notification of the actual date of startup of the source, delivered or postmarked within 15 calendar days after that date.</w:t>
      </w:r>
    </w:p>
    <w:p w:rsidR="00F074FE" w:rsidRPr="00F074FE" w:rsidP="00F074FE" w14:paraId="09682087" w14:textId="77777777">
      <w:r w:rsidRPr="00F074FE">
        <w:t xml:space="preserve">(iii) Unless the owner or operator has requested and received prior permission from the Administrator to submit less than the information in </w:t>
      </w:r>
      <w:hyperlink r:id="rId10" w:anchor="p-63.5(d)" w:history="1">
        <w:r w:rsidRPr="00F074FE">
          <w:rPr>
            <w:rStyle w:val="Hyperlink"/>
          </w:rPr>
          <w:t>§ 63.5(d)</w:t>
        </w:r>
      </w:hyperlink>
      <w:r w:rsidRPr="00F074FE">
        <w:t xml:space="preserve">, the notification must include the information required on the application for approval of construction or reconstruction as specified in </w:t>
      </w:r>
      <w:hyperlink r:id="rId10" w:anchor="p-63.5(d)(1)(i)" w:history="1">
        <w:r w:rsidRPr="00F074FE">
          <w:rPr>
            <w:rStyle w:val="Hyperlink"/>
          </w:rPr>
          <w:t>§ 63.5(d)(1)(i)</w:t>
        </w:r>
      </w:hyperlink>
      <w:r w:rsidRPr="00F074FE">
        <w:t>.</w:t>
      </w:r>
    </w:p>
    <w:p w:rsidR="00F074FE" w:rsidRPr="00F074FE" w:rsidP="00F074FE" w14:paraId="7AB496E8" w14:textId="77777777">
      <w:r w:rsidRPr="00F074FE">
        <w:t xml:space="preserve">(c) </w:t>
      </w:r>
      <w:r w:rsidRPr="00F074FE">
        <w:rPr>
          <w:b/>
          <w:bCs/>
          <w:i/>
          <w:iCs/>
        </w:rPr>
        <w:t>Request for extension of compliance.</w:t>
      </w:r>
      <w:r w:rsidRPr="00F074FE">
        <w:t xml:space="preserve"> If the owner or operator of an affected source cannot comply with a relevant standard by the applicable compliance date for that source, or if the owner or operator has installed BACT or technology to meet LAER consistent with </w:t>
      </w:r>
      <w:hyperlink r:id="rId11" w:anchor="p-63.6(i)(5)" w:history="1">
        <w:r w:rsidRPr="00F074FE">
          <w:rPr>
            <w:rStyle w:val="Hyperlink"/>
          </w:rPr>
          <w:t>§ 63.6(i)(5) of this subpart</w:t>
        </w:r>
      </w:hyperlink>
      <w:r w:rsidRPr="00F074FE">
        <w:t xml:space="preserve">, he/she may submit to the Administrator (or the State with an approved permit program) a request for an extension of compliance as specified in </w:t>
      </w:r>
      <w:hyperlink r:id="rId12" w:anchor="p-63.6(i)(4)" w:history="1">
        <w:r w:rsidRPr="00F074FE">
          <w:rPr>
            <w:rStyle w:val="Hyperlink"/>
          </w:rPr>
          <w:t>§ 63.6(i)(4)</w:t>
        </w:r>
      </w:hyperlink>
      <w:r w:rsidRPr="00F074FE">
        <w:t xml:space="preserve"> through </w:t>
      </w:r>
      <w:hyperlink r:id="rId12" w:anchor="p-63.6(i)(6)" w:history="1">
        <w:r w:rsidRPr="00F074FE">
          <w:rPr>
            <w:rStyle w:val="Hyperlink"/>
          </w:rPr>
          <w:t>§ 63.6(i)(6)</w:t>
        </w:r>
      </w:hyperlink>
      <w:r w:rsidRPr="00F074FE">
        <w:t>.</w:t>
      </w:r>
    </w:p>
    <w:p w:rsidR="00F074FE" w:rsidRPr="00F074FE" w:rsidP="00F074FE" w14:paraId="7D0E4780" w14:textId="77777777">
      <w:r w:rsidRPr="00F074FE">
        <w:t xml:space="preserve">(d) </w:t>
      </w:r>
      <w:r w:rsidRPr="00F074FE">
        <w:rPr>
          <w:b/>
          <w:bCs/>
          <w:i/>
          <w:iCs/>
        </w:rPr>
        <w:t>Notification that source is subject to special compliance requirements.</w:t>
      </w:r>
      <w:r w:rsidRPr="00F074FE">
        <w:t xml:space="preserve"> An owner or operator of a new source that is subject to special compliance requirements as specified in </w:t>
      </w:r>
      <w:hyperlink r:id="rId12" w:anchor="p-63.6(b)(3)" w:history="1">
        <w:r w:rsidRPr="00F074FE">
          <w:rPr>
            <w:rStyle w:val="Hyperlink"/>
          </w:rPr>
          <w:t>§ 63.6(b)(3)</w:t>
        </w:r>
      </w:hyperlink>
      <w:r w:rsidRPr="00F074FE">
        <w:t xml:space="preserve"> and </w:t>
      </w:r>
      <w:hyperlink r:id="rId12" w:anchor="p-63.6(b)(4)" w:history="1">
        <w:r w:rsidRPr="00F074FE">
          <w:rPr>
            <w:rStyle w:val="Hyperlink"/>
          </w:rPr>
          <w:t>§ 63.6(b)(4)</w:t>
        </w:r>
      </w:hyperlink>
      <w:r w:rsidRPr="00F074FE">
        <w:t xml:space="preserve"> shall notify the Administrator of his/her compliance obligations not later than the notification dates established in </w:t>
      </w:r>
      <w:hyperlink r:id="rId8" w:anchor="p-63.9(b)" w:history="1">
        <w:r w:rsidRPr="00F074FE">
          <w:rPr>
            <w:rStyle w:val="Hyperlink"/>
          </w:rPr>
          <w:t>paragraph (b)</w:t>
        </w:r>
      </w:hyperlink>
      <w:r w:rsidRPr="00F074FE">
        <w:t xml:space="preserve"> of this section for new sources that are not subject to the special provisions.</w:t>
      </w:r>
    </w:p>
    <w:p w:rsidR="002D21D3" w:rsidRPr="002D21D3" w:rsidP="002D21D3" w14:paraId="1C1BCA6A" w14:textId="77777777">
      <w:r w:rsidRPr="002D21D3">
        <w:t xml:space="preserve">(i) </w:t>
      </w:r>
      <w:r w:rsidRPr="002D21D3">
        <w:rPr>
          <w:b/>
          <w:bCs/>
          <w:i/>
          <w:iCs/>
        </w:rPr>
        <w:t>Adjustment to time periods or postmark deadlines for submittal and review of required communications.</w:t>
      </w:r>
      <w:r w:rsidRPr="002D21D3">
        <w:t xml:space="preserve"> </w:t>
      </w:r>
    </w:p>
    <w:p w:rsidR="002D21D3" w:rsidRPr="002D21D3" w:rsidP="002D21D3" w14:paraId="7130FE80" w14:textId="77777777">
      <w:r w:rsidRPr="002D21D3">
        <w:t xml:space="preserve">(1) </w:t>
      </w:r>
    </w:p>
    <w:p w:rsidR="002D21D3" w:rsidRPr="002D21D3" w:rsidP="002D21D3" w14:paraId="7FA064F7" w14:textId="77777777">
      <w:r w:rsidRPr="002D21D3">
        <w:t xml:space="preserve">(i) Until an adjustment of a time period or postmark deadline has been approved by the Administrator under </w:t>
      </w:r>
      <w:hyperlink r:id="rId8" w:anchor="p-63.9(i)(2)" w:history="1">
        <w:r w:rsidRPr="002D21D3">
          <w:rPr>
            <w:rStyle w:val="Hyperlink"/>
          </w:rPr>
          <w:t>paragraphs (i)(2)</w:t>
        </w:r>
      </w:hyperlink>
      <w:r w:rsidRPr="002D21D3">
        <w:t xml:space="preserve"> and </w:t>
      </w:r>
      <w:hyperlink r:id="rId8" w:anchor="p-63.9(i)(3)" w:history="1">
        <w:r w:rsidRPr="002D21D3">
          <w:rPr>
            <w:rStyle w:val="Hyperlink"/>
          </w:rPr>
          <w:t>(i)(3)</w:t>
        </w:r>
      </w:hyperlink>
      <w:r w:rsidRPr="002D21D3">
        <w:t xml:space="preserve"> of this section, the owner or operator of an affected source remains strictly subject to the requirements of this part.</w:t>
      </w:r>
    </w:p>
    <w:p w:rsidR="002D21D3" w:rsidRPr="002D21D3" w:rsidP="002D21D3" w14:paraId="474E4A4C" w14:textId="77777777">
      <w:r w:rsidRPr="002D21D3">
        <w:t xml:space="preserve">(ii) An owner or operator shall request the adjustment provided for in </w:t>
      </w:r>
      <w:hyperlink r:id="rId8" w:anchor="p-63.9(i)(2)" w:history="1">
        <w:r w:rsidRPr="002D21D3">
          <w:rPr>
            <w:rStyle w:val="Hyperlink"/>
          </w:rPr>
          <w:t>paragraphs (i)(2)</w:t>
        </w:r>
      </w:hyperlink>
      <w:r w:rsidRPr="002D21D3">
        <w:t xml:space="preserve"> and </w:t>
      </w:r>
      <w:hyperlink r:id="rId8" w:anchor="p-63.9(i)(3)" w:history="1">
        <w:r w:rsidRPr="002D21D3">
          <w:rPr>
            <w:rStyle w:val="Hyperlink"/>
          </w:rPr>
          <w:t>(i)(3)</w:t>
        </w:r>
      </w:hyperlink>
      <w:r w:rsidRPr="002D21D3">
        <w:t xml:space="preserve"> of this section each time he or she wishes to change an applicable time period or postmark deadline specified in this part.</w:t>
      </w:r>
    </w:p>
    <w:p w:rsidR="002D21D3" w:rsidRPr="002D21D3" w:rsidP="002D21D3" w14:paraId="2185151C" w14:textId="77777777">
      <w:r w:rsidRPr="002D21D3">
        <w:t>(2) Notwithstanding time periods or postmark deadlines specified in this part for the submittal of information to the Administrator by an owner or operator, or the review of such information by the Administrator, such time periods or deadlines may be changed by mutual agreement between the owner or operator and the Administrator. An owner or operator who wishes to request a change in a time period or postmark deadline for a particular requirement shall request the adjustment in writing as soon as practicable before the subject activity is required to take place. The owner or operator shall include in the request whatever information he or she considers useful to convince the Administrator that an adjustment is warranted.</w:t>
      </w:r>
    </w:p>
    <w:p w:rsidR="002D21D3" w:rsidRPr="002D21D3" w:rsidP="002D21D3" w14:paraId="0987A24D" w14:textId="77777777">
      <w:r w:rsidRPr="002D21D3">
        <w:t>(3) If, in the Administrator's judgment, an owner or operator's request for an adjustment to a particular time period or postmark deadline is warranted, the Administrator will approve the adjustment. The Administrator will notify the owner or operator in writing of approval or disapproval of the request for an adjustment within 15 calendar days of receiving sufficient information to evaluate the request.</w:t>
      </w:r>
    </w:p>
    <w:p w:rsidR="002D21D3" w:rsidRPr="002D21D3" w:rsidP="002D21D3" w14:paraId="336A1042" w14:textId="77777777">
      <w:r w:rsidRPr="002D21D3">
        <w:t>(4) If the Administrator is unable to meet a specified deadline, he or she will notify the owner or operator of any significant delay and inform the owner or operator of the amended schedule.</w:t>
      </w:r>
    </w:p>
    <w:p w:rsidR="002D21D3" w:rsidRPr="002D21D3" w:rsidP="002D21D3" w14:paraId="06FE74DE" w14:textId="77777777">
      <w:r w:rsidRPr="002D21D3">
        <w:t xml:space="preserve">(j) </w:t>
      </w:r>
      <w:r w:rsidRPr="002D21D3">
        <w:rPr>
          <w:b/>
          <w:bCs/>
          <w:i/>
          <w:iCs/>
        </w:rPr>
        <w:t>Change in information already provided.</w:t>
      </w:r>
      <w:r w:rsidRPr="002D21D3">
        <w:t xml:space="preserve"> Any change in the information already provided under this section shall be provided to the Administrator within 15 calendar days after the change. The owner or operator of a major source that reclassifies to area source status is also subject to the notification requirements of this paragraph. The owner or operator may submit the application for reclassification with the regulatory authority (</w:t>
      </w:r>
      <w:r w:rsidRPr="002D21D3">
        <w:rPr>
          <w:i/>
          <w:iCs/>
        </w:rPr>
        <w:t>e.g.,</w:t>
      </w:r>
      <w:r w:rsidRPr="002D21D3">
        <w:t xml:space="preserve"> permit application) according to </w:t>
      </w:r>
      <w:hyperlink r:id="rId8" w:anchor="p-63.9(k)" w:history="1">
        <w:r w:rsidRPr="002D21D3">
          <w:rPr>
            <w:rStyle w:val="Hyperlink"/>
          </w:rPr>
          <w:t>paragraph (k)</w:t>
        </w:r>
      </w:hyperlink>
      <w:r w:rsidRPr="002D21D3">
        <w:t xml:space="preserve"> of this section to fulfill the requirements of this paragraph, but the information required in </w:t>
      </w:r>
      <w:hyperlink r:id="rId8" w:anchor="p-63.9(j)(1)" w:history="1">
        <w:r w:rsidRPr="002D21D3">
          <w:rPr>
            <w:rStyle w:val="Hyperlink"/>
          </w:rPr>
          <w:t>paragraphs (j)(1)</w:t>
        </w:r>
      </w:hyperlink>
      <w:r w:rsidRPr="002D21D3">
        <w:t xml:space="preserve"> through </w:t>
      </w:r>
      <w:hyperlink r:id="rId8" w:anchor="p-63.9(j)(4)" w:history="1">
        <w:r w:rsidRPr="002D21D3">
          <w:rPr>
            <w:rStyle w:val="Hyperlink"/>
          </w:rPr>
          <w:t>(4)</w:t>
        </w:r>
      </w:hyperlink>
      <w:r w:rsidRPr="002D21D3">
        <w:t xml:space="preserve"> of this section must be included. A source which reclassified after January 25, 2018, and before January 19, 2021, and has not yet provided the notification of a change in information is required to provide such notification no later than February 2, 2021, according to the requirements of </w:t>
      </w:r>
      <w:hyperlink r:id="rId8" w:anchor="p-63.9(k)" w:history="1">
        <w:r w:rsidRPr="002D21D3">
          <w:rPr>
            <w:rStyle w:val="Hyperlink"/>
          </w:rPr>
          <w:t>paragraph (k)</w:t>
        </w:r>
      </w:hyperlink>
      <w:r w:rsidRPr="002D21D3">
        <w:t xml:space="preserve"> of this section. Beginning January 19, 2021, the owner or operator of a major source that reclassifies to area source status must submit the notification according to the </w:t>
      </w:r>
      <w:r w:rsidRPr="002D21D3">
        <w:t xml:space="preserve">requirements of </w:t>
      </w:r>
      <w:hyperlink r:id="rId8" w:anchor="p-63.9(k)" w:history="1">
        <w:r w:rsidRPr="002D21D3">
          <w:rPr>
            <w:rStyle w:val="Hyperlink"/>
          </w:rPr>
          <w:t>paragraph (k)</w:t>
        </w:r>
      </w:hyperlink>
      <w:r w:rsidRPr="002D21D3">
        <w:t xml:space="preserve"> of this section. A notification of reclassification must contain the following information:</w:t>
      </w:r>
    </w:p>
    <w:p w:rsidR="002D21D3" w:rsidRPr="002D21D3" w:rsidP="002D21D3" w14:paraId="6AD627A9" w14:textId="77777777">
      <w:r w:rsidRPr="002D21D3">
        <w:t>(1) The name and address of the owner or operator;</w:t>
      </w:r>
    </w:p>
    <w:p w:rsidR="002D21D3" w:rsidRPr="002D21D3" w:rsidP="002D21D3" w14:paraId="34BC7562" w14:textId="77777777">
      <w:r w:rsidRPr="002D21D3">
        <w:t>(2) The address (</w:t>
      </w:r>
      <w:r w:rsidRPr="002D21D3">
        <w:rPr>
          <w:i/>
          <w:iCs/>
        </w:rPr>
        <w:t>i.e.,</w:t>
      </w:r>
      <w:r w:rsidRPr="002D21D3">
        <w:t xml:space="preserve"> physical location) of the affected source;</w:t>
      </w:r>
    </w:p>
    <w:p w:rsidR="002D21D3" w:rsidRPr="002D21D3" w:rsidP="002D21D3" w14:paraId="3CEFF529" w14:textId="77777777">
      <w:r w:rsidRPr="002D21D3">
        <w:t>(3) An identification of the standard being reclassified from and to (if applicable); and</w:t>
      </w:r>
    </w:p>
    <w:p w:rsidR="002D21D3" w:rsidRPr="002D21D3" w:rsidP="002D21D3" w14:paraId="5C9D0773" w14:textId="77777777">
      <w:r w:rsidRPr="002D21D3">
        <w:t>(4) Date of effectiveness of the reclassification.</w:t>
      </w:r>
    </w:p>
    <w:p w:rsidR="00F8331F" w:rsidRPr="00F8331F" w:rsidP="00F8331F" w14:paraId="5BF867E1" w14:textId="77777777">
      <w:pPr>
        <w:rPr>
          <w:b/>
          <w:bCs/>
        </w:rPr>
      </w:pPr>
      <w:r w:rsidRPr="00F8331F">
        <w:rPr>
          <w:b/>
          <w:bCs/>
        </w:rPr>
        <w:t>§ 63.10 Recordkeeping and reporting requirements.</w:t>
      </w:r>
    </w:p>
    <w:p w:rsidR="00F8331F" w:rsidRPr="00F8331F" w:rsidP="00F8331F" w14:paraId="63B60651" w14:textId="77777777">
      <w:r w:rsidRPr="00F8331F">
        <w:t xml:space="preserve">(a) </w:t>
      </w:r>
      <w:r w:rsidRPr="00F8331F">
        <w:rPr>
          <w:b/>
          <w:bCs/>
          <w:i/>
          <w:iCs/>
        </w:rPr>
        <w:t>Applicability and general information.</w:t>
      </w:r>
      <w:r w:rsidRPr="00F8331F">
        <w:t xml:space="preserve"> </w:t>
      </w:r>
    </w:p>
    <w:p w:rsidR="00F8331F" w:rsidRPr="00F8331F" w:rsidP="00F8331F" w14:paraId="591D3AA0" w14:textId="77777777">
      <w:r w:rsidRPr="00F8331F">
        <w:t xml:space="preserve">(1) The applicability of this section is set out in </w:t>
      </w:r>
      <w:hyperlink r:id="rId13" w:anchor="p-63.1(a)(4)" w:history="1">
        <w:r w:rsidRPr="00F8331F">
          <w:rPr>
            <w:rStyle w:val="Hyperlink"/>
          </w:rPr>
          <w:t>§ 63.1(a)(4)</w:t>
        </w:r>
      </w:hyperlink>
      <w:r w:rsidRPr="00F8331F">
        <w:t>.</w:t>
      </w:r>
    </w:p>
    <w:p w:rsidR="00F8331F" w:rsidRPr="00F8331F" w:rsidP="00F8331F" w14:paraId="515EE6DD" w14:textId="77777777">
      <w:r w:rsidRPr="00F8331F">
        <w:t xml:space="preserve">(2) For affected sources that have been granted an extension of compliance under </w:t>
      </w:r>
      <w:hyperlink r:id="rId14" w:history="1">
        <w:r w:rsidRPr="00F8331F">
          <w:rPr>
            <w:rStyle w:val="Hyperlink"/>
          </w:rPr>
          <w:t>subpart D of this part</w:t>
        </w:r>
      </w:hyperlink>
      <w:r w:rsidRPr="00F8331F">
        <w:t>, the requirements of this section do not apply to those sources while they are operating under such compliance extensions.</w:t>
      </w:r>
    </w:p>
    <w:p w:rsidR="00F8331F" w:rsidRPr="00F8331F" w:rsidP="00F8331F" w14:paraId="40CB84DA" w14:textId="77777777">
      <w:r w:rsidRPr="00F8331F">
        <w:t>(3) If any State requires a report that contains all the information required in a report listed in this section, an owner or operator may send the Administrator a copy of the report sent to the State to satisfy the requirements of this section for that report.</w:t>
      </w:r>
    </w:p>
    <w:p w:rsidR="00F8331F" w:rsidRPr="00F8331F" w:rsidP="00F8331F" w14:paraId="5AB46D7E" w14:textId="77777777">
      <w:r w:rsidRPr="00F8331F">
        <w:t xml:space="preserve">(4) </w:t>
      </w:r>
    </w:p>
    <w:p w:rsidR="00F8331F" w:rsidRPr="00F8331F" w:rsidP="00F8331F" w14:paraId="56D973DB" w14:textId="77777777">
      <w:r w:rsidRPr="00F8331F">
        <w:t xml:space="preserve">(i) Before a State has been delegated the authority to implement and enforce recordkeeping and reporting requirements established under this part, the owner or operator of an affected source in such State subject to such requirements shall submit reports to the appropriate Regional Office of the EPA (to the attention of the Director of the Division indicated in the list of the EPA Regional Offices in </w:t>
      </w:r>
      <w:hyperlink r:id="rId15" w:history="1">
        <w:r w:rsidRPr="00F8331F">
          <w:rPr>
            <w:rStyle w:val="Hyperlink"/>
          </w:rPr>
          <w:t>§ 63.13</w:t>
        </w:r>
      </w:hyperlink>
      <w:r w:rsidRPr="00F8331F">
        <w:t>).</w:t>
      </w:r>
    </w:p>
    <w:p w:rsidR="00F8331F" w:rsidRPr="00F8331F" w:rsidP="00F8331F" w14:paraId="6F3E86C7" w14:textId="77777777">
      <w:r w:rsidRPr="00F8331F">
        <w:t xml:space="preserve">(ii) After a State has been delegated the authority to implement and enforce recordkeeping and reporting requirements established under this part, the owner or operator of an affected source in such State subject to such requirements shall submit reports to the delegated State authority (which may be the same as the permitting authority). In addition, if the delegated (permitting) authority is the State, the owner or operator shall send a copy of each report submitted to the State to the appropriate Regional Office of the EPA, as specified in </w:t>
      </w:r>
      <w:hyperlink r:id="rId16" w:anchor="p-63.10(a)(4)(i)" w:history="1">
        <w:r w:rsidRPr="00F8331F">
          <w:rPr>
            <w:rStyle w:val="Hyperlink"/>
          </w:rPr>
          <w:t>paragraph (a)(4)(i)</w:t>
        </w:r>
      </w:hyperlink>
      <w:r w:rsidRPr="00F8331F">
        <w:t xml:space="preserve"> of this section. The Regional Office may waive this requirement for any reports at its discretion.</w:t>
      </w:r>
    </w:p>
    <w:p w:rsidR="00F8331F" w:rsidRPr="00F8331F" w:rsidP="00F8331F" w14:paraId="4CC5618D" w14:textId="77777777">
      <w:r w:rsidRPr="00F8331F">
        <w:t xml:space="preserve">(5) If an owner or operator of an affected source in a State with delegated authority is required to submit periodic reports under this part to the State, and if the State has an established timeline for the submission of periodic reports that is consistent with the </w:t>
      </w:r>
      <w:r w:rsidRPr="00F8331F">
        <w:t xml:space="preserve">reporting frequency(ies) specified for such source under this part, the owner or operator may change the dates by which periodic reports under this part shall be submitted (without changing the frequency of reporting) to be consistent with the State's schedule by mutual agreement between the owner or operator and the State. For each relevant standard established pursuant to section 112 of the Act, the allowance in the previous sentence applies in each State beginning 1 year after the affected source's compliance date for that standard. Procedures governing the implementation of this provision are specified in </w:t>
      </w:r>
      <w:hyperlink r:id="rId8" w:anchor="p-63.9(i)" w:history="1">
        <w:r w:rsidRPr="00F8331F">
          <w:rPr>
            <w:rStyle w:val="Hyperlink"/>
          </w:rPr>
          <w:t>§ 63.9(i)</w:t>
        </w:r>
      </w:hyperlink>
      <w:r w:rsidRPr="00F8331F">
        <w:t>.</w:t>
      </w:r>
    </w:p>
    <w:p w:rsidR="00F8331F" w:rsidRPr="00F8331F" w:rsidP="00F8331F" w14:paraId="4B3C2F5F" w14:textId="77777777">
      <w:r w:rsidRPr="00F8331F">
        <w:t xml:space="preserve">(6) If an owner or operator supervises one or more stationary sources affected by more than one standard established pursuant to section 112 of the Act, he/she may arrange by mutual agreement between the owner or operator and the Administrator (or the State permitting authority) a common schedule on which periodic reports required for each source shall be submitted throughout the year. The allowance in the previous sentence applies in each State beginning 1 year after the latest compliance date for any relevant standard established pursuant to section 112 of the Act for any such affected source(s). Procedures governing the implementation of this provision are specified in </w:t>
      </w:r>
      <w:hyperlink r:id="rId8" w:anchor="p-63.9(i)" w:history="1">
        <w:r w:rsidRPr="00F8331F">
          <w:rPr>
            <w:rStyle w:val="Hyperlink"/>
          </w:rPr>
          <w:t>§ 63.9(i)</w:t>
        </w:r>
      </w:hyperlink>
      <w:r w:rsidRPr="00F8331F">
        <w:t>.</w:t>
      </w:r>
    </w:p>
    <w:p w:rsidR="00F8331F" w:rsidRPr="00F8331F" w:rsidP="00F8331F" w14:paraId="5EF21E7C" w14:textId="77777777">
      <w:r w:rsidRPr="00F8331F">
        <w:t xml:space="preserve">(7) If an owner or operator supervises one or more stationary sources affected by standards established pursuant to section 112 of the Act (as amended November 15, 1990) and standards set under part 60, part 61, or both such parts of this chapter, he/she may arrange by mutual agreement between the owner or operator and the Administrator (or the State permitting authority) a common schedule on which periodic reports required by each relevant (i.e., applicable) standard shall be submitted throughout the year. The allowance in the previous sentence applies in each State beginning 1 year after the stationary source is required to be in compliance with the relevant section 112 standard, or 1 year after the stationary source is required to be in compliance with the applicable part 60 or part 61 standard, whichever is latest. Procedures governing the implementation of this provision are specified in </w:t>
      </w:r>
      <w:hyperlink r:id="rId8" w:anchor="p-63.9(i)" w:history="1">
        <w:r w:rsidRPr="00F8331F">
          <w:rPr>
            <w:rStyle w:val="Hyperlink"/>
          </w:rPr>
          <w:t>§ 63.9(i)</w:t>
        </w:r>
      </w:hyperlink>
      <w:r w:rsidRPr="00F8331F">
        <w:t>.</w:t>
      </w:r>
    </w:p>
    <w:p w:rsidR="00F8331F" w:rsidRPr="00F8331F" w:rsidP="00F8331F" w14:paraId="09886620" w14:textId="77777777">
      <w:r w:rsidRPr="00F8331F">
        <w:t xml:space="preserve">(b) </w:t>
      </w:r>
      <w:r w:rsidRPr="00F8331F">
        <w:rPr>
          <w:b/>
          <w:bCs/>
          <w:i/>
          <w:iCs/>
        </w:rPr>
        <w:t>General recordkeeping requirements.</w:t>
      </w:r>
      <w:r w:rsidRPr="00F8331F">
        <w:t xml:space="preserve"> </w:t>
      </w:r>
    </w:p>
    <w:p w:rsidR="00F8331F" w:rsidRPr="00F8331F" w:rsidP="00F8331F" w14:paraId="50C27C64" w14:textId="77777777">
      <w:r w:rsidRPr="00F8331F">
        <w:t>(1) The owner or operator of an affected source subject to the provisions of this part shall maintain files of all information (including all reports and notifications) required by this part recorded in a form suitable and readily available for expeditious inspection and review. The files shall be retained for at least 5 years following the date of each occurrence, measurement, maintenance, corrective action, report, or record. At a minimum, the most recent 2 years of data shall be retained on site. The remaining 3 years of data may be retained off site. Such files may be maintained on microfilm, on a computer, on computer floppy disks, on magnetic tape disks, or on microfiche.</w:t>
      </w:r>
    </w:p>
    <w:p w:rsidR="005D0AA6" w:rsidRPr="005D0AA6" w:rsidP="005D0AA6" w14:paraId="63D6FC84" w14:textId="695FB181">
      <w:pPr>
        <w:rPr>
          <w:b/>
          <w:bCs/>
        </w:rPr>
      </w:pPr>
      <w:r w:rsidRPr="005D0AA6">
        <w:rPr>
          <w:b/>
          <w:bCs/>
        </w:rPr>
        <w:t>§ 63.1306 Reporting requirements.</w:t>
      </w:r>
    </w:p>
    <w:p w:rsidR="005D0AA6" w:rsidRPr="005D0AA6" w:rsidP="005D0AA6" w14:paraId="49A24F6F" w14:textId="77777777">
      <w:r w:rsidRPr="005D0AA6">
        <w:t>Owners and operators of affected sources shall comply with each applicable reporting provision in this section.</w:t>
      </w:r>
    </w:p>
    <w:p w:rsidR="005D0AA6" w:rsidRPr="005D0AA6" w:rsidP="005D0AA6" w14:paraId="72CE3C59" w14:textId="77777777">
      <w:r w:rsidRPr="005D0AA6">
        <w:t xml:space="preserve">(a) </w:t>
      </w:r>
      <w:r w:rsidRPr="005D0AA6">
        <w:rPr>
          <w:b/>
          <w:bCs/>
          <w:i/>
          <w:iCs/>
        </w:rPr>
        <w:t>Initial notification.</w:t>
      </w:r>
      <w:r w:rsidRPr="005D0AA6">
        <w:t xml:space="preserve"> Each affected source shall submit an initial notification in accordance with </w:t>
      </w:r>
      <w:hyperlink r:id="rId8" w:anchor="p-63.9(b)" w:history="1">
        <w:r w:rsidRPr="005D0AA6">
          <w:rPr>
            <w:rStyle w:val="Hyperlink"/>
          </w:rPr>
          <w:t>§ 63.9(b)</w:t>
        </w:r>
      </w:hyperlink>
      <w:r w:rsidRPr="005D0AA6">
        <w:t>.</w:t>
      </w:r>
    </w:p>
    <w:p w:rsidR="005D0AA6" w:rsidRPr="005D0AA6" w:rsidP="005D0AA6" w14:paraId="6CEE192A" w14:textId="77777777">
      <w:r w:rsidRPr="005D0AA6">
        <w:t xml:space="preserve">(b) </w:t>
      </w:r>
      <w:r w:rsidRPr="005D0AA6">
        <w:rPr>
          <w:b/>
          <w:bCs/>
          <w:i/>
          <w:iCs/>
        </w:rPr>
        <w:t>Application for approval of construction or reconstruction.</w:t>
      </w:r>
      <w:r w:rsidRPr="005D0AA6">
        <w:t xml:space="preserve"> Each owner or operator shall submit an application for approval of construction or reconstruction in accordance with the provisions of </w:t>
      </w:r>
      <w:hyperlink r:id="rId10" w:anchor="p-63.5(d)" w:history="1">
        <w:r w:rsidRPr="005D0AA6">
          <w:rPr>
            <w:rStyle w:val="Hyperlink"/>
          </w:rPr>
          <w:t>§ 63.5(d)</w:t>
        </w:r>
      </w:hyperlink>
      <w:r w:rsidRPr="005D0AA6">
        <w:t>.</w:t>
      </w:r>
    </w:p>
    <w:p w:rsidR="005D0AA6" w:rsidRPr="005D0AA6" w:rsidP="005D0AA6" w14:paraId="054863C3" w14:textId="77777777">
      <w:r w:rsidRPr="005D0AA6">
        <w:t xml:space="preserve">(c) </w:t>
      </w:r>
      <w:r w:rsidRPr="005D0AA6">
        <w:rPr>
          <w:b/>
          <w:bCs/>
          <w:i/>
          <w:iCs/>
        </w:rPr>
        <w:t>Notification of compliance status.</w:t>
      </w:r>
      <w:r w:rsidRPr="005D0AA6">
        <w:t xml:space="preserve"> Each affected source shall submit a notification of compliance status report no later than 180 days after the compliance date. For slabstock affected sources, this report shall contain the information listed in </w:t>
      </w:r>
      <w:hyperlink r:id="rId17" w:anchor="p-63.1306(c)(1)" w:history="1">
        <w:r w:rsidRPr="005D0AA6">
          <w:rPr>
            <w:rStyle w:val="Hyperlink"/>
          </w:rPr>
          <w:t>paragraphs (c)(1)</w:t>
        </w:r>
      </w:hyperlink>
      <w:r w:rsidRPr="005D0AA6">
        <w:t xml:space="preserve"> through </w:t>
      </w:r>
      <w:hyperlink r:id="rId17" w:anchor="p-63.1306(c)(3)" w:history="1">
        <w:r w:rsidRPr="005D0AA6">
          <w:rPr>
            <w:rStyle w:val="Hyperlink"/>
          </w:rPr>
          <w:t>(3)</w:t>
        </w:r>
      </w:hyperlink>
      <w:r w:rsidRPr="005D0AA6">
        <w:t xml:space="preserve"> of this section, as applicable. This report shall contain the information listed in </w:t>
      </w:r>
      <w:hyperlink r:id="rId17" w:anchor="p-63.1306(c)(4)" w:history="1">
        <w:r w:rsidRPr="005D0AA6">
          <w:rPr>
            <w:rStyle w:val="Hyperlink"/>
          </w:rPr>
          <w:t>paragraph (c)(4)</w:t>
        </w:r>
      </w:hyperlink>
      <w:r w:rsidRPr="005D0AA6">
        <w:t xml:space="preserve"> of this section for molded foam processes and in </w:t>
      </w:r>
      <w:hyperlink r:id="rId17" w:anchor="p-63.1306(c)(5)" w:history="1">
        <w:r w:rsidRPr="005D0AA6">
          <w:rPr>
            <w:rStyle w:val="Hyperlink"/>
          </w:rPr>
          <w:t>paragraph (c)(5)</w:t>
        </w:r>
      </w:hyperlink>
      <w:r w:rsidRPr="005D0AA6">
        <w:t xml:space="preserve"> of this section for rebond foam processes.</w:t>
      </w:r>
    </w:p>
    <w:p w:rsidR="005D0AA6" w:rsidRPr="005D0AA6" w:rsidP="005D0AA6" w14:paraId="4527DAEC" w14:textId="77777777">
      <w:r w:rsidRPr="005D0AA6">
        <w:t>(1) A list of diisocyanate storage vessels, along with a record of the type of control utilized for each storage vessel.</w:t>
      </w:r>
    </w:p>
    <w:p w:rsidR="005D0AA6" w:rsidRPr="005D0AA6" w:rsidP="005D0AA6" w14:paraId="25067A96" w14:textId="77777777">
      <w:r w:rsidRPr="005D0AA6">
        <w:t>(2) For transfer pumps in diisocyanate service, a record of the type of control utilized for each transfer pump.</w:t>
      </w:r>
    </w:p>
    <w:p w:rsidR="005D0AA6" w:rsidRPr="005D0AA6" w:rsidP="005D0AA6" w14:paraId="049980B9" w14:textId="77777777">
      <w:r w:rsidRPr="005D0AA6">
        <w:t xml:space="preserve">(3) A statement that the slabstock foam affected source is in compliance with </w:t>
      </w:r>
      <w:hyperlink r:id="rId18" w:history="1">
        <w:r w:rsidRPr="005D0AA6">
          <w:rPr>
            <w:rStyle w:val="Hyperlink"/>
          </w:rPr>
          <w:t>§§ 63.1297</w:t>
        </w:r>
      </w:hyperlink>
      <w:r w:rsidRPr="005D0AA6">
        <w:t xml:space="preserve"> and </w:t>
      </w:r>
      <w:hyperlink r:id="rId19" w:history="1">
        <w:r w:rsidRPr="005D0AA6">
          <w:rPr>
            <w:rStyle w:val="Hyperlink"/>
          </w:rPr>
          <w:t>63.1298</w:t>
        </w:r>
      </w:hyperlink>
      <w:r w:rsidRPr="005D0AA6">
        <w:t xml:space="preserve">, or a statement that slabstock foam processes at an affected source are in compliance with </w:t>
      </w:r>
      <w:hyperlink r:id="rId18" w:history="1">
        <w:r w:rsidRPr="005D0AA6">
          <w:rPr>
            <w:rStyle w:val="Hyperlink"/>
          </w:rPr>
          <w:t>§§ 63.1297</w:t>
        </w:r>
      </w:hyperlink>
      <w:r w:rsidRPr="005D0AA6">
        <w:t xml:space="preserve"> and </w:t>
      </w:r>
      <w:hyperlink r:id="rId19" w:history="1">
        <w:r w:rsidRPr="005D0AA6">
          <w:rPr>
            <w:rStyle w:val="Hyperlink"/>
          </w:rPr>
          <w:t>63.1298</w:t>
        </w:r>
      </w:hyperlink>
      <w:r w:rsidRPr="005D0AA6">
        <w:t>.</w:t>
      </w:r>
    </w:p>
    <w:p w:rsidR="005D0AA6" w:rsidRPr="005D0AA6" w:rsidP="005D0AA6" w14:paraId="0FEBDD7A" w14:textId="77777777">
      <w:r w:rsidRPr="005D0AA6">
        <w:t xml:space="preserve">(4) A statement that the molded foam affected source is in compliance with </w:t>
      </w:r>
      <w:hyperlink r:id="rId20" w:history="1">
        <w:r w:rsidRPr="005D0AA6">
          <w:rPr>
            <w:rStyle w:val="Hyperlink"/>
          </w:rPr>
          <w:t>§ 63.1300</w:t>
        </w:r>
      </w:hyperlink>
      <w:r w:rsidRPr="005D0AA6">
        <w:t xml:space="preserve">, or a statement that molded foam processes at an affected source are in compliance with </w:t>
      </w:r>
      <w:hyperlink r:id="rId20" w:history="1">
        <w:r w:rsidRPr="005D0AA6">
          <w:rPr>
            <w:rStyle w:val="Hyperlink"/>
          </w:rPr>
          <w:t>§ 63.1300</w:t>
        </w:r>
      </w:hyperlink>
      <w:r w:rsidRPr="005D0AA6">
        <w:t>.</w:t>
      </w:r>
    </w:p>
    <w:p w:rsidR="005D0AA6" w:rsidRPr="005D0AA6" w:rsidP="005D0AA6" w14:paraId="669C417F" w14:textId="77777777">
      <w:r w:rsidRPr="005D0AA6">
        <w:t xml:space="preserve">(5) A statement that the rebond foam affected source is in compliance with </w:t>
      </w:r>
      <w:hyperlink r:id="rId21" w:history="1">
        <w:r w:rsidRPr="005D0AA6">
          <w:rPr>
            <w:rStyle w:val="Hyperlink"/>
          </w:rPr>
          <w:t>§ 63.1301</w:t>
        </w:r>
      </w:hyperlink>
      <w:r w:rsidRPr="005D0AA6">
        <w:t xml:space="preserve">, or that rebond processes at an affected source are in compliance with </w:t>
      </w:r>
      <w:hyperlink r:id="rId21" w:history="1">
        <w:r w:rsidRPr="005D0AA6">
          <w:rPr>
            <w:rStyle w:val="Hyperlink"/>
          </w:rPr>
          <w:t>§ 63.1301</w:t>
        </w:r>
      </w:hyperlink>
      <w:r w:rsidRPr="005D0AA6">
        <w:t>.</w:t>
      </w:r>
    </w:p>
    <w:p w:rsidR="005D0AA6" w:rsidRPr="005D0AA6" w:rsidP="005D0AA6" w14:paraId="13899D79" w14:textId="77777777">
      <w:r w:rsidRPr="005D0AA6">
        <w:t xml:space="preserve">(d) </w:t>
      </w:r>
      <w:r w:rsidRPr="005D0AA6">
        <w:rPr>
          <w:b/>
          <w:bCs/>
          <w:i/>
          <w:iCs/>
        </w:rPr>
        <w:t>Semiannual reports.</w:t>
      </w:r>
      <w:r w:rsidRPr="005D0AA6">
        <w:t xml:space="preserve"> Each slabstock affected source shall submit a report containing the information specified in </w:t>
      </w:r>
      <w:hyperlink r:id="rId17" w:anchor="p-63.1306(d)(1)" w:history="1">
        <w:r w:rsidRPr="005D0AA6">
          <w:rPr>
            <w:rStyle w:val="Hyperlink"/>
          </w:rPr>
          <w:t>paragraphs (d)(1)</w:t>
        </w:r>
      </w:hyperlink>
      <w:r w:rsidRPr="005D0AA6">
        <w:t xml:space="preserve"> through </w:t>
      </w:r>
      <w:hyperlink r:id="rId17" w:anchor="p-63.1306(d)(3)" w:history="1">
        <w:r w:rsidRPr="005D0AA6">
          <w:rPr>
            <w:rStyle w:val="Hyperlink"/>
          </w:rPr>
          <w:t>(3)</w:t>
        </w:r>
      </w:hyperlink>
      <w:r w:rsidRPr="005D0AA6">
        <w:t xml:space="preserve"> of this section semiannually no later than 60 days after the end of each 180 day period. The first report shall be submitted no later than 240 days after the date that the Notification of Compliance Status is due and shall cover the 6-month period beginning on the date that the Notification of Compliance Status Report is due.</w:t>
      </w:r>
    </w:p>
    <w:p w:rsidR="005D0AA6" w:rsidRPr="005D0AA6" w:rsidP="005D0AA6" w14:paraId="216AF9DC" w14:textId="77777777">
      <w:r w:rsidRPr="005D0AA6">
        <w:t xml:space="preserve">(1) For sources complying with the storage vessel provisions of </w:t>
      </w:r>
      <w:hyperlink r:id="rId22" w:anchor="p-63.1294(a)" w:history="1">
        <w:r w:rsidRPr="005D0AA6">
          <w:rPr>
            <w:rStyle w:val="Hyperlink"/>
          </w:rPr>
          <w:t>§ 63.1294(a)</w:t>
        </w:r>
      </w:hyperlink>
      <w:r w:rsidRPr="005D0AA6">
        <w:t xml:space="preserve"> using a carbon adsorption system, unloading events that occurred after breakthrough was detected and before the carbon was replaced.</w:t>
      </w:r>
    </w:p>
    <w:p w:rsidR="005D0AA6" w:rsidRPr="005D0AA6" w:rsidP="005D0AA6" w14:paraId="20002AAA" w14:textId="77777777">
      <w:r w:rsidRPr="005D0AA6">
        <w:t xml:space="preserve">(2) Any equipment leaks that were not repaired in accordance with </w:t>
      </w:r>
      <w:hyperlink r:id="rId22" w:anchor="p-63.1294(b)(2)(iii)" w:history="1">
        <w:r w:rsidRPr="005D0AA6">
          <w:rPr>
            <w:rStyle w:val="Hyperlink"/>
          </w:rPr>
          <w:t>§§ 63.1294(b)(2)(iii)</w:t>
        </w:r>
      </w:hyperlink>
      <w:r w:rsidRPr="005D0AA6">
        <w:t xml:space="preserve"> and </w:t>
      </w:r>
      <w:hyperlink r:id="rId22" w:anchor="p-63.1294(b)(2)(c)" w:history="1">
        <w:r w:rsidRPr="005D0AA6">
          <w:rPr>
            <w:rStyle w:val="Hyperlink"/>
          </w:rPr>
          <w:t>63.1294(c)</w:t>
        </w:r>
      </w:hyperlink>
      <w:r w:rsidRPr="005D0AA6">
        <w:t>.</w:t>
      </w:r>
    </w:p>
    <w:p w:rsidR="005D0AA6" w:rsidRPr="005D0AA6" w:rsidP="005D0AA6" w14:paraId="41718902" w14:textId="77777777">
      <w:r w:rsidRPr="005D0AA6">
        <w:t xml:space="preserve">(3) Any leaks in vapor return lines that were not repaired in accordance with </w:t>
      </w:r>
      <w:hyperlink r:id="rId22" w:anchor="p-63.1294(a)(1)(ii)" w:history="1">
        <w:r w:rsidRPr="005D0AA6">
          <w:rPr>
            <w:rStyle w:val="Hyperlink"/>
          </w:rPr>
          <w:t>§ 63.1294(a)(1)(ii)</w:t>
        </w:r>
      </w:hyperlink>
      <w:r w:rsidRPr="005D0AA6">
        <w:t>.</w:t>
      </w:r>
    </w:p>
    <w:p w:rsidR="005D0AA6" w:rsidRPr="005D0AA6" w:rsidP="005D0AA6" w14:paraId="3BA1F5FB" w14:textId="77777777">
      <w:r w:rsidRPr="005D0AA6">
        <w:t xml:space="preserve">(e) </w:t>
      </w:r>
      <w:r w:rsidRPr="005D0AA6">
        <w:rPr>
          <w:b/>
          <w:bCs/>
          <w:i/>
          <w:iCs/>
        </w:rPr>
        <w:t>Annual compliance certifications.</w:t>
      </w:r>
      <w:r w:rsidRPr="005D0AA6">
        <w:t xml:space="preserve"> Each affected source subject to the provisions in </w:t>
      </w:r>
      <w:hyperlink r:id="rId23" w:history="1">
        <w:r w:rsidRPr="005D0AA6">
          <w:rPr>
            <w:rStyle w:val="Hyperlink"/>
          </w:rPr>
          <w:t>§§ 63.1293</w:t>
        </w:r>
      </w:hyperlink>
      <w:r w:rsidRPr="005D0AA6">
        <w:t xml:space="preserve"> through </w:t>
      </w:r>
      <w:hyperlink r:id="rId21" w:history="1">
        <w:r w:rsidRPr="005D0AA6">
          <w:rPr>
            <w:rStyle w:val="Hyperlink"/>
          </w:rPr>
          <w:t>63.1301</w:t>
        </w:r>
      </w:hyperlink>
      <w:r w:rsidRPr="005D0AA6">
        <w:t xml:space="preserve"> shall submit a compliance certification annually.</w:t>
      </w:r>
    </w:p>
    <w:p w:rsidR="005D0AA6" w:rsidRPr="005D0AA6" w:rsidP="005D0AA6" w14:paraId="4F66795F" w14:textId="77777777">
      <w:r w:rsidRPr="005D0AA6">
        <w:t xml:space="preserve">(1) The compliance certification shall be based on information consistent with that contained in </w:t>
      </w:r>
      <w:hyperlink r:id="rId24" w:history="1">
        <w:r w:rsidRPr="005D0AA6">
          <w:rPr>
            <w:rStyle w:val="Hyperlink"/>
          </w:rPr>
          <w:t>§ 63.1308</w:t>
        </w:r>
      </w:hyperlink>
      <w:r w:rsidRPr="005D0AA6">
        <w:t>, as applicable.</w:t>
      </w:r>
    </w:p>
    <w:p w:rsidR="005D0AA6" w:rsidRPr="005D0AA6" w:rsidP="005D0AA6" w14:paraId="294B0D86" w14:textId="77777777">
      <w:r w:rsidRPr="005D0AA6">
        <w:t xml:space="preserve">(2) A compliance certification required pursuant to a state or local operating permit program may be used to satisfy the requirements of this section, provided that the compliance certification is based on information consistent with that contained in </w:t>
      </w:r>
      <w:hyperlink r:id="rId24" w:history="1">
        <w:r w:rsidRPr="005D0AA6">
          <w:rPr>
            <w:rStyle w:val="Hyperlink"/>
          </w:rPr>
          <w:t>§ 63.1308</w:t>
        </w:r>
      </w:hyperlink>
      <w:r w:rsidRPr="005D0AA6">
        <w:t xml:space="preserve">, and provided that the Administrator has approved the state or local operating permit program under </w:t>
      </w:r>
      <w:hyperlink r:id="rId25" w:history="1">
        <w:r w:rsidRPr="005D0AA6">
          <w:rPr>
            <w:rStyle w:val="Hyperlink"/>
          </w:rPr>
          <w:t>part 70 of this chapter</w:t>
        </w:r>
      </w:hyperlink>
      <w:r w:rsidRPr="005D0AA6">
        <w:t>.</w:t>
      </w:r>
    </w:p>
    <w:p w:rsidR="005D0AA6" w:rsidRPr="005D0AA6" w:rsidP="005D0AA6" w14:paraId="3F52A99E" w14:textId="77777777">
      <w:r w:rsidRPr="005D0AA6">
        <w:t>(3) Each compliance certification submitted pursuant to this section shall be signed by a responsible official of the company that owns or operates the affected source.</w:t>
      </w:r>
    </w:p>
    <w:p w:rsidR="005D0AA6" w:rsidRPr="005D0AA6" w:rsidP="005D0AA6" w14:paraId="6141E75E" w14:textId="77777777">
      <w:r w:rsidRPr="005D0AA6">
        <w:t xml:space="preserve">(f) </w:t>
      </w:r>
      <w:r w:rsidRPr="005D0AA6">
        <w:rPr>
          <w:b/>
          <w:bCs/>
          <w:i/>
          <w:iCs/>
        </w:rPr>
        <w:t>Malfunction reports.</w:t>
      </w:r>
      <w:r w:rsidRPr="005D0AA6">
        <w:t xml:space="preserve"> If a source fails to meet an applicable standard, slabstock affected sources shall report such events in the next semiannual report and molded and rebond affected sources shall report such events in the next annual compliance certification. Report the number of failures to meet an applicable standard. For each instance, report the date, time and duration of each failure. For each failure, the report shall include a list of the affected sources or equipment, an estimate of the volume of each regulated pollutant emitted over any emission limit, and a description of the method used to estimate the emissions.</w:t>
      </w:r>
    </w:p>
    <w:p w:rsidR="005D0AA6" w:rsidRPr="005D0AA6" w:rsidP="005D0AA6" w14:paraId="3855DA3D" w14:textId="77777777">
      <w:r w:rsidRPr="005D0AA6">
        <w:t xml:space="preserve">(g) Within 60 days after the date of completing each performance test (as defined in </w:t>
      </w:r>
      <w:hyperlink r:id="rId26" w:history="1">
        <w:r w:rsidRPr="005D0AA6">
          <w:rPr>
            <w:rStyle w:val="Hyperlink"/>
          </w:rPr>
          <w:t>§ 63.2</w:t>
        </w:r>
      </w:hyperlink>
      <w:r w:rsidRPr="005D0AA6">
        <w:t xml:space="preserve">) required by this subpart, you shall submit the results of the performance tests, including any associated fuel analyses, following the procedure specified in either </w:t>
      </w:r>
      <w:hyperlink r:id="rId17" w:anchor="p-63.1306(g)(1)" w:history="1">
        <w:r w:rsidRPr="005D0AA6">
          <w:rPr>
            <w:rStyle w:val="Hyperlink"/>
          </w:rPr>
          <w:t>paragraph (g)(1)</w:t>
        </w:r>
      </w:hyperlink>
      <w:r w:rsidRPr="005D0AA6">
        <w:t xml:space="preserve"> or </w:t>
      </w:r>
      <w:hyperlink r:id="rId17" w:anchor="p-63.1306(g)(2)" w:history="1">
        <w:r w:rsidRPr="005D0AA6">
          <w:rPr>
            <w:rStyle w:val="Hyperlink"/>
          </w:rPr>
          <w:t>(g)(2)</w:t>
        </w:r>
      </w:hyperlink>
      <w:r w:rsidRPr="005D0AA6">
        <w:t xml:space="preserve"> of this section.</w:t>
      </w:r>
    </w:p>
    <w:p w:rsidR="005D0AA6" w:rsidRPr="005D0AA6" w:rsidP="005D0AA6" w14:paraId="50A22EE0" w14:textId="77777777">
      <w:r w:rsidRPr="005D0AA6">
        <w:t>(1) For data collected using test methods supported by the EPA's Electronic Reporting Tool (ERT) as listed on the EPA's ERT Web site (</w:t>
      </w:r>
      <w:hyperlink r:id="rId27" w:tgtFrame="_blank" w:history="1">
        <w:r w:rsidRPr="005D0AA6">
          <w:rPr>
            <w:rStyle w:val="Hyperlink"/>
            <w:i/>
            <w:iCs/>
          </w:rPr>
          <w:t>http://www.epa.gov/ttn/chief/ert/index.html</w:t>
        </w:r>
      </w:hyperlink>
      <w:r w:rsidRPr="005D0AA6">
        <w:t xml:space="preserve">),, the owner or operator shall submit the results of the performance test to the EPA via the </w:t>
      </w:r>
      <w:r w:rsidRPr="005D0AA6">
        <w:t>Compliance and Emissions Data Reporting Interface (CEDRI), (CEDRI can be accessed through the EPA's Central Data Exchange (CDX) (</w:t>
      </w:r>
      <w:hyperlink r:id="rId28" w:tgtFrame="_blank" w:history="1">
        <w:r w:rsidRPr="005D0AA6">
          <w:rPr>
            <w:rStyle w:val="Hyperlink"/>
            <w:i/>
            <w:iCs/>
          </w:rPr>
          <w:t>http://cdx.epa.gov/epa_home.asp</w:t>
        </w:r>
      </w:hyperlink>
      <w:r w:rsidRPr="005D0AA6">
        <w:t>). Performance test data shall be submitted in a file format generated through the use of the EPA's ERT. Alternatively, the owner or operator may submit performance test data in an electronic file format consistent with the extensible markup language (XML) schema listed on the EPA's ERT Web site, once the XML schema is available. Owners or operators, who claim that some of the information being submitted for performance tests is confidential business information (CBI), shall submit a complete file generated through the use of the EPA's ERT or an alternate electronic file consistent with the XML schema listed on the EPA's ERT Web site, including information claimed to be CBI, on a compact disk, flash drive or other commonly used electronic storage media to the EPA. The electronic media shall be clearly marked as CBI and mailed to U.S. EPA/OAQPS/CORE CBI Office, Attention: WebFIRE Administrator, MD C404-02, 4930 Old Page Rd., Durham, NC 27703. The same ERT or alternate file with the CBI omitted shall be submitted to the EPA via the EPA's CDX as described earlier in this paragraph.</w:t>
      </w:r>
    </w:p>
    <w:p w:rsidR="005D0AA6" w:rsidRPr="005D0AA6" w:rsidP="005D0AA6" w14:paraId="78ED239C" w14:textId="77777777">
      <w:r w:rsidRPr="005D0AA6">
        <w:t xml:space="preserve">(2) For data collected using test methods that are not supported by the EPA's ERT as listed on the EPA's ERT Web site, the owner or operator shall submit the results of the performance test to the Administrator at the appropriate address listed in </w:t>
      </w:r>
      <w:hyperlink r:id="rId15" w:history="1">
        <w:r w:rsidRPr="005D0AA6">
          <w:rPr>
            <w:rStyle w:val="Hyperlink"/>
          </w:rPr>
          <w:t>§ 63.13</w:t>
        </w:r>
      </w:hyperlink>
      <w:r w:rsidRPr="005D0AA6">
        <w:t>.</w:t>
      </w:r>
    </w:p>
    <w:p w:rsidR="00D230A2" w:rsidRPr="00D230A2" w:rsidP="00D230A2" w14:paraId="6F4E818D" w14:textId="77777777">
      <w:pPr>
        <w:rPr>
          <w:b/>
          <w:bCs/>
        </w:rPr>
      </w:pPr>
      <w:r w:rsidRPr="00D230A2">
        <w:rPr>
          <w:b/>
          <w:bCs/>
        </w:rPr>
        <w:t>§ 63.1307 Recordkeeping requirements.</w:t>
      </w:r>
    </w:p>
    <w:p w:rsidR="00D230A2" w:rsidRPr="00D230A2" w:rsidP="00D230A2" w14:paraId="31CCFD87" w14:textId="77777777">
      <w:r w:rsidRPr="00D230A2">
        <w:t xml:space="preserve">The applicable records designated in </w:t>
      </w:r>
      <w:hyperlink r:id="rId29" w:anchor="p-63.1307(a)" w:history="1">
        <w:r w:rsidRPr="00D230A2">
          <w:rPr>
            <w:rStyle w:val="Hyperlink"/>
          </w:rPr>
          <w:t>paragraphs (a)</w:t>
        </w:r>
      </w:hyperlink>
      <w:r w:rsidRPr="00D230A2">
        <w:t xml:space="preserve"> through </w:t>
      </w:r>
      <w:hyperlink r:id="rId29" w:anchor="p-63.1307(c)" w:history="1">
        <w:r w:rsidRPr="00D230A2">
          <w:rPr>
            <w:rStyle w:val="Hyperlink"/>
          </w:rPr>
          <w:t>(c)</w:t>
        </w:r>
      </w:hyperlink>
      <w:r w:rsidRPr="00D230A2">
        <w:t xml:space="preserve"> of this section shall be maintained by owners and operators of all affected sources.</w:t>
      </w:r>
    </w:p>
    <w:p w:rsidR="00D230A2" w:rsidRPr="00D230A2" w:rsidP="00D230A2" w14:paraId="2026EEE6" w14:textId="77777777">
      <w:r w:rsidRPr="00D230A2">
        <w:t xml:space="preserve">(a) </w:t>
      </w:r>
      <w:r w:rsidRPr="00D230A2">
        <w:rPr>
          <w:b/>
          <w:bCs/>
          <w:i/>
          <w:iCs/>
        </w:rPr>
        <w:t>Storage vessel records.</w:t>
      </w:r>
      <w:r w:rsidRPr="00D230A2">
        <w:t xml:space="preserve"> </w:t>
      </w:r>
    </w:p>
    <w:p w:rsidR="00D230A2" w:rsidRPr="00D230A2" w:rsidP="00D230A2" w14:paraId="10A7B2A4" w14:textId="77777777">
      <w:r w:rsidRPr="00D230A2">
        <w:t>(1) A list of diisocyanate storage vessels, along with a record of the type of control utilized for each storage vessel.</w:t>
      </w:r>
    </w:p>
    <w:p w:rsidR="00D230A2" w:rsidRPr="00D230A2" w:rsidP="00D230A2" w14:paraId="0C7D0331" w14:textId="77777777">
      <w:r w:rsidRPr="00D230A2">
        <w:t xml:space="preserve">(2) For storage vessels complying through the use of a carbon adsorption system, paragraphs (a)(2)(i) or (ii), and </w:t>
      </w:r>
      <w:hyperlink r:id="rId29" w:anchor="p-63.1307(a)(2)(iii)" w:history="1">
        <w:r w:rsidRPr="00D230A2">
          <w:rPr>
            <w:rStyle w:val="Hyperlink"/>
          </w:rPr>
          <w:t>paragraph (a)(2)(iii)</w:t>
        </w:r>
      </w:hyperlink>
      <w:r w:rsidRPr="00D230A2">
        <w:t xml:space="preserve"> of this section.</w:t>
      </w:r>
    </w:p>
    <w:p w:rsidR="00D230A2" w:rsidRPr="00D230A2" w:rsidP="00D230A2" w14:paraId="32F01876" w14:textId="77777777">
      <w:r w:rsidRPr="00D230A2">
        <w:t xml:space="preserve">(i) Records of dates and times when the carbon adsorption system is monitored for carbon breakthrough and the monitoring device reading, when the device is monitored in accordance with </w:t>
      </w:r>
      <w:hyperlink r:id="rId30" w:anchor="p-63.1303(a)" w:history="1">
        <w:r w:rsidRPr="00D230A2">
          <w:rPr>
            <w:rStyle w:val="Hyperlink"/>
          </w:rPr>
          <w:t>§ 63.1303(a)</w:t>
        </w:r>
      </w:hyperlink>
      <w:r w:rsidRPr="00D230A2">
        <w:t>; or</w:t>
      </w:r>
    </w:p>
    <w:p w:rsidR="00D230A2" w:rsidRPr="00D230A2" w:rsidP="00D230A2" w14:paraId="3FE74068" w14:textId="77777777">
      <w:r w:rsidRPr="00D230A2">
        <w:t xml:space="preserve">(ii) For affected sources monitoring at an interval no greater than 20 percent of the carbon replacement interval, in accordance with </w:t>
      </w:r>
      <w:hyperlink r:id="rId30" w:anchor="p-63.1303(a)(2)" w:history="1">
        <w:r w:rsidRPr="00D230A2">
          <w:rPr>
            <w:rStyle w:val="Hyperlink"/>
          </w:rPr>
          <w:t>§ 63.1303(a)(2)</w:t>
        </w:r>
      </w:hyperlink>
      <w:r w:rsidRPr="00D230A2">
        <w:t xml:space="preserve">, the records listed in </w:t>
      </w:r>
      <w:hyperlink r:id="rId29" w:anchor="p-63.1307(a)(2)(ii)(A)" w:history="1">
        <w:r w:rsidRPr="00D230A2">
          <w:rPr>
            <w:rStyle w:val="Hyperlink"/>
          </w:rPr>
          <w:t>paragraphs (a)(2)(ii)(A)</w:t>
        </w:r>
      </w:hyperlink>
      <w:r w:rsidRPr="00D230A2">
        <w:t xml:space="preserve"> and </w:t>
      </w:r>
      <w:hyperlink r:id="rId29" w:anchor="p-63.1307(a)(2)(ii)(B)" w:history="1">
        <w:r w:rsidRPr="00D230A2">
          <w:rPr>
            <w:rStyle w:val="Hyperlink"/>
          </w:rPr>
          <w:t>(B)</w:t>
        </w:r>
      </w:hyperlink>
      <w:r w:rsidRPr="00D230A2">
        <w:t xml:space="preserve"> of this section.</w:t>
      </w:r>
    </w:p>
    <w:p w:rsidR="00D230A2" w:rsidRPr="00D230A2" w:rsidP="00D230A2" w14:paraId="259EB1F2" w14:textId="77777777">
      <w:r w:rsidRPr="00D230A2">
        <w:t>(iii) Date when the existing carbon in the carbon adsorption system is replaced with fresh carbon.</w:t>
      </w:r>
    </w:p>
    <w:p w:rsidR="00D230A2" w:rsidRPr="00D230A2" w:rsidP="00D230A2" w14:paraId="541D546C" w14:textId="77777777">
      <w:r w:rsidRPr="00D230A2">
        <w:t xml:space="preserve">(3) For storage vessels complying through the use of a vapor return line, </w:t>
      </w:r>
      <w:hyperlink r:id="rId29" w:anchor="p-63.1307(a)(3)(i)" w:history="1">
        <w:r w:rsidRPr="00D230A2">
          <w:rPr>
            <w:rStyle w:val="Hyperlink"/>
          </w:rPr>
          <w:t>paragraphs (a)(3)(i)</w:t>
        </w:r>
      </w:hyperlink>
      <w:r w:rsidRPr="00D230A2">
        <w:t xml:space="preserve"> through </w:t>
      </w:r>
      <w:hyperlink r:id="rId29" w:anchor="p-63.1307(a)(3)(iii)" w:history="1">
        <w:r w:rsidRPr="00D230A2">
          <w:rPr>
            <w:rStyle w:val="Hyperlink"/>
          </w:rPr>
          <w:t>(iii)</w:t>
        </w:r>
      </w:hyperlink>
      <w:r w:rsidRPr="00D230A2">
        <w:t xml:space="preserve"> of this section.</w:t>
      </w:r>
    </w:p>
    <w:p w:rsidR="00D230A2" w:rsidRPr="00D230A2" w:rsidP="00D230A2" w14:paraId="043CA654" w14:textId="77777777">
      <w:r w:rsidRPr="00D230A2">
        <w:t>(i) Dates and times when each unloading event occurs and each inspection of the vapor return line for leaks occurs.</w:t>
      </w:r>
    </w:p>
    <w:p w:rsidR="00D230A2" w:rsidRPr="00D230A2" w:rsidP="00D230A2" w14:paraId="25C597FE" w14:textId="77777777">
      <w:r w:rsidRPr="00D230A2">
        <w:t>(ii) Records of dates and times when a leak is detected in the vapor return line.</w:t>
      </w:r>
    </w:p>
    <w:p w:rsidR="00D230A2" w:rsidRPr="00D230A2" w:rsidP="00D230A2" w14:paraId="2864BCF2" w14:textId="77777777">
      <w:r w:rsidRPr="00D230A2">
        <w:t>(iii) Records of dates and times when a leak is repaired.</w:t>
      </w:r>
    </w:p>
    <w:p w:rsidR="00D230A2" w:rsidRPr="00D230A2" w:rsidP="00D230A2" w14:paraId="3BB1694E" w14:textId="77777777">
      <w:r w:rsidRPr="00D230A2">
        <w:t xml:space="preserve">(b) </w:t>
      </w:r>
      <w:r w:rsidRPr="00D230A2">
        <w:rPr>
          <w:b/>
          <w:bCs/>
          <w:i/>
          <w:iCs/>
        </w:rPr>
        <w:t>Equipment leak records.</w:t>
      </w:r>
      <w:r w:rsidRPr="00D230A2">
        <w:t xml:space="preserve"> </w:t>
      </w:r>
    </w:p>
    <w:p w:rsidR="00D230A2" w:rsidRPr="00D230A2" w:rsidP="00D230A2" w14:paraId="2021A390" w14:textId="77777777">
      <w:r w:rsidRPr="00D230A2">
        <w:t>(1) A list of components in diisocyanate service.</w:t>
      </w:r>
    </w:p>
    <w:p w:rsidR="00D230A2" w:rsidRPr="00D230A2" w:rsidP="00D230A2" w14:paraId="458C9711" w14:textId="77777777">
      <w:r w:rsidRPr="00D230A2">
        <w:t>(2) For transfer pumps in diisocyanate service, a record of the type of control utilized for each transfer pump and the date of installation.</w:t>
      </w:r>
    </w:p>
    <w:p w:rsidR="00D230A2" w:rsidRPr="00D230A2" w:rsidP="00D230A2" w14:paraId="3D8C3327" w14:textId="77777777">
      <w:r w:rsidRPr="00D230A2">
        <w:t xml:space="preserve">(3) When a leak is detected as specified in </w:t>
      </w:r>
      <w:hyperlink r:id="rId22" w:anchor="p-63.1294(b)(2)(ii)" w:history="1">
        <w:r w:rsidRPr="00D230A2">
          <w:rPr>
            <w:rStyle w:val="Hyperlink"/>
          </w:rPr>
          <w:t>§§ 63.1294(b)(2)(ii)</w:t>
        </w:r>
      </w:hyperlink>
      <w:r w:rsidRPr="00D230A2">
        <w:t xml:space="preserve"> and </w:t>
      </w:r>
      <w:hyperlink r:id="rId22" w:anchor="p-63.1294(b)(2)(c)" w:history="1">
        <w:r w:rsidRPr="00D230A2">
          <w:rPr>
            <w:rStyle w:val="Hyperlink"/>
          </w:rPr>
          <w:t>63.1294(c)</w:t>
        </w:r>
      </w:hyperlink>
      <w:r w:rsidRPr="00D230A2">
        <w:t xml:space="preserve">, the requirements listed in </w:t>
      </w:r>
      <w:hyperlink r:id="rId29" w:anchor="p-63.1307(b)(3)(i)" w:history="1">
        <w:r w:rsidRPr="00D230A2">
          <w:rPr>
            <w:rStyle w:val="Hyperlink"/>
          </w:rPr>
          <w:t>paragraphs (b)(3)(i)</w:t>
        </w:r>
      </w:hyperlink>
      <w:r w:rsidRPr="00D230A2">
        <w:t xml:space="preserve"> and </w:t>
      </w:r>
      <w:hyperlink r:id="rId29" w:anchor="p-63.1307(b)(3)(ii)" w:history="1">
        <w:r w:rsidRPr="00D230A2">
          <w:rPr>
            <w:rStyle w:val="Hyperlink"/>
          </w:rPr>
          <w:t>(ii)</w:t>
        </w:r>
      </w:hyperlink>
      <w:r w:rsidRPr="00D230A2">
        <w:t xml:space="preserve"> of this section apply:</w:t>
      </w:r>
    </w:p>
    <w:p w:rsidR="00D230A2" w:rsidRPr="00D230A2" w:rsidP="00D230A2" w14:paraId="4693400D" w14:textId="77777777">
      <w:r w:rsidRPr="00D230A2">
        <w:t xml:space="preserve">(i) Leaking equipment shall be identified in accordance with the requirements in </w:t>
      </w:r>
      <w:hyperlink r:id="rId29" w:anchor="p-63.1307(b)(3)(i)(A)" w:history="1">
        <w:r w:rsidRPr="00D230A2">
          <w:rPr>
            <w:rStyle w:val="Hyperlink"/>
          </w:rPr>
          <w:t>paragraphs (b)(3)(i)(A)</w:t>
        </w:r>
      </w:hyperlink>
      <w:r w:rsidRPr="00D230A2">
        <w:t xml:space="preserve"> and </w:t>
      </w:r>
      <w:hyperlink r:id="rId29" w:anchor="p-63.1307(b)(3)(i)(B)" w:history="1">
        <w:r w:rsidRPr="00D230A2">
          <w:rPr>
            <w:rStyle w:val="Hyperlink"/>
          </w:rPr>
          <w:t>(B)</w:t>
        </w:r>
      </w:hyperlink>
      <w:r w:rsidRPr="00D230A2">
        <w:t xml:space="preserve"> of this section.</w:t>
      </w:r>
    </w:p>
    <w:p w:rsidR="00D230A2" w:rsidRPr="00D230A2" w:rsidP="00D230A2" w14:paraId="1A0D073F" w14:textId="77777777">
      <w:r w:rsidRPr="00D230A2">
        <w:t>(A) A readily visible identification, marked with the equipment identification number, shall be attached to the leaking equipment.</w:t>
      </w:r>
    </w:p>
    <w:p w:rsidR="00D230A2" w:rsidRPr="00D230A2" w:rsidP="00D230A2" w14:paraId="00DBAB2C" w14:textId="77777777">
      <w:r w:rsidRPr="00D230A2">
        <w:t>(B) The identification on equipment may be removed after it has been repaired.</w:t>
      </w:r>
    </w:p>
    <w:p w:rsidR="00D230A2" w:rsidRPr="00D230A2" w:rsidP="00D230A2" w14:paraId="06425BB4" w14:textId="77777777">
      <w:r w:rsidRPr="00D230A2">
        <w:t>(ii) The information in paragraphs (b)(2)(ii)(A) through (G) shall be recorded for leaking components.</w:t>
      </w:r>
    </w:p>
    <w:p w:rsidR="00D230A2" w:rsidRPr="00D230A2" w:rsidP="00D230A2" w14:paraId="3AC4BC05" w14:textId="77777777">
      <w:r w:rsidRPr="00D230A2">
        <w:t>(A) The operator identification number and the equipment identification number.</w:t>
      </w:r>
    </w:p>
    <w:p w:rsidR="00D230A2" w:rsidRPr="00D230A2" w:rsidP="00D230A2" w14:paraId="286DD08F" w14:textId="77777777">
      <w:r w:rsidRPr="00D230A2">
        <w:t>(B) The date the leak was detected and the dates of each attempt to repair the leak.</w:t>
      </w:r>
    </w:p>
    <w:p w:rsidR="00D230A2" w:rsidRPr="00D230A2" w:rsidP="00D230A2" w14:paraId="17E6D625" w14:textId="77777777">
      <w:r w:rsidRPr="00D230A2">
        <w:t>(C) Repair methods applied in each attempt to repair the leak.</w:t>
      </w:r>
    </w:p>
    <w:p w:rsidR="00D230A2" w:rsidRPr="00D230A2" w:rsidP="00D230A2" w14:paraId="0DB1F4E7" w14:textId="77777777">
      <w:r w:rsidRPr="00D230A2">
        <w:t>(D) The words “repair delayed” and the reason for the delay if a leak is not repaired within 15 calendar days after discovery of the leak.</w:t>
      </w:r>
    </w:p>
    <w:p w:rsidR="00D230A2" w:rsidRPr="00D230A2" w:rsidP="00D230A2" w14:paraId="7F0D02E1" w14:textId="77777777">
      <w:r w:rsidRPr="00D230A2">
        <w:t>(E) The expected date of the successful repair of the leak if a leak is not repaired within 15 calendar days.</w:t>
      </w:r>
    </w:p>
    <w:p w:rsidR="00D230A2" w:rsidRPr="00D230A2" w:rsidP="00D230A2" w14:paraId="31345E16" w14:textId="77777777">
      <w:r w:rsidRPr="00D230A2">
        <w:t>(F) The date of successful repair of the leak.</w:t>
      </w:r>
    </w:p>
    <w:p w:rsidR="00D230A2" w:rsidRPr="00D230A2" w:rsidP="00D230A2" w14:paraId="410A3EA5" w14:textId="77777777">
      <w:r w:rsidRPr="00D230A2">
        <w:t>(G) The date the identification is removed.</w:t>
      </w:r>
    </w:p>
    <w:p w:rsidR="00D230A2" w:rsidRPr="00D230A2" w:rsidP="00D230A2" w14:paraId="411212D0" w14:textId="77777777">
      <w:r w:rsidRPr="00D230A2">
        <w:t xml:space="preserve">(c) The owner or operator of an affected source subject to </w:t>
      </w:r>
      <w:hyperlink r:id="rId18" w:history="1">
        <w:r w:rsidRPr="00D230A2">
          <w:rPr>
            <w:rStyle w:val="Hyperlink"/>
          </w:rPr>
          <w:t>§ 63.1297</w:t>
        </w:r>
      </w:hyperlink>
      <w:r w:rsidRPr="00D230A2">
        <w:t xml:space="preserve"> shall maintain a product data sheet for each ABA used which includes the HAP content, in kg of HAP/kg solids (lb HAP/lb solids).</w:t>
      </w:r>
    </w:p>
    <w:p w:rsidR="00D230A2" w:rsidRPr="00D230A2" w:rsidP="00D230A2" w14:paraId="6D688B5A" w14:textId="77777777">
      <w:r w:rsidRPr="00D230A2">
        <w:t xml:space="preserve">(d) The owner or operator of an affected source subject to </w:t>
      </w:r>
      <w:hyperlink r:id="rId31" w:history="1">
        <w:r w:rsidRPr="00D230A2">
          <w:rPr>
            <w:rStyle w:val="Hyperlink"/>
          </w:rPr>
          <w:t>§ 63.1298 of this subpart</w:t>
        </w:r>
      </w:hyperlink>
      <w:r w:rsidRPr="00D230A2">
        <w:t xml:space="preserve"> shall maintain a product data sheet for each equipment cleaner used which includes the HAP content, in kg of HAP/kg solids (lb HAP/lb solids).</w:t>
      </w:r>
    </w:p>
    <w:p w:rsidR="00D230A2" w:rsidRPr="00D230A2" w:rsidP="00D230A2" w14:paraId="5EB6FB12" w14:textId="77777777">
      <w:r w:rsidRPr="00D230A2">
        <w:t xml:space="preserve">(e) The owner or operator of an affected source following the compliance methods in </w:t>
      </w:r>
      <w:hyperlink r:id="rId24" w:anchor="p-63.1308(b)(1)" w:history="1">
        <w:r w:rsidRPr="00D230A2">
          <w:rPr>
            <w:rStyle w:val="Hyperlink"/>
          </w:rPr>
          <w:t>§ 63.1308(b)(1)</w:t>
        </w:r>
      </w:hyperlink>
      <w:r w:rsidRPr="00D230A2">
        <w:t xml:space="preserve"> shall maintain records of each use of a vapor return line during unloading, of any leaks detected during unloading, and of repairs of leaks detected during unloading.</w:t>
      </w:r>
    </w:p>
    <w:p w:rsidR="00D230A2" w:rsidRPr="00D230A2" w:rsidP="00D230A2" w14:paraId="2CCAD9A7" w14:textId="77777777">
      <w:r w:rsidRPr="00D230A2">
        <w:t xml:space="preserve">(f) The owner or operator of an affected source subject to </w:t>
      </w:r>
      <w:hyperlink r:id="rId20" w:history="1">
        <w:r w:rsidRPr="00D230A2">
          <w:rPr>
            <w:rStyle w:val="Hyperlink"/>
          </w:rPr>
          <w:t>§ 63.1300</w:t>
        </w:r>
      </w:hyperlink>
      <w:r w:rsidRPr="00D230A2">
        <w:t xml:space="preserve"> or </w:t>
      </w:r>
      <w:hyperlink r:id="rId32" w:history="1">
        <w:r w:rsidRPr="00D230A2">
          <w:rPr>
            <w:rStyle w:val="Hyperlink"/>
          </w:rPr>
          <w:t>§ 63.1301 of this subpart</w:t>
        </w:r>
      </w:hyperlink>
      <w:r w:rsidRPr="00D230A2">
        <w:t xml:space="preserve"> shall maintain a product data sheet for each compound other than diisocyanates used to flush the mixhead and associated piping during periods of startup or maintenance, which includes the HAP content, in kg of HAP/kg solids (lb HAP/lb solids), of each solvent other than diisocyanates used to flush the mixhead and associated piping during periods of startup or maintenance.</w:t>
      </w:r>
    </w:p>
    <w:p w:rsidR="00D230A2" w:rsidRPr="00D230A2" w:rsidP="00D230A2" w14:paraId="7D0C95A9" w14:textId="77777777">
      <w:r w:rsidRPr="00D230A2">
        <w:t xml:space="preserve">(g) The owner or operator of an affected source subject to </w:t>
      </w:r>
      <w:hyperlink r:id="rId20" w:history="1">
        <w:r w:rsidRPr="00D230A2">
          <w:rPr>
            <w:rStyle w:val="Hyperlink"/>
          </w:rPr>
          <w:t>§ 63.1300</w:t>
        </w:r>
      </w:hyperlink>
      <w:r w:rsidRPr="00D230A2">
        <w:t xml:space="preserve"> or </w:t>
      </w:r>
      <w:hyperlink r:id="rId32" w:history="1">
        <w:r w:rsidRPr="00D230A2">
          <w:rPr>
            <w:rStyle w:val="Hyperlink"/>
          </w:rPr>
          <w:t>§ 63.1301 of this subpart</w:t>
        </w:r>
      </w:hyperlink>
      <w:r w:rsidRPr="00D230A2">
        <w:t xml:space="preserve"> shall maintain a product data sheet for each mold release agent used that includes the HAP content, in kg of HAP/kg solids (lb HAP/lb solids), of each mold release agent.</w:t>
      </w:r>
    </w:p>
    <w:p w:rsidR="00D230A2" w:rsidRPr="00D230A2" w:rsidP="00D230A2" w14:paraId="66D664DC" w14:textId="77777777">
      <w:r w:rsidRPr="00D230A2">
        <w:t xml:space="preserve">(h) </w:t>
      </w:r>
      <w:r w:rsidRPr="00D230A2">
        <w:rPr>
          <w:b/>
          <w:bCs/>
          <w:i/>
          <w:iCs/>
        </w:rPr>
        <w:t>Malfunction records.</w:t>
      </w:r>
      <w:r w:rsidRPr="00D230A2">
        <w:t xml:space="preserve"> Records shall be kept as specified in </w:t>
      </w:r>
      <w:hyperlink r:id="rId29" w:anchor="p-63.1307(h)(1)" w:history="1">
        <w:r w:rsidRPr="00D230A2">
          <w:rPr>
            <w:rStyle w:val="Hyperlink"/>
          </w:rPr>
          <w:t>paragraphs (h)(1)</w:t>
        </w:r>
      </w:hyperlink>
      <w:r w:rsidRPr="00D230A2">
        <w:t xml:space="preserve"> through </w:t>
      </w:r>
      <w:hyperlink r:id="rId29" w:anchor="p-63.1307(h)(3)" w:history="1">
        <w:r w:rsidRPr="00D230A2">
          <w:rPr>
            <w:rStyle w:val="Hyperlink"/>
          </w:rPr>
          <w:t>(3)</w:t>
        </w:r>
      </w:hyperlink>
      <w:r w:rsidRPr="00D230A2">
        <w:t xml:space="preserve"> of this section for affected sources. Records are not required for emission points that do not require control under this subpart.</w:t>
      </w:r>
    </w:p>
    <w:p w:rsidR="00D230A2" w:rsidRPr="00D230A2" w:rsidP="00D230A2" w14:paraId="49E83E7D" w14:textId="77777777">
      <w:r w:rsidRPr="00D230A2">
        <w:t>(1) In the event that an affected unit fails to meet an applicable standard, record the number of failures. For each failure, record the date, time and duration of the failure.</w:t>
      </w:r>
    </w:p>
    <w:p w:rsidR="00D230A2" w:rsidRPr="00D230A2" w:rsidP="00D230A2" w14:paraId="6DB210D5" w14:textId="77777777">
      <w:r w:rsidRPr="00D230A2">
        <w:t>(2) For each failure to meet an applicable standard, record and retain a list of the affected sources or equipment, an estimate of the volume of each regulated pollutant emitted over any emission limit and a description of the method used to estimate the emissions.</w:t>
      </w:r>
    </w:p>
    <w:p w:rsidR="00D230A2" w:rsidRPr="00D230A2" w:rsidP="00D230A2" w14:paraId="633CA9E5" w14:textId="77777777">
      <w:r w:rsidRPr="00D230A2">
        <w:t xml:space="preserve">(3) Record actions taken to minimize emissions in accordance with </w:t>
      </w:r>
      <w:hyperlink r:id="rId33" w:anchor="p-63.1290(d)" w:history="1">
        <w:r w:rsidRPr="00D230A2">
          <w:rPr>
            <w:rStyle w:val="Hyperlink"/>
          </w:rPr>
          <w:t>§ 63.1290(d)</w:t>
        </w:r>
      </w:hyperlink>
      <w:r w:rsidRPr="00D230A2">
        <w:t xml:space="preserve"> and any corrective actions taken to return the affected unit to its normal or usual manner of operation.</w:t>
      </w:r>
    </w:p>
    <w:p w:rsidR="00E56C30" w14:paraId="2C078E6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D26922"/>
    <w:rsid w:val="0028035C"/>
    <w:rsid w:val="002D21D3"/>
    <w:rsid w:val="005D0AA6"/>
    <w:rsid w:val="00D230A2"/>
    <w:rsid w:val="00E56C30"/>
    <w:rsid w:val="00F074FE"/>
    <w:rsid w:val="00F8331F"/>
    <w:rsid w:val="53D269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D26922"/>
  <w15:chartTrackingRefBased/>
  <w15:docId w15:val="{9C2013AE-5BAD-4A7C-8604-F7FFEB996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5D0AA6"/>
    <w:rPr>
      <w:color w:val="467886" w:themeColor="hyperlink"/>
      <w:u w:val="single"/>
    </w:rPr>
  </w:style>
  <w:style w:type="character" w:styleId="UnresolvedMention">
    <w:name w:val="Unresolved Mention"/>
    <w:basedOn w:val="DefaultParagraphFont"/>
    <w:uiPriority w:val="99"/>
    <w:semiHidden/>
    <w:unhideWhenUsed/>
    <w:rsid w:val="005D0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0/section-63.5" TargetMode="External" /><Relationship Id="rId11" Type="http://schemas.openxmlformats.org/officeDocument/2006/relationships/hyperlink" Target="https://www.ecfr.gov/current/title-40/part-63/section-63.6" TargetMode="External" /><Relationship Id="rId12" Type="http://schemas.openxmlformats.org/officeDocument/2006/relationships/hyperlink" Target="https://www.ecfr.gov/current/title-40/section-63.6" TargetMode="External" /><Relationship Id="rId13" Type="http://schemas.openxmlformats.org/officeDocument/2006/relationships/hyperlink" Target="https://www.ecfr.gov/current/title-40/section-63.1" TargetMode="External" /><Relationship Id="rId14" Type="http://schemas.openxmlformats.org/officeDocument/2006/relationships/hyperlink" Target="https://www.ecfr.gov/current/title-40/part-63/subpart-D" TargetMode="External" /><Relationship Id="rId15" Type="http://schemas.openxmlformats.org/officeDocument/2006/relationships/hyperlink" Target="https://www.ecfr.gov/current/title-40/section-63.13" TargetMode="External" /><Relationship Id="rId16" Type="http://schemas.openxmlformats.org/officeDocument/2006/relationships/hyperlink" Target="https://www.ecfr.gov/current/title-40/section-63.10" TargetMode="External" /><Relationship Id="rId17" Type="http://schemas.openxmlformats.org/officeDocument/2006/relationships/hyperlink" Target="https://www.ecfr.gov/current/title-40/section-63.1306" TargetMode="External" /><Relationship Id="rId18" Type="http://schemas.openxmlformats.org/officeDocument/2006/relationships/hyperlink" Target="https://www.ecfr.gov/current/title-40/section-63.1297" TargetMode="External" /><Relationship Id="rId19" Type="http://schemas.openxmlformats.org/officeDocument/2006/relationships/hyperlink" Target="https://www.ecfr.gov/current/title-40/section-63.1298" TargetMode="External" /><Relationship Id="rId2" Type="http://schemas.openxmlformats.org/officeDocument/2006/relationships/webSettings" Target="webSettings.xml" /><Relationship Id="rId20" Type="http://schemas.openxmlformats.org/officeDocument/2006/relationships/hyperlink" Target="https://www.ecfr.gov/current/title-40/section-63.1300" TargetMode="External" /><Relationship Id="rId21" Type="http://schemas.openxmlformats.org/officeDocument/2006/relationships/hyperlink" Target="https://www.ecfr.gov/current/title-40/section-63.1301" TargetMode="External" /><Relationship Id="rId22" Type="http://schemas.openxmlformats.org/officeDocument/2006/relationships/hyperlink" Target="https://www.ecfr.gov/current/title-40/section-63.1294" TargetMode="External" /><Relationship Id="rId23" Type="http://schemas.openxmlformats.org/officeDocument/2006/relationships/hyperlink" Target="https://www.ecfr.gov/current/title-40/section-63.1293" TargetMode="External" /><Relationship Id="rId24" Type="http://schemas.openxmlformats.org/officeDocument/2006/relationships/hyperlink" Target="https://www.ecfr.gov/current/title-40/section-63.1308" TargetMode="External" /><Relationship Id="rId25" Type="http://schemas.openxmlformats.org/officeDocument/2006/relationships/hyperlink" Target="https://www.ecfr.gov/current/title-40/part-70" TargetMode="External" /><Relationship Id="rId26" Type="http://schemas.openxmlformats.org/officeDocument/2006/relationships/hyperlink" Target="https://www.ecfr.gov/current/title-40/section-63.2" TargetMode="External" /><Relationship Id="rId27" Type="http://schemas.openxmlformats.org/officeDocument/2006/relationships/hyperlink" Target="http://www.epa.gov/ttn/chief/ert/index.html" TargetMode="External" /><Relationship Id="rId28" Type="http://schemas.openxmlformats.org/officeDocument/2006/relationships/hyperlink" Target="http://cdx.epa.gov/epa_home.asp" TargetMode="External" /><Relationship Id="rId29" Type="http://schemas.openxmlformats.org/officeDocument/2006/relationships/hyperlink" Target="https://www.ecfr.gov/current/title-40/section-63.1307" TargetMode="External" /><Relationship Id="rId3" Type="http://schemas.openxmlformats.org/officeDocument/2006/relationships/fontTable" Target="fontTable.xml" /><Relationship Id="rId30" Type="http://schemas.openxmlformats.org/officeDocument/2006/relationships/hyperlink" Target="https://www.ecfr.gov/current/title-40/section-63.1303" TargetMode="External" /><Relationship Id="rId31" Type="http://schemas.openxmlformats.org/officeDocument/2006/relationships/hyperlink" Target="https://www.ecfr.gov/current/title-40/part-63/section-63.1298" TargetMode="External" /><Relationship Id="rId32" Type="http://schemas.openxmlformats.org/officeDocument/2006/relationships/hyperlink" Target="https://www.ecfr.gov/current/title-40/part-63/section-63.1301" TargetMode="External" /><Relationship Id="rId33" Type="http://schemas.openxmlformats.org/officeDocument/2006/relationships/hyperlink" Target="https://www.ecfr.gov/current/title-40/section-63.1290" TargetMode="External" /><Relationship Id="rId34" Type="http://schemas.openxmlformats.org/officeDocument/2006/relationships/theme" Target="theme/theme1.xml" /><Relationship Id="rId35"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0/section-63.9" TargetMode="External" /><Relationship Id="rId9" Type="http://schemas.openxmlformats.org/officeDocument/2006/relationships/hyperlink" Target="https://www.ecfr.gov/current/title-40/part-63/section-63.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2025-02-19T18:59:38+00:00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DE152321-5C2B-437A-BF04-5AE24CC70953}">
  <ds:schemaRefs>
    <ds:schemaRef ds:uri="http://schemas.microsoft.com/office/2006/documentManagement/types"/>
    <ds:schemaRef ds:uri="1891fcec-84c2-4840-9468-b51a784ab0d1"/>
    <ds:schemaRef ds:uri="http://schemas.microsoft.com/office/2006/metadata/properties"/>
    <ds:schemaRef ds:uri="4d6aed1e-57d3-46e3-9aba-f706adbce63b"/>
    <ds:schemaRef ds:uri="http://purl.org/dc/elements/1.1/"/>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28F0C64-25F2-4A16-B69F-1267E227C307}">
  <ds:schemaRefs>
    <ds:schemaRef ds:uri="http://schemas.microsoft.com/sharepoint/v3/contenttype/forms"/>
  </ds:schemaRefs>
</ds:datastoreItem>
</file>

<file path=customXml/itemProps3.xml><?xml version="1.0" encoding="utf-8"?>
<ds:datastoreItem xmlns:ds="http://schemas.openxmlformats.org/officeDocument/2006/customXml" ds:itemID="{4A4C3A99-1FA6-4B82-9EC1-21DBC64D7ECA}">
  <ds:schemaRefs/>
</ds:datastoreItem>
</file>

<file path=customXml/itemProps4.xml><?xml version="1.0" encoding="utf-8"?>
<ds:datastoreItem xmlns:ds="http://schemas.openxmlformats.org/officeDocument/2006/customXml" ds:itemID="{6FA37C69-0489-4D3B-AF6F-A0D180FEF42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4655</Words>
  <Characters>26535</Characters>
  <Application>Microsoft Office Word</Application>
  <DocSecurity>0</DocSecurity>
  <Lines>221</Lines>
  <Paragraphs>62</Paragraphs>
  <ScaleCrop>false</ScaleCrop>
  <Company/>
  <LinksUpToDate>false</LinksUpToDate>
  <CharactersWithSpaces>31128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Stacie Enoch</dc:creator>
  <cp:lastModifiedBy>ERG</cp:lastModifiedBy>
  <cp:revision>6</cp:revision>
  <dcterms:created xsi:type="dcterms:W3CDTF">2025-02-18T21:29:00Z</dcterms:created>
  <dcterms:modified xsi:type="dcterms:W3CDTF">2025-02-18T21:38:00Z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MediaServiceImageTags">
    <vt:lpwstr/>
  </property>
</Properties>
</file>