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A8" w:rsidP="00E274A8" w:rsidRDefault="00E274A8" w14:paraId="4A18D8A2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>§ 147.23 Quality control system.</w:t>
      </w:r>
    </w:p>
    <w:p w:rsidR="00E274A8" w:rsidP="00E274A8" w:rsidRDefault="00E274A8" w14:paraId="363BA43B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1"/>
          <w:szCs w:val="21"/>
        </w:rPr>
      </w:pPr>
      <w:r>
        <w:rPr>
          <w:rFonts w:ascii="ArialMT" w:hAnsi="ArialMT" w:cs="ArialMT"/>
          <w:color w:val="333333"/>
          <w:sz w:val="21"/>
          <w:szCs w:val="21"/>
        </w:rPr>
        <w:t>(a) Each certificated aviation maintenance technician school must—</w:t>
      </w:r>
    </w:p>
    <w:p w:rsidR="00E274A8" w:rsidP="00E274A8" w:rsidRDefault="00E274A8" w14:paraId="29183C0F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333333"/>
          <w:sz w:val="21"/>
          <w:szCs w:val="21"/>
        </w:rPr>
      </w:pPr>
      <w:r>
        <w:rPr>
          <w:rFonts w:ascii="ArialMT" w:hAnsi="ArialMT" w:cs="ArialMT"/>
          <w:color w:val="333333"/>
          <w:sz w:val="21"/>
          <w:szCs w:val="21"/>
        </w:rPr>
        <w:t>(1) Be accredited within the meaning of 20 U.S.C. 1001(a)(5); or</w:t>
      </w:r>
    </w:p>
    <w:p w:rsidR="00E274A8" w:rsidP="00E274A8" w:rsidRDefault="00E274A8" w14:paraId="166CBE49" w14:textId="6B4E8F3C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333333"/>
          <w:sz w:val="21"/>
          <w:szCs w:val="21"/>
        </w:rPr>
      </w:pPr>
      <w:r>
        <w:rPr>
          <w:rFonts w:ascii="ArialMT" w:hAnsi="ArialMT" w:cs="ArialMT"/>
          <w:color w:val="333333"/>
          <w:sz w:val="21"/>
          <w:szCs w:val="21"/>
        </w:rPr>
        <w:t>(2) Establish and maintain a quality control system that meets the requirements specified in</w:t>
      </w:r>
      <w:r>
        <w:rPr>
          <w:rFonts w:ascii="ArialMT" w:hAnsi="ArialMT" w:cs="ArialMT"/>
          <w:color w:val="333333"/>
          <w:sz w:val="21"/>
          <w:szCs w:val="21"/>
        </w:rPr>
        <w:t xml:space="preserve"> </w:t>
      </w:r>
      <w:r>
        <w:rPr>
          <w:rFonts w:ascii="ArialMT" w:hAnsi="ArialMT" w:cs="ArialMT"/>
          <w:color w:val="333333"/>
          <w:sz w:val="21"/>
          <w:szCs w:val="21"/>
        </w:rPr>
        <w:t>paragraph (b) of this section, and is approved by the Administrator.</w:t>
      </w:r>
    </w:p>
    <w:p w:rsidRPr="00E274A8" w:rsidR="00F3391A" w:rsidP="00E274A8" w:rsidRDefault="00E274A8" w14:paraId="1B1524E9" w14:textId="4C28BE2C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color w:val="333333"/>
          <w:sz w:val="21"/>
          <w:szCs w:val="21"/>
        </w:rPr>
        <w:t>(b) The quality control system specified in paragraph (a)(2) of this section must provide procedures for</w:t>
      </w:r>
      <w:r>
        <w:rPr>
          <w:rFonts w:ascii="ArialMT" w:hAnsi="ArialMT" w:cs="ArialMT"/>
          <w:color w:val="333333"/>
          <w:sz w:val="21"/>
          <w:szCs w:val="21"/>
        </w:rPr>
        <w:t xml:space="preserve"> </w:t>
      </w:r>
      <w:r>
        <w:rPr>
          <w:rFonts w:ascii="ArialMT" w:hAnsi="ArialMT" w:cs="ArialMT"/>
          <w:color w:val="333333"/>
          <w:sz w:val="21"/>
          <w:szCs w:val="21"/>
        </w:rPr>
        <w:t>recordkeeping, assessment, issuing credit, issuing of final course grades, attendance, ensuring sufficient</w:t>
      </w:r>
      <w:r>
        <w:rPr>
          <w:rFonts w:ascii="ArialMT" w:hAnsi="ArialMT" w:cs="ArialMT"/>
          <w:color w:val="333333"/>
          <w:sz w:val="21"/>
          <w:szCs w:val="21"/>
        </w:rPr>
        <w:t xml:space="preserve"> </w:t>
      </w:r>
      <w:r>
        <w:rPr>
          <w:rFonts w:ascii="ArialMT" w:hAnsi="ArialMT" w:cs="ArialMT"/>
          <w:color w:val="333333"/>
          <w:sz w:val="21"/>
          <w:szCs w:val="21"/>
        </w:rPr>
        <w:t>number of instructors, granting of graduation documentation, and corrective action for addressing</w:t>
      </w:r>
      <w:r>
        <w:rPr>
          <w:rFonts w:ascii="ArialMT" w:hAnsi="ArialMT" w:cs="ArialMT"/>
          <w:color w:val="333333"/>
          <w:sz w:val="21"/>
          <w:szCs w:val="21"/>
        </w:rPr>
        <w:t xml:space="preserve"> </w:t>
      </w:r>
      <w:r>
        <w:rPr>
          <w:rFonts w:ascii="ArialMT" w:hAnsi="ArialMT" w:cs="ArialMT"/>
          <w:color w:val="333333"/>
          <w:sz w:val="21"/>
          <w:szCs w:val="21"/>
        </w:rPr>
        <w:t>deficiencies.</w:t>
      </w:r>
      <w:bookmarkStart w:name="_GoBack" w:id="0"/>
      <w:bookmarkEnd w:id="0"/>
    </w:p>
    <w:sectPr w:rsidRPr="00E274A8" w:rsidR="00F3391A" w:rsidSect="00E72D00">
      <w:headerReference w:type="default" r:id="rId9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F5D6F" w14:textId="77777777" w:rsidR="00E72D00" w:rsidRDefault="00E72D00" w:rsidP="00E72D00">
      <w:pPr>
        <w:spacing w:after="0" w:line="240" w:lineRule="auto"/>
      </w:pPr>
      <w:r>
        <w:separator/>
      </w:r>
    </w:p>
  </w:endnote>
  <w:endnote w:type="continuationSeparator" w:id="0">
    <w:p w14:paraId="3F3E97E4" w14:textId="77777777" w:rsidR="00E72D00" w:rsidRDefault="00E72D00" w:rsidP="00E7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1492E" w14:textId="77777777" w:rsidR="00E72D00" w:rsidRDefault="00E72D00" w:rsidP="00E72D00">
      <w:pPr>
        <w:spacing w:after="0" w:line="240" w:lineRule="auto"/>
      </w:pPr>
      <w:r>
        <w:separator/>
      </w:r>
    </w:p>
  </w:footnote>
  <w:footnote w:type="continuationSeparator" w:id="0">
    <w:p w14:paraId="316D96B3" w14:textId="77777777" w:rsidR="00E72D00" w:rsidRDefault="00E72D00" w:rsidP="00E7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97E28" w14:textId="77777777" w:rsidR="00E72D00" w:rsidRDefault="00E72D00" w:rsidP="00E72D00">
    <w:pPr>
      <w:autoSpaceDE w:val="0"/>
      <w:autoSpaceDN w:val="0"/>
      <w:adjustRightInd w:val="0"/>
      <w:spacing w:after="0" w:line="240" w:lineRule="auto"/>
      <w:jc w:val="center"/>
      <w:rPr>
        <w:rFonts w:ascii="Calibri-Bold" w:hAnsi="Calibri-Bold" w:cs="Calibri-Bold"/>
        <w:b/>
        <w:bCs/>
        <w:sz w:val="28"/>
        <w:szCs w:val="28"/>
      </w:rPr>
    </w:pPr>
    <w:r>
      <w:rPr>
        <w:rFonts w:ascii="Calibri-Bold" w:hAnsi="Calibri-Bold" w:cs="Calibri-Bold"/>
        <w:b/>
        <w:bCs/>
        <w:sz w:val="28"/>
        <w:szCs w:val="28"/>
      </w:rPr>
      <w:t>Part 147 Interim Final Rule</w:t>
    </w:r>
  </w:p>
  <w:p w14:paraId="3019CC01" w14:textId="77777777" w:rsidR="00E72D00" w:rsidRDefault="00E72D00" w:rsidP="00E72D00">
    <w:pPr>
      <w:pStyle w:val="Header"/>
      <w:jc w:val="center"/>
    </w:pPr>
    <w:r>
      <w:rPr>
        <w:rFonts w:ascii="Calibri-Bold" w:hAnsi="Calibri-Bold" w:cs="Calibri-Bold"/>
        <w:b/>
        <w:bCs/>
        <w:sz w:val="28"/>
        <w:szCs w:val="28"/>
      </w:rPr>
      <w:t>Effective Date: September 21, 2022.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00"/>
    <w:rsid w:val="003F3B27"/>
    <w:rsid w:val="007A5186"/>
    <w:rsid w:val="00C91700"/>
    <w:rsid w:val="00E274A8"/>
    <w:rsid w:val="00E4569D"/>
    <w:rsid w:val="00E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311F"/>
  <w15:chartTrackingRefBased/>
  <w15:docId w15:val="{10016205-66B9-42E1-9199-2987A4F2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D00"/>
  </w:style>
  <w:style w:type="paragraph" w:styleId="Footer">
    <w:name w:val="footer"/>
    <w:basedOn w:val="Normal"/>
    <w:link w:val="FooterChar"/>
    <w:uiPriority w:val="99"/>
    <w:unhideWhenUsed/>
    <w:rsid w:val="00E7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4" ma:contentTypeDescription="Create a new document." ma:contentTypeScope="" ma:versionID="1001771c8b1e2e4b577b25691523b1a1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280a98157badc609624154835c785355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4EB61B-B60C-4705-892D-043B92138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D9A24-4A19-4051-A768-B425E11A4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020A-C781-40D7-8E6C-F1E15AA0E93C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e4df6fb9-7f5d-4876-9a99-8ab4fa680755"/>
    <ds:schemaRef ds:uri="http://purl.org/dc/elements/1.1/"/>
    <ds:schemaRef ds:uri="http://schemas.openxmlformats.org/package/2006/metadata/core-properties"/>
    <ds:schemaRef ds:uri="71f32d46-6d44-42df-9bf9-b69fba1834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Glines, Tanya (FAA)</dc:creator>
  <cp:keywords/>
  <dc:description/>
  <cp:lastModifiedBy>Glines, Tanya (FAA)</cp:lastModifiedBy>
  <cp:revision>2</cp:revision>
  <dcterms:created xsi:type="dcterms:W3CDTF">2022-05-25T20:22:00Z</dcterms:created>
  <dcterms:modified xsi:type="dcterms:W3CDTF">2022-05-25T20:22:00Z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