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78239CE7" w14:textId="77777777">
      <w:pPr>
        <w:jc w:val="center"/>
        <w:rPr>
          <w:b/>
          <w:sz w:val="24"/>
          <w:szCs w:val="24"/>
        </w:rPr>
      </w:pPr>
      <w:r w:rsidRPr="00167E53">
        <w:rPr>
          <w:b/>
          <w:sz w:val="24"/>
          <w:szCs w:val="24"/>
        </w:rPr>
        <w:t>Supporting Statement for Paperwork Reduction Act Submissions</w:t>
      </w:r>
    </w:p>
    <w:p w:rsidR="00E728FE" w:rsidRPr="00E728FE" w:rsidP="00E728FE" w14:paraId="41C0C2E3" w14:textId="77777777">
      <w:pPr>
        <w:tabs>
          <w:tab w:val="left" w:pos="720"/>
        </w:tabs>
        <w:overflowPunct/>
        <w:autoSpaceDE/>
        <w:autoSpaceDN/>
        <w:adjustRightInd/>
        <w:jc w:val="center"/>
        <w:textAlignment w:val="auto"/>
        <w:rPr>
          <w:rFonts w:eastAsia="Calibri"/>
          <w:b/>
          <w:bCs/>
          <w:sz w:val="24"/>
          <w:szCs w:val="22"/>
        </w:rPr>
      </w:pPr>
      <w:r w:rsidRPr="00E728FE">
        <w:rPr>
          <w:rFonts w:eastAsia="Calibri"/>
          <w:b/>
          <w:bCs/>
          <w:sz w:val="24"/>
          <w:szCs w:val="22"/>
        </w:rPr>
        <w:t xml:space="preserve">Legal Instructions Concerning - Applications for Full Insurance Benefits—Assignment of Multifamily and Healthcare Mortgages to the Secretary </w:t>
      </w:r>
    </w:p>
    <w:p w:rsidR="009E13B1" w:rsidRPr="00BA31EB" w:rsidP="00E728FE" w14:paraId="176A8089" w14:textId="1B015D8D">
      <w:pPr>
        <w:jc w:val="center"/>
        <w:rPr>
          <w:rFonts w:eastAsia="Calibri"/>
          <w:b/>
          <w:bCs/>
          <w:sz w:val="24"/>
          <w:szCs w:val="22"/>
        </w:rPr>
      </w:pPr>
      <w:r w:rsidRPr="00BA31EB">
        <w:rPr>
          <w:rFonts w:eastAsia="Calibri"/>
          <w:b/>
          <w:bCs/>
          <w:sz w:val="24"/>
          <w:szCs w:val="22"/>
        </w:rPr>
        <w:t>OMB # 2510-0006</w:t>
      </w:r>
    </w:p>
    <w:p w:rsidR="00E728FE" w:rsidRPr="00BA31EB" w:rsidP="00E728FE" w14:paraId="5ABE8B30" w14:textId="503F1821">
      <w:pPr>
        <w:rPr>
          <w:b/>
          <w:sz w:val="24"/>
          <w:szCs w:val="24"/>
        </w:rPr>
      </w:pPr>
    </w:p>
    <w:p w:rsidR="00E728FE" w:rsidRPr="00BA31EB" w14:paraId="33010FF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9E13B1" w:rsidRPr="00BA31EB" w14:paraId="6BD1C1B0" w14:textId="32D1BB0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BA31EB">
        <w:rPr>
          <w:b/>
          <w:sz w:val="24"/>
          <w:szCs w:val="24"/>
        </w:rPr>
        <w:t xml:space="preserve">A. </w:t>
      </w:r>
      <w:r w:rsidRPr="00BA31EB">
        <w:rPr>
          <w:b/>
          <w:sz w:val="24"/>
          <w:szCs w:val="24"/>
        </w:rPr>
        <w:tab/>
        <w:t>Justification</w:t>
      </w:r>
    </w:p>
    <w:p w:rsidR="009E13B1" w:rsidRPr="00BA31EB"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4"/>
          <w:szCs w:val="24"/>
        </w:rPr>
      </w:pPr>
    </w:p>
    <w:p w:rsidR="00DE25B9" w:rsidRPr="002D1594" w:rsidP="002D1594" w14:paraId="3D1E113E" w14:textId="52851CF0">
      <w:pPr>
        <w:keepLines/>
        <w:tabs>
          <w:tab w:val="left" w:pos="360"/>
        </w:tabs>
        <w:spacing w:after="80"/>
        <w:ind w:left="360" w:hanging="360"/>
        <w:rPr>
          <w:b/>
          <w:bCs/>
          <w:sz w:val="24"/>
          <w:szCs w:val="24"/>
        </w:rPr>
      </w:pPr>
      <w:r w:rsidRPr="00BA31EB">
        <w:rPr>
          <w:b/>
          <w:bCs/>
          <w:sz w:val="24"/>
          <w:szCs w:val="24"/>
        </w:rPr>
        <w:t>1.</w:t>
      </w:r>
      <w:r w:rsidRPr="00BA31EB">
        <w:rPr>
          <w:b/>
          <w:bCs/>
          <w:sz w:val="24"/>
          <w:szCs w:val="24"/>
        </w:rPr>
        <w:tab/>
        <w:t>Explain the circumstances that make the collection of information necessary.  Identify any legal or administrative</w:t>
      </w:r>
      <w:r w:rsidRPr="00F557C1">
        <w:rPr>
          <w:b/>
          <w:bCs/>
          <w:sz w:val="24"/>
          <w:szCs w:val="24"/>
        </w:rPr>
        <w:t xml:space="preserve"> requirements that necessitate the collection.  Attach a copy of the appropriate section of each statute and regulation mandating or authorizing the collection of information.</w:t>
      </w:r>
    </w:p>
    <w:p w:rsidR="00E728FE" w:rsidP="002D1594" w14:paraId="4FE249B4" w14:textId="77777777">
      <w:pPr>
        <w:pStyle w:val="BodyTextIndent3"/>
        <w:spacing w:after="0" w:line="240" w:lineRule="auto"/>
        <w:rPr>
          <w:sz w:val="24"/>
          <w:szCs w:val="24"/>
        </w:rPr>
      </w:pPr>
    </w:p>
    <w:p w:rsidR="00DE25B9" w:rsidRPr="00F557C1" w:rsidP="002D1594" w14:paraId="2BBC6FEC" w14:textId="29B640D7">
      <w:pPr>
        <w:pStyle w:val="BodyTextIndent3"/>
        <w:spacing w:after="0" w:line="240" w:lineRule="auto"/>
        <w:rPr>
          <w:sz w:val="24"/>
          <w:szCs w:val="24"/>
        </w:rPr>
      </w:pPr>
      <w:r w:rsidRPr="00F557C1">
        <w:rPr>
          <w:sz w:val="24"/>
          <w:szCs w:val="24"/>
        </w:rPr>
        <w:t xml:space="preserve">Under Section 207(g) of the National Housing Act (12 U.S.C. § 1713(g)), when an FHA insured multifamily or healthcare mortgage goes into default, the mortgagee may become entitled to receive mortgage insurance benefits from FHA by assigning the mortgage to HUD.  Section 207(g) states that in connection with the assignment of the mortgage to HUD, the </w:t>
      </w:r>
      <w:r w:rsidRPr="00F557C1">
        <w:rPr>
          <w:sz w:val="24"/>
          <w:szCs w:val="24"/>
        </w:rPr>
        <w:t>mortgagee</w:t>
      </w:r>
      <w:r w:rsidRPr="00F557C1">
        <w:rPr>
          <w:sz w:val="24"/>
          <w:szCs w:val="24"/>
        </w:rPr>
        <w:t xml:space="preserve"> shall assign, transfer and deliver to the Secretary:</w:t>
      </w:r>
    </w:p>
    <w:p w:rsidR="00FE1607" w:rsidP="00FE1607" w14:paraId="17361643" w14:textId="77777777">
      <w:pPr>
        <w:keepLines/>
        <w:tabs>
          <w:tab w:val="num" w:pos="720"/>
        </w:tabs>
        <w:ind w:left="1440"/>
        <w:rPr>
          <w:sz w:val="24"/>
          <w:szCs w:val="24"/>
        </w:rPr>
      </w:pPr>
    </w:p>
    <w:p w:rsidR="00DE25B9" w:rsidRPr="00FE1607" w:rsidP="00FE1607" w14:paraId="66F99AA1" w14:textId="0A7720E8">
      <w:pPr>
        <w:pStyle w:val="ListParagraph"/>
        <w:keepLines/>
        <w:numPr>
          <w:ilvl w:val="0"/>
          <w:numId w:val="18"/>
        </w:numPr>
        <w:tabs>
          <w:tab w:val="num" w:pos="720"/>
        </w:tabs>
        <w:rPr>
          <w:sz w:val="24"/>
          <w:szCs w:val="24"/>
        </w:rPr>
      </w:pPr>
      <w:r w:rsidRPr="00FE1607">
        <w:rPr>
          <w:sz w:val="24"/>
          <w:szCs w:val="24"/>
        </w:rPr>
        <w:t xml:space="preserve">All rights and interests arising under the mortgage so in </w:t>
      </w:r>
      <w:r w:rsidRPr="00FE1607">
        <w:rPr>
          <w:sz w:val="24"/>
          <w:szCs w:val="24"/>
        </w:rPr>
        <w:t>default;</w:t>
      </w:r>
    </w:p>
    <w:p w:rsidR="00DE25B9" w:rsidRPr="00FE1607" w:rsidP="00FE1607" w14:paraId="10ADF420" w14:textId="77777777">
      <w:pPr>
        <w:pStyle w:val="ListParagraph"/>
        <w:keepLines/>
        <w:numPr>
          <w:ilvl w:val="0"/>
          <w:numId w:val="18"/>
        </w:numPr>
        <w:tabs>
          <w:tab w:val="left" w:pos="360"/>
          <w:tab w:val="num" w:pos="2160"/>
        </w:tabs>
        <w:rPr>
          <w:sz w:val="24"/>
          <w:szCs w:val="24"/>
        </w:rPr>
      </w:pPr>
      <w:r w:rsidRPr="00FE1607">
        <w:rPr>
          <w:sz w:val="24"/>
          <w:szCs w:val="24"/>
        </w:rPr>
        <w:t xml:space="preserve">All claims of the </w:t>
      </w:r>
      <w:r w:rsidRPr="00FE1607">
        <w:rPr>
          <w:sz w:val="24"/>
          <w:szCs w:val="24"/>
        </w:rPr>
        <w:t>mortgagee</w:t>
      </w:r>
      <w:r w:rsidRPr="00FE1607">
        <w:rPr>
          <w:sz w:val="24"/>
          <w:szCs w:val="24"/>
        </w:rPr>
        <w:t xml:space="preserve"> against the mortgagor or others, arising out of the mortgage </w:t>
      </w:r>
      <w:r w:rsidRPr="00FE1607">
        <w:rPr>
          <w:sz w:val="24"/>
          <w:szCs w:val="24"/>
        </w:rPr>
        <w:t>transactions;</w:t>
      </w:r>
    </w:p>
    <w:p w:rsidR="00DE25B9" w:rsidRPr="00FE1607" w:rsidP="00FE1607" w14:paraId="7C7B16BC" w14:textId="77777777">
      <w:pPr>
        <w:pStyle w:val="ListParagraph"/>
        <w:keepLines/>
        <w:numPr>
          <w:ilvl w:val="0"/>
          <w:numId w:val="18"/>
        </w:numPr>
        <w:tabs>
          <w:tab w:val="left" w:pos="360"/>
          <w:tab w:val="num" w:pos="2160"/>
        </w:tabs>
        <w:rPr>
          <w:sz w:val="24"/>
          <w:szCs w:val="24"/>
        </w:rPr>
      </w:pPr>
      <w:r w:rsidRPr="00FE1607">
        <w:rPr>
          <w:sz w:val="24"/>
          <w:szCs w:val="24"/>
        </w:rPr>
        <w:t xml:space="preserve">All policies of title or other insurance or surety bonds or other guaranties and </w:t>
      </w:r>
      <w:r w:rsidRPr="00FE1607">
        <w:rPr>
          <w:sz w:val="24"/>
          <w:szCs w:val="24"/>
        </w:rPr>
        <w:t>any and all</w:t>
      </w:r>
      <w:r w:rsidRPr="00FE1607">
        <w:rPr>
          <w:sz w:val="24"/>
          <w:szCs w:val="24"/>
        </w:rPr>
        <w:t xml:space="preserve"> claims thereunder; and</w:t>
      </w:r>
    </w:p>
    <w:p w:rsidR="00DE25B9" w:rsidRPr="00FE1607" w:rsidP="00FE1607" w14:paraId="19242375" w14:textId="77777777">
      <w:pPr>
        <w:pStyle w:val="ListParagraph"/>
        <w:keepLines/>
        <w:numPr>
          <w:ilvl w:val="0"/>
          <w:numId w:val="18"/>
        </w:numPr>
        <w:tabs>
          <w:tab w:val="left" w:pos="360"/>
          <w:tab w:val="num" w:pos="2160"/>
        </w:tabs>
        <w:rPr>
          <w:sz w:val="24"/>
          <w:szCs w:val="24"/>
        </w:rPr>
      </w:pPr>
      <w:r w:rsidRPr="00FE1607">
        <w:rPr>
          <w:sz w:val="24"/>
          <w:szCs w:val="24"/>
        </w:rPr>
        <w:t xml:space="preserve">All records, documents, books, papers, and accounts relating to </w:t>
      </w:r>
      <w:r w:rsidRPr="00FE1607">
        <w:rPr>
          <w:sz w:val="24"/>
          <w:szCs w:val="24"/>
        </w:rPr>
        <w:t>the mortgage transaction</w:t>
      </w:r>
      <w:r w:rsidRPr="00FE1607">
        <w:rPr>
          <w:sz w:val="24"/>
          <w:szCs w:val="24"/>
        </w:rPr>
        <w:t>.</w:t>
      </w:r>
    </w:p>
    <w:p w:rsidR="00DE25B9" w:rsidRPr="00F557C1" w:rsidP="002D1594" w14:paraId="1A710E68" w14:textId="77777777">
      <w:pPr>
        <w:pStyle w:val="BodyText"/>
        <w:spacing w:after="0" w:line="240" w:lineRule="auto"/>
        <w:ind w:left="504" w:hanging="360"/>
        <w:rPr>
          <w:szCs w:val="24"/>
        </w:rPr>
      </w:pPr>
      <w:r w:rsidRPr="00F557C1">
        <w:rPr>
          <w:szCs w:val="24"/>
        </w:rPr>
        <w:tab/>
        <w:t xml:space="preserve">    </w:t>
      </w:r>
    </w:p>
    <w:p w:rsidR="00DE25B9" w:rsidRPr="00F557C1" w:rsidP="002D1594" w14:paraId="7E426985" w14:textId="77777777">
      <w:pPr>
        <w:pStyle w:val="BodyText"/>
        <w:spacing w:after="0" w:line="240" w:lineRule="auto"/>
        <w:ind w:left="360"/>
        <w:rPr>
          <w:szCs w:val="24"/>
        </w:rPr>
      </w:pPr>
      <w:r w:rsidRPr="00F557C1">
        <w:rPr>
          <w:szCs w:val="24"/>
        </w:rPr>
        <w:t xml:space="preserve">HUD’s regulations implementing these requirements are found </w:t>
      </w:r>
      <w:r w:rsidRPr="00F557C1">
        <w:rPr>
          <w:szCs w:val="24"/>
        </w:rPr>
        <w:t>in</w:t>
      </w:r>
      <w:r w:rsidRPr="00F557C1">
        <w:rPr>
          <w:szCs w:val="24"/>
        </w:rPr>
        <w:t xml:space="preserve"> 24 C.F.R. § 207.258.  (Copies of relevant statutes and regulations are attached.)  HUD’s Office of General Counsel (OGC), Office of Insured Housing, Multifamily Mortgage Division, is responsible for reviewing and approving the mortgage-related documents submitted by the </w:t>
      </w:r>
      <w:r w:rsidRPr="00F557C1">
        <w:rPr>
          <w:szCs w:val="24"/>
        </w:rPr>
        <w:t>mortgagee</w:t>
      </w:r>
      <w:r w:rsidRPr="00F557C1">
        <w:rPr>
          <w:szCs w:val="24"/>
        </w:rPr>
        <w:t xml:space="preserve"> in connection with these requirements. When HUD receives the mortgagee’s election to assign the mortgage and approves it, an email confirmation is sent to the mortgagee from HUD’s Multifamily Delinquency and Default Report System (MDDR). That email  contains a link to  the Legal Instructions </w:t>
      </w:r>
      <w:r w:rsidRPr="00F557C1">
        <w:rPr>
          <w:szCs w:val="24"/>
        </w:rPr>
        <w:t xml:space="preserve">Concerning Applications for Full Insurance Benefits </w:t>
      </w:r>
      <w:r w:rsidRPr="00F557C1">
        <w:rPr>
          <w:b/>
          <w:bCs/>
          <w:szCs w:val="24"/>
        </w:rPr>
        <w:t xml:space="preserve">(the “Legal Instructions”) </w:t>
      </w:r>
      <w:r w:rsidRPr="00F557C1">
        <w:rPr>
          <w:szCs w:val="24"/>
        </w:rPr>
        <w:t>(</w:t>
      </w:r>
      <w:hyperlink r:id="rId8" w:history="1">
        <w:r w:rsidRPr="00F557C1">
          <w:rPr>
            <w:rStyle w:val="Hyperlink"/>
            <w:szCs w:val="24"/>
          </w:rPr>
          <w:t>https://www.hud.gov/stat/ogc-legal-instructions-full-insurance-benefits</w:t>
        </w:r>
      </w:hyperlink>
      <w:r w:rsidRPr="00F557C1">
        <w:rPr>
          <w:szCs w:val="24"/>
        </w:rPr>
        <w:t>), which inform the mortgagee of the requirements, timelines and procedures for submission of the required documents.</w:t>
      </w:r>
    </w:p>
    <w:p w:rsidR="00DE25B9" w:rsidRPr="00F557C1" w:rsidP="002D1594" w14:paraId="54D706EE" w14:textId="77777777">
      <w:pPr>
        <w:pStyle w:val="BodyText"/>
        <w:spacing w:after="0" w:line="240" w:lineRule="auto"/>
        <w:ind w:left="504" w:hanging="360"/>
        <w:rPr>
          <w:szCs w:val="24"/>
        </w:rPr>
      </w:pPr>
    </w:p>
    <w:p w:rsidR="00DE25B9" w:rsidRPr="00F557C1" w:rsidP="002D1594" w14:paraId="5831BCCA" w14:textId="77777777">
      <w:pPr>
        <w:pStyle w:val="BodyText"/>
        <w:spacing w:after="0" w:line="240" w:lineRule="auto"/>
        <w:ind w:left="360"/>
        <w:rPr>
          <w:szCs w:val="24"/>
        </w:rPr>
      </w:pPr>
      <w:r w:rsidRPr="00F557C1">
        <w:rPr>
          <w:szCs w:val="24"/>
        </w:rPr>
        <w:t xml:space="preserve">Most of the documents which </w:t>
      </w:r>
      <w:r w:rsidRPr="00F557C1">
        <w:rPr>
          <w:szCs w:val="24"/>
        </w:rPr>
        <w:t>mortgagees</w:t>
      </w:r>
      <w:r w:rsidRPr="00F557C1">
        <w:rPr>
          <w:szCs w:val="24"/>
        </w:rPr>
        <w:t xml:space="preserve"> are required to produce pursuant to the proposed form- e.g., the mortgage and the security agreement, are documents which the mortgagee should have in its files even in the absence of these requirements.</w:t>
      </w:r>
    </w:p>
    <w:p w:rsidR="009E13B1" w:rsidP="00DE25B9" w14:paraId="301F0D45" w14:textId="77777777">
      <w:pPr>
        <w:tabs>
          <w:tab w:val="left" w:pos="360"/>
        </w:tabs>
        <w:rPr>
          <w:sz w:val="24"/>
          <w:szCs w:val="24"/>
        </w:rPr>
      </w:pPr>
    </w:p>
    <w:p w:rsidR="00F557C1" w:rsidP="002D1594" w14:paraId="4E7B8FC0" w14:textId="77777777">
      <w:pPr>
        <w:tabs>
          <w:tab w:val="left" w:pos="360"/>
        </w:tabs>
        <w:rPr>
          <w:b/>
          <w:bCs/>
          <w:sz w:val="24"/>
          <w:szCs w:val="24"/>
        </w:rPr>
      </w:pPr>
    </w:p>
    <w:p w:rsidR="00E728FE" w:rsidP="002D1594" w14:paraId="20530DE9" w14:textId="77777777">
      <w:pPr>
        <w:tabs>
          <w:tab w:val="left" w:pos="360"/>
        </w:tabs>
        <w:rPr>
          <w:b/>
          <w:bCs/>
          <w:sz w:val="24"/>
          <w:szCs w:val="24"/>
        </w:rPr>
      </w:pPr>
    </w:p>
    <w:p w:rsidR="00E728FE" w:rsidP="002D1594" w14:paraId="753508AD" w14:textId="77777777">
      <w:pPr>
        <w:tabs>
          <w:tab w:val="left" w:pos="360"/>
        </w:tabs>
        <w:rPr>
          <w:b/>
          <w:bCs/>
          <w:sz w:val="24"/>
          <w:szCs w:val="24"/>
        </w:rPr>
      </w:pPr>
    </w:p>
    <w:p w:rsidR="00E728FE" w:rsidP="002D1594" w14:paraId="635117E3" w14:textId="77777777">
      <w:pPr>
        <w:tabs>
          <w:tab w:val="left" w:pos="360"/>
        </w:tabs>
        <w:rPr>
          <w:b/>
          <w:bCs/>
          <w:sz w:val="24"/>
          <w:szCs w:val="24"/>
        </w:rPr>
      </w:pPr>
    </w:p>
    <w:p w:rsidR="00F557C1" w:rsidRPr="00F557C1" w:rsidP="002D1594" w14:paraId="2F7B1C24" w14:textId="661E5651">
      <w:pPr>
        <w:keepLines/>
        <w:tabs>
          <w:tab w:val="left" w:pos="360"/>
        </w:tabs>
        <w:spacing w:after="80"/>
        <w:ind w:left="360" w:hanging="360"/>
        <w:rPr>
          <w:b/>
          <w:bCs/>
          <w:sz w:val="24"/>
          <w:szCs w:val="24"/>
        </w:rPr>
      </w:pPr>
      <w:r w:rsidRPr="00F557C1">
        <w:rPr>
          <w:b/>
          <w:bCs/>
          <w:sz w:val="24"/>
          <w:szCs w:val="24"/>
        </w:rPr>
        <w:t>2.</w:t>
      </w:r>
      <w:r w:rsidRPr="00F557C1">
        <w:rPr>
          <w:b/>
          <w:bCs/>
          <w:sz w:val="24"/>
          <w:szCs w:val="24"/>
        </w:rPr>
        <w:tab/>
        <w:t>Indicate how, by whom and for what purpose the information is to be used.  Except for a new collection, indicate the actual use the agency has made of the information received from the current collection.</w:t>
      </w:r>
    </w:p>
    <w:p w:rsidR="00E728FE" w:rsidP="00E728FE" w14:paraId="41DF5E6B" w14:textId="77777777">
      <w:pPr>
        <w:pStyle w:val="NoSpacing"/>
      </w:pPr>
    </w:p>
    <w:p w:rsidR="00471336" w:rsidP="002D1594" w14:paraId="137E7118" w14:textId="04BC2B8C">
      <w:pPr>
        <w:keepLines/>
        <w:tabs>
          <w:tab w:val="left" w:pos="360"/>
        </w:tabs>
        <w:ind w:left="360"/>
        <w:rPr>
          <w:sz w:val="24"/>
          <w:szCs w:val="24"/>
        </w:rPr>
      </w:pPr>
      <w:r w:rsidRPr="00F557C1">
        <w:rPr>
          <w:sz w:val="24"/>
          <w:szCs w:val="24"/>
        </w:rPr>
        <w:t xml:space="preserve">The </w:t>
      </w:r>
      <w:r w:rsidRPr="00F557C1">
        <w:rPr>
          <w:sz w:val="24"/>
          <w:szCs w:val="24"/>
        </w:rPr>
        <w:t>mortgagee</w:t>
      </w:r>
      <w:r w:rsidRPr="00F557C1">
        <w:rPr>
          <w:sz w:val="24"/>
          <w:szCs w:val="24"/>
        </w:rPr>
        <w:t xml:space="preserve"> must provide HUD with accurate, complete, and valid documentation on the mortgage being assigned to the Secretary so that HUD may effectively service and, if necessary, sell or foreclose the </w:t>
      </w:r>
      <w:r w:rsidRPr="00F557C1">
        <w:rPr>
          <w:sz w:val="24"/>
          <w:szCs w:val="24"/>
        </w:rPr>
        <w:t>lien</w:t>
      </w:r>
      <w:r w:rsidRPr="00F557C1">
        <w:rPr>
          <w:sz w:val="24"/>
          <w:szCs w:val="24"/>
        </w:rPr>
        <w:t xml:space="preserve"> of the mortgage.  If the documentation does not meet HUD’s requirements, the enforceability and priority of the </w:t>
      </w:r>
      <w:r w:rsidRPr="00F557C1">
        <w:rPr>
          <w:sz w:val="24"/>
          <w:szCs w:val="24"/>
        </w:rPr>
        <w:t>lien</w:t>
      </w:r>
      <w:r w:rsidRPr="00F557C1">
        <w:rPr>
          <w:sz w:val="24"/>
          <w:szCs w:val="24"/>
        </w:rPr>
        <w:t xml:space="preserve"> on the real and personal property may be compromised.  </w:t>
      </w:r>
    </w:p>
    <w:p w:rsidR="00471336" w:rsidP="00471336" w14:paraId="56416C8C" w14:textId="77777777">
      <w:pPr>
        <w:keepLines/>
        <w:tabs>
          <w:tab w:val="left" w:pos="360"/>
        </w:tabs>
      </w:pPr>
    </w:p>
    <w:p w:rsidR="002D1594" w:rsidRPr="002D1594" w:rsidP="002D1594" w14:paraId="5A3BB7D2" w14:textId="51026DB3">
      <w:pPr>
        <w:keepLines/>
        <w:tabs>
          <w:tab w:val="left" w:pos="360"/>
        </w:tabs>
        <w:spacing w:after="80"/>
        <w:ind w:left="360" w:hanging="360"/>
        <w:rPr>
          <w:b/>
          <w:bCs/>
          <w:sz w:val="24"/>
          <w:szCs w:val="24"/>
        </w:rPr>
      </w:pPr>
      <w:r w:rsidRPr="00F557C1">
        <w:rPr>
          <w:b/>
          <w:bCs/>
          <w:sz w:val="24"/>
          <w:szCs w:val="24"/>
        </w:rPr>
        <w:t>3.</w:t>
      </w:r>
      <w:r w:rsidRPr="00F557C1">
        <w:rPr>
          <w:b/>
          <w:bCs/>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F557C1">
        <w:rPr>
          <w:b/>
          <w:bCs/>
          <w:sz w:val="24"/>
          <w:szCs w:val="24"/>
        </w:rPr>
        <w:t>for adopting</w:t>
      </w:r>
      <w:r w:rsidRPr="00F557C1">
        <w:rPr>
          <w:b/>
          <w:bCs/>
          <w:sz w:val="24"/>
          <w:szCs w:val="24"/>
        </w:rPr>
        <w:t xml:space="preserve"> this means of collection.  Also describe any consideration of using information technology to reduce burden.</w:t>
      </w:r>
    </w:p>
    <w:p w:rsidR="00E728FE" w:rsidP="00E728FE" w14:paraId="02211279" w14:textId="77777777">
      <w:pPr>
        <w:pStyle w:val="NoSpacing"/>
      </w:pPr>
    </w:p>
    <w:p w:rsidR="00F557C1" w:rsidRPr="00F557C1" w:rsidP="002D1594" w14:paraId="5D684406" w14:textId="3136106E">
      <w:pPr>
        <w:ind w:left="360"/>
        <w:rPr>
          <w:sz w:val="24"/>
          <w:szCs w:val="24"/>
        </w:rPr>
      </w:pPr>
      <w:r w:rsidRPr="00F557C1">
        <w:rPr>
          <w:sz w:val="24"/>
          <w:szCs w:val="24"/>
        </w:rPr>
        <w:t xml:space="preserve">Electronic submission is currently permitted, and there is proposed language in the Legal Instructions that would require the </w:t>
      </w:r>
      <w:r w:rsidRPr="00F557C1">
        <w:rPr>
          <w:sz w:val="24"/>
          <w:szCs w:val="24"/>
        </w:rPr>
        <w:t>mortgagee</w:t>
      </w:r>
      <w:r w:rsidRPr="00F557C1">
        <w:rPr>
          <w:sz w:val="24"/>
          <w:szCs w:val="24"/>
        </w:rPr>
        <w:t xml:space="preserve"> to transmit its legal documents for the initial review by HUD OGC. This proposal reflects the current practices and preferences of respondents and is an effort to reduce the burden. In addition, the information is gathered from existing mortgage documents the </w:t>
      </w:r>
      <w:r w:rsidRPr="00F557C1">
        <w:rPr>
          <w:sz w:val="24"/>
          <w:szCs w:val="24"/>
        </w:rPr>
        <w:t>mortgagee</w:t>
      </w:r>
      <w:r w:rsidRPr="00F557C1">
        <w:rPr>
          <w:sz w:val="24"/>
          <w:szCs w:val="24"/>
        </w:rPr>
        <w:t xml:space="preserve"> has in its possession from the initial mortgage application closing process. After OGC has completed its legal review, mortgagees are instructed to mail the original hard copies to HUD, because HUD must have the original loan documents to service the loan. </w:t>
      </w:r>
    </w:p>
    <w:p w:rsidR="003A3280" w:rsidP="00F557C1" w14:paraId="7D359308" w14:textId="77777777">
      <w:pPr>
        <w:tabs>
          <w:tab w:val="left" w:pos="360"/>
        </w:tabs>
        <w:rPr>
          <w:sz w:val="24"/>
          <w:szCs w:val="24"/>
        </w:rPr>
      </w:pPr>
    </w:p>
    <w:p w:rsidR="002D1594" w:rsidRPr="002D1594" w:rsidP="002D1594" w14:paraId="7B500D14" w14:textId="25667FC2">
      <w:pPr>
        <w:keepLines/>
        <w:tabs>
          <w:tab w:val="left" w:pos="360"/>
        </w:tabs>
        <w:spacing w:after="80"/>
        <w:ind w:left="360" w:hanging="360"/>
        <w:rPr>
          <w:b/>
          <w:bCs/>
          <w:sz w:val="24"/>
          <w:szCs w:val="24"/>
        </w:rPr>
      </w:pPr>
      <w:r w:rsidRPr="002D1594">
        <w:rPr>
          <w:b/>
          <w:bCs/>
          <w:sz w:val="24"/>
          <w:szCs w:val="24"/>
        </w:rPr>
        <w:t>4.</w:t>
      </w:r>
      <w:r w:rsidRPr="002D1594">
        <w:rPr>
          <w:b/>
          <w:bCs/>
          <w:sz w:val="24"/>
          <w:szCs w:val="24"/>
        </w:rPr>
        <w:tab/>
        <w:t>Describe efforts to identify duplication.  Show specifically why any similar information already available cannot be used or modified for use for the purposes described in Item 2 above.</w:t>
      </w:r>
    </w:p>
    <w:p w:rsidR="00E728FE" w:rsidP="00E728FE" w14:paraId="783AE751" w14:textId="77777777">
      <w:pPr>
        <w:pStyle w:val="NoSpacing"/>
      </w:pPr>
    </w:p>
    <w:p w:rsidR="002D1594" w:rsidRPr="002D1594" w:rsidP="002D1594" w14:paraId="54C5F94B" w14:textId="4ACEBD24">
      <w:pPr>
        <w:ind w:left="360"/>
        <w:rPr>
          <w:sz w:val="24"/>
          <w:szCs w:val="24"/>
        </w:rPr>
      </w:pPr>
      <w:r w:rsidRPr="002D1594">
        <w:rPr>
          <w:sz w:val="24"/>
          <w:szCs w:val="24"/>
        </w:rPr>
        <w:t xml:space="preserve">Each submission relates to a single project and individual, unique documents that are not being requested elsewhere by the Department. The information is gathered from the actual mortgage documents that the </w:t>
      </w:r>
      <w:r w:rsidRPr="002D1594">
        <w:rPr>
          <w:sz w:val="24"/>
          <w:szCs w:val="24"/>
        </w:rPr>
        <w:t>mortgagee</w:t>
      </w:r>
      <w:r w:rsidRPr="002D1594">
        <w:rPr>
          <w:sz w:val="24"/>
          <w:szCs w:val="24"/>
        </w:rPr>
        <w:t xml:space="preserve"> already has in its possession </w:t>
      </w:r>
      <w:r w:rsidRPr="002D1594">
        <w:rPr>
          <w:sz w:val="24"/>
          <w:szCs w:val="24"/>
        </w:rPr>
        <w:t>as a result of</w:t>
      </w:r>
      <w:r w:rsidRPr="002D1594">
        <w:rPr>
          <w:sz w:val="24"/>
          <w:szCs w:val="24"/>
        </w:rPr>
        <w:t xml:space="preserve"> applying for the insurance and providing the </w:t>
      </w:r>
      <w:r w:rsidRPr="002D1594">
        <w:rPr>
          <w:sz w:val="24"/>
          <w:szCs w:val="24"/>
        </w:rPr>
        <w:t>loan, and</w:t>
      </w:r>
      <w:r w:rsidRPr="002D1594">
        <w:rPr>
          <w:sz w:val="24"/>
          <w:szCs w:val="24"/>
        </w:rPr>
        <w:t xml:space="preserve"> closing or settlement of mortgages remains a hard copy documentation process.  </w:t>
      </w:r>
    </w:p>
    <w:p w:rsidR="00EE02BF" w:rsidRPr="002D1594" w14:paraId="31127A6B" w14:textId="77777777">
      <w:pPr>
        <w:keepLines/>
        <w:tabs>
          <w:tab w:val="left" w:pos="360"/>
          <w:tab w:val="left" w:pos="720"/>
        </w:tabs>
        <w:ind w:left="360"/>
        <w:rPr>
          <w:b/>
          <w:bCs/>
          <w:sz w:val="24"/>
          <w:szCs w:val="24"/>
        </w:rPr>
      </w:pPr>
    </w:p>
    <w:p w:rsidR="009E13B1" w:rsidRPr="002D1594" w14:paraId="689A9EFC" w14:textId="77777777">
      <w:pPr>
        <w:keepLines/>
        <w:tabs>
          <w:tab w:val="left" w:pos="360"/>
        </w:tabs>
        <w:spacing w:after="80"/>
        <w:ind w:left="360" w:hanging="360"/>
        <w:rPr>
          <w:b/>
          <w:bCs/>
          <w:sz w:val="24"/>
          <w:szCs w:val="24"/>
        </w:rPr>
      </w:pPr>
      <w:r w:rsidRPr="002D1594">
        <w:rPr>
          <w:b/>
          <w:bCs/>
          <w:sz w:val="24"/>
          <w:szCs w:val="24"/>
        </w:rPr>
        <w:t>5.</w:t>
      </w:r>
      <w:r w:rsidRPr="002D1594">
        <w:rPr>
          <w:b/>
          <w:bCs/>
          <w:sz w:val="24"/>
          <w:szCs w:val="24"/>
        </w:rPr>
        <w:tab/>
        <w:t>If the collection of information impacts small businesses or other small entities describe any methods used to minimize burden.</w:t>
      </w:r>
    </w:p>
    <w:p w:rsidR="00E728FE" w:rsidP="00E728FE" w14:paraId="7E55C6B7" w14:textId="77777777">
      <w:pPr>
        <w:pStyle w:val="NoSpacing"/>
      </w:pPr>
    </w:p>
    <w:p w:rsidR="002932A2" w:rsidRPr="006C7FAE" w:rsidP="7DEBA1B0" w14:paraId="3F7CF82D" w14:textId="1E214B63">
      <w:pPr>
        <w:keepLines/>
        <w:tabs>
          <w:tab w:val="left" w:pos="360"/>
        </w:tabs>
        <w:spacing w:after="80"/>
        <w:ind w:left="360"/>
        <w:rPr>
          <w:sz w:val="24"/>
          <w:szCs w:val="24"/>
        </w:rPr>
      </w:pPr>
      <w:r w:rsidRPr="00BF5588">
        <w:rPr>
          <w:sz w:val="24"/>
          <w:szCs w:val="24"/>
        </w:rPr>
        <w:t xml:space="preserve">The collection of this information will not </w:t>
      </w:r>
      <w:r w:rsidRPr="00BF5588">
        <w:rPr>
          <w:sz w:val="24"/>
          <w:szCs w:val="24"/>
        </w:rPr>
        <w:t>impact</w:t>
      </w:r>
      <w:r w:rsidRPr="00BF5588">
        <w:rPr>
          <w:sz w:val="24"/>
          <w:szCs w:val="24"/>
        </w:rPr>
        <w:t xml:space="preserve"> small businesses or other small entities.</w:t>
      </w:r>
    </w:p>
    <w:p w:rsidR="00D2127C" w:rsidRPr="006C7FAE" w:rsidP="00E728FE" w14:paraId="5EAD5E82" w14:textId="44D7994F">
      <w:pPr>
        <w:pStyle w:val="NoSpacing"/>
      </w:pPr>
      <w:r>
        <w:tab/>
      </w:r>
      <w:r>
        <w:tab/>
      </w:r>
      <w:r>
        <w:tab/>
      </w:r>
    </w:p>
    <w:p w:rsidR="009E13B1" w:rsidRPr="00683C48" w14:paraId="2C0F0529" w14:textId="36B48857">
      <w:pPr>
        <w:keepLines/>
        <w:tabs>
          <w:tab w:val="left" w:pos="360"/>
        </w:tabs>
        <w:spacing w:after="80"/>
        <w:ind w:left="360" w:hanging="360"/>
        <w:rPr>
          <w:b/>
          <w:bCs/>
          <w:sz w:val="24"/>
          <w:szCs w:val="24"/>
        </w:rPr>
      </w:pPr>
      <w:r w:rsidRPr="006C7FAE">
        <w:rPr>
          <w:sz w:val="24"/>
          <w:szCs w:val="24"/>
        </w:rPr>
        <w:t>6.</w:t>
      </w:r>
      <w:r w:rsidRPr="00683C48">
        <w:rPr>
          <w:b/>
          <w:bCs/>
          <w:sz w:val="24"/>
          <w:szCs w:val="24"/>
        </w:rPr>
        <w:tab/>
        <w:t xml:space="preserve">Describe the </w:t>
      </w:r>
      <w:r w:rsidRPr="00683C48" w:rsidR="006A158B">
        <w:rPr>
          <w:b/>
          <w:bCs/>
          <w:sz w:val="24"/>
          <w:szCs w:val="24"/>
        </w:rPr>
        <w:t>consequences</w:t>
      </w:r>
      <w:r w:rsidRPr="00683C48">
        <w:rPr>
          <w:b/>
          <w:bCs/>
          <w:sz w:val="24"/>
          <w:szCs w:val="24"/>
        </w:rPr>
        <w:t xml:space="preserve"> </w:t>
      </w:r>
      <w:r w:rsidRPr="00683C48">
        <w:rPr>
          <w:b/>
          <w:bCs/>
          <w:sz w:val="24"/>
          <w:szCs w:val="24"/>
        </w:rPr>
        <w:t>to</w:t>
      </w:r>
      <w:r w:rsidRPr="00683C48">
        <w:rPr>
          <w:b/>
          <w:bCs/>
          <w:sz w:val="24"/>
          <w:szCs w:val="24"/>
        </w:rPr>
        <w:t xml:space="preserve"> Federal program or policy activities if the collection is not conducted or is conducted less frequently, as well as any technical or legal obstacles to reducing burden.</w:t>
      </w:r>
    </w:p>
    <w:p w:rsidR="00E728FE" w:rsidP="003549E8" w14:paraId="701E7AE1" w14:textId="77777777">
      <w:pPr>
        <w:pStyle w:val="NoSpacing"/>
      </w:pPr>
    </w:p>
    <w:p w:rsidR="006A158B" w:rsidP="00683C48" w14:paraId="41B8E746" w14:textId="2E32DB94">
      <w:pPr>
        <w:pStyle w:val="BodyTextIndent3"/>
        <w:spacing w:after="0" w:line="240" w:lineRule="auto"/>
        <w:rPr>
          <w:rFonts w:cs="Times New Roman"/>
          <w:sz w:val="24"/>
          <w:szCs w:val="24"/>
        </w:rPr>
      </w:pPr>
      <w:r>
        <w:rPr>
          <w:rFonts w:cs="Times New Roman"/>
          <w:sz w:val="24"/>
          <w:szCs w:val="24"/>
        </w:rPr>
        <w:t xml:space="preserve">The information is only collected once respondents voluntarily file an FHA insurance claim with HUD. </w:t>
      </w:r>
      <w:r w:rsidRPr="7FC18A06">
        <w:rPr>
          <w:rFonts w:cs="Times New Roman"/>
          <w:sz w:val="24"/>
          <w:szCs w:val="24"/>
        </w:rPr>
        <w:t xml:space="preserve">FHA insurance claims </w:t>
      </w:r>
      <w:r>
        <w:rPr>
          <w:rFonts w:cs="Times New Roman"/>
          <w:sz w:val="24"/>
          <w:szCs w:val="24"/>
        </w:rPr>
        <w:t>can</w:t>
      </w:r>
      <w:r w:rsidRPr="7FC18A06">
        <w:rPr>
          <w:rFonts w:cs="Times New Roman"/>
          <w:sz w:val="24"/>
          <w:szCs w:val="24"/>
        </w:rPr>
        <w:t xml:space="preserve">not be paid to </w:t>
      </w:r>
      <w:r w:rsidRPr="7FC18A06">
        <w:rPr>
          <w:rFonts w:cs="Times New Roman"/>
          <w:sz w:val="24"/>
          <w:szCs w:val="24"/>
        </w:rPr>
        <w:t>mortgagees</w:t>
      </w:r>
      <w:r w:rsidRPr="7FC18A06">
        <w:rPr>
          <w:rFonts w:cs="Times New Roman"/>
          <w:sz w:val="24"/>
          <w:szCs w:val="24"/>
        </w:rPr>
        <w:t xml:space="preserve"> without this </w:t>
      </w:r>
      <w:r>
        <w:rPr>
          <w:rFonts w:cs="Times New Roman"/>
          <w:sz w:val="24"/>
          <w:szCs w:val="24"/>
        </w:rPr>
        <w:t xml:space="preserve">legally required </w:t>
      </w:r>
      <w:r w:rsidRPr="7FC18A06">
        <w:rPr>
          <w:rFonts w:cs="Times New Roman"/>
          <w:sz w:val="24"/>
          <w:szCs w:val="24"/>
        </w:rPr>
        <w:t xml:space="preserve"> information.  </w:t>
      </w:r>
      <w:r>
        <w:rPr>
          <w:rFonts w:cs="Times New Roman"/>
          <w:sz w:val="24"/>
          <w:szCs w:val="24"/>
        </w:rPr>
        <w:t>Under Section 207</w:t>
      </w:r>
      <w:r w:rsidRPr="3170CD44">
        <w:rPr>
          <w:rFonts w:cs="Times New Roman"/>
          <w:sz w:val="24"/>
          <w:szCs w:val="24"/>
        </w:rPr>
        <w:t>(g)</w:t>
      </w:r>
      <w:r>
        <w:rPr>
          <w:rFonts w:cs="Times New Roman"/>
          <w:sz w:val="24"/>
          <w:szCs w:val="24"/>
        </w:rPr>
        <w:t xml:space="preserve"> of the National Housing Act (12 U.S.C. </w:t>
      </w:r>
      <w:r w:rsidRPr="7FC18A06">
        <w:rPr>
          <w:sz w:val="24"/>
          <w:szCs w:val="24"/>
        </w:rPr>
        <w:t xml:space="preserve">§ </w:t>
      </w:r>
      <w:r>
        <w:rPr>
          <w:rFonts w:cs="Times New Roman"/>
          <w:sz w:val="24"/>
          <w:szCs w:val="24"/>
        </w:rPr>
        <w:t>1713</w:t>
      </w:r>
      <w:r w:rsidRPr="3170CD44">
        <w:rPr>
          <w:rFonts w:cs="Times New Roman"/>
          <w:sz w:val="24"/>
          <w:szCs w:val="24"/>
        </w:rPr>
        <w:t>(g)),</w:t>
      </w:r>
      <w:r>
        <w:rPr>
          <w:rFonts w:cs="Times New Roman"/>
          <w:sz w:val="24"/>
          <w:szCs w:val="24"/>
        </w:rPr>
        <w:t xml:space="preserve"> in order </w:t>
      </w:r>
      <w:r w:rsidRPr="00F54323">
        <w:rPr>
          <w:rFonts w:cs="Times New Roman"/>
          <w:sz w:val="24"/>
          <w:szCs w:val="24"/>
        </w:rPr>
        <w:t xml:space="preserve">to receive the benefits of </w:t>
      </w:r>
      <w:r w:rsidRPr="00690234">
        <w:rPr>
          <w:rFonts w:cs="Times New Roman"/>
          <w:sz w:val="24"/>
          <w:szCs w:val="24"/>
        </w:rPr>
        <w:t>insuranc</w:t>
      </w:r>
      <w:r w:rsidRPr="00F54323">
        <w:rPr>
          <w:rFonts w:cs="Times New Roman"/>
          <w:sz w:val="24"/>
          <w:szCs w:val="24"/>
        </w:rPr>
        <w:t>e</w:t>
      </w:r>
      <w:r>
        <w:rPr>
          <w:rFonts w:cs="Times New Roman"/>
          <w:sz w:val="24"/>
          <w:szCs w:val="24"/>
        </w:rPr>
        <w:t xml:space="preserve">, </w:t>
      </w:r>
      <w:r w:rsidRPr="0076574E">
        <w:rPr>
          <w:rFonts w:cs="Times New Roman"/>
          <w:sz w:val="24"/>
          <w:szCs w:val="24"/>
        </w:rPr>
        <w:t>the </w:t>
      </w:r>
      <w:hyperlink r:id="rId9">
        <w:r w:rsidRPr="3170CD44">
          <w:rPr>
            <w:rFonts w:cs="Times New Roman"/>
            <w:sz w:val="24"/>
            <w:szCs w:val="24"/>
          </w:rPr>
          <w:t>mortgagee</w:t>
        </w:r>
      </w:hyperlink>
      <w:r w:rsidRPr="0076574E">
        <w:rPr>
          <w:rFonts w:cs="Times New Roman"/>
          <w:sz w:val="24"/>
          <w:szCs w:val="24"/>
        </w:rPr>
        <w:t> </w:t>
      </w:r>
      <w:r>
        <w:rPr>
          <w:rFonts w:cs="Times New Roman"/>
          <w:sz w:val="24"/>
          <w:szCs w:val="24"/>
        </w:rPr>
        <w:t xml:space="preserve">must </w:t>
      </w:r>
      <w:r w:rsidRPr="0076574E">
        <w:rPr>
          <w:rFonts w:cs="Times New Roman"/>
          <w:sz w:val="24"/>
          <w:szCs w:val="24"/>
        </w:rPr>
        <w:t xml:space="preserve">assign, transfer, and delivery to </w:t>
      </w:r>
      <w:r>
        <w:rPr>
          <w:rFonts w:cs="Times New Roman"/>
          <w:sz w:val="24"/>
          <w:szCs w:val="24"/>
        </w:rPr>
        <w:t>HUD,</w:t>
      </w:r>
      <w:r w:rsidRPr="0076574E">
        <w:rPr>
          <w:rFonts w:cs="Times New Roman"/>
          <w:sz w:val="24"/>
          <w:szCs w:val="24"/>
        </w:rPr>
        <w:t xml:space="preserve"> within a period and in accordance with </w:t>
      </w:r>
      <w:r>
        <w:rPr>
          <w:rFonts w:cs="Times New Roman"/>
          <w:sz w:val="24"/>
          <w:szCs w:val="24"/>
        </w:rPr>
        <w:t xml:space="preserve">HUD </w:t>
      </w:r>
      <w:r w:rsidRPr="0076574E">
        <w:rPr>
          <w:rFonts w:cs="Times New Roman"/>
          <w:sz w:val="24"/>
          <w:szCs w:val="24"/>
        </w:rPr>
        <w:t>rules and regulations</w:t>
      </w:r>
      <w:r>
        <w:rPr>
          <w:rFonts w:cs="Times New Roman"/>
          <w:sz w:val="24"/>
          <w:szCs w:val="24"/>
        </w:rPr>
        <w:t xml:space="preserve">, </w:t>
      </w:r>
      <w:r w:rsidRPr="0076574E">
        <w:rPr>
          <w:rFonts w:cs="Times New Roman"/>
          <w:sz w:val="24"/>
          <w:szCs w:val="24"/>
        </w:rPr>
        <w:t>all rights and interests arising under the </w:t>
      </w:r>
      <w:r>
        <w:rPr>
          <w:rFonts w:cs="Times New Roman"/>
          <w:sz w:val="24"/>
          <w:szCs w:val="24"/>
        </w:rPr>
        <w:t xml:space="preserve">defaulted </w:t>
      </w:r>
      <w:r w:rsidRPr="0076574E">
        <w:rPr>
          <w:rFonts w:cs="Times New Roman"/>
          <w:sz w:val="24"/>
          <w:szCs w:val="24"/>
        </w:rPr>
        <w:t>mortgage</w:t>
      </w:r>
      <w:r>
        <w:rPr>
          <w:rFonts w:cs="Times New Roman"/>
          <w:sz w:val="24"/>
          <w:szCs w:val="24"/>
        </w:rPr>
        <w:t xml:space="preserve">; </w:t>
      </w:r>
      <w:r w:rsidRPr="0076574E">
        <w:rPr>
          <w:rFonts w:cs="Times New Roman"/>
          <w:sz w:val="24"/>
          <w:szCs w:val="24"/>
        </w:rPr>
        <w:t>all policies of title or other insurance or surety bonds or other guaranties and any and all claims thereunder; all records, documents, books, papers, and accounts relating to the</w:t>
      </w:r>
      <w:hyperlink r:id="rId10">
        <w:r w:rsidRPr="3170CD44">
          <w:rPr>
            <w:rFonts w:cs="Times New Roman"/>
            <w:sz w:val="24"/>
            <w:szCs w:val="24"/>
          </w:rPr>
          <w:t> mortgage </w:t>
        </w:r>
      </w:hyperlink>
      <w:r w:rsidRPr="0076574E">
        <w:rPr>
          <w:rFonts w:cs="Times New Roman"/>
          <w:sz w:val="24"/>
          <w:szCs w:val="24"/>
        </w:rPr>
        <w:t>transactions</w:t>
      </w:r>
      <w:r>
        <w:rPr>
          <w:rFonts w:cs="Times New Roman"/>
          <w:sz w:val="24"/>
          <w:szCs w:val="24"/>
        </w:rPr>
        <w:t>;</w:t>
      </w:r>
      <w:r w:rsidRPr="0076574E">
        <w:rPr>
          <w:rFonts w:cs="Times New Roman"/>
          <w:sz w:val="24"/>
          <w:szCs w:val="24"/>
        </w:rPr>
        <w:t> and all claims of the </w:t>
      </w:r>
      <w:hyperlink r:id="rId9">
        <w:r w:rsidRPr="3170CD44">
          <w:rPr>
            <w:rFonts w:cs="Times New Roman"/>
            <w:sz w:val="24"/>
            <w:szCs w:val="24"/>
          </w:rPr>
          <w:t>mortgagee</w:t>
        </w:r>
      </w:hyperlink>
      <w:r w:rsidRPr="0076574E">
        <w:rPr>
          <w:rFonts w:cs="Times New Roman"/>
          <w:sz w:val="24"/>
          <w:szCs w:val="24"/>
        </w:rPr>
        <w:t> against the</w:t>
      </w:r>
      <w:hyperlink r:id="rId11">
        <w:r w:rsidRPr="3170CD44">
          <w:rPr>
            <w:rFonts w:cs="Times New Roman"/>
            <w:sz w:val="24"/>
            <w:szCs w:val="24"/>
          </w:rPr>
          <w:t> mortgagor </w:t>
        </w:r>
      </w:hyperlink>
      <w:r w:rsidRPr="0076574E">
        <w:rPr>
          <w:rFonts w:cs="Times New Roman"/>
          <w:sz w:val="24"/>
          <w:szCs w:val="24"/>
        </w:rPr>
        <w:t>or others, arising out of the</w:t>
      </w:r>
      <w:hyperlink r:id="rId10">
        <w:r w:rsidRPr="3170CD44">
          <w:rPr>
            <w:rFonts w:cs="Times New Roman"/>
            <w:sz w:val="24"/>
            <w:szCs w:val="24"/>
          </w:rPr>
          <w:t> mortgage </w:t>
        </w:r>
      </w:hyperlink>
      <w:r w:rsidRPr="3170CD44">
        <w:rPr>
          <w:rFonts w:cs="Times New Roman"/>
          <w:sz w:val="24"/>
          <w:szCs w:val="24"/>
        </w:rPr>
        <w:t>transactions.</w:t>
      </w:r>
      <w:r w:rsidRPr="0076574E">
        <w:rPr>
          <w:rFonts w:cs="Times New Roman"/>
          <w:sz w:val="24"/>
          <w:szCs w:val="24"/>
        </w:rPr>
        <w:t xml:space="preserve">  </w:t>
      </w:r>
      <w:r w:rsidRPr="7FC18A06">
        <w:rPr>
          <w:rFonts w:cs="Times New Roman"/>
          <w:sz w:val="24"/>
          <w:szCs w:val="24"/>
        </w:rPr>
        <w:t xml:space="preserve">The documents are required by law to </w:t>
      </w:r>
      <w:r>
        <w:rPr>
          <w:rFonts w:cs="Times New Roman"/>
          <w:sz w:val="24"/>
          <w:szCs w:val="24"/>
        </w:rPr>
        <w:t xml:space="preserve">effectuate the </w:t>
      </w:r>
      <w:r w:rsidRPr="7FC18A06">
        <w:rPr>
          <w:rFonts w:cs="Times New Roman"/>
          <w:sz w:val="24"/>
          <w:szCs w:val="24"/>
        </w:rPr>
        <w:t>assign</w:t>
      </w:r>
      <w:r>
        <w:rPr>
          <w:rFonts w:cs="Times New Roman"/>
          <w:sz w:val="24"/>
          <w:szCs w:val="24"/>
        </w:rPr>
        <w:t>ment of</w:t>
      </w:r>
      <w:r w:rsidRPr="7FC18A06">
        <w:rPr>
          <w:rFonts w:cs="Times New Roman"/>
          <w:sz w:val="24"/>
          <w:szCs w:val="24"/>
        </w:rPr>
        <w:t xml:space="preserve"> mortgage and determine ownership of the real property and </w:t>
      </w:r>
      <w:r w:rsidRPr="7FC18A06">
        <w:rPr>
          <w:sz w:val="24"/>
          <w:szCs w:val="24"/>
        </w:rPr>
        <w:t>personal property</w:t>
      </w:r>
      <w:r w:rsidRPr="7FC18A06">
        <w:rPr>
          <w:rFonts w:cs="Times New Roman"/>
          <w:sz w:val="24"/>
          <w:szCs w:val="24"/>
        </w:rPr>
        <w:t xml:space="preserve"> secured by the mortgage.  The burden cannot be reduced as each of the documents is necessary because of the legal </w:t>
      </w:r>
      <w:r w:rsidRPr="7FC18A06">
        <w:rPr>
          <w:rFonts w:cs="Times New Roman"/>
          <w:sz w:val="24"/>
          <w:szCs w:val="24"/>
        </w:rPr>
        <w:t>ramifications</w:t>
      </w:r>
      <w:r w:rsidRPr="7FC18A06">
        <w:rPr>
          <w:rFonts w:cs="Times New Roman"/>
          <w:sz w:val="24"/>
          <w:szCs w:val="24"/>
        </w:rPr>
        <w:t xml:space="preserve"> of each individual document.</w:t>
      </w:r>
    </w:p>
    <w:p w:rsidR="003549E8" w:rsidRPr="00683C48" w:rsidP="00683C48" w14:paraId="51BADF11" w14:textId="77777777">
      <w:pPr>
        <w:pStyle w:val="BodyTextIndent3"/>
        <w:spacing w:after="0" w:line="240" w:lineRule="auto"/>
        <w:rPr>
          <w:rFonts w:cs="Times New Roman"/>
          <w:sz w:val="24"/>
          <w:szCs w:val="24"/>
        </w:rPr>
      </w:pPr>
    </w:p>
    <w:p w:rsidR="00A65F9E" w14:paraId="2B3F5C7B" w14:textId="1914E222">
      <w:pPr>
        <w:numPr>
          <w:ilvl w:val="0"/>
          <w:numId w:val="13"/>
        </w:numPr>
        <w:tabs>
          <w:tab w:val="left" w:pos="360"/>
        </w:tabs>
        <w:rPr>
          <w:b/>
          <w:bCs/>
          <w:sz w:val="24"/>
          <w:szCs w:val="24"/>
        </w:rPr>
      </w:pPr>
      <w:r w:rsidRPr="00683C48">
        <w:rPr>
          <w:b/>
          <w:bCs/>
          <w:sz w:val="24"/>
          <w:szCs w:val="24"/>
        </w:rPr>
        <w:t>Explain any special circumstances that would cause an information collection to be conducted in a manner:</w:t>
      </w:r>
      <w:r w:rsidRPr="00683C48" w:rsidR="00B71058">
        <w:rPr>
          <w:b/>
          <w:bCs/>
          <w:sz w:val="24"/>
          <w:szCs w:val="24"/>
        </w:rPr>
        <w:t xml:space="preserve"> ANSWER ALL BULLETS INDIVIDUALLY</w:t>
      </w:r>
      <w:r w:rsidR="005E7523">
        <w:rPr>
          <w:b/>
          <w:bCs/>
          <w:sz w:val="24"/>
          <w:szCs w:val="24"/>
        </w:rPr>
        <w:t xml:space="preserve"> </w:t>
      </w:r>
    </w:p>
    <w:p w:rsidR="003549E8" w:rsidP="005E7523" w14:paraId="3C3C8F17" w14:textId="77777777">
      <w:pPr>
        <w:pStyle w:val="ListParagraph"/>
        <w:keepLines/>
        <w:tabs>
          <w:tab w:val="left" w:pos="360"/>
        </w:tabs>
        <w:ind w:left="360"/>
        <w:rPr>
          <w:sz w:val="24"/>
          <w:szCs w:val="24"/>
        </w:rPr>
      </w:pPr>
    </w:p>
    <w:p w:rsidR="005E7523" w:rsidRPr="005E7523" w:rsidP="005E7523" w14:paraId="282601E8" w14:textId="090C699E">
      <w:pPr>
        <w:pStyle w:val="ListParagraph"/>
        <w:keepLines/>
        <w:tabs>
          <w:tab w:val="left" w:pos="360"/>
        </w:tabs>
        <w:ind w:left="360"/>
        <w:rPr>
          <w:sz w:val="24"/>
          <w:szCs w:val="24"/>
        </w:rPr>
      </w:pPr>
      <w:r w:rsidRPr="005E7523">
        <w:rPr>
          <w:sz w:val="24"/>
          <w:szCs w:val="24"/>
        </w:rPr>
        <w:t xml:space="preserve">There are no special circumstances applicable to this collection of information.  </w:t>
      </w:r>
    </w:p>
    <w:p w:rsidR="009E13B1" w:rsidRPr="00683C48" w:rsidP="005E7523" w14:paraId="38CBA337" w14:textId="289EA245">
      <w:pPr>
        <w:tabs>
          <w:tab w:val="left" w:pos="360"/>
        </w:tabs>
        <w:rPr>
          <w:b/>
          <w:bCs/>
          <w:sz w:val="24"/>
          <w:szCs w:val="24"/>
        </w:rPr>
      </w:pPr>
    </w:p>
    <w:p w:rsidR="009E13B1" w:rsidRPr="00B438D9" w14:paraId="77414839" w14:textId="72550D0A">
      <w:pPr>
        <w:numPr>
          <w:ilvl w:val="0"/>
          <w:numId w:val="14"/>
        </w:numPr>
        <w:tabs>
          <w:tab w:val="left" w:pos="600"/>
        </w:tabs>
        <w:rPr>
          <w:sz w:val="24"/>
          <w:szCs w:val="24"/>
        </w:rPr>
      </w:pPr>
      <w:r w:rsidRPr="00683C48">
        <w:rPr>
          <w:b/>
          <w:bCs/>
          <w:sz w:val="24"/>
          <w:szCs w:val="24"/>
        </w:rPr>
        <w:t xml:space="preserve">requiring respondents to report information to the agency more than quarterly; </w:t>
      </w:r>
      <w:r w:rsidR="00B438D9">
        <w:rPr>
          <w:b/>
          <w:bCs/>
          <w:sz w:val="24"/>
          <w:szCs w:val="24"/>
        </w:rPr>
        <w:t xml:space="preserve">- </w:t>
      </w:r>
      <w:r w:rsidRPr="00B438D9" w:rsidR="00B438D9">
        <w:rPr>
          <w:sz w:val="24"/>
          <w:szCs w:val="24"/>
        </w:rPr>
        <w:t>There are no special circumstances surrounding this collection of information.</w:t>
      </w:r>
    </w:p>
    <w:p w:rsidR="00A65F9E" w:rsidRPr="00683C48" w:rsidP="003549E8" w14:paraId="1E7CAB58" w14:textId="77777777">
      <w:pPr>
        <w:pStyle w:val="NoSpacing"/>
      </w:pPr>
    </w:p>
    <w:p w:rsidR="00B36479" w:rsidRPr="00B438D9" w:rsidP="00B438D9" w14:paraId="3214BC25" w14:textId="55724088">
      <w:pPr>
        <w:numPr>
          <w:ilvl w:val="0"/>
          <w:numId w:val="14"/>
        </w:numPr>
        <w:tabs>
          <w:tab w:val="left" w:pos="600"/>
        </w:tabs>
        <w:rPr>
          <w:sz w:val="24"/>
          <w:szCs w:val="24"/>
        </w:rPr>
      </w:pPr>
      <w:r w:rsidRPr="00683C48">
        <w:rPr>
          <w:b/>
          <w:bCs/>
          <w:sz w:val="24"/>
          <w:szCs w:val="24"/>
        </w:rPr>
        <w:t xml:space="preserve">requiring respondents to prepare a written response to a collection of information in fewer than 30 days after receipt of it; </w:t>
      </w:r>
      <w:r w:rsidR="00B438D9">
        <w:rPr>
          <w:b/>
          <w:bCs/>
          <w:sz w:val="24"/>
          <w:szCs w:val="24"/>
        </w:rPr>
        <w:t xml:space="preserve">- </w:t>
      </w:r>
      <w:r w:rsidRPr="00B438D9" w:rsidR="00B438D9">
        <w:rPr>
          <w:sz w:val="24"/>
          <w:szCs w:val="24"/>
        </w:rPr>
        <w:t>There are no special circumstances surrounding this collection of information.</w:t>
      </w:r>
    </w:p>
    <w:p w:rsidR="00A65F9E" w:rsidRPr="00683C48" w:rsidP="003549E8" w14:paraId="5CE80399" w14:textId="77777777">
      <w:pPr>
        <w:pStyle w:val="NoSpacing"/>
      </w:pPr>
    </w:p>
    <w:p w:rsidR="00B36479" w:rsidRPr="00B438D9" w:rsidP="00B438D9" w14:paraId="4CCB33A8" w14:textId="13D39D97">
      <w:pPr>
        <w:numPr>
          <w:ilvl w:val="0"/>
          <w:numId w:val="14"/>
        </w:numPr>
        <w:tabs>
          <w:tab w:val="left" w:pos="600"/>
        </w:tabs>
        <w:rPr>
          <w:sz w:val="24"/>
          <w:szCs w:val="24"/>
        </w:rPr>
      </w:pPr>
      <w:r w:rsidRPr="00683C48">
        <w:rPr>
          <w:b/>
          <w:bCs/>
          <w:sz w:val="24"/>
          <w:szCs w:val="24"/>
        </w:rPr>
        <w:t xml:space="preserve">requiring respondents to submit more than an original and two copies of any document; </w:t>
      </w:r>
      <w:r w:rsidR="00B438D9">
        <w:rPr>
          <w:b/>
          <w:bCs/>
          <w:sz w:val="24"/>
          <w:szCs w:val="24"/>
        </w:rPr>
        <w:t xml:space="preserve">- </w:t>
      </w:r>
      <w:r w:rsidRPr="00B438D9" w:rsidR="00B438D9">
        <w:rPr>
          <w:sz w:val="24"/>
          <w:szCs w:val="24"/>
        </w:rPr>
        <w:t>There are no special circumstances surrounding this collection of information.</w:t>
      </w:r>
    </w:p>
    <w:p w:rsidR="00A65F9E" w:rsidRPr="00683C48" w:rsidP="003549E8" w14:paraId="42E1C60F" w14:textId="77777777">
      <w:pPr>
        <w:pStyle w:val="NoSpacing"/>
      </w:pPr>
    </w:p>
    <w:p w:rsidR="00B438D9" w:rsidRPr="00B438D9" w:rsidP="00B438D9" w14:paraId="4A452A20" w14:textId="2456B8FA">
      <w:pPr>
        <w:numPr>
          <w:ilvl w:val="0"/>
          <w:numId w:val="14"/>
        </w:numPr>
        <w:tabs>
          <w:tab w:val="left" w:pos="600"/>
        </w:tabs>
        <w:rPr>
          <w:sz w:val="24"/>
          <w:szCs w:val="24"/>
        </w:rPr>
      </w:pPr>
      <w:r w:rsidRPr="00683C48">
        <w:rPr>
          <w:b/>
          <w:bCs/>
          <w:sz w:val="24"/>
          <w:szCs w:val="24"/>
        </w:rPr>
        <w:t xml:space="preserve">requiring respondents to retain records other than health, medical, government contract, grant-in-aid, or tax records for more than three years; </w:t>
      </w:r>
      <w:r>
        <w:rPr>
          <w:b/>
          <w:bCs/>
          <w:sz w:val="24"/>
          <w:szCs w:val="24"/>
        </w:rPr>
        <w:t xml:space="preserve">- </w:t>
      </w:r>
      <w:r w:rsidRPr="00B438D9">
        <w:rPr>
          <w:sz w:val="24"/>
          <w:szCs w:val="24"/>
        </w:rPr>
        <w:t>There are no special circumstances surrounding this collection of information.</w:t>
      </w:r>
    </w:p>
    <w:p w:rsidR="00A65F9E" w:rsidRPr="00683C48" w:rsidP="003549E8" w14:paraId="18078737" w14:textId="5A6DF733">
      <w:pPr>
        <w:pStyle w:val="NoSpacing"/>
      </w:pPr>
    </w:p>
    <w:p w:rsidR="00B438D9" w:rsidRPr="00B438D9" w:rsidP="00B438D9" w14:paraId="748E0158" w14:textId="45760408">
      <w:pPr>
        <w:numPr>
          <w:ilvl w:val="0"/>
          <w:numId w:val="14"/>
        </w:numPr>
        <w:tabs>
          <w:tab w:val="left" w:pos="600"/>
        </w:tabs>
        <w:rPr>
          <w:sz w:val="24"/>
          <w:szCs w:val="24"/>
        </w:rPr>
      </w:pPr>
      <w:r w:rsidRPr="00683C48">
        <w:rPr>
          <w:b/>
          <w:bCs/>
          <w:sz w:val="24"/>
          <w:szCs w:val="24"/>
        </w:rPr>
        <w:t xml:space="preserve">in connection with a statistical survey, that is not designed to produce valid and reliable results than can be generalized to the universe of study; </w:t>
      </w:r>
      <w:r>
        <w:rPr>
          <w:b/>
          <w:bCs/>
          <w:sz w:val="24"/>
          <w:szCs w:val="24"/>
        </w:rPr>
        <w:t xml:space="preserve">- </w:t>
      </w:r>
      <w:r w:rsidRPr="00B438D9">
        <w:rPr>
          <w:sz w:val="24"/>
          <w:szCs w:val="24"/>
        </w:rPr>
        <w:t>There are no special circumstances surrounding this collection of information.</w:t>
      </w:r>
    </w:p>
    <w:p w:rsidR="009E13B1" w:rsidRPr="00683C48" w:rsidP="003549E8" w14:paraId="73DB0897" w14:textId="06D68382">
      <w:pPr>
        <w:pStyle w:val="NoSpacing"/>
      </w:pPr>
    </w:p>
    <w:p w:rsidR="00B36479" w:rsidRPr="00B438D9" w:rsidP="00B438D9" w14:paraId="493F144B" w14:textId="299AE8BA">
      <w:pPr>
        <w:numPr>
          <w:ilvl w:val="0"/>
          <w:numId w:val="14"/>
        </w:numPr>
        <w:tabs>
          <w:tab w:val="left" w:pos="600"/>
        </w:tabs>
        <w:rPr>
          <w:sz w:val="24"/>
          <w:szCs w:val="24"/>
        </w:rPr>
      </w:pPr>
      <w:r w:rsidRPr="00683C48">
        <w:rPr>
          <w:b/>
          <w:bCs/>
          <w:sz w:val="24"/>
          <w:szCs w:val="24"/>
        </w:rPr>
        <w:t>requiring the use of a statistical data classification that has not been reviewed and approved by OMB;</w:t>
      </w:r>
      <w:r w:rsidRPr="00683C48">
        <w:rPr>
          <w:b/>
          <w:bCs/>
          <w:sz w:val="24"/>
          <w:szCs w:val="24"/>
        </w:rPr>
        <w:t xml:space="preserve"> </w:t>
      </w:r>
      <w:r w:rsidR="00B438D9">
        <w:rPr>
          <w:b/>
          <w:bCs/>
          <w:sz w:val="24"/>
          <w:szCs w:val="24"/>
        </w:rPr>
        <w:t xml:space="preserve">- </w:t>
      </w:r>
      <w:r w:rsidRPr="00B438D9" w:rsidR="00B438D9">
        <w:rPr>
          <w:sz w:val="24"/>
          <w:szCs w:val="24"/>
        </w:rPr>
        <w:t>There are no special circumstances surrounding this collection of information.</w:t>
      </w:r>
    </w:p>
    <w:p w:rsidR="009E13B1" w:rsidRPr="00683C48" w:rsidP="003549E8" w14:paraId="66012806" w14:textId="77777777">
      <w:pPr>
        <w:pStyle w:val="NoSpacing"/>
      </w:pPr>
      <w:r w:rsidRPr="00683C48">
        <w:t xml:space="preserve"> </w:t>
      </w:r>
    </w:p>
    <w:p w:rsidR="00B438D9" w:rsidRPr="00B438D9" w:rsidP="00B438D9" w14:paraId="0195B226" w14:textId="223DA23A">
      <w:pPr>
        <w:numPr>
          <w:ilvl w:val="0"/>
          <w:numId w:val="14"/>
        </w:numPr>
        <w:tabs>
          <w:tab w:val="left" w:pos="600"/>
        </w:tabs>
        <w:rPr>
          <w:sz w:val="24"/>
          <w:szCs w:val="24"/>
        </w:rPr>
      </w:pPr>
      <w:r w:rsidRPr="00683C48">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Pr>
          <w:b/>
          <w:bCs/>
          <w:sz w:val="24"/>
          <w:szCs w:val="24"/>
        </w:rPr>
        <w:t xml:space="preserve">- </w:t>
      </w:r>
      <w:r w:rsidRPr="00B438D9">
        <w:rPr>
          <w:sz w:val="24"/>
          <w:szCs w:val="24"/>
        </w:rPr>
        <w:t>There are no special circumstances surrounding this collection of information.</w:t>
      </w:r>
    </w:p>
    <w:p w:rsidR="00A65F9E" w:rsidRPr="00683C48" w:rsidP="003549E8" w14:paraId="4497C6FF" w14:textId="66E00AA2">
      <w:pPr>
        <w:pStyle w:val="NoSpacing"/>
      </w:pPr>
    </w:p>
    <w:p w:rsidR="009E13B1" w:rsidRPr="00B438D9" w:rsidP="00B438D9" w14:paraId="0DB9F02B" w14:textId="623895F3">
      <w:pPr>
        <w:numPr>
          <w:ilvl w:val="0"/>
          <w:numId w:val="14"/>
        </w:numPr>
        <w:tabs>
          <w:tab w:val="left" w:pos="600"/>
        </w:tabs>
        <w:rPr>
          <w:sz w:val="24"/>
          <w:szCs w:val="24"/>
        </w:rPr>
      </w:pPr>
      <w:r w:rsidRPr="00683C48">
        <w:rPr>
          <w:b/>
          <w:bCs/>
          <w:sz w:val="24"/>
          <w:szCs w:val="24"/>
        </w:rPr>
        <w:t xml:space="preserve">requiring respondents to submit proprietary trade </w:t>
      </w:r>
      <w:r w:rsidRPr="00683C48">
        <w:rPr>
          <w:b/>
          <w:bCs/>
          <w:sz w:val="24"/>
          <w:szCs w:val="24"/>
        </w:rPr>
        <w:t>secret</w:t>
      </w:r>
      <w:r w:rsidRPr="00683C48">
        <w:rPr>
          <w:b/>
          <w:bCs/>
          <w:sz w:val="24"/>
          <w:szCs w:val="24"/>
        </w:rPr>
        <w:t>, or other confidential information unless the agency can demonstrate that it has instituted procedures to protect the information's confidentiality to the extent permitted by law.</w:t>
      </w:r>
      <w:r w:rsidRPr="00683C48" w:rsidR="00B36479">
        <w:rPr>
          <w:b/>
          <w:bCs/>
          <w:sz w:val="24"/>
          <w:szCs w:val="24"/>
        </w:rPr>
        <w:t xml:space="preserve"> </w:t>
      </w:r>
      <w:r w:rsidR="00B438D9">
        <w:rPr>
          <w:b/>
          <w:bCs/>
          <w:sz w:val="24"/>
          <w:szCs w:val="24"/>
        </w:rPr>
        <w:t xml:space="preserve">- </w:t>
      </w:r>
      <w:r w:rsidRPr="00B438D9" w:rsidR="00B438D9">
        <w:rPr>
          <w:sz w:val="24"/>
          <w:szCs w:val="24"/>
        </w:rPr>
        <w:t>There are no special circumstances surrounding this collection of information.</w:t>
      </w:r>
    </w:p>
    <w:p w:rsidR="00586281" w:rsidP="00B36479" w14:paraId="65A6D438" w14:textId="77777777">
      <w:pPr>
        <w:keepLines/>
        <w:tabs>
          <w:tab w:val="left" w:pos="600"/>
        </w:tabs>
        <w:spacing w:after="80"/>
        <w:rPr>
          <w:sz w:val="24"/>
          <w:szCs w:val="24"/>
        </w:rPr>
      </w:pPr>
    </w:p>
    <w:p w:rsidR="00586281" w:rsidRPr="006C7FAE" w:rsidP="00B36479" w14:paraId="62E84F25" w14:textId="42A98141">
      <w:pPr>
        <w:keepLines/>
        <w:tabs>
          <w:tab w:val="left" w:pos="600"/>
        </w:tabs>
        <w:spacing w:after="80"/>
        <w:rPr>
          <w:sz w:val="24"/>
          <w:szCs w:val="24"/>
        </w:rPr>
      </w:pPr>
      <w:r>
        <w:rPr>
          <w:sz w:val="24"/>
          <w:szCs w:val="24"/>
        </w:rPr>
        <w:tab/>
      </w:r>
    </w:p>
    <w:p w:rsidR="00A65F9E" w:rsidP="00A65F9E" w14:paraId="663A6B8B" w14:textId="77777777">
      <w:pPr>
        <w:numPr>
          <w:ilvl w:val="0"/>
          <w:numId w:val="13"/>
        </w:numPr>
        <w:tabs>
          <w:tab w:val="left" w:pos="360"/>
        </w:tabs>
        <w:rPr>
          <w:b/>
          <w:bCs/>
          <w:sz w:val="24"/>
          <w:szCs w:val="24"/>
        </w:rPr>
      </w:pPr>
      <w:r w:rsidRPr="00CB68B5">
        <w:rPr>
          <w:b/>
          <w:bCs/>
          <w:sz w:val="24"/>
          <w:szCs w:val="24"/>
        </w:rPr>
        <w:t xml:space="preserve">If applicable, provide a copy and identify the date and page number of </w:t>
      </w:r>
      <w:r w:rsidRPr="00CB68B5">
        <w:rPr>
          <w:b/>
          <w:bCs/>
          <w:sz w:val="24"/>
          <w:szCs w:val="24"/>
        </w:rPr>
        <w:t>publication</w:t>
      </w:r>
      <w:r w:rsidRPr="00CB68B5">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549E8" w:rsidP="003549E8" w14:paraId="5B40AF4E" w14:textId="77777777">
      <w:pPr>
        <w:pStyle w:val="NoSpacing"/>
        <w:rPr>
          <w:rFonts w:eastAsia="Calibri"/>
        </w:rPr>
      </w:pPr>
    </w:p>
    <w:p w:rsidR="00BE012A" w:rsidRPr="00BE012A" w:rsidP="00BE012A" w14:paraId="02DED836" w14:textId="04BCD4E9">
      <w:pPr>
        <w:pStyle w:val="ListParagraph"/>
        <w:spacing w:line="252" w:lineRule="auto"/>
        <w:ind w:left="360"/>
        <w:contextualSpacing/>
        <w:rPr>
          <w:rFonts w:eastAsia="Calibri"/>
          <w:sz w:val="24"/>
          <w:szCs w:val="24"/>
        </w:rPr>
      </w:pPr>
      <w:r w:rsidRPr="00BE012A">
        <w:rPr>
          <w:rFonts w:eastAsia="Calibri"/>
          <w:color w:val="000000" w:themeColor="text1"/>
          <w:sz w:val="24"/>
          <w:szCs w:val="24"/>
        </w:rPr>
        <w:t xml:space="preserve">The 60-Day Notice of Proposed Information Collection: Legal Instructions Concerning Applications for Full Insurance Benefits—Assignment of Multifamily and Healthcare Mortgages to the Secretary was published on </w:t>
      </w:r>
      <w:r w:rsidRPr="00BE012A">
        <w:rPr>
          <w:color w:val="000000" w:themeColor="text1"/>
          <w:sz w:val="24"/>
          <w:szCs w:val="24"/>
        </w:rPr>
        <w:t xml:space="preserve">April 29, 2025, at </w:t>
      </w:r>
      <w:hyperlink r:id="rId12">
        <w:r w:rsidRPr="00BE012A">
          <w:rPr>
            <w:rStyle w:val="Hyperlink"/>
            <w:sz w:val="24"/>
            <w:szCs w:val="24"/>
          </w:rPr>
          <w:t>90 FR 17830</w:t>
        </w:r>
      </w:hyperlink>
      <w:r w:rsidRPr="00BE012A">
        <w:rPr>
          <w:color w:val="000000" w:themeColor="text1"/>
          <w:sz w:val="24"/>
          <w:szCs w:val="24"/>
        </w:rPr>
        <w:t xml:space="preserve">.  The agency received </w:t>
      </w:r>
      <w:r w:rsidR="003A7E9A">
        <w:rPr>
          <w:color w:val="000000" w:themeColor="text1"/>
          <w:sz w:val="24"/>
          <w:szCs w:val="24"/>
        </w:rPr>
        <w:t xml:space="preserve">a set of </w:t>
      </w:r>
      <w:r w:rsidRPr="00BE012A">
        <w:rPr>
          <w:color w:val="000000" w:themeColor="text1"/>
          <w:sz w:val="24"/>
          <w:szCs w:val="24"/>
        </w:rPr>
        <w:t xml:space="preserve">comments from one </w:t>
      </w:r>
      <w:r w:rsidRPr="00BE012A">
        <w:rPr>
          <w:color w:val="000000" w:themeColor="text1"/>
          <w:sz w:val="24"/>
          <w:szCs w:val="24"/>
        </w:rPr>
        <w:t>commentor</w:t>
      </w:r>
      <w:r w:rsidR="0063133E">
        <w:rPr>
          <w:color w:val="000000" w:themeColor="text1"/>
          <w:sz w:val="24"/>
          <w:szCs w:val="24"/>
        </w:rPr>
        <w:t xml:space="preserve">, and most of the comments </w:t>
      </w:r>
      <w:r w:rsidR="00A50611">
        <w:rPr>
          <w:color w:val="000000" w:themeColor="text1"/>
          <w:sz w:val="24"/>
          <w:szCs w:val="24"/>
        </w:rPr>
        <w:t xml:space="preserve">are straightforward </w:t>
      </w:r>
      <w:r w:rsidR="0063133E">
        <w:rPr>
          <w:color w:val="000000" w:themeColor="text1"/>
          <w:sz w:val="24"/>
          <w:szCs w:val="24"/>
        </w:rPr>
        <w:t xml:space="preserve">clean up edits </w:t>
      </w:r>
      <w:r w:rsidRPr="00BE012A">
        <w:rPr>
          <w:color w:val="000000" w:themeColor="text1"/>
          <w:sz w:val="24"/>
          <w:szCs w:val="24"/>
        </w:rPr>
        <w:t xml:space="preserve">(attached). The comments were reviewed and </w:t>
      </w:r>
      <w:r w:rsidR="000D2384">
        <w:rPr>
          <w:color w:val="000000" w:themeColor="text1"/>
          <w:sz w:val="24"/>
          <w:szCs w:val="24"/>
        </w:rPr>
        <w:t xml:space="preserve">almost all were </w:t>
      </w:r>
      <w:r w:rsidRPr="00BE012A">
        <w:rPr>
          <w:color w:val="000000" w:themeColor="text1"/>
          <w:sz w:val="24"/>
          <w:szCs w:val="24"/>
        </w:rPr>
        <w:t>incorporated, as appropriate.</w:t>
      </w:r>
    </w:p>
    <w:p w:rsidR="009E13B1" w:rsidRPr="006C7FAE" w:rsidP="003549E8" w14:paraId="6A3CAD41" w14:textId="77777777">
      <w:pPr>
        <w:pStyle w:val="NoSpacing"/>
      </w:pPr>
      <w:r w:rsidRPr="006C7FAE">
        <w:t xml:space="preserve"> </w:t>
      </w:r>
    </w:p>
    <w:p w:rsidR="009E13B1" w:rsidRPr="00504D25" w14:paraId="34CF76D2" w14:textId="3953020F">
      <w:pPr>
        <w:numPr>
          <w:ilvl w:val="0"/>
          <w:numId w:val="14"/>
        </w:numPr>
        <w:tabs>
          <w:tab w:val="left" w:pos="360"/>
        </w:tabs>
        <w:ind w:left="480"/>
        <w:rPr>
          <w:sz w:val="24"/>
          <w:szCs w:val="24"/>
        </w:rPr>
      </w:pPr>
      <w:r w:rsidRPr="00504D25">
        <w:rPr>
          <w:b/>
          <w:bCs/>
          <w:sz w:val="24"/>
          <w:szCs w:val="24"/>
        </w:rPr>
        <w:t xml:space="preserve">Describe efforts to consult with </w:t>
      </w:r>
      <w:r w:rsidRPr="00504D25">
        <w:rPr>
          <w:b/>
          <w:bCs/>
          <w:sz w:val="24"/>
          <w:szCs w:val="24"/>
        </w:rPr>
        <w:t>persons</w:t>
      </w:r>
      <w:r w:rsidRPr="00504D25">
        <w:rPr>
          <w:b/>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r w:rsidR="00CB68B5">
        <w:rPr>
          <w:sz w:val="24"/>
          <w:szCs w:val="24"/>
        </w:rPr>
        <w:t xml:space="preserve"> </w:t>
      </w:r>
      <w:r w:rsidRPr="00504D25" w:rsidR="00CB68B5">
        <w:rPr>
          <w:sz w:val="24"/>
          <w:szCs w:val="24"/>
        </w:rPr>
        <w:t>– N/A</w:t>
      </w:r>
    </w:p>
    <w:p w:rsidR="00A65F9E" w:rsidP="003549E8" w14:paraId="160E38D3" w14:textId="77777777">
      <w:pPr>
        <w:pStyle w:val="NoSpacing"/>
      </w:pPr>
    </w:p>
    <w:p w:rsidR="009E13B1" w:rsidRPr="006C7FAE" w14:paraId="3AA6A4A9" w14:textId="24BBC75D">
      <w:pPr>
        <w:keepLines/>
        <w:numPr>
          <w:ilvl w:val="0"/>
          <w:numId w:val="14"/>
        </w:numPr>
        <w:tabs>
          <w:tab w:val="left" w:pos="360"/>
        </w:tabs>
        <w:spacing w:after="80"/>
        <w:ind w:left="480"/>
        <w:rPr>
          <w:sz w:val="24"/>
          <w:szCs w:val="24"/>
        </w:rPr>
      </w:pPr>
      <w:r w:rsidRPr="00504D25">
        <w:rPr>
          <w:b/>
          <w:bCs/>
          <w:sz w:val="24"/>
          <w:szCs w:val="24"/>
        </w:rPr>
        <w:t>Consultation</w:t>
      </w:r>
      <w:r w:rsidRPr="00504D25">
        <w:rPr>
          <w:b/>
          <w:bCs/>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6C7FAE">
        <w:rPr>
          <w:sz w:val="24"/>
          <w:szCs w:val="24"/>
        </w:rPr>
        <w:t xml:space="preserve"> </w:t>
      </w:r>
      <w:r w:rsidRPr="00504D25" w:rsidR="00CB68B5">
        <w:rPr>
          <w:sz w:val="24"/>
          <w:szCs w:val="24"/>
        </w:rPr>
        <w:t>– N/A</w:t>
      </w:r>
    </w:p>
    <w:p w:rsidR="004929B8" w:rsidRPr="00504D25" w:rsidP="003549E8" w14:paraId="356C9041" w14:textId="62627159">
      <w:pPr>
        <w:pStyle w:val="NoSpacing"/>
      </w:pPr>
      <w:r w:rsidRPr="00504D25">
        <w:tab/>
      </w:r>
    </w:p>
    <w:p w:rsidR="009E13B1" w:rsidP="008A2F44" w14:paraId="0FD54BC5" w14:textId="53F4EFDA">
      <w:pPr>
        <w:pStyle w:val="ListParagraph"/>
        <w:keepLines/>
        <w:numPr>
          <w:ilvl w:val="0"/>
          <w:numId w:val="13"/>
        </w:numPr>
        <w:tabs>
          <w:tab w:val="left" w:pos="360"/>
        </w:tabs>
        <w:spacing w:after="80"/>
        <w:rPr>
          <w:b/>
          <w:bCs/>
          <w:sz w:val="24"/>
          <w:szCs w:val="24"/>
        </w:rPr>
      </w:pPr>
      <w:r w:rsidRPr="00504D25">
        <w:rPr>
          <w:b/>
          <w:bCs/>
          <w:sz w:val="24"/>
          <w:szCs w:val="24"/>
        </w:rPr>
        <w:t>Explain any decision to provide any payment or gift to respondents, other than renumeration of contractors or grantees.</w:t>
      </w:r>
    </w:p>
    <w:p w:rsidR="003549E8" w:rsidP="003549E8" w14:paraId="1A42A377" w14:textId="77777777">
      <w:pPr>
        <w:pStyle w:val="NoSpacing"/>
      </w:pPr>
    </w:p>
    <w:p w:rsidR="00504D25" w:rsidRPr="00D922CC" w:rsidP="00504D25" w14:paraId="07A09B95" w14:textId="3C4ABD08">
      <w:pPr>
        <w:pStyle w:val="BodyTextIndent3"/>
        <w:spacing w:after="0" w:line="240" w:lineRule="auto"/>
        <w:rPr>
          <w:sz w:val="24"/>
          <w:szCs w:val="24"/>
        </w:rPr>
      </w:pPr>
      <w:r w:rsidRPr="00D922CC">
        <w:rPr>
          <w:sz w:val="24"/>
          <w:szCs w:val="24"/>
        </w:rPr>
        <w:t xml:space="preserve">FHA insurance claims </w:t>
      </w:r>
      <w:r>
        <w:rPr>
          <w:sz w:val="24"/>
          <w:szCs w:val="24"/>
        </w:rPr>
        <w:t>can</w:t>
      </w:r>
      <w:r w:rsidRPr="00D922CC">
        <w:rPr>
          <w:sz w:val="24"/>
          <w:szCs w:val="24"/>
        </w:rPr>
        <w:t xml:space="preserve">not be paid to </w:t>
      </w:r>
      <w:r w:rsidRPr="00D922CC">
        <w:rPr>
          <w:sz w:val="24"/>
          <w:szCs w:val="24"/>
        </w:rPr>
        <w:t>mortgagees</w:t>
      </w:r>
      <w:r w:rsidRPr="00D922CC">
        <w:rPr>
          <w:sz w:val="24"/>
          <w:szCs w:val="24"/>
        </w:rPr>
        <w:t xml:space="preserve"> who are in good standing without this necessary information.  The documents are required by law to </w:t>
      </w:r>
      <w:r>
        <w:rPr>
          <w:sz w:val="24"/>
          <w:szCs w:val="24"/>
        </w:rPr>
        <w:t xml:space="preserve">effectuate the </w:t>
      </w:r>
      <w:r w:rsidRPr="00D922CC">
        <w:rPr>
          <w:sz w:val="24"/>
          <w:szCs w:val="24"/>
        </w:rPr>
        <w:t>assign</w:t>
      </w:r>
      <w:r>
        <w:rPr>
          <w:sz w:val="24"/>
          <w:szCs w:val="24"/>
        </w:rPr>
        <w:t>ment of</w:t>
      </w:r>
      <w:r w:rsidRPr="00D922CC">
        <w:rPr>
          <w:sz w:val="24"/>
          <w:szCs w:val="24"/>
        </w:rPr>
        <w:t xml:space="preserve"> mortgage and determine ownership of the real property and </w:t>
      </w:r>
      <w:r>
        <w:rPr>
          <w:sz w:val="24"/>
          <w:szCs w:val="24"/>
        </w:rPr>
        <w:t>personal property</w:t>
      </w:r>
      <w:r w:rsidRPr="00D922CC">
        <w:rPr>
          <w:sz w:val="24"/>
          <w:szCs w:val="24"/>
        </w:rPr>
        <w:t xml:space="preserve"> secured by the mortgage.  The burden cannot be reduced as each of the documents is necessary because of the legal </w:t>
      </w:r>
      <w:r w:rsidRPr="00D922CC">
        <w:rPr>
          <w:sz w:val="24"/>
          <w:szCs w:val="24"/>
        </w:rPr>
        <w:t>ramifications</w:t>
      </w:r>
      <w:r w:rsidRPr="00D922CC">
        <w:rPr>
          <w:sz w:val="24"/>
          <w:szCs w:val="24"/>
        </w:rPr>
        <w:t xml:space="preserve"> of each individual document.</w:t>
      </w:r>
    </w:p>
    <w:p w:rsidR="009E13B1" w:rsidRPr="00504D25" w:rsidP="003549E8" w14:paraId="04C87772" w14:textId="6BF5FC4D">
      <w:pPr>
        <w:pStyle w:val="NoSpacing"/>
      </w:pPr>
    </w:p>
    <w:p w:rsidR="00320A3A" w:rsidRPr="00E9019D" w:rsidP="00E9019D" w14:paraId="5B244A5E" w14:textId="7F1A9947">
      <w:pPr>
        <w:keepLines/>
        <w:tabs>
          <w:tab w:val="left" w:pos="360"/>
        </w:tabs>
        <w:spacing w:after="80"/>
        <w:ind w:left="360" w:hanging="360"/>
        <w:rPr>
          <w:b/>
          <w:bCs/>
          <w:sz w:val="24"/>
          <w:szCs w:val="24"/>
        </w:rPr>
      </w:pPr>
      <w:r w:rsidRPr="00E9019D">
        <w:rPr>
          <w:b/>
          <w:bCs/>
          <w:sz w:val="24"/>
          <w:szCs w:val="24"/>
        </w:rPr>
        <w:t>10.</w:t>
      </w:r>
      <w:r w:rsidRPr="00E9019D">
        <w:rPr>
          <w:b/>
          <w:bCs/>
          <w:sz w:val="24"/>
          <w:szCs w:val="24"/>
        </w:rPr>
        <w:tab/>
        <w:t>Describe any assurance of confidentiality provided to respondents and the basis for assurance in statute, regulation or agency policy.</w:t>
      </w:r>
      <w:r w:rsidRPr="00E9019D" w:rsidR="000D5079">
        <w:rPr>
          <w:b/>
          <w:bCs/>
        </w:rPr>
        <w:t xml:space="preserve"> </w:t>
      </w:r>
      <w:r w:rsidRPr="00E9019D" w:rsidR="000D5079">
        <w:rPr>
          <w:b/>
          <w:bCs/>
          <w:sz w:val="24"/>
          <w:szCs w:val="24"/>
        </w:rPr>
        <w:t xml:space="preserve">If the collection requires a </w:t>
      </w:r>
      <w:r w:rsidRPr="00E9019D" w:rsidR="00BB2518">
        <w:rPr>
          <w:b/>
          <w:bCs/>
          <w:sz w:val="24"/>
          <w:szCs w:val="24"/>
        </w:rPr>
        <w:t>system of records notice (SORN)</w:t>
      </w:r>
      <w:r w:rsidRPr="00E9019D" w:rsidR="000D5079">
        <w:rPr>
          <w:b/>
          <w:bCs/>
          <w:sz w:val="24"/>
          <w:szCs w:val="24"/>
        </w:rPr>
        <w:t xml:space="preserve"> or privacy impact assessment (PIA), those should be cited and described here.</w:t>
      </w:r>
    </w:p>
    <w:p w:rsidR="003549E8" w14:paraId="0F016D96" w14:textId="77777777">
      <w:pPr>
        <w:tabs>
          <w:tab w:val="left" w:pos="360"/>
        </w:tabs>
        <w:ind w:left="360" w:hanging="360"/>
        <w:rPr>
          <w:sz w:val="24"/>
          <w:szCs w:val="24"/>
        </w:rPr>
      </w:pPr>
    </w:p>
    <w:p w:rsidR="008A2F44" w14:paraId="5FE79E78" w14:textId="4E1176A5">
      <w:pPr>
        <w:tabs>
          <w:tab w:val="left" w:pos="360"/>
        </w:tabs>
        <w:ind w:left="360" w:hanging="360"/>
        <w:rPr>
          <w:sz w:val="24"/>
          <w:szCs w:val="24"/>
        </w:rPr>
      </w:pPr>
      <w:r>
        <w:rPr>
          <w:sz w:val="24"/>
          <w:szCs w:val="24"/>
        </w:rPr>
        <w:tab/>
      </w:r>
      <w:r w:rsidRPr="00E9019D" w:rsidR="00E9019D">
        <w:rPr>
          <w:sz w:val="24"/>
          <w:szCs w:val="24"/>
        </w:rPr>
        <w:t xml:space="preserve">All legal documents and communications submitted will be bound by the principles of confidentiality set forth in the Model Rules of Professional Conduct as well as the attorney-client privilege. This document contains no </w:t>
      </w:r>
      <w:r w:rsidRPr="00E9019D" w:rsidR="00E9019D">
        <w:rPr>
          <w:sz w:val="24"/>
          <w:szCs w:val="24"/>
        </w:rPr>
        <w:t>personally identifying</w:t>
      </w:r>
      <w:r w:rsidRPr="00E9019D" w:rsidR="00E9019D">
        <w:rPr>
          <w:sz w:val="24"/>
          <w:szCs w:val="24"/>
        </w:rPr>
        <w:t xml:space="preserve"> information subject to privacy requirements.  Most of the required documents are publicly available.</w:t>
      </w:r>
    </w:p>
    <w:p w:rsidR="00E9019D" w:rsidP="003549E8" w14:paraId="0B707959" w14:textId="77777777">
      <w:pPr>
        <w:pStyle w:val="NoSpacing"/>
      </w:pPr>
    </w:p>
    <w:p w:rsidR="003549E8" w:rsidP="003549E8" w14:paraId="58C09981" w14:textId="77777777">
      <w:pPr>
        <w:pStyle w:val="NoSpacing"/>
      </w:pPr>
    </w:p>
    <w:p w:rsidR="003549E8" w:rsidP="003549E8" w14:paraId="6E3D246B" w14:textId="77777777">
      <w:pPr>
        <w:pStyle w:val="NoSpacing"/>
      </w:pPr>
    </w:p>
    <w:p w:rsidR="003549E8" w:rsidP="003549E8" w14:paraId="4EE0D22B" w14:textId="77777777">
      <w:pPr>
        <w:pStyle w:val="NoSpacing"/>
      </w:pPr>
    </w:p>
    <w:p w:rsidR="009E13B1" w:rsidRPr="00183674" w:rsidP="00183674" w14:paraId="668EAA31" w14:textId="2A019FB3">
      <w:pPr>
        <w:pStyle w:val="ListParagraph"/>
        <w:keepLines/>
        <w:numPr>
          <w:ilvl w:val="0"/>
          <w:numId w:val="16"/>
        </w:numPr>
        <w:tabs>
          <w:tab w:val="left" w:pos="360"/>
        </w:tabs>
        <w:spacing w:after="80"/>
        <w:rPr>
          <w:b/>
          <w:bCs/>
          <w:sz w:val="24"/>
          <w:szCs w:val="24"/>
        </w:rPr>
      </w:pPr>
      <w:r w:rsidRPr="00183674">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183674">
        <w:rPr>
          <w:b/>
          <w:bCs/>
          <w:sz w:val="24"/>
          <w:szCs w:val="24"/>
        </w:rPr>
        <w:t>persons</w:t>
      </w:r>
      <w:r w:rsidRPr="00183674">
        <w:rPr>
          <w:b/>
          <w:bCs/>
          <w:sz w:val="24"/>
          <w:szCs w:val="24"/>
        </w:rPr>
        <w:t xml:space="preserve"> from whom the information is requested, and any steps to be taken to obtain their consent.</w:t>
      </w:r>
    </w:p>
    <w:p w:rsidR="003549E8" w:rsidP="003549E8" w14:paraId="207F698C" w14:textId="77777777">
      <w:pPr>
        <w:pStyle w:val="NoSpacing"/>
      </w:pPr>
    </w:p>
    <w:p w:rsidR="004A62CD" w:rsidRPr="004A62CD" w:rsidP="004A62CD" w14:paraId="29422F9F" w14:textId="3FBF146D">
      <w:pPr>
        <w:pStyle w:val="ListParagraph"/>
        <w:keepLines/>
        <w:tabs>
          <w:tab w:val="left" w:pos="360"/>
        </w:tabs>
        <w:spacing w:after="80"/>
        <w:ind w:left="360"/>
        <w:rPr>
          <w:sz w:val="24"/>
          <w:szCs w:val="24"/>
        </w:rPr>
      </w:pPr>
      <w:r w:rsidRPr="004A62CD">
        <w:rPr>
          <w:sz w:val="24"/>
          <w:szCs w:val="24"/>
        </w:rPr>
        <w:t>No questions of a sensitive nature are included in this request.</w:t>
      </w:r>
    </w:p>
    <w:p w:rsidR="00A65F9E" w14:paraId="226313F0" w14:textId="27D42ADB">
      <w:pPr>
        <w:tabs>
          <w:tab w:val="left" w:pos="360"/>
        </w:tabs>
        <w:ind w:left="360" w:hanging="360"/>
        <w:rPr>
          <w:sz w:val="24"/>
          <w:szCs w:val="24"/>
        </w:rPr>
      </w:pPr>
      <w:r>
        <w:rPr>
          <w:sz w:val="24"/>
          <w:szCs w:val="24"/>
        </w:rPr>
        <w:tab/>
      </w:r>
    </w:p>
    <w:p w:rsidR="000D5079" w:rsidRPr="00312A3B" w14:paraId="7C95C366" w14:textId="77777777">
      <w:pPr>
        <w:tabs>
          <w:tab w:val="left" w:pos="360"/>
        </w:tabs>
        <w:ind w:left="360" w:hanging="360"/>
        <w:rPr>
          <w:b/>
          <w:bCs/>
          <w:sz w:val="24"/>
          <w:szCs w:val="24"/>
        </w:rPr>
      </w:pPr>
      <w:r w:rsidRPr="00312A3B">
        <w:rPr>
          <w:b/>
          <w:bCs/>
          <w:sz w:val="24"/>
          <w:szCs w:val="24"/>
        </w:rPr>
        <w:t>12.</w:t>
      </w:r>
      <w:r w:rsidRPr="00312A3B">
        <w:rPr>
          <w:b/>
          <w:bCs/>
          <w:sz w:val="24"/>
          <w:szCs w:val="24"/>
        </w:rPr>
        <w:tab/>
        <w:t>Provide estimates of the hour burden of the collection of information.  The statement should:</w:t>
      </w:r>
    </w:p>
    <w:p w:rsidR="009E13B1" w:rsidRPr="00312A3B" w14:paraId="1876208F" w14:textId="77777777">
      <w:pPr>
        <w:tabs>
          <w:tab w:val="left" w:pos="360"/>
        </w:tabs>
        <w:ind w:left="360" w:hanging="360"/>
        <w:rPr>
          <w:b/>
          <w:bCs/>
          <w:sz w:val="24"/>
          <w:szCs w:val="24"/>
        </w:rPr>
      </w:pPr>
      <w:r w:rsidRPr="00312A3B">
        <w:rPr>
          <w:b/>
          <w:bCs/>
          <w:sz w:val="24"/>
          <w:szCs w:val="24"/>
        </w:rPr>
        <w:t xml:space="preserve"> </w:t>
      </w:r>
    </w:p>
    <w:p w:rsidR="009E13B1" w:rsidRPr="00312A3B" w14:paraId="06CBD536" w14:textId="77777777">
      <w:pPr>
        <w:numPr>
          <w:ilvl w:val="0"/>
          <w:numId w:val="14"/>
        </w:numPr>
        <w:tabs>
          <w:tab w:val="left" w:pos="480"/>
        </w:tabs>
        <w:ind w:left="480"/>
        <w:rPr>
          <w:b/>
          <w:bCs/>
          <w:sz w:val="24"/>
          <w:szCs w:val="24"/>
        </w:rPr>
      </w:pPr>
      <w:r w:rsidRPr="00312A3B">
        <w:rPr>
          <w:b/>
          <w:bCs/>
          <w:sz w:val="24"/>
          <w:szCs w:val="24"/>
        </w:rPr>
        <w:t>I</w:t>
      </w:r>
      <w:r w:rsidRPr="00312A3B">
        <w:rPr>
          <w:b/>
          <w:bCs/>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312A3B" w:rsidR="006C7FAE">
        <w:rPr>
          <w:b/>
          <w:bCs/>
          <w:sz w:val="24"/>
          <w:szCs w:val="24"/>
        </w:rPr>
        <w:t>Generally,</w:t>
      </w:r>
      <w:r w:rsidRPr="00312A3B">
        <w:rPr>
          <w:b/>
          <w:bCs/>
          <w:sz w:val="24"/>
          <w:szCs w:val="24"/>
        </w:rPr>
        <w:t xml:space="preserve"> estimates should not include burden hours for customary and usual business </w:t>
      </w:r>
      <w:r w:rsidRPr="00312A3B">
        <w:rPr>
          <w:b/>
          <w:bCs/>
          <w:sz w:val="24"/>
          <w:szCs w:val="24"/>
        </w:rPr>
        <w:t>practices;</w:t>
      </w:r>
      <w:r w:rsidRPr="00312A3B">
        <w:rPr>
          <w:b/>
          <w:bCs/>
          <w:sz w:val="24"/>
          <w:szCs w:val="24"/>
        </w:rPr>
        <w:t xml:space="preserve"> </w:t>
      </w:r>
    </w:p>
    <w:p w:rsidR="009E13B1" w:rsidRPr="00312A3B" w14:paraId="54BF2220" w14:textId="77777777">
      <w:pPr>
        <w:numPr>
          <w:ilvl w:val="0"/>
          <w:numId w:val="14"/>
        </w:numPr>
        <w:tabs>
          <w:tab w:val="left" w:pos="480"/>
        </w:tabs>
        <w:ind w:left="480"/>
        <w:rPr>
          <w:b/>
          <w:bCs/>
          <w:sz w:val="24"/>
          <w:szCs w:val="24"/>
        </w:rPr>
      </w:pPr>
      <w:r w:rsidRPr="00312A3B">
        <w:rPr>
          <w:b/>
          <w:bCs/>
          <w:sz w:val="24"/>
          <w:szCs w:val="24"/>
        </w:rPr>
        <w:t>I</w:t>
      </w:r>
      <w:r w:rsidRPr="00312A3B">
        <w:rPr>
          <w:b/>
          <w:bCs/>
          <w:sz w:val="24"/>
          <w:szCs w:val="24"/>
        </w:rPr>
        <w:t xml:space="preserve">f this request covers more than one form, provide separate hour burden estimates for each form and aggregate the hour burdens in </w:t>
      </w:r>
      <w:r w:rsidRPr="00312A3B" w:rsidR="00CA06CC">
        <w:rPr>
          <w:b/>
          <w:bCs/>
          <w:sz w:val="24"/>
          <w:szCs w:val="24"/>
        </w:rPr>
        <w:t>chart</w:t>
      </w:r>
      <w:r w:rsidRPr="00312A3B" w:rsidR="00CA06CC">
        <w:rPr>
          <w:b/>
          <w:bCs/>
          <w:sz w:val="24"/>
          <w:szCs w:val="24"/>
        </w:rPr>
        <w:t xml:space="preserve"> below</w:t>
      </w:r>
      <w:r w:rsidRPr="00312A3B">
        <w:rPr>
          <w:b/>
          <w:bCs/>
          <w:sz w:val="24"/>
          <w:szCs w:val="24"/>
        </w:rPr>
        <w:t xml:space="preserve">; and </w:t>
      </w:r>
    </w:p>
    <w:p w:rsidR="009E13B1" w14:paraId="438D1797" w14:textId="77777777">
      <w:pPr>
        <w:keepLines/>
        <w:numPr>
          <w:ilvl w:val="0"/>
          <w:numId w:val="14"/>
        </w:numPr>
        <w:tabs>
          <w:tab w:val="left" w:pos="480"/>
        </w:tabs>
        <w:spacing w:after="80"/>
        <w:ind w:left="480"/>
        <w:rPr>
          <w:b/>
          <w:bCs/>
          <w:sz w:val="24"/>
          <w:szCs w:val="24"/>
        </w:rPr>
      </w:pPr>
      <w:r w:rsidRPr="00312A3B">
        <w:rPr>
          <w:b/>
          <w:bCs/>
          <w:sz w:val="24"/>
          <w:szCs w:val="24"/>
        </w:rPr>
        <w:t>P</w:t>
      </w:r>
      <w:r w:rsidRPr="00312A3B">
        <w:rPr>
          <w:b/>
          <w:bCs/>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312A3B" w:rsidR="00CA06CC">
        <w:rPr>
          <w:b/>
          <w:bCs/>
          <w:sz w:val="24"/>
          <w:szCs w:val="24"/>
        </w:rPr>
        <w:t>Instead,</w:t>
      </w:r>
      <w:r w:rsidRPr="00312A3B">
        <w:rPr>
          <w:b/>
          <w:bCs/>
          <w:sz w:val="24"/>
          <w:szCs w:val="24"/>
        </w:rPr>
        <w:t xml:space="preserve"> this cost should be included in Item 13.</w:t>
      </w:r>
    </w:p>
    <w:p w:rsidR="003549E8" w:rsidP="003549E8" w14:paraId="3848302B" w14:textId="77777777">
      <w:pPr>
        <w:pStyle w:val="NoSpacing"/>
      </w:pPr>
    </w:p>
    <w:p w:rsidR="00312A3B" w:rsidRPr="00A50611" w:rsidP="004A7C72" w14:paraId="3C2754DC" w14:textId="5FC589E6">
      <w:pPr>
        <w:keepLines/>
        <w:tabs>
          <w:tab w:val="left" w:pos="360"/>
          <w:tab w:val="center" w:pos="1680"/>
          <w:tab w:val="center" w:pos="3120"/>
          <w:tab w:val="center" w:pos="4560"/>
          <w:tab w:val="center" w:pos="6000"/>
          <w:tab w:val="center" w:pos="7440"/>
          <w:tab w:val="center" w:pos="8880"/>
        </w:tabs>
        <w:ind w:left="480"/>
        <w:rPr>
          <w:sz w:val="24"/>
          <w:szCs w:val="24"/>
        </w:rPr>
      </w:pPr>
      <w:r w:rsidRPr="00A50611">
        <w:rPr>
          <w:sz w:val="24"/>
          <w:szCs w:val="24"/>
        </w:rPr>
        <w:tab/>
        <w:t xml:space="preserve">The burden on each respondent will vary in proportion to the number of claims filed by the respondent.  Some </w:t>
      </w:r>
      <w:r w:rsidRPr="00A50611">
        <w:rPr>
          <w:sz w:val="24"/>
          <w:szCs w:val="24"/>
        </w:rPr>
        <w:t>mortgagees</w:t>
      </w:r>
      <w:r w:rsidRPr="00A50611">
        <w:rPr>
          <w:sz w:val="24"/>
          <w:szCs w:val="24"/>
        </w:rPr>
        <w:t xml:space="preserve"> hold very few FHA-insured mortgages and may file few, if any, claims for insurance benefits each year.  Other </w:t>
      </w:r>
      <w:r w:rsidRPr="00A50611">
        <w:rPr>
          <w:sz w:val="24"/>
          <w:szCs w:val="24"/>
        </w:rPr>
        <w:t>mortgagees</w:t>
      </w:r>
      <w:r w:rsidRPr="00A50611">
        <w:rPr>
          <w:sz w:val="24"/>
          <w:szCs w:val="24"/>
        </w:rPr>
        <w:t xml:space="preserve"> hold very large portfolios of FHA-insured mortgages and may file ten or more claims per year.  For </w:t>
      </w:r>
      <w:r w:rsidRPr="00A50611">
        <w:rPr>
          <w:sz w:val="24"/>
          <w:szCs w:val="24"/>
        </w:rPr>
        <w:t>purposes</w:t>
      </w:r>
      <w:r w:rsidRPr="00A50611">
        <w:rPr>
          <w:sz w:val="24"/>
          <w:szCs w:val="24"/>
        </w:rPr>
        <w:t xml:space="preserve"> of this response, however, it is assumed that in each year no </w:t>
      </w:r>
      <w:r w:rsidRPr="00A50611">
        <w:rPr>
          <w:sz w:val="24"/>
          <w:szCs w:val="24"/>
        </w:rPr>
        <w:t>mortgagee</w:t>
      </w:r>
      <w:r w:rsidRPr="00A50611">
        <w:rPr>
          <w:sz w:val="24"/>
          <w:szCs w:val="24"/>
        </w:rPr>
        <w:t xml:space="preserve"> would file more than one claim. </w:t>
      </w:r>
    </w:p>
    <w:p w:rsidR="00312A3B" w:rsidRPr="00A50611" w:rsidP="004A7C72" w14:paraId="4BEF605D" w14:textId="77777777">
      <w:pPr>
        <w:pStyle w:val="ListParagraph"/>
        <w:keepLines/>
        <w:tabs>
          <w:tab w:val="left" w:pos="360"/>
          <w:tab w:val="center" w:pos="1680"/>
          <w:tab w:val="center" w:pos="3120"/>
          <w:tab w:val="center" w:pos="4560"/>
          <w:tab w:val="center" w:pos="6000"/>
          <w:tab w:val="center" w:pos="7440"/>
          <w:tab w:val="center" w:pos="8880"/>
        </w:tabs>
        <w:ind w:left="828"/>
        <w:rPr>
          <w:sz w:val="24"/>
          <w:szCs w:val="24"/>
        </w:rPr>
      </w:pPr>
    </w:p>
    <w:p w:rsidR="00A50611" w:rsidRPr="00A50611" w:rsidP="004A7C72" w14:paraId="4070DFB0" w14:textId="77777777">
      <w:pPr>
        <w:keepLines/>
        <w:tabs>
          <w:tab w:val="left" w:pos="360"/>
          <w:tab w:val="center" w:pos="1680"/>
          <w:tab w:val="center" w:pos="3120"/>
          <w:tab w:val="center" w:pos="4560"/>
          <w:tab w:val="center" w:pos="6000"/>
          <w:tab w:val="center" w:pos="7440"/>
          <w:tab w:val="center" w:pos="8880"/>
        </w:tabs>
        <w:ind w:left="480"/>
        <w:rPr>
          <w:sz w:val="24"/>
          <w:szCs w:val="24"/>
        </w:rPr>
      </w:pPr>
      <w:r w:rsidRPr="00A50611">
        <w:rPr>
          <w:sz w:val="24"/>
          <w:szCs w:val="24"/>
        </w:rPr>
        <w:tab/>
        <w:t xml:space="preserve">In 2025, the number of actual respondents to date is 2; in 2024, the number was 28; and in 2023, the number was 20.  Therefore, based on the number of claims in 2024 and 2023, the annual claim response was calculated at the average of 24. </w:t>
      </w:r>
    </w:p>
    <w:p w:rsidR="00A50611" w:rsidRPr="00A50611" w:rsidP="004A7C72" w14:paraId="09A24679" w14:textId="77777777">
      <w:pPr>
        <w:keepLines/>
        <w:tabs>
          <w:tab w:val="left" w:pos="360"/>
          <w:tab w:val="center" w:pos="1680"/>
          <w:tab w:val="center" w:pos="3120"/>
          <w:tab w:val="center" w:pos="4560"/>
          <w:tab w:val="center" w:pos="6000"/>
          <w:tab w:val="center" w:pos="7440"/>
          <w:tab w:val="center" w:pos="8880"/>
        </w:tabs>
        <w:ind w:left="480"/>
        <w:rPr>
          <w:sz w:val="24"/>
          <w:szCs w:val="24"/>
        </w:rPr>
      </w:pPr>
    </w:p>
    <w:p w:rsidR="00312A3B" w:rsidRPr="00A50611" w:rsidP="004A7C72" w14:paraId="6A64CA0B" w14:textId="660DE304">
      <w:pPr>
        <w:keepLines/>
        <w:tabs>
          <w:tab w:val="left" w:pos="360"/>
          <w:tab w:val="center" w:pos="1680"/>
          <w:tab w:val="center" w:pos="3120"/>
          <w:tab w:val="center" w:pos="4560"/>
          <w:tab w:val="center" w:pos="6000"/>
          <w:tab w:val="center" w:pos="7440"/>
          <w:tab w:val="center" w:pos="8880"/>
        </w:tabs>
        <w:ind w:left="480"/>
        <w:rPr>
          <w:sz w:val="24"/>
          <w:szCs w:val="24"/>
        </w:rPr>
      </w:pPr>
      <w:r w:rsidRPr="00A50611">
        <w:rPr>
          <w:sz w:val="24"/>
          <w:szCs w:val="24"/>
        </w:rPr>
        <w:t xml:space="preserve">The burden of no less than 50 hours per claim includes the time necessary to provide mortgage documents such as title policies, UCCs, security agreements, original mortgage and mortgage </w:t>
      </w:r>
      <w:r w:rsidRPr="00A50611">
        <w:rPr>
          <w:sz w:val="24"/>
          <w:szCs w:val="24"/>
        </w:rPr>
        <w:t>note</w:t>
      </w:r>
      <w:r w:rsidRPr="00A50611">
        <w:rPr>
          <w:sz w:val="24"/>
          <w:szCs w:val="24"/>
        </w:rPr>
        <w:t>, etc., which relate to the FHA-insured mortgage covering the project, and to complete the exhibits to the Legal Instructions.   Documents must be obtained from various recording offices, land offices, title companies, and archives, etc.  The annualized cost to the respondent is estimated at $8</w:t>
      </w:r>
      <w:r w:rsidR="007B35CE">
        <w:rPr>
          <w:sz w:val="24"/>
          <w:szCs w:val="24"/>
        </w:rPr>
        <w:t>7</w:t>
      </w:r>
      <w:r w:rsidRPr="00A50611">
        <w:rPr>
          <w:sz w:val="24"/>
          <w:szCs w:val="24"/>
        </w:rPr>
        <w:t>.8</w:t>
      </w:r>
      <w:r w:rsidR="007B35CE">
        <w:rPr>
          <w:sz w:val="24"/>
          <w:szCs w:val="24"/>
        </w:rPr>
        <w:t>6</w:t>
      </w:r>
      <w:r w:rsidRPr="00A50611">
        <w:rPr>
          <w:sz w:val="24"/>
          <w:szCs w:val="24"/>
        </w:rPr>
        <w:t xml:space="preserve"> an hour</w:t>
      </w:r>
      <w:r w:rsidR="00BB77EF">
        <w:rPr>
          <w:sz w:val="24"/>
          <w:szCs w:val="24"/>
        </w:rPr>
        <w:t xml:space="preserve"> (from </w:t>
      </w:r>
      <w:hyperlink r:id="rId13" w:history="1">
        <w:r w:rsidRPr="005B4070" w:rsidR="00375C1B">
          <w:rPr>
            <w:rStyle w:val="Hyperlink"/>
            <w:sz w:val="24"/>
            <w:szCs w:val="24"/>
          </w:rPr>
          <w:t>https://data.bls.gov/oesprofile/</w:t>
        </w:r>
      </w:hyperlink>
      <w:r w:rsidR="00375C1B">
        <w:rPr>
          <w:sz w:val="24"/>
          <w:szCs w:val="24"/>
        </w:rPr>
        <w:t>)</w:t>
      </w:r>
      <w:r w:rsidRPr="00A50611">
        <w:rPr>
          <w:sz w:val="24"/>
          <w:szCs w:val="24"/>
        </w:rPr>
        <w:t xml:space="preserve"> times 50 burden hours per claim times 24 responses or $</w:t>
      </w:r>
      <w:r w:rsidRPr="00A50611">
        <w:rPr>
          <w:rFonts w:eastAsia="Calibri"/>
          <w:color w:val="000000" w:themeColor="text1"/>
          <w:sz w:val="24"/>
          <w:szCs w:val="24"/>
        </w:rPr>
        <w:t>10</w:t>
      </w:r>
      <w:r w:rsidR="00A5000A">
        <w:rPr>
          <w:rFonts w:eastAsia="Calibri"/>
          <w:color w:val="000000" w:themeColor="text1"/>
          <w:sz w:val="24"/>
          <w:szCs w:val="24"/>
        </w:rPr>
        <w:t>5</w:t>
      </w:r>
      <w:r w:rsidRPr="00A50611">
        <w:rPr>
          <w:rFonts w:eastAsia="Calibri"/>
          <w:color w:val="000000" w:themeColor="text1"/>
          <w:sz w:val="24"/>
          <w:szCs w:val="24"/>
        </w:rPr>
        <w:t>,</w:t>
      </w:r>
      <w:r w:rsidR="00A5000A">
        <w:rPr>
          <w:rFonts w:eastAsia="Calibri"/>
          <w:color w:val="000000" w:themeColor="text1"/>
          <w:sz w:val="24"/>
          <w:szCs w:val="24"/>
        </w:rPr>
        <w:t>432</w:t>
      </w:r>
      <w:r w:rsidRPr="00A50611">
        <w:rPr>
          <w:sz w:val="24"/>
          <w:szCs w:val="24"/>
        </w:rPr>
        <w:t>.</w:t>
      </w:r>
    </w:p>
    <w:p w:rsidR="00312A3B" w:rsidP="00312A3B" w14:paraId="1BD45757" w14:textId="77777777">
      <w:pPr>
        <w:keepLines/>
        <w:tabs>
          <w:tab w:val="left" w:pos="480"/>
        </w:tabs>
        <w:spacing w:after="80"/>
        <w:ind w:left="480"/>
        <w:rPr>
          <w:sz w:val="24"/>
          <w:szCs w:val="24"/>
        </w:rPr>
      </w:pPr>
    </w:p>
    <w:p w:rsidR="008423BD" w:rsidP="008423BD" w14:paraId="615092C1" w14:textId="77777777">
      <w:pPr>
        <w:keepLines/>
        <w:tabs>
          <w:tab w:val="left" w:pos="480"/>
        </w:tabs>
        <w:spacing w:after="80"/>
        <w:ind w:left="480"/>
        <w:rPr>
          <w:sz w:val="24"/>
          <w:szCs w:val="24"/>
        </w:rPr>
      </w:pPr>
    </w:p>
    <w:tbl>
      <w:tblPr>
        <w:tblW w:w="9900" w:type="dxa"/>
        <w:tblInd w:w="170" w:type="dxa"/>
        <w:tblCellMar>
          <w:left w:w="0" w:type="dxa"/>
          <w:right w:w="0" w:type="dxa"/>
        </w:tblCellMar>
        <w:tblLook w:val="04A0"/>
      </w:tblPr>
      <w:tblGrid>
        <w:gridCol w:w="2364"/>
        <w:gridCol w:w="1306"/>
        <w:gridCol w:w="1293"/>
        <w:gridCol w:w="1094"/>
        <w:gridCol w:w="1072"/>
        <w:gridCol w:w="861"/>
        <w:gridCol w:w="1019"/>
        <w:gridCol w:w="891"/>
      </w:tblGrid>
      <w:tr w14:paraId="6B5D00E3" w14:textId="77777777" w:rsidTr="00FE1607">
        <w:tblPrEx>
          <w:tblW w:w="9900" w:type="dxa"/>
          <w:tblInd w:w="170" w:type="dxa"/>
          <w:tblCellMar>
            <w:left w:w="0" w:type="dxa"/>
            <w:right w:w="0" w:type="dxa"/>
          </w:tblCellMar>
          <w:tblLook w:val="04A0"/>
        </w:tblPrEx>
        <w:tc>
          <w:tcPr>
            <w:tcW w:w="2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23BD" w:rsidP="00FE1607" w14:paraId="0203AFEC" w14:textId="77777777">
            <w:pPr>
              <w:adjustRightInd/>
              <w:textAlignment w:val="auto"/>
              <w:rPr>
                <w:rFonts w:eastAsia="Calibri"/>
                <w:b/>
                <w:bCs/>
                <w:color w:val="000000"/>
              </w:rPr>
            </w:pPr>
            <w:r w:rsidRPr="006C7FAE">
              <w:rPr>
                <w:rFonts w:eastAsia="Calibri"/>
                <w:b/>
                <w:bCs/>
                <w:color w:val="000000"/>
              </w:rPr>
              <w:t>Information Collection</w:t>
            </w:r>
          </w:p>
          <w:p w:rsidR="0019666D" w:rsidRPr="00F23706" w:rsidP="00FE1607" w14:paraId="34904EEF" w14:textId="752E298D">
            <w:pPr>
              <w:adjustRightInd/>
              <w:textAlignment w:val="auto"/>
              <w:rPr>
                <w:rFonts w:eastAsia="Calibri"/>
                <w:color w:val="000000"/>
              </w:rPr>
            </w:pP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23BD" w:rsidRPr="006C7FAE" w:rsidP="00FE1607" w14:paraId="1F310546" w14:textId="77777777">
            <w:pPr>
              <w:adjustRightInd/>
              <w:textAlignment w:val="auto"/>
              <w:rPr>
                <w:rFonts w:eastAsia="Calibri"/>
                <w:b/>
                <w:bCs/>
                <w:color w:val="000000"/>
              </w:rPr>
            </w:pPr>
            <w:r w:rsidRPr="006C7FAE">
              <w:rPr>
                <w:rFonts w:eastAsia="Calibri"/>
                <w:b/>
                <w:bCs/>
                <w:color w:val="000000"/>
              </w:rPr>
              <w:t>Number of Respondents</w:t>
            </w:r>
          </w:p>
        </w:tc>
        <w:tc>
          <w:tcPr>
            <w:tcW w:w="1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23BD" w:rsidRPr="006C7FAE" w:rsidP="00FE1607" w14:paraId="36A4137A" w14:textId="77777777">
            <w:pPr>
              <w:adjustRightInd/>
              <w:textAlignment w:val="auto"/>
              <w:rPr>
                <w:rFonts w:eastAsia="Calibri"/>
                <w:b/>
                <w:bCs/>
                <w:color w:val="000000"/>
              </w:rPr>
            </w:pPr>
            <w:r w:rsidRPr="006C7FAE">
              <w:rPr>
                <w:rFonts w:eastAsia="Calibri"/>
                <w:b/>
                <w:bCs/>
                <w:color w:val="000000"/>
              </w:rPr>
              <w:t>Frequency of Response</w:t>
            </w:r>
          </w:p>
        </w:tc>
        <w:tc>
          <w:tcPr>
            <w:tcW w:w="10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23BD" w:rsidRPr="006C7FAE" w:rsidP="00FE1607" w14:paraId="4F8C04A0" w14:textId="77777777">
            <w:pPr>
              <w:overflowPunct/>
              <w:autoSpaceDE/>
              <w:autoSpaceDN/>
              <w:adjustRightInd/>
              <w:textAlignment w:val="auto"/>
              <w:rPr>
                <w:rFonts w:eastAsia="Calibri"/>
                <w:b/>
                <w:bCs/>
                <w:color w:val="000000"/>
              </w:rPr>
            </w:pPr>
            <w:r w:rsidRPr="006C7FAE">
              <w:rPr>
                <w:rFonts w:eastAsia="Calibri"/>
                <w:b/>
                <w:bCs/>
                <w:color w:val="000000"/>
              </w:rPr>
              <w:t>Responses</w:t>
            </w:r>
          </w:p>
          <w:p w:rsidR="008423BD" w:rsidRPr="006C7FAE" w:rsidP="00FE1607" w14:paraId="499A536E" w14:textId="77777777">
            <w:pPr>
              <w:adjustRightInd/>
              <w:textAlignment w:val="auto"/>
              <w:rPr>
                <w:rFonts w:eastAsia="Calibri"/>
                <w:b/>
                <w:bCs/>
                <w:color w:val="000000"/>
              </w:rPr>
            </w:pPr>
            <w:r w:rsidRPr="006C7FAE">
              <w:rPr>
                <w:rFonts w:eastAsia="Calibri"/>
                <w:b/>
                <w:bCs/>
                <w:color w:val="000000"/>
              </w:rPr>
              <w:t>Per Annum</w:t>
            </w:r>
          </w:p>
        </w:tc>
        <w:tc>
          <w:tcPr>
            <w:tcW w:w="1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23BD" w:rsidRPr="006C7FAE" w:rsidP="00FE1607" w14:paraId="407F6C9E" w14:textId="77777777">
            <w:pPr>
              <w:adjustRightInd/>
              <w:textAlignment w:val="auto"/>
              <w:rPr>
                <w:rFonts w:eastAsia="Calibri"/>
                <w:b/>
                <w:bCs/>
                <w:color w:val="000000"/>
              </w:rPr>
            </w:pPr>
            <w:r w:rsidRPr="006C7FAE">
              <w:rPr>
                <w:rFonts w:eastAsia="Calibri"/>
                <w:b/>
                <w:bCs/>
                <w:color w:val="000000"/>
              </w:rPr>
              <w:t>Burden Hour Per Response</w:t>
            </w:r>
          </w:p>
        </w:tc>
        <w:tc>
          <w:tcPr>
            <w:tcW w:w="8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23BD" w:rsidRPr="006C7FAE" w:rsidP="00FE1607" w14:paraId="7376B213" w14:textId="77777777">
            <w:pPr>
              <w:adjustRightInd/>
              <w:textAlignment w:val="auto"/>
              <w:rPr>
                <w:rFonts w:eastAsia="Calibri"/>
                <w:b/>
                <w:bCs/>
                <w:color w:val="000000"/>
              </w:rPr>
            </w:pPr>
            <w:r w:rsidRPr="006C7FAE">
              <w:rPr>
                <w:rFonts w:eastAsia="Calibri"/>
                <w:b/>
                <w:bCs/>
                <w:color w:val="000000"/>
              </w:rPr>
              <w:t>Annual Burden Hours</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23BD" w:rsidRPr="006C7FAE" w:rsidP="00FE1607" w14:paraId="2B9A8A73" w14:textId="77777777">
            <w:pPr>
              <w:adjustRightInd/>
              <w:textAlignment w:val="auto"/>
              <w:rPr>
                <w:rFonts w:eastAsia="Calibri"/>
                <w:b/>
                <w:bCs/>
                <w:color w:val="000000"/>
              </w:rPr>
            </w:pPr>
            <w:r w:rsidRPr="006C7FAE">
              <w:rPr>
                <w:rFonts w:eastAsia="Calibri"/>
                <w:b/>
                <w:bCs/>
                <w:color w:val="000000"/>
              </w:rPr>
              <w:t>Hourly Cost Per Response</w:t>
            </w:r>
          </w:p>
        </w:tc>
        <w:tc>
          <w:tcPr>
            <w:tcW w:w="89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23BD" w:rsidRPr="006C7FAE" w:rsidP="00FE1607" w14:paraId="62BE27E1" w14:textId="77777777">
            <w:pPr>
              <w:overflowPunct/>
              <w:autoSpaceDE/>
              <w:autoSpaceDN/>
              <w:adjustRightInd/>
              <w:textAlignment w:val="auto"/>
              <w:rPr>
                <w:rFonts w:eastAsia="Calibri"/>
                <w:b/>
                <w:bCs/>
                <w:color w:val="000000"/>
              </w:rPr>
            </w:pPr>
            <w:r w:rsidRPr="006C7FAE">
              <w:rPr>
                <w:rFonts w:eastAsia="Calibri"/>
                <w:b/>
                <w:bCs/>
                <w:color w:val="000000"/>
              </w:rPr>
              <w:t>Annual Cost</w:t>
            </w:r>
          </w:p>
          <w:p w:rsidR="008423BD" w:rsidRPr="006C7FAE" w:rsidP="00FE1607" w14:paraId="340CD53B" w14:textId="77777777">
            <w:pPr>
              <w:adjustRightInd/>
              <w:textAlignment w:val="auto"/>
              <w:rPr>
                <w:rFonts w:eastAsia="Calibri"/>
                <w:b/>
                <w:bCs/>
                <w:color w:val="000000"/>
              </w:rPr>
            </w:pPr>
          </w:p>
        </w:tc>
      </w:tr>
      <w:tr w14:paraId="0E7AB3C7" w14:textId="77777777" w:rsidTr="00FE1607">
        <w:tblPrEx>
          <w:tblW w:w="9900" w:type="dxa"/>
          <w:tblInd w:w="170" w:type="dxa"/>
          <w:tblCellMar>
            <w:left w:w="0" w:type="dxa"/>
            <w:right w:w="0" w:type="dxa"/>
          </w:tblCellMar>
          <w:tblLook w:val="04A0"/>
        </w:tblPrEx>
        <w:tc>
          <w:tcPr>
            <w:tcW w:w="2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1BB7" w:rsidP="00FE1607" w14:paraId="2CB71485" w14:textId="77777777">
            <w:pPr>
              <w:adjustRightInd/>
              <w:textAlignment w:val="auto"/>
              <w:rPr>
                <w:rFonts w:eastAsia="Calibri"/>
                <w:color w:val="000000"/>
                <w:sz w:val="18"/>
                <w:szCs w:val="18"/>
              </w:rPr>
            </w:pPr>
            <w:bookmarkStart w:id="0" w:name="_Hlk81293518"/>
            <w:r w:rsidRPr="00BE1BB7">
              <w:rPr>
                <w:rFonts w:eastAsia="Calibri"/>
                <w:color w:val="000000"/>
                <w:sz w:val="18"/>
                <w:szCs w:val="18"/>
              </w:rPr>
              <w:t>Legal Instructions Concerning Applications for Full-Insurance Benefits - Assignment of Multifamily and Healthcare Mortgages to the Secretary</w:t>
            </w:r>
          </w:p>
          <w:p w:rsidR="0047398E" w:rsidRPr="00F23706" w:rsidP="00FE1607" w14:paraId="69F7F71A" w14:textId="399B7FC3">
            <w:pPr>
              <w:adjustRightInd/>
              <w:textAlignment w:val="auto"/>
              <w:rPr>
                <w:rFonts w:eastAsia="Calibri"/>
                <w:color w:val="000000"/>
              </w:rPr>
            </w:pPr>
            <w:r w:rsidRPr="00F23706">
              <w:rPr>
                <w:rFonts w:eastAsia="Calibri"/>
                <w:color w:val="000000"/>
                <w:sz w:val="18"/>
                <w:szCs w:val="18"/>
              </w:rPr>
              <w:t xml:space="preserve">HUD </w:t>
            </w:r>
            <w:r w:rsidR="00BE1BB7">
              <w:rPr>
                <w:rFonts w:eastAsia="Calibri"/>
                <w:color w:val="000000"/>
                <w:sz w:val="18"/>
                <w:szCs w:val="18"/>
              </w:rPr>
              <w:t>Form -</w:t>
            </w:r>
            <w:r w:rsidR="00FE1607">
              <w:rPr>
                <w:rFonts w:eastAsia="Calibri"/>
                <w:color w:val="000000"/>
                <w:sz w:val="18"/>
                <w:szCs w:val="18"/>
              </w:rPr>
              <w:t xml:space="preserve"> </w:t>
            </w:r>
            <w:r w:rsidRPr="00F23706">
              <w:rPr>
                <w:rFonts w:eastAsia="Calibri"/>
                <w:color w:val="000000"/>
                <w:sz w:val="18"/>
                <w:szCs w:val="18"/>
              </w:rPr>
              <w:t>2510</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rsidR="0047398E" w:rsidRPr="00F23706" w:rsidP="0047398E" w14:paraId="68CF9D59" w14:textId="669DC7C5">
            <w:pPr>
              <w:adjustRightInd/>
              <w:jc w:val="center"/>
              <w:textAlignment w:val="auto"/>
              <w:rPr>
                <w:rFonts w:eastAsia="Calibri"/>
                <w:color w:val="000000"/>
              </w:rPr>
            </w:pPr>
            <w:r w:rsidRPr="00F23706">
              <w:rPr>
                <w:rFonts w:eastAsia="Calibri"/>
                <w:color w:val="000000"/>
                <w:sz w:val="18"/>
                <w:szCs w:val="18"/>
              </w:rPr>
              <w:t>24</w:t>
            </w:r>
          </w:p>
        </w:tc>
        <w:tc>
          <w:tcPr>
            <w:tcW w:w="1303" w:type="dxa"/>
            <w:tcBorders>
              <w:top w:val="nil"/>
              <w:left w:val="nil"/>
              <w:bottom w:val="single" w:sz="8" w:space="0" w:color="auto"/>
              <w:right w:val="single" w:sz="8" w:space="0" w:color="auto"/>
            </w:tcBorders>
            <w:tcMar>
              <w:top w:w="0" w:type="dxa"/>
              <w:left w:w="108" w:type="dxa"/>
              <w:bottom w:w="0" w:type="dxa"/>
              <w:right w:w="108" w:type="dxa"/>
            </w:tcMar>
          </w:tcPr>
          <w:p w:rsidR="0047398E" w:rsidRPr="00F23706" w:rsidP="0047398E" w14:paraId="7FD457AA" w14:textId="4E05CCCC">
            <w:pPr>
              <w:adjustRightInd/>
              <w:jc w:val="center"/>
              <w:textAlignment w:val="auto"/>
              <w:rPr>
                <w:rFonts w:eastAsia="Calibri"/>
                <w:color w:val="000000"/>
              </w:rPr>
            </w:pPr>
            <w:r w:rsidRPr="00F23706">
              <w:rPr>
                <w:rFonts w:eastAsia="Calibri"/>
                <w:color w:val="000000"/>
                <w:sz w:val="18"/>
                <w:szCs w:val="18"/>
              </w:rPr>
              <w:t>1</w:t>
            </w:r>
          </w:p>
        </w:tc>
        <w:tc>
          <w:tcPr>
            <w:tcW w:w="1014" w:type="dxa"/>
            <w:tcBorders>
              <w:top w:val="nil"/>
              <w:left w:val="nil"/>
              <w:bottom w:val="single" w:sz="8" w:space="0" w:color="auto"/>
              <w:right w:val="single" w:sz="8" w:space="0" w:color="auto"/>
            </w:tcBorders>
            <w:tcMar>
              <w:top w:w="0" w:type="dxa"/>
              <w:left w:w="108" w:type="dxa"/>
              <w:bottom w:w="0" w:type="dxa"/>
              <w:right w:w="108" w:type="dxa"/>
            </w:tcMar>
          </w:tcPr>
          <w:p w:rsidR="0047398E" w:rsidRPr="00F23706" w:rsidP="0047398E" w14:paraId="10340A06" w14:textId="4F8E8E18">
            <w:pPr>
              <w:adjustRightInd/>
              <w:jc w:val="center"/>
              <w:textAlignment w:val="auto"/>
              <w:rPr>
                <w:rFonts w:eastAsia="Calibri"/>
                <w:color w:val="000000"/>
              </w:rPr>
            </w:pPr>
            <w:r w:rsidRPr="00F23706">
              <w:rPr>
                <w:rFonts w:eastAsia="Calibri"/>
                <w:color w:val="000000"/>
                <w:sz w:val="18"/>
                <w:szCs w:val="18"/>
              </w:rPr>
              <w:t>24</w:t>
            </w:r>
          </w:p>
        </w:tc>
        <w:tc>
          <w:tcPr>
            <w:tcW w:w="1075" w:type="dxa"/>
            <w:tcBorders>
              <w:top w:val="nil"/>
              <w:left w:val="nil"/>
              <w:bottom w:val="single" w:sz="8" w:space="0" w:color="auto"/>
              <w:right w:val="single" w:sz="8" w:space="0" w:color="auto"/>
            </w:tcBorders>
            <w:tcMar>
              <w:top w:w="0" w:type="dxa"/>
              <w:left w:w="108" w:type="dxa"/>
              <w:bottom w:w="0" w:type="dxa"/>
              <w:right w:w="108" w:type="dxa"/>
            </w:tcMar>
          </w:tcPr>
          <w:p w:rsidR="0047398E" w:rsidRPr="00F23706" w:rsidP="0047398E" w14:paraId="377145FF" w14:textId="2AEDFC59">
            <w:pPr>
              <w:adjustRightInd/>
              <w:jc w:val="center"/>
              <w:textAlignment w:val="auto"/>
              <w:rPr>
                <w:rFonts w:eastAsia="Calibri"/>
                <w:color w:val="000000"/>
              </w:rPr>
            </w:pPr>
            <w:r w:rsidRPr="00F23706">
              <w:rPr>
                <w:rFonts w:eastAsia="Calibri"/>
                <w:color w:val="000000"/>
                <w:sz w:val="18"/>
                <w:szCs w:val="18"/>
              </w:rPr>
              <w:t>50</w:t>
            </w:r>
          </w:p>
        </w:tc>
        <w:tc>
          <w:tcPr>
            <w:tcW w:w="861" w:type="dxa"/>
            <w:tcBorders>
              <w:top w:val="nil"/>
              <w:left w:val="nil"/>
              <w:bottom w:val="single" w:sz="8" w:space="0" w:color="auto"/>
              <w:right w:val="single" w:sz="8" w:space="0" w:color="auto"/>
            </w:tcBorders>
            <w:tcMar>
              <w:top w:w="0" w:type="dxa"/>
              <w:left w:w="108" w:type="dxa"/>
              <w:bottom w:w="0" w:type="dxa"/>
              <w:right w:w="108" w:type="dxa"/>
            </w:tcMar>
          </w:tcPr>
          <w:p w:rsidR="0047398E" w:rsidRPr="00F23706" w:rsidP="0047398E" w14:paraId="0F971BDC" w14:textId="06F69CB4">
            <w:pPr>
              <w:adjustRightInd/>
              <w:jc w:val="center"/>
              <w:textAlignment w:val="auto"/>
              <w:rPr>
                <w:rFonts w:eastAsia="Calibri"/>
                <w:color w:val="000000"/>
              </w:rPr>
            </w:pPr>
            <w:r w:rsidRPr="00F23706">
              <w:rPr>
                <w:rFonts w:eastAsia="Calibri"/>
                <w:color w:val="000000"/>
                <w:sz w:val="18"/>
                <w:szCs w:val="18"/>
              </w:rPr>
              <w:t>1200</w:t>
            </w:r>
          </w:p>
        </w:tc>
        <w:tc>
          <w:tcPr>
            <w:tcW w:w="1019" w:type="dxa"/>
            <w:tcBorders>
              <w:top w:val="nil"/>
              <w:left w:val="nil"/>
              <w:bottom w:val="single" w:sz="8" w:space="0" w:color="auto"/>
              <w:right w:val="single" w:sz="8" w:space="0" w:color="auto"/>
            </w:tcBorders>
            <w:tcMar>
              <w:top w:w="0" w:type="dxa"/>
              <w:left w:w="108" w:type="dxa"/>
              <w:bottom w:w="0" w:type="dxa"/>
              <w:right w:w="108" w:type="dxa"/>
            </w:tcMar>
          </w:tcPr>
          <w:p w:rsidR="0047398E" w:rsidRPr="00F23706" w:rsidP="00F23706" w14:paraId="331480B1" w14:textId="0A7931B1">
            <w:pPr>
              <w:adjustRightInd/>
              <w:jc w:val="center"/>
              <w:textAlignment w:val="auto"/>
              <w:rPr>
                <w:rFonts w:eastAsia="Calibri"/>
                <w:color w:val="000000"/>
              </w:rPr>
            </w:pPr>
            <w:r w:rsidRPr="00F23706">
              <w:rPr>
                <w:rFonts w:eastAsia="Calibri"/>
                <w:color w:val="000000"/>
                <w:sz w:val="18"/>
                <w:szCs w:val="18"/>
              </w:rPr>
              <w:t>$</w:t>
            </w:r>
            <w:r w:rsidRPr="000C622F" w:rsidR="000C622F">
              <w:rPr>
                <w:rFonts w:eastAsia="Calibri"/>
                <w:color w:val="000000"/>
                <w:sz w:val="18"/>
                <w:szCs w:val="18"/>
              </w:rPr>
              <w:t>87.86</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rsidR="0047398E" w:rsidRPr="00F23706" w:rsidP="0047398E" w14:paraId="3499E1DD" w14:textId="172C3B24">
            <w:pPr>
              <w:adjustRightInd/>
              <w:jc w:val="right"/>
              <w:textAlignment w:val="auto"/>
              <w:rPr>
                <w:rFonts w:eastAsia="Calibri"/>
                <w:color w:val="000000"/>
              </w:rPr>
            </w:pPr>
            <w:r w:rsidRPr="00F23706">
              <w:rPr>
                <w:rFonts w:eastAsia="Calibri"/>
                <w:color w:val="000000"/>
                <w:sz w:val="18"/>
                <w:szCs w:val="18"/>
              </w:rPr>
              <w:t>$10</w:t>
            </w:r>
            <w:r w:rsidR="00A5000A">
              <w:rPr>
                <w:rFonts w:eastAsia="Calibri"/>
                <w:color w:val="000000"/>
                <w:sz w:val="18"/>
                <w:szCs w:val="18"/>
              </w:rPr>
              <w:t>5,432</w:t>
            </w:r>
          </w:p>
        </w:tc>
      </w:tr>
    </w:tbl>
    <w:bookmarkEnd w:id="0"/>
    <w:p w:rsidR="009E13B1" w:rsidRPr="00F23706" w14:paraId="197E2D1B" w14:textId="33C6D1AB">
      <w:pPr>
        <w:keepLines/>
        <w:tabs>
          <w:tab w:val="left" w:pos="360"/>
          <w:tab w:val="left" w:pos="720"/>
          <w:tab w:val="center" w:pos="1680"/>
          <w:tab w:val="center" w:pos="3120"/>
          <w:tab w:val="center" w:pos="4560"/>
          <w:tab w:val="center" w:pos="6000"/>
          <w:tab w:val="center" w:pos="7440"/>
          <w:tab w:val="center" w:pos="8880"/>
        </w:tabs>
        <w:ind w:left="360"/>
      </w:pPr>
      <w:r>
        <w:t xml:space="preserve">*Please note </w:t>
      </w:r>
      <w:r w:rsidR="00FE4E70">
        <w:t xml:space="preserve">the Legal Instructions and associated Exhibits A through D form one single document (HUD </w:t>
      </w:r>
      <w:r w:rsidR="00F23706">
        <w:t xml:space="preserve">2510). The Exhibits </w:t>
      </w:r>
      <w:r w:rsidR="360643E8">
        <w:t>are</w:t>
      </w:r>
      <w:r w:rsidR="00F23706">
        <w:t xml:space="preserve"> separate</w:t>
      </w:r>
      <w:r w:rsidR="63D6CB06">
        <w:t>d</w:t>
      </w:r>
      <w:r w:rsidR="181ACE02">
        <w:t xml:space="preserve"> </w:t>
      </w:r>
      <w:r w:rsidR="00F23706">
        <w:t>from the Legal Instructions for convenience and ease of review.</w:t>
      </w:r>
    </w:p>
    <w:p w:rsidR="00E00D88" w:rsidP="00A312DA" w14:paraId="5A31185B"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000D5079" w:rsidRPr="00263696" w14:paraId="0CEE4D0B" w14:textId="77777777">
      <w:pPr>
        <w:tabs>
          <w:tab w:val="left" w:pos="360"/>
        </w:tabs>
        <w:ind w:left="360" w:hanging="360"/>
        <w:rPr>
          <w:b/>
          <w:bCs/>
          <w:sz w:val="24"/>
          <w:szCs w:val="24"/>
        </w:rPr>
      </w:pPr>
      <w:r w:rsidRPr="00263696">
        <w:rPr>
          <w:b/>
          <w:bCs/>
          <w:sz w:val="24"/>
          <w:szCs w:val="24"/>
        </w:rPr>
        <w:t>13.</w:t>
      </w:r>
      <w:r w:rsidRPr="00263696">
        <w:rPr>
          <w:b/>
          <w:bCs/>
          <w:sz w:val="24"/>
          <w:szCs w:val="24"/>
        </w:rPr>
        <w:tab/>
        <w:t>Provide an estimate of the total annual cost burden to respondents or recordkeepers resulting from the collection of information</w:t>
      </w:r>
      <w:r w:rsidRPr="00263696">
        <w:rPr>
          <w:b/>
          <w:bCs/>
          <w:sz w:val="24"/>
          <w:szCs w:val="24"/>
        </w:rPr>
        <w:t>. (Do not include the cost of any hour burden already reflected on the burden worksheet</w:t>
      </w:r>
      <w:r w:rsidRPr="00263696">
        <w:rPr>
          <w:b/>
          <w:bCs/>
          <w:sz w:val="24"/>
          <w:szCs w:val="24"/>
        </w:rPr>
        <w:t xml:space="preserve"> shown in Items 12 and 14).</w:t>
      </w:r>
    </w:p>
    <w:p w:rsidR="009E13B1" w:rsidRPr="00263696" w14:paraId="2D0E6548" w14:textId="77777777">
      <w:pPr>
        <w:tabs>
          <w:tab w:val="left" w:pos="360"/>
        </w:tabs>
        <w:ind w:left="360" w:hanging="360"/>
        <w:rPr>
          <w:b/>
          <w:bCs/>
          <w:sz w:val="24"/>
          <w:szCs w:val="24"/>
        </w:rPr>
      </w:pPr>
      <w:r w:rsidRPr="00263696">
        <w:rPr>
          <w:b/>
          <w:bCs/>
          <w:sz w:val="24"/>
          <w:szCs w:val="24"/>
        </w:rPr>
        <w:t xml:space="preserve"> </w:t>
      </w:r>
    </w:p>
    <w:p w:rsidR="009E13B1" w:rsidRPr="00263696" w14:paraId="1C503D2C" w14:textId="77777777">
      <w:pPr>
        <w:numPr>
          <w:ilvl w:val="0"/>
          <w:numId w:val="14"/>
        </w:numPr>
        <w:tabs>
          <w:tab w:val="left" w:pos="360"/>
        </w:tabs>
        <w:ind w:left="480"/>
        <w:rPr>
          <w:b/>
          <w:bCs/>
          <w:sz w:val="24"/>
          <w:szCs w:val="24"/>
        </w:rPr>
      </w:pPr>
      <w:r w:rsidRPr="00263696">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263696">
        <w:rPr>
          <w:b/>
          <w:bCs/>
          <w:sz w:val="24"/>
          <w:szCs w:val="24"/>
        </w:rPr>
        <w:t>take into account</w:t>
      </w:r>
      <w:r w:rsidRPr="00263696">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63696">
        <w:rPr>
          <w:b/>
          <w:bCs/>
          <w:sz w:val="24"/>
          <w:szCs w:val="24"/>
        </w:rPr>
        <w:t>time period</w:t>
      </w:r>
      <w:r w:rsidRPr="00263696">
        <w:rPr>
          <w:b/>
          <w:bCs/>
          <w:sz w:val="24"/>
          <w:szCs w:val="24"/>
        </w:rPr>
        <w:t xml:space="preserve"> </w:t>
      </w:r>
      <w:r w:rsidRPr="00263696">
        <w:rPr>
          <w:b/>
          <w:bCs/>
          <w:sz w:val="24"/>
          <w:szCs w:val="24"/>
        </w:rPr>
        <w:t>over</w:t>
      </w:r>
      <w:r w:rsidRPr="00263696">
        <w:rPr>
          <w:b/>
          <w:bCs/>
          <w:sz w:val="24"/>
          <w:szCs w:val="24"/>
        </w:rPr>
        <w:t xml:space="preserve"> which costs will be incurred.  Capital and start-up costs include, among other items, preparations for collecting information such as purchasing computers and software; monitoring, sampling, drilling and testing equipment; and record storage </w:t>
      </w:r>
      <w:r w:rsidRPr="00263696">
        <w:rPr>
          <w:b/>
          <w:bCs/>
          <w:sz w:val="24"/>
          <w:szCs w:val="24"/>
        </w:rPr>
        <w:t>facilities;</w:t>
      </w:r>
      <w:r w:rsidRPr="00263696">
        <w:rPr>
          <w:b/>
          <w:bCs/>
          <w:sz w:val="24"/>
          <w:szCs w:val="24"/>
        </w:rPr>
        <w:t xml:space="preserve"> </w:t>
      </w:r>
    </w:p>
    <w:p w:rsidR="009E13B1" w:rsidRPr="00263696" w14:paraId="4D47756F" w14:textId="77777777">
      <w:pPr>
        <w:numPr>
          <w:ilvl w:val="0"/>
          <w:numId w:val="14"/>
        </w:numPr>
        <w:tabs>
          <w:tab w:val="left" w:pos="360"/>
        </w:tabs>
        <w:ind w:left="480"/>
        <w:rPr>
          <w:b/>
          <w:bCs/>
          <w:sz w:val="24"/>
          <w:szCs w:val="24"/>
        </w:rPr>
      </w:pPr>
      <w:r w:rsidRPr="00263696">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w:t>
      </w:r>
      <w:r w:rsidRPr="00263696">
        <w:rPr>
          <w:b/>
          <w:bCs/>
          <w:sz w:val="24"/>
          <w:szCs w:val="24"/>
        </w:rPr>
        <w:t>burden estimate</w:t>
      </w:r>
      <w:r w:rsidRPr="00263696">
        <w:rPr>
          <w:b/>
          <w:bCs/>
          <w:sz w:val="24"/>
          <w:szCs w:val="24"/>
        </w:rPr>
        <w:t xml:space="preserv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497102DC" w14:textId="77777777">
      <w:pPr>
        <w:keepLines/>
        <w:numPr>
          <w:ilvl w:val="0"/>
          <w:numId w:val="14"/>
        </w:numPr>
        <w:tabs>
          <w:tab w:val="left" w:pos="360"/>
        </w:tabs>
        <w:spacing w:after="80"/>
        <w:ind w:left="480"/>
        <w:rPr>
          <w:b/>
          <w:bCs/>
          <w:sz w:val="24"/>
          <w:szCs w:val="24"/>
        </w:rPr>
      </w:pPr>
      <w:r w:rsidRPr="00263696">
        <w:rPr>
          <w:b/>
          <w:bCs/>
          <w:sz w:val="24"/>
          <w:szCs w:val="24"/>
        </w:rPr>
        <w:t>G</w:t>
      </w:r>
      <w:r w:rsidRPr="00263696">
        <w:rPr>
          <w:b/>
          <w:bCs/>
          <w:sz w:val="24"/>
          <w:szCs w:val="24"/>
        </w:rPr>
        <w:t xml:space="preserve">enerally, estimates should not include purchases of equipment or services, or portions thereof made: (1) prior to October 1, 1995, (2) to achieve regulatory compliance with requirements not associated with the information collection, (3) for reasons other than </w:t>
      </w:r>
      <w:r w:rsidRPr="00263696">
        <w:rPr>
          <w:b/>
          <w:bCs/>
          <w:sz w:val="24"/>
          <w:szCs w:val="24"/>
        </w:rPr>
        <w:t>to provide</w:t>
      </w:r>
      <w:r w:rsidRPr="00263696">
        <w:rPr>
          <w:b/>
          <w:bCs/>
          <w:sz w:val="24"/>
          <w:szCs w:val="24"/>
        </w:rPr>
        <w:t xml:space="preserve"> information or </w:t>
      </w:r>
      <w:r w:rsidRPr="00263696">
        <w:rPr>
          <w:b/>
          <w:bCs/>
          <w:sz w:val="24"/>
          <w:szCs w:val="24"/>
        </w:rPr>
        <w:t>keep</w:t>
      </w:r>
      <w:r w:rsidRPr="00263696">
        <w:rPr>
          <w:b/>
          <w:bCs/>
          <w:sz w:val="24"/>
          <w:szCs w:val="24"/>
        </w:rPr>
        <w:t xml:space="preserve"> records for the government, or (4) as part of customary and usual business or private practices.</w:t>
      </w:r>
    </w:p>
    <w:p w:rsidR="003549E8" w:rsidP="003549E8" w14:paraId="6F0541FB" w14:textId="77777777">
      <w:pPr>
        <w:pStyle w:val="NoSpacing"/>
      </w:pPr>
    </w:p>
    <w:p w:rsidR="00F131B4" w:rsidP="00263696" w14:paraId="38A7D7F5" w14:textId="376D1682">
      <w:pPr>
        <w:keepLines/>
        <w:tabs>
          <w:tab w:val="left" w:pos="360"/>
        </w:tabs>
        <w:spacing w:after="80"/>
        <w:ind w:left="360"/>
        <w:rPr>
          <w:sz w:val="24"/>
          <w:szCs w:val="24"/>
        </w:rPr>
      </w:pPr>
      <w:r w:rsidRPr="00263696">
        <w:rPr>
          <w:sz w:val="24"/>
          <w:szCs w:val="24"/>
        </w:rPr>
        <w:t>There are no capital or start-up costs.  There are no cost burdens to respondents for operation and</w:t>
      </w:r>
      <w:r>
        <w:rPr>
          <w:sz w:val="24"/>
          <w:szCs w:val="24"/>
        </w:rPr>
        <w:t xml:space="preserve"> </w:t>
      </w:r>
      <w:r w:rsidRPr="00263696">
        <w:rPr>
          <w:sz w:val="24"/>
          <w:szCs w:val="24"/>
        </w:rPr>
        <w:t>maintenance.</w:t>
      </w:r>
    </w:p>
    <w:p w:rsidR="003549E8" w:rsidP="003549E8" w14:paraId="7246D486" w14:textId="0AFE794F">
      <w:pPr>
        <w:pStyle w:val="NoSpacing"/>
      </w:pPr>
      <w:r>
        <w:tab/>
      </w:r>
    </w:p>
    <w:p w:rsidR="00FE1607" w:rsidP="003549E8" w14:paraId="0046A1A8" w14:textId="77777777">
      <w:pPr>
        <w:pStyle w:val="NoSpacing"/>
      </w:pPr>
    </w:p>
    <w:p w:rsidR="00FE1607" w:rsidP="003549E8" w14:paraId="6149252E" w14:textId="77777777">
      <w:pPr>
        <w:pStyle w:val="NoSpacing"/>
      </w:pPr>
    </w:p>
    <w:p w:rsidR="00FE1607" w:rsidP="003549E8" w14:paraId="5FD34847" w14:textId="77777777">
      <w:pPr>
        <w:pStyle w:val="NoSpacing"/>
      </w:pPr>
    </w:p>
    <w:p w:rsidR="009E13B1" w14:paraId="0F877C1B" w14:textId="77777777">
      <w:pPr>
        <w:keepLines/>
        <w:tabs>
          <w:tab w:val="left" w:pos="360"/>
        </w:tabs>
        <w:spacing w:after="80"/>
        <w:ind w:left="360" w:hanging="360"/>
        <w:rPr>
          <w:b/>
          <w:bCs/>
          <w:sz w:val="24"/>
          <w:szCs w:val="24"/>
        </w:rPr>
      </w:pPr>
      <w:r w:rsidRPr="00263696">
        <w:rPr>
          <w:b/>
          <w:bCs/>
          <w:sz w:val="24"/>
          <w:szCs w:val="24"/>
        </w:rPr>
        <w:t>14.</w:t>
      </w:r>
      <w:r w:rsidRPr="00263696">
        <w:rPr>
          <w:b/>
          <w:bCs/>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263696">
        <w:rPr>
          <w:b/>
          <w:bCs/>
          <w:sz w:val="24"/>
          <w:szCs w:val="24"/>
        </w:rPr>
        <w:t>expense</w:t>
      </w:r>
      <w:r w:rsidRPr="00263696">
        <w:rPr>
          <w:b/>
          <w:bCs/>
          <w:sz w:val="24"/>
          <w:szCs w:val="24"/>
        </w:rPr>
        <w:t xml:space="preserve"> that would not have been incurred without this collection of information.  Agencies also may aggregate cost estimates from Items 12, 13, and 14 in a single table.</w:t>
      </w:r>
    </w:p>
    <w:p w:rsidR="00FB30BE" w:rsidP="00FB30BE" w14:paraId="15BE8421" w14:textId="440600C8">
      <w:pPr>
        <w:rPr>
          <w:bCs/>
          <w:snapToGrid w:val="0"/>
          <w:sz w:val="22"/>
        </w:rPr>
      </w:pPr>
    </w:p>
    <w:p w:rsidR="00FB30BE" w:rsidRPr="00BB5948" w:rsidP="00FB30BE" w14:paraId="48DFA694" w14:textId="77777777">
      <w:pPr>
        <w:pStyle w:val="BodyTextIndent2"/>
        <w:spacing w:after="0" w:line="240" w:lineRule="auto"/>
      </w:pPr>
      <w:r>
        <w:t>For each claim filed, a paralegal specialist (typically a GS12) will spend an average of 3 hours and two GS14 attorney advisors will each spend approximately 16 hours reviewing the claim documents and corresponding with mortgagee’s counsel to ensure compliance with the Legal Instructions. Assuming an hourly rate of $</w:t>
      </w:r>
      <w:r w:rsidRPr="0054386A">
        <w:t>55.07</w:t>
      </w:r>
      <w:r>
        <w:t xml:space="preserve"> (GS12, Step 5) for the paralegal specialist and an hourly rate of $77.38 (GS14, Step 5) for the attorney advisors, the labor cost will be approximately </w:t>
      </w:r>
      <w:r w:rsidRPr="00A7534A">
        <w:t>$</w:t>
      </w:r>
      <w:r>
        <w:t>2,641.37</w:t>
      </w:r>
      <w:r w:rsidRPr="00F50872">
        <w:t xml:space="preserve"> for staff review of the insurance claim.  An additional 2 hours of the supervising attorney ($91.02 for a GS15, Step 5) adds approximately an additional $182.04 to the claim review.  (See OPM table of federal wages which</w:t>
      </w:r>
      <w:r>
        <w:t xml:space="preserve"> provide an hourly rate </w:t>
      </w:r>
      <w:r w:rsidRPr="00D750F5">
        <w:t>https://www.opm.gov/policy-data-oversight/pay-leave/salaries-wages/salary-tables/25Tables/html/DCB_h.aspx</w:t>
      </w:r>
      <w:r>
        <w:t>)  Therefore, the HUD employee wage cost per appl</w:t>
      </w:r>
      <w:r w:rsidRPr="00BB5948">
        <w:t>ication is $2,</w:t>
      </w:r>
      <w:r>
        <w:t>823.41</w:t>
      </w:r>
      <w:r w:rsidRPr="00BB5948">
        <w:t>, which reflects the total cost to the federal government per insurance claim.</w:t>
      </w:r>
    </w:p>
    <w:p w:rsidR="00FB30BE" w:rsidRPr="00BB5948" w:rsidP="00FB30BE" w14:paraId="47064545" w14:textId="77777777">
      <w:pPr>
        <w:pStyle w:val="BodyTextIndent"/>
        <w:spacing w:after="0" w:line="240" w:lineRule="auto"/>
        <w:rPr>
          <w:b/>
          <w:szCs w:val="24"/>
        </w:rPr>
      </w:pPr>
    </w:p>
    <w:p w:rsidR="00FB30BE" w:rsidRPr="00D922CC" w:rsidP="00FB30BE" w14:paraId="569C492C" w14:textId="77777777">
      <w:pPr>
        <w:pStyle w:val="BodyTextIndent"/>
        <w:spacing w:after="0" w:line="240" w:lineRule="auto"/>
      </w:pPr>
      <w:r w:rsidRPr="00BB5948">
        <w:t>Total estimated annualized costs to the Federal government are $</w:t>
      </w:r>
      <w:r>
        <w:t xml:space="preserve">67,761.84 </w:t>
      </w:r>
      <w:r w:rsidRPr="00BB5948">
        <w:t>based on 37 hours processing time at $2</w:t>
      </w:r>
      <w:r>
        <w:t xml:space="preserve">,823.41 </w:t>
      </w:r>
      <w:r w:rsidRPr="43CFF13D">
        <w:t xml:space="preserve">per claim for </w:t>
      </w:r>
      <w:r>
        <w:t>24</w:t>
      </w:r>
      <w:r w:rsidRPr="43CFF13D">
        <w:t xml:space="preserve"> responses.</w:t>
      </w:r>
    </w:p>
    <w:p w:rsidR="00FB30BE" w:rsidRPr="00263696" w14:paraId="6C0555CB" w14:textId="44B00669">
      <w:pPr>
        <w:keepLines/>
        <w:tabs>
          <w:tab w:val="left" w:pos="360"/>
        </w:tabs>
        <w:spacing w:after="80"/>
        <w:ind w:left="360" w:hanging="360"/>
        <w:rPr>
          <w:b/>
          <w:bCs/>
          <w:sz w:val="24"/>
          <w:szCs w:val="24"/>
        </w:rPr>
      </w:pPr>
    </w:p>
    <w:tbl>
      <w:tblPr>
        <w:tblW w:w="972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02"/>
        <w:gridCol w:w="1388"/>
        <w:gridCol w:w="1090"/>
        <w:gridCol w:w="1059"/>
        <w:gridCol w:w="984"/>
        <w:gridCol w:w="835"/>
        <w:gridCol w:w="1116"/>
        <w:gridCol w:w="1746"/>
      </w:tblGrid>
      <w:tr w14:paraId="429251E2" w14:textId="77777777" w:rsidTr="00B17B6B">
        <w:tblPrEx>
          <w:tblW w:w="972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782"/>
        </w:trPr>
        <w:tc>
          <w:tcPr>
            <w:tcW w:w="1502" w:type="dxa"/>
            <w:tcMar>
              <w:top w:w="0" w:type="dxa"/>
              <w:left w:w="108" w:type="dxa"/>
              <w:bottom w:w="0" w:type="dxa"/>
              <w:right w:w="108" w:type="dxa"/>
            </w:tcMar>
            <w:hideMark/>
          </w:tcPr>
          <w:p w:rsidR="00B17B6B" w:rsidRPr="00484D1B" w:rsidP="00D234BF" w14:paraId="615E7344" w14:textId="77777777">
            <w:pPr>
              <w:jc w:val="center"/>
              <w:rPr>
                <w:rFonts w:eastAsia="Calibri"/>
                <w:b/>
                <w:bCs/>
                <w:color w:val="000000"/>
                <w:sz w:val="18"/>
                <w:szCs w:val="18"/>
              </w:rPr>
            </w:pPr>
            <w:r w:rsidRPr="00484D1B">
              <w:rPr>
                <w:rFonts w:eastAsia="Calibri"/>
                <w:b/>
                <w:bCs/>
                <w:color w:val="000000"/>
                <w:sz w:val="18"/>
                <w:szCs w:val="18"/>
              </w:rPr>
              <w:t>Information Collection</w:t>
            </w:r>
          </w:p>
          <w:p w:rsidR="00B17B6B" w:rsidRPr="00B17B6B" w:rsidP="00D234BF" w14:paraId="7F78DD87" w14:textId="77777777">
            <w:pPr>
              <w:jc w:val="center"/>
              <w:rPr>
                <w:rFonts w:eastAsia="Calibri"/>
                <w:color w:val="000000"/>
                <w:sz w:val="18"/>
                <w:szCs w:val="18"/>
              </w:rPr>
            </w:pPr>
            <w:r w:rsidRPr="00B17B6B">
              <w:rPr>
                <w:rFonts w:eastAsia="Calibri"/>
                <w:color w:val="000000"/>
                <w:sz w:val="18"/>
                <w:szCs w:val="18"/>
              </w:rPr>
              <w:t>2510-0006</w:t>
            </w:r>
          </w:p>
        </w:tc>
        <w:tc>
          <w:tcPr>
            <w:tcW w:w="1388" w:type="dxa"/>
            <w:tcMar>
              <w:top w:w="0" w:type="dxa"/>
              <w:left w:w="108" w:type="dxa"/>
              <w:bottom w:w="0" w:type="dxa"/>
              <w:right w:w="108" w:type="dxa"/>
            </w:tcMar>
            <w:hideMark/>
          </w:tcPr>
          <w:p w:rsidR="00B17B6B" w:rsidRPr="00484D1B" w:rsidP="00D234BF" w14:paraId="5AD77E79" w14:textId="77777777">
            <w:pPr>
              <w:jc w:val="center"/>
              <w:rPr>
                <w:rFonts w:eastAsia="Calibri"/>
                <w:b/>
                <w:bCs/>
                <w:color w:val="000000"/>
                <w:sz w:val="18"/>
                <w:szCs w:val="18"/>
              </w:rPr>
            </w:pPr>
            <w:r w:rsidRPr="00484D1B">
              <w:rPr>
                <w:rFonts w:eastAsia="Calibri"/>
                <w:b/>
                <w:bCs/>
                <w:color w:val="000000"/>
                <w:sz w:val="18"/>
                <w:szCs w:val="18"/>
              </w:rPr>
              <w:t>Number of Respondents</w:t>
            </w:r>
          </w:p>
        </w:tc>
        <w:tc>
          <w:tcPr>
            <w:tcW w:w="1090" w:type="dxa"/>
            <w:tcMar>
              <w:top w:w="0" w:type="dxa"/>
              <w:left w:w="108" w:type="dxa"/>
              <w:bottom w:w="0" w:type="dxa"/>
              <w:right w:w="108" w:type="dxa"/>
            </w:tcMar>
            <w:hideMark/>
          </w:tcPr>
          <w:p w:rsidR="00B17B6B" w:rsidRPr="00484D1B" w:rsidP="00D234BF" w14:paraId="181BE0AB" w14:textId="77777777">
            <w:pPr>
              <w:jc w:val="center"/>
              <w:rPr>
                <w:rFonts w:eastAsia="Calibri"/>
                <w:b/>
                <w:bCs/>
                <w:color w:val="000000"/>
                <w:sz w:val="18"/>
                <w:szCs w:val="18"/>
              </w:rPr>
            </w:pPr>
            <w:r w:rsidRPr="00484D1B">
              <w:rPr>
                <w:rFonts w:eastAsia="Calibri"/>
                <w:b/>
                <w:bCs/>
                <w:color w:val="000000"/>
                <w:sz w:val="18"/>
                <w:szCs w:val="18"/>
              </w:rPr>
              <w:t>Frequency of Response</w:t>
            </w:r>
          </w:p>
        </w:tc>
        <w:tc>
          <w:tcPr>
            <w:tcW w:w="1059" w:type="dxa"/>
            <w:tcMar>
              <w:top w:w="0" w:type="dxa"/>
              <w:left w:w="108" w:type="dxa"/>
              <w:bottom w:w="0" w:type="dxa"/>
              <w:right w:w="108" w:type="dxa"/>
            </w:tcMar>
            <w:hideMark/>
          </w:tcPr>
          <w:p w:rsidR="00B17B6B" w:rsidRPr="00484D1B" w:rsidP="00D234BF" w14:paraId="0086CB81" w14:textId="77777777">
            <w:pPr>
              <w:jc w:val="center"/>
              <w:rPr>
                <w:rFonts w:eastAsia="Calibri"/>
                <w:b/>
                <w:bCs/>
                <w:color w:val="000000"/>
                <w:sz w:val="18"/>
                <w:szCs w:val="18"/>
              </w:rPr>
            </w:pPr>
            <w:r w:rsidRPr="00484D1B">
              <w:rPr>
                <w:rFonts w:eastAsia="Calibri"/>
                <w:b/>
                <w:bCs/>
                <w:color w:val="000000"/>
                <w:sz w:val="18"/>
                <w:szCs w:val="18"/>
              </w:rPr>
              <w:t>Responses</w:t>
            </w:r>
          </w:p>
          <w:p w:rsidR="00B17B6B" w:rsidRPr="00484D1B" w:rsidP="00D234BF" w14:paraId="4E39BD00" w14:textId="77777777">
            <w:pPr>
              <w:jc w:val="center"/>
              <w:rPr>
                <w:rFonts w:eastAsia="Calibri"/>
                <w:b/>
                <w:bCs/>
                <w:color w:val="000000"/>
                <w:sz w:val="18"/>
                <w:szCs w:val="18"/>
              </w:rPr>
            </w:pPr>
            <w:r w:rsidRPr="00484D1B">
              <w:rPr>
                <w:rFonts w:eastAsia="Calibri"/>
                <w:b/>
                <w:bCs/>
                <w:color w:val="000000"/>
                <w:sz w:val="18"/>
                <w:szCs w:val="18"/>
              </w:rPr>
              <w:t>Per Annum</w:t>
            </w:r>
          </w:p>
        </w:tc>
        <w:tc>
          <w:tcPr>
            <w:tcW w:w="984" w:type="dxa"/>
            <w:tcMar>
              <w:top w:w="0" w:type="dxa"/>
              <w:left w:w="108" w:type="dxa"/>
              <w:bottom w:w="0" w:type="dxa"/>
              <w:right w:w="108" w:type="dxa"/>
            </w:tcMar>
            <w:hideMark/>
          </w:tcPr>
          <w:p w:rsidR="00B17B6B" w:rsidRPr="00484D1B" w:rsidP="00D234BF" w14:paraId="18147821" w14:textId="77777777">
            <w:pPr>
              <w:jc w:val="center"/>
              <w:rPr>
                <w:rFonts w:eastAsia="Calibri"/>
                <w:b/>
                <w:bCs/>
                <w:color w:val="000000"/>
                <w:sz w:val="18"/>
                <w:szCs w:val="18"/>
              </w:rPr>
            </w:pPr>
            <w:r w:rsidRPr="00484D1B">
              <w:rPr>
                <w:rFonts w:eastAsia="Calibri"/>
                <w:b/>
                <w:bCs/>
                <w:color w:val="000000"/>
                <w:sz w:val="18"/>
                <w:szCs w:val="18"/>
              </w:rPr>
              <w:t>Burden Hour Per Response</w:t>
            </w:r>
          </w:p>
        </w:tc>
        <w:tc>
          <w:tcPr>
            <w:tcW w:w="835" w:type="dxa"/>
            <w:tcMar>
              <w:top w:w="0" w:type="dxa"/>
              <w:left w:w="108" w:type="dxa"/>
              <w:bottom w:w="0" w:type="dxa"/>
              <w:right w:w="108" w:type="dxa"/>
            </w:tcMar>
            <w:hideMark/>
          </w:tcPr>
          <w:p w:rsidR="00B17B6B" w:rsidRPr="00484D1B" w:rsidP="00D234BF" w14:paraId="645141BC" w14:textId="77777777">
            <w:pPr>
              <w:jc w:val="center"/>
              <w:rPr>
                <w:rFonts w:eastAsia="Calibri"/>
                <w:b/>
                <w:bCs/>
                <w:color w:val="000000"/>
                <w:sz w:val="18"/>
                <w:szCs w:val="18"/>
              </w:rPr>
            </w:pPr>
            <w:r w:rsidRPr="00484D1B">
              <w:rPr>
                <w:rFonts w:eastAsia="Calibri"/>
                <w:b/>
                <w:bCs/>
                <w:color w:val="000000"/>
                <w:sz w:val="18"/>
                <w:szCs w:val="18"/>
              </w:rPr>
              <w:t>Annual Burden Hours</w:t>
            </w:r>
          </w:p>
        </w:tc>
        <w:tc>
          <w:tcPr>
            <w:tcW w:w="1116" w:type="dxa"/>
            <w:tcMar>
              <w:top w:w="0" w:type="dxa"/>
              <w:left w:w="108" w:type="dxa"/>
              <w:bottom w:w="0" w:type="dxa"/>
              <w:right w:w="108" w:type="dxa"/>
            </w:tcMar>
            <w:hideMark/>
          </w:tcPr>
          <w:p w:rsidR="00B17B6B" w:rsidRPr="00484D1B" w:rsidP="00D234BF" w14:paraId="1C53A889" w14:textId="77777777">
            <w:pPr>
              <w:jc w:val="center"/>
              <w:rPr>
                <w:rFonts w:eastAsia="Calibri"/>
                <w:b/>
                <w:bCs/>
                <w:color w:val="000000"/>
                <w:sz w:val="18"/>
                <w:szCs w:val="18"/>
              </w:rPr>
            </w:pPr>
            <w:r w:rsidRPr="00484D1B">
              <w:rPr>
                <w:rFonts w:eastAsia="Calibri"/>
                <w:b/>
                <w:bCs/>
                <w:color w:val="000000"/>
                <w:sz w:val="18"/>
                <w:szCs w:val="18"/>
              </w:rPr>
              <w:t>Hourly Cost Per Response</w:t>
            </w:r>
          </w:p>
        </w:tc>
        <w:tc>
          <w:tcPr>
            <w:tcW w:w="1746" w:type="dxa"/>
            <w:tcMar>
              <w:top w:w="0" w:type="dxa"/>
              <w:left w:w="108" w:type="dxa"/>
              <w:bottom w:w="0" w:type="dxa"/>
              <w:right w:w="108" w:type="dxa"/>
            </w:tcMar>
          </w:tcPr>
          <w:p w:rsidR="00B17B6B" w:rsidRPr="00484D1B" w:rsidP="00D234BF" w14:paraId="50753E13" w14:textId="77777777">
            <w:pPr>
              <w:jc w:val="center"/>
              <w:rPr>
                <w:rFonts w:eastAsia="Calibri"/>
                <w:b/>
                <w:bCs/>
                <w:color w:val="000000"/>
                <w:sz w:val="18"/>
                <w:szCs w:val="18"/>
              </w:rPr>
            </w:pPr>
            <w:r w:rsidRPr="00484D1B">
              <w:rPr>
                <w:rFonts w:eastAsia="Calibri"/>
                <w:b/>
                <w:bCs/>
                <w:color w:val="000000"/>
                <w:sz w:val="18"/>
                <w:szCs w:val="18"/>
              </w:rPr>
              <w:t>Annual Cost</w:t>
            </w:r>
          </w:p>
          <w:p w:rsidR="00B17B6B" w:rsidRPr="00484D1B" w:rsidP="00D234BF" w14:paraId="3CDB427C" w14:textId="77777777">
            <w:pPr>
              <w:jc w:val="center"/>
              <w:rPr>
                <w:rFonts w:eastAsia="Calibri"/>
                <w:b/>
                <w:bCs/>
                <w:color w:val="000000"/>
                <w:sz w:val="18"/>
                <w:szCs w:val="18"/>
              </w:rPr>
            </w:pPr>
          </w:p>
        </w:tc>
      </w:tr>
      <w:tr w14:paraId="47567B7A" w14:textId="77777777" w:rsidTr="00B17B6B">
        <w:tblPrEx>
          <w:tblW w:w="9720" w:type="dxa"/>
          <w:tblInd w:w="607" w:type="dxa"/>
          <w:tblCellMar>
            <w:left w:w="0" w:type="dxa"/>
            <w:right w:w="0" w:type="dxa"/>
          </w:tblCellMar>
          <w:tblLook w:val="04A0"/>
        </w:tblPrEx>
        <w:tc>
          <w:tcPr>
            <w:tcW w:w="1502" w:type="dxa"/>
            <w:tcMar>
              <w:top w:w="0" w:type="dxa"/>
              <w:left w:w="108" w:type="dxa"/>
              <w:bottom w:w="0" w:type="dxa"/>
              <w:right w:w="108" w:type="dxa"/>
            </w:tcMar>
          </w:tcPr>
          <w:p w:rsidR="00B17B6B" w:rsidRPr="00B17B6B" w:rsidP="00D234BF" w14:paraId="025C25D8" w14:textId="77777777">
            <w:pPr>
              <w:jc w:val="center"/>
              <w:rPr>
                <w:rFonts w:eastAsia="Calibri"/>
                <w:color w:val="000000"/>
                <w:sz w:val="18"/>
                <w:szCs w:val="18"/>
              </w:rPr>
            </w:pPr>
            <w:r w:rsidRPr="00B17B6B">
              <w:rPr>
                <w:rFonts w:eastAsia="Calibri"/>
                <w:color w:val="000000"/>
                <w:sz w:val="18"/>
                <w:szCs w:val="18"/>
              </w:rPr>
              <w:t xml:space="preserve">Paralegal Specialist </w:t>
            </w:r>
          </w:p>
          <w:p w:rsidR="00B17B6B" w:rsidRPr="00B17B6B" w:rsidP="00D234BF" w14:paraId="242481AC" w14:textId="77777777">
            <w:pPr>
              <w:jc w:val="center"/>
              <w:rPr>
                <w:rFonts w:eastAsia="Calibri"/>
                <w:color w:val="000000"/>
                <w:sz w:val="18"/>
                <w:szCs w:val="18"/>
              </w:rPr>
            </w:pPr>
            <w:r w:rsidRPr="00B17B6B">
              <w:rPr>
                <w:rFonts w:eastAsia="Calibri"/>
                <w:color w:val="000000"/>
                <w:sz w:val="18"/>
                <w:szCs w:val="18"/>
              </w:rPr>
              <w:t>(GS 12 Step 5)</w:t>
            </w:r>
          </w:p>
        </w:tc>
        <w:tc>
          <w:tcPr>
            <w:tcW w:w="1388" w:type="dxa"/>
            <w:tcMar>
              <w:top w:w="0" w:type="dxa"/>
              <w:left w:w="108" w:type="dxa"/>
              <w:bottom w:w="0" w:type="dxa"/>
              <w:right w:w="108" w:type="dxa"/>
            </w:tcMar>
          </w:tcPr>
          <w:p w:rsidR="00B17B6B" w:rsidRPr="00B17B6B" w:rsidP="00D234BF" w14:paraId="278F71CA" w14:textId="77777777">
            <w:pPr>
              <w:jc w:val="center"/>
              <w:rPr>
                <w:rFonts w:eastAsia="Calibri"/>
                <w:color w:val="000000"/>
                <w:sz w:val="18"/>
                <w:szCs w:val="18"/>
              </w:rPr>
            </w:pPr>
            <w:r w:rsidRPr="00B17B6B">
              <w:rPr>
                <w:rFonts w:eastAsia="Calibri"/>
                <w:color w:val="000000"/>
                <w:sz w:val="18"/>
                <w:szCs w:val="18"/>
              </w:rPr>
              <w:t>24</w:t>
            </w:r>
          </w:p>
        </w:tc>
        <w:tc>
          <w:tcPr>
            <w:tcW w:w="1090" w:type="dxa"/>
            <w:tcMar>
              <w:top w:w="0" w:type="dxa"/>
              <w:left w:w="108" w:type="dxa"/>
              <w:bottom w:w="0" w:type="dxa"/>
              <w:right w:w="108" w:type="dxa"/>
            </w:tcMar>
          </w:tcPr>
          <w:p w:rsidR="00B17B6B" w:rsidRPr="00B17B6B" w:rsidP="00D234BF" w14:paraId="450D15BE" w14:textId="77777777">
            <w:pPr>
              <w:jc w:val="center"/>
              <w:rPr>
                <w:rFonts w:eastAsia="Calibri"/>
                <w:color w:val="000000"/>
                <w:sz w:val="18"/>
                <w:szCs w:val="18"/>
              </w:rPr>
            </w:pPr>
            <w:r w:rsidRPr="00B17B6B">
              <w:rPr>
                <w:rFonts w:eastAsia="Calibri"/>
                <w:color w:val="000000"/>
                <w:sz w:val="18"/>
                <w:szCs w:val="18"/>
              </w:rPr>
              <w:t>1</w:t>
            </w:r>
          </w:p>
        </w:tc>
        <w:tc>
          <w:tcPr>
            <w:tcW w:w="1059" w:type="dxa"/>
            <w:tcMar>
              <w:top w:w="0" w:type="dxa"/>
              <w:left w:w="108" w:type="dxa"/>
              <w:bottom w:w="0" w:type="dxa"/>
              <w:right w:w="108" w:type="dxa"/>
            </w:tcMar>
          </w:tcPr>
          <w:p w:rsidR="00B17B6B" w:rsidRPr="00B17B6B" w:rsidP="00D234BF" w14:paraId="2207FF2E" w14:textId="77777777">
            <w:pPr>
              <w:jc w:val="center"/>
              <w:rPr>
                <w:rFonts w:eastAsia="Calibri"/>
                <w:color w:val="000000"/>
                <w:sz w:val="18"/>
                <w:szCs w:val="18"/>
              </w:rPr>
            </w:pPr>
            <w:r w:rsidRPr="00B17B6B">
              <w:rPr>
                <w:rFonts w:eastAsia="Calibri"/>
                <w:color w:val="000000"/>
                <w:sz w:val="18"/>
                <w:szCs w:val="18"/>
              </w:rPr>
              <w:t>24</w:t>
            </w:r>
          </w:p>
        </w:tc>
        <w:tc>
          <w:tcPr>
            <w:tcW w:w="984" w:type="dxa"/>
            <w:tcMar>
              <w:top w:w="0" w:type="dxa"/>
              <w:left w:w="108" w:type="dxa"/>
              <w:bottom w:w="0" w:type="dxa"/>
              <w:right w:w="108" w:type="dxa"/>
            </w:tcMar>
          </w:tcPr>
          <w:p w:rsidR="00B17B6B" w:rsidRPr="00B17B6B" w:rsidP="00D234BF" w14:paraId="27D5436E" w14:textId="77777777">
            <w:pPr>
              <w:jc w:val="center"/>
              <w:rPr>
                <w:rFonts w:eastAsia="Calibri"/>
                <w:color w:val="000000"/>
                <w:sz w:val="18"/>
                <w:szCs w:val="18"/>
              </w:rPr>
            </w:pPr>
            <w:r w:rsidRPr="00B17B6B">
              <w:rPr>
                <w:rFonts w:eastAsia="Calibri"/>
                <w:color w:val="000000"/>
                <w:sz w:val="18"/>
                <w:szCs w:val="18"/>
              </w:rPr>
              <w:t>3</w:t>
            </w:r>
          </w:p>
        </w:tc>
        <w:tc>
          <w:tcPr>
            <w:tcW w:w="835" w:type="dxa"/>
            <w:tcMar>
              <w:top w:w="0" w:type="dxa"/>
              <w:left w:w="108" w:type="dxa"/>
              <w:bottom w:w="0" w:type="dxa"/>
              <w:right w:w="108" w:type="dxa"/>
            </w:tcMar>
          </w:tcPr>
          <w:p w:rsidR="00B17B6B" w:rsidRPr="00B17B6B" w:rsidP="00D234BF" w14:paraId="3B88A3E2" w14:textId="77777777">
            <w:pPr>
              <w:jc w:val="center"/>
              <w:rPr>
                <w:rFonts w:eastAsia="Calibri"/>
                <w:color w:val="000000"/>
                <w:sz w:val="18"/>
                <w:szCs w:val="18"/>
              </w:rPr>
            </w:pPr>
            <w:r w:rsidRPr="00B17B6B">
              <w:rPr>
                <w:rFonts w:eastAsia="Calibri"/>
                <w:color w:val="000000"/>
                <w:sz w:val="18"/>
                <w:szCs w:val="18"/>
              </w:rPr>
              <w:t>72</w:t>
            </w:r>
          </w:p>
        </w:tc>
        <w:tc>
          <w:tcPr>
            <w:tcW w:w="1116" w:type="dxa"/>
            <w:tcMar>
              <w:top w:w="0" w:type="dxa"/>
              <w:left w:w="108" w:type="dxa"/>
              <w:bottom w:w="0" w:type="dxa"/>
              <w:right w:w="108" w:type="dxa"/>
            </w:tcMar>
          </w:tcPr>
          <w:p w:rsidR="00B17B6B" w:rsidRPr="00B17B6B" w:rsidP="00D234BF" w14:paraId="0403F58A" w14:textId="77777777">
            <w:pPr>
              <w:jc w:val="center"/>
              <w:rPr>
                <w:rFonts w:eastAsia="Calibri"/>
                <w:color w:val="000000"/>
                <w:sz w:val="18"/>
                <w:szCs w:val="18"/>
              </w:rPr>
            </w:pPr>
            <w:r w:rsidRPr="00B17B6B">
              <w:rPr>
                <w:rFonts w:eastAsia="Calibri"/>
                <w:color w:val="000000"/>
                <w:sz w:val="18"/>
                <w:szCs w:val="18"/>
              </w:rPr>
              <w:t>$55.07</w:t>
            </w:r>
          </w:p>
        </w:tc>
        <w:tc>
          <w:tcPr>
            <w:tcW w:w="1746" w:type="dxa"/>
            <w:tcMar>
              <w:top w:w="0" w:type="dxa"/>
              <w:left w:w="108" w:type="dxa"/>
              <w:bottom w:w="0" w:type="dxa"/>
              <w:right w:w="108" w:type="dxa"/>
            </w:tcMar>
          </w:tcPr>
          <w:p w:rsidR="00B17B6B" w:rsidRPr="00B17B6B" w:rsidP="00D234BF" w14:paraId="26EF59D8" w14:textId="77777777">
            <w:pPr>
              <w:jc w:val="center"/>
              <w:rPr>
                <w:rFonts w:eastAsia="Calibri"/>
                <w:color w:val="000000"/>
                <w:sz w:val="18"/>
                <w:szCs w:val="18"/>
              </w:rPr>
            </w:pPr>
            <w:r w:rsidRPr="00B17B6B">
              <w:rPr>
                <w:rFonts w:eastAsia="Calibri"/>
                <w:color w:val="000000"/>
                <w:sz w:val="18"/>
                <w:szCs w:val="18"/>
              </w:rPr>
              <w:t>$3,965.04</w:t>
            </w:r>
          </w:p>
        </w:tc>
      </w:tr>
      <w:tr w14:paraId="7DD6C0AE" w14:textId="77777777" w:rsidTr="00B17B6B">
        <w:tblPrEx>
          <w:tblW w:w="9720" w:type="dxa"/>
          <w:tblInd w:w="607" w:type="dxa"/>
          <w:tblCellMar>
            <w:left w:w="0" w:type="dxa"/>
            <w:right w:w="0" w:type="dxa"/>
          </w:tblCellMar>
          <w:tblLook w:val="04A0"/>
        </w:tblPrEx>
        <w:tc>
          <w:tcPr>
            <w:tcW w:w="1502" w:type="dxa"/>
            <w:tcMar>
              <w:top w:w="0" w:type="dxa"/>
              <w:left w:w="108" w:type="dxa"/>
              <w:bottom w:w="0" w:type="dxa"/>
              <w:right w:w="108" w:type="dxa"/>
            </w:tcMar>
          </w:tcPr>
          <w:p w:rsidR="00B17B6B" w:rsidRPr="00B17B6B" w:rsidP="00D234BF" w14:paraId="5BCBC026" w14:textId="77777777">
            <w:pPr>
              <w:jc w:val="center"/>
              <w:rPr>
                <w:rFonts w:eastAsia="Calibri"/>
                <w:color w:val="000000"/>
                <w:sz w:val="18"/>
                <w:szCs w:val="18"/>
              </w:rPr>
            </w:pPr>
            <w:r w:rsidRPr="00B17B6B">
              <w:rPr>
                <w:rFonts w:eastAsia="Calibri"/>
                <w:color w:val="000000"/>
                <w:sz w:val="18"/>
                <w:szCs w:val="18"/>
              </w:rPr>
              <w:t>Attorney Advisor</w:t>
            </w:r>
          </w:p>
          <w:p w:rsidR="00B17B6B" w:rsidRPr="00B17B6B" w:rsidP="00D234BF" w14:paraId="329760ED" w14:textId="77777777">
            <w:pPr>
              <w:jc w:val="center"/>
              <w:rPr>
                <w:rFonts w:eastAsia="Calibri"/>
                <w:color w:val="000000"/>
                <w:sz w:val="18"/>
                <w:szCs w:val="18"/>
              </w:rPr>
            </w:pPr>
            <w:r w:rsidRPr="00B17B6B">
              <w:rPr>
                <w:rFonts w:eastAsia="Calibri"/>
                <w:color w:val="000000"/>
                <w:sz w:val="18"/>
                <w:szCs w:val="18"/>
              </w:rPr>
              <w:t>(GS 14 Step 5)</w:t>
            </w:r>
          </w:p>
        </w:tc>
        <w:tc>
          <w:tcPr>
            <w:tcW w:w="1388" w:type="dxa"/>
            <w:tcMar>
              <w:top w:w="0" w:type="dxa"/>
              <w:left w:w="108" w:type="dxa"/>
              <w:bottom w:w="0" w:type="dxa"/>
              <w:right w:w="108" w:type="dxa"/>
            </w:tcMar>
          </w:tcPr>
          <w:p w:rsidR="00B17B6B" w:rsidRPr="00B17B6B" w:rsidP="00D234BF" w14:paraId="746E25E2" w14:textId="77777777">
            <w:pPr>
              <w:jc w:val="center"/>
              <w:rPr>
                <w:rFonts w:eastAsia="Calibri"/>
                <w:color w:val="000000"/>
                <w:sz w:val="18"/>
                <w:szCs w:val="18"/>
              </w:rPr>
            </w:pPr>
            <w:r w:rsidRPr="00B17B6B">
              <w:rPr>
                <w:rFonts w:eastAsia="Calibri"/>
                <w:color w:val="000000"/>
                <w:sz w:val="18"/>
                <w:szCs w:val="18"/>
              </w:rPr>
              <w:t>24</w:t>
            </w:r>
          </w:p>
        </w:tc>
        <w:tc>
          <w:tcPr>
            <w:tcW w:w="1090" w:type="dxa"/>
            <w:tcMar>
              <w:top w:w="0" w:type="dxa"/>
              <w:left w:w="108" w:type="dxa"/>
              <w:bottom w:w="0" w:type="dxa"/>
              <w:right w:w="108" w:type="dxa"/>
            </w:tcMar>
          </w:tcPr>
          <w:p w:rsidR="00B17B6B" w:rsidRPr="00B17B6B" w:rsidP="00D234BF" w14:paraId="40B03B60" w14:textId="77777777">
            <w:pPr>
              <w:jc w:val="center"/>
              <w:rPr>
                <w:rFonts w:eastAsia="Calibri"/>
                <w:color w:val="000000"/>
                <w:sz w:val="18"/>
                <w:szCs w:val="18"/>
              </w:rPr>
            </w:pPr>
            <w:r w:rsidRPr="00B17B6B">
              <w:rPr>
                <w:rFonts w:eastAsia="Calibri"/>
                <w:color w:val="000000"/>
                <w:sz w:val="18"/>
                <w:szCs w:val="18"/>
              </w:rPr>
              <w:t>1</w:t>
            </w:r>
          </w:p>
        </w:tc>
        <w:tc>
          <w:tcPr>
            <w:tcW w:w="1059" w:type="dxa"/>
            <w:tcMar>
              <w:top w:w="0" w:type="dxa"/>
              <w:left w:w="108" w:type="dxa"/>
              <w:bottom w:w="0" w:type="dxa"/>
              <w:right w:w="108" w:type="dxa"/>
            </w:tcMar>
          </w:tcPr>
          <w:p w:rsidR="00B17B6B" w:rsidRPr="00B17B6B" w:rsidP="00D234BF" w14:paraId="43E2977C" w14:textId="77777777">
            <w:pPr>
              <w:jc w:val="center"/>
              <w:rPr>
                <w:rFonts w:eastAsia="Calibri"/>
                <w:color w:val="000000"/>
                <w:sz w:val="18"/>
                <w:szCs w:val="18"/>
              </w:rPr>
            </w:pPr>
            <w:r w:rsidRPr="00B17B6B">
              <w:rPr>
                <w:rFonts w:eastAsia="Calibri"/>
                <w:color w:val="000000"/>
                <w:sz w:val="18"/>
                <w:szCs w:val="18"/>
              </w:rPr>
              <w:t>24</w:t>
            </w:r>
          </w:p>
        </w:tc>
        <w:tc>
          <w:tcPr>
            <w:tcW w:w="984" w:type="dxa"/>
            <w:tcMar>
              <w:top w:w="0" w:type="dxa"/>
              <w:left w:w="108" w:type="dxa"/>
              <w:bottom w:w="0" w:type="dxa"/>
              <w:right w:w="108" w:type="dxa"/>
            </w:tcMar>
          </w:tcPr>
          <w:p w:rsidR="00B17B6B" w:rsidRPr="00B17B6B" w:rsidP="00D234BF" w14:paraId="66DA4011" w14:textId="77777777">
            <w:pPr>
              <w:jc w:val="center"/>
              <w:rPr>
                <w:rFonts w:eastAsia="Calibri"/>
                <w:color w:val="000000"/>
                <w:sz w:val="18"/>
                <w:szCs w:val="18"/>
              </w:rPr>
            </w:pPr>
            <w:r w:rsidRPr="00B17B6B">
              <w:rPr>
                <w:rFonts w:eastAsia="Calibri"/>
                <w:color w:val="000000"/>
                <w:sz w:val="18"/>
                <w:szCs w:val="18"/>
              </w:rPr>
              <w:t>16</w:t>
            </w:r>
          </w:p>
        </w:tc>
        <w:tc>
          <w:tcPr>
            <w:tcW w:w="835" w:type="dxa"/>
            <w:tcMar>
              <w:top w:w="0" w:type="dxa"/>
              <w:left w:w="108" w:type="dxa"/>
              <w:bottom w:w="0" w:type="dxa"/>
              <w:right w:w="108" w:type="dxa"/>
            </w:tcMar>
          </w:tcPr>
          <w:p w:rsidR="00B17B6B" w:rsidRPr="00B17B6B" w:rsidP="00D234BF" w14:paraId="5DD8CC14" w14:textId="77777777">
            <w:pPr>
              <w:jc w:val="center"/>
              <w:rPr>
                <w:rFonts w:eastAsia="Calibri"/>
                <w:color w:val="000000"/>
                <w:sz w:val="18"/>
                <w:szCs w:val="18"/>
              </w:rPr>
            </w:pPr>
            <w:r w:rsidRPr="00B17B6B">
              <w:rPr>
                <w:rFonts w:eastAsia="Calibri"/>
                <w:color w:val="000000"/>
                <w:sz w:val="18"/>
                <w:szCs w:val="18"/>
              </w:rPr>
              <w:t>384</w:t>
            </w:r>
          </w:p>
        </w:tc>
        <w:tc>
          <w:tcPr>
            <w:tcW w:w="1116" w:type="dxa"/>
            <w:tcMar>
              <w:top w:w="0" w:type="dxa"/>
              <w:left w:w="108" w:type="dxa"/>
              <w:bottom w:w="0" w:type="dxa"/>
              <w:right w:w="108" w:type="dxa"/>
            </w:tcMar>
          </w:tcPr>
          <w:p w:rsidR="00B17B6B" w:rsidRPr="00B17B6B" w:rsidP="00D234BF" w14:paraId="6119F76D" w14:textId="77777777">
            <w:pPr>
              <w:jc w:val="center"/>
              <w:rPr>
                <w:rFonts w:eastAsia="Calibri"/>
                <w:color w:val="000000"/>
                <w:sz w:val="18"/>
                <w:szCs w:val="18"/>
              </w:rPr>
            </w:pPr>
            <w:r w:rsidRPr="00B17B6B">
              <w:rPr>
                <w:rFonts w:eastAsia="Calibri"/>
                <w:color w:val="000000"/>
                <w:sz w:val="18"/>
                <w:szCs w:val="18"/>
              </w:rPr>
              <w:t>$77.38</w:t>
            </w:r>
          </w:p>
        </w:tc>
        <w:tc>
          <w:tcPr>
            <w:tcW w:w="1746" w:type="dxa"/>
            <w:tcMar>
              <w:top w:w="0" w:type="dxa"/>
              <w:left w:w="108" w:type="dxa"/>
              <w:bottom w:w="0" w:type="dxa"/>
              <w:right w:w="108" w:type="dxa"/>
            </w:tcMar>
          </w:tcPr>
          <w:p w:rsidR="00B17B6B" w:rsidRPr="00B17B6B" w:rsidP="00D234BF" w14:paraId="3C35FA79" w14:textId="77777777">
            <w:pPr>
              <w:jc w:val="center"/>
              <w:rPr>
                <w:rFonts w:eastAsia="Calibri"/>
                <w:color w:val="000000"/>
                <w:sz w:val="18"/>
                <w:szCs w:val="18"/>
              </w:rPr>
            </w:pPr>
            <w:r w:rsidRPr="00B17B6B">
              <w:rPr>
                <w:rFonts w:eastAsia="Calibri"/>
                <w:color w:val="000000"/>
                <w:sz w:val="18"/>
                <w:szCs w:val="18"/>
              </w:rPr>
              <w:t>$29,713.92</w:t>
            </w:r>
          </w:p>
        </w:tc>
      </w:tr>
      <w:tr w14:paraId="307970B2" w14:textId="77777777" w:rsidTr="00B17B6B">
        <w:tblPrEx>
          <w:tblW w:w="9720" w:type="dxa"/>
          <w:tblInd w:w="607" w:type="dxa"/>
          <w:tblCellMar>
            <w:left w:w="0" w:type="dxa"/>
            <w:right w:w="0" w:type="dxa"/>
          </w:tblCellMar>
          <w:tblLook w:val="04A0"/>
        </w:tblPrEx>
        <w:tc>
          <w:tcPr>
            <w:tcW w:w="1502" w:type="dxa"/>
            <w:tcMar>
              <w:top w:w="0" w:type="dxa"/>
              <w:left w:w="108" w:type="dxa"/>
              <w:bottom w:w="0" w:type="dxa"/>
              <w:right w:w="108" w:type="dxa"/>
            </w:tcMar>
          </w:tcPr>
          <w:p w:rsidR="00B17B6B" w:rsidRPr="00B17B6B" w:rsidP="00D234BF" w14:paraId="32AAD36A" w14:textId="77777777">
            <w:pPr>
              <w:jc w:val="center"/>
              <w:rPr>
                <w:rFonts w:eastAsia="Calibri"/>
                <w:color w:val="000000"/>
                <w:sz w:val="18"/>
                <w:szCs w:val="18"/>
              </w:rPr>
            </w:pPr>
            <w:r w:rsidRPr="00B17B6B">
              <w:rPr>
                <w:rFonts w:eastAsia="Calibri"/>
                <w:color w:val="000000"/>
                <w:sz w:val="18"/>
                <w:szCs w:val="18"/>
              </w:rPr>
              <w:t>Attorney Advisor</w:t>
            </w:r>
          </w:p>
          <w:p w:rsidR="00B17B6B" w:rsidRPr="00B17B6B" w:rsidP="00D234BF" w14:paraId="5E7D5B41" w14:textId="77777777">
            <w:pPr>
              <w:jc w:val="center"/>
              <w:rPr>
                <w:rFonts w:eastAsia="Calibri"/>
                <w:color w:val="000000"/>
                <w:sz w:val="18"/>
                <w:szCs w:val="18"/>
              </w:rPr>
            </w:pPr>
            <w:r w:rsidRPr="00B17B6B">
              <w:rPr>
                <w:rFonts w:eastAsia="Calibri"/>
                <w:color w:val="000000"/>
                <w:sz w:val="18"/>
                <w:szCs w:val="18"/>
              </w:rPr>
              <w:t>(GS 14 Step 5)</w:t>
            </w:r>
          </w:p>
        </w:tc>
        <w:tc>
          <w:tcPr>
            <w:tcW w:w="1388" w:type="dxa"/>
            <w:tcMar>
              <w:top w:w="0" w:type="dxa"/>
              <w:left w:w="108" w:type="dxa"/>
              <w:bottom w:w="0" w:type="dxa"/>
              <w:right w:w="108" w:type="dxa"/>
            </w:tcMar>
          </w:tcPr>
          <w:p w:rsidR="00B17B6B" w:rsidRPr="00B17B6B" w:rsidP="00D234BF" w14:paraId="0A22ACFA" w14:textId="77777777">
            <w:pPr>
              <w:jc w:val="center"/>
              <w:rPr>
                <w:rFonts w:eastAsia="Calibri"/>
                <w:color w:val="000000"/>
                <w:sz w:val="18"/>
                <w:szCs w:val="18"/>
              </w:rPr>
            </w:pPr>
            <w:r w:rsidRPr="00B17B6B">
              <w:rPr>
                <w:rFonts w:eastAsia="Calibri"/>
                <w:color w:val="000000"/>
                <w:sz w:val="18"/>
                <w:szCs w:val="18"/>
              </w:rPr>
              <w:t>24</w:t>
            </w:r>
          </w:p>
        </w:tc>
        <w:tc>
          <w:tcPr>
            <w:tcW w:w="1090" w:type="dxa"/>
            <w:tcMar>
              <w:top w:w="0" w:type="dxa"/>
              <w:left w:w="108" w:type="dxa"/>
              <w:bottom w:w="0" w:type="dxa"/>
              <w:right w:w="108" w:type="dxa"/>
            </w:tcMar>
          </w:tcPr>
          <w:p w:rsidR="00B17B6B" w:rsidRPr="00B17B6B" w:rsidP="00D234BF" w14:paraId="6F52968F" w14:textId="77777777">
            <w:pPr>
              <w:jc w:val="center"/>
              <w:rPr>
                <w:rFonts w:eastAsia="Calibri"/>
                <w:color w:val="000000"/>
                <w:sz w:val="18"/>
                <w:szCs w:val="18"/>
              </w:rPr>
            </w:pPr>
            <w:r w:rsidRPr="00B17B6B">
              <w:rPr>
                <w:rFonts w:eastAsia="Calibri"/>
                <w:color w:val="000000"/>
                <w:sz w:val="18"/>
                <w:szCs w:val="18"/>
              </w:rPr>
              <w:t>1</w:t>
            </w:r>
          </w:p>
        </w:tc>
        <w:tc>
          <w:tcPr>
            <w:tcW w:w="1059" w:type="dxa"/>
            <w:tcMar>
              <w:top w:w="0" w:type="dxa"/>
              <w:left w:w="108" w:type="dxa"/>
              <w:bottom w:w="0" w:type="dxa"/>
              <w:right w:w="108" w:type="dxa"/>
            </w:tcMar>
          </w:tcPr>
          <w:p w:rsidR="00B17B6B" w:rsidRPr="00B17B6B" w:rsidP="00D234BF" w14:paraId="4E66DE70" w14:textId="77777777">
            <w:pPr>
              <w:jc w:val="center"/>
              <w:rPr>
                <w:rFonts w:eastAsia="Calibri"/>
                <w:color w:val="000000"/>
                <w:sz w:val="18"/>
                <w:szCs w:val="18"/>
              </w:rPr>
            </w:pPr>
            <w:r w:rsidRPr="00B17B6B">
              <w:rPr>
                <w:rFonts w:eastAsia="Calibri"/>
                <w:color w:val="000000"/>
                <w:sz w:val="18"/>
                <w:szCs w:val="18"/>
              </w:rPr>
              <w:t>24</w:t>
            </w:r>
          </w:p>
        </w:tc>
        <w:tc>
          <w:tcPr>
            <w:tcW w:w="984" w:type="dxa"/>
            <w:tcMar>
              <w:top w:w="0" w:type="dxa"/>
              <w:left w:w="108" w:type="dxa"/>
              <w:bottom w:w="0" w:type="dxa"/>
              <w:right w:w="108" w:type="dxa"/>
            </w:tcMar>
          </w:tcPr>
          <w:p w:rsidR="00B17B6B" w:rsidRPr="00B17B6B" w:rsidP="00D234BF" w14:paraId="5B705D81" w14:textId="77777777">
            <w:pPr>
              <w:jc w:val="center"/>
              <w:rPr>
                <w:rFonts w:eastAsia="Calibri"/>
                <w:color w:val="000000"/>
                <w:sz w:val="18"/>
                <w:szCs w:val="18"/>
              </w:rPr>
            </w:pPr>
            <w:r w:rsidRPr="00B17B6B">
              <w:rPr>
                <w:rFonts w:eastAsia="Calibri"/>
                <w:color w:val="000000"/>
                <w:sz w:val="18"/>
                <w:szCs w:val="18"/>
              </w:rPr>
              <w:t>16</w:t>
            </w:r>
          </w:p>
        </w:tc>
        <w:tc>
          <w:tcPr>
            <w:tcW w:w="835" w:type="dxa"/>
            <w:tcMar>
              <w:top w:w="0" w:type="dxa"/>
              <w:left w:w="108" w:type="dxa"/>
              <w:bottom w:w="0" w:type="dxa"/>
              <w:right w:w="108" w:type="dxa"/>
            </w:tcMar>
          </w:tcPr>
          <w:p w:rsidR="00B17B6B" w:rsidRPr="00B17B6B" w:rsidP="00D234BF" w14:paraId="00C01082" w14:textId="77777777">
            <w:pPr>
              <w:jc w:val="center"/>
              <w:rPr>
                <w:rFonts w:eastAsia="Calibri"/>
                <w:color w:val="000000"/>
                <w:sz w:val="18"/>
                <w:szCs w:val="18"/>
              </w:rPr>
            </w:pPr>
            <w:r w:rsidRPr="00B17B6B">
              <w:rPr>
                <w:rFonts w:eastAsia="Calibri"/>
                <w:color w:val="000000"/>
                <w:sz w:val="18"/>
                <w:szCs w:val="18"/>
              </w:rPr>
              <w:t>384</w:t>
            </w:r>
          </w:p>
        </w:tc>
        <w:tc>
          <w:tcPr>
            <w:tcW w:w="1116" w:type="dxa"/>
            <w:tcMar>
              <w:top w:w="0" w:type="dxa"/>
              <w:left w:w="108" w:type="dxa"/>
              <w:bottom w:w="0" w:type="dxa"/>
              <w:right w:w="108" w:type="dxa"/>
            </w:tcMar>
          </w:tcPr>
          <w:p w:rsidR="00B17B6B" w:rsidRPr="00B17B6B" w:rsidP="00D234BF" w14:paraId="6345FB41" w14:textId="77777777">
            <w:pPr>
              <w:jc w:val="center"/>
              <w:rPr>
                <w:rFonts w:eastAsia="Calibri"/>
                <w:color w:val="000000"/>
                <w:sz w:val="18"/>
                <w:szCs w:val="18"/>
              </w:rPr>
            </w:pPr>
            <w:r w:rsidRPr="00B17B6B">
              <w:rPr>
                <w:rFonts w:eastAsia="Calibri"/>
                <w:color w:val="000000"/>
                <w:sz w:val="18"/>
                <w:szCs w:val="18"/>
              </w:rPr>
              <w:t>$77.38</w:t>
            </w:r>
          </w:p>
        </w:tc>
        <w:tc>
          <w:tcPr>
            <w:tcW w:w="1746" w:type="dxa"/>
            <w:tcMar>
              <w:top w:w="0" w:type="dxa"/>
              <w:left w:w="108" w:type="dxa"/>
              <w:bottom w:w="0" w:type="dxa"/>
              <w:right w:w="108" w:type="dxa"/>
            </w:tcMar>
          </w:tcPr>
          <w:p w:rsidR="00B17B6B" w:rsidRPr="00B17B6B" w:rsidP="00D234BF" w14:paraId="0EC4D704" w14:textId="77777777">
            <w:pPr>
              <w:jc w:val="center"/>
              <w:rPr>
                <w:rFonts w:eastAsia="Calibri"/>
                <w:color w:val="000000"/>
                <w:sz w:val="18"/>
                <w:szCs w:val="18"/>
              </w:rPr>
            </w:pPr>
            <w:r w:rsidRPr="00B17B6B">
              <w:rPr>
                <w:rFonts w:eastAsia="Calibri"/>
                <w:color w:val="000000"/>
                <w:sz w:val="18"/>
                <w:szCs w:val="18"/>
              </w:rPr>
              <w:t>$29,713.92</w:t>
            </w:r>
          </w:p>
        </w:tc>
      </w:tr>
      <w:tr w14:paraId="2C23ED11" w14:textId="77777777" w:rsidTr="00B17B6B">
        <w:tblPrEx>
          <w:tblW w:w="9720" w:type="dxa"/>
          <w:tblInd w:w="607" w:type="dxa"/>
          <w:tblCellMar>
            <w:left w:w="0" w:type="dxa"/>
            <w:right w:w="0" w:type="dxa"/>
          </w:tblCellMar>
          <w:tblLook w:val="04A0"/>
        </w:tblPrEx>
        <w:tc>
          <w:tcPr>
            <w:tcW w:w="1502" w:type="dxa"/>
            <w:tcMar>
              <w:top w:w="0" w:type="dxa"/>
              <w:left w:w="108" w:type="dxa"/>
              <w:bottom w:w="0" w:type="dxa"/>
              <w:right w:w="108" w:type="dxa"/>
            </w:tcMar>
          </w:tcPr>
          <w:p w:rsidR="00B17B6B" w:rsidRPr="00B17B6B" w:rsidP="00D234BF" w14:paraId="3DE53801" w14:textId="77777777">
            <w:pPr>
              <w:jc w:val="center"/>
              <w:rPr>
                <w:rFonts w:eastAsia="Calibri"/>
                <w:color w:val="000000"/>
                <w:sz w:val="18"/>
                <w:szCs w:val="18"/>
              </w:rPr>
            </w:pPr>
            <w:r w:rsidRPr="00B17B6B">
              <w:rPr>
                <w:rFonts w:eastAsia="Calibri"/>
                <w:color w:val="000000"/>
                <w:sz w:val="18"/>
                <w:szCs w:val="18"/>
              </w:rPr>
              <w:t xml:space="preserve">Senior Attorney Advisor </w:t>
            </w:r>
          </w:p>
          <w:p w:rsidR="00B17B6B" w:rsidRPr="00B17B6B" w:rsidP="00D234BF" w14:paraId="1DA241F3" w14:textId="77777777">
            <w:pPr>
              <w:jc w:val="center"/>
              <w:rPr>
                <w:rFonts w:eastAsia="Calibri"/>
                <w:color w:val="000000"/>
                <w:sz w:val="18"/>
                <w:szCs w:val="18"/>
              </w:rPr>
            </w:pPr>
            <w:r w:rsidRPr="00B17B6B">
              <w:rPr>
                <w:rFonts w:eastAsia="Calibri"/>
                <w:color w:val="000000"/>
                <w:sz w:val="18"/>
                <w:szCs w:val="18"/>
              </w:rPr>
              <w:t>(GS 15 Step 5)</w:t>
            </w:r>
          </w:p>
        </w:tc>
        <w:tc>
          <w:tcPr>
            <w:tcW w:w="1388" w:type="dxa"/>
            <w:tcMar>
              <w:top w:w="0" w:type="dxa"/>
              <w:left w:w="108" w:type="dxa"/>
              <w:bottom w:w="0" w:type="dxa"/>
              <w:right w:w="108" w:type="dxa"/>
            </w:tcMar>
          </w:tcPr>
          <w:p w:rsidR="00B17B6B" w:rsidRPr="00B17B6B" w:rsidP="00D234BF" w14:paraId="74C8DAF8" w14:textId="77777777">
            <w:pPr>
              <w:jc w:val="center"/>
              <w:rPr>
                <w:rFonts w:eastAsia="Calibri"/>
                <w:color w:val="000000"/>
                <w:sz w:val="18"/>
                <w:szCs w:val="18"/>
              </w:rPr>
            </w:pPr>
            <w:r w:rsidRPr="00B17B6B">
              <w:rPr>
                <w:rFonts w:eastAsia="Calibri"/>
                <w:color w:val="000000"/>
                <w:sz w:val="18"/>
                <w:szCs w:val="18"/>
              </w:rPr>
              <w:t>24</w:t>
            </w:r>
          </w:p>
        </w:tc>
        <w:tc>
          <w:tcPr>
            <w:tcW w:w="1090" w:type="dxa"/>
            <w:tcMar>
              <w:top w:w="0" w:type="dxa"/>
              <w:left w:w="108" w:type="dxa"/>
              <w:bottom w:w="0" w:type="dxa"/>
              <w:right w:w="108" w:type="dxa"/>
            </w:tcMar>
          </w:tcPr>
          <w:p w:rsidR="00B17B6B" w:rsidRPr="00B17B6B" w:rsidP="00D234BF" w14:paraId="5885582C" w14:textId="77777777">
            <w:pPr>
              <w:jc w:val="center"/>
              <w:rPr>
                <w:rFonts w:eastAsia="Calibri"/>
                <w:color w:val="000000"/>
                <w:sz w:val="18"/>
                <w:szCs w:val="18"/>
              </w:rPr>
            </w:pPr>
            <w:r w:rsidRPr="00B17B6B">
              <w:rPr>
                <w:rFonts w:eastAsia="Calibri"/>
                <w:color w:val="000000"/>
                <w:sz w:val="18"/>
                <w:szCs w:val="18"/>
              </w:rPr>
              <w:t>1</w:t>
            </w:r>
          </w:p>
        </w:tc>
        <w:tc>
          <w:tcPr>
            <w:tcW w:w="1059" w:type="dxa"/>
            <w:tcMar>
              <w:top w:w="0" w:type="dxa"/>
              <w:left w:w="108" w:type="dxa"/>
              <w:bottom w:w="0" w:type="dxa"/>
              <w:right w:w="108" w:type="dxa"/>
            </w:tcMar>
          </w:tcPr>
          <w:p w:rsidR="00B17B6B" w:rsidRPr="00B17B6B" w:rsidP="00D234BF" w14:paraId="0E948866" w14:textId="77777777">
            <w:pPr>
              <w:jc w:val="center"/>
              <w:rPr>
                <w:rFonts w:eastAsia="Calibri"/>
                <w:color w:val="000000"/>
                <w:sz w:val="18"/>
                <w:szCs w:val="18"/>
              </w:rPr>
            </w:pPr>
            <w:r w:rsidRPr="00B17B6B">
              <w:rPr>
                <w:rFonts w:eastAsia="Calibri"/>
                <w:color w:val="000000"/>
                <w:sz w:val="18"/>
                <w:szCs w:val="18"/>
              </w:rPr>
              <w:t>24</w:t>
            </w:r>
          </w:p>
        </w:tc>
        <w:tc>
          <w:tcPr>
            <w:tcW w:w="984" w:type="dxa"/>
            <w:tcMar>
              <w:top w:w="0" w:type="dxa"/>
              <w:left w:w="108" w:type="dxa"/>
              <w:bottom w:w="0" w:type="dxa"/>
              <w:right w:w="108" w:type="dxa"/>
            </w:tcMar>
          </w:tcPr>
          <w:p w:rsidR="00B17B6B" w:rsidRPr="00B17B6B" w:rsidP="00D234BF" w14:paraId="7341608E" w14:textId="77777777">
            <w:pPr>
              <w:jc w:val="center"/>
              <w:rPr>
                <w:rFonts w:eastAsia="Calibri"/>
                <w:color w:val="000000"/>
                <w:sz w:val="18"/>
                <w:szCs w:val="18"/>
              </w:rPr>
            </w:pPr>
            <w:r w:rsidRPr="00B17B6B">
              <w:rPr>
                <w:rFonts w:eastAsia="Calibri"/>
                <w:color w:val="000000"/>
                <w:sz w:val="18"/>
                <w:szCs w:val="18"/>
              </w:rPr>
              <w:t>2</w:t>
            </w:r>
          </w:p>
        </w:tc>
        <w:tc>
          <w:tcPr>
            <w:tcW w:w="835" w:type="dxa"/>
            <w:tcMar>
              <w:top w:w="0" w:type="dxa"/>
              <w:left w:w="108" w:type="dxa"/>
              <w:bottom w:w="0" w:type="dxa"/>
              <w:right w:w="108" w:type="dxa"/>
            </w:tcMar>
          </w:tcPr>
          <w:p w:rsidR="00B17B6B" w:rsidRPr="00B17B6B" w:rsidP="00D234BF" w14:paraId="2E222DEF" w14:textId="77777777">
            <w:pPr>
              <w:jc w:val="center"/>
              <w:rPr>
                <w:rFonts w:eastAsia="Calibri"/>
                <w:color w:val="000000"/>
                <w:sz w:val="18"/>
                <w:szCs w:val="18"/>
              </w:rPr>
            </w:pPr>
            <w:r w:rsidRPr="00B17B6B">
              <w:rPr>
                <w:rFonts w:eastAsia="Calibri"/>
                <w:color w:val="000000"/>
                <w:sz w:val="18"/>
                <w:szCs w:val="18"/>
              </w:rPr>
              <w:t>48</w:t>
            </w:r>
          </w:p>
        </w:tc>
        <w:tc>
          <w:tcPr>
            <w:tcW w:w="1116" w:type="dxa"/>
            <w:tcMar>
              <w:top w:w="0" w:type="dxa"/>
              <w:left w:w="108" w:type="dxa"/>
              <w:bottom w:w="0" w:type="dxa"/>
              <w:right w:w="108" w:type="dxa"/>
            </w:tcMar>
          </w:tcPr>
          <w:p w:rsidR="00B17B6B" w:rsidRPr="00B17B6B" w:rsidP="00D234BF" w14:paraId="7048F786" w14:textId="77777777">
            <w:pPr>
              <w:jc w:val="center"/>
              <w:rPr>
                <w:rFonts w:eastAsia="Calibri"/>
                <w:color w:val="000000"/>
                <w:sz w:val="18"/>
                <w:szCs w:val="18"/>
              </w:rPr>
            </w:pPr>
            <w:r w:rsidRPr="00B17B6B">
              <w:rPr>
                <w:rFonts w:eastAsia="Calibri"/>
                <w:color w:val="000000"/>
                <w:sz w:val="18"/>
                <w:szCs w:val="18"/>
              </w:rPr>
              <w:t>$91.02</w:t>
            </w:r>
          </w:p>
        </w:tc>
        <w:tc>
          <w:tcPr>
            <w:tcW w:w="1746" w:type="dxa"/>
            <w:tcMar>
              <w:top w:w="0" w:type="dxa"/>
              <w:left w:w="108" w:type="dxa"/>
              <w:bottom w:w="0" w:type="dxa"/>
              <w:right w:w="108" w:type="dxa"/>
            </w:tcMar>
          </w:tcPr>
          <w:p w:rsidR="00B17B6B" w:rsidRPr="00B17B6B" w:rsidP="00D234BF" w14:paraId="3A4CB762" w14:textId="77777777">
            <w:pPr>
              <w:jc w:val="center"/>
              <w:rPr>
                <w:rFonts w:eastAsia="Calibri"/>
                <w:color w:val="000000"/>
                <w:sz w:val="18"/>
                <w:szCs w:val="18"/>
              </w:rPr>
            </w:pPr>
            <w:r w:rsidRPr="00B17B6B">
              <w:rPr>
                <w:rFonts w:eastAsia="Calibri"/>
                <w:color w:val="000000"/>
                <w:sz w:val="18"/>
                <w:szCs w:val="18"/>
              </w:rPr>
              <w:t>$4,368.96</w:t>
            </w:r>
          </w:p>
        </w:tc>
      </w:tr>
      <w:tr w14:paraId="177273F5" w14:textId="77777777" w:rsidTr="00B17B6B">
        <w:tblPrEx>
          <w:tblW w:w="9720" w:type="dxa"/>
          <w:tblInd w:w="607" w:type="dxa"/>
          <w:tblCellMar>
            <w:left w:w="0" w:type="dxa"/>
            <w:right w:w="0" w:type="dxa"/>
          </w:tblCellMar>
          <w:tblLook w:val="04A0"/>
        </w:tblPrEx>
        <w:tc>
          <w:tcPr>
            <w:tcW w:w="1502" w:type="dxa"/>
            <w:tcMar>
              <w:top w:w="0" w:type="dxa"/>
              <w:left w:w="108" w:type="dxa"/>
              <w:bottom w:w="0" w:type="dxa"/>
              <w:right w:w="108" w:type="dxa"/>
            </w:tcMar>
            <w:vAlign w:val="center"/>
          </w:tcPr>
          <w:p w:rsidR="00B17B6B" w:rsidRPr="00B17B6B" w:rsidP="00D234BF" w14:paraId="794A5D12" w14:textId="77777777">
            <w:pPr>
              <w:jc w:val="center"/>
              <w:rPr>
                <w:rFonts w:eastAsia="Calibri"/>
                <w:color w:val="000000"/>
                <w:sz w:val="18"/>
                <w:szCs w:val="18"/>
              </w:rPr>
            </w:pPr>
            <w:r w:rsidRPr="00B17B6B">
              <w:rPr>
                <w:rFonts w:eastAsia="Calibri"/>
                <w:color w:val="000000"/>
                <w:sz w:val="18"/>
                <w:szCs w:val="18"/>
              </w:rPr>
              <w:t>Total</w:t>
            </w:r>
          </w:p>
        </w:tc>
        <w:tc>
          <w:tcPr>
            <w:tcW w:w="1388" w:type="dxa"/>
            <w:tcMar>
              <w:top w:w="0" w:type="dxa"/>
              <w:left w:w="108" w:type="dxa"/>
              <w:bottom w:w="0" w:type="dxa"/>
              <w:right w:w="108" w:type="dxa"/>
            </w:tcMar>
          </w:tcPr>
          <w:p w:rsidR="00B17B6B" w:rsidRPr="00B17B6B" w:rsidP="00D234BF" w14:paraId="34E168B6" w14:textId="77777777">
            <w:pPr>
              <w:jc w:val="center"/>
              <w:rPr>
                <w:rFonts w:eastAsia="Calibri"/>
                <w:color w:val="000000"/>
                <w:sz w:val="18"/>
                <w:szCs w:val="18"/>
              </w:rPr>
            </w:pPr>
          </w:p>
        </w:tc>
        <w:tc>
          <w:tcPr>
            <w:tcW w:w="1090" w:type="dxa"/>
            <w:tcMar>
              <w:top w:w="0" w:type="dxa"/>
              <w:left w:w="108" w:type="dxa"/>
              <w:bottom w:w="0" w:type="dxa"/>
              <w:right w:w="108" w:type="dxa"/>
            </w:tcMar>
          </w:tcPr>
          <w:p w:rsidR="00B17B6B" w:rsidRPr="00B17B6B" w:rsidP="00D234BF" w14:paraId="467ADA9E" w14:textId="77777777">
            <w:pPr>
              <w:jc w:val="center"/>
              <w:rPr>
                <w:rFonts w:eastAsia="Calibri"/>
                <w:color w:val="000000"/>
                <w:sz w:val="18"/>
                <w:szCs w:val="18"/>
              </w:rPr>
            </w:pPr>
          </w:p>
        </w:tc>
        <w:tc>
          <w:tcPr>
            <w:tcW w:w="1059" w:type="dxa"/>
            <w:tcMar>
              <w:top w:w="0" w:type="dxa"/>
              <w:left w:w="108" w:type="dxa"/>
              <w:bottom w:w="0" w:type="dxa"/>
              <w:right w:w="108" w:type="dxa"/>
            </w:tcMar>
          </w:tcPr>
          <w:p w:rsidR="00B17B6B" w:rsidRPr="00B17B6B" w:rsidP="00D234BF" w14:paraId="7221CAB1" w14:textId="77777777">
            <w:pPr>
              <w:jc w:val="center"/>
              <w:rPr>
                <w:rFonts w:eastAsia="Calibri"/>
                <w:color w:val="000000"/>
                <w:sz w:val="18"/>
                <w:szCs w:val="18"/>
              </w:rPr>
            </w:pPr>
          </w:p>
        </w:tc>
        <w:tc>
          <w:tcPr>
            <w:tcW w:w="984" w:type="dxa"/>
            <w:tcMar>
              <w:top w:w="0" w:type="dxa"/>
              <w:left w:w="108" w:type="dxa"/>
              <w:bottom w:w="0" w:type="dxa"/>
              <w:right w:w="108" w:type="dxa"/>
            </w:tcMar>
          </w:tcPr>
          <w:p w:rsidR="00B17B6B" w:rsidRPr="00B17B6B" w:rsidP="00D234BF" w14:paraId="1569ECB4" w14:textId="77777777">
            <w:pPr>
              <w:jc w:val="center"/>
              <w:rPr>
                <w:rFonts w:eastAsia="Calibri"/>
                <w:color w:val="000000"/>
                <w:sz w:val="18"/>
                <w:szCs w:val="18"/>
              </w:rPr>
            </w:pPr>
            <w:r w:rsidRPr="00B17B6B">
              <w:rPr>
                <w:rFonts w:eastAsia="Calibri"/>
                <w:color w:val="000000"/>
                <w:sz w:val="18"/>
                <w:szCs w:val="18"/>
              </w:rPr>
              <w:t xml:space="preserve">      37</w:t>
            </w:r>
            <w:r w:rsidRPr="00B17B6B">
              <w:rPr>
                <w:rFonts w:eastAsia="Calibri"/>
                <w:color w:val="000000"/>
                <w:sz w:val="18"/>
                <w:szCs w:val="18"/>
              </w:rPr>
              <w:tab/>
            </w:r>
          </w:p>
        </w:tc>
        <w:tc>
          <w:tcPr>
            <w:tcW w:w="835" w:type="dxa"/>
            <w:tcMar>
              <w:top w:w="0" w:type="dxa"/>
              <w:left w:w="108" w:type="dxa"/>
              <w:bottom w:w="0" w:type="dxa"/>
              <w:right w:w="108" w:type="dxa"/>
            </w:tcMar>
          </w:tcPr>
          <w:p w:rsidR="00B17B6B" w:rsidRPr="00B17B6B" w:rsidP="00D234BF" w14:paraId="1BAA675F" w14:textId="77777777">
            <w:pPr>
              <w:jc w:val="center"/>
              <w:rPr>
                <w:rFonts w:eastAsia="Calibri"/>
                <w:color w:val="000000"/>
                <w:sz w:val="18"/>
                <w:szCs w:val="18"/>
              </w:rPr>
            </w:pPr>
            <w:r w:rsidRPr="00B17B6B">
              <w:rPr>
                <w:rFonts w:eastAsia="Calibri"/>
                <w:color w:val="000000"/>
                <w:sz w:val="18"/>
                <w:szCs w:val="18"/>
              </w:rPr>
              <w:t>888</w:t>
            </w:r>
          </w:p>
        </w:tc>
        <w:tc>
          <w:tcPr>
            <w:tcW w:w="1116" w:type="dxa"/>
            <w:tcMar>
              <w:top w:w="0" w:type="dxa"/>
              <w:left w:w="108" w:type="dxa"/>
              <w:bottom w:w="0" w:type="dxa"/>
              <w:right w:w="108" w:type="dxa"/>
            </w:tcMar>
          </w:tcPr>
          <w:p w:rsidR="00B17B6B" w:rsidRPr="00B17B6B" w:rsidP="00D234BF" w14:paraId="734C60E7" w14:textId="77777777">
            <w:pPr>
              <w:jc w:val="center"/>
              <w:rPr>
                <w:rFonts w:eastAsia="Calibri"/>
                <w:color w:val="000000"/>
                <w:sz w:val="18"/>
                <w:szCs w:val="18"/>
              </w:rPr>
            </w:pPr>
          </w:p>
        </w:tc>
        <w:tc>
          <w:tcPr>
            <w:tcW w:w="1746" w:type="dxa"/>
            <w:tcMar>
              <w:top w:w="0" w:type="dxa"/>
              <w:left w:w="108" w:type="dxa"/>
              <w:bottom w:w="0" w:type="dxa"/>
              <w:right w:w="108" w:type="dxa"/>
            </w:tcMar>
          </w:tcPr>
          <w:p w:rsidR="00B17B6B" w:rsidRPr="00B17B6B" w:rsidP="00D234BF" w14:paraId="542E835D" w14:textId="77777777">
            <w:pPr>
              <w:jc w:val="center"/>
              <w:rPr>
                <w:rFonts w:eastAsia="Calibri"/>
                <w:color w:val="000000"/>
                <w:sz w:val="18"/>
                <w:szCs w:val="18"/>
              </w:rPr>
            </w:pPr>
            <w:r w:rsidRPr="00B17B6B">
              <w:rPr>
                <w:rFonts w:eastAsia="Calibri"/>
                <w:color w:val="000000"/>
                <w:sz w:val="18"/>
                <w:szCs w:val="18"/>
              </w:rPr>
              <w:t>$67,761.84</w:t>
            </w:r>
          </w:p>
        </w:tc>
      </w:tr>
    </w:tbl>
    <w:p w:rsidR="00167E53" w:rsidRPr="00B17B6B" w:rsidP="00B17B6B" w14:paraId="5BB0C48A" w14:textId="308768BF">
      <w:pPr>
        <w:keepLines/>
        <w:tabs>
          <w:tab w:val="left" w:pos="360"/>
          <w:tab w:val="left" w:pos="720"/>
        </w:tabs>
        <w:rPr>
          <w:sz w:val="18"/>
          <w:szCs w:val="18"/>
        </w:rPr>
      </w:pPr>
    </w:p>
    <w:p w:rsidR="00C24072" w:rsidRPr="006C7FAE" w14:paraId="2D500530" w14:textId="5EA7FC7C">
      <w:pPr>
        <w:tabs>
          <w:tab w:val="left" w:pos="360"/>
        </w:tabs>
        <w:ind w:left="360" w:hanging="360"/>
        <w:rPr>
          <w:sz w:val="24"/>
          <w:szCs w:val="24"/>
        </w:rPr>
      </w:pPr>
      <w:r>
        <w:rPr>
          <w:sz w:val="24"/>
          <w:szCs w:val="24"/>
        </w:rPr>
        <w:tab/>
      </w:r>
    </w:p>
    <w:p w:rsidR="009E13B1" w14:paraId="005FDD51" w14:textId="77777777">
      <w:pPr>
        <w:keepLines/>
        <w:tabs>
          <w:tab w:val="left" w:pos="360"/>
        </w:tabs>
        <w:spacing w:after="80"/>
        <w:ind w:left="360" w:hanging="360"/>
        <w:rPr>
          <w:b/>
          <w:bCs/>
          <w:sz w:val="24"/>
          <w:szCs w:val="24"/>
        </w:rPr>
      </w:pPr>
      <w:r w:rsidRPr="00B17B6B">
        <w:rPr>
          <w:b/>
          <w:bCs/>
          <w:sz w:val="24"/>
          <w:szCs w:val="24"/>
        </w:rPr>
        <w:t>15.</w:t>
      </w:r>
      <w:r w:rsidRPr="00B17B6B">
        <w:rPr>
          <w:b/>
          <w:bCs/>
          <w:sz w:val="24"/>
          <w:szCs w:val="24"/>
        </w:rPr>
        <w:tab/>
        <w:t>Explain the reasons for any program changes or adjustments reported in Items 1</w:t>
      </w:r>
      <w:r w:rsidRPr="00B17B6B" w:rsidR="000D5079">
        <w:rPr>
          <w:b/>
          <w:bCs/>
          <w:sz w:val="24"/>
          <w:szCs w:val="24"/>
        </w:rPr>
        <w:t>2</w:t>
      </w:r>
      <w:r w:rsidRPr="00B17B6B">
        <w:rPr>
          <w:b/>
          <w:bCs/>
          <w:sz w:val="24"/>
          <w:szCs w:val="24"/>
        </w:rPr>
        <w:t xml:space="preserve"> and 14 of the </w:t>
      </w:r>
      <w:r w:rsidRPr="00B17B6B" w:rsidR="00CA06CC">
        <w:rPr>
          <w:b/>
          <w:bCs/>
          <w:sz w:val="24"/>
          <w:szCs w:val="24"/>
        </w:rPr>
        <w:t>Supporting Statement</w:t>
      </w:r>
      <w:r w:rsidRPr="00B17B6B">
        <w:rPr>
          <w:b/>
          <w:bCs/>
          <w:sz w:val="24"/>
          <w:szCs w:val="24"/>
        </w:rPr>
        <w:t>.</w:t>
      </w:r>
    </w:p>
    <w:p w:rsidR="00BA31EB" w:rsidP="00BA31EB" w14:paraId="77C9825B" w14:textId="77777777">
      <w:pPr>
        <w:pStyle w:val="NoSpacing"/>
      </w:pPr>
    </w:p>
    <w:p w:rsidR="00B83A09" w:rsidRPr="00B83A09" w:rsidP="003A7E9A" w14:paraId="30EF7ECB" w14:textId="788D50D4">
      <w:pPr>
        <w:keepLines/>
        <w:tabs>
          <w:tab w:val="left" w:pos="360"/>
        </w:tabs>
        <w:spacing w:after="80"/>
        <w:ind w:left="360" w:hanging="360"/>
        <w:rPr>
          <w:sz w:val="24"/>
          <w:szCs w:val="24"/>
        </w:rPr>
      </w:pPr>
      <w:r w:rsidRPr="00B83A09">
        <w:rPr>
          <w:sz w:val="24"/>
          <w:szCs w:val="24"/>
        </w:rPr>
        <w:tab/>
        <w:t>While there have been no changes in the requirements to increase the existing burden hours, we received</w:t>
      </w:r>
      <w:r w:rsidR="003A7E9A">
        <w:rPr>
          <w:sz w:val="24"/>
          <w:szCs w:val="24"/>
        </w:rPr>
        <w:t xml:space="preserve"> one</w:t>
      </w:r>
      <w:r w:rsidRPr="00B83A09">
        <w:rPr>
          <w:sz w:val="24"/>
          <w:szCs w:val="24"/>
        </w:rPr>
        <w:t xml:space="preserve"> comment stating that “[t]he Notice provides for ‘26.5 Burden hours’ as an estimate of time to complete work for an assignment under the Legal Instructions. In our experience, such </w:t>
      </w:r>
      <w:r w:rsidRPr="00B83A09">
        <w:rPr>
          <w:sz w:val="24"/>
          <w:szCs w:val="24"/>
        </w:rPr>
        <w:t>estimate is</w:t>
      </w:r>
      <w:r w:rsidRPr="00B83A09">
        <w:rPr>
          <w:sz w:val="24"/>
          <w:szCs w:val="24"/>
        </w:rPr>
        <w:t xml:space="preserve"> very </w:t>
      </w:r>
      <w:r w:rsidRPr="00B83A09">
        <w:rPr>
          <w:sz w:val="24"/>
          <w:szCs w:val="24"/>
        </w:rPr>
        <w:t>low</w:t>
      </w:r>
      <w:r w:rsidRPr="00B83A09">
        <w:rPr>
          <w:sz w:val="24"/>
          <w:szCs w:val="24"/>
        </w:rPr>
        <w:t xml:space="preserve"> and the actual preparation time is at least double such </w:t>
      </w:r>
      <w:r w:rsidRPr="00B83A09">
        <w:rPr>
          <w:sz w:val="24"/>
          <w:szCs w:val="24"/>
        </w:rPr>
        <w:t>estimate</w:t>
      </w:r>
      <w:r w:rsidRPr="00B83A09">
        <w:rPr>
          <w:sz w:val="24"/>
          <w:szCs w:val="24"/>
        </w:rPr>
        <w:t>. The time spent to complete the legal work for a simple assignment under the Legal Instructions is closer to 50 hours.” In response to this comment, we are updating the burden hours from 26.5 to 50 hours to more accurately reflect a respondent’s experience in preparing a response.</w:t>
      </w:r>
    </w:p>
    <w:p w:rsidR="00B83A09" w:rsidRPr="00B83A09" w:rsidP="00B83A09" w14:paraId="51AC0551" w14:textId="5B4A18CB">
      <w:pPr>
        <w:keepLines/>
        <w:tabs>
          <w:tab w:val="left" w:pos="360"/>
        </w:tabs>
        <w:spacing w:after="80"/>
        <w:ind w:left="360" w:hanging="360"/>
        <w:rPr>
          <w:sz w:val="24"/>
          <w:szCs w:val="24"/>
        </w:rPr>
      </w:pPr>
      <w:r w:rsidRPr="00B83A09">
        <w:rPr>
          <w:sz w:val="24"/>
          <w:szCs w:val="24"/>
        </w:rPr>
        <w:tab/>
        <w:t>Sample documents reflecting existing HUD requirements and policies are being provided to assist with compliance with the Legal Instructions (see new Exhibit D to the Legal Instructions).  However, the burden for drafting, whether by using the new sample documents or not, has already been accounted for in the existing calculation of burden hours.</w:t>
      </w:r>
    </w:p>
    <w:p w:rsidR="00D039FD" w:rsidRPr="00B25E29" w:rsidP="00B25E29" w14:paraId="1BD6883F" w14:textId="1DC4F75E">
      <w:pPr>
        <w:keepLines/>
        <w:tabs>
          <w:tab w:val="left" w:pos="360"/>
        </w:tabs>
        <w:spacing w:after="80"/>
        <w:ind w:left="360" w:hanging="360"/>
        <w:rPr>
          <w:sz w:val="24"/>
          <w:szCs w:val="24"/>
        </w:rPr>
      </w:pPr>
      <w:r w:rsidRPr="00B83A09">
        <w:rPr>
          <w:sz w:val="24"/>
          <w:szCs w:val="24"/>
        </w:rPr>
        <w:tab/>
      </w:r>
      <w:r w:rsidRPr="00B83A09">
        <w:rPr>
          <w:sz w:val="24"/>
          <w:szCs w:val="24"/>
        </w:rPr>
        <w:t xml:space="preserve"> </w:t>
      </w:r>
    </w:p>
    <w:p w:rsidR="009E13B1" w14:paraId="191E7ECF" w14:textId="77777777">
      <w:pPr>
        <w:keepLines/>
        <w:tabs>
          <w:tab w:val="left" w:pos="360"/>
        </w:tabs>
        <w:spacing w:after="80"/>
        <w:ind w:left="360" w:hanging="360"/>
        <w:rPr>
          <w:b/>
          <w:bCs/>
          <w:sz w:val="24"/>
          <w:szCs w:val="24"/>
        </w:rPr>
      </w:pPr>
      <w:r w:rsidRPr="00B17B6B">
        <w:rPr>
          <w:b/>
          <w:bCs/>
          <w:sz w:val="24"/>
          <w:szCs w:val="24"/>
        </w:rPr>
        <w:t>16.</w:t>
      </w:r>
      <w:r w:rsidRPr="00B17B6B">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31EB" w:rsidP="00C47FBC" w14:paraId="64FFE32B" w14:textId="77777777">
      <w:pPr>
        <w:keepLines/>
        <w:tabs>
          <w:tab w:val="left" w:pos="360"/>
        </w:tabs>
        <w:spacing w:after="80"/>
        <w:ind w:left="720" w:hanging="360"/>
        <w:rPr>
          <w:sz w:val="24"/>
          <w:szCs w:val="24"/>
        </w:rPr>
      </w:pPr>
    </w:p>
    <w:p w:rsidR="00C47FBC" w:rsidRPr="00C47FBC" w:rsidP="00C47FBC" w14:paraId="06DD9EB5" w14:textId="314CA919">
      <w:pPr>
        <w:keepLines/>
        <w:tabs>
          <w:tab w:val="left" w:pos="360"/>
        </w:tabs>
        <w:spacing w:after="80"/>
        <w:ind w:left="720" w:hanging="360"/>
        <w:rPr>
          <w:sz w:val="24"/>
          <w:szCs w:val="24"/>
        </w:rPr>
      </w:pPr>
      <w:r w:rsidRPr="00C47FBC">
        <w:rPr>
          <w:sz w:val="24"/>
          <w:szCs w:val="24"/>
        </w:rPr>
        <w:t>None of the information collected will be published.</w:t>
      </w:r>
    </w:p>
    <w:p w:rsidR="006F6C2C" w:rsidRPr="00B25E29" w:rsidP="00B25E29" w14:paraId="1CAFF4FE" w14:textId="650FB9AC">
      <w:pPr>
        <w:pStyle w:val="NoSpacing"/>
        <w:ind w:left="360"/>
      </w:pPr>
      <w:r w:rsidRPr="00C47FBC">
        <w:tab/>
      </w:r>
    </w:p>
    <w:p w:rsidR="009E13B1" w14:paraId="34E8092D" w14:textId="10540FA9">
      <w:pPr>
        <w:keepLines/>
        <w:tabs>
          <w:tab w:val="left" w:pos="360"/>
        </w:tabs>
        <w:spacing w:after="80"/>
        <w:ind w:left="360" w:hanging="360"/>
        <w:rPr>
          <w:b/>
          <w:bCs/>
          <w:sz w:val="24"/>
          <w:szCs w:val="24"/>
        </w:rPr>
      </w:pPr>
      <w:r w:rsidRPr="00B17B6B">
        <w:rPr>
          <w:b/>
          <w:bCs/>
          <w:sz w:val="24"/>
          <w:szCs w:val="24"/>
        </w:rPr>
        <w:t>17.</w:t>
      </w:r>
      <w:r w:rsidRPr="00B17B6B">
        <w:rPr>
          <w:b/>
          <w:bCs/>
          <w:sz w:val="24"/>
          <w:szCs w:val="24"/>
        </w:rPr>
        <w:tab/>
        <w:t>If seeking approval to not display the expiration date for OMB approval of the information collection, explain the reasons that display would be inappropriate.</w:t>
      </w:r>
      <w:r w:rsidR="00183674">
        <w:rPr>
          <w:b/>
          <w:bCs/>
          <w:sz w:val="24"/>
          <w:szCs w:val="24"/>
        </w:rPr>
        <w:t xml:space="preserve">  </w:t>
      </w:r>
    </w:p>
    <w:p w:rsidR="00BA31EB" w:rsidP="00BA31EB" w14:paraId="682C7C34" w14:textId="77777777">
      <w:pPr>
        <w:pStyle w:val="NoSpacing"/>
      </w:pPr>
      <w:r w:rsidRPr="00B25E29">
        <w:tab/>
      </w:r>
    </w:p>
    <w:p w:rsidR="00B25E29" w:rsidRPr="00B25E29" w14:paraId="2E45D993" w14:textId="2C7A6301">
      <w:pPr>
        <w:keepLines/>
        <w:tabs>
          <w:tab w:val="left" w:pos="360"/>
        </w:tabs>
        <w:spacing w:after="80"/>
        <w:ind w:left="360" w:hanging="360"/>
        <w:rPr>
          <w:sz w:val="24"/>
          <w:szCs w:val="24"/>
        </w:rPr>
      </w:pPr>
      <w:r>
        <w:rPr>
          <w:sz w:val="24"/>
          <w:szCs w:val="24"/>
        </w:rPr>
        <w:tab/>
      </w:r>
      <w:r w:rsidRPr="00B25E29">
        <w:rPr>
          <w:sz w:val="24"/>
          <w:szCs w:val="24"/>
        </w:rPr>
        <w:t>No Exemption is requested.  </w:t>
      </w:r>
    </w:p>
    <w:p w:rsidR="009E13B1" w:rsidRPr="00B17B6B" w:rsidP="00B25E29" w14:paraId="44B4D7A4" w14:textId="2752F253">
      <w:pPr>
        <w:keepLines/>
        <w:tabs>
          <w:tab w:val="left" w:pos="360"/>
        </w:tabs>
        <w:spacing w:after="80"/>
        <w:rPr>
          <w:b/>
          <w:bCs/>
          <w:sz w:val="24"/>
          <w:szCs w:val="24"/>
        </w:rPr>
      </w:pPr>
    </w:p>
    <w:p w:rsidR="009E13B1" w:rsidRPr="00B17B6B" w14:paraId="68C195AD" w14:textId="21153E3A">
      <w:pPr>
        <w:keepLines/>
        <w:tabs>
          <w:tab w:val="left" w:pos="360"/>
        </w:tabs>
        <w:spacing w:after="80"/>
        <w:ind w:left="360" w:hanging="360"/>
        <w:rPr>
          <w:rFonts w:ascii="Courier" w:hAnsi="Courier"/>
          <w:b/>
          <w:bCs/>
          <w:sz w:val="24"/>
          <w:szCs w:val="24"/>
        </w:rPr>
      </w:pPr>
      <w:r w:rsidRPr="00B17B6B">
        <w:rPr>
          <w:b/>
          <w:bCs/>
          <w:sz w:val="24"/>
          <w:szCs w:val="24"/>
        </w:rPr>
        <w:t>18.</w:t>
      </w:r>
      <w:r w:rsidRPr="00B17B6B">
        <w:rPr>
          <w:b/>
          <w:bCs/>
          <w:sz w:val="24"/>
          <w:szCs w:val="24"/>
        </w:rPr>
        <w:tab/>
        <w:t>Explain each exception to the certification statement identified in item 19.</w:t>
      </w:r>
      <w:r w:rsidR="00A03BB0">
        <w:rPr>
          <w:b/>
          <w:bCs/>
          <w:sz w:val="24"/>
          <w:szCs w:val="24"/>
        </w:rPr>
        <w:t xml:space="preserve"> - </w:t>
      </w:r>
      <w:r w:rsidRPr="00183674" w:rsidR="00A03BB0">
        <w:rPr>
          <w:sz w:val="24"/>
          <w:szCs w:val="24"/>
        </w:rPr>
        <w:t>N/A</w:t>
      </w:r>
    </w:p>
    <w:p w:rsidR="009E13B1" w:rsidRPr="00B17B6B" w:rsidP="000B2B15" w14:paraId="507CF194" w14:textId="756B87AA">
      <w:pPr>
        <w:tabs>
          <w:tab w:val="left" w:pos="360"/>
          <w:tab w:val="left" w:pos="720"/>
        </w:tabs>
        <w:rPr>
          <w:b/>
          <w:bCs/>
          <w:sz w:val="24"/>
          <w:szCs w:val="24"/>
        </w:rPr>
      </w:pPr>
      <w:r w:rsidRPr="00B17B6B">
        <w:rPr>
          <w:b/>
          <w:bCs/>
          <w:sz w:val="24"/>
          <w:szCs w:val="24"/>
        </w:rPr>
        <w:tab/>
      </w:r>
    </w:p>
    <w:sectPr w:rsidSect="006C7FAE">
      <w:headerReference w:type="default" r:id="rId14"/>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AB916E3"/>
    <w:multiLevelType w:val="hybridMultilevel"/>
    <w:tmpl w:val="62F490F8"/>
    <w:lvl w:ilvl="0">
      <w:start w:val="1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2265C12"/>
    <w:multiLevelType w:val="hybridMultilevel"/>
    <w:tmpl w:val="E1A4DC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6D313C26"/>
    <w:multiLevelType w:val="hybridMultilevel"/>
    <w:tmpl w:val="FAB239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5">
    <w:nsid w:val="7F664DBD"/>
    <w:multiLevelType w:val="hybridMultilevel"/>
    <w:tmpl w:val="8BD86C10"/>
    <w:lvl w:ilvl="0">
      <w:start w:val="1"/>
      <w:numFmt w:val="decimal"/>
      <w:lvlText w:val="(%1)"/>
      <w:lvlJc w:val="left"/>
      <w:pPr>
        <w:tabs>
          <w:tab w:val="num" w:pos="-5670"/>
        </w:tabs>
        <w:ind w:left="-5670" w:hanging="360"/>
      </w:pPr>
      <w:rPr>
        <w:rFonts w:hint="default"/>
      </w:rPr>
    </w:lvl>
    <w:lvl w:ilvl="1" w:tentative="1">
      <w:start w:val="1"/>
      <w:numFmt w:val="lowerLetter"/>
      <w:lvlText w:val="%2."/>
      <w:lvlJc w:val="left"/>
      <w:pPr>
        <w:tabs>
          <w:tab w:val="num" w:pos="-4950"/>
        </w:tabs>
        <w:ind w:left="-4950" w:hanging="360"/>
      </w:pPr>
    </w:lvl>
    <w:lvl w:ilvl="2" w:tentative="1">
      <w:start w:val="1"/>
      <w:numFmt w:val="lowerRoman"/>
      <w:lvlText w:val="%3."/>
      <w:lvlJc w:val="right"/>
      <w:pPr>
        <w:tabs>
          <w:tab w:val="num" w:pos="-4230"/>
        </w:tabs>
        <w:ind w:left="-4230" w:hanging="180"/>
      </w:p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2790"/>
        </w:tabs>
        <w:ind w:left="-2790" w:hanging="360"/>
      </w:pPr>
    </w:lvl>
    <w:lvl w:ilvl="5" w:tentative="1">
      <w:start w:val="1"/>
      <w:numFmt w:val="lowerRoman"/>
      <w:lvlText w:val="%6."/>
      <w:lvlJc w:val="right"/>
      <w:pPr>
        <w:tabs>
          <w:tab w:val="num" w:pos="-2070"/>
        </w:tabs>
        <w:ind w:left="-2070" w:hanging="180"/>
      </w:pPr>
    </w:lvl>
    <w:lvl w:ilvl="6" w:tentative="1">
      <w:start w:val="1"/>
      <w:numFmt w:val="decimal"/>
      <w:lvlText w:val="%7."/>
      <w:lvlJc w:val="left"/>
      <w:pPr>
        <w:tabs>
          <w:tab w:val="num" w:pos="-1350"/>
        </w:tabs>
        <w:ind w:left="-1350" w:hanging="360"/>
      </w:pPr>
    </w:lvl>
    <w:lvl w:ilvl="7" w:tentative="1">
      <w:start w:val="1"/>
      <w:numFmt w:val="lowerLetter"/>
      <w:lvlText w:val="%8."/>
      <w:lvlJc w:val="left"/>
      <w:pPr>
        <w:tabs>
          <w:tab w:val="num" w:pos="-630"/>
        </w:tabs>
        <w:ind w:left="-630" w:hanging="360"/>
      </w:pPr>
    </w:lvl>
    <w:lvl w:ilvl="8" w:tentative="1">
      <w:start w:val="1"/>
      <w:numFmt w:val="lowerRoman"/>
      <w:lvlText w:val="%9."/>
      <w:lvlJc w:val="right"/>
      <w:pPr>
        <w:tabs>
          <w:tab w:val="num" w:pos="90"/>
        </w:tabs>
        <w:ind w:left="90" w:hanging="180"/>
      </w:pPr>
    </w:lvl>
  </w:abstractNum>
  <w:num w:numId="1" w16cid:durableId="743601999">
    <w:abstractNumId w:val="4"/>
  </w:num>
  <w:num w:numId="2" w16cid:durableId="1939675396">
    <w:abstractNumId w:val="2"/>
  </w:num>
  <w:num w:numId="3" w16cid:durableId="1587377701">
    <w:abstractNumId w:val="10"/>
  </w:num>
  <w:num w:numId="4" w16cid:durableId="887451858">
    <w:abstractNumId w:val="6"/>
  </w:num>
  <w:num w:numId="5" w16cid:durableId="1830825219">
    <w:abstractNumId w:val="7"/>
  </w:num>
  <w:num w:numId="6" w16cid:durableId="2036811765">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4"/>
  </w:num>
  <w:num w:numId="9" w16cid:durableId="36247648">
    <w:abstractNumId w:val="1"/>
  </w:num>
  <w:num w:numId="10" w16cid:durableId="1269002932">
    <w:abstractNumId w:val="13"/>
  </w:num>
  <w:num w:numId="11" w16cid:durableId="804929379">
    <w:abstractNumId w:val="12"/>
  </w:num>
  <w:num w:numId="12" w16cid:durableId="1778601022">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9"/>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614672517">
    <w:abstractNumId w:val="15"/>
  </w:num>
  <w:num w:numId="16" w16cid:durableId="1412892085">
    <w:abstractNumId w:val="5"/>
  </w:num>
  <w:num w:numId="17" w16cid:durableId="1819809894">
    <w:abstractNumId w:val="8"/>
  </w:num>
  <w:num w:numId="18" w16cid:durableId="865870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8"/>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421BD"/>
    <w:rsid w:val="00046594"/>
    <w:rsid w:val="000515DF"/>
    <w:rsid w:val="00060D8D"/>
    <w:rsid w:val="000A1639"/>
    <w:rsid w:val="000A2F1F"/>
    <w:rsid w:val="000B2B15"/>
    <w:rsid w:val="000C117C"/>
    <w:rsid w:val="000C38FD"/>
    <w:rsid w:val="000C622F"/>
    <w:rsid w:val="000D2384"/>
    <w:rsid w:val="000D5079"/>
    <w:rsid w:val="000E00A8"/>
    <w:rsid w:val="000E2A89"/>
    <w:rsid w:val="000F55EB"/>
    <w:rsid w:val="00142DE5"/>
    <w:rsid w:val="00164107"/>
    <w:rsid w:val="00167E53"/>
    <w:rsid w:val="00181D77"/>
    <w:rsid w:val="00183674"/>
    <w:rsid w:val="0019666D"/>
    <w:rsid w:val="001D17E5"/>
    <w:rsid w:val="001D6BC7"/>
    <w:rsid w:val="00211848"/>
    <w:rsid w:val="00222AEA"/>
    <w:rsid w:val="0023256B"/>
    <w:rsid w:val="002629B5"/>
    <w:rsid w:val="002631DC"/>
    <w:rsid w:val="00263696"/>
    <w:rsid w:val="0028513A"/>
    <w:rsid w:val="002932A2"/>
    <w:rsid w:val="0029615B"/>
    <w:rsid w:val="0029761B"/>
    <w:rsid w:val="002B120C"/>
    <w:rsid w:val="002C5BA8"/>
    <w:rsid w:val="002D1594"/>
    <w:rsid w:val="002F3878"/>
    <w:rsid w:val="002F6CE8"/>
    <w:rsid w:val="003035C0"/>
    <w:rsid w:val="00311911"/>
    <w:rsid w:val="00312A3B"/>
    <w:rsid w:val="00320A3A"/>
    <w:rsid w:val="00326ECE"/>
    <w:rsid w:val="003549E8"/>
    <w:rsid w:val="00360090"/>
    <w:rsid w:val="00375C1B"/>
    <w:rsid w:val="00376471"/>
    <w:rsid w:val="00393E38"/>
    <w:rsid w:val="003A3280"/>
    <w:rsid w:val="003A7E9A"/>
    <w:rsid w:val="003B7C7D"/>
    <w:rsid w:val="003C1918"/>
    <w:rsid w:val="003E78DE"/>
    <w:rsid w:val="00436BCD"/>
    <w:rsid w:val="00450591"/>
    <w:rsid w:val="00471336"/>
    <w:rsid w:val="0047398E"/>
    <w:rsid w:val="0048289A"/>
    <w:rsid w:val="00484D1B"/>
    <w:rsid w:val="004929B8"/>
    <w:rsid w:val="00495618"/>
    <w:rsid w:val="004A62CD"/>
    <w:rsid w:val="004A7C72"/>
    <w:rsid w:val="004B0713"/>
    <w:rsid w:val="004E2DD3"/>
    <w:rsid w:val="00504D25"/>
    <w:rsid w:val="00524E1E"/>
    <w:rsid w:val="00532200"/>
    <w:rsid w:val="0054386A"/>
    <w:rsid w:val="00550934"/>
    <w:rsid w:val="00580974"/>
    <w:rsid w:val="00584348"/>
    <w:rsid w:val="00586281"/>
    <w:rsid w:val="0058747D"/>
    <w:rsid w:val="005A6333"/>
    <w:rsid w:val="005B4070"/>
    <w:rsid w:val="005D7C9A"/>
    <w:rsid w:val="005E7523"/>
    <w:rsid w:val="006000DB"/>
    <w:rsid w:val="006016DF"/>
    <w:rsid w:val="006069E4"/>
    <w:rsid w:val="0063133E"/>
    <w:rsid w:val="0064385C"/>
    <w:rsid w:val="006765AE"/>
    <w:rsid w:val="00683C48"/>
    <w:rsid w:val="00690234"/>
    <w:rsid w:val="006A158B"/>
    <w:rsid w:val="006A5C84"/>
    <w:rsid w:val="006B7674"/>
    <w:rsid w:val="006C4830"/>
    <w:rsid w:val="006C7FAE"/>
    <w:rsid w:val="006F0D67"/>
    <w:rsid w:val="006F440E"/>
    <w:rsid w:val="006F6C2C"/>
    <w:rsid w:val="0076574E"/>
    <w:rsid w:val="0079259A"/>
    <w:rsid w:val="007B35CE"/>
    <w:rsid w:val="007B4A33"/>
    <w:rsid w:val="007D1994"/>
    <w:rsid w:val="007E35DA"/>
    <w:rsid w:val="008314BA"/>
    <w:rsid w:val="008423BD"/>
    <w:rsid w:val="00856B83"/>
    <w:rsid w:val="00867BA0"/>
    <w:rsid w:val="008859FE"/>
    <w:rsid w:val="008941D7"/>
    <w:rsid w:val="008A2F44"/>
    <w:rsid w:val="008A7175"/>
    <w:rsid w:val="008E0A84"/>
    <w:rsid w:val="009167DB"/>
    <w:rsid w:val="009B0AA2"/>
    <w:rsid w:val="009D147C"/>
    <w:rsid w:val="009D5542"/>
    <w:rsid w:val="009E0C3E"/>
    <w:rsid w:val="009E13B1"/>
    <w:rsid w:val="009F35CA"/>
    <w:rsid w:val="00A03BB0"/>
    <w:rsid w:val="00A16FA9"/>
    <w:rsid w:val="00A312DA"/>
    <w:rsid w:val="00A4046B"/>
    <w:rsid w:val="00A5000A"/>
    <w:rsid w:val="00A50611"/>
    <w:rsid w:val="00A508D2"/>
    <w:rsid w:val="00A50A2F"/>
    <w:rsid w:val="00A60860"/>
    <w:rsid w:val="00A65F9E"/>
    <w:rsid w:val="00A7534A"/>
    <w:rsid w:val="00A83E46"/>
    <w:rsid w:val="00AE08F1"/>
    <w:rsid w:val="00B01940"/>
    <w:rsid w:val="00B03398"/>
    <w:rsid w:val="00B04BA6"/>
    <w:rsid w:val="00B17B6B"/>
    <w:rsid w:val="00B25E29"/>
    <w:rsid w:val="00B36479"/>
    <w:rsid w:val="00B438D9"/>
    <w:rsid w:val="00B71058"/>
    <w:rsid w:val="00B83A09"/>
    <w:rsid w:val="00B83BC4"/>
    <w:rsid w:val="00B94401"/>
    <w:rsid w:val="00BA24E2"/>
    <w:rsid w:val="00BA31EB"/>
    <w:rsid w:val="00BB2518"/>
    <w:rsid w:val="00BB5948"/>
    <w:rsid w:val="00BB77EF"/>
    <w:rsid w:val="00BC10AF"/>
    <w:rsid w:val="00BC50C0"/>
    <w:rsid w:val="00BE012A"/>
    <w:rsid w:val="00BE1BB7"/>
    <w:rsid w:val="00BF5588"/>
    <w:rsid w:val="00BF5F45"/>
    <w:rsid w:val="00C06B8A"/>
    <w:rsid w:val="00C24072"/>
    <w:rsid w:val="00C255E0"/>
    <w:rsid w:val="00C47FBC"/>
    <w:rsid w:val="00C8012E"/>
    <w:rsid w:val="00CA06CC"/>
    <w:rsid w:val="00CB68B5"/>
    <w:rsid w:val="00CC3389"/>
    <w:rsid w:val="00CE1567"/>
    <w:rsid w:val="00D039FD"/>
    <w:rsid w:val="00D12FD4"/>
    <w:rsid w:val="00D2127C"/>
    <w:rsid w:val="00D234BF"/>
    <w:rsid w:val="00D30F2F"/>
    <w:rsid w:val="00D32A83"/>
    <w:rsid w:val="00D44E46"/>
    <w:rsid w:val="00D717DB"/>
    <w:rsid w:val="00D74136"/>
    <w:rsid w:val="00D750F5"/>
    <w:rsid w:val="00D81406"/>
    <w:rsid w:val="00D922CC"/>
    <w:rsid w:val="00DA0D32"/>
    <w:rsid w:val="00DA56F4"/>
    <w:rsid w:val="00DA5930"/>
    <w:rsid w:val="00DD3286"/>
    <w:rsid w:val="00DE0A05"/>
    <w:rsid w:val="00DE25B9"/>
    <w:rsid w:val="00E00D88"/>
    <w:rsid w:val="00E01140"/>
    <w:rsid w:val="00E11287"/>
    <w:rsid w:val="00E46DCE"/>
    <w:rsid w:val="00E55926"/>
    <w:rsid w:val="00E728FE"/>
    <w:rsid w:val="00E80EDE"/>
    <w:rsid w:val="00E9019D"/>
    <w:rsid w:val="00EB4D4B"/>
    <w:rsid w:val="00EE02BF"/>
    <w:rsid w:val="00EE51F6"/>
    <w:rsid w:val="00F035D5"/>
    <w:rsid w:val="00F04583"/>
    <w:rsid w:val="00F131B4"/>
    <w:rsid w:val="00F23706"/>
    <w:rsid w:val="00F27C8F"/>
    <w:rsid w:val="00F50872"/>
    <w:rsid w:val="00F5145B"/>
    <w:rsid w:val="00F54323"/>
    <w:rsid w:val="00F557C1"/>
    <w:rsid w:val="00FB30BE"/>
    <w:rsid w:val="00FE1607"/>
    <w:rsid w:val="00FE4E70"/>
    <w:rsid w:val="181ACE02"/>
    <w:rsid w:val="3170CD44"/>
    <w:rsid w:val="31B6CC1C"/>
    <w:rsid w:val="360643E8"/>
    <w:rsid w:val="43CFF13D"/>
    <w:rsid w:val="63D6CB06"/>
    <w:rsid w:val="7DEBA1B0"/>
    <w:rsid w:val="7FC18A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NoSpacing">
    <w:name w:val="No Spacing"/>
    <w:uiPriority w:val="1"/>
    <w:qFormat/>
    <w:rsid w:val="000B2B15"/>
    <w:pPr>
      <w:overflowPunct w:val="0"/>
      <w:autoSpaceDE w:val="0"/>
      <w:autoSpaceDN w:val="0"/>
      <w:adjustRightInd w:val="0"/>
      <w:textAlignment w:val="baseline"/>
    </w:pPr>
  </w:style>
  <w:style w:type="character" w:styleId="Hyperlink">
    <w:name w:val="Hyperlink"/>
    <w:basedOn w:val="DefaultParagraphFont"/>
    <w:uiPriority w:val="99"/>
    <w:unhideWhenUsed/>
    <w:rsid w:val="00E46DCE"/>
    <w:rPr>
      <w:color w:val="467886" w:themeColor="hyperlink"/>
      <w:u w:val="single"/>
    </w:rPr>
  </w:style>
  <w:style w:type="character" w:styleId="UnresolvedMention">
    <w:name w:val="Unresolved Mention"/>
    <w:basedOn w:val="DefaultParagraphFont"/>
    <w:uiPriority w:val="99"/>
    <w:semiHidden/>
    <w:unhideWhenUsed/>
    <w:rsid w:val="00E46DCE"/>
    <w:rPr>
      <w:color w:val="605E5C"/>
      <w:shd w:val="clear" w:color="auto" w:fill="E1DFDD"/>
    </w:rPr>
  </w:style>
  <w:style w:type="character" w:styleId="CommentReference">
    <w:name w:val="annotation reference"/>
    <w:basedOn w:val="DefaultParagraphFont"/>
    <w:uiPriority w:val="99"/>
    <w:semiHidden/>
    <w:unhideWhenUsed/>
    <w:rsid w:val="000421BD"/>
    <w:rPr>
      <w:sz w:val="16"/>
      <w:szCs w:val="16"/>
    </w:rPr>
  </w:style>
  <w:style w:type="paragraph" w:styleId="CommentText">
    <w:name w:val="annotation text"/>
    <w:basedOn w:val="Normal"/>
    <w:link w:val="CommentTextChar"/>
    <w:uiPriority w:val="99"/>
    <w:unhideWhenUsed/>
    <w:rsid w:val="000421BD"/>
  </w:style>
  <w:style w:type="character" w:customStyle="1" w:styleId="CommentTextChar">
    <w:name w:val="Comment Text Char"/>
    <w:basedOn w:val="DefaultParagraphFont"/>
    <w:link w:val="CommentText"/>
    <w:uiPriority w:val="99"/>
    <w:rsid w:val="000421BD"/>
  </w:style>
  <w:style w:type="paragraph" w:styleId="CommentSubject">
    <w:name w:val="annotation subject"/>
    <w:basedOn w:val="CommentText"/>
    <w:next w:val="CommentText"/>
    <w:link w:val="CommentSubjectChar"/>
    <w:uiPriority w:val="99"/>
    <w:semiHidden/>
    <w:unhideWhenUsed/>
    <w:rsid w:val="000421BD"/>
    <w:rPr>
      <w:b/>
      <w:bCs/>
    </w:rPr>
  </w:style>
  <w:style w:type="character" w:customStyle="1" w:styleId="CommentSubjectChar">
    <w:name w:val="Comment Subject Char"/>
    <w:basedOn w:val="CommentTextChar"/>
    <w:link w:val="CommentSubject"/>
    <w:uiPriority w:val="99"/>
    <w:semiHidden/>
    <w:rsid w:val="000421BD"/>
    <w:rPr>
      <w:b/>
      <w:bCs/>
    </w:rPr>
  </w:style>
  <w:style w:type="paragraph" w:styleId="BodyText">
    <w:name w:val="Body Text"/>
    <w:basedOn w:val="Normal"/>
    <w:link w:val="BodyTextChar"/>
    <w:uiPriority w:val="99"/>
    <w:semiHidden/>
    <w:unhideWhenUsed/>
    <w:rsid w:val="00DE25B9"/>
    <w:pPr>
      <w:tabs>
        <w:tab w:val="left" w:pos="720"/>
      </w:tabs>
      <w:overflowPunct/>
      <w:autoSpaceDE/>
      <w:autoSpaceDN/>
      <w:adjustRightInd/>
      <w:spacing w:after="120" w:line="276" w:lineRule="auto"/>
      <w:textAlignment w:val="auto"/>
    </w:pPr>
    <w:rPr>
      <w:rFonts w:eastAsiaTheme="minorHAnsi" w:cstheme="minorBidi"/>
      <w:sz w:val="24"/>
      <w:szCs w:val="22"/>
    </w:rPr>
  </w:style>
  <w:style w:type="character" w:customStyle="1" w:styleId="BodyTextChar">
    <w:name w:val="Body Text Char"/>
    <w:basedOn w:val="DefaultParagraphFont"/>
    <w:link w:val="BodyText"/>
    <w:uiPriority w:val="99"/>
    <w:semiHidden/>
    <w:rsid w:val="00DE25B9"/>
    <w:rPr>
      <w:rFonts w:eastAsiaTheme="minorHAnsi" w:cstheme="minorBidi"/>
      <w:sz w:val="24"/>
      <w:szCs w:val="22"/>
    </w:rPr>
  </w:style>
  <w:style w:type="paragraph" w:styleId="BodyTextIndent3">
    <w:name w:val="Body Text Indent 3"/>
    <w:basedOn w:val="Normal"/>
    <w:link w:val="BodyTextIndent3Char"/>
    <w:uiPriority w:val="99"/>
    <w:unhideWhenUsed/>
    <w:rsid w:val="00DE25B9"/>
    <w:pPr>
      <w:tabs>
        <w:tab w:val="left" w:pos="720"/>
      </w:tabs>
      <w:overflowPunct/>
      <w:autoSpaceDE/>
      <w:autoSpaceDN/>
      <w:adjustRightInd/>
      <w:spacing w:after="120" w:line="276" w:lineRule="auto"/>
      <w:ind w:left="360"/>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rsid w:val="00DE25B9"/>
    <w:rPr>
      <w:rFonts w:eastAsiaTheme="minorHAnsi" w:cstheme="minorBidi"/>
      <w:sz w:val="16"/>
      <w:szCs w:val="16"/>
    </w:rPr>
  </w:style>
  <w:style w:type="paragraph" w:styleId="BodyTextIndent2">
    <w:name w:val="Body Text Indent 2"/>
    <w:basedOn w:val="Normal"/>
    <w:link w:val="BodyTextIndent2Char"/>
    <w:uiPriority w:val="99"/>
    <w:unhideWhenUsed/>
    <w:rsid w:val="00FB30BE"/>
    <w:pPr>
      <w:tabs>
        <w:tab w:val="left" w:pos="720"/>
      </w:tabs>
      <w:overflowPunct/>
      <w:autoSpaceDE/>
      <w:autoSpaceDN/>
      <w:adjustRightInd/>
      <w:spacing w:after="120" w:line="480" w:lineRule="auto"/>
      <w:ind w:left="360"/>
      <w:textAlignment w:val="auto"/>
    </w:pPr>
    <w:rPr>
      <w:rFonts w:eastAsiaTheme="minorHAnsi" w:cstheme="minorBidi"/>
      <w:sz w:val="24"/>
      <w:szCs w:val="22"/>
    </w:rPr>
  </w:style>
  <w:style w:type="character" w:customStyle="1" w:styleId="BodyTextIndent2Char">
    <w:name w:val="Body Text Indent 2 Char"/>
    <w:basedOn w:val="DefaultParagraphFont"/>
    <w:link w:val="BodyTextIndent2"/>
    <w:uiPriority w:val="99"/>
    <w:rsid w:val="00FB30BE"/>
    <w:rPr>
      <w:rFonts w:eastAsiaTheme="minorHAnsi" w:cstheme="minorBidi"/>
      <w:sz w:val="24"/>
      <w:szCs w:val="22"/>
    </w:rPr>
  </w:style>
  <w:style w:type="paragraph" w:styleId="BodyTextIndent">
    <w:name w:val="Body Text Indent"/>
    <w:basedOn w:val="Normal"/>
    <w:link w:val="BodyTextIndentChar"/>
    <w:uiPriority w:val="99"/>
    <w:semiHidden/>
    <w:unhideWhenUsed/>
    <w:rsid w:val="00FB30BE"/>
    <w:pPr>
      <w:tabs>
        <w:tab w:val="left" w:pos="720"/>
      </w:tabs>
      <w:overflowPunct/>
      <w:autoSpaceDE/>
      <w:autoSpaceDN/>
      <w:adjustRightInd/>
      <w:spacing w:after="120" w:line="276" w:lineRule="auto"/>
      <w:ind w:left="360"/>
      <w:textAlignment w:val="auto"/>
    </w:pPr>
    <w:rPr>
      <w:rFonts w:eastAsiaTheme="minorHAnsi" w:cstheme="minorBidi"/>
      <w:sz w:val="24"/>
      <w:szCs w:val="22"/>
    </w:rPr>
  </w:style>
  <w:style w:type="character" w:customStyle="1" w:styleId="BodyTextIndentChar">
    <w:name w:val="Body Text Indent Char"/>
    <w:basedOn w:val="DefaultParagraphFont"/>
    <w:link w:val="BodyTextIndent"/>
    <w:uiPriority w:val="99"/>
    <w:semiHidden/>
    <w:rsid w:val="00FB30BE"/>
    <w:rPr>
      <w:rFonts w:eastAsiaTheme="minorHAnsi" w:cstheme="minorBidi"/>
      <w:sz w:val="24"/>
      <w:szCs w:val="22"/>
    </w:rPr>
  </w:style>
  <w:style w:type="character" w:styleId="FollowedHyperlink">
    <w:name w:val="FollowedHyperlink"/>
    <w:basedOn w:val="DefaultParagraphFont"/>
    <w:uiPriority w:val="99"/>
    <w:semiHidden/>
    <w:unhideWhenUsed/>
    <w:rsid w:val="00DE0A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uscode.php?width=840&amp;height=800&amp;iframe=true&amp;def_id=12-USC-204524388-1781265245&amp;term_occur=999&amp;term_src=" TargetMode="External" /><Relationship Id="rId11" Type="http://schemas.openxmlformats.org/officeDocument/2006/relationships/hyperlink" Target="https://www.law.cornell.edu/definitions/uscode.php?width=840&amp;height=800&amp;iframe=true&amp;def_id=12-USC-2045288308-1781265247&amp;term_occur=999&amp;term_src=" TargetMode="External" /><Relationship Id="rId12" Type="http://schemas.openxmlformats.org/officeDocument/2006/relationships/hyperlink" Target="https://www.govinfo.gov/content/pkg/FR-2025-04-29/pdf/2025-07370.pdf" TargetMode="External" /><Relationship Id="rId13" Type="http://schemas.openxmlformats.org/officeDocument/2006/relationships/hyperlink" Target="https://data.bls.gov/oesprofile/"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ud.gov/stat/ogc-legal-instructions-full-insurance-benefits" TargetMode="External" /><Relationship Id="rId9" Type="http://schemas.openxmlformats.org/officeDocument/2006/relationships/hyperlink" Target="https://www.law.cornell.edu/definitions/uscode.php?width=840&amp;height=800&amp;iframe=true&amp;def_id=12-USC-2045288631-1781265246&amp;term_occur=999&amp;term_src=title:12:chapter:13:subchapter:II:section:17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E6C687FD44C0438D6DC39221898272" ma:contentTypeVersion="13" ma:contentTypeDescription="Create a new document." ma:contentTypeScope="" ma:versionID="f35b53096320a07eea516dd276e8b8ab">
  <xsd:schema xmlns:xsd="http://www.w3.org/2001/XMLSchema" xmlns:xs="http://www.w3.org/2001/XMLSchema" xmlns:p="http://schemas.microsoft.com/office/2006/metadata/properties" xmlns:ns2="081983aa-7342-4d71-95c0-4b2a978255db" xmlns:ns3="3d74413c-f335-4219-9f7a-311bf97f069a" targetNamespace="http://schemas.microsoft.com/office/2006/metadata/properties" ma:root="true" ma:fieldsID="345c7fe97b7dcb94c6085df94278cf21" ns2:_="" ns3:_="">
    <xsd:import namespace="081983aa-7342-4d71-95c0-4b2a978255db"/>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983aa-7342-4d71-95c0-4b2a9782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7ee719-70b1-40c4-abb6-37f8e8680373}" ma:internalName="TaxCatchAll" ma:showField="CatchAllData" ma:web="3d74413c-f335-4219-9f7a-311bf97f0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1983aa-7342-4d71-95c0-4b2a978255db">
      <Terms xmlns="http://schemas.microsoft.com/office/infopath/2007/PartnerControls"/>
    </lcf76f155ced4ddcb4097134ff3c332f>
    <TaxCatchAll xmlns="3d74413c-f335-4219-9f7a-311bf97f06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F640F908-114C-41C1-963A-F7BCCCB19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983aa-7342-4d71-95c0-4b2a978255db"/>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C86D7-B7B0-45C9-94ED-DEB24A9249F7}">
  <ds:schemaRefs>
    <ds:schemaRef ds:uri="081983aa-7342-4d71-95c0-4b2a978255db"/>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3d74413c-f335-4219-9f7a-311bf97f069a"/>
    <ds:schemaRef ds:uri="http://www.w3.org/XML/1998/namespace"/>
    <ds:schemaRef ds:uri="http://purl.org/dc/dcmitype/"/>
  </ds:schemaRefs>
</ds:datastoreItem>
</file>

<file path=customXml/itemProps4.xml><?xml version="1.0" encoding="utf-8"?>
<ds:datastoreItem xmlns:ds="http://schemas.openxmlformats.org/officeDocument/2006/customXml" ds:itemID="{4D3A08EC-CC06-402F-B2DB-F86D22D1BB53}">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8</Pages>
  <Words>3133</Words>
  <Characters>18800</Characters>
  <Application>Microsoft Office Word</Application>
  <DocSecurity>2</DocSecurity>
  <Lines>156</Lines>
  <Paragraphs>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3</cp:revision>
  <cp:lastPrinted>2016-10-19T20:19:00Z</cp:lastPrinted>
  <dcterms:created xsi:type="dcterms:W3CDTF">2025-08-11T13:38:00Z</dcterms:created>
  <dcterms:modified xsi:type="dcterms:W3CDTF">2025-08-11T13:57:00Z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0x010100F2E6C687FD44C0438D6DC39221898272</vt:lpwstr>
  </property>
  <property fmtid="{D5CDD505-2E9C-101B-9397-08002B2CF9AE}" pid="3" name="MediaServiceImageTags">
    <vt:lpwstr/>
  </property>
  <property fmtid="{D5CDD505-2E9C-101B-9397-08002B2CF9AE}" pid="4" name="_NewReviewCycle">
    <vt:lpwstr/>
  </property>
</Properties>
</file>