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E13B1" w:rsidP="006C7FAE" w14:paraId="78239CE7" w14:textId="0DA98EAE">
      <w:pPr>
        <w:jc w:val="center"/>
        <w:rPr>
          <w:b/>
          <w:sz w:val="24"/>
          <w:szCs w:val="24"/>
        </w:rPr>
      </w:pPr>
      <w:r w:rsidRPr="00167E53">
        <w:rPr>
          <w:b/>
          <w:sz w:val="24"/>
          <w:szCs w:val="24"/>
        </w:rPr>
        <w:t>Supporting Statement for Paperwork Reduction Act Submissions</w:t>
      </w:r>
    </w:p>
    <w:p w:rsidR="00E728FE" w:rsidRPr="00E728FE" w:rsidP="00E728FE" w14:paraId="41C0C2E3" w14:textId="77777777">
      <w:pPr>
        <w:tabs>
          <w:tab w:val="left" w:pos="720"/>
        </w:tabs>
        <w:overflowPunct/>
        <w:autoSpaceDE/>
        <w:autoSpaceDN/>
        <w:adjustRightInd/>
        <w:jc w:val="center"/>
        <w:textAlignment w:val="auto"/>
        <w:rPr>
          <w:rFonts w:eastAsia="Calibri"/>
          <w:b/>
          <w:bCs/>
          <w:sz w:val="24"/>
          <w:szCs w:val="22"/>
        </w:rPr>
      </w:pPr>
      <w:r w:rsidRPr="00E728FE">
        <w:rPr>
          <w:rFonts w:eastAsia="Calibri"/>
          <w:b/>
          <w:bCs/>
          <w:sz w:val="24"/>
          <w:szCs w:val="22"/>
        </w:rPr>
        <w:t xml:space="preserve">Legal Instructions Concerning - Applications for Full Insurance Benefits—Assignment of Multifamily and Healthcare Mortgages to the Secretary </w:t>
      </w:r>
    </w:p>
    <w:p w:rsidR="009E13B1" w:rsidRPr="00BA31EB" w:rsidP="00E728FE" w14:paraId="176A8089" w14:textId="1B015D8D">
      <w:pPr>
        <w:jc w:val="center"/>
        <w:rPr>
          <w:rFonts w:eastAsia="Calibri"/>
          <w:b/>
          <w:bCs/>
          <w:sz w:val="24"/>
          <w:szCs w:val="22"/>
        </w:rPr>
      </w:pPr>
      <w:r w:rsidRPr="00BA31EB">
        <w:rPr>
          <w:rFonts w:eastAsia="Calibri"/>
          <w:b/>
          <w:bCs/>
          <w:sz w:val="24"/>
          <w:szCs w:val="22"/>
        </w:rPr>
        <w:t>OMB # 2510-0006</w:t>
      </w:r>
    </w:p>
    <w:p w:rsidR="00E728FE" w:rsidRPr="00BA31EB" w:rsidP="00E728FE" w14:paraId="5ABE8B30" w14:textId="503F1821">
      <w:pPr>
        <w:rPr>
          <w:b/>
          <w:sz w:val="24"/>
          <w:szCs w:val="24"/>
        </w:rPr>
      </w:pPr>
    </w:p>
    <w:p w:rsidR="00E728FE" w:rsidRPr="00BA31EB" w14:paraId="33010FFA"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b/>
          <w:sz w:val="24"/>
          <w:szCs w:val="24"/>
        </w:rPr>
      </w:pPr>
    </w:p>
    <w:p w:rsidR="009E13B1" w:rsidRPr="00BA31EB" w14:paraId="6BD1C1B0" w14:textId="32D1BB09">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BA31EB">
        <w:rPr>
          <w:b/>
          <w:sz w:val="24"/>
          <w:szCs w:val="24"/>
        </w:rPr>
        <w:t xml:space="preserve">A. </w:t>
      </w:r>
      <w:r w:rsidRPr="00BA31EB">
        <w:rPr>
          <w:b/>
          <w:sz w:val="24"/>
          <w:szCs w:val="24"/>
        </w:rPr>
        <w:tab/>
        <w:t>Justification</w:t>
      </w:r>
    </w:p>
    <w:p w:rsidR="009E13B1" w:rsidRPr="00BA31EB" w14:paraId="6900666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b/>
          <w:bCs/>
          <w:sz w:val="24"/>
          <w:szCs w:val="24"/>
        </w:rPr>
      </w:pPr>
    </w:p>
    <w:p w:rsidR="00DE25B9" w:rsidRPr="002D1594" w:rsidP="002D1594" w14:paraId="3D1E113E" w14:textId="52851CF0">
      <w:pPr>
        <w:keepLines/>
        <w:tabs>
          <w:tab w:val="left" w:pos="360"/>
        </w:tabs>
        <w:spacing w:after="80"/>
        <w:ind w:left="360" w:hanging="360"/>
        <w:rPr>
          <w:b/>
          <w:bCs/>
          <w:sz w:val="24"/>
          <w:szCs w:val="24"/>
        </w:rPr>
      </w:pPr>
      <w:r w:rsidRPr="00BA31EB">
        <w:rPr>
          <w:b/>
          <w:bCs/>
          <w:sz w:val="24"/>
          <w:szCs w:val="24"/>
        </w:rPr>
        <w:t>1.</w:t>
      </w:r>
      <w:r w:rsidRPr="00BA31EB">
        <w:rPr>
          <w:b/>
          <w:bCs/>
          <w:sz w:val="24"/>
          <w:szCs w:val="24"/>
        </w:rPr>
        <w:tab/>
        <w:t>Explain the circumstances that make the collection of information necessary.  Identify any legal or administrative</w:t>
      </w:r>
      <w:r w:rsidRPr="00F557C1">
        <w:rPr>
          <w:b/>
          <w:bCs/>
          <w:sz w:val="24"/>
          <w:szCs w:val="24"/>
        </w:rPr>
        <w:t xml:space="preserve"> requirements that necessitate the collection.  Attach a copy of the appropriate section of each statute and regulation mandating or authorizing the collection of information.</w:t>
      </w:r>
    </w:p>
    <w:p w:rsidR="00E728FE" w:rsidP="002D1594" w14:paraId="4FE249B4" w14:textId="77777777">
      <w:pPr>
        <w:pStyle w:val="BodyTextIndent3"/>
        <w:spacing w:after="0" w:line="240" w:lineRule="auto"/>
        <w:rPr>
          <w:sz w:val="24"/>
          <w:szCs w:val="24"/>
        </w:rPr>
      </w:pPr>
    </w:p>
    <w:p w:rsidR="00DE25B9" w:rsidRPr="00F557C1" w:rsidP="002D1594" w14:paraId="2BBC6FEC" w14:textId="29B640D7">
      <w:pPr>
        <w:pStyle w:val="BodyTextIndent3"/>
        <w:spacing w:after="0" w:line="240" w:lineRule="auto"/>
        <w:rPr>
          <w:sz w:val="24"/>
          <w:szCs w:val="24"/>
        </w:rPr>
      </w:pPr>
      <w:r w:rsidRPr="00F557C1">
        <w:rPr>
          <w:sz w:val="24"/>
          <w:szCs w:val="24"/>
        </w:rPr>
        <w:t>Under Section 207(g) of the National Housing Act (12 U.S.C. § 1713(g)), when an FHA insured multifamily or healthcare mortgage goes into default, the mortgagee may become entitled to receive mortgage insurance benefits from FHA by assigning the mortgage to HUD.  Section 207(g) states that in connection with the assignment of the mortgage to HUD, the mortgagee shall assign, transfer and deliver to the Secretary:</w:t>
      </w:r>
    </w:p>
    <w:p w:rsidR="00FE1607" w:rsidP="00FE1607" w14:paraId="17361643" w14:textId="77777777">
      <w:pPr>
        <w:keepLines/>
        <w:tabs>
          <w:tab w:val="num" w:pos="720"/>
        </w:tabs>
        <w:ind w:left="1440"/>
        <w:rPr>
          <w:sz w:val="24"/>
          <w:szCs w:val="24"/>
        </w:rPr>
      </w:pPr>
    </w:p>
    <w:p w:rsidR="00DE25B9" w:rsidRPr="00FE1607" w:rsidP="00FE1607" w14:paraId="66F99AA1" w14:textId="0A7720E8">
      <w:pPr>
        <w:pStyle w:val="ListParagraph"/>
        <w:keepLines/>
        <w:numPr>
          <w:ilvl w:val="0"/>
          <w:numId w:val="18"/>
        </w:numPr>
        <w:tabs>
          <w:tab w:val="num" w:pos="720"/>
        </w:tabs>
        <w:rPr>
          <w:sz w:val="24"/>
          <w:szCs w:val="24"/>
        </w:rPr>
      </w:pPr>
      <w:r w:rsidRPr="00FE1607">
        <w:rPr>
          <w:sz w:val="24"/>
          <w:szCs w:val="24"/>
        </w:rPr>
        <w:t>All rights and interests arising under the mortgage so in default;</w:t>
      </w:r>
    </w:p>
    <w:p w:rsidR="00DE25B9" w:rsidRPr="00FE1607" w:rsidP="00FE1607" w14:paraId="10ADF420" w14:textId="77777777">
      <w:pPr>
        <w:pStyle w:val="ListParagraph"/>
        <w:keepLines/>
        <w:numPr>
          <w:ilvl w:val="0"/>
          <w:numId w:val="18"/>
        </w:numPr>
        <w:tabs>
          <w:tab w:val="left" w:pos="360"/>
          <w:tab w:val="num" w:pos="2160"/>
        </w:tabs>
        <w:rPr>
          <w:sz w:val="24"/>
          <w:szCs w:val="24"/>
        </w:rPr>
      </w:pPr>
      <w:r w:rsidRPr="00FE1607">
        <w:rPr>
          <w:sz w:val="24"/>
          <w:szCs w:val="24"/>
        </w:rPr>
        <w:t>All claims of the mortgagee against the mortgagor or others, arising out of the mortgage transactions;</w:t>
      </w:r>
    </w:p>
    <w:p w:rsidR="00DE25B9" w:rsidRPr="00FE1607" w:rsidP="00FE1607" w14:paraId="7C7B16BC" w14:textId="77777777">
      <w:pPr>
        <w:pStyle w:val="ListParagraph"/>
        <w:keepLines/>
        <w:numPr>
          <w:ilvl w:val="0"/>
          <w:numId w:val="18"/>
        </w:numPr>
        <w:tabs>
          <w:tab w:val="left" w:pos="360"/>
          <w:tab w:val="num" w:pos="2160"/>
        </w:tabs>
        <w:rPr>
          <w:sz w:val="24"/>
          <w:szCs w:val="24"/>
        </w:rPr>
      </w:pPr>
      <w:r w:rsidRPr="00FE1607">
        <w:rPr>
          <w:sz w:val="24"/>
          <w:szCs w:val="24"/>
        </w:rPr>
        <w:t>All policies of title or other insurance or surety bonds or other guaranties and any and all claims thereunder; and</w:t>
      </w:r>
    </w:p>
    <w:p w:rsidR="00DE25B9" w:rsidRPr="00FE1607" w:rsidP="00FE1607" w14:paraId="19242375" w14:textId="77777777">
      <w:pPr>
        <w:pStyle w:val="ListParagraph"/>
        <w:keepLines/>
        <w:numPr>
          <w:ilvl w:val="0"/>
          <w:numId w:val="18"/>
        </w:numPr>
        <w:tabs>
          <w:tab w:val="left" w:pos="360"/>
          <w:tab w:val="num" w:pos="2160"/>
        </w:tabs>
        <w:rPr>
          <w:sz w:val="24"/>
          <w:szCs w:val="24"/>
        </w:rPr>
      </w:pPr>
      <w:r w:rsidRPr="00FE1607">
        <w:rPr>
          <w:sz w:val="24"/>
          <w:szCs w:val="24"/>
        </w:rPr>
        <w:t>All records, documents, books, papers, and accounts relating to the mortgage transaction.</w:t>
      </w:r>
    </w:p>
    <w:p w:rsidR="00DE25B9" w:rsidRPr="00F557C1" w:rsidP="002D1594" w14:paraId="1A710E68" w14:textId="77777777">
      <w:pPr>
        <w:pStyle w:val="BodyText"/>
        <w:spacing w:after="0" w:line="240" w:lineRule="auto"/>
        <w:ind w:left="504" w:hanging="360"/>
        <w:rPr>
          <w:szCs w:val="24"/>
        </w:rPr>
      </w:pPr>
      <w:r w:rsidRPr="00F557C1">
        <w:rPr>
          <w:szCs w:val="24"/>
        </w:rPr>
        <w:tab/>
        <w:t xml:space="preserve">    </w:t>
      </w:r>
    </w:p>
    <w:p w:rsidR="00DE25B9" w:rsidRPr="00F557C1" w:rsidP="002D1594" w14:paraId="7E426985" w14:textId="77777777">
      <w:pPr>
        <w:pStyle w:val="BodyText"/>
        <w:spacing w:after="0" w:line="240" w:lineRule="auto"/>
        <w:ind w:left="360"/>
        <w:rPr>
          <w:szCs w:val="24"/>
        </w:rPr>
      </w:pPr>
      <w:r w:rsidRPr="00F557C1">
        <w:rPr>
          <w:szCs w:val="24"/>
        </w:rPr>
        <w:t xml:space="preserve">HUD’s regulations implementing these requirements are found in 24 C.F.R. § 207.258.  (Copies of relevant statutes and regulations are attached.)  HUD’s Office of General Counsel (OGC), Office of Insured Housing, Multifamily Mortgage Division, is responsible for reviewing and approving the mortgage-related documents submitted by the mortgagee in connection with these requirements. When HUD receives the mortgagee’s election to assign the mortgage and approves it, an email confirmation is sent to the mortgagee from HUD’s Multifamily Delinquency and Default Report System (MDDR). That email  contains a link to  the Legal Instructions Concerning Applications for Full Insurance Benefits </w:t>
      </w:r>
      <w:r w:rsidRPr="00F557C1">
        <w:rPr>
          <w:b/>
          <w:bCs/>
          <w:szCs w:val="24"/>
        </w:rPr>
        <w:t xml:space="preserve">(the “Legal Instructions”) </w:t>
      </w:r>
      <w:r w:rsidRPr="00F557C1">
        <w:rPr>
          <w:szCs w:val="24"/>
        </w:rPr>
        <w:t>(</w:t>
      </w:r>
      <w:hyperlink r:id="rId8" w:history="1">
        <w:r w:rsidRPr="00F557C1">
          <w:rPr>
            <w:rStyle w:val="Hyperlink"/>
            <w:szCs w:val="24"/>
          </w:rPr>
          <w:t>https://www.hud.gov/stat/ogc-legal-instructions-full-insurance-benefits</w:t>
        </w:r>
      </w:hyperlink>
      <w:r w:rsidRPr="00F557C1">
        <w:rPr>
          <w:szCs w:val="24"/>
        </w:rPr>
        <w:t>), which inform the mortgagee of the requirements, timelines and procedures for submission of the required documents.</w:t>
      </w:r>
    </w:p>
    <w:p w:rsidR="00DE25B9" w:rsidRPr="00F557C1" w:rsidP="002D1594" w14:paraId="54D706EE" w14:textId="77777777">
      <w:pPr>
        <w:pStyle w:val="BodyText"/>
        <w:spacing w:after="0" w:line="240" w:lineRule="auto"/>
        <w:ind w:left="504" w:hanging="360"/>
        <w:rPr>
          <w:szCs w:val="24"/>
        </w:rPr>
      </w:pPr>
    </w:p>
    <w:p w:rsidR="00DE25B9" w:rsidRPr="00F557C1" w:rsidP="002D1594" w14:paraId="5831BCCA" w14:textId="77777777">
      <w:pPr>
        <w:pStyle w:val="BodyText"/>
        <w:spacing w:after="0" w:line="240" w:lineRule="auto"/>
        <w:ind w:left="360"/>
        <w:rPr>
          <w:szCs w:val="24"/>
        </w:rPr>
      </w:pPr>
      <w:r w:rsidRPr="00F557C1">
        <w:rPr>
          <w:szCs w:val="24"/>
        </w:rPr>
        <w:t>Most of the documents which mortgagees are required to produce pursuant to the proposed form- e.g., the mortgage and the security agreement, are documents which the mortgagee should have in its files even in the absence of these requirements.</w:t>
      </w:r>
    </w:p>
    <w:p w:rsidR="009E13B1" w:rsidP="00DE25B9" w14:paraId="301F0D45" w14:textId="77777777">
      <w:pPr>
        <w:tabs>
          <w:tab w:val="left" w:pos="360"/>
        </w:tabs>
        <w:rPr>
          <w:sz w:val="24"/>
          <w:szCs w:val="24"/>
        </w:rPr>
      </w:pPr>
    </w:p>
    <w:p w:rsidR="00F557C1" w:rsidP="002D1594" w14:paraId="4E7B8FC0" w14:textId="77777777">
      <w:pPr>
        <w:tabs>
          <w:tab w:val="left" w:pos="360"/>
        </w:tabs>
        <w:rPr>
          <w:b/>
          <w:bCs/>
          <w:sz w:val="24"/>
          <w:szCs w:val="24"/>
        </w:rPr>
      </w:pPr>
    </w:p>
    <w:p w:rsidR="00E728FE" w:rsidP="002D1594" w14:paraId="20530DE9" w14:textId="77777777">
      <w:pPr>
        <w:tabs>
          <w:tab w:val="left" w:pos="360"/>
        </w:tabs>
        <w:rPr>
          <w:b/>
          <w:bCs/>
          <w:sz w:val="24"/>
          <w:szCs w:val="24"/>
        </w:rPr>
      </w:pPr>
    </w:p>
    <w:p w:rsidR="00E728FE" w:rsidP="002D1594" w14:paraId="753508AD" w14:textId="77777777">
      <w:pPr>
        <w:tabs>
          <w:tab w:val="left" w:pos="360"/>
        </w:tabs>
        <w:rPr>
          <w:b/>
          <w:bCs/>
          <w:sz w:val="24"/>
          <w:szCs w:val="24"/>
        </w:rPr>
      </w:pPr>
    </w:p>
    <w:p w:rsidR="00E728FE" w:rsidP="002D1594" w14:paraId="635117E3" w14:textId="77777777">
      <w:pPr>
        <w:tabs>
          <w:tab w:val="left" w:pos="360"/>
        </w:tabs>
        <w:rPr>
          <w:b/>
          <w:bCs/>
          <w:sz w:val="24"/>
          <w:szCs w:val="24"/>
        </w:rPr>
      </w:pPr>
    </w:p>
    <w:p w:rsidR="00F557C1" w:rsidRPr="00F557C1" w:rsidP="002D1594" w14:paraId="2F7B1C24" w14:textId="661E5651">
      <w:pPr>
        <w:keepLines/>
        <w:tabs>
          <w:tab w:val="left" w:pos="360"/>
        </w:tabs>
        <w:spacing w:after="80"/>
        <w:ind w:left="360" w:hanging="360"/>
        <w:rPr>
          <w:b/>
          <w:bCs/>
          <w:sz w:val="24"/>
          <w:szCs w:val="24"/>
        </w:rPr>
      </w:pPr>
      <w:r w:rsidRPr="00F557C1">
        <w:rPr>
          <w:b/>
          <w:bCs/>
          <w:sz w:val="24"/>
          <w:szCs w:val="24"/>
        </w:rPr>
        <w:t>2.</w:t>
      </w:r>
      <w:r w:rsidRPr="00F557C1">
        <w:rPr>
          <w:b/>
          <w:bCs/>
          <w:sz w:val="24"/>
          <w:szCs w:val="24"/>
        </w:rPr>
        <w:tab/>
        <w:t>Indicate how, by whom and for what purpose the information is to be used.  Except for a new collection, indicate the actual use the agency has made of the information received from the current collection.</w:t>
      </w:r>
    </w:p>
    <w:p w:rsidR="00E728FE" w:rsidP="00E728FE" w14:paraId="41DF5E6B" w14:textId="77777777">
      <w:pPr>
        <w:pStyle w:val="NoSpacing"/>
      </w:pPr>
    </w:p>
    <w:p w:rsidR="00EB6E78" w:rsidP="00EB6E78" w14:paraId="7E6C7B98" w14:textId="2BF5380F">
      <w:pPr>
        <w:keepLines/>
        <w:tabs>
          <w:tab w:val="left" w:pos="360"/>
        </w:tabs>
        <w:ind w:left="360"/>
        <w:rPr>
          <w:sz w:val="24"/>
          <w:szCs w:val="24"/>
        </w:rPr>
      </w:pPr>
      <w:r w:rsidRPr="00F557C1">
        <w:rPr>
          <w:sz w:val="24"/>
          <w:szCs w:val="24"/>
        </w:rPr>
        <w:t xml:space="preserve">The </w:t>
      </w:r>
      <w:r w:rsidRPr="00F557C1">
        <w:rPr>
          <w:sz w:val="24"/>
          <w:szCs w:val="24"/>
        </w:rPr>
        <w:t>mortgagee</w:t>
      </w:r>
      <w:r w:rsidRPr="00F557C1">
        <w:rPr>
          <w:sz w:val="24"/>
          <w:szCs w:val="24"/>
        </w:rPr>
        <w:t xml:space="preserve"> must provide HUD with accurate, complete, and valid </w:t>
      </w:r>
      <w:r w:rsidR="007F4BD8">
        <w:rPr>
          <w:sz w:val="24"/>
          <w:szCs w:val="24"/>
        </w:rPr>
        <w:t>evidence that</w:t>
      </w:r>
      <w:r w:rsidRPr="00F557C1" w:rsidR="007F4BD8">
        <w:rPr>
          <w:sz w:val="24"/>
          <w:szCs w:val="24"/>
        </w:rPr>
        <w:t xml:space="preserve"> </w:t>
      </w:r>
      <w:r w:rsidR="007F4BD8">
        <w:rPr>
          <w:sz w:val="24"/>
          <w:szCs w:val="24"/>
        </w:rPr>
        <w:t>all of</w:t>
      </w:r>
      <w:r w:rsidR="00E20105">
        <w:rPr>
          <w:sz w:val="24"/>
          <w:szCs w:val="24"/>
        </w:rPr>
        <w:t xml:space="preserve"> </w:t>
      </w:r>
      <w:r w:rsidRPr="00F557C1">
        <w:rPr>
          <w:sz w:val="24"/>
          <w:szCs w:val="24"/>
        </w:rPr>
        <w:t>the mortgage</w:t>
      </w:r>
      <w:r w:rsidR="007F4BD8">
        <w:rPr>
          <w:sz w:val="24"/>
          <w:szCs w:val="24"/>
        </w:rPr>
        <w:t>e’s legal interest have been</w:t>
      </w:r>
      <w:r w:rsidRPr="00F557C1" w:rsidR="007F4BD8">
        <w:rPr>
          <w:sz w:val="24"/>
          <w:szCs w:val="24"/>
        </w:rPr>
        <w:t xml:space="preserve"> </w:t>
      </w:r>
      <w:r w:rsidRPr="00F557C1">
        <w:rPr>
          <w:sz w:val="24"/>
          <w:szCs w:val="24"/>
        </w:rPr>
        <w:t>assigned to the Secretary</w:t>
      </w:r>
      <w:r w:rsidR="00E20105">
        <w:rPr>
          <w:sz w:val="24"/>
          <w:szCs w:val="24"/>
        </w:rPr>
        <w:t>,</w:t>
      </w:r>
      <w:r w:rsidRPr="00F557C1">
        <w:rPr>
          <w:sz w:val="24"/>
          <w:szCs w:val="24"/>
        </w:rPr>
        <w:t xml:space="preserve"> so that HUD may </w:t>
      </w:r>
      <w:r w:rsidR="00F63F21">
        <w:rPr>
          <w:sz w:val="24"/>
          <w:szCs w:val="24"/>
        </w:rPr>
        <w:t xml:space="preserve">step into the shoes of the mortgagee and </w:t>
      </w:r>
      <w:r w:rsidRPr="00F557C1">
        <w:rPr>
          <w:sz w:val="24"/>
          <w:szCs w:val="24"/>
        </w:rPr>
        <w:t xml:space="preserve">effectively service and, if necessary, sell or foreclose the </w:t>
      </w:r>
      <w:r w:rsidRPr="00F557C1">
        <w:rPr>
          <w:sz w:val="24"/>
          <w:szCs w:val="24"/>
        </w:rPr>
        <w:t>lien</w:t>
      </w:r>
      <w:r w:rsidRPr="00F557C1">
        <w:rPr>
          <w:sz w:val="24"/>
          <w:szCs w:val="24"/>
        </w:rPr>
        <w:t xml:space="preserve"> of the mortgage.</w:t>
      </w:r>
      <w:r>
        <w:rPr>
          <w:sz w:val="24"/>
          <w:szCs w:val="24"/>
        </w:rPr>
        <w:t xml:space="preserve">  </w:t>
      </w:r>
      <w:r w:rsidRPr="00EB6E78">
        <w:rPr>
          <w:sz w:val="24"/>
          <w:szCs w:val="24"/>
        </w:rPr>
        <w:t xml:space="preserve"> </w:t>
      </w:r>
      <w:r>
        <w:rPr>
          <w:sz w:val="24"/>
          <w:szCs w:val="24"/>
        </w:rPr>
        <w:t>HUD, as successor</w:t>
      </w:r>
      <w:r w:rsidR="007F4BD8">
        <w:rPr>
          <w:sz w:val="24"/>
          <w:szCs w:val="24"/>
        </w:rPr>
        <w:t xml:space="preserve"> </w:t>
      </w:r>
      <w:r>
        <w:rPr>
          <w:sz w:val="24"/>
          <w:szCs w:val="24"/>
        </w:rPr>
        <w:t xml:space="preserve">mortgagee, must collect </w:t>
      </w:r>
      <w:r w:rsidR="00963A62">
        <w:rPr>
          <w:sz w:val="24"/>
          <w:szCs w:val="24"/>
        </w:rPr>
        <w:t>all</w:t>
      </w:r>
      <w:r>
        <w:rPr>
          <w:sz w:val="24"/>
          <w:szCs w:val="24"/>
        </w:rPr>
        <w:t xml:space="preserve"> the loan documents that were created when the loan was originally endorsed, (e.g.,</w:t>
      </w:r>
      <w:r w:rsidRPr="00C743E6">
        <w:rPr>
          <w:sz w:val="24"/>
          <w:szCs w:val="24"/>
        </w:rPr>
        <w:t xml:space="preserve"> </w:t>
      </w:r>
      <w:r>
        <w:rPr>
          <w:sz w:val="24"/>
          <w:szCs w:val="24"/>
        </w:rPr>
        <w:t>note, mortgage, security agreements, UCC filings, hazard insurance, title policy documents). This transfer of the original loan documents is customary whenever a loan is assigned from one lender to another. HUD also requires related documents (e.g., certifications, agreements.) that evidence the mortgagee’s security interest in the loan collateral as well as fulfill HUD’s statutory and regulatory requirements of ensuring first lien status of the mortgage and collateral.</w:t>
      </w:r>
      <w:r w:rsidRPr="00F557C1">
        <w:rPr>
          <w:sz w:val="24"/>
          <w:szCs w:val="24"/>
        </w:rPr>
        <w:t xml:space="preserve"> </w:t>
      </w:r>
      <w:r>
        <w:rPr>
          <w:sz w:val="24"/>
          <w:szCs w:val="24"/>
        </w:rPr>
        <w:t>The loan documents are already in the mortgagee’s possession or control, and per the contract of insurance, the mortgagee must submit the documents in exchange for receiving insurance proceeds from HUD.</w:t>
      </w:r>
    </w:p>
    <w:p w:rsidR="002C7589" w:rsidP="009C6112" w14:paraId="3C75D4B4" w14:textId="77777777">
      <w:pPr>
        <w:keepLines/>
        <w:tabs>
          <w:tab w:val="left" w:pos="360"/>
        </w:tabs>
        <w:rPr>
          <w:sz w:val="24"/>
          <w:szCs w:val="24"/>
        </w:rPr>
      </w:pPr>
    </w:p>
    <w:p w:rsidR="007F4BD8" w:rsidP="007F4BD8" w14:paraId="2ABC497B" w14:textId="77777777">
      <w:pPr>
        <w:keepLines/>
        <w:tabs>
          <w:tab w:val="left" w:pos="360"/>
        </w:tabs>
        <w:ind w:left="360"/>
        <w:rPr>
          <w:sz w:val="24"/>
          <w:szCs w:val="24"/>
        </w:rPr>
      </w:pPr>
      <w:r>
        <w:rPr>
          <w:sz w:val="24"/>
          <w:szCs w:val="24"/>
        </w:rPr>
        <w:t xml:space="preserve">The Legal Instructions provide guidance on </w:t>
      </w:r>
      <w:r w:rsidRPr="00F557C1">
        <w:rPr>
          <w:sz w:val="24"/>
          <w:szCs w:val="24"/>
        </w:rPr>
        <w:t>HUD’s requirements</w:t>
      </w:r>
      <w:r>
        <w:rPr>
          <w:sz w:val="24"/>
          <w:szCs w:val="24"/>
        </w:rPr>
        <w:t xml:space="preserve"> to ensure</w:t>
      </w:r>
      <w:r w:rsidRPr="00F557C1">
        <w:rPr>
          <w:sz w:val="24"/>
          <w:szCs w:val="24"/>
        </w:rPr>
        <w:t xml:space="preserve"> the enforceability and priority of the lien on the real and personal property </w:t>
      </w:r>
      <w:r>
        <w:rPr>
          <w:sz w:val="24"/>
          <w:szCs w:val="24"/>
        </w:rPr>
        <w:t xml:space="preserve">are not </w:t>
      </w:r>
      <w:r w:rsidRPr="00F557C1">
        <w:rPr>
          <w:sz w:val="24"/>
          <w:szCs w:val="24"/>
        </w:rPr>
        <w:t>compromised.</w:t>
      </w:r>
      <w:r>
        <w:rPr>
          <w:sz w:val="24"/>
          <w:szCs w:val="24"/>
        </w:rPr>
        <w:t xml:space="preserve"> The Legal Instructions contain two Parts. Part A pertains specifically to recorded documents. The assignment of recorded documents are addressed first for the convenience of the mortgagee, because recording takes time. Part A contains specific instructions for recording, including requisite language based on statutes and regulation.  Part B contains the complete list of recorded documents from Part A and unrecorded documents that must submitted to HUD, most of which are original loan documents already in the mortgagees possession or control:</w:t>
      </w:r>
    </w:p>
    <w:p w:rsidR="007B4DE6" w:rsidP="000D34C6" w14:paraId="7311FF96" w14:textId="77777777">
      <w:pPr>
        <w:keepLines/>
        <w:tabs>
          <w:tab w:val="left" w:pos="360"/>
        </w:tabs>
        <w:ind w:left="360"/>
        <w:rPr>
          <w:sz w:val="24"/>
          <w:szCs w:val="24"/>
        </w:rPr>
      </w:pPr>
    </w:p>
    <w:p w:rsidR="008E6472" w:rsidP="005E243D" w14:paraId="129BCFCC" w14:textId="36F23A82">
      <w:pPr>
        <w:keepLines/>
        <w:tabs>
          <w:tab w:val="left" w:pos="360"/>
        </w:tabs>
        <w:ind w:left="720"/>
        <w:rPr>
          <w:sz w:val="24"/>
          <w:szCs w:val="24"/>
        </w:rPr>
      </w:pPr>
      <w:r>
        <w:rPr>
          <w:sz w:val="24"/>
          <w:szCs w:val="24"/>
        </w:rPr>
        <w:t>Part B</w:t>
      </w:r>
      <w:r w:rsidR="000E61C9">
        <w:rPr>
          <w:sz w:val="24"/>
          <w:szCs w:val="24"/>
        </w:rPr>
        <w:t xml:space="preserve"> Item 1</w:t>
      </w:r>
      <w:r w:rsidR="00224492">
        <w:rPr>
          <w:sz w:val="24"/>
          <w:szCs w:val="24"/>
        </w:rPr>
        <w:t xml:space="preserve"> - </w:t>
      </w:r>
      <w:r w:rsidR="00F63F21">
        <w:rPr>
          <w:sz w:val="24"/>
          <w:szCs w:val="24"/>
        </w:rPr>
        <w:t xml:space="preserve">Mortgage must provide </w:t>
      </w:r>
      <w:r w:rsidR="00BF1DC2">
        <w:rPr>
          <w:sz w:val="24"/>
          <w:szCs w:val="24"/>
        </w:rPr>
        <w:t>th</w:t>
      </w:r>
      <w:r w:rsidR="00857718">
        <w:rPr>
          <w:sz w:val="24"/>
          <w:szCs w:val="24"/>
        </w:rPr>
        <w:t>e original Note</w:t>
      </w:r>
      <w:r w:rsidR="00995615">
        <w:rPr>
          <w:sz w:val="24"/>
          <w:szCs w:val="24"/>
        </w:rPr>
        <w:t xml:space="preserve"> and any subsequent allonges/assignments</w:t>
      </w:r>
      <w:r w:rsidR="00C6016A">
        <w:rPr>
          <w:sz w:val="24"/>
          <w:szCs w:val="24"/>
        </w:rPr>
        <w:t xml:space="preserve">. </w:t>
      </w:r>
      <w:r w:rsidR="004335EC">
        <w:rPr>
          <w:sz w:val="24"/>
          <w:szCs w:val="24"/>
        </w:rPr>
        <w:t xml:space="preserve">The </w:t>
      </w:r>
      <w:r w:rsidR="00F26222">
        <w:rPr>
          <w:sz w:val="24"/>
          <w:szCs w:val="24"/>
        </w:rPr>
        <w:t xml:space="preserve">mortgagee must also prepare an assignment of the Note to HUD </w:t>
      </w:r>
      <w:r w:rsidR="009C2A4C">
        <w:rPr>
          <w:sz w:val="24"/>
          <w:szCs w:val="24"/>
        </w:rPr>
        <w:t xml:space="preserve">(a sample is available in Exhibit D). </w:t>
      </w:r>
      <w:r w:rsidR="0049629E">
        <w:rPr>
          <w:sz w:val="24"/>
          <w:szCs w:val="24"/>
        </w:rPr>
        <w:t>If the</w:t>
      </w:r>
      <w:r w:rsidR="00496E38">
        <w:rPr>
          <w:sz w:val="24"/>
          <w:szCs w:val="24"/>
        </w:rPr>
        <w:t xml:space="preserve"> original not</w:t>
      </w:r>
      <w:r w:rsidR="009C6112">
        <w:rPr>
          <w:sz w:val="24"/>
          <w:szCs w:val="24"/>
        </w:rPr>
        <w:t>e</w:t>
      </w:r>
      <w:r w:rsidR="00496E38">
        <w:rPr>
          <w:sz w:val="24"/>
          <w:szCs w:val="24"/>
        </w:rPr>
        <w:t xml:space="preserve"> is unavailable, </w:t>
      </w:r>
      <w:r w:rsidR="00EC25B6">
        <w:rPr>
          <w:sz w:val="24"/>
          <w:szCs w:val="24"/>
        </w:rPr>
        <w:t xml:space="preserve">the mortgagee must submit a Lost Note Affidavit (a sample is available </w:t>
      </w:r>
      <w:r>
        <w:rPr>
          <w:sz w:val="24"/>
          <w:szCs w:val="24"/>
        </w:rPr>
        <w:t>in Exhibit D) and an Indemnification Agreement (a sample is available in Exhibit D)</w:t>
      </w:r>
      <w:r w:rsidR="00C6016A">
        <w:rPr>
          <w:sz w:val="24"/>
          <w:szCs w:val="24"/>
        </w:rPr>
        <w:t xml:space="preserve"> along with a copy</w:t>
      </w:r>
      <w:r w:rsidR="00016592">
        <w:rPr>
          <w:sz w:val="24"/>
          <w:szCs w:val="24"/>
        </w:rPr>
        <w:t xml:space="preserve">. </w:t>
      </w:r>
    </w:p>
    <w:p w:rsidR="00F37220" w:rsidP="005E243D" w14:paraId="5B6EF4B7" w14:textId="77777777">
      <w:pPr>
        <w:keepLines/>
        <w:tabs>
          <w:tab w:val="left" w:pos="360"/>
        </w:tabs>
        <w:ind w:left="720"/>
        <w:rPr>
          <w:sz w:val="24"/>
          <w:szCs w:val="24"/>
        </w:rPr>
      </w:pPr>
    </w:p>
    <w:p w:rsidR="00D75695" w:rsidP="005E243D" w14:paraId="1FBA83A8" w14:textId="61AB9044">
      <w:pPr>
        <w:keepLines/>
        <w:tabs>
          <w:tab w:val="left" w:pos="360"/>
        </w:tabs>
        <w:ind w:left="720"/>
        <w:rPr>
          <w:sz w:val="24"/>
          <w:szCs w:val="24"/>
        </w:rPr>
      </w:pPr>
      <w:r>
        <w:rPr>
          <w:sz w:val="24"/>
          <w:szCs w:val="24"/>
        </w:rPr>
        <w:t>Part B Item 2</w:t>
      </w:r>
      <w:r w:rsidR="00224492">
        <w:rPr>
          <w:sz w:val="24"/>
          <w:szCs w:val="24"/>
        </w:rPr>
        <w:t xml:space="preserve"> </w:t>
      </w:r>
      <w:r w:rsidR="00B258FD">
        <w:rPr>
          <w:sz w:val="24"/>
          <w:szCs w:val="24"/>
        </w:rPr>
        <w:t>–</w:t>
      </w:r>
      <w:r w:rsidR="00224492">
        <w:rPr>
          <w:sz w:val="24"/>
          <w:szCs w:val="24"/>
        </w:rPr>
        <w:t xml:space="preserve"> </w:t>
      </w:r>
      <w:r w:rsidR="00B258FD">
        <w:rPr>
          <w:sz w:val="24"/>
          <w:szCs w:val="24"/>
        </w:rPr>
        <w:t xml:space="preserve">Mortgagee must provide the original </w:t>
      </w:r>
      <w:r w:rsidR="00D2336C">
        <w:rPr>
          <w:sz w:val="24"/>
          <w:szCs w:val="24"/>
        </w:rPr>
        <w:t>Mortgage</w:t>
      </w:r>
      <w:r w:rsidR="00C6016A">
        <w:rPr>
          <w:sz w:val="24"/>
          <w:szCs w:val="24"/>
        </w:rPr>
        <w:t>. This is a recorded</w:t>
      </w:r>
      <w:r>
        <w:rPr>
          <w:sz w:val="24"/>
          <w:szCs w:val="24"/>
        </w:rPr>
        <w:t xml:space="preserve"> document</w:t>
      </w:r>
      <w:r w:rsidR="009C6112">
        <w:rPr>
          <w:sz w:val="24"/>
          <w:szCs w:val="24"/>
        </w:rPr>
        <w:t xml:space="preserve">. </w:t>
      </w:r>
      <w:r>
        <w:rPr>
          <w:sz w:val="24"/>
          <w:szCs w:val="24"/>
        </w:rPr>
        <w:t>If the original not is unavailable, the mortgagee must submit an Indemnification Agreement (a sample is available in Exhibit</w:t>
      </w:r>
      <w:r w:rsidR="007F4BD8">
        <w:rPr>
          <w:sz w:val="24"/>
          <w:szCs w:val="24"/>
        </w:rPr>
        <w:t xml:space="preserve"> D) </w:t>
      </w:r>
      <w:r w:rsidR="00C6016A">
        <w:rPr>
          <w:sz w:val="24"/>
          <w:szCs w:val="24"/>
        </w:rPr>
        <w:t>along with a copy.</w:t>
      </w:r>
    </w:p>
    <w:p w:rsidR="008F1F4E" w:rsidP="005E243D" w14:paraId="3BD97378" w14:textId="77777777">
      <w:pPr>
        <w:keepLines/>
        <w:tabs>
          <w:tab w:val="left" w:pos="360"/>
        </w:tabs>
        <w:ind w:left="720"/>
        <w:rPr>
          <w:sz w:val="24"/>
          <w:szCs w:val="24"/>
        </w:rPr>
      </w:pPr>
    </w:p>
    <w:p w:rsidR="008F1F4E" w:rsidP="005E243D" w14:paraId="4FE0DB92" w14:textId="101D167F">
      <w:pPr>
        <w:keepLines/>
        <w:tabs>
          <w:tab w:val="left" w:pos="360"/>
        </w:tabs>
        <w:ind w:left="720"/>
        <w:rPr>
          <w:sz w:val="24"/>
          <w:szCs w:val="24"/>
        </w:rPr>
      </w:pPr>
      <w:r>
        <w:rPr>
          <w:sz w:val="24"/>
          <w:szCs w:val="24"/>
        </w:rPr>
        <w:t xml:space="preserve">Part B Item 3 – Mortgagee must </w:t>
      </w:r>
      <w:r w:rsidR="007F4BD8">
        <w:rPr>
          <w:sz w:val="24"/>
          <w:szCs w:val="24"/>
        </w:rPr>
        <w:t xml:space="preserve">submit the original document assigning </w:t>
      </w:r>
      <w:r w:rsidR="008743C4">
        <w:rPr>
          <w:sz w:val="24"/>
          <w:szCs w:val="24"/>
        </w:rPr>
        <w:t>the Mortgage to HUD. This is a recorded</w:t>
      </w:r>
      <w:r w:rsidR="00C6016A">
        <w:rPr>
          <w:sz w:val="24"/>
          <w:szCs w:val="24"/>
        </w:rPr>
        <w:t xml:space="preserve"> document</w:t>
      </w:r>
      <w:r w:rsidR="008743C4">
        <w:rPr>
          <w:sz w:val="24"/>
          <w:szCs w:val="24"/>
        </w:rPr>
        <w:t>, and Part A Item 1 contains additional instructions. There is a sample available in Exhibit D.</w:t>
      </w:r>
    </w:p>
    <w:p w:rsidR="0093355B" w:rsidP="005E243D" w14:paraId="1071DC5C" w14:textId="77777777">
      <w:pPr>
        <w:keepLines/>
        <w:tabs>
          <w:tab w:val="left" w:pos="360"/>
        </w:tabs>
        <w:ind w:left="720"/>
        <w:rPr>
          <w:sz w:val="24"/>
          <w:szCs w:val="24"/>
        </w:rPr>
      </w:pPr>
    </w:p>
    <w:p w:rsidR="00C6016A" w:rsidP="005E243D" w14:paraId="153DCFA9" w14:textId="07C3B408">
      <w:pPr>
        <w:keepLines/>
        <w:tabs>
          <w:tab w:val="left" w:pos="360"/>
        </w:tabs>
        <w:ind w:left="720"/>
        <w:rPr>
          <w:sz w:val="24"/>
          <w:szCs w:val="24"/>
        </w:rPr>
      </w:pPr>
      <w:r>
        <w:rPr>
          <w:sz w:val="24"/>
          <w:szCs w:val="24"/>
        </w:rPr>
        <w:t xml:space="preserve">Part B Item 4 – Mortgagee must provide </w:t>
      </w:r>
      <w:r w:rsidR="007F4BD8">
        <w:rPr>
          <w:sz w:val="24"/>
          <w:szCs w:val="24"/>
        </w:rPr>
        <w:t xml:space="preserve">the original of </w:t>
      </w:r>
      <w:r>
        <w:rPr>
          <w:sz w:val="24"/>
          <w:szCs w:val="24"/>
        </w:rPr>
        <w:t>any interim assignment</w:t>
      </w:r>
      <w:r w:rsidR="00234A5D">
        <w:rPr>
          <w:sz w:val="24"/>
          <w:szCs w:val="24"/>
        </w:rPr>
        <w:t>s</w:t>
      </w:r>
      <w:r w:rsidR="00C259A4">
        <w:rPr>
          <w:sz w:val="24"/>
          <w:szCs w:val="24"/>
        </w:rPr>
        <w:t xml:space="preserve"> </w:t>
      </w:r>
      <w:r>
        <w:rPr>
          <w:sz w:val="24"/>
          <w:szCs w:val="24"/>
        </w:rPr>
        <w:t>of the Mortgage</w:t>
      </w:r>
      <w:r>
        <w:rPr>
          <w:sz w:val="24"/>
          <w:szCs w:val="24"/>
        </w:rPr>
        <w:t>. These are recorded documents. If the original not is unavailable, the mortgagee must submit an Indemnification Agreement (a sample is available in Exhibit D) along with a copy.</w:t>
      </w:r>
    </w:p>
    <w:p w:rsidR="00C6016A" w:rsidP="005E243D" w14:paraId="648CD17B" w14:textId="77777777">
      <w:pPr>
        <w:keepLines/>
        <w:tabs>
          <w:tab w:val="left" w:pos="360"/>
        </w:tabs>
        <w:ind w:left="720"/>
        <w:rPr>
          <w:sz w:val="24"/>
          <w:szCs w:val="24"/>
        </w:rPr>
      </w:pPr>
    </w:p>
    <w:p w:rsidR="00C6016A" w:rsidP="005E243D" w14:paraId="47BD9ACC" w14:textId="00BEC5B2">
      <w:pPr>
        <w:keepLines/>
        <w:tabs>
          <w:tab w:val="left" w:pos="360"/>
        </w:tabs>
        <w:ind w:left="720"/>
        <w:rPr>
          <w:sz w:val="24"/>
          <w:szCs w:val="24"/>
        </w:rPr>
      </w:pPr>
      <w:r>
        <w:rPr>
          <w:sz w:val="24"/>
          <w:szCs w:val="24"/>
        </w:rPr>
        <w:t>Part B Item 5 –  Mortgagee must provide</w:t>
      </w:r>
      <w:r w:rsidR="0091537C">
        <w:rPr>
          <w:sz w:val="24"/>
          <w:szCs w:val="24"/>
        </w:rPr>
        <w:t xml:space="preserve"> the </w:t>
      </w:r>
      <w:r>
        <w:rPr>
          <w:sz w:val="24"/>
          <w:szCs w:val="24"/>
        </w:rPr>
        <w:t>security agreement</w:t>
      </w:r>
      <w:r w:rsidR="0091537C">
        <w:rPr>
          <w:sz w:val="24"/>
          <w:szCs w:val="24"/>
        </w:rPr>
        <w:t xml:space="preserve">, if </w:t>
      </w:r>
      <w:r w:rsidR="00600DA5">
        <w:rPr>
          <w:sz w:val="24"/>
          <w:szCs w:val="24"/>
        </w:rPr>
        <w:t>such document is part of the loan file</w:t>
      </w:r>
      <w:r w:rsidR="00DE4CDF">
        <w:rPr>
          <w:sz w:val="24"/>
          <w:szCs w:val="24"/>
        </w:rPr>
        <w:t>. These may or may not be recorded documents</w:t>
      </w:r>
      <w:r w:rsidR="00EF052F">
        <w:rPr>
          <w:sz w:val="24"/>
          <w:szCs w:val="24"/>
        </w:rPr>
        <w:t>.</w:t>
      </w:r>
      <w:r w:rsidR="00DE4CDF">
        <w:rPr>
          <w:sz w:val="24"/>
          <w:szCs w:val="24"/>
        </w:rPr>
        <w:t xml:space="preserve"> </w:t>
      </w:r>
      <w:r w:rsidR="00EC11F0">
        <w:rPr>
          <w:sz w:val="24"/>
          <w:szCs w:val="24"/>
        </w:rPr>
        <w:t>Part A Item 3 contains additional instructions.</w:t>
      </w:r>
      <w:r w:rsidR="003247D7">
        <w:rPr>
          <w:sz w:val="24"/>
          <w:szCs w:val="24"/>
        </w:rPr>
        <w:t xml:space="preserve"> If the original not is unavailable, the mortgagee must submit an Indemnification Agreement (a sample is available in Exhibit D) along with a copy.</w:t>
      </w:r>
    </w:p>
    <w:p w:rsidR="00EC11F0" w:rsidP="005E243D" w14:paraId="114F3118" w14:textId="77777777">
      <w:pPr>
        <w:keepLines/>
        <w:tabs>
          <w:tab w:val="left" w:pos="360"/>
        </w:tabs>
        <w:ind w:left="720"/>
        <w:rPr>
          <w:sz w:val="24"/>
          <w:szCs w:val="24"/>
        </w:rPr>
      </w:pPr>
    </w:p>
    <w:p w:rsidR="0069795D" w:rsidP="0069795D" w14:paraId="3277EF9A" w14:textId="77777777">
      <w:pPr>
        <w:keepLines/>
        <w:tabs>
          <w:tab w:val="left" w:pos="360"/>
        </w:tabs>
        <w:ind w:left="720"/>
        <w:rPr>
          <w:sz w:val="24"/>
          <w:szCs w:val="24"/>
        </w:rPr>
      </w:pPr>
      <w:r>
        <w:rPr>
          <w:sz w:val="24"/>
          <w:szCs w:val="24"/>
        </w:rPr>
        <w:t>Part B Item 6 – If there is a security agreement, the Mortgagee submit the original document and assigns it to HUD. There is a sample available in Exhibit D.</w:t>
      </w:r>
    </w:p>
    <w:p w:rsidR="006B0BAF" w:rsidP="005E243D" w14:paraId="3DF7A23B" w14:textId="77777777">
      <w:pPr>
        <w:keepLines/>
        <w:tabs>
          <w:tab w:val="left" w:pos="360"/>
        </w:tabs>
        <w:ind w:left="720"/>
        <w:rPr>
          <w:sz w:val="24"/>
          <w:szCs w:val="24"/>
        </w:rPr>
      </w:pPr>
    </w:p>
    <w:p w:rsidR="0069795D" w:rsidP="0069795D" w14:paraId="3121E20C" w14:textId="77777777">
      <w:pPr>
        <w:keepLines/>
        <w:tabs>
          <w:tab w:val="left" w:pos="360"/>
        </w:tabs>
        <w:ind w:left="720"/>
        <w:rPr>
          <w:sz w:val="24"/>
          <w:szCs w:val="24"/>
        </w:rPr>
      </w:pPr>
      <w:r>
        <w:rPr>
          <w:sz w:val="24"/>
          <w:szCs w:val="24"/>
        </w:rPr>
        <w:t>Part B Item 7 – Mortgagee must provide the original of any interim assignments of the security agreement. There is a sample available in Exhibit D. If the original not is unavailable, the mortgagee must submit an Indemnification Agreement (a sample is available in Exhibit D) along with a copy.</w:t>
      </w:r>
    </w:p>
    <w:p w:rsidR="006226BB" w:rsidP="005E243D" w14:paraId="1A5A8CEE" w14:textId="785B6235">
      <w:pPr>
        <w:keepLines/>
        <w:tabs>
          <w:tab w:val="left" w:pos="360"/>
        </w:tabs>
        <w:ind w:left="720"/>
        <w:rPr>
          <w:sz w:val="24"/>
          <w:szCs w:val="24"/>
        </w:rPr>
      </w:pPr>
    </w:p>
    <w:p w:rsidR="0069795D" w:rsidP="0069795D" w14:paraId="626BDA0A" w14:textId="77777777">
      <w:pPr>
        <w:keepLines/>
        <w:tabs>
          <w:tab w:val="left" w:pos="360"/>
        </w:tabs>
        <w:ind w:left="720"/>
        <w:rPr>
          <w:sz w:val="24"/>
          <w:szCs w:val="24"/>
        </w:rPr>
      </w:pPr>
      <w:r>
        <w:rPr>
          <w:sz w:val="24"/>
          <w:szCs w:val="24"/>
        </w:rPr>
        <w:t>Part B Item 8 – Mortgagee must provide all original UCC filings and must submit the original recorded documents assigning the UCCs to HUD. If any requisite UCC filings have lapsed or never filed, an Indemnification Agreement (a sample is available in Exhibit D) and an UCC search is required. Since the UCCs are documents filed with the county and state, it is also referenced in Part A Item 2.</w:t>
      </w:r>
    </w:p>
    <w:p w:rsidR="0093355B" w:rsidP="005E243D" w14:paraId="581EF3DA" w14:textId="7F5455D1">
      <w:pPr>
        <w:keepLines/>
        <w:tabs>
          <w:tab w:val="left" w:pos="360"/>
        </w:tabs>
        <w:ind w:left="720"/>
        <w:rPr>
          <w:sz w:val="24"/>
          <w:szCs w:val="24"/>
        </w:rPr>
      </w:pPr>
    </w:p>
    <w:p w:rsidR="00C6016A" w:rsidP="005E243D" w14:paraId="2BF17047" w14:textId="591C37E8">
      <w:pPr>
        <w:keepLines/>
        <w:tabs>
          <w:tab w:val="left" w:pos="360"/>
        </w:tabs>
        <w:ind w:left="720"/>
        <w:rPr>
          <w:sz w:val="24"/>
          <w:szCs w:val="24"/>
        </w:rPr>
      </w:pPr>
      <w:r>
        <w:rPr>
          <w:sz w:val="24"/>
          <w:szCs w:val="24"/>
        </w:rPr>
        <w:t>Part B Item 9 – Mortgagee must</w:t>
      </w:r>
      <w:r w:rsidR="00B57A7F">
        <w:rPr>
          <w:sz w:val="24"/>
          <w:szCs w:val="24"/>
        </w:rPr>
        <w:t xml:space="preserve"> execute a Form No. 289, Assignment (a copy of this </w:t>
      </w:r>
      <w:r w:rsidR="006336B9">
        <w:rPr>
          <w:sz w:val="24"/>
          <w:szCs w:val="24"/>
        </w:rPr>
        <w:t>assignment</w:t>
      </w:r>
      <w:r w:rsidR="00B57A7F">
        <w:rPr>
          <w:sz w:val="24"/>
          <w:szCs w:val="24"/>
        </w:rPr>
        <w:t xml:space="preserve"> is available in </w:t>
      </w:r>
      <w:r w:rsidRPr="00C35CC5" w:rsidR="00B57A7F">
        <w:rPr>
          <w:b/>
          <w:bCs/>
          <w:sz w:val="24"/>
          <w:szCs w:val="24"/>
          <w:u w:val="single"/>
        </w:rPr>
        <w:t>Exhibit B</w:t>
      </w:r>
      <w:r w:rsidR="00B57A7F">
        <w:rPr>
          <w:sz w:val="24"/>
          <w:szCs w:val="24"/>
        </w:rPr>
        <w:t>)</w:t>
      </w:r>
      <w:r w:rsidR="006336B9">
        <w:rPr>
          <w:sz w:val="24"/>
          <w:szCs w:val="24"/>
        </w:rPr>
        <w:t>. This</w:t>
      </w:r>
      <w:r w:rsidR="00FC1191">
        <w:rPr>
          <w:sz w:val="24"/>
          <w:szCs w:val="24"/>
        </w:rPr>
        <w:t xml:space="preserve"> is intended to cover and assign to HUD any other interest the mortgagee may have in </w:t>
      </w:r>
      <w:r w:rsidR="005E4342">
        <w:rPr>
          <w:sz w:val="24"/>
          <w:szCs w:val="24"/>
        </w:rPr>
        <w:t>the loan documents.</w:t>
      </w:r>
    </w:p>
    <w:p w:rsidR="005E243D" w:rsidP="005E243D" w14:paraId="28753947" w14:textId="77777777">
      <w:pPr>
        <w:keepLines/>
        <w:tabs>
          <w:tab w:val="left" w:pos="360"/>
        </w:tabs>
        <w:ind w:left="720"/>
        <w:rPr>
          <w:sz w:val="24"/>
          <w:szCs w:val="24"/>
        </w:rPr>
      </w:pPr>
    </w:p>
    <w:p w:rsidR="005E243D" w:rsidP="005E243D" w14:paraId="40462B8D" w14:textId="5588745F">
      <w:pPr>
        <w:keepLines/>
        <w:tabs>
          <w:tab w:val="left" w:pos="360"/>
        </w:tabs>
        <w:ind w:left="720"/>
        <w:rPr>
          <w:sz w:val="24"/>
          <w:szCs w:val="24"/>
        </w:rPr>
      </w:pPr>
      <w:r>
        <w:rPr>
          <w:sz w:val="24"/>
          <w:szCs w:val="24"/>
        </w:rPr>
        <w:t>Part B Item 10 – Mortgage must provide documentation pertaining to the existing hazard/property/general liability insurance on</w:t>
      </w:r>
      <w:r w:rsidR="00EB18D6">
        <w:rPr>
          <w:sz w:val="24"/>
          <w:szCs w:val="24"/>
        </w:rPr>
        <w:t xml:space="preserve"> the property to HUD. </w:t>
      </w:r>
    </w:p>
    <w:p w:rsidR="00EB18D6" w:rsidP="005E243D" w14:paraId="6CCE62A9" w14:textId="77777777">
      <w:pPr>
        <w:keepLines/>
        <w:tabs>
          <w:tab w:val="left" w:pos="360"/>
        </w:tabs>
        <w:ind w:left="720"/>
        <w:rPr>
          <w:sz w:val="24"/>
          <w:szCs w:val="24"/>
        </w:rPr>
      </w:pPr>
    </w:p>
    <w:p w:rsidR="0069795D" w:rsidP="0069795D" w14:paraId="20511549" w14:textId="77777777">
      <w:pPr>
        <w:keepLines/>
        <w:tabs>
          <w:tab w:val="left" w:pos="360"/>
        </w:tabs>
        <w:ind w:left="720"/>
        <w:rPr>
          <w:sz w:val="24"/>
          <w:szCs w:val="24"/>
        </w:rPr>
      </w:pPr>
      <w:r>
        <w:rPr>
          <w:sz w:val="24"/>
          <w:szCs w:val="24"/>
        </w:rPr>
        <w:t>Part B Item 11 – Document required to  assign the mortgagee’s interest in the existing hazard/property/general liability insurance to HUD. There is a sample available in Exhibit D.</w:t>
      </w:r>
    </w:p>
    <w:p w:rsidR="00EB18D6" w:rsidP="005E243D" w14:paraId="6E7CED33" w14:textId="1F36CCCB">
      <w:pPr>
        <w:keepLines/>
        <w:tabs>
          <w:tab w:val="left" w:pos="360"/>
        </w:tabs>
        <w:ind w:left="720"/>
        <w:rPr>
          <w:sz w:val="24"/>
          <w:szCs w:val="24"/>
        </w:rPr>
      </w:pPr>
    </w:p>
    <w:p w:rsidR="008A64E1" w:rsidP="008A64E1" w14:paraId="58697A20" w14:textId="374BFEF6">
      <w:pPr>
        <w:keepLines/>
        <w:tabs>
          <w:tab w:val="left" w:pos="360"/>
        </w:tabs>
        <w:ind w:left="720"/>
        <w:rPr>
          <w:sz w:val="24"/>
          <w:szCs w:val="24"/>
        </w:rPr>
      </w:pPr>
      <w:r>
        <w:rPr>
          <w:sz w:val="24"/>
          <w:szCs w:val="24"/>
        </w:rPr>
        <w:t xml:space="preserve">Part B Item 12 - </w:t>
      </w:r>
      <w:r>
        <w:rPr>
          <w:sz w:val="24"/>
          <w:szCs w:val="24"/>
        </w:rPr>
        <w:t xml:space="preserve">Mortgage must provide documentation pertaining to any existing flood insurance on the property to HUD. </w:t>
      </w:r>
    </w:p>
    <w:p w:rsidR="0069795D" w:rsidP="008A64E1" w14:paraId="4622C613" w14:textId="77777777">
      <w:pPr>
        <w:keepLines/>
        <w:tabs>
          <w:tab w:val="left" w:pos="360"/>
        </w:tabs>
        <w:ind w:left="720"/>
        <w:rPr>
          <w:sz w:val="24"/>
          <w:szCs w:val="24"/>
        </w:rPr>
      </w:pPr>
    </w:p>
    <w:p w:rsidR="0069795D" w:rsidP="0069795D" w14:paraId="537C6514" w14:textId="77777777">
      <w:pPr>
        <w:keepLines/>
        <w:tabs>
          <w:tab w:val="left" w:pos="360"/>
        </w:tabs>
        <w:ind w:left="720"/>
        <w:rPr>
          <w:sz w:val="24"/>
          <w:szCs w:val="24"/>
        </w:rPr>
      </w:pPr>
      <w:r>
        <w:rPr>
          <w:sz w:val="24"/>
          <w:szCs w:val="24"/>
        </w:rPr>
        <w:t>Part B Item 13 – Mortgagee must submit documentation and assign its interest in the existing flood insurance to HUD.</w:t>
      </w:r>
    </w:p>
    <w:p w:rsidR="008A64E1" w:rsidP="008A64E1" w14:paraId="3B32B859" w14:textId="77777777">
      <w:pPr>
        <w:keepLines/>
        <w:tabs>
          <w:tab w:val="left" w:pos="360"/>
        </w:tabs>
        <w:ind w:left="720"/>
        <w:rPr>
          <w:sz w:val="24"/>
          <w:szCs w:val="24"/>
        </w:rPr>
      </w:pPr>
    </w:p>
    <w:p w:rsidR="008A64E1" w:rsidP="008A64E1" w14:paraId="70BCDCF7" w14:textId="0CDB3932">
      <w:pPr>
        <w:keepLines/>
        <w:tabs>
          <w:tab w:val="left" w:pos="360"/>
        </w:tabs>
        <w:ind w:left="720"/>
        <w:rPr>
          <w:sz w:val="24"/>
          <w:szCs w:val="24"/>
        </w:rPr>
      </w:pPr>
      <w:r>
        <w:rPr>
          <w:sz w:val="24"/>
          <w:szCs w:val="24"/>
        </w:rPr>
        <w:t>Part B Item 14 – Mortgage must provide a copy of</w:t>
      </w:r>
      <w:r w:rsidR="00CC6BE0">
        <w:rPr>
          <w:sz w:val="24"/>
          <w:szCs w:val="24"/>
        </w:rPr>
        <w:t xml:space="preserve"> </w:t>
      </w:r>
      <w:r>
        <w:rPr>
          <w:sz w:val="24"/>
          <w:szCs w:val="24"/>
        </w:rPr>
        <w:t xml:space="preserve">its cooperate solution to demonstrate that the signatory on the assignments have authority to </w:t>
      </w:r>
      <w:r w:rsidR="0078773A">
        <w:rPr>
          <w:sz w:val="24"/>
          <w:szCs w:val="24"/>
        </w:rPr>
        <w:t xml:space="preserve">execute documents and act on behalf </w:t>
      </w:r>
      <w:r w:rsidR="00014276">
        <w:rPr>
          <w:sz w:val="24"/>
          <w:szCs w:val="24"/>
        </w:rPr>
        <w:t>of th</w:t>
      </w:r>
      <w:r w:rsidR="00CC6BE0">
        <w:rPr>
          <w:sz w:val="24"/>
          <w:szCs w:val="24"/>
        </w:rPr>
        <w:t>e</w:t>
      </w:r>
      <w:r w:rsidR="00014276">
        <w:rPr>
          <w:sz w:val="24"/>
          <w:szCs w:val="24"/>
        </w:rPr>
        <w:t xml:space="preserve"> mortgagee. </w:t>
      </w:r>
    </w:p>
    <w:p w:rsidR="00CC6BE0" w:rsidP="008A64E1" w14:paraId="11D9BB73" w14:textId="77777777">
      <w:pPr>
        <w:keepLines/>
        <w:tabs>
          <w:tab w:val="left" w:pos="360"/>
        </w:tabs>
        <w:ind w:left="720"/>
        <w:rPr>
          <w:sz w:val="24"/>
          <w:szCs w:val="24"/>
        </w:rPr>
      </w:pPr>
    </w:p>
    <w:p w:rsidR="0069795D" w:rsidP="0069795D" w14:paraId="528100F3" w14:textId="77777777">
      <w:pPr>
        <w:keepLines/>
        <w:tabs>
          <w:tab w:val="left" w:pos="360"/>
        </w:tabs>
        <w:ind w:left="720"/>
        <w:rPr>
          <w:sz w:val="24"/>
          <w:szCs w:val="24"/>
        </w:rPr>
      </w:pPr>
      <w:r>
        <w:rPr>
          <w:sz w:val="24"/>
          <w:szCs w:val="24"/>
        </w:rPr>
        <w:t xml:space="preserve">Part B Item 15 – Mortgagee must provide evidence of existing title insurance and evidence that the insurance policy/coverage has been brought forward to include the date of mortgage assignment to HUD, through a new title policy or date down endorsement to the original policy. </w:t>
      </w:r>
    </w:p>
    <w:p w:rsidR="0069795D" w:rsidP="0069795D" w14:paraId="3A0E4671" w14:textId="77777777">
      <w:pPr>
        <w:keepLines/>
        <w:tabs>
          <w:tab w:val="left" w:pos="360"/>
        </w:tabs>
        <w:ind w:left="720"/>
        <w:rPr>
          <w:sz w:val="24"/>
          <w:szCs w:val="24"/>
        </w:rPr>
      </w:pPr>
    </w:p>
    <w:p w:rsidR="0069795D" w:rsidP="0069795D" w14:paraId="50B1208F" w14:textId="77777777">
      <w:pPr>
        <w:keepLines/>
        <w:tabs>
          <w:tab w:val="left" w:pos="360"/>
        </w:tabs>
        <w:ind w:left="720"/>
        <w:rPr>
          <w:sz w:val="24"/>
          <w:szCs w:val="24"/>
        </w:rPr>
      </w:pPr>
      <w:r w:rsidRPr="26B68A7B">
        <w:rPr>
          <w:sz w:val="24"/>
          <w:szCs w:val="24"/>
        </w:rPr>
        <w:t>Part B Item 16 – Mortgagee must provide property tax information and notification to the taxing authority of the assignment to HUD. Delinquent taxes may result in a superseding lien on HUD’s collateral.</w:t>
      </w:r>
    </w:p>
    <w:p w:rsidR="008A64E1" w:rsidP="008A64E1" w14:paraId="12DBC42B" w14:textId="77777777">
      <w:pPr>
        <w:keepLines/>
        <w:tabs>
          <w:tab w:val="left" w:pos="360"/>
        </w:tabs>
        <w:ind w:left="720"/>
        <w:rPr>
          <w:sz w:val="24"/>
          <w:szCs w:val="24"/>
        </w:rPr>
      </w:pPr>
    </w:p>
    <w:p w:rsidR="00AF2409" w:rsidP="00AF2409" w14:paraId="3841BC96" w14:textId="77777777">
      <w:pPr>
        <w:keepLines/>
        <w:tabs>
          <w:tab w:val="left" w:pos="360"/>
        </w:tabs>
        <w:ind w:left="720"/>
        <w:rPr>
          <w:sz w:val="24"/>
          <w:szCs w:val="24"/>
        </w:rPr>
      </w:pPr>
      <w:r>
        <w:rPr>
          <w:sz w:val="24"/>
          <w:szCs w:val="24"/>
        </w:rPr>
        <w:t xml:space="preserve">Part B Item 17 – Mortgagee must provide a certification (a copy of this certification is available in </w:t>
      </w:r>
      <w:r w:rsidRPr="00C35CC5">
        <w:rPr>
          <w:b/>
          <w:bCs/>
          <w:sz w:val="24"/>
          <w:szCs w:val="24"/>
          <w:u w:val="single"/>
        </w:rPr>
        <w:t>Exhibit A</w:t>
      </w:r>
      <w:r>
        <w:rPr>
          <w:sz w:val="24"/>
          <w:szCs w:val="24"/>
        </w:rPr>
        <w:t>) with an attached checklist to certify submission of the required legal documents. Since HUD will only be reviewing the documents electronically, this certification ensures the final submission of physical documents reflects what HUD reviewed electronically.</w:t>
      </w:r>
    </w:p>
    <w:p w:rsidR="00AF2409" w:rsidP="00AF2409" w14:paraId="4CEC8728" w14:textId="77777777">
      <w:pPr>
        <w:keepLines/>
        <w:tabs>
          <w:tab w:val="left" w:pos="360"/>
        </w:tabs>
        <w:ind w:left="720"/>
        <w:rPr>
          <w:sz w:val="24"/>
          <w:szCs w:val="24"/>
        </w:rPr>
      </w:pPr>
    </w:p>
    <w:p w:rsidR="00AF2409" w:rsidP="00AF2409" w14:paraId="2909DA02" w14:textId="77777777">
      <w:pPr>
        <w:keepLines/>
        <w:tabs>
          <w:tab w:val="left" w:pos="360"/>
        </w:tabs>
        <w:ind w:left="720"/>
        <w:rPr>
          <w:sz w:val="24"/>
          <w:szCs w:val="24"/>
        </w:rPr>
      </w:pPr>
      <w:r>
        <w:rPr>
          <w:sz w:val="24"/>
          <w:szCs w:val="24"/>
        </w:rPr>
        <w:t xml:space="preserve">Part B Item 18 – This item is intended as a catch all for all loan documents associated with the mortgage. </w:t>
      </w:r>
    </w:p>
    <w:p w:rsidR="00AF2409" w:rsidP="00AF2409" w14:paraId="79FD3559" w14:textId="77777777">
      <w:pPr>
        <w:keepLines/>
        <w:tabs>
          <w:tab w:val="left" w:pos="360"/>
        </w:tabs>
        <w:ind w:left="720"/>
        <w:rPr>
          <w:sz w:val="24"/>
          <w:szCs w:val="24"/>
        </w:rPr>
      </w:pPr>
    </w:p>
    <w:p w:rsidR="00AF2409" w:rsidP="00AF2409" w14:paraId="40B5FB28" w14:textId="3AC3E225">
      <w:pPr>
        <w:keepLines/>
        <w:tabs>
          <w:tab w:val="left" w:pos="360"/>
        </w:tabs>
        <w:ind w:left="720"/>
        <w:rPr>
          <w:sz w:val="24"/>
          <w:szCs w:val="24"/>
        </w:rPr>
      </w:pPr>
      <w:r>
        <w:rPr>
          <w:sz w:val="24"/>
          <w:szCs w:val="24"/>
        </w:rPr>
        <w:t xml:space="preserve">Part B Item 19 – This item is for healthcare loans only and is intended to simplify the assignment of the healthcare loan documents. The mortgagee must submit and assign to HUD all Section 232 healthcare loan documents it has in its possession and control. The mortgagee must also submit the omnibus assignment of healthcare loan document (a copy of this assignment is available in </w:t>
      </w:r>
      <w:r w:rsidRPr="006336B9">
        <w:rPr>
          <w:b/>
          <w:bCs/>
          <w:sz w:val="24"/>
          <w:szCs w:val="24"/>
          <w:u w:val="single"/>
        </w:rPr>
        <w:t>Exhibit C</w:t>
      </w:r>
      <w:r>
        <w:rPr>
          <w:sz w:val="24"/>
          <w:szCs w:val="24"/>
        </w:rPr>
        <w:t>). This is intended to cover and assign to HUD any other interest the mortgagee may have in the healthcare-specific documents.</w:t>
      </w:r>
    </w:p>
    <w:p w:rsidR="00AF2409" w:rsidP="00AF2409" w14:paraId="1C0ABB1D" w14:textId="77777777">
      <w:pPr>
        <w:keepLines/>
        <w:tabs>
          <w:tab w:val="left" w:pos="360"/>
        </w:tabs>
        <w:rPr>
          <w:sz w:val="24"/>
          <w:szCs w:val="24"/>
        </w:rPr>
      </w:pPr>
    </w:p>
    <w:p w:rsidR="00AF2409" w:rsidP="00AF2409" w14:paraId="62B8FF22" w14:textId="39339A1B">
      <w:pPr>
        <w:keepLines/>
        <w:tabs>
          <w:tab w:val="left" w:pos="360"/>
        </w:tabs>
        <w:rPr>
          <w:sz w:val="24"/>
          <w:szCs w:val="24"/>
        </w:rPr>
      </w:pPr>
      <w:r>
        <w:rPr>
          <w:sz w:val="24"/>
          <w:szCs w:val="24"/>
        </w:rPr>
        <w:t>In addition to Part A and Part B</w:t>
      </w:r>
      <w:r w:rsidR="00656F90">
        <w:rPr>
          <w:sz w:val="24"/>
          <w:szCs w:val="24"/>
        </w:rPr>
        <w:t>,</w:t>
      </w:r>
      <w:r>
        <w:rPr>
          <w:sz w:val="24"/>
          <w:szCs w:val="24"/>
        </w:rPr>
        <w:t xml:space="preserve"> </w:t>
      </w:r>
      <w:r w:rsidR="00656F90">
        <w:rPr>
          <w:sz w:val="24"/>
          <w:szCs w:val="24"/>
        </w:rPr>
        <w:t>t</w:t>
      </w:r>
      <w:r>
        <w:rPr>
          <w:sz w:val="24"/>
          <w:szCs w:val="24"/>
        </w:rPr>
        <w:t xml:space="preserve">here are four Exhibits. </w:t>
      </w:r>
      <w:r w:rsidRPr="00B652A4">
        <w:rPr>
          <w:sz w:val="24"/>
          <w:szCs w:val="24"/>
        </w:rPr>
        <w:t>Exhibits A-</w:t>
      </w:r>
      <w:r w:rsidR="00656F90">
        <w:rPr>
          <w:sz w:val="24"/>
          <w:szCs w:val="24"/>
        </w:rPr>
        <w:t xml:space="preserve"> </w:t>
      </w:r>
      <w:r w:rsidRPr="00B652A4">
        <w:rPr>
          <w:sz w:val="24"/>
          <w:szCs w:val="24"/>
        </w:rPr>
        <w:t>C are an existing part of the information collection</w:t>
      </w:r>
      <w:r>
        <w:rPr>
          <w:sz w:val="24"/>
          <w:szCs w:val="24"/>
        </w:rPr>
        <w:t xml:space="preserve">, </w:t>
      </w:r>
      <w:r w:rsidRPr="00B652A4">
        <w:rPr>
          <w:sz w:val="24"/>
          <w:szCs w:val="24"/>
        </w:rPr>
        <w:t xml:space="preserve">and they reflect requirements in the Legal instructions. </w:t>
      </w:r>
      <w:r>
        <w:rPr>
          <w:sz w:val="24"/>
          <w:szCs w:val="24"/>
        </w:rPr>
        <w:t xml:space="preserve"> Exhibit A reflects the requirement in Part B Item 17. Exhibit B reflects the requirement in Part B Item 9. Exhibit C reflects the requirement in Part B Item 19. Exhibit D is a new addition and is being provided to help mortgagees fulfill its requirement throughout the Legal Instructions. </w:t>
      </w:r>
      <w:r w:rsidRPr="008E41C9">
        <w:rPr>
          <w:sz w:val="24"/>
          <w:szCs w:val="24"/>
        </w:rPr>
        <w:t xml:space="preserve">The samples in Exhibit D contain requisite language for assignments and indemnifications to meet relevant existing requirements of the Legal Instructions. </w:t>
      </w:r>
    </w:p>
    <w:p w:rsidR="00471336" w:rsidP="00471336" w14:paraId="56416C8C" w14:textId="77777777">
      <w:pPr>
        <w:keepLines/>
        <w:tabs>
          <w:tab w:val="left" w:pos="360"/>
        </w:tabs>
      </w:pPr>
    </w:p>
    <w:p w:rsidR="002D1594" w:rsidRPr="002D1594" w:rsidP="002D1594" w14:paraId="5A3BB7D2" w14:textId="51026DB3">
      <w:pPr>
        <w:keepLines/>
        <w:tabs>
          <w:tab w:val="left" w:pos="360"/>
        </w:tabs>
        <w:spacing w:after="80"/>
        <w:ind w:left="360" w:hanging="360"/>
        <w:rPr>
          <w:b/>
          <w:bCs/>
          <w:sz w:val="24"/>
          <w:szCs w:val="24"/>
        </w:rPr>
      </w:pPr>
      <w:r w:rsidRPr="00F557C1">
        <w:rPr>
          <w:b/>
          <w:bCs/>
          <w:sz w:val="24"/>
          <w:szCs w:val="24"/>
        </w:rPr>
        <w:t>3.</w:t>
      </w:r>
      <w:r w:rsidRPr="00F557C1">
        <w:rPr>
          <w:b/>
          <w:bCs/>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E728FE" w:rsidP="00E728FE" w14:paraId="02211279" w14:textId="77777777">
      <w:pPr>
        <w:pStyle w:val="NoSpacing"/>
      </w:pPr>
    </w:p>
    <w:p w:rsidR="00F557C1" w:rsidRPr="00F557C1" w:rsidP="002D1594" w14:paraId="5D684406" w14:textId="3136106E">
      <w:pPr>
        <w:ind w:left="360"/>
        <w:rPr>
          <w:sz w:val="24"/>
          <w:szCs w:val="24"/>
        </w:rPr>
      </w:pPr>
      <w:r w:rsidRPr="00F557C1">
        <w:rPr>
          <w:sz w:val="24"/>
          <w:szCs w:val="24"/>
        </w:rPr>
        <w:t xml:space="preserve">Electronic submission is currently permitted, and there is proposed language in the Legal Instructions that would require the </w:t>
      </w:r>
      <w:r w:rsidRPr="00F557C1">
        <w:rPr>
          <w:sz w:val="24"/>
          <w:szCs w:val="24"/>
        </w:rPr>
        <w:t>mortgagee</w:t>
      </w:r>
      <w:r w:rsidRPr="00F557C1">
        <w:rPr>
          <w:sz w:val="24"/>
          <w:szCs w:val="24"/>
        </w:rPr>
        <w:t xml:space="preserve"> to transmit its legal documents for the initial review by HUD OGC. This proposal reflects the current practices and preferences of respondents and is an effort to reduce the burden. In addition, the information is gathered from existing mortgage documents the mortgagee has in its possession from the initial mortgage application closing process. After OGC has completed its legal review, mortgagees are instructed to mail the original hard copies to HUD, because HUD must have the original loan documents to service the loan. </w:t>
      </w:r>
    </w:p>
    <w:p w:rsidR="003A3280" w:rsidP="00F557C1" w14:paraId="7D359308" w14:textId="77777777">
      <w:pPr>
        <w:tabs>
          <w:tab w:val="left" w:pos="360"/>
        </w:tabs>
        <w:rPr>
          <w:sz w:val="24"/>
          <w:szCs w:val="24"/>
        </w:rPr>
      </w:pPr>
    </w:p>
    <w:p w:rsidR="002D1594" w:rsidRPr="002D1594" w:rsidP="002D1594" w14:paraId="7B500D14" w14:textId="25667FC2">
      <w:pPr>
        <w:keepLines/>
        <w:tabs>
          <w:tab w:val="left" w:pos="360"/>
        </w:tabs>
        <w:spacing w:after="80"/>
        <w:ind w:left="360" w:hanging="360"/>
        <w:rPr>
          <w:b/>
          <w:bCs/>
          <w:sz w:val="24"/>
          <w:szCs w:val="24"/>
        </w:rPr>
      </w:pPr>
      <w:r w:rsidRPr="002D1594">
        <w:rPr>
          <w:b/>
          <w:bCs/>
          <w:sz w:val="24"/>
          <w:szCs w:val="24"/>
        </w:rPr>
        <w:t>4.</w:t>
      </w:r>
      <w:r w:rsidRPr="002D1594">
        <w:rPr>
          <w:b/>
          <w:bCs/>
          <w:sz w:val="24"/>
          <w:szCs w:val="24"/>
        </w:rPr>
        <w:tab/>
        <w:t>Describe efforts to identify duplication.  Show specifically why any similar information already available cannot be used or modified for use for the purposes described in Item 2 above.</w:t>
      </w:r>
    </w:p>
    <w:p w:rsidR="00E728FE" w:rsidP="00E728FE" w14:paraId="783AE751" w14:textId="77777777">
      <w:pPr>
        <w:pStyle w:val="NoSpacing"/>
      </w:pPr>
    </w:p>
    <w:p w:rsidR="002D1594" w:rsidRPr="002D1594" w:rsidP="002D1594" w14:paraId="54C5F94B" w14:textId="4ACEBD24">
      <w:pPr>
        <w:ind w:left="360"/>
        <w:rPr>
          <w:sz w:val="24"/>
          <w:szCs w:val="24"/>
        </w:rPr>
      </w:pPr>
      <w:r w:rsidRPr="002D1594">
        <w:rPr>
          <w:sz w:val="24"/>
          <w:szCs w:val="24"/>
        </w:rPr>
        <w:t xml:space="preserve">Each submission relates to a single project and individual, unique documents that are not being requested elsewhere by the Department. The information is gathered from the actual mortgage documents that the mortgagee already has in its possession as a result of applying for the insurance and providing the loan, and closing or settlement of mortgages remains a hard copy documentation process.  </w:t>
      </w:r>
    </w:p>
    <w:p w:rsidR="00EE02BF" w:rsidRPr="002D1594" w14:paraId="31127A6B" w14:textId="77777777">
      <w:pPr>
        <w:keepLines/>
        <w:tabs>
          <w:tab w:val="left" w:pos="360"/>
          <w:tab w:val="left" w:pos="720"/>
        </w:tabs>
        <w:ind w:left="360"/>
        <w:rPr>
          <w:b/>
          <w:bCs/>
          <w:sz w:val="24"/>
          <w:szCs w:val="24"/>
        </w:rPr>
      </w:pPr>
    </w:p>
    <w:p w:rsidR="009E13B1" w:rsidRPr="002D1594" w14:paraId="689A9EFC" w14:textId="77777777">
      <w:pPr>
        <w:keepLines/>
        <w:tabs>
          <w:tab w:val="left" w:pos="360"/>
        </w:tabs>
        <w:spacing w:after="80"/>
        <w:ind w:left="360" w:hanging="360"/>
        <w:rPr>
          <w:b/>
          <w:bCs/>
          <w:sz w:val="24"/>
          <w:szCs w:val="24"/>
        </w:rPr>
      </w:pPr>
      <w:r w:rsidRPr="002D1594">
        <w:rPr>
          <w:b/>
          <w:bCs/>
          <w:sz w:val="24"/>
          <w:szCs w:val="24"/>
        </w:rPr>
        <w:t>5.</w:t>
      </w:r>
      <w:r w:rsidRPr="002D1594">
        <w:rPr>
          <w:b/>
          <w:bCs/>
          <w:sz w:val="24"/>
          <w:szCs w:val="24"/>
        </w:rPr>
        <w:tab/>
        <w:t>If the collection of information impacts small businesses or other small entities describe any methods used to minimize burden.</w:t>
      </w:r>
    </w:p>
    <w:p w:rsidR="00E728FE" w:rsidP="00E728FE" w14:paraId="7E55C6B7" w14:textId="77777777">
      <w:pPr>
        <w:pStyle w:val="NoSpacing"/>
      </w:pPr>
    </w:p>
    <w:p w:rsidR="002932A2" w:rsidRPr="006C7FAE" w:rsidP="7DEBA1B0" w14:paraId="3F7CF82D" w14:textId="1E214B63">
      <w:pPr>
        <w:keepLines/>
        <w:tabs>
          <w:tab w:val="left" w:pos="360"/>
        </w:tabs>
        <w:spacing w:after="80"/>
        <w:ind w:left="360"/>
        <w:rPr>
          <w:sz w:val="24"/>
          <w:szCs w:val="24"/>
        </w:rPr>
      </w:pPr>
      <w:r w:rsidRPr="00BF5588">
        <w:rPr>
          <w:sz w:val="24"/>
          <w:szCs w:val="24"/>
        </w:rPr>
        <w:t>The collection of this information will not impact small businesses or other small entities.</w:t>
      </w:r>
    </w:p>
    <w:p w:rsidR="00D2127C" w:rsidRPr="006C7FAE" w:rsidP="00E728FE" w14:paraId="5EAD5E82" w14:textId="44D7994F">
      <w:pPr>
        <w:pStyle w:val="NoSpacing"/>
      </w:pPr>
      <w:r>
        <w:tab/>
      </w:r>
      <w:r>
        <w:tab/>
      </w:r>
      <w:r>
        <w:tab/>
      </w:r>
    </w:p>
    <w:p w:rsidR="009E13B1" w:rsidRPr="00683C48" w14:paraId="2C0F0529" w14:textId="36B48857">
      <w:pPr>
        <w:keepLines/>
        <w:tabs>
          <w:tab w:val="left" w:pos="360"/>
        </w:tabs>
        <w:spacing w:after="80"/>
        <w:ind w:left="360" w:hanging="360"/>
        <w:rPr>
          <w:b/>
          <w:bCs/>
          <w:sz w:val="24"/>
          <w:szCs w:val="24"/>
        </w:rPr>
      </w:pPr>
      <w:r w:rsidRPr="006C7FAE">
        <w:rPr>
          <w:sz w:val="24"/>
          <w:szCs w:val="24"/>
        </w:rPr>
        <w:t>6.</w:t>
      </w:r>
      <w:r w:rsidRPr="00683C48">
        <w:rPr>
          <w:b/>
          <w:bCs/>
          <w:sz w:val="24"/>
          <w:szCs w:val="24"/>
        </w:rPr>
        <w:tab/>
        <w:t xml:space="preserve">Describe the </w:t>
      </w:r>
      <w:r w:rsidRPr="00683C48" w:rsidR="006A158B">
        <w:rPr>
          <w:b/>
          <w:bCs/>
          <w:sz w:val="24"/>
          <w:szCs w:val="24"/>
        </w:rPr>
        <w:t>consequences</w:t>
      </w:r>
      <w:r w:rsidRPr="00683C48">
        <w:rPr>
          <w:b/>
          <w:bCs/>
          <w:sz w:val="24"/>
          <w:szCs w:val="24"/>
        </w:rPr>
        <w:t xml:space="preserve"> to Federal program or policy activities if the collection is not conducted or is conducted less frequently, as well as any technical or legal obstacles to reducing burden.</w:t>
      </w:r>
    </w:p>
    <w:p w:rsidR="00E728FE" w:rsidP="003549E8" w14:paraId="701E7AE1" w14:textId="77777777">
      <w:pPr>
        <w:pStyle w:val="NoSpacing"/>
      </w:pPr>
    </w:p>
    <w:p w:rsidR="006A158B" w:rsidP="00683C48" w14:paraId="41B8E746" w14:textId="2E32DB94">
      <w:pPr>
        <w:pStyle w:val="BodyTextIndent3"/>
        <w:spacing w:after="0" w:line="240" w:lineRule="auto"/>
        <w:rPr>
          <w:rFonts w:cs="Times New Roman"/>
          <w:sz w:val="24"/>
          <w:szCs w:val="24"/>
        </w:rPr>
      </w:pPr>
      <w:r>
        <w:rPr>
          <w:rFonts w:cs="Times New Roman"/>
          <w:sz w:val="24"/>
          <w:szCs w:val="24"/>
        </w:rPr>
        <w:t xml:space="preserve">The information is only collected once respondents voluntarily file an FHA insurance claim with HUD. </w:t>
      </w:r>
      <w:r w:rsidRPr="7FC18A06">
        <w:rPr>
          <w:rFonts w:cs="Times New Roman"/>
          <w:sz w:val="24"/>
          <w:szCs w:val="24"/>
        </w:rPr>
        <w:t xml:space="preserve">FHA insurance claims </w:t>
      </w:r>
      <w:r>
        <w:rPr>
          <w:rFonts w:cs="Times New Roman"/>
          <w:sz w:val="24"/>
          <w:szCs w:val="24"/>
        </w:rPr>
        <w:t>can</w:t>
      </w:r>
      <w:r w:rsidRPr="7FC18A06">
        <w:rPr>
          <w:rFonts w:cs="Times New Roman"/>
          <w:sz w:val="24"/>
          <w:szCs w:val="24"/>
        </w:rPr>
        <w:t xml:space="preserve">not be paid to mortgagees without this </w:t>
      </w:r>
      <w:r>
        <w:rPr>
          <w:rFonts w:cs="Times New Roman"/>
          <w:sz w:val="24"/>
          <w:szCs w:val="24"/>
        </w:rPr>
        <w:t xml:space="preserve">legally required </w:t>
      </w:r>
      <w:r w:rsidRPr="7FC18A06">
        <w:rPr>
          <w:rFonts w:cs="Times New Roman"/>
          <w:sz w:val="24"/>
          <w:szCs w:val="24"/>
        </w:rPr>
        <w:t xml:space="preserve"> information.  </w:t>
      </w:r>
      <w:r>
        <w:rPr>
          <w:rFonts w:cs="Times New Roman"/>
          <w:sz w:val="24"/>
          <w:szCs w:val="24"/>
        </w:rPr>
        <w:t>Under Section 207</w:t>
      </w:r>
      <w:r w:rsidRPr="3170CD44">
        <w:rPr>
          <w:rFonts w:cs="Times New Roman"/>
          <w:sz w:val="24"/>
          <w:szCs w:val="24"/>
        </w:rPr>
        <w:t>(g)</w:t>
      </w:r>
      <w:r>
        <w:rPr>
          <w:rFonts w:cs="Times New Roman"/>
          <w:sz w:val="24"/>
          <w:szCs w:val="24"/>
        </w:rPr>
        <w:t xml:space="preserve"> of the National Housing Act (12 U.S.C. </w:t>
      </w:r>
      <w:r w:rsidRPr="7FC18A06">
        <w:rPr>
          <w:sz w:val="24"/>
          <w:szCs w:val="24"/>
        </w:rPr>
        <w:t xml:space="preserve">§ </w:t>
      </w:r>
      <w:r>
        <w:rPr>
          <w:rFonts w:cs="Times New Roman"/>
          <w:sz w:val="24"/>
          <w:szCs w:val="24"/>
        </w:rPr>
        <w:t>1713</w:t>
      </w:r>
      <w:r w:rsidRPr="3170CD44">
        <w:rPr>
          <w:rFonts w:cs="Times New Roman"/>
          <w:sz w:val="24"/>
          <w:szCs w:val="24"/>
        </w:rPr>
        <w:t>(g)),</w:t>
      </w:r>
      <w:r>
        <w:rPr>
          <w:rFonts w:cs="Times New Roman"/>
          <w:sz w:val="24"/>
          <w:szCs w:val="24"/>
        </w:rPr>
        <w:t xml:space="preserve"> in order </w:t>
      </w:r>
      <w:r w:rsidRPr="00F54323">
        <w:rPr>
          <w:rFonts w:cs="Times New Roman"/>
          <w:sz w:val="24"/>
          <w:szCs w:val="24"/>
        </w:rPr>
        <w:t xml:space="preserve">to receive the benefits of </w:t>
      </w:r>
      <w:r w:rsidRPr="00690234">
        <w:rPr>
          <w:rFonts w:cs="Times New Roman"/>
          <w:sz w:val="24"/>
          <w:szCs w:val="24"/>
        </w:rPr>
        <w:t>insuranc</w:t>
      </w:r>
      <w:r w:rsidRPr="00F54323">
        <w:rPr>
          <w:rFonts w:cs="Times New Roman"/>
          <w:sz w:val="24"/>
          <w:szCs w:val="24"/>
        </w:rPr>
        <w:t>e</w:t>
      </w:r>
      <w:r>
        <w:rPr>
          <w:rFonts w:cs="Times New Roman"/>
          <w:sz w:val="24"/>
          <w:szCs w:val="24"/>
        </w:rPr>
        <w:t xml:space="preserve">, </w:t>
      </w:r>
      <w:r w:rsidRPr="0076574E">
        <w:rPr>
          <w:rFonts w:cs="Times New Roman"/>
          <w:sz w:val="24"/>
          <w:szCs w:val="24"/>
        </w:rPr>
        <w:t>the </w:t>
      </w:r>
      <w:hyperlink r:id="rId9">
        <w:r w:rsidRPr="3170CD44">
          <w:rPr>
            <w:rFonts w:cs="Times New Roman"/>
            <w:sz w:val="24"/>
            <w:szCs w:val="24"/>
          </w:rPr>
          <w:t>mortgagee</w:t>
        </w:r>
      </w:hyperlink>
      <w:r w:rsidRPr="0076574E">
        <w:rPr>
          <w:rFonts w:cs="Times New Roman"/>
          <w:sz w:val="24"/>
          <w:szCs w:val="24"/>
        </w:rPr>
        <w:t> </w:t>
      </w:r>
      <w:r>
        <w:rPr>
          <w:rFonts w:cs="Times New Roman"/>
          <w:sz w:val="24"/>
          <w:szCs w:val="24"/>
        </w:rPr>
        <w:t xml:space="preserve">must </w:t>
      </w:r>
      <w:r w:rsidRPr="0076574E">
        <w:rPr>
          <w:rFonts w:cs="Times New Roman"/>
          <w:sz w:val="24"/>
          <w:szCs w:val="24"/>
        </w:rPr>
        <w:t xml:space="preserve">assign, transfer, and delivery to </w:t>
      </w:r>
      <w:r>
        <w:rPr>
          <w:rFonts w:cs="Times New Roman"/>
          <w:sz w:val="24"/>
          <w:szCs w:val="24"/>
        </w:rPr>
        <w:t>HUD,</w:t>
      </w:r>
      <w:r w:rsidRPr="0076574E">
        <w:rPr>
          <w:rFonts w:cs="Times New Roman"/>
          <w:sz w:val="24"/>
          <w:szCs w:val="24"/>
        </w:rPr>
        <w:t xml:space="preserve"> within a period and in accordance with </w:t>
      </w:r>
      <w:r>
        <w:rPr>
          <w:rFonts w:cs="Times New Roman"/>
          <w:sz w:val="24"/>
          <w:szCs w:val="24"/>
        </w:rPr>
        <w:t xml:space="preserve">HUD </w:t>
      </w:r>
      <w:r w:rsidRPr="0076574E">
        <w:rPr>
          <w:rFonts w:cs="Times New Roman"/>
          <w:sz w:val="24"/>
          <w:szCs w:val="24"/>
        </w:rPr>
        <w:t>rules and regulations</w:t>
      </w:r>
      <w:r>
        <w:rPr>
          <w:rFonts w:cs="Times New Roman"/>
          <w:sz w:val="24"/>
          <w:szCs w:val="24"/>
        </w:rPr>
        <w:t xml:space="preserve">, </w:t>
      </w:r>
      <w:r w:rsidRPr="0076574E">
        <w:rPr>
          <w:rFonts w:cs="Times New Roman"/>
          <w:sz w:val="24"/>
          <w:szCs w:val="24"/>
        </w:rPr>
        <w:t>all rights and interests arising under the </w:t>
      </w:r>
      <w:r>
        <w:rPr>
          <w:rFonts w:cs="Times New Roman"/>
          <w:sz w:val="24"/>
          <w:szCs w:val="24"/>
        </w:rPr>
        <w:t xml:space="preserve">defaulted </w:t>
      </w:r>
      <w:r w:rsidRPr="0076574E">
        <w:rPr>
          <w:rFonts w:cs="Times New Roman"/>
          <w:sz w:val="24"/>
          <w:szCs w:val="24"/>
        </w:rPr>
        <w:t>mortgage</w:t>
      </w:r>
      <w:r>
        <w:rPr>
          <w:rFonts w:cs="Times New Roman"/>
          <w:sz w:val="24"/>
          <w:szCs w:val="24"/>
        </w:rPr>
        <w:t xml:space="preserve">; </w:t>
      </w:r>
      <w:r w:rsidRPr="0076574E">
        <w:rPr>
          <w:rFonts w:cs="Times New Roman"/>
          <w:sz w:val="24"/>
          <w:szCs w:val="24"/>
        </w:rPr>
        <w:t>all policies of title or other insurance or surety bonds or other guaranties and any and all claims thereunder; all records, documents, books, papers, and accounts relating to the</w:t>
      </w:r>
      <w:hyperlink r:id="rId10">
        <w:r w:rsidRPr="3170CD44">
          <w:rPr>
            <w:rFonts w:cs="Times New Roman"/>
            <w:sz w:val="24"/>
            <w:szCs w:val="24"/>
          </w:rPr>
          <w:t> mortgage </w:t>
        </w:r>
      </w:hyperlink>
      <w:r w:rsidRPr="0076574E">
        <w:rPr>
          <w:rFonts w:cs="Times New Roman"/>
          <w:sz w:val="24"/>
          <w:szCs w:val="24"/>
        </w:rPr>
        <w:t>transactions</w:t>
      </w:r>
      <w:r>
        <w:rPr>
          <w:rFonts w:cs="Times New Roman"/>
          <w:sz w:val="24"/>
          <w:szCs w:val="24"/>
        </w:rPr>
        <w:t>;</w:t>
      </w:r>
      <w:r w:rsidRPr="0076574E">
        <w:rPr>
          <w:rFonts w:cs="Times New Roman"/>
          <w:sz w:val="24"/>
          <w:szCs w:val="24"/>
        </w:rPr>
        <w:t> and all claims of the </w:t>
      </w:r>
      <w:hyperlink r:id="rId9">
        <w:r w:rsidRPr="3170CD44">
          <w:rPr>
            <w:rFonts w:cs="Times New Roman"/>
            <w:sz w:val="24"/>
            <w:szCs w:val="24"/>
          </w:rPr>
          <w:t>mortgagee</w:t>
        </w:r>
      </w:hyperlink>
      <w:r w:rsidRPr="0076574E">
        <w:rPr>
          <w:rFonts w:cs="Times New Roman"/>
          <w:sz w:val="24"/>
          <w:szCs w:val="24"/>
        </w:rPr>
        <w:t> against the</w:t>
      </w:r>
      <w:hyperlink r:id="rId11">
        <w:r w:rsidRPr="3170CD44">
          <w:rPr>
            <w:rFonts w:cs="Times New Roman"/>
            <w:sz w:val="24"/>
            <w:szCs w:val="24"/>
          </w:rPr>
          <w:t> mortgagor </w:t>
        </w:r>
      </w:hyperlink>
      <w:r w:rsidRPr="0076574E">
        <w:rPr>
          <w:rFonts w:cs="Times New Roman"/>
          <w:sz w:val="24"/>
          <w:szCs w:val="24"/>
        </w:rPr>
        <w:t>or others, arising out of the</w:t>
      </w:r>
      <w:hyperlink r:id="rId10">
        <w:r w:rsidRPr="3170CD44">
          <w:rPr>
            <w:rFonts w:cs="Times New Roman"/>
            <w:sz w:val="24"/>
            <w:szCs w:val="24"/>
          </w:rPr>
          <w:t> mortgage </w:t>
        </w:r>
      </w:hyperlink>
      <w:r w:rsidRPr="3170CD44">
        <w:rPr>
          <w:rFonts w:cs="Times New Roman"/>
          <w:sz w:val="24"/>
          <w:szCs w:val="24"/>
        </w:rPr>
        <w:t>transactions.</w:t>
      </w:r>
      <w:r w:rsidRPr="0076574E">
        <w:rPr>
          <w:rFonts w:cs="Times New Roman"/>
          <w:sz w:val="24"/>
          <w:szCs w:val="24"/>
        </w:rPr>
        <w:t xml:space="preserve">  </w:t>
      </w:r>
      <w:r w:rsidRPr="7FC18A06">
        <w:rPr>
          <w:rFonts w:cs="Times New Roman"/>
          <w:sz w:val="24"/>
          <w:szCs w:val="24"/>
        </w:rPr>
        <w:t xml:space="preserve">The documents are required by law to </w:t>
      </w:r>
      <w:r>
        <w:rPr>
          <w:rFonts w:cs="Times New Roman"/>
          <w:sz w:val="24"/>
          <w:szCs w:val="24"/>
        </w:rPr>
        <w:t xml:space="preserve">effectuate the </w:t>
      </w:r>
      <w:r w:rsidRPr="7FC18A06">
        <w:rPr>
          <w:rFonts w:cs="Times New Roman"/>
          <w:sz w:val="24"/>
          <w:szCs w:val="24"/>
        </w:rPr>
        <w:t>assign</w:t>
      </w:r>
      <w:r>
        <w:rPr>
          <w:rFonts w:cs="Times New Roman"/>
          <w:sz w:val="24"/>
          <w:szCs w:val="24"/>
        </w:rPr>
        <w:t>ment of</w:t>
      </w:r>
      <w:r w:rsidRPr="7FC18A06">
        <w:rPr>
          <w:rFonts w:cs="Times New Roman"/>
          <w:sz w:val="24"/>
          <w:szCs w:val="24"/>
        </w:rPr>
        <w:t xml:space="preserve"> mortgage and determine ownership of the real property and </w:t>
      </w:r>
      <w:r w:rsidRPr="7FC18A06">
        <w:rPr>
          <w:sz w:val="24"/>
          <w:szCs w:val="24"/>
        </w:rPr>
        <w:t>personal property</w:t>
      </w:r>
      <w:r w:rsidRPr="7FC18A06">
        <w:rPr>
          <w:rFonts w:cs="Times New Roman"/>
          <w:sz w:val="24"/>
          <w:szCs w:val="24"/>
        </w:rPr>
        <w:t xml:space="preserve"> secured by the mortgage.  The burden cannot be reduced as each of the documents is necessary because of the legal ramifications of each individual document.</w:t>
      </w:r>
    </w:p>
    <w:p w:rsidR="003549E8" w:rsidRPr="00683C48" w:rsidP="00683C48" w14:paraId="51BADF11" w14:textId="77777777">
      <w:pPr>
        <w:pStyle w:val="BodyTextIndent3"/>
        <w:spacing w:after="0" w:line="240" w:lineRule="auto"/>
        <w:rPr>
          <w:rFonts w:cs="Times New Roman"/>
          <w:sz w:val="24"/>
          <w:szCs w:val="24"/>
        </w:rPr>
      </w:pPr>
    </w:p>
    <w:p w:rsidR="00A65F9E" w14:paraId="2B3F5C7B" w14:textId="1914E222">
      <w:pPr>
        <w:numPr>
          <w:ilvl w:val="0"/>
          <w:numId w:val="13"/>
        </w:numPr>
        <w:tabs>
          <w:tab w:val="left" w:pos="360"/>
        </w:tabs>
        <w:rPr>
          <w:b/>
          <w:bCs/>
          <w:sz w:val="24"/>
          <w:szCs w:val="24"/>
        </w:rPr>
      </w:pPr>
      <w:r w:rsidRPr="00683C48">
        <w:rPr>
          <w:b/>
          <w:bCs/>
          <w:sz w:val="24"/>
          <w:szCs w:val="24"/>
        </w:rPr>
        <w:t>Explain any special circumstances that would cause an information collection to be conducted in a manner:</w:t>
      </w:r>
      <w:r w:rsidRPr="00683C48" w:rsidR="00B71058">
        <w:rPr>
          <w:b/>
          <w:bCs/>
          <w:sz w:val="24"/>
          <w:szCs w:val="24"/>
        </w:rPr>
        <w:t xml:space="preserve"> ANSWER ALL BULLETS INDIVIDUALLY</w:t>
      </w:r>
      <w:r w:rsidR="005E7523">
        <w:rPr>
          <w:b/>
          <w:bCs/>
          <w:sz w:val="24"/>
          <w:szCs w:val="24"/>
        </w:rPr>
        <w:t xml:space="preserve"> </w:t>
      </w:r>
    </w:p>
    <w:p w:rsidR="003549E8" w:rsidP="005E7523" w14:paraId="3C3C8F17" w14:textId="77777777">
      <w:pPr>
        <w:pStyle w:val="ListParagraph"/>
        <w:keepLines/>
        <w:tabs>
          <w:tab w:val="left" w:pos="360"/>
        </w:tabs>
        <w:ind w:left="360"/>
        <w:rPr>
          <w:sz w:val="24"/>
          <w:szCs w:val="24"/>
        </w:rPr>
      </w:pPr>
    </w:p>
    <w:p w:rsidR="005E7523" w:rsidRPr="005E7523" w:rsidP="005E7523" w14:paraId="282601E8" w14:textId="090C699E">
      <w:pPr>
        <w:pStyle w:val="ListParagraph"/>
        <w:keepLines/>
        <w:tabs>
          <w:tab w:val="left" w:pos="360"/>
        </w:tabs>
        <w:ind w:left="360"/>
        <w:rPr>
          <w:sz w:val="24"/>
          <w:szCs w:val="24"/>
        </w:rPr>
      </w:pPr>
      <w:r w:rsidRPr="005E7523">
        <w:rPr>
          <w:sz w:val="24"/>
          <w:szCs w:val="24"/>
        </w:rPr>
        <w:t xml:space="preserve">There are no special circumstances applicable to this collection of information.  </w:t>
      </w:r>
    </w:p>
    <w:p w:rsidR="009E13B1" w:rsidRPr="00683C48" w:rsidP="005E7523" w14:paraId="38CBA337" w14:textId="289EA245">
      <w:pPr>
        <w:tabs>
          <w:tab w:val="left" w:pos="360"/>
        </w:tabs>
        <w:rPr>
          <w:b/>
          <w:bCs/>
          <w:sz w:val="24"/>
          <w:szCs w:val="24"/>
        </w:rPr>
      </w:pPr>
    </w:p>
    <w:p w:rsidR="009E13B1" w:rsidRPr="00B438D9" w14:paraId="77414839" w14:textId="72550D0A">
      <w:pPr>
        <w:numPr>
          <w:ilvl w:val="0"/>
          <w:numId w:val="21"/>
        </w:numPr>
        <w:tabs>
          <w:tab w:val="left" w:pos="600"/>
        </w:tabs>
        <w:rPr>
          <w:sz w:val="24"/>
          <w:szCs w:val="24"/>
        </w:rPr>
      </w:pPr>
      <w:r w:rsidRPr="00683C48">
        <w:rPr>
          <w:b/>
          <w:bCs/>
          <w:sz w:val="24"/>
          <w:szCs w:val="24"/>
        </w:rPr>
        <w:t xml:space="preserve">requiring respondents to report information to the agency more than quarterly; </w:t>
      </w:r>
      <w:r w:rsidR="00B438D9">
        <w:rPr>
          <w:b/>
          <w:bCs/>
          <w:sz w:val="24"/>
          <w:szCs w:val="24"/>
        </w:rPr>
        <w:t xml:space="preserve">- </w:t>
      </w:r>
      <w:r w:rsidRPr="00B438D9" w:rsidR="00B438D9">
        <w:rPr>
          <w:sz w:val="24"/>
          <w:szCs w:val="24"/>
        </w:rPr>
        <w:t>There are no special circumstances surrounding this collection of information.</w:t>
      </w:r>
    </w:p>
    <w:p w:rsidR="00A65F9E" w:rsidRPr="00683C48" w:rsidP="003549E8" w14:paraId="1E7CAB58" w14:textId="77777777">
      <w:pPr>
        <w:pStyle w:val="NoSpacing"/>
      </w:pPr>
    </w:p>
    <w:p w:rsidR="00B36479" w:rsidRPr="00B438D9" w:rsidP="00B438D9" w14:paraId="3214BC25" w14:textId="55724088">
      <w:pPr>
        <w:numPr>
          <w:ilvl w:val="0"/>
          <w:numId w:val="21"/>
        </w:numPr>
        <w:tabs>
          <w:tab w:val="left" w:pos="600"/>
        </w:tabs>
        <w:rPr>
          <w:sz w:val="24"/>
          <w:szCs w:val="24"/>
        </w:rPr>
      </w:pPr>
      <w:r w:rsidRPr="00683C48">
        <w:rPr>
          <w:b/>
          <w:bCs/>
          <w:sz w:val="24"/>
          <w:szCs w:val="24"/>
        </w:rPr>
        <w:t xml:space="preserve">requiring respondents to prepare a written response to a collection of information in fewer than 30 days after receipt of it; </w:t>
      </w:r>
      <w:r w:rsidR="00B438D9">
        <w:rPr>
          <w:b/>
          <w:bCs/>
          <w:sz w:val="24"/>
          <w:szCs w:val="24"/>
        </w:rPr>
        <w:t xml:space="preserve">- </w:t>
      </w:r>
      <w:r w:rsidRPr="00B438D9" w:rsidR="00B438D9">
        <w:rPr>
          <w:sz w:val="24"/>
          <w:szCs w:val="24"/>
        </w:rPr>
        <w:t>There are no special circumstances surrounding this collection of information.</w:t>
      </w:r>
    </w:p>
    <w:p w:rsidR="00A65F9E" w:rsidRPr="00683C48" w:rsidP="003549E8" w14:paraId="5CE80399" w14:textId="77777777">
      <w:pPr>
        <w:pStyle w:val="NoSpacing"/>
      </w:pPr>
    </w:p>
    <w:p w:rsidR="00B36479" w:rsidRPr="00B438D9" w:rsidP="00B438D9" w14:paraId="4CCB33A8" w14:textId="13D39D97">
      <w:pPr>
        <w:numPr>
          <w:ilvl w:val="0"/>
          <w:numId w:val="21"/>
        </w:numPr>
        <w:tabs>
          <w:tab w:val="left" w:pos="600"/>
        </w:tabs>
        <w:rPr>
          <w:sz w:val="24"/>
          <w:szCs w:val="24"/>
        </w:rPr>
      </w:pPr>
      <w:r w:rsidRPr="00683C48">
        <w:rPr>
          <w:b/>
          <w:bCs/>
          <w:sz w:val="24"/>
          <w:szCs w:val="24"/>
        </w:rPr>
        <w:t xml:space="preserve">requiring respondents to submit more than an original and two copies of any document; </w:t>
      </w:r>
      <w:r w:rsidR="00B438D9">
        <w:rPr>
          <w:b/>
          <w:bCs/>
          <w:sz w:val="24"/>
          <w:szCs w:val="24"/>
        </w:rPr>
        <w:t xml:space="preserve">- </w:t>
      </w:r>
      <w:r w:rsidRPr="00B438D9" w:rsidR="00B438D9">
        <w:rPr>
          <w:sz w:val="24"/>
          <w:szCs w:val="24"/>
        </w:rPr>
        <w:t>There are no special circumstances surrounding this collection of information.</w:t>
      </w:r>
    </w:p>
    <w:p w:rsidR="00A65F9E" w:rsidRPr="00683C48" w:rsidP="003549E8" w14:paraId="42E1C60F" w14:textId="77777777">
      <w:pPr>
        <w:pStyle w:val="NoSpacing"/>
      </w:pPr>
    </w:p>
    <w:p w:rsidR="00B438D9" w:rsidRPr="00B438D9" w:rsidP="00B438D9" w14:paraId="4A452A20" w14:textId="2456B8FA">
      <w:pPr>
        <w:numPr>
          <w:ilvl w:val="0"/>
          <w:numId w:val="21"/>
        </w:numPr>
        <w:tabs>
          <w:tab w:val="left" w:pos="600"/>
        </w:tabs>
        <w:rPr>
          <w:sz w:val="24"/>
          <w:szCs w:val="24"/>
        </w:rPr>
      </w:pPr>
      <w:r w:rsidRPr="00683C48">
        <w:rPr>
          <w:b/>
          <w:bCs/>
          <w:sz w:val="24"/>
          <w:szCs w:val="24"/>
        </w:rPr>
        <w:t xml:space="preserve">requiring respondents to retain records other than health, medical, government contract, grant-in-aid, or tax records for more than three years; </w:t>
      </w:r>
      <w:r>
        <w:rPr>
          <w:b/>
          <w:bCs/>
          <w:sz w:val="24"/>
          <w:szCs w:val="24"/>
        </w:rPr>
        <w:t xml:space="preserve">- </w:t>
      </w:r>
      <w:r w:rsidRPr="00B438D9">
        <w:rPr>
          <w:sz w:val="24"/>
          <w:szCs w:val="24"/>
        </w:rPr>
        <w:t>There are no special circumstances surrounding this collection of information.</w:t>
      </w:r>
    </w:p>
    <w:p w:rsidR="00A65F9E" w:rsidRPr="00683C48" w:rsidP="003549E8" w14:paraId="18078737" w14:textId="5A6DF733">
      <w:pPr>
        <w:pStyle w:val="NoSpacing"/>
      </w:pPr>
    </w:p>
    <w:p w:rsidR="00B438D9" w:rsidRPr="00B438D9" w:rsidP="00B438D9" w14:paraId="748E0158" w14:textId="45760408">
      <w:pPr>
        <w:numPr>
          <w:ilvl w:val="0"/>
          <w:numId w:val="21"/>
        </w:numPr>
        <w:tabs>
          <w:tab w:val="left" w:pos="600"/>
        </w:tabs>
        <w:rPr>
          <w:sz w:val="24"/>
          <w:szCs w:val="24"/>
        </w:rPr>
      </w:pPr>
      <w:r w:rsidRPr="00683C48">
        <w:rPr>
          <w:b/>
          <w:bCs/>
          <w:sz w:val="24"/>
          <w:szCs w:val="24"/>
        </w:rPr>
        <w:t xml:space="preserve">in connection with a statistical survey, that is not designed to produce valid and reliable results than can be generalized to the universe of study; </w:t>
      </w:r>
      <w:r>
        <w:rPr>
          <w:b/>
          <w:bCs/>
          <w:sz w:val="24"/>
          <w:szCs w:val="24"/>
        </w:rPr>
        <w:t xml:space="preserve">- </w:t>
      </w:r>
      <w:r w:rsidRPr="00B438D9">
        <w:rPr>
          <w:sz w:val="24"/>
          <w:szCs w:val="24"/>
        </w:rPr>
        <w:t>There are no special circumstances surrounding this collection of information.</w:t>
      </w:r>
    </w:p>
    <w:p w:rsidR="009E13B1" w:rsidRPr="00683C48" w:rsidP="003549E8" w14:paraId="73DB0897" w14:textId="06D68382">
      <w:pPr>
        <w:pStyle w:val="NoSpacing"/>
      </w:pPr>
    </w:p>
    <w:p w:rsidR="00B36479" w:rsidRPr="00B438D9" w:rsidP="00B438D9" w14:paraId="493F144B" w14:textId="299AE8BA">
      <w:pPr>
        <w:numPr>
          <w:ilvl w:val="0"/>
          <w:numId w:val="21"/>
        </w:numPr>
        <w:tabs>
          <w:tab w:val="left" w:pos="600"/>
        </w:tabs>
        <w:rPr>
          <w:sz w:val="24"/>
          <w:szCs w:val="24"/>
        </w:rPr>
      </w:pPr>
      <w:r w:rsidRPr="00683C48">
        <w:rPr>
          <w:b/>
          <w:bCs/>
          <w:sz w:val="24"/>
          <w:szCs w:val="24"/>
        </w:rPr>
        <w:t xml:space="preserve">requiring the use of a statistical data classification that has not been reviewed and approved by OMB; </w:t>
      </w:r>
      <w:r w:rsidR="00B438D9">
        <w:rPr>
          <w:b/>
          <w:bCs/>
          <w:sz w:val="24"/>
          <w:szCs w:val="24"/>
        </w:rPr>
        <w:t xml:space="preserve">- </w:t>
      </w:r>
      <w:r w:rsidRPr="00B438D9" w:rsidR="00B438D9">
        <w:rPr>
          <w:sz w:val="24"/>
          <w:szCs w:val="24"/>
        </w:rPr>
        <w:t>There are no special circumstances surrounding this collection of information.</w:t>
      </w:r>
    </w:p>
    <w:p w:rsidR="009E13B1" w:rsidRPr="00683C48" w:rsidP="003549E8" w14:paraId="66012806" w14:textId="77777777">
      <w:pPr>
        <w:pStyle w:val="NoSpacing"/>
      </w:pPr>
      <w:r w:rsidRPr="00683C48">
        <w:t xml:space="preserve"> </w:t>
      </w:r>
    </w:p>
    <w:p w:rsidR="00B438D9" w:rsidRPr="00B438D9" w:rsidP="00B438D9" w14:paraId="0195B226" w14:textId="223DA23A">
      <w:pPr>
        <w:numPr>
          <w:ilvl w:val="0"/>
          <w:numId w:val="21"/>
        </w:numPr>
        <w:tabs>
          <w:tab w:val="left" w:pos="600"/>
        </w:tabs>
        <w:rPr>
          <w:sz w:val="24"/>
          <w:szCs w:val="24"/>
        </w:rPr>
      </w:pPr>
      <w:r w:rsidRPr="00683C48">
        <w:rPr>
          <w:b/>
          <w:bCs/>
          <w:sz w:val="24"/>
          <w:szCs w:val="24"/>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r>
        <w:rPr>
          <w:b/>
          <w:bCs/>
          <w:sz w:val="24"/>
          <w:szCs w:val="24"/>
        </w:rPr>
        <w:t xml:space="preserve">- </w:t>
      </w:r>
      <w:r w:rsidRPr="00B438D9">
        <w:rPr>
          <w:sz w:val="24"/>
          <w:szCs w:val="24"/>
        </w:rPr>
        <w:t>There are no special circumstances surrounding this collection of information.</w:t>
      </w:r>
    </w:p>
    <w:p w:rsidR="00A65F9E" w:rsidRPr="00683C48" w:rsidP="003549E8" w14:paraId="4497C6FF" w14:textId="66E00AA2">
      <w:pPr>
        <w:pStyle w:val="NoSpacing"/>
      </w:pPr>
    </w:p>
    <w:p w:rsidR="009E13B1" w:rsidRPr="00B438D9" w:rsidP="00B438D9" w14:paraId="0DB9F02B" w14:textId="623895F3">
      <w:pPr>
        <w:numPr>
          <w:ilvl w:val="0"/>
          <w:numId w:val="21"/>
        </w:numPr>
        <w:tabs>
          <w:tab w:val="left" w:pos="600"/>
        </w:tabs>
        <w:rPr>
          <w:sz w:val="24"/>
          <w:szCs w:val="24"/>
        </w:rPr>
      </w:pPr>
      <w:r w:rsidRPr="00683C48">
        <w:rPr>
          <w:b/>
          <w:bCs/>
          <w:sz w:val="24"/>
          <w:szCs w:val="24"/>
        </w:rPr>
        <w:t>requiring respondents to submit proprietary trade secret, or other confidential information unless the agency can demonstrate that it has instituted procedures to protect the information's confidentiality to the extent permitted by law.</w:t>
      </w:r>
      <w:r w:rsidRPr="00683C48" w:rsidR="00B36479">
        <w:rPr>
          <w:b/>
          <w:bCs/>
          <w:sz w:val="24"/>
          <w:szCs w:val="24"/>
        </w:rPr>
        <w:t xml:space="preserve"> </w:t>
      </w:r>
      <w:r w:rsidR="00B438D9">
        <w:rPr>
          <w:b/>
          <w:bCs/>
          <w:sz w:val="24"/>
          <w:szCs w:val="24"/>
        </w:rPr>
        <w:t xml:space="preserve">- </w:t>
      </w:r>
      <w:r w:rsidRPr="00B438D9" w:rsidR="00B438D9">
        <w:rPr>
          <w:sz w:val="24"/>
          <w:szCs w:val="24"/>
        </w:rPr>
        <w:t>There are no special circumstances surrounding this collection of information.</w:t>
      </w:r>
    </w:p>
    <w:p w:rsidR="00586281" w:rsidP="00B36479" w14:paraId="65A6D438" w14:textId="77777777">
      <w:pPr>
        <w:keepLines/>
        <w:tabs>
          <w:tab w:val="left" w:pos="600"/>
        </w:tabs>
        <w:spacing w:after="80"/>
        <w:rPr>
          <w:sz w:val="24"/>
          <w:szCs w:val="24"/>
        </w:rPr>
      </w:pPr>
    </w:p>
    <w:p w:rsidR="00586281" w:rsidRPr="006C7FAE" w:rsidP="00B36479" w14:paraId="62E84F25" w14:textId="42A98141">
      <w:pPr>
        <w:keepLines/>
        <w:tabs>
          <w:tab w:val="left" w:pos="600"/>
        </w:tabs>
        <w:spacing w:after="80"/>
        <w:rPr>
          <w:sz w:val="24"/>
          <w:szCs w:val="24"/>
        </w:rPr>
      </w:pPr>
      <w:r>
        <w:rPr>
          <w:sz w:val="24"/>
          <w:szCs w:val="24"/>
        </w:rPr>
        <w:tab/>
      </w:r>
    </w:p>
    <w:p w:rsidR="00A65F9E" w:rsidP="00A65F9E" w14:paraId="663A6B8B" w14:textId="77777777">
      <w:pPr>
        <w:numPr>
          <w:ilvl w:val="0"/>
          <w:numId w:val="13"/>
        </w:numPr>
        <w:tabs>
          <w:tab w:val="left" w:pos="360"/>
        </w:tabs>
        <w:rPr>
          <w:b/>
          <w:bCs/>
          <w:sz w:val="24"/>
          <w:szCs w:val="24"/>
        </w:rPr>
      </w:pPr>
      <w:r w:rsidRPr="00CB68B5">
        <w:rPr>
          <w:b/>
          <w:bCs/>
          <w:sz w:val="24"/>
          <w:szCs w:val="24"/>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549E8" w:rsidP="003549E8" w14:paraId="5B40AF4E" w14:textId="77777777">
      <w:pPr>
        <w:pStyle w:val="NoSpacing"/>
        <w:rPr>
          <w:rFonts w:eastAsia="Calibri"/>
        </w:rPr>
      </w:pPr>
    </w:p>
    <w:p w:rsidR="00BE012A" w:rsidRPr="00BE012A" w:rsidP="00BE012A" w14:paraId="02DED836" w14:textId="21A7585A">
      <w:pPr>
        <w:pStyle w:val="ListParagraph"/>
        <w:spacing w:line="252" w:lineRule="auto"/>
        <w:ind w:left="360"/>
        <w:contextualSpacing/>
        <w:rPr>
          <w:rFonts w:eastAsia="Calibri"/>
          <w:sz w:val="24"/>
          <w:szCs w:val="24"/>
        </w:rPr>
      </w:pPr>
      <w:r w:rsidRPr="00BE012A">
        <w:rPr>
          <w:rFonts w:eastAsia="Calibri"/>
          <w:color w:val="000000" w:themeColor="text1"/>
          <w:sz w:val="24"/>
          <w:szCs w:val="24"/>
        </w:rPr>
        <w:t xml:space="preserve">The 60-Day Notice of Proposed Information Collection: Legal Instructions Concerning Applications for Full Insurance Benefits—Assignment of Multifamily and Healthcare Mortgages to the Secretary was published on </w:t>
      </w:r>
      <w:r w:rsidRPr="00BE012A">
        <w:rPr>
          <w:color w:val="000000" w:themeColor="text1"/>
          <w:sz w:val="24"/>
          <w:szCs w:val="24"/>
        </w:rPr>
        <w:t xml:space="preserve">April 29, 2025, at </w:t>
      </w:r>
      <w:hyperlink r:id="rId12">
        <w:r w:rsidRPr="00BE012A">
          <w:rPr>
            <w:rStyle w:val="Hyperlink"/>
            <w:sz w:val="24"/>
            <w:szCs w:val="24"/>
          </w:rPr>
          <w:t>90 FR 17830</w:t>
        </w:r>
      </w:hyperlink>
      <w:r w:rsidRPr="00BE012A">
        <w:rPr>
          <w:color w:val="000000" w:themeColor="text1"/>
          <w:sz w:val="24"/>
          <w:szCs w:val="24"/>
        </w:rPr>
        <w:t xml:space="preserve">.  The agency received </w:t>
      </w:r>
      <w:r w:rsidR="003A7E9A">
        <w:rPr>
          <w:color w:val="000000" w:themeColor="text1"/>
          <w:sz w:val="24"/>
          <w:szCs w:val="24"/>
        </w:rPr>
        <w:t xml:space="preserve">a set of </w:t>
      </w:r>
      <w:r w:rsidRPr="00BE012A">
        <w:rPr>
          <w:color w:val="000000" w:themeColor="text1"/>
          <w:sz w:val="24"/>
          <w:szCs w:val="24"/>
        </w:rPr>
        <w:t>comments from one commentor</w:t>
      </w:r>
      <w:r w:rsidR="00137FA9">
        <w:rPr>
          <w:color w:val="000000" w:themeColor="text1"/>
          <w:sz w:val="24"/>
          <w:szCs w:val="24"/>
        </w:rPr>
        <w:t>.</w:t>
      </w:r>
      <w:r w:rsidR="0063133E">
        <w:rPr>
          <w:color w:val="000000" w:themeColor="text1"/>
          <w:sz w:val="24"/>
          <w:szCs w:val="24"/>
        </w:rPr>
        <w:t xml:space="preserve"> </w:t>
      </w:r>
      <w:r w:rsidR="00137FA9">
        <w:rPr>
          <w:color w:val="000000" w:themeColor="text1"/>
          <w:sz w:val="24"/>
          <w:szCs w:val="24"/>
        </w:rPr>
        <w:t>T</w:t>
      </w:r>
      <w:r w:rsidR="0063133E">
        <w:rPr>
          <w:color w:val="000000" w:themeColor="text1"/>
          <w:sz w:val="24"/>
          <w:szCs w:val="24"/>
        </w:rPr>
        <w:t>he comments</w:t>
      </w:r>
      <w:r w:rsidR="00137FA9">
        <w:rPr>
          <w:color w:val="000000" w:themeColor="text1"/>
          <w:sz w:val="24"/>
          <w:szCs w:val="24"/>
        </w:rPr>
        <w:t xml:space="preserve"> and HUD responses are attached.</w:t>
      </w:r>
      <w:r w:rsidRPr="00BE012A">
        <w:rPr>
          <w:color w:val="000000" w:themeColor="text1"/>
          <w:sz w:val="24"/>
          <w:szCs w:val="24"/>
        </w:rPr>
        <w:t xml:space="preserve"> The </w:t>
      </w:r>
      <w:bookmarkStart w:id="0" w:name="_Hlk209780458"/>
      <w:r w:rsidRPr="00BE012A">
        <w:rPr>
          <w:color w:val="000000" w:themeColor="text1"/>
          <w:sz w:val="24"/>
          <w:szCs w:val="24"/>
        </w:rPr>
        <w:t xml:space="preserve">comments were reviewed and </w:t>
      </w:r>
      <w:r w:rsidR="000D2384">
        <w:rPr>
          <w:color w:val="000000" w:themeColor="text1"/>
          <w:sz w:val="24"/>
          <w:szCs w:val="24"/>
        </w:rPr>
        <w:t xml:space="preserve">almost all were </w:t>
      </w:r>
      <w:r w:rsidRPr="00BE012A">
        <w:rPr>
          <w:color w:val="000000" w:themeColor="text1"/>
          <w:sz w:val="24"/>
          <w:szCs w:val="24"/>
        </w:rPr>
        <w:t>incorporated</w:t>
      </w:r>
      <w:bookmarkEnd w:id="0"/>
      <w:r w:rsidRPr="00BE012A">
        <w:rPr>
          <w:color w:val="000000" w:themeColor="text1"/>
          <w:sz w:val="24"/>
          <w:szCs w:val="24"/>
        </w:rPr>
        <w:t>, as appropriate.</w:t>
      </w:r>
    </w:p>
    <w:p w:rsidR="009E13B1" w:rsidRPr="006C7FAE" w:rsidP="003549E8" w14:paraId="6A3CAD41" w14:textId="77777777">
      <w:pPr>
        <w:pStyle w:val="NoSpacing"/>
      </w:pPr>
      <w:r w:rsidRPr="006C7FAE">
        <w:t xml:space="preserve"> </w:t>
      </w:r>
    </w:p>
    <w:p w:rsidR="009E13B1" w:rsidRPr="00504D25" w14:paraId="34CF76D2" w14:textId="3953020F">
      <w:pPr>
        <w:numPr>
          <w:ilvl w:val="0"/>
          <w:numId w:val="21"/>
        </w:numPr>
        <w:tabs>
          <w:tab w:val="left" w:pos="360"/>
        </w:tabs>
        <w:ind w:left="480"/>
        <w:rPr>
          <w:sz w:val="24"/>
          <w:szCs w:val="24"/>
        </w:rPr>
      </w:pPr>
      <w:r w:rsidRPr="00504D25">
        <w:rPr>
          <w:b/>
          <w:bCs/>
          <w:sz w:val="24"/>
          <w:szCs w:val="24"/>
        </w:rPr>
        <w:t>Describe efforts to consult with persons outside the agency to obtain their views on the availability of data, frequency of collection, the clarity of instructions and recordkeeping disclosure, or reporting format (if any) and the data elements to be recorded, disclosed, or reported.</w:t>
      </w:r>
      <w:r w:rsidR="00CB68B5">
        <w:rPr>
          <w:sz w:val="24"/>
          <w:szCs w:val="24"/>
        </w:rPr>
        <w:t xml:space="preserve"> </w:t>
      </w:r>
      <w:r w:rsidRPr="00504D25" w:rsidR="00CB68B5">
        <w:rPr>
          <w:sz w:val="24"/>
          <w:szCs w:val="24"/>
        </w:rPr>
        <w:t>– N/A</w:t>
      </w:r>
    </w:p>
    <w:p w:rsidR="00A65F9E" w:rsidP="003549E8" w14:paraId="160E38D3" w14:textId="77777777">
      <w:pPr>
        <w:pStyle w:val="NoSpacing"/>
      </w:pPr>
    </w:p>
    <w:p w:rsidR="009E13B1" w:rsidRPr="006C7FAE" w14:paraId="3AA6A4A9" w14:textId="24BBC75D">
      <w:pPr>
        <w:keepLines/>
        <w:numPr>
          <w:ilvl w:val="0"/>
          <w:numId w:val="21"/>
        </w:numPr>
        <w:tabs>
          <w:tab w:val="left" w:pos="360"/>
        </w:tabs>
        <w:spacing w:after="80"/>
        <w:ind w:left="480"/>
        <w:rPr>
          <w:sz w:val="24"/>
          <w:szCs w:val="24"/>
        </w:rPr>
      </w:pPr>
      <w:r w:rsidRPr="00504D25">
        <w:rPr>
          <w:b/>
          <w:bCs/>
          <w:sz w:val="24"/>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preclude consultation in a specific situation.  These circumstances should be explained.</w:t>
      </w:r>
      <w:r w:rsidRPr="006C7FAE">
        <w:rPr>
          <w:sz w:val="24"/>
          <w:szCs w:val="24"/>
        </w:rPr>
        <w:t xml:space="preserve"> </w:t>
      </w:r>
      <w:r w:rsidRPr="00504D25" w:rsidR="00CB68B5">
        <w:rPr>
          <w:sz w:val="24"/>
          <w:szCs w:val="24"/>
        </w:rPr>
        <w:t>– N/A</w:t>
      </w:r>
    </w:p>
    <w:p w:rsidR="004929B8" w:rsidRPr="00504D25" w:rsidP="003549E8" w14:paraId="356C9041" w14:textId="62627159">
      <w:pPr>
        <w:pStyle w:val="NoSpacing"/>
      </w:pPr>
      <w:r w:rsidRPr="00504D25">
        <w:tab/>
      </w:r>
    </w:p>
    <w:p w:rsidR="009E13B1" w:rsidP="008A2F44" w14:paraId="0FD54BC5" w14:textId="53F4EFDA">
      <w:pPr>
        <w:pStyle w:val="ListParagraph"/>
        <w:keepLines/>
        <w:numPr>
          <w:ilvl w:val="0"/>
          <w:numId w:val="13"/>
        </w:numPr>
        <w:tabs>
          <w:tab w:val="left" w:pos="360"/>
        </w:tabs>
        <w:spacing w:after="80"/>
        <w:rPr>
          <w:b/>
          <w:bCs/>
          <w:sz w:val="24"/>
          <w:szCs w:val="24"/>
        </w:rPr>
      </w:pPr>
      <w:r w:rsidRPr="00504D25">
        <w:rPr>
          <w:b/>
          <w:bCs/>
          <w:sz w:val="24"/>
          <w:szCs w:val="24"/>
        </w:rPr>
        <w:t>Explain any decision to provide any payment or gift to respondents, other than renumeration of contractors or grantees.</w:t>
      </w:r>
    </w:p>
    <w:p w:rsidR="003549E8" w:rsidP="003549E8" w14:paraId="1A42A377" w14:textId="77777777">
      <w:pPr>
        <w:pStyle w:val="NoSpacing"/>
      </w:pPr>
    </w:p>
    <w:p w:rsidR="00504D25" w:rsidRPr="00D922CC" w:rsidP="00504D25" w14:paraId="07A09B95" w14:textId="3C4ABD08">
      <w:pPr>
        <w:pStyle w:val="BodyTextIndent3"/>
        <w:spacing w:after="0" w:line="240" w:lineRule="auto"/>
        <w:rPr>
          <w:sz w:val="24"/>
          <w:szCs w:val="24"/>
        </w:rPr>
      </w:pPr>
      <w:r w:rsidRPr="00D922CC">
        <w:rPr>
          <w:sz w:val="24"/>
          <w:szCs w:val="24"/>
        </w:rPr>
        <w:t xml:space="preserve">FHA insurance claims </w:t>
      </w:r>
      <w:r>
        <w:rPr>
          <w:sz w:val="24"/>
          <w:szCs w:val="24"/>
        </w:rPr>
        <w:t>can</w:t>
      </w:r>
      <w:r w:rsidRPr="00D922CC">
        <w:rPr>
          <w:sz w:val="24"/>
          <w:szCs w:val="24"/>
        </w:rPr>
        <w:t xml:space="preserve">not be paid to mortgagees who are in good standing without this necessary information.  The documents are required by law to </w:t>
      </w:r>
      <w:r>
        <w:rPr>
          <w:sz w:val="24"/>
          <w:szCs w:val="24"/>
        </w:rPr>
        <w:t xml:space="preserve">effectuate the </w:t>
      </w:r>
      <w:r w:rsidRPr="00D922CC">
        <w:rPr>
          <w:sz w:val="24"/>
          <w:szCs w:val="24"/>
        </w:rPr>
        <w:t>assign</w:t>
      </w:r>
      <w:r>
        <w:rPr>
          <w:sz w:val="24"/>
          <w:szCs w:val="24"/>
        </w:rPr>
        <w:t>ment of</w:t>
      </w:r>
      <w:r w:rsidRPr="00D922CC">
        <w:rPr>
          <w:sz w:val="24"/>
          <w:szCs w:val="24"/>
        </w:rPr>
        <w:t xml:space="preserve"> mortgage and determine ownership of the real property and </w:t>
      </w:r>
      <w:r>
        <w:rPr>
          <w:sz w:val="24"/>
          <w:szCs w:val="24"/>
        </w:rPr>
        <w:t>personal property</w:t>
      </w:r>
      <w:r w:rsidRPr="00D922CC">
        <w:rPr>
          <w:sz w:val="24"/>
          <w:szCs w:val="24"/>
        </w:rPr>
        <w:t xml:space="preserve"> secured by the mortgage.  The burden cannot be reduced as each of the documents is necessary because of the legal ramifications of each individual document.</w:t>
      </w:r>
    </w:p>
    <w:p w:rsidR="009E13B1" w:rsidRPr="00504D25" w:rsidP="003549E8" w14:paraId="04C87772" w14:textId="6BF5FC4D">
      <w:pPr>
        <w:pStyle w:val="NoSpacing"/>
      </w:pPr>
    </w:p>
    <w:p w:rsidR="00320A3A" w:rsidRPr="00E9019D" w:rsidP="00E9019D" w14:paraId="5B244A5E" w14:textId="7F1A9947">
      <w:pPr>
        <w:keepLines/>
        <w:tabs>
          <w:tab w:val="left" w:pos="360"/>
        </w:tabs>
        <w:spacing w:after="80"/>
        <w:ind w:left="360" w:hanging="360"/>
        <w:rPr>
          <w:b/>
          <w:bCs/>
          <w:sz w:val="24"/>
          <w:szCs w:val="24"/>
        </w:rPr>
      </w:pPr>
      <w:r w:rsidRPr="00E9019D">
        <w:rPr>
          <w:b/>
          <w:bCs/>
          <w:sz w:val="24"/>
          <w:szCs w:val="24"/>
        </w:rPr>
        <w:t>10.</w:t>
      </w:r>
      <w:r w:rsidRPr="00E9019D">
        <w:rPr>
          <w:b/>
          <w:bCs/>
          <w:sz w:val="24"/>
          <w:szCs w:val="24"/>
        </w:rPr>
        <w:tab/>
        <w:t>Describe any assurance of confidentiality provided to respondents and the basis for assurance in statute, regulation or agency policy.</w:t>
      </w:r>
      <w:r w:rsidRPr="00E9019D" w:rsidR="000D5079">
        <w:rPr>
          <w:b/>
          <w:bCs/>
        </w:rPr>
        <w:t xml:space="preserve"> </w:t>
      </w:r>
      <w:r w:rsidRPr="00E9019D" w:rsidR="000D5079">
        <w:rPr>
          <w:b/>
          <w:bCs/>
          <w:sz w:val="24"/>
          <w:szCs w:val="24"/>
        </w:rPr>
        <w:t xml:space="preserve">If the collection requires a </w:t>
      </w:r>
      <w:r w:rsidRPr="00E9019D" w:rsidR="00BB2518">
        <w:rPr>
          <w:b/>
          <w:bCs/>
          <w:sz w:val="24"/>
          <w:szCs w:val="24"/>
        </w:rPr>
        <w:t>system of records notice (SORN)</w:t>
      </w:r>
      <w:r w:rsidRPr="00E9019D" w:rsidR="000D5079">
        <w:rPr>
          <w:b/>
          <w:bCs/>
          <w:sz w:val="24"/>
          <w:szCs w:val="24"/>
        </w:rPr>
        <w:t xml:space="preserve"> or privacy impact assessment (PIA), those should be cited and described here.</w:t>
      </w:r>
    </w:p>
    <w:p w:rsidR="003549E8" w14:paraId="0F016D96" w14:textId="77777777">
      <w:pPr>
        <w:tabs>
          <w:tab w:val="left" w:pos="360"/>
        </w:tabs>
        <w:ind w:left="360" w:hanging="360"/>
        <w:rPr>
          <w:sz w:val="24"/>
          <w:szCs w:val="24"/>
        </w:rPr>
      </w:pPr>
    </w:p>
    <w:p w:rsidR="008A2F44" w14:paraId="5FE79E78" w14:textId="4E1176A5">
      <w:pPr>
        <w:tabs>
          <w:tab w:val="left" w:pos="360"/>
        </w:tabs>
        <w:ind w:left="360" w:hanging="360"/>
        <w:rPr>
          <w:sz w:val="24"/>
          <w:szCs w:val="24"/>
        </w:rPr>
      </w:pPr>
      <w:r>
        <w:rPr>
          <w:sz w:val="24"/>
          <w:szCs w:val="24"/>
        </w:rPr>
        <w:tab/>
      </w:r>
      <w:r w:rsidRPr="00E9019D" w:rsidR="00E9019D">
        <w:rPr>
          <w:sz w:val="24"/>
          <w:szCs w:val="24"/>
        </w:rPr>
        <w:t>All legal documents and communications submitted will be bound by the principles of confidentiality set forth in the Model Rules of Professional Conduct as well as the attorney-client privilege. This document contains no personally identifying information subject to privacy requirements.  Most of the required documents are publicly available.</w:t>
      </w:r>
    </w:p>
    <w:p w:rsidR="00E9019D" w:rsidP="003549E8" w14:paraId="0B707959" w14:textId="77777777">
      <w:pPr>
        <w:pStyle w:val="NoSpacing"/>
      </w:pPr>
    </w:p>
    <w:p w:rsidR="003549E8" w:rsidP="003549E8" w14:paraId="58C09981" w14:textId="77777777">
      <w:pPr>
        <w:pStyle w:val="NoSpacing"/>
      </w:pPr>
    </w:p>
    <w:p w:rsidR="003549E8" w:rsidP="003549E8" w14:paraId="6E3D246B" w14:textId="77777777">
      <w:pPr>
        <w:pStyle w:val="NoSpacing"/>
      </w:pPr>
    </w:p>
    <w:p w:rsidR="003549E8" w:rsidP="003549E8" w14:paraId="4EE0D22B" w14:textId="77777777">
      <w:pPr>
        <w:pStyle w:val="NoSpacing"/>
      </w:pPr>
    </w:p>
    <w:p w:rsidR="009E13B1" w:rsidRPr="00183674" w:rsidP="00183674" w14:paraId="668EAA31" w14:textId="2A019FB3">
      <w:pPr>
        <w:pStyle w:val="ListParagraph"/>
        <w:keepLines/>
        <w:numPr>
          <w:ilvl w:val="0"/>
          <w:numId w:val="16"/>
        </w:numPr>
        <w:tabs>
          <w:tab w:val="left" w:pos="360"/>
        </w:tabs>
        <w:spacing w:after="80"/>
        <w:rPr>
          <w:b/>
          <w:bCs/>
          <w:sz w:val="24"/>
          <w:szCs w:val="24"/>
        </w:rPr>
      </w:pPr>
      <w:r w:rsidRPr="00183674">
        <w:rPr>
          <w:b/>
          <w:bCs/>
          <w:sz w:val="24"/>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549E8" w:rsidP="003549E8" w14:paraId="207F698C" w14:textId="77777777">
      <w:pPr>
        <w:pStyle w:val="NoSpacing"/>
      </w:pPr>
    </w:p>
    <w:p w:rsidR="004A62CD" w:rsidRPr="004A62CD" w:rsidP="004A62CD" w14:paraId="29422F9F" w14:textId="3FBF146D">
      <w:pPr>
        <w:pStyle w:val="ListParagraph"/>
        <w:keepLines/>
        <w:tabs>
          <w:tab w:val="left" w:pos="360"/>
        </w:tabs>
        <w:spacing w:after="80"/>
        <w:ind w:left="360"/>
        <w:rPr>
          <w:sz w:val="24"/>
          <w:szCs w:val="24"/>
        </w:rPr>
      </w:pPr>
      <w:r w:rsidRPr="004A62CD">
        <w:rPr>
          <w:sz w:val="24"/>
          <w:szCs w:val="24"/>
        </w:rPr>
        <w:t>No questions of a sensitive nature are included in this request.</w:t>
      </w:r>
    </w:p>
    <w:p w:rsidR="00A65F9E" w14:paraId="226313F0" w14:textId="27D42ADB">
      <w:pPr>
        <w:tabs>
          <w:tab w:val="left" w:pos="360"/>
        </w:tabs>
        <w:ind w:left="360" w:hanging="360"/>
        <w:rPr>
          <w:sz w:val="24"/>
          <w:szCs w:val="24"/>
        </w:rPr>
      </w:pPr>
      <w:r>
        <w:rPr>
          <w:sz w:val="24"/>
          <w:szCs w:val="24"/>
        </w:rPr>
        <w:tab/>
      </w:r>
    </w:p>
    <w:p w:rsidR="000D5079" w:rsidRPr="00312A3B" w14:paraId="7C95C366" w14:textId="77777777">
      <w:pPr>
        <w:tabs>
          <w:tab w:val="left" w:pos="360"/>
        </w:tabs>
        <w:ind w:left="360" w:hanging="360"/>
        <w:rPr>
          <w:b/>
          <w:bCs/>
          <w:sz w:val="24"/>
          <w:szCs w:val="24"/>
        </w:rPr>
      </w:pPr>
      <w:r w:rsidRPr="00312A3B">
        <w:rPr>
          <w:b/>
          <w:bCs/>
          <w:sz w:val="24"/>
          <w:szCs w:val="24"/>
        </w:rPr>
        <w:t>12.</w:t>
      </w:r>
      <w:r w:rsidRPr="00312A3B">
        <w:rPr>
          <w:b/>
          <w:bCs/>
          <w:sz w:val="24"/>
          <w:szCs w:val="24"/>
        </w:rPr>
        <w:tab/>
        <w:t>Provide estimates of the hour burden of the collection of information.  The statement should:</w:t>
      </w:r>
    </w:p>
    <w:p w:rsidR="009E13B1" w:rsidRPr="00312A3B" w14:paraId="1876208F" w14:textId="77777777">
      <w:pPr>
        <w:tabs>
          <w:tab w:val="left" w:pos="360"/>
        </w:tabs>
        <w:ind w:left="360" w:hanging="360"/>
        <w:rPr>
          <w:b/>
          <w:bCs/>
          <w:sz w:val="24"/>
          <w:szCs w:val="24"/>
        </w:rPr>
      </w:pPr>
      <w:r w:rsidRPr="00312A3B">
        <w:rPr>
          <w:b/>
          <w:bCs/>
          <w:sz w:val="24"/>
          <w:szCs w:val="24"/>
        </w:rPr>
        <w:t xml:space="preserve"> </w:t>
      </w:r>
    </w:p>
    <w:p w:rsidR="009E13B1" w:rsidRPr="00312A3B" w14:paraId="06CBD536" w14:textId="77777777">
      <w:pPr>
        <w:numPr>
          <w:ilvl w:val="0"/>
          <w:numId w:val="21"/>
        </w:numPr>
        <w:tabs>
          <w:tab w:val="left" w:pos="480"/>
        </w:tabs>
        <w:ind w:left="480"/>
        <w:rPr>
          <w:b/>
          <w:bCs/>
          <w:sz w:val="24"/>
          <w:szCs w:val="24"/>
        </w:rPr>
      </w:pPr>
      <w:r w:rsidRPr="00312A3B">
        <w:rPr>
          <w:b/>
          <w:bCs/>
          <w:sz w:val="24"/>
          <w:szCs w:val="24"/>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w:t>
      </w:r>
      <w:r w:rsidRPr="00312A3B" w:rsidR="006C7FAE">
        <w:rPr>
          <w:b/>
          <w:bCs/>
          <w:sz w:val="24"/>
          <w:szCs w:val="24"/>
        </w:rPr>
        <w:t>Generally,</w:t>
      </w:r>
      <w:r w:rsidRPr="00312A3B">
        <w:rPr>
          <w:b/>
          <w:bCs/>
          <w:sz w:val="24"/>
          <w:szCs w:val="24"/>
        </w:rPr>
        <w:t xml:space="preserve"> estimates should not include burden hours for customary and usual business practices; </w:t>
      </w:r>
    </w:p>
    <w:p w:rsidR="009E13B1" w:rsidRPr="00312A3B" w14:paraId="54BF2220" w14:textId="77777777">
      <w:pPr>
        <w:numPr>
          <w:ilvl w:val="0"/>
          <w:numId w:val="21"/>
        </w:numPr>
        <w:tabs>
          <w:tab w:val="left" w:pos="480"/>
        </w:tabs>
        <w:ind w:left="480"/>
        <w:rPr>
          <w:b/>
          <w:bCs/>
          <w:sz w:val="24"/>
          <w:szCs w:val="24"/>
        </w:rPr>
      </w:pPr>
      <w:r w:rsidRPr="00312A3B">
        <w:rPr>
          <w:b/>
          <w:bCs/>
          <w:sz w:val="24"/>
          <w:szCs w:val="24"/>
        </w:rPr>
        <w:t xml:space="preserve">If this request covers more than one form, provide separate hour burden estimates for each form and aggregate the hour burdens in </w:t>
      </w:r>
      <w:r w:rsidRPr="00312A3B" w:rsidR="00CA06CC">
        <w:rPr>
          <w:b/>
          <w:bCs/>
          <w:sz w:val="24"/>
          <w:szCs w:val="24"/>
        </w:rPr>
        <w:t>chart below</w:t>
      </w:r>
      <w:r w:rsidRPr="00312A3B">
        <w:rPr>
          <w:b/>
          <w:bCs/>
          <w:sz w:val="24"/>
          <w:szCs w:val="24"/>
        </w:rPr>
        <w:t xml:space="preserve">; and </w:t>
      </w:r>
    </w:p>
    <w:p w:rsidR="009E13B1" w14:paraId="438D1797" w14:textId="77777777">
      <w:pPr>
        <w:keepLines/>
        <w:numPr>
          <w:ilvl w:val="0"/>
          <w:numId w:val="21"/>
        </w:numPr>
        <w:tabs>
          <w:tab w:val="left" w:pos="480"/>
        </w:tabs>
        <w:spacing w:after="80"/>
        <w:ind w:left="480"/>
        <w:rPr>
          <w:b/>
          <w:bCs/>
          <w:sz w:val="24"/>
          <w:szCs w:val="24"/>
        </w:rPr>
      </w:pPr>
      <w:r w:rsidRPr="00312A3B">
        <w:rPr>
          <w:b/>
          <w:bCs/>
          <w:sz w:val="24"/>
          <w:szCs w:val="24"/>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w:t>
      </w:r>
      <w:r w:rsidRPr="00312A3B" w:rsidR="00CA06CC">
        <w:rPr>
          <w:b/>
          <w:bCs/>
          <w:sz w:val="24"/>
          <w:szCs w:val="24"/>
        </w:rPr>
        <w:t>Instead,</w:t>
      </w:r>
      <w:r w:rsidRPr="00312A3B">
        <w:rPr>
          <w:b/>
          <w:bCs/>
          <w:sz w:val="24"/>
          <w:szCs w:val="24"/>
        </w:rPr>
        <w:t xml:space="preserve"> this cost should be included in Item 13.</w:t>
      </w:r>
    </w:p>
    <w:p w:rsidR="003549E8" w:rsidP="003549E8" w14:paraId="3848302B" w14:textId="77777777">
      <w:pPr>
        <w:pStyle w:val="NoSpacing"/>
      </w:pPr>
    </w:p>
    <w:p w:rsidR="00312A3B" w:rsidRPr="00A50611" w:rsidP="004A7C72" w14:paraId="3C2754DC" w14:textId="5FC589E6">
      <w:pPr>
        <w:keepLines/>
        <w:tabs>
          <w:tab w:val="left" w:pos="360"/>
          <w:tab w:val="center" w:pos="1680"/>
          <w:tab w:val="center" w:pos="3120"/>
          <w:tab w:val="center" w:pos="4560"/>
          <w:tab w:val="center" w:pos="6000"/>
          <w:tab w:val="center" w:pos="7440"/>
          <w:tab w:val="center" w:pos="8880"/>
        </w:tabs>
        <w:ind w:left="480"/>
        <w:rPr>
          <w:sz w:val="24"/>
          <w:szCs w:val="24"/>
        </w:rPr>
      </w:pPr>
      <w:r w:rsidRPr="00A50611">
        <w:rPr>
          <w:sz w:val="24"/>
          <w:szCs w:val="24"/>
        </w:rPr>
        <w:tab/>
        <w:t xml:space="preserve">The burden on each respondent will vary in proportion to the number of claims filed by the respondent.  Some mortgagees hold very few FHA-insured mortgages and may file few, if any, claims for insurance benefits each year.  Other mortgagees hold very large portfolios of FHA-insured mortgages and may file ten or more claims per year.  For purposes of this response, however, it is assumed that in each year no mortgagee would file more than one claim. </w:t>
      </w:r>
    </w:p>
    <w:p w:rsidR="00312A3B" w:rsidRPr="00A50611" w:rsidP="004A7C72" w14:paraId="4BEF605D" w14:textId="77777777">
      <w:pPr>
        <w:pStyle w:val="ListParagraph"/>
        <w:keepLines/>
        <w:tabs>
          <w:tab w:val="left" w:pos="360"/>
          <w:tab w:val="center" w:pos="1680"/>
          <w:tab w:val="center" w:pos="3120"/>
          <w:tab w:val="center" w:pos="4560"/>
          <w:tab w:val="center" w:pos="6000"/>
          <w:tab w:val="center" w:pos="7440"/>
          <w:tab w:val="center" w:pos="8880"/>
        </w:tabs>
        <w:ind w:left="828"/>
        <w:rPr>
          <w:sz w:val="24"/>
          <w:szCs w:val="24"/>
        </w:rPr>
      </w:pPr>
    </w:p>
    <w:p w:rsidR="00A50611" w:rsidRPr="00A50611" w:rsidP="004A7C72" w14:paraId="4070DFB0" w14:textId="77777777">
      <w:pPr>
        <w:keepLines/>
        <w:tabs>
          <w:tab w:val="left" w:pos="360"/>
          <w:tab w:val="center" w:pos="1680"/>
          <w:tab w:val="center" w:pos="3120"/>
          <w:tab w:val="center" w:pos="4560"/>
          <w:tab w:val="center" w:pos="6000"/>
          <w:tab w:val="center" w:pos="7440"/>
          <w:tab w:val="center" w:pos="8880"/>
        </w:tabs>
        <w:ind w:left="480"/>
        <w:rPr>
          <w:sz w:val="24"/>
          <w:szCs w:val="24"/>
        </w:rPr>
      </w:pPr>
      <w:r w:rsidRPr="00A50611">
        <w:rPr>
          <w:sz w:val="24"/>
          <w:szCs w:val="24"/>
        </w:rPr>
        <w:tab/>
        <w:t xml:space="preserve">In 2025, the number of actual respondents to date is 2; in 2024, the number was 28; and in 2023, the number was 20.  Therefore, based on the number of claims in 2024 and 2023, the annual claim response was calculated at the average of 24. </w:t>
      </w:r>
    </w:p>
    <w:p w:rsidR="00A50611" w:rsidRPr="00A50611" w:rsidP="004A7C72" w14:paraId="09A24679" w14:textId="77777777">
      <w:pPr>
        <w:keepLines/>
        <w:tabs>
          <w:tab w:val="left" w:pos="360"/>
          <w:tab w:val="center" w:pos="1680"/>
          <w:tab w:val="center" w:pos="3120"/>
          <w:tab w:val="center" w:pos="4560"/>
          <w:tab w:val="center" w:pos="6000"/>
          <w:tab w:val="center" w:pos="7440"/>
          <w:tab w:val="center" w:pos="8880"/>
        </w:tabs>
        <w:ind w:left="480"/>
        <w:rPr>
          <w:sz w:val="24"/>
          <w:szCs w:val="24"/>
        </w:rPr>
      </w:pPr>
    </w:p>
    <w:p w:rsidR="00312A3B" w:rsidRPr="00A50611" w:rsidP="004A7C72" w14:paraId="6A64CA0B" w14:textId="660DE304">
      <w:pPr>
        <w:keepLines/>
        <w:tabs>
          <w:tab w:val="left" w:pos="360"/>
          <w:tab w:val="center" w:pos="1680"/>
          <w:tab w:val="center" w:pos="3120"/>
          <w:tab w:val="center" w:pos="4560"/>
          <w:tab w:val="center" w:pos="6000"/>
          <w:tab w:val="center" w:pos="7440"/>
          <w:tab w:val="center" w:pos="8880"/>
        </w:tabs>
        <w:ind w:left="480"/>
        <w:rPr>
          <w:sz w:val="24"/>
          <w:szCs w:val="24"/>
        </w:rPr>
      </w:pPr>
      <w:r w:rsidRPr="00A50611">
        <w:rPr>
          <w:sz w:val="24"/>
          <w:szCs w:val="24"/>
        </w:rPr>
        <w:t>The burden of no less than 50 hours per claim includes the time necessary to provide mortgage documents such as title policies, UCCs, security agreements, original mortgage and mortgage note, etc., which relate to the FHA-insured mortgage covering the project, and to complete the exhibits to the Legal Instructions.   Documents must be obtained from various recording offices, land offices, title companies, and archives, etc.  The annualized cost to the respondent is estimated at $8</w:t>
      </w:r>
      <w:r w:rsidR="007B35CE">
        <w:rPr>
          <w:sz w:val="24"/>
          <w:szCs w:val="24"/>
        </w:rPr>
        <w:t>7</w:t>
      </w:r>
      <w:r w:rsidRPr="00A50611">
        <w:rPr>
          <w:sz w:val="24"/>
          <w:szCs w:val="24"/>
        </w:rPr>
        <w:t>.8</w:t>
      </w:r>
      <w:r w:rsidR="007B35CE">
        <w:rPr>
          <w:sz w:val="24"/>
          <w:szCs w:val="24"/>
        </w:rPr>
        <w:t>6</w:t>
      </w:r>
      <w:r w:rsidRPr="00A50611">
        <w:rPr>
          <w:sz w:val="24"/>
          <w:szCs w:val="24"/>
        </w:rPr>
        <w:t xml:space="preserve"> an hour</w:t>
      </w:r>
      <w:r w:rsidR="00BB77EF">
        <w:rPr>
          <w:sz w:val="24"/>
          <w:szCs w:val="24"/>
        </w:rPr>
        <w:t xml:space="preserve"> (from </w:t>
      </w:r>
      <w:hyperlink r:id="rId13" w:history="1">
        <w:r w:rsidRPr="005B4070" w:rsidR="00375C1B">
          <w:rPr>
            <w:rStyle w:val="Hyperlink"/>
            <w:sz w:val="24"/>
            <w:szCs w:val="24"/>
          </w:rPr>
          <w:t>https://data.bls.gov/oesprofile/</w:t>
        </w:r>
      </w:hyperlink>
      <w:r w:rsidR="00375C1B">
        <w:rPr>
          <w:sz w:val="24"/>
          <w:szCs w:val="24"/>
        </w:rPr>
        <w:t>)</w:t>
      </w:r>
      <w:r w:rsidRPr="00A50611">
        <w:rPr>
          <w:sz w:val="24"/>
          <w:szCs w:val="24"/>
        </w:rPr>
        <w:t xml:space="preserve"> times 50 burden hours per claim times 24 responses or $</w:t>
      </w:r>
      <w:r w:rsidRPr="00A50611">
        <w:rPr>
          <w:rFonts w:eastAsia="Calibri"/>
          <w:color w:val="000000" w:themeColor="text1"/>
          <w:sz w:val="24"/>
          <w:szCs w:val="24"/>
        </w:rPr>
        <w:t>10</w:t>
      </w:r>
      <w:r w:rsidR="00A5000A">
        <w:rPr>
          <w:rFonts w:eastAsia="Calibri"/>
          <w:color w:val="000000" w:themeColor="text1"/>
          <w:sz w:val="24"/>
          <w:szCs w:val="24"/>
        </w:rPr>
        <w:t>5</w:t>
      </w:r>
      <w:r w:rsidRPr="00A50611">
        <w:rPr>
          <w:rFonts w:eastAsia="Calibri"/>
          <w:color w:val="000000" w:themeColor="text1"/>
          <w:sz w:val="24"/>
          <w:szCs w:val="24"/>
        </w:rPr>
        <w:t>,</w:t>
      </w:r>
      <w:r w:rsidR="00A5000A">
        <w:rPr>
          <w:rFonts w:eastAsia="Calibri"/>
          <w:color w:val="000000" w:themeColor="text1"/>
          <w:sz w:val="24"/>
          <w:szCs w:val="24"/>
        </w:rPr>
        <w:t>432</w:t>
      </w:r>
      <w:r w:rsidRPr="00A50611">
        <w:rPr>
          <w:sz w:val="24"/>
          <w:szCs w:val="24"/>
        </w:rPr>
        <w:t>.</w:t>
      </w:r>
    </w:p>
    <w:p w:rsidR="00312A3B" w:rsidP="00312A3B" w14:paraId="1BD45757" w14:textId="77777777">
      <w:pPr>
        <w:keepLines/>
        <w:tabs>
          <w:tab w:val="left" w:pos="480"/>
        </w:tabs>
        <w:spacing w:after="80"/>
        <w:ind w:left="480"/>
        <w:rPr>
          <w:sz w:val="24"/>
          <w:szCs w:val="24"/>
        </w:rPr>
      </w:pPr>
    </w:p>
    <w:p w:rsidR="008423BD" w:rsidP="008423BD" w14:paraId="615092C1" w14:textId="77777777">
      <w:pPr>
        <w:keepLines/>
        <w:tabs>
          <w:tab w:val="left" w:pos="480"/>
        </w:tabs>
        <w:spacing w:after="80"/>
        <w:ind w:left="480"/>
        <w:rPr>
          <w:sz w:val="24"/>
          <w:szCs w:val="24"/>
        </w:rPr>
      </w:pPr>
    </w:p>
    <w:tbl>
      <w:tblPr>
        <w:tblW w:w="9900" w:type="dxa"/>
        <w:tblInd w:w="170" w:type="dxa"/>
        <w:tblCellMar>
          <w:left w:w="0" w:type="dxa"/>
          <w:right w:w="0" w:type="dxa"/>
        </w:tblCellMar>
        <w:tblLook w:val="04A0"/>
      </w:tblPr>
      <w:tblGrid>
        <w:gridCol w:w="2364"/>
        <w:gridCol w:w="1306"/>
        <w:gridCol w:w="1293"/>
        <w:gridCol w:w="1094"/>
        <w:gridCol w:w="1072"/>
        <w:gridCol w:w="861"/>
        <w:gridCol w:w="1019"/>
        <w:gridCol w:w="891"/>
      </w:tblGrid>
      <w:tr w14:paraId="6B5D00E3" w14:textId="77777777" w:rsidTr="00FE1607">
        <w:tblPrEx>
          <w:tblW w:w="9900" w:type="dxa"/>
          <w:tblInd w:w="170" w:type="dxa"/>
          <w:tblCellMar>
            <w:left w:w="0" w:type="dxa"/>
            <w:right w:w="0" w:type="dxa"/>
          </w:tblCellMar>
          <w:tblLook w:val="04A0"/>
        </w:tblPrEx>
        <w:tc>
          <w:tcPr>
            <w:tcW w:w="24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423BD" w:rsidP="00FE1607" w14:paraId="0203AFEC" w14:textId="77777777">
            <w:pPr>
              <w:adjustRightInd/>
              <w:textAlignment w:val="auto"/>
              <w:rPr>
                <w:rFonts w:eastAsia="Calibri"/>
                <w:b/>
                <w:bCs/>
                <w:color w:val="000000"/>
              </w:rPr>
            </w:pPr>
            <w:r w:rsidRPr="006C7FAE">
              <w:rPr>
                <w:rFonts w:eastAsia="Calibri"/>
                <w:b/>
                <w:bCs/>
                <w:color w:val="000000"/>
              </w:rPr>
              <w:t>Information Collection</w:t>
            </w:r>
          </w:p>
          <w:p w:rsidR="0019666D" w:rsidRPr="00F23706" w:rsidP="00FE1607" w14:paraId="34904EEF" w14:textId="752E298D">
            <w:pPr>
              <w:adjustRightInd/>
              <w:textAlignment w:val="auto"/>
              <w:rPr>
                <w:rFonts w:eastAsia="Calibri"/>
                <w:color w:val="000000"/>
              </w:rPr>
            </w:pPr>
          </w:p>
        </w:tc>
        <w:tc>
          <w:tcPr>
            <w:tcW w:w="13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423BD" w:rsidRPr="006C7FAE" w:rsidP="00FE1607" w14:paraId="1F310546" w14:textId="77777777">
            <w:pPr>
              <w:adjustRightInd/>
              <w:textAlignment w:val="auto"/>
              <w:rPr>
                <w:rFonts w:eastAsia="Calibri"/>
                <w:b/>
                <w:bCs/>
                <w:color w:val="000000"/>
              </w:rPr>
            </w:pPr>
            <w:r w:rsidRPr="006C7FAE">
              <w:rPr>
                <w:rFonts w:eastAsia="Calibri"/>
                <w:b/>
                <w:bCs/>
                <w:color w:val="000000"/>
              </w:rPr>
              <w:t>Number of Respondents</w:t>
            </w:r>
          </w:p>
        </w:tc>
        <w:tc>
          <w:tcPr>
            <w:tcW w:w="13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423BD" w:rsidRPr="006C7FAE" w:rsidP="00FE1607" w14:paraId="36A4137A" w14:textId="77777777">
            <w:pPr>
              <w:adjustRightInd/>
              <w:textAlignment w:val="auto"/>
              <w:rPr>
                <w:rFonts w:eastAsia="Calibri"/>
                <w:b/>
                <w:bCs/>
                <w:color w:val="000000"/>
              </w:rPr>
            </w:pPr>
            <w:r w:rsidRPr="006C7FAE">
              <w:rPr>
                <w:rFonts w:eastAsia="Calibri"/>
                <w:b/>
                <w:bCs/>
                <w:color w:val="000000"/>
              </w:rPr>
              <w:t>Frequency of Response</w:t>
            </w:r>
          </w:p>
        </w:tc>
        <w:tc>
          <w:tcPr>
            <w:tcW w:w="10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423BD" w:rsidRPr="006C7FAE" w:rsidP="00FE1607" w14:paraId="4F8C04A0" w14:textId="77777777">
            <w:pPr>
              <w:overflowPunct/>
              <w:autoSpaceDE/>
              <w:autoSpaceDN/>
              <w:adjustRightInd/>
              <w:textAlignment w:val="auto"/>
              <w:rPr>
                <w:rFonts w:eastAsia="Calibri"/>
                <w:b/>
                <w:bCs/>
                <w:color w:val="000000"/>
              </w:rPr>
            </w:pPr>
            <w:r w:rsidRPr="006C7FAE">
              <w:rPr>
                <w:rFonts w:eastAsia="Calibri"/>
                <w:b/>
                <w:bCs/>
                <w:color w:val="000000"/>
              </w:rPr>
              <w:t>Responses</w:t>
            </w:r>
          </w:p>
          <w:p w:rsidR="008423BD" w:rsidRPr="006C7FAE" w:rsidP="00FE1607" w14:paraId="499A536E" w14:textId="77777777">
            <w:pPr>
              <w:adjustRightInd/>
              <w:textAlignment w:val="auto"/>
              <w:rPr>
                <w:rFonts w:eastAsia="Calibri"/>
                <w:b/>
                <w:bCs/>
                <w:color w:val="000000"/>
              </w:rPr>
            </w:pPr>
            <w:r w:rsidRPr="006C7FAE">
              <w:rPr>
                <w:rFonts w:eastAsia="Calibri"/>
                <w:b/>
                <w:bCs/>
                <w:color w:val="000000"/>
              </w:rPr>
              <w:t>Per Annum</w:t>
            </w:r>
          </w:p>
        </w:tc>
        <w:tc>
          <w:tcPr>
            <w:tcW w:w="10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423BD" w:rsidRPr="006C7FAE" w:rsidP="00FE1607" w14:paraId="407F6C9E" w14:textId="77777777">
            <w:pPr>
              <w:adjustRightInd/>
              <w:textAlignment w:val="auto"/>
              <w:rPr>
                <w:rFonts w:eastAsia="Calibri"/>
                <w:b/>
                <w:bCs/>
                <w:color w:val="000000"/>
              </w:rPr>
            </w:pPr>
            <w:r w:rsidRPr="006C7FAE">
              <w:rPr>
                <w:rFonts w:eastAsia="Calibri"/>
                <w:b/>
                <w:bCs/>
                <w:color w:val="000000"/>
              </w:rPr>
              <w:t>Burden Hour Per Response</w:t>
            </w:r>
          </w:p>
        </w:tc>
        <w:tc>
          <w:tcPr>
            <w:tcW w:w="8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423BD" w:rsidRPr="006C7FAE" w:rsidP="00FE1607" w14:paraId="7376B213" w14:textId="77777777">
            <w:pPr>
              <w:adjustRightInd/>
              <w:textAlignment w:val="auto"/>
              <w:rPr>
                <w:rFonts w:eastAsia="Calibri"/>
                <w:b/>
                <w:bCs/>
                <w:color w:val="000000"/>
              </w:rPr>
            </w:pPr>
            <w:r w:rsidRPr="006C7FAE">
              <w:rPr>
                <w:rFonts w:eastAsia="Calibri"/>
                <w:b/>
                <w:bCs/>
                <w:color w:val="000000"/>
              </w:rPr>
              <w:t>Annual Burden Hours</w:t>
            </w:r>
          </w:p>
        </w:tc>
        <w:tc>
          <w:tcPr>
            <w:tcW w:w="10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423BD" w:rsidRPr="006C7FAE" w:rsidP="00FE1607" w14:paraId="2B9A8A73" w14:textId="77777777">
            <w:pPr>
              <w:adjustRightInd/>
              <w:textAlignment w:val="auto"/>
              <w:rPr>
                <w:rFonts w:eastAsia="Calibri"/>
                <w:b/>
                <w:bCs/>
                <w:color w:val="000000"/>
              </w:rPr>
            </w:pPr>
            <w:r w:rsidRPr="006C7FAE">
              <w:rPr>
                <w:rFonts w:eastAsia="Calibri"/>
                <w:b/>
                <w:bCs/>
                <w:color w:val="000000"/>
              </w:rPr>
              <w:t>Hourly Cost Per Response</w:t>
            </w:r>
          </w:p>
        </w:tc>
        <w:tc>
          <w:tcPr>
            <w:tcW w:w="89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423BD" w:rsidRPr="006C7FAE" w:rsidP="00FE1607" w14:paraId="62BE27E1" w14:textId="77777777">
            <w:pPr>
              <w:overflowPunct/>
              <w:autoSpaceDE/>
              <w:autoSpaceDN/>
              <w:adjustRightInd/>
              <w:textAlignment w:val="auto"/>
              <w:rPr>
                <w:rFonts w:eastAsia="Calibri"/>
                <w:b/>
                <w:bCs/>
                <w:color w:val="000000"/>
              </w:rPr>
            </w:pPr>
            <w:r w:rsidRPr="006C7FAE">
              <w:rPr>
                <w:rFonts w:eastAsia="Calibri"/>
                <w:b/>
                <w:bCs/>
                <w:color w:val="000000"/>
              </w:rPr>
              <w:t>Annual Cost</w:t>
            </w:r>
          </w:p>
          <w:p w:rsidR="008423BD" w:rsidRPr="006C7FAE" w:rsidP="00FE1607" w14:paraId="340CD53B" w14:textId="77777777">
            <w:pPr>
              <w:adjustRightInd/>
              <w:textAlignment w:val="auto"/>
              <w:rPr>
                <w:rFonts w:eastAsia="Calibri"/>
                <w:b/>
                <w:bCs/>
                <w:color w:val="000000"/>
              </w:rPr>
            </w:pPr>
          </w:p>
        </w:tc>
      </w:tr>
      <w:tr w14:paraId="0E7AB3C7" w14:textId="77777777" w:rsidTr="00FE1607">
        <w:tblPrEx>
          <w:tblW w:w="9900" w:type="dxa"/>
          <w:tblInd w:w="170" w:type="dxa"/>
          <w:tblCellMar>
            <w:left w:w="0" w:type="dxa"/>
            <w:right w:w="0" w:type="dxa"/>
          </w:tblCellMar>
          <w:tblLook w:val="04A0"/>
        </w:tblPrEx>
        <w:tc>
          <w:tcPr>
            <w:tcW w:w="243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E1BB7" w:rsidP="00FE1607" w14:paraId="2CB71485" w14:textId="77777777">
            <w:pPr>
              <w:adjustRightInd/>
              <w:textAlignment w:val="auto"/>
              <w:rPr>
                <w:rFonts w:eastAsia="Calibri"/>
                <w:color w:val="000000"/>
                <w:sz w:val="18"/>
                <w:szCs w:val="18"/>
              </w:rPr>
            </w:pPr>
            <w:bookmarkStart w:id="1" w:name="_Hlk81293518"/>
            <w:r w:rsidRPr="00BE1BB7">
              <w:rPr>
                <w:rFonts w:eastAsia="Calibri"/>
                <w:color w:val="000000"/>
                <w:sz w:val="18"/>
                <w:szCs w:val="18"/>
              </w:rPr>
              <w:t>Legal Instructions Concerning Applications for Full-Insurance Benefits - Assignment of Multifamily and Healthcare Mortgages to the Secretary</w:t>
            </w:r>
          </w:p>
          <w:p w:rsidR="0047398E" w:rsidRPr="00F23706" w:rsidP="00FE1607" w14:paraId="69F7F71A" w14:textId="399B7FC3">
            <w:pPr>
              <w:adjustRightInd/>
              <w:textAlignment w:val="auto"/>
              <w:rPr>
                <w:rFonts w:eastAsia="Calibri"/>
                <w:color w:val="000000"/>
              </w:rPr>
            </w:pPr>
            <w:r w:rsidRPr="00F23706">
              <w:rPr>
                <w:rFonts w:eastAsia="Calibri"/>
                <w:color w:val="000000"/>
                <w:sz w:val="18"/>
                <w:szCs w:val="18"/>
              </w:rPr>
              <w:t xml:space="preserve">HUD </w:t>
            </w:r>
            <w:r w:rsidR="00BE1BB7">
              <w:rPr>
                <w:rFonts w:eastAsia="Calibri"/>
                <w:color w:val="000000"/>
                <w:sz w:val="18"/>
                <w:szCs w:val="18"/>
              </w:rPr>
              <w:t>Form -</w:t>
            </w:r>
            <w:r w:rsidR="00FE1607">
              <w:rPr>
                <w:rFonts w:eastAsia="Calibri"/>
                <w:color w:val="000000"/>
                <w:sz w:val="18"/>
                <w:szCs w:val="18"/>
              </w:rPr>
              <w:t xml:space="preserve"> </w:t>
            </w:r>
            <w:r w:rsidRPr="00F23706">
              <w:rPr>
                <w:rFonts w:eastAsia="Calibri"/>
                <w:color w:val="000000"/>
                <w:sz w:val="18"/>
                <w:szCs w:val="18"/>
              </w:rPr>
              <w:t>2510</w:t>
            </w:r>
          </w:p>
        </w:tc>
        <w:tc>
          <w:tcPr>
            <w:tcW w:w="1306" w:type="dxa"/>
            <w:tcBorders>
              <w:top w:val="nil"/>
              <w:left w:val="nil"/>
              <w:bottom w:val="single" w:sz="8" w:space="0" w:color="auto"/>
              <w:right w:val="single" w:sz="8" w:space="0" w:color="auto"/>
            </w:tcBorders>
            <w:tcMar>
              <w:top w:w="0" w:type="dxa"/>
              <w:left w:w="108" w:type="dxa"/>
              <w:bottom w:w="0" w:type="dxa"/>
              <w:right w:w="108" w:type="dxa"/>
            </w:tcMar>
          </w:tcPr>
          <w:p w:rsidR="0047398E" w:rsidRPr="00F23706" w:rsidP="0047398E" w14:paraId="68CF9D59" w14:textId="669DC7C5">
            <w:pPr>
              <w:adjustRightInd/>
              <w:jc w:val="center"/>
              <w:textAlignment w:val="auto"/>
              <w:rPr>
                <w:rFonts w:eastAsia="Calibri"/>
                <w:color w:val="000000"/>
              </w:rPr>
            </w:pPr>
            <w:r w:rsidRPr="00F23706">
              <w:rPr>
                <w:rFonts w:eastAsia="Calibri"/>
                <w:color w:val="000000"/>
                <w:sz w:val="18"/>
                <w:szCs w:val="18"/>
              </w:rPr>
              <w:t>24</w:t>
            </w:r>
          </w:p>
        </w:tc>
        <w:tc>
          <w:tcPr>
            <w:tcW w:w="1303" w:type="dxa"/>
            <w:tcBorders>
              <w:top w:val="nil"/>
              <w:left w:val="nil"/>
              <w:bottom w:val="single" w:sz="8" w:space="0" w:color="auto"/>
              <w:right w:val="single" w:sz="8" w:space="0" w:color="auto"/>
            </w:tcBorders>
            <w:tcMar>
              <w:top w:w="0" w:type="dxa"/>
              <w:left w:w="108" w:type="dxa"/>
              <w:bottom w:w="0" w:type="dxa"/>
              <w:right w:w="108" w:type="dxa"/>
            </w:tcMar>
          </w:tcPr>
          <w:p w:rsidR="0047398E" w:rsidRPr="00F23706" w:rsidP="0047398E" w14:paraId="7FD457AA" w14:textId="4E05CCCC">
            <w:pPr>
              <w:adjustRightInd/>
              <w:jc w:val="center"/>
              <w:textAlignment w:val="auto"/>
              <w:rPr>
                <w:rFonts w:eastAsia="Calibri"/>
                <w:color w:val="000000"/>
              </w:rPr>
            </w:pPr>
            <w:r w:rsidRPr="00F23706">
              <w:rPr>
                <w:rFonts w:eastAsia="Calibri"/>
                <w:color w:val="000000"/>
                <w:sz w:val="18"/>
                <w:szCs w:val="18"/>
              </w:rPr>
              <w:t>1</w:t>
            </w:r>
          </w:p>
        </w:tc>
        <w:tc>
          <w:tcPr>
            <w:tcW w:w="1014" w:type="dxa"/>
            <w:tcBorders>
              <w:top w:val="nil"/>
              <w:left w:val="nil"/>
              <w:bottom w:val="single" w:sz="8" w:space="0" w:color="auto"/>
              <w:right w:val="single" w:sz="8" w:space="0" w:color="auto"/>
            </w:tcBorders>
            <w:tcMar>
              <w:top w:w="0" w:type="dxa"/>
              <w:left w:w="108" w:type="dxa"/>
              <w:bottom w:w="0" w:type="dxa"/>
              <w:right w:w="108" w:type="dxa"/>
            </w:tcMar>
          </w:tcPr>
          <w:p w:rsidR="0047398E" w:rsidRPr="00F23706" w:rsidP="0047398E" w14:paraId="10340A06" w14:textId="4F8E8E18">
            <w:pPr>
              <w:adjustRightInd/>
              <w:jc w:val="center"/>
              <w:textAlignment w:val="auto"/>
              <w:rPr>
                <w:rFonts w:eastAsia="Calibri"/>
                <w:color w:val="000000"/>
              </w:rPr>
            </w:pPr>
            <w:r w:rsidRPr="00F23706">
              <w:rPr>
                <w:rFonts w:eastAsia="Calibri"/>
                <w:color w:val="000000"/>
                <w:sz w:val="18"/>
                <w:szCs w:val="18"/>
              </w:rPr>
              <w:t>24</w:t>
            </w:r>
          </w:p>
        </w:tc>
        <w:tc>
          <w:tcPr>
            <w:tcW w:w="1075" w:type="dxa"/>
            <w:tcBorders>
              <w:top w:val="nil"/>
              <w:left w:val="nil"/>
              <w:bottom w:val="single" w:sz="8" w:space="0" w:color="auto"/>
              <w:right w:val="single" w:sz="8" w:space="0" w:color="auto"/>
            </w:tcBorders>
            <w:tcMar>
              <w:top w:w="0" w:type="dxa"/>
              <w:left w:w="108" w:type="dxa"/>
              <w:bottom w:w="0" w:type="dxa"/>
              <w:right w:w="108" w:type="dxa"/>
            </w:tcMar>
          </w:tcPr>
          <w:p w:rsidR="0047398E" w:rsidRPr="00F23706" w:rsidP="0047398E" w14:paraId="377145FF" w14:textId="2AEDFC59">
            <w:pPr>
              <w:adjustRightInd/>
              <w:jc w:val="center"/>
              <w:textAlignment w:val="auto"/>
              <w:rPr>
                <w:rFonts w:eastAsia="Calibri"/>
                <w:color w:val="000000"/>
              </w:rPr>
            </w:pPr>
            <w:r w:rsidRPr="00F23706">
              <w:rPr>
                <w:rFonts w:eastAsia="Calibri"/>
                <w:color w:val="000000"/>
                <w:sz w:val="18"/>
                <w:szCs w:val="18"/>
              </w:rPr>
              <w:t>50</w:t>
            </w:r>
          </w:p>
        </w:tc>
        <w:tc>
          <w:tcPr>
            <w:tcW w:w="861" w:type="dxa"/>
            <w:tcBorders>
              <w:top w:val="nil"/>
              <w:left w:val="nil"/>
              <w:bottom w:val="single" w:sz="8" w:space="0" w:color="auto"/>
              <w:right w:val="single" w:sz="8" w:space="0" w:color="auto"/>
            </w:tcBorders>
            <w:tcMar>
              <w:top w:w="0" w:type="dxa"/>
              <w:left w:w="108" w:type="dxa"/>
              <w:bottom w:w="0" w:type="dxa"/>
              <w:right w:w="108" w:type="dxa"/>
            </w:tcMar>
          </w:tcPr>
          <w:p w:rsidR="0047398E" w:rsidRPr="00F23706" w:rsidP="0047398E" w14:paraId="0F971BDC" w14:textId="06F69CB4">
            <w:pPr>
              <w:adjustRightInd/>
              <w:jc w:val="center"/>
              <w:textAlignment w:val="auto"/>
              <w:rPr>
                <w:rFonts w:eastAsia="Calibri"/>
                <w:color w:val="000000"/>
              </w:rPr>
            </w:pPr>
            <w:r w:rsidRPr="00F23706">
              <w:rPr>
                <w:rFonts w:eastAsia="Calibri"/>
                <w:color w:val="000000"/>
                <w:sz w:val="18"/>
                <w:szCs w:val="18"/>
              </w:rPr>
              <w:t>1200</w:t>
            </w:r>
          </w:p>
        </w:tc>
        <w:tc>
          <w:tcPr>
            <w:tcW w:w="1019" w:type="dxa"/>
            <w:tcBorders>
              <w:top w:val="nil"/>
              <w:left w:val="nil"/>
              <w:bottom w:val="single" w:sz="8" w:space="0" w:color="auto"/>
              <w:right w:val="single" w:sz="8" w:space="0" w:color="auto"/>
            </w:tcBorders>
            <w:tcMar>
              <w:top w:w="0" w:type="dxa"/>
              <w:left w:w="108" w:type="dxa"/>
              <w:bottom w:w="0" w:type="dxa"/>
              <w:right w:w="108" w:type="dxa"/>
            </w:tcMar>
          </w:tcPr>
          <w:p w:rsidR="0047398E" w:rsidRPr="00F23706" w:rsidP="00F23706" w14:paraId="331480B1" w14:textId="0A7931B1">
            <w:pPr>
              <w:adjustRightInd/>
              <w:jc w:val="center"/>
              <w:textAlignment w:val="auto"/>
              <w:rPr>
                <w:rFonts w:eastAsia="Calibri"/>
                <w:color w:val="000000"/>
              </w:rPr>
            </w:pPr>
            <w:r w:rsidRPr="00F23706">
              <w:rPr>
                <w:rFonts w:eastAsia="Calibri"/>
                <w:color w:val="000000"/>
                <w:sz w:val="18"/>
                <w:szCs w:val="18"/>
              </w:rPr>
              <w:t>$</w:t>
            </w:r>
            <w:r w:rsidRPr="000C622F" w:rsidR="000C622F">
              <w:rPr>
                <w:rFonts w:eastAsia="Calibri"/>
                <w:color w:val="000000"/>
                <w:sz w:val="18"/>
                <w:szCs w:val="18"/>
              </w:rPr>
              <w:t>87.86</w:t>
            </w:r>
          </w:p>
        </w:tc>
        <w:tc>
          <w:tcPr>
            <w:tcW w:w="891" w:type="dxa"/>
            <w:tcBorders>
              <w:top w:val="nil"/>
              <w:left w:val="nil"/>
              <w:bottom w:val="single" w:sz="8" w:space="0" w:color="auto"/>
              <w:right w:val="single" w:sz="8" w:space="0" w:color="auto"/>
            </w:tcBorders>
            <w:tcMar>
              <w:top w:w="0" w:type="dxa"/>
              <w:left w:w="108" w:type="dxa"/>
              <w:bottom w:w="0" w:type="dxa"/>
              <w:right w:w="108" w:type="dxa"/>
            </w:tcMar>
          </w:tcPr>
          <w:p w:rsidR="0047398E" w:rsidRPr="00F23706" w:rsidP="0047398E" w14:paraId="3499E1DD" w14:textId="172C3B24">
            <w:pPr>
              <w:adjustRightInd/>
              <w:jc w:val="right"/>
              <w:textAlignment w:val="auto"/>
              <w:rPr>
                <w:rFonts w:eastAsia="Calibri"/>
                <w:color w:val="000000"/>
              </w:rPr>
            </w:pPr>
            <w:r w:rsidRPr="00F23706">
              <w:rPr>
                <w:rFonts w:eastAsia="Calibri"/>
                <w:color w:val="000000"/>
                <w:sz w:val="18"/>
                <w:szCs w:val="18"/>
              </w:rPr>
              <w:t>$10</w:t>
            </w:r>
            <w:r w:rsidR="00A5000A">
              <w:rPr>
                <w:rFonts w:eastAsia="Calibri"/>
                <w:color w:val="000000"/>
                <w:sz w:val="18"/>
                <w:szCs w:val="18"/>
              </w:rPr>
              <w:t>5,432</w:t>
            </w:r>
          </w:p>
        </w:tc>
      </w:tr>
    </w:tbl>
    <w:bookmarkEnd w:id="1"/>
    <w:p w:rsidR="009E13B1" w:rsidRPr="00F23706" w14:paraId="197E2D1B" w14:textId="33C6D1AB">
      <w:pPr>
        <w:keepLines/>
        <w:tabs>
          <w:tab w:val="left" w:pos="360"/>
          <w:tab w:val="left" w:pos="720"/>
          <w:tab w:val="center" w:pos="1680"/>
          <w:tab w:val="center" w:pos="3120"/>
          <w:tab w:val="center" w:pos="4560"/>
          <w:tab w:val="center" w:pos="6000"/>
          <w:tab w:val="center" w:pos="7440"/>
          <w:tab w:val="center" w:pos="8880"/>
        </w:tabs>
        <w:ind w:left="360"/>
      </w:pPr>
      <w:r>
        <w:t xml:space="preserve">*Please note </w:t>
      </w:r>
      <w:r w:rsidR="00FE4E70">
        <w:t xml:space="preserve">the Legal Instructions and associated Exhibits A through D form one single document (HUD </w:t>
      </w:r>
      <w:r w:rsidR="00F23706">
        <w:t xml:space="preserve">2510). The Exhibits </w:t>
      </w:r>
      <w:r w:rsidR="360643E8">
        <w:t>are</w:t>
      </w:r>
      <w:r w:rsidR="00F23706">
        <w:t xml:space="preserve"> separate</w:t>
      </w:r>
      <w:r w:rsidR="63D6CB06">
        <w:t>d</w:t>
      </w:r>
      <w:r w:rsidR="181ACE02">
        <w:t xml:space="preserve"> </w:t>
      </w:r>
      <w:r w:rsidR="00F23706">
        <w:t>from the Legal Instructions for convenience and ease of review.</w:t>
      </w:r>
    </w:p>
    <w:p w:rsidR="00E00D88" w:rsidP="00A312DA" w14:paraId="5A31185B" w14:textId="77777777">
      <w:pPr>
        <w:keepLines/>
        <w:tabs>
          <w:tab w:val="left" w:pos="360"/>
          <w:tab w:val="left" w:pos="720"/>
          <w:tab w:val="center" w:pos="1680"/>
          <w:tab w:val="center" w:pos="3120"/>
          <w:tab w:val="center" w:pos="4560"/>
          <w:tab w:val="center" w:pos="6000"/>
          <w:tab w:val="center" w:pos="7440"/>
          <w:tab w:val="center" w:pos="8880"/>
        </w:tabs>
        <w:rPr>
          <w:sz w:val="24"/>
          <w:szCs w:val="24"/>
        </w:rPr>
      </w:pPr>
    </w:p>
    <w:p w:rsidR="000D5079" w:rsidRPr="00263696" w14:paraId="0CEE4D0B" w14:textId="77777777">
      <w:pPr>
        <w:tabs>
          <w:tab w:val="left" w:pos="360"/>
        </w:tabs>
        <w:ind w:left="360" w:hanging="360"/>
        <w:rPr>
          <w:b/>
          <w:bCs/>
          <w:sz w:val="24"/>
          <w:szCs w:val="24"/>
        </w:rPr>
      </w:pPr>
      <w:r w:rsidRPr="00263696">
        <w:rPr>
          <w:b/>
          <w:bCs/>
          <w:sz w:val="24"/>
          <w:szCs w:val="24"/>
        </w:rPr>
        <w:t>13.</w:t>
      </w:r>
      <w:r w:rsidRPr="00263696">
        <w:rPr>
          <w:b/>
          <w:bCs/>
          <w:sz w:val="24"/>
          <w:szCs w:val="24"/>
        </w:rPr>
        <w:tab/>
        <w:t>Provide an estimate of the total annual cost burden to respondents or recordkeepers resulting from the collection of information. (Do not include the cost of any hour burden already reflected on the burden worksheet shown in Items 12 and 14).</w:t>
      </w:r>
    </w:p>
    <w:p w:rsidR="009E13B1" w:rsidRPr="00263696" w14:paraId="2D0E6548" w14:textId="77777777">
      <w:pPr>
        <w:tabs>
          <w:tab w:val="left" w:pos="360"/>
        </w:tabs>
        <w:ind w:left="360" w:hanging="360"/>
        <w:rPr>
          <w:b/>
          <w:bCs/>
          <w:sz w:val="24"/>
          <w:szCs w:val="24"/>
        </w:rPr>
      </w:pPr>
      <w:r w:rsidRPr="00263696">
        <w:rPr>
          <w:b/>
          <w:bCs/>
          <w:sz w:val="24"/>
          <w:szCs w:val="24"/>
        </w:rPr>
        <w:t xml:space="preserve"> </w:t>
      </w:r>
    </w:p>
    <w:p w:rsidR="009E13B1" w:rsidRPr="00263696" w14:paraId="1C503D2C" w14:textId="77777777">
      <w:pPr>
        <w:numPr>
          <w:ilvl w:val="0"/>
          <w:numId w:val="21"/>
        </w:numPr>
        <w:tabs>
          <w:tab w:val="left" w:pos="360"/>
        </w:tabs>
        <w:ind w:left="480"/>
        <w:rPr>
          <w:b/>
          <w:bCs/>
          <w:sz w:val="24"/>
          <w:szCs w:val="24"/>
        </w:rPr>
      </w:pPr>
      <w:r w:rsidRPr="00263696">
        <w:rPr>
          <w:b/>
          <w:bCs/>
          <w:sz w:val="24"/>
          <w:szCs w:val="24"/>
        </w:rPr>
        <w:t xml:space="preserve">The cost estimate should be split into two components: (a) a total capital and start-up cost component (annualized over its expected useful life); and (b) a total operation and maintenance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009E13B1" w:rsidRPr="00263696" w14:paraId="4D47756F" w14:textId="77777777">
      <w:pPr>
        <w:numPr>
          <w:ilvl w:val="0"/>
          <w:numId w:val="21"/>
        </w:numPr>
        <w:tabs>
          <w:tab w:val="left" w:pos="360"/>
        </w:tabs>
        <w:ind w:left="480"/>
        <w:rPr>
          <w:b/>
          <w:bCs/>
          <w:sz w:val="24"/>
          <w:szCs w:val="24"/>
        </w:rPr>
      </w:pPr>
      <w:r w:rsidRPr="00263696">
        <w:rPr>
          <w:b/>
          <w:bCs/>
          <w:sz w:val="24"/>
          <w:szCs w:val="24"/>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rsidR="009E13B1" w14:paraId="497102DC" w14:textId="77777777">
      <w:pPr>
        <w:keepLines/>
        <w:numPr>
          <w:ilvl w:val="0"/>
          <w:numId w:val="21"/>
        </w:numPr>
        <w:tabs>
          <w:tab w:val="left" w:pos="360"/>
        </w:tabs>
        <w:spacing w:after="80"/>
        <w:ind w:left="480"/>
        <w:rPr>
          <w:b/>
          <w:bCs/>
          <w:sz w:val="24"/>
          <w:szCs w:val="24"/>
        </w:rPr>
      </w:pPr>
      <w:r w:rsidRPr="00263696">
        <w:rPr>
          <w:b/>
          <w:bCs/>
          <w:sz w:val="24"/>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3549E8" w:rsidP="003549E8" w14:paraId="6F0541FB" w14:textId="77777777">
      <w:pPr>
        <w:pStyle w:val="NoSpacing"/>
      </w:pPr>
    </w:p>
    <w:p w:rsidR="00F131B4" w:rsidP="00263696" w14:paraId="38A7D7F5" w14:textId="376D1682">
      <w:pPr>
        <w:keepLines/>
        <w:tabs>
          <w:tab w:val="left" w:pos="360"/>
        </w:tabs>
        <w:spacing w:after="80"/>
        <w:ind w:left="360"/>
        <w:rPr>
          <w:sz w:val="24"/>
          <w:szCs w:val="24"/>
        </w:rPr>
      </w:pPr>
      <w:r w:rsidRPr="00263696">
        <w:rPr>
          <w:sz w:val="24"/>
          <w:szCs w:val="24"/>
        </w:rPr>
        <w:t>There are no capital or start-up costs.  There are no cost burdens to respondents for operation and</w:t>
      </w:r>
      <w:r>
        <w:rPr>
          <w:sz w:val="24"/>
          <w:szCs w:val="24"/>
        </w:rPr>
        <w:t xml:space="preserve"> </w:t>
      </w:r>
      <w:r w:rsidRPr="00263696">
        <w:rPr>
          <w:sz w:val="24"/>
          <w:szCs w:val="24"/>
        </w:rPr>
        <w:t>maintenance.</w:t>
      </w:r>
    </w:p>
    <w:p w:rsidR="003549E8" w:rsidP="003549E8" w14:paraId="7246D486" w14:textId="0AFE794F">
      <w:pPr>
        <w:pStyle w:val="NoSpacing"/>
      </w:pPr>
      <w:r>
        <w:tab/>
      </w:r>
    </w:p>
    <w:p w:rsidR="00FE1607" w:rsidP="003549E8" w14:paraId="0046A1A8" w14:textId="77777777">
      <w:pPr>
        <w:pStyle w:val="NoSpacing"/>
      </w:pPr>
    </w:p>
    <w:p w:rsidR="00FE1607" w:rsidP="003549E8" w14:paraId="6149252E" w14:textId="77777777">
      <w:pPr>
        <w:pStyle w:val="NoSpacing"/>
      </w:pPr>
    </w:p>
    <w:p w:rsidR="00FE1607" w:rsidP="003549E8" w14:paraId="5FD34847" w14:textId="77777777">
      <w:pPr>
        <w:pStyle w:val="NoSpacing"/>
      </w:pPr>
    </w:p>
    <w:p w:rsidR="009E13B1" w14:paraId="0F877C1B" w14:textId="77777777">
      <w:pPr>
        <w:keepLines/>
        <w:tabs>
          <w:tab w:val="left" w:pos="360"/>
        </w:tabs>
        <w:spacing w:after="80"/>
        <w:ind w:left="360" w:hanging="360"/>
        <w:rPr>
          <w:b/>
          <w:bCs/>
          <w:sz w:val="24"/>
          <w:szCs w:val="24"/>
        </w:rPr>
      </w:pPr>
      <w:r w:rsidRPr="00263696">
        <w:rPr>
          <w:b/>
          <w:bCs/>
          <w:sz w:val="24"/>
          <w:szCs w:val="24"/>
        </w:rPr>
        <w:t>14.</w:t>
      </w:r>
      <w:r w:rsidRPr="00263696">
        <w:rPr>
          <w:b/>
          <w:bCs/>
          <w:sz w:val="24"/>
          <w:szCs w:val="24"/>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FB30BE" w:rsidP="00FB30BE" w14:paraId="15BE8421" w14:textId="440600C8">
      <w:pPr>
        <w:rPr>
          <w:bCs/>
          <w:snapToGrid w:val="0"/>
          <w:sz w:val="22"/>
        </w:rPr>
      </w:pPr>
    </w:p>
    <w:p w:rsidR="00FB30BE" w:rsidRPr="00BB5948" w:rsidP="00FB30BE" w14:paraId="48DFA694" w14:textId="77777777">
      <w:pPr>
        <w:pStyle w:val="BodyTextIndent2"/>
        <w:spacing w:after="0" w:line="240" w:lineRule="auto"/>
      </w:pPr>
      <w:r>
        <w:t>For each claim filed, a paralegal specialist (typically a GS12) will spend an average of 3 hours and two GS14 attorney advisors will each spend approximately 16 hours reviewing the claim documents and corresponding with mortgagee’s counsel to ensure compliance with the Legal Instructions. Assuming an hourly rate of $</w:t>
      </w:r>
      <w:r w:rsidRPr="0054386A">
        <w:t>55.07</w:t>
      </w:r>
      <w:r>
        <w:t xml:space="preserve"> (GS12, Step 5) for the paralegal specialist and an hourly rate of $77.38 (GS14, Step 5) for the attorney advisors, the labor cost will be approximately </w:t>
      </w:r>
      <w:r w:rsidRPr="00A7534A">
        <w:t>$</w:t>
      </w:r>
      <w:r>
        <w:t>2,641.37</w:t>
      </w:r>
      <w:r w:rsidRPr="00F50872">
        <w:t xml:space="preserve"> for staff review of the insurance claim.  An additional 2 hours of the supervising attorney ($91.02 for a GS15, Step 5) adds approximately an additional $182.04 to the claim review.  (See OPM table of federal wages which</w:t>
      </w:r>
      <w:r>
        <w:t xml:space="preserve"> provide an hourly rate </w:t>
      </w:r>
      <w:r w:rsidRPr="00D750F5">
        <w:t>https://www.opm.gov/policy-data-oversight/pay-leave/salaries-wages/salary-tables/25Tables/html/DCB_h.aspx</w:t>
      </w:r>
      <w:r>
        <w:t>)  Therefore, the HUD employee wage cost per appl</w:t>
      </w:r>
      <w:r w:rsidRPr="00BB5948">
        <w:t>ication is $2,</w:t>
      </w:r>
      <w:r>
        <w:t>823.41</w:t>
      </w:r>
      <w:r w:rsidRPr="00BB5948">
        <w:t>, which reflects the total cost to the federal government per insurance claim.</w:t>
      </w:r>
    </w:p>
    <w:p w:rsidR="00FB30BE" w:rsidRPr="00BB5948" w:rsidP="00FB30BE" w14:paraId="47064545" w14:textId="77777777">
      <w:pPr>
        <w:pStyle w:val="BodyTextIndent"/>
        <w:spacing w:after="0" w:line="240" w:lineRule="auto"/>
        <w:rPr>
          <w:b/>
          <w:szCs w:val="24"/>
        </w:rPr>
      </w:pPr>
    </w:p>
    <w:p w:rsidR="00FB30BE" w:rsidRPr="00D922CC" w:rsidP="00FB30BE" w14:paraId="569C492C" w14:textId="77777777">
      <w:pPr>
        <w:pStyle w:val="BodyTextIndent"/>
        <w:spacing w:after="0" w:line="240" w:lineRule="auto"/>
      </w:pPr>
      <w:r w:rsidRPr="00BB5948">
        <w:t>Total estimated annualized costs to the Federal government are $</w:t>
      </w:r>
      <w:r>
        <w:t xml:space="preserve">67,761.84 </w:t>
      </w:r>
      <w:r w:rsidRPr="00BB5948">
        <w:t>based on 37 hours processing time at $2</w:t>
      </w:r>
      <w:r>
        <w:t xml:space="preserve">,823.41 </w:t>
      </w:r>
      <w:r w:rsidRPr="43CFF13D">
        <w:t xml:space="preserve">per claim for </w:t>
      </w:r>
      <w:r>
        <w:t>24</w:t>
      </w:r>
      <w:r w:rsidRPr="43CFF13D">
        <w:t xml:space="preserve"> responses.</w:t>
      </w:r>
    </w:p>
    <w:p w:rsidR="00FB30BE" w:rsidRPr="00263696" w14:paraId="6C0555CB" w14:textId="44B00669">
      <w:pPr>
        <w:keepLines/>
        <w:tabs>
          <w:tab w:val="left" w:pos="360"/>
        </w:tabs>
        <w:spacing w:after="80"/>
        <w:ind w:left="360" w:hanging="360"/>
        <w:rPr>
          <w:b/>
          <w:bCs/>
          <w:sz w:val="24"/>
          <w:szCs w:val="24"/>
        </w:rPr>
      </w:pPr>
    </w:p>
    <w:tbl>
      <w:tblPr>
        <w:tblW w:w="9720"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502"/>
        <w:gridCol w:w="1388"/>
        <w:gridCol w:w="1090"/>
        <w:gridCol w:w="1059"/>
        <w:gridCol w:w="984"/>
        <w:gridCol w:w="835"/>
        <w:gridCol w:w="1116"/>
        <w:gridCol w:w="1746"/>
      </w:tblGrid>
      <w:tr w14:paraId="429251E2" w14:textId="77777777" w:rsidTr="00B17B6B">
        <w:tblPrEx>
          <w:tblW w:w="9720"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782"/>
        </w:trPr>
        <w:tc>
          <w:tcPr>
            <w:tcW w:w="1502" w:type="dxa"/>
            <w:tcMar>
              <w:top w:w="0" w:type="dxa"/>
              <w:left w:w="108" w:type="dxa"/>
              <w:bottom w:w="0" w:type="dxa"/>
              <w:right w:w="108" w:type="dxa"/>
            </w:tcMar>
            <w:hideMark/>
          </w:tcPr>
          <w:p w:rsidR="00B17B6B" w:rsidRPr="00484D1B" w:rsidP="00D234BF" w14:paraId="615E7344" w14:textId="77777777">
            <w:pPr>
              <w:jc w:val="center"/>
              <w:rPr>
                <w:rFonts w:eastAsia="Calibri"/>
                <w:b/>
                <w:bCs/>
                <w:color w:val="000000"/>
                <w:sz w:val="18"/>
                <w:szCs w:val="18"/>
              </w:rPr>
            </w:pPr>
            <w:r w:rsidRPr="00484D1B">
              <w:rPr>
                <w:rFonts w:eastAsia="Calibri"/>
                <w:b/>
                <w:bCs/>
                <w:color w:val="000000"/>
                <w:sz w:val="18"/>
                <w:szCs w:val="18"/>
              </w:rPr>
              <w:t>Information Collection</w:t>
            </w:r>
          </w:p>
          <w:p w:rsidR="00B17B6B" w:rsidRPr="00B17B6B" w:rsidP="00D234BF" w14:paraId="7F78DD87" w14:textId="77777777">
            <w:pPr>
              <w:jc w:val="center"/>
              <w:rPr>
                <w:rFonts w:eastAsia="Calibri"/>
                <w:color w:val="000000"/>
                <w:sz w:val="18"/>
                <w:szCs w:val="18"/>
              </w:rPr>
            </w:pPr>
            <w:r w:rsidRPr="00B17B6B">
              <w:rPr>
                <w:rFonts w:eastAsia="Calibri"/>
                <w:color w:val="000000"/>
                <w:sz w:val="18"/>
                <w:szCs w:val="18"/>
              </w:rPr>
              <w:t>2510-0006</w:t>
            </w:r>
          </w:p>
        </w:tc>
        <w:tc>
          <w:tcPr>
            <w:tcW w:w="1388" w:type="dxa"/>
            <w:tcMar>
              <w:top w:w="0" w:type="dxa"/>
              <w:left w:w="108" w:type="dxa"/>
              <w:bottom w:w="0" w:type="dxa"/>
              <w:right w:w="108" w:type="dxa"/>
            </w:tcMar>
            <w:hideMark/>
          </w:tcPr>
          <w:p w:rsidR="00B17B6B" w:rsidRPr="00484D1B" w:rsidP="00D234BF" w14:paraId="5AD77E79" w14:textId="77777777">
            <w:pPr>
              <w:jc w:val="center"/>
              <w:rPr>
                <w:rFonts w:eastAsia="Calibri"/>
                <w:b/>
                <w:bCs/>
                <w:color w:val="000000"/>
                <w:sz w:val="18"/>
                <w:szCs w:val="18"/>
              </w:rPr>
            </w:pPr>
            <w:r w:rsidRPr="00484D1B">
              <w:rPr>
                <w:rFonts w:eastAsia="Calibri"/>
                <w:b/>
                <w:bCs/>
                <w:color w:val="000000"/>
                <w:sz w:val="18"/>
                <w:szCs w:val="18"/>
              </w:rPr>
              <w:t>Number of Respondents</w:t>
            </w:r>
          </w:p>
        </w:tc>
        <w:tc>
          <w:tcPr>
            <w:tcW w:w="1090" w:type="dxa"/>
            <w:tcMar>
              <w:top w:w="0" w:type="dxa"/>
              <w:left w:w="108" w:type="dxa"/>
              <w:bottom w:w="0" w:type="dxa"/>
              <w:right w:w="108" w:type="dxa"/>
            </w:tcMar>
            <w:hideMark/>
          </w:tcPr>
          <w:p w:rsidR="00B17B6B" w:rsidRPr="00484D1B" w:rsidP="00D234BF" w14:paraId="181BE0AB" w14:textId="77777777">
            <w:pPr>
              <w:jc w:val="center"/>
              <w:rPr>
                <w:rFonts w:eastAsia="Calibri"/>
                <w:b/>
                <w:bCs/>
                <w:color w:val="000000"/>
                <w:sz w:val="18"/>
                <w:szCs w:val="18"/>
              </w:rPr>
            </w:pPr>
            <w:r w:rsidRPr="00484D1B">
              <w:rPr>
                <w:rFonts w:eastAsia="Calibri"/>
                <w:b/>
                <w:bCs/>
                <w:color w:val="000000"/>
                <w:sz w:val="18"/>
                <w:szCs w:val="18"/>
              </w:rPr>
              <w:t>Frequency of Response</w:t>
            </w:r>
          </w:p>
        </w:tc>
        <w:tc>
          <w:tcPr>
            <w:tcW w:w="1059" w:type="dxa"/>
            <w:tcMar>
              <w:top w:w="0" w:type="dxa"/>
              <w:left w:w="108" w:type="dxa"/>
              <w:bottom w:w="0" w:type="dxa"/>
              <w:right w:w="108" w:type="dxa"/>
            </w:tcMar>
            <w:hideMark/>
          </w:tcPr>
          <w:p w:rsidR="00B17B6B" w:rsidRPr="00484D1B" w:rsidP="00D234BF" w14:paraId="0086CB81" w14:textId="77777777">
            <w:pPr>
              <w:jc w:val="center"/>
              <w:rPr>
                <w:rFonts w:eastAsia="Calibri"/>
                <w:b/>
                <w:bCs/>
                <w:color w:val="000000"/>
                <w:sz w:val="18"/>
                <w:szCs w:val="18"/>
              </w:rPr>
            </w:pPr>
            <w:r w:rsidRPr="00484D1B">
              <w:rPr>
                <w:rFonts w:eastAsia="Calibri"/>
                <w:b/>
                <w:bCs/>
                <w:color w:val="000000"/>
                <w:sz w:val="18"/>
                <w:szCs w:val="18"/>
              </w:rPr>
              <w:t>Responses</w:t>
            </w:r>
          </w:p>
          <w:p w:rsidR="00B17B6B" w:rsidRPr="00484D1B" w:rsidP="00D234BF" w14:paraId="4E39BD00" w14:textId="77777777">
            <w:pPr>
              <w:jc w:val="center"/>
              <w:rPr>
                <w:rFonts w:eastAsia="Calibri"/>
                <w:b/>
                <w:bCs/>
                <w:color w:val="000000"/>
                <w:sz w:val="18"/>
                <w:szCs w:val="18"/>
              </w:rPr>
            </w:pPr>
            <w:r w:rsidRPr="00484D1B">
              <w:rPr>
                <w:rFonts w:eastAsia="Calibri"/>
                <w:b/>
                <w:bCs/>
                <w:color w:val="000000"/>
                <w:sz w:val="18"/>
                <w:szCs w:val="18"/>
              </w:rPr>
              <w:t>Per Annum</w:t>
            </w:r>
          </w:p>
        </w:tc>
        <w:tc>
          <w:tcPr>
            <w:tcW w:w="984" w:type="dxa"/>
            <w:tcMar>
              <w:top w:w="0" w:type="dxa"/>
              <w:left w:w="108" w:type="dxa"/>
              <w:bottom w:w="0" w:type="dxa"/>
              <w:right w:w="108" w:type="dxa"/>
            </w:tcMar>
            <w:hideMark/>
          </w:tcPr>
          <w:p w:rsidR="00B17B6B" w:rsidRPr="00484D1B" w:rsidP="00D234BF" w14:paraId="18147821" w14:textId="77777777">
            <w:pPr>
              <w:jc w:val="center"/>
              <w:rPr>
                <w:rFonts w:eastAsia="Calibri"/>
                <w:b/>
                <w:bCs/>
                <w:color w:val="000000"/>
                <w:sz w:val="18"/>
                <w:szCs w:val="18"/>
              </w:rPr>
            </w:pPr>
            <w:r w:rsidRPr="00484D1B">
              <w:rPr>
                <w:rFonts w:eastAsia="Calibri"/>
                <w:b/>
                <w:bCs/>
                <w:color w:val="000000"/>
                <w:sz w:val="18"/>
                <w:szCs w:val="18"/>
              </w:rPr>
              <w:t>Burden Hour Per Response</w:t>
            </w:r>
          </w:p>
        </w:tc>
        <w:tc>
          <w:tcPr>
            <w:tcW w:w="835" w:type="dxa"/>
            <w:tcMar>
              <w:top w:w="0" w:type="dxa"/>
              <w:left w:w="108" w:type="dxa"/>
              <w:bottom w:w="0" w:type="dxa"/>
              <w:right w:w="108" w:type="dxa"/>
            </w:tcMar>
            <w:hideMark/>
          </w:tcPr>
          <w:p w:rsidR="00B17B6B" w:rsidRPr="00484D1B" w:rsidP="00D234BF" w14:paraId="645141BC" w14:textId="77777777">
            <w:pPr>
              <w:jc w:val="center"/>
              <w:rPr>
                <w:rFonts w:eastAsia="Calibri"/>
                <w:b/>
                <w:bCs/>
                <w:color w:val="000000"/>
                <w:sz w:val="18"/>
                <w:szCs w:val="18"/>
              </w:rPr>
            </w:pPr>
            <w:r w:rsidRPr="00484D1B">
              <w:rPr>
                <w:rFonts w:eastAsia="Calibri"/>
                <w:b/>
                <w:bCs/>
                <w:color w:val="000000"/>
                <w:sz w:val="18"/>
                <w:szCs w:val="18"/>
              </w:rPr>
              <w:t>Annual Burden Hours</w:t>
            </w:r>
          </w:p>
        </w:tc>
        <w:tc>
          <w:tcPr>
            <w:tcW w:w="1116" w:type="dxa"/>
            <w:tcMar>
              <w:top w:w="0" w:type="dxa"/>
              <w:left w:w="108" w:type="dxa"/>
              <w:bottom w:w="0" w:type="dxa"/>
              <w:right w:w="108" w:type="dxa"/>
            </w:tcMar>
            <w:hideMark/>
          </w:tcPr>
          <w:p w:rsidR="00B17B6B" w:rsidRPr="00484D1B" w:rsidP="00D234BF" w14:paraId="1C53A889" w14:textId="77777777">
            <w:pPr>
              <w:jc w:val="center"/>
              <w:rPr>
                <w:rFonts w:eastAsia="Calibri"/>
                <w:b/>
                <w:bCs/>
                <w:color w:val="000000"/>
                <w:sz w:val="18"/>
                <w:szCs w:val="18"/>
              </w:rPr>
            </w:pPr>
            <w:r w:rsidRPr="00484D1B">
              <w:rPr>
                <w:rFonts w:eastAsia="Calibri"/>
                <w:b/>
                <w:bCs/>
                <w:color w:val="000000"/>
                <w:sz w:val="18"/>
                <w:szCs w:val="18"/>
              </w:rPr>
              <w:t>Hourly Cost Per Response</w:t>
            </w:r>
          </w:p>
        </w:tc>
        <w:tc>
          <w:tcPr>
            <w:tcW w:w="1746" w:type="dxa"/>
            <w:tcMar>
              <w:top w:w="0" w:type="dxa"/>
              <w:left w:w="108" w:type="dxa"/>
              <w:bottom w:w="0" w:type="dxa"/>
              <w:right w:w="108" w:type="dxa"/>
            </w:tcMar>
          </w:tcPr>
          <w:p w:rsidR="00B17B6B" w:rsidRPr="00484D1B" w:rsidP="00D234BF" w14:paraId="50753E13" w14:textId="77777777">
            <w:pPr>
              <w:jc w:val="center"/>
              <w:rPr>
                <w:rFonts w:eastAsia="Calibri"/>
                <w:b/>
                <w:bCs/>
                <w:color w:val="000000"/>
                <w:sz w:val="18"/>
                <w:szCs w:val="18"/>
              </w:rPr>
            </w:pPr>
            <w:r w:rsidRPr="00484D1B">
              <w:rPr>
                <w:rFonts w:eastAsia="Calibri"/>
                <w:b/>
                <w:bCs/>
                <w:color w:val="000000"/>
                <w:sz w:val="18"/>
                <w:szCs w:val="18"/>
              </w:rPr>
              <w:t>Annual Cost</w:t>
            </w:r>
          </w:p>
          <w:p w:rsidR="00B17B6B" w:rsidRPr="00484D1B" w:rsidP="00D234BF" w14:paraId="3CDB427C" w14:textId="77777777">
            <w:pPr>
              <w:jc w:val="center"/>
              <w:rPr>
                <w:rFonts w:eastAsia="Calibri"/>
                <w:b/>
                <w:bCs/>
                <w:color w:val="000000"/>
                <w:sz w:val="18"/>
                <w:szCs w:val="18"/>
              </w:rPr>
            </w:pPr>
          </w:p>
        </w:tc>
      </w:tr>
      <w:tr w14:paraId="47567B7A" w14:textId="77777777" w:rsidTr="00B17B6B">
        <w:tblPrEx>
          <w:tblW w:w="9720" w:type="dxa"/>
          <w:tblInd w:w="607" w:type="dxa"/>
          <w:tblCellMar>
            <w:left w:w="0" w:type="dxa"/>
            <w:right w:w="0" w:type="dxa"/>
          </w:tblCellMar>
          <w:tblLook w:val="04A0"/>
        </w:tblPrEx>
        <w:tc>
          <w:tcPr>
            <w:tcW w:w="1502" w:type="dxa"/>
            <w:tcMar>
              <w:top w:w="0" w:type="dxa"/>
              <w:left w:w="108" w:type="dxa"/>
              <w:bottom w:w="0" w:type="dxa"/>
              <w:right w:w="108" w:type="dxa"/>
            </w:tcMar>
          </w:tcPr>
          <w:p w:rsidR="00B17B6B" w:rsidRPr="00B17B6B" w:rsidP="00D234BF" w14:paraId="025C25D8" w14:textId="77777777">
            <w:pPr>
              <w:jc w:val="center"/>
              <w:rPr>
                <w:rFonts w:eastAsia="Calibri"/>
                <w:color w:val="000000"/>
                <w:sz w:val="18"/>
                <w:szCs w:val="18"/>
              </w:rPr>
            </w:pPr>
            <w:r w:rsidRPr="00B17B6B">
              <w:rPr>
                <w:rFonts w:eastAsia="Calibri"/>
                <w:color w:val="000000"/>
                <w:sz w:val="18"/>
                <w:szCs w:val="18"/>
              </w:rPr>
              <w:t xml:space="preserve">Paralegal Specialist </w:t>
            </w:r>
          </w:p>
          <w:p w:rsidR="00B17B6B" w:rsidRPr="00B17B6B" w:rsidP="00D234BF" w14:paraId="242481AC" w14:textId="77777777">
            <w:pPr>
              <w:jc w:val="center"/>
              <w:rPr>
                <w:rFonts w:eastAsia="Calibri"/>
                <w:color w:val="000000"/>
                <w:sz w:val="18"/>
                <w:szCs w:val="18"/>
              </w:rPr>
            </w:pPr>
            <w:r w:rsidRPr="00B17B6B">
              <w:rPr>
                <w:rFonts w:eastAsia="Calibri"/>
                <w:color w:val="000000"/>
                <w:sz w:val="18"/>
                <w:szCs w:val="18"/>
              </w:rPr>
              <w:t>(GS 12 Step 5)</w:t>
            </w:r>
          </w:p>
        </w:tc>
        <w:tc>
          <w:tcPr>
            <w:tcW w:w="1388" w:type="dxa"/>
            <w:tcMar>
              <w:top w:w="0" w:type="dxa"/>
              <w:left w:w="108" w:type="dxa"/>
              <w:bottom w:w="0" w:type="dxa"/>
              <w:right w:w="108" w:type="dxa"/>
            </w:tcMar>
          </w:tcPr>
          <w:p w:rsidR="00B17B6B" w:rsidRPr="00B17B6B" w:rsidP="00D234BF" w14:paraId="278F71CA" w14:textId="77777777">
            <w:pPr>
              <w:jc w:val="center"/>
              <w:rPr>
                <w:rFonts w:eastAsia="Calibri"/>
                <w:color w:val="000000"/>
                <w:sz w:val="18"/>
                <w:szCs w:val="18"/>
              </w:rPr>
            </w:pPr>
            <w:r w:rsidRPr="00B17B6B">
              <w:rPr>
                <w:rFonts w:eastAsia="Calibri"/>
                <w:color w:val="000000"/>
                <w:sz w:val="18"/>
                <w:szCs w:val="18"/>
              </w:rPr>
              <w:t>24</w:t>
            </w:r>
          </w:p>
        </w:tc>
        <w:tc>
          <w:tcPr>
            <w:tcW w:w="1090" w:type="dxa"/>
            <w:tcMar>
              <w:top w:w="0" w:type="dxa"/>
              <w:left w:w="108" w:type="dxa"/>
              <w:bottom w:w="0" w:type="dxa"/>
              <w:right w:w="108" w:type="dxa"/>
            </w:tcMar>
          </w:tcPr>
          <w:p w:rsidR="00B17B6B" w:rsidRPr="00B17B6B" w:rsidP="00D234BF" w14:paraId="450D15BE" w14:textId="77777777">
            <w:pPr>
              <w:jc w:val="center"/>
              <w:rPr>
                <w:rFonts w:eastAsia="Calibri"/>
                <w:color w:val="000000"/>
                <w:sz w:val="18"/>
                <w:szCs w:val="18"/>
              </w:rPr>
            </w:pPr>
            <w:r w:rsidRPr="00B17B6B">
              <w:rPr>
                <w:rFonts w:eastAsia="Calibri"/>
                <w:color w:val="000000"/>
                <w:sz w:val="18"/>
                <w:szCs w:val="18"/>
              </w:rPr>
              <w:t>1</w:t>
            </w:r>
          </w:p>
        </w:tc>
        <w:tc>
          <w:tcPr>
            <w:tcW w:w="1059" w:type="dxa"/>
            <w:tcMar>
              <w:top w:w="0" w:type="dxa"/>
              <w:left w:w="108" w:type="dxa"/>
              <w:bottom w:w="0" w:type="dxa"/>
              <w:right w:w="108" w:type="dxa"/>
            </w:tcMar>
          </w:tcPr>
          <w:p w:rsidR="00B17B6B" w:rsidRPr="00B17B6B" w:rsidP="00D234BF" w14:paraId="2207FF2E" w14:textId="77777777">
            <w:pPr>
              <w:jc w:val="center"/>
              <w:rPr>
                <w:rFonts w:eastAsia="Calibri"/>
                <w:color w:val="000000"/>
                <w:sz w:val="18"/>
                <w:szCs w:val="18"/>
              </w:rPr>
            </w:pPr>
            <w:r w:rsidRPr="00B17B6B">
              <w:rPr>
                <w:rFonts w:eastAsia="Calibri"/>
                <w:color w:val="000000"/>
                <w:sz w:val="18"/>
                <w:szCs w:val="18"/>
              </w:rPr>
              <w:t>24</w:t>
            </w:r>
          </w:p>
        </w:tc>
        <w:tc>
          <w:tcPr>
            <w:tcW w:w="984" w:type="dxa"/>
            <w:tcMar>
              <w:top w:w="0" w:type="dxa"/>
              <w:left w:w="108" w:type="dxa"/>
              <w:bottom w:w="0" w:type="dxa"/>
              <w:right w:w="108" w:type="dxa"/>
            </w:tcMar>
          </w:tcPr>
          <w:p w:rsidR="00B17B6B" w:rsidRPr="00B17B6B" w:rsidP="00D234BF" w14:paraId="27D5436E" w14:textId="77777777">
            <w:pPr>
              <w:jc w:val="center"/>
              <w:rPr>
                <w:rFonts w:eastAsia="Calibri"/>
                <w:color w:val="000000"/>
                <w:sz w:val="18"/>
                <w:szCs w:val="18"/>
              </w:rPr>
            </w:pPr>
            <w:r w:rsidRPr="00B17B6B">
              <w:rPr>
                <w:rFonts w:eastAsia="Calibri"/>
                <w:color w:val="000000"/>
                <w:sz w:val="18"/>
                <w:szCs w:val="18"/>
              </w:rPr>
              <w:t>3</w:t>
            </w:r>
          </w:p>
        </w:tc>
        <w:tc>
          <w:tcPr>
            <w:tcW w:w="835" w:type="dxa"/>
            <w:tcMar>
              <w:top w:w="0" w:type="dxa"/>
              <w:left w:w="108" w:type="dxa"/>
              <w:bottom w:w="0" w:type="dxa"/>
              <w:right w:w="108" w:type="dxa"/>
            </w:tcMar>
          </w:tcPr>
          <w:p w:rsidR="00B17B6B" w:rsidRPr="00B17B6B" w:rsidP="00D234BF" w14:paraId="3B88A3E2" w14:textId="77777777">
            <w:pPr>
              <w:jc w:val="center"/>
              <w:rPr>
                <w:rFonts w:eastAsia="Calibri"/>
                <w:color w:val="000000"/>
                <w:sz w:val="18"/>
                <w:szCs w:val="18"/>
              </w:rPr>
            </w:pPr>
            <w:r w:rsidRPr="00B17B6B">
              <w:rPr>
                <w:rFonts w:eastAsia="Calibri"/>
                <w:color w:val="000000"/>
                <w:sz w:val="18"/>
                <w:szCs w:val="18"/>
              </w:rPr>
              <w:t>72</w:t>
            </w:r>
          </w:p>
        </w:tc>
        <w:tc>
          <w:tcPr>
            <w:tcW w:w="1116" w:type="dxa"/>
            <w:tcMar>
              <w:top w:w="0" w:type="dxa"/>
              <w:left w:w="108" w:type="dxa"/>
              <w:bottom w:w="0" w:type="dxa"/>
              <w:right w:w="108" w:type="dxa"/>
            </w:tcMar>
          </w:tcPr>
          <w:p w:rsidR="00B17B6B" w:rsidRPr="00B17B6B" w:rsidP="00D234BF" w14:paraId="0403F58A" w14:textId="77777777">
            <w:pPr>
              <w:jc w:val="center"/>
              <w:rPr>
                <w:rFonts w:eastAsia="Calibri"/>
                <w:color w:val="000000"/>
                <w:sz w:val="18"/>
                <w:szCs w:val="18"/>
              </w:rPr>
            </w:pPr>
            <w:r w:rsidRPr="00B17B6B">
              <w:rPr>
                <w:rFonts w:eastAsia="Calibri"/>
                <w:color w:val="000000"/>
                <w:sz w:val="18"/>
                <w:szCs w:val="18"/>
              </w:rPr>
              <w:t>$55.07</w:t>
            </w:r>
          </w:p>
        </w:tc>
        <w:tc>
          <w:tcPr>
            <w:tcW w:w="1746" w:type="dxa"/>
            <w:tcMar>
              <w:top w:w="0" w:type="dxa"/>
              <w:left w:w="108" w:type="dxa"/>
              <w:bottom w:w="0" w:type="dxa"/>
              <w:right w:w="108" w:type="dxa"/>
            </w:tcMar>
          </w:tcPr>
          <w:p w:rsidR="00B17B6B" w:rsidRPr="00B17B6B" w:rsidP="00D234BF" w14:paraId="26EF59D8" w14:textId="77777777">
            <w:pPr>
              <w:jc w:val="center"/>
              <w:rPr>
                <w:rFonts w:eastAsia="Calibri"/>
                <w:color w:val="000000"/>
                <w:sz w:val="18"/>
                <w:szCs w:val="18"/>
              </w:rPr>
            </w:pPr>
            <w:r w:rsidRPr="00B17B6B">
              <w:rPr>
                <w:rFonts w:eastAsia="Calibri"/>
                <w:color w:val="000000"/>
                <w:sz w:val="18"/>
                <w:szCs w:val="18"/>
              </w:rPr>
              <w:t>$3,965.04</w:t>
            </w:r>
          </w:p>
        </w:tc>
      </w:tr>
      <w:tr w14:paraId="7DD6C0AE" w14:textId="77777777" w:rsidTr="00B17B6B">
        <w:tblPrEx>
          <w:tblW w:w="9720" w:type="dxa"/>
          <w:tblInd w:w="607" w:type="dxa"/>
          <w:tblCellMar>
            <w:left w:w="0" w:type="dxa"/>
            <w:right w:w="0" w:type="dxa"/>
          </w:tblCellMar>
          <w:tblLook w:val="04A0"/>
        </w:tblPrEx>
        <w:tc>
          <w:tcPr>
            <w:tcW w:w="1502" w:type="dxa"/>
            <w:tcMar>
              <w:top w:w="0" w:type="dxa"/>
              <w:left w:w="108" w:type="dxa"/>
              <w:bottom w:w="0" w:type="dxa"/>
              <w:right w:w="108" w:type="dxa"/>
            </w:tcMar>
          </w:tcPr>
          <w:p w:rsidR="00B17B6B" w:rsidRPr="00B17B6B" w:rsidP="00D234BF" w14:paraId="5BCBC026" w14:textId="77777777">
            <w:pPr>
              <w:jc w:val="center"/>
              <w:rPr>
                <w:rFonts w:eastAsia="Calibri"/>
                <w:color w:val="000000"/>
                <w:sz w:val="18"/>
                <w:szCs w:val="18"/>
              </w:rPr>
            </w:pPr>
            <w:r w:rsidRPr="00B17B6B">
              <w:rPr>
                <w:rFonts w:eastAsia="Calibri"/>
                <w:color w:val="000000"/>
                <w:sz w:val="18"/>
                <w:szCs w:val="18"/>
              </w:rPr>
              <w:t>Attorney Advisor</w:t>
            </w:r>
          </w:p>
          <w:p w:rsidR="00B17B6B" w:rsidRPr="00B17B6B" w:rsidP="00D234BF" w14:paraId="329760ED" w14:textId="77777777">
            <w:pPr>
              <w:jc w:val="center"/>
              <w:rPr>
                <w:rFonts w:eastAsia="Calibri"/>
                <w:color w:val="000000"/>
                <w:sz w:val="18"/>
                <w:szCs w:val="18"/>
              </w:rPr>
            </w:pPr>
            <w:r w:rsidRPr="00B17B6B">
              <w:rPr>
                <w:rFonts w:eastAsia="Calibri"/>
                <w:color w:val="000000"/>
                <w:sz w:val="18"/>
                <w:szCs w:val="18"/>
              </w:rPr>
              <w:t>(GS 14 Step 5)</w:t>
            </w:r>
          </w:p>
        </w:tc>
        <w:tc>
          <w:tcPr>
            <w:tcW w:w="1388" w:type="dxa"/>
            <w:tcMar>
              <w:top w:w="0" w:type="dxa"/>
              <w:left w:w="108" w:type="dxa"/>
              <w:bottom w:w="0" w:type="dxa"/>
              <w:right w:w="108" w:type="dxa"/>
            </w:tcMar>
          </w:tcPr>
          <w:p w:rsidR="00B17B6B" w:rsidRPr="00B17B6B" w:rsidP="00D234BF" w14:paraId="746E25E2" w14:textId="77777777">
            <w:pPr>
              <w:jc w:val="center"/>
              <w:rPr>
                <w:rFonts w:eastAsia="Calibri"/>
                <w:color w:val="000000"/>
                <w:sz w:val="18"/>
                <w:szCs w:val="18"/>
              </w:rPr>
            </w:pPr>
            <w:r w:rsidRPr="00B17B6B">
              <w:rPr>
                <w:rFonts w:eastAsia="Calibri"/>
                <w:color w:val="000000"/>
                <w:sz w:val="18"/>
                <w:szCs w:val="18"/>
              </w:rPr>
              <w:t>24</w:t>
            </w:r>
          </w:p>
        </w:tc>
        <w:tc>
          <w:tcPr>
            <w:tcW w:w="1090" w:type="dxa"/>
            <w:tcMar>
              <w:top w:w="0" w:type="dxa"/>
              <w:left w:w="108" w:type="dxa"/>
              <w:bottom w:w="0" w:type="dxa"/>
              <w:right w:w="108" w:type="dxa"/>
            </w:tcMar>
          </w:tcPr>
          <w:p w:rsidR="00B17B6B" w:rsidRPr="00B17B6B" w:rsidP="00D234BF" w14:paraId="40B03B60" w14:textId="77777777">
            <w:pPr>
              <w:jc w:val="center"/>
              <w:rPr>
                <w:rFonts w:eastAsia="Calibri"/>
                <w:color w:val="000000"/>
                <w:sz w:val="18"/>
                <w:szCs w:val="18"/>
              </w:rPr>
            </w:pPr>
            <w:r w:rsidRPr="00B17B6B">
              <w:rPr>
                <w:rFonts w:eastAsia="Calibri"/>
                <w:color w:val="000000"/>
                <w:sz w:val="18"/>
                <w:szCs w:val="18"/>
              </w:rPr>
              <w:t>1</w:t>
            </w:r>
          </w:p>
        </w:tc>
        <w:tc>
          <w:tcPr>
            <w:tcW w:w="1059" w:type="dxa"/>
            <w:tcMar>
              <w:top w:w="0" w:type="dxa"/>
              <w:left w:w="108" w:type="dxa"/>
              <w:bottom w:w="0" w:type="dxa"/>
              <w:right w:w="108" w:type="dxa"/>
            </w:tcMar>
          </w:tcPr>
          <w:p w:rsidR="00B17B6B" w:rsidRPr="00B17B6B" w:rsidP="00D234BF" w14:paraId="43E2977C" w14:textId="77777777">
            <w:pPr>
              <w:jc w:val="center"/>
              <w:rPr>
                <w:rFonts w:eastAsia="Calibri"/>
                <w:color w:val="000000"/>
                <w:sz w:val="18"/>
                <w:szCs w:val="18"/>
              </w:rPr>
            </w:pPr>
            <w:r w:rsidRPr="00B17B6B">
              <w:rPr>
                <w:rFonts w:eastAsia="Calibri"/>
                <w:color w:val="000000"/>
                <w:sz w:val="18"/>
                <w:szCs w:val="18"/>
              </w:rPr>
              <w:t>24</w:t>
            </w:r>
          </w:p>
        </w:tc>
        <w:tc>
          <w:tcPr>
            <w:tcW w:w="984" w:type="dxa"/>
            <w:tcMar>
              <w:top w:w="0" w:type="dxa"/>
              <w:left w:w="108" w:type="dxa"/>
              <w:bottom w:w="0" w:type="dxa"/>
              <w:right w:w="108" w:type="dxa"/>
            </w:tcMar>
          </w:tcPr>
          <w:p w:rsidR="00B17B6B" w:rsidRPr="00B17B6B" w:rsidP="00D234BF" w14:paraId="66DA4011" w14:textId="77777777">
            <w:pPr>
              <w:jc w:val="center"/>
              <w:rPr>
                <w:rFonts w:eastAsia="Calibri"/>
                <w:color w:val="000000"/>
                <w:sz w:val="18"/>
                <w:szCs w:val="18"/>
              </w:rPr>
            </w:pPr>
            <w:r w:rsidRPr="00B17B6B">
              <w:rPr>
                <w:rFonts w:eastAsia="Calibri"/>
                <w:color w:val="000000"/>
                <w:sz w:val="18"/>
                <w:szCs w:val="18"/>
              </w:rPr>
              <w:t>16</w:t>
            </w:r>
          </w:p>
        </w:tc>
        <w:tc>
          <w:tcPr>
            <w:tcW w:w="835" w:type="dxa"/>
            <w:tcMar>
              <w:top w:w="0" w:type="dxa"/>
              <w:left w:w="108" w:type="dxa"/>
              <w:bottom w:w="0" w:type="dxa"/>
              <w:right w:w="108" w:type="dxa"/>
            </w:tcMar>
          </w:tcPr>
          <w:p w:rsidR="00B17B6B" w:rsidRPr="00B17B6B" w:rsidP="00D234BF" w14:paraId="5DD8CC14" w14:textId="77777777">
            <w:pPr>
              <w:jc w:val="center"/>
              <w:rPr>
                <w:rFonts w:eastAsia="Calibri"/>
                <w:color w:val="000000"/>
                <w:sz w:val="18"/>
                <w:szCs w:val="18"/>
              </w:rPr>
            </w:pPr>
            <w:r w:rsidRPr="00B17B6B">
              <w:rPr>
                <w:rFonts w:eastAsia="Calibri"/>
                <w:color w:val="000000"/>
                <w:sz w:val="18"/>
                <w:szCs w:val="18"/>
              </w:rPr>
              <w:t>384</w:t>
            </w:r>
          </w:p>
        </w:tc>
        <w:tc>
          <w:tcPr>
            <w:tcW w:w="1116" w:type="dxa"/>
            <w:tcMar>
              <w:top w:w="0" w:type="dxa"/>
              <w:left w:w="108" w:type="dxa"/>
              <w:bottom w:w="0" w:type="dxa"/>
              <w:right w:w="108" w:type="dxa"/>
            </w:tcMar>
          </w:tcPr>
          <w:p w:rsidR="00B17B6B" w:rsidRPr="00B17B6B" w:rsidP="00D234BF" w14:paraId="6119F76D" w14:textId="77777777">
            <w:pPr>
              <w:jc w:val="center"/>
              <w:rPr>
                <w:rFonts w:eastAsia="Calibri"/>
                <w:color w:val="000000"/>
                <w:sz w:val="18"/>
                <w:szCs w:val="18"/>
              </w:rPr>
            </w:pPr>
            <w:r w:rsidRPr="00B17B6B">
              <w:rPr>
                <w:rFonts w:eastAsia="Calibri"/>
                <w:color w:val="000000"/>
                <w:sz w:val="18"/>
                <w:szCs w:val="18"/>
              </w:rPr>
              <w:t>$77.38</w:t>
            </w:r>
          </w:p>
        </w:tc>
        <w:tc>
          <w:tcPr>
            <w:tcW w:w="1746" w:type="dxa"/>
            <w:tcMar>
              <w:top w:w="0" w:type="dxa"/>
              <w:left w:w="108" w:type="dxa"/>
              <w:bottom w:w="0" w:type="dxa"/>
              <w:right w:w="108" w:type="dxa"/>
            </w:tcMar>
          </w:tcPr>
          <w:p w:rsidR="00B17B6B" w:rsidRPr="00B17B6B" w:rsidP="00D234BF" w14:paraId="3C35FA79" w14:textId="77777777">
            <w:pPr>
              <w:jc w:val="center"/>
              <w:rPr>
                <w:rFonts w:eastAsia="Calibri"/>
                <w:color w:val="000000"/>
                <w:sz w:val="18"/>
                <w:szCs w:val="18"/>
              </w:rPr>
            </w:pPr>
            <w:r w:rsidRPr="00B17B6B">
              <w:rPr>
                <w:rFonts w:eastAsia="Calibri"/>
                <w:color w:val="000000"/>
                <w:sz w:val="18"/>
                <w:szCs w:val="18"/>
              </w:rPr>
              <w:t>$29,713.92</w:t>
            </w:r>
          </w:p>
        </w:tc>
      </w:tr>
      <w:tr w14:paraId="307970B2" w14:textId="77777777" w:rsidTr="00B17B6B">
        <w:tblPrEx>
          <w:tblW w:w="9720" w:type="dxa"/>
          <w:tblInd w:w="607" w:type="dxa"/>
          <w:tblCellMar>
            <w:left w:w="0" w:type="dxa"/>
            <w:right w:w="0" w:type="dxa"/>
          </w:tblCellMar>
          <w:tblLook w:val="04A0"/>
        </w:tblPrEx>
        <w:tc>
          <w:tcPr>
            <w:tcW w:w="1502" w:type="dxa"/>
            <w:tcMar>
              <w:top w:w="0" w:type="dxa"/>
              <w:left w:w="108" w:type="dxa"/>
              <w:bottom w:w="0" w:type="dxa"/>
              <w:right w:w="108" w:type="dxa"/>
            </w:tcMar>
          </w:tcPr>
          <w:p w:rsidR="00B17B6B" w:rsidRPr="00B17B6B" w:rsidP="00D234BF" w14:paraId="32AAD36A" w14:textId="77777777">
            <w:pPr>
              <w:jc w:val="center"/>
              <w:rPr>
                <w:rFonts w:eastAsia="Calibri"/>
                <w:color w:val="000000"/>
                <w:sz w:val="18"/>
                <w:szCs w:val="18"/>
              </w:rPr>
            </w:pPr>
            <w:r w:rsidRPr="00B17B6B">
              <w:rPr>
                <w:rFonts w:eastAsia="Calibri"/>
                <w:color w:val="000000"/>
                <w:sz w:val="18"/>
                <w:szCs w:val="18"/>
              </w:rPr>
              <w:t>Attorney Advisor</w:t>
            </w:r>
          </w:p>
          <w:p w:rsidR="00B17B6B" w:rsidRPr="00B17B6B" w:rsidP="00D234BF" w14:paraId="5E7D5B41" w14:textId="77777777">
            <w:pPr>
              <w:jc w:val="center"/>
              <w:rPr>
                <w:rFonts w:eastAsia="Calibri"/>
                <w:color w:val="000000"/>
                <w:sz w:val="18"/>
                <w:szCs w:val="18"/>
              </w:rPr>
            </w:pPr>
            <w:r w:rsidRPr="00B17B6B">
              <w:rPr>
                <w:rFonts w:eastAsia="Calibri"/>
                <w:color w:val="000000"/>
                <w:sz w:val="18"/>
                <w:szCs w:val="18"/>
              </w:rPr>
              <w:t>(GS 14 Step 5)</w:t>
            </w:r>
          </w:p>
        </w:tc>
        <w:tc>
          <w:tcPr>
            <w:tcW w:w="1388" w:type="dxa"/>
            <w:tcMar>
              <w:top w:w="0" w:type="dxa"/>
              <w:left w:w="108" w:type="dxa"/>
              <w:bottom w:w="0" w:type="dxa"/>
              <w:right w:w="108" w:type="dxa"/>
            </w:tcMar>
          </w:tcPr>
          <w:p w:rsidR="00B17B6B" w:rsidRPr="00B17B6B" w:rsidP="00D234BF" w14:paraId="0A22ACFA" w14:textId="77777777">
            <w:pPr>
              <w:jc w:val="center"/>
              <w:rPr>
                <w:rFonts w:eastAsia="Calibri"/>
                <w:color w:val="000000"/>
                <w:sz w:val="18"/>
                <w:szCs w:val="18"/>
              </w:rPr>
            </w:pPr>
            <w:r w:rsidRPr="00B17B6B">
              <w:rPr>
                <w:rFonts w:eastAsia="Calibri"/>
                <w:color w:val="000000"/>
                <w:sz w:val="18"/>
                <w:szCs w:val="18"/>
              </w:rPr>
              <w:t>24</w:t>
            </w:r>
          </w:p>
        </w:tc>
        <w:tc>
          <w:tcPr>
            <w:tcW w:w="1090" w:type="dxa"/>
            <w:tcMar>
              <w:top w:w="0" w:type="dxa"/>
              <w:left w:w="108" w:type="dxa"/>
              <w:bottom w:w="0" w:type="dxa"/>
              <w:right w:w="108" w:type="dxa"/>
            </w:tcMar>
          </w:tcPr>
          <w:p w:rsidR="00B17B6B" w:rsidRPr="00B17B6B" w:rsidP="00D234BF" w14:paraId="6F52968F" w14:textId="77777777">
            <w:pPr>
              <w:jc w:val="center"/>
              <w:rPr>
                <w:rFonts w:eastAsia="Calibri"/>
                <w:color w:val="000000"/>
                <w:sz w:val="18"/>
                <w:szCs w:val="18"/>
              </w:rPr>
            </w:pPr>
            <w:r w:rsidRPr="00B17B6B">
              <w:rPr>
                <w:rFonts w:eastAsia="Calibri"/>
                <w:color w:val="000000"/>
                <w:sz w:val="18"/>
                <w:szCs w:val="18"/>
              </w:rPr>
              <w:t>1</w:t>
            </w:r>
          </w:p>
        </w:tc>
        <w:tc>
          <w:tcPr>
            <w:tcW w:w="1059" w:type="dxa"/>
            <w:tcMar>
              <w:top w:w="0" w:type="dxa"/>
              <w:left w:w="108" w:type="dxa"/>
              <w:bottom w:w="0" w:type="dxa"/>
              <w:right w:w="108" w:type="dxa"/>
            </w:tcMar>
          </w:tcPr>
          <w:p w:rsidR="00B17B6B" w:rsidRPr="00B17B6B" w:rsidP="00D234BF" w14:paraId="4E66DE70" w14:textId="77777777">
            <w:pPr>
              <w:jc w:val="center"/>
              <w:rPr>
                <w:rFonts w:eastAsia="Calibri"/>
                <w:color w:val="000000"/>
                <w:sz w:val="18"/>
                <w:szCs w:val="18"/>
              </w:rPr>
            </w:pPr>
            <w:r w:rsidRPr="00B17B6B">
              <w:rPr>
                <w:rFonts w:eastAsia="Calibri"/>
                <w:color w:val="000000"/>
                <w:sz w:val="18"/>
                <w:szCs w:val="18"/>
              </w:rPr>
              <w:t>24</w:t>
            </w:r>
          </w:p>
        </w:tc>
        <w:tc>
          <w:tcPr>
            <w:tcW w:w="984" w:type="dxa"/>
            <w:tcMar>
              <w:top w:w="0" w:type="dxa"/>
              <w:left w:w="108" w:type="dxa"/>
              <w:bottom w:w="0" w:type="dxa"/>
              <w:right w:w="108" w:type="dxa"/>
            </w:tcMar>
          </w:tcPr>
          <w:p w:rsidR="00B17B6B" w:rsidRPr="00B17B6B" w:rsidP="00D234BF" w14:paraId="5B705D81" w14:textId="77777777">
            <w:pPr>
              <w:jc w:val="center"/>
              <w:rPr>
                <w:rFonts w:eastAsia="Calibri"/>
                <w:color w:val="000000"/>
                <w:sz w:val="18"/>
                <w:szCs w:val="18"/>
              </w:rPr>
            </w:pPr>
            <w:r w:rsidRPr="00B17B6B">
              <w:rPr>
                <w:rFonts w:eastAsia="Calibri"/>
                <w:color w:val="000000"/>
                <w:sz w:val="18"/>
                <w:szCs w:val="18"/>
              </w:rPr>
              <w:t>16</w:t>
            </w:r>
          </w:p>
        </w:tc>
        <w:tc>
          <w:tcPr>
            <w:tcW w:w="835" w:type="dxa"/>
            <w:tcMar>
              <w:top w:w="0" w:type="dxa"/>
              <w:left w:w="108" w:type="dxa"/>
              <w:bottom w:w="0" w:type="dxa"/>
              <w:right w:w="108" w:type="dxa"/>
            </w:tcMar>
          </w:tcPr>
          <w:p w:rsidR="00B17B6B" w:rsidRPr="00B17B6B" w:rsidP="00D234BF" w14:paraId="00C01082" w14:textId="77777777">
            <w:pPr>
              <w:jc w:val="center"/>
              <w:rPr>
                <w:rFonts w:eastAsia="Calibri"/>
                <w:color w:val="000000"/>
                <w:sz w:val="18"/>
                <w:szCs w:val="18"/>
              </w:rPr>
            </w:pPr>
            <w:r w:rsidRPr="00B17B6B">
              <w:rPr>
                <w:rFonts w:eastAsia="Calibri"/>
                <w:color w:val="000000"/>
                <w:sz w:val="18"/>
                <w:szCs w:val="18"/>
              </w:rPr>
              <w:t>384</w:t>
            </w:r>
          </w:p>
        </w:tc>
        <w:tc>
          <w:tcPr>
            <w:tcW w:w="1116" w:type="dxa"/>
            <w:tcMar>
              <w:top w:w="0" w:type="dxa"/>
              <w:left w:w="108" w:type="dxa"/>
              <w:bottom w:w="0" w:type="dxa"/>
              <w:right w:w="108" w:type="dxa"/>
            </w:tcMar>
          </w:tcPr>
          <w:p w:rsidR="00B17B6B" w:rsidRPr="00B17B6B" w:rsidP="00D234BF" w14:paraId="6345FB41" w14:textId="77777777">
            <w:pPr>
              <w:jc w:val="center"/>
              <w:rPr>
                <w:rFonts w:eastAsia="Calibri"/>
                <w:color w:val="000000"/>
                <w:sz w:val="18"/>
                <w:szCs w:val="18"/>
              </w:rPr>
            </w:pPr>
            <w:r w:rsidRPr="00B17B6B">
              <w:rPr>
                <w:rFonts w:eastAsia="Calibri"/>
                <w:color w:val="000000"/>
                <w:sz w:val="18"/>
                <w:szCs w:val="18"/>
              </w:rPr>
              <w:t>$77.38</w:t>
            </w:r>
          </w:p>
        </w:tc>
        <w:tc>
          <w:tcPr>
            <w:tcW w:w="1746" w:type="dxa"/>
            <w:tcMar>
              <w:top w:w="0" w:type="dxa"/>
              <w:left w:w="108" w:type="dxa"/>
              <w:bottom w:w="0" w:type="dxa"/>
              <w:right w:w="108" w:type="dxa"/>
            </w:tcMar>
          </w:tcPr>
          <w:p w:rsidR="00B17B6B" w:rsidRPr="00B17B6B" w:rsidP="00D234BF" w14:paraId="0EC4D704" w14:textId="77777777">
            <w:pPr>
              <w:jc w:val="center"/>
              <w:rPr>
                <w:rFonts w:eastAsia="Calibri"/>
                <w:color w:val="000000"/>
                <w:sz w:val="18"/>
                <w:szCs w:val="18"/>
              </w:rPr>
            </w:pPr>
            <w:r w:rsidRPr="00B17B6B">
              <w:rPr>
                <w:rFonts w:eastAsia="Calibri"/>
                <w:color w:val="000000"/>
                <w:sz w:val="18"/>
                <w:szCs w:val="18"/>
              </w:rPr>
              <w:t>$29,713.92</w:t>
            </w:r>
          </w:p>
        </w:tc>
      </w:tr>
      <w:tr w14:paraId="2C23ED11" w14:textId="77777777" w:rsidTr="00B17B6B">
        <w:tblPrEx>
          <w:tblW w:w="9720" w:type="dxa"/>
          <w:tblInd w:w="607" w:type="dxa"/>
          <w:tblCellMar>
            <w:left w:w="0" w:type="dxa"/>
            <w:right w:w="0" w:type="dxa"/>
          </w:tblCellMar>
          <w:tblLook w:val="04A0"/>
        </w:tblPrEx>
        <w:tc>
          <w:tcPr>
            <w:tcW w:w="1502" w:type="dxa"/>
            <w:tcMar>
              <w:top w:w="0" w:type="dxa"/>
              <w:left w:w="108" w:type="dxa"/>
              <w:bottom w:w="0" w:type="dxa"/>
              <w:right w:w="108" w:type="dxa"/>
            </w:tcMar>
          </w:tcPr>
          <w:p w:rsidR="00B17B6B" w:rsidRPr="00B17B6B" w:rsidP="00D234BF" w14:paraId="3DE53801" w14:textId="77777777">
            <w:pPr>
              <w:jc w:val="center"/>
              <w:rPr>
                <w:rFonts w:eastAsia="Calibri"/>
                <w:color w:val="000000"/>
                <w:sz w:val="18"/>
                <w:szCs w:val="18"/>
              </w:rPr>
            </w:pPr>
            <w:r w:rsidRPr="00B17B6B">
              <w:rPr>
                <w:rFonts w:eastAsia="Calibri"/>
                <w:color w:val="000000"/>
                <w:sz w:val="18"/>
                <w:szCs w:val="18"/>
              </w:rPr>
              <w:t xml:space="preserve">Senior Attorney Advisor </w:t>
            </w:r>
          </w:p>
          <w:p w:rsidR="00B17B6B" w:rsidRPr="00B17B6B" w:rsidP="00D234BF" w14:paraId="1DA241F3" w14:textId="77777777">
            <w:pPr>
              <w:jc w:val="center"/>
              <w:rPr>
                <w:rFonts w:eastAsia="Calibri"/>
                <w:color w:val="000000"/>
                <w:sz w:val="18"/>
                <w:szCs w:val="18"/>
              </w:rPr>
            </w:pPr>
            <w:r w:rsidRPr="00B17B6B">
              <w:rPr>
                <w:rFonts w:eastAsia="Calibri"/>
                <w:color w:val="000000"/>
                <w:sz w:val="18"/>
                <w:szCs w:val="18"/>
              </w:rPr>
              <w:t>(GS 15 Step 5)</w:t>
            </w:r>
          </w:p>
        </w:tc>
        <w:tc>
          <w:tcPr>
            <w:tcW w:w="1388" w:type="dxa"/>
            <w:tcMar>
              <w:top w:w="0" w:type="dxa"/>
              <w:left w:w="108" w:type="dxa"/>
              <w:bottom w:w="0" w:type="dxa"/>
              <w:right w:w="108" w:type="dxa"/>
            </w:tcMar>
          </w:tcPr>
          <w:p w:rsidR="00B17B6B" w:rsidRPr="00B17B6B" w:rsidP="00D234BF" w14:paraId="74C8DAF8" w14:textId="77777777">
            <w:pPr>
              <w:jc w:val="center"/>
              <w:rPr>
                <w:rFonts w:eastAsia="Calibri"/>
                <w:color w:val="000000"/>
                <w:sz w:val="18"/>
                <w:szCs w:val="18"/>
              </w:rPr>
            </w:pPr>
            <w:r w:rsidRPr="00B17B6B">
              <w:rPr>
                <w:rFonts w:eastAsia="Calibri"/>
                <w:color w:val="000000"/>
                <w:sz w:val="18"/>
                <w:szCs w:val="18"/>
              </w:rPr>
              <w:t>24</w:t>
            </w:r>
          </w:p>
        </w:tc>
        <w:tc>
          <w:tcPr>
            <w:tcW w:w="1090" w:type="dxa"/>
            <w:tcMar>
              <w:top w:w="0" w:type="dxa"/>
              <w:left w:w="108" w:type="dxa"/>
              <w:bottom w:w="0" w:type="dxa"/>
              <w:right w:w="108" w:type="dxa"/>
            </w:tcMar>
          </w:tcPr>
          <w:p w:rsidR="00B17B6B" w:rsidRPr="00B17B6B" w:rsidP="00D234BF" w14:paraId="5885582C" w14:textId="77777777">
            <w:pPr>
              <w:jc w:val="center"/>
              <w:rPr>
                <w:rFonts w:eastAsia="Calibri"/>
                <w:color w:val="000000"/>
                <w:sz w:val="18"/>
                <w:szCs w:val="18"/>
              </w:rPr>
            </w:pPr>
            <w:r w:rsidRPr="00B17B6B">
              <w:rPr>
                <w:rFonts w:eastAsia="Calibri"/>
                <w:color w:val="000000"/>
                <w:sz w:val="18"/>
                <w:szCs w:val="18"/>
              </w:rPr>
              <w:t>1</w:t>
            </w:r>
          </w:p>
        </w:tc>
        <w:tc>
          <w:tcPr>
            <w:tcW w:w="1059" w:type="dxa"/>
            <w:tcMar>
              <w:top w:w="0" w:type="dxa"/>
              <w:left w:w="108" w:type="dxa"/>
              <w:bottom w:w="0" w:type="dxa"/>
              <w:right w:w="108" w:type="dxa"/>
            </w:tcMar>
          </w:tcPr>
          <w:p w:rsidR="00B17B6B" w:rsidRPr="00B17B6B" w:rsidP="00D234BF" w14:paraId="0E948866" w14:textId="77777777">
            <w:pPr>
              <w:jc w:val="center"/>
              <w:rPr>
                <w:rFonts w:eastAsia="Calibri"/>
                <w:color w:val="000000"/>
                <w:sz w:val="18"/>
                <w:szCs w:val="18"/>
              </w:rPr>
            </w:pPr>
            <w:r w:rsidRPr="00B17B6B">
              <w:rPr>
                <w:rFonts w:eastAsia="Calibri"/>
                <w:color w:val="000000"/>
                <w:sz w:val="18"/>
                <w:szCs w:val="18"/>
              </w:rPr>
              <w:t>24</w:t>
            </w:r>
          </w:p>
        </w:tc>
        <w:tc>
          <w:tcPr>
            <w:tcW w:w="984" w:type="dxa"/>
            <w:tcMar>
              <w:top w:w="0" w:type="dxa"/>
              <w:left w:w="108" w:type="dxa"/>
              <w:bottom w:w="0" w:type="dxa"/>
              <w:right w:w="108" w:type="dxa"/>
            </w:tcMar>
          </w:tcPr>
          <w:p w:rsidR="00B17B6B" w:rsidRPr="00B17B6B" w:rsidP="00D234BF" w14:paraId="7341608E" w14:textId="77777777">
            <w:pPr>
              <w:jc w:val="center"/>
              <w:rPr>
                <w:rFonts w:eastAsia="Calibri"/>
                <w:color w:val="000000"/>
                <w:sz w:val="18"/>
                <w:szCs w:val="18"/>
              </w:rPr>
            </w:pPr>
            <w:r w:rsidRPr="00B17B6B">
              <w:rPr>
                <w:rFonts w:eastAsia="Calibri"/>
                <w:color w:val="000000"/>
                <w:sz w:val="18"/>
                <w:szCs w:val="18"/>
              </w:rPr>
              <w:t>2</w:t>
            </w:r>
          </w:p>
        </w:tc>
        <w:tc>
          <w:tcPr>
            <w:tcW w:w="835" w:type="dxa"/>
            <w:tcMar>
              <w:top w:w="0" w:type="dxa"/>
              <w:left w:w="108" w:type="dxa"/>
              <w:bottom w:w="0" w:type="dxa"/>
              <w:right w:w="108" w:type="dxa"/>
            </w:tcMar>
          </w:tcPr>
          <w:p w:rsidR="00B17B6B" w:rsidRPr="00B17B6B" w:rsidP="00D234BF" w14:paraId="2E222DEF" w14:textId="77777777">
            <w:pPr>
              <w:jc w:val="center"/>
              <w:rPr>
                <w:rFonts w:eastAsia="Calibri"/>
                <w:color w:val="000000"/>
                <w:sz w:val="18"/>
                <w:szCs w:val="18"/>
              </w:rPr>
            </w:pPr>
            <w:r w:rsidRPr="00B17B6B">
              <w:rPr>
                <w:rFonts w:eastAsia="Calibri"/>
                <w:color w:val="000000"/>
                <w:sz w:val="18"/>
                <w:szCs w:val="18"/>
              </w:rPr>
              <w:t>48</w:t>
            </w:r>
          </w:p>
        </w:tc>
        <w:tc>
          <w:tcPr>
            <w:tcW w:w="1116" w:type="dxa"/>
            <w:tcMar>
              <w:top w:w="0" w:type="dxa"/>
              <w:left w:w="108" w:type="dxa"/>
              <w:bottom w:w="0" w:type="dxa"/>
              <w:right w:w="108" w:type="dxa"/>
            </w:tcMar>
          </w:tcPr>
          <w:p w:rsidR="00B17B6B" w:rsidRPr="00B17B6B" w:rsidP="00D234BF" w14:paraId="7048F786" w14:textId="77777777">
            <w:pPr>
              <w:jc w:val="center"/>
              <w:rPr>
                <w:rFonts w:eastAsia="Calibri"/>
                <w:color w:val="000000"/>
                <w:sz w:val="18"/>
                <w:szCs w:val="18"/>
              </w:rPr>
            </w:pPr>
            <w:r w:rsidRPr="00B17B6B">
              <w:rPr>
                <w:rFonts w:eastAsia="Calibri"/>
                <w:color w:val="000000"/>
                <w:sz w:val="18"/>
                <w:szCs w:val="18"/>
              </w:rPr>
              <w:t>$91.02</w:t>
            </w:r>
          </w:p>
        </w:tc>
        <w:tc>
          <w:tcPr>
            <w:tcW w:w="1746" w:type="dxa"/>
            <w:tcMar>
              <w:top w:w="0" w:type="dxa"/>
              <w:left w:w="108" w:type="dxa"/>
              <w:bottom w:w="0" w:type="dxa"/>
              <w:right w:w="108" w:type="dxa"/>
            </w:tcMar>
          </w:tcPr>
          <w:p w:rsidR="00B17B6B" w:rsidRPr="00B17B6B" w:rsidP="00D234BF" w14:paraId="3A4CB762" w14:textId="77777777">
            <w:pPr>
              <w:jc w:val="center"/>
              <w:rPr>
                <w:rFonts w:eastAsia="Calibri"/>
                <w:color w:val="000000"/>
                <w:sz w:val="18"/>
                <w:szCs w:val="18"/>
              </w:rPr>
            </w:pPr>
            <w:r w:rsidRPr="00B17B6B">
              <w:rPr>
                <w:rFonts w:eastAsia="Calibri"/>
                <w:color w:val="000000"/>
                <w:sz w:val="18"/>
                <w:szCs w:val="18"/>
              </w:rPr>
              <w:t>$4,368.96</w:t>
            </w:r>
          </w:p>
        </w:tc>
      </w:tr>
      <w:tr w14:paraId="177273F5" w14:textId="77777777" w:rsidTr="00B17B6B">
        <w:tblPrEx>
          <w:tblW w:w="9720" w:type="dxa"/>
          <w:tblInd w:w="607" w:type="dxa"/>
          <w:tblCellMar>
            <w:left w:w="0" w:type="dxa"/>
            <w:right w:w="0" w:type="dxa"/>
          </w:tblCellMar>
          <w:tblLook w:val="04A0"/>
        </w:tblPrEx>
        <w:tc>
          <w:tcPr>
            <w:tcW w:w="1502" w:type="dxa"/>
            <w:tcMar>
              <w:top w:w="0" w:type="dxa"/>
              <w:left w:w="108" w:type="dxa"/>
              <w:bottom w:w="0" w:type="dxa"/>
              <w:right w:w="108" w:type="dxa"/>
            </w:tcMar>
            <w:vAlign w:val="center"/>
          </w:tcPr>
          <w:p w:rsidR="00B17B6B" w:rsidRPr="00B17B6B" w:rsidP="00D234BF" w14:paraId="794A5D12" w14:textId="77777777">
            <w:pPr>
              <w:jc w:val="center"/>
              <w:rPr>
                <w:rFonts w:eastAsia="Calibri"/>
                <w:color w:val="000000"/>
                <w:sz w:val="18"/>
                <w:szCs w:val="18"/>
              </w:rPr>
            </w:pPr>
            <w:r w:rsidRPr="00B17B6B">
              <w:rPr>
                <w:rFonts w:eastAsia="Calibri"/>
                <w:color w:val="000000"/>
                <w:sz w:val="18"/>
                <w:szCs w:val="18"/>
              </w:rPr>
              <w:t>Total</w:t>
            </w:r>
          </w:p>
        </w:tc>
        <w:tc>
          <w:tcPr>
            <w:tcW w:w="1388" w:type="dxa"/>
            <w:tcMar>
              <w:top w:w="0" w:type="dxa"/>
              <w:left w:w="108" w:type="dxa"/>
              <w:bottom w:w="0" w:type="dxa"/>
              <w:right w:w="108" w:type="dxa"/>
            </w:tcMar>
          </w:tcPr>
          <w:p w:rsidR="00B17B6B" w:rsidRPr="00B17B6B" w:rsidP="00D234BF" w14:paraId="34E168B6" w14:textId="77777777">
            <w:pPr>
              <w:jc w:val="center"/>
              <w:rPr>
                <w:rFonts w:eastAsia="Calibri"/>
                <w:color w:val="000000"/>
                <w:sz w:val="18"/>
                <w:szCs w:val="18"/>
              </w:rPr>
            </w:pPr>
          </w:p>
        </w:tc>
        <w:tc>
          <w:tcPr>
            <w:tcW w:w="1090" w:type="dxa"/>
            <w:tcMar>
              <w:top w:w="0" w:type="dxa"/>
              <w:left w:w="108" w:type="dxa"/>
              <w:bottom w:w="0" w:type="dxa"/>
              <w:right w:w="108" w:type="dxa"/>
            </w:tcMar>
          </w:tcPr>
          <w:p w:rsidR="00B17B6B" w:rsidRPr="00B17B6B" w:rsidP="00D234BF" w14:paraId="467ADA9E" w14:textId="77777777">
            <w:pPr>
              <w:jc w:val="center"/>
              <w:rPr>
                <w:rFonts w:eastAsia="Calibri"/>
                <w:color w:val="000000"/>
                <w:sz w:val="18"/>
                <w:szCs w:val="18"/>
              </w:rPr>
            </w:pPr>
          </w:p>
        </w:tc>
        <w:tc>
          <w:tcPr>
            <w:tcW w:w="1059" w:type="dxa"/>
            <w:tcMar>
              <w:top w:w="0" w:type="dxa"/>
              <w:left w:w="108" w:type="dxa"/>
              <w:bottom w:w="0" w:type="dxa"/>
              <w:right w:w="108" w:type="dxa"/>
            </w:tcMar>
          </w:tcPr>
          <w:p w:rsidR="00B17B6B" w:rsidRPr="00B17B6B" w:rsidP="00D234BF" w14:paraId="7221CAB1" w14:textId="77777777">
            <w:pPr>
              <w:jc w:val="center"/>
              <w:rPr>
                <w:rFonts w:eastAsia="Calibri"/>
                <w:color w:val="000000"/>
                <w:sz w:val="18"/>
                <w:szCs w:val="18"/>
              </w:rPr>
            </w:pPr>
          </w:p>
        </w:tc>
        <w:tc>
          <w:tcPr>
            <w:tcW w:w="984" w:type="dxa"/>
            <w:tcMar>
              <w:top w:w="0" w:type="dxa"/>
              <w:left w:w="108" w:type="dxa"/>
              <w:bottom w:w="0" w:type="dxa"/>
              <w:right w:w="108" w:type="dxa"/>
            </w:tcMar>
          </w:tcPr>
          <w:p w:rsidR="00B17B6B" w:rsidRPr="00B17B6B" w:rsidP="00D234BF" w14:paraId="1569ECB4" w14:textId="77777777">
            <w:pPr>
              <w:jc w:val="center"/>
              <w:rPr>
                <w:rFonts w:eastAsia="Calibri"/>
                <w:color w:val="000000"/>
                <w:sz w:val="18"/>
                <w:szCs w:val="18"/>
              </w:rPr>
            </w:pPr>
            <w:r w:rsidRPr="00B17B6B">
              <w:rPr>
                <w:rFonts w:eastAsia="Calibri"/>
                <w:color w:val="000000"/>
                <w:sz w:val="18"/>
                <w:szCs w:val="18"/>
              </w:rPr>
              <w:t xml:space="preserve">      37</w:t>
            </w:r>
            <w:r w:rsidRPr="00B17B6B">
              <w:rPr>
                <w:rFonts w:eastAsia="Calibri"/>
                <w:color w:val="000000"/>
                <w:sz w:val="18"/>
                <w:szCs w:val="18"/>
              </w:rPr>
              <w:tab/>
            </w:r>
          </w:p>
        </w:tc>
        <w:tc>
          <w:tcPr>
            <w:tcW w:w="835" w:type="dxa"/>
            <w:tcMar>
              <w:top w:w="0" w:type="dxa"/>
              <w:left w:w="108" w:type="dxa"/>
              <w:bottom w:w="0" w:type="dxa"/>
              <w:right w:w="108" w:type="dxa"/>
            </w:tcMar>
          </w:tcPr>
          <w:p w:rsidR="00B17B6B" w:rsidRPr="00B17B6B" w:rsidP="00D234BF" w14:paraId="1BAA675F" w14:textId="77777777">
            <w:pPr>
              <w:jc w:val="center"/>
              <w:rPr>
                <w:rFonts w:eastAsia="Calibri"/>
                <w:color w:val="000000"/>
                <w:sz w:val="18"/>
                <w:szCs w:val="18"/>
              </w:rPr>
            </w:pPr>
            <w:r w:rsidRPr="00B17B6B">
              <w:rPr>
                <w:rFonts w:eastAsia="Calibri"/>
                <w:color w:val="000000"/>
                <w:sz w:val="18"/>
                <w:szCs w:val="18"/>
              </w:rPr>
              <w:t>888</w:t>
            </w:r>
          </w:p>
        </w:tc>
        <w:tc>
          <w:tcPr>
            <w:tcW w:w="1116" w:type="dxa"/>
            <w:tcMar>
              <w:top w:w="0" w:type="dxa"/>
              <w:left w:w="108" w:type="dxa"/>
              <w:bottom w:w="0" w:type="dxa"/>
              <w:right w:w="108" w:type="dxa"/>
            </w:tcMar>
          </w:tcPr>
          <w:p w:rsidR="00B17B6B" w:rsidRPr="00B17B6B" w:rsidP="00D234BF" w14:paraId="734C60E7" w14:textId="77777777">
            <w:pPr>
              <w:jc w:val="center"/>
              <w:rPr>
                <w:rFonts w:eastAsia="Calibri"/>
                <w:color w:val="000000"/>
                <w:sz w:val="18"/>
                <w:szCs w:val="18"/>
              </w:rPr>
            </w:pPr>
          </w:p>
        </w:tc>
        <w:tc>
          <w:tcPr>
            <w:tcW w:w="1746" w:type="dxa"/>
            <w:tcMar>
              <w:top w:w="0" w:type="dxa"/>
              <w:left w:w="108" w:type="dxa"/>
              <w:bottom w:w="0" w:type="dxa"/>
              <w:right w:w="108" w:type="dxa"/>
            </w:tcMar>
          </w:tcPr>
          <w:p w:rsidR="00B17B6B" w:rsidRPr="00B17B6B" w:rsidP="00D234BF" w14:paraId="542E835D" w14:textId="77777777">
            <w:pPr>
              <w:jc w:val="center"/>
              <w:rPr>
                <w:rFonts w:eastAsia="Calibri"/>
                <w:color w:val="000000"/>
                <w:sz w:val="18"/>
                <w:szCs w:val="18"/>
              </w:rPr>
            </w:pPr>
            <w:r w:rsidRPr="00B17B6B">
              <w:rPr>
                <w:rFonts w:eastAsia="Calibri"/>
                <w:color w:val="000000"/>
                <w:sz w:val="18"/>
                <w:szCs w:val="18"/>
              </w:rPr>
              <w:t>$67,761.84</w:t>
            </w:r>
          </w:p>
        </w:tc>
      </w:tr>
    </w:tbl>
    <w:p w:rsidR="00167E53" w:rsidRPr="00B17B6B" w:rsidP="00B17B6B" w14:paraId="5BB0C48A" w14:textId="308768BF">
      <w:pPr>
        <w:keepLines/>
        <w:tabs>
          <w:tab w:val="left" w:pos="360"/>
          <w:tab w:val="left" w:pos="720"/>
        </w:tabs>
        <w:rPr>
          <w:sz w:val="18"/>
          <w:szCs w:val="18"/>
        </w:rPr>
      </w:pPr>
    </w:p>
    <w:p w:rsidR="00C24072" w:rsidRPr="006C7FAE" w14:paraId="2D500530" w14:textId="5EA7FC7C">
      <w:pPr>
        <w:tabs>
          <w:tab w:val="left" w:pos="360"/>
        </w:tabs>
        <w:ind w:left="360" w:hanging="360"/>
        <w:rPr>
          <w:sz w:val="24"/>
          <w:szCs w:val="24"/>
        </w:rPr>
      </w:pPr>
      <w:r>
        <w:rPr>
          <w:sz w:val="24"/>
          <w:szCs w:val="24"/>
        </w:rPr>
        <w:tab/>
      </w:r>
    </w:p>
    <w:p w:rsidR="009E13B1" w14:paraId="005FDD51" w14:textId="77777777">
      <w:pPr>
        <w:keepLines/>
        <w:tabs>
          <w:tab w:val="left" w:pos="360"/>
        </w:tabs>
        <w:spacing w:after="80"/>
        <w:ind w:left="360" w:hanging="360"/>
        <w:rPr>
          <w:b/>
          <w:bCs/>
          <w:sz w:val="24"/>
          <w:szCs w:val="24"/>
        </w:rPr>
      </w:pPr>
      <w:r w:rsidRPr="00B17B6B">
        <w:rPr>
          <w:b/>
          <w:bCs/>
          <w:sz w:val="24"/>
          <w:szCs w:val="24"/>
        </w:rPr>
        <w:t>15.</w:t>
      </w:r>
      <w:r w:rsidRPr="00B17B6B">
        <w:rPr>
          <w:b/>
          <w:bCs/>
          <w:sz w:val="24"/>
          <w:szCs w:val="24"/>
        </w:rPr>
        <w:tab/>
        <w:t>Explain the reasons for any program changes or adjustments reported in Items 1</w:t>
      </w:r>
      <w:r w:rsidRPr="00B17B6B" w:rsidR="000D5079">
        <w:rPr>
          <w:b/>
          <w:bCs/>
          <w:sz w:val="24"/>
          <w:szCs w:val="24"/>
        </w:rPr>
        <w:t>2</w:t>
      </w:r>
      <w:r w:rsidRPr="00B17B6B">
        <w:rPr>
          <w:b/>
          <w:bCs/>
          <w:sz w:val="24"/>
          <w:szCs w:val="24"/>
        </w:rPr>
        <w:t xml:space="preserve"> and 14 of the </w:t>
      </w:r>
      <w:r w:rsidRPr="00B17B6B" w:rsidR="00CA06CC">
        <w:rPr>
          <w:b/>
          <w:bCs/>
          <w:sz w:val="24"/>
          <w:szCs w:val="24"/>
        </w:rPr>
        <w:t>Supporting Statement</w:t>
      </w:r>
      <w:r w:rsidRPr="00B17B6B">
        <w:rPr>
          <w:b/>
          <w:bCs/>
          <w:sz w:val="24"/>
          <w:szCs w:val="24"/>
        </w:rPr>
        <w:t>.</w:t>
      </w:r>
    </w:p>
    <w:p w:rsidR="00BA31EB" w:rsidP="00BA31EB" w14:paraId="77C9825B" w14:textId="77777777">
      <w:pPr>
        <w:pStyle w:val="NoSpacing"/>
      </w:pPr>
    </w:p>
    <w:p w:rsidR="00B83A09" w:rsidRPr="00B83A09" w:rsidP="003A7E9A" w14:paraId="30EF7ECB" w14:textId="788D50D4">
      <w:pPr>
        <w:keepLines/>
        <w:tabs>
          <w:tab w:val="left" w:pos="360"/>
        </w:tabs>
        <w:spacing w:after="80"/>
        <w:ind w:left="360" w:hanging="360"/>
        <w:rPr>
          <w:sz w:val="24"/>
          <w:szCs w:val="24"/>
        </w:rPr>
      </w:pPr>
      <w:r w:rsidRPr="00B83A09">
        <w:rPr>
          <w:sz w:val="24"/>
          <w:szCs w:val="24"/>
        </w:rPr>
        <w:tab/>
        <w:t>While there have been no changes in the requirements to increase the existing burden hours, we received</w:t>
      </w:r>
      <w:r w:rsidR="003A7E9A">
        <w:rPr>
          <w:sz w:val="24"/>
          <w:szCs w:val="24"/>
        </w:rPr>
        <w:t xml:space="preserve"> one</w:t>
      </w:r>
      <w:r w:rsidRPr="00B83A09">
        <w:rPr>
          <w:sz w:val="24"/>
          <w:szCs w:val="24"/>
        </w:rPr>
        <w:t xml:space="preserve"> comment stating that “[t]he Notice provides for ‘26.5 Burden hours’ as an estimate of time to complete work for an assignment under the Legal Instructions. In our experience, such estimate is very low and the actual preparation time is at least double such estimate. The time spent to complete the legal work for a simple assignment under the Legal Instructions is closer to 50 hours.” In response to this comment, we are updating the burden hours from 26.5 to 50 hours to more accurately reflect a respondent’s experience in preparing a response.</w:t>
      </w:r>
    </w:p>
    <w:p w:rsidR="00B83A09" w:rsidRPr="00B83A09" w:rsidP="00B83A09" w14:paraId="51AC0551" w14:textId="5ADA8FB8">
      <w:pPr>
        <w:keepLines/>
        <w:tabs>
          <w:tab w:val="left" w:pos="360"/>
        </w:tabs>
        <w:spacing w:after="80"/>
        <w:ind w:left="360" w:hanging="360"/>
        <w:rPr>
          <w:sz w:val="24"/>
          <w:szCs w:val="24"/>
        </w:rPr>
      </w:pPr>
      <w:r w:rsidRPr="00B83A09">
        <w:rPr>
          <w:sz w:val="24"/>
          <w:szCs w:val="24"/>
        </w:rPr>
        <w:tab/>
        <w:t>Sample documents reflecting existing HUD requirements and policies are being provided to assist with compliance with the Legal Instructions (see new Exhibit D to the Legal Instructions).  However, the burden for drafting, whether by using the new sample documents or not, has already been accounted for in the existing calculation of burden hours.</w:t>
      </w:r>
      <w:r w:rsidR="00464FBB">
        <w:rPr>
          <w:sz w:val="24"/>
          <w:szCs w:val="24"/>
        </w:rPr>
        <w:t xml:space="preserve"> </w:t>
      </w:r>
      <w:r w:rsidRPr="00813CE1" w:rsidR="00813CE1">
        <w:rPr>
          <w:sz w:val="24"/>
          <w:szCs w:val="24"/>
        </w:rPr>
        <w:t>The samples in Exhibit D contain requisite language for assignments and indemnifications to meet</w:t>
      </w:r>
      <w:r w:rsidR="008E41C9">
        <w:rPr>
          <w:sz w:val="24"/>
          <w:szCs w:val="24"/>
        </w:rPr>
        <w:t xml:space="preserve"> </w:t>
      </w:r>
      <w:r w:rsidRPr="00464FBB" w:rsidR="008E41C9">
        <w:rPr>
          <w:sz w:val="24"/>
          <w:szCs w:val="24"/>
        </w:rPr>
        <w:t xml:space="preserve">relevant </w:t>
      </w:r>
      <w:r w:rsidR="008E41C9">
        <w:rPr>
          <w:sz w:val="24"/>
          <w:szCs w:val="24"/>
        </w:rPr>
        <w:t xml:space="preserve">existing </w:t>
      </w:r>
      <w:r w:rsidRPr="00464FBB" w:rsidR="008E41C9">
        <w:rPr>
          <w:sz w:val="24"/>
          <w:szCs w:val="24"/>
        </w:rPr>
        <w:t>requirements</w:t>
      </w:r>
      <w:r w:rsidR="008E41C9">
        <w:rPr>
          <w:sz w:val="24"/>
          <w:szCs w:val="24"/>
        </w:rPr>
        <w:t xml:space="preserve"> of the Legal Instructions</w:t>
      </w:r>
      <w:r w:rsidRPr="00813CE1" w:rsidR="00813CE1">
        <w:rPr>
          <w:sz w:val="24"/>
          <w:szCs w:val="24"/>
        </w:rPr>
        <w:t>.</w:t>
      </w:r>
      <w:r w:rsidR="00813CE1">
        <w:rPr>
          <w:sz w:val="24"/>
          <w:szCs w:val="24"/>
        </w:rPr>
        <w:t xml:space="preserve"> Even w</w:t>
      </w:r>
      <w:r w:rsidRPr="00464FBB" w:rsidR="00464FBB">
        <w:rPr>
          <w:sz w:val="24"/>
          <w:szCs w:val="24"/>
        </w:rPr>
        <w:t>ithout the</w:t>
      </w:r>
      <w:r w:rsidR="00464FBB">
        <w:rPr>
          <w:sz w:val="24"/>
          <w:szCs w:val="24"/>
        </w:rPr>
        <w:t>se</w:t>
      </w:r>
      <w:r w:rsidRPr="00464FBB" w:rsidR="00464FBB">
        <w:rPr>
          <w:sz w:val="24"/>
          <w:szCs w:val="24"/>
        </w:rPr>
        <w:t xml:space="preserve"> samples, the mortgagee will still have to draft their own assignments and indemnifications to meet the relevant </w:t>
      </w:r>
      <w:r w:rsidR="008E41C9">
        <w:rPr>
          <w:sz w:val="24"/>
          <w:szCs w:val="24"/>
        </w:rPr>
        <w:t>requirements.</w:t>
      </w:r>
    </w:p>
    <w:p w:rsidR="00D039FD" w:rsidRPr="00B25E29" w:rsidP="00B25E29" w14:paraId="1BD6883F" w14:textId="1DC4F75E">
      <w:pPr>
        <w:keepLines/>
        <w:tabs>
          <w:tab w:val="left" w:pos="360"/>
        </w:tabs>
        <w:spacing w:after="80"/>
        <w:ind w:left="360" w:hanging="360"/>
        <w:rPr>
          <w:sz w:val="24"/>
          <w:szCs w:val="24"/>
        </w:rPr>
      </w:pPr>
      <w:r w:rsidRPr="00B83A09">
        <w:rPr>
          <w:sz w:val="24"/>
          <w:szCs w:val="24"/>
        </w:rPr>
        <w:tab/>
        <w:t xml:space="preserve"> </w:t>
      </w:r>
    </w:p>
    <w:p w:rsidR="009E13B1" w14:paraId="191E7ECF" w14:textId="77777777">
      <w:pPr>
        <w:keepLines/>
        <w:tabs>
          <w:tab w:val="left" w:pos="360"/>
        </w:tabs>
        <w:spacing w:after="80"/>
        <w:ind w:left="360" w:hanging="360"/>
        <w:rPr>
          <w:b/>
          <w:bCs/>
          <w:sz w:val="24"/>
          <w:szCs w:val="24"/>
        </w:rPr>
      </w:pPr>
      <w:r w:rsidRPr="00B17B6B">
        <w:rPr>
          <w:b/>
          <w:bCs/>
          <w:sz w:val="24"/>
          <w:szCs w:val="24"/>
        </w:rPr>
        <w:t>16.</w:t>
      </w:r>
      <w:r w:rsidRPr="00B17B6B">
        <w:rPr>
          <w:b/>
          <w:bCs/>
          <w:sz w:val="24"/>
          <w:szCs w:val="24"/>
        </w:rPr>
        <w:tab/>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BA31EB" w:rsidP="00C47FBC" w14:paraId="64FFE32B" w14:textId="77777777">
      <w:pPr>
        <w:keepLines/>
        <w:tabs>
          <w:tab w:val="left" w:pos="360"/>
        </w:tabs>
        <w:spacing w:after="80"/>
        <w:ind w:left="720" w:hanging="360"/>
        <w:rPr>
          <w:sz w:val="24"/>
          <w:szCs w:val="24"/>
        </w:rPr>
      </w:pPr>
    </w:p>
    <w:p w:rsidR="00C47FBC" w:rsidRPr="00C47FBC" w:rsidP="00C47FBC" w14:paraId="06DD9EB5" w14:textId="314CA919">
      <w:pPr>
        <w:keepLines/>
        <w:tabs>
          <w:tab w:val="left" w:pos="360"/>
        </w:tabs>
        <w:spacing w:after="80"/>
        <w:ind w:left="720" w:hanging="360"/>
        <w:rPr>
          <w:sz w:val="24"/>
          <w:szCs w:val="24"/>
        </w:rPr>
      </w:pPr>
      <w:r w:rsidRPr="00C47FBC">
        <w:rPr>
          <w:sz w:val="24"/>
          <w:szCs w:val="24"/>
        </w:rPr>
        <w:t>None of the information collected will be published.</w:t>
      </w:r>
    </w:p>
    <w:p w:rsidR="006F6C2C" w:rsidRPr="00B25E29" w:rsidP="00B25E29" w14:paraId="1CAFF4FE" w14:textId="650FB9AC">
      <w:pPr>
        <w:pStyle w:val="NoSpacing"/>
        <w:ind w:left="360"/>
      </w:pPr>
      <w:r w:rsidRPr="00C47FBC">
        <w:tab/>
      </w:r>
    </w:p>
    <w:p w:rsidR="009E13B1" w14:paraId="34E8092D" w14:textId="10540FA9">
      <w:pPr>
        <w:keepLines/>
        <w:tabs>
          <w:tab w:val="left" w:pos="360"/>
        </w:tabs>
        <w:spacing w:after="80"/>
        <w:ind w:left="360" w:hanging="360"/>
        <w:rPr>
          <w:b/>
          <w:bCs/>
          <w:sz w:val="24"/>
          <w:szCs w:val="24"/>
        </w:rPr>
      </w:pPr>
      <w:r w:rsidRPr="00B17B6B">
        <w:rPr>
          <w:b/>
          <w:bCs/>
          <w:sz w:val="24"/>
          <w:szCs w:val="24"/>
        </w:rPr>
        <w:t>17.</w:t>
      </w:r>
      <w:r w:rsidRPr="00B17B6B">
        <w:rPr>
          <w:b/>
          <w:bCs/>
          <w:sz w:val="24"/>
          <w:szCs w:val="24"/>
        </w:rPr>
        <w:tab/>
        <w:t>If seeking approval to not display the expiration date for OMB approval of the information collection, explain the reasons that display would be inappropriate.</w:t>
      </w:r>
      <w:r w:rsidR="00183674">
        <w:rPr>
          <w:b/>
          <w:bCs/>
          <w:sz w:val="24"/>
          <w:szCs w:val="24"/>
        </w:rPr>
        <w:t xml:space="preserve">  </w:t>
      </w:r>
    </w:p>
    <w:p w:rsidR="00BA31EB" w:rsidP="00BA31EB" w14:paraId="682C7C34" w14:textId="77777777">
      <w:pPr>
        <w:pStyle w:val="NoSpacing"/>
      </w:pPr>
      <w:r w:rsidRPr="00B25E29">
        <w:tab/>
      </w:r>
    </w:p>
    <w:p w:rsidR="00B25E29" w:rsidRPr="00B25E29" w14:paraId="2E45D993" w14:textId="2C7A6301">
      <w:pPr>
        <w:keepLines/>
        <w:tabs>
          <w:tab w:val="left" w:pos="360"/>
        </w:tabs>
        <w:spacing w:after="80"/>
        <w:ind w:left="360" w:hanging="360"/>
        <w:rPr>
          <w:sz w:val="24"/>
          <w:szCs w:val="24"/>
        </w:rPr>
      </w:pPr>
      <w:r>
        <w:rPr>
          <w:sz w:val="24"/>
          <w:szCs w:val="24"/>
        </w:rPr>
        <w:tab/>
      </w:r>
      <w:r w:rsidRPr="00B25E29">
        <w:rPr>
          <w:sz w:val="24"/>
          <w:szCs w:val="24"/>
        </w:rPr>
        <w:t>No Exemption is requested.  </w:t>
      </w:r>
    </w:p>
    <w:p w:rsidR="009E13B1" w:rsidRPr="00B17B6B" w:rsidP="00B25E29" w14:paraId="44B4D7A4" w14:textId="2752F253">
      <w:pPr>
        <w:keepLines/>
        <w:tabs>
          <w:tab w:val="left" w:pos="360"/>
        </w:tabs>
        <w:spacing w:after="80"/>
        <w:rPr>
          <w:b/>
          <w:bCs/>
          <w:sz w:val="24"/>
          <w:szCs w:val="24"/>
        </w:rPr>
      </w:pPr>
    </w:p>
    <w:p w:rsidR="009E13B1" w:rsidRPr="00B17B6B" w14:paraId="68C195AD" w14:textId="21153E3A">
      <w:pPr>
        <w:keepLines/>
        <w:tabs>
          <w:tab w:val="left" w:pos="360"/>
        </w:tabs>
        <w:spacing w:after="80"/>
        <w:ind w:left="360" w:hanging="360"/>
        <w:rPr>
          <w:rFonts w:ascii="Courier" w:hAnsi="Courier"/>
          <w:b/>
          <w:bCs/>
          <w:sz w:val="24"/>
          <w:szCs w:val="24"/>
        </w:rPr>
      </w:pPr>
      <w:r w:rsidRPr="00B17B6B">
        <w:rPr>
          <w:b/>
          <w:bCs/>
          <w:sz w:val="24"/>
          <w:szCs w:val="24"/>
        </w:rPr>
        <w:t>18.</w:t>
      </w:r>
      <w:r w:rsidRPr="00B17B6B">
        <w:rPr>
          <w:b/>
          <w:bCs/>
          <w:sz w:val="24"/>
          <w:szCs w:val="24"/>
        </w:rPr>
        <w:tab/>
        <w:t>Explain each exception to the certification statement identified in item 19.</w:t>
      </w:r>
      <w:r w:rsidR="00A03BB0">
        <w:rPr>
          <w:b/>
          <w:bCs/>
          <w:sz w:val="24"/>
          <w:szCs w:val="24"/>
        </w:rPr>
        <w:t xml:space="preserve"> - </w:t>
      </w:r>
      <w:r w:rsidRPr="00183674" w:rsidR="00A03BB0">
        <w:rPr>
          <w:sz w:val="24"/>
          <w:szCs w:val="24"/>
        </w:rPr>
        <w:t>N/A</w:t>
      </w:r>
    </w:p>
    <w:p w:rsidR="009E13B1" w:rsidRPr="00B17B6B" w:rsidP="000B2B15" w14:paraId="507CF194" w14:textId="756B87AA">
      <w:pPr>
        <w:tabs>
          <w:tab w:val="left" w:pos="360"/>
          <w:tab w:val="left" w:pos="720"/>
        </w:tabs>
        <w:rPr>
          <w:b/>
          <w:bCs/>
          <w:sz w:val="24"/>
          <w:szCs w:val="24"/>
        </w:rPr>
      </w:pPr>
      <w:r w:rsidRPr="00B17B6B">
        <w:rPr>
          <w:b/>
          <w:bCs/>
          <w:sz w:val="24"/>
          <w:szCs w:val="24"/>
        </w:rPr>
        <w:tab/>
      </w:r>
    </w:p>
    <w:sectPr w:rsidSect="006C7FAE">
      <w:headerReference w:type="default" r:id="rId14"/>
      <w:pgSz w:w="12240" w:h="15840"/>
      <w:pgMar w:top="1440" w:right="1440" w:bottom="1440" w:left="900" w:header="480" w:footer="480" w:gutter="0"/>
      <w:cols w:space="480" w:equalWidth="0">
        <w:col w:w="10080" w:space="0"/>
      </w:cols>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13B1" w14:paraId="7AC637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B26EA4E0"/>
    <w:lvl w:ilvl="0">
      <w:start w:val="0"/>
      <w:numFmt w:val="decimal"/>
      <w:lvlText w:val="*"/>
      <w:lvlJc w:val="left"/>
    </w:lvl>
  </w:abstractNum>
  <w:abstractNum w:abstractNumId="1">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2">
    <w:nsid w:val="0E0B7D28"/>
    <w:multiLevelType w:val="singleLevel"/>
    <w:tmpl w:val="1B20EFFC"/>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abstractNum w:abstractNumId="3">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4">
    <w:nsid w:val="22C63940"/>
    <w:multiLevelType w:val="singleLevel"/>
    <w:tmpl w:val="1B20EFFC"/>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5">
    <w:nsid w:val="3AB916E3"/>
    <w:multiLevelType w:val="hybridMultilevel"/>
    <w:tmpl w:val="62F490F8"/>
    <w:lvl w:ilvl="0">
      <w:start w:val="1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3B7248CD"/>
    <w:multiLevelType w:val="singleLevel"/>
    <w:tmpl w:val="389C343E"/>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7">
    <w:nsid w:val="409858BB"/>
    <w:multiLevelType w:val="singleLevel"/>
    <w:tmpl w:val="A8C62C48"/>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8">
    <w:nsid w:val="42265C12"/>
    <w:multiLevelType w:val="hybridMultilevel"/>
    <w:tmpl w:val="E1A4DCC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4B206095"/>
    <w:multiLevelType w:val="singleLevel"/>
    <w:tmpl w:val="2FA6477C"/>
    <w:lvl w:ilvl="0">
      <w:start w:val="7"/>
      <w:numFmt w:val="decimal"/>
      <w:lvlText w:val="%1. "/>
      <w:legacy w:legacy="1" w:legacySpace="0" w:legacyIndent="360"/>
      <w:lvlJc w:val="left"/>
      <w:pPr>
        <w:ind w:left="360" w:hanging="360"/>
      </w:pPr>
      <w:rPr>
        <w:rFonts w:ascii="Times New Roman" w:hAnsi="Times New Roman" w:hint="default"/>
        <w:b w:val="0"/>
        <w:i w:val="0"/>
        <w:sz w:val="24"/>
        <w:szCs w:val="24"/>
        <w:u w:val="none"/>
      </w:rPr>
    </w:lvl>
  </w:abstractNum>
  <w:abstractNum w:abstractNumId="10">
    <w:nsid w:val="5A220FD8"/>
    <w:multiLevelType w:val="singleLevel"/>
    <w:tmpl w:val="003EAA3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1">
    <w:nsid w:val="6D313C26"/>
    <w:multiLevelType w:val="hybridMultilevel"/>
    <w:tmpl w:val="FAB2392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3">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4">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abstractNum w:abstractNumId="15">
    <w:nsid w:val="7F664DBD"/>
    <w:multiLevelType w:val="hybridMultilevel"/>
    <w:tmpl w:val="8BD86C10"/>
    <w:lvl w:ilvl="0">
      <w:start w:val="1"/>
      <w:numFmt w:val="decimal"/>
      <w:lvlText w:val="(%1)"/>
      <w:lvlJc w:val="left"/>
      <w:pPr>
        <w:tabs>
          <w:tab w:val="num" w:pos="-5670"/>
        </w:tabs>
        <w:ind w:left="-5670" w:hanging="360"/>
      </w:pPr>
      <w:rPr>
        <w:rFonts w:hint="default"/>
      </w:rPr>
    </w:lvl>
    <w:lvl w:ilvl="1" w:tentative="1">
      <w:start w:val="1"/>
      <w:numFmt w:val="lowerLetter"/>
      <w:lvlText w:val="%2."/>
      <w:lvlJc w:val="left"/>
      <w:pPr>
        <w:tabs>
          <w:tab w:val="num" w:pos="-4950"/>
        </w:tabs>
        <w:ind w:left="-4950" w:hanging="360"/>
      </w:pPr>
    </w:lvl>
    <w:lvl w:ilvl="2" w:tentative="1">
      <w:start w:val="1"/>
      <w:numFmt w:val="lowerRoman"/>
      <w:lvlText w:val="%3."/>
      <w:lvlJc w:val="right"/>
      <w:pPr>
        <w:tabs>
          <w:tab w:val="num" w:pos="-4230"/>
        </w:tabs>
        <w:ind w:left="-4230" w:hanging="180"/>
      </w:pPr>
    </w:lvl>
    <w:lvl w:ilvl="3" w:tentative="1">
      <w:start w:val="1"/>
      <w:numFmt w:val="decimal"/>
      <w:lvlText w:val="%4."/>
      <w:lvlJc w:val="left"/>
      <w:pPr>
        <w:tabs>
          <w:tab w:val="num" w:pos="-3510"/>
        </w:tabs>
        <w:ind w:left="-3510" w:hanging="360"/>
      </w:pPr>
    </w:lvl>
    <w:lvl w:ilvl="4" w:tentative="1">
      <w:start w:val="1"/>
      <w:numFmt w:val="lowerLetter"/>
      <w:lvlText w:val="%5."/>
      <w:lvlJc w:val="left"/>
      <w:pPr>
        <w:tabs>
          <w:tab w:val="num" w:pos="-2790"/>
        </w:tabs>
        <w:ind w:left="-2790" w:hanging="360"/>
      </w:pPr>
    </w:lvl>
    <w:lvl w:ilvl="5" w:tentative="1">
      <w:start w:val="1"/>
      <w:numFmt w:val="lowerRoman"/>
      <w:lvlText w:val="%6."/>
      <w:lvlJc w:val="right"/>
      <w:pPr>
        <w:tabs>
          <w:tab w:val="num" w:pos="-2070"/>
        </w:tabs>
        <w:ind w:left="-2070" w:hanging="180"/>
      </w:pPr>
    </w:lvl>
    <w:lvl w:ilvl="6" w:tentative="1">
      <w:start w:val="1"/>
      <w:numFmt w:val="decimal"/>
      <w:lvlText w:val="%7."/>
      <w:lvlJc w:val="left"/>
      <w:pPr>
        <w:tabs>
          <w:tab w:val="num" w:pos="-1350"/>
        </w:tabs>
        <w:ind w:left="-1350" w:hanging="360"/>
      </w:pPr>
    </w:lvl>
    <w:lvl w:ilvl="7" w:tentative="1">
      <w:start w:val="1"/>
      <w:numFmt w:val="lowerLetter"/>
      <w:lvlText w:val="%8."/>
      <w:lvlJc w:val="left"/>
      <w:pPr>
        <w:tabs>
          <w:tab w:val="num" w:pos="-630"/>
        </w:tabs>
        <w:ind w:left="-630" w:hanging="360"/>
      </w:pPr>
    </w:lvl>
    <w:lvl w:ilvl="8" w:tentative="1">
      <w:start w:val="1"/>
      <w:numFmt w:val="lowerRoman"/>
      <w:lvlText w:val="%9."/>
      <w:lvlJc w:val="right"/>
      <w:pPr>
        <w:tabs>
          <w:tab w:val="num" w:pos="90"/>
        </w:tabs>
        <w:ind w:left="90" w:hanging="180"/>
      </w:pPr>
    </w:lvl>
  </w:abstractNum>
  <w:num w:numId="1" w16cid:durableId="434593959">
    <w:abstractNumId w:val="4"/>
  </w:num>
  <w:num w:numId="2" w16cid:durableId="1691369166">
    <w:abstractNumId w:val="2"/>
  </w:num>
  <w:num w:numId="3" w16cid:durableId="1998457188">
    <w:abstractNumId w:val="10"/>
  </w:num>
  <w:num w:numId="4" w16cid:durableId="1463377239">
    <w:abstractNumId w:val="6"/>
  </w:num>
  <w:num w:numId="5" w16cid:durableId="1837113576">
    <w:abstractNumId w:val="7"/>
  </w:num>
  <w:num w:numId="6" w16cid:durableId="450173965">
    <w:abstractNumId w:val="7"/>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16cid:durableId="334498023">
    <w:abstractNumId w:val="3"/>
  </w:num>
  <w:num w:numId="8" w16cid:durableId="760956177">
    <w:abstractNumId w:val="14"/>
  </w:num>
  <w:num w:numId="9" w16cid:durableId="665324050">
    <w:abstractNumId w:val="1"/>
  </w:num>
  <w:num w:numId="10" w16cid:durableId="337973429">
    <w:abstractNumId w:val="13"/>
  </w:num>
  <w:num w:numId="11" w16cid:durableId="1430657997">
    <w:abstractNumId w:val="12"/>
  </w:num>
  <w:num w:numId="12" w16cid:durableId="954098012">
    <w:abstractNumId w:val="12"/>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13" w16cid:durableId="317148299">
    <w:abstractNumId w:val="9"/>
  </w:num>
  <w:num w:numId="14" w16cid:durableId="1597445289">
    <w:abstractNumId w:val="0"/>
    <w:lvlOverride w:ilvl="0">
      <w:lvl w:ilvl="0">
        <w:start w:val="1"/>
        <w:numFmt w:val="bullet"/>
        <w:lvlText w:val=""/>
        <w:legacy w:legacy="1" w:legacySpace="0" w:legacyIndent="144"/>
        <w:lvlJc w:val="left"/>
        <w:pPr>
          <w:ind w:left="684" w:hanging="144"/>
        </w:pPr>
        <w:rPr>
          <w:rFonts w:ascii="Symbol" w:hAnsi="Symbol" w:hint="default"/>
          <w:sz w:val="16"/>
        </w:rPr>
      </w:lvl>
    </w:lvlOverride>
  </w:num>
  <w:num w:numId="15" w16cid:durableId="1787501790">
    <w:abstractNumId w:val="15"/>
  </w:num>
  <w:num w:numId="16" w16cid:durableId="1374649415">
    <w:abstractNumId w:val="5"/>
  </w:num>
  <w:num w:numId="17" w16cid:durableId="995959980">
    <w:abstractNumId w:val="8"/>
  </w:num>
  <w:num w:numId="18" w16cid:durableId="213733493">
    <w:abstractNumId w:val="11"/>
  </w:num>
  <w:num w:numId="19" w16cid:durableId="860900336">
    <w:abstractNumId w:val="7"/>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20" w16cid:durableId="548345299">
    <w:abstractNumId w:val="12"/>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21" w16cid:durableId="800270367">
    <w:abstractNumId w:val="0"/>
    <w:lvlOverride w:ilvl="0">
      <w:lvl w:ilvl="0">
        <w:start w:val="1"/>
        <w:numFmt w:val="bullet"/>
        <w:lvlText w:val=""/>
        <w:legacy w:legacy="1" w:legacySpace="0" w:legacyIndent="144"/>
        <w:lvlJc w:val="left"/>
        <w:pPr>
          <w:ind w:left="684" w:hanging="144"/>
        </w:pPr>
        <w:rPr>
          <w:rFonts w:ascii="Symbol" w:hAnsi="Symbol" w:hint="default"/>
          <w:sz w:val="16"/>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76"/>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940"/>
    <w:rsid w:val="00006F9E"/>
    <w:rsid w:val="00007F28"/>
    <w:rsid w:val="00010D4E"/>
    <w:rsid w:val="00014276"/>
    <w:rsid w:val="00015B6D"/>
    <w:rsid w:val="00016592"/>
    <w:rsid w:val="00025820"/>
    <w:rsid w:val="00036CC1"/>
    <w:rsid w:val="000421BD"/>
    <w:rsid w:val="00046594"/>
    <w:rsid w:val="000515DF"/>
    <w:rsid w:val="00051F60"/>
    <w:rsid w:val="00054C17"/>
    <w:rsid w:val="000567A2"/>
    <w:rsid w:val="00060D4C"/>
    <w:rsid w:val="00060D8D"/>
    <w:rsid w:val="00065E06"/>
    <w:rsid w:val="0006798A"/>
    <w:rsid w:val="00072106"/>
    <w:rsid w:val="000752DC"/>
    <w:rsid w:val="0007562A"/>
    <w:rsid w:val="00083A6C"/>
    <w:rsid w:val="000972CF"/>
    <w:rsid w:val="000A0DE7"/>
    <w:rsid w:val="000A1639"/>
    <w:rsid w:val="000A2F1F"/>
    <w:rsid w:val="000B2B15"/>
    <w:rsid w:val="000B440C"/>
    <w:rsid w:val="000B458C"/>
    <w:rsid w:val="000C117C"/>
    <w:rsid w:val="000C31DB"/>
    <w:rsid w:val="000C38FD"/>
    <w:rsid w:val="000C622F"/>
    <w:rsid w:val="000C7379"/>
    <w:rsid w:val="000C7F98"/>
    <w:rsid w:val="000D068D"/>
    <w:rsid w:val="000D1199"/>
    <w:rsid w:val="000D2384"/>
    <w:rsid w:val="000D34C6"/>
    <w:rsid w:val="000D5079"/>
    <w:rsid w:val="000E00A8"/>
    <w:rsid w:val="000E2A89"/>
    <w:rsid w:val="000E5DB5"/>
    <w:rsid w:val="000E61C9"/>
    <w:rsid w:val="000F0B58"/>
    <w:rsid w:val="000F55EB"/>
    <w:rsid w:val="000F62E5"/>
    <w:rsid w:val="00114EF0"/>
    <w:rsid w:val="0011767D"/>
    <w:rsid w:val="00121883"/>
    <w:rsid w:val="00121F13"/>
    <w:rsid w:val="00131624"/>
    <w:rsid w:val="00137FA9"/>
    <w:rsid w:val="00141CE1"/>
    <w:rsid w:val="00142DE5"/>
    <w:rsid w:val="00147325"/>
    <w:rsid w:val="00164107"/>
    <w:rsid w:val="00167CD5"/>
    <w:rsid w:val="00167E53"/>
    <w:rsid w:val="00173843"/>
    <w:rsid w:val="00174417"/>
    <w:rsid w:val="00181D77"/>
    <w:rsid w:val="00182B73"/>
    <w:rsid w:val="00183674"/>
    <w:rsid w:val="00187A7C"/>
    <w:rsid w:val="00187F9A"/>
    <w:rsid w:val="001933FA"/>
    <w:rsid w:val="00194FD9"/>
    <w:rsid w:val="0019666D"/>
    <w:rsid w:val="001A2912"/>
    <w:rsid w:val="001B33B5"/>
    <w:rsid w:val="001B6D1E"/>
    <w:rsid w:val="001C361A"/>
    <w:rsid w:val="001C4570"/>
    <w:rsid w:val="001D17E5"/>
    <w:rsid w:val="001D39FE"/>
    <w:rsid w:val="001D6BC7"/>
    <w:rsid w:val="001D708D"/>
    <w:rsid w:val="001E6058"/>
    <w:rsid w:val="001F56FA"/>
    <w:rsid w:val="002002AE"/>
    <w:rsid w:val="00211848"/>
    <w:rsid w:val="002150D0"/>
    <w:rsid w:val="00222666"/>
    <w:rsid w:val="00222AEA"/>
    <w:rsid w:val="00223DEF"/>
    <w:rsid w:val="00224492"/>
    <w:rsid w:val="0023042C"/>
    <w:rsid w:val="0023256B"/>
    <w:rsid w:val="00233EB9"/>
    <w:rsid w:val="00234A5D"/>
    <w:rsid w:val="002365F3"/>
    <w:rsid w:val="00241540"/>
    <w:rsid w:val="00245D4D"/>
    <w:rsid w:val="0024785A"/>
    <w:rsid w:val="002517F0"/>
    <w:rsid w:val="00257A5E"/>
    <w:rsid w:val="0026010C"/>
    <w:rsid w:val="00260319"/>
    <w:rsid w:val="002629B5"/>
    <w:rsid w:val="002631DC"/>
    <w:rsid w:val="00263696"/>
    <w:rsid w:val="0028513A"/>
    <w:rsid w:val="00290342"/>
    <w:rsid w:val="00291BF0"/>
    <w:rsid w:val="002932A2"/>
    <w:rsid w:val="00295ABD"/>
    <w:rsid w:val="00295B98"/>
    <w:rsid w:val="0029615B"/>
    <w:rsid w:val="0029761B"/>
    <w:rsid w:val="00297E82"/>
    <w:rsid w:val="002B120C"/>
    <w:rsid w:val="002B3D4B"/>
    <w:rsid w:val="002C114F"/>
    <w:rsid w:val="002C1C85"/>
    <w:rsid w:val="002C27C7"/>
    <w:rsid w:val="002C3E2A"/>
    <w:rsid w:val="002C415E"/>
    <w:rsid w:val="002C5AB5"/>
    <w:rsid w:val="002C5BA8"/>
    <w:rsid w:val="002C7589"/>
    <w:rsid w:val="002D00D3"/>
    <w:rsid w:val="002D1594"/>
    <w:rsid w:val="002E093B"/>
    <w:rsid w:val="002E3B13"/>
    <w:rsid w:val="002E680B"/>
    <w:rsid w:val="002F02CA"/>
    <w:rsid w:val="002F17DB"/>
    <w:rsid w:val="002F3878"/>
    <w:rsid w:val="002F6CE8"/>
    <w:rsid w:val="003012AB"/>
    <w:rsid w:val="003031DC"/>
    <w:rsid w:val="003035C0"/>
    <w:rsid w:val="003037C7"/>
    <w:rsid w:val="00311911"/>
    <w:rsid w:val="00312A3B"/>
    <w:rsid w:val="00312BEF"/>
    <w:rsid w:val="003206CE"/>
    <w:rsid w:val="00320A3A"/>
    <w:rsid w:val="00322AF4"/>
    <w:rsid w:val="003247D7"/>
    <w:rsid w:val="00324F3D"/>
    <w:rsid w:val="00325E9D"/>
    <w:rsid w:val="00326ECE"/>
    <w:rsid w:val="00343AD6"/>
    <w:rsid w:val="0035213B"/>
    <w:rsid w:val="003549E8"/>
    <w:rsid w:val="00360090"/>
    <w:rsid w:val="0037223B"/>
    <w:rsid w:val="00375C1B"/>
    <w:rsid w:val="00376471"/>
    <w:rsid w:val="0038029B"/>
    <w:rsid w:val="00380465"/>
    <w:rsid w:val="00393E38"/>
    <w:rsid w:val="0039432C"/>
    <w:rsid w:val="00397AAD"/>
    <w:rsid w:val="003A3280"/>
    <w:rsid w:val="003A3E06"/>
    <w:rsid w:val="003A7E9A"/>
    <w:rsid w:val="003B3EDA"/>
    <w:rsid w:val="003B7C7D"/>
    <w:rsid w:val="003C08E7"/>
    <w:rsid w:val="003C1918"/>
    <w:rsid w:val="003C3E4E"/>
    <w:rsid w:val="003C7CC9"/>
    <w:rsid w:val="003D4549"/>
    <w:rsid w:val="003E2A31"/>
    <w:rsid w:val="003E78DE"/>
    <w:rsid w:val="003F10F1"/>
    <w:rsid w:val="0040269B"/>
    <w:rsid w:val="00403BF0"/>
    <w:rsid w:val="00410926"/>
    <w:rsid w:val="00411E2C"/>
    <w:rsid w:val="00424862"/>
    <w:rsid w:val="00426A28"/>
    <w:rsid w:val="00432E95"/>
    <w:rsid w:val="004335EC"/>
    <w:rsid w:val="00436BCD"/>
    <w:rsid w:val="0044145A"/>
    <w:rsid w:val="004501A6"/>
    <w:rsid w:val="00450591"/>
    <w:rsid w:val="004540F0"/>
    <w:rsid w:val="004577DA"/>
    <w:rsid w:val="00461EF9"/>
    <w:rsid w:val="00464FBB"/>
    <w:rsid w:val="00471336"/>
    <w:rsid w:val="0047398E"/>
    <w:rsid w:val="00475212"/>
    <w:rsid w:val="0048289A"/>
    <w:rsid w:val="00484D1B"/>
    <w:rsid w:val="004929B8"/>
    <w:rsid w:val="00495618"/>
    <w:rsid w:val="0049629E"/>
    <w:rsid w:val="00496E38"/>
    <w:rsid w:val="004A4737"/>
    <w:rsid w:val="004A62CD"/>
    <w:rsid w:val="004A7C72"/>
    <w:rsid w:val="004B0713"/>
    <w:rsid w:val="004D3F15"/>
    <w:rsid w:val="004D6339"/>
    <w:rsid w:val="004E1913"/>
    <w:rsid w:val="004E28EE"/>
    <w:rsid w:val="004E2DD3"/>
    <w:rsid w:val="004E62BC"/>
    <w:rsid w:val="004F235F"/>
    <w:rsid w:val="004F745A"/>
    <w:rsid w:val="00504D25"/>
    <w:rsid w:val="005206F0"/>
    <w:rsid w:val="00524E1E"/>
    <w:rsid w:val="005279AB"/>
    <w:rsid w:val="00532200"/>
    <w:rsid w:val="00535F8E"/>
    <w:rsid w:val="0054386A"/>
    <w:rsid w:val="00550934"/>
    <w:rsid w:val="005530EB"/>
    <w:rsid w:val="00553B7E"/>
    <w:rsid w:val="005575E7"/>
    <w:rsid w:val="00580974"/>
    <w:rsid w:val="00580E64"/>
    <w:rsid w:val="00582A98"/>
    <w:rsid w:val="00584348"/>
    <w:rsid w:val="00584BDF"/>
    <w:rsid w:val="0058572D"/>
    <w:rsid w:val="00585A82"/>
    <w:rsid w:val="00586281"/>
    <w:rsid w:val="0058747D"/>
    <w:rsid w:val="00595C29"/>
    <w:rsid w:val="005A2569"/>
    <w:rsid w:val="005A27F2"/>
    <w:rsid w:val="005A33E0"/>
    <w:rsid w:val="005A5A5A"/>
    <w:rsid w:val="005A6333"/>
    <w:rsid w:val="005B4070"/>
    <w:rsid w:val="005D722E"/>
    <w:rsid w:val="005D7C9A"/>
    <w:rsid w:val="005E243D"/>
    <w:rsid w:val="005E4342"/>
    <w:rsid w:val="005E5407"/>
    <w:rsid w:val="005E5ABC"/>
    <w:rsid w:val="005E7523"/>
    <w:rsid w:val="005F1631"/>
    <w:rsid w:val="006000DB"/>
    <w:rsid w:val="00600DA5"/>
    <w:rsid w:val="006016DF"/>
    <w:rsid w:val="006069E4"/>
    <w:rsid w:val="00613CEA"/>
    <w:rsid w:val="0061770D"/>
    <w:rsid w:val="006226BB"/>
    <w:rsid w:val="0063133E"/>
    <w:rsid w:val="00632E31"/>
    <w:rsid w:val="006336B9"/>
    <w:rsid w:val="006361D4"/>
    <w:rsid w:val="0064385C"/>
    <w:rsid w:val="00654AD3"/>
    <w:rsid w:val="00656F90"/>
    <w:rsid w:val="00660465"/>
    <w:rsid w:val="00664579"/>
    <w:rsid w:val="00675ECD"/>
    <w:rsid w:val="006765AE"/>
    <w:rsid w:val="0068125B"/>
    <w:rsid w:val="00683C48"/>
    <w:rsid w:val="00690234"/>
    <w:rsid w:val="00692FF6"/>
    <w:rsid w:val="006941BB"/>
    <w:rsid w:val="0069795D"/>
    <w:rsid w:val="006A158B"/>
    <w:rsid w:val="006A46FD"/>
    <w:rsid w:val="006A5C84"/>
    <w:rsid w:val="006A6D62"/>
    <w:rsid w:val="006B0BAF"/>
    <w:rsid w:val="006B5031"/>
    <w:rsid w:val="006B7674"/>
    <w:rsid w:val="006C1E39"/>
    <w:rsid w:val="006C4830"/>
    <w:rsid w:val="006C7FAE"/>
    <w:rsid w:val="006D14B2"/>
    <w:rsid w:val="006D5FFB"/>
    <w:rsid w:val="006E777B"/>
    <w:rsid w:val="006F0D67"/>
    <w:rsid w:val="006F440E"/>
    <w:rsid w:val="006F4AA2"/>
    <w:rsid w:val="006F6C2C"/>
    <w:rsid w:val="007054E8"/>
    <w:rsid w:val="007114C1"/>
    <w:rsid w:val="0071289B"/>
    <w:rsid w:val="007227CE"/>
    <w:rsid w:val="00732782"/>
    <w:rsid w:val="00740606"/>
    <w:rsid w:val="0076574E"/>
    <w:rsid w:val="0077288C"/>
    <w:rsid w:val="00772DC1"/>
    <w:rsid w:val="0077667A"/>
    <w:rsid w:val="00776694"/>
    <w:rsid w:val="0078773A"/>
    <w:rsid w:val="0079259A"/>
    <w:rsid w:val="007A00DC"/>
    <w:rsid w:val="007A7FD5"/>
    <w:rsid w:val="007B35CE"/>
    <w:rsid w:val="007B3C22"/>
    <w:rsid w:val="007B4A33"/>
    <w:rsid w:val="007B4DE6"/>
    <w:rsid w:val="007B6655"/>
    <w:rsid w:val="007D1994"/>
    <w:rsid w:val="007D517B"/>
    <w:rsid w:val="007E35DA"/>
    <w:rsid w:val="007F4BD8"/>
    <w:rsid w:val="007F7B22"/>
    <w:rsid w:val="00813780"/>
    <w:rsid w:val="00813CE1"/>
    <w:rsid w:val="008314BA"/>
    <w:rsid w:val="0083591A"/>
    <w:rsid w:val="008423BD"/>
    <w:rsid w:val="00851A52"/>
    <w:rsid w:val="00856B83"/>
    <w:rsid w:val="0085720C"/>
    <w:rsid w:val="00857718"/>
    <w:rsid w:val="00867BA0"/>
    <w:rsid w:val="00867DFE"/>
    <w:rsid w:val="00871202"/>
    <w:rsid w:val="008743C4"/>
    <w:rsid w:val="008859FE"/>
    <w:rsid w:val="00885B1B"/>
    <w:rsid w:val="008941D7"/>
    <w:rsid w:val="008A2F44"/>
    <w:rsid w:val="008A64E1"/>
    <w:rsid w:val="008A686D"/>
    <w:rsid w:val="008A7175"/>
    <w:rsid w:val="008B0519"/>
    <w:rsid w:val="008B4761"/>
    <w:rsid w:val="008D1572"/>
    <w:rsid w:val="008D3DDA"/>
    <w:rsid w:val="008E0A84"/>
    <w:rsid w:val="008E41C9"/>
    <w:rsid w:val="008E5F3D"/>
    <w:rsid w:val="008E6472"/>
    <w:rsid w:val="008F16EF"/>
    <w:rsid w:val="008F1F4E"/>
    <w:rsid w:val="008F3455"/>
    <w:rsid w:val="008F4289"/>
    <w:rsid w:val="0090037B"/>
    <w:rsid w:val="0090053E"/>
    <w:rsid w:val="00900802"/>
    <w:rsid w:val="00906AC3"/>
    <w:rsid w:val="00913F23"/>
    <w:rsid w:val="00914E0D"/>
    <w:rsid w:val="0091537C"/>
    <w:rsid w:val="009167DB"/>
    <w:rsid w:val="0093355B"/>
    <w:rsid w:val="0093523F"/>
    <w:rsid w:val="00936582"/>
    <w:rsid w:val="00941CD4"/>
    <w:rsid w:val="00943176"/>
    <w:rsid w:val="009545DF"/>
    <w:rsid w:val="00956FAC"/>
    <w:rsid w:val="00963A62"/>
    <w:rsid w:val="00972092"/>
    <w:rsid w:val="009907C9"/>
    <w:rsid w:val="009944C5"/>
    <w:rsid w:val="00995615"/>
    <w:rsid w:val="00997035"/>
    <w:rsid w:val="009B0AA2"/>
    <w:rsid w:val="009C002C"/>
    <w:rsid w:val="009C2A4C"/>
    <w:rsid w:val="009C6112"/>
    <w:rsid w:val="009C6D05"/>
    <w:rsid w:val="009D1118"/>
    <w:rsid w:val="009D147C"/>
    <w:rsid w:val="009D5542"/>
    <w:rsid w:val="009E0C3E"/>
    <w:rsid w:val="009E13B1"/>
    <w:rsid w:val="009E3E80"/>
    <w:rsid w:val="009F35CA"/>
    <w:rsid w:val="00A035D0"/>
    <w:rsid w:val="00A03BB0"/>
    <w:rsid w:val="00A16FA9"/>
    <w:rsid w:val="00A17DEF"/>
    <w:rsid w:val="00A25CD8"/>
    <w:rsid w:val="00A312DA"/>
    <w:rsid w:val="00A31A18"/>
    <w:rsid w:val="00A34DD0"/>
    <w:rsid w:val="00A360ED"/>
    <w:rsid w:val="00A4046B"/>
    <w:rsid w:val="00A40E47"/>
    <w:rsid w:val="00A4390E"/>
    <w:rsid w:val="00A5000A"/>
    <w:rsid w:val="00A50611"/>
    <w:rsid w:val="00A508D2"/>
    <w:rsid w:val="00A50A2F"/>
    <w:rsid w:val="00A54ADC"/>
    <w:rsid w:val="00A569B9"/>
    <w:rsid w:val="00A57085"/>
    <w:rsid w:val="00A60860"/>
    <w:rsid w:val="00A63824"/>
    <w:rsid w:val="00A6542F"/>
    <w:rsid w:val="00A65F9E"/>
    <w:rsid w:val="00A7534A"/>
    <w:rsid w:val="00A7535F"/>
    <w:rsid w:val="00A83E46"/>
    <w:rsid w:val="00A935A1"/>
    <w:rsid w:val="00A97715"/>
    <w:rsid w:val="00AA43DA"/>
    <w:rsid w:val="00AB0198"/>
    <w:rsid w:val="00AB190D"/>
    <w:rsid w:val="00AB2C80"/>
    <w:rsid w:val="00AB5B04"/>
    <w:rsid w:val="00AE08F1"/>
    <w:rsid w:val="00AF01F0"/>
    <w:rsid w:val="00AF08A3"/>
    <w:rsid w:val="00AF2409"/>
    <w:rsid w:val="00AF3B03"/>
    <w:rsid w:val="00B01940"/>
    <w:rsid w:val="00B03398"/>
    <w:rsid w:val="00B035A5"/>
    <w:rsid w:val="00B043C7"/>
    <w:rsid w:val="00B04BA6"/>
    <w:rsid w:val="00B0638D"/>
    <w:rsid w:val="00B11E2A"/>
    <w:rsid w:val="00B145E6"/>
    <w:rsid w:val="00B17B6B"/>
    <w:rsid w:val="00B17E8A"/>
    <w:rsid w:val="00B2274D"/>
    <w:rsid w:val="00B24F54"/>
    <w:rsid w:val="00B258FD"/>
    <w:rsid w:val="00B25E29"/>
    <w:rsid w:val="00B31A2B"/>
    <w:rsid w:val="00B3388C"/>
    <w:rsid w:val="00B36479"/>
    <w:rsid w:val="00B36E2A"/>
    <w:rsid w:val="00B438D9"/>
    <w:rsid w:val="00B448EF"/>
    <w:rsid w:val="00B46ABF"/>
    <w:rsid w:val="00B57A7F"/>
    <w:rsid w:val="00B57FAE"/>
    <w:rsid w:val="00B61698"/>
    <w:rsid w:val="00B622EF"/>
    <w:rsid w:val="00B652A4"/>
    <w:rsid w:val="00B71058"/>
    <w:rsid w:val="00B71AE8"/>
    <w:rsid w:val="00B71F64"/>
    <w:rsid w:val="00B7668C"/>
    <w:rsid w:val="00B815E1"/>
    <w:rsid w:val="00B83A09"/>
    <w:rsid w:val="00B83BC4"/>
    <w:rsid w:val="00B94401"/>
    <w:rsid w:val="00BA24E2"/>
    <w:rsid w:val="00BA31EB"/>
    <w:rsid w:val="00BA3B82"/>
    <w:rsid w:val="00BA3BD1"/>
    <w:rsid w:val="00BB2518"/>
    <w:rsid w:val="00BB5948"/>
    <w:rsid w:val="00BB734B"/>
    <w:rsid w:val="00BB77EF"/>
    <w:rsid w:val="00BC10AF"/>
    <w:rsid w:val="00BC50C0"/>
    <w:rsid w:val="00BD12DC"/>
    <w:rsid w:val="00BD3ECF"/>
    <w:rsid w:val="00BD66B7"/>
    <w:rsid w:val="00BE012A"/>
    <w:rsid w:val="00BE1BB7"/>
    <w:rsid w:val="00BE587C"/>
    <w:rsid w:val="00BE5C52"/>
    <w:rsid w:val="00BF1DC2"/>
    <w:rsid w:val="00BF2B43"/>
    <w:rsid w:val="00BF5588"/>
    <w:rsid w:val="00BF5F45"/>
    <w:rsid w:val="00C06B8A"/>
    <w:rsid w:val="00C10C4D"/>
    <w:rsid w:val="00C11B9E"/>
    <w:rsid w:val="00C121DF"/>
    <w:rsid w:val="00C24072"/>
    <w:rsid w:val="00C24C47"/>
    <w:rsid w:val="00C255E0"/>
    <w:rsid w:val="00C259A4"/>
    <w:rsid w:val="00C33370"/>
    <w:rsid w:val="00C35CC5"/>
    <w:rsid w:val="00C43CFC"/>
    <w:rsid w:val="00C47FBC"/>
    <w:rsid w:val="00C6016A"/>
    <w:rsid w:val="00C63776"/>
    <w:rsid w:val="00C64473"/>
    <w:rsid w:val="00C743E6"/>
    <w:rsid w:val="00C76B42"/>
    <w:rsid w:val="00C8012E"/>
    <w:rsid w:val="00C865C3"/>
    <w:rsid w:val="00C86FB0"/>
    <w:rsid w:val="00CA06CC"/>
    <w:rsid w:val="00CA20E7"/>
    <w:rsid w:val="00CB24FA"/>
    <w:rsid w:val="00CB2FB7"/>
    <w:rsid w:val="00CB68B5"/>
    <w:rsid w:val="00CC1066"/>
    <w:rsid w:val="00CC1DED"/>
    <w:rsid w:val="00CC3389"/>
    <w:rsid w:val="00CC6BE0"/>
    <w:rsid w:val="00CD23A5"/>
    <w:rsid w:val="00CD7248"/>
    <w:rsid w:val="00CE1567"/>
    <w:rsid w:val="00CE6A2E"/>
    <w:rsid w:val="00CF3040"/>
    <w:rsid w:val="00D039FD"/>
    <w:rsid w:val="00D06909"/>
    <w:rsid w:val="00D11473"/>
    <w:rsid w:val="00D12FD4"/>
    <w:rsid w:val="00D173F9"/>
    <w:rsid w:val="00D2127C"/>
    <w:rsid w:val="00D2260D"/>
    <w:rsid w:val="00D2336C"/>
    <w:rsid w:val="00D234BF"/>
    <w:rsid w:val="00D30F2F"/>
    <w:rsid w:val="00D32A83"/>
    <w:rsid w:val="00D33BEA"/>
    <w:rsid w:val="00D3508C"/>
    <w:rsid w:val="00D3544B"/>
    <w:rsid w:val="00D357B9"/>
    <w:rsid w:val="00D422CD"/>
    <w:rsid w:val="00D44E46"/>
    <w:rsid w:val="00D53C93"/>
    <w:rsid w:val="00D56200"/>
    <w:rsid w:val="00D5773B"/>
    <w:rsid w:val="00D717DB"/>
    <w:rsid w:val="00D74136"/>
    <w:rsid w:val="00D750F5"/>
    <w:rsid w:val="00D75695"/>
    <w:rsid w:val="00D81406"/>
    <w:rsid w:val="00D86718"/>
    <w:rsid w:val="00D87C12"/>
    <w:rsid w:val="00D90CC0"/>
    <w:rsid w:val="00D922CC"/>
    <w:rsid w:val="00D924D9"/>
    <w:rsid w:val="00D96BD7"/>
    <w:rsid w:val="00DA0D32"/>
    <w:rsid w:val="00DA0FD0"/>
    <w:rsid w:val="00DA56F4"/>
    <w:rsid w:val="00DA5930"/>
    <w:rsid w:val="00DA65D6"/>
    <w:rsid w:val="00DA6E2D"/>
    <w:rsid w:val="00DA7989"/>
    <w:rsid w:val="00DD2257"/>
    <w:rsid w:val="00DD24A0"/>
    <w:rsid w:val="00DD3286"/>
    <w:rsid w:val="00DE0A05"/>
    <w:rsid w:val="00DE25B9"/>
    <w:rsid w:val="00DE2D25"/>
    <w:rsid w:val="00DE4CDF"/>
    <w:rsid w:val="00DF7E1A"/>
    <w:rsid w:val="00E00D88"/>
    <w:rsid w:val="00E01140"/>
    <w:rsid w:val="00E11287"/>
    <w:rsid w:val="00E13851"/>
    <w:rsid w:val="00E20105"/>
    <w:rsid w:val="00E2032E"/>
    <w:rsid w:val="00E217AD"/>
    <w:rsid w:val="00E40A99"/>
    <w:rsid w:val="00E46DCE"/>
    <w:rsid w:val="00E507BF"/>
    <w:rsid w:val="00E55926"/>
    <w:rsid w:val="00E55B8F"/>
    <w:rsid w:val="00E64507"/>
    <w:rsid w:val="00E66B7A"/>
    <w:rsid w:val="00E67343"/>
    <w:rsid w:val="00E728FE"/>
    <w:rsid w:val="00E80EDE"/>
    <w:rsid w:val="00E8742D"/>
    <w:rsid w:val="00E87F65"/>
    <w:rsid w:val="00E9019D"/>
    <w:rsid w:val="00EA23A8"/>
    <w:rsid w:val="00EA25DC"/>
    <w:rsid w:val="00EA3405"/>
    <w:rsid w:val="00EB18D6"/>
    <w:rsid w:val="00EB4D4B"/>
    <w:rsid w:val="00EB6E78"/>
    <w:rsid w:val="00EB7DE8"/>
    <w:rsid w:val="00EC11F0"/>
    <w:rsid w:val="00EC25B6"/>
    <w:rsid w:val="00EC5687"/>
    <w:rsid w:val="00EE02BF"/>
    <w:rsid w:val="00EE3193"/>
    <w:rsid w:val="00EE3BBB"/>
    <w:rsid w:val="00EE4CB9"/>
    <w:rsid w:val="00EE51F6"/>
    <w:rsid w:val="00EF052F"/>
    <w:rsid w:val="00F015C3"/>
    <w:rsid w:val="00F035D5"/>
    <w:rsid w:val="00F04583"/>
    <w:rsid w:val="00F131B4"/>
    <w:rsid w:val="00F14089"/>
    <w:rsid w:val="00F1556C"/>
    <w:rsid w:val="00F22FE1"/>
    <w:rsid w:val="00F23706"/>
    <w:rsid w:val="00F24C0C"/>
    <w:rsid w:val="00F26222"/>
    <w:rsid w:val="00F27C8F"/>
    <w:rsid w:val="00F351C1"/>
    <w:rsid w:val="00F37220"/>
    <w:rsid w:val="00F41C18"/>
    <w:rsid w:val="00F41F1A"/>
    <w:rsid w:val="00F50872"/>
    <w:rsid w:val="00F5145B"/>
    <w:rsid w:val="00F54323"/>
    <w:rsid w:val="00F557C1"/>
    <w:rsid w:val="00F56F29"/>
    <w:rsid w:val="00F62EE7"/>
    <w:rsid w:val="00F63F21"/>
    <w:rsid w:val="00F64D3A"/>
    <w:rsid w:val="00F65AE9"/>
    <w:rsid w:val="00F72125"/>
    <w:rsid w:val="00F77633"/>
    <w:rsid w:val="00F84756"/>
    <w:rsid w:val="00F85E8E"/>
    <w:rsid w:val="00F952E4"/>
    <w:rsid w:val="00F9602F"/>
    <w:rsid w:val="00F968A0"/>
    <w:rsid w:val="00FA25B3"/>
    <w:rsid w:val="00FA2963"/>
    <w:rsid w:val="00FA5010"/>
    <w:rsid w:val="00FA5F70"/>
    <w:rsid w:val="00FB30BE"/>
    <w:rsid w:val="00FC1191"/>
    <w:rsid w:val="00FC20A5"/>
    <w:rsid w:val="00FC25B1"/>
    <w:rsid w:val="00FC2DFB"/>
    <w:rsid w:val="00FC4D64"/>
    <w:rsid w:val="00FC5279"/>
    <w:rsid w:val="00FC673D"/>
    <w:rsid w:val="00FD0204"/>
    <w:rsid w:val="00FD055C"/>
    <w:rsid w:val="00FD254D"/>
    <w:rsid w:val="00FE0157"/>
    <w:rsid w:val="00FE1607"/>
    <w:rsid w:val="00FE3E8C"/>
    <w:rsid w:val="00FE4E70"/>
    <w:rsid w:val="00FF338B"/>
    <w:rsid w:val="0C7601DA"/>
    <w:rsid w:val="168DA903"/>
    <w:rsid w:val="181ACE02"/>
    <w:rsid w:val="1FAC986F"/>
    <w:rsid w:val="26B68A7B"/>
    <w:rsid w:val="2ADEF51A"/>
    <w:rsid w:val="2C673DFE"/>
    <w:rsid w:val="2C6DD351"/>
    <w:rsid w:val="3170CD44"/>
    <w:rsid w:val="31B6CC1C"/>
    <w:rsid w:val="360643E8"/>
    <w:rsid w:val="43CFF13D"/>
    <w:rsid w:val="5469F00D"/>
    <w:rsid w:val="59E6EBBA"/>
    <w:rsid w:val="63D6CB06"/>
    <w:rsid w:val="7DEBA1B0"/>
    <w:rsid w:val="7FC18A0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D20CF03"/>
  <w15:chartTrackingRefBased/>
  <w15:docId w15:val="{2F936304-7AEC-48F4-AFFA-EB9B8C7C4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6C7FAE"/>
    <w:rPr>
      <w:rFonts w:ascii="Segoe UI" w:hAnsi="Segoe UI" w:cs="Segoe UI"/>
      <w:sz w:val="18"/>
      <w:szCs w:val="18"/>
    </w:rPr>
  </w:style>
  <w:style w:type="character" w:customStyle="1" w:styleId="BalloonTextChar">
    <w:name w:val="Balloon Text Char"/>
    <w:link w:val="BalloonText"/>
    <w:uiPriority w:val="99"/>
    <w:semiHidden/>
    <w:rsid w:val="006C7FAE"/>
    <w:rPr>
      <w:rFonts w:ascii="Segoe UI" w:hAnsi="Segoe UI" w:cs="Segoe UI"/>
      <w:sz w:val="18"/>
      <w:szCs w:val="18"/>
    </w:rPr>
  </w:style>
  <w:style w:type="paragraph" w:styleId="ListParagraph">
    <w:name w:val="List Paragraph"/>
    <w:basedOn w:val="Normal"/>
    <w:uiPriority w:val="34"/>
    <w:qFormat/>
    <w:rsid w:val="00A65F9E"/>
    <w:pPr>
      <w:ind w:left="720"/>
    </w:pPr>
  </w:style>
  <w:style w:type="paragraph" w:styleId="NoSpacing">
    <w:name w:val="No Spacing"/>
    <w:uiPriority w:val="1"/>
    <w:qFormat/>
    <w:rsid w:val="000B2B15"/>
    <w:pPr>
      <w:overflowPunct w:val="0"/>
      <w:autoSpaceDE w:val="0"/>
      <w:autoSpaceDN w:val="0"/>
      <w:adjustRightInd w:val="0"/>
      <w:textAlignment w:val="baseline"/>
    </w:pPr>
  </w:style>
  <w:style w:type="character" w:styleId="Hyperlink">
    <w:name w:val="Hyperlink"/>
    <w:basedOn w:val="DefaultParagraphFont"/>
    <w:uiPriority w:val="99"/>
    <w:unhideWhenUsed/>
    <w:rsid w:val="00E46DCE"/>
    <w:rPr>
      <w:color w:val="467886" w:themeColor="hyperlink"/>
      <w:u w:val="single"/>
    </w:rPr>
  </w:style>
  <w:style w:type="character" w:styleId="UnresolvedMention">
    <w:name w:val="Unresolved Mention"/>
    <w:basedOn w:val="DefaultParagraphFont"/>
    <w:uiPriority w:val="99"/>
    <w:semiHidden/>
    <w:unhideWhenUsed/>
    <w:rsid w:val="00E46DCE"/>
    <w:rPr>
      <w:color w:val="605E5C"/>
      <w:shd w:val="clear" w:color="auto" w:fill="E1DFDD"/>
    </w:rPr>
  </w:style>
  <w:style w:type="character" w:styleId="CommentReference">
    <w:name w:val="annotation reference"/>
    <w:basedOn w:val="DefaultParagraphFont"/>
    <w:uiPriority w:val="99"/>
    <w:semiHidden/>
    <w:unhideWhenUsed/>
    <w:rsid w:val="000421BD"/>
    <w:rPr>
      <w:sz w:val="16"/>
      <w:szCs w:val="16"/>
    </w:rPr>
  </w:style>
  <w:style w:type="paragraph" w:styleId="CommentText">
    <w:name w:val="annotation text"/>
    <w:basedOn w:val="Normal"/>
    <w:link w:val="CommentTextChar"/>
    <w:uiPriority w:val="99"/>
    <w:unhideWhenUsed/>
    <w:rsid w:val="000421BD"/>
  </w:style>
  <w:style w:type="character" w:customStyle="1" w:styleId="CommentTextChar">
    <w:name w:val="Comment Text Char"/>
    <w:basedOn w:val="DefaultParagraphFont"/>
    <w:link w:val="CommentText"/>
    <w:uiPriority w:val="99"/>
    <w:rsid w:val="000421BD"/>
  </w:style>
  <w:style w:type="paragraph" w:styleId="CommentSubject">
    <w:name w:val="annotation subject"/>
    <w:basedOn w:val="CommentText"/>
    <w:next w:val="CommentText"/>
    <w:link w:val="CommentSubjectChar"/>
    <w:uiPriority w:val="99"/>
    <w:semiHidden/>
    <w:unhideWhenUsed/>
    <w:rsid w:val="000421BD"/>
    <w:rPr>
      <w:b/>
      <w:bCs/>
    </w:rPr>
  </w:style>
  <w:style w:type="character" w:customStyle="1" w:styleId="CommentSubjectChar">
    <w:name w:val="Comment Subject Char"/>
    <w:basedOn w:val="CommentTextChar"/>
    <w:link w:val="CommentSubject"/>
    <w:uiPriority w:val="99"/>
    <w:semiHidden/>
    <w:rsid w:val="000421BD"/>
    <w:rPr>
      <w:b/>
      <w:bCs/>
    </w:rPr>
  </w:style>
  <w:style w:type="paragraph" w:styleId="BodyText">
    <w:name w:val="Body Text"/>
    <w:basedOn w:val="Normal"/>
    <w:link w:val="BodyTextChar"/>
    <w:uiPriority w:val="99"/>
    <w:semiHidden/>
    <w:unhideWhenUsed/>
    <w:rsid w:val="00DE25B9"/>
    <w:pPr>
      <w:tabs>
        <w:tab w:val="left" w:pos="720"/>
      </w:tabs>
      <w:overflowPunct/>
      <w:autoSpaceDE/>
      <w:autoSpaceDN/>
      <w:adjustRightInd/>
      <w:spacing w:after="120" w:line="276" w:lineRule="auto"/>
      <w:textAlignment w:val="auto"/>
    </w:pPr>
    <w:rPr>
      <w:rFonts w:eastAsiaTheme="minorHAnsi" w:cstheme="minorBidi"/>
      <w:sz w:val="24"/>
      <w:szCs w:val="22"/>
    </w:rPr>
  </w:style>
  <w:style w:type="character" w:customStyle="1" w:styleId="BodyTextChar">
    <w:name w:val="Body Text Char"/>
    <w:basedOn w:val="DefaultParagraphFont"/>
    <w:link w:val="BodyText"/>
    <w:uiPriority w:val="99"/>
    <w:semiHidden/>
    <w:rsid w:val="00DE25B9"/>
    <w:rPr>
      <w:rFonts w:eastAsiaTheme="minorHAnsi" w:cstheme="minorBidi"/>
      <w:sz w:val="24"/>
      <w:szCs w:val="22"/>
    </w:rPr>
  </w:style>
  <w:style w:type="paragraph" w:styleId="BodyTextIndent3">
    <w:name w:val="Body Text Indent 3"/>
    <w:basedOn w:val="Normal"/>
    <w:link w:val="BodyTextIndent3Char"/>
    <w:uiPriority w:val="99"/>
    <w:unhideWhenUsed/>
    <w:rsid w:val="00DE25B9"/>
    <w:pPr>
      <w:tabs>
        <w:tab w:val="left" w:pos="720"/>
      </w:tabs>
      <w:overflowPunct/>
      <w:autoSpaceDE/>
      <w:autoSpaceDN/>
      <w:adjustRightInd/>
      <w:spacing w:after="120" w:line="276" w:lineRule="auto"/>
      <w:ind w:left="360"/>
      <w:textAlignment w:val="auto"/>
    </w:pPr>
    <w:rPr>
      <w:rFonts w:eastAsiaTheme="minorHAnsi" w:cstheme="minorBidi"/>
      <w:sz w:val="16"/>
      <w:szCs w:val="16"/>
    </w:rPr>
  </w:style>
  <w:style w:type="character" w:customStyle="1" w:styleId="BodyTextIndent3Char">
    <w:name w:val="Body Text Indent 3 Char"/>
    <w:basedOn w:val="DefaultParagraphFont"/>
    <w:link w:val="BodyTextIndent3"/>
    <w:uiPriority w:val="99"/>
    <w:rsid w:val="00DE25B9"/>
    <w:rPr>
      <w:rFonts w:eastAsiaTheme="minorHAnsi" w:cstheme="minorBidi"/>
      <w:sz w:val="16"/>
      <w:szCs w:val="16"/>
    </w:rPr>
  </w:style>
  <w:style w:type="paragraph" w:styleId="BodyTextIndent2">
    <w:name w:val="Body Text Indent 2"/>
    <w:basedOn w:val="Normal"/>
    <w:link w:val="BodyTextIndent2Char"/>
    <w:uiPriority w:val="99"/>
    <w:unhideWhenUsed/>
    <w:rsid w:val="00FB30BE"/>
    <w:pPr>
      <w:tabs>
        <w:tab w:val="left" w:pos="720"/>
      </w:tabs>
      <w:overflowPunct/>
      <w:autoSpaceDE/>
      <w:autoSpaceDN/>
      <w:adjustRightInd/>
      <w:spacing w:after="120" w:line="480" w:lineRule="auto"/>
      <w:ind w:left="360"/>
      <w:textAlignment w:val="auto"/>
    </w:pPr>
    <w:rPr>
      <w:rFonts w:eastAsiaTheme="minorHAnsi" w:cstheme="minorBidi"/>
      <w:sz w:val="24"/>
      <w:szCs w:val="22"/>
    </w:rPr>
  </w:style>
  <w:style w:type="character" w:customStyle="1" w:styleId="BodyTextIndent2Char">
    <w:name w:val="Body Text Indent 2 Char"/>
    <w:basedOn w:val="DefaultParagraphFont"/>
    <w:link w:val="BodyTextIndent2"/>
    <w:uiPriority w:val="99"/>
    <w:rsid w:val="00FB30BE"/>
    <w:rPr>
      <w:rFonts w:eastAsiaTheme="minorHAnsi" w:cstheme="minorBidi"/>
      <w:sz w:val="24"/>
      <w:szCs w:val="22"/>
    </w:rPr>
  </w:style>
  <w:style w:type="paragraph" w:styleId="BodyTextIndent">
    <w:name w:val="Body Text Indent"/>
    <w:basedOn w:val="Normal"/>
    <w:link w:val="BodyTextIndentChar"/>
    <w:uiPriority w:val="99"/>
    <w:semiHidden/>
    <w:unhideWhenUsed/>
    <w:rsid w:val="00FB30BE"/>
    <w:pPr>
      <w:tabs>
        <w:tab w:val="left" w:pos="720"/>
      </w:tabs>
      <w:overflowPunct/>
      <w:autoSpaceDE/>
      <w:autoSpaceDN/>
      <w:adjustRightInd/>
      <w:spacing w:after="120" w:line="276" w:lineRule="auto"/>
      <w:ind w:left="360"/>
      <w:textAlignment w:val="auto"/>
    </w:pPr>
    <w:rPr>
      <w:rFonts w:eastAsiaTheme="minorHAnsi" w:cstheme="minorBidi"/>
      <w:sz w:val="24"/>
      <w:szCs w:val="22"/>
    </w:rPr>
  </w:style>
  <w:style w:type="character" w:customStyle="1" w:styleId="BodyTextIndentChar">
    <w:name w:val="Body Text Indent Char"/>
    <w:basedOn w:val="DefaultParagraphFont"/>
    <w:link w:val="BodyTextIndent"/>
    <w:uiPriority w:val="99"/>
    <w:semiHidden/>
    <w:rsid w:val="00FB30BE"/>
    <w:rPr>
      <w:rFonts w:eastAsiaTheme="minorHAnsi" w:cstheme="minorBidi"/>
      <w:sz w:val="24"/>
      <w:szCs w:val="22"/>
    </w:rPr>
  </w:style>
  <w:style w:type="character" w:styleId="FollowedHyperlink">
    <w:name w:val="FollowedHyperlink"/>
    <w:basedOn w:val="DefaultParagraphFont"/>
    <w:uiPriority w:val="99"/>
    <w:semiHidden/>
    <w:unhideWhenUsed/>
    <w:rsid w:val="00DE0A05"/>
    <w:rPr>
      <w:color w:val="96607D" w:themeColor="followedHyperlink"/>
      <w:u w:val="single"/>
    </w:rPr>
  </w:style>
  <w:style w:type="paragraph" w:styleId="Revision">
    <w:name w:val="Revision"/>
    <w:hidden/>
    <w:uiPriority w:val="99"/>
    <w:semiHidden/>
    <w:rsid w:val="000567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law.cornell.edu/definitions/uscode.php?width=840&amp;height=800&amp;iframe=true&amp;def_id=12-USC-204524388-1781265245&amp;term_occur=999&amp;term_src=" TargetMode="External" /><Relationship Id="rId11" Type="http://schemas.openxmlformats.org/officeDocument/2006/relationships/hyperlink" Target="https://www.law.cornell.edu/definitions/uscode.php?width=840&amp;height=800&amp;iframe=true&amp;def_id=12-USC-2045288308-1781265247&amp;term_occur=999&amp;term_src=" TargetMode="External" /><Relationship Id="rId12" Type="http://schemas.openxmlformats.org/officeDocument/2006/relationships/hyperlink" Target="https://www.govinfo.gov/content/pkg/FR-2025-04-29/pdf/2025-07370.pdf" TargetMode="External" /><Relationship Id="rId13" Type="http://schemas.openxmlformats.org/officeDocument/2006/relationships/hyperlink" Target="https://data.bls.gov/oesprofile/" TargetMode="External" /><Relationship Id="rId14" Type="http://schemas.openxmlformats.org/officeDocument/2006/relationships/header" Target="head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hud.gov/stat/ogc-legal-instructions-full-insurance-benefits" TargetMode="External" /><Relationship Id="rId9" Type="http://schemas.openxmlformats.org/officeDocument/2006/relationships/hyperlink" Target="https://www.law.cornell.edu/definitions/uscode.php?width=840&amp;height=800&amp;iframe=true&amp;def_id=12-USC-2045288631-1781265246&amp;term_occur=999&amp;term_src=title:12:chapter:13:subchapter:II:section:171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1983aa-7342-4d71-95c0-4b2a978255db">
      <Terms xmlns="http://schemas.microsoft.com/office/infopath/2007/PartnerControls"/>
    </lcf76f155ced4ddcb4097134ff3c332f>
    <TaxCatchAll xmlns="3d74413c-f335-4219-9f7a-311bf97f069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2E6C687FD44C0438D6DC39221898272" ma:contentTypeVersion="13" ma:contentTypeDescription="Create a new document." ma:contentTypeScope="" ma:versionID="f35b53096320a07eea516dd276e8b8ab">
  <xsd:schema xmlns:xsd="http://www.w3.org/2001/XMLSchema" xmlns:xs="http://www.w3.org/2001/XMLSchema" xmlns:p="http://schemas.microsoft.com/office/2006/metadata/properties" xmlns:ns2="081983aa-7342-4d71-95c0-4b2a978255db" xmlns:ns3="3d74413c-f335-4219-9f7a-311bf97f069a" targetNamespace="http://schemas.microsoft.com/office/2006/metadata/properties" ma:root="true" ma:fieldsID="345c7fe97b7dcb94c6085df94278cf21" ns2:_="" ns3:_="">
    <xsd:import namespace="081983aa-7342-4d71-95c0-4b2a978255db"/>
    <xsd:import namespace="3d74413c-f335-4219-9f7a-311bf97f069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1983aa-7342-4d71-95c0-4b2a978255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74413c-f335-4219-9f7a-311bf97f069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f7ee719-70b1-40c4-abb6-37f8e8680373}" ma:internalName="TaxCatchAll" ma:showField="CatchAllData" ma:web="3d74413c-f335-4219-9f7a-311bf97f06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EC86D7-B7B0-45C9-94ED-DEB24A9249F7}">
  <ds:schemaRefs>
    <ds:schemaRef ds:uri="http://schemas.microsoft.com/office/2006/metadata/properties"/>
    <ds:schemaRef ds:uri="http://schemas.microsoft.com/office/infopath/2007/PartnerControls"/>
    <ds:schemaRef ds:uri="081983aa-7342-4d71-95c0-4b2a978255db"/>
    <ds:schemaRef ds:uri="3d74413c-f335-4219-9f7a-311bf97f069a"/>
  </ds:schemaRefs>
</ds:datastoreItem>
</file>

<file path=customXml/itemProps2.xml><?xml version="1.0" encoding="utf-8"?>
<ds:datastoreItem xmlns:ds="http://schemas.openxmlformats.org/officeDocument/2006/customXml" ds:itemID="{4D3A08EC-CC06-402F-B2DB-F86D22D1BB53}">
  <ds:schemaRefs>
    <ds:schemaRef ds:uri="http://schemas.openxmlformats.org/officeDocument/2006/bibliography"/>
  </ds:schemaRefs>
</ds:datastoreItem>
</file>

<file path=customXml/itemProps3.xml><?xml version="1.0" encoding="utf-8"?>
<ds:datastoreItem xmlns:ds="http://schemas.openxmlformats.org/officeDocument/2006/customXml" ds:itemID="{F640F908-114C-41C1-963A-F7BCCCB19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1983aa-7342-4d71-95c0-4b2a978255db"/>
    <ds:schemaRef ds:uri="3d74413c-f335-4219-9f7a-311bf97f06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3B7782-02BD-4EFC-ABDD-E5EB6B32463E}">
  <ds:schemaRefs>
    <ds:schemaRef ds:uri="http://schemas.microsoft.com/sharepoint/v3/contenttype/forms"/>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Template>
  <TotalTime>4</TotalTime>
  <Pages>10</Pages>
  <Words>4277</Words>
  <Characters>23494</Characters>
  <Application>Microsoft Office Word</Application>
  <DocSecurity>2</DocSecurity>
  <Lines>522</Lines>
  <Paragraphs>155</Paragraphs>
  <ScaleCrop>false</ScaleCrop>
  <Company>HUD</Company>
  <LinksUpToDate>false</LinksUpToDate>
  <CharactersWithSpaces>27771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 Submission</dc:title>
  <dc:creator>HUDWARE II</dc:creator>
  <cp:lastModifiedBy>Guido, Anna P</cp:lastModifiedBy>
  <cp:revision>2</cp:revision>
  <cp:lastPrinted>2016-10-19T17:19:00Z</cp:lastPrinted>
  <dcterms:created xsi:type="dcterms:W3CDTF">2026-02-18T22:09:00Z</dcterms:created>
  <dcterms:modified xsi:type="dcterms:W3CDTF">2026-02-18T22:09:00Z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0x010100F2E6C687FD44C0438D6DC39221898272</vt:lpwstr>
  </property>
  <property fmtid="{D5CDD505-2E9C-101B-9397-08002B2CF9AE}" pid="3" name="MediaServiceImageTags">
    <vt:lpwstr/>
  </property>
  <property fmtid="{D5CDD505-2E9C-101B-9397-08002B2CF9AE}" pid="4" name="_NewReviewCycle">
    <vt:lpwstr/>
  </property>
</Properties>
</file>