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1682" w:rsidRPr="00B95846" w:rsidP="00311682" w14:paraId="031573B5" w14:textId="77777777">
      <w:pPr>
        <w:jc w:val="center"/>
        <w:rPr>
          <w:b/>
          <w:sz w:val="24"/>
          <w:szCs w:val="24"/>
        </w:rPr>
      </w:pPr>
      <w:r w:rsidRPr="00B95846">
        <w:rPr>
          <w:b/>
          <w:sz w:val="24"/>
          <w:szCs w:val="24"/>
        </w:rPr>
        <w:t>Supporting Statement for Paperwork Reduction Act Submissions</w:t>
      </w:r>
    </w:p>
    <w:p w:rsidR="00311682" w:rsidRPr="00B95846" w:rsidP="5E7F3602" w14:paraId="6904894B" w14:textId="70347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B95846">
        <w:rPr>
          <w:b/>
          <w:bCs/>
          <w:sz w:val="24"/>
          <w:szCs w:val="24"/>
        </w:rPr>
        <w:t xml:space="preserve">Indian Housing Block Grants (IHBG) Program </w:t>
      </w:r>
    </w:p>
    <w:p w:rsidR="00311682" w:rsidRPr="00B95846" w:rsidP="00311682" w14:paraId="6E13F8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B95846">
        <w:rPr>
          <w:b/>
          <w:sz w:val="24"/>
          <w:szCs w:val="24"/>
        </w:rPr>
        <w:t>OMB# 2577-0218</w:t>
      </w:r>
    </w:p>
    <w:p w:rsidR="00311682" w:rsidRPr="00B95846" w:rsidP="00311682" w14:paraId="0F2ACFEA" w14:textId="77777777">
      <w:pPr>
        <w:rPr>
          <w:b/>
          <w:sz w:val="24"/>
          <w:szCs w:val="24"/>
        </w:rPr>
      </w:pPr>
    </w:p>
    <w:p w:rsidR="00311682" w:rsidRPr="00B95846" w:rsidP="00311682" w14:paraId="7877015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B95846">
        <w:rPr>
          <w:b/>
          <w:sz w:val="24"/>
          <w:szCs w:val="24"/>
        </w:rPr>
        <w:t>A. Justification</w:t>
      </w:r>
    </w:p>
    <w:p w:rsidR="00311682" w:rsidRPr="00B95846" w:rsidP="00311682" w14:paraId="087C90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311682" w:rsidRPr="00B95846" w:rsidP="00311682" w14:paraId="2DC602F4" w14:textId="77777777">
      <w:pPr>
        <w:keepLines/>
        <w:tabs>
          <w:tab w:val="left" w:pos="360"/>
        </w:tabs>
        <w:spacing w:after="80"/>
        <w:ind w:left="360" w:hanging="360"/>
        <w:rPr>
          <w:b/>
          <w:bCs/>
          <w:sz w:val="24"/>
          <w:szCs w:val="24"/>
        </w:rPr>
      </w:pPr>
      <w:r w:rsidRPr="00B95846">
        <w:rPr>
          <w:sz w:val="24"/>
          <w:szCs w:val="24"/>
        </w:rPr>
        <w:t>1.</w:t>
      </w:r>
      <w:r w:rsidRPr="00B95846">
        <w:rPr>
          <w:sz w:val="24"/>
          <w:szCs w:val="24"/>
        </w:rPr>
        <w:tab/>
      </w:r>
      <w:r w:rsidRPr="00B95846">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11682" w:rsidRPr="00B95846" w:rsidP="00311682" w14:paraId="206C0B88" w14:textId="77777777">
      <w:pPr>
        <w:tabs>
          <w:tab w:val="left" w:pos="360"/>
        </w:tabs>
        <w:ind w:left="360" w:hanging="360"/>
        <w:rPr>
          <w:sz w:val="24"/>
          <w:szCs w:val="24"/>
        </w:rPr>
      </w:pPr>
      <w:r w:rsidRPr="00B95846">
        <w:rPr>
          <w:sz w:val="24"/>
          <w:szCs w:val="24"/>
        </w:rPr>
        <w:tab/>
      </w:r>
    </w:p>
    <w:p w:rsidR="00311682" w:rsidRPr="00B95846" w:rsidP="00311682" w14:paraId="6C031F6B" w14:textId="7E129DDB">
      <w:pPr>
        <w:ind w:left="360"/>
        <w:rPr>
          <w:color w:val="000000"/>
          <w:sz w:val="24"/>
          <w:szCs w:val="24"/>
        </w:rPr>
      </w:pPr>
      <w:r w:rsidRPr="00B95846">
        <w:rPr>
          <w:color w:val="000000" w:themeColor="text1"/>
          <w:sz w:val="24"/>
          <w:szCs w:val="24"/>
        </w:rPr>
        <w:t>This information collection is required to receive applications, and issue and manage grants for the Indian Housing Block Grant (IHBG)</w:t>
      </w:r>
      <w:r w:rsidRPr="00B95846" w:rsidR="00A55D15">
        <w:rPr>
          <w:color w:val="000000" w:themeColor="text1"/>
          <w:sz w:val="24"/>
          <w:szCs w:val="24"/>
        </w:rPr>
        <w:t xml:space="preserve"> program funding</w:t>
      </w:r>
      <w:r w:rsidRPr="00B95846" w:rsidR="007634FE">
        <w:rPr>
          <w:color w:val="000000" w:themeColor="text1"/>
          <w:sz w:val="24"/>
          <w:szCs w:val="24"/>
        </w:rPr>
        <w:t xml:space="preserve"> (</w:t>
      </w:r>
      <w:r w:rsidRPr="00B95846" w:rsidR="007634FE">
        <w:rPr>
          <w:sz w:val="24"/>
          <w:szCs w:val="24"/>
        </w:rPr>
        <w:t>assistance listing number 14.867)</w:t>
      </w:r>
      <w:r w:rsidRPr="00B95846" w:rsidR="00A55D15">
        <w:rPr>
          <w:color w:val="000000" w:themeColor="text1"/>
          <w:sz w:val="24"/>
          <w:szCs w:val="24"/>
        </w:rPr>
        <w:t>. HUD uses two methods to allocate IHBG funds among eligible Indian tribes: formula and competition. HUD refers to these allocations as “IHBG Formula” and “IHBG</w:t>
      </w:r>
      <w:r w:rsidRPr="00B95846" w:rsidR="0062170D">
        <w:rPr>
          <w:color w:val="000000" w:themeColor="text1"/>
          <w:sz w:val="24"/>
          <w:szCs w:val="24"/>
        </w:rPr>
        <w:t>-</w:t>
      </w:r>
      <w:r w:rsidRPr="00B95846" w:rsidR="00A55D15">
        <w:rPr>
          <w:color w:val="000000" w:themeColor="text1"/>
          <w:sz w:val="24"/>
          <w:szCs w:val="24"/>
        </w:rPr>
        <w:t xml:space="preserve">Competitive.” IHBG Formula is used to allocate equitably and fairly funds made available through NAHASDA among eligible </w:t>
      </w:r>
      <w:r w:rsidRPr="00B95846" w:rsidR="00AA4685">
        <w:rPr>
          <w:color w:val="000000" w:themeColor="text1"/>
          <w:sz w:val="24"/>
          <w:szCs w:val="24"/>
        </w:rPr>
        <w:t>Tribes and TDHEs.</w:t>
      </w:r>
      <w:r w:rsidRPr="00B95846" w:rsidR="00E31BF7">
        <w:rPr>
          <w:color w:val="000000" w:themeColor="text1"/>
          <w:sz w:val="24"/>
          <w:szCs w:val="24"/>
        </w:rPr>
        <w:t xml:space="preserve"> </w:t>
      </w:r>
      <w:r w:rsidRPr="00B95846" w:rsidR="00A55D15">
        <w:rPr>
          <w:color w:val="000000" w:themeColor="text1"/>
          <w:sz w:val="24"/>
          <w:szCs w:val="24"/>
        </w:rPr>
        <w:t>The IHBG Competitive grants supplement IHBG Formula funds and are targeted to new housing construction in Native communities.</w:t>
      </w:r>
      <w:r w:rsidRPr="00B95846">
        <w:rPr>
          <w:color w:val="000000" w:themeColor="text1"/>
          <w:sz w:val="24"/>
          <w:szCs w:val="24"/>
        </w:rPr>
        <w:t xml:space="preserve"> </w:t>
      </w:r>
      <w:r w:rsidRPr="00B95846" w:rsidR="0065584F">
        <w:rPr>
          <w:color w:val="000000" w:themeColor="text1"/>
          <w:sz w:val="24"/>
          <w:szCs w:val="24"/>
        </w:rPr>
        <w:t xml:space="preserve"> Both </w:t>
      </w:r>
      <w:r w:rsidRPr="00B95846" w:rsidR="00AA4685">
        <w:rPr>
          <w:color w:val="000000" w:themeColor="text1"/>
          <w:sz w:val="24"/>
          <w:szCs w:val="24"/>
        </w:rPr>
        <w:t xml:space="preserve">programs </w:t>
      </w:r>
      <w:r w:rsidRPr="00B95846" w:rsidR="0065584F">
        <w:rPr>
          <w:color w:val="000000" w:themeColor="text1"/>
          <w:sz w:val="24"/>
          <w:szCs w:val="24"/>
        </w:rPr>
        <w:t xml:space="preserve">are managed by </w:t>
      </w:r>
      <w:r w:rsidRPr="00B95846">
        <w:rPr>
          <w:color w:val="000000" w:themeColor="text1"/>
          <w:sz w:val="24"/>
          <w:szCs w:val="24"/>
        </w:rPr>
        <w:t xml:space="preserve">HUD’s Office of Native American Programs (ONAP). </w:t>
      </w:r>
      <w:r w:rsidRPr="00B95846" w:rsidR="004D5499">
        <w:rPr>
          <w:color w:val="000000" w:themeColor="text1"/>
          <w:sz w:val="24"/>
          <w:szCs w:val="24"/>
        </w:rPr>
        <w:t xml:space="preserve"> </w:t>
      </w:r>
      <w:r w:rsidRPr="00B95846" w:rsidR="0065584F">
        <w:rPr>
          <w:color w:val="000000" w:themeColor="text1"/>
          <w:sz w:val="24"/>
          <w:szCs w:val="24"/>
        </w:rPr>
        <w:t xml:space="preserve">IHBG is </w:t>
      </w:r>
      <w:r w:rsidRPr="00B95846">
        <w:rPr>
          <w:color w:val="000000" w:themeColor="text1"/>
          <w:sz w:val="24"/>
          <w:szCs w:val="24"/>
        </w:rPr>
        <w:t>a</w:t>
      </w:r>
      <w:r w:rsidRPr="00B95846">
        <w:rPr>
          <w:color w:val="000000" w:themeColor="text1"/>
          <w:sz w:val="24"/>
          <w:szCs w:val="24"/>
        </w:rPr>
        <w:t xml:space="preserve">uthorized by </w:t>
      </w:r>
      <w:r w:rsidRPr="00B95846" w:rsidR="0065584F">
        <w:rPr>
          <w:color w:val="000000" w:themeColor="text1"/>
          <w:sz w:val="24"/>
          <w:szCs w:val="24"/>
        </w:rPr>
        <w:t xml:space="preserve">both </w:t>
      </w:r>
      <w:r w:rsidRPr="00B95846">
        <w:rPr>
          <w:color w:val="000000" w:themeColor="text1"/>
          <w:sz w:val="24"/>
          <w:szCs w:val="24"/>
        </w:rPr>
        <w:t>the Native American Housing Assistance and Self-Determination Reauthorization Act of 1996 (25 U.S.C. 4101 et seq.) (</w:t>
      </w:r>
      <w:hyperlink r:id="rId7">
        <w:r w:rsidRPr="00B95846">
          <w:rPr>
            <w:rStyle w:val="Hyperlink"/>
            <w:rFonts w:eastAsiaTheme="majorEastAsia"/>
            <w:sz w:val="24"/>
            <w:szCs w:val="24"/>
            <w:u w:val="none"/>
          </w:rPr>
          <w:t>NAHASDA</w:t>
        </w:r>
      </w:hyperlink>
      <w:r w:rsidRPr="00B95846">
        <w:rPr>
          <w:color w:val="000000" w:themeColor="text1"/>
          <w:sz w:val="24"/>
          <w:szCs w:val="24"/>
        </w:rPr>
        <w:t>)</w:t>
      </w:r>
      <w:r w:rsidRPr="00B95846" w:rsidR="0065584F">
        <w:rPr>
          <w:color w:val="000000" w:themeColor="text1"/>
          <w:sz w:val="24"/>
          <w:szCs w:val="24"/>
        </w:rPr>
        <w:t xml:space="preserve">, and annual Congressional appropriations; and </w:t>
      </w:r>
      <w:r w:rsidRPr="00B95846">
        <w:rPr>
          <w:color w:val="000000" w:themeColor="text1"/>
          <w:sz w:val="24"/>
          <w:szCs w:val="24"/>
        </w:rPr>
        <w:t xml:space="preserve">subject to the regulations at 24 CFR Part 1000. </w:t>
      </w:r>
      <w:r w:rsidRPr="00B95846" w:rsidR="00A11CEA">
        <w:rPr>
          <w:color w:val="000000" w:themeColor="text1"/>
          <w:sz w:val="24"/>
          <w:szCs w:val="24"/>
        </w:rPr>
        <w:t xml:space="preserve"> </w:t>
      </w:r>
    </w:p>
    <w:p w:rsidR="00A11CEA" w:rsidRPr="00B95846" w:rsidP="00311682" w14:paraId="68A543EE" w14:textId="77777777">
      <w:pPr>
        <w:ind w:left="360"/>
        <w:rPr>
          <w:color w:val="000000"/>
          <w:sz w:val="24"/>
          <w:szCs w:val="24"/>
        </w:rPr>
      </w:pPr>
    </w:p>
    <w:p w:rsidR="00A11CEA" w:rsidRPr="00B95846" w:rsidP="00311682" w14:paraId="68E0FB37" w14:textId="0D88B61E">
      <w:pPr>
        <w:ind w:left="360"/>
        <w:rPr>
          <w:color w:val="000000"/>
          <w:sz w:val="24"/>
          <w:szCs w:val="24"/>
        </w:rPr>
      </w:pPr>
      <w:r w:rsidRPr="00B95846">
        <w:rPr>
          <w:color w:val="000000"/>
          <w:sz w:val="24"/>
          <w:szCs w:val="24"/>
        </w:rPr>
        <w:t xml:space="preserve">As required by </w:t>
      </w:r>
      <w:hyperlink r:id="rId8" w:anchor="p-25.200(b)" w:history="1">
        <w:r w:rsidRPr="00B95846">
          <w:rPr>
            <w:rStyle w:val="Hyperlink"/>
            <w:sz w:val="24"/>
            <w:szCs w:val="24"/>
            <w:u w:val="none"/>
          </w:rPr>
          <w:t>2 CFR 25.200(b)</w:t>
        </w:r>
      </w:hyperlink>
      <w:r w:rsidRPr="00B95846">
        <w:rPr>
          <w:color w:val="000000"/>
          <w:sz w:val="24"/>
          <w:szCs w:val="24"/>
        </w:rPr>
        <w:t xml:space="preserve">, eligible </w:t>
      </w:r>
      <w:r w:rsidRPr="00B95846" w:rsidR="00EB2B4D">
        <w:rPr>
          <w:color w:val="000000"/>
          <w:sz w:val="24"/>
          <w:szCs w:val="24"/>
        </w:rPr>
        <w:t xml:space="preserve">Tribes and TDHEs </w:t>
      </w:r>
      <w:r w:rsidRPr="00B95846">
        <w:rPr>
          <w:color w:val="000000"/>
          <w:sz w:val="24"/>
          <w:szCs w:val="24"/>
        </w:rPr>
        <w:t xml:space="preserve">organizations for both IHBG Formula and IHBG-Competitive must obtain a UEI and register with SAM.gov, unless exempted under </w:t>
      </w:r>
      <w:hyperlink r:id="rId9" w:history="1">
        <w:r w:rsidRPr="00B95846">
          <w:rPr>
            <w:rStyle w:val="Hyperlink"/>
            <w:sz w:val="24"/>
            <w:szCs w:val="24"/>
            <w:u w:val="none"/>
          </w:rPr>
          <w:t>§ 25.110</w:t>
        </w:r>
      </w:hyperlink>
      <w:r w:rsidRPr="00B95846">
        <w:rPr>
          <w:color w:val="000000"/>
          <w:sz w:val="24"/>
          <w:szCs w:val="24"/>
        </w:rPr>
        <w:t xml:space="preserve">. </w:t>
      </w:r>
    </w:p>
    <w:p w:rsidR="00311682" w:rsidRPr="00B95846" w:rsidP="00311682" w14:paraId="4ED942DB" w14:textId="77777777">
      <w:pPr>
        <w:ind w:left="360"/>
        <w:rPr>
          <w:color w:val="000000"/>
          <w:sz w:val="24"/>
          <w:szCs w:val="24"/>
        </w:rPr>
      </w:pPr>
    </w:p>
    <w:p w:rsidR="00311682" w:rsidRPr="00B95846" w:rsidP="00311682" w14:paraId="7FE6B67A" w14:textId="31A0AE4B">
      <w:pPr>
        <w:ind w:left="360"/>
        <w:rPr>
          <w:b/>
          <w:bCs/>
          <w:color w:val="000000"/>
          <w:sz w:val="24"/>
          <w:szCs w:val="24"/>
        </w:rPr>
      </w:pPr>
      <w:r w:rsidRPr="00B95846">
        <w:rPr>
          <w:b/>
          <w:bCs/>
          <w:color w:val="000000"/>
          <w:sz w:val="24"/>
          <w:szCs w:val="24"/>
        </w:rPr>
        <w:t xml:space="preserve">IHBG Formula </w:t>
      </w:r>
    </w:p>
    <w:p w:rsidR="00311682" w:rsidRPr="00B95846" w:rsidP="00311682" w14:paraId="50F36E3D" w14:textId="77777777">
      <w:pPr>
        <w:ind w:left="360"/>
        <w:rPr>
          <w:color w:val="000000"/>
          <w:sz w:val="24"/>
          <w:szCs w:val="24"/>
        </w:rPr>
      </w:pPr>
    </w:p>
    <w:p w:rsidR="00311682" w:rsidRPr="00B95846" w:rsidP="00311682" w14:paraId="25D9072F" w14:textId="50D8B286">
      <w:pPr>
        <w:ind w:left="360"/>
        <w:rPr>
          <w:color w:val="000000"/>
          <w:sz w:val="24"/>
          <w:szCs w:val="24"/>
        </w:rPr>
      </w:pPr>
      <w:r w:rsidRPr="00B95846">
        <w:rPr>
          <w:color w:val="000000"/>
          <w:sz w:val="24"/>
          <w:szCs w:val="24"/>
        </w:rPr>
        <w:t xml:space="preserve">The IHBG Formula </w:t>
      </w:r>
      <w:r w:rsidRPr="00B95846" w:rsidR="0065584F">
        <w:rPr>
          <w:color w:val="000000"/>
          <w:sz w:val="24"/>
          <w:szCs w:val="24"/>
        </w:rPr>
        <w:t xml:space="preserve">allocation </w:t>
      </w:r>
      <w:r w:rsidRPr="00B95846">
        <w:rPr>
          <w:color w:val="000000"/>
          <w:sz w:val="24"/>
          <w:szCs w:val="24"/>
        </w:rPr>
        <w:t xml:space="preserve">supports the development, management, and operation of affordable homeownership and rental housing; infrastructure development; and other forms of housing assistance intended for low-income persons.  Federally recognized </w:t>
      </w:r>
      <w:r w:rsidRPr="00B95846" w:rsidR="00DF1FEA">
        <w:rPr>
          <w:color w:val="000000"/>
          <w:sz w:val="24"/>
          <w:szCs w:val="24"/>
        </w:rPr>
        <w:t xml:space="preserve">Indian </w:t>
      </w:r>
      <w:r w:rsidRPr="00B95846">
        <w:rPr>
          <w:color w:val="000000"/>
          <w:sz w:val="24"/>
          <w:szCs w:val="24"/>
        </w:rPr>
        <w:t xml:space="preserve">tribes, Alaska Native villages, </w:t>
      </w:r>
      <w:r w:rsidRPr="00B95846" w:rsidR="00750B03">
        <w:rPr>
          <w:color w:val="000000"/>
          <w:sz w:val="24"/>
          <w:szCs w:val="24"/>
        </w:rPr>
        <w:t>Tribally Designated Housing Entities (TDHEs</w:t>
      </w:r>
      <w:r w:rsidRPr="00B95846" w:rsidR="004F4D79">
        <w:rPr>
          <w:color w:val="000000"/>
          <w:sz w:val="24"/>
          <w:szCs w:val="24"/>
        </w:rPr>
        <w:t>),</w:t>
      </w:r>
      <w:r w:rsidRPr="00B95846">
        <w:rPr>
          <w:color w:val="000000"/>
          <w:sz w:val="24"/>
          <w:szCs w:val="24"/>
        </w:rPr>
        <w:t xml:space="preserve"> and a limited number of State-recognized tribes that were funded under the Indian Housing Program authorized by the U.S. Housing Act of 1937 are eligible to receive IHBG funds.  </w:t>
      </w:r>
    </w:p>
    <w:p w:rsidR="00112FB1" w:rsidRPr="00B95846" w:rsidP="001C1CCD" w14:paraId="0B551015" w14:textId="77777777">
      <w:pPr>
        <w:ind w:left="360"/>
        <w:rPr>
          <w:b/>
          <w:bCs/>
          <w:color w:val="000000"/>
          <w:sz w:val="24"/>
          <w:szCs w:val="24"/>
        </w:rPr>
      </w:pPr>
    </w:p>
    <w:p w:rsidR="001C1CCD" w:rsidRPr="00B95846" w:rsidP="00B267BE" w14:paraId="6CB7756B" w14:textId="520140AA">
      <w:pPr>
        <w:ind w:left="360"/>
        <w:rPr>
          <w:color w:val="000000"/>
          <w:sz w:val="24"/>
          <w:szCs w:val="24"/>
        </w:rPr>
      </w:pPr>
      <w:r w:rsidRPr="00B95846">
        <w:rPr>
          <w:b/>
          <w:bCs/>
          <w:color w:val="000000"/>
          <w:sz w:val="24"/>
          <w:szCs w:val="24"/>
        </w:rPr>
        <w:t xml:space="preserve">Pre-Award: </w:t>
      </w:r>
      <w:r w:rsidRPr="00B95846">
        <w:rPr>
          <w:color w:val="000000"/>
          <w:sz w:val="24"/>
          <w:szCs w:val="24"/>
        </w:rPr>
        <w:t xml:space="preserve">ONAP announces the availability of IHBG Formula funding via Dear Tribal Leader Letter, within 60 days of the enactment of the federal budget.   Per </w:t>
      </w:r>
      <w:hyperlink r:id="rId10">
        <w:r w:rsidRPr="00B95846">
          <w:rPr>
            <w:rStyle w:val="Hyperlink"/>
            <w:sz w:val="24"/>
            <w:szCs w:val="24"/>
            <w:u w:val="none"/>
          </w:rPr>
          <w:t>24 CFR 1000.212</w:t>
        </w:r>
      </w:hyperlink>
      <w:r w:rsidRPr="00B95846">
        <w:rPr>
          <w:color w:val="000000"/>
          <w:sz w:val="24"/>
          <w:szCs w:val="24"/>
        </w:rPr>
        <w:t>, to receive an IHBG Formula allocation</w:t>
      </w:r>
      <w:r w:rsidRPr="00B95846" w:rsidR="000F5E4E">
        <w:rPr>
          <w:color w:val="000000"/>
          <w:sz w:val="24"/>
          <w:szCs w:val="24"/>
        </w:rPr>
        <w:t xml:space="preserve">, </w:t>
      </w:r>
      <w:r w:rsidRPr="00B95846">
        <w:rPr>
          <w:color w:val="000000"/>
          <w:sz w:val="24"/>
          <w:szCs w:val="24"/>
        </w:rPr>
        <w:t xml:space="preserve">eligible </w:t>
      </w:r>
      <w:r w:rsidRPr="00B95846" w:rsidR="000F5E4E">
        <w:rPr>
          <w:color w:val="000000"/>
          <w:sz w:val="24"/>
          <w:szCs w:val="24"/>
        </w:rPr>
        <w:t>Tribes or TDHEs</w:t>
      </w:r>
      <w:r w:rsidRPr="00B95846">
        <w:rPr>
          <w:color w:val="000000"/>
          <w:sz w:val="24"/>
          <w:szCs w:val="24"/>
        </w:rPr>
        <w:t xml:space="preserve"> must complete and submit an Indian Housing Plan (IHP) or HUD-52737</w:t>
      </w:r>
      <w:r w:rsidRPr="00B95846" w:rsidR="001267F0">
        <w:rPr>
          <w:color w:val="000000"/>
          <w:sz w:val="24"/>
          <w:szCs w:val="24"/>
        </w:rPr>
        <w:t xml:space="preserve"> in the Grants Evaluation and Management System (GEMS)</w:t>
      </w:r>
      <w:r w:rsidRPr="00B95846">
        <w:rPr>
          <w:color w:val="000000"/>
          <w:sz w:val="24"/>
          <w:szCs w:val="24"/>
        </w:rPr>
        <w:t xml:space="preserve">.  HUD is required, per </w:t>
      </w:r>
      <w:hyperlink r:id="rId11">
        <w:r w:rsidRPr="00B95846">
          <w:rPr>
            <w:rStyle w:val="Hyperlink"/>
            <w:sz w:val="24"/>
            <w:szCs w:val="24"/>
            <w:u w:val="none"/>
          </w:rPr>
          <w:t>24 CFR 1000.230</w:t>
        </w:r>
      </w:hyperlink>
      <w:r w:rsidRPr="00B95846">
        <w:rPr>
          <w:color w:val="000000"/>
          <w:sz w:val="24"/>
          <w:szCs w:val="24"/>
        </w:rPr>
        <w:t xml:space="preserve">, to review the IHP in accordance with </w:t>
      </w:r>
      <w:hyperlink r:id="rId7">
        <w:r w:rsidRPr="00B95846">
          <w:rPr>
            <w:rStyle w:val="Hyperlink"/>
            <w:sz w:val="24"/>
            <w:szCs w:val="24"/>
            <w:u w:val="none"/>
          </w:rPr>
          <w:t>Section 102 of NAHASDA</w:t>
        </w:r>
      </w:hyperlink>
      <w:r w:rsidRPr="00B95846">
        <w:rPr>
          <w:color w:val="000000"/>
          <w:sz w:val="24"/>
          <w:szCs w:val="24"/>
        </w:rPr>
        <w:t xml:space="preserve"> to verify eligibility and program compliance before awarding the allocation. Tribes or TDHEs are notified of the approval of their IHP via GEMS. </w:t>
      </w:r>
    </w:p>
    <w:p w:rsidR="00311682" w:rsidRPr="00B95846" w:rsidP="00311682" w14:paraId="11F55491" w14:textId="77777777">
      <w:pPr>
        <w:ind w:left="360" w:firstLine="360"/>
        <w:rPr>
          <w:color w:val="000000"/>
          <w:sz w:val="24"/>
          <w:szCs w:val="24"/>
        </w:rPr>
      </w:pPr>
    </w:p>
    <w:p w:rsidR="001C1CCD" w:rsidRPr="00B95846" w:rsidP="5E7F3602" w14:paraId="00F93CC8" w14:textId="77777777">
      <w:pPr>
        <w:ind w:left="360"/>
        <w:rPr>
          <w:b/>
          <w:bCs/>
          <w:color w:val="000000" w:themeColor="text1"/>
          <w:sz w:val="24"/>
          <w:szCs w:val="24"/>
        </w:rPr>
      </w:pPr>
    </w:p>
    <w:p w:rsidR="001C1CCD" w:rsidRPr="00B95846" w:rsidP="5E7F3602" w14:paraId="1CA2ED73" w14:textId="77777777">
      <w:pPr>
        <w:ind w:left="360"/>
        <w:rPr>
          <w:b/>
          <w:bCs/>
          <w:color w:val="000000" w:themeColor="text1"/>
          <w:sz w:val="24"/>
          <w:szCs w:val="24"/>
        </w:rPr>
      </w:pPr>
    </w:p>
    <w:p w:rsidR="00311682" w:rsidRPr="00B95846" w:rsidP="00311682" w14:paraId="7A5A3381" w14:textId="77777777">
      <w:pPr>
        <w:ind w:left="720"/>
        <w:rPr>
          <w:color w:val="000000"/>
          <w:sz w:val="24"/>
          <w:szCs w:val="24"/>
        </w:rPr>
      </w:pPr>
    </w:p>
    <w:p w:rsidR="00074557" w:rsidRPr="00B95846" w:rsidP="00074557" w14:paraId="1E102769" w14:textId="4293B790">
      <w:pPr>
        <w:ind w:left="360"/>
        <w:rPr>
          <w:color w:val="000000"/>
          <w:sz w:val="24"/>
          <w:szCs w:val="24"/>
        </w:rPr>
      </w:pPr>
      <w:r w:rsidRPr="00B95846">
        <w:rPr>
          <w:b/>
          <w:bCs/>
          <w:color w:val="000000"/>
          <w:sz w:val="24"/>
          <w:szCs w:val="24"/>
        </w:rPr>
        <w:t>Post-Award</w:t>
      </w:r>
      <w:r w:rsidRPr="00B95846">
        <w:rPr>
          <w:color w:val="000000"/>
          <w:sz w:val="24"/>
          <w:szCs w:val="24"/>
        </w:rPr>
        <w:t>:</w:t>
      </w:r>
      <w:r w:rsidRPr="00B95846" w:rsidR="00EE2FAA">
        <w:rPr>
          <w:color w:val="000000"/>
          <w:sz w:val="24"/>
          <w:szCs w:val="24"/>
        </w:rPr>
        <w:t xml:space="preserve"> Grantees access their funding in LOCCS.</w:t>
      </w:r>
      <w:r w:rsidRPr="00B95846" w:rsidR="00EE2FAA">
        <w:rPr>
          <w:b/>
          <w:bCs/>
          <w:color w:val="000000"/>
          <w:sz w:val="24"/>
          <w:szCs w:val="24"/>
        </w:rPr>
        <w:t xml:space="preserve"> </w:t>
      </w:r>
      <w:r w:rsidRPr="00B95846">
        <w:rPr>
          <w:b/>
          <w:bCs/>
          <w:color w:val="000000"/>
          <w:sz w:val="24"/>
          <w:szCs w:val="24"/>
        </w:rPr>
        <w:t xml:space="preserve"> </w:t>
      </w:r>
      <w:r w:rsidRPr="00B95846">
        <w:rPr>
          <w:color w:val="000000"/>
          <w:sz w:val="24"/>
          <w:szCs w:val="24"/>
        </w:rPr>
        <w:t xml:space="preserve">At the end of their program year, grantees are required, per </w:t>
      </w:r>
      <w:hyperlink r:id="rId12" w:history="1">
        <w:r w:rsidRPr="00B95846">
          <w:rPr>
            <w:rStyle w:val="Hyperlink"/>
            <w:rFonts w:eastAsiaTheme="majorEastAsia"/>
            <w:sz w:val="24"/>
            <w:szCs w:val="24"/>
            <w:u w:val="none"/>
          </w:rPr>
          <w:t>24 CFR 1000.512</w:t>
        </w:r>
      </w:hyperlink>
      <w:r w:rsidRPr="00B95846">
        <w:rPr>
          <w:color w:val="000000"/>
          <w:sz w:val="24"/>
          <w:szCs w:val="24"/>
        </w:rPr>
        <w:t xml:space="preserve">, to complete and submit the Annual Performance Report (APR), which is part of the HUD-52737, reporting the expenditures and progress made. In addition, grantees are required, per </w:t>
      </w:r>
      <w:hyperlink r:id="rId13" w:history="1">
        <w:r w:rsidRPr="00B95846">
          <w:rPr>
            <w:rStyle w:val="Hyperlink"/>
            <w:rFonts w:eastAsiaTheme="majorEastAsia"/>
            <w:sz w:val="24"/>
            <w:szCs w:val="24"/>
            <w:u w:val="none"/>
          </w:rPr>
          <w:t>2 CFR 200.328</w:t>
        </w:r>
      </w:hyperlink>
      <w:r w:rsidRPr="00B95846">
        <w:rPr>
          <w:color w:val="000000"/>
          <w:sz w:val="24"/>
          <w:szCs w:val="24"/>
        </w:rPr>
        <w:t>(a), to submit an SF-425 or Federal Financial Report detailing federal expenditure for the grant.</w:t>
      </w:r>
      <w:r w:rsidRPr="00B95846" w:rsidR="00617ADD">
        <w:rPr>
          <w:color w:val="000000"/>
          <w:sz w:val="24"/>
          <w:szCs w:val="24"/>
        </w:rPr>
        <w:t xml:space="preserve"> </w:t>
      </w:r>
      <w:r w:rsidRPr="00B95846" w:rsidR="00B267D9">
        <w:rPr>
          <w:color w:val="000000"/>
          <w:sz w:val="24"/>
          <w:szCs w:val="24"/>
        </w:rPr>
        <w:t>All expenditures would be included in the annual audit, if an audit is required.</w:t>
      </w:r>
      <w:r w:rsidRPr="00B95846" w:rsidR="007B6D56">
        <w:rPr>
          <w:color w:val="000000"/>
          <w:sz w:val="24"/>
          <w:szCs w:val="24"/>
        </w:rPr>
        <w:t xml:space="preserve"> </w:t>
      </w:r>
      <w:r w:rsidRPr="00B95846" w:rsidR="00EE2FAA">
        <w:rPr>
          <w:color w:val="000000"/>
          <w:sz w:val="24"/>
          <w:szCs w:val="24"/>
        </w:rPr>
        <w:t>Grantees are required to keep records</w:t>
      </w:r>
      <w:r w:rsidRPr="00B95846" w:rsidR="00730117">
        <w:rPr>
          <w:color w:val="000000"/>
          <w:sz w:val="24"/>
          <w:szCs w:val="24"/>
        </w:rPr>
        <w:t xml:space="preserve"> for at least three years from the last expenditure of the grant. </w:t>
      </w:r>
      <w:r w:rsidRPr="00B95846" w:rsidR="00E347CC">
        <w:rPr>
          <w:color w:val="000000"/>
          <w:sz w:val="24"/>
          <w:szCs w:val="24"/>
        </w:rPr>
        <w:t>IHBG Formula grants are closed when the funds expire</w:t>
      </w:r>
      <w:r w:rsidRPr="00B95846" w:rsidR="00FE77FB">
        <w:rPr>
          <w:color w:val="000000"/>
          <w:sz w:val="24"/>
          <w:szCs w:val="24"/>
        </w:rPr>
        <w:t xml:space="preserve">. </w:t>
      </w:r>
    </w:p>
    <w:p w:rsidR="00311682" w:rsidRPr="00B95846" w:rsidP="00311682" w14:paraId="7176E128" w14:textId="6CC49BE4">
      <w:pPr>
        <w:ind w:left="360"/>
        <w:rPr>
          <w:b/>
          <w:bCs/>
          <w:color w:val="000000"/>
          <w:sz w:val="24"/>
          <w:szCs w:val="24"/>
        </w:rPr>
      </w:pPr>
    </w:p>
    <w:p w:rsidR="00311682" w:rsidRPr="00B95846" w:rsidP="00311682" w14:paraId="78A8C120" w14:textId="77777777">
      <w:pPr>
        <w:ind w:left="720"/>
        <w:rPr>
          <w:color w:val="000000"/>
          <w:sz w:val="24"/>
          <w:szCs w:val="24"/>
        </w:rPr>
      </w:pPr>
    </w:p>
    <w:p w:rsidR="00311682" w:rsidRPr="00B95846" w:rsidP="00311682" w14:paraId="7D05E3BB" w14:textId="763A9E92">
      <w:pPr>
        <w:ind w:left="360"/>
        <w:rPr>
          <w:b/>
          <w:bCs/>
          <w:color w:val="000000"/>
          <w:sz w:val="24"/>
          <w:szCs w:val="24"/>
        </w:rPr>
      </w:pPr>
      <w:r w:rsidRPr="00B95846">
        <w:rPr>
          <w:b/>
          <w:bCs/>
          <w:color w:val="000000"/>
          <w:sz w:val="24"/>
          <w:szCs w:val="24"/>
        </w:rPr>
        <w:t>Other:</w:t>
      </w:r>
      <w:r w:rsidRPr="00B95846">
        <w:rPr>
          <w:color w:val="000000"/>
          <w:sz w:val="24"/>
          <w:szCs w:val="24"/>
        </w:rPr>
        <w:t xml:space="preserve"> The IHBG estimated allocations are published annually and detail the data used to calculate each allocation. Grantees may respond to report a change or to correct this data using the HUD-4117: Formula Response Form, specified by </w:t>
      </w:r>
      <w:hyperlink r:id="rId14" w:history="1">
        <w:r w:rsidRPr="00B95846">
          <w:rPr>
            <w:rStyle w:val="Hyperlink"/>
            <w:rFonts w:eastAsiaTheme="majorEastAsia"/>
            <w:sz w:val="24"/>
            <w:szCs w:val="24"/>
            <w:u w:val="none"/>
          </w:rPr>
          <w:t>24 CFR § 1000.315(b)</w:t>
        </w:r>
      </w:hyperlink>
      <w:r w:rsidRPr="00B95846">
        <w:rPr>
          <w:color w:val="000000"/>
          <w:sz w:val="24"/>
          <w:szCs w:val="24"/>
        </w:rPr>
        <w:t xml:space="preserve">. Depending on the nature of the correction (see </w:t>
      </w:r>
      <w:hyperlink r:id="rId15" w:history="1">
        <w:r w:rsidRPr="00B95846">
          <w:rPr>
            <w:rStyle w:val="Hyperlink"/>
            <w:rFonts w:eastAsiaTheme="majorEastAsia"/>
            <w:sz w:val="24"/>
            <w:szCs w:val="24"/>
            <w:u w:val="none"/>
          </w:rPr>
          <w:t>24 CFR 1000.336</w:t>
        </w:r>
      </w:hyperlink>
      <w:r w:rsidRPr="00B95846">
        <w:rPr>
          <w:color w:val="000000"/>
          <w:sz w:val="24"/>
          <w:szCs w:val="24"/>
        </w:rPr>
        <w:t>) one or more of this form’s appendices A-D may be used. In addition, IHBG Formula grantees may challenge other formula components using HUD-4119: Challenging U.S. Census Data: Guidelines for IHBG Formula and its appendices A-D.</w:t>
      </w:r>
    </w:p>
    <w:p w:rsidR="00FD03A2" w:rsidRPr="00B95846" w:rsidP="00311682" w14:paraId="656890AA" w14:textId="77777777">
      <w:pPr>
        <w:ind w:left="360"/>
        <w:rPr>
          <w:b/>
          <w:bCs/>
          <w:color w:val="000000"/>
          <w:sz w:val="24"/>
          <w:szCs w:val="24"/>
        </w:rPr>
      </w:pPr>
    </w:p>
    <w:p w:rsidR="00311682" w:rsidRPr="00B95846" w:rsidP="00311682" w14:paraId="65FE678E" w14:textId="41E233FC">
      <w:pPr>
        <w:ind w:left="360"/>
        <w:rPr>
          <w:b/>
          <w:bCs/>
          <w:color w:val="000000"/>
          <w:sz w:val="24"/>
          <w:szCs w:val="24"/>
        </w:rPr>
      </w:pPr>
      <w:r w:rsidRPr="00B95846">
        <w:rPr>
          <w:b/>
          <w:bCs/>
          <w:color w:val="000000"/>
          <w:sz w:val="24"/>
          <w:szCs w:val="24"/>
        </w:rPr>
        <w:t>IHBG</w:t>
      </w:r>
      <w:r w:rsidRPr="00B95846" w:rsidR="0062170D">
        <w:rPr>
          <w:b/>
          <w:bCs/>
          <w:color w:val="000000"/>
          <w:sz w:val="24"/>
          <w:szCs w:val="24"/>
        </w:rPr>
        <w:t>-</w:t>
      </w:r>
      <w:r w:rsidRPr="00B95846" w:rsidR="00FD03A2">
        <w:rPr>
          <w:b/>
          <w:bCs/>
          <w:color w:val="000000"/>
          <w:sz w:val="24"/>
          <w:szCs w:val="24"/>
        </w:rPr>
        <w:t>Competitive</w:t>
      </w:r>
    </w:p>
    <w:p w:rsidR="00311682" w:rsidRPr="00B95846" w:rsidP="00311682" w14:paraId="6BD79EB5" w14:textId="77777777">
      <w:pPr>
        <w:ind w:left="360" w:firstLine="720"/>
        <w:rPr>
          <w:color w:val="000000"/>
          <w:sz w:val="24"/>
          <w:szCs w:val="24"/>
        </w:rPr>
      </w:pPr>
    </w:p>
    <w:p w:rsidR="00311682" w:rsidRPr="00B95846" w:rsidP="00311682" w14:paraId="49F063B7" w14:textId="289E8EE4">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szCs w:val="24"/>
        </w:rPr>
      </w:pPr>
      <w:r w:rsidRPr="00B95846">
        <w:rPr>
          <w:sz w:val="24"/>
          <w:szCs w:val="24"/>
        </w:rPr>
        <w:t xml:space="preserve">Since 2018, Congress has appropriated funding </w:t>
      </w:r>
      <w:r w:rsidRPr="00B95846" w:rsidR="007634FE">
        <w:rPr>
          <w:sz w:val="24"/>
          <w:szCs w:val="24"/>
        </w:rPr>
        <w:t>for IHBG</w:t>
      </w:r>
      <w:r w:rsidRPr="00B95846" w:rsidR="0062170D">
        <w:rPr>
          <w:sz w:val="24"/>
          <w:szCs w:val="24"/>
        </w:rPr>
        <w:t>-</w:t>
      </w:r>
      <w:r w:rsidRPr="00B95846" w:rsidR="007634FE">
        <w:rPr>
          <w:sz w:val="24"/>
          <w:szCs w:val="24"/>
        </w:rPr>
        <w:t>Competitive</w:t>
      </w:r>
      <w:r w:rsidRPr="00B95846" w:rsidR="007634FE">
        <w:rPr>
          <w:sz w:val="24"/>
          <w:szCs w:val="24"/>
        </w:rPr>
        <w:t xml:space="preserve"> </w:t>
      </w:r>
      <w:r w:rsidRPr="00B95846" w:rsidR="007634FE">
        <w:rPr>
          <w:sz w:val="24"/>
          <w:szCs w:val="24"/>
        </w:rPr>
        <w:t>with the funding appropriations for</w:t>
      </w:r>
      <w:r w:rsidRPr="00B95846" w:rsidR="00F93380">
        <w:rPr>
          <w:sz w:val="24"/>
          <w:szCs w:val="24"/>
        </w:rPr>
        <w:t xml:space="preserve"> </w:t>
      </w:r>
      <w:r w:rsidRPr="00B95846">
        <w:rPr>
          <w:sz w:val="24"/>
          <w:szCs w:val="24"/>
        </w:rPr>
        <w:t xml:space="preserve">IHBG Formula. The </w:t>
      </w:r>
      <w:r w:rsidRPr="00B95846" w:rsidR="0062170D">
        <w:rPr>
          <w:sz w:val="24"/>
          <w:szCs w:val="24"/>
        </w:rPr>
        <w:t>IHBG-</w:t>
      </w:r>
      <w:r w:rsidRPr="00B95846">
        <w:rPr>
          <w:sz w:val="24"/>
          <w:szCs w:val="24"/>
        </w:rPr>
        <w:t xml:space="preserve">Competitive program (IHBG-COMP) prioritizes projects that increase the availability of affordable housing in Tribal communities with consideration to extent of need and administrative capacity. </w:t>
      </w:r>
      <w:r w:rsidRPr="00B95846" w:rsidR="00FA4B25">
        <w:rPr>
          <w:sz w:val="24"/>
          <w:szCs w:val="24"/>
        </w:rPr>
        <w:t xml:space="preserve">IHBG-COMP is subject to the same </w:t>
      </w:r>
      <w:r w:rsidRPr="00B95846" w:rsidR="00027829">
        <w:rPr>
          <w:sz w:val="24"/>
          <w:szCs w:val="24"/>
        </w:rPr>
        <w:t xml:space="preserve">statute and regulations as the IHBG Formula </w:t>
      </w:r>
      <w:r w:rsidRPr="00B95846" w:rsidR="00DD3BE6">
        <w:rPr>
          <w:sz w:val="24"/>
          <w:szCs w:val="24"/>
        </w:rPr>
        <w:t>grants</w:t>
      </w:r>
      <w:r w:rsidRPr="00B95846" w:rsidR="00027829">
        <w:rPr>
          <w:sz w:val="24"/>
          <w:szCs w:val="24"/>
        </w:rPr>
        <w:t xml:space="preserve">. </w:t>
      </w:r>
      <w:r w:rsidRPr="00B95846">
        <w:rPr>
          <w:sz w:val="24"/>
          <w:szCs w:val="24"/>
        </w:rPr>
        <w:t>The IHBG-COMP</w:t>
      </w:r>
      <w:r w:rsidRPr="00B95846" w:rsidR="00FD03A2">
        <w:rPr>
          <w:sz w:val="24"/>
          <w:szCs w:val="24"/>
        </w:rPr>
        <w:t>-</w:t>
      </w:r>
      <w:r w:rsidRPr="00B95846">
        <w:rPr>
          <w:sz w:val="24"/>
          <w:szCs w:val="24"/>
        </w:rPr>
        <w:t xml:space="preserve"> </w:t>
      </w:r>
      <w:r w:rsidRPr="00B95846" w:rsidR="0062170D">
        <w:rPr>
          <w:sz w:val="24"/>
          <w:szCs w:val="24"/>
        </w:rPr>
        <w:t>funds are announced on Grants.gov using an annual notice of funding opportunity (</w:t>
      </w:r>
      <w:r w:rsidRPr="00B95846">
        <w:rPr>
          <w:sz w:val="24"/>
          <w:szCs w:val="24"/>
        </w:rPr>
        <w:t>NOFO</w:t>
      </w:r>
      <w:r w:rsidRPr="00B95846" w:rsidR="0062170D">
        <w:rPr>
          <w:sz w:val="24"/>
          <w:szCs w:val="24"/>
        </w:rPr>
        <w:t xml:space="preserve">), as required by 2 CFR 200.204.  </w:t>
      </w:r>
      <w:r w:rsidRPr="00B95846" w:rsidR="00A65876">
        <w:rPr>
          <w:sz w:val="24"/>
          <w:szCs w:val="24"/>
        </w:rPr>
        <w:t>Tribes or</w:t>
      </w:r>
      <w:r w:rsidRPr="00B95846" w:rsidR="006909CA">
        <w:rPr>
          <w:sz w:val="24"/>
          <w:szCs w:val="24"/>
        </w:rPr>
        <w:t xml:space="preserve"> </w:t>
      </w:r>
      <w:r w:rsidRPr="00B95846" w:rsidR="00E31BF7">
        <w:rPr>
          <w:sz w:val="24"/>
          <w:szCs w:val="24"/>
        </w:rPr>
        <w:t>TDHEs are</w:t>
      </w:r>
      <w:r w:rsidRPr="00B95846" w:rsidR="0062170D">
        <w:rPr>
          <w:sz w:val="24"/>
          <w:szCs w:val="24"/>
        </w:rPr>
        <w:t xml:space="preserve"> also required to submit applications via Grants.gov. </w:t>
      </w:r>
    </w:p>
    <w:p w:rsidR="00311682" w:rsidRPr="00B95846" w:rsidP="00311682" w14:paraId="262E34EE" w14:textId="7777777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szCs w:val="24"/>
        </w:rPr>
      </w:pPr>
    </w:p>
    <w:p w:rsidR="00311682" w:rsidRPr="00B95846" w:rsidP="00311682" w14:paraId="55B152F2" w14:textId="6A3E024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szCs w:val="24"/>
        </w:rPr>
      </w:pPr>
      <w:r w:rsidRPr="00B95846">
        <w:rPr>
          <w:b/>
          <w:bCs/>
          <w:sz w:val="24"/>
          <w:szCs w:val="24"/>
        </w:rPr>
        <w:t>Pre-Award</w:t>
      </w:r>
      <w:r w:rsidRPr="00B95846">
        <w:rPr>
          <w:sz w:val="24"/>
          <w:szCs w:val="24"/>
        </w:rPr>
        <w:t>: In addition to the HUD-wide NOFO application requirements of the SF-424, SF-424D, HUD-2880</w:t>
      </w:r>
      <w:r w:rsidRPr="00B95846" w:rsidR="00FD03A2">
        <w:rPr>
          <w:sz w:val="24"/>
          <w:szCs w:val="24"/>
        </w:rPr>
        <w:t>, and HUD-424B</w:t>
      </w:r>
      <w:r w:rsidRPr="00B95846">
        <w:rPr>
          <w:sz w:val="24"/>
          <w:szCs w:val="24"/>
        </w:rPr>
        <w:t xml:space="preserve">, IHBG applicants must provide a HUD-4123: Cost Summary, a HUD-4125: Implementation Schedule. </w:t>
      </w:r>
    </w:p>
    <w:p w:rsidR="00311682" w:rsidRPr="00B95846" w:rsidP="00311682" w14:paraId="0EC7E881" w14:textId="7777777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szCs w:val="24"/>
        </w:rPr>
      </w:pPr>
    </w:p>
    <w:p w:rsidR="00730117" w:rsidRPr="00B95846" w:rsidP="00B267BE" w14:paraId="5CD3ED38" w14:textId="67E95C5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szCs w:val="24"/>
        </w:rPr>
      </w:pPr>
      <w:r w:rsidRPr="00B95846">
        <w:rPr>
          <w:b/>
          <w:bCs/>
          <w:sz w:val="24"/>
          <w:szCs w:val="24"/>
        </w:rPr>
        <w:t xml:space="preserve">Post Award: </w:t>
      </w:r>
      <w:r w:rsidRPr="00B95846">
        <w:rPr>
          <w:b/>
          <w:bCs/>
          <w:sz w:val="24"/>
          <w:szCs w:val="24"/>
        </w:rPr>
        <w:t xml:space="preserve">Grantees access their funding in LOCCS. </w:t>
      </w:r>
      <w:r w:rsidRPr="00B95846">
        <w:rPr>
          <w:sz w:val="24"/>
          <w:szCs w:val="24"/>
        </w:rPr>
        <w:t xml:space="preserve">In addition to the SF-425 required for all federal grantees, IHBG-COMP grantees are required, per </w:t>
      </w:r>
      <w:hyperlink r:id="rId12" w:history="1">
        <w:r w:rsidRPr="00B95846">
          <w:rPr>
            <w:rStyle w:val="Hyperlink"/>
            <w:rFonts w:eastAsiaTheme="majorEastAsia"/>
            <w:sz w:val="24"/>
            <w:szCs w:val="24"/>
            <w:u w:val="none"/>
          </w:rPr>
          <w:t>24 CFR 1000.512</w:t>
        </w:r>
      </w:hyperlink>
      <w:r w:rsidRPr="00B95846">
        <w:rPr>
          <w:sz w:val="24"/>
          <w:szCs w:val="24"/>
        </w:rPr>
        <w:t xml:space="preserve">, to report annually on the project’s progress using the HUD-53248: IHBG-COMP APR. </w:t>
      </w:r>
      <w:r w:rsidRPr="00B95846">
        <w:rPr>
          <w:color w:val="000000"/>
          <w:sz w:val="24"/>
          <w:szCs w:val="24"/>
        </w:rPr>
        <w:t xml:space="preserve"> </w:t>
      </w:r>
      <w:r w:rsidRPr="00B95846">
        <w:rPr>
          <w:sz w:val="24"/>
          <w:szCs w:val="24"/>
        </w:rPr>
        <w:t xml:space="preserve">Grantees are required to keep records for at least three years from the last expenditure of the grant. </w:t>
      </w:r>
      <w:r w:rsidRPr="00B95846" w:rsidR="00427137">
        <w:rPr>
          <w:sz w:val="24"/>
          <w:szCs w:val="24"/>
        </w:rPr>
        <w:t>All expenditures would be included in the annual audit, if an audit is required. IHBG-COMP grants</w:t>
      </w:r>
      <w:r w:rsidRPr="00B95846" w:rsidR="00582350">
        <w:rPr>
          <w:sz w:val="24"/>
          <w:szCs w:val="24"/>
        </w:rPr>
        <w:t xml:space="preserve"> are closed 120 days following the period of performance end date</w:t>
      </w:r>
      <w:r w:rsidRPr="00B95846" w:rsidR="00A76C2C">
        <w:rPr>
          <w:sz w:val="24"/>
          <w:szCs w:val="24"/>
        </w:rPr>
        <w:t>, upon receipt of the final IHBG-COMP APR</w:t>
      </w:r>
      <w:r w:rsidRPr="00B95846" w:rsidR="00582350">
        <w:rPr>
          <w:sz w:val="24"/>
          <w:szCs w:val="24"/>
        </w:rPr>
        <w:t xml:space="preserve">. </w:t>
      </w:r>
    </w:p>
    <w:p w:rsidR="00311682" w:rsidRPr="00B95846" w:rsidP="00311682" w14:paraId="262F677E" w14:textId="4940778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b/>
          <w:bCs/>
          <w:sz w:val="24"/>
          <w:szCs w:val="24"/>
        </w:rPr>
      </w:pPr>
    </w:p>
    <w:p w:rsidR="00311682" w:rsidRPr="00B95846" w:rsidP="00311682" w14:paraId="03A22352" w14:textId="77777777">
      <w:pPr>
        <w:tabs>
          <w:tab w:val="left" w:pos="360"/>
        </w:tabs>
        <w:ind w:left="360" w:hanging="360"/>
        <w:rPr>
          <w:sz w:val="24"/>
          <w:szCs w:val="24"/>
        </w:rPr>
      </w:pPr>
    </w:p>
    <w:p w:rsidR="00311682" w:rsidRPr="00B95846" w:rsidP="00311682" w14:paraId="7E31AC65" w14:textId="77777777">
      <w:pPr>
        <w:keepLines/>
        <w:tabs>
          <w:tab w:val="left" w:pos="360"/>
        </w:tabs>
        <w:spacing w:after="80"/>
        <w:ind w:left="360" w:hanging="360"/>
        <w:rPr>
          <w:b/>
          <w:bCs/>
          <w:sz w:val="24"/>
          <w:szCs w:val="24"/>
        </w:rPr>
      </w:pPr>
      <w:r w:rsidRPr="00B95846">
        <w:rPr>
          <w:sz w:val="24"/>
          <w:szCs w:val="24"/>
        </w:rPr>
        <w:t>2.</w:t>
      </w:r>
      <w:r w:rsidRPr="00B95846">
        <w:rPr>
          <w:sz w:val="24"/>
          <w:szCs w:val="24"/>
        </w:rPr>
        <w:tab/>
      </w:r>
      <w:r w:rsidRPr="00B95846">
        <w:rPr>
          <w:b/>
          <w:bCs/>
          <w:sz w:val="24"/>
          <w:szCs w:val="24"/>
        </w:rPr>
        <w:t>Indicate how, by whom and for what purpose the information is to be used.  Except for a new collection, indicate the actual use the agency has made of the information received from the current collection.</w:t>
      </w:r>
    </w:p>
    <w:p w:rsidR="00311682" w:rsidRPr="00B95846" w:rsidP="00311682" w14:paraId="52AF93F4" w14:textId="5AB40180">
      <w:pPr>
        <w:keepLines/>
        <w:spacing w:after="80"/>
        <w:ind w:left="360"/>
        <w:rPr>
          <w:sz w:val="24"/>
          <w:szCs w:val="24"/>
        </w:rPr>
      </w:pPr>
      <w:r w:rsidRPr="00B95846">
        <w:rPr>
          <w:sz w:val="24"/>
          <w:szCs w:val="24"/>
        </w:rPr>
        <w:t>ONAP use</w:t>
      </w:r>
      <w:r w:rsidRPr="00B95846" w:rsidR="00E2372E">
        <w:rPr>
          <w:sz w:val="24"/>
          <w:szCs w:val="24"/>
        </w:rPr>
        <w:t>s the application</w:t>
      </w:r>
      <w:r w:rsidRPr="00B95846">
        <w:rPr>
          <w:sz w:val="24"/>
          <w:szCs w:val="24"/>
        </w:rPr>
        <w:t xml:space="preserve"> information collected to verify compliance, rate and rank competitive applications, and </w:t>
      </w:r>
      <w:r w:rsidRPr="00B95846" w:rsidR="00E2372E">
        <w:rPr>
          <w:sz w:val="24"/>
          <w:szCs w:val="24"/>
        </w:rPr>
        <w:t xml:space="preserve">select competitive applicants for award.  ONAP uses post-award information to </w:t>
      </w:r>
      <w:r w:rsidRPr="00B95846">
        <w:rPr>
          <w:sz w:val="24"/>
          <w:szCs w:val="24"/>
        </w:rPr>
        <w:t xml:space="preserve">monitor grantee performance throughout the grant. </w:t>
      </w:r>
      <w:r w:rsidRPr="00B95846" w:rsidR="00E2372E">
        <w:rPr>
          <w:sz w:val="24"/>
          <w:szCs w:val="24"/>
        </w:rPr>
        <w:t xml:space="preserve"> </w:t>
      </w:r>
      <w:r w:rsidRPr="00B95846">
        <w:rPr>
          <w:sz w:val="24"/>
          <w:szCs w:val="24"/>
        </w:rPr>
        <w:t xml:space="preserve">Additionally, the data collected will be used for annual reporting to Congress. </w:t>
      </w:r>
      <w:r w:rsidR="003214A4">
        <w:rPr>
          <w:sz w:val="24"/>
          <w:szCs w:val="24"/>
        </w:rPr>
        <w:t xml:space="preserve">This is a revision of a currently approved collection. </w:t>
      </w:r>
    </w:p>
    <w:p w:rsidR="00311682" w:rsidRPr="00B95846" w:rsidP="00311682" w14:paraId="34CBDBD2" w14:textId="77777777">
      <w:pPr>
        <w:keepLines/>
        <w:tabs>
          <w:tab w:val="left" w:pos="360"/>
        </w:tabs>
        <w:spacing w:after="80"/>
        <w:rPr>
          <w:b/>
          <w:bCs/>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1904"/>
        <w:gridCol w:w="7285"/>
      </w:tblGrid>
      <w:tr w14:paraId="673DEA5C" w14:textId="77777777">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625" w:type="dxa"/>
            <w:gridSpan w:val="3"/>
            <w:shd w:val="clear" w:color="000000" w:fill="A6C9EC"/>
            <w:noWrap/>
            <w:vAlign w:val="bottom"/>
            <w:hideMark/>
          </w:tcPr>
          <w:p w:rsidR="00311682" w:rsidRPr="00D30FE9" w14:paraId="0BBCDB83" w14:textId="77777777">
            <w:pPr>
              <w:overflowPunct/>
              <w:autoSpaceDE/>
              <w:autoSpaceDN/>
              <w:adjustRightInd/>
              <w:textAlignment w:val="auto"/>
              <w:rPr>
                <w:b/>
                <w:bCs/>
                <w:color w:val="000000"/>
              </w:rPr>
            </w:pPr>
            <w:r w:rsidRPr="00D30FE9">
              <w:rPr>
                <w:b/>
                <w:bCs/>
                <w:color w:val="000000"/>
              </w:rPr>
              <w:t>IHBG Formula Documents</w:t>
            </w:r>
          </w:p>
        </w:tc>
      </w:tr>
      <w:tr w14:paraId="4396EA0A" w14:textId="77777777">
        <w:tblPrEx>
          <w:tblW w:w="9625" w:type="dxa"/>
          <w:tblLook w:val="04A0"/>
        </w:tblPrEx>
        <w:trPr>
          <w:trHeight w:val="300"/>
        </w:trPr>
        <w:tc>
          <w:tcPr>
            <w:tcW w:w="9625" w:type="dxa"/>
            <w:gridSpan w:val="3"/>
            <w:shd w:val="clear" w:color="000000" w:fill="DAE9F8"/>
            <w:noWrap/>
            <w:vAlign w:val="bottom"/>
            <w:hideMark/>
          </w:tcPr>
          <w:p w:rsidR="00311682" w:rsidRPr="00D30FE9" w14:paraId="4D54A6FC" w14:textId="77777777">
            <w:pPr>
              <w:overflowPunct/>
              <w:autoSpaceDE/>
              <w:autoSpaceDN/>
              <w:adjustRightInd/>
              <w:textAlignment w:val="auto"/>
              <w:rPr>
                <w:b/>
                <w:bCs/>
                <w:color w:val="000000"/>
              </w:rPr>
            </w:pPr>
            <w:r w:rsidRPr="00D30FE9">
              <w:rPr>
                <w:b/>
                <w:bCs/>
                <w:color w:val="000000"/>
              </w:rPr>
              <w:t>Pre-Award</w:t>
            </w:r>
          </w:p>
        </w:tc>
      </w:tr>
      <w:tr w14:paraId="75D02AE1" w14:textId="77777777">
        <w:tblPrEx>
          <w:tblW w:w="9625" w:type="dxa"/>
          <w:tblLook w:val="04A0"/>
        </w:tblPrEx>
        <w:trPr>
          <w:trHeight w:val="1538"/>
        </w:trPr>
        <w:tc>
          <w:tcPr>
            <w:tcW w:w="436" w:type="dxa"/>
            <w:shd w:val="clear" w:color="auto" w:fill="auto"/>
            <w:noWrap/>
            <w:vAlign w:val="center"/>
            <w:hideMark/>
          </w:tcPr>
          <w:p w:rsidR="00311682" w:rsidRPr="00D30FE9" w14:paraId="0F9D48F8" w14:textId="77777777">
            <w:pPr>
              <w:overflowPunct/>
              <w:autoSpaceDE/>
              <w:autoSpaceDN/>
              <w:adjustRightInd/>
              <w:jc w:val="center"/>
              <w:textAlignment w:val="auto"/>
              <w:rPr>
                <w:color w:val="000000"/>
              </w:rPr>
            </w:pPr>
            <w:r w:rsidRPr="00D30FE9">
              <w:rPr>
                <w:color w:val="000000"/>
              </w:rPr>
              <w:t>1</w:t>
            </w:r>
          </w:p>
        </w:tc>
        <w:tc>
          <w:tcPr>
            <w:tcW w:w="1904" w:type="dxa"/>
            <w:shd w:val="clear" w:color="auto" w:fill="auto"/>
            <w:vAlign w:val="center"/>
            <w:hideMark/>
          </w:tcPr>
          <w:p w:rsidR="00311682" w:rsidRPr="00D30FE9" w14:paraId="20050293" w14:textId="77777777">
            <w:pPr>
              <w:overflowPunct/>
              <w:autoSpaceDE/>
              <w:autoSpaceDN/>
              <w:adjustRightInd/>
              <w:textAlignment w:val="auto"/>
              <w:rPr>
                <w:color w:val="000000"/>
              </w:rPr>
            </w:pPr>
            <w:r w:rsidRPr="00D30FE9">
              <w:rPr>
                <w:color w:val="000000"/>
              </w:rPr>
              <w:t>HUD–52737 IHP/APR</w:t>
            </w:r>
          </w:p>
        </w:tc>
        <w:tc>
          <w:tcPr>
            <w:tcW w:w="7285" w:type="dxa"/>
            <w:shd w:val="clear" w:color="auto" w:fill="auto"/>
            <w:vAlign w:val="center"/>
            <w:hideMark/>
          </w:tcPr>
          <w:p w:rsidR="00311682" w:rsidRPr="00D30FE9" w14:paraId="7B4088E1" w14:textId="42282E52">
            <w:pPr>
              <w:overflowPunct/>
              <w:autoSpaceDE/>
              <w:autoSpaceDN/>
              <w:adjustRightInd/>
              <w:textAlignment w:val="auto"/>
              <w:rPr>
                <w:color w:val="000000"/>
              </w:rPr>
            </w:pPr>
            <w:r w:rsidRPr="00D30FE9">
              <w:rPr>
                <w:color w:val="000000"/>
              </w:rPr>
              <w:t>This document is used by IHBG formula grantees to provide HUD with its Indian Housing Plan (IHP)</w:t>
            </w:r>
            <w:r w:rsidRPr="00D30FE9" w:rsidR="00E2372E">
              <w:rPr>
                <w:color w:val="000000"/>
              </w:rPr>
              <w:t xml:space="preserve">. ONAP reviews the IHP to confirm </w:t>
            </w:r>
            <w:r w:rsidRPr="00D30FE9">
              <w:rPr>
                <w:color w:val="000000"/>
              </w:rPr>
              <w:t>complian</w:t>
            </w:r>
            <w:r w:rsidRPr="00D30FE9" w:rsidR="00E2372E">
              <w:rPr>
                <w:color w:val="000000"/>
              </w:rPr>
              <w:t xml:space="preserve">ce with program requirements </w:t>
            </w:r>
            <w:r w:rsidRPr="00D30FE9">
              <w:rPr>
                <w:color w:val="000000"/>
              </w:rPr>
              <w:t xml:space="preserve">prior to </w:t>
            </w:r>
            <w:r w:rsidRPr="00D30FE9" w:rsidR="00473A0B">
              <w:rPr>
                <w:color w:val="000000"/>
              </w:rPr>
              <w:t>awarding</w:t>
            </w:r>
            <w:r w:rsidRPr="00D30FE9">
              <w:rPr>
                <w:color w:val="000000"/>
              </w:rPr>
              <w:t xml:space="preserve"> the annual IHBG allocation. At the end of its program year, each grantee must use the APR section of the form to report on program accomplishments and expenditures. It is available as a fillable </w:t>
            </w:r>
            <w:r w:rsidRPr="00D30FE9">
              <w:rPr>
                <w:color w:val="000000"/>
              </w:rPr>
              <w:t>PDF</w:t>
            </w:r>
            <w:r w:rsidRPr="00D30FE9">
              <w:rPr>
                <w:color w:val="000000"/>
              </w:rPr>
              <w:t xml:space="preserve"> but most grantees use the GEMS for this required reporting. </w:t>
            </w:r>
          </w:p>
        </w:tc>
      </w:tr>
      <w:tr w14:paraId="018BD309" w14:textId="77777777">
        <w:tblPrEx>
          <w:tblW w:w="9625" w:type="dxa"/>
          <w:tblLook w:val="04A0"/>
        </w:tblPrEx>
        <w:trPr>
          <w:trHeight w:val="600"/>
        </w:trPr>
        <w:tc>
          <w:tcPr>
            <w:tcW w:w="436" w:type="dxa"/>
            <w:shd w:val="clear" w:color="auto" w:fill="auto"/>
            <w:noWrap/>
            <w:vAlign w:val="center"/>
            <w:hideMark/>
          </w:tcPr>
          <w:p w:rsidR="00311682" w:rsidRPr="00D30FE9" w14:paraId="4E09DF6A" w14:textId="77777777">
            <w:pPr>
              <w:overflowPunct/>
              <w:autoSpaceDE/>
              <w:autoSpaceDN/>
              <w:adjustRightInd/>
              <w:jc w:val="center"/>
              <w:textAlignment w:val="auto"/>
              <w:rPr>
                <w:color w:val="000000"/>
              </w:rPr>
            </w:pPr>
            <w:r w:rsidRPr="00D30FE9">
              <w:rPr>
                <w:color w:val="000000"/>
              </w:rPr>
              <w:t>2</w:t>
            </w:r>
          </w:p>
        </w:tc>
        <w:tc>
          <w:tcPr>
            <w:tcW w:w="1904" w:type="dxa"/>
            <w:shd w:val="clear" w:color="auto" w:fill="auto"/>
            <w:vAlign w:val="center"/>
            <w:hideMark/>
          </w:tcPr>
          <w:p w:rsidR="00311682" w:rsidRPr="00D30FE9" w14:paraId="6BCCD214" w14:textId="77777777">
            <w:pPr>
              <w:overflowPunct/>
              <w:autoSpaceDE/>
              <w:autoSpaceDN/>
              <w:adjustRightInd/>
              <w:textAlignment w:val="auto"/>
              <w:rPr>
                <w:color w:val="000000"/>
              </w:rPr>
            </w:pPr>
            <w:r w:rsidRPr="00D30FE9">
              <w:rPr>
                <w:color w:val="000000"/>
              </w:rPr>
              <w:t>HUD-52737 GEMS IHP/APR</w:t>
            </w:r>
          </w:p>
        </w:tc>
        <w:tc>
          <w:tcPr>
            <w:tcW w:w="7285" w:type="dxa"/>
            <w:shd w:val="clear" w:color="auto" w:fill="auto"/>
            <w:vAlign w:val="center"/>
            <w:hideMark/>
          </w:tcPr>
          <w:p w:rsidR="00311682" w:rsidRPr="00D30FE9" w14:paraId="2BA42AAD" w14:textId="77777777">
            <w:pPr>
              <w:overflowPunct/>
              <w:autoSpaceDE/>
              <w:autoSpaceDN/>
              <w:adjustRightInd/>
              <w:textAlignment w:val="auto"/>
              <w:rPr>
                <w:color w:val="000000"/>
              </w:rPr>
            </w:pPr>
            <w:r w:rsidRPr="00D30FE9">
              <w:rPr>
                <w:color w:val="000000"/>
              </w:rPr>
              <w:t>Same as above but available to grantees in the web-based Grants Evaluation and Management System (GEMS).</w:t>
            </w:r>
          </w:p>
          <w:p w:rsidR="00311682" w:rsidRPr="00D30FE9" w14:paraId="5405E76B" w14:textId="77777777">
            <w:pPr>
              <w:overflowPunct/>
              <w:autoSpaceDE/>
              <w:autoSpaceDN/>
              <w:adjustRightInd/>
              <w:textAlignment w:val="auto"/>
              <w:rPr>
                <w:color w:val="000000"/>
              </w:rPr>
            </w:pPr>
          </w:p>
        </w:tc>
      </w:tr>
      <w:tr w14:paraId="61C9CD02" w14:textId="77777777">
        <w:tblPrEx>
          <w:tblW w:w="9625" w:type="dxa"/>
          <w:tblLook w:val="04A0"/>
        </w:tblPrEx>
        <w:trPr>
          <w:trHeight w:val="300"/>
        </w:trPr>
        <w:tc>
          <w:tcPr>
            <w:tcW w:w="9625" w:type="dxa"/>
            <w:gridSpan w:val="3"/>
            <w:shd w:val="clear" w:color="000000" w:fill="DAE9F8"/>
            <w:noWrap/>
            <w:vAlign w:val="center"/>
            <w:hideMark/>
          </w:tcPr>
          <w:p w:rsidR="00311682" w:rsidRPr="00D30FE9" w14:paraId="6C2BA79B" w14:textId="77777777">
            <w:pPr>
              <w:overflowPunct/>
              <w:autoSpaceDE/>
              <w:autoSpaceDN/>
              <w:adjustRightInd/>
              <w:textAlignment w:val="auto"/>
              <w:rPr>
                <w:b/>
                <w:bCs/>
                <w:color w:val="000000"/>
              </w:rPr>
            </w:pPr>
            <w:r w:rsidRPr="00D30FE9">
              <w:rPr>
                <w:b/>
                <w:bCs/>
                <w:color w:val="000000"/>
              </w:rPr>
              <w:t xml:space="preserve">Post-Award </w:t>
            </w:r>
          </w:p>
        </w:tc>
      </w:tr>
      <w:tr w14:paraId="6FD58935" w14:textId="77777777">
        <w:tblPrEx>
          <w:tblW w:w="9625" w:type="dxa"/>
          <w:tblLook w:val="04A0"/>
        </w:tblPrEx>
        <w:trPr>
          <w:trHeight w:val="300"/>
        </w:trPr>
        <w:tc>
          <w:tcPr>
            <w:tcW w:w="436" w:type="dxa"/>
            <w:shd w:val="clear" w:color="auto" w:fill="auto"/>
            <w:noWrap/>
            <w:vAlign w:val="bottom"/>
            <w:hideMark/>
          </w:tcPr>
          <w:p w:rsidR="00311682" w:rsidRPr="00D30FE9" w14:paraId="15CABA18" w14:textId="77777777">
            <w:pPr>
              <w:overflowPunct/>
              <w:autoSpaceDE/>
              <w:autoSpaceDN/>
              <w:adjustRightInd/>
              <w:jc w:val="center"/>
              <w:textAlignment w:val="auto"/>
              <w:rPr>
                <w:color w:val="000000"/>
              </w:rPr>
            </w:pPr>
            <w:r w:rsidRPr="00D30FE9">
              <w:rPr>
                <w:color w:val="000000"/>
              </w:rPr>
              <w:t>3</w:t>
            </w:r>
          </w:p>
        </w:tc>
        <w:tc>
          <w:tcPr>
            <w:tcW w:w="1904" w:type="dxa"/>
            <w:shd w:val="clear" w:color="auto" w:fill="auto"/>
            <w:vAlign w:val="bottom"/>
            <w:hideMark/>
          </w:tcPr>
          <w:p w:rsidR="00311682" w:rsidRPr="00D30FE9" w14:paraId="1D51E192" w14:textId="77777777">
            <w:pPr>
              <w:overflowPunct/>
              <w:autoSpaceDE/>
              <w:autoSpaceDN/>
              <w:adjustRightInd/>
              <w:textAlignment w:val="auto"/>
              <w:rPr>
                <w:color w:val="000000"/>
              </w:rPr>
            </w:pPr>
            <w:r w:rsidRPr="00D30FE9">
              <w:rPr>
                <w:color w:val="000000"/>
              </w:rPr>
              <w:t>SF-425: Federal Financial Report</w:t>
            </w:r>
          </w:p>
        </w:tc>
        <w:tc>
          <w:tcPr>
            <w:tcW w:w="7285" w:type="dxa"/>
            <w:shd w:val="clear" w:color="auto" w:fill="auto"/>
            <w:noWrap/>
            <w:vAlign w:val="bottom"/>
            <w:hideMark/>
          </w:tcPr>
          <w:p w:rsidR="00311682" w:rsidRPr="00D30FE9" w14:paraId="69475004" w14:textId="77777777">
            <w:pPr>
              <w:overflowPunct/>
              <w:autoSpaceDE/>
              <w:autoSpaceDN/>
              <w:adjustRightInd/>
              <w:textAlignment w:val="auto"/>
              <w:rPr>
                <w:color w:val="000000"/>
              </w:rPr>
            </w:pPr>
            <w:r w:rsidRPr="00D30FE9">
              <w:rPr>
                <w:color w:val="000000"/>
              </w:rPr>
              <w:t xml:space="preserve">Required for reporting </w:t>
            </w:r>
            <w:r w:rsidRPr="00D30FE9">
              <w:rPr>
                <w:color w:val="000000"/>
              </w:rPr>
              <w:t>expenditures</w:t>
            </w:r>
            <w:r w:rsidRPr="00D30FE9">
              <w:rPr>
                <w:color w:val="000000"/>
              </w:rPr>
              <w:t xml:space="preserve"> </w:t>
            </w:r>
            <w:r w:rsidRPr="00D30FE9">
              <w:rPr>
                <w:color w:val="000000"/>
              </w:rPr>
              <w:t>of</w:t>
            </w:r>
            <w:r w:rsidRPr="00D30FE9">
              <w:rPr>
                <w:color w:val="000000"/>
              </w:rPr>
              <w:t xml:space="preserve"> all Federal grants.</w:t>
            </w:r>
          </w:p>
        </w:tc>
      </w:tr>
      <w:tr w14:paraId="3A16AF33" w14:textId="77777777">
        <w:tblPrEx>
          <w:tblW w:w="9625" w:type="dxa"/>
          <w:tblLook w:val="04A0"/>
        </w:tblPrEx>
        <w:trPr>
          <w:trHeight w:val="300"/>
        </w:trPr>
        <w:tc>
          <w:tcPr>
            <w:tcW w:w="9625" w:type="dxa"/>
            <w:gridSpan w:val="3"/>
            <w:shd w:val="clear" w:color="000000" w:fill="DAE9F8"/>
            <w:noWrap/>
            <w:vAlign w:val="bottom"/>
            <w:hideMark/>
          </w:tcPr>
          <w:p w:rsidR="00311682" w:rsidRPr="00D30FE9" w14:paraId="6DFDBBB3" w14:textId="77777777">
            <w:pPr>
              <w:overflowPunct/>
              <w:autoSpaceDE/>
              <w:autoSpaceDN/>
              <w:adjustRightInd/>
              <w:textAlignment w:val="auto"/>
              <w:rPr>
                <w:b/>
                <w:bCs/>
                <w:color w:val="000000"/>
              </w:rPr>
            </w:pPr>
            <w:r w:rsidRPr="00D30FE9">
              <w:rPr>
                <w:b/>
                <w:bCs/>
                <w:color w:val="000000"/>
              </w:rPr>
              <w:t>Other: Formula Data</w:t>
            </w:r>
          </w:p>
        </w:tc>
      </w:tr>
      <w:tr w14:paraId="11A53E59" w14:textId="77777777">
        <w:tblPrEx>
          <w:tblW w:w="9625" w:type="dxa"/>
          <w:tblLook w:val="04A0"/>
        </w:tblPrEx>
        <w:trPr>
          <w:trHeight w:val="1367"/>
        </w:trPr>
        <w:tc>
          <w:tcPr>
            <w:tcW w:w="436" w:type="dxa"/>
            <w:shd w:val="clear" w:color="auto" w:fill="auto"/>
            <w:noWrap/>
            <w:vAlign w:val="center"/>
            <w:hideMark/>
          </w:tcPr>
          <w:p w:rsidR="00311682" w:rsidRPr="00D30FE9" w14:paraId="134C0408" w14:textId="77777777">
            <w:pPr>
              <w:overflowPunct/>
              <w:autoSpaceDE/>
              <w:autoSpaceDN/>
              <w:adjustRightInd/>
              <w:jc w:val="center"/>
              <w:textAlignment w:val="auto"/>
              <w:rPr>
                <w:color w:val="000000"/>
              </w:rPr>
            </w:pPr>
            <w:r w:rsidRPr="00D30FE9">
              <w:rPr>
                <w:color w:val="000000"/>
              </w:rPr>
              <w:t>4</w:t>
            </w:r>
          </w:p>
        </w:tc>
        <w:tc>
          <w:tcPr>
            <w:tcW w:w="1904" w:type="dxa"/>
            <w:shd w:val="clear" w:color="auto" w:fill="auto"/>
            <w:vAlign w:val="center"/>
            <w:hideMark/>
          </w:tcPr>
          <w:p w:rsidR="00311682" w:rsidRPr="00D30FE9" w14:paraId="66436BD7" w14:textId="2E958EF5">
            <w:pPr>
              <w:overflowPunct/>
              <w:autoSpaceDE/>
              <w:autoSpaceDN/>
              <w:adjustRightInd/>
              <w:textAlignment w:val="auto"/>
              <w:rPr>
                <w:color w:val="000000"/>
              </w:rPr>
            </w:pPr>
            <w:r w:rsidRPr="00D30FE9">
              <w:rPr>
                <w:color w:val="000000"/>
              </w:rPr>
              <w:t>Formula Response Form</w:t>
            </w:r>
            <w:r w:rsidRPr="00D30FE9" w:rsidR="0034375C">
              <w:rPr>
                <w:color w:val="000000"/>
              </w:rPr>
              <w:t xml:space="preserve"> HUD-4117</w:t>
            </w:r>
          </w:p>
        </w:tc>
        <w:tc>
          <w:tcPr>
            <w:tcW w:w="7285" w:type="dxa"/>
            <w:shd w:val="clear" w:color="auto" w:fill="auto"/>
            <w:vAlign w:val="center"/>
            <w:hideMark/>
          </w:tcPr>
          <w:p w:rsidR="00311682" w:rsidRPr="00D30FE9" w14:paraId="438CF524" w14:textId="7BCD20F9">
            <w:pPr>
              <w:overflowPunct/>
              <w:autoSpaceDE/>
              <w:autoSpaceDN/>
              <w:adjustRightInd/>
              <w:textAlignment w:val="auto"/>
              <w:rPr>
                <w:color w:val="000000"/>
              </w:rPr>
            </w:pPr>
            <w:r w:rsidRPr="00D30FE9">
              <w:rPr>
                <w:color w:val="000000"/>
              </w:rPr>
              <w:t>IHBG grantees are notified via a</w:t>
            </w:r>
            <w:r w:rsidRPr="00D30FE9" w:rsidR="006F7295">
              <w:rPr>
                <w:color w:val="000000"/>
              </w:rPr>
              <w:t>n emailed</w:t>
            </w:r>
            <w:r w:rsidRPr="00D30FE9">
              <w:rPr>
                <w:color w:val="000000"/>
              </w:rPr>
              <w:t xml:space="preserve"> Dear Tribal Leader letter that the estimated IHBG Formula Allocation for the coming fiscal year has been run</w:t>
            </w:r>
            <w:r w:rsidRPr="00D30FE9" w:rsidR="006F7295">
              <w:rPr>
                <w:color w:val="000000"/>
              </w:rPr>
              <w:t xml:space="preserve"> and are </w:t>
            </w:r>
            <w:r w:rsidRPr="00D30FE9">
              <w:rPr>
                <w:color w:val="000000"/>
              </w:rPr>
              <w:t xml:space="preserve">provided with </w:t>
            </w:r>
            <w:r w:rsidRPr="00D30FE9" w:rsidR="006F7295">
              <w:rPr>
                <w:color w:val="000000"/>
              </w:rPr>
              <w:t>a link t</w:t>
            </w:r>
            <w:r w:rsidRPr="00D30FE9">
              <w:rPr>
                <w:color w:val="000000"/>
              </w:rPr>
              <w:t xml:space="preserve">he </w:t>
            </w:r>
            <w:hyperlink r:id="rId16" w:history="1">
              <w:r w:rsidRPr="00D30FE9">
                <w:rPr>
                  <w:rStyle w:val="Hyperlink"/>
                </w:rPr>
                <w:t>IHBG Formula Customer Service Center</w:t>
              </w:r>
            </w:hyperlink>
            <w:r w:rsidRPr="00D30FE9">
              <w:rPr>
                <w:color w:val="000000"/>
              </w:rPr>
              <w:t xml:space="preserve"> website. </w:t>
            </w:r>
            <w:r w:rsidRPr="00D30FE9" w:rsidR="006F7295">
              <w:rPr>
                <w:color w:val="000000"/>
              </w:rPr>
              <w:t xml:space="preserve">The website lists the Formula Response Forms for all IHBG grantees which </w:t>
            </w:r>
            <w:r w:rsidRPr="00D30FE9">
              <w:rPr>
                <w:color w:val="000000"/>
              </w:rPr>
              <w:t xml:space="preserve">provides </w:t>
            </w:r>
            <w:r w:rsidRPr="00D30FE9">
              <w:rPr>
                <w:color w:val="000000"/>
              </w:rPr>
              <w:t xml:space="preserve">an estimate of the annual </w:t>
            </w:r>
            <w:r w:rsidRPr="00D30FE9" w:rsidR="006F7295">
              <w:rPr>
                <w:color w:val="000000"/>
              </w:rPr>
              <w:t>allocation,</w:t>
            </w:r>
            <w:r w:rsidRPr="00D30FE9">
              <w:rPr>
                <w:color w:val="000000"/>
              </w:rPr>
              <w:t xml:space="preserve"> and </w:t>
            </w:r>
            <w:r w:rsidRPr="00D30FE9">
              <w:rPr>
                <w:color w:val="000000"/>
              </w:rPr>
              <w:t xml:space="preserve">the data used in calculating </w:t>
            </w:r>
            <w:r w:rsidRPr="00D30FE9">
              <w:rPr>
                <w:color w:val="000000"/>
              </w:rPr>
              <w:t xml:space="preserve">the allocation. </w:t>
            </w:r>
            <w:r w:rsidRPr="00D30FE9">
              <w:rPr>
                <w:color w:val="000000"/>
              </w:rPr>
              <w:t xml:space="preserve">Grantees can </w:t>
            </w:r>
            <w:r w:rsidRPr="00D30FE9">
              <w:rPr>
                <w:color w:val="000000"/>
              </w:rPr>
              <w:t xml:space="preserve">respond with corrections or updates to the data that will be used in the final allocation. Depending on the nature of the data update or correction, the grantee would use one or more of the </w:t>
            </w:r>
            <w:r w:rsidRPr="00D30FE9">
              <w:rPr>
                <w:color w:val="000000"/>
              </w:rPr>
              <w:t xml:space="preserve">HUD-4117 appendices A-D described below. </w:t>
            </w:r>
            <w:r w:rsidRPr="00D30FE9" w:rsidR="006F7295">
              <w:rPr>
                <w:color w:val="000000"/>
              </w:rPr>
              <w:t xml:space="preserve">Most grantees do not have any updates or corrections to report. Those who do will email or mail the information to the IHBG Formula Customer Service Center. </w:t>
            </w:r>
          </w:p>
        </w:tc>
      </w:tr>
      <w:tr w14:paraId="74A35FE0" w14:textId="77777777">
        <w:tblPrEx>
          <w:tblW w:w="9625" w:type="dxa"/>
          <w:tblLook w:val="04A0"/>
        </w:tblPrEx>
        <w:trPr>
          <w:trHeight w:val="600"/>
        </w:trPr>
        <w:tc>
          <w:tcPr>
            <w:tcW w:w="436" w:type="dxa"/>
            <w:shd w:val="clear" w:color="auto" w:fill="auto"/>
            <w:noWrap/>
            <w:vAlign w:val="center"/>
            <w:hideMark/>
          </w:tcPr>
          <w:p w:rsidR="00311682" w:rsidRPr="00D30FE9" w14:paraId="0B558EC3" w14:textId="77777777">
            <w:pPr>
              <w:overflowPunct/>
              <w:autoSpaceDE/>
              <w:autoSpaceDN/>
              <w:adjustRightInd/>
              <w:jc w:val="center"/>
              <w:textAlignment w:val="auto"/>
              <w:rPr>
                <w:color w:val="000000"/>
              </w:rPr>
            </w:pPr>
            <w:r w:rsidRPr="00D30FE9">
              <w:rPr>
                <w:color w:val="000000"/>
              </w:rPr>
              <w:t>5</w:t>
            </w:r>
          </w:p>
        </w:tc>
        <w:tc>
          <w:tcPr>
            <w:tcW w:w="1904" w:type="dxa"/>
            <w:shd w:val="clear" w:color="auto" w:fill="auto"/>
            <w:vAlign w:val="center"/>
            <w:hideMark/>
          </w:tcPr>
          <w:p w:rsidR="00311682" w:rsidRPr="00D30FE9" w14:paraId="6C528BAE" w14:textId="6B1EFD4A">
            <w:pPr>
              <w:overflowPunct/>
              <w:autoSpaceDE/>
              <w:autoSpaceDN/>
              <w:adjustRightInd/>
              <w:textAlignment w:val="auto"/>
              <w:rPr>
                <w:color w:val="000000"/>
              </w:rPr>
            </w:pPr>
            <w:r w:rsidRPr="00D30FE9">
              <w:rPr>
                <w:color w:val="000000"/>
              </w:rPr>
              <w:t xml:space="preserve">Formula Response Form </w:t>
            </w:r>
            <w:r w:rsidRPr="00D30FE9">
              <w:rPr>
                <w:color w:val="000000"/>
              </w:rPr>
              <w:t>HUD-4117 Appendix A</w:t>
            </w:r>
          </w:p>
        </w:tc>
        <w:tc>
          <w:tcPr>
            <w:tcW w:w="7285" w:type="dxa"/>
            <w:shd w:val="clear" w:color="auto" w:fill="auto"/>
            <w:vAlign w:val="center"/>
            <w:hideMark/>
          </w:tcPr>
          <w:p w:rsidR="00311682" w:rsidRPr="00D30FE9" w14:paraId="35C57EEF" w14:textId="77777777">
            <w:pPr>
              <w:overflowPunct/>
              <w:autoSpaceDE/>
              <w:autoSpaceDN/>
              <w:adjustRightInd/>
              <w:textAlignment w:val="auto"/>
              <w:rPr>
                <w:color w:val="000000"/>
              </w:rPr>
            </w:pPr>
            <w:r w:rsidRPr="00D30FE9">
              <w:rPr>
                <w:color w:val="000000"/>
              </w:rPr>
              <w:t xml:space="preserve">This document is used for reporting changes in Formula Current Assisted Stock (FCAS) Units </w:t>
            </w:r>
          </w:p>
        </w:tc>
      </w:tr>
      <w:tr w14:paraId="062810C4" w14:textId="77777777">
        <w:tblPrEx>
          <w:tblW w:w="9625" w:type="dxa"/>
          <w:tblLook w:val="04A0"/>
        </w:tblPrEx>
        <w:trPr>
          <w:trHeight w:val="300"/>
        </w:trPr>
        <w:tc>
          <w:tcPr>
            <w:tcW w:w="436" w:type="dxa"/>
            <w:shd w:val="clear" w:color="auto" w:fill="auto"/>
            <w:noWrap/>
            <w:vAlign w:val="center"/>
            <w:hideMark/>
          </w:tcPr>
          <w:p w:rsidR="00311682" w:rsidRPr="00D30FE9" w14:paraId="3AA21866" w14:textId="77777777">
            <w:pPr>
              <w:overflowPunct/>
              <w:autoSpaceDE/>
              <w:autoSpaceDN/>
              <w:adjustRightInd/>
              <w:jc w:val="center"/>
              <w:textAlignment w:val="auto"/>
              <w:rPr>
                <w:color w:val="000000"/>
              </w:rPr>
            </w:pPr>
            <w:r w:rsidRPr="00D30FE9">
              <w:rPr>
                <w:color w:val="000000"/>
              </w:rPr>
              <w:t>6</w:t>
            </w:r>
          </w:p>
        </w:tc>
        <w:tc>
          <w:tcPr>
            <w:tcW w:w="1904" w:type="dxa"/>
            <w:shd w:val="clear" w:color="auto" w:fill="auto"/>
            <w:vAlign w:val="center"/>
            <w:hideMark/>
          </w:tcPr>
          <w:p w:rsidR="00311682" w:rsidRPr="00D30FE9" w14:paraId="778EDCFD" w14:textId="5711944F">
            <w:pPr>
              <w:overflowPunct/>
              <w:autoSpaceDE/>
              <w:autoSpaceDN/>
              <w:adjustRightInd/>
              <w:textAlignment w:val="auto"/>
              <w:rPr>
                <w:color w:val="000000"/>
              </w:rPr>
            </w:pPr>
            <w:r w:rsidRPr="00D30FE9">
              <w:rPr>
                <w:color w:val="000000"/>
              </w:rPr>
              <w:t xml:space="preserve">Formula Response Form </w:t>
            </w:r>
            <w:r w:rsidRPr="00D30FE9">
              <w:rPr>
                <w:color w:val="000000"/>
              </w:rPr>
              <w:t>HUD-4117 Appendix B</w:t>
            </w:r>
          </w:p>
        </w:tc>
        <w:tc>
          <w:tcPr>
            <w:tcW w:w="7285" w:type="dxa"/>
            <w:shd w:val="clear" w:color="auto" w:fill="auto"/>
            <w:vAlign w:val="center"/>
            <w:hideMark/>
          </w:tcPr>
          <w:p w:rsidR="00311682" w:rsidRPr="00D30FE9" w14:paraId="3EC0D13E" w14:textId="1DC6B278">
            <w:pPr>
              <w:overflowPunct/>
              <w:autoSpaceDE/>
              <w:autoSpaceDN/>
              <w:adjustRightInd/>
              <w:textAlignment w:val="auto"/>
              <w:rPr>
                <w:color w:val="000000"/>
              </w:rPr>
            </w:pPr>
            <w:r w:rsidRPr="00D30FE9">
              <w:rPr>
                <w:color w:val="000000"/>
              </w:rPr>
              <w:t xml:space="preserve">This document is used for requesting to </w:t>
            </w:r>
            <w:r w:rsidRPr="00D30FE9" w:rsidR="00473A0B">
              <w:rPr>
                <w:color w:val="000000"/>
              </w:rPr>
              <w:t>a</w:t>
            </w:r>
            <w:r w:rsidRPr="00D30FE9">
              <w:rPr>
                <w:color w:val="000000"/>
              </w:rPr>
              <w:t xml:space="preserve">dd Other Geographies to Formula Area </w:t>
            </w:r>
          </w:p>
        </w:tc>
      </w:tr>
      <w:tr w14:paraId="23202BAC" w14:textId="77777777">
        <w:tblPrEx>
          <w:tblW w:w="9625" w:type="dxa"/>
          <w:tblLook w:val="04A0"/>
        </w:tblPrEx>
        <w:trPr>
          <w:trHeight w:val="300"/>
        </w:trPr>
        <w:tc>
          <w:tcPr>
            <w:tcW w:w="436" w:type="dxa"/>
            <w:shd w:val="clear" w:color="auto" w:fill="auto"/>
            <w:noWrap/>
            <w:vAlign w:val="center"/>
            <w:hideMark/>
          </w:tcPr>
          <w:p w:rsidR="00311682" w:rsidRPr="00D30FE9" w14:paraId="4A17EF7E" w14:textId="77777777">
            <w:pPr>
              <w:overflowPunct/>
              <w:autoSpaceDE/>
              <w:autoSpaceDN/>
              <w:adjustRightInd/>
              <w:jc w:val="center"/>
              <w:textAlignment w:val="auto"/>
              <w:rPr>
                <w:color w:val="000000"/>
              </w:rPr>
            </w:pPr>
            <w:r w:rsidRPr="00D30FE9">
              <w:rPr>
                <w:color w:val="000000"/>
              </w:rPr>
              <w:t>7</w:t>
            </w:r>
          </w:p>
        </w:tc>
        <w:tc>
          <w:tcPr>
            <w:tcW w:w="1904" w:type="dxa"/>
            <w:shd w:val="clear" w:color="auto" w:fill="auto"/>
            <w:vAlign w:val="center"/>
            <w:hideMark/>
          </w:tcPr>
          <w:p w:rsidR="00311682" w:rsidRPr="00D30FE9" w14:paraId="134B88C5" w14:textId="1E8136F5">
            <w:pPr>
              <w:overflowPunct/>
              <w:autoSpaceDE/>
              <w:autoSpaceDN/>
              <w:adjustRightInd/>
              <w:textAlignment w:val="auto"/>
              <w:rPr>
                <w:color w:val="000000"/>
              </w:rPr>
            </w:pPr>
            <w:r w:rsidRPr="00D30FE9">
              <w:rPr>
                <w:color w:val="000000"/>
              </w:rPr>
              <w:t xml:space="preserve">Formula Response Form </w:t>
            </w:r>
            <w:r w:rsidRPr="00D30FE9">
              <w:rPr>
                <w:color w:val="000000"/>
              </w:rPr>
              <w:t>HUD-4117 Appendix C</w:t>
            </w:r>
          </w:p>
        </w:tc>
        <w:tc>
          <w:tcPr>
            <w:tcW w:w="7285" w:type="dxa"/>
            <w:shd w:val="clear" w:color="auto" w:fill="auto"/>
            <w:vAlign w:val="center"/>
            <w:hideMark/>
          </w:tcPr>
          <w:p w:rsidR="00311682" w:rsidRPr="00D30FE9" w14:paraId="53CAB8CB" w14:textId="77777777">
            <w:pPr>
              <w:overflowPunct/>
              <w:autoSpaceDE/>
              <w:autoSpaceDN/>
              <w:adjustRightInd/>
              <w:textAlignment w:val="auto"/>
              <w:rPr>
                <w:color w:val="000000"/>
              </w:rPr>
            </w:pPr>
            <w:r w:rsidRPr="00D30FE9">
              <w:rPr>
                <w:color w:val="000000"/>
              </w:rPr>
              <w:t>This document is used for reporting Enrollment in Overlapping Areas</w:t>
            </w:r>
          </w:p>
        </w:tc>
      </w:tr>
      <w:tr w14:paraId="2551F988" w14:textId="77777777">
        <w:tblPrEx>
          <w:tblW w:w="9625" w:type="dxa"/>
          <w:tblLook w:val="04A0"/>
        </w:tblPrEx>
        <w:trPr>
          <w:trHeight w:val="300"/>
        </w:trPr>
        <w:tc>
          <w:tcPr>
            <w:tcW w:w="436" w:type="dxa"/>
            <w:shd w:val="clear" w:color="auto" w:fill="auto"/>
            <w:noWrap/>
            <w:vAlign w:val="center"/>
            <w:hideMark/>
          </w:tcPr>
          <w:p w:rsidR="00311682" w:rsidRPr="00D30FE9" w14:paraId="24383CDA" w14:textId="77777777">
            <w:pPr>
              <w:overflowPunct/>
              <w:autoSpaceDE/>
              <w:autoSpaceDN/>
              <w:adjustRightInd/>
              <w:jc w:val="center"/>
              <w:textAlignment w:val="auto"/>
              <w:rPr>
                <w:color w:val="000000"/>
              </w:rPr>
            </w:pPr>
            <w:r w:rsidRPr="00D30FE9">
              <w:rPr>
                <w:color w:val="000000"/>
              </w:rPr>
              <w:t>8</w:t>
            </w:r>
          </w:p>
        </w:tc>
        <w:tc>
          <w:tcPr>
            <w:tcW w:w="1904" w:type="dxa"/>
            <w:shd w:val="clear" w:color="auto" w:fill="auto"/>
            <w:vAlign w:val="center"/>
            <w:hideMark/>
          </w:tcPr>
          <w:p w:rsidR="00311682" w:rsidRPr="00D30FE9" w14:paraId="1C834918" w14:textId="38D2E6C5">
            <w:pPr>
              <w:overflowPunct/>
              <w:autoSpaceDE/>
              <w:autoSpaceDN/>
              <w:adjustRightInd/>
              <w:textAlignment w:val="auto"/>
              <w:rPr>
                <w:color w:val="000000"/>
              </w:rPr>
            </w:pPr>
            <w:r w:rsidRPr="00D30FE9">
              <w:rPr>
                <w:color w:val="000000"/>
              </w:rPr>
              <w:t xml:space="preserve">Formula Response Form </w:t>
            </w:r>
            <w:r w:rsidRPr="00D30FE9">
              <w:rPr>
                <w:color w:val="000000"/>
              </w:rPr>
              <w:t>HUD-4117 Appendix D</w:t>
            </w:r>
          </w:p>
        </w:tc>
        <w:tc>
          <w:tcPr>
            <w:tcW w:w="7285" w:type="dxa"/>
            <w:shd w:val="clear" w:color="auto" w:fill="auto"/>
            <w:vAlign w:val="center"/>
            <w:hideMark/>
          </w:tcPr>
          <w:p w:rsidR="00311682" w:rsidRPr="00D30FE9" w14:paraId="7397E5A6" w14:textId="77777777">
            <w:pPr>
              <w:overflowPunct/>
              <w:autoSpaceDE/>
              <w:autoSpaceDN/>
              <w:adjustRightInd/>
              <w:textAlignment w:val="auto"/>
              <w:rPr>
                <w:color w:val="000000"/>
              </w:rPr>
            </w:pPr>
            <w:r w:rsidRPr="00D30FE9">
              <w:rPr>
                <w:color w:val="000000"/>
              </w:rPr>
              <w:t>This document is used for reporting Tribal Enrollment &amp; Population Cap</w:t>
            </w:r>
          </w:p>
        </w:tc>
      </w:tr>
      <w:tr w14:paraId="78DF0207" w14:textId="77777777">
        <w:tblPrEx>
          <w:tblW w:w="9625" w:type="dxa"/>
          <w:tblLook w:val="04A0"/>
        </w:tblPrEx>
        <w:trPr>
          <w:trHeight w:val="600"/>
        </w:trPr>
        <w:tc>
          <w:tcPr>
            <w:tcW w:w="436" w:type="dxa"/>
            <w:shd w:val="clear" w:color="auto" w:fill="auto"/>
            <w:noWrap/>
            <w:vAlign w:val="center"/>
            <w:hideMark/>
          </w:tcPr>
          <w:p w:rsidR="00311682" w:rsidRPr="00D30FE9" w14:paraId="54DEA35B" w14:textId="77777777">
            <w:pPr>
              <w:overflowPunct/>
              <w:autoSpaceDE/>
              <w:autoSpaceDN/>
              <w:adjustRightInd/>
              <w:jc w:val="center"/>
              <w:textAlignment w:val="auto"/>
              <w:rPr>
                <w:color w:val="000000"/>
              </w:rPr>
            </w:pPr>
            <w:r w:rsidRPr="00D30FE9">
              <w:rPr>
                <w:color w:val="000000"/>
              </w:rPr>
              <w:t>9</w:t>
            </w:r>
          </w:p>
        </w:tc>
        <w:tc>
          <w:tcPr>
            <w:tcW w:w="1904" w:type="dxa"/>
            <w:shd w:val="clear" w:color="auto" w:fill="auto"/>
            <w:vAlign w:val="center"/>
            <w:hideMark/>
          </w:tcPr>
          <w:p w:rsidR="00311682" w:rsidRPr="00D30FE9" w14:paraId="7C2DC8CD" w14:textId="7B6BBA17">
            <w:pPr>
              <w:overflowPunct/>
              <w:autoSpaceDE/>
              <w:autoSpaceDN/>
              <w:adjustRightInd/>
              <w:textAlignment w:val="auto"/>
              <w:rPr>
                <w:color w:val="000000"/>
              </w:rPr>
            </w:pPr>
            <w:r w:rsidRPr="00D30FE9">
              <w:rPr>
                <w:color w:val="000000"/>
              </w:rPr>
              <w:t xml:space="preserve">Census Challenge Form </w:t>
            </w:r>
            <w:r w:rsidRPr="00D30FE9">
              <w:rPr>
                <w:color w:val="000000"/>
              </w:rPr>
              <w:t xml:space="preserve">HUD-4119 </w:t>
            </w:r>
          </w:p>
        </w:tc>
        <w:tc>
          <w:tcPr>
            <w:tcW w:w="7285" w:type="dxa"/>
            <w:shd w:val="clear" w:color="auto" w:fill="auto"/>
            <w:vAlign w:val="center"/>
            <w:hideMark/>
          </w:tcPr>
          <w:p w:rsidR="00311682" w:rsidRPr="00D30FE9" w14:paraId="037D4C26" w14:textId="4CBF1860">
            <w:pPr>
              <w:overflowPunct/>
              <w:autoSpaceDE/>
              <w:autoSpaceDN/>
              <w:adjustRightInd/>
              <w:textAlignment w:val="auto"/>
              <w:rPr>
                <w:color w:val="000000"/>
              </w:rPr>
            </w:pPr>
            <w:r w:rsidRPr="00D30FE9">
              <w:rPr>
                <w:color w:val="000000"/>
              </w:rPr>
              <w:t xml:space="preserve">This document outlines the steps HUD requires for an IHBG grantee to challenge U.S. Decennial Census data used in the Needs component of the IHBG formula. </w:t>
            </w:r>
          </w:p>
        </w:tc>
      </w:tr>
      <w:tr w14:paraId="5730BC2B" w14:textId="77777777">
        <w:tblPrEx>
          <w:tblW w:w="9625" w:type="dxa"/>
          <w:tblLook w:val="04A0"/>
        </w:tblPrEx>
        <w:trPr>
          <w:trHeight w:val="1200"/>
        </w:trPr>
        <w:tc>
          <w:tcPr>
            <w:tcW w:w="436" w:type="dxa"/>
            <w:shd w:val="clear" w:color="auto" w:fill="auto"/>
            <w:noWrap/>
            <w:vAlign w:val="center"/>
            <w:hideMark/>
          </w:tcPr>
          <w:p w:rsidR="00311682" w:rsidRPr="00D30FE9" w14:paraId="1E5DB78A" w14:textId="77777777">
            <w:pPr>
              <w:overflowPunct/>
              <w:autoSpaceDE/>
              <w:autoSpaceDN/>
              <w:adjustRightInd/>
              <w:jc w:val="center"/>
              <w:textAlignment w:val="auto"/>
              <w:rPr>
                <w:color w:val="000000"/>
              </w:rPr>
            </w:pPr>
            <w:r w:rsidRPr="00D30FE9">
              <w:rPr>
                <w:color w:val="000000"/>
              </w:rPr>
              <w:t>10</w:t>
            </w:r>
          </w:p>
        </w:tc>
        <w:tc>
          <w:tcPr>
            <w:tcW w:w="1904" w:type="dxa"/>
            <w:shd w:val="clear" w:color="auto" w:fill="auto"/>
            <w:vAlign w:val="center"/>
            <w:hideMark/>
          </w:tcPr>
          <w:p w:rsidR="00311682" w:rsidRPr="00D30FE9" w14:paraId="0C56D951" w14:textId="7DC26B01">
            <w:pPr>
              <w:overflowPunct/>
              <w:autoSpaceDE/>
              <w:autoSpaceDN/>
              <w:adjustRightInd/>
              <w:textAlignment w:val="auto"/>
              <w:rPr>
                <w:color w:val="000000"/>
              </w:rPr>
            </w:pPr>
            <w:r w:rsidRPr="00D30FE9">
              <w:rPr>
                <w:color w:val="000000"/>
              </w:rPr>
              <w:t xml:space="preserve">Census Challenge Form </w:t>
            </w:r>
            <w:r w:rsidRPr="00D30FE9">
              <w:rPr>
                <w:color w:val="000000"/>
              </w:rPr>
              <w:t>HUD-4119 Appendix A</w:t>
            </w:r>
          </w:p>
        </w:tc>
        <w:tc>
          <w:tcPr>
            <w:tcW w:w="7285" w:type="dxa"/>
            <w:shd w:val="clear" w:color="auto" w:fill="auto"/>
            <w:vAlign w:val="center"/>
            <w:hideMark/>
          </w:tcPr>
          <w:p w:rsidR="00311682" w:rsidRPr="00D30FE9" w14:paraId="7ADBA408" w14:textId="77777777">
            <w:pPr>
              <w:overflowPunct/>
              <w:autoSpaceDE/>
              <w:autoSpaceDN/>
              <w:adjustRightInd/>
              <w:textAlignment w:val="auto"/>
              <w:rPr>
                <w:color w:val="000000"/>
              </w:rPr>
            </w:pPr>
            <w:r w:rsidRPr="00D30FE9">
              <w:rPr>
                <w:color w:val="000000"/>
              </w:rPr>
              <w:t xml:space="preserve">This document outlines the steps HUD required for an IHBG grantee to challenge the Bureau of the Census Population Projections data used in calculating the needs component of the IHBG formula to project Decennial Census person counts or Tribal survey data to the present. </w:t>
            </w:r>
          </w:p>
        </w:tc>
      </w:tr>
      <w:tr w14:paraId="3C549CE3" w14:textId="77777777">
        <w:tblPrEx>
          <w:tblW w:w="9625" w:type="dxa"/>
          <w:tblLook w:val="04A0"/>
        </w:tblPrEx>
        <w:trPr>
          <w:trHeight w:val="900"/>
        </w:trPr>
        <w:tc>
          <w:tcPr>
            <w:tcW w:w="436" w:type="dxa"/>
            <w:shd w:val="clear" w:color="auto" w:fill="auto"/>
            <w:noWrap/>
            <w:vAlign w:val="center"/>
            <w:hideMark/>
          </w:tcPr>
          <w:p w:rsidR="00311682" w:rsidRPr="00D30FE9" w14:paraId="03AFA1CE" w14:textId="77777777">
            <w:pPr>
              <w:overflowPunct/>
              <w:autoSpaceDE/>
              <w:autoSpaceDN/>
              <w:adjustRightInd/>
              <w:jc w:val="center"/>
              <w:textAlignment w:val="auto"/>
              <w:rPr>
                <w:color w:val="000000"/>
              </w:rPr>
            </w:pPr>
            <w:r w:rsidRPr="00D30FE9">
              <w:rPr>
                <w:color w:val="000000"/>
              </w:rPr>
              <w:t>11</w:t>
            </w:r>
          </w:p>
        </w:tc>
        <w:tc>
          <w:tcPr>
            <w:tcW w:w="1904" w:type="dxa"/>
            <w:shd w:val="clear" w:color="auto" w:fill="auto"/>
            <w:vAlign w:val="center"/>
            <w:hideMark/>
          </w:tcPr>
          <w:p w:rsidR="00311682" w:rsidRPr="00D30FE9" w14:paraId="03DF09B2" w14:textId="2BB5EFEF">
            <w:pPr>
              <w:overflowPunct/>
              <w:autoSpaceDE/>
              <w:autoSpaceDN/>
              <w:adjustRightInd/>
              <w:textAlignment w:val="auto"/>
              <w:rPr>
                <w:color w:val="000000"/>
              </w:rPr>
            </w:pPr>
            <w:r w:rsidRPr="00D30FE9">
              <w:rPr>
                <w:color w:val="000000"/>
              </w:rPr>
              <w:t xml:space="preserve">Census Challenge Form </w:t>
            </w:r>
            <w:r w:rsidRPr="00D30FE9">
              <w:rPr>
                <w:color w:val="000000"/>
              </w:rPr>
              <w:t>HUD-4119 Appendix B</w:t>
            </w:r>
          </w:p>
        </w:tc>
        <w:tc>
          <w:tcPr>
            <w:tcW w:w="7285" w:type="dxa"/>
            <w:shd w:val="clear" w:color="auto" w:fill="auto"/>
            <w:vAlign w:val="center"/>
            <w:hideMark/>
          </w:tcPr>
          <w:p w:rsidR="00311682" w:rsidRPr="00D30FE9" w14:paraId="1E83AB70" w14:textId="77777777">
            <w:pPr>
              <w:overflowPunct/>
              <w:autoSpaceDE/>
              <w:autoSpaceDN/>
              <w:adjustRightInd/>
              <w:textAlignment w:val="auto"/>
              <w:rPr>
                <w:color w:val="000000"/>
              </w:rPr>
            </w:pPr>
            <w:r w:rsidRPr="00D30FE9">
              <w:rPr>
                <w:color w:val="000000"/>
              </w:rPr>
              <w:t>This document describes the data and documentation required by HUD for an IHBG grantee to challenge the Total Development Cost (TDC) data used in the FCAS component of the IHBG formula.</w:t>
            </w:r>
          </w:p>
        </w:tc>
      </w:tr>
      <w:tr w14:paraId="6E883B79" w14:textId="77777777">
        <w:tblPrEx>
          <w:tblW w:w="9625" w:type="dxa"/>
          <w:tblLook w:val="04A0"/>
        </w:tblPrEx>
        <w:trPr>
          <w:trHeight w:val="900"/>
        </w:trPr>
        <w:tc>
          <w:tcPr>
            <w:tcW w:w="436" w:type="dxa"/>
            <w:shd w:val="clear" w:color="auto" w:fill="auto"/>
            <w:noWrap/>
            <w:vAlign w:val="center"/>
            <w:hideMark/>
          </w:tcPr>
          <w:p w:rsidR="00311682" w:rsidRPr="00D30FE9" w14:paraId="151388F5" w14:textId="77777777">
            <w:pPr>
              <w:overflowPunct/>
              <w:autoSpaceDE/>
              <w:autoSpaceDN/>
              <w:adjustRightInd/>
              <w:jc w:val="center"/>
              <w:textAlignment w:val="auto"/>
              <w:rPr>
                <w:color w:val="000000"/>
              </w:rPr>
            </w:pPr>
            <w:r w:rsidRPr="00D30FE9">
              <w:rPr>
                <w:color w:val="000000"/>
              </w:rPr>
              <w:t>12</w:t>
            </w:r>
          </w:p>
        </w:tc>
        <w:tc>
          <w:tcPr>
            <w:tcW w:w="1904" w:type="dxa"/>
            <w:shd w:val="clear" w:color="auto" w:fill="auto"/>
            <w:vAlign w:val="center"/>
            <w:hideMark/>
          </w:tcPr>
          <w:p w:rsidR="00311682" w:rsidRPr="00D30FE9" w14:paraId="2979E656" w14:textId="025A3DBB">
            <w:pPr>
              <w:overflowPunct/>
              <w:autoSpaceDE/>
              <w:autoSpaceDN/>
              <w:adjustRightInd/>
              <w:textAlignment w:val="auto"/>
              <w:rPr>
                <w:color w:val="000000"/>
              </w:rPr>
            </w:pPr>
            <w:r w:rsidRPr="00D30FE9">
              <w:rPr>
                <w:color w:val="000000"/>
              </w:rPr>
              <w:t xml:space="preserve">Census Challenge Form </w:t>
            </w:r>
            <w:r w:rsidRPr="00D30FE9">
              <w:rPr>
                <w:color w:val="000000"/>
              </w:rPr>
              <w:t>HUD-4119 Appendix C</w:t>
            </w:r>
          </w:p>
        </w:tc>
        <w:tc>
          <w:tcPr>
            <w:tcW w:w="7285" w:type="dxa"/>
            <w:shd w:val="clear" w:color="auto" w:fill="auto"/>
            <w:vAlign w:val="center"/>
            <w:hideMark/>
          </w:tcPr>
          <w:p w:rsidR="00311682" w:rsidRPr="00D30FE9" w14:paraId="44864816" w14:textId="77777777">
            <w:pPr>
              <w:overflowPunct/>
              <w:autoSpaceDE/>
              <w:autoSpaceDN/>
              <w:adjustRightInd/>
              <w:textAlignment w:val="auto"/>
              <w:rPr>
                <w:color w:val="000000"/>
              </w:rPr>
            </w:pPr>
            <w:r w:rsidRPr="00D30FE9">
              <w:rPr>
                <w:color w:val="000000"/>
              </w:rPr>
              <w:t>This document describes the data and documentation required by HUD for an IHBG grantee to challenge the Fair Market Rent (FMR) data used in the FCAS component of the IHBG formula.</w:t>
            </w:r>
          </w:p>
        </w:tc>
      </w:tr>
      <w:tr w14:paraId="6867B906" w14:textId="77777777">
        <w:tblPrEx>
          <w:tblW w:w="9625" w:type="dxa"/>
          <w:tblLook w:val="04A0"/>
        </w:tblPrEx>
        <w:trPr>
          <w:trHeight w:val="900"/>
        </w:trPr>
        <w:tc>
          <w:tcPr>
            <w:tcW w:w="436" w:type="dxa"/>
            <w:shd w:val="clear" w:color="auto" w:fill="auto"/>
            <w:noWrap/>
            <w:vAlign w:val="center"/>
            <w:hideMark/>
          </w:tcPr>
          <w:p w:rsidR="00311682" w:rsidRPr="00D30FE9" w14:paraId="7B5E75BB" w14:textId="77777777">
            <w:pPr>
              <w:overflowPunct/>
              <w:autoSpaceDE/>
              <w:autoSpaceDN/>
              <w:adjustRightInd/>
              <w:jc w:val="center"/>
              <w:textAlignment w:val="auto"/>
              <w:rPr>
                <w:color w:val="000000"/>
              </w:rPr>
            </w:pPr>
            <w:r w:rsidRPr="00D30FE9">
              <w:rPr>
                <w:color w:val="000000"/>
              </w:rPr>
              <w:t>13</w:t>
            </w:r>
          </w:p>
        </w:tc>
        <w:tc>
          <w:tcPr>
            <w:tcW w:w="1904" w:type="dxa"/>
            <w:shd w:val="clear" w:color="auto" w:fill="auto"/>
            <w:vAlign w:val="center"/>
            <w:hideMark/>
          </w:tcPr>
          <w:p w:rsidR="00311682" w:rsidRPr="00D30FE9" w14:paraId="71D792F9" w14:textId="353DD45C">
            <w:pPr>
              <w:overflowPunct/>
              <w:autoSpaceDE/>
              <w:autoSpaceDN/>
              <w:adjustRightInd/>
              <w:textAlignment w:val="auto"/>
              <w:rPr>
                <w:color w:val="000000"/>
              </w:rPr>
            </w:pPr>
            <w:r w:rsidRPr="00D30FE9">
              <w:rPr>
                <w:color w:val="000000"/>
              </w:rPr>
              <w:t xml:space="preserve">Census Challenge Form </w:t>
            </w:r>
            <w:r w:rsidRPr="00D30FE9">
              <w:rPr>
                <w:color w:val="000000"/>
              </w:rPr>
              <w:t>HUD-4119 Appendix D</w:t>
            </w:r>
          </w:p>
        </w:tc>
        <w:tc>
          <w:tcPr>
            <w:tcW w:w="7285" w:type="dxa"/>
            <w:shd w:val="clear" w:color="auto" w:fill="auto"/>
            <w:vAlign w:val="center"/>
            <w:hideMark/>
          </w:tcPr>
          <w:p w:rsidR="00311682" w:rsidRPr="00D30FE9" w14:paraId="762E4706" w14:textId="77777777">
            <w:pPr>
              <w:overflowPunct/>
              <w:autoSpaceDE/>
              <w:autoSpaceDN/>
              <w:adjustRightInd/>
              <w:textAlignment w:val="auto"/>
              <w:rPr>
                <w:color w:val="000000"/>
              </w:rPr>
            </w:pPr>
            <w:r w:rsidRPr="00D30FE9">
              <w:rPr>
                <w:color w:val="000000"/>
              </w:rPr>
              <w:t>This document describes the data and documentation required by HUD for a Tribe to challenge the Total Resident Service Area Indian Population (TRSAIP) data used in the Needs component of the IHBG formula.</w:t>
            </w:r>
          </w:p>
        </w:tc>
      </w:tr>
      <w:tr w14:paraId="0F633D8A" w14:textId="77777777">
        <w:tblPrEx>
          <w:tblW w:w="9625" w:type="dxa"/>
          <w:tblLook w:val="04A0"/>
        </w:tblPrEx>
        <w:trPr>
          <w:trHeight w:val="300"/>
        </w:trPr>
        <w:tc>
          <w:tcPr>
            <w:tcW w:w="9625" w:type="dxa"/>
            <w:gridSpan w:val="3"/>
            <w:shd w:val="clear" w:color="000000" w:fill="DAE9F8"/>
            <w:noWrap/>
            <w:vAlign w:val="center"/>
            <w:hideMark/>
          </w:tcPr>
          <w:p w:rsidR="00311682" w:rsidRPr="00D30FE9" w14:paraId="6E320128" w14:textId="77777777">
            <w:pPr>
              <w:overflowPunct/>
              <w:autoSpaceDE/>
              <w:autoSpaceDN/>
              <w:adjustRightInd/>
              <w:textAlignment w:val="auto"/>
              <w:rPr>
                <w:b/>
                <w:bCs/>
                <w:color w:val="000000"/>
              </w:rPr>
            </w:pPr>
            <w:r w:rsidRPr="00D30FE9">
              <w:rPr>
                <w:b/>
                <w:bCs/>
                <w:color w:val="000000"/>
              </w:rPr>
              <w:t>Authorized Investments</w:t>
            </w:r>
          </w:p>
        </w:tc>
      </w:tr>
      <w:tr w14:paraId="30AD8D38" w14:textId="77777777">
        <w:tblPrEx>
          <w:tblW w:w="9625" w:type="dxa"/>
          <w:tblLook w:val="04A0"/>
        </w:tblPrEx>
        <w:trPr>
          <w:trHeight w:val="1088"/>
        </w:trPr>
        <w:tc>
          <w:tcPr>
            <w:tcW w:w="436" w:type="dxa"/>
            <w:shd w:val="clear" w:color="auto" w:fill="auto"/>
            <w:noWrap/>
            <w:vAlign w:val="center"/>
            <w:hideMark/>
          </w:tcPr>
          <w:p w:rsidR="00311682" w:rsidRPr="00D30FE9" w14:paraId="6D3CA116" w14:textId="77777777">
            <w:pPr>
              <w:overflowPunct/>
              <w:autoSpaceDE/>
              <w:autoSpaceDN/>
              <w:adjustRightInd/>
              <w:jc w:val="center"/>
              <w:textAlignment w:val="auto"/>
              <w:rPr>
                <w:color w:val="000000"/>
              </w:rPr>
            </w:pPr>
            <w:r w:rsidRPr="00D30FE9">
              <w:rPr>
                <w:color w:val="000000"/>
              </w:rPr>
              <w:t>14</w:t>
            </w:r>
          </w:p>
        </w:tc>
        <w:tc>
          <w:tcPr>
            <w:tcW w:w="1904" w:type="dxa"/>
            <w:shd w:val="clear" w:color="auto" w:fill="auto"/>
            <w:vAlign w:val="center"/>
            <w:hideMark/>
          </w:tcPr>
          <w:p w:rsidR="00311682" w:rsidRPr="00D30FE9" w14:paraId="49FCAD8C" w14:textId="27DAFE1F">
            <w:pPr>
              <w:overflowPunct/>
              <w:autoSpaceDE/>
              <w:autoSpaceDN/>
              <w:adjustRightInd/>
              <w:textAlignment w:val="auto"/>
              <w:rPr>
                <w:color w:val="000000"/>
              </w:rPr>
            </w:pPr>
            <w:r w:rsidRPr="00D30FE9">
              <w:rPr>
                <w:color w:val="000000"/>
              </w:rPr>
              <w:t xml:space="preserve">Depository Agreement, Bank Accounts </w:t>
            </w:r>
            <w:r w:rsidRPr="00D30FE9">
              <w:rPr>
                <w:color w:val="000000"/>
              </w:rPr>
              <w:t xml:space="preserve">HUD–52736–A </w:t>
            </w:r>
          </w:p>
        </w:tc>
        <w:tc>
          <w:tcPr>
            <w:tcW w:w="7285" w:type="dxa"/>
            <w:shd w:val="clear" w:color="auto" w:fill="auto"/>
            <w:vAlign w:val="center"/>
            <w:hideMark/>
          </w:tcPr>
          <w:p w:rsidR="00311682" w:rsidRPr="00D30FE9" w14:paraId="7D9AA4B4" w14:textId="77777777">
            <w:pPr>
              <w:overflowPunct/>
              <w:autoSpaceDE/>
              <w:autoSpaceDN/>
              <w:adjustRightInd/>
              <w:textAlignment w:val="auto"/>
              <w:rPr>
                <w:color w:val="000000"/>
              </w:rPr>
            </w:pPr>
            <w:r w:rsidRPr="00D30FE9">
              <w:rPr>
                <w:color w:val="000000" w:themeColor="text1"/>
              </w:rPr>
              <w:t>This document is only used by IHBG grantees that HUD has authorized to invest IHBG funds. It describes the bank account depository and investment requirements and agreements between HUD and the federally or state recognized tribe or housing authority. This document requires the signature of the recipient of HUD funds.</w:t>
            </w:r>
          </w:p>
        </w:tc>
      </w:tr>
      <w:tr w14:paraId="56717B5A" w14:textId="77777777">
        <w:tblPrEx>
          <w:tblW w:w="9625" w:type="dxa"/>
          <w:tblLook w:val="04A0"/>
        </w:tblPrEx>
        <w:trPr>
          <w:trHeight w:val="1412"/>
        </w:trPr>
        <w:tc>
          <w:tcPr>
            <w:tcW w:w="436" w:type="dxa"/>
            <w:shd w:val="clear" w:color="auto" w:fill="auto"/>
            <w:noWrap/>
            <w:vAlign w:val="center"/>
            <w:hideMark/>
          </w:tcPr>
          <w:p w:rsidR="00311682" w:rsidRPr="00D30FE9" w14:paraId="0D0F72B1" w14:textId="77777777">
            <w:pPr>
              <w:overflowPunct/>
              <w:autoSpaceDE/>
              <w:autoSpaceDN/>
              <w:adjustRightInd/>
              <w:jc w:val="center"/>
              <w:textAlignment w:val="auto"/>
              <w:rPr>
                <w:color w:val="000000"/>
              </w:rPr>
            </w:pPr>
            <w:r w:rsidRPr="00D30FE9">
              <w:rPr>
                <w:color w:val="000000"/>
              </w:rPr>
              <w:t>15</w:t>
            </w:r>
          </w:p>
        </w:tc>
        <w:tc>
          <w:tcPr>
            <w:tcW w:w="1904" w:type="dxa"/>
            <w:shd w:val="clear" w:color="auto" w:fill="auto"/>
            <w:vAlign w:val="center"/>
            <w:hideMark/>
          </w:tcPr>
          <w:p w:rsidR="00311682" w:rsidRPr="00D30FE9" w14:paraId="24AF9F82" w14:textId="6B90856F">
            <w:pPr>
              <w:overflowPunct/>
              <w:autoSpaceDE/>
              <w:autoSpaceDN/>
              <w:adjustRightInd/>
              <w:textAlignment w:val="auto"/>
              <w:rPr>
                <w:color w:val="000000"/>
              </w:rPr>
            </w:pPr>
            <w:r w:rsidRPr="00D30FE9">
              <w:rPr>
                <w:color w:val="000000"/>
              </w:rPr>
              <w:t xml:space="preserve">Depository Agreement, Broker/Dealer </w:t>
            </w:r>
            <w:r w:rsidRPr="00D30FE9">
              <w:rPr>
                <w:color w:val="000000"/>
              </w:rPr>
              <w:t xml:space="preserve">HUD–52736–B </w:t>
            </w:r>
          </w:p>
        </w:tc>
        <w:tc>
          <w:tcPr>
            <w:tcW w:w="7285" w:type="dxa"/>
            <w:shd w:val="clear" w:color="auto" w:fill="auto"/>
            <w:vAlign w:val="center"/>
            <w:hideMark/>
          </w:tcPr>
          <w:p w:rsidR="00311682" w:rsidRPr="00D30FE9" w14:paraId="00870257" w14:textId="77777777">
            <w:pPr>
              <w:overflowPunct/>
              <w:autoSpaceDE/>
              <w:autoSpaceDN/>
              <w:adjustRightInd/>
              <w:textAlignment w:val="auto"/>
              <w:rPr>
                <w:color w:val="000000"/>
              </w:rPr>
            </w:pPr>
            <w:r w:rsidRPr="00D30FE9">
              <w:rPr>
                <w:color w:val="000000" w:themeColor="text1"/>
              </w:rPr>
              <w:t>This document is only used by IHBG grantees that HUD has authorized to invest IHBG funds. It describes the bank account depository and investment requirements and agreements between HUD and the federally or state recognized tribe or housing authority and the recipient’s broker/dealer. This document requires the signature of the broker/dealer.</w:t>
            </w:r>
          </w:p>
        </w:tc>
      </w:tr>
    </w:tbl>
    <w:p w:rsidR="00311682" w:rsidRPr="00B95846" w:rsidP="00311682" w14:paraId="5A960AEE" w14:textId="77777777">
      <w:pPr>
        <w:keepLines/>
        <w:tabs>
          <w:tab w:val="left" w:pos="360"/>
        </w:tabs>
        <w:spacing w:after="80"/>
        <w:rPr>
          <w:b/>
          <w:bCs/>
          <w:sz w:val="24"/>
          <w:szCs w:val="24"/>
        </w:rPr>
      </w:pPr>
    </w:p>
    <w:p w:rsidR="00311682" w:rsidRPr="00B95846" w:rsidP="00311682" w14:paraId="492E2C98" w14:textId="77777777">
      <w:pPr>
        <w:keepLines/>
        <w:tabs>
          <w:tab w:val="left" w:pos="360"/>
        </w:tabs>
        <w:spacing w:after="80"/>
        <w:rPr>
          <w:b/>
          <w:bCs/>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
        <w:gridCol w:w="2549"/>
        <w:gridCol w:w="6660"/>
      </w:tblGrid>
      <w:tr w14:paraId="20E53726" w14:textId="77777777">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625" w:type="dxa"/>
            <w:gridSpan w:val="3"/>
            <w:shd w:val="clear" w:color="000000" w:fill="A6C9EC"/>
            <w:noWrap/>
            <w:vAlign w:val="bottom"/>
            <w:hideMark/>
          </w:tcPr>
          <w:p w:rsidR="00311682" w:rsidRPr="00D30FE9" w14:paraId="0B719EC9" w14:textId="3AD5A0DB">
            <w:pPr>
              <w:overflowPunct/>
              <w:autoSpaceDE/>
              <w:autoSpaceDN/>
              <w:adjustRightInd/>
              <w:textAlignment w:val="auto"/>
              <w:rPr>
                <w:b/>
                <w:bCs/>
                <w:color w:val="000000"/>
              </w:rPr>
            </w:pPr>
            <w:r w:rsidRPr="00D30FE9">
              <w:rPr>
                <w:b/>
                <w:bCs/>
                <w:color w:val="000000"/>
              </w:rPr>
              <w:t>IHBG</w:t>
            </w:r>
            <w:r w:rsidRPr="00D30FE9" w:rsidR="00FD03A2">
              <w:rPr>
                <w:b/>
                <w:bCs/>
                <w:color w:val="000000"/>
              </w:rPr>
              <w:t>-Competitive</w:t>
            </w:r>
            <w:r w:rsidRPr="00D30FE9">
              <w:rPr>
                <w:b/>
                <w:bCs/>
                <w:color w:val="000000"/>
              </w:rPr>
              <w:t xml:space="preserve"> Forms</w:t>
            </w:r>
          </w:p>
        </w:tc>
      </w:tr>
      <w:tr w14:paraId="4551398F" w14:textId="77777777">
        <w:tblPrEx>
          <w:tblW w:w="9625" w:type="dxa"/>
          <w:tblLook w:val="04A0"/>
        </w:tblPrEx>
        <w:trPr>
          <w:trHeight w:val="300"/>
        </w:trPr>
        <w:tc>
          <w:tcPr>
            <w:tcW w:w="9625" w:type="dxa"/>
            <w:gridSpan w:val="3"/>
            <w:shd w:val="clear" w:color="000000" w:fill="DAE9F8"/>
            <w:noWrap/>
            <w:vAlign w:val="bottom"/>
            <w:hideMark/>
          </w:tcPr>
          <w:p w:rsidR="00311682" w:rsidRPr="00D30FE9" w14:paraId="14817424" w14:textId="77777777">
            <w:pPr>
              <w:overflowPunct/>
              <w:autoSpaceDE/>
              <w:autoSpaceDN/>
              <w:adjustRightInd/>
              <w:textAlignment w:val="auto"/>
              <w:rPr>
                <w:b/>
                <w:bCs/>
                <w:color w:val="000000"/>
              </w:rPr>
            </w:pPr>
            <w:r w:rsidRPr="00D30FE9">
              <w:rPr>
                <w:b/>
                <w:bCs/>
                <w:color w:val="000000"/>
              </w:rPr>
              <w:t>Pre-Award</w:t>
            </w:r>
          </w:p>
        </w:tc>
      </w:tr>
      <w:tr w14:paraId="06A239DF" w14:textId="77777777">
        <w:tblPrEx>
          <w:tblW w:w="9625" w:type="dxa"/>
          <w:tblLook w:val="04A0"/>
        </w:tblPrEx>
        <w:trPr>
          <w:trHeight w:val="600"/>
        </w:trPr>
        <w:tc>
          <w:tcPr>
            <w:tcW w:w="355" w:type="dxa"/>
            <w:shd w:val="clear" w:color="auto" w:fill="auto"/>
            <w:noWrap/>
            <w:vAlign w:val="bottom"/>
            <w:hideMark/>
          </w:tcPr>
          <w:p w:rsidR="00311682" w:rsidRPr="00D30FE9" w14:paraId="5819EA6E" w14:textId="77777777">
            <w:pPr>
              <w:overflowPunct/>
              <w:autoSpaceDE/>
              <w:autoSpaceDN/>
              <w:adjustRightInd/>
              <w:jc w:val="center"/>
              <w:textAlignment w:val="auto"/>
              <w:rPr>
                <w:color w:val="000000"/>
              </w:rPr>
            </w:pPr>
            <w:r w:rsidRPr="00D30FE9">
              <w:rPr>
                <w:color w:val="000000"/>
              </w:rPr>
              <w:t>1</w:t>
            </w:r>
          </w:p>
        </w:tc>
        <w:tc>
          <w:tcPr>
            <w:tcW w:w="2610" w:type="dxa"/>
            <w:shd w:val="clear" w:color="auto" w:fill="auto"/>
            <w:vAlign w:val="bottom"/>
            <w:hideMark/>
          </w:tcPr>
          <w:p w:rsidR="00311682" w:rsidRPr="00D30FE9" w14:paraId="754362BD" w14:textId="25DAD198">
            <w:pPr>
              <w:overflowPunct/>
              <w:autoSpaceDE/>
              <w:autoSpaceDN/>
              <w:adjustRightInd/>
              <w:textAlignment w:val="auto"/>
              <w:rPr>
                <w:color w:val="000000"/>
              </w:rPr>
            </w:pPr>
            <w:r w:rsidRPr="00D30FE9">
              <w:rPr>
                <w:color w:val="000000"/>
              </w:rPr>
              <w:t xml:space="preserve">Application for Federal Assistance </w:t>
            </w:r>
            <w:r w:rsidRPr="00D30FE9">
              <w:rPr>
                <w:color w:val="000000"/>
              </w:rPr>
              <w:t>SF-424</w:t>
            </w:r>
          </w:p>
        </w:tc>
        <w:tc>
          <w:tcPr>
            <w:tcW w:w="6660" w:type="dxa"/>
            <w:shd w:val="clear" w:color="auto" w:fill="auto"/>
            <w:noWrap/>
            <w:vAlign w:val="bottom"/>
            <w:hideMark/>
          </w:tcPr>
          <w:p w:rsidR="00311682" w:rsidRPr="00D30FE9" w14:paraId="352FD244" w14:textId="08A2943E">
            <w:pPr>
              <w:overflowPunct/>
              <w:autoSpaceDE/>
              <w:autoSpaceDN/>
              <w:adjustRightInd/>
              <w:textAlignment w:val="auto"/>
              <w:rPr>
                <w:color w:val="000000"/>
              </w:rPr>
            </w:pPr>
            <w:r w:rsidRPr="00D30FE9">
              <w:rPr>
                <w:color w:val="000000"/>
              </w:rPr>
              <w:t xml:space="preserve">HUD-wide </w:t>
            </w:r>
            <w:r w:rsidRPr="00D30FE9" w:rsidR="00EC2B23">
              <w:rPr>
                <w:color w:val="000000"/>
              </w:rPr>
              <w:t xml:space="preserve">requirement for competitive </w:t>
            </w:r>
            <w:r w:rsidRPr="00D30FE9">
              <w:rPr>
                <w:color w:val="000000"/>
              </w:rPr>
              <w:t>application</w:t>
            </w:r>
            <w:r w:rsidRPr="00D30FE9" w:rsidR="00EC2B23">
              <w:rPr>
                <w:color w:val="000000"/>
              </w:rPr>
              <w:t>s</w:t>
            </w:r>
            <w:r w:rsidRPr="00D30FE9">
              <w:rPr>
                <w:color w:val="000000"/>
              </w:rPr>
              <w:t xml:space="preserve">. </w:t>
            </w:r>
          </w:p>
        </w:tc>
      </w:tr>
      <w:tr w14:paraId="0213C1D2" w14:textId="77777777">
        <w:tblPrEx>
          <w:tblW w:w="9625" w:type="dxa"/>
          <w:tblLook w:val="04A0"/>
        </w:tblPrEx>
        <w:trPr>
          <w:trHeight w:val="600"/>
        </w:trPr>
        <w:tc>
          <w:tcPr>
            <w:tcW w:w="355" w:type="dxa"/>
            <w:shd w:val="clear" w:color="auto" w:fill="auto"/>
            <w:noWrap/>
            <w:vAlign w:val="bottom"/>
            <w:hideMark/>
          </w:tcPr>
          <w:p w:rsidR="00311682" w:rsidRPr="00D30FE9" w14:paraId="1892D836" w14:textId="77777777">
            <w:pPr>
              <w:overflowPunct/>
              <w:autoSpaceDE/>
              <w:autoSpaceDN/>
              <w:adjustRightInd/>
              <w:jc w:val="center"/>
              <w:textAlignment w:val="auto"/>
              <w:rPr>
                <w:color w:val="000000"/>
              </w:rPr>
            </w:pPr>
            <w:r w:rsidRPr="00D30FE9">
              <w:rPr>
                <w:color w:val="000000"/>
              </w:rPr>
              <w:t>2</w:t>
            </w:r>
          </w:p>
        </w:tc>
        <w:tc>
          <w:tcPr>
            <w:tcW w:w="2610" w:type="dxa"/>
            <w:shd w:val="clear" w:color="auto" w:fill="auto"/>
            <w:vAlign w:val="bottom"/>
            <w:hideMark/>
          </w:tcPr>
          <w:p w:rsidR="00311682" w:rsidRPr="00D30FE9" w14:paraId="547D4BEF" w14:textId="2AF1320F">
            <w:pPr>
              <w:overflowPunct/>
              <w:autoSpaceDE/>
              <w:autoSpaceDN/>
              <w:adjustRightInd/>
              <w:textAlignment w:val="auto"/>
              <w:rPr>
                <w:color w:val="000000"/>
              </w:rPr>
            </w:pPr>
            <w:r w:rsidRPr="00D30FE9">
              <w:rPr>
                <w:color w:val="000000"/>
              </w:rPr>
              <w:t xml:space="preserve">Assurances for Construction Programs </w:t>
            </w:r>
            <w:r w:rsidRPr="00D30FE9">
              <w:rPr>
                <w:color w:val="000000"/>
              </w:rPr>
              <w:t>SF-424D</w:t>
            </w:r>
          </w:p>
        </w:tc>
        <w:tc>
          <w:tcPr>
            <w:tcW w:w="6660" w:type="dxa"/>
            <w:shd w:val="clear" w:color="auto" w:fill="auto"/>
            <w:noWrap/>
            <w:vAlign w:val="bottom"/>
            <w:hideMark/>
          </w:tcPr>
          <w:p w:rsidR="00311682" w:rsidRPr="00D30FE9" w14:paraId="65D6F221" w14:textId="77777777">
            <w:pPr>
              <w:overflowPunct/>
              <w:autoSpaceDE/>
              <w:autoSpaceDN/>
              <w:adjustRightInd/>
              <w:textAlignment w:val="auto"/>
              <w:rPr>
                <w:color w:val="000000"/>
              </w:rPr>
            </w:pPr>
            <w:r w:rsidRPr="00D30FE9">
              <w:rPr>
                <w:color w:val="000000"/>
              </w:rPr>
              <w:t xml:space="preserve">Required with applications for construction related NOFOs. </w:t>
            </w:r>
          </w:p>
        </w:tc>
      </w:tr>
      <w:tr w14:paraId="6D0D201C" w14:textId="77777777">
        <w:tblPrEx>
          <w:tblW w:w="9625" w:type="dxa"/>
          <w:tblLook w:val="04A0"/>
        </w:tblPrEx>
        <w:trPr>
          <w:trHeight w:val="600"/>
        </w:trPr>
        <w:tc>
          <w:tcPr>
            <w:tcW w:w="355" w:type="dxa"/>
            <w:shd w:val="clear" w:color="auto" w:fill="auto"/>
            <w:noWrap/>
            <w:vAlign w:val="bottom"/>
            <w:hideMark/>
          </w:tcPr>
          <w:p w:rsidR="00311682" w:rsidRPr="00D30FE9" w14:paraId="4AFF42FF" w14:textId="77777777">
            <w:pPr>
              <w:overflowPunct/>
              <w:autoSpaceDE/>
              <w:autoSpaceDN/>
              <w:adjustRightInd/>
              <w:jc w:val="center"/>
              <w:textAlignment w:val="auto"/>
              <w:rPr>
                <w:color w:val="000000"/>
              </w:rPr>
            </w:pPr>
            <w:r w:rsidRPr="00D30FE9">
              <w:rPr>
                <w:color w:val="000000"/>
              </w:rPr>
              <w:t>3</w:t>
            </w:r>
          </w:p>
        </w:tc>
        <w:tc>
          <w:tcPr>
            <w:tcW w:w="2610" w:type="dxa"/>
            <w:shd w:val="clear" w:color="auto" w:fill="auto"/>
            <w:vAlign w:val="bottom"/>
            <w:hideMark/>
          </w:tcPr>
          <w:p w:rsidR="00311682" w:rsidRPr="00D30FE9" w14:paraId="3DBA02D6" w14:textId="3C21C285">
            <w:pPr>
              <w:overflowPunct/>
              <w:autoSpaceDE/>
              <w:autoSpaceDN/>
              <w:adjustRightInd/>
              <w:textAlignment w:val="auto"/>
              <w:rPr>
                <w:color w:val="000000"/>
              </w:rPr>
            </w:pPr>
            <w:r w:rsidRPr="00D30FE9">
              <w:rPr>
                <w:color w:val="000000"/>
              </w:rPr>
              <w:t xml:space="preserve">Applicant Disclosure Report </w:t>
            </w:r>
            <w:r w:rsidRPr="00D30FE9">
              <w:rPr>
                <w:color w:val="000000"/>
              </w:rPr>
              <w:t>HUD-2880</w:t>
            </w:r>
          </w:p>
        </w:tc>
        <w:tc>
          <w:tcPr>
            <w:tcW w:w="6660" w:type="dxa"/>
            <w:shd w:val="clear" w:color="auto" w:fill="auto"/>
            <w:noWrap/>
            <w:vAlign w:val="bottom"/>
            <w:hideMark/>
          </w:tcPr>
          <w:p w:rsidR="00311682" w:rsidRPr="00D30FE9" w14:paraId="240BA030" w14:textId="77777777">
            <w:pPr>
              <w:overflowPunct/>
              <w:autoSpaceDE/>
              <w:autoSpaceDN/>
              <w:adjustRightInd/>
              <w:textAlignment w:val="auto"/>
              <w:rPr>
                <w:color w:val="000000"/>
              </w:rPr>
            </w:pPr>
            <w:r w:rsidRPr="00D30FE9">
              <w:rPr>
                <w:color w:val="000000"/>
              </w:rPr>
              <w:t xml:space="preserve">HUD-wide NOFO application requirement. </w:t>
            </w:r>
          </w:p>
        </w:tc>
      </w:tr>
      <w:tr w14:paraId="342AB3F7" w14:textId="77777777">
        <w:tblPrEx>
          <w:tblW w:w="9625" w:type="dxa"/>
          <w:tblLook w:val="04A0"/>
        </w:tblPrEx>
        <w:trPr>
          <w:trHeight w:val="600"/>
        </w:trPr>
        <w:tc>
          <w:tcPr>
            <w:tcW w:w="355" w:type="dxa"/>
            <w:shd w:val="clear" w:color="auto" w:fill="auto"/>
            <w:noWrap/>
            <w:vAlign w:val="bottom"/>
          </w:tcPr>
          <w:p w:rsidR="00FD03A2" w:rsidRPr="00D30FE9" w14:paraId="394D095F" w14:textId="635ABB62">
            <w:pPr>
              <w:overflowPunct/>
              <w:autoSpaceDE/>
              <w:autoSpaceDN/>
              <w:adjustRightInd/>
              <w:jc w:val="center"/>
              <w:textAlignment w:val="auto"/>
              <w:rPr>
                <w:color w:val="000000"/>
              </w:rPr>
            </w:pPr>
            <w:r w:rsidRPr="00D30FE9">
              <w:rPr>
                <w:color w:val="000000"/>
              </w:rPr>
              <w:t>4</w:t>
            </w:r>
          </w:p>
        </w:tc>
        <w:tc>
          <w:tcPr>
            <w:tcW w:w="2610" w:type="dxa"/>
            <w:shd w:val="clear" w:color="auto" w:fill="auto"/>
            <w:vAlign w:val="bottom"/>
          </w:tcPr>
          <w:p w:rsidR="00FD03A2" w:rsidRPr="00D30FE9" w14:paraId="5B6D4313" w14:textId="606A045C">
            <w:pPr>
              <w:overflowPunct/>
              <w:autoSpaceDE/>
              <w:autoSpaceDN/>
              <w:adjustRightInd/>
              <w:textAlignment w:val="auto"/>
              <w:rPr>
                <w:color w:val="000000"/>
              </w:rPr>
            </w:pPr>
            <w:r w:rsidRPr="00D30FE9">
              <w:rPr>
                <w:color w:val="000000"/>
              </w:rPr>
              <w:t xml:space="preserve">HUD Applicant/Recipient Assurances and Certifications </w:t>
            </w:r>
            <w:r w:rsidRPr="00D30FE9">
              <w:rPr>
                <w:color w:val="000000"/>
              </w:rPr>
              <w:t>HUD-424</w:t>
            </w:r>
          </w:p>
        </w:tc>
        <w:tc>
          <w:tcPr>
            <w:tcW w:w="6660" w:type="dxa"/>
            <w:shd w:val="clear" w:color="auto" w:fill="auto"/>
            <w:noWrap/>
            <w:vAlign w:val="bottom"/>
          </w:tcPr>
          <w:p w:rsidR="00FD03A2" w:rsidRPr="00D30FE9" w14:paraId="09B30746" w14:textId="27E819DC">
            <w:pPr>
              <w:overflowPunct/>
              <w:autoSpaceDE/>
              <w:autoSpaceDN/>
              <w:adjustRightInd/>
              <w:textAlignment w:val="auto"/>
              <w:rPr>
                <w:color w:val="000000"/>
              </w:rPr>
            </w:pPr>
            <w:r w:rsidRPr="00D30FE9">
              <w:rPr>
                <w:color w:val="000000"/>
              </w:rPr>
              <w:t>HUD-wide NOFO application requirement.</w:t>
            </w:r>
          </w:p>
        </w:tc>
      </w:tr>
      <w:tr w14:paraId="3B874493" w14:textId="77777777" w:rsidTr="00D30FE9">
        <w:tblPrEx>
          <w:tblW w:w="9625" w:type="dxa"/>
          <w:tblLook w:val="04A0"/>
        </w:tblPrEx>
        <w:trPr>
          <w:trHeight w:val="737"/>
        </w:trPr>
        <w:tc>
          <w:tcPr>
            <w:tcW w:w="355" w:type="dxa"/>
            <w:shd w:val="clear" w:color="auto" w:fill="auto"/>
            <w:noWrap/>
            <w:vAlign w:val="bottom"/>
            <w:hideMark/>
          </w:tcPr>
          <w:p w:rsidR="00311682" w:rsidRPr="00D30FE9" w14:paraId="2B95C7BC" w14:textId="601DC25F">
            <w:pPr>
              <w:overflowPunct/>
              <w:autoSpaceDE/>
              <w:autoSpaceDN/>
              <w:adjustRightInd/>
              <w:jc w:val="center"/>
              <w:textAlignment w:val="auto"/>
              <w:rPr>
                <w:color w:val="000000"/>
              </w:rPr>
            </w:pPr>
            <w:r w:rsidRPr="00D30FE9">
              <w:rPr>
                <w:color w:val="000000"/>
              </w:rPr>
              <w:t>5</w:t>
            </w:r>
          </w:p>
        </w:tc>
        <w:tc>
          <w:tcPr>
            <w:tcW w:w="2610" w:type="dxa"/>
            <w:shd w:val="clear" w:color="auto" w:fill="auto"/>
            <w:vAlign w:val="bottom"/>
            <w:hideMark/>
          </w:tcPr>
          <w:p w:rsidR="00311682" w:rsidRPr="00D30FE9" w14:paraId="2C1C50FD" w14:textId="0FF748C4">
            <w:pPr>
              <w:overflowPunct/>
              <w:autoSpaceDE/>
              <w:autoSpaceDN/>
              <w:adjustRightInd/>
              <w:textAlignment w:val="auto"/>
              <w:rPr>
                <w:color w:val="000000"/>
              </w:rPr>
            </w:pPr>
            <w:r w:rsidRPr="00D30FE9">
              <w:rPr>
                <w:color w:val="000000"/>
              </w:rPr>
              <w:t xml:space="preserve">Cost Summary </w:t>
            </w:r>
            <w:r w:rsidRPr="00D30FE9">
              <w:rPr>
                <w:color w:val="000000"/>
              </w:rPr>
              <w:t>HUD-4123</w:t>
            </w:r>
          </w:p>
        </w:tc>
        <w:tc>
          <w:tcPr>
            <w:tcW w:w="6660" w:type="dxa"/>
            <w:shd w:val="clear" w:color="auto" w:fill="auto"/>
            <w:vAlign w:val="center"/>
            <w:hideMark/>
          </w:tcPr>
          <w:p w:rsidR="00311682" w:rsidRPr="00D30FE9" w14:paraId="555BBDA5" w14:textId="77777777">
            <w:pPr>
              <w:overflowPunct/>
              <w:autoSpaceDE/>
              <w:autoSpaceDN/>
              <w:adjustRightInd/>
              <w:textAlignment w:val="auto"/>
              <w:rPr>
                <w:color w:val="000000"/>
              </w:rPr>
            </w:pPr>
            <w:r w:rsidRPr="00D30FE9">
              <w:rPr>
                <w:color w:val="000000"/>
              </w:rPr>
              <w:t xml:space="preserve">This form is used by applicants to provide budget cost information including activity costs, administration, planning, and total resources that will be committed to the project, including resources from both Federal and non-Federal sources. It is assessed by HUD during application review and scoring. </w:t>
            </w:r>
          </w:p>
        </w:tc>
      </w:tr>
      <w:tr w14:paraId="1188E45C" w14:textId="77777777" w:rsidTr="00D30FE9">
        <w:tblPrEx>
          <w:tblW w:w="9625" w:type="dxa"/>
          <w:tblLook w:val="04A0"/>
        </w:tblPrEx>
        <w:trPr>
          <w:trHeight w:val="791"/>
        </w:trPr>
        <w:tc>
          <w:tcPr>
            <w:tcW w:w="355" w:type="dxa"/>
            <w:shd w:val="clear" w:color="auto" w:fill="auto"/>
            <w:noWrap/>
            <w:vAlign w:val="bottom"/>
            <w:hideMark/>
          </w:tcPr>
          <w:p w:rsidR="00311682" w:rsidRPr="00D30FE9" w14:paraId="4F5E88E1" w14:textId="70B6AB06">
            <w:pPr>
              <w:overflowPunct/>
              <w:autoSpaceDE/>
              <w:autoSpaceDN/>
              <w:adjustRightInd/>
              <w:jc w:val="center"/>
              <w:textAlignment w:val="auto"/>
              <w:rPr>
                <w:color w:val="000000"/>
              </w:rPr>
            </w:pPr>
            <w:r w:rsidRPr="00D30FE9">
              <w:rPr>
                <w:color w:val="000000"/>
              </w:rPr>
              <w:t>6</w:t>
            </w:r>
          </w:p>
        </w:tc>
        <w:tc>
          <w:tcPr>
            <w:tcW w:w="2610" w:type="dxa"/>
            <w:shd w:val="clear" w:color="auto" w:fill="auto"/>
            <w:vAlign w:val="bottom"/>
            <w:hideMark/>
          </w:tcPr>
          <w:p w:rsidR="00311682" w:rsidRPr="00D30FE9" w14:paraId="78B5F288" w14:textId="12A799DF">
            <w:pPr>
              <w:overflowPunct/>
              <w:autoSpaceDE/>
              <w:autoSpaceDN/>
              <w:adjustRightInd/>
              <w:textAlignment w:val="auto"/>
              <w:rPr>
                <w:color w:val="000000"/>
              </w:rPr>
            </w:pPr>
            <w:r w:rsidRPr="00D30FE9">
              <w:rPr>
                <w:color w:val="000000"/>
              </w:rPr>
              <w:t xml:space="preserve">Implementation Schedule </w:t>
            </w:r>
            <w:r w:rsidRPr="00D30FE9">
              <w:rPr>
                <w:color w:val="000000"/>
              </w:rPr>
              <w:t>HUD 4125</w:t>
            </w:r>
          </w:p>
        </w:tc>
        <w:tc>
          <w:tcPr>
            <w:tcW w:w="6660" w:type="dxa"/>
            <w:shd w:val="clear" w:color="auto" w:fill="auto"/>
            <w:vAlign w:val="bottom"/>
            <w:hideMark/>
          </w:tcPr>
          <w:p w:rsidR="00311682" w:rsidRPr="00D30FE9" w14:paraId="77264097" w14:textId="77777777">
            <w:pPr>
              <w:overflowPunct/>
              <w:autoSpaceDE/>
              <w:autoSpaceDN/>
              <w:adjustRightInd/>
              <w:textAlignment w:val="auto"/>
              <w:rPr>
                <w:color w:val="000000"/>
              </w:rPr>
            </w:pPr>
            <w:r w:rsidRPr="00D30FE9">
              <w:rPr>
                <w:color w:val="000000"/>
              </w:rPr>
              <w:t xml:space="preserve">This form is used by applicants to provide the tasks, phases, and milestones throughout a project timeline. It is assessed by HUD during application review and scoring. </w:t>
            </w:r>
          </w:p>
        </w:tc>
      </w:tr>
      <w:tr w14:paraId="3BF26962" w14:textId="77777777">
        <w:tblPrEx>
          <w:tblW w:w="9625" w:type="dxa"/>
          <w:tblLook w:val="04A0"/>
        </w:tblPrEx>
        <w:trPr>
          <w:trHeight w:val="900"/>
        </w:trPr>
        <w:tc>
          <w:tcPr>
            <w:tcW w:w="355" w:type="dxa"/>
            <w:shd w:val="clear" w:color="auto" w:fill="auto"/>
            <w:noWrap/>
            <w:vAlign w:val="center"/>
            <w:hideMark/>
          </w:tcPr>
          <w:p w:rsidR="00311682" w:rsidRPr="00D30FE9" w14:paraId="4BAD4881" w14:textId="2ACBF054">
            <w:pPr>
              <w:overflowPunct/>
              <w:autoSpaceDE/>
              <w:autoSpaceDN/>
              <w:adjustRightInd/>
              <w:jc w:val="center"/>
              <w:textAlignment w:val="auto"/>
              <w:rPr>
                <w:color w:val="000000"/>
              </w:rPr>
            </w:pPr>
            <w:r w:rsidRPr="00D30FE9">
              <w:rPr>
                <w:color w:val="000000"/>
              </w:rPr>
              <w:t>7</w:t>
            </w:r>
          </w:p>
        </w:tc>
        <w:tc>
          <w:tcPr>
            <w:tcW w:w="2610" w:type="dxa"/>
            <w:shd w:val="clear" w:color="auto" w:fill="auto"/>
            <w:vAlign w:val="center"/>
            <w:hideMark/>
          </w:tcPr>
          <w:p w:rsidR="00311682" w:rsidRPr="00D30FE9" w14:paraId="51C367B6" w14:textId="77777777">
            <w:pPr>
              <w:overflowPunct/>
              <w:autoSpaceDE/>
              <w:autoSpaceDN/>
              <w:adjustRightInd/>
              <w:textAlignment w:val="auto"/>
              <w:rPr>
                <w:i/>
                <w:iCs/>
                <w:color w:val="000000"/>
              </w:rPr>
            </w:pPr>
            <w:r w:rsidRPr="00D30FE9">
              <w:rPr>
                <w:i/>
                <w:iCs/>
                <w:color w:val="000000"/>
              </w:rPr>
              <w:t xml:space="preserve">HUD–53246: </w:t>
            </w:r>
            <w:r w:rsidRPr="00D30FE9">
              <w:rPr>
                <w:b/>
                <w:bCs/>
                <w:i/>
                <w:iCs/>
                <w:color w:val="000000"/>
              </w:rPr>
              <w:t>Obsolete</w:t>
            </w:r>
          </w:p>
        </w:tc>
        <w:tc>
          <w:tcPr>
            <w:tcW w:w="6660" w:type="dxa"/>
            <w:shd w:val="clear" w:color="auto" w:fill="auto"/>
            <w:vAlign w:val="center"/>
            <w:hideMark/>
          </w:tcPr>
          <w:p w:rsidR="00311682" w:rsidRPr="00D30FE9" w14:paraId="506E8BB4" w14:textId="77777777">
            <w:pPr>
              <w:overflowPunct/>
              <w:autoSpaceDE/>
              <w:autoSpaceDN/>
              <w:adjustRightInd/>
              <w:textAlignment w:val="auto"/>
              <w:rPr>
                <w:color w:val="000000"/>
              </w:rPr>
            </w:pPr>
            <w:bookmarkStart w:id="0" w:name="RANGE!C33"/>
            <w:r w:rsidRPr="00D30FE9">
              <w:rPr>
                <w:color w:val="000000"/>
              </w:rPr>
              <w:t xml:space="preserve">HUD-53246 will no longer be part of the collection and </w:t>
            </w:r>
            <w:r w:rsidRPr="00D30FE9">
              <w:rPr>
                <w:color w:val="000000"/>
              </w:rPr>
              <w:t>is</w:t>
            </w:r>
            <w:r w:rsidRPr="00D30FE9">
              <w:rPr>
                <w:color w:val="000000"/>
              </w:rPr>
              <w:t xml:space="preserve"> being replaced by Form HUD-4123 (OMB no: 2501-0044) to accommodate similar reporting requirements for both the IHBG Comp and ICDBG programs. </w:t>
            </w:r>
            <w:bookmarkEnd w:id="0"/>
          </w:p>
        </w:tc>
      </w:tr>
      <w:tr w14:paraId="7D4322E2" w14:textId="77777777">
        <w:tblPrEx>
          <w:tblW w:w="9625" w:type="dxa"/>
          <w:tblLook w:val="04A0"/>
        </w:tblPrEx>
        <w:trPr>
          <w:trHeight w:val="900"/>
        </w:trPr>
        <w:tc>
          <w:tcPr>
            <w:tcW w:w="355" w:type="dxa"/>
            <w:shd w:val="clear" w:color="auto" w:fill="auto"/>
            <w:noWrap/>
            <w:vAlign w:val="center"/>
            <w:hideMark/>
          </w:tcPr>
          <w:p w:rsidR="00311682" w:rsidRPr="00D30FE9" w14:paraId="5DC1AB24" w14:textId="6CCF96C3">
            <w:pPr>
              <w:overflowPunct/>
              <w:autoSpaceDE/>
              <w:autoSpaceDN/>
              <w:adjustRightInd/>
              <w:jc w:val="center"/>
              <w:textAlignment w:val="auto"/>
              <w:rPr>
                <w:color w:val="000000"/>
              </w:rPr>
            </w:pPr>
            <w:r w:rsidRPr="00D30FE9">
              <w:rPr>
                <w:color w:val="000000"/>
              </w:rPr>
              <w:t>8</w:t>
            </w:r>
          </w:p>
        </w:tc>
        <w:tc>
          <w:tcPr>
            <w:tcW w:w="2610" w:type="dxa"/>
            <w:shd w:val="clear" w:color="auto" w:fill="auto"/>
            <w:vAlign w:val="center"/>
            <w:hideMark/>
          </w:tcPr>
          <w:p w:rsidR="00311682" w:rsidRPr="00D30FE9" w14:paraId="69CF7C69" w14:textId="77777777">
            <w:pPr>
              <w:overflowPunct/>
              <w:autoSpaceDE/>
              <w:autoSpaceDN/>
              <w:adjustRightInd/>
              <w:textAlignment w:val="auto"/>
              <w:rPr>
                <w:i/>
                <w:iCs/>
                <w:color w:val="000000"/>
              </w:rPr>
            </w:pPr>
            <w:r w:rsidRPr="00D30FE9">
              <w:rPr>
                <w:i/>
                <w:iCs/>
                <w:color w:val="000000"/>
              </w:rPr>
              <w:t xml:space="preserve">HUD-53247: </w:t>
            </w:r>
            <w:r w:rsidRPr="00D30FE9">
              <w:rPr>
                <w:b/>
                <w:bCs/>
                <w:i/>
                <w:iCs/>
                <w:color w:val="000000"/>
              </w:rPr>
              <w:t>Obsolete</w:t>
            </w:r>
          </w:p>
        </w:tc>
        <w:tc>
          <w:tcPr>
            <w:tcW w:w="6660" w:type="dxa"/>
            <w:shd w:val="clear" w:color="auto" w:fill="auto"/>
            <w:vAlign w:val="center"/>
            <w:hideMark/>
          </w:tcPr>
          <w:p w:rsidR="00311682" w:rsidRPr="00D30FE9" w14:paraId="57E4BD68" w14:textId="77777777">
            <w:pPr>
              <w:overflowPunct/>
              <w:autoSpaceDE/>
              <w:autoSpaceDN/>
              <w:adjustRightInd/>
              <w:textAlignment w:val="auto"/>
              <w:rPr>
                <w:color w:val="000000"/>
              </w:rPr>
            </w:pPr>
            <w:bookmarkStart w:id="1" w:name="RANGE!C34"/>
            <w:r w:rsidRPr="00D30FE9">
              <w:rPr>
                <w:color w:val="000000"/>
              </w:rPr>
              <w:t xml:space="preserve"> HUD-53247 will no longer be part of the collection and is being replaced by Form HUD-4125 (OMB no: 2501-0044) to accommodate similar reporting requirements for both the IHBG Comp and ICDBG programs. </w:t>
            </w:r>
            <w:bookmarkEnd w:id="1"/>
          </w:p>
        </w:tc>
      </w:tr>
      <w:tr w14:paraId="35FFEFCF" w14:textId="77777777">
        <w:tblPrEx>
          <w:tblW w:w="9625" w:type="dxa"/>
          <w:tblLook w:val="04A0"/>
        </w:tblPrEx>
        <w:trPr>
          <w:trHeight w:val="300"/>
        </w:trPr>
        <w:tc>
          <w:tcPr>
            <w:tcW w:w="9625" w:type="dxa"/>
            <w:gridSpan w:val="3"/>
            <w:shd w:val="clear" w:color="000000" w:fill="DAE9F8"/>
            <w:noWrap/>
            <w:vAlign w:val="bottom"/>
            <w:hideMark/>
          </w:tcPr>
          <w:p w:rsidR="00311682" w:rsidRPr="00D30FE9" w14:paraId="139E2BB8" w14:textId="77777777">
            <w:pPr>
              <w:overflowPunct/>
              <w:autoSpaceDE/>
              <w:autoSpaceDN/>
              <w:adjustRightInd/>
              <w:textAlignment w:val="auto"/>
              <w:rPr>
                <w:color w:val="000000"/>
              </w:rPr>
            </w:pPr>
            <w:r w:rsidRPr="00D30FE9">
              <w:rPr>
                <w:b/>
                <w:bCs/>
                <w:color w:val="000000"/>
              </w:rPr>
              <w:t>Post-Award</w:t>
            </w:r>
            <w:r w:rsidRPr="00D30FE9">
              <w:rPr>
                <w:color w:val="000000"/>
              </w:rPr>
              <w:t> </w:t>
            </w:r>
          </w:p>
        </w:tc>
      </w:tr>
      <w:tr w14:paraId="4EB84C4D" w14:textId="77777777">
        <w:tblPrEx>
          <w:tblW w:w="9625" w:type="dxa"/>
          <w:tblLook w:val="04A0"/>
        </w:tblPrEx>
        <w:trPr>
          <w:trHeight w:val="300"/>
        </w:trPr>
        <w:tc>
          <w:tcPr>
            <w:tcW w:w="355" w:type="dxa"/>
            <w:shd w:val="clear" w:color="auto" w:fill="auto"/>
            <w:noWrap/>
            <w:vAlign w:val="bottom"/>
            <w:hideMark/>
          </w:tcPr>
          <w:p w:rsidR="00311682" w:rsidRPr="00D30FE9" w14:paraId="369FBA5B" w14:textId="72D7A548">
            <w:pPr>
              <w:overflowPunct/>
              <w:autoSpaceDE/>
              <w:autoSpaceDN/>
              <w:adjustRightInd/>
              <w:jc w:val="center"/>
              <w:textAlignment w:val="auto"/>
              <w:rPr>
                <w:color w:val="000000"/>
              </w:rPr>
            </w:pPr>
            <w:r w:rsidRPr="00D30FE9">
              <w:rPr>
                <w:color w:val="000000"/>
              </w:rPr>
              <w:t>9</w:t>
            </w:r>
          </w:p>
        </w:tc>
        <w:tc>
          <w:tcPr>
            <w:tcW w:w="2610" w:type="dxa"/>
            <w:shd w:val="clear" w:color="auto" w:fill="auto"/>
            <w:vAlign w:val="bottom"/>
            <w:hideMark/>
          </w:tcPr>
          <w:p w:rsidR="00311682" w:rsidRPr="00D30FE9" w14:paraId="28BD0CF4" w14:textId="77777777">
            <w:pPr>
              <w:overflowPunct/>
              <w:autoSpaceDE/>
              <w:autoSpaceDN/>
              <w:adjustRightInd/>
              <w:textAlignment w:val="auto"/>
              <w:rPr>
                <w:color w:val="000000"/>
              </w:rPr>
            </w:pPr>
            <w:r w:rsidRPr="00D30FE9">
              <w:rPr>
                <w:color w:val="000000"/>
              </w:rPr>
              <w:t>SF-425</w:t>
            </w:r>
          </w:p>
        </w:tc>
        <w:tc>
          <w:tcPr>
            <w:tcW w:w="6660" w:type="dxa"/>
            <w:shd w:val="clear" w:color="auto" w:fill="auto"/>
            <w:noWrap/>
            <w:vAlign w:val="bottom"/>
            <w:hideMark/>
          </w:tcPr>
          <w:p w:rsidR="00311682" w:rsidRPr="00D30FE9" w14:paraId="77A6A296" w14:textId="2D62CAC1">
            <w:pPr>
              <w:overflowPunct/>
              <w:autoSpaceDE/>
              <w:autoSpaceDN/>
              <w:adjustRightInd/>
              <w:textAlignment w:val="auto"/>
              <w:rPr>
                <w:color w:val="000000"/>
              </w:rPr>
            </w:pPr>
            <w:r w:rsidRPr="00D30FE9">
              <w:rPr>
                <w:color w:val="000000"/>
              </w:rPr>
              <w:t>Federal Financial Report: Required for all Federal Grants</w:t>
            </w:r>
            <w:r w:rsidRPr="00D30FE9" w:rsidR="00926B82">
              <w:rPr>
                <w:color w:val="000000"/>
              </w:rPr>
              <w:t>.</w:t>
            </w:r>
          </w:p>
        </w:tc>
      </w:tr>
      <w:tr w14:paraId="4B1328E5" w14:textId="77777777" w:rsidTr="00D30FE9">
        <w:tblPrEx>
          <w:tblW w:w="9625" w:type="dxa"/>
          <w:tblLook w:val="04A0"/>
        </w:tblPrEx>
        <w:trPr>
          <w:trHeight w:val="620"/>
        </w:trPr>
        <w:tc>
          <w:tcPr>
            <w:tcW w:w="355" w:type="dxa"/>
            <w:shd w:val="clear" w:color="auto" w:fill="auto"/>
            <w:noWrap/>
            <w:vAlign w:val="center"/>
            <w:hideMark/>
          </w:tcPr>
          <w:p w:rsidR="00311682" w:rsidRPr="00D30FE9" w14:paraId="0F5410E6" w14:textId="55ECB178">
            <w:pPr>
              <w:overflowPunct/>
              <w:autoSpaceDE/>
              <w:autoSpaceDN/>
              <w:adjustRightInd/>
              <w:jc w:val="center"/>
              <w:textAlignment w:val="auto"/>
              <w:rPr>
                <w:color w:val="000000"/>
              </w:rPr>
            </w:pPr>
            <w:r w:rsidRPr="00D30FE9">
              <w:rPr>
                <w:color w:val="000000"/>
              </w:rPr>
              <w:t>10</w:t>
            </w:r>
          </w:p>
        </w:tc>
        <w:tc>
          <w:tcPr>
            <w:tcW w:w="2610" w:type="dxa"/>
            <w:shd w:val="clear" w:color="auto" w:fill="auto"/>
            <w:vAlign w:val="center"/>
            <w:hideMark/>
          </w:tcPr>
          <w:p w:rsidR="00311682" w:rsidRPr="00D30FE9" w14:paraId="271902C0" w14:textId="73641167">
            <w:pPr>
              <w:overflowPunct/>
              <w:autoSpaceDE/>
              <w:autoSpaceDN/>
              <w:adjustRightInd/>
              <w:textAlignment w:val="auto"/>
              <w:rPr>
                <w:color w:val="000000"/>
              </w:rPr>
            </w:pPr>
            <w:r w:rsidRPr="00D30FE9">
              <w:rPr>
                <w:color w:val="000000"/>
              </w:rPr>
              <w:t xml:space="preserve">IHBG-COMP APR </w:t>
            </w:r>
            <w:r w:rsidRPr="00D30FE9">
              <w:rPr>
                <w:color w:val="000000"/>
              </w:rPr>
              <w:t xml:space="preserve">HUD–53248 </w:t>
            </w:r>
          </w:p>
        </w:tc>
        <w:tc>
          <w:tcPr>
            <w:tcW w:w="6660" w:type="dxa"/>
            <w:shd w:val="clear" w:color="auto" w:fill="auto"/>
            <w:vAlign w:val="center"/>
            <w:hideMark/>
          </w:tcPr>
          <w:p w:rsidR="00311682" w:rsidRPr="00D30FE9" w14:paraId="058B4643" w14:textId="45134497">
            <w:pPr>
              <w:overflowPunct/>
              <w:autoSpaceDE/>
              <w:autoSpaceDN/>
              <w:adjustRightInd/>
              <w:textAlignment w:val="auto"/>
              <w:rPr>
                <w:color w:val="000000"/>
              </w:rPr>
            </w:pPr>
            <w:r w:rsidRPr="00D30FE9">
              <w:rPr>
                <w:color w:val="000000" w:themeColor="text1"/>
              </w:rPr>
              <w:t>This document is used by IHBG-COMP grantees to report progress made on completing the project in accordance with its approved HUD-4125, Implementation Schedule.</w:t>
            </w:r>
          </w:p>
        </w:tc>
      </w:tr>
    </w:tbl>
    <w:p w:rsidR="00311682" w:rsidRPr="00B95846" w:rsidP="00311682" w14:paraId="3914A7A4" w14:textId="77777777">
      <w:pPr>
        <w:keepLines/>
        <w:tabs>
          <w:tab w:val="left" w:pos="360"/>
        </w:tabs>
        <w:spacing w:after="80"/>
        <w:rPr>
          <w:b/>
          <w:bCs/>
          <w:sz w:val="24"/>
          <w:szCs w:val="24"/>
        </w:rPr>
      </w:pPr>
    </w:p>
    <w:p w:rsidR="00311682" w:rsidRPr="00B95846" w:rsidP="00311682" w14:paraId="68701F3C" w14:textId="5A16F157">
      <w:pPr>
        <w:keepLines/>
        <w:tabs>
          <w:tab w:val="left" w:pos="720"/>
        </w:tabs>
        <w:spacing w:after="80"/>
        <w:ind w:left="360" w:hanging="360"/>
        <w:rPr>
          <w:color w:val="000000"/>
          <w:sz w:val="24"/>
          <w:szCs w:val="24"/>
        </w:rPr>
      </w:pPr>
      <w:r w:rsidRPr="00B95846">
        <w:rPr>
          <w:sz w:val="24"/>
          <w:szCs w:val="24"/>
        </w:rPr>
        <w:t xml:space="preserve">3.   </w:t>
      </w:r>
      <w:r w:rsidRPr="00B95846">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to adopt this means of collection.  Also describe any consideration of using information technology to reduce burden.</w:t>
      </w:r>
      <w:r w:rsidRPr="00B95846">
        <w:rPr>
          <w:color w:val="000000"/>
          <w:sz w:val="24"/>
          <w:szCs w:val="24"/>
        </w:rPr>
        <w:t xml:space="preserve"> </w:t>
      </w:r>
    </w:p>
    <w:p w:rsidR="00311682" w:rsidRPr="00B95846" w:rsidP="00311682" w14:paraId="306B26C7" w14:textId="77777777">
      <w:pPr>
        <w:keepLines/>
        <w:tabs>
          <w:tab w:val="left" w:pos="360"/>
        </w:tabs>
        <w:spacing w:after="80"/>
        <w:ind w:left="360"/>
        <w:rPr>
          <w:color w:val="000000"/>
          <w:sz w:val="24"/>
          <w:szCs w:val="24"/>
        </w:rPr>
      </w:pPr>
    </w:p>
    <w:p w:rsidR="00005878" w:rsidRPr="00005878" w:rsidP="00005878" w14:paraId="4AE7051D" w14:textId="4BC70D67">
      <w:pPr>
        <w:pStyle w:val="BodyText"/>
        <w:spacing w:before="1" w:line="237" w:lineRule="auto"/>
        <w:ind w:left="360" w:right="217"/>
        <w:rPr>
          <w:color w:val="000000"/>
        </w:rPr>
      </w:pPr>
      <w:r w:rsidRPr="00B95846">
        <w:rPr>
          <w:color w:val="000000"/>
        </w:rPr>
        <w:t xml:space="preserve">ONAP makes utilization of automated information collection.  IHBG Formula recipients submit the Indian Housing Plan/Annual Performance Report (IHP/APR) (HUD-52737) using HUD’s online Grants Evaluation and Management System (GEMS). </w:t>
      </w:r>
      <w:r w:rsidRPr="00B95846" w:rsidR="008021A0">
        <w:t>To</w:t>
      </w:r>
      <w:r w:rsidRPr="00B95846" w:rsidR="008021A0">
        <w:rPr>
          <w:spacing w:val="-4"/>
        </w:rPr>
        <w:t xml:space="preserve"> </w:t>
      </w:r>
      <w:r w:rsidRPr="00B95846" w:rsidR="008021A0">
        <w:t>access</w:t>
      </w:r>
      <w:r w:rsidRPr="00B95846" w:rsidR="008021A0">
        <w:rPr>
          <w:spacing w:val="-1"/>
        </w:rPr>
        <w:t xml:space="preserve"> </w:t>
      </w:r>
      <w:r w:rsidRPr="00B95846" w:rsidR="008021A0">
        <w:t>GEMS,</w:t>
      </w:r>
      <w:r w:rsidRPr="00B95846" w:rsidR="008021A0">
        <w:rPr>
          <w:spacing w:val="-4"/>
        </w:rPr>
        <w:t xml:space="preserve"> </w:t>
      </w:r>
      <w:r w:rsidRPr="00B95846" w:rsidR="008021A0">
        <w:t>grantees</w:t>
      </w:r>
      <w:r w:rsidRPr="00B95846" w:rsidR="008021A0">
        <w:rPr>
          <w:spacing w:val="-4"/>
        </w:rPr>
        <w:t xml:space="preserve"> </w:t>
      </w:r>
      <w:r w:rsidRPr="00B95846" w:rsidR="008021A0">
        <w:t>will</w:t>
      </w:r>
      <w:r w:rsidRPr="00B95846" w:rsidR="008021A0">
        <w:rPr>
          <w:spacing w:val="-4"/>
        </w:rPr>
        <w:t xml:space="preserve"> </w:t>
      </w:r>
      <w:r w:rsidRPr="00B95846" w:rsidR="008021A0">
        <w:t>need</w:t>
      </w:r>
      <w:r w:rsidRPr="00B95846" w:rsidR="008021A0">
        <w:rPr>
          <w:spacing w:val="-4"/>
        </w:rPr>
        <w:t xml:space="preserve"> </w:t>
      </w:r>
      <w:r w:rsidRPr="00B95846" w:rsidR="008021A0">
        <w:t>to</w:t>
      </w:r>
      <w:r w:rsidRPr="00B95846" w:rsidR="008021A0">
        <w:rPr>
          <w:spacing w:val="-2"/>
        </w:rPr>
        <w:t xml:space="preserve"> </w:t>
      </w:r>
      <w:r w:rsidRPr="00B95846" w:rsidR="008021A0">
        <w:t>set</w:t>
      </w:r>
      <w:r w:rsidRPr="00B95846" w:rsidR="008021A0">
        <w:rPr>
          <w:spacing w:val="-4"/>
        </w:rPr>
        <w:t xml:space="preserve"> </w:t>
      </w:r>
      <w:r w:rsidRPr="00B95846" w:rsidR="008021A0">
        <w:t>up</w:t>
      </w:r>
      <w:r w:rsidRPr="00B95846" w:rsidR="008021A0">
        <w:rPr>
          <w:spacing w:val="-4"/>
        </w:rPr>
        <w:t xml:space="preserve"> </w:t>
      </w:r>
      <w:r w:rsidRPr="00B95846" w:rsidR="008021A0">
        <w:t>an</w:t>
      </w:r>
      <w:r w:rsidRPr="00B95846" w:rsidR="008021A0">
        <w:rPr>
          <w:spacing w:val="-5"/>
        </w:rPr>
        <w:t xml:space="preserve"> </w:t>
      </w:r>
      <w:r w:rsidRPr="00B95846" w:rsidR="008021A0">
        <w:t>account</w:t>
      </w:r>
      <w:r w:rsidRPr="00B95846" w:rsidR="008021A0">
        <w:rPr>
          <w:spacing w:val="-1"/>
        </w:rPr>
        <w:t xml:space="preserve"> </w:t>
      </w:r>
      <w:r w:rsidRPr="00B95846" w:rsidR="008021A0">
        <w:t>and</w:t>
      </w:r>
      <w:r w:rsidRPr="00B95846" w:rsidR="008021A0">
        <w:rPr>
          <w:spacing w:val="-2"/>
        </w:rPr>
        <w:t xml:space="preserve"> </w:t>
      </w:r>
      <w:r w:rsidRPr="00B95846" w:rsidR="008021A0">
        <w:t>enter</w:t>
      </w:r>
      <w:r w:rsidRPr="00B95846" w:rsidR="008021A0">
        <w:rPr>
          <w:spacing w:val="-5"/>
        </w:rPr>
        <w:t xml:space="preserve"> </w:t>
      </w:r>
      <w:r w:rsidRPr="00B95846" w:rsidR="008021A0">
        <w:t>information</w:t>
      </w:r>
      <w:r w:rsidRPr="00B95846" w:rsidR="008021A0">
        <w:rPr>
          <w:spacing w:val="-5"/>
        </w:rPr>
        <w:t xml:space="preserve"> </w:t>
      </w:r>
      <w:r w:rsidRPr="00B95846" w:rsidR="008021A0">
        <w:t>through</w:t>
      </w:r>
      <w:r w:rsidRPr="00B95846" w:rsidR="008021A0">
        <w:rPr>
          <w:spacing w:val="-4"/>
        </w:rPr>
        <w:t xml:space="preserve"> </w:t>
      </w:r>
      <w:r w:rsidRPr="00B95846" w:rsidR="008021A0">
        <w:t>the Registration</w:t>
      </w:r>
      <w:r w:rsidRPr="00B95846" w:rsidR="008021A0">
        <w:rPr>
          <w:spacing w:val="-8"/>
        </w:rPr>
        <w:t xml:space="preserve"> </w:t>
      </w:r>
      <w:r w:rsidRPr="00B95846" w:rsidR="008021A0">
        <w:t>Portal:</w:t>
      </w:r>
      <w:r w:rsidRPr="00B95846" w:rsidR="008021A0">
        <w:rPr>
          <w:spacing w:val="-7"/>
        </w:rPr>
        <w:t xml:space="preserve"> </w:t>
      </w:r>
      <w:hyperlink r:id="rId17">
        <w:r w:rsidRPr="00B95846" w:rsidR="008021A0">
          <w:rPr>
            <w:color w:val="467885"/>
          </w:rPr>
          <w:t>https://hud.my.site.com/GEMS/s/login/SelfRegister?locale=us</w:t>
        </w:r>
      </w:hyperlink>
      <w:r w:rsidRPr="00B95846" w:rsidR="008021A0">
        <w:t>.</w:t>
      </w:r>
      <w:r w:rsidRPr="00B95846" w:rsidR="008021A0">
        <w:rPr>
          <w:spacing w:val="-7"/>
        </w:rPr>
        <w:t xml:space="preserve"> </w:t>
      </w:r>
      <w:r w:rsidRPr="00B95846" w:rsidR="008021A0">
        <w:t>GEMS</w:t>
      </w:r>
      <w:r w:rsidRPr="00B95846" w:rsidR="008021A0">
        <w:rPr>
          <w:spacing w:val="-6"/>
        </w:rPr>
        <w:t xml:space="preserve"> </w:t>
      </w:r>
      <w:r w:rsidRPr="00B95846" w:rsidR="008021A0">
        <w:t>utilizes</w:t>
      </w:r>
      <w:r w:rsidRPr="00B95846" w:rsidR="008021A0">
        <w:rPr>
          <w:spacing w:val="-7"/>
        </w:rPr>
        <w:t xml:space="preserve"> </w:t>
      </w:r>
      <w:r w:rsidRPr="00B95846" w:rsidR="008021A0">
        <w:t>a one-time</w:t>
      </w:r>
      <w:r w:rsidRPr="00B95846" w:rsidR="008021A0">
        <w:rPr>
          <w:spacing w:val="-8"/>
        </w:rPr>
        <w:t xml:space="preserve"> </w:t>
      </w:r>
      <w:r w:rsidRPr="00B95846" w:rsidR="008021A0">
        <w:t>signature</w:t>
      </w:r>
      <w:r w:rsidRPr="00B95846" w:rsidR="008021A0">
        <w:rPr>
          <w:spacing w:val="-7"/>
        </w:rPr>
        <w:t xml:space="preserve"> </w:t>
      </w:r>
      <w:r w:rsidRPr="00B95846" w:rsidR="008021A0">
        <w:t>attestation</w:t>
      </w:r>
      <w:r w:rsidRPr="00B95846" w:rsidR="008021A0">
        <w:rPr>
          <w:spacing w:val="-7"/>
        </w:rPr>
        <w:t xml:space="preserve"> </w:t>
      </w:r>
      <w:r w:rsidRPr="00B95846" w:rsidR="008021A0">
        <w:t>for</w:t>
      </w:r>
      <w:r w:rsidRPr="00B95846" w:rsidR="008021A0">
        <w:rPr>
          <w:spacing w:val="-8"/>
        </w:rPr>
        <w:t xml:space="preserve"> </w:t>
      </w:r>
      <w:r w:rsidRPr="00B95846" w:rsidR="008021A0">
        <w:t>the</w:t>
      </w:r>
      <w:r w:rsidRPr="00B95846" w:rsidR="008021A0">
        <w:rPr>
          <w:spacing w:val="-7"/>
        </w:rPr>
        <w:t xml:space="preserve"> </w:t>
      </w:r>
      <w:r w:rsidRPr="00B95846" w:rsidR="008021A0">
        <w:t>authorized</w:t>
      </w:r>
      <w:r w:rsidRPr="00B95846" w:rsidR="008021A0">
        <w:rPr>
          <w:spacing w:val="-6"/>
        </w:rPr>
        <w:t xml:space="preserve"> </w:t>
      </w:r>
      <w:r w:rsidRPr="00B95846" w:rsidR="008021A0">
        <w:t>officials</w:t>
      </w:r>
      <w:r w:rsidRPr="00B95846" w:rsidR="008021A0">
        <w:rPr>
          <w:spacing w:val="-7"/>
        </w:rPr>
        <w:t xml:space="preserve"> </w:t>
      </w:r>
      <w:r w:rsidRPr="00B95846" w:rsidR="008021A0">
        <w:t>to</w:t>
      </w:r>
      <w:r w:rsidRPr="00B95846" w:rsidR="008021A0">
        <w:rPr>
          <w:spacing w:val="-6"/>
        </w:rPr>
        <w:t xml:space="preserve"> </w:t>
      </w:r>
      <w:r w:rsidRPr="00B95846" w:rsidR="008021A0">
        <w:t>submit</w:t>
      </w:r>
      <w:r w:rsidRPr="00B95846" w:rsidR="008021A0">
        <w:rPr>
          <w:spacing w:val="-6"/>
        </w:rPr>
        <w:t xml:space="preserve"> </w:t>
      </w:r>
      <w:r w:rsidRPr="00B95846" w:rsidR="008021A0">
        <w:t>electronic</w:t>
      </w:r>
      <w:r w:rsidRPr="00B95846" w:rsidR="008021A0">
        <w:rPr>
          <w:spacing w:val="-7"/>
        </w:rPr>
        <w:t xml:space="preserve"> </w:t>
      </w:r>
      <w:r w:rsidRPr="00B95846" w:rsidR="008021A0">
        <w:t>signatures</w:t>
      </w:r>
      <w:r w:rsidRPr="00B95846" w:rsidR="008021A0">
        <w:rPr>
          <w:spacing w:val="-7"/>
        </w:rPr>
        <w:t xml:space="preserve"> </w:t>
      </w:r>
      <w:r w:rsidRPr="00B95846" w:rsidR="008021A0">
        <w:t>in GEMS.</w:t>
      </w:r>
      <w:r w:rsidRPr="00B95846" w:rsidR="008021A0">
        <w:rPr>
          <w:spacing w:val="-15"/>
        </w:rPr>
        <w:t xml:space="preserve"> </w:t>
      </w:r>
      <w:r w:rsidRPr="00B95846" w:rsidR="008021A0">
        <w:t>The</w:t>
      </w:r>
      <w:r w:rsidRPr="00B95846" w:rsidR="008021A0">
        <w:rPr>
          <w:spacing w:val="-15"/>
        </w:rPr>
        <w:t xml:space="preserve"> </w:t>
      </w:r>
      <w:r w:rsidRPr="00B95846" w:rsidR="008021A0">
        <w:t>area</w:t>
      </w:r>
      <w:r w:rsidRPr="00B95846" w:rsidR="008021A0">
        <w:rPr>
          <w:spacing w:val="-15"/>
        </w:rPr>
        <w:t xml:space="preserve"> </w:t>
      </w:r>
      <w:r w:rsidRPr="00B95846" w:rsidR="008021A0">
        <w:t>offices</w:t>
      </w:r>
      <w:r w:rsidRPr="00B95846" w:rsidR="008021A0">
        <w:rPr>
          <w:spacing w:val="-15"/>
        </w:rPr>
        <w:t xml:space="preserve"> </w:t>
      </w:r>
      <w:r w:rsidRPr="00B95846" w:rsidR="008021A0">
        <w:t>verify</w:t>
      </w:r>
      <w:r w:rsidRPr="00B95846" w:rsidR="008021A0">
        <w:rPr>
          <w:spacing w:val="-15"/>
        </w:rPr>
        <w:t xml:space="preserve"> </w:t>
      </w:r>
      <w:r w:rsidRPr="00B95846" w:rsidR="008021A0">
        <w:t>and</w:t>
      </w:r>
      <w:r w:rsidRPr="00B95846" w:rsidR="008021A0">
        <w:rPr>
          <w:spacing w:val="-15"/>
        </w:rPr>
        <w:t xml:space="preserve"> </w:t>
      </w:r>
      <w:r w:rsidRPr="00B95846" w:rsidR="008021A0">
        <w:t>accept</w:t>
      </w:r>
      <w:r w:rsidRPr="00B95846" w:rsidR="008021A0">
        <w:rPr>
          <w:spacing w:val="-15"/>
        </w:rPr>
        <w:t xml:space="preserve"> </w:t>
      </w:r>
      <w:r w:rsidRPr="00B95846" w:rsidR="008021A0">
        <w:t>registrations</w:t>
      </w:r>
      <w:r w:rsidRPr="00B95846" w:rsidR="008021A0">
        <w:rPr>
          <w:spacing w:val="-15"/>
        </w:rPr>
        <w:t xml:space="preserve"> </w:t>
      </w:r>
      <w:r w:rsidRPr="00B95846" w:rsidR="008021A0">
        <w:t>submitted</w:t>
      </w:r>
      <w:r w:rsidRPr="00B95846" w:rsidR="008021A0">
        <w:rPr>
          <w:spacing w:val="-15"/>
        </w:rPr>
        <w:t xml:space="preserve"> </w:t>
      </w:r>
      <w:r w:rsidRPr="00B95846" w:rsidR="008021A0">
        <w:t>in</w:t>
      </w:r>
      <w:r w:rsidRPr="00B95846" w:rsidR="008021A0">
        <w:rPr>
          <w:spacing w:val="-15"/>
        </w:rPr>
        <w:t xml:space="preserve"> </w:t>
      </w:r>
      <w:r w:rsidRPr="00B95846" w:rsidR="008021A0">
        <w:t>the</w:t>
      </w:r>
      <w:r w:rsidRPr="00B95846" w:rsidR="008021A0">
        <w:rPr>
          <w:spacing w:val="-15"/>
        </w:rPr>
        <w:t xml:space="preserve"> </w:t>
      </w:r>
      <w:r w:rsidRPr="00B95846" w:rsidR="008021A0">
        <w:t>portal.</w:t>
      </w:r>
      <w:r w:rsidRPr="00B95846" w:rsidR="008021A0">
        <w:rPr>
          <w:spacing w:val="-15"/>
        </w:rPr>
        <w:t xml:space="preserve"> </w:t>
      </w:r>
      <w:r w:rsidRPr="00B95846" w:rsidR="008021A0">
        <w:t>Once</w:t>
      </w:r>
      <w:r w:rsidRPr="00B95846" w:rsidR="008021A0">
        <w:rPr>
          <w:spacing w:val="-15"/>
        </w:rPr>
        <w:t xml:space="preserve"> </w:t>
      </w:r>
      <w:r w:rsidRPr="00B95846" w:rsidR="008021A0">
        <w:t>accepted</w:t>
      </w:r>
      <w:r w:rsidRPr="00B95846" w:rsidR="008021A0">
        <w:rPr>
          <w:spacing w:val="-15"/>
        </w:rPr>
        <w:t xml:space="preserve"> </w:t>
      </w:r>
      <w:r w:rsidRPr="00B95846" w:rsidR="008021A0">
        <w:t xml:space="preserve">an email with the log-in information will be sent. </w:t>
      </w:r>
      <w:r w:rsidRPr="00B95846">
        <w:rPr>
          <w:color w:val="000000"/>
        </w:rPr>
        <w:t xml:space="preserve">Both versions of the same form provide advanced automated functionality such as numerous drop-down menus, and fields that perform auto population and calculation. </w:t>
      </w:r>
      <w:r w:rsidRPr="00005878">
        <w:rPr>
          <w:color w:val="000000"/>
        </w:rPr>
        <w:t xml:space="preserve">Almost all IHBG Formula grantees submit the IHP via GEMS. </w:t>
      </w:r>
    </w:p>
    <w:p w:rsidR="00311682" w:rsidRPr="00B95846" w:rsidP="00242AA6" w14:paraId="19BB5BF0" w14:textId="0A3D5FB5">
      <w:pPr>
        <w:pStyle w:val="BodyText"/>
        <w:spacing w:before="1" w:line="237" w:lineRule="auto"/>
        <w:ind w:left="360" w:right="217"/>
        <w:rPr>
          <w:color w:val="000000"/>
        </w:rPr>
      </w:pPr>
      <w:r>
        <w:rPr>
          <w:color w:val="000000"/>
        </w:rPr>
        <w:t>However, i</w:t>
      </w:r>
      <w:r w:rsidR="009E59CD">
        <w:rPr>
          <w:color w:val="000000"/>
        </w:rPr>
        <w:t xml:space="preserve">f a grantee is unable to submit the IHP via GEMS, </w:t>
      </w:r>
      <w:r>
        <w:rPr>
          <w:color w:val="000000"/>
        </w:rPr>
        <w:t>due to connectivity issues</w:t>
      </w:r>
      <w:r w:rsidR="00521C09">
        <w:rPr>
          <w:color w:val="000000"/>
        </w:rPr>
        <w:t xml:space="preserve"> related to remote locals, </w:t>
      </w:r>
      <w:r w:rsidR="009E59CD">
        <w:rPr>
          <w:color w:val="000000"/>
        </w:rPr>
        <w:t xml:space="preserve">the form is also available </w:t>
      </w:r>
      <w:r w:rsidRPr="009E59CD" w:rsidR="009E59CD">
        <w:rPr>
          <w:color w:val="000000"/>
        </w:rPr>
        <w:t>as a fillable PDF</w:t>
      </w:r>
      <w:r w:rsidR="00521C09">
        <w:rPr>
          <w:color w:val="000000"/>
        </w:rPr>
        <w:t>.</w:t>
      </w:r>
      <w:r>
        <w:rPr>
          <w:color w:val="000000"/>
        </w:rPr>
        <w:t xml:space="preserve"> </w:t>
      </w:r>
    </w:p>
    <w:p w:rsidR="00311682" w:rsidRPr="00B95846" w:rsidP="00311682" w14:paraId="43C2D024" w14:textId="77777777">
      <w:pPr>
        <w:ind w:left="360"/>
        <w:rPr>
          <w:color w:val="000000"/>
          <w:sz w:val="24"/>
          <w:szCs w:val="24"/>
        </w:rPr>
      </w:pPr>
    </w:p>
    <w:p w:rsidR="00311682" w:rsidRPr="00B95846" w:rsidP="00311682" w14:paraId="23B7D9A2" w14:textId="1D861E0D">
      <w:pPr>
        <w:ind w:left="360"/>
        <w:rPr>
          <w:color w:val="000000"/>
          <w:sz w:val="24"/>
          <w:szCs w:val="24"/>
        </w:rPr>
      </w:pPr>
      <w:r w:rsidRPr="00B95846">
        <w:rPr>
          <w:color w:val="000000"/>
          <w:sz w:val="24"/>
          <w:szCs w:val="24"/>
        </w:rPr>
        <w:t>IHBG</w:t>
      </w:r>
      <w:r w:rsidRPr="00B95846" w:rsidR="0067298F">
        <w:rPr>
          <w:color w:val="000000"/>
          <w:sz w:val="24"/>
          <w:szCs w:val="24"/>
        </w:rPr>
        <w:t>-COMP</w:t>
      </w:r>
      <w:r w:rsidRPr="00B95846">
        <w:rPr>
          <w:color w:val="000000"/>
          <w:sz w:val="24"/>
          <w:szCs w:val="24"/>
        </w:rPr>
        <w:t xml:space="preserve"> applications are submitted through Grants.gov. Grantees report on program progress and expenditures using the IHBG-COMP APR (HUD–53248) that is a fillable PDF with all the automated functionality described in the fillable PDF above. The </w:t>
      </w:r>
      <w:r w:rsidR="00176C6F">
        <w:rPr>
          <w:color w:val="000000"/>
          <w:sz w:val="24"/>
          <w:szCs w:val="24"/>
        </w:rPr>
        <w:t xml:space="preserve">grantees submit the </w:t>
      </w:r>
      <w:r w:rsidRPr="00B95846">
        <w:rPr>
          <w:color w:val="000000"/>
          <w:sz w:val="24"/>
          <w:szCs w:val="24"/>
        </w:rPr>
        <w:t>IHBG</w:t>
      </w:r>
      <w:r w:rsidRPr="00B95846" w:rsidR="008B0FDD">
        <w:rPr>
          <w:color w:val="000000"/>
          <w:sz w:val="24"/>
          <w:szCs w:val="24"/>
        </w:rPr>
        <w:t>-COMP</w:t>
      </w:r>
      <w:r w:rsidRPr="00B95846">
        <w:rPr>
          <w:color w:val="000000"/>
          <w:sz w:val="24"/>
          <w:szCs w:val="24"/>
        </w:rPr>
        <w:t xml:space="preserve"> APR </w:t>
      </w:r>
      <w:r w:rsidR="00176C6F">
        <w:rPr>
          <w:color w:val="000000"/>
          <w:sz w:val="24"/>
          <w:szCs w:val="24"/>
        </w:rPr>
        <w:t xml:space="preserve">to their assigned </w:t>
      </w:r>
      <w:r w:rsidR="002A687B">
        <w:rPr>
          <w:color w:val="000000"/>
          <w:sz w:val="24"/>
          <w:szCs w:val="24"/>
        </w:rPr>
        <w:t>Grants Management Specialist</w:t>
      </w:r>
      <w:r w:rsidR="00060706">
        <w:rPr>
          <w:color w:val="000000"/>
          <w:sz w:val="24"/>
          <w:szCs w:val="24"/>
        </w:rPr>
        <w:t xml:space="preserve"> </w:t>
      </w:r>
      <w:r w:rsidR="00176C6F">
        <w:rPr>
          <w:color w:val="000000"/>
          <w:sz w:val="24"/>
          <w:szCs w:val="24"/>
        </w:rPr>
        <w:t xml:space="preserve">via email. </w:t>
      </w:r>
      <w:r w:rsidRPr="00B95846">
        <w:rPr>
          <w:color w:val="000000"/>
          <w:sz w:val="24"/>
          <w:szCs w:val="24"/>
        </w:rPr>
        <w:t xml:space="preserve"> </w:t>
      </w:r>
    </w:p>
    <w:p w:rsidR="00311682" w:rsidRPr="00B95846" w:rsidP="00311682" w14:paraId="5F24EC8C" w14:textId="77777777">
      <w:pPr>
        <w:tabs>
          <w:tab w:val="left" w:pos="360"/>
        </w:tabs>
        <w:ind w:left="360" w:hanging="360"/>
        <w:rPr>
          <w:sz w:val="24"/>
          <w:szCs w:val="24"/>
        </w:rPr>
      </w:pPr>
    </w:p>
    <w:p w:rsidR="00311682" w:rsidRPr="00B95846" w:rsidP="00311682" w14:paraId="2693A8C1" w14:textId="77777777">
      <w:pPr>
        <w:keepLines/>
        <w:tabs>
          <w:tab w:val="left" w:pos="360"/>
        </w:tabs>
        <w:spacing w:after="80"/>
        <w:ind w:left="360" w:hanging="360"/>
        <w:rPr>
          <w:b/>
          <w:bCs/>
          <w:sz w:val="24"/>
          <w:szCs w:val="24"/>
        </w:rPr>
      </w:pPr>
      <w:r w:rsidRPr="00B95846">
        <w:rPr>
          <w:sz w:val="24"/>
          <w:szCs w:val="24"/>
        </w:rPr>
        <w:t>4.</w:t>
      </w:r>
      <w:r w:rsidRPr="00B95846">
        <w:rPr>
          <w:sz w:val="24"/>
          <w:szCs w:val="24"/>
        </w:rPr>
        <w:tab/>
      </w:r>
      <w:r w:rsidRPr="00B95846">
        <w:rPr>
          <w:b/>
          <w:bCs/>
          <w:sz w:val="24"/>
          <w:szCs w:val="24"/>
        </w:rPr>
        <w:t>Describe efforts to identify duplication.  Show specifically why any similar information already available cannot be used or modified for use for the purposes described in Item 2 above.</w:t>
      </w:r>
    </w:p>
    <w:p w:rsidR="00311682" w:rsidRPr="00B95846" w:rsidP="00311682" w14:paraId="09BDAB30" w14:textId="5D8BB312">
      <w:pPr>
        <w:ind w:left="360"/>
        <w:rPr>
          <w:color w:val="000000"/>
          <w:sz w:val="24"/>
          <w:szCs w:val="24"/>
        </w:rPr>
      </w:pPr>
      <w:r w:rsidRPr="00B95846">
        <w:rPr>
          <w:color w:val="000000"/>
          <w:sz w:val="24"/>
          <w:szCs w:val="24"/>
        </w:rPr>
        <w:t>There are no other sources of information that are being submitted to</w:t>
      </w:r>
      <w:r w:rsidR="00376CCD">
        <w:rPr>
          <w:color w:val="000000"/>
          <w:sz w:val="24"/>
          <w:szCs w:val="24"/>
        </w:rPr>
        <w:t>,</w:t>
      </w:r>
      <w:r w:rsidRPr="00B95846">
        <w:rPr>
          <w:color w:val="000000"/>
          <w:sz w:val="24"/>
          <w:szCs w:val="24"/>
        </w:rPr>
        <w:t xml:space="preserve"> </w:t>
      </w:r>
      <w:r w:rsidR="00376CCD">
        <w:rPr>
          <w:color w:val="000000"/>
          <w:sz w:val="24"/>
          <w:szCs w:val="24"/>
        </w:rPr>
        <w:t xml:space="preserve">or collected by, </w:t>
      </w:r>
      <w:r w:rsidRPr="00B95846">
        <w:rPr>
          <w:color w:val="000000"/>
          <w:sz w:val="24"/>
          <w:szCs w:val="24"/>
        </w:rPr>
        <w:t xml:space="preserve">HUD that duplicate the information identified in this collection. </w:t>
      </w:r>
    </w:p>
    <w:p w:rsidR="00311682" w:rsidRPr="00B95846" w:rsidP="00311682" w14:paraId="4C5D1752" w14:textId="77777777">
      <w:pPr>
        <w:keepLines/>
        <w:tabs>
          <w:tab w:val="left" w:pos="360"/>
          <w:tab w:val="left" w:pos="720"/>
        </w:tabs>
        <w:ind w:left="360"/>
        <w:rPr>
          <w:sz w:val="24"/>
          <w:szCs w:val="24"/>
        </w:rPr>
      </w:pPr>
    </w:p>
    <w:p w:rsidR="00311682" w:rsidRPr="00B95846" w:rsidP="00311682" w14:paraId="2A547830" w14:textId="77777777">
      <w:pPr>
        <w:keepLines/>
        <w:tabs>
          <w:tab w:val="left" w:pos="360"/>
        </w:tabs>
        <w:spacing w:after="80"/>
        <w:ind w:left="360" w:hanging="360"/>
        <w:rPr>
          <w:b/>
          <w:bCs/>
          <w:sz w:val="24"/>
          <w:szCs w:val="24"/>
        </w:rPr>
      </w:pPr>
      <w:r w:rsidRPr="00B95846">
        <w:rPr>
          <w:sz w:val="24"/>
          <w:szCs w:val="24"/>
        </w:rPr>
        <w:t>5.</w:t>
      </w:r>
      <w:r w:rsidRPr="00B95846">
        <w:rPr>
          <w:sz w:val="24"/>
          <w:szCs w:val="24"/>
        </w:rPr>
        <w:tab/>
      </w:r>
      <w:r w:rsidRPr="00B95846">
        <w:rPr>
          <w:b/>
          <w:bCs/>
          <w:sz w:val="24"/>
          <w:szCs w:val="24"/>
        </w:rPr>
        <w:t>If the collection of information impacts small businesses or other small entities describe any methods used to minimize burden.</w:t>
      </w:r>
    </w:p>
    <w:p w:rsidR="00311682" w:rsidRPr="00B95846" w:rsidP="00311682" w14:paraId="05938349" w14:textId="77777777">
      <w:pPr>
        <w:ind w:left="360"/>
        <w:rPr>
          <w:color w:val="000000"/>
          <w:sz w:val="24"/>
          <w:szCs w:val="24"/>
        </w:rPr>
      </w:pPr>
      <w:r w:rsidRPr="00B95846">
        <w:rPr>
          <w:color w:val="000000"/>
          <w:sz w:val="24"/>
          <w:szCs w:val="24"/>
        </w:rPr>
        <w:t xml:space="preserve">HUD has minimized the burden on small grantees by allowing grantees to determine the scale and complexity of their housing programs. HUD staff are available to provide one-on-one assistance to small grantees if needed. </w:t>
      </w:r>
    </w:p>
    <w:p w:rsidR="00311682" w:rsidRPr="00B95846" w:rsidP="00311682" w14:paraId="072043B1" w14:textId="77777777">
      <w:pPr>
        <w:keepLines/>
        <w:tabs>
          <w:tab w:val="left" w:pos="360"/>
        </w:tabs>
        <w:spacing w:after="80"/>
        <w:ind w:left="360" w:hanging="360"/>
        <w:rPr>
          <w:b/>
          <w:bCs/>
          <w:sz w:val="24"/>
          <w:szCs w:val="24"/>
        </w:rPr>
      </w:pPr>
    </w:p>
    <w:p w:rsidR="00311682" w:rsidRPr="00B95846" w:rsidP="00311682" w14:paraId="7BD18B4E" w14:textId="77777777">
      <w:pPr>
        <w:keepLines/>
        <w:tabs>
          <w:tab w:val="left" w:pos="360"/>
        </w:tabs>
        <w:spacing w:after="80"/>
        <w:ind w:left="360" w:hanging="360"/>
        <w:rPr>
          <w:b/>
          <w:bCs/>
          <w:sz w:val="24"/>
          <w:szCs w:val="24"/>
        </w:rPr>
      </w:pPr>
      <w:r w:rsidRPr="00B95846">
        <w:rPr>
          <w:b/>
          <w:bCs/>
          <w:sz w:val="24"/>
          <w:szCs w:val="24"/>
        </w:rPr>
        <w:t>6.</w:t>
      </w:r>
      <w:r w:rsidRPr="00B95846">
        <w:rPr>
          <w:b/>
          <w:bCs/>
          <w:sz w:val="24"/>
          <w:szCs w:val="24"/>
        </w:rPr>
        <w:tab/>
        <w:t>Describe the consequences to Federal program or policy activities if the collection is not conducted or is conducted less frequently, as well as any technical or legal obstacles to reducing burden.</w:t>
      </w:r>
    </w:p>
    <w:p w:rsidR="00311682" w:rsidRPr="00B95846" w:rsidP="00311682" w14:paraId="30DA1D68" w14:textId="57DE4C0B">
      <w:pPr>
        <w:ind w:left="360"/>
        <w:rPr>
          <w:color w:val="000000"/>
          <w:sz w:val="24"/>
          <w:szCs w:val="24"/>
        </w:rPr>
      </w:pPr>
      <w:r w:rsidRPr="00B95846">
        <w:rPr>
          <w:color w:val="000000"/>
          <w:sz w:val="24"/>
          <w:szCs w:val="24"/>
        </w:rPr>
        <w:t xml:space="preserve">The IHBG Formula and Competitive </w:t>
      </w:r>
      <w:r w:rsidRPr="00B95846" w:rsidR="002D0FFF">
        <w:rPr>
          <w:color w:val="000000"/>
          <w:sz w:val="24"/>
          <w:szCs w:val="24"/>
        </w:rPr>
        <w:t xml:space="preserve">grants </w:t>
      </w:r>
      <w:r w:rsidRPr="00B95846">
        <w:rPr>
          <w:color w:val="000000"/>
          <w:sz w:val="24"/>
          <w:szCs w:val="24"/>
        </w:rPr>
        <w:t>are authorized by Congress and the information collected is required for ONAP</w:t>
      </w:r>
      <w:r w:rsidRPr="00B95846" w:rsidR="002D0FFF">
        <w:rPr>
          <w:color w:val="000000"/>
          <w:sz w:val="24"/>
          <w:szCs w:val="24"/>
        </w:rPr>
        <w:t xml:space="preserve"> to issue awards, monitor program progress and submit an </w:t>
      </w:r>
      <w:r w:rsidRPr="00B95846">
        <w:rPr>
          <w:color w:val="000000"/>
          <w:sz w:val="24"/>
          <w:szCs w:val="24"/>
        </w:rPr>
        <w:t xml:space="preserve">annual </w:t>
      </w:r>
      <w:r w:rsidRPr="00B95846" w:rsidR="002D0FFF">
        <w:rPr>
          <w:color w:val="000000"/>
          <w:sz w:val="24"/>
          <w:szCs w:val="24"/>
        </w:rPr>
        <w:t xml:space="preserve">progress </w:t>
      </w:r>
      <w:r w:rsidRPr="00B95846">
        <w:rPr>
          <w:color w:val="000000"/>
          <w:sz w:val="24"/>
          <w:szCs w:val="24"/>
        </w:rPr>
        <w:t>report to Congress.</w:t>
      </w:r>
      <w:r w:rsidRPr="00B95846" w:rsidR="002D0FFF">
        <w:rPr>
          <w:color w:val="000000"/>
          <w:sz w:val="24"/>
          <w:szCs w:val="24"/>
        </w:rPr>
        <w:t xml:space="preserve"> If this collection is not approved, ONAP will be out of compliance with its </w:t>
      </w:r>
      <w:r w:rsidRPr="00B95846" w:rsidR="0044497D">
        <w:rPr>
          <w:color w:val="000000"/>
          <w:sz w:val="24"/>
          <w:szCs w:val="24"/>
        </w:rPr>
        <w:t xml:space="preserve">statutory </w:t>
      </w:r>
      <w:r w:rsidRPr="00B95846" w:rsidR="002D0FFF">
        <w:rPr>
          <w:color w:val="000000"/>
          <w:sz w:val="24"/>
          <w:szCs w:val="24"/>
        </w:rPr>
        <w:t>requirements and Tribal communities will not benefit from the available program funds.</w:t>
      </w:r>
    </w:p>
    <w:p w:rsidR="00311682" w:rsidRPr="00B95846" w:rsidP="00311682" w14:paraId="3AA6F22D" w14:textId="77777777">
      <w:pPr>
        <w:keepLines/>
        <w:tabs>
          <w:tab w:val="left" w:pos="360"/>
          <w:tab w:val="left" w:pos="720"/>
        </w:tabs>
        <w:ind w:left="360"/>
        <w:rPr>
          <w:b/>
          <w:bCs/>
          <w:sz w:val="24"/>
          <w:szCs w:val="24"/>
        </w:rPr>
      </w:pPr>
    </w:p>
    <w:p w:rsidR="00311682" w:rsidRPr="00B95846" w:rsidP="00311682" w14:paraId="31A5888F" w14:textId="77777777">
      <w:pPr>
        <w:numPr>
          <w:ilvl w:val="0"/>
          <w:numId w:val="16"/>
        </w:numPr>
        <w:tabs>
          <w:tab w:val="left" w:pos="360"/>
        </w:tabs>
        <w:rPr>
          <w:b/>
          <w:bCs/>
          <w:sz w:val="24"/>
          <w:szCs w:val="24"/>
        </w:rPr>
      </w:pPr>
      <w:r w:rsidRPr="00B95846">
        <w:rPr>
          <w:b/>
          <w:bCs/>
          <w:sz w:val="24"/>
          <w:szCs w:val="24"/>
        </w:rPr>
        <w:t>Explain any special circumstances that would cause an information collection to be conducted in a manner:</w:t>
      </w:r>
    </w:p>
    <w:p w:rsidR="00311682" w:rsidRPr="00B95846" w:rsidP="00311682" w14:paraId="3674921E" w14:textId="77777777">
      <w:pPr>
        <w:tabs>
          <w:tab w:val="left" w:pos="360"/>
        </w:tabs>
        <w:ind w:left="360"/>
        <w:rPr>
          <w:sz w:val="24"/>
          <w:szCs w:val="24"/>
        </w:rPr>
      </w:pPr>
      <w:r w:rsidRPr="00B95846">
        <w:rPr>
          <w:sz w:val="24"/>
          <w:szCs w:val="24"/>
        </w:rPr>
        <w:t xml:space="preserve"> </w:t>
      </w:r>
    </w:p>
    <w:p w:rsidR="00311682" w:rsidRPr="00B95846" w:rsidP="00311682" w14:paraId="31165D45" w14:textId="77777777">
      <w:pPr>
        <w:numPr>
          <w:ilvl w:val="0"/>
          <w:numId w:val="17"/>
        </w:numPr>
        <w:ind w:left="900" w:hanging="360"/>
        <w:rPr>
          <w:b/>
          <w:bCs/>
          <w:i/>
          <w:iCs/>
          <w:sz w:val="24"/>
          <w:szCs w:val="24"/>
        </w:rPr>
      </w:pPr>
      <w:r w:rsidRPr="00B95846">
        <w:rPr>
          <w:b/>
          <w:bCs/>
          <w:i/>
          <w:iCs/>
          <w:sz w:val="24"/>
          <w:szCs w:val="24"/>
        </w:rPr>
        <w:t xml:space="preserve">requiring respondents to report information to the agency more than </w:t>
      </w:r>
      <w:r w:rsidRPr="00B95846">
        <w:rPr>
          <w:b/>
          <w:bCs/>
          <w:i/>
          <w:iCs/>
          <w:sz w:val="24"/>
          <w:szCs w:val="24"/>
        </w:rPr>
        <w:t>quarterly;</w:t>
      </w:r>
      <w:r w:rsidRPr="00B95846">
        <w:rPr>
          <w:b/>
          <w:bCs/>
          <w:i/>
          <w:iCs/>
          <w:sz w:val="24"/>
          <w:szCs w:val="24"/>
        </w:rPr>
        <w:t xml:space="preserve"> </w:t>
      </w:r>
    </w:p>
    <w:p w:rsidR="00311682" w:rsidRPr="00B95846" w:rsidP="00311682" w14:paraId="4204E7C6" w14:textId="77777777">
      <w:pPr>
        <w:pStyle w:val="ListParagraph"/>
        <w:ind w:left="900" w:hanging="360"/>
        <w:rPr>
          <w:sz w:val="24"/>
          <w:szCs w:val="24"/>
        </w:rPr>
      </w:pPr>
      <w:r w:rsidRPr="00B95846">
        <w:rPr>
          <w:i/>
          <w:iCs/>
          <w:sz w:val="24"/>
          <w:szCs w:val="24"/>
        </w:rPr>
        <w:tab/>
      </w:r>
      <w:r w:rsidRPr="00B95846">
        <w:rPr>
          <w:sz w:val="24"/>
          <w:szCs w:val="24"/>
        </w:rPr>
        <w:tab/>
      </w:r>
    </w:p>
    <w:p w:rsidR="00311682" w:rsidRPr="00B95846" w:rsidP="00311682" w14:paraId="513C6A40" w14:textId="77777777">
      <w:pPr>
        <w:ind w:left="900"/>
        <w:rPr>
          <w:sz w:val="24"/>
          <w:szCs w:val="24"/>
        </w:rPr>
      </w:pPr>
      <w:r w:rsidRPr="00B95846">
        <w:rPr>
          <w:sz w:val="24"/>
          <w:szCs w:val="24"/>
        </w:rPr>
        <w:t xml:space="preserve">Not applicable. </w:t>
      </w:r>
    </w:p>
    <w:p w:rsidR="00311682" w:rsidRPr="00B95846" w:rsidP="00311682" w14:paraId="15C4F27E" w14:textId="77777777">
      <w:pPr>
        <w:ind w:left="900" w:hanging="360"/>
        <w:rPr>
          <w:sz w:val="24"/>
          <w:szCs w:val="24"/>
        </w:rPr>
      </w:pPr>
    </w:p>
    <w:p w:rsidR="00311682" w:rsidRPr="00B95846" w:rsidP="00311682" w14:paraId="3F978C10" w14:textId="77777777">
      <w:pPr>
        <w:numPr>
          <w:ilvl w:val="0"/>
          <w:numId w:val="17"/>
        </w:numPr>
        <w:ind w:left="900" w:hanging="360"/>
        <w:rPr>
          <w:b/>
          <w:bCs/>
          <w:i/>
          <w:iCs/>
          <w:sz w:val="24"/>
          <w:szCs w:val="24"/>
        </w:rPr>
      </w:pPr>
      <w:r w:rsidRPr="00B95846">
        <w:rPr>
          <w:b/>
          <w:bCs/>
          <w:i/>
          <w:iCs/>
          <w:sz w:val="24"/>
          <w:szCs w:val="24"/>
        </w:rPr>
        <w:t xml:space="preserve">requiring respondents to prepare a written response to a collection of information in fewer than 30 days after receipt of </w:t>
      </w:r>
      <w:r w:rsidRPr="00B95846">
        <w:rPr>
          <w:b/>
          <w:bCs/>
          <w:i/>
          <w:iCs/>
          <w:sz w:val="24"/>
          <w:szCs w:val="24"/>
        </w:rPr>
        <w:t>it;</w:t>
      </w:r>
      <w:r w:rsidRPr="00B95846">
        <w:rPr>
          <w:b/>
          <w:bCs/>
          <w:i/>
          <w:iCs/>
          <w:sz w:val="24"/>
          <w:szCs w:val="24"/>
        </w:rPr>
        <w:t xml:space="preserve"> </w:t>
      </w:r>
    </w:p>
    <w:p w:rsidR="00311682" w:rsidRPr="00B95846" w:rsidP="00311682" w14:paraId="33E515CF" w14:textId="77777777">
      <w:pPr>
        <w:ind w:left="900" w:hanging="360"/>
        <w:rPr>
          <w:sz w:val="24"/>
          <w:szCs w:val="24"/>
        </w:rPr>
      </w:pPr>
      <w:r w:rsidRPr="00B95846">
        <w:rPr>
          <w:sz w:val="24"/>
          <w:szCs w:val="24"/>
        </w:rPr>
        <w:tab/>
        <w:t xml:space="preserve">        </w:t>
      </w:r>
    </w:p>
    <w:p w:rsidR="00311682" w:rsidRPr="00B95846" w:rsidP="00311682" w14:paraId="7682716D" w14:textId="77777777">
      <w:pPr>
        <w:ind w:left="900"/>
        <w:rPr>
          <w:sz w:val="24"/>
          <w:szCs w:val="24"/>
        </w:rPr>
      </w:pPr>
      <w:r w:rsidRPr="00B95846">
        <w:rPr>
          <w:sz w:val="24"/>
          <w:szCs w:val="24"/>
        </w:rPr>
        <w:t>Not Applicable</w:t>
      </w:r>
    </w:p>
    <w:p w:rsidR="00311682" w:rsidRPr="00B95846" w:rsidP="00311682" w14:paraId="05464A87" w14:textId="77777777">
      <w:pPr>
        <w:pStyle w:val="ListParagraph"/>
        <w:ind w:left="900" w:hanging="360"/>
        <w:rPr>
          <w:i/>
          <w:iCs/>
          <w:sz w:val="24"/>
          <w:szCs w:val="24"/>
        </w:rPr>
      </w:pPr>
    </w:p>
    <w:p w:rsidR="00311682" w:rsidRPr="00B95846" w:rsidP="00311682" w14:paraId="74A5CE1E" w14:textId="77777777">
      <w:pPr>
        <w:numPr>
          <w:ilvl w:val="0"/>
          <w:numId w:val="17"/>
        </w:numPr>
        <w:ind w:left="900" w:hanging="360"/>
        <w:rPr>
          <w:b/>
          <w:bCs/>
          <w:i/>
          <w:iCs/>
          <w:sz w:val="24"/>
          <w:szCs w:val="24"/>
        </w:rPr>
      </w:pPr>
      <w:r w:rsidRPr="00B95846">
        <w:rPr>
          <w:b/>
          <w:bCs/>
          <w:i/>
          <w:iCs/>
          <w:sz w:val="24"/>
          <w:szCs w:val="24"/>
        </w:rPr>
        <w:t xml:space="preserve">requiring respondents to submit more than an original and two copies of any </w:t>
      </w:r>
      <w:r w:rsidRPr="00B95846">
        <w:rPr>
          <w:b/>
          <w:bCs/>
          <w:i/>
          <w:iCs/>
          <w:sz w:val="24"/>
          <w:szCs w:val="24"/>
        </w:rPr>
        <w:t>document;</w:t>
      </w:r>
      <w:r w:rsidRPr="00B95846">
        <w:rPr>
          <w:b/>
          <w:bCs/>
          <w:i/>
          <w:iCs/>
          <w:sz w:val="24"/>
          <w:szCs w:val="24"/>
        </w:rPr>
        <w:t xml:space="preserve"> </w:t>
      </w:r>
    </w:p>
    <w:p w:rsidR="00311682" w:rsidRPr="00B95846" w:rsidP="00311682" w14:paraId="17E15421" w14:textId="77777777">
      <w:pPr>
        <w:ind w:left="900" w:firstLine="540"/>
        <w:rPr>
          <w:sz w:val="24"/>
          <w:szCs w:val="24"/>
        </w:rPr>
      </w:pPr>
    </w:p>
    <w:p w:rsidR="00311682" w:rsidRPr="00B95846" w:rsidP="00311682" w14:paraId="3A6539F3" w14:textId="77777777">
      <w:pPr>
        <w:ind w:left="180" w:firstLine="720"/>
        <w:rPr>
          <w:sz w:val="24"/>
          <w:szCs w:val="24"/>
        </w:rPr>
      </w:pPr>
      <w:r w:rsidRPr="00B95846">
        <w:rPr>
          <w:sz w:val="24"/>
          <w:szCs w:val="24"/>
        </w:rPr>
        <w:t>Not Applicable</w:t>
      </w:r>
    </w:p>
    <w:p w:rsidR="00311682" w:rsidRPr="00B95846" w:rsidP="00311682" w14:paraId="586CEF73" w14:textId="77777777">
      <w:pPr>
        <w:pStyle w:val="ListParagraph"/>
        <w:ind w:left="900" w:hanging="360"/>
        <w:rPr>
          <w:i/>
          <w:iCs/>
          <w:sz w:val="24"/>
          <w:szCs w:val="24"/>
        </w:rPr>
      </w:pPr>
    </w:p>
    <w:p w:rsidR="00311682" w:rsidRPr="00B95846" w:rsidP="00311682" w14:paraId="662AF640" w14:textId="77777777">
      <w:pPr>
        <w:numPr>
          <w:ilvl w:val="0"/>
          <w:numId w:val="18"/>
        </w:numPr>
        <w:rPr>
          <w:b/>
          <w:bCs/>
          <w:i/>
          <w:iCs/>
          <w:sz w:val="24"/>
          <w:szCs w:val="24"/>
        </w:rPr>
      </w:pPr>
      <w:r w:rsidRPr="00B95846">
        <w:rPr>
          <w:b/>
          <w:bCs/>
          <w:i/>
          <w:iCs/>
          <w:sz w:val="24"/>
          <w:szCs w:val="24"/>
        </w:rPr>
        <w:t xml:space="preserve">requiring respondents to retain records other than health, medical, government contract, grant-in-aid, or tax records for more than three </w:t>
      </w:r>
      <w:r w:rsidRPr="00B95846">
        <w:rPr>
          <w:b/>
          <w:bCs/>
          <w:i/>
          <w:iCs/>
          <w:sz w:val="24"/>
          <w:szCs w:val="24"/>
        </w:rPr>
        <w:t>years;</w:t>
      </w:r>
      <w:r w:rsidRPr="00B95846">
        <w:rPr>
          <w:b/>
          <w:bCs/>
          <w:i/>
          <w:iCs/>
          <w:sz w:val="24"/>
          <w:szCs w:val="24"/>
        </w:rPr>
        <w:t xml:space="preserve"> </w:t>
      </w:r>
    </w:p>
    <w:p w:rsidR="00311682" w:rsidRPr="00B95846" w:rsidP="00311682" w14:paraId="1935EF89" w14:textId="77777777">
      <w:pPr>
        <w:ind w:left="900" w:hanging="360"/>
        <w:rPr>
          <w:sz w:val="24"/>
          <w:szCs w:val="24"/>
        </w:rPr>
      </w:pPr>
      <w:r w:rsidRPr="00B95846">
        <w:rPr>
          <w:sz w:val="24"/>
          <w:szCs w:val="24"/>
        </w:rPr>
        <w:tab/>
      </w:r>
      <w:r w:rsidRPr="00B95846">
        <w:rPr>
          <w:sz w:val="24"/>
          <w:szCs w:val="24"/>
        </w:rPr>
        <w:tab/>
      </w:r>
    </w:p>
    <w:p w:rsidR="00311682" w:rsidRPr="00B95846" w:rsidP="00311682" w14:paraId="45331F07" w14:textId="77777777">
      <w:pPr>
        <w:ind w:left="900"/>
        <w:rPr>
          <w:sz w:val="24"/>
          <w:szCs w:val="24"/>
        </w:rPr>
      </w:pPr>
      <w:r w:rsidRPr="00B95846">
        <w:rPr>
          <w:sz w:val="24"/>
          <w:szCs w:val="24"/>
        </w:rPr>
        <w:t>Not Applicable</w:t>
      </w:r>
    </w:p>
    <w:p w:rsidR="00311682" w:rsidRPr="00B95846" w:rsidP="00311682" w14:paraId="553A3B97" w14:textId="77777777">
      <w:pPr>
        <w:ind w:left="900" w:hanging="360"/>
        <w:rPr>
          <w:i/>
          <w:iCs/>
          <w:sz w:val="24"/>
          <w:szCs w:val="24"/>
        </w:rPr>
      </w:pPr>
    </w:p>
    <w:p w:rsidR="00311682" w:rsidRPr="00B95846" w:rsidP="00311682" w14:paraId="360CE6D9" w14:textId="77777777">
      <w:pPr>
        <w:numPr>
          <w:ilvl w:val="0"/>
          <w:numId w:val="18"/>
        </w:numPr>
        <w:rPr>
          <w:b/>
          <w:bCs/>
          <w:i/>
          <w:iCs/>
          <w:sz w:val="24"/>
          <w:szCs w:val="24"/>
        </w:rPr>
      </w:pPr>
      <w:r w:rsidRPr="00B95846">
        <w:rPr>
          <w:b/>
          <w:bCs/>
          <w:i/>
          <w:iCs/>
          <w:sz w:val="24"/>
          <w:szCs w:val="24"/>
        </w:rPr>
        <w:t xml:space="preserve">in connection with a statistical survey, that is not designed to produce valid and reliable results than can be generalized to the universe of </w:t>
      </w:r>
      <w:r w:rsidRPr="00B95846">
        <w:rPr>
          <w:b/>
          <w:bCs/>
          <w:i/>
          <w:iCs/>
          <w:sz w:val="24"/>
          <w:szCs w:val="24"/>
        </w:rPr>
        <w:t>study;</w:t>
      </w:r>
      <w:r w:rsidRPr="00B95846">
        <w:rPr>
          <w:b/>
          <w:bCs/>
          <w:i/>
          <w:iCs/>
          <w:sz w:val="24"/>
          <w:szCs w:val="24"/>
        </w:rPr>
        <w:t xml:space="preserve"> </w:t>
      </w:r>
    </w:p>
    <w:p w:rsidR="00311682" w:rsidRPr="00B95846" w:rsidP="00311682" w14:paraId="2800E841" w14:textId="77777777">
      <w:pPr>
        <w:pStyle w:val="ListParagraph"/>
        <w:ind w:left="900" w:firstLine="540"/>
        <w:rPr>
          <w:sz w:val="24"/>
          <w:szCs w:val="24"/>
        </w:rPr>
      </w:pPr>
    </w:p>
    <w:p w:rsidR="00311682" w:rsidRPr="00B95846" w:rsidP="00311682" w14:paraId="45DABBC9" w14:textId="77777777">
      <w:pPr>
        <w:pStyle w:val="ListParagraph"/>
        <w:ind w:left="900" w:firstLine="540"/>
        <w:rPr>
          <w:sz w:val="24"/>
          <w:szCs w:val="24"/>
        </w:rPr>
      </w:pPr>
      <w:r w:rsidRPr="00B95846">
        <w:rPr>
          <w:sz w:val="24"/>
          <w:szCs w:val="24"/>
        </w:rPr>
        <w:t>Not Applicable</w:t>
      </w:r>
    </w:p>
    <w:p w:rsidR="00311682" w:rsidRPr="00B95846" w:rsidP="00311682" w14:paraId="7362F45E" w14:textId="77777777">
      <w:pPr>
        <w:ind w:left="900" w:hanging="360"/>
        <w:rPr>
          <w:i/>
          <w:iCs/>
          <w:sz w:val="24"/>
          <w:szCs w:val="24"/>
        </w:rPr>
      </w:pPr>
    </w:p>
    <w:p w:rsidR="00311682" w:rsidRPr="00B95846" w:rsidP="00311682" w14:paraId="3645BEFF" w14:textId="77777777">
      <w:pPr>
        <w:numPr>
          <w:ilvl w:val="0"/>
          <w:numId w:val="18"/>
        </w:numPr>
        <w:rPr>
          <w:b/>
          <w:bCs/>
          <w:i/>
          <w:iCs/>
          <w:sz w:val="24"/>
          <w:szCs w:val="24"/>
        </w:rPr>
      </w:pPr>
      <w:r w:rsidRPr="00B95846">
        <w:rPr>
          <w:b/>
          <w:bCs/>
          <w:i/>
          <w:iCs/>
          <w:sz w:val="24"/>
          <w:szCs w:val="24"/>
        </w:rPr>
        <w:t xml:space="preserve">requiring the use of a statistical data classification that has not been reviewed and approved by </w:t>
      </w:r>
      <w:r w:rsidRPr="00B95846">
        <w:rPr>
          <w:b/>
          <w:bCs/>
          <w:i/>
          <w:iCs/>
          <w:sz w:val="24"/>
          <w:szCs w:val="24"/>
        </w:rPr>
        <w:t>OMB;</w:t>
      </w:r>
    </w:p>
    <w:p w:rsidR="00311682" w:rsidRPr="00B95846" w:rsidP="00311682" w14:paraId="2CBD186D" w14:textId="77777777">
      <w:pPr>
        <w:ind w:left="900" w:hanging="360"/>
        <w:rPr>
          <w:i/>
          <w:iCs/>
          <w:sz w:val="24"/>
          <w:szCs w:val="24"/>
        </w:rPr>
      </w:pPr>
      <w:r w:rsidRPr="00B95846">
        <w:rPr>
          <w:i/>
          <w:iCs/>
          <w:sz w:val="24"/>
          <w:szCs w:val="24"/>
        </w:rPr>
        <w:tab/>
        <w:t xml:space="preserve">  </w:t>
      </w:r>
      <w:r w:rsidRPr="00B95846">
        <w:rPr>
          <w:i/>
          <w:iCs/>
          <w:sz w:val="24"/>
          <w:szCs w:val="24"/>
        </w:rPr>
        <w:tab/>
        <w:t xml:space="preserve"> </w:t>
      </w:r>
    </w:p>
    <w:p w:rsidR="00311682" w:rsidRPr="00B95846" w:rsidP="00311682" w14:paraId="6D5ED4A1" w14:textId="77777777">
      <w:pPr>
        <w:ind w:left="900"/>
        <w:rPr>
          <w:i/>
          <w:iCs/>
          <w:sz w:val="24"/>
          <w:szCs w:val="24"/>
        </w:rPr>
      </w:pPr>
      <w:r w:rsidRPr="00B95846">
        <w:rPr>
          <w:sz w:val="24"/>
          <w:szCs w:val="24"/>
        </w:rPr>
        <w:t>Not Applicable</w:t>
      </w:r>
    </w:p>
    <w:p w:rsidR="00311682" w:rsidRPr="00B95846" w:rsidP="00311682" w14:paraId="6A1005D1" w14:textId="77777777">
      <w:pPr>
        <w:tabs>
          <w:tab w:val="left" w:pos="600"/>
        </w:tabs>
        <w:ind w:left="684"/>
        <w:rPr>
          <w:i/>
          <w:iCs/>
          <w:sz w:val="24"/>
          <w:szCs w:val="24"/>
        </w:rPr>
      </w:pPr>
      <w:r w:rsidRPr="00B95846">
        <w:rPr>
          <w:i/>
          <w:iCs/>
          <w:sz w:val="24"/>
          <w:szCs w:val="24"/>
        </w:rPr>
        <w:t xml:space="preserve"> </w:t>
      </w:r>
    </w:p>
    <w:p w:rsidR="00311682" w:rsidRPr="00B95846" w:rsidP="00311682" w14:paraId="03BC2155" w14:textId="77777777">
      <w:pPr>
        <w:numPr>
          <w:ilvl w:val="0"/>
          <w:numId w:val="18"/>
        </w:numPr>
        <w:tabs>
          <w:tab w:val="left" w:pos="600"/>
        </w:tabs>
        <w:rPr>
          <w:b/>
          <w:bCs/>
          <w:i/>
          <w:iCs/>
          <w:sz w:val="24"/>
          <w:szCs w:val="24"/>
        </w:rPr>
      </w:pPr>
      <w:r w:rsidRPr="00B95846">
        <w:rPr>
          <w:b/>
          <w:bCs/>
          <w:i/>
          <w:i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11682" w:rsidRPr="00B95846" w:rsidP="00311682" w14:paraId="63577DC3" w14:textId="77777777">
      <w:pPr>
        <w:tabs>
          <w:tab w:val="left" w:pos="600"/>
        </w:tabs>
        <w:ind w:left="684"/>
        <w:rPr>
          <w:i/>
          <w:iCs/>
          <w:sz w:val="24"/>
          <w:szCs w:val="24"/>
        </w:rPr>
      </w:pPr>
      <w:r w:rsidRPr="00B95846">
        <w:rPr>
          <w:i/>
          <w:iCs/>
          <w:sz w:val="24"/>
          <w:szCs w:val="24"/>
        </w:rPr>
        <w:t xml:space="preserve">  </w:t>
      </w:r>
      <w:r w:rsidRPr="00B95846">
        <w:rPr>
          <w:i/>
          <w:iCs/>
          <w:sz w:val="24"/>
          <w:szCs w:val="24"/>
        </w:rPr>
        <w:tab/>
        <w:t xml:space="preserve"> </w:t>
      </w:r>
    </w:p>
    <w:p w:rsidR="00311682" w:rsidRPr="00B95846" w:rsidP="00311682" w14:paraId="2E809169" w14:textId="77777777">
      <w:pPr>
        <w:tabs>
          <w:tab w:val="left" w:pos="600"/>
        </w:tabs>
        <w:ind w:left="684"/>
        <w:rPr>
          <w:sz w:val="24"/>
          <w:szCs w:val="24"/>
        </w:rPr>
      </w:pPr>
      <w:r w:rsidRPr="00B95846">
        <w:rPr>
          <w:i/>
          <w:iCs/>
          <w:sz w:val="24"/>
          <w:szCs w:val="24"/>
        </w:rPr>
        <w:t xml:space="preserve">  </w:t>
      </w:r>
      <w:r w:rsidRPr="00B95846">
        <w:rPr>
          <w:sz w:val="24"/>
          <w:szCs w:val="24"/>
        </w:rPr>
        <w:t>Not Applicable</w:t>
      </w:r>
    </w:p>
    <w:p w:rsidR="00311682" w:rsidRPr="00B95846" w:rsidP="00311682" w14:paraId="15572E62" w14:textId="77777777">
      <w:pPr>
        <w:keepLines/>
        <w:tabs>
          <w:tab w:val="left" w:pos="600"/>
        </w:tabs>
        <w:spacing w:after="80"/>
        <w:ind w:left="684"/>
        <w:rPr>
          <w:i/>
          <w:iCs/>
          <w:sz w:val="24"/>
          <w:szCs w:val="24"/>
        </w:rPr>
      </w:pPr>
    </w:p>
    <w:p w:rsidR="00311682" w:rsidRPr="00B95846" w:rsidP="00311682" w14:paraId="4C9B12C8" w14:textId="77777777">
      <w:pPr>
        <w:pStyle w:val="ListParagraph"/>
        <w:numPr>
          <w:ilvl w:val="0"/>
          <w:numId w:val="18"/>
        </w:numPr>
        <w:tabs>
          <w:tab w:val="left" w:pos="600"/>
        </w:tabs>
        <w:contextualSpacing w:val="0"/>
        <w:rPr>
          <w:b/>
          <w:bCs/>
          <w:sz w:val="24"/>
          <w:szCs w:val="24"/>
        </w:rPr>
      </w:pPr>
      <w:r w:rsidRPr="00B95846">
        <w:rPr>
          <w:b/>
          <w:bCs/>
          <w:i/>
          <w:iCs/>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B95846">
        <w:rPr>
          <w:b/>
          <w:bCs/>
          <w:sz w:val="24"/>
          <w:szCs w:val="24"/>
        </w:rPr>
        <w:t xml:space="preserve"> </w:t>
      </w:r>
    </w:p>
    <w:p w:rsidR="00311682" w:rsidRPr="00B95846" w:rsidP="00311682" w14:paraId="742C70CC" w14:textId="77777777">
      <w:pPr>
        <w:tabs>
          <w:tab w:val="left" w:pos="600"/>
        </w:tabs>
        <w:ind w:left="684"/>
        <w:rPr>
          <w:sz w:val="24"/>
          <w:szCs w:val="24"/>
        </w:rPr>
      </w:pPr>
      <w:r w:rsidRPr="00B95846">
        <w:rPr>
          <w:sz w:val="24"/>
          <w:szCs w:val="24"/>
        </w:rPr>
        <w:t xml:space="preserve">  </w:t>
      </w:r>
      <w:r w:rsidRPr="00B95846">
        <w:rPr>
          <w:sz w:val="24"/>
          <w:szCs w:val="24"/>
        </w:rPr>
        <w:tab/>
        <w:t xml:space="preserve">  </w:t>
      </w:r>
    </w:p>
    <w:p w:rsidR="00311682" w:rsidRPr="00B95846" w:rsidP="00311682" w14:paraId="67F042C2" w14:textId="77777777">
      <w:pPr>
        <w:tabs>
          <w:tab w:val="left" w:pos="600"/>
        </w:tabs>
        <w:ind w:left="684"/>
        <w:rPr>
          <w:sz w:val="24"/>
          <w:szCs w:val="24"/>
        </w:rPr>
      </w:pPr>
      <w:r w:rsidRPr="00B95846">
        <w:rPr>
          <w:sz w:val="24"/>
          <w:szCs w:val="24"/>
        </w:rPr>
        <w:tab/>
        <w:t xml:space="preserve">   Not Applicable</w:t>
      </w:r>
    </w:p>
    <w:p w:rsidR="00311682" w:rsidRPr="00B95846" w:rsidP="00311682" w14:paraId="073E0809" w14:textId="77777777">
      <w:pPr>
        <w:keepLines/>
        <w:tabs>
          <w:tab w:val="left" w:pos="600"/>
        </w:tabs>
        <w:spacing w:after="80"/>
        <w:ind w:left="900"/>
        <w:rPr>
          <w:i/>
          <w:iCs/>
          <w:sz w:val="24"/>
          <w:szCs w:val="24"/>
        </w:rPr>
      </w:pPr>
      <w:r w:rsidRPr="00B95846">
        <w:rPr>
          <w:i/>
          <w:iCs/>
          <w:sz w:val="24"/>
          <w:szCs w:val="24"/>
        </w:rPr>
        <w:tab/>
      </w:r>
    </w:p>
    <w:p w:rsidR="00311682" w:rsidRPr="00B95846" w:rsidP="00311682" w14:paraId="71C708E6" w14:textId="77777777">
      <w:pPr>
        <w:numPr>
          <w:ilvl w:val="0"/>
          <w:numId w:val="16"/>
        </w:numPr>
        <w:tabs>
          <w:tab w:val="left" w:pos="360"/>
        </w:tabs>
        <w:rPr>
          <w:b/>
          <w:bCs/>
          <w:sz w:val="24"/>
          <w:szCs w:val="24"/>
        </w:rPr>
      </w:pPr>
      <w:r w:rsidRPr="00B95846">
        <w:rPr>
          <w:b/>
          <w:bCs/>
          <w:sz w:val="24"/>
          <w:szCs w:val="24"/>
        </w:rPr>
        <w:t xml:space="preserve">If applicable, provide a copy and identify the date and page number of </w:t>
      </w:r>
      <w:r w:rsidRPr="00B95846">
        <w:rPr>
          <w:b/>
          <w:bCs/>
          <w:sz w:val="24"/>
          <w:szCs w:val="24"/>
        </w:rPr>
        <w:t>publication</w:t>
      </w:r>
      <w:r w:rsidRPr="00B95846">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11682" w:rsidRPr="00B95846" w:rsidP="00311682" w14:paraId="7BAD5244" w14:textId="77777777">
      <w:pPr>
        <w:tabs>
          <w:tab w:val="left" w:pos="360"/>
        </w:tabs>
        <w:rPr>
          <w:b/>
          <w:bCs/>
          <w:sz w:val="24"/>
          <w:szCs w:val="24"/>
        </w:rPr>
      </w:pPr>
    </w:p>
    <w:p w:rsidR="00311682" w:rsidRPr="00B95846" w:rsidP="00311682" w14:paraId="4339FE81" w14:textId="77777777">
      <w:pPr>
        <w:numPr>
          <w:ilvl w:val="0"/>
          <w:numId w:val="18"/>
        </w:numPr>
        <w:tabs>
          <w:tab w:val="left" w:pos="360"/>
        </w:tabs>
        <w:ind w:left="480"/>
        <w:rPr>
          <w:b/>
          <w:bCs/>
          <w:i/>
          <w:iCs/>
          <w:sz w:val="24"/>
          <w:szCs w:val="24"/>
        </w:rPr>
      </w:pPr>
      <w:r w:rsidRPr="00B95846">
        <w:rPr>
          <w:b/>
          <w:bCs/>
          <w:i/>
          <w:i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311682" w:rsidRPr="00B95846" w:rsidP="00311682" w14:paraId="22E561D3" w14:textId="77777777">
      <w:pPr>
        <w:tabs>
          <w:tab w:val="left" w:pos="360"/>
        </w:tabs>
        <w:rPr>
          <w:i/>
          <w:iCs/>
          <w:sz w:val="24"/>
          <w:szCs w:val="24"/>
        </w:rPr>
      </w:pPr>
    </w:p>
    <w:p w:rsidR="00311682" w:rsidRPr="00B95846" w:rsidP="00311682" w14:paraId="54E68FA7" w14:textId="7E91679A">
      <w:pPr>
        <w:ind w:left="360"/>
        <w:rPr>
          <w:sz w:val="24"/>
          <w:szCs w:val="24"/>
        </w:rPr>
      </w:pPr>
      <w:r w:rsidRPr="00B95846">
        <w:rPr>
          <w:sz w:val="24"/>
          <w:szCs w:val="24"/>
        </w:rPr>
        <w:t xml:space="preserve">HUD published a Notice of Proposed Information Collection for Public Comments in the </w:t>
      </w:r>
      <w:r w:rsidRPr="00B95846">
        <w:rPr>
          <w:i/>
          <w:sz w:val="24"/>
          <w:szCs w:val="24"/>
        </w:rPr>
        <w:t>Federal Register</w:t>
      </w:r>
      <w:r w:rsidRPr="00B95846">
        <w:rPr>
          <w:sz w:val="24"/>
          <w:szCs w:val="24"/>
        </w:rPr>
        <w:t xml:space="preserve">, Volume </w:t>
      </w:r>
      <w:r w:rsidRPr="00B95846" w:rsidR="007F27F0">
        <w:rPr>
          <w:sz w:val="24"/>
          <w:szCs w:val="24"/>
        </w:rPr>
        <w:t>90</w:t>
      </w:r>
      <w:r w:rsidRPr="00B95846">
        <w:rPr>
          <w:sz w:val="24"/>
          <w:szCs w:val="24"/>
        </w:rPr>
        <w:t xml:space="preserve">; No. </w:t>
      </w:r>
      <w:r w:rsidRPr="00B95846" w:rsidR="007F27F0">
        <w:rPr>
          <w:sz w:val="24"/>
          <w:szCs w:val="24"/>
        </w:rPr>
        <w:t>80</w:t>
      </w:r>
      <w:r w:rsidRPr="00B95846">
        <w:rPr>
          <w:sz w:val="24"/>
          <w:szCs w:val="24"/>
        </w:rPr>
        <w:t xml:space="preserve">; Page </w:t>
      </w:r>
      <w:r w:rsidRPr="00B95846" w:rsidR="007F27F0">
        <w:rPr>
          <w:sz w:val="24"/>
          <w:szCs w:val="24"/>
        </w:rPr>
        <w:t xml:space="preserve">17611 </w:t>
      </w:r>
      <w:r w:rsidRPr="00B95846">
        <w:rPr>
          <w:sz w:val="24"/>
          <w:szCs w:val="24"/>
        </w:rPr>
        <w:t xml:space="preserve">on </w:t>
      </w:r>
      <w:r w:rsidRPr="00B95846" w:rsidR="007F27F0">
        <w:rPr>
          <w:sz w:val="24"/>
          <w:szCs w:val="24"/>
        </w:rPr>
        <w:t>April 28, 2025</w:t>
      </w:r>
      <w:r w:rsidRPr="00B95846">
        <w:rPr>
          <w:sz w:val="24"/>
          <w:szCs w:val="24"/>
        </w:rPr>
        <w:t xml:space="preserve">. </w:t>
      </w:r>
      <w:r w:rsidRPr="00362CE5">
        <w:rPr>
          <w:sz w:val="24"/>
          <w:szCs w:val="24"/>
        </w:rPr>
        <w:t xml:space="preserve">The public was given until </w:t>
      </w:r>
      <w:r w:rsidRPr="00362CE5" w:rsidR="007F27F0">
        <w:rPr>
          <w:sz w:val="24"/>
          <w:szCs w:val="24"/>
        </w:rPr>
        <w:t>June 27, 2025</w:t>
      </w:r>
      <w:r w:rsidRPr="00362CE5">
        <w:rPr>
          <w:sz w:val="24"/>
          <w:szCs w:val="24"/>
        </w:rPr>
        <w:t>, to submit comments on the proposed information collection.  HUD received no comments on this proposed collection.</w:t>
      </w:r>
    </w:p>
    <w:p w:rsidR="00311682" w:rsidRPr="00B95846" w:rsidP="00311682" w14:paraId="2C21D5C2" w14:textId="77777777">
      <w:pPr>
        <w:tabs>
          <w:tab w:val="left" w:pos="360"/>
        </w:tabs>
        <w:rPr>
          <w:i/>
          <w:iCs/>
          <w:sz w:val="24"/>
          <w:szCs w:val="24"/>
        </w:rPr>
      </w:pPr>
    </w:p>
    <w:p w:rsidR="00311682" w:rsidRPr="00B95846" w:rsidP="00311682" w14:paraId="29123005" w14:textId="77777777">
      <w:pPr>
        <w:keepLines/>
        <w:numPr>
          <w:ilvl w:val="0"/>
          <w:numId w:val="18"/>
        </w:numPr>
        <w:tabs>
          <w:tab w:val="left" w:pos="360"/>
        </w:tabs>
        <w:spacing w:after="80"/>
        <w:ind w:left="480"/>
        <w:rPr>
          <w:b/>
          <w:bCs/>
          <w:i/>
          <w:iCs/>
          <w:sz w:val="24"/>
          <w:szCs w:val="24"/>
        </w:rPr>
      </w:pPr>
      <w:r w:rsidRPr="00B95846">
        <w:rPr>
          <w:b/>
          <w:bCs/>
          <w:i/>
          <w:i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311682" w:rsidRPr="00B95846" w:rsidP="00311682" w14:paraId="39C900AA" w14:textId="77777777">
      <w:pPr>
        <w:keepLines/>
        <w:tabs>
          <w:tab w:val="left" w:pos="450"/>
        </w:tabs>
        <w:spacing w:after="80"/>
        <w:rPr>
          <w:sz w:val="24"/>
          <w:szCs w:val="24"/>
        </w:rPr>
      </w:pPr>
      <w:r w:rsidRPr="00B95846">
        <w:rPr>
          <w:sz w:val="24"/>
          <w:szCs w:val="24"/>
        </w:rPr>
        <w:tab/>
      </w:r>
      <w:r w:rsidRPr="00B95846">
        <w:rPr>
          <w:sz w:val="24"/>
          <w:szCs w:val="24"/>
        </w:rPr>
        <w:tab/>
      </w:r>
    </w:p>
    <w:p w:rsidR="00311682" w:rsidRPr="00B95846" w:rsidP="00311682" w14:paraId="6F2B5338" w14:textId="77777777">
      <w:pPr>
        <w:keepLines/>
        <w:tabs>
          <w:tab w:val="left" w:pos="450"/>
        </w:tabs>
        <w:spacing w:after="80"/>
        <w:rPr>
          <w:sz w:val="24"/>
          <w:szCs w:val="24"/>
        </w:rPr>
      </w:pPr>
      <w:r w:rsidRPr="00B95846">
        <w:rPr>
          <w:sz w:val="24"/>
          <w:szCs w:val="24"/>
        </w:rPr>
        <w:tab/>
        <w:t>Not Applicable.</w:t>
      </w:r>
    </w:p>
    <w:p w:rsidR="00311682" w:rsidRPr="00B95846" w:rsidP="00311682" w14:paraId="6C2486E6" w14:textId="77777777">
      <w:pPr>
        <w:tabs>
          <w:tab w:val="left" w:pos="360"/>
        </w:tabs>
        <w:ind w:left="360" w:hanging="360"/>
        <w:rPr>
          <w:sz w:val="24"/>
          <w:szCs w:val="24"/>
        </w:rPr>
      </w:pPr>
    </w:p>
    <w:p w:rsidR="00311682" w:rsidRPr="00B95846" w:rsidP="00311682" w14:paraId="505813A0" w14:textId="77777777">
      <w:pPr>
        <w:pStyle w:val="ListParagraph"/>
        <w:keepLines/>
        <w:numPr>
          <w:ilvl w:val="0"/>
          <w:numId w:val="16"/>
        </w:numPr>
        <w:tabs>
          <w:tab w:val="left" w:pos="360"/>
        </w:tabs>
        <w:spacing w:after="80"/>
        <w:contextualSpacing w:val="0"/>
        <w:rPr>
          <w:sz w:val="24"/>
          <w:szCs w:val="24"/>
        </w:rPr>
      </w:pPr>
      <w:r w:rsidRPr="00B95846">
        <w:rPr>
          <w:b/>
          <w:bCs/>
          <w:sz w:val="24"/>
          <w:szCs w:val="24"/>
        </w:rPr>
        <w:t>Explain any decision to provide any payment or gift to respondents, other than renumeration of contractors or grantees</w:t>
      </w:r>
      <w:r w:rsidRPr="00B95846">
        <w:rPr>
          <w:sz w:val="24"/>
          <w:szCs w:val="24"/>
        </w:rPr>
        <w:t>.</w:t>
      </w:r>
    </w:p>
    <w:p w:rsidR="00311682" w:rsidRPr="00B95846" w:rsidP="00311682" w14:paraId="5DF5B485" w14:textId="77777777">
      <w:pPr>
        <w:ind w:left="360"/>
        <w:rPr>
          <w:sz w:val="24"/>
          <w:szCs w:val="24"/>
        </w:rPr>
      </w:pPr>
      <w:r w:rsidRPr="00B95846">
        <w:rPr>
          <w:color w:val="000000"/>
          <w:sz w:val="24"/>
          <w:szCs w:val="24"/>
        </w:rPr>
        <w:t>There are no provisions to provide any payments or gifts to respondents, other than remuneration of contractors or recipients.</w:t>
      </w:r>
    </w:p>
    <w:p w:rsidR="00311682" w:rsidRPr="00B95846" w:rsidP="00311682" w14:paraId="361B3286" w14:textId="77777777">
      <w:pPr>
        <w:tabs>
          <w:tab w:val="left" w:pos="360"/>
        </w:tabs>
        <w:ind w:left="360" w:hanging="360"/>
        <w:rPr>
          <w:sz w:val="24"/>
          <w:szCs w:val="24"/>
        </w:rPr>
      </w:pPr>
    </w:p>
    <w:p w:rsidR="00311682" w:rsidRPr="00B95846" w:rsidP="00311682" w14:paraId="4C6E2136" w14:textId="77777777">
      <w:pPr>
        <w:pStyle w:val="ListParagraph"/>
        <w:keepLines/>
        <w:numPr>
          <w:ilvl w:val="0"/>
          <w:numId w:val="16"/>
        </w:numPr>
        <w:tabs>
          <w:tab w:val="left" w:pos="360"/>
        </w:tabs>
        <w:spacing w:after="80"/>
        <w:contextualSpacing w:val="0"/>
        <w:rPr>
          <w:b/>
          <w:bCs/>
          <w:sz w:val="24"/>
          <w:szCs w:val="24"/>
        </w:rPr>
      </w:pPr>
      <w:r w:rsidRPr="00B95846">
        <w:rPr>
          <w:b/>
          <w:bCs/>
          <w:sz w:val="24"/>
          <w:szCs w:val="24"/>
        </w:rPr>
        <w:t>Describe any assurance of confidentiality provided to respondents and the basis for assurance in statute, regulation or agency policy. If the collection requires a system of records notice (SORN) or privacy impact assessment (PIA), those should be cited and described here.</w:t>
      </w:r>
    </w:p>
    <w:p w:rsidR="00311682" w:rsidRPr="00B95846" w:rsidP="00311682" w14:paraId="37FCE8FD" w14:textId="77777777">
      <w:pPr>
        <w:ind w:left="360"/>
        <w:rPr>
          <w:sz w:val="24"/>
          <w:szCs w:val="24"/>
        </w:rPr>
      </w:pPr>
      <w:r w:rsidRPr="00B95846">
        <w:rPr>
          <w:color w:val="000000"/>
          <w:sz w:val="24"/>
          <w:szCs w:val="24"/>
        </w:rPr>
        <w:t>The information collection is public information; therefore, there is no assurance of confidentiality.</w:t>
      </w:r>
    </w:p>
    <w:p w:rsidR="00311682" w:rsidRPr="00B95846" w:rsidP="00311682" w14:paraId="7C82F99D" w14:textId="77777777">
      <w:pPr>
        <w:tabs>
          <w:tab w:val="left" w:pos="360"/>
        </w:tabs>
        <w:ind w:left="360" w:hanging="360"/>
        <w:rPr>
          <w:b/>
          <w:bCs/>
          <w:sz w:val="24"/>
          <w:szCs w:val="24"/>
        </w:rPr>
      </w:pPr>
    </w:p>
    <w:p w:rsidR="00311682" w:rsidRPr="00B95846" w:rsidP="00311682" w14:paraId="47AEF5B8" w14:textId="77777777">
      <w:pPr>
        <w:pStyle w:val="ListParagraph"/>
        <w:keepLines/>
        <w:numPr>
          <w:ilvl w:val="0"/>
          <w:numId w:val="16"/>
        </w:numPr>
        <w:tabs>
          <w:tab w:val="left" w:pos="360"/>
        </w:tabs>
        <w:spacing w:after="80"/>
        <w:contextualSpacing w:val="0"/>
        <w:rPr>
          <w:b/>
          <w:bCs/>
          <w:sz w:val="24"/>
          <w:szCs w:val="24"/>
        </w:rPr>
      </w:pPr>
      <w:r w:rsidRPr="00B95846">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11682" w:rsidRPr="00B95846" w:rsidP="00311682" w14:paraId="1E156D16" w14:textId="77777777">
      <w:pPr>
        <w:pStyle w:val="ListParagraph"/>
        <w:keepLines/>
        <w:tabs>
          <w:tab w:val="left" w:pos="360"/>
        </w:tabs>
        <w:spacing w:after="80"/>
        <w:ind w:left="360"/>
        <w:rPr>
          <w:sz w:val="24"/>
          <w:szCs w:val="24"/>
        </w:rPr>
      </w:pPr>
      <w:r w:rsidRPr="00B95846">
        <w:rPr>
          <w:sz w:val="24"/>
          <w:szCs w:val="24"/>
        </w:rPr>
        <w:tab/>
        <w:t xml:space="preserve">Not Applicable. </w:t>
      </w:r>
    </w:p>
    <w:p w:rsidR="00311682" w:rsidRPr="00B95846" w:rsidP="00311682" w14:paraId="3706A548" w14:textId="77777777">
      <w:pPr>
        <w:tabs>
          <w:tab w:val="left" w:pos="360"/>
        </w:tabs>
        <w:ind w:left="360" w:hanging="360"/>
        <w:rPr>
          <w:b/>
          <w:bCs/>
          <w:sz w:val="24"/>
          <w:szCs w:val="24"/>
        </w:rPr>
      </w:pPr>
    </w:p>
    <w:p w:rsidR="00311682" w:rsidRPr="00B95846" w:rsidP="00311682" w14:paraId="14FF8F27" w14:textId="77777777">
      <w:pPr>
        <w:pStyle w:val="ListParagraph"/>
        <w:numPr>
          <w:ilvl w:val="0"/>
          <w:numId w:val="16"/>
        </w:numPr>
        <w:tabs>
          <w:tab w:val="left" w:pos="360"/>
        </w:tabs>
        <w:contextualSpacing w:val="0"/>
        <w:rPr>
          <w:b/>
          <w:bCs/>
          <w:sz w:val="24"/>
          <w:szCs w:val="24"/>
        </w:rPr>
      </w:pPr>
      <w:r w:rsidRPr="00B95846">
        <w:rPr>
          <w:b/>
          <w:bCs/>
          <w:sz w:val="24"/>
          <w:szCs w:val="24"/>
        </w:rPr>
        <w:t>Provide estimates of the hour burden of the collection of information.  The statement should:</w:t>
      </w:r>
    </w:p>
    <w:p w:rsidR="00311682" w:rsidRPr="00B95846" w:rsidP="00311682" w14:paraId="2B239666" w14:textId="77777777">
      <w:pPr>
        <w:pStyle w:val="ListParagraph"/>
        <w:tabs>
          <w:tab w:val="left" w:pos="360"/>
        </w:tabs>
        <w:ind w:left="360"/>
        <w:rPr>
          <w:b/>
          <w:bCs/>
          <w:sz w:val="24"/>
          <w:szCs w:val="24"/>
        </w:rPr>
      </w:pPr>
    </w:p>
    <w:p w:rsidR="00311682" w:rsidRPr="00B95846" w:rsidP="00311682" w14:paraId="0F4D889F" w14:textId="77777777">
      <w:pPr>
        <w:keepLines/>
        <w:numPr>
          <w:ilvl w:val="0"/>
          <w:numId w:val="18"/>
        </w:numPr>
        <w:tabs>
          <w:tab w:val="left" w:pos="360"/>
        </w:tabs>
        <w:spacing w:after="80"/>
        <w:ind w:left="480"/>
        <w:rPr>
          <w:i/>
          <w:iCs/>
          <w:sz w:val="24"/>
          <w:szCs w:val="24"/>
        </w:rPr>
      </w:pPr>
      <w:r w:rsidRPr="00B95846">
        <w:rPr>
          <w:b/>
          <w:bCs/>
          <w:sz w:val="24"/>
          <w:szCs w:val="24"/>
        </w:rPr>
        <w:t xml:space="preserve"> </w:t>
      </w:r>
      <w:r w:rsidRPr="00B95846">
        <w:rPr>
          <w:i/>
          <w:i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B95846">
        <w:rPr>
          <w:i/>
          <w:iCs/>
          <w:sz w:val="24"/>
          <w:szCs w:val="24"/>
        </w:rPr>
        <w:t>practices;</w:t>
      </w:r>
      <w:r w:rsidRPr="00B95846">
        <w:rPr>
          <w:i/>
          <w:iCs/>
          <w:sz w:val="24"/>
          <w:szCs w:val="24"/>
        </w:rPr>
        <w:t xml:space="preserve"> </w:t>
      </w:r>
    </w:p>
    <w:p w:rsidR="00311682" w:rsidRPr="00B95846" w:rsidP="00311682" w14:paraId="2C7EECC4" w14:textId="77777777">
      <w:pPr>
        <w:keepLines/>
        <w:numPr>
          <w:ilvl w:val="0"/>
          <w:numId w:val="18"/>
        </w:numPr>
        <w:tabs>
          <w:tab w:val="left" w:pos="360"/>
        </w:tabs>
        <w:spacing w:after="80"/>
        <w:ind w:left="480"/>
        <w:rPr>
          <w:i/>
          <w:iCs/>
          <w:sz w:val="24"/>
          <w:szCs w:val="24"/>
        </w:rPr>
      </w:pPr>
      <w:r w:rsidRPr="00B95846">
        <w:rPr>
          <w:i/>
          <w:iCs/>
          <w:sz w:val="24"/>
          <w:szCs w:val="24"/>
        </w:rPr>
        <w:t xml:space="preserve">If this request covers more than one form, provide separate hour burden estimates for each form and aggregate the hour burdens in the chart below; and </w:t>
      </w:r>
    </w:p>
    <w:p w:rsidR="00311682" w:rsidRPr="00B95846" w:rsidP="00311682" w14:paraId="1C4DED1A" w14:textId="77777777">
      <w:pPr>
        <w:keepLines/>
        <w:numPr>
          <w:ilvl w:val="0"/>
          <w:numId w:val="18"/>
        </w:numPr>
        <w:tabs>
          <w:tab w:val="left" w:pos="360"/>
        </w:tabs>
        <w:spacing w:after="80"/>
        <w:ind w:left="480"/>
        <w:rPr>
          <w:i/>
          <w:iCs/>
          <w:sz w:val="24"/>
          <w:szCs w:val="24"/>
        </w:rPr>
      </w:pPr>
      <w:r w:rsidRPr="00B95846">
        <w:rPr>
          <w:i/>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311682" w:rsidRPr="00B95846" w:rsidP="00311682" w14:paraId="748DC660" w14:textId="77777777">
      <w:pPr>
        <w:spacing w:after="80"/>
        <w:rPr>
          <w:sz w:val="24"/>
          <w:szCs w:val="24"/>
        </w:rPr>
      </w:pPr>
    </w:p>
    <w:p w:rsidR="00311682" w:rsidP="00311682" w14:paraId="7E003919" w14:textId="33BD72CB">
      <w:pPr>
        <w:spacing w:after="80"/>
        <w:rPr>
          <w:sz w:val="24"/>
          <w:szCs w:val="24"/>
        </w:rPr>
      </w:pPr>
      <w:r w:rsidRPr="00B95846">
        <w:rPr>
          <w:sz w:val="24"/>
          <w:szCs w:val="24"/>
        </w:rPr>
        <w:t xml:space="preserve">The total number of respondents for all forms included in this collection is </w:t>
      </w:r>
      <w:r w:rsidR="009C2753">
        <w:rPr>
          <w:color w:val="000000"/>
          <w:sz w:val="24"/>
          <w:szCs w:val="24"/>
        </w:rPr>
        <w:t>3</w:t>
      </w:r>
      <w:r w:rsidR="00251530">
        <w:rPr>
          <w:color w:val="000000"/>
          <w:sz w:val="24"/>
          <w:szCs w:val="24"/>
        </w:rPr>
        <w:t>,</w:t>
      </w:r>
      <w:r w:rsidR="00CD7693">
        <w:rPr>
          <w:color w:val="000000"/>
          <w:sz w:val="24"/>
          <w:szCs w:val="24"/>
        </w:rPr>
        <w:t>390</w:t>
      </w:r>
      <w:r w:rsidRPr="00B95846">
        <w:rPr>
          <w:color w:val="000000"/>
          <w:sz w:val="24"/>
          <w:szCs w:val="24"/>
        </w:rPr>
        <w:t>.</w:t>
      </w:r>
      <w:r w:rsidRPr="00B95846">
        <w:rPr>
          <w:sz w:val="24"/>
          <w:szCs w:val="24"/>
        </w:rPr>
        <w:t xml:space="preserve"> This represents the number of respondent Tribes and Tribally Designated Housing Entities (TDHE)</w:t>
      </w:r>
      <w:r w:rsidR="00251530">
        <w:rPr>
          <w:sz w:val="24"/>
          <w:szCs w:val="24"/>
        </w:rPr>
        <w:t xml:space="preserve"> for IHBG Formula and IHBG-COMP</w:t>
      </w:r>
      <w:r w:rsidR="00A837D5">
        <w:rPr>
          <w:sz w:val="24"/>
          <w:szCs w:val="24"/>
        </w:rPr>
        <w:t>, excluding record retention</w:t>
      </w:r>
      <w:r w:rsidRPr="00B95846">
        <w:rPr>
          <w:sz w:val="24"/>
          <w:szCs w:val="24"/>
        </w:rPr>
        <w:t xml:space="preserve">.  </w:t>
      </w:r>
    </w:p>
    <w:p w:rsidR="00CD7693" w:rsidP="00311682" w14:paraId="0847B468" w14:textId="77777777">
      <w:pPr>
        <w:spacing w:after="80"/>
        <w:rPr>
          <w:sz w:val="24"/>
          <w:szCs w:val="24"/>
        </w:rPr>
      </w:pPr>
    </w:p>
    <w:tbl>
      <w:tblPr>
        <w:tblW w:w="9728" w:type="dxa"/>
        <w:tblInd w:w="-275" w:type="dxa"/>
        <w:tblLook w:val="04A0"/>
      </w:tblPr>
      <w:tblGrid>
        <w:gridCol w:w="1960"/>
        <w:gridCol w:w="1239"/>
        <w:gridCol w:w="1205"/>
        <w:gridCol w:w="1130"/>
        <w:gridCol w:w="1028"/>
        <w:gridCol w:w="810"/>
        <w:gridCol w:w="990"/>
        <w:gridCol w:w="1366"/>
      </w:tblGrid>
      <w:tr w14:paraId="5703F009"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D7693" w:rsidRPr="00D30FE9" w:rsidP="00CD7693" w14:paraId="77E214E8" w14:textId="77777777">
            <w:pPr>
              <w:overflowPunct/>
              <w:autoSpaceDE/>
              <w:autoSpaceDN/>
              <w:adjustRightInd/>
              <w:jc w:val="center"/>
              <w:textAlignment w:val="auto"/>
              <w:rPr>
                <w:rFonts w:eastAsia="Calibri"/>
                <w:color w:val="000000"/>
              </w:rPr>
            </w:pPr>
            <w:bookmarkStart w:id="2" w:name="_Hlk201819121"/>
            <w:r w:rsidRPr="00D30FE9">
              <w:rPr>
                <w:rFonts w:eastAsia="Calibri"/>
                <w:color w:val="000000"/>
              </w:rPr>
              <w:t>Information Collection</w:t>
            </w:r>
          </w:p>
        </w:tc>
        <w:tc>
          <w:tcPr>
            <w:tcW w:w="123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D7693" w:rsidRPr="00D30FE9" w:rsidP="00CD7693" w14:paraId="37490064" w14:textId="77777777">
            <w:pPr>
              <w:overflowPunct/>
              <w:autoSpaceDE/>
              <w:autoSpaceDN/>
              <w:adjustRightInd/>
              <w:jc w:val="center"/>
              <w:textAlignment w:val="auto"/>
              <w:rPr>
                <w:rFonts w:eastAsia="Calibri"/>
                <w:color w:val="000000"/>
              </w:rPr>
            </w:pPr>
            <w:r w:rsidRPr="00D30FE9">
              <w:rPr>
                <w:rFonts w:eastAsia="Calibri"/>
                <w:color w:val="000000"/>
              </w:rPr>
              <w:t>Number of Respondents</w:t>
            </w:r>
          </w:p>
        </w:tc>
        <w:tc>
          <w:tcPr>
            <w:tcW w:w="120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D7693" w:rsidRPr="00D30FE9" w:rsidP="00CD7693" w14:paraId="06A0DCC4" w14:textId="77777777">
            <w:pPr>
              <w:overflowPunct/>
              <w:autoSpaceDE/>
              <w:autoSpaceDN/>
              <w:adjustRightInd/>
              <w:jc w:val="center"/>
              <w:textAlignment w:val="auto"/>
              <w:rPr>
                <w:rFonts w:eastAsia="Calibri"/>
                <w:color w:val="000000"/>
              </w:rPr>
            </w:pPr>
            <w:r w:rsidRPr="00D30FE9">
              <w:rPr>
                <w:rFonts w:eastAsia="Calibri"/>
                <w:color w:val="000000"/>
              </w:rPr>
              <w:t>Frequency of Response</w:t>
            </w:r>
          </w:p>
        </w:tc>
        <w:tc>
          <w:tcPr>
            <w:tcW w:w="113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D7693" w:rsidRPr="00D30FE9" w:rsidP="00CD7693" w14:paraId="6441F5E9" w14:textId="77777777">
            <w:pPr>
              <w:overflowPunct/>
              <w:autoSpaceDE/>
              <w:autoSpaceDN/>
              <w:adjustRightInd/>
              <w:jc w:val="center"/>
              <w:textAlignment w:val="auto"/>
              <w:rPr>
                <w:rFonts w:eastAsia="Calibri"/>
                <w:color w:val="000000"/>
              </w:rPr>
            </w:pPr>
            <w:r w:rsidRPr="00D30FE9">
              <w:rPr>
                <w:rFonts w:eastAsia="Calibri"/>
                <w:color w:val="000000"/>
              </w:rPr>
              <w:t xml:space="preserve">Responses per Annum </w:t>
            </w:r>
          </w:p>
        </w:tc>
        <w:tc>
          <w:tcPr>
            <w:tcW w:w="102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D7693" w:rsidRPr="00D30FE9" w:rsidP="00CD7693" w14:paraId="5183DA03" w14:textId="77777777">
            <w:pPr>
              <w:overflowPunct/>
              <w:autoSpaceDE/>
              <w:autoSpaceDN/>
              <w:adjustRightInd/>
              <w:jc w:val="center"/>
              <w:textAlignment w:val="auto"/>
              <w:rPr>
                <w:rFonts w:eastAsia="Calibri"/>
                <w:color w:val="000000"/>
              </w:rPr>
            </w:pPr>
            <w:r w:rsidRPr="00D30FE9">
              <w:rPr>
                <w:rFonts w:eastAsia="Calibri"/>
                <w:color w:val="000000"/>
              </w:rPr>
              <w:t>Burden Hour Per Response</w:t>
            </w:r>
          </w:p>
        </w:tc>
        <w:tc>
          <w:tcPr>
            <w:tcW w:w="81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D7693" w:rsidRPr="00D30FE9" w:rsidP="00CD7693" w14:paraId="4A4F9448" w14:textId="77777777">
            <w:pPr>
              <w:overflowPunct/>
              <w:autoSpaceDE/>
              <w:autoSpaceDN/>
              <w:adjustRightInd/>
              <w:jc w:val="center"/>
              <w:textAlignment w:val="auto"/>
              <w:rPr>
                <w:rFonts w:eastAsia="Calibri"/>
                <w:color w:val="000000"/>
              </w:rPr>
            </w:pPr>
            <w:r w:rsidRPr="00D30FE9">
              <w:rPr>
                <w:rFonts w:eastAsia="Calibri"/>
                <w:color w:val="000000"/>
              </w:rPr>
              <w:t>Annual Burden Hours</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D7693" w:rsidRPr="00D30FE9" w:rsidP="00CD7693" w14:paraId="69F87D46" w14:textId="77777777">
            <w:pPr>
              <w:overflowPunct/>
              <w:autoSpaceDE/>
              <w:autoSpaceDN/>
              <w:adjustRightInd/>
              <w:jc w:val="center"/>
              <w:textAlignment w:val="auto"/>
              <w:rPr>
                <w:rFonts w:eastAsia="Calibri"/>
                <w:color w:val="000000"/>
              </w:rPr>
            </w:pPr>
            <w:r w:rsidRPr="00D30FE9">
              <w:rPr>
                <w:rFonts w:eastAsia="Calibri"/>
                <w:color w:val="000000"/>
              </w:rPr>
              <w:t>Hourly Cost Per Response</w:t>
            </w:r>
          </w:p>
        </w:tc>
        <w:tc>
          <w:tcPr>
            <w:tcW w:w="135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D7693" w:rsidRPr="00D30FE9" w:rsidP="00CD7693" w14:paraId="7CEACE94" w14:textId="77777777">
            <w:pPr>
              <w:overflowPunct/>
              <w:autoSpaceDE/>
              <w:autoSpaceDN/>
              <w:adjustRightInd/>
              <w:jc w:val="center"/>
              <w:textAlignment w:val="auto"/>
              <w:rPr>
                <w:rFonts w:eastAsia="Calibri"/>
                <w:color w:val="000000"/>
              </w:rPr>
            </w:pPr>
            <w:r w:rsidRPr="00D30FE9">
              <w:rPr>
                <w:rFonts w:eastAsia="Calibri"/>
                <w:color w:val="000000"/>
              </w:rPr>
              <w:t>Annual Cost</w:t>
            </w:r>
          </w:p>
        </w:tc>
      </w:tr>
      <w:tr w14:paraId="41120B30"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4D1C753E" w14:textId="77777777">
            <w:pPr>
              <w:overflowPunct/>
              <w:autoSpaceDE/>
              <w:autoSpaceDN/>
              <w:adjustRightInd/>
              <w:textAlignment w:val="auto"/>
              <w:rPr>
                <w:rFonts w:eastAsia="Calibri"/>
                <w:color w:val="000000"/>
              </w:rPr>
            </w:pPr>
            <w:r w:rsidRPr="00D30FE9">
              <w:rPr>
                <w:rFonts w:eastAsia="Calibri"/>
                <w:color w:val="000000"/>
              </w:rPr>
              <w:t>Application for Federal Assistance SF-424 (2501-0044)</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7CA9B8C" w14:textId="77777777">
            <w:pPr>
              <w:overflowPunct/>
              <w:autoSpaceDE/>
              <w:autoSpaceDN/>
              <w:adjustRightInd/>
              <w:jc w:val="center"/>
              <w:textAlignment w:val="auto"/>
              <w:rPr>
                <w:rFonts w:eastAsia="Calibri"/>
                <w:color w:val="000000"/>
              </w:rPr>
            </w:pPr>
            <w:r w:rsidRPr="00D30FE9">
              <w:rPr>
                <w:rFonts w:eastAsia="Calibri"/>
                <w:color w:val="000000"/>
              </w:rPr>
              <w:t>300</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2BE2367"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2360DC38"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5ED13DA" w14:textId="77777777">
            <w:pPr>
              <w:overflowPunct/>
              <w:autoSpaceDE/>
              <w:autoSpaceDN/>
              <w:adjustRightInd/>
              <w:jc w:val="center"/>
              <w:textAlignment w:val="auto"/>
              <w:rPr>
                <w:rFonts w:eastAsia="Calibri"/>
                <w:color w:val="000000"/>
              </w:rPr>
            </w:pPr>
            <w:r w:rsidRPr="00D30FE9">
              <w:rPr>
                <w:rFonts w:eastAsia="Calibri"/>
                <w:color w:val="000000"/>
              </w:rPr>
              <w:t>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31F854A" w14:textId="77777777">
            <w:pPr>
              <w:overflowPunct/>
              <w:autoSpaceDE/>
              <w:autoSpaceDN/>
              <w:adjustRightInd/>
              <w:jc w:val="center"/>
              <w:textAlignment w:val="auto"/>
              <w:rPr>
                <w:rFonts w:eastAsia="Calibri"/>
                <w:color w:val="000000"/>
              </w:rPr>
            </w:pPr>
            <w:r w:rsidRPr="00D30FE9">
              <w:rPr>
                <w:rFonts w:eastAsia="Calibri"/>
                <w:color w:val="000000"/>
              </w:rPr>
              <w:t>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6B491B5B" w14:textId="77777777">
            <w:pPr>
              <w:overflowPunct/>
              <w:autoSpaceDE/>
              <w:autoSpaceDN/>
              <w:adjustRightInd/>
              <w:jc w:val="center"/>
              <w:textAlignment w:val="auto"/>
              <w:rPr>
                <w:rFonts w:eastAsia="Calibri"/>
                <w:color w:val="000000"/>
              </w:rPr>
            </w:pPr>
            <w:r w:rsidRPr="00D30FE9">
              <w:rPr>
                <w:rFonts w:eastAsia="Calibri"/>
                <w:color w:val="000000"/>
              </w:rPr>
              <w:t>0</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6EAB6A18" w14:textId="77777777">
            <w:pPr>
              <w:overflowPunct/>
              <w:autoSpaceDE/>
              <w:autoSpaceDN/>
              <w:adjustRightInd/>
              <w:jc w:val="center"/>
              <w:textAlignment w:val="auto"/>
              <w:rPr>
                <w:rFonts w:eastAsia="Calibri"/>
                <w:color w:val="000000"/>
              </w:rPr>
            </w:pPr>
            <w:r w:rsidRPr="00D30FE9">
              <w:rPr>
                <w:rFonts w:eastAsia="Calibri"/>
                <w:color w:val="000000"/>
              </w:rPr>
              <w:t>0</w:t>
            </w:r>
          </w:p>
        </w:tc>
      </w:tr>
      <w:tr w14:paraId="4724C406"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6C43FCA3" w14:textId="77777777">
            <w:pPr>
              <w:overflowPunct/>
              <w:autoSpaceDE/>
              <w:autoSpaceDN/>
              <w:adjustRightInd/>
              <w:textAlignment w:val="auto"/>
              <w:rPr>
                <w:rFonts w:eastAsia="Calibri"/>
                <w:color w:val="000000"/>
              </w:rPr>
            </w:pPr>
            <w:r w:rsidRPr="00D30FE9">
              <w:rPr>
                <w:rFonts w:eastAsia="Calibri"/>
                <w:color w:val="000000"/>
              </w:rPr>
              <w:t>Assurances for Construction Programs SF-424D (2501-0044)</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73FEF02" w14:textId="77777777">
            <w:pPr>
              <w:overflowPunct/>
              <w:autoSpaceDE/>
              <w:autoSpaceDN/>
              <w:adjustRightInd/>
              <w:jc w:val="center"/>
              <w:textAlignment w:val="auto"/>
              <w:rPr>
                <w:rFonts w:eastAsia="Calibri"/>
                <w:color w:val="000000"/>
              </w:rPr>
            </w:pPr>
            <w:r w:rsidRPr="00D30FE9">
              <w:rPr>
                <w:rFonts w:eastAsia="Calibri"/>
                <w:color w:val="000000"/>
              </w:rPr>
              <w:t>300</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3AC0C185"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FCCE216"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420A2681" w14:textId="77777777">
            <w:pPr>
              <w:overflowPunct/>
              <w:autoSpaceDE/>
              <w:autoSpaceDN/>
              <w:adjustRightInd/>
              <w:jc w:val="center"/>
              <w:textAlignment w:val="auto"/>
              <w:rPr>
                <w:rFonts w:eastAsia="Calibri"/>
                <w:color w:val="000000"/>
              </w:rPr>
            </w:pPr>
            <w:r w:rsidRPr="00D30FE9">
              <w:rPr>
                <w:rFonts w:eastAsia="Calibri"/>
                <w:color w:val="000000"/>
              </w:rPr>
              <w:t>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A740BC4" w14:textId="77777777">
            <w:pPr>
              <w:overflowPunct/>
              <w:autoSpaceDE/>
              <w:autoSpaceDN/>
              <w:adjustRightInd/>
              <w:jc w:val="center"/>
              <w:textAlignment w:val="auto"/>
              <w:rPr>
                <w:rFonts w:eastAsia="Calibri"/>
                <w:color w:val="000000"/>
              </w:rPr>
            </w:pPr>
            <w:r w:rsidRPr="00D30FE9">
              <w:rPr>
                <w:rFonts w:eastAsia="Calibri"/>
                <w:color w:val="000000"/>
              </w:rPr>
              <w:t>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70F41D11" w14:textId="77777777">
            <w:pPr>
              <w:overflowPunct/>
              <w:autoSpaceDE/>
              <w:autoSpaceDN/>
              <w:adjustRightInd/>
              <w:jc w:val="center"/>
              <w:textAlignment w:val="auto"/>
              <w:rPr>
                <w:rFonts w:eastAsia="Calibri"/>
                <w:color w:val="000000"/>
              </w:rPr>
            </w:pPr>
            <w:r w:rsidRPr="00D30FE9">
              <w:rPr>
                <w:rFonts w:eastAsia="Calibri"/>
                <w:color w:val="000000"/>
              </w:rPr>
              <w:t>0</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600BFE39" w14:textId="77777777">
            <w:pPr>
              <w:overflowPunct/>
              <w:autoSpaceDE/>
              <w:autoSpaceDN/>
              <w:adjustRightInd/>
              <w:jc w:val="center"/>
              <w:textAlignment w:val="auto"/>
              <w:rPr>
                <w:rFonts w:eastAsia="Calibri"/>
                <w:color w:val="000000"/>
              </w:rPr>
            </w:pPr>
            <w:r w:rsidRPr="00D30FE9">
              <w:rPr>
                <w:rFonts w:eastAsia="Calibri"/>
                <w:color w:val="000000"/>
              </w:rPr>
              <w:t>0</w:t>
            </w:r>
          </w:p>
        </w:tc>
      </w:tr>
      <w:tr w14:paraId="3FD0ED15"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FE9" w:rsidP="00D30FE9" w14:paraId="7B2CC86D" w14:textId="77777777">
            <w:pPr>
              <w:overflowPunct/>
              <w:autoSpaceDE/>
              <w:autoSpaceDN/>
              <w:adjustRightInd/>
              <w:textAlignment w:val="auto"/>
              <w:rPr>
                <w:rFonts w:eastAsia="Calibri"/>
                <w:color w:val="000000"/>
              </w:rPr>
            </w:pPr>
            <w:r w:rsidRPr="00D30FE9">
              <w:rPr>
                <w:rFonts w:eastAsia="Calibri"/>
                <w:color w:val="000000"/>
              </w:rPr>
              <w:t>Federal Financial Report SF-425</w:t>
            </w:r>
          </w:p>
          <w:p w:rsidR="00CD7693" w:rsidRPr="00D30FE9" w:rsidP="00D30FE9" w14:paraId="6880E28F" w14:textId="0011EB39">
            <w:pPr>
              <w:overflowPunct/>
              <w:autoSpaceDE/>
              <w:autoSpaceDN/>
              <w:adjustRightInd/>
              <w:textAlignment w:val="auto"/>
              <w:rPr>
                <w:rFonts w:eastAsia="Calibri"/>
                <w:color w:val="000000"/>
              </w:rPr>
            </w:pPr>
            <w:r w:rsidRPr="00D30FE9">
              <w:rPr>
                <w:rFonts w:eastAsia="Calibri"/>
                <w:color w:val="000000"/>
              </w:rPr>
              <w:t>(2501-0044)</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3380739F" w14:textId="77777777">
            <w:pPr>
              <w:overflowPunct/>
              <w:autoSpaceDE/>
              <w:autoSpaceDN/>
              <w:adjustRightInd/>
              <w:jc w:val="center"/>
              <w:textAlignment w:val="auto"/>
              <w:rPr>
                <w:rFonts w:eastAsia="Calibri"/>
                <w:color w:val="000000"/>
              </w:rPr>
            </w:pPr>
            <w:r w:rsidRPr="00D30FE9">
              <w:rPr>
                <w:rFonts w:eastAsia="Calibri"/>
                <w:color w:val="000000"/>
              </w:rPr>
              <w:t>300</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61E07546"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7AFFE873"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468584CE" w14:textId="77777777">
            <w:pPr>
              <w:overflowPunct/>
              <w:autoSpaceDE/>
              <w:autoSpaceDN/>
              <w:adjustRightInd/>
              <w:jc w:val="center"/>
              <w:textAlignment w:val="auto"/>
              <w:rPr>
                <w:rFonts w:eastAsia="Calibri"/>
                <w:color w:val="000000"/>
              </w:rPr>
            </w:pPr>
            <w:r w:rsidRPr="00D30FE9">
              <w:rPr>
                <w:rFonts w:eastAsia="Calibri"/>
                <w:color w:val="000000"/>
              </w:rPr>
              <w:t>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B44A496" w14:textId="77777777">
            <w:pPr>
              <w:overflowPunct/>
              <w:autoSpaceDE/>
              <w:autoSpaceDN/>
              <w:adjustRightInd/>
              <w:jc w:val="center"/>
              <w:textAlignment w:val="auto"/>
              <w:rPr>
                <w:rFonts w:eastAsia="Calibri"/>
                <w:color w:val="000000"/>
              </w:rPr>
            </w:pPr>
            <w:r w:rsidRPr="00D30FE9">
              <w:rPr>
                <w:rFonts w:eastAsia="Calibri"/>
                <w:color w:val="000000"/>
              </w:rPr>
              <w:t>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636AC87C" w14:textId="77777777">
            <w:pPr>
              <w:overflowPunct/>
              <w:autoSpaceDE/>
              <w:autoSpaceDN/>
              <w:adjustRightInd/>
              <w:jc w:val="center"/>
              <w:textAlignment w:val="auto"/>
              <w:rPr>
                <w:rFonts w:eastAsia="Calibri"/>
                <w:color w:val="000000"/>
              </w:rPr>
            </w:pPr>
            <w:r w:rsidRPr="00D30FE9">
              <w:rPr>
                <w:rFonts w:eastAsia="Calibri"/>
                <w:color w:val="000000"/>
              </w:rPr>
              <w:t>0</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29A2D84" w14:textId="77777777">
            <w:pPr>
              <w:overflowPunct/>
              <w:autoSpaceDE/>
              <w:autoSpaceDN/>
              <w:adjustRightInd/>
              <w:jc w:val="center"/>
              <w:textAlignment w:val="auto"/>
              <w:rPr>
                <w:rFonts w:eastAsia="Calibri"/>
                <w:color w:val="000000"/>
              </w:rPr>
            </w:pPr>
            <w:r w:rsidRPr="00D30FE9">
              <w:rPr>
                <w:rFonts w:eastAsia="Calibri"/>
                <w:color w:val="000000"/>
              </w:rPr>
              <w:t>0</w:t>
            </w:r>
          </w:p>
        </w:tc>
      </w:tr>
      <w:tr w14:paraId="245169B5"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4D240716" w14:textId="77777777">
            <w:pPr>
              <w:overflowPunct/>
              <w:autoSpaceDE/>
              <w:autoSpaceDN/>
              <w:adjustRightInd/>
              <w:textAlignment w:val="auto"/>
              <w:rPr>
                <w:rFonts w:eastAsia="Calibri"/>
                <w:color w:val="000000"/>
              </w:rPr>
            </w:pPr>
            <w:r w:rsidRPr="00D30FE9">
              <w:rPr>
                <w:rFonts w:eastAsia="Calibri"/>
                <w:color w:val="000000"/>
              </w:rPr>
              <w:t>Applicant Disclosure Report HUD -2880 (2501-0044)</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7A30A344" w14:textId="77777777">
            <w:pPr>
              <w:overflowPunct/>
              <w:autoSpaceDE/>
              <w:autoSpaceDN/>
              <w:adjustRightInd/>
              <w:jc w:val="center"/>
              <w:textAlignment w:val="auto"/>
              <w:rPr>
                <w:rFonts w:eastAsia="Calibri"/>
                <w:color w:val="000000"/>
              </w:rPr>
            </w:pPr>
            <w:r w:rsidRPr="00D30FE9">
              <w:rPr>
                <w:rFonts w:eastAsia="Calibri"/>
                <w:color w:val="000000"/>
              </w:rPr>
              <w:t>300</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36F46476"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8BEC6FA"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29E442EF" w14:textId="77777777">
            <w:pPr>
              <w:overflowPunct/>
              <w:autoSpaceDE/>
              <w:autoSpaceDN/>
              <w:adjustRightInd/>
              <w:jc w:val="center"/>
              <w:textAlignment w:val="auto"/>
              <w:rPr>
                <w:rFonts w:eastAsia="Calibri"/>
                <w:color w:val="000000"/>
              </w:rPr>
            </w:pPr>
            <w:r w:rsidRPr="00D30FE9">
              <w:rPr>
                <w:rFonts w:eastAsia="Calibri"/>
                <w:color w:val="000000"/>
              </w:rPr>
              <w:t>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34E883B2" w14:textId="77777777">
            <w:pPr>
              <w:overflowPunct/>
              <w:autoSpaceDE/>
              <w:autoSpaceDN/>
              <w:adjustRightInd/>
              <w:jc w:val="center"/>
              <w:textAlignment w:val="auto"/>
              <w:rPr>
                <w:rFonts w:eastAsia="Calibri"/>
                <w:color w:val="000000"/>
              </w:rPr>
            </w:pPr>
            <w:r w:rsidRPr="00D30FE9">
              <w:rPr>
                <w:rFonts w:eastAsia="Calibri"/>
                <w:color w:val="000000"/>
              </w:rPr>
              <w:t>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7111855" w14:textId="77777777">
            <w:pPr>
              <w:overflowPunct/>
              <w:autoSpaceDE/>
              <w:autoSpaceDN/>
              <w:adjustRightInd/>
              <w:jc w:val="center"/>
              <w:textAlignment w:val="auto"/>
              <w:rPr>
                <w:rFonts w:eastAsia="Calibri"/>
                <w:color w:val="000000"/>
              </w:rPr>
            </w:pPr>
            <w:r w:rsidRPr="00D30FE9">
              <w:rPr>
                <w:rFonts w:eastAsia="Calibri"/>
                <w:color w:val="000000"/>
              </w:rPr>
              <w:t>0</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45DF5875" w14:textId="77777777">
            <w:pPr>
              <w:overflowPunct/>
              <w:autoSpaceDE/>
              <w:autoSpaceDN/>
              <w:adjustRightInd/>
              <w:jc w:val="center"/>
              <w:textAlignment w:val="auto"/>
              <w:rPr>
                <w:rFonts w:eastAsia="Calibri"/>
                <w:color w:val="000000"/>
              </w:rPr>
            </w:pPr>
            <w:r w:rsidRPr="00D30FE9">
              <w:rPr>
                <w:rFonts w:eastAsia="Calibri"/>
                <w:color w:val="000000"/>
              </w:rPr>
              <w:t>0</w:t>
            </w:r>
          </w:p>
        </w:tc>
      </w:tr>
      <w:tr w14:paraId="06D622C2"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6250F921" w14:textId="77777777">
            <w:pPr>
              <w:overflowPunct/>
              <w:autoSpaceDE/>
              <w:autoSpaceDN/>
              <w:adjustRightInd/>
              <w:textAlignment w:val="auto"/>
              <w:rPr>
                <w:rFonts w:eastAsia="Calibri"/>
                <w:color w:val="000000"/>
              </w:rPr>
            </w:pPr>
            <w:r w:rsidRPr="00D30FE9">
              <w:rPr>
                <w:rFonts w:eastAsia="Calibri"/>
                <w:color w:val="000000"/>
              </w:rPr>
              <w:t>HUD Applicant/Recipient Assurances and Certifications HUD-424 (2501-0044)</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7723F8D" w14:textId="77777777">
            <w:pPr>
              <w:overflowPunct/>
              <w:autoSpaceDE/>
              <w:autoSpaceDN/>
              <w:adjustRightInd/>
              <w:jc w:val="center"/>
              <w:textAlignment w:val="auto"/>
              <w:rPr>
                <w:rFonts w:eastAsia="Calibri"/>
                <w:color w:val="000000"/>
              </w:rPr>
            </w:pPr>
            <w:r w:rsidRPr="00D30FE9">
              <w:rPr>
                <w:rFonts w:eastAsia="Calibri"/>
                <w:color w:val="000000"/>
              </w:rPr>
              <w:t>300</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4FCF8E3"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7E4EF30"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74B8CC4A" w14:textId="77777777">
            <w:pPr>
              <w:overflowPunct/>
              <w:autoSpaceDE/>
              <w:autoSpaceDN/>
              <w:adjustRightInd/>
              <w:jc w:val="center"/>
              <w:textAlignment w:val="auto"/>
              <w:rPr>
                <w:rFonts w:eastAsia="Calibri"/>
                <w:color w:val="000000"/>
              </w:rPr>
            </w:pPr>
            <w:r w:rsidRPr="00D30FE9">
              <w:rPr>
                <w:rFonts w:eastAsia="Calibri"/>
                <w:color w:val="000000"/>
              </w:rPr>
              <w:t>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70823A80" w14:textId="77777777">
            <w:pPr>
              <w:overflowPunct/>
              <w:autoSpaceDE/>
              <w:autoSpaceDN/>
              <w:adjustRightInd/>
              <w:jc w:val="center"/>
              <w:textAlignment w:val="auto"/>
              <w:rPr>
                <w:rFonts w:eastAsia="Calibri"/>
                <w:color w:val="000000"/>
              </w:rPr>
            </w:pPr>
            <w:r w:rsidRPr="00D30FE9">
              <w:rPr>
                <w:rFonts w:eastAsia="Calibri"/>
                <w:color w:val="000000"/>
              </w:rPr>
              <w:t>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4F0B3803" w14:textId="77777777">
            <w:pPr>
              <w:overflowPunct/>
              <w:autoSpaceDE/>
              <w:autoSpaceDN/>
              <w:adjustRightInd/>
              <w:jc w:val="center"/>
              <w:textAlignment w:val="auto"/>
              <w:rPr>
                <w:rFonts w:eastAsia="Calibri"/>
                <w:color w:val="000000"/>
              </w:rPr>
            </w:pPr>
            <w:r w:rsidRPr="00D30FE9">
              <w:rPr>
                <w:rFonts w:eastAsia="Calibri"/>
                <w:color w:val="000000"/>
              </w:rPr>
              <w:t>0</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7C709A23" w14:textId="77777777">
            <w:pPr>
              <w:overflowPunct/>
              <w:autoSpaceDE/>
              <w:autoSpaceDN/>
              <w:adjustRightInd/>
              <w:jc w:val="center"/>
              <w:textAlignment w:val="auto"/>
              <w:rPr>
                <w:rFonts w:eastAsia="Calibri"/>
                <w:color w:val="000000"/>
              </w:rPr>
            </w:pPr>
            <w:r w:rsidRPr="00D30FE9">
              <w:rPr>
                <w:rFonts w:eastAsia="Calibri"/>
                <w:color w:val="000000"/>
              </w:rPr>
              <w:t>0</w:t>
            </w:r>
          </w:p>
        </w:tc>
      </w:tr>
      <w:tr w14:paraId="7CE153BD"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600031A2" w14:textId="77777777">
            <w:pPr>
              <w:overflowPunct/>
              <w:autoSpaceDE/>
              <w:autoSpaceDN/>
              <w:adjustRightInd/>
              <w:textAlignment w:val="auto"/>
              <w:rPr>
                <w:rFonts w:eastAsia="Calibri"/>
                <w:color w:val="000000"/>
              </w:rPr>
            </w:pPr>
            <w:r w:rsidRPr="00D30FE9">
              <w:rPr>
                <w:rFonts w:eastAsia="Calibri"/>
                <w:color w:val="000000"/>
              </w:rPr>
              <w:t>Formula Response Form HUD-4117</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27D06CC" w14:textId="77777777">
            <w:pPr>
              <w:overflowPunct/>
              <w:autoSpaceDE/>
              <w:autoSpaceDN/>
              <w:adjustRightInd/>
              <w:jc w:val="center"/>
              <w:textAlignment w:val="auto"/>
              <w:rPr>
                <w:rFonts w:eastAsia="Calibri"/>
                <w:color w:val="000000"/>
              </w:rPr>
            </w:pPr>
            <w:r w:rsidRPr="00D30FE9">
              <w:rPr>
                <w:rFonts w:eastAsia="Calibri"/>
                <w:color w:val="000000"/>
              </w:rPr>
              <w:t>500</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17A65A7"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F9A6B39" w14:textId="77777777">
            <w:pPr>
              <w:overflowPunct/>
              <w:autoSpaceDE/>
              <w:autoSpaceDN/>
              <w:adjustRightInd/>
              <w:jc w:val="center"/>
              <w:textAlignment w:val="auto"/>
              <w:rPr>
                <w:rFonts w:eastAsia="Calibri"/>
                <w:color w:val="000000"/>
              </w:rPr>
            </w:pPr>
            <w:r w:rsidRPr="00D30FE9">
              <w:rPr>
                <w:rFonts w:eastAsia="Calibri"/>
                <w:color w:val="000000"/>
              </w:rPr>
              <w:t>500</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21032FE" w14:textId="77777777">
            <w:pPr>
              <w:overflowPunct/>
              <w:autoSpaceDE/>
              <w:autoSpaceDN/>
              <w:adjustRightInd/>
              <w:jc w:val="center"/>
              <w:textAlignment w:val="auto"/>
              <w:rPr>
                <w:rFonts w:eastAsia="Calibri"/>
                <w:color w:val="000000"/>
              </w:rPr>
            </w:pPr>
            <w:r w:rsidRPr="00D30FE9">
              <w:rPr>
                <w:rFonts w:eastAsia="Calibri"/>
                <w:color w:val="000000"/>
              </w:rPr>
              <w:t>2</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4280E01D" w14:textId="77777777">
            <w:pPr>
              <w:overflowPunct/>
              <w:autoSpaceDE/>
              <w:autoSpaceDN/>
              <w:adjustRightInd/>
              <w:jc w:val="center"/>
              <w:textAlignment w:val="auto"/>
              <w:rPr>
                <w:rFonts w:eastAsia="Calibri"/>
                <w:color w:val="000000"/>
              </w:rPr>
            </w:pPr>
            <w:r w:rsidRPr="00D30FE9">
              <w:rPr>
                <w:rFonts w:eastAsia="Calibri"/>
                <w:color w:val="000000"/>
              </w:rPr>
              <w:t>1,000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652287F6" w14:textId="45A59D48">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45.14</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78C6C786" w14:textId="155C26C7">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45,140.00</w:t>
            </w:r>
          </w:p>
        </w:tc>
      </w:tr>
      <w:tr w14:paraId="491E86CB"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6B5687CC" w14:textId="77777777">
            <w:pPr>
              <w:overflowPunct/>
              <w:autoSpaceDE/>
              <w:autoSpaceDN/>
              <w:adjustRightInd/>
              <w:textAlignment w:val="auto"/>
              <w:rPr>
                <w:rFonts w:eastAsia="Calibri"/>
                <w:color w:val="000000"/>
              </w:rPr>
            </w:pPr>
            <w:r w:rsidRPr="00D30FE9">
              <w:rPr>
                <w:rFonts w:eastAsia="Calibri"/>
                <w:color w:val="000000"/>
              </w:rPr>
              <w:t>Formula Response Form HUD- 4117 Appendix A</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71A48CFA" w14:textId="77777777">
            <w:pPr>
              <w:overflowPunct/>
              <w:autoSpaceDE/>
              <w:autoSpaceDN/>
              <w:adjustRightInd/>
              <w:jc w:val="center"/>
              <w:textAlignment w:val="auto"/>
              <w:rPr>
                <w:rFonts w:eastAsia="Calibri"/>
                <w:color w:val="000000"/>
              </w:rPr>
            </w:pPr>
            <w:r w:rsidRPr="00D30FE9">
              <w:rPr>
                <w:rFonts w:eastAsia="Calibri"/>
                <w:color w:val="000000"/>
              </w:rPr>
              <w:t>50</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0C13400"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EF4D478" w14:textId="77777777">
            <w:pPr>
              <w:overflowPunct/>
              <w:autoSpaceDE/>
              <w:autoSpaceDN/>
              <w:adjustRightInd/>
              <w:jc w:val="center"/>
              <w:textAlignment w:val="auto"/>
              <w:rPr>
                <w:rFonts w:eastAsia="Calibri"/>
                <w:color w:val="000000"/>
              </w:rPr>
            </w:pPr>
            <w:r w:rsidRPr="00D30FE9">
              <w:rPr>
                <w:rFonts w:eastAsia="Calibri"/>
                <w:color w:val="000000"/>
              </w:rPr>
              <w:t>50</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3187CBB9" w14:textId="77777777">
            <w:pPr>
              <w:overflowPunct/>
              <w:autoSpaceDE/>
              <w:autoSpaceDN/>
              <w:adjustRightInd/>
              <w:jc w:val="center"/>
              <w:textAlignment w:val="auto"/>
              <w:rPr>
                <w:rFonts w:eastAsia="Calibri"/>
                <w:color w:val="000000"/>
              </w:rPr>
            </w:pPr>
            <w:r w:rsidRPr="00D30FE9">
              <w:rPr>
                <w:rFonts w:eastAsia="Calibri"/>
                <w:color w:val="000000"/>
              </w:rPr>
              <w:t>2 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419F40AA" w14:textId="77777777">
            <w:pPr>
              <w:overflowPunct/>
              <w:autoSpaceDE/>
              <w:autoSpaceDN/>
              <w:adjustRightInd/>
              <w:jc w:val="center"/>
              <w:textAlignment w:val="auto"/>
              <w:rPr>
                <w:rFonts w:eastAsia="Calibri"/>
                <w:color w:val="000000"/>
              </w:rPr>
            </w:pPr>
            <w:r w:rsidRPr="00D30FE9">
              <w:rPr>
                <w:rFonts w:eastAsia="Calibri"/>
                <w:color w:val="000000"/>
              </w:rPr>
              <w:t>100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580860A" w14:textId="32915D97">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45.14</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7EA2DDA9" w14:textId="066F215A">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4,514</w:t>
            </w:r>
            <w:r w:rsidRPr="00D30FE9" w:rsidR="008A58E1">
              <w:rPr>
                <w:rFonts w:eastAsia="Calibri"/>
                <w:color w:val="000000"/>
              </w:rPr>
              <w:t>‬</w:t>
            </w:r>
            <w:r w:rsidRPr="00D30FE9" w:rsidR="008A58E1">
              <w:rPr>
                <w:rFonts w:eastAsia="Calibri"/>
                <w:color w:val="000000"/>
              </w:rPr>
              <w:t>.00</w:t>
            </w:r>
          </w:p>
        </w:tc>
      </w:tr>
      <w:tr w14:paraId="0A85350B"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3325F0E4" w14:textId="77777777">
            <w:pPr>
              <w:overflowPunct/>
              <w:autoSpaceDE/>
              <w:autoSpaceDN/>
              <w:adjustRightInd/>
              <w:textAlignment w:val="auto"/>
              <w:rPr>
                <w:rFonts w:eastAsia="Calibri"/>
                <w:color w:val="000000"/>
              </w:rPr>
            </w:pPr>
            <w:r w:rsidRPr="00D30FE9">
              <w:rPr>
                <w:rFonts w:eastAsia="Calibri"/>
                <w:color w:val="000000"/>
              </w:rPr>
              <w:t>Formula Response Form HUD- 4117 Appendix B</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19717D2" w14:textId="77777777">
            <w:pPr>
              <w:overflowPunct/>
              <w:autoSpaceDE/>
              <w:autoSpaceDN/>
              <w:adjustRightInd/>
              <w:jc w:val="center"/>
              <w:textAlignment w:val="auto"/>
              <w:rPr>
                <w:rFonts w:eastAsia="Calibri"/>
                <w:color w:val="000000"/>
              </w:rPr>
            </w:pPr>
            <w:r w:rsidRPr="00D30FE9">
              <w:rPr>
                <w:rFonts w:eastAsia="Calibri"/>
                <w:color w:val="000000"/>
              </w:rPr>
              <w:t>50</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2C79A796"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21EE63B" w14:textId="77777777">
            <w:pPr>
              <w:overflowPunct/>
              <w:autoSpaceDE/>
              <w:autoSpaceDN/>
              <w:adjustRightInd/>
              <w:jc w:val="center"/>
              <w:textAlignment w:val="auto"/>
              <w:rPr>
                <w:rFonts w:eastAsia="Calibri"/>
                <w:color w:val="000000"/>
              </w:rPr>
            </w:pPr>
            <w:r w:rsidRPr="00D30FE9">
              <w:rPr>
                <w:rFonts w:eastAsia="Calibri"/>
                <w:color w:val="000000"/>
              </w:rPr>
              <w:t>50</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6733CE1" w14:textId="77777777">
            <w:pPr>
              <w:overflowPunct/>
              <w:autoSpaceDE/>
              <w:autoSpaceDN/>
              <w:adjustRightInd/>
              <w:jc w:val="center"/>
              <w:textAlignment w:val="auto"/>
              <w:rPr>
                <w:rFonts w:eastAsia="Calibri"/>
                <w:color w:val="000000"/>
              </w:rPr>
            </w:pPr>
            <w:r w:rsidRPr="00D30FE9">
              <w:rPr>
                <w:rFonts w:eastAsia="Calibri"/>
                <w:color w:val="000000"/>
              </w:rPr>
              <w:t>2</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DF3363E" w14:textId="77777777">
            <w:pPr>
              <w:overflowPunct/>
              <w:autoSpaceDE/>
              <w:autoSpaceDN/>
              <w:adjustRightInd/>
              <w:jc w:val="center"/>
              <w:textAlignment w:val="auto"/>
              <w:rPr>
                <w:rFonts w:eastAsia="Calibri"/>
                <w:color w:val="000000"/>
              </w:rPr>
            </w:pPr>
            <w:r w:rsidRPr="00D30FE9">
              <w:rPr>
                <w:rFonts w:eastAsia="Calibri"/>
                <w:color w:val="000000"/>
              </w:rPr>
              <w:t>100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4674AC55" w14:textId="6A13C862">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45.14</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504217C" w14:textId="01286F68">
            <w:pPr>
              <w:overflowPunct/>
              <w:autoSpaceDE/>
              <w:autoSpaceDN/>
              <w:adjustRightInd/>
              <w:jc w:val="center"/>
              <w:textAlignment w:val="auto"/>
              <w:rPr>
                <w:rFonts w:eastAsia="Calibri"/>
                <w:color w:val="000000"/>
              </w:rPr>
            </w:pPr>
            <w:r w:rsidRPr="00D30FE9">
              <w:rPr>
                <w:rFonts w:eastAsia="Calibri"/>
                <w:color w:val="000000"/>
              </w:rPr>
              <w:t>$4,514</w:t>
            </w:r>
            <w:r w:rsidRPr="00D30FE9">
              <w:rPr>
                <w:rFonts w:eastAsia="Calibri"/>
                <w:color w:val="000000"/>
              </w:rPr>
              <w:t>‬</w:t>
            </w:r>
            <w:r w:rsidRPr="00D30FE9">
              <w:rPr>
                <w:rFonts w:eastAsia="Calibri"/>
                <w:color w:val="000000"/>
              </w:rPr>
              <w:t>.00</w:t>
            </w:r>
          </w:p>
        </w:tc>
      </w:tr>
      <w:tr w14:paraId="18D71E85"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335093CE" w14:textId="77777777">
            <w:pPr>
              <w:overflowPunct/>
              <w:autoSpaceDE/>
              <w:autoSpaceDN/>
              <w:adjustRightInd/>
              <w:textAlignment w:val="auto"/>
              <w:rPr>
                <w:rFonts w:eastAsia="Calibri"/>
                <w:color w:val="000000"/>
              </w:rPr>
            </w:pPr>
            <w:r w:rsidRPr="00D30FE9">
              <w:rPr>
                <w:rFonts w:eastAsia="Calibri"/>
                <w:color w:val="000000"/>
              </w:rPr>
              <w:t>Formula Response Form HUD- 4117 Appendix C</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35431124" w14:textId="77777777">
            <w:pPr>
              <w:overflowPunct/>
              <w:autoSpaceDE/>
              <w:autoSpaceDN/>
              <w:adjustRightInd/>
              <w:jc w:val="center"/>
              <w:textAlignment w:val="auto"/>
              <w:rPr>
                <w:rFonts w:eastAsia="Calibri"/>
                <w:color w:val="000000"/>
              </w:rPr>
            </w:pPr>
            <w:r w:rsidRPr="00D30FE9">
              <w:rPr>
                <w:rFonts w:eastAsia="Calibri"/>
                <w:color w:val="000000"/>
              </w:rPr>
              <w:t>50</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68F55A9B"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27A1E5EB" w14:textId="77777777">
            <w:pPr>
              <w:overflowPunct/>
              <w:autoSpaceDE/>
              <w:autoSpaceDN/>
              <w:adjustRightInd/>
              <w:jc w:val="center"/>
              <w:textAlignment w:val="auto"/>
              <w:rPr>
                <w:rFonts w:eastAsia="Calibri"/>
                <w:color w:val="000000"/>
              </w:rPr>
            </w:pPr>
            <w:r w:rsidRPr="00D30FE9">
              <w:rPr>
                <w:rFonts w:eastAsia="Calibri"/>
                <w:color w:val="000000"/>
              </w:rPr>
              <w:t>50</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8FE3AA5" w14:textId="77777777">
            <w:pPr>
              <w:overflowPunct/>
              <w:autoSpaceDE/>
              <w:autoSpaceDN/>
              <w:adjustRightInd/>
              <w:jc w:val="center"/>
              <w:textAlignment w:val="auto"/>
              <w:rPr>
                <w:rFonts w:eastAsia="Calibri"/>
                <w:color w:val="000000"/>
              </w:rPr>
            </w:pPr>
            <w:r w:rsidRPr="00D30FE9">
              <w:rPr>
                <w:rFonts w:eastAsia="Calibri"/>
                <w:color w:val="000000"/>
              </w:rPr>
              <w:t>2</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C1C905A" w14:textId="77777777">
            <w:pPr>
              <w:overflowPunct/>
              <w:autoSpaceDE/>
              <w:autoSpaceDN/>
              <w:adjustRightInd/>
              <w:jc w:val="center"/>
              <w:textAlignment w:val="auto"/>
              <w:rPr>
                <w:rFonts w:eastAsia="Calibri"/>
                <w:color w:val="000000"/>
              </w:rPr>
            </w:pPr>
            <w:r w:rsidRPr="00D30FE9">
              <w:rPr>
                <w:rFonts w:eastAsia="Calibri"/>
                <w:color w:val="000000"/>
              </w:rPr>
              <w:t>100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EDAA052" w14:textId="6553BBA2">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45.14</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7445122C" w14:textId="3E48A431">
            <w:pPr>
              <w:overflowPunct/>
              <w:autoSpaceDE/>
              <w:autoSpaceDN/>
              <w:adjustRightInd/>
              <w:jc w:val="center"/>
              <w:textAlignment w:val="auto"/>
              <w:rPr>
                <w:rFonts w:eastAsia="Calibri"/>
                <w:color w:val="000000"/>
              </w:rPr>
            </w:pPr>
            <w:r w:rsidRPr="00D30FE9">
              <w:rPr>
                <w:rFonts w:eastAsia="Calibri"/>
                <w:color w:val="000000"/>
              </w:rPr>
              <w:t>$4,514</w:t>
            </w:r>
            <w:r w:rsidRPr="00D30FE9">
              <w:rPr>
                <w:rFonts w:eastAsia="Calibri"/>
                <w:color w:val="000000"/>
              </w:rPr>
              <w:t>‬</w:t>
            </w:r>
            <w:r w:rsidRPr="00D30FE9">
              <w:rPr>
                <w:rFonts w:eastAsia="Calibri"/>
                <w:color w:val="000000"/>
              </w:rPr>
              <w:t>.00</w:t>
            </w:r>
          </w:p>
        </w:tc>
      </w:tr>
      <w:tr w14:paraId="5BC5665F"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0FBA8399" w14:textId="77777777">
            <w:pPr>
              <w:overflowPunct/>
              <w:autoSpaceDE/>
              <w:autoSpaceDN/>
              <w:adjustRightInd/>
              <w:textAlignment w:val="auto"/>
              <w:rPr>
                <w:rFonts w:eastAsia="Calibri"/>
                <w:color w:val="000000"/>
              </w:rPr>
            </w:pPr>
            <w:r w:rsidRPr="00D30FE9">
              <w:rPr>
                <w:rFonts w:eastAsia="Calibri"/>
                <w:color w:val="000000"/>
              </w:rPr>
              <w:t>Formula Response Form HUD- 4117 Appendix D</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1574FAA" w14:textId="77777777">
            <w:pPr>
              <w:overflowPunct/>
              <w:autoSpaceDE/>
              <w:autoSpaceDN/>
              <w:adjustRightInd/>
              <w:jc w:val="center"/>
              <w:textAlignment w:val="auto"/>
              <w:rPr>
                <w:rFonts w:eastAsia="Calibri"/>
                <w:color w:val="000000"/>
              </w:rPr>
            </w:pPr>
            <w:r w:rsidRPr="00D30FE9">
              <w:rPr>
                <w:rFonts w:eastAsia="Calibri"/>
                <w:color w:val="000000"/>
              </w:rPr>
              <w:t>50</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D97E063"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687EF37" w14:textId="77777777">
            <w:pPr>
              <w:overflowPunct/>
              <w:autoSpaceDE/>
              <w:autoSpaceDN/>
              <w:adjustRightInd/>
              <w:jc w:val="center"/>
              <w:textAlignment w:val="auto"/>
              <w:rPr>
                <w:rFonts w:eastAsia="Calibri"/>
                <w:color w:val="000000"/>
              </w:rPr>
            </w:pPr>
            <w:r w:rsidRPr="00D30FE9">
              <w:rPr>
                <w:rFonts w:eastAsia="Calibri"/>
                <w:color w:val="000000"/>
              </w:rPr>
              <w:t>50</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77F0C743" w14:textId="77777777">
            <w:pPr>
              <w:overflowPunct/>
              <w:autoSpaceDE/>
              <w:autoSpaceDN/>
              <w:adjustRightInd/>
              <w:jc w:val="center"/>
              <w:textAlignment w:val="auto"/>
              <w:rPr>
                <w:rFonts w:eastAsia="Calibri"/>
                <w:color w:val="000000"/>
              </w:rPr>
            </w:pPr>
            <w:r w:rsidRPr="00D30FE9">
              <w:rPr>
                <w:rFonts w:eastAsia="Calibri"/>
                <w:color w:val="000000"/>
              </w:rPr>
              <w:t>2</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6B195953" w14:textId="77777777">
            <w:pPr>
              <w:overflowPunct/>
              <w:autoSpaceDE/>
              <w:autoSpaceDN/>
              <w:adjustRightInd/>
              <w:jc w:val="center"/>
              <w:textAlignment w:val="auto"/>
              <w:rPr>
                <w:rFonts w:eastAsia="Calibri"/>
                <w:color w:val="000000"/>
              </w:rPr>
            </w:pPr>
            <w:r w:rsidRPr="00D30FE9">
              <w:rPr>
                <w:rFonts w:eastAsia="Calibri"/>
                <w:color w:val="000000"/>
              </w:rPr>
              <w:t>100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4684B0AD" w14:textId="283818E0">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45.14</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6B7AA97F" w14:textId="45FB4446">
            <w:pPr>
              <w:overflowPunct/>
              <w:autoSpaceDE/>
              <w:autoSpaceDN/>
              <w:adjustRightInd/>
              <w:jc w:val="center"/>
              <w:textAlignment w:val="auto"/>
              <w:rPr>
                <w:rFonts w:eastAsia="Calibri"/>
                <w:color w:val="000000"/>
              </w:rPr>
            </w:pPr>
            <w:r w:rsidRPr="00D30FE9">
              <w:rPr>
                <w:rFonts w:eastAsia="Calibri"/>
                <w:color w:val="000000"/>
              </w:rPr>
              <w:t>$4,514</w:t>
            </w:r>
            <w:r w:rsidRPr="00D30FE9">
              <w:rPr>
                <w:rFonts w:eastAsia="Calibri"/>
                <w:color w:val="000000"/>
              </w:rPr>
              <w:t>‬</w:t>
            </w:r>
            <w:r w:rsidRPr="00D30FE9">
              <w:rPr>
                <w:rFonts w:eastAsia="Calibri"/>
                <w:color w:val="000000"/>
              </w:rPr>
              <w:t>.00</w:t>
            </w:r>
          </w:p>
        </w:tc>
      </w:tr>
      <w:tr w14:paraId="4FDAB752"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3EF52074" w14:textId="77777777">
            <w:pPr>
              <w:overflowPunct/>
              <w:autoSpaceDE/>
              <w:autoSpaceDN/>
              <w:adjustRightInd/>
              <w:textAlignment w:val="auto"/>
              <w:rPr>
                <w:rFonts w:eastAsia="Calibri"/>
                <w:color w:val="000000"/>
              </w:rPr>
            </w:pPr>
            <w:r w:rsidRPr="00D30FE9">
              <w:rPr>
                <w:rFonts w:eastAsia="Calibri"/>
                <w:color w:val="000000"/>
              </w:rPr>
              <w:t>Census Challenge Form HUD-4119  </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CEAE917" w14:textId="77777777">
            <w:pPr>
              <w:overflowPunct/>
              <w:autoSpaceDE/>
              <w:autoSpaceDN/>
              <w:adjustRightInd/>
              <w:jc w:val="center"/>
              <w:textAlignment w:val="auto"/>
              <w:rPr>
                <w:rFonts w:eastAsia="Calibri"/>
                <w:color w:val="000000"/>
              </w:rPr>
            </w:pPr>
            <w:r w:rsidRPr="00D30FE9">
              <w:rPr>
                <w:rFonts w:eastAsia="Calibri"/>
                <w:color w:val="000000"/>
              </w:rPr>
              <w:t>15</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3AFD0739"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80AF6D1" w14:textId="77777777">
            <w:pPr>
              <w:overflowPunct/>
              <w:autoSpaceDE/>
              <w:autoSpaceDN/>
              <w:adjustRightInd/>
              <w:jc w:val="center"/>
              <w:textAlignment w:val="auto"/>
              <w:rPr>
                <w:rFonts w:eastAsia="Calibri"/>
                <w:color w:val="000000"/>
              </w:rPr>
            </w:pPr>
            <w:r w:rsidRPr="00D30FE9">
              <w:rPr>
                <w:rFonts w:eastAsia="Calibri"/>
                <w:color w:val="000000"/>
              </w:rPr>
              <w:t>15</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77AB72FC" w14:textId="77777777">
            <w:pPr>
              <w:overflowPunct/>
              <w:autoSpaceDE/>
              <w:autoSpaceDN/>
              <w:adjustRightInd/>
              <w:jc w:val="center"/>
              <w:textAlignment w:val="auto"/>
              <w:rPr>
                <w:rFonts w:eastAsia="Calibri"/>
                <w:color w:val="000000"/>
              </w:rPr>
            </w:pPr>
            <w:r w:rsidRPr="00D30FE9">
              <w:rPr>
                <w:rFonts w:eastAsia="Calibri"/>
                <w:color w:val="000000"/>
              </w:rPr>
              <w:t>150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7671D32" w14:textId="77777777">
            <w:pPr>
              <w:overflowPunct/>
              <w:autoSpaceDE/>
              <w:autoSpaceDN/>
              <w:adjustRightInd/>
              <w:jc w:val="center"/>
              <w:textAlignment w:val="auto"/>
              <w:rPr>
                <w:rFonts w:eastAsia="Calibri"/>
                <w:color w:val="000000"/>
              </w:rPr>
            </w:pPr>
            <w:r w:rsidRPr="00D30FE9">
              <w:rPr>
                <w:rFonts w:eastAsia="Calibri"/>
                <w:color w:val="000000"/>
              </w:rPr>
              <w:t>2,250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9D7AD28" w14:textId="13A48CD0">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45.14</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21A8E88" w14:textId="3CDF568F">
            <w:pPr>
              <w:overflowPunct/>
              <w:autoSpaceDE/>
              <w:autoSpaceDN/>
              <w:adjustRightInd/>
              <w:jc w:val="center"/>
              <w:textAlignment w:val="auto"/>
              <w:rPr>
                <w:rFonts w:eastAsia="Calibri"/>
                <w:color w:val="000000"/>
              </w:rPr>
            </w:pPr>
            <w:r w:rsidRPr="00D30FE9">
              <w:rPr>
                <w:rFonts w:eastAsia="Calibri"/>
                <w:color w:val="000000"/>
              </w:rPr>
              <w:t>$101,565</w:t>
            </w:r>
            <w:r w:rsidRPr="00D30FE9">
              <w:rPr>
                <w:rFonts w:eastAsia="Calibri"/>
                <w:color w:val="000000"/>
              </w:rPr>
              <w:t>‬</w:t>
            </w:r>
            <w:r w:rsidRPr="00D30FE9">
              <w:rPr>
                <w:rFonts w:eastAsia="Calibri"/>
                <w:color w:val="000000"/>
              </w:rPr>
              <w:t>.00</w:t>
            </w:r>
          </w:p>
        </w:tc>
      </w:tr>
      <w:tr w14:paraId="18E2EB57"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14B79C50" w14:textId="77777777">
            <w:pPr>
              <w:overflowPunct/>
              <w:autoSpaceDE/>
              <w:autoSpaceDN/>
              <w:adjustRightInd/>
              <w:textAlignment w:val="auto"/>
              <w:rPr>
                <w:rFonts w:eastAsia="Calibri"/>
                <w:color w:val="000000"/>
              </w:rPr>
            </w:pPr>
            <w:r w:rsidRPr="00D30FE9">
              <w:rPr>
                <w:rFonts w:eastAsia="Calibri"/>
                <w:color w:val="000000"/>
              </w:rPr>
              <w:t>Census Challenge Form HUD-4119 Appendix A</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62F4532C" w14:textId="77777777">
            <w:pPr>
              <w:overflowPunct/>
              <w:autoSpaceDE/>
              <w:autoSpaceDN/>
              <w:adjustRightInd/>
              <w:jc w:val="center"/>
              <w:textAlignment w:val="auto"/>
              <w:rPr>
                <w:rFonts w:eastAsia="Calibri"/>
                <w:color w:val="000000"/>
              </w:rPr>
            </w:pPr>
            <w:r w:rsidRPr="00D30FE9">
              <w:rPr>
                <w:rFonts w:eastAsia="Calibri"/>
                <w:color w:val="000000"/>
              </w:rPr>
              <w:t>15</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2279BF8"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49762E4" w14:textId="77777777">
            <w:pPr>
              <w:overflowPunct/>
              <w:autoSpaceDE/>
              <w:autoSpaceDN/>
              <w:adjustRightInd/>
              <w:jc w:val="center"/>
              <w:textAlignment w:val="auto"/>
              <w:rPr>
                <w:rFonts w:eastAsia="Calibri"/>
                <w:color w:val="000000"/>
              </w:rPr>
            </w:pPr>
            <w:r w:rsidRPr="00D30FE9">
              <w:rPr>
                <w:rFonts w:eastAsia="Calibri"/>
                <w:color w:val="000000"/>
              </w:rPr>
              <w:t>15</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4EB9B0F3" w14:textId="77777777">
            <w:pPr>
              <w:overflowPunct/>
              <w:autoSpaceDE/>
              <w:autoSpaceDN/>
              <w:adjustRightInd/>
              <w:jc w:val="center"/>
              <w:textAlignment w:val="auto"/>
              <w:rPr>
                <w:rFonts w:eastAsia="Calibri"/>
                <w:color w:val="000000"/>
              </w:rPr>
            </w:pPr>
            <w:r w:rsidRPr="00D30FE9">
              <w:rPr>
                <w:rFonts w:eastAsia="Calibri"/>
                <w:color w:val="000000"/>
              </w:rPr>
              <w:t>10 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44C6383D" w14:textId="77777777">
            <w:pPr>
              <w:overflowPunct/>
              <w:autoSpaceDE/>
              <w:autoSpaceDN/>
              <w:adjustRightInd/>
              <w:jc w:val="center"/>
              <w:textAlignment w:val="auto"/>
              <w:rPr>
                <w:rFonts w:eastAsia="Calibri"/>
                <w:color w:val="000000"/>
              </w:rPr>
            </w:pPr>
            <w:r w:rsidRPr="00D30FE9">
              <w:rPr>
                <w:rFonts w:eastAsia="Calibri"/>
                <w:color w:val="000000"/>
              </w:rPr>
              <w:t>150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3684D76" w14:textId="09172E35">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45.14</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3705E6A" w14:textId="0DB7C0D8">
            <w:pPr>
              <w:overflowPunct/>
              <w:autoSpaceDE/>
              <w:autoSpaceDN/>
              <w:adjustRightInd/>
              <w:jc w:val="center"/>
              <w:textAlignment w:val="auto"/>
              <w:rPr>
                <w:rFonts w:eastAsia="Calibri"/>
                <w:color w:val="000000"/>
              </w:rPr>
            </w:pPr>
            <w:r w:rsidRPr="00D30FE9">
              <w:rPr>
                <w:rFonts w:eastAsia="Calibri"/>
                <w:color w:val="000000"/>
              </w:rPr>
              <w:t>$6,771.00</w:t>
            </w:r>
          </w:p>
        </w:tc>
      </w:tr>
      <w:tr w14:paraId="27E68B2F"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546B327C" w14:textId="77777777">
            <w:pPr>
              <w:overflowPunct/>
              <w:autoSpaceDE/>
              <w:autoSpaceDN/>
              <w:adjustRightInd/>
              <w:textAlignment w:val="auto"/>
              <w:rPr>
                <w:rFonts w:eastAsia="Calibri"/>
                <w:color w:val="000000"/>
              </w:rPr>
            </w:pPr>
            <w:r w:rsidRPr="00D30FE9">
              <w:rPr>
                <w:rFonts w:eastAsia="Calibri"/>
                <w:color w:val="000000"/>
              </w:rPr>
              <w:t>Census Challenge Form HUD-4119 Appendix B</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2F7C9CA2" w14:textId="77777777">
            <w:pPr>
              <w:overflowPunct/>
              <w:autoSpaceDE/>
              <w:autoSpaceDN/>
              <w:adjustRightInd/>
              <w:jc w:val="center"/>
              <w:textAlignment w:val="auto"/>
              <w:rPr>
                <w:rFonts w:eastAsia="Calibri"/>
                <w:color w:val="000000"/>
              </w:rPr>
            </w:pPr>
            <w:r w:rsidRPr="00D30FE9">
              <w:rPr>
                <w:rFonts w:eastAsia="Calibri"/>
                <w:color w:val="000000"/>
              </w:rPr>
              <w:t>15</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A91C7AB"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25A5DCA4" w14:textId="77777777">
            <w:pPr>
              <w:overflowPunct/>
              <w:autoSpaceDE/>
              <w:autoSpaceDN/>
              <w:adjustRightInd/>
              <w:jc w:val="center"/>
              <w:textAlignment w:val="auto"/>
              <w:rPr>
                <w:rFonts w:eastAsia="Calibri"/>
                <w:color w:val="000000"/>
              </w:rPr>
            </w:pPr>
            <w:r w:rsidRPr="00D30FE9">
              <w:rPr>
                <w:rFonts w:eastAsia="Calibri"/>
                <w:color w:val="000000"/>
              </w:rPr>
              <w:t>15</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670E3A2C" w14:textId="77777777">
            <w:pPr>
              <w:overflowPunct/>
              <w:autoSpaceDE/>
              <w:autoSpaceDN/>
              <w:adjustRightInd/>
              <w:jc w:val="center"/>
              <w:textAlignment w:val="auto"/>
              <w:rPr>
                <w:rFonts w:eastAsia="Calibri"/>
                <w:color w:val="000000"/>
              </w:rPr>
            </w:pPr>
            <w:r w:rsidRPr="00D30FE9">
              <w:rPr>
                <w:rFonts w:eastAsia="Calibri"/>
                <w:color w:val="000000"/>
              </w:rPr>
              <w:t>10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27DA8579" w14:textId="77777777">
            <w:pPr>
              <w:overflowPunct/>
              <w:autoSpaceDE/>
              <w:autoSpaceDN/>
              <w:adjustRightInd/>
              <w:jc w:val="center"/>
              <w:textAlignment w:val="auto"/>
              <w:rPr>
                <w:rFonts w:eastAsia="Calibri"/>
                <w:color w:val="000000"/>
              </w:rPr>
            </w:pPr>
            <w:r w:rsidRPr="00D30FE9">
              <w:rPr>
                <w:rFonts w:eastAsia="Calibri"/>
                <w:color w:val="000000"/>
              </w:rPr>
              <w:t>150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53F447C" w14:textId="65A666BF">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45.14</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6732EE22" w14:textId="34C19E10">
            <w:pPr>
              <w:overflowPunct/>
              <w:autoSpaceDE/>
              <w:autoSpaceDN/>
              <w:adjustRightInd/>
              <w:jc w:val="center"/>
              <w:textAlignment w:val="auto"/>
              <w:rPr>
                <w:rFonts w:eastAsia="Calibri"/>
                <w:color w:val="000000"/>
              </w:rPr>
            </w:pPr>
            <w:r w:rsidRPr="00D30FE9">
              <w:rPr>
                <w:rFonts w:eastAsia="Calibri"/>
                <w:color w:val="000000"/>
              </w:rPr>
              <w:t>$6,771.00</w:t>
            </w:r>
          </w:p>
        </w:tc>
      </w:tr>
      <w:tr w14:paraId="69502E7D"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52765514" w14:textId="77777777">
            <w:pPr>
              <w:overflowPunct/>
              <w:autoSpaceDE/>
              <w:autoSpaceDN/>
              <w:adjustRightInd/>
              <w:textAlignment w:val="auto"/>
              <w:rPr>
                <w:rFonts w:eastAsia="Calibri"/>
                <w:color w:val="000000"/>
              </w:rPr>
            </w:pPr>
            <w:r w:rsidRPr="00D30FE9">
              <w:rPr>
                <w:rFonts w:eastAsia="Calibri"/>
                <w:color w:val="000000"/>
              </w:rPr>
              <w:t>Census Challenge Form HUD-4119 Appendix C</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20AAB34A" w14:textId="77777777">
            <w:pPr>
              <w:overflowPunct/>
              <w:autoSpaceDE/>
              <w:autoSpaceDN/>
              <w:adjustRightInd/>
              <w:jc w:val="center"/>
              <w:textAlignment w:val="auto"/>
              <w:rPr>
                <w:rFonts w:eastAsia="Calibri"/>
                <w:color w:val="000000"/>
              </w:rPr>
            </w:pPr>
            <w:r w:rsidRPr="00D30FE9">
              <w:rPr>
                <w:rFonts w:eastAsia="Calibri"/>
                <w:color w:val="000000"/>
              </w:rPr>
              <w:t>15</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4FACDB40"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3563F706" w14:textId="77777777">
            <w:pPr>
              <w:overflowPunct/>
              <w:autoSpaceDE/>
              <w:autoSpaceDN/>
              <w:adjustRightInd/>
              <w:jc w:val="center"/>
              <w:textAlignment w:val="auto"/>
              <w:rPr>
                <w:rFonts w:eastAsia="Calibri"/>
                <w:color w:val="000000"/>
              </w:rPr>
            </w:pPr>
            <w:r w:rsidRPr="00D30FE9">
              <w:rPr>
                <w:rFonts w:eastAsia="Calibri"/>
                <w:color w:val="000000"/>
              </w:rPr>
              <w:t>15</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70873AD" w14:textId="77777777">
            <w:pPr>
              <w:overflowPunct/>
              <w:autoSpaceDE/>
              <w:autoSpaceDN/>
              <w:adjustRightInd/>
              <w:jc w:val="center"/>
              <w:textAlignment w:val="auto"/>
              <w:rPr>
                <w:rFonts w:eastAsia="Calibri"/>
                <w:color w:val="000000"/>
              </w:rPr>
            </w:pPr>
            <w:r w:rsidRPr="00D30FE9">
              <w:rPr>
                <w:rFonts w:eastAsia="Calibri"/>
                <w:color w:val="000000"/>
              </w:rPr>
              <w:t>15</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7A4A8D29" w14:textId="77777777">
            <w:pPr>
              <w:overflowPunct/>
              <w:autoSpaceDE/>
              <w:autoSpaceDN/>
              <w:adjustRightInd/>
              <w:jc w:val="center"/>
              <w:textAlignment w:val="auto"/>
              <w:rPr>
                <w:rFonts w:eastAsia="Calibri"/>
                <w:color w:val="000000"/>
              </w:rPr>
            </w:pPr>
            <w:r w:rsidRPr="00D30FE9">
              <w:rPr>
                <w:rFonts w:eastAsia="Calibri"/>
                <w:color w:val="000000"/>
              </w:rPr>
              <w:t>225</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9164B84" w14:textId="10CB5DDD">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45.14</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75BD6E8" w14:textId="59E2B880">
            <w:pPr>
              <w:overflowPunct/>
              <w:autoSpaceDE/>
              <w:autoSpaceDN/>
              <w:adjustRightInd/>
              <w:jc w:val="center"/>
              <w:textAlignment w:val="auto"/>
              <w:rPr>
                <w:rFonts w:eastAsia="Calibri"/>
                <w:color w:val="000000"/>
              </w:rPr>
            </w:pPr>
            <w:r w:rsidRPr="00D30FE9">
              <w:rPr>
                <w:rFonts w:eastAsia="Calibri"/>
                <w:color w:val="000000"/>
              </w:rPr>
              <w:t>$10,156.5</w:t>
            </w:r>
            <w:r w:rsidRPr="00D30FE9">
              <w:rPr>
                <w:rFonts w:eastAsia="Calibri"/>
                <w:color w:val="000000"/>
              </w:rPr>
              <w:t>‬</w:t>
            </w:r>
            <w:r w:rsidRPr="00D30FE9">
              <w:rPr>
                <w:rFonts w:eastAsia="Calibri"/>
                <w:color w:val="000000"/>
              </w:rPr>
              <w:t>0</w:t>
            </w:r>
          </w:p>
        </w:tc>
      </w:tr>
      <w:tr w14:paraId="76C1614A"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441451B1" w14:textId="77777777">
            <w:pPr>
              <w:overflowPunct/>
              <w:autoSpaceDE/>
              <w:autoSpaceDN/>
              <w:adjustRightInd/>
              <w:textAlignment w:val="auto"/>
              <w:rPr>
                <w:rFonts w:eastAsia="Calibri"/>
                <w:color w:val="000000"/>
              </w:rPr>
            </w:pPr>
            <w:r w:rsidRPr="00D30FE9">
              <w:rPr>
                <w:rFonts w:eastAsia="Calibri"/>
                <w:color w:val="000000"/>
              </w:rPr>
              <w:t>Census Challenge Form HUD-4119 Appendix D</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A8EDCCC" w14:textId="77777777">
            <w:pPr>
              <w:overflowPunct/>
              <w:autoSpaceDE/>
              <w:autoSpaceDN/>
              <w:adjustRightInd/>
              <w:jc w:val="center"/>
              <w:textAlignment w:val="auto"/>
              <w:rPr>
                <w:rFonts w:eastAsia="Calibri"/>
                <w:color w:val="000000"/>
              </w:rPr>
            </w:pPr>
            <w:r w:rsidRPr="00D30FE9">
              <w:rPr>
                <w:rFonts w:eastAsia="Calibri"/>
                <w:color w:val="000000"/>
              </w:rPr>
              <w:t>15</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35B974B9"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26BFA54A" w14:textId="77777777">
            <w:pPr>
              <w:overflowPunct/>
              <w:autoSpaceDE/>
              <w:autoSpaceDN/>
              <w:adjustRightInd/>
              <w:jc w:val="center"/>
              <w:textAlignment w:val="auto"/>
              <w:rPr>
                <w:rFonts w:eastAsia="Calibri"/>
                <w:color w:val="000000"/>
              </w:rPr>
            </w:pPr>
            <w:r w:rsidRPr="00D30FE9">
              <w:rPr>
                <w:rFonts w:eastAsia="Calibri"/>
                <w:color w:val="000000"/>
              </w:rPr>
              <w:t>15</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2134D7AF" w14:textId="77777777">
            <w:pPr>
              <w:overflowPunct/>
              <w:autoSpaceDE/>
              <w:autoSpaceDN/>
              <w:adjustRightInd/>
              <w:jc w:val="center"/>
              <w:textAlignment w:val="auto"/>
              <w:rPr>
                <w:rFonts w:eastAsia="Calibri"/>
                <w:color w:val="000000"/>
              </w:rPr>
            </w:pPr>
            <w:r w:rsidRPr="00D30FE9">
              <w:rPr>
                <w:rFonts w:eastAsia="Calibri"/>
                <w:color w:val="000000"/>
              </w:rPr>
              <w:t>10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3431936" w14:textId="77777777">
            <w:pPr>
              <w:overflowPunct/>
              <w:autoSpaceDE/>
              <w:autoSpaceDN/>
              <w:adjustRightInd/>
              <w:jc w:val="center"/>
              <w:textAlignment w:val="auto"/>
              <w:rPr>
                <w:rFonts w:eastAsia="Calibri"/>
                <w:color w:val="000000"/>
              </w:rPr>
            </w:pPr>
            <w:r w:rsidRPr="00D30FE9">
              <w:rPr>
                <w:rFonts w:eastAsia="Calibri"/>
                <w:color w:val="000000"/>
              </w:rPr>
              <w:t>150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402AEEC7" w14:textId="0E5EB7F3">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45.14</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4A17310B" w14:textId="30B755EA">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6,771</w:t>
            </w:r>
            <w:r w:rsidRPr="00D30FE9" w:rsidR="008A58E1">
              <w:rPr>
                <w:rFonts w:eastAsia="Calibri"/>
                <w:color w:val="000000"/>
              </w:rPr>
              <w:t>‬</w:t>
            </w:r>
            <w:r w:rsidRPr="00D30FE9" w:rsidR="008A58E1">
              <w:rPr>
                <w:rFonts w:eastAsia="Calibri"/>
                <w:color w:val="000000"/>
              </w:rPr>
              <w:t>.00</w:t>
            </w:r>
          </w:p>
        </w:tc>
      </w:tr>
      <w:tr w14:paraId="78EE1E1F"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73BE3C1B" w14:textId="77777777">
            <w:pPr>
              <w:overflowPunct/>
              <w:autoSpaceDE/>
              <w:autoSpaceDN/>
              <w:adjustRightInd/>
              <w:textAlignment w:val="auto"/>
              <w:rPr>
                <w:rFonts w:eastAsia="Calibri"/>
                <w:color w:val="000000"/>
              </w:rPr>
            </w:pPr>
            <w:r w:rsidRPr="00D30FE9">
              <w:rPr>
                <w:rFonts w:eastAsia="Calibri"/>
                <w:color w:val="000000"/>
              </w:rPr>
              <w:t>Cost Summary HUD-4123</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6414CB1F" w14:textId="77777777">
            <w:pPr>
              <w:overflowPunct/>
              <w:autoSpaceDE/>
              <w:autoSpaceDN/>
              <w:adjustRightInd/>
              <w:jc w:val="center"/>
              <w:textAlignment w:val="auto"/>
              <w:rPr>
                <w:rFonts w:eastAsia="Calibri"/>
                <w:color w:val="000000"/>
              </w:rPr>
            </w:pPr>
            <w:r w:rsidRPr="00D30FE9">
              <w:rPr>
                <w:rFonts w:eastAsia="Calibri"/>
                <w:color w:val="000000"/>
              </w:rPr>
              <w:t>300</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CC15316"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6F9D18E7" w14:textId="77777777">
            <w:pPr>
              <w:overflowPunct/>
              <w:autoSpaceDE/>
              <w:autoSpaceDN/>
              <w:adjustRightInd/>
              <w:jc w:val="center"/>
              <w:textAlignment w:val="auto"/>
              <w:rPr>
                <w:rFonts w:eastAsia="Calibri"/>
                <w:color w:val="000000"/>
              </w:rPr>
            </w:pPr>
            <w:r w:rsidRPr="00D30FE9">
              <w:rPr>
                <w:rFonts w:eastAsia="Calibri"/>
                <w:color w:val="000000"/>
              </w:rPr>
              <w:t>300</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78D152AC" w14:textId="77777777">
            <w:pPr>
              <w:overflowPunct/>
              <w:autoSpaceDE/>
              <w:autoSpaceDN/>
              <w:adjustRightInd/>
              <w:jc w:val="center"/>
              <w:textAlignment w:val="auto"/>
              <w:rPr>
                <w:rFonts w:eastAsia="Calibri"/>
                <w:color w:val="000000"/>
              </w:rPr>
            </w:pPr>
            <w:r w:rsidRPr="00D30FE9">
              <w:rPr>
                <w:rFonts w:eastAsia="Calibri"/>
                <w:color w:val="000000"/>
              </w:rPr>
              <w:t>40  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15D7AF6" w14:textId="77777777">
            <w:pPr>
              <w:overflowPunct/>
              <w:autoSpaceDE/>
              <w:autoSpaceDN/>
              <w:adjustRightInd/>
              <w:jc w:val="center"/>
              <w:textAlignment w:val="auto"/>
              <w:rPr>
                <w:rFonts w:eastAsia="Calibri"/>
                <w:color w:val="000000"/>
              </w:rPr>
            </w:pPr>
            <w:r w:rsidRPr="00D30FE9">
              <w:rPr>
                <w:rFonts w:eastAsia="Calibri"/>
                <w:color w:val="000000"/>
              </w:rPr>
              <w:t>12,000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4A42E730" w14:textId="729A7657">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45.14</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3AC02A5" w14:textId="4D3C48B2">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541,680.00</w:t>
            </w:r>
          </w:p>
        </w:tc>
      </w:tr>
      <w:tr w14:paraId="6E506AD1"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62069594" w14:textId="77777777">
            <w:pPr>
              <w:overflowPunct/>
              <w:autoSpaceDE/>
              <w:autoSpaceDN/>
              <w:adjustRightInd/>
              <w:textAlignment w:val="auto"/>
              <w:rPr>
                <w:rFonts w:eastAsia="Calibri"/>
                <w:color w:val="000000"/>
              </w:rPr>
            </w:pPr>
            <w:r w:rsidRPr="00D30FE9">
              <w:rPr>
                <w:rFonts w:eastAsia="Calibri"/>
                <w:color w:val="000000"/>
              </w:rPr>
              <w:t>Implementation Schedule HUD-4125</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31A53498" w14:textId="77777777">
            <w:pPr>
              <w:overflowPunct/>
              <w:autoSpaceDE/>
              <w:autoSpaceDN/>
              <w:adjustRightInd/>
              <w:jc w:val="center"/>
              <w:textAlignment w:val="auto"/>
              <w:rPr>
                <w:rFonts w:eastAsia="Calibri"/>
                <w:color w:val="000000"/>
              </w:rPr>
            </w:pPr>
            <w:r w:rsidRPr="00D30FE9">
              <w:rPr>
                <w:rFonts w:eastAsia="Calibri"/>
                <w:color w:val="000000"/>
              </w:rPr>
              <w:t>300</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29DF7F4A"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7E230C13" w14:textId="77777777">
            <w:pPr>
              <w:overflowPunct/>
              <w:autoSpaceDE/>
              <w:autoSpaceDN/>
              <w:adjustRightInd/>
              <w:jc w:val="center"/>
              <w:textAlignment w:val="auto"/>
              <w:rPr>
                <w:rFonts w:eastAsia="Calibri"/>
                <w:color w:val="000000"/>
              </w:rPr>
            </w:pPr>
            <w:r w:rsidRPr="00D30FE9">
              <w:rPr>
                <w:rFonts w:eastAsia="Calibri"/>
                <w:color w:val="000000"/>
              </w:rPr>
              <w:t>300</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21933F13" w14:textId="77777777">
            <w:pPr>
              <w:overflowPunct/>
              <w:autoSpaceDE/>
              <w:autoSpaceDN/>
              <w:adjustRightInd/>
              <w:jc w:val="center"/>
              <w:textAlignment w:val="auto"/>
              <w:rPr>
                <w:rFonts w:eastAsia="Calibri"/>
                <w:color w:val="000000"/>
              </w:rPr>
            </w:pPr>
            <w:r w:rsidRPr="00D30FE9">
              <w:rPr>
                <w:rFonts w:eastAsia="Calibri"/>
                <w:color w:val="000000"/>
              </w:rPr>
              <w:t>40   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28E76D48" w14:textId="77777777">
            <w:pPr>
              <w:overflowPunct/>
              <w:autoSpaceDE/>
              <w:autoSpaceDN/>
              <w:adjustRightInd/>
              <w:jc w:val="center"/>
              <w:textAlignment w:val="auto"/>
              <w:rPr>
                <w:rFonts w:eastAsia="Calibri"/>
                <w:color w:val="000000"/>
              </w:rPr>
            </w:pPr>
            <w:r w:rsidRPr="00D30FE9">
              <w:rPr>
                <w:rFonts w:eastAsia="Calibri"/>
                <w:color w:val="000000"/>
              </w:rPr>
              <w:t>12,000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1583188" w14:textId="781E87C9">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45.14</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3F710819" w14:textId="60F074B8">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541,680.00</w:t>
            </w:r>
          </w:p>
        </w:tc>
      </w:tr>
      <w:tr w14:paraId="17E47497"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1E1EB58F" w14:textId="77777777">
            <w:pPr>
              <w:overflowPunct/>
              <w:autoSpaceDE/>
              <w:autoSpaceDN/>
              <w:adjustRightInd/>
              <w:textAlignment w:val="auto"/>
              <w:rPr>
                <w:rFonts w:eastAsia="Calibri"/>
                <w:color w:val="000000"/>
              </w:rPr>
            </w:pPr>
            <w:r w:rsidRPr="00D30FE9">
              <w:rPr>
                <w:rFonts w:eastAsia="Calibri"/>
                <w:color w:val="000000"/>
              </w:rPr>
              <w:t>Depository Agreement, Bank Accounts HUD–52736–A</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B27FC81" w14:textId="77777777">
            <w:pPr>
              <w:overflowPunct/>
              <w:autoSpaceDE/>
              <w:autoSpaceDN/>
              <w:adjustRightInd/>
              <w:jc w:val="center"/>
              <w:textAlignment w:val="auto"/>
              <w:rPr>
                <w:rFonts w:eastAsia="Calibri"/>
                <w:color w:val="000000"/>
              </w:rPr>
            </w:pPr>
            <w:r w:rsidRPr="00D30FE9">
              <w:rPr>
                <w:rFonts w:eastAsia="Calibri"/>
                <w:color w:val="000000"/>
              </w:rPr>
              <w:t>15</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680E9443"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25ABF69" w14:textId="77777777">
            <w:pPr>
              <w:overflowPunct/>
              <w:autoSpaceDE/>
              <w:autoSpaceDN/>
              <w:adjustRightInd/>
              <w:jc w:val="center"/>
              <w:textAlignment w:val="auto"/>
              <w:rPr>
                <w:rFonts w:eastAsia="Calibri"/>
                <w:color w:val="000000"/>
              </w:rPr>
            </w:pPr>
            <w:r w:rsidRPr="00D30FE9">
              <w:rPr>
                <w:rFonts w:eastAsia="Calibri"/>
                <w:color w:val="000000"/>
              </w:rPr>
              <w:t>15</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3E6DD64B"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6C2C919" w14:textId="77777777">
            <w:pPr>
              <w:overflowPunct/>
              <w:autoSpaceDE/>
              <w:autoSpaceDN/>
              <w:adjustRightInd/>
              <w:jc w:val="center"/>
              <w:textAlignment w:val="auto"/>
              <w:rPr>
                <w:rFonts w:eastAsia="Calibri"/>
                <w:color w:val="000000"/>
              </w:rPr>
            </w:pPr>
            <w:r w:rsidRPr="00D30FE9">
              <w:rPr>
                <w:rFonts w:eastAsia="Calibri"/>
                <w:color w:val="000000"/>
              </w:rPr>
              <w:t>15</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49A9935B" w14:textId="18BA7DE5">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45.14</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986EAA5" w14:textId="768FC092">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677.1</w:t>
            </w:r>
            <w:r w:rsidRPr="00D30FE9" w:rsidR="008A58E1">
              <w:rPr>
                <w:rFonts w:eastAsia="Calibri"/>
                <w:color w:val="000000"/>
              </w:rPr>
              <w:t>‬</w:t>
            </w:r>
            <w:r w:rsidRPr="00D30FE9" w:rsidR="008A58E1">
              <w:rPr>
                <w:rFonts w:eastAsia="Calibri"/>
                <w:color w:val="000000"/>
              </w:rPr>
              <w:t>0</w:t>
            </w:r>
          </w:p>
        </w:tc>
      </w:tr>
      <w:tr w14:paraId="511BF027"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3259849F" w14:textId="77777777">
            <w:pPr>
              <w:overflowPunct/>
              <w:autoSpaceDE/>
              <w:autoSpaceDN/>
              <w:adjustRightInd/>
              <w:textAlignment w:val="auto"/>
              <w:rPr>
                <w:rFonts w:eastAsia="Calibri"/>
                <w:color w:val="000000"/>
              </w:rPr>
            </w:pPr>
            <w:r w:rsidRPr="00D30FE9">
              <w:rPr>
                <w:rFonts w:eastAsia="Calibri"/>
                <w:color w:val="000000"/>
              </w:rPr>
              <w:t>Depository Agreement, Broker/Dealer HUD–52736–B</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2F419158" w14:textId="77777777">
            <w:pPr>
              <w:overflowPunct/>
              <w:autoSpaceDE/>
              <w:autoSpaceDN/>
              <w:adjustRightInd/>
              <w:jc w:val="center"/>
              <w:textAlignment w:val="auto"/>
              <w:rPr>
                <w:rFonts w:eastAsia="Calibri"/>
                <w:color w:val="000000"/>
              </w:rPr>
            </w:pPr>
            <w:r w:rsidRPr="00D30FE9">
              <w:rPr>
                <w:rFonts w:eastAsia="Calibri"/>
                <w:color w:val="000000"/>
              </w:rPr>
              <w:t>15</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1719EAF"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7EE15E83" w14:textId="77777777">
            <w:pPr>
              <w:overflowPunct/>
              <w:autoSpaceDE/>
              <w:autoSpaceDN/>
              <w:adjustRightInd/>
              <w:jc w:val="center"/>
              <w:textAlignment w:val="auto"/>
              <w:rPr>
                <w:rFonts w:eastAsia="Calibri"/>
                <w:color w:val="000000"/>
              </w:rPr>
            </w:pPr>
            <w:r w:rsidRPr="00D30FE9">
              <w:rPr>
                <w:rFonts w:eastAsia="Calibri"/>
                <w:color w:val="000000"/>
              </w:rPr>
              <w:t>15</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26F3B79C"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6ED7AFF7" w14:textId="77777777">
            <w:pPr>
              <w:overflowPunct/>
              <w:autoSpaceDE/>
              <w:autoSpaceDN/>
              <w:adjustRightInd/>
              <w:jc w:val="center"/>
              <w:textAlignment w:val="auto"/>
              <w:rPr>
                <w:rFonts w:eastAsia="Calibri"/>
                <w:color w:val="000000"/>
              </w:rPr>
            </w:pPr>
            <w:r w:rsidRPr="00D30FE9">
              <w:rPr>
                <w:rFonts w:eastAsia="Calibri"/>
                <w:color w:val="000000"/>
              </w:rPr>
              <w:t>15</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63867DD4" w14:textId="575A247F">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45.14</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39962BD2" w14:textId="03DB9FBF">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677.1</w:t>
            </w:r>
            <w:r w:rsidRPr="00D30FE9" w:rsidR="008A58E1">
              <w:rPr>
                <w:rFonts w:eastAsia="Calibri"/>
                <w:color w:val="000000"/>
              </w:rPr>
              <w:t>‬</w:t>
            </w:r>
            <w:r w:rsidRPr="00D30FE9" w:rsidR="008A58E1">
              <w:rPr>
                <w:rFonts w:eastAsia="Calibri"/>
                <w:color w:val="000000"/>
              </w:rPr>
              <w:t>0</w:t>
            </w:r>
          </w:p>
        </w:tc>
      </w:tr>
      <w:tr w14:paraId="1BF0479C"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37D8F258" w14:textId="77777777">
            <w:pPr>
              <w:overflowPunct/>
              <w:autoSpaceDE/>
              <w:autoSpaceDN/>
              <w:adjustRightInd/>
              <w:textAlignment w:val="auto"/>
              <w:rPr>
                <w:rFonts w:eastAsia="Calibri"/>
                <w:color w:val="000000"/>
              </w:rPr>
            </w:pPr>
            <w:r w:rsidRPr="00D30FE9">
              <w:rPr>
                <w:rFonts w:eastAsia="Calibri"/>
                <w:color w:val="000000"/>
              </w:rPr>
              <w:t>HUD–52737 IHBG IHP-APR </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8D5DC35" w14:textId="77777777">
            <w:pPr>
              <w:overflowPunct/>
              <w:autoSpaceDE/>
              <w:autoSpaceDN/>
              <w:adjustRightInd/>
              <w:jc w:val="center"/>
              <w:textAlignment w:val="auto"/>
              <w:rPr>
                <w:rFonts w:eastAsia="Calibri"/>
                <w:color w:val="000000"/>
              </w:rPr>
            </w:pPr>
            <w:r w:rsidRPr="00D30FE9">
              <w:rPr>
                <w:rFonts w:eastAsia="Calibri"/>
                <w:color w:val="000000"/>
              </w:rPr>
              <w:t>20</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F6DA69B" w14:textId="77777777">
            <w:pPr>
              <w:overflowPunct/>
              <w:autoSpaceDE/>
              <w:autoSpaceDN/>
              <w:adjustRightInd/>
              <w:jc w:val="center"/>
              <w:textAlignment w:val="auto"/>
              <w:rPr>
                <w:rFonts w:eastAsia="Calibri"/>
                <w:color w:val="000000"/>
              </w:rPr>
            </w:pPr>
            <w:r w:rsidRPr="00D30FE9">
              <w:rPr>
                <w:rFonts w:eastAsia="Calibri"/>
                <w:color w:val="000000"/>
              </w:rPr>
              <w:t>2</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C9D81D9" w14:textId="77777777">
            <w:pPr>
              <w:overflowPunct/>
              <w:autoSpaceDE/>
              <w:autoSpaceDN/>
              <w:adjustRightInd/>
              <w:jc w:val="center"/>
              <w:textAlignment w:val="auto"/>
              <w:rPr>
                <w:rFonts w:eastAsia="Calibri"/>
                <w:color w:val="000000"/>
              </w:rPr>
            </w:pPr>
            <w:r w:rsidRPr="00D30FE9">
              <w:rPr>
                <w:rFonts w:eastAsia="Calibri"/>
                <w:color w:val="000000"/>
              </w:rPr>
              <w:t>40</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18B06C6" w14:textId="77777777">
            <w:pPr>
              <w:overflowPunct/>
              <w:autoSpaceDE/>
              <w:autoSpaceDN/>
              <w:adjustRightInd/>
              <w:jc w:val="center"/>
              <w:textAlignment w:val="auto"/>
              <w:rPr>
                <w:rFonts w:eastAsia="Calibri"/>
                <w:color w:val="000000"/>
              </w:rPr>
            </w:pPr>
            <w:r w:rsidRPr="00D30FE9">
              <w:rPr>
                <w:rFonts w:eastAsia="Calibri"/>
                <w:color w:val="000000"/>
              </w:rPr>
              <w:t>62</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D8FA276" w14:textId="77777777">
            <w:pPr>
              <w:overflowPunct/>
              <w:autoSpaceDE/>
              <w:autoSpaceDN/>
              <w:adjustRightInd/>
              <w:jc w:val="center"/>
              <w:textAlignment w:val="auto"/>
              <w:rPr>
                <w:rFonts w:eastAsia="Calibri"/>
                <w:color w:val="000000"/>
              </w:rPr>
            </w:pPr>
            <w:r w:rsidRPr="00D30FE9">
              <w:rPr>
                <w:rFonts w:eastAsia="Calibri"/>
                <w:color w:val="000000"/>
              </w:rPr>
              <w:t>2,480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2A585C1D" w14:textId="34A496A5">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45.14</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AD296CF" w14:textId="76AF827C">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111,947.2</w:t>
            </w:r>
            <w:r w:rsidRPr="00D30FE9" w:rsidR="008A58E1">
              <w:rPr>
                <w:rFonts w:eastAsia="Calibri"/>
                <w:color w:val="000000"/>
              </w:rPr>
              <w:t>‬</w:t>
            </w:r>
            <w:r w:rsidRPr="00D30FE9" w:rsidR="008A58E1">
              <w:rPr>
                <w:rFonts w:eastAsia="Calibri"/>
                <w:color w:val="000000"/>
              </w:rPr>
              <w:t>0</w:t>
            </w:r>
          </w:p>
        </w:tc>
      </w:tr>
      <w:tr w14:paraId="762E19BF"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6BF7FF4A" w14:textId="77777777">
            <w:pPr>
              <w:overflowPunct/>
              <w:autoSpaceDE/>
              <w:autoSpaceDN/>
              <w:adjustRightInd/>
              <w:textAlignment w:val="auto"/>
              <w:rPr>
                <w:rFonts w:eastAsia="Calibri"/>
                <w:color w:val="000000"/>
              </w:rPr>
            </w:pPr>
            <w:r w:rsidRPr="00D30FE9">
              <w:rPr>
                <w:rFonts w:eastAsia="Calibri"/>
                <w:color w:val="000000"/>
              </w:rPr>
              <w:t>HUD-52737 GEMS IHBG IHP/APR </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2409AEFF" w14:textId="77777777">
            <w:pPr>
              <w:overflowPunct/>
              <w:autoSpaceDE/>
              <w:autoSpaceDN/>
              <w:adjustRightInd/>
              <w:jc w:val="center"/>
              <w:textAlignment w:val="auto"/>
              <w:rPr>
                <w:rFonts w:eastAsia="Calibri"/>
                <w:color w:val="000000"/>
              </w:rPr>
            </w:pPr>
            <w:r w:rsidRPr="00D30FE9">
              <w:rPr>
                <w:rFonts w:eastAsia="Calibri"/>
                <w:color w:val="000000"/>
              </w:rPr>
              <w:t>370</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228B42E2" w14:textId="77777777">
            <w:pPr>
              <w:overflowPunct/>
              <w:autoSpaceDE/>
              <w:autoSpaceDN/>
              <w:adjustRightInd/>
              <w:jc w:val="center"/>
              <w:textAlignment w:val="auto"/>
              <w:rPr>
                <w:rFonts w:eastAsia="Calibri"/>
                <w:color w:val="000000"/>
              </w:rPr>
            </w:pPr>
            <w:r w:rsidRPr="00D30FE9">
              <w:rPr>
                <w:rFonts w:eastAsia="Calibri"/>
                <w:color w:val="000000"/>
              </w:rPr>
              <w:t>2</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3918E33" w14:textId="77777777">
            <w:pPr>
              <w:overflowPunct/>
              <w:autoSpaceDE/>
              <w:autoSpaceDN/>
              <w:adjustRightInd/>
              <w:jc w:val="center"/>
              <w:textAlignment w:val="auto"/>
              <w:rPr>
                <w:rFonts w:eastAsia="Calibri"/>
                <w:color w:val="000000"/>
              </w:rPr>
            </w:pPr>
            <w:r w:rsidRPr="00D30FE9">
              <w:rPr>
                <w:rFonts w:eastAsia="Calibri"/>
                <w:color w:val="000000"/>
              </w:rPr>
              <w:t>740</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20919EA" w14:textId="77777777">
            <w:pPr>
              <w:overflowPunct/>
              <w:autoSpaceDE/>
              <w:autoSpaceDN/>
              <w:adjustRightInd/>
              <w:jc w:val="center"/>
              <w:textAlignment w:val="auto"/>
              <w:rPr>
                <w:rFonts w:eastAsia="Calibri"/>
                <w:color w:val="000000"/>
              </w:rPr>
            </w:pPr>
            <w:r w:rsidRPr="00D30FE9">
              <w:rPr>
                <w:rFonts w:eastAsia="Calibri"/>
                <w:color w:val="000000"/>
              </w:rPr>
              <w:t>62</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233E241" w14:textId="77777777">
            <w:pPr>
              <w:overflowPunct/>
              <w:autoSpaceDE/>
              <w:autoSpaceDN/>
              <w:adjustRightInd/>
              <w:jc w:val="center"/>
              <w:textAlignment w:val="auto"/>
              <w:rPr>
                <w:rFonts w:eastAsia="Calibri"/>
                <w:color w:val="000000"/>
              </w:rPr>
            </w:pPr>
            <w:r w:rsidRPr="00D30FE9">
              <w:rPr>
                <w:rFonts w:eastAsia="Calibri"/>
                <w:color w:val="000000"/>
              </w:rPr>
              <w:t>45,880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B7B8C97" w14:textId="43C97BA0">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45.14</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6DCD4071" w14:textId="25C781D4">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2,071,023.20</w:t>
            </w:r>
          </w:p>
        </w:tc>
      </w:tr>
      <w:tr w14:paraId="57EA6FF8"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619EA766" w14:textId="77777777">
            <w:pPr>
              <w:overflowPunct/>
              <w:autoSpaceDE/>
              <w:autoSpaceDN/>
              <w:adjustRightInd/>
              <w:textAlignment w:val="auto"/>
              <w:rPr>
                <w:rFonts w:eastAsia="Calibri"/>
                <w:color w:val="000000"/>
              </w:rPr>
            </w:pPr>
            <w:r w:rsidRPr="00D30FE9">
              <w:rPr>
                <w:rFonts w:eastAsia="Calibri"/>
                <w:color w:val="000000"/>
              </w:rPr>
              <w:t>HUD–53248 IHBG-COMP APR </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E88ED5E" w14:textId="77777777">
            <w:pPr>
              <w:overflowPunct/>
              <w:autoSpaceDE/>
              <w:autoSpaceDN/>
              <w:adjustRightInd/>
              <w:jc w:val="center"/>
              <w:textAlignment w:val="auto"/>
              <w:rPr>
                <w:rFonts w:eastAsia="Calibri"/>
                <w:color w:val="000000"/>
              </w:rPr>
            </w:pPr>
            <w:r w:rsidRPr="00D30FE9">
              <w:rPr>
                <w:rFonts w:eastAsia="Calibri"/>
                <w:color w:val="000000"/>
              </w:rPr>
              <w:t>65</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606E58D"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1A100C1" w14:textId="77777777">
            <w:pPr>
              <w:overflowPunct/>
              <w:autoSpaceDE/>
              <w:autoSpaceDN/>
              <w:adjustRightInd/>
              <w:jc w:val="center"/>
              <w:textAlignment w:val="auto"/>
              <w:rPr>
                <w:rFonts w:eastAsia="Calibri"/>
                <w:color w:val="000000"/>
              </w:rPr>
            </w:pPr>
            <w:r w:rsidRPr="00D30FE9">
              <w:rPr>
                <w:rFonts w:eastAsia="Calibri"/>
                <w:color w:val="000000"/>
              </w:rPr>
              <w:t>65</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28A6BE3D" w14:textId="77777777">
            <w:pPr>
              <w:overflowPunct/>
              <w:autoSpaceDE/>
              <w:autoSpaceDN/>
              <w:adjustRightInd/>
              <w:jc w:val="center"/>
              <w:textAlignment w:val="auto"/>
              <w:rPr>
                <w:rFonts w:eastAsia="Calibri"/>
                <w:color w:val="000000"/>
              </w:rPr>
            </w:pPr>
            <w:r w:rsidRPr="00D30FE9">
              <w:rPr>
                <w:rFonts w:eastAsia="Calibri"/>
                <w:color w:val="000000"/>
              </w:rPr>
              <w:t>30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FDCE0A3" w14:textId="77777777">
            <w:pPr>
              <w:overflowPunct/>
              <w:autoSpaceDE/>
              <w:autoSpaceDN/>
              <w:adjustRightInd/>
              <w:jc w:val="center"/>
              <w:textAlignment w:val="auto"/>
              <w:rPr>
                <w:rFonts w:eastAsia="Calibri"/>
                <w:color w:val="000000"/>
              </w:rPr>
            </w:pPr>
            <w:r w:rsidRPr="00D30FE9">
              <w:rPr>
                <w:rFonts w:eastAsia="Calibri"/>
                <w:color w:val="000000"/>
              </w:rPr>
              <w:t>1,950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77A282B6" w14:textId="074D83E8">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45.14</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307D747B" w14:textId="6E77A9D1">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88,023.00</w:t>
            </w:r>
          </w:p>
        </w:tc>
      </w:tr>
      <w:tr w14:paraId="21C5AB7A"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93" w:rsidRPr="00D30FE9" w:rsidP="00D30FE9" w14:paraId="57D65C67" w14:textId="77777777">
            <w:pPr>
              <w:overflowPunct/>
              <w:autoSpaceDE/>
              <w:autoSpaceDN/>
              <w:adjustRightInd/>
              <w:textAlignment w:val="auto"/>
              <w:rPr>
                <w:rFonts w:eastAsia="Calibri"/>
                <w:color w:val="000000"/>
              </w:rPr>
            </w:pPr>
            <w:r w:rsidRPr="00D30FE9">
              <w:rPr>
                <w:rFonts w:eastAsia="Calibri"/>
                <w:color w:val="000000"/>
              </w:rPr>
              <w:t>Record retention </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5A3B70E" w14:textId="77777777">
            <w:pPr>
              <w:overflowPunct/>
              <w:autoSpaceDE/>
              <w:autoSpaceDN/>
              <w:adjustRightInd/>
              <w:jc w:val="center"/>
              <w:textAlignment w:val="auto"/>
              <w:rPr>
                <w:rFonts w:eastAsia="Calibri"/>
                <w:color w:val="000000"/>
              </w:rPr>
            </w:pPr>
            <w:r w:rsidRPr="00D30FE9">
              <w:rPr>
                <w:rFonts w:eastAsia="Calibri"/>
                <w:color w:val="000000"/>
              </w:rPr>
              <w:t>30</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4B2738C"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4D078512" w14:textId="77777777">
            <w:pPr>
              <w:overflowPunct/>
              <w:autoSpaceDE/>
              <w:autoSpaceDN/>
              <w:adjustRightInd/>
              <w:jc w:val="center"/>
              <w:textAlignment w:val="auto"/>
              <w:rPr>
                <w:rFonts w:eastAsia="Calibri"/>
                <w:color w:val="000000"/>
              </w:rPr>
            </w:pPr>
            <w:r w:rsidRPr="00D30FE9">
              <w:rPr>
                <w:rFonts w:eastAsia="Calibri"/>
                <w:color w:val="000000"/>
              </w:rPr>
              <w:t>30</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3488DAC2" w14:textId="77777777">
            <w:pPr>
              <w:overflowPunct/>
              <w:autoSpaceDE/>
              <w:autoSpaceDN/>
              <w:adjustRightInd/>
              <w:jc w:val="center"/>
              <w:textAlignment w:val="auto"/>
              <w:rPr>
                <w:rFonts w:eastAsia="Calibri"/>
                <w:color w:val="000000"/>
              </w:rPr>
            </w:pPr>
            <w:r w:rsidRPr="00D30FE9">
              <w:rPr>
                <w:rFonts w:eastAsia="Calibri"/>
                <w:color w:val="000000"/>
              </w:rPr>
              <w:t>1</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013D0871" w14:textId="77777777">
            <w:pPr>
              <w:overflowPunct/>
              <w:autoSpaceDE/>
              <w:autoSpaceDN/>
              <w:adjustRightInd/>
              <w:jc w:val="center"/>
              <w:textAlignment w:val="auto"/>
              <w:rPr>
                <w:rFonts w:eastAsia="Calibri"/>
                <w:color w:val="000000"/>
              </w:rPr>
            </w:pPr>
            <w:r w:rsidRPr="00D30FE9">
              <w:rPr>
                <w:rFonts w:eastAsia="Calibri"/>
                <w:color w:val="000000"/>
              </w:rPr>
              <w:t>30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1D7980DD" w14:textId="7B7A98AA">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45.14</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CD7693" w:rsidRPr="00D30FE9" w:rsidP="00CD7693" w14:paraId="59515F66" w14:textId="7C2F080C">
            <w:pPr>
              <w:overflowPunct/>
              <w:autoSpaceDE/>
              <w:autoSpaceDN/>
              <w:adjustRightInd/>
              <w:jc w:val="center"/>
              <w:textAlignment w:val="auto"/>
              <w:rPr>
                <w:rFonts w:eastAsia="Calibri"/>
                <w:color w:val="000000"/>
              </w:rPr>
            </w:pPr>
            <w:r w:rsidRPr="00D30FE9">
              <w:rPr>
                <w:rFonts w:eastAsia="Calibri"/>
                <w:color w:val="000000"/>
              </w:rPr>
              <w:t>$</w:t>
            </w:r>
            <w:r w:rsidRPr="00D30FE9" w:rsidR="008A58E1">
              <w:rPr>
                <w:rFonts w:eastAsia="Calibri"/>
                <w:color w:val="000000"/>
              </w:rPr>
              <w:t>1,354.20</w:t>
            </w:r>
          </w:p>
        </w:tc>
      </w:tr>
      <w:tr w14:paraId="32FFDC03" w14:textId="77777777" w:rsidTr="00D30FE9">
        <w:tblPrEx>
          <w:tblW w:w="9728" w:type="dxa"/>
          <w:tblInd w:w="-275" w:type="dxa"/>
          <w:tblLook w:val="04A0"/>
        </w:tblPrEx>
        <w:trPr>
          <w:trHeight w:val="720"/>
        </w:trPr>
        <w:tc>
          <w:tcPr>
            <w:tcW w:w="19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D7693" w:rsidRPr="00D30FE9" w:rsidP="00CD7693" w14:paraId="37503A31" w14:textId="77777777">
            <w:pPr>
              <w:overflowPunct/>
              <w:autoSpaceDE/>
              <w:autoSpaceDN/>
              <w:adjustRightInd/>
              <w:jc w:val="center"/>
              <w:textAlignment w:val="auto"/>
              <w:rPr>
                <w:rFonts w:eastAsia="Calibri"/>
                <w:b/>
                <w:bCs/>
                <w:color w:val="000000"/>
              </w:rPr>
            </w:pPr>
            <w:r w:rsidRPr="00D30FE9">
              <w:rPr>
                <w:rFonts w:eastAsia="Calibri"/>
                <w:b/>
                <w:bCs/>
                <w:color w:val="000000"/>
              </w:rPr>
              <w:t>Totals</w:t>
            </w:r>
          </w:p>
        </w:tc>
        <w:tc>
          <w:tcPr>
            <w:tcW w:w="123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D7693" w:rsidRPr="00D30FE9" w:rsidP="00CD7693" w14:paraId="1BD53F99" w14:textId="77777777">
            <w:pPr>
              <w:overflowPunct/>
              <w:autoSpaceDE/>
              <w:autoSpaceDN/>
              <w:adjustRightInd/>
              <w:jc w:val="center"/>
              <w:textAlignment w:val="auto"/>
              <w:rPr>
                <w:rFonts w:eastAsia="Calibri"/>
                <w:b/>
                <w:bCs/>
                <w:color w:val="000000"/>
              </w:rPr>
            </w:pPr>
            <w:r w:rsidRPr="00D30FE9">
              <w:rPr>
                <w:rFonts w:eastAsia="Calibri"/>
                <w:b/>
                <w:bCs/>
                <w:color w:val="000000"/>
              </w:rPr>
              <w:t>3,390</w:t>
            </w:r>
          </w:p>
        </w:tc>
        <w:tc>
          <w:tcPr>
            <w:tcW w:w="120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D7693" w:rsidRPr="00D30FE9" w:rsidP="00CD7693" w14:paraId="5EF5833B" w14:textId="77777777">
            <w:pPr>
              <w:overflowPunct/>
              <w:autoSpaceDE/>
              <w:autoSpaceDN/>
              <w:adjustRightInd/>
              <w:jc w:val="center"/>
              <w:textAlignment w:val="auto"/>
              <w:rPr>
                <w:rFonts w:eastAsia="Calibri"/>
                <w:b/>
                <w:bCs/>
                <w:color w:val="000000"/>
              </w:rPr>
            </w:pPr>
            <w:r w:rsidRPr="00D30FE9">
              <w:rPr>
                <w:rFonts w:eastAsia="Calibri"/>
                <w:b/>
                <w:bCs/>
                <w:color w:val="000000"/>
              </w:rPr>
              <w:t>25</w:t>
            </w:r>
          </w:p>
        </w:tc>
        <w:tc>
          <w:tcPr>
            <w:tcW w:w="113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D7693" w:rsidRPr="00D30FE9" w:rsidP="00CD7693" w14:paraId="0BB8668C" w14:textId="23CD066E">
            <w:pPr>
              <w:overflowPunct/>
              <w:autoSpaceDE/>
              <w:autoSpaceDN/>
              <w:adjustRightInd/>
              <w:jc w:val="center"/>
              <w:textAlignment w:val="auto"/>
              <w:rPr>
                <w:rFonts w:eastAsia="Calibri"/>
                <w:b/>
                <w:bCs/>
                <w:color w:val="000000"/>
              </w:rPr>
            </w:pPr>
            <w:r w:rsidRPr="00D30FE9">
              <w:rPr>
                <w:rFonts w:eastAsia="Calibri"/>
                <w:b/>
                <w:bCs/>
                <w:color w:val="000000"/>
              </w:rPr>
              <w:t>2,28</w:t>
            </w:r>
            <w:r w:rsidRPr="00D30FE9" w:rsidR="003F5D2C">
              <w:rPr>
                <w:rFonts w:eastAsia="Calibri"/>
                <w:b/>
                <w:bCs/>
                <w:color w:val="000000"/>
              </w:rPr>
              <w:t>0</w:t>
            </w:r>
          </w:p>
        </w:tc>
        <w:tc>
          <w:tcPr>
            <w:tcW w:w="102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735B7" w:rsidRPr="00D30FE9" w:rsidP="00D735B7" w14:paraId="1775B0E7" w14:textId="77777777">
            <w:pPr>
              <w:overflowPunct/>
              <w:autoSpaceDE/>
              <w:autoSpaceDN/>
              <w:adjustRightInd/>
              <w:jc w:val="center"/>
              <w:textAlignment w:val="auto"/>
              <w:rPr>
                <w:rFonts w:ascii="Aptos Narrow" w:hAnsi="Aptos Narrow"/>
                <w:b/>
                <w:bCs/>
                <w:color w:val="000000"/>
              </w:rPr>
            </w:pPr>
          </w:p>
          <w:p w:rsidR="00D735B7" w:rsidRPr="00D30FE9" w:rsidP="00D735B7" w14:paraId="2F19795E" w14:textId="578B71D3">
            <w:pPr>
              <w:overflowPunct/>
              <w:autoSpaceDE/>
              <w:autoSpaceDN/>
              <w:adjustRightInd/>
              <w:jc w:val="center"/>
              <w:textAlignment w:val="auto"/>
              <w:rPr>
                <w:b/>
                <w:bCs/>
                <w:color w:val="000000"/>
              </w:rPr>
            </w:pPr>
            <w:r w:rsidRPr="00D30FE9">
              <w:rPr>
                <w:b/>
                <w:bCs/>
                <w:color w:val="000000"/>
              </w:rPr>
              <w:t>442</w:t>
            </w:r>
          </w:p>
          <w:p w:rsidR="00CD7693" w:rsidRPr="00D30FE9" w:rsidP="00CD7693" w14:paraId="3C42C2DB" w14:textId="6EDC2C1E">
            <w:pPr>
              <w:overflowPunct/>
              <w:autoSpaceDE/>
              <w:autoSpaceDN/>
              <w:adjustRightInd/>
              <w:jc w:val="center"/>
              <w:textAlignment w:val="auto"/>
              <w:rPr>
                <w:rFonts w:eastAsia="Calibri"/>
                <w:b/>
                <w:bCs/>
                <w:color w:val="000000"/>
              </w:rPr>
            </w:pPr>
          </w:p>
        </w:tc>
        <w:tc>
          <w:tcPr>
            <w:tcW w:w="81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D7693" w:rsidRPr="00D30FE9" w:rsidP="00CD7693" w14:paraId="683A15A9" w14:textId="77777777">
            <w:pPr>
              <w:overflowPunct/>
              <w:autoSpaceDE/>
              <w:autoSpaceDN/>
              <w:adjustRightInd/>
              <w:jc w:val="center"/>
              <w:textAlignment w:val="auto"/>
              <w:rPr>
                <w:rFonts w:eastAsia="Calibri"/>
                <w:b/>
                <w:bCs/>
                <w:color w:val="000000"/>
              </w:rPr>
            </w:pPr>
            <w:r w:rsidRPr="00D30FE9">
              <w:rPr>
                <w:rFonts w:eastAsia="Calibri"/>
                <w:b/>
                <w:bCs/>
                <w:color w:val="000000"/>
              </w:rPr>
              <w:t>78,695</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D7693" w:rsidRPr="00D30FE9" w:rsidP="00CD7693" w14:paraId="175DE6E3" w14:textId="0F6D8144">
            <w:pPr>
              <w:overflowPunct/>
              <w:autoSpaceDE/>
              <w:autoSpaceDN/>
              <w:adjustRightInd/>
              <w:jc w:val="center"/>
              <w:textAlignment w:val="auto"/>
              <w:rPr>
                <w:rFonts w:eastAsia="Calibri"/>
                <w:b/>
                <w:bCs/>
                <w:color w:val="000000"/>
              </w:rPr>
            </w:pPr>
            <w:r w:rsidRPr="00D30FE9">
              <w:rPr>
                <w:rFonts w:eastAsia="Calibri"/>
                <w:b/>
                <w:bCs/>
                <w:color w:val="000000"/>
              </w:rPr>
              <w:t>$</w:t>
            </w:r>
            <w:r w:rsidRPr="00D30FE9" w:rsidR="008A58E1">
              <w:rPr>
                <w:rFonts w:eastAsia="Calibri"/>
                <w:b/>
                <w:bCs/>
                <w:color w:val="000000"/>
              </w:rPr>
              <w:t>45.14</w:t>
            </w:r>
          </w:p>
        </w:tc>
        <w:tc>
          <w:tcPr>
            <w:tcW w:w="135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D7693" w:rsidRPr="00D30FE9" w:rsidP="00CD7693" w14:paraId="086F5AED" w14:textId="15027F57">
            <w:pPr>
              <w:overflowPunct/>
              <w:autoSpaceDE/>
              <w:autoSpaceDN/>
              <w:adjustRightInd/>
              <w:jc w:val="center"/>
              <w:textAlignment w:val="auto"/>
              <w:rPr>
                <w:rFonts w:eastAsia="Calibri"/>
                <w:b/>
                <w:bCs/>
                <w:color w:val="000000"/>
              </w:rPr>
            </w:pPr>
            <w:r w:rsidRPr="00D30FE9">
              <w:rPr>
                <w:rFonts w:eastAsia="Calibri"/>
                <w:b/>
                <w:bCs/>
                <w:color w:val="000000"/>
              </w:rPr>
              <w:t>$3,</w:t>
            </w:r>
            <w:r w:rsidRPr="00D30FE9" w:rsidR="00A36166">
              <w:rPr>
                <w:rFonts w:eastAsia="Calibri"/>
                <w:b/>
                <w:bCs/>
                <w:color w:val="000000"/>
              </w:rPr>
              <w:t>552,292.30</w:t>
            </w:r>
            <w:r w:rsidRPr="00D30FE9">
              <w:rPr>
                <w:rFonts w:eastAsia="Calibri"/>
                <w:b/>
                <w:bCs/>
                <w:color w:val="000000"/>
              </w:rPr>
              <w:t xml:space="preserve"> </w:t>
            </w:r>
          </w:p>
        </w:tc>
      </w:tr>
      <w:bookmarkEnd w:id="2"/>
    </w:tbl>
    <w:p w:rsidR="001A7E83" w:rsidP="00311682" w14:paraId="10D08F83" w14:textId="77777777">
      <w:pPr>
        <w:spacing w:after="80"/>
        <w:rPr>
          <w:sz w:val="24"/>
          <w:szCs w:val="24"/>
        </w:rPr>
      </w:pPr>
    </w:p>
    <w:p w:rsidR="00311682" w:rsidRPr="00B95846" w:rsidP="00311682" w14:paraId="6BF9B5BE" w14:textId="4E6F40E8">
      <w:pPr>
        <w:adjustRightInd/>
        <w:spacing w:before="80"/>
        <w:ind w:left="-90"/>
        <w:textAlignment w:val="auto"/>
        <w:rPr>
          <w:rFonts w:eastAsia="Calibri"/>
          <w:sz w:val="24"/>
          <w:szCs w:val="24"/>
        </w:rPr>
      </w:pPr>
      <w:r w:rsidRPr="00B95846">
        <w:rPr>
          <w:rFonts w:eastAsia="Calibri"/>
          <w:sz w:val="24"/>
          <w:szCs w:val="24"/>
        </w:rPr>
        <w:t xml:space="preserve">The total annual burden of this collection is expected to be </w:t>
      </w:r>
      <w:r w:rsidR="00CD7693">
        <w:rPr>
          <w:rFonts w:eastAsia="Calibri"/>
          <w:sz w:val="24"/>
          <w:szCs w:val="24"/>
        </w:rPr>
        <w:t>78,695</w:t>
      </w:r>
      <w:r w:rsidR="006618D1">
        <w:rPr>
          <w:rFonts w:eastAsia="Calibri"/>
          <w:sz w:val="24"/>
          <w:szCs w:val="24"/>
        </w:rPr>
        <w:t xml:space="preserve"> </w:t>
      </w:r>
      <w:r w:rsidRPr="00B95846">
        <w:rPr>
          <w:rFonts w:eastAsia="Calibri"/>
          <w:sz w:val="24"/>
          <w:szCs w:val="24"/>
        </w:rPr>
        <w:t>hours. The total estimated annual cost for this information collection is $</w:t>
      </w:r>
      <w:r w:rsidRPr="00A36166" w:rsidR="00A36166">
        <w:rPr>
          <w:rFonts w:eastAsia="Calibri"/>
          <w:sz w:val="24"/>
          <w:szCs w:val="24"/>
        </w:rPr>
        <w:t>3,552,292.30</w:t>
      </w:r>
      <w:r w:rsidRPr="00B95846">
        <w:rPr>
          <w:rFonts w:eastAsia="Calibri"/>
          <w:sz w:val="24"/>
          <w:szCs w:val="24"/>
        </w:rPr>
        <w:t>. To estimate the hourly cost per respondent, HUD used the Department of Labor Bureau of Labor Statistics’ most recent (May 202</w:t>
      </w:r>
      <w:r w:rsidR="008A58E1">
        <w:rPr>
          <w:rFonts w:eastAsia="Calibri"/>
          <w:sz w:val="24"/>
          <w:szCs w:val="24"/>
        </w:rPr>
        <w:t>4</w:t>
      </w:r>
      <w:r w:rsidRPr="00B95846">
        <w:rPr>
          <w:rFonts w:eastAsia="Calibri"/>
          <w:sz w:val="24"/>
          <w:szCs w:val="24"/>
        </w:rPr>
        <w:t xml:space="preserve">) on the State and local government workers by occupational and industry group </w:t>
      </w:r>
      <w:hyperlink r:id="rId18" w:history="1">
        <w:r w:rsidRPr="008A58E1" w:rsidR="008A58E1">
          <w:rPr>
            <w:rStyle w:val="Hyperlink"/>
            <w:rFonts w:eastAsia="Calibri"/>
            <w:sz w:val="24"/>
            <w:szCs w:val="24"/>
          </w:rPr>
          <w:t>https://data.bls.gov/oesprofile/</w:t>
        </w:r>
      </w:hyperlink>
      <w:r w:rsidRPr="00B95846">
        <w:rPr>
          <w:rFonts w:eastAsia="Calibri"/>
          <w:sz w:val="24"/>
          <w:szCs w:val="24"/>
        </w:rPr>
        <w:t>we estimate these members of the Federal, State and local government Financial Specialists, All Other, professional series, to have an average hourly rate to be $</w:t>
      </w:r>
      <w:r w:rsidR="00D93EF7">
        <w:rPr>
          <w:rFonts w:eastAsia="Calibri"/>
          <w:sz w:val="24"/>
          <w:szCs w:val="24"/>
        </w:rPr>
        <w:t>45.14</w:t>
      </w:r>
      <w:r w:rsidRPr="00B95846">
        <w:rPr>
          <w:rFonts w:eastAsia="Calibri"/>
          <w:sz w:val="24"/>
          <w:szCs w:val="24"/>
        </w:rPr>
        <w:t>.</w:t>
      </w:r>
    </w:p>
    <w:p w:rsidR="00311682" w:rsidRPr="00B95846" w:rsidP="00311682" w14:paraId="65BE3966" w14:textId="77777777">
      <w:pPr>
        <w:keepLines/>
        <w:tabs>
          <w:tab w:val="left" w:pos="360"/>
          <w:tab w:val="left" w:pos="720"/>
          <w:tab w:val="center" w:pos="1680"/>
          <w:tab w:val="center" w:pos="3120"/>
          <w:tab w:val="center" w:pos="4560"/>
          <w:tab w:val="center" w:pos="6000"/>
          <w:tab w:val="center" w:pos="7440"/>
          <w:tab w:val="center" w:pos="8880"/>
        </w:tabs>
        <w:ind w:left="90"/>
        <w:rPr>
          <w:sz w:val="24"/>
          <w:szCs w:val="24"/>
        </w:rPr>
      </w:pPr>
    </w:p>
    <w:p w:rsidR="00311682" w:rsidRPr="00B95846" w:rsidP="00311682" w14:paraId="4DACF62A" w14:textId="77777777">
      <w:pPr>
        <w:tabs>
          <w:tab w:val="left" w:pos="360"/>
        </w:tabs>
        <w:ind w:left="360" w:hanging="360"/>
        <w:rPr>
          <w:b/>
          <w:bCs/>
          <w:sz w:val="24"/>
          <w:szCs w:val="24"/>
        </w:rPr>
      </w:pPr>
      <w:r w:rsidRPr="00B95846">
        <w:rPr>
          <w:sz w:val="24"/>
          <w:szCs w:val="24"/>
        </w:rPr>
        <w:t>13.</w:t>
      </w:r>
      <w:r w:rsidRPr="00B95846">
        <w:rPr>
          <w:b/>
          <w:bCs/>
          <w:sz w:val="24"/>
          <w:szCs w:val="24"/>
        </w:rPr>
        <w:tab/>
        <w:t>Provide an estimate of the total annual cost burden to respondents or recordkeepers resulting from the collection of information. (Do not include the cost of any hour burden already reflected on the burden worksheet shown in Items 12 and 14).</w:t>
      </w:r>
    </w:p>
    <w:p w:rsidR="00311682" w:rsidRPr="00B95846" w:rsidP="00311682" w14:paraId="7F6C899D" w14:textId="77777777">
      <w:pPr>
        <w:tabs>
          <w:tab w:val="left" w:pos="360"/>
        </w:tabs>
        <w:ind w:left="360" w:hanging="360"/>
        <w:rPr>
          <w:i/>
          <w:iCs/>
          <w:sz w:val="24"/>
          <w:szCs w:val="24"/>
        </w:rPr>
      </w:pPr>
      <w:r w:rsidRPr="00B95846">
        <w:rPr>
          <w:sz w:val="24"/>
          <w:szCs w:val="24"/>
        </w:rPr>
        <w:t xml:space="preserve"> </w:t>
      </w:r>
    </w:p>
    <w:p w:rsidR="00311682" w:rsidRPr="00B95846" w:rsidP="00311682" w14:paraId="01E83C82" w14:textId="77777777">
      <w:pPr>
        <w:pStyle w:val="ListParagraph"/>
        <w:keepLines/>
        <w:ind w:left="360" w:right="90"/>
        <w:rPr>
          <w:sz w:val="24"/>
          <w:szCs w:val="24"/>
        </w:rPr>
      </w:pPr>
      <w:r w:rsidRPr="00B95846">
        <w:rPr>
          <w:sz w:val="24"/>
          <w:szCs w:val="24"/>
        </w:rPr>
        <w:t xml:space="preserve">There are no additional costs to respondents or recordkeepers aside from what is reported in Items 12 and 14. </w:t>
      </w:r>
    </w:p>
    <w:p w:rsidR="00311682" w:rsidRPr="00B95846" w:rsidP="00311682" w14:paraId="4565ED11" w14:textId="77777777">
      <w:pPr>
        <w:keepLines/>
        <w:tabs>
          <w:tab w:val="left" w:pos="360"/>
        </w:tabs>
        <w:spacing w:after="80"/>
        <w:ind w:left="1620"/>
        <w:rPr>
          <w:i/>
          <w:iCs/>
          <w:sz w:val="24"/>
          <w:szCs w:val="24"/>
        </w:rPr>
      </w:pPr>
    </w:p>
    <w:p w:rsidR="00311682" w:rsidRPr="00B95846" w:rsidP="00311682" w14:paraId="72447499" w14:textId="77777777">
      <w:pPr>
        <w:keepLines/>
        <w:tabs>
          <w:tab w:val="left" w:pos="360"/>
        </w:tabs>
        <w:spacing w:after="80"/>
        <w:ind w:left="360" w:right="360" w:hanging="360"/>
        <w:rPr>
          <w:b/>
          <w:bCs/>
          <w:sz w:val="24"/>
          <w:szCs w:val="24"/>
        </w:rPr>
      </w:pPr>
      <w:r w:rsidRPr="00B95846">
        <w:rPr>
          <w:sz w:val="24"/>
          <w:szCs w:val="24"/>
        </w:rPr>
        <w:t>14.</w:t>
      </w:r>
      <w:r w:rsidRPr="00B95846">
        <w:rPr>
          <w:sz w:val="24"/>
          <w:szCs w:val="24"/>
        </w:rPr>
        <w:tab/>
      </w:r>
      <w:r w:rsidRPr="00B95846">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  Agencies also may aggregate cost estimates from Items 12, 13, and 14 in a single table.</w:t>
      </w:r>
    </w:p>
    <w:p w:rsidR="00311682" w:rsidRPr="00B95846" w:rsidP="00311682" w14:paraId="473A171B" w14:textId="77777777">
      <w:pPr>
        <w:shd w:val="clear" w:color="auto" w:fill="FFFFFF"/>
        <w:ind w:left="360"/>
        <w:rPr>
          <w:sz w:val="24"/>
          <w:szCs w:val="24"/>
        </w:rPr>
      </w:pPr>
    </w:p>
    <w:p w:rsidR="00311682" w:rsidRPr="00B95846" w:rsidP="00311682" w14:paraId="1A9534A9" w14:textId="3D3587F9">
      <w:pPr>
        <w:shd w:val="clear" w:color="auto" w:fill="FFFFFF"/>
        <w:ind w:left="360" w:right="270"/>
        <w:rPr>
          <w:color w:val="000000"/>
          <w:sz w:val="24"/>
          <w:szCs w:val="24"/>
        </w:rPr>
      </w:pPr>
      <w:r w:rsidRPr="00B95846">
        <w:rPr>
          <w:sz w:val="24"/>
          <w:szCs w:val="24"/>
        </w:rPr>
        <w:t xml:space="preserve">The estimated levels of effort are based on recent discussions with ONAP staff and their interactions with tribes and tribally designated housing entities. The estimated hours rate of $40.54/hour represents the FY 2025 GS-11, Step 1 schedule for an Area ONAP and the </w:t>
      </w:r>
      <w:r w:rsidRPr="00B95846">
        <w:rPr>
          <w:color w:val="000000"/>
          <w:sz w:val="24"/>
          <w:szCs w:val="24"/>
        </w:rPr>
        <w:t>$57.78/hour represents the FY 2025 GS-13 Step 1 schedule for HQ ONAP.</w:t>
      </w:r>
    </w:p>
    <w:p w:rsidR="00311682" w:rsidRPr="00B95846" w:rsidP="00311682" w14:paraId="691206AB" w14:textId="77777777">
      <w:pPr>
        <w:shd w:val="clear" w:color="auto" w:fill="FFFFFF"/>
        <w:ind w:left="360"/>
        <w:rPr>
          <w:color w:val="000000"/>
          <w:sz w:val="24"/>
          <w:szCs w:val="24"/>
        </w:rPr>
      </w:pPr>
    </w:p>
    <w:p w:rsidR="00311682" w:rsidRPr="00B95846" w:rsidP="00311682" w14:paraId="711091D4" w14:textId="77777777">
      <w:pPr>
        <w:shd w:val="clear" w:color="auto" w:fill="FFFFFF"/>
        <w:ind w:left="360"/>
        <w:rPr>
          <w:bCs/>
          <w:sz w:val="24"/>
          <w:szCs w:val="24"/>
        </w:rPr>
      </w:pPr>
    </w:p>
    <w:tbl>
      <w:tblPr>
        <w:tblW w:w="9720" w:type="dxa"/>
        <w:tblInd w:w="-280" w:type="dxa"/>
        <w:tblLook w:val="04A0"/>
      </w:tblPr>
      <w:tblGrid>
        <w:gridCol w:w="1901"/>
        <w:gridCol w:w="1306"/>
        <w:gridCol w:w="1128"/>
        <w:gridCol w:w="1094"/>
        <w:gridCol w:w="1047"/>
        <w:gridCol w:w="861"/>
        <w:gridCol w:w="1017"/>
        <w:gridCol w:w="1366"/>
      </w:tblGrid>
      <w:tr w14:paraId="7FFC0611" w14:textId="77777777" w:rsidTr="00D30FE9">
        <w:tblPrEx>
          <w:tblW w:w="9720" w:type="dxa"/>
          <w:tblInd w:w="-280" w:type="dxa"/>
          <w:tblLook w:val="04A0"/>
        </w:tblPrEx>
        <w:trPr>
          <w:trHeight w:val="696"/>
        </w:trPr>
        <w:tc>
          <w:tcPr>
            <w:tcW w:w="1907" w:type="dxa"/>
            <w:tcBorders>
              <w:top w:val="single" w:sz="8" w:space="0" w:color="auto"/>
              <w:left w:val="single" w:sz="8" w:space="0" w:color="auto"/>
              <w:bottom w:val="single" w:sz="8" w:space="0" w:color="auto"/>
              <w:right w:val="single" w:sz="8" w:space="0" w:color="auto"/>
            </w:tcBorders>
            <w:shd w:val="clear" w:color="000000" w:fill="D1D1D1"/>
            <w:vAlign w:val="center"/>
            <w:hideMark/>
          </w:tcPr>
          <w:p w:rsidR="00CD7693" w:rsidRPr="00CD7693" w:rsidP="00CD7693" w14:paraId="03EA3BA0" w14:textId="77777777">
            <w:pPr>
              <w:overflowPunct/>
              <w:autoSpaceDE/>
              <w:autoSpaceDN/>
              <w:adjustRightInd/>
              <w:jc w:val="center"/>
              <w:textAlignment w:val="auto"/>
              <w:rPr>
                <w:b/>
                <w:bCs/>
                <w:color w:val="000000"/>
              </w:rPr>
            </w:pPr>
            <w:r w:rsidRPr="00CD7693">
              <w:rPr>
                <w:rFonts w:eastAsia="Calibri"/>
                <w:b/>
                <w:bCs/>
                <w:color w:val="000000"/>
              </w:rPr>
              <w:t>Information Collection</w:t>
            </w:r>
          </w:p>
        </w:tc>
        <w:tc>
          <w:tcPr>
            <w:tcW w:w="1306" w:type="dxa"/>
            <w:tcBorders>
              <w:top w:val="single" w:sz="8" w:space="0" w:color="auto"/>
              <w:left w:val="nil"/>
              <w:bottom w:val="single" w:sz="8" w:space="0" w:color="auto"/>
              <w:right w:val="single" w:sz="8" w:space="0" w:color="auto"/>
            </w:tcBorders>
            <w:shd w:val="clear" w:color="000000" w:fill="D1D1D1"/>
            <w:vAlign w:val="center"/>
            <w:hideMark/>
          </w:tcPr>
          <w:p w:rsidR="00CD7693" w:rsidRPr="00CD7693" w:rsidP="00CD7693" w14:paraId="4BFE1841" w14:textId="77777777">
            <w:pPr>
              <w:overflowPunct/>
              <w:autoSpaceDE/>
              <w:autoSpaceDN/>
              <w:adjustRightInd/>
              <w:jc w:val="center"/>
              <w:textAlignment w:val="auto"/>
              <w:rPr>
                <w:b/>
                <w:bCs/>
                <w:color w:val="000000"/>
              </w:rPr>
            </w:pPr>
            <w:r w:rsidRPr="00CD7693">
              <w:rPr>
                <w:rFonts w:eastAsia="Calibri"/>
                <w:b/>
                <w:bCs/>
                <w:color w:val="000000"/>
              </w:rPr>
              <w:t>Number of Respondents</w:t>
            </w:r>
          </w:p>
        </w:tc>
        <w:tc>
          <w:tcPr>
            <w:tcW w:w="1128" w:type="dxa"/>
            <w:tcBorders>
              <w:top w:val="single" w:sz="8" w:space="0" w:color="auto"/>
              <w:left w:val="nil"/>
              <w:bottom w:val="single" w:sz="8" w:space="0" w:color="auto"/>
              <w:right w:val="single" w:sz="8" w:space="0" w:color="auto"/>
            </w:tcBorders>
            <w:shd w:val="clear" w:color="000000" w:fill="D1D1D1"/>
            <w:vAlign w:val="center"/>
            <w:hideMark/>
          </w:tcPr>
          <w:p w:rsidR="00CD7693" w:rsidRPr="00CD7693" w:rsidP="00CD7693" w14:paraId="6DF5591E" w14:textId="77777777">
            <w:pPr>
              <w:overflowPunct/>
              <w:autoSpaceDE/>
              <w:autoSpaceDN/>
              <w:adjustRightInd/>
              <w:jc w:val="center"/>
              <w:textAlignment w:val="auto"/>
              <w:rPr>
                <w:b/>
                <w:bCs/>
                <w:color w:val="000000"/>
              </w:rPr>
            </w:pPr>
            <w:r w:rsidRPr="00CD7693">
              <w:rPr>
                <w:rFonts w:eastAsia="Calibri"/>
                <w:b/>
                <w:bCs/>
                <w:color w:val="000000"/>
              </w:rPr>
              <w:t>Frequency of Response</w:t>
            </w:r>
          </w:p>
        </w:tc>
        <w:tc>
          <w:tcPr>
            <w:tcW w:w="1094" w:type="dxa"/>
            <w:tcBorders>
              <w:top w:val="single" w:sz="8" w:space="0" w:color="auto"/>
              <w:left w:val="nil"/>
              <w:bottom w:val="single" w:sz="8" w:space="0" w:color="auto"/>
              <w:right w:val="single" w:sz="8" w:space="0" w:color="auto"/>
            </w:tcBorders>
            <w:shd w:val="clear" w:color="000000" w:fill="D1D1D1"/>
            <w:vAlign w:val="center"/>
            <w:hideMark/>
          </w:tcPr>
          <w:p w:rsidR="00CD7693" w:rsidRPr="00CD7693" w:rsidP="00CD7693" w14:paraId="7868B620" w14:textId="77777777">
            <w:pPr>
              <w:overflowPunct/>
              <w:autoSpaceDE/>
              <w:autoSpaceDN/>
              <w:adjustRightInd/>
              <w:jc w:val="center"/>
              <w:textAlignment w:val="auto"/>
              <w:rPr>
                <w:b/>
                <w:bCs/>
                <w:color w:val="000000"/>
              </w:rPr>
            </w:pPr>
            <w:r w:rsidRPr="00CD7693">
              <w:rPr>
                <w:rFonts w:eastAsia="Calibri"/>
                <w:b/>
                <w:bCs/>
                <w:color w:val="000000"/>
              </w:rPr>
              <w:t xml:space="preserve">Responses per Annum </w:t>
            </w:r>
          </w:p>
        </w:tc>
        <w:tc>
          <w:tcPr>
            <w:tcW w:w="1049" w:type="dxa"/>
            <w:tcBorders>
              <w:top w:val="single" w:sz="8" w:space="0" w:color="auto"/>
              <w:left w:val="nil"/>
              <w:bottom w:val="single" w:sz="8" w:space="0" w:color="auto"/>
              <w:right w:val="single" w:sz="8" w:space="0" w:color="auto"/>
            </w:tcBorders>
            <w:shd w:val="clear" w:color="000000" w:fill="D1D1D1"/>
            <w:vAlign w:val="center"/>
            <w:hideMark/>
          </w:tcPr>
          <w:p w:rsidR="00CD7693" w:rsidRPr="00CD7693" w:rsidP="00CD7693" w14:paraId="641FEEEC" w14:textId="77777777">
            <w:pPr>
              <w:overflowPunct/>
              <w:autoSpaceDE/>
              <w:autoSpaceDN/>
              <w:adjustRightInd/>
              <w:jc w:val="center"/>
              <w:textAlignment w:val="auto"/>
              <w:rPr>
                <w:b/>
                <w:bCs/>
                <w:color w:val="000000"/>
              </w:rPr>
            </w:pPr>
            <w:r w:rsidRPr="00CD7693">
              <w:rPr>
                <w:rFonts w:eastAsia="Calibri"/>
                <w:b/>
                <w:bCs/>
                <w:color w:val="000000"/>
              </w:rPr>
              <w:t>Burden Hour Per Response</w:t>
            </w:r>
          </w:p>
        </w:tc>
        <w:tc>
          <w:tcPr>
            <w:tcW w:w="861" w:type="dxa"/>
            <w:tcBorders>
              <w:top w:val="single" w:sz="8" w:space="0" w:color="auto"/>
              <w:left w:val="nil"/>
              <w:bottom w:val="single" w:sz="8" w:space="0" w:color="auto"/>
              <w:right w:val="single" w:sz="8" w:space="0" w:color="auto"/>
            </w:tcBorders>
            <w:shd w:val="clear" w:color="000000" w:fill="D1D1D1"/>
            <w:vAlign w:val="center"/>
            <w:hideMark/>
          </w:tcPr>
          <w:p w:rsidR="00CD7693" w:rsidRPr="00CD7693" w:rsidP="00CD7693" w14:paraId="381DB2F8" w14:textId="77777777">
            <w:pPr>
              <w:overflowPunct/>
              <w:autoSpaceDE/>
              <w:autoSpaceDN/>
              <w:adjustRightInd/>
              <w:jc w:val="center"/>
              <w:textAlignment w:val="auto"/>
              <w:rPr>
                <w:b/>
                <w:bCs/>
                <w:color w:val="000000"/>
              </w:rPr>
            </w:pPr>
            <w:r w:rsidRPr="00CD7693">
              <w:rPr>
                <w:rFonts w:eastAsia="Calibri"/>
                <w:b/>
                <w:bCs/>
                <w:color w:val="000000"/>
              </w:rPr>
              <w:t>Annual Burden Hours</w:t>
            </w:r>
          </w:p>
        </w:tc>
        <w:tc>
          <w:tcPr>
            <w:tcW w:w="1017" w:type="dxa"/>
            <w:tcBorders>
              <w:top w:val="single" w:sz="8" w:space="0" w:color="auto"/>
              <w:left w:val="nil"/>
              <w:bottom w:val="single" w:sz="8" w:space="0" w:color="auto"/>
              <w:right w:val="single" w:sz="8" w:space="0" w:color="auto"/>
            </w:tcBorders>
            <w:shd w:val="clear" w:color="000000" w:fill="D1D1D1"/>
            <w:vAlign w:val="center"/>
            <w:hideMark/>
          </w:tcPr>
          <w:p w:rsidR="00CD7693" w:rsidRPr="00CD7693" w:rsidP="00CD7693" w14:paraId="6667A8C3" w14:textId="77777777">
            <w:pPr>
              <w:overflowPunct/>
              <w:autoSpaceDE/>
              <w:autoSpaceDN/>
              <w:adjustRightInd/>
              <w:jc w:val="center"/>
              <w:textAlignment w:val="auto"/>
              <w:rPr>
                <w:b/>
                <w:bCs/>
                <w:color w:val="000000"/>
              </w:rPr>
            </w:pPr>
            <w:r w:rsidRPr="00CD7693">
              <w:rPr>
                <w:rFonts w:eastAsia="Calibri"/>
                <w:b/>
                <w:bCs/>
                <w:color w:val="000000"/>
              </w:rPr>
              <w:t>Hourly Cost Per Response</w:t>
            </w:r>
          </w:p>
        </w:tc>
        <w:tc>
          <w:tcPr>
            <w:tcW w:w="1358" w:type="dxa"/>
            <w:tcBorders>
              <w:top w:val="single" w:sz="8" w:space="0" w:color="auto"/>
              <w:left w:val="nil"/>
              <w:bottom w:val="single" w:sz="8" w:space="0" w:color="auto"/>
              <w:right w:val="single" w:sz="8" w:space="0" w:color="auto"/>
            </w:tcBorders>
            <w:shd w:val="clear" w:color="000000" w:fill="D1D1D1"/>
            <w:vAlign w:val="center"/>
            <w:hideMark/>
          </w:tcPr>
          <w:p w:rsidR="00CD7693" w:rsidRPr="00CD7693" w:rsidP="00CD7693" w14:paraId="31C2246C" w14:textId="77777777">
            <w:pPr>
              <w:overflowPunct/>
              <w:autoSpaceDE/>
              <w:autoSpaceDN/>
              <w:adjustRightInd/>
              <w:jc w:val="center"/>
              <w:textAlignment w:val="auto"/>
              <w:rPr>
                <w:b/>
                <w:bCs/>
                <w:color w:val="000000"/>
              </w:rPr>
            </w:pPr>
            <w:r w:rsidRPr="00CD7693">
              <w:rPr>
                <w:rFonts w:eastAsia="Calibri"/>
                <w:b/>
                <w:bCs/>
                <w:color w:val="000000"/>
              </w:rPr>
              <w:t>Annual Cost</w:t>
            </w:r>
          </w:p>
        </w:tc>
      </w:tr>
      <w:tr w14:paraId="46FA9239" w14:textId="77777777" w:rsidTr="00D30FE9">
        <w:tblPrEx>
          <w:tblW w:w="9720" w:type="dxa"/>
          <w:tblInd w:w="-280" w:type="dxa"/>
          <w:tblLook w:val="04A0"/>
        </w:tblPrEx>
        <w:trPr>
          <w:trHeight w:val="817"/>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0281BB48" w14:textId="77777777">
            <w:pPr>
              <w:overflowPunct/>
              <w:autoSpaceDE/>
              <w:autoSpaceDN/>
              <w:adjustRightInd/>
              <w:textAlignment w:val="auto"/>
              <w:rPr>
                <w:color w:val="000000"/>
              </w:rPr>
            </w:pPr>
            <w:r w:rsidRPr="00CD7693">
              <w:rPr>
                <w:color w:val="000000" w:themeColor="text1"/>
              </w:rPr>
              <w:t>Application for Federal Assistance SF-424 (2501-0044)</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45FA6B6F" w14:textId="77777777">
            <w:pPr>
              <w:overflowPunct/>
              <w:autoSpaceDE/>
              <w:autoSpaceDN/>
              <w:adjustRightInd/>
              <w:jc w:val="center"/>
              <w:textAlignment w:val="auto"/>
              <w:rPr>
                <w:color w:val="000000"/>
              </w:rPr>
            </w:pPr>
            <w:r w:rsidRPr="00CD7693">
              <w:rPr>
                <w:color w:val="000000"/>
              </w:rPr>
              <w:t>300</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32F85699" w14:textId="77777777">
            <w:pPr>
              <w:overflowPunct/>
              <w:autoSpaceDE/>
              <w:autoSpaceDN/>
              <w:adjustRightInd/>
              <w:jc w:val="center"/>
              <w:textAlignment w:val="auto"/>
              <w:rPr>
                <w:color w:val="000000"/>
              </w:rPr>
            </w:pPr>
            <w:r w:rsidRPr="00CD7693">
              <w:rPr>
                <w:rFonts w:eastAsia="Calibri"/>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7C1EEAD1" w14:textId="77777777">
            <w:pPr>
              <w:overflowPunct/>
              <w:autoSpaceDE/>
              <w:autoSpaceDN/>
              <w:adjustRightInd/>
              <w:jc w:val="center"/>
              <w:textAlignment w:val="auto"/>
              <w:rPr>
                <w:color w:val="000000"/>
              </w:rPr>
            </w:pPr>
            <w:r w:rsidRPr="00CD7693">
              <w:rPr>
                <w:rFonts w:eastAsia="Calibri"/>
                <w:color w:val="000000"/>
              </w:rPr>
              <w:t>1</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49235FD1" w14:textId="77777777">
            <w:pPr>
              <w:overflowPunct/>
              <w:autoSpaceDE/>
              <w:autoSpaceDN/>
              <w:adjustRightInd/>
              <w:jc w:val="center"/>
              <w:textAlignment w:val="auto"/>
              <w:rPr>
                <w:color w:val="000000"/>
              </w:rPr>
            </w:pPr>
            <w:r w:rsidRPr="00CD7693">
              <w:rPr>
                <w:rFonts w:eastAsia="Calibri"/>
                <w:color w:val="000000"/>
              </w:rPr>
              <w:t>0</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6D1FB38F" w14:textId="77777777">
            <w:pPr>
              <w:overflowPunct/>
              <w:autoSpaceDE/>
              <w:autoSpaceDN/>
              <w:adjustRightInd/>
              <w:jc w:val="center"/>
              <w:textAlignment w:val="auto"/>
              <w:rPr>
                <w:color w:val="000000"/>
              </w:rPr>
            </w:pPr>
            <w:r w:rsidRPr="00CD7693">
              <w:rPr>
                <w:rFonts w:eastAsia="Calibri"/>
                <w:color w:val="000000"/>
              </w:rPr>
              <w:t>0</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74385E98" w14:textId="77777777">
            <w:pPr>
              <w:overflowPunct/>
              <w:autoSpaceDE/>
              <w:autoSpaceDN/>
              <w:adjustRightInd/>
              <w:jc w:val="right"/>
              <w:textAlignment w:val="auto"/>
              <w:rPr>
                <w:color w:val="000000"/>
              </w:rPr>
            </w:pPr>
            <w:r w:rsidRPr="00CD7693">
              <w:rPr>
                <w:rFonts w:eastAsia="Calibri"/>
                <w:color w:val="000000"/>
              </w:rPr>
              <w:t>0</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3191F1EB" w14:textId="77777777">
            <w:pPr>
              <w:overflowPunct/>
              <w:autoSpaceDE/>
              <w:autoSpaceDN/>
              <w:adjustRightInd/>
              <w:jc w:val="right"/>
              <w:textAlignment w:val="auto"/>
              <w:rPr>
                <w:color w:val="000000"/>
              </w:rPr>
            </w:pPr>
            <w:r w:rsidRPr="00CD7693">
              <w:rPr>
                <w:rFonts w:eastAsia="Calibri"/>
                <w:color w:val="000000"/>
              </w:rPr>
              <w:t>0</w:t>
            </w:r>
          </w:p>
        </w:tc>
      </w:tr>
      <w:tr w14:paraId="35DFD8FA" w14:textId="77777777" w:rsidTr="00D30FE9">
        <w:tblPrEx>
          <w:tblW w:w="9720" w:type="dxa"/>
          <w:tblInd w:w="-280" w:type="dxa"/>
          <w:tblLook w:val="04A0"/>
        </w:tblPrEx>
        <w:trPr>
          <w:trHeight w:val="979"/>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15C863FC" w14:textId="77777777">
            <w:pPr>
              <w:overflowPunct/>
              <w:autoSpaceDE/>
              <w:autoSpaceDN/>
              <w:adjustRightInd/>
              <w:textAlignment w:val="auto"/>
              <w:rPr>
                <w:color w:val="000000"/>
              </w:rPr>
            </w:pPr>
            <w:r w:rsidRPr="00CD7693">
              <w:rPr>
                <w:color w:val="000000" w:themeColor="text1"/>
              </w:rPr>
              <w:t>Assurances for Construction Programs SF-424D (2501-0044)</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43B074C4" w14:textId="77777777">
            <w:pPr>
              <w:overflowPunct/>
              <w:autoSpaceDE/>
              <w:autoSpaceDN/>
              <w:adjustRightInd/>
              <w:jc w:val="center"/>
              <w:textAlignment w:val="auto"/>
              <w:rPr>
                <w:color w:val="000000"/>
              </w:rPr>
            </w:pPr>
            <w:r w:rsidRPr="00CD7693">
              <w:rPr>
                <w:color w:val="000000"/>
              </w:rPr>
              <w:t>300</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637C6236" w14:textId="77777777">
            <w:pPr>
              <w:overflowPunct/>
              <w:autoSpaceDE/>
              <w:autoSpaceDN/>
              <w:adjustRightInd/>
              <w:jc w:val="center"/>
              <w:textAlignment w:val="auto"/>
              <w:rPr>
                <w:color w:val="000000"/>
              </w:rPr>
            </w:pPr>
            <w:r w:rsidRPr="00CD7693">
              <w:rPr>
                <w:rFonts w:eastAsia="Calibri"/>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35D097BF" w14:textId="77777777">
            <w:pPr>
              <w:overflowPunct/>
              <w:autoSpaceDE/>
              <w:autoSpaceDN/>
              <w:adjustRightInd/>
              <w:jc w:val="center"/>
              <w:textAlignment w:val="auto"/>
              <w:rPr>
                <w:color w:val="000000"/>
              </w:rPr>
            </w:pPr>
            <w:r w:rsidRPr="00CD7693">
              <w:rPr>
                <w:rFonts w:eastAsia="Calibri"/>
                <w:color w:val="000000"/>
              </w:rPr>
              <w:t>1</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1E5A43F8" w14:textId="77777777">
            <w:pPr>
              <w:overflowPunct/>
              <w:autoSpaceDE/>
              <w:autoSpaceDN/>
              <w:adjustRightInd/>
              <w:jc w:val="center"/>
              <w:textAlignment w:val="auto"/>
              <w:rPr>
                <w:color w:val="000000"/>
              </w:rPr>
            </w:pPr>
            <w:r w:rsidRPr="00CD7693">
              <w:rPr>
                <w:color w:val="000000"/>
              </w:rPr>
              <w:t>0</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07EE42CF" w14:textId="77777777">
            <w:pPr>
              <w:overflowPunct/>
              <w:autoSpaceDE/>
              <w:autoSpaceDN/>
              <w:adjustRightInd/>
              <w:jc w:val="center"/>
              <w:textAlignment w:val="auto"/>
              <w:rPr>
                <w:color w:val="000000"/>
              </w:rPr>
            </w:pPr>
            <w:r w:rsidRPr="00CD7693">
              <w:rPr>
                <w:color w:val="000000"/>
              </w:rPr>
              <w:t>0</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5A85BE23" w14:textId="77777777">
            <w:pPr>
              <w:overflowPunct/>
              <w:autoSpaceDE/>
              <w:autoSpaceDN/>
              <w:adjustRightInd/>
              <w:jc w:val="right"/>
              <w:textAlignment w:val="auto"/>
              <w:rPr>
                <w:color w:val="000000"/>
              </w:rPr>
            </w:pPr>
            <w:r w:rsidRPr="00CD7693">
              <w:rPr>
                <w:color w:val="000000"/>
              </w:rPr>
              <w:t>0</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57DC34BB" w14:textId="77777777">
            <w:pPr>
              <w:overflowPunct/>
              <w:autoSpaceDE/>
              <w:autoSpaceDN/>
              <w:adjustRightInd/>
              <w:jc w:val="right"/>
              <w:textAlignment w:val="auto"/>
              <w:rPr>
                <w:color w:val="000000"/>
              </w:rPr>
            </w:pPr>
            <w:r w:rsidRPr="00CD7693">
              <w:rPr>
                <w:color w:val="000000"/>
              </w:rPr>
              <w:t>0</w:t>
            </w:r>
          </w:p>
        </w:tc>
      </w:tr>
      <w:tr w14:paraId="3A6A096B" w14:textId="77777777" w:rsidTr="00D30FE9">
        <w:tblPrEx>
          <w:tblW w:w="9720" w:type="dxa"/>
          <w:tblInd w:w="-280" w:type="dxa"/>
          <w:tblLook w:val="04A0"/>
        </w:tblPrEx>
        <w:trPr>
          <w:trHeight w:val="790"/>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6793D000" w14:textId="77777777">
            <w:pPr>
              <w:overflowPunct/>
              <w:autoSpaceDE/>
              <w:autoSpaceDN/>
              <w:adjustRightInd/>
              <w:textAlignment w:val="auto"/>
              <w:rPr>
                <w:color w:val="000000"/>
              </w:rPr>
            </w:pPr>
            <w:r w:rsidRPr="00CD7693">
              <w:rPr>
                <w:color w:val="000000" w:themeColor="text1"/>
              </w:rPr>
              <w:t>Federal Financial Report SF-425 (2501-0044)</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2C9F8065" w14:textId="77777777">
            <w:pPr>
              <w:overflowPunct/>
              <w:autoSpaceDE/>
              <w:autoSpaceDN/>
              <w:adjustRightInd/>
              <w:jc w:val="center"/>
              <w:textAlignment w:val="auto"/>
              <w:rPr>
                <w:color w:val="000000"/>
              </w:rPr>
            </w:pPr>
            <w:r w:rsidRPr="00CD7693">
              <w:rPr>
                <w:color w:val="000000"/>
              </w:rPr>
              <w:t>300</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7E0D67D9" w14:textId="77777777">
            <w:pPr>
              <w:overflowPunct/>
              <w:autoSpaceDE/>
              <w:autoSpaceDN/>
              <w:adjustRightInd/>
              <w:jc w:val="center"/>
              <w:textAlignment w:val="auto"/>
              <w:rPr>
                <w:color w:val="000000"/>
              </w:rPr>
            </w:pPr>
            <w:r w:rsidRPr="00CD7693">
              <w:rPr>
                <w:rFonts w:eastAsia="Calibri"/>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6355E2C5" w14:textId="77777777">
            <w:pPr>
              <w:overflowPunct/>
              <w:autoSpaceDE/>
              <w:autoSpaceDN/>
              <w:adjustRightInd/>
              <w:jc w:val="center"/>
              <w:textAlignment w:val="auto"/>
              <w:rPr>
                <w:color w:val="000000"/>
              </w:rPr>
            </w:pPr>
            <w:r w:rsidRPr="00CD7693">
              <w:rPr>
                <w:rFonts w:eastAsia="Calibri"/>
                <w:color w:val="000000"/>
              </w:rPr>
              <w:t>1</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70E991FB" w14:textId="77777777">
            <w:pPr>
              <w:overflowPunct/>
              <w:autoSpaceDE/>
              <w:autoSpaceDN/>
              <w:adjustRightInd/>
              <w:jc w:val="center"/>
              <w:textAlignment w:val="auto"/>
              <w:rPr>
                <w:color w:val="000000"/>
              </w:rPr>
            </w:pPr>
            <w:r w:rsidRPr="00CD7693">
              <w:rPr>
                <w:rFonts w:eastAsia="Calibri"/>
                <w:color w:val="000000"/>
              </w:rPr>
              <w:t>0</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4B923209" w14:textId="77777777">
            <w:pPr>
              <w:overflowPunct/>
              <w:autoSpaceDE/>
              <w:autoSpaceDN/>
              <w:adjustRightInd/>
              <w:jc w:val="center"/>
              <w:textAlignment w:val="auto"/>
              <w:rPr>
                <w:color w:val="000000"/>
              </w:rPr>
            </w:pPr>
            <w:r w:rsidRPr="00CD7693">
              <w:rPr>
                <w:rFonts w:eastAsia="Calibri"/>
                <w:color w:val="000000"/>
              </w:rPr>
              <w:t>0</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429653D1" w14:textId="77777777">
            <w:pPr>
              <w:overflowPunct/>
              <w:autoSpaceDE/>
              <w:autoSpaceDN/>
              <w:adjustRightInd/>
              <w:jc w:val="right"/>
              <w:textAlignment w:val="auto"/>
              <w:rPr>
                <w:color w:val="000000"/>
              </w:rPr>
            </w:pPr>
            <w:r w:rsidRPr="00CD7693">
              <w:rPr>
                <w:rFonts w:eastAsia="Calibri"/>
                <w:color w:val="000000"/>
              </w:rPr>
              <w:t>0</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1C1A5CE2" w14:textId="77777777">
            <w:pPr>
              <w:overflowPunct/>
              <w:autoSpaceDE/>
              <w:autoSpaceDN/>
              <w:adjustRightInd/>
              <w:jc w:val="right"/>
              <w:textAlignment w:val="auto"/>
              <w:rPr>
                <w:color w:val="000000"/>
              </w:rPr>
            </w:pPr>
            <w:r w:rsidRPr="00CD7693">
              <w:rPr>
                <w:rFonts w:eastAsia="Calibri"/>
                <w:color w:val="000000"/>
              </w:rPr>
              <w:t>0</w:t>
            </w:r>
          </w:p>
        </w:tc>
      </w:tr>
      <w:tr w14:paraId="4C73390E" w14:textId="77777777" w:rsidTr="00D30FE9">
        <w:tblPrEx>
          <w:tblW w:w="9720" w:type="dxa"/>
          <w:tblInd w:w="-280" w:type="dxa"/>
          <w:tblLook w:val="04A0"/>
        </w:tblPrEx>
        <w:trPr>
          <w:trHeight w:val="961"/>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10F81402" w14:textId="77777777">
            <w:pPr>
              <w:overflowPunct/>
              <w:autoSpaceDE/>
              <w:autoSpaceDN/>
              <w:adjustRightInd/>
              <w:textAlignment w:val="auto"/>
              <w:rPr>
                <w:color w:val="000000"/>
              </w:rPr>
            </w:pPr>
            <w:r w:rsidRPr="00CD7693">
              <w:rPr>
                <w:color w:val="000000" w:themeColor="text1"/>
              </w:rPr>
              <w:t>Applicant Disclosure Report HUD -2880 (2501-0044)</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182444CE" w14:textId="77777777">
            <w:pPr>
              <w:overflowPunct/>
              <w:autoSpaceDE/>
              <w:autoSpaceDN/>
              <w:adjustRightInd/>
              <w:jc w:val="center"/>
              <w:textAlignment w:val="auto"/>
              <w:rPr>
                <w:color w:val="000000"/>
              </w:rPr>
            </w:pPr>
            <w:r w:rsidRPr="00CD7693">
              <w:rPr>
                <w:color w:val="000000"/>
              </w:rPr>
              <w:t>300</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42704F87" w14:textId="77777777">
            <w:pPr>
              <w:overflowPunct/>
              <w:autoSpaceDE/>
              <w:autoSpaceDN/>
              <w:adjustRightInd/>
              <w:jc w:val="center"/>
              <w:textAlignment w:val="auto"/>
              <w:rPr>
                <w:color w:val="000000"/>
              </w:rPr>
            </w:pPr>
            <w:r w:rsidRPr="00CD7693">
              <w:rPr>
                <w:rFonts w:eastAsia="Calibri"/>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69A7CCD3" w14:textId="77777777">
            <w:pPr>
              <w:overflowPunct/>
              <w:autoSpaceDE/>
              <w:autoSpaceDN/>
              <w:adjustRightInd/>
              <w:jc w:val="center"/>
              <w:textAlignment w:val="auto"/>
              <w:rPr>
                <w:color w:val="000000"/>
              </w:rPr>
            </w:pPr>
            <w:r w:rsidRPr="00CD7693">
              <w:rPr>
                <w:rFonts w:eastAsia="Calibri"/>
                <w:color w:val="000000"/>
              </w:rPr>
              <w:t>1</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6569B23C" w14:textId="77777777">
            <w:pPr>
              <w:overflowPunct/>
              <w:autoSpaceDE/>
              <w:autoSpaceDN/>
              <w:adjustRightInd/>
              <w:jc w:val="center"/>
              <w:textAlignment w:val="auto"/>
              <w:rPr>
                <w:color w:val="000000"/>
              </w:rPr>
            </w:pPr>
            <w:r w:rsidRPr="00CD7693">
              <w:rPr>
                <w:rFonts w:eastAsia="Calibri"/>
                <w:color w:val="000000"/>
              </w:rPr>
              <w:t>0</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22E7A41B" w14:textId="77777777">
            <w:pPr>
              <w:overflowPunct/>
              <w:autoSpaceDE/>
              <w:autoSpaceDN/>
              <w:adjustRightInd/>
              <w:jc w:val="center"/>
              <w:textAlignment w:val="auto"/>
              <w:rPr>
                <w:color w:val="000000"/>
              </w:rPr>
            </w:pPr>
            <w:r w:rsidRPr="00CD7693">
              <w:rPr>
                <w:rFonts w:eastAsia="Calibri"/>
                <w:color w:val="000000"/>
              </w:rPr>
              <w:t>0</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2B8F6066" w14:textId="77777777">
            <w:pPr>
              <w:overflowPunct/>
              <w:autoSpaceDE/>
              <w:autoSpaceDN/>
              <w:adjustRightInd/>
              <w:jc w:val="right"/>
              <w:textAlignment w:val="auto"/>
              <w:rPr>
                <w:color w:val="000000"/>
              </w:rPr>
            </w:pPr>
            <w:r w:rsidRPr="00CD7693">
              <w:rPr>
                <w:rFonts w:eastAsia="Calibri"/>
                <w:color w:val="000000"/>
              </w:rPr>
              <w:t>0</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3671F28F" w14:textId="77777777">
            <w:pPr>
              <w:overflowPunct/>
              <w:autoSpaceDE/>
              <w:autoSpaceDN/>
              <w:adjustRightInd/>
              <w:jc w:val="right"/>
              <w:textAlignment w:val="auto"/>
              <w:rPr>
                <w:color w:val="000000"/>
              </w:rPr>
            </w:pPr>
            <w:r w:rsidRPr="00CD7693">
              <w:rPr>
                <w:rFonts w:eastAsia="Calibri"/>
                <w:color w:val="000000"/>
              </w:rPr>
              <w:t>0</w:t>
            </w:r>
          </w:p>
        </w:tc>
      </w:tr>
      <w:tr w14:paraId="6CD9DEEF" w14:textId="77777777" w:rsidTr="00D30FE9">
        <w:tblPrEx>
          <w:tblW w:w="9720" w:type="dxa"/>
          <w:tblInd w:w="-280" w:type="dxa"/>
          <w:tblLook w:val="04A0"/>
        </w:tblPrEx>
        <w:trPr>
          <w:trHeight w:val="1249"/>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7B60B782" w14:textId="77777777">
            <w:pPr>
              <w:overflowPunct/>
              <w:autoSpaceDE/>
              <w:autoSpaceDN/>
              <w:adjustRightInd/>
              <w:textAlignment w:val="auto"/>
              <w:rPr>
                <w:color w:val="000000"/>
              </w:rPr>
            </w:pPr>
            <w:r w:rsidRPr="00CD7693">
              <w:rPr>
                <w:color w:val="000000"/>
              </w:rPr>
              <w:t>HUD Applicant/Recipient Assurances and Certifications HUD-424 (2501-0044)</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486CE5DF" w14:textId="77777777">
            <w:pPr>
              <w:overflowPunct/>
              <w:autoSpaceDE/>
              <w:autoSpaceDN/>
              <w:adjustRightInd/>
              <w:jc w:val="center"/>
              <w:textAlignment w:val="auto"/>
              <w:rPr>
                <w:color w:val="000000"/>
              </w:rPr>
            </w:pPr>
            <w:r w:rsidRPr="00CD7693">
              <w:rPr>
                <w:color w:val="000000"/>
              </w:rPr>
              <w:t>300</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14BB685E" w14:textId="77777777">
            <w:pPr>
              <w:overflowPunct/>
              <w:autoSpaceDE/>
              <w:autoSpaceDN/>
              <w:adjustRightInd/>
              <w:jc w:val="center"/>
              <w:textAlignment w:val="auto"/>
              <w:rPr>
                <w:color w:val="000000"/>
              </w:rPr>
            </w:pPr>
            <w:r w:rsidRPr="00CD7693">
              <w:rPr>
                <w:rFonts w:eastAsia="Calibri"/>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749F9525" w14:textId="77777777">
            <w:pPr>
              <w:overflowPunct/>
              <w:autoSpaceDE/>
              <w:autoSpaceDN/>
              <w:adjustRightInd/>
              <w:jc w:val="center"/>
              <w:textAlignment w:val="auto"/>
              <w:rPr>
                <w:color w:val="000000"/>
              </w:rPr>
            </w:pPr>
            <w:r w:rsidRPr="00CD7693">
              <w:rPr>
                <w:rFonts w:eastAsia="Calibri"/>
                <w:color w:val="000000"/>
              </w:rPr>
              <w:t>1</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292992B8" w14:textId="77777777">
            <w:pPr>
              <w:overflowPunct/>
              <w:autoSpaceDE/>
              <w:autoSpaceDN/>
              <w:adjustRightInd/>
              <w:jc w:val="center"/>
              <w:textAlignment w:val="auto"/>
              <w:rPr>
                <w:color w:val="000000"/>
              </w:rPr>
            </w:pPr>
            <w:r w:rsidRPr="00CD7693">
              <w:rPr>
                <w:rFonts w:eastAsia="Calibri"/>
                <w:color w:val="000000"/>
              </w:rPr>
              <w:t>0</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3AEE7470" w14:textId="77777777">
            <w:pPr>
              <w:overflowPunct/>
              <w:autoSpaceDE/>
              <w:autoSpaceDN/>
              <w:adjustRightInd/>
              <w:jc w:val="center"/>
              <w:textAlignment w:val="auto"/>
              <w:rPr>
                <w:color w:val="000000"/>
              </w:rPr>
            </w:pPr>
            <w:r w:rsidRPr="00CD7693">
              <w:rPr>
                <w:rFonts w:eastAsia="Calibri"/>
                <w:color w:val="000000"/>
              </w:rPr>
              <w:t>0</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68F5AD20" w14:textId="77777777">
            <w:pPr>
              <w:overflowPunct/>
              <w:autoSpaceDE/>
              <w:autoSpaceDN/>
              <w:adjustRightInd/>
              <w:jc w:val="right"/>
              <w:textAlignment w:val="auto"/>
              <w:rPr>
                <w:color w:val="000000"/>
              </w:rPr>
            </w:pPr>
            <w:r w:rsidRPr="00CD7693">
              <w:rPr>
                <w:rFonts w:eastAsia="Calibri"/>
                <w:color w:val="000000"/>
              </w:rPr>
              <w:t>0</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33FF868F" w14:textId="77777777">
            <w:pPr>
              <w:overflowPunct/>
              <w:autoSpaceDE/>
              <w:autoSpaceDN/>
              <w:adjustRightInd/>
              <w:jc w:val="right"/>
              <w:textAlignment w:val="auto"/>
              <w:rPr>
                <w:color w:val="000000"/>
              </w:rPr>
            </w:pPr>
            <w:r w:rsidRPr="00CD7693">
              <w:rPr>
                <w:rFonts w:eastAsia="Calibri"/>
                <w:color w:val="000000"/>
              </w:rPr>
              <w:t>0</w:t>
            </w:r>
          </w:p>
        </w:tc>
      </w:tr>
      <w:tr w14:paraId="2CF1F842" w14:textId="77777777" w:rsidTr="00D30FE9">
        <w:tblPrEx>
          <w:tblW w:w="9720" w:type="dxa"/>
          <w:tblInd w:w="-280" w:type="dxa"/>
          <w:tblLook w:val="04A0"/>
        </w:tblPrEx>
        <w:trPr>
          <w:trHeight w:val="601"/>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7D4A5F7F" w14:textId="77777777">
            <w:pPr>
              <w:overflowPunct/>
              <w:autoSpaceDE/>
              <w:autoSpaceDN/>
              <w:adjustRightInd/>
              <w:textAlignment w:val="auto"/>
              <w:rPr>
                <w:color w:val="000000"/>
              </w:rPr>
            </w:pPr>
            <w:r w:rsidRPr="00CD7693">
              <w:rPr>
                <w:color w:val="000000"/>
              </w:rPr>
              <w:t>Formula Response Form HUD-4117</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293E81E6" w14:textId="77777777">
            <w:pPr>
              <w:overflowPunct/>
              <w:autoSpaceDE/>
              <w:autoSpaceDN/>
              <w:adjustRightInd/>
              <w:jc w:val="center"/>
              <w:textAlignment w:val="auto"/>
              <w:rPr>
                <w:color w:val="000000"/>
              </w:rPr>
            </w:pPr>
            <w:r w:rsidRPr="00CD7693">
              <w:rPr>
                <w:color w:val="000000"/>
              </w:rPr>
              <w:t>500</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5E0A2AA5" w14:textId="77777777">
            <w:pPr>
              <w:overflowPunct/>
              <w:autoSpaceDE/>
              <w:autoSpaceDN/>
              <w:adjustRightInd/>
              <w:jc w:val="center"/>
              <w:textAlignment w:val="auto"/>
              <w:rPr>
                <w:color w:val="000000"/>
              </w:rPr>
            </w:pPr>
            <w:r w:rsidRPr="00CD7693">
              <w:rPr>
                <w:rFonts w:eastAsia="Calibri"/>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4712F0D4" w14:textId="77777777">
            <w:pPr>
              <w:overflowPunct/>
              <w:autoSpaceDE/>
              <w:autoSpaceDN/>
              <w:adjustRightInd/>
              <w:jc w:val="center"/>
              <w:textAlignment w:val="auto"/>
              <w:rPr>
                <w:color w:val="000000"/>
              </w:rPr>
            </w:pPr>
            <w:r w:rsidRPr="00CD7693">
              <w:rPr>
                <w:color w:val="000000"/>
              </w:rPr>
              <w:t>500</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3CADDCA4" w14:textId="77777777">
            <w:pPr>
              <w:overflowPunct/>
              <w:autoSpaceDE/>
              <w:autoSpaceDN/>
              <w:adjustRightInd/>
              <w:jc w:val="center"/>
              <w:textAlignment w:val="auto"/>
              <w:rPr>
                <w:color w:val="000000"/>
              </w:rPr>
            </w:pPr>
            <w:r w:rsidRPr="00CD7693">
              <w:rPr>
                <w:rFonts w:eastAsia="Calibri"/>
                <w:color w:val="000000"/>
              </w:rPr>
              <w:t>2</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74F6616E" w14:textId="77777777">
            <w:pPr>
              <w:overflowPunct/>
              <w:autoSpaceDE/>
              <w:autoSpaceDN/>
              <w:adjustRightInd/>
              <w:jc w:val="center"/>
              <w:textAlignment w:val="auto"/>
              <w:rPr>
                <w:color w:val="000000"/>
              </w:rPr>
            </w:pPr>
            <w:r w:rsidRPr="00CD7693">
              <w:rPr>
                <w:rFonts w:eastAsia="Calibri"/>
                <w:color w:val="000000"/>
              </w:rPr>
              <w:t>1,000</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2B04C1B5" w14:textId="77777777">
            <w:pPr>
              <w:overflowPunct/>
              <w:autoSpaceDE/>
              <w:autoSpaceDN/>
              <w:adjustRightInd/>
              <w:jc w:val="right"/>
              <w:textAlignment w:val="auto"/>
              <w:rPr>
                <w:color w:val="000000"/>
              </w:rPr>
            </w:pPr>
            <w:r w:rsidRPr="00CD7693">
              <w:rPr>
                <w:rFonts w:eastAsia="Calibri"/>
                <w:color w:val="000000"/>
              </w:rPr>
              <w:t xml:space="preserve">$57.78 </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70880342" w14:textId="77777777">
            <w:pPr>
              <w:overflowPunct/>
              <w:autoSpaceDE/>
              <w:autoSpaceDN/>
              <w:adjustRightInd/>
              <w:jc w:val="right"/>
              <w:textAlignment w:val="auto"/>
              <w:rPr>
                <w:color w:val="000000"/>
              </w:rPr>
            </w:pPr>
            <w:r w:rsidRPr="00CD7693">
              <w:rPr>
                <w:color w:val="000000"/>
              </w:rPr>
              <w:t xml:space="preserve">$57,780.00 </w:t>
            </w:r>
          </w:p>
        </w:tc>
      </w:tr>
      <w:tr w14:paraId="45B373CC" w14:textId="77777777" w:rsidTr="00D30FE9">
        <w:tblPrEx>
          <w:tblW w:w="9720" w:type="dxa"/>
          <w:tblInd w:w="-280" w:type="dxa"/>
          <w:tblLook w:val="04A0"/>
        </w:tblPrEx>
        <w:trPr>
          <w:trHeight w:val="799"/>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59CDCA6D" w14:textId="77777777">
            <w:pPr>
              <w:overflowPunct/>
              <w:autoSpaceDE/>
              <w:autoSpaceDN/>
              <w:adjustRightInd/>
              <w:textAlignment w:val="auto"/>
              <w:rPr>
                <w:color w:val="000000"/>
              </w:rPr>
            </w:pPr>
            <w:r w:rsidRPr="00CD7693">
              <w:rPr>
                <w:color w:val="000000"/>
              </w:rPr>
              <w:t>Formula Response Form HUD 4117 Appendix A</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46DB9841" w14:textId="77777777">
            <w:pPr>
              <w:overflowPunct/>
              <w:autoSpaceDE/>
              <w:autoSpaceDN/>
              <w:adjustRightInd/>
              <w:jc w:val="center"/>
              <w:textAlignment w:val="auto"/>
              <w:rPr>
                <w:color w:val="000000"/>
              </w:rPr>
            </w:pPr>
            <w:r w:rsidRPr="00CD7693">
              <w:rPr>
                <w:rFonts w:eastAsia="Calibri"/>
                <w:color w:val="000000"/>
              </w:rPr>
              <w:t>50</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716CDB97" w14:textId="77777777">
            <w:pPr>
              <w:overflowPunct/>
              <w:autoSpaceDE/>
              <w:autoSpaceDN/>
              <w:adjustRightInd/>
              <w:jc w:val="center"/>
              <w:textAlignment w:val="auto"/>
              <w:rPr>
                <w:color w:val="000000"/>
              </w:rPr>
            </w:pPr>
            <w:r w:rsidRPr="00CD7693">
              <w:rPr>
                <w:rFonts w:eastAsia="Calibri"/>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783111DC" w14:textId="77777777">
            <w:pPr>
              <w:overflowPunct/>
              <w:autoSpaceDE/>
              <w:autoSpaceDN/>
              <w:adjustRightInd/>
              <w:jc w:val="center"/>
              <w:textAlignment w:val="auto"/>
              <w:rPr>
                <w:color w:val="000000"/>
              </w:rPr>
            </w:pPr>
            <w:r w:rsidRPr="00CD7693">
              <w:rPr>
                <w:rFonts w:eastAsia="Calibri"/>
                <w:color w:val="000000"/>
              </w:rPr>
              <w:t>50</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0D87153E" w14:textId="77777777">
            <w:pPr>
              <w:overflowPunct/>
              <w:autoSpaceDE/>
              <w:autoSpaceDN/>
              <w:adjustRightInd/>
              <w:jc w:val="center"/>
              <w:textAlignment w:val="auto"/>
              <w:rPr>
                <w:color w:val="000000"/>
              </w:rPr>
            </w:pPr>
            <w:r w:rsidRPr="00CD7693">
              <w:rPr>
                <w:rFonts w:eastAsia="Calibri"/>
                <w:color w:val="000000"/>
              </w:rPr>
              <w:t>2 </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1246A9CB" w14:textId="77777777">
            <w:pPr>
              <w:overflowPunct/>
              <w:autoSpaceDE/>
              <w:autoSpaceDN/>
              <w:adjustRightInd/>
              <w:jc w:val="center"/>
              <w:textAlignment w:val="auto"/>
              <w:rPr>
                <w:color w:val="000000"/>
              </w:rPr>
            </w:pPr>
            <w:r w:rsidRPr="00CD7693">
              <w:rPr>
                <w:color w:val="000000"/>
              </w:rPr>
              <w:t>100</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3BEC820D" w14:textId="77777777">
            <w:pPr>
              <w:overflowPunct/>
              <w:autoSpaceDE/>
              <w:autoSpaceDN/>
              <w:adjustRightInd/>
              <w:jc w:val="right"/>
              <w:textAlignment w:val="auto"/>
              <w:rPr>
                <w:color w:val="000000"/>
              </w:rPr>
            </w:pPr>
            <w:r w:rsidRPr="00CD7693">
              <w:rPr>
                <w:rFonts w:eastAsia="Calibri"/>
                <w:color w:val="000000"/>
              </w:rPr>
              <w:t xml:space="preserve">$57.78 </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7B45F420" w14:textId="77777777">
            <w:pPr>
              <w:overflowPunct/>
              <w:autoSpaceDE/>
              <w:autoSpaceDN/>
              <w:adjustRightInd/>
              <w:jc w:val="right"/>
              <w:textAlignment w:val="auto"/>
              <w:rPr>
                <w:color w:val="000000"/>
              </w:rPr>
            </w:pPr>
            <w:r w:rsidRPr="00CD7693">
              <w:rPr>
                <w:color w:val="000000"/>
              </w:rPr>
              <w:t xml:space="preserve">$5,778.00 </w:t>
            </w:r>
          </w:p>
        </w:tc>
      </w:tr>
      <w:tr w14:paraId="456BD12F" w14:textId="77777777" w:rsidTr="00D30FE9">
        <w:tblPrEx>
          <w:tblW w:w="9720" w:type="dxa"/>
          <w:tblInd w:w="-280" w:type="dxa"/>
          <w:tblLook w:val="04A0"/>
        </w:tblPrEx>
        <w:trPr>
          <w:trHeight w:val="781"/>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106E42D6" w14:textId="77777777">
            <w:pPr>
              <w:overflowPunct/>
              <w:autoSpaceDE/>
              <w:autoSpaceDN/>
              <w:adjustRightInd/>
              <w:textAlignment w:val="auto"/>
              <w:rPr>
                <w:color w:val="000000"/>
              </w:rPr>
            </w:pPr>
            <w:r w:rsidRPr="00CD7693">
              <w:rPr>
                <w:color w:val="000000"/>
              </w:rPr>
              <w:t>Formula Response Form HUD 4117 Appendix B</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7106CA88" w14:textId="77777777">
            <w:pPr>
              <w:overflowPunct/>
              <w:autoSpaceDE/>
              <w:autoSpaceDN/>
              <w:adjustRightInd/>
              <w:jc w:val="center"/>
              <w:textAlignment w:val="auto"/>
              <w:rPr>
                <w:color w:val="000000"/>
              </w:rPr>
            </w:pPr>
            <w:r w:rsidRPr="00CD7693">
              <w:rPr>
                <w:rFonts w:eastAsia="Calibri"/>
                <w:color w:val="000000"/>
              </w:rPr>
              <w:t>50</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2C94A57D" w14:textId="77777777">
            <w:pPr>
              <w:overflowPunct/>
              <w:autoSpaceDE/>
              <w:autoSpaceDN/>
              <w:adjustRightInd/>
              <w:jc w:val="center"/>
              <w:textAlignment w:val="auto"/>
              <w:rPr>
                <w:color w:val="000000"/>
              </w:rPr>
            </w:pPr>
            <w:r w:rsidRPr="00CD7693">
              <w:rPr>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5D9D7D68" w14:textId="77777777">
            <w:pPr>
              <w:overflowPunct/>
              <w:autoSpaceDE/>
              <w:autoSpaceDN/>
              <w:adjustRightInd/>
              <w:jc w:val="center"/>
              <w:textAlignment w:val="auto"/>
              <w:rPr>
                <w:color w:val="000000"/>
              </w:rPr>
            </w:pPr>
            <w:r w:rsidRPr="00CD7693">
              <w:rPr>
                <w:rFonts w:eastAsia="Calibri"/>
                <w:color w:val="000000"/>
              </w:rPr>
              <w:t>50</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7DE0E62E" w14:textId="77777777">
            <w:pPr>
              <w:overflowPunct/>
              <w:autoSpaceDE/>
              <w:autoSpaceDN/>
              <w:adjustRightInd/>
              <w:jc w:val="center"/>
              <w:textAlignment w:val="auto"/>
              <w:rPr>
                <w:color w:val="000000"/>
              </w:rPr>
            </w:pPr>
            <w:r w:rsidRPr="00CD7693">
              <w:rPr>
                <w:color w:val="000000"/>
              </w:rPr>
              <w:t>2</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37EB6607" w14:textId="77777777">
            <w:pPr>
              <w:overflowPunct/>
              <w:autoSpaceDE/>
              <w:autoSpaceDN/>
              <w:adjustRightInd/>
              <w:jc w:val="center"/>
              <w:textAlignment w:val="auto"/>
              <w:rPr>
                <w:color w:val="000000"/>
              </w:rPr>
            </w:pPr>
            <w:r w:rsidRPr="00CD7693">
              <w:rPr>
                <w:color w:val="000000"/>
              </w:rPr>
              <w:t>100</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5CB5E2FF" w14:textId="77777777">
            <w:pPr>
              <w:overflowPunct/>
              <w:autoSpaceDE/>
              <w:autoSpaceDN/>
              <w:adjustRightInd/>
              <w:jc w:val="right"/>
              <w:textAlignment w:val="auto"/>
              <w:rPr>
                <w:color w:val="000000"/>
              </w:rPr>
            </w:pPr>
            <w:r w:rsidRPr="00CD7693">
              <w:rPr>
                <w:color w:val="000000"/>
              </w:rPr>
              <w:t xml:space="preserve">$57.78 </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48D24347" w14:textId="77777777">
            <w:pPr>
              <w:overflowPunct/>
              <w:autoSpaceDE/>
              <w:autoSpaceDN/>
              <w:adjustRightInd/>
              <w:jc w:val="right"/>
              <w:textAlignment w:val="auto"/>
              <w:rPr>
                <w:color w:val="000000"/>
              </w:rPr>
            </w:pPr>
            <w:r w:rsidRPr="00CD7693">
              <w:rPr>
                <w:color w:val="000000"/>
              </w:rPr>
              <w:t xml:space="preserve">$5,778.00 </w:t>
            </w:r>
          </w:p>
        </w:tc>
      </w:tr>
      <w:tr w14:paraId="560F899C" w14:textId="77777777" w:rsidTr="00D30FE9">
        <w:tblPrEx>
          <w:tblW w:w="9720" w:type="dxa"/>
          <w:tblInd w:w="-280" w:type="dxa"/>
          <w:tblLook w:val="04A0"/>
        </w:tblPrEx>
        <w:trPr>
          <w:trHeight w:val="520"/>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5444E279" w14:textId="77777777">
            <w:pPr>
              <w:overflowPunct/>
              <w:autoSpaceDE/>
              <w:autoSpaceDN/>
              <w:adjustRightInd/>
              <w:textAlignment w:val="auto"/>
              <w:rPr>
                <w:color w:val="000000"/>
              </w:rPr>
            </w:pPr>
            <w:r w:rsidRPr="00CD7693">
              <w:rPr>
                <w:color w:val="000000"/>
              </w:rPr>
              <w:t>Formula Response Form HUD 4117 Appendix C</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71B11319" w14:textId="77777777">
            <w:pPr>
              <w:overflowPunct/>
              <w:autoSpaceDE/>
              <w:autoSpaceDN/>
              <w:adjustRightInd/>
              <w:jc w:val="center"/>
              <w:textAlignment w:val="auto"/>
              <w:rPr>
                <w:color w:val="000000"/>
              </w:rPr>
            </w:pPr>
            <w:r w:rsidRPr="00CD7693">
              <w:rPr>
                <w:rFonts w:eastAsia="Calibri"/>
                <w:color w:val="000000"/>
              </w:rPr>
              <w:t>50</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31368970" w14:textId="77777777">
            <w:pPr>
              <w:overflowPunct/>
              <w:autoSpaceDE/>
              <w:autoSpaceDN/>
              <w:adjustRightInd/>
              <w:jc w:val="center"/>
              <w:textAlignment w:val="auto"/>
              <w:rPr>
                <w:color w:val="000000"/>
              </w:rPr>
            </w:pPr>
            <w:r w:rsidRPr="00CD7693">
              <w:rPr>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14436222" w14:textId="77777777">
            <w:pPr>
              <w:overflowPunct/>
              <w:autoSpaceDE/>
              <w:autoSpaceDN/>
              <w:adjustRightInd/>
              <w:jc w:val="center"/>
              <w:textAlignment w:val="auto"/>
              <w:rPr>
                <w:color w:val="000000"/>
              </w:rPr>
            </w:pPr>
            <w:r w:rsidRPr="00CD7693">
              <w:rPr>
                <w:rFonts w:eastAsia="Calibri"/>
                <w:color w:val="000000"/>
              </w:rPr>
              <w:t>50</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78188106" w14:textId="77777777">
            <w:pPr>
              <w:overflowPunct/>
              <w:autoSpaceDE/>
              <w:autoSpaceDN/>
              <w:adjustRightInd/>
              <w:jc w:val="center"/>
              <w:textAlignment w:val="auto"/>
              <w:rPr>
                <w:color w:val="000000"/>
              </w:rPr>
            </w:pPr>
            <w:r w:rsidRPr="00CD7693">
              <w:rPr>
                <w:color w:val="000000"/>
              </w:rPr>
              <w:t>2</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5F1AB8BE" w14:textId="77777777">
            <w:pPr>
              <w:overflowPunct/>
              <w:autoSpaceDE/>
              <w:autoSpaceDN/>
              <w:adjustRightInd/>
              <w:jc w:val="center"/>
              <w:textAlignment w:val="auto"/>
              <w:rPr>
                <w:color w:val="000000"/>
              </w:rPr>
            </w:pPr>
            <w:r w:rsidRPr="00CD7693">
              <w:rPr>
                <w:color w:val="000000"/>
              </w:rPr>
              <w:t>100</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1F2E2AB7" w14:textId="77777777">
            <w:pPr>
              <w:overflowPunct/>
              <w:autoSpaceDE/>
              <w:autoSpaceDN/>
              <w:adjustRightInd/>
              <w:jc w:val="right"/>
              <w:textAlignment w:val="auto"/>
              <w:rPr>
                <w:color w:val="000000"/>
              </w:rPr>
            </w:pPr>
            <w:r w:rsidRPr="00CD7693">
              <w:rPr>
                <w:color w:val="000000"/>
              </w:rPr>
              <w:t xml:space="preserve">$57.78 </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49297237" w14:textId="77777777">
            <w:pPr>
              <w:overflowPunct/>
              <w:autoSpaceDE/>
              <w:autoSpaceDN/>
              <w:adjustRightInd/>
              <w:jc w:val="right"/>
              <w:textAlignment w:val="auto"/>
              <w:rPr>
                <w:color w:val="000000"/>
              </w:rPr>
            </w:pPr>
            <w:r w:rsidRPr="00CD7693">
              <w:rPr>
                <w:color w:val="000000"/>
              </w:rPr>
              <w:t xml:space="preserve">$5,778.00 </w:t>
            </w:r>
          </w:p>
        </w:tc>
      </w:tr>
      <w:tr w14:paraId="2D9679A9" w14:textId="77777777" w:rsidTr="00D30FE9">
        <w:tblPrEx>
          <w:tblW w:w="9720" w:type="dxa"/>
          <w:tblInd w:w="-280" w:type="dxa"/>
          <w:tblLook w:val="04A0"/>
        </w:tblPrEx>
        <w:trPr>
          <w:trHeight w:val="700"/>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2D1F1983" w14:textId="77777777">
            <w:pPr>
              <w:overflowPunct/>
              <w:autoSpaceDE/>
              <w:autoSpaceDN/>
              <w:adjustRightInd/>
              <w:textAlignment w:val="auto"/>
              <w:rPr>
                <w:color w:val="000000"/>
              </w:rPr>
            </w:pPr>
            <w:r w:rsidRPr="00CD7693">
              <w:rPr>
                <w:color w:val="000000"/>
              </w:rPr>
              <w:t>Formula Response Form HUD 4117 Appendix D</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1D228963" w14:textId="77777777">
            <w:pPr>
              <w:overflowPunct/>
              <w:autoSpaceDE/>
              <w:autoSpaceDN/>
              <w:adjustRightInd/>
              <w:jc w:val="center"/>
              <w:textAlignment w:val="auto"/>
              <w:rPr>
                <w:color w:val="000000"/>
              </w:rPr>
            </w:pPr>
            <w:r w:rsidRPr="00CD7693">
              <w:rPr>
                <w:rFonts w:eastAsia="Calibri"/>
                <w:color w:val="000000"/>
              </w:rPr>
              <w:t>50</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50FD69CA" w14:textId="77777777">
            <w:pPr>
              <w:overflowPunct/>
              <w:autoSpaceDE/>
              <w:autoSpaceDN/>
              <w:adjustRightInd/>
              <w:jc w:val="center"/>
              <w:textAlignment w:val="auto"/>
              <w:rPr>
                <w:color w:val="000000"/>
              </w:rPr>
            </w:pPr>
            <w:r w:rsidRPr="00CD7693">
              <w:rPr>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24D04785" w14:textId="77777777">
            <w:pPr>
              <w:overflowPunct/>
              <w:autoSpaceDE/>
              <w:autoSpaceDN/>
              <w:adjustRightInd/>
              <w:jc w:val="center"/>
              <w:textAlignment w:val="auto"/>
              <w:rPr>
                <w:color w:val="000000"/>
              </w:rPr>
            </w:pPr>
            <w:r w:rsidRPr="00CD7693">
              <w:rPr>
                <w:rFonts w:eastAsia="Calibri"/>
                <w:color w:val="000000"/>
              </w:rPr>
              <w:t>50</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65548AB0" w14:textId="77777777">
            <w:pPr>
              <w:overflowPunct/>
              <w:autoSpaceDE/>
              <w:autoSpaceDN/>
              <w:adjustRightInd/>
              <w:jc w:val="center"/>
              <w:textAlignment w:val="auto"/>
              <w:rPr>
                <w:color w:val="000000"/>
              </w:rPr>
            </w:pPr>
            <w:r w:rsidRPr="00CD7693">
              <w:rPr>
                <w:color w:val="000000"/>
              </w:rPr>
              <w:t>2</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775965D0" w14:textId="77777777">
            <w:pPr>
              <w:overflowPunct/>
              <w:autoSpaceDE/>
              <w:autoSpaceDN/>
              <w:adjustRightInd/>
              <w:jc w:val="center"/>
              <w:textAlignment w:val="auto"/>
              <w:rPr>
                <w:color w:val="000000"/>
              </w:rPr>
            </w:pPr>
            <w:r w:rsidRPr="00CD7693">
              <w:rPr>
                <w:color w:val="000000"/>
              </w:rPr>
              <w:t>100</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3BA3E1A3" w14:textId="77777777">
            <w:pPr>
              <w:overflowPunct/>
              <w:autoSpaceDE/>
              <w:autoSpaceDN/>
              <w:adjustRightInd/>
              <w:jc w:val="right"/>
              <w:textAlignment w:val="auto"/>
              <w:rPr>
                <w:color w:val="000000"/>
              </w:rPr>
            </w:pPr>
            <w:r w:rsidRPr="00CD7693">
              <w:rPr>
                <w:color w:val="000000"/>
              </w:rPr>
              <w:t xml:space="preserve">$57.78 </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1913F479" w14:textId="77777777">
            <w:pPr>
              <w:overflowPunct/>
              <w:autoSpaceDE/>
              <w:autoSpaceDN/>
              <w:adjustRightInd/>
              <w:jc w:val="right"/>
              <w:textAlignment w:val="auto"/>
              <w:rPr>
                <w:color w:val="000000"/>
              </w:rPr>
            </w:pPr>
            <w:r w:rsidRPr="00CD7693">
              <w:rPr>
                <w:color w:val="000000"/>
              </w:rPr>
              <w:t xml:space="preserve">$5,778.00 </w:t>
            </w:r>
          </w:p>
        </w:tc>
      </w:tr>
      <w:tr w14:paraId="7B67E9FC" w14:textId="77777777" w:rsidTr="00D30FE9">
        <w:tblPrEx>
          <w:tblW w:w="9720" w:type="dxa"/>
          <w:tblInd w:w="-280" w:type="dxa"/>
          <w:tblLook w:val="04A0"/>
        </w:tblPrEx>
        <w:trPr>
          <w:trHeight w:val="538"/>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00C6089D" w14:textId="77777777">
            <w:pPr>
              <w:overflowPunct/>
              <w:autoSpaceDE/>
              <w:autoSpaceDN/>
              <w:adjustRightInd/>
              <w:textAlignment w:val="auto"/>
              <w:rPr>
                <w:color w:val="000000"/>
              </w:rPr>
            </w:pPr>
            <w:r w:rsidRPr="00CD7693">
              <w:rPr>
                <w:color w:val="000000"/>
              </w:rPr>
              <w:t>Census Challenge Form HUD-4119</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484515B3" w14:textId="77777777">
            <w:pPr>
              <w:overflowPunct/>
              <w:autoSpaceDE/>
              <w:autoSpaceDN/>
              <w:adjustRightInd/>
              <w:jc w:val="center"/>
              <w:textAlignment w:val="auto"/>
              <w:rPr>
                <w:color w:val="000000"/>
              </w:rPr>
            </w:pPr>
            <w:r w:rsidRPr="00CD7693">
              <w:rPr>
                <w:rFonts w:eastAsia="Calibri"/>
                <w:color w:val="000000"/>
              </w:rPr>
              <w:t>15</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1D5E4361" w14:textId="77777777">
            <w:pPr>
              <w:overflowPunct/>
              <w:autoSpaceDE/>
              <w:autoSpaceDN/>
              <w:adjustRightInd/>
              <w:jc w:val="center"/>
              <w:textAlignment w:val="auto"/>
              <w:rPr>
                <w:color w:val="000000"/>
              </w:rPr>
            </w:pPr>
            <w:r w:rsidRPr="00CD7693">
              <w:rPr>
                <w:rFonts w:eastAsia="Calibri"/>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444BACE4" w14:textId="77777777">
            <w:pPr>
              <w:overflowPunct/>
              <w:autoSpaceDE/>
              <w:autoSpaceDN/>
              <w:adjustRightInd/>
              <w:jc w:val="center"/>
              <w:textAlignment w:val="auto"/>
              <w:rPr>
                <w:color w:val="000000"/>
              </w:rPr>
            </w:pPr>
            <w:r w:rsidRPr="00CD7693">
              <w:rPr>
                <w:rFonts w:eastAsia="Calibri"/>
                <w:color w:val="000000"/>
              </w:rPr>
              <w:t>15</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263479B3" w14:textId="77777777">
            <w:pPr>
              <w:overflowPunct/>
              <w:autoSpaceDE/>
              <w:autoSpaceDN/>
              <w:adjustRightInd/>
              <w:jc w:val="center"/>
              <w:textAlignment w:val="auto"/>
              <w:rPr>
                <w:color w:val="000000"/>
              </w:rPr>
            </w:pPr>
            <w:r w:rsidRPr="00CD7693">
              <w:rPr>
                <w:rFonts w:eastAsia="Calibri"/>
                <w:color w:val="000000"/>
              </w:rPr>
              <w:t>150</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462D9DD2" w14:textId="77777777">
            <w:pPr>
              <w:overflowPunct/>
              <w:autoSpaceDE/>
              <w:autoSpaceDN/>
              <w:adjustRightInd/>
              <w:jc w:val="center"/>
              <w:textAlignment w:val="auto"/>
              <w:rPr>
                <w:color w:val="000000"/>
              </w:rPr>
            </w:pPr>
            <w:r w:rsidRPr="00CD7693">
              <w:rPr>
                <w:color w:val="000000"/>
              </w:rPr>
              <w:t>2,250</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5F0C5A4D" w14:textId="77777777">
            <w:pPr>
              <w:overflowPunct/>
              <w:autoSpaceDE/>
              <w:autoSpaceDN/>
              <w:adjustRightInd/>
              <w:jc w:val="right"/>
              <w:textAlignment w:val="auto"/>
              <w:rPr>
                <w:color w:val="000000"/>
              </w:rPr>
            </w:pPr>
            <w:r w:rsidRPr="00CD7693">
              <w:rPr>
                <w:color w:val="000000"/>
              </w:rPr>
              <w:t xml:space="preserve">$57.78 </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77F13414" w14:textId="77777777">
            <w:pPr>
              <w:overflowPunct/>
              <w:autoSpaceDE/>
              <w:autoSpaceDN/>
              <w:adjustRightInd/>
              <w:jc w:val="right"/>
              <w:textAlignment w:val="auto"/>
              <w:rPr>
                <w:color w:val="000000"/>
              </w:rPr>
            </w:pPr>
            <w:r w:rsidRPr="00CD7693">
              <w:rPr>
                <w:color w:val="000000"/>
              </w:rPr>
              <w:t xml:space="preserve">$130,005.00 </w:t>
            </w:r>
          </w:p>
        </w:tc>
      </w:tr>
      <w:tr w14:paraId="6C9448E4" w14:textId="77777777" w:rsidTr="00D30FE9">
        <w:tblPrEx>
          <w:tblW w:w="9720" w:type="dxa"/>
          <w:tblInd w:w="-280" w:type="dxa"/>
          <w:tblLook w:val="04A0"/>
        </w:tblPrEx>
        <w:trPr>
          <w:trHeight w:val="619"/>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5C88592A" w14:textId="77777777">
            <w:pPr>
              <w:overflowPunct/>
              <w:autoSpaceDE/>
              <w:autoSpaceDN/>
              <w:adjustRightInd/>
              <w:textAlignment w:val="auto"/>
              <w:rPr>
                <w:color w:val="000000"/>
              </w:rPr>
            </w:pPr>
            <w:r w:rsidRPr="00CD7693">
              <w:rPr>
                <w:color w:val="000000"/>
              </w:rPr>
              <w:t>Census Challenge Form HUD-4119 Appendix A</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75D17A65" w14:textId="77777777">
            <w:pPr>
              <w:overflowPunct/>
              <w:autoSpaceDE/>
              <w:autoSpaceDN/>
              <w:adjustRightInd/>
              <w:jc w:val="center"/>
              <w:textAlignment w:val="auto"/>
              <w:rPr>
                <w:color w:val="000000"/>
              </w:rPr>
            </w:pPr>
            <w:r w:rsidRPr="00CD7693">
              <w:rPr>
                <w:color w:val="000000"/>
              </w:rPr>
              <w:t>15</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0051623E" w14:textId="77777777">
            <w:pPr>
              <w:overflowPunct/>
              <w:autoSpaceDE/>
              <w:autoSpaceDN/>
              <w:adjustRightInd/>
              <w:jc w:val="center"/>
              <w:textAlignment w:val="auto"/>
              <w:rPr>
                <w:color w:val="000000"/>
              </w:rPr>
            </w:pPr>
            <w:r w:rsidRPr="00CD7693">
              <w:rPr>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4D328737" w14:textId="77777777">
            <w:pPr>
              <w:overflowPunct/>
              <w:autoSpaceDE/>
              <w:autoSpaceDN/>
              <w:adjustRightInd/>
              <w:jc w:val="center"/>
              <w:textAlignment w:val="auto"/>
              <w:rPr>
                <w:color w:val="000000"/>
              </w:rPr>
            </w:pPr>
            <w:r w:rsidRPr="00CD7693">
              <w:rPr>
                <w:color w:val="000000"/>
              </w:rPr>
              <w:t>15</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267A26A5" w14:textId="77777777">
            <w:pPr>
              <w:overflowPunct/>
              <w:autoSpaceDE/>
              <w:autoSpaceDN/>
              <w:adjustRightInd/>
              <w:jc w:val="center"/>
              <w:textAlignment w:val="auto"/>
              <w:rPr>
                <w:color w:val="000000"/>
              </w:rPr>
            </w:pPr>
            <w:r w:rsidRPr="00CD7693">
              <w:rPr>
                <w:color w:val="000000"/>
              </w:rPr>
              <w:t>10 </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37294BC1" w14:textId="77777777">
            <w:pPr>
              <w:overflowPunct/>
              <w:autoSpaceDE/>
              <w:autoSpaceDN/>
              <w:adjustRightInd/>
              <w:jc w:val="center"/>
              <w:textAlignment w:val="auto"/>
              <w:rPr>
                <w:color w:val="000000"/>
              </w:rPr>
            </w:pPr>
            <w:r w:rsidRPr="00CD7693">
              <w:rPr>
                <w:color w:val="000000"/>
              </w:rPr>
              <w:t>150</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464BED5A" w14:textId="77777777">
            <w:pPr>
              <w:overflowPunct/>
              <w:autoSpaceDE/>
              <w:autoSpaceDN/>
              <w:adjustRightInd/>
              <w:jc w:val="right"/>
              <w:textAlignment w:val="auto"/>
              <w:rPr>
                <w:color w:val="000000"/>
              </w:rPr>
            </w:pPr>
            <w:r w:rsidRPr="00CD7693">
              <w:rPr>
                <w:color w:val="000000"/>
              </w:rPr>
              <w:t xml:space="preserve">$57.78 </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69DD5F0C" w14:textId="77777777">
            <w:pPr>
              <w:overflowPunct/>
              <w:autoSpaceDE/>
              <w:autoSpaceDN/>
              <w:adjustRightInd/>
              <w:jc w:val="right"/>
              <w:textAlignment w:val="auto"/>
              <w:rPr>
                <w:color w:val="000000"/>
              </w:rPr>
            </w:pPr>
            <w:r w:rsidRPr="00CD7693">
              <w:rPr>
                <w:color w:val="000000"/>
              </w:rPr>
              <w:t xml:space="preserve">$8,667.00 </w:t>
            </w:r>
          </w:p>
        </w:tc>
      </w:tr>
      <w:tr w14:paraId="353833A0" w14:textId="77777777" w:rsidTr="00D30FE9">
        <w:tblPrEx>
          <w:tblW w:w="9720" w:type="dxa"/>
          <w:tblInd w:w="-280" w:type="dxa"/>
          <w:tblLook w:val="04A0"/>
        </w:tblPrEx>
        <w:trPr>
          <w:trHeight w:val="709"/>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0FBD447F" w14:textId="77777777">
            <w:pPr>
              <w:overflowPunct/>
              <w:autoSpaceDE/>
              <w:autoSpaceDN/>
              <w:adjustRightInd/>
              <w:textAlignment w:val="auto"/>
              <w:rPr>
                <w:color w:val="000000"/>
              </w:rPr>
            </w:pPr>
            <w:r w:rsidRPr="00CD7693">
              <w:rPr>
                <w:color w:val="000000"/>
              </w:rPr>
              <w:t>Census Challenge Form HUD-4119 Appendix B</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6AF984BD" w14:textId="77777777">
            <w:pPr>
              <w:overflowPunct/>
              <w:autoSpaceDE/>
              <w:autoSpaceDN/>
              <w:adjustRightInd/>
              <w:jc w:val="center"/>
              <w:textAlignment w:val="auto"/>
              <w:rPr>
                <w:color w:val="000000"/>
              </w:rPr>
            </w:pPr>
            <w:r w:rsidRPr="00CD7693">
              <w:rPr>
                <w:color w:val="000000"/>
              </w:rPr>
              <w:t>15</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0166473E" w14:textId="77777777">
            <w:pPr>
              <w:overflowPunct/>
              <w:autoSpaceDE/>
              <w:autoSpaceDN/>
              <w:adjustRightInd/>
              <w:jc w:val="center"/>
              <w:textAlignment w:val="auto"/>
              <w:rPr>
                <w:color w:val="000000"/>
              </w:rPr>
            </w:pPr>
            <w:r w:rsidRPr="00CD7693">
              <w:rPr>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4BC7BD4F" w14:textId="77777777">
            <w:pPr>
              <w:overflowPunct/>
              <w:autoSpaceDE/>
              <w:autoSpaceDN/>
              <w:adjustRightInd/>
              <w:jc w:val="center"/>
              <w:textAlignment w:val="auto"/>
              <w:rPr>
                <w:color w:val="000000"/>
              </w:rPr>
            </w:pPr>
            <w:r w:rsidRPr="00CD7693">
              <w:rPr>
                <w:color w:val="000000"/>
              </w:rPr>
              <w:t>15</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48B66AD9" w14:textId="77777777">
            <w:pPr>
              <w:overflowPunct/>
              <w:autoSpaceDE/>
              <w:autoSpaceDN/>
              <w:adjustRightInd/>
              <w:jc w:val="center"/>
              <w:textAlignment w:val="auto"/>
              <w:rPr>
                <w:color w:val="000000"/>
              </w:rPr>
            </w:pPr>
            <w:r w:rsidRPr="00CD7693">
              <w:rPr>
                <w:color w:val="000000"/>
              </w:rPr>
              <w:t>10</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192DE266" w14:textId="77777777">
            <w:pPr>
              <w:overflowPunct/>
              <w:autoSpaceDE/>
              <w:autoSpaceDN/>
              <w:adjustRightInd/>
              <w:jc w:val="center"/>
              <w:textAlignment w:val="auto"/>
              <w:rPr>
                <w:color w:val="000000"/>
              </w:rPr>
            </w:pPr>
            <w:r w:rsidRPr="00CD7693">
              <w:rPr>
                <w:color w:val="000000"/>
              </w:rPr>
              <w:t>150</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1053152F" w14:textId="77777777">
            <w:pPr>
              <w:overflowPunct/>
              <w:autoSpaceDE/>
              <w:autoSpaceDN/>
              <w:adjustRightInd/>
              <w:jc w:val="right"/>
              <w:textAlignment w:val="auto"/>
              <w:rPr>
                <w:color w:val="000000"/>
              </w:rPr>
            </w:pPr>
            <w:r w:rsidRPr="00CD7693">
              <w:rPr>
                <w:color w:val="000000"/>
              </w:rPr>
              <w:t xml:space="preserve">$57.78 </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5E607368" w14:textId="77777777">
            <w:pPr>
              <w:overflowPunct/>
              <w:autoSpaceDE/>
              <w:autoSpaceDN/>
              <w:adjustRightInd/>
              <w:jc w:val="right"/>
              <w:textAlignment w:val="auto"/>
              <w:rPr>
                <w:color w:val="000000"/>
              </w:rPr>
            </w:pPr>
            <w:r w:rsidRPr="00CD7693">
              <w:rPr>
                <w:color w:val="000000"/>
              </w:rPr>
              <w:t xml:space="preserve">$8,667.00 </w:t>
            </w:r>
          </w:p>
        </w:tc>
      </w:tr>
      <w:tr w14:paraId="27BC754C" w14:textId="77777777" w:rsidTr="00D30FE9">
        <w:tblPrEx>
          <w:tblW w:w="9720" w:type="dxa"/>
          <w:tblInd w:w="-280" w:type="dxa"/>
          <w:tblLook w:val="04A0"/>
        </w:tblPrEx>
        <w:trPr>
          <w:trHeight w:val="709"/>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4821489B" w14:textId="77777777">
            <w:pPr>
              <w:overflowPunct/>
              <w:autoSpaceDE/>
              <w:autoSpaceDN/>
              <w:adjustRightInd/>
              <w:textAlignment w:val="auto"/>
              <w:rPr>
                <w:color w:val="000000"/>
              </w:rPr>
            </w:pPr>
            <w:r w:rsidRPr="00CD7693">
              <w:rPr>
                <w:color w:val="000000"/>
              </w:rPr>
              <w:t>Census Challenge Form HUD-4119 Appendix C</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3FEB4716" w14:textId="77777777">
            <w:pPr>
              <w:overflowPunct/>
              <w:autoSpaceDE/>
              <w:autoSpaceDN/>
              <w:adjustRightInd/>
              <w:jc w:val="center"/>
              <w:textAlignment w:val="auto"/>
              <w:rPr>
                <w:color w:val="000000"/>
              </w:rPr>
            </w:pPr>
            <w:r w:rsidRPr="00CD7693">
              <w:rPr>
                <w:color w:val="000000"/>
              </w:rPr>
              <w:t>15</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4012FC98" w14:textId="77777777">
            <w:pPr>
              <w:overflowPunct/>
              <w:autoSpaceDE/>
              <w:autoSpaceDN/>
              <w:adjustRightInd/>
              <w:jc w:val="center"/>
              <w:textAlignment w:val="auto"/>
              <w:rPr>
                <w:color w:val="000000"/>
              </w:rPr>
            </w:pPr>
            <w:r w:rsidRPr="00CD7693">
              <w:rPr>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337138BF" w14:textId="77777777">
            <w:pPr>
              <w:overflowPunct/>
              <w:autoSpaceDE/>
              <w:autoSpaceDN/>
              <w:adjustRightInd/>
              <w:jc w:val="center"/>
              <w:textAlignment w:val="auto"/>
              <w:rPr>
                <w:color w:val="000000"/>
              </w:rPr>
            </w:pPr>
            <w:r w:rsidRPr="00CD7693">
              <w:rPr>
                <w:color w:val="000000"/>
              </w:rPr>
              <w:t>15</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199AD5F3" w14:textId="77777777">
            <w:pPr>
              <w:overflowPunct/>
              <w:autoSpaceDE/>
              <w:autoSpaceDN/>
              <w:adjustRightInd/>
              <w:jc w:val="center"/>
              <w:textAlignment w:val="auto"/>
              <w:rPr>
                <w:color w:val="000000"/>
              </w:rPr>
            </w:pPr>
            <w:r w:rsidRPr="00CD7693">
              <w:rPr>
                <w:color w:val="000000"/>
              </w:rPr>
              <w:t>15</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640E8798" w14:textId="77777777">
            <w:pPr>
              <w:overflowPunct/>
              <w:autoSpaceDE/>
              <w:autoSpaceDN/>
              <w:adjustRightInd/>
              <w:jc w:val="center"/>
              <w:textAlignment w:val="auto"/>
              <w:rPr>
                <w:color w:val="000000"/>
              </w:rPr>
            </w:pPr>
            <w:r w:rsidRPr="00CD7693">
              <w:rPr>
                <w:color w:val="000000"/>
              </w:rPr>
              <w:t>225</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1C74B487" w14:textId="77777777">
            <w:pPr>
              <w:overflowPunct/>
              <w:autoSpaceDE/>
              <w:autoSpaceDN/>
              <w:adjustRightInd/>
              <w:jc w:val="right"/>
              <w:textAlignment w:val="auto"/>
              <w:rPr>
                <w:color w:val="000000"/>
              </w:rPr>
            </w:pPr>
            <w:r w:rsidRPr="00CD7693">
              <w:rPr>
                <w:color w:val="000000"/>
              </w:rPr>
              <w:t xml:space="preserve">$57.78 </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443E5E82" w14:textId="77777777">
            <w:pPr>
              <w:overflowPunct/>
              <w:autoSpaceDE/>
              <w:autoSpaceDN/>
              <w:adjustRightInd/>
              <w:jc w:val="right"/>
              <w:textAlignment w:val="auto"/>
              <w:rPr>
                <w:color w:val="000000"/>
              </w:rPr>
            </w:pPr>
            <w:r w:rsidRPr="00CD7693">
              <w:rPr>
                <w:color w:val="000000"/>
              </w:rPr>
              <w:t xml:space="preserve">$13,000.50 </w:t>
            </w:r>
          </w:p>
        </w:tc>
      </w:tr>
      <w:tr w14:paraId="17E353A7" w14:textId="77777777" w:rsidTr="00D30FE9">
        <w:tblPrEx>
          <w:tblW w:w="9720" w:type="dxa"/>
          <w:tblInd w:w="-280" w:type="dxa"/>
          <w:tblLook w:val="04A0"/>
        </w:tblPrEx>
        <w:trPr>
          <w:trHeight w:val="691"/>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03ECB6CF" w14:textId="77777777">
            <w:pPr>
              <w:overflowPunct/>
              <w:autoSpaceDE/>
              <w:autoSpaceDN/>
              <w:adjustRightInd/>
              <w:textAlignment w:val="auto"/>
              <w:rPr>
                <w:color w:val="000000"/>
              </w:rPr>
            </w:pPr>
            <w:r w:rsidRPr="00CD7693">
              <w:rPr>
                <w:color w:val="000000"/>
              </w:rPr>
              <w:t>Census Challenge Form HUD-4119 Appendix D</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2B2DE0A4" w14:textId="77777777">
            <w:pPr>
              <w:overflowPunct/>
              <w:autoSpaceDE/>
              <w:autoSpaceDN/>
              <w:adjustRightInd/>
              <w:jc w:val="center"/>
              <w:textAlignment w:val="auto"/>
              <w:rPr>
                <w:color w:val="000000"/>
              </w:rPr>
            </w:pPr>
            <w:r w:rsidRPr="00CD7693">
              <w:rPr>
                <w:color w:val="000000"/>
              </w:rPr>
              <w:t>15</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1A0FCB52" w14:textId="77777777">
            <w:pPr>
              <w:overflowPunct/>
              <w:autoSpaceDE/>
              <w:autoSpaceDN/>
              <w:adjustRightInd/>
              <w:jc w:val="center"/>
              <w:textAlignment w:val="auto"/>
              <w:rPr>
                <w:color w:val="000000"/>
              </w:rPr>
            </w:pPr>
            <w:r w:rsidRPr="00CD7693">
              <w:rPr>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6AF7D729" w14:textId="77777777">
            <w:pPr>
              <w:overflowPunct/>
              <w:autoSpaceDE/>
              <w:autoSpaceDN/>
              <w:adjustRightInd/>
              <w:jc w:val="center"/>
              <w:textAlignment w:val="auto"/>
              <w:rPr>
                <w:color w:val="000000"/>
              </w:rPr>
            </w:pPr>
            <w:r w:rsidRPr="00CD7693">
              <w:rPr>
                <w:color w:val="000000"/>
              </w:rPr>
              <w:t>15</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41063FF2" w14:textId="77777777">
            <w:pPr>
              <w:overflowPunct/>
              <w:autoSpaceDE/>
              <w:autoSpaceDN/>
              <w:adjustRightInd/>
              <w:jc w:val="center"/>
              <w:textAlignment w:val="auto"/>
              <w:rPr>
                <w:color w:val="000000"/>
              </w:rPr>
            </w:pPr>
            <w:r w:rsidRPr="00CD7693">
              <w:rPr>
                <w:color w:val="000000"/>
              </w:rPr>
              <w:t>10</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27D01117" w14:textId="77777777">
            <w:pPr>
              <w:overflowPunct/>
              <w:autoSpaceDE/>
              <w:autoSpaceDN/>
              <w:adjustRightInd/>
              <w:jc w:val="center"/>
              <w:textAlignment w:val="auto"/>
              <w:rPr>
                <w:color w:val="000000"/>
              </w:rPr>
            </w:pPr>
            <w:r w:rsidRPr="00CD7693">
              <w:rPr>
                <w:color w:val="000000"/>
              </w:rPr>
              <w:t>150</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742C6197" w14:textId="77777777">
            <w:pPr>
              <w:overflowPunct/>
              <w:autoSpaceDE/>
              <w:autoSpaceDN/>
              <w:adjustRightInd/>
              <w:jc w:val="right"/>
              <w:textAlignment w:val="auto"/>
              <w:rPr>
                <w:color w:val="000000"/>
              </w:rPr>
            </w:pPr>
            <w:r w:rsidRPr="00CD7693">
              <w:rPr>
                <w:color w:val="000000"/>
              </w:rPr>
              <w:t xml:space="preserve">$57.78 </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65A8CD92" w14:textId="77777777">
            <w:pPr>
              <w:overflowPunct/>
              <w:autoSpaceDE/>
              <w:autoSpaceDN/>
              <w:adjustRightInd/>
              <w:jc w:val="right"/>
              <w:textAlignment w:val="auto"/>
              <w:rPr>
                <w:color w:val="000000"/>
              </w:rPr>
            </w:pPr>
            <w:r w:rsidRPr="00CD7693">
              <w:rPr>
                <w:color w:val="000000"/>
              </w:rPr>
              <w:t xml:space="preserve">$8,667.00 </w:t>
            </w:r>
          </w:p>
        </w:tc>
      </w:tr>
      <w:tr w14:paraId="5F51EB1D" w14:textId="77777777" w:rsidTr="00D30FE9">
        <w:tblPrEx>
          <w:tblW w:w="9720" w:type="dxa"/>
          <w:tblInd w:w="-280" w:type="dxa"/>
          <w:tblLook w:val="04A0"/>
        </w:tblPrEx>
        <w:trPr>
          <w:trHeight w:val="529"/>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070CD994" w14:textId="77777777">
            <w:pPr>
              <w:overflowPunct/>
              <w:autoSpaceDE/>
              <w:autoSpaceDN/>
              <w:adjustRightInd/>
              <w:textAlignment w:val="auto"/>
              <w:rPr>
                <w:color w:val="000000"/>
              </w:rPr>
            </w:pPr>
            <w:r w:rsidRPr="00CD7693">
              <w:rPr>
                <w:color w:val="000000"/>
              </w:rPr>
              <w:t>Cost Summary HUD-4123</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1303C72E" w14:textId="77777777">
            <w:pPr>
              <w:overflowPunct/>
              <w:autoSpaceDE/>
              <w:autoSpaceDN/>
              <w:adjustRightInd/>
              <w:jc w:val="center"/>
              <w:textAlignment w:val="auto"/>
              <w:rPr>
                <w:color w:val="000000"/>
              </w:rPr>
            </w:pPr>
            <w:r w:rsidRPr="00CD7693">
              <w:rPr>
                <w:color w:val="000000"/>
              </w:rPr>
              <w:t>300</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12FCDCF9" w14:textId="77777777">
            <w:pPr>
              <w:overflowPunct/>
              <w:autoSpaceDE/>
              <w:autoSpaceDN/>
              <w:adjustRightInd/>
              <w:jc w:val="center"/>
              <w:textAlignment w:val="auto"/>
              <w:rPr>
                <w:color w:val="000000"/>
              </w:rPr>
            </w:pPr>
            <w:r w:rsidRPr="00CD7693">
              <w:rPr>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09B5E4D9" w14:textId="77777777">
            <w:pPr>
              <w:overflowPunct/>
              <w:autoSpaceDE/>
              <w:autoSpaceDN/>
              <w:adjustRightInd/>
              <w:jc w:val="center"/>
              <w:textAlignment w:val="auto"/>
              <w:rPr>
                <w:color w:val="000000"/>
              </w:rPr>
            </w:pPr>
            <w:r w:rsidRPr="00CD7693">
              <w:rPr>
                <w:color w:val="000000"/>
              </w:rPr>
              <w:t>300</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221908A3" w14:textId="77777777">
            <w:pPr>
              <w:overflowPunct/>
              <w:autoSpaceDE/>
              <w:autoSpaceDN/>
              <w:adjustRightInd/>
              <w:jc w:val="center"/>
              <w:textAlignment w:val="auto"/>
              <w:rPr>
                <w:color w:val="000000"/>
              </w:rPr>
            </w:pPr>
            <w:r w:rsidRPr="00CD7693">
              <w:rPr>
                <w:color w:val="000000"/>
              </w:rPr>
              <w:t>40  </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356D2AB6" w14:textId="77777777">
            <w:pPr>
              <w:overflowPunct/>
              <w:autoSpaceDE/>
              <w:autoSpaceDN/>
              <w:adjustRightInd/>
              <w:jc w:val="center"/>
              <w:textAlignment w:val="auto"/>
              <w:rPr>
                <w:color w:val="000000"/>
              </w:rPr>
            </w:pPr>
            <w:r w:rsidRPr="00CD7693">
              <w:rPr>
                <w:color w:val="000000"/>
              </w:rPr>
              <w:t>12,000</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380C4542" w14:textId="77777777">
            <w:pPr>
              <w:overflowPunct/>
              <w:autoSpaceDE/>
              <w:autoSpaceDN/>
              <w:adjustRightInd/>
              <w:jc w:val="right"/>
              <w:textAlignment w:val="auto"/>
              <w:rPr>
                <w:color w:val="000000"/>
              </w:rPr>
            </w:pPr>
            <w:r w:rsidRPr="00CD7693">
              <w:rPr>
                <w:color w:val="000000"/>
              </w:rPr>
              <w:t xml:space="preserve">$40.54 </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49C9D735" w14:textId="77777777">
            <w:pPr>
              <w:overflowPunct/>
              <w:autoSpaceDE/>
              <w:autoSpaceDN/>
              <w:adjustRightInd/>
              <w:jc w:val="right"/>
              <w:textAlignment w:val="auto"/>
              <w:rPr>
                <w:color w:val="000000"/>
              </w:rPr>
            </w:pPr>
            <w:r w:rsidRPr="00CD7693">
              <w:rPr>
                <w:color w:val="000000"/>
              </w:rPr>
              <w:t xml:space="preserve">$486,480.00 </w:t>
            </w:r>
          </w:p>
        </w:tc>
      </w:tr>
      <w:tr w14:paraId="09487267" w14:textId="77777777" w:rsidTr="00D30FE9">
        <w:tblPrEx>
          <w:tblW w:w="9720" w:type="dxa"/>
          <w:tblInd w:w="-280" w:type="dxa"/>
          <w:tblLook w:val="04A0"/>
        </w:tblPrEx>
        <w:trPr>
          <w:trHeight w:val="520"/>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64B58FB9" w14:textId="77777777">
            <w:pPr>
              <w:overflowPunct/>
              <w:autoSpaceDE/>
              <w:autoSpaceDN/>
              <w:adjustRightInd/>
              <w:textAlignment w:val="auto"/>
              <w:rPr>
                <w:color w:val="000000"/>
              </w:rPr>
            </w:pPr>
            <w:r w:rsidRPr="00CD7693">
              <w:rPr>
                <w:color w:val="000000"/>
              </w:rPr>
              <w:t>Implementation Schedule HUD-4125</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2457A465" w14:textId="77777777">
            <w:pPr>
              <w:overflowPunct/>
              <w:autoSpaceDE/>
              <w:autoSpaceDN/>
              <w:adjustRightInd/>
              <w:jc w:val="center"/>
              <w:textAlignment w:val="auto"/>
              <w:rPr>
                <w:color w:val="000000"/>
              </w:rPr>
            </w:pPr>
            <w:r w:rsidRPr="00CD7693">
              <w:rPr>
                <w:color w:val="000000"/>
              </w:rPr>
              <w:t>300</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514A77A7" w14:textId="77777777">
            <w:pPr>
              <w:overflowPunct/>
              <w:autoSpaceDE/>
              <w:autoSpaceDN/>
              <w:adjustRightInd/>
              <w:jc w:val="center"/>
              <w:textAlignment w:val="auto"/>
              <w:rPr>
                <w:color w:val="000000"/>
              </w:rPr>
            </w:pPr>
            <w:r w:rsidRPr="00CD7693">
              <w:rPr>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30DD2E04" w14:textId="77777777">
            <w:pPr>
              <w:overflowPunct/>
              <w:autoSpaceDE/>
              <w:autoSpaceDN/>
              <w:adjustRightInd/>
              <w:jc w:val="center"/>
              <w:textAlignment w:val="auto"/>
              <w:rPr>
                <w:color w:val="000000"/>
              </w:rPr>
            </w:pPr>
            <w:r w:rsidRPr="00CD7693">
              <w:rPr>
                <w:color w:val="000000"/>
              </w:rPr>
              <w:t>300</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303B1BF5" w14:textId="77777777">
            <w:pPr>
              <w:overflowPunct/>
              <w:autoSpaceDE/>
              <w:autoSpaceDN/>
              <w:adjustRightInd/>
              <w:jc w:val="center"/>
              <w:textAlignment w:val="auto"/>
              <w:rPr>
                <w:color w:val="000000"/>
              </w:rPr>
            </w:pPr>
            <w:r w:rsidRPr="00CD7693">
              <w:rPr>
                <w:color w:val="000000"/>
              </w:rPr>
              <w:t>40   </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66AC4AF0" w14:textId="77777777">
            <w:pPr>
              <w:overflowPunct/>
              <w:autoSpaceDE/>
              <w:autoSpaceDN/>
              <w:adjustRightInd/>
              <w:jc w:val="center"/>
              <w:textAlignment w:val="auto"/>
              <w:rPr>
                <w:color w:val="000000"/>
              </w:rPr>
            </w:pPr>
            <w:r w:rsidRPr="00CD7693">
              <w:rPr>
                <w:color w:val="000000"/>
              </w:rPr>
              <w:t>12,000</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7AC3B738" w14:textId="77777777">
            <w:pPr>
              <w:overflowPunct/>
              <w:autoSpaceDE/>
              <w:autoSpaceDN/>
              <w:adjustRightInd/>
              <w:jc w:val="right"/>
              <w:textAlignment w:val="auto"/>
              <w:rPr>
                <w:color w:val="000000"/>
              </w:rPr>
            </w:pPr>
            <w:r w:rsidRPr="00CD7693">
              <w:rPr>
                <w:color w:val="000000"/>
              </w:rPr>
              <w:t xml:space="preserve">$40.54 </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4158DDF9" w14:textId="77777777">
            <w:pPr>
              <w:overflowPunct/>
              <w:autoSpaceDE/>
              <w:autoSpaceDN/>
              <w:adjustRightInd/>
              <w:jc w:val="right"/>
              <w:textAlignment w:val="auto"/>
              <w:rPr>
                <w:color w:val="000000"/>
              </w:rPr>
            </w:pPr>
            <w:r w:rsidRPr="00CD7693">
              <w:rPr>
                <w:color w:val="000000"/>
              </w:rPr>
              <w:t xml:space="preserve">$486,480.00 </w:t>
            </w:r>
          </w:p>
        </w:tc>
      </w:tr>
      <w:tr w14:paraId="543094F8" w14:textId="77777777" w:rsidTr="00D30FE9">
        <w:tblPrEx>
          <w:tblW w:w="9720" w:type="dxa"/>
          <w:tblInd w:w="-280" w:type="dxa"/>
          <w:tblLook w:val="04A0"/>
        </w:tblPrEx>
        <w:trPr>
          <w:trHeight w:val="961"/>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3B597DD5" w14:textId="77777777">
            <w:pPr>
              <w:overflowPunct/>
              <w:autoSpaceDE/>
              <w:autoSpaceDN/>
              <w:adjustRightInd/>
              <w:textAlignment w:val="auto"/>
              <w:rPr>
                <w:color w:val="000000"/>
              </w:rPr>
            </w:pPr>
            <w:r w:rsidRPr="00CD7693">
              <w:rPr>
                <w:color w:val="000000"/>
              </w:rPr>
              <w:t>Depository Agreement, Bank Accounts HUD–52736–A</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733D38DB" w14:textId="77777777">
            <w:pPr>
              <w:overflowPunct/>
              <w:autoSpaceDE/>
              <w:autoSpaceDN/>
              <w:adjustRightInd/>
              <w:jc w:val="center"/>
              <w:textAlignment w:val="auto"/>
              <w:rPr>
                <w:color w:val="000000"/>
              </w:rPr>
            </w:pPr>
            <w:r w:rsidRPr="00CD7693">
              <w:rPr>
                <w:color w:val="000000"/>
              </w:rPr>
              <w:t>15</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0EBB19A8" w14:textId="77777777">
            <w:pPr>
              <w:overflowPunct/>
              <w:autoSpaceDE/>
              <w:autoSpaceDN/>
              <w:adjustRightInd/>
              <w:jc w:val="center"/>
              <w:textAlignment w:val="auto"/>
              <w:rPr>
                <w:color w:val="000000"/>
              </w:rPr>
            </w:pPr>
            <w:r w:rsidRPr="00CD7693">
              <w:rPr>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3AD3EB51" w14:textId="77777777">
            <w:pPr>
              <w:overflowPunct/>
              <w:autoSpaceDE/>
              <w:autoSpaceDN/>
              <w:adjustRightInd/>
              <w:jc w:val="center"/>
              <w:textAlignment w:val="auto"/>
              <w:rPr>
                <w:color w:val="000000"/>
              </w:rPr>
            </w:pPr>
            <w:r w:rsidRPr="00CD7693">
              <w:rPr>
                <w:color w:val="000000"/>
              </w:rPr>
              <w:t>15</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6EF75F7C" w14:textId="77777777">
            <w:pPr>
              <w:overflowPunct/>
              <w:autoSpaceDE/>
              <w:autoSpaceDN/>
              <w:adjustRightInd/>
              <w:jc w:val="center"/>
              <w:textAlignment w:val="auto"/>
              <w:rPr>
                <w:color w:val="000000"/>
              </w:rPr>
            </w:pPr>
            <w:r w:rsidRPr="00CD7693">
              <w:rPr>
                <w:rFonts w:eastAsia="Calibri"/>
                <w:color w:val="000000"/>
              </w:rPr>
              <w:t>1</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231708D1" w14:textId="77777777">
            <w:pPr>
              <w:overflowPunct/>
              <w:autoSpaceDE/>
              <w:autoSpaceDN/>
              <w:adjustRightInd/>
              <w:jc w:val="center"/>
              <w:textAlignment w:val="auto"/>
              <w:rPr>
                <w:color w:val="000000"/>
              </w:rPr>
            </w:pPr>
            <w:r w:rsidRPr="00CD7693">
              <w:rPr>
                <w:color w:val="000000"/>
              </w:rPr>
              <w:t>15</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45B9FBA3" w14:textId="77777777">
            <w:pPr>
              <w:overflowPunct/>
              <w:autoSpaceDE/>
              <w:autoSpaceDN/>
              <w:adjustRightInd/>
              <w:jc w:val="right"/>
              <w:textAlignment w:val="auto"/>
              <w:rPr>
                <w:color w:val="000000"/>
              </w:rPr>
            </w:pPr>
            <w:r w:rsidRPr="00CD7693">
              <w:rPr>
                <w:color w:val="000000"/>
              </w:rPr>
              <w:t xml:space="preserve">$40.54 </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0AF78185" w14:textId="77777777">
            <w:pPr>
              <w:overflowPunct/>
              <w:autoSpaceDE/>
              <w:autoSpaceDN/>
              <w:adjustRightInd/>
              <w:jc w:val="right"/>
              <w:textAlignment w:val="auto"/>
              <w:rPr>
                <w:color w:val="000000"/>
              </w:rPr>
            </w:pPr>
            <w:r w:rsidRPr="00CD7693">
              <w:rPr>
                <w:color w:val="000000"/>
              </w:rPr>
              <w:t xml:space="preserve">$608.10 </w:t>
            </w:r>
          </w:p>
        </w:tc>
      </w:tr>
      <w:tr w14:paraId="49323298" w14:textId="77777777" w:rsidTr="00D30FE9">
        <w:tblPrEx>
          <w:tblW w:w="9720" w:type="dxa"/>
          <w:tblInd w:w="-280" w:type="dxa"/>
          <w:tblLook w:val="04A0"/>
        </w:tblPrEx>
        <w:trPr>
          <w:trHeight w:val="970"/>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66CFDD23" w14:textId="77777777">
            <w:pPr>
              <w:overflowPunct/>
              <w:autoSpaceDE/>
              <w:autoSpaceDN/>
              <w:adjustRightInd/>
              <w:textAlignment w:val="auto"/>
              <w:rPr>
                <w:color w:val="000000"/>
              </w:rPr>
            </w:pPr>
            <w:r w:rsidRPr="00CD7693">
              <w:rPr>
                <w:color w:val="000000"/>
              </w:rPr>
              <w:t>Depository Agreement, Broker/Dealer HUD–52736–B</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4F6368E5" w14:textId="77777777">
            <w:pPr>
              <w:overflowPunct/>
              <w:autoSpaceDE/>
              <w:autoSpaceDN/>
              <w:adjustRightInd/>
              <w:jc w:val="center"/>
              <w:textAlignment w:val="auto"/>
              <w:rPr>
                <w:color w:val="000000"/>
              </w:rPr>
            </w:pPr>
            <w:r w:rsidRPr="00CD7693">
              <w:rPr>
                <w:color w:val="000000"/>
              </w:rPr>
              <w:t>15</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33BC0996" w14:textId="77777777">
            <w:pPr>
              <w:overflowPunct/>
              <w:autoSpaceDE/>
              <w:autoSpaceDN/>
              <w:adjustRightInd/>
              <w:jc w:val="center"/>
              <w:textAlignment w:val="auto"/>
              <w:rPr>
                <w:color w:val="000000"/>
              </w:rPr>
            </w:pPr>
            <w:r w:rsidRPr="00CD7693">
              <w:rPr>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4FC884A6" w14:textId="77777777">
            <w:pPr>
              <w:overflowPunct/>
              <w:autoSpaceDE/>
              <w:autoSpaceDN/>
              <w:adjustRightInd/>
              <w:jc w:val="center"/>
              <w:textAlignment w:val="auto"/>
              <w:rPr>
                <w:color w:val="000000"/>
              </w:rPr>
            </w:pPr>
            <w:r w:rsidRPr="00CD7693">
              <w:rPr>
                <w:color w:val="000000"/>
              </w:rPr>
              <w:t>15</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5A95C73E" w14:textId="77777777">
            <w:pPr>
              <w:overflowPunct/>
              <w:autoSpaceDE/>
              <w:autoSpaceDN/>
              <w:adjustRightInd/>
              <w:jc w:val="center"/>
              <w:textAlignment w:val="auto"/>
              <w:rPr>
                <w:color w:val="000000"/>
              </w:rPr>
            </w:pPr>
            <w:r w:rsidRPr="00CD7693">
              <w:rPr>
                <w:rFonts w:eastAsia="Calibri"/>
                <w:color w:val="000000"/>
              </w:rPr>
              <w:t>1</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3F0987CA" w14:textId="77777777">
            <w:pPr>
              <w:overflowPunct/>
              <w:autoSpaceDE/>
              <w:autoSpaceDN/>
              <w:adjustRightInd/>
              <w:jc w:val="center"/>
              <w:textAlignment w:val="auto"/>
              <w:rPr>
                <w:color w:val="000000"/>
              </w:rPr>
            </w:pPr>
            <w:r w:rsidRPr="00CD7693">
              <w:rPr>
                <w:color w:val="000000"/>
              </w:rPr>
              <w:t>15</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6BAB2A4B" w14:textId="77777777">
            <w:pPr>
              <w:overflowPunct/>
              <w:autoSpaceDE/>
              <w:autoSpaceDN/>
              <w:adjustRightInd/>
              <w:jc w:val="right"/>
              <w:textAlignment w:val="auto"/>
              <w:rPr>
                <w:color w:val="000000"/>
              </w:rPr>
            </w:pPr>
            <w:r w:rsidRPr="00CD7693">
              <w:rPr>
                <w:color w:val="000000"/>
              </w:rPr>
              <w:t xml:space="preserve">$40.54 </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20827E40" w14:textId="77777777">
            <w:pPr>
              <w:overflowPunct/>
              <w:autoSpaceDE/>
              <w:autoSpaceDN/>
              <w:adjustRightInd/>
              <w:jc w:val="right"/>
              <w:textAlignment w:val="auto"/>
              <w:rPr>
                <w:color w:val="000000"/>
              </w:rPr>
            </w:pPr>
            <w:r w:rsidRPr="00CD7693">
              <w:rPr>
                <w:color w:val="000000"/>
              </w:rPr>
              <w:t xml:space="preserve">$608.10 </w:t>
            </w:r>
          </w:p>
        </w:tc>
      </w:tr>
      <w:tr w14:paraId="2311F675" w14:textId="77777777" w:rsidTr="00D30FE9">
        <w:tblPrEx>
          <w:tblW w:w="9720" w:type="dxa"/>
          <w:tblInd w:w="-280" w:type="dxa"/>
          <w:tblLook w:val="04A0"/>
        </w:tblPrEx>
        <w:trPr>
          <w:trHeight w:val="610"/>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25CBC6CA" w14:textId="77777777">
            <w:pPr>
              <w:overflowPunct/>
              <w:autoSpaceDE/>
              <w:autoSpaceDN/>
              <w:adjustRightInd/>
              <w:textAlignment w:val="auto"/>
              <w:rPr>
                <w:color w:val="000000"/>
              </w:rPr>
            </w:pPr>
            <w:r w:rsidRPr="00CD7693">
              <w:rPr>
                <w:color w:val="000000"/>
              </w:rPr>
              <w:t>HUD–52737 IHBG IHP-APR </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1595F77F" w14:textId="77777777">
            <w:pPr>
              <w:overflowPunct/>
              <w:autoSpaceDE/>
              <w:autoSpaceDN/>
              <w:adjustRightInd/>
              <w:jc w:val="center"/>
              <w:textAlignment w:val="auto"/>
              <w:rPr>
                <w:color w:val="000000"/>
              </w:rPr>
            </w:pPr>
            <w:r w:rsidRPr="00CD7693">
              <w:rPr>
                <w:color w:val="000000"/>
              </w:rPr>
              <w:t>20</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35447AE2" w14:textId="77777777">
            <w:pPr>
              <w:overflowPunct/>
              <w:autoSpaceDE/>
              <w:autoSpaceDN/>
              <w:adjustRightInd/>
              <w:jc w:val="center"/>
              <w:textAlignment w:val="auto"/>
              <w:rPr>
                <w:color w:val="000000"/>
              </w:rPr>
            </w:pPr>
            <w:r w:rsidRPr="00CD7693">
              <w:rPr>
                <w:rFonts w:eastAsia="Calibri"/>
                <w:color w:val="000000"/>
              </w:rPr>
              <w:t>2</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1F2B0F56" w14:textId="77777777">
            <w:pPr>
              <w:overflowPunct/>
              <w:autoSpaceDE/>
              <w:autoSpaceDN/>
              <w:adjustRightInd/>
              <w:jc w:val="center"/>
              <w:textAlignment w:val="auto"/>
              <w:rPr>
                <w:color w:val="000000"/>
              </w:rPr>
            </w:pPr>
            <w:r w:rsidRPr="00CD7693">
              <w:rPr>
                <w:color w:val="000000"/>
              </w:rPr>
              <w:t>40</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51F82AE9" w14:textId="77777777">
            <w:pPr>
              <w:overflowPunct/>
              <w:autoSpaceDE/>
              <w:autoSpaceDN/>
              <w:adjustRightInd/>
              <w:jc w:val="center"/>
              <w:textAlignment w:val="auto"/>
              <w:rPr>
                <w:color w:val="000000"/>
              </w:rPr>
            </w:pPr>
            <w:r w:rsidRPr="00CD7693">
              <w:rPr>
                <w:rFonts w:eastAsia="Calibri"/>
                <w:color w:val="000000"/>
              </w:rPr>
              <w:t>62</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3893103A" w14:textId="77777777">
            <w:pPr>
              <w:overflowPunct/>
              <w:autoSpaceDE/>
              <w:autoSpaceDN/>
              <w:adjustRightInd/>
              <w:jc w:val="center"/>
              <w:textAlignment w:val="auto"/>
              <w:rPr>
                <w:color w:val="000000"/>
              </w:rPr>
            </w:pPr>
            <w:r w:rsidRPr="00CD7693">
              <w:rPr>
                <w:color w:val="000000"/>
              </w:rPr>
              <w:t>2,480</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7CE243E7" w14:textId="77777777">
            <w:pPr>
              <w:overflowPunct/>
              <w:autoSpaceDE/>
              <w:autoSpaceDN/>
              <w:adjustRightInd/>
              <w:jc w:val="right"/>
              <w:textAlignment w:val="auto"/>
              <w:rPr>
                <w:color w:val="000000"/>
              </w:rPr>
            </w:pPr>
            <w:r w:rsidRPr="00CD7693">
              <w:rPr>
                <w:color w:val="000000"/>
              </w:rPr>
              <w:t xml:space="preserve">$40.54 </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0F53F606" w14:textId="77777777">
            <w:pPr>
              <w:overflowPunct/>
              <w:autoSpaceDE/>
              <w:autoSpaceDN/>
              <w:adjustRightInd/>
              <w:jc w:val="right"/>
              <w:textAlignment w:val="auto"/>
              <w:rPr>
                <w:color w:val="000000"/>
              </w:rPr>
            </w:pPr>
            <w:r w:rsidRPr="00CD7693">
              <w:rPr>
                <w:color w:val="000000"/>
              </w:rPr>
              <w:t xml:space="preserve">$100,539.20 </w:t>
            </w:r>
          </w:p>
        </w:tc>
      </w:tr>
      <w:tr w14:paraId="5A355D8C" w14:textId="77777777" w:rsidTr="00D30FE9">
        <w:tblPrEx>
          <w:tblW w:w="9720" w:type="dxa"/>
          <w:tblInd w:w="-280" w:type="dxa"/>
          <w:tblLook w:val="04A0"/>
        </w:tblPrEx>
        <w:trPr>
          <w:trHeight w:val="610"/>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0328BBC7" w14:textId="77777777">
            <w:pPr>
              <w:overflowPunct/>
              <w:autoSpaceDE/>
              <w:autoSpaceDN/>
              <w:adjustRightInd/>
              <w:textAlignment w:val="auto"/>
              <w:rPr>
                <w:color w:val="000000"/>
              </w:rPr>
            </w:pPr>
            <w:r w:rsidRPr="00CD7693">
              <w:rPr>
                <w:color w:val="000000"/>
              </w:rPr>
              <w:t>HUD-52737 GEMS IHBG IHP/APR </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4CB86987" w14:textId="77777777">
            <w:pPr>
              <w:overflowPunct/>
              <w:autoSpaceDE/>
              <w:autoSpaceDN/>
              <w:adjustRightInd/>
              <w:jc w:val="center"/>
              <w:textAlignment w:val="auto"/>
              <w:rPr>
                <w:color w:val="000000"/>
              </w:rPr>
            </w:pPr>
            <w:r w:rsidRPr="00CD7693">
              <w:rPr>
                <w:rFonts w:eastAsia="Calibri"/>
                <w:color w:val="000000"/>
              </w:rPr>
              <w:t>370</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59B54EA3" w14:textId="77777777">
            <w:pPr>
              <w:overflowPunct/>
              <w:autoSpaceDE/>
              <w:autoSpaceDN/>
              <w:adjustRightInd/>
              <w:jc w:val="center"/>
              <w:textAlignment w:val="auto"/>
              <w:rPr>
                <w:color w:val="000000"/>
              </w:rPr>
            </w:pPr>
            <w:r w:rsidRPr="00CD7693">
              <w:rPr>
                <w:rFonts w:eastAsia="Calibri"/>
                <w:color w:val="000000"/>
              </w:rPr>
              <w:t>2</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1B96B7F5" w14:textId="77777777">
            <w:pPr>
              <w:overflowPunct/>
              <w:autoSpaceDE/>
              <w:autoSpaceDN/>
              <w:adjustRightInd/>
              <w:jc w:val="center"/>
              <w:textAlignment w:val="auto"/>
              <w:rPr>
                <w:color w:val="000000"/>
              </w:rPr>
            </w:pPr>
            <w:r w:rsidRPr="00CD7693">
              <w:rPr>
                <w:color w:val="000000"/>
              </w:rPr>
              <w:t>740</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001BE556" w14:textId="77777777">
            <w:pPr>
              <w:overflowPunct/>
              <w:autoSpaceDE/>
              <w:autoSpaceDN/>
              <w:adjustRightInd/>
              <w:jc w:val="center"/>
              <w:textAlignment w:val="auto"/>
              <w:rPr>
                <w:color w:val="000000"/>
              </w:rPr>
            </w:pPr>
            <w:r w:rsidRPr="00CD7693">
              <w:rPr>
                <w:rFonts w:eastAsia="Calibri"/>
                <w:color w:val="000000"/>
              </w:rPr>
              <w:t>62</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4939B19D" w14:textId="77777777">
            <w:pPr>
              <w:overflowPunct/>
              <w:autoSpaceDE/>
              <w:autoSpaceDN/>
              <w:adjustRightInd/>
              <w:jc w:val="center"/>
              <w:textAlignment w:val="auto"/>
              <w:rPr>
                <w:color w:val="000000"/>
              </w:rPr>
            </w:pPr>
            <w:r w:rsidRPr="00CD7693">
              <w:rPr>
                <w:rFonts w:eastAsia="Calibri"/>
                <w:color w:val="000000"/>
              </w:rPr>
              <w:t>45,880</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455FB5AB" w14:textId="77777777">
            <w:pPr>
              <w:overflowPunct/>
              <w:autoSpaceDE/>
              <w:autoSpaceDN/>
              <w:adjustRightInd/>
              <w:jc w:val="right"/>
              <w:textAlignment w:val="auto"/>
              <w:rPr>
                <w:color w:val="000000"/>
              </w:rPr>
            </w:pPr>
            <w:r w:rsidRPr="00CD7693">
              <w:rPr>
                <w:color w:val="000000"/>
              </w:rPr>
              <w:t xml:space="preserve">$40.54 </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03C93CFD" w14:textId="77777777">
            <w:pPr>
              <w:overflowPunct/>
              <w:autoSpaceDE/>
              <w:autoSpaceDN/>
              <w:adjustRightInd/>
              <w:jc w:val="right"/>
              <w:textAlignment w:val="auto"/>
              <w:rPr>
                <w:color w:val="000000"/>
              </w:rPr>
            </w:pPr>
            <w:r w:rsidRPr="00CD7693">
              <w:rPr>
                <w:color w:val="000000"/>
              </w:rPr>
              <w:t xml:space="preserve">$1,859,975.20 </w:t>
            </w:r>
          </w:p>
        </w:tc>
      </w:tr>
      <w:tr w14:paraId="6B9E5EF9" w14:textId="77777777" w:rsidTr="00D30FE9">
        <w:tblPrEx>
          <w:tblW w:w="9720" w:type="dxa"/>
          <w:tblInd w:w="-280" w:type="dxa"/>
          <w:tblLook w:val="04A0"/>
        </w:tblPrEx>
        <w:trPr>
          <w:trHeight w:val="619"/>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4C52A112" w14:textId="77777777">
            <w:pPr>
              <w:overflowPunct/>
              <w:autoSpaceDE/>
              <w:autoSpaceDN/>
              <w:adjustRightInd/>
              <w:textAlignment w:val="auto"/>
              <w:rPr>
                <w:color w:val="000000"/>
              </w:rPr>
            </w:pPr>
            <w:r w:rsidRPr="00CD7693">
              <w:rPr>
                <w:color w:val="000000"/>
              </w:rPr>
              <w:t>HUD–53248 IHBG-COMP APR </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18FA07E2" w14:textId="77777777">
            <w:pPr>
              <w:overflowPunct/>
              <w:autoSpaceDE/>
              <w:autoSpaceDN/>
              <w:adjustRightInd/>
              <w:jc w:val="center"/>
              <w:textAlignment w:val="auto"/>
              <w:rPr>
                <w:color w:val="000000"/>
              </w:rPr>
            </w:pPr>
            <w:r w:rsidRPr="00CD7693">
              <w:rPr>
                <w:rFonts w:eastAsia="Calibri"/>
                <w:color w:val="000000"/>
              </w:rPr>
              <w:t>65</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4B0D227F" w14:textId="77777777">
            <w:pPr>
              <w:overflowPunct/>
              <w:autoSpaceDE/>
              <w:autoSpaceDN/>
              <w:adjustRightInd/>
              <w:jc w:val="center"/>
              <w:textAlignment w:val="auto"/>
              <w:rPr>
                <w:color w:val="000000"/>
              </w:rPr>
            </w:pPr>
            <w:r w:rsidRPr="00CD7693">
              <w:rPr>
                <w:rFonts w:eastAsia="Calibri"/>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51F14138" w14:textId="77777777">
            <w:pPr>
              <w:overflowPunct/>
              <w:autoSpaceDE/>
              <w:autoSpaceDN/>
              <w:adjustRightInd/>
              <w:jc w:val="center"/>
              <w:textAlignment w:val="auto"/>
              <w:rPr>
                <w:color w:val="000000"/>
              </w:rPr>
            </w:pPr>
            <w:r w:rsidRPr="00CD7693">
              <w:rPr>
                <w:rFonts w:eastAsia="Calibri"/>
                <w:color w:val="000000"/>
              </w:rPr>
              <w:t>65</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2F5FEE71" w14:textId="77777777">
            <w:pPr>
              <w:overflowPunct/>
              <w:autoSpaceDE/>
              <w:autoSpaceDN/>
              <w:adjustRightInd/>
              <w:jc w:val="center"/>
              <w:textAlignment w:val="auto"/>
              <w:rPr>
                <w:color w:val="000000"/>
              </w:rPr>
            </w:pPr>
            <w:r w:rsidRPr="00CD7693">
              <w:rPr>
                <w:rFonts w:eastAsia="Calibri"/>
                <w:color w:val="000000"/>
              </w:rPr>
              <w:t>30</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0E4B2A83" w14:textId="77777777">
            <w:pPr>
              <w:overflowPunct/>
              <w:autoSpaceDE/>
              <w:autoSpaceDN/>
              <w:adjustRightInd/>
              <w:jc w:val="center"/>
              <w:textAlignment w:val="auto"/>
              <w:rPr>
                <w:color w:val="000000"/>
              </w:rPr>
            </w:pPr>
            <w:r w:rsidRPr="00CD7693">
              <w:rPr>
                <w:color w:val="000000"/>
              </w:rPr>
              <w:t>1,950</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74AAA5AC" w14:textId="77777777">
            <w:pPr>
              <w:overflowPunct/>
              <w:autoSpaceDE/>
              <w:autoSpaceDN/>
              <w:adjustRightInd/>
              <w:jc w:val="right"/>
              <w:textAlignment w:val="auto"/>
              <w:rPr>
                <w:color w:val="000000"/>
              </w:rPr>
            </w:pPr>
            <w:r w:rsidRPr="00CD7693">
              <w:rPr>
                <w:color w:val="000000"/>
              </w:rPr>
              <w:t xml:space="preserve">$40.54 </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51A2BFA1" w14:textId="77777777">
            <w:pPr>
              <w:overflowPunct/>
              <w:autoSpaceDE/>
              <w:autoSpaceDN/>
              <w:adjustRightInd/>
              <w:jc w:val="right"/>
              <w:textAlignment w:val="auto"/>
              <w:rPr>
                <w:color w:val="000000"/>
              </w:rPr>
            </w:pPr>
            <w:r w:rsidRPr="00CD7693">
              <w:rPr>
                <w:color w:val="000000"/>
              </w:rPr>
              <w:t xml:space="preserve">$79,053.00 </w:t>
            </w:r>
          </w:p>
        </w:tc>
      </w:tr>
      <w:tr w14:paraId="23C07F5F" w14:textId="77777777" w:rsidTr="00D30FE9">
        <w:tblPrEx>
          <w:tblW w:w="9720" w:type="dxa"/>
          <w:tblInd w:w="-280" w:type="dxa"/>
          <w:tblLook w:val="04A0"/>
        </w:tblPrEx>
        <w:trPr>
          <w:trHeight w:val="492"/>
        </w:trPr>
        <w:tc>
          <w:tcPr>
            <w:tcW w:w="1907" w:type="dxa"/>
            <w:tcBorders>
              <w:top w:val="nil"/>
              <w:left w:val="single" w:sz="8" w:space="0" w:color="auto"/>
              <w:bottom w:val="single" w:sz="8" w:space="0" w:color="auto"/>
              <w:right w:val="single" w:sz="8" w:space="0" w:color="auto"/>
            </w:tcBorders>
            <w:shd w:val="clear" w:color="auto" w:fill="auto"/>
            <w:vAlign w:val="center"/>
            <w:hideMark/>
          </w:tcPr>
          <w:p w:rsidR="00CD7693" w:rsidRPr="00CD7693" w:rsidP="00CD7693" w14:paraId="35AE6E58" w14:textId="77777777">
            <w:pPr>
              <w:overflowPunct/>
              <w:autoSpaceDE/>
              <w:autoSpaceDN/>
              <w:adjustRightInd/>
              <w:textAlignment w:val="auto"/>
              <w:rPr>
                <w:color w:val="000000"/>
              </w:rPr>
            </w:pPr>
            <w:r w:rsidRPr="00CD7693">
              <w:rPr>
                <w:color w:val="000000"/>
              </w:rPr>
              <w:t>Record retention </w:t>
            </w:r>
          </w:p>
        </w:tc>
        <w:tc>
          <w:tcPr>
            <w:tcW w:w="1306" w:type="dxa"/>
            <w:tcBorders>
              <w:top w:val="nil"/>
              <w:left w:val="nil"/>
              <w:bottom w:val="single" w:sz="8" w:space="0" w:color="auto"/>
              <w:right w:val="single" w:sz="8" w:space="0" w:color="auto"/>
            </w:tcBorders>
            <w:shd w:val="clear" w:color="auto" w:fill="auto"/>
            <w:vAlign w:val="center"/>
            <w:hideMark/>
          </w:tcPr>
          <w:p w:rsidR="00CD7693" w:rsidRPr="00CD7693" w:rsidP="00CD7693" w14:paraId="7FCBF16B" w14:textId="77777777">
            <w:pPr>
              <w:overflowPunct/>
              <w:autoSpaceDE/>
              <w:autoSpaceDN/>
              <w:adjustRightInd/>
              <w:jc w:val="center"/>
              <w:textAlignment w:val="auto"/>
              <w:rPr>
                <w:color w:val="000000"/>
              </w:rPr>
            </w:pPr>
            <w:r w:rsidRPr="00CD7693">
              <w:rPr>
                <w:rFonts w:eastAsia="Calibri"/>
                <w:color w:val="000000"/>
              </w:rPr>
              <w:t>30</w:t>
            </w:r>
          </w:p>
        </w:tc>
        <w:tc>
          <w:tcPr>
            <w:tcW w:w="1128" w:type="dxa"/>
            <w:tcBorders>
              <w:top w:val="nil"/>
              <w:left w:val="nil"/>
              <w:bottom w:val="single" w:sz="8" w:space="0" w:color="auto"/>
              <w:right w:val="single" w:sz="8" w:space="0" w:color="auto"/>
            </w:tcBorders>
            <w:shd w:val="clear" w:color="auto" w:fill="auto"/>
            <w:vAlign w:val="center"/>
            <w:hideMark/>
          </w:tcPr>
          <w:p w:rsidR="00CD7693" w:rsidRPr="00CD7693" w:rsidP="00CD7693" w14:paraId="4DF992B3" w14:textId="77777777">
            <w:pPr>
              <w:overflowPunct/>
              <w:autoSpaceDE/>
              <w:autoSpaceDN/>
              <w:adjustRightInd/>
              <w:jc w:val="center"/>
              <w:textAlignment w:val="auto"/>
              <w:rPr>
                <w:color w:val="000000"/>
              </w:rPr>
            </w:pPr>
            <w:r w:rsidRPr="00CD7693">
              <w:rPr>
                <w:rFonts w:eastAsia="Calibri"/>
                <w:color w:val="000000"/>
              </w:rPr>
              <w:t>1</w:t>
            </w:r>
          </w:p>
        </w:tc>
        <w:tc>
          <w:tcPr>
            <w:tcW w:w="1094" w:type="dxa"/>
            <w:tcBorders>
              <w:top w:val="nil"/>
              <w:left w:val="nil"/>
              <w:bottom w:val="single" w:sz="8" w:space="0" w:color="auto"/>
              <w:right w:val="single" w:sz="8" w:space="0" w:color="auto"/>
            </w:tcBorders>
            <w:shd w:val="clear" w:color="auto" w:fill="auto"/>
            <w:vAlign w:val="center"/>
            <w:hideMark/>
          </w:tcPr>
          <w:p w:rsidR="00CD7693" w:rsidRPr="00CD7693" w:rsidP="00CD7693" w14:paraId="7A7DCE8A" w14:textId="77777777">
            <w:pPr>
              <w:overflowPunct/>
              <w:autoSpaceDE/>
              <w:autoSpaceDN/>
              <w:adjustRightInd/>
              <w:jc w:val="center"/>
              <w:textAlignment w:val="auto"/>
              <w:rPr>
                <w:color w:val="000000"/>
              </w:rPr>
            </w:pPr>
            <w:r w:rsidRPr="00CD7693">
              <w:rPr>
                <w:rFonts w:eastAsia="Calibri"/>
                <w:color w:val="000000"/>
              </w:rPr>
              <w:t>30</w:t>
            </w:r>
          </w:p>
        </w:tc>
        <w:tc>
          <w:tcPr>
            <w:tcW w:w="1049" w:type="dxa"/>
            <w:tcBorders>
              <w:top w:val="nil"/>
              <w:left w:val="nil"/>
              <w:bottom w:val="single" w:sz="8" w:space="0" w:color="auto"/>
              <w:right w:val="single" w:sz="8" w:space="0" w:color="auto"/>
            </w:tcBorders>
            <w:shd w:val="clear" w:color="auto" w:fill="auto"/>
            <w:vAlign w:val="center"/>
            <w:hideMark/>
          </w:tcPr>
          <w:p w:rsidR="00CD7693" w:rsidRPr="00CD7693" w:rsidP="00CD7693" w14:paraId="47698B74" w14:textId="77777777">
            <w:pPr>
              <w:overflowPunct/>
              <w:autoSpaceDE/>
              <w:autoSpaceDN/>
              <w:adjustRightInd/>
              <w:jc w:val="center"/>
              <w:textAlignment w:val="auto"/>
              <w:rPr>
                <w:color w:val="000000"/>
              </w:rPr>
            </w:pPr>
            <w:r w:rsidRPr="00CD7693">
              <w:rPr>
                <w:rFonts w:eastAsia="Calibri"/>
                <w:color w:val="000000"/>
              </w:rPr>
              <w:t>1</w:t>
            </w:r>
          </w:p>
        </w:tc>
        <w:tc>
          <w:tcPr>
            <w:tcW w:w="861" w:type="dxa"/>
            <w:tcBorders>
              <w:top w:val="nil"/>
              <w:left w:val="nil"/>
              <w:bottom w:val="single" w:sz="8" w:space="0" w:color="auto"/>
              <w:right w:val="single" w:sz="8" w:space="0" w:color="auto"/>
            </w:tcBorders>
            <w:shd w:val="clear" w:color="auto" w:fill="auto"/>
            <w:vAlign w:val="center"/>
            <w:hideMark/>
          </w:tcPr>
          <w:p w:rsidR="00CD7693" w:rsidRPr="00CD7693" w:rsidP="00CD7693" w14:paraId="3717BCC7" w14:textId="77777777">
            <w:pPr>
              <w:overflowPunct/>
              <w:autoSpaceDE/>
              <w:autoSpaceDN/>
              <w:adjustRightInd/>
              <w:jc w:val="center"/>
              <w:textAlignment w:val="auto"/>
              <w:rPr>
                <w:color w:val="000000"/>
              </w:rPr>
            </w:pPr>
            <w:r w:rsidRPr="00CD7693">
              <w:rPr>
                <w:rFonts w:eastAsia="Calibri"/>
                <w:color w:val="000000"/>
              </w:rPr>
              <w:t>30</w:t>
            </w:r>
          </w:p>
        </w:tc>
        <w:tc>
          <w:tcPr>
            <w:tcW w:w="1017" w:type="dxa"/>
            <w:tcBorders>
              <w:top w:val="nil"/>
              <w:left w:val="nil"/>
              <w:bottom w:val="single" w:sz="8" w:space="0" w:color="auto"/>
              <w:right w:val="single" w:sz="8" w:space="0" w:color="auto"/>
            </w:tcBorders>
            <w:shd w:val="clear" w:color="auto" w:fill="auto"/>
            <w:vAlign w:val="center"/>
            <w:hideMark/>
          </w:tcPr>
          <w:p w:rsidR="00CD7693" w:rsidRPr="00CD7693" w:rsidP="00CD7693" w14:paraId="24B1FDC1" w14:textId="77777777">
            <w:pPr>
              <w:overflowPunct/>
              <w:autoSpaceDE/>
              <w:autoSpaceDN/>
              <w:adjustRightInd/>
              <w:jc w:val="right"/>
              <w:textAlignment w:val="auto"/>
              <w:rPr>
                <w:color w:val="000000"/>
              </w:rPr>
            </w:pPr>
            <w:r w:rsidRPr="00CD7693">
              <w:rPr>
                <w:color w:val="000000"/>
              </w:rPr>
              <w:t xml:space="preserve">$40.54 </w:t>
            </w:r>
          </w:p>
        </w:tc>
        <w:tc>
          <w:tcPr>
            <w:tcW w:w="1358" w:type="dxa"/>
            <w:tcBorders>
              <w:top w:val="nil"/>
              <w:left w:val="nil"/>
              <w:bottom w:val="single" w:sz="8" w:space="0" w:color="auto"/>
              <w:right w:val="single" w:sz="8" w:space="0" w:color="auto"/>
            </w:tcBorders>
            <w:shd w:val="clear" w:color="auto" w:fill="auto"/>
            <w:vAlign w:val="center"/>
            <w:hideMark/>
          </w:tcPr>
          <w:p w:rsidR="00CD7693" w:rsidRPr="00CD7693" w:rsidP="00CD7693" w14:paraId="5B609853" w14:textId="77777777">
            <w:pPr>
              <w:overflowPunct/>
              <w:autoSpaceDE/>
              <w:autoSpaceDN/>
              <w:adjustRightInd/>
              <w:jc w:val="right"/>
              <w:textAlignment w:val="auto"/>
              <w:rPr>
                <w:color w:val="000000"/>
              </w:rPr>
            </w:pPr>
            <w:r w:rsidRPr="00CD7693">
              <w:rPr>
                <w:color w:val="000000"/>
              </w:rPr>
              <w:t xml:space="preserve">$1,216.20 </w:t>
            </w:r>
          </w:p>
        </w:tc>
      </w:tr>
      <w:tr w14:paraId="2EF5F944" w14:textId="77777777" w:rsidTr="00D30FE9">
        <w:tblPrEx>
          <w:tblW w:w="9720" w:type="dxa"/>
          <w:tblInd w:w="-280" w:type="dxa"/>
          <w:tblLook w:val="04A0"/>
        </w:tblPrEx>
        <w:trPr>
          <w:trHeight w:val="300"/>
        </w:trPr>
        <w:tc>
          <w:tcPr>
            <w:tcW w:w="1907" w:type="dxa"/>
            <w:tcBorders>
              <w:top w:val="nil"/>
              <w:left w:val="single" w:sz="8" w:space="0" w:color="auto"/>
              <w:bottom w:val="single" w:sz="8" w:space="0" w:color="auto"/>
              <w:right w:val="single" w:sz="8" w:space="0" w:color="auto"/>
            </w:tcBorders>
            <w:shd w:val="clear" w:color="000000" w:fill="D9D9D9"/>
            <w:vAlign w:val="center"/>
            <w:hideMark/>
          </w:tcPr>
          <w:p w:rsidR="00CD7693" w:rsidRPr="00CD7693" w:rsidP="00CD7693" w14:paraId="2AE32379" w14:textId="77777777">
            <w:pPr>
              <w:overflowPunct/>
              <w:autoSpaceDE/>
              <w:autoSpaceDN/>
              <w:adjustRightInd/>
              <w:jc w:val="right"/>
              <w:textAlignment w:val="auto"/>
              <w:rPr>
                <w:b/>
                <w:bCs/>
                <w:color w:val="000000"/>
              </w:rPr>
            </w:pPr>
            <w:r w:rsidRPr="00CD7693">
              <w:rPr>
                <w:b/>
                <w:bCs/>
                <w:color w:val="000000" w:themeColor="text1"/>
              </w:rPr>
              <w:t>Totals</w:t>
            </w:r>
          </w:p>
        </w:tc>
        <w:tc>
          <w:tcPr>
            <w:tcW w:w="1306" w:type="dxa"/>
            <w:tcBorders>
              <w:top w:val="nil"/>
              <w:left w:val="nil"/>
              <w:bottom w:val="single" w:sz="8" w:space="0" w:color="auto"/>
              <w:right w:val="single" w:sz="8" w:space="0" w:color="auto"/>
            </w:tcBorders>
            <w:shd w:val="clear" w:color="000000" w:fill="D9D9D9"/>
            <w:vAlign w:val="center"/>
            <w:hideMark/>
          </w:tcPr>
          <w:p w:rsidR="00CD7693" w:rsidRPr="00CD7693" w:rsidP="00CD7693" w14:paraId="66D4A921" w14:textId="77777777">
            <w:pPr>
              <w:overflowPunct/>
              <w:autoSpaceDE/>
              <w:autoSpaceDN/>
              <w:adjustRightInd/>
              <w:jc w:val="center"/>
              <w:textAlignment w:val="auto"/>
              <w:rPr>
                <w:b/>
                <w:bCs/>
                <w:color w:val="000000"/>
              </w:rPr>
            </w:pPr>
            <w:r w:rsidRPr="00CD7693">
              <w:rPr>
                <w:b/>
                <w:bCs/>
                <w:color w:val="000000" w:themeColor="text1"/>
              </w:rPr>
              <w:t>3,390</w:t>
            </w:r>
          </w:p>
        </w:tc>
        <w:tc>
          <w:tcPr>
            <w:tcW w:w="1128" w:type="dxa"/>
            <w:tcBorders>
              <w:top w:val="nil"/>
              <w:left w:val="nil"/>
              <w:bottom w:val="single" w:sz="8" w:space="0" w:color="auto"/>
              <w:right w:val="single" w:sz="8" w:space="0" w:color="auto"/>
            </w:tcBorders>
            <w:shd w:val="clear" w:color="000000" w:fill="D9D9D9"/>
            <w:vAlign w:val="center"/>
            <w:hideMark/>
          </w:tcPr>
          <w:p w:rsidR="00CD7693" w:rsidRPr="00CD7693" w:rsidP="00CD7693" w14:paraId="07693E78" w14:textId="77777777">
            <w:pPr>
              <w:overflowPunct/>
              <w:autoSpaceDE/>
              <w:autoSpaceDN/>
              <w:adjustRightInd/>
              <w:jc w:val="center"/>
              <w:textAlignment w:val="auto"/>
              <w:rPr>
                <w:b/>
                <w:bCs/>
                <w:color w:val="000000"/>
              </w:rPr>
            </w:pPr>
            <w:r w:rsidRPr="00CD7693">
              <w:rPr>
                <w:b/>
                <w:bCs/>
                <w:color w:val="000000" w:themeColor="text1"/>
              </w:rPr>
              <w:t>25</w:t>
            </w:r>
          </w:p>
        </w:tc>
        <w:tc>
          <w:tcPr>
            <w:tcW w:w="1094" w:type="dxa"/>
            <w:tcBorders>
              <w:top w:val="nil"/>
              <w:left w:val="nil"/>
              <w:bottom w:val="single" w:sz="8" w:space="0" w:color="auto"/>
              <w:right w:val="single" w:sz="8" w:space="0" w:color="auto"/>
            </w:tcBorders>
            <w:shd w:val="clear" w:color="000000" w:fill="D9D9D9"/>
            <w:vAlign w:val="center"/>
            <w:hideMark/>
          </w:tcPr>
          <w:p w:rsidR="00CD7693" w:rsidRPr="00CD7693" w:rsidP="00CD7693" w14:paraId="6B8E2F26" w14:textId="4CD0F477">
            <w:pPr>
              <w:overflowPunct/>
              <w:autoSpaceDE/>
              <w:autoSpaceDN/>
              <w:adjustRightInd/>
              <w:jc w:val="center"/>
              <w:textAlignment w:val="auto"/>
              <w:rPr>
                <w:b/>
                <w:bCs/>
                <w:color w:val="000000"/>
              </w:rPr>
            </w:pPr>
            <w:r w:rsidRPr="00CD7693">
              <w:rPr>
                <w:b/>
                <w:bCs/>
                <w:color w:val="000000" w:themeColor="text1"/>
              </w:rPr>
              <w:t>2,28</w:t>
            </w:r>
            <w:r w:rsidR="003F5D2C">
              <w:rPr>
                <w:b/>
                <w:bCs/>
                <w:color w:val="000000" w:themeColor="text1"/>
              </w:rPr>
              <w:t>0</w:t>
            </w:r>
          </w:p>
        </w:tc>
        <w:tc>
          <w:tcPr>
            <w:tcW w:w="1049" w:type="dxa"/>
            <w:tcBorders>
              <w:top w:val="nil"/>
              <w:left w:val="nil"/>
              <w:bottom w:val="single" w:sz="8" w:space="0" w:color="auto"/>
              <w:right w:val="single" w:sz="8" w:space="0" w:color="auto"/>
            </w:tcBorders>
            <w:shd w:val="clear" w:color="000000" w:fill="D9D9D9"/>
            <w:vAlign w:val="center"/>
            <w:hideMark/>
          </w:tcPr>
          <w:p w:rsidR="00CD7693" w:rsidRPr="00CD7693" w:rsidP="00CD7693" w14:paraId="48B3AF6D" w14:textId="58764F19">
            <w:pPr>
              <w:overflowPunct/>
              <w:autoSpaceDE/>
              <w:autoSpaceDN/>
              <w:adjustRightInd/>
              <w:jc w:val="center"/>
              <w:textAlignment w:val="auto"/>
              <w:rPr>
                <w:b/>
                <w:bCs/>
                <w:color w:val="000000"/>
              </w:rPr>
            </w:pPr>
            <w:r>
              <w:rPr>
                <w:b/>
                <w:bCs/>
                <w:color w:val="000000" w:themeColor="text1"/>
              </w:rPr>
              <w:t>442</w:t>
            </w:r>
          </w:p>
        </w:tc>
        <w:tc>
          <w:tcPr>
            <w:tcW w:w="861" w:type="dxa"/>
            <w:tcBorders>
              <w:top w:val="nil"/>
              <w:left w:val="nil"/>
              <w:bottom w:val="single" w:sz="8" w:space="0" w:color="auto"/>
              <w:right w:val="single" w:sz="8" w:space="0" w:color="auto"/>
            </w:tcBorders>
            <w:shd w:val="clear" w:color="000000" w:fill="D9D9D9"/>
            <w:vAlign w:val="center"/>
            <w:hideMark/>
          </w:tcPr>
          <w:p w:rsidR="00CD7693" w:rsidRPr="00CD7693" w:rsidP="00CD7693" w14:paraId="305DD4B8" w14:textId="77777777">
            <w:pPr>
              <w:overflowPunct/>
              <w:autoSpaceDE/>
              <w:autoSpaceDN/>
              <w:adjustRightInd/>
              <w:jc w:val="center"/>
              <w:textAlignment w:val="auto"/>
              <w:rPr>
                <w:b/>
                <w:bCs/>
                <w:color w:val="000000"/>
              </w:rPr>
            </w:pPr>
            <w:r w:rsidRPr="00CD7693">
              <w:rPr>
                <w:b/>
                <w:bCs/>
                <w:color w:val="000000" w:themeColor="text1"/>
              </w:rPr>
              <w:t>78,695</w:t>
            </w:r>
          </w:p>
        </w:tc>
        <w:tc>
          <w:tcPr>
            <w:tcW w:w="1017" w:type="dxa"/>
            <w:tcBorders>
              <w:top w:val="nil"/>
              <w:left w:val="nil"/>
              <w:bottom w:val="single" w:sz="8" w:space="0" w:color="auto"/>
              <w:right w:val="single" w:sz="8" w:space="0" w:color="auto"/>
            </w:tcBorders>
            <w:shd w:val="clear" w:color="000000" w:fill="D9D9D9"/>
            <w:vAlign w:val="center"/>
            <w:hideMark/>
          </w:tcPr>
          <w:p w:rsidR="00CD7693" w:rsidRPr="00CD7693" w:rsidP="00CD7693" w14:paraId="1AB674CE" w14:textId="77777777">
            <w:pPr>
              <w:overflowPunct/>
              <w:autoSpaceDE/>
              <w:autoSpaceDN/>
              <w:adjustRightInd/>
              <w:jc w:val="right"/>
              <w:textAlignment w:val="auto"/>
              <w:rPr>
                <w:color w:val="000000"/>
              </w:rPr>
            </w:pPr>
            <w:r w:rsidRPr="00CD7693">
              <w:rPr>
                <w:color w:val="000000"/>
              </w:rPr>
              <w:t> </w:t>
            </w:r>
          </w:p>
        </w:tc>
        <w:tc>
          <w:tcPr>
            <w:tcW w:w="1358" w:type="dxa"/>
            <w:tcBorders>
              <w:top w:val="nil"/>
              <w:left w:val="nil"/>
              <w:bottom w:val="single" w:sz="8" w:space="0" w:color="auto"/>
              <w:right w:val="single" w:sz="8" w:space="0" w:color="auto"/>
            </w:tcBorders>
            <w:shd w:val="clear" w:color="000000" w:fill="D9D9D9"/>
            <w:vAlign w:val="center"/>
            <w:hideMark/>
          </w:tcPr>
          <w:p w:rsidR="00CD7693" w:rsidRPr="00CD7693" w:rsidP="00CD7693" w14:paraId="64ABD422" w14:textId="77777777">
            <w:pPr>
              <w:overflowPunct/>
              <w:autoSpaceDE/>
              <w:autoSpaceDN/>
              <w:adjustRightInd/>
              <w:jc w:val="right"/>
              <w:textAlignment w:val="auto"/>
              <w:rPr>
                <w:b/>
                <w:bCs/>
                <w:color w:val="000000"/>
              </w:rPr>
            </w:pPr>
            <w:r w:rsidRPr="00CD7693">
              <w:rPr>
                <w:b/>
                <w:bCs/>
                <w:color w:val="000000" w:themeColor="text1"/>
              </w:rPr>
              <w:t>3,264,858.30</w:t>
            </w:r>
          </w:p>
        </w:tc>
      </w:tr>
    </w:tbl>
    <w:p w:rsidR="00311682" w:rsidRPr="00B95846" w:rsidP="00311682" w14:paraId="23B77478" w14:textId="77777777">
      <w:pPr>
        <w:tabs>
          <w:tab w:val="left" w:pos="360"/>
        </w:tabs>
        <w:ind w:left="360" w:hanging="360"/>
        <w:rPr>
          <w:sz w:val="24"/>
          <w:szCs w:val="24"/>
        </w:rPr>
      </w:pPr>
    </w:p>
    <w:p w:rsidR="00311682" w:rsidRPr="00B95846" w:rsidP="00311682" w14:paraId="4FFBDC36" w14:textId="77777777">
      <w:pPr>
        <w:keepLines/>
        <w:tabs>
          <w:tab w:val="left" w:pos="360"/>
        </w:tabs>
        <w:spacing w:after="80"/>
        <w:ind w:left="360" w:hanging="360"/>
        <w:rPr>
          <w:b/>
          <w:bCs/>
          <w:sz w:val="24"/>
          <w:szCs w:val="24"/>
        </w:rPr>
      </w:pPr>
      <w:r w:rsidRPr="00B95846">
        <w:rPr>
          <w:sz w:val="24"/>
          <w:szCs w:val="24"/>
        </w:rPr>
        <w:t>15.</w:t>
      </w:r>
      <w:r w:rsidRPr="00B95846">
        <w:rPr>
          <w:sz w:val="24"/>
          <w:szCs w:val="24"/>
        </w:rPr>
        <w:tab/>
      </w:r>
      <w:r w:rsidRPr="00B95846">
        <w:rPr>
          <w:b/>
          <w:bCs/>
          <w:sz w:val="24"/>
          <w:szCs w:val="24"/>
        </w:rPr>
        <w:t>Explain the reasons for any program changes or adjustments reported in Items 12 and 14 of the Supporting Statement.</w:t>
      </w:r>
    </w:p>
    <w:p w:rsidR="00B95846" w:rsidRPr="00B95846" w:rsidP="00B95846" w14:paraId="7A73E25A" w14:textId="77777777">
      <w:pPr>
        <w:pStyle w:val="NoSpacing"/>
      </w:pPr>
    </w:p>
    <w:p w:rsidR="00B95846" w:rsidRPr="00B95846" w:rsidP="00311682" w14:paraId="339F77B6" w14:textId="7F24CC6A">
      <w:pPr>
        <w:pStyle w:val="ListParagraph"/>
        <w:keepLines/>
        <w:numPr>
          <w:ilvl w:val="0"/>
          <w:numId w:val="20"/>
        </w:numPr>
        <w:tabs>
          <w:tab w:val="left" w:pos="360"/>
        </w:tabs>
        <w:spacing w:after="80"/>
        <w:contextualSpacing w:val="0"/>
        <w:rPr>
          <w:sz w:val="24"/>
          <w:szCs w:val="24"/>
        </w:rPr>
      </w:pPr>
      <w:r w:rsidRPr="00B95846">
        <w:rPr>
          <w:sz w:val="24"/>
          <w:szCs w:val="24"/>
        </w:rPr>
        <w:t xml:space="preserve">This is a revision of </w:t>
      </w:r>
      <w:r w:rsidR="00CD7693">
        <w:rPr>
          <w:sz w:val="24"/>
          <w:szCs w:val="24"/>
        </w:rPr>
        <w:t xml:space="preserve">a </w:t>
      </w:r>
      <w:r w:rsidRPr="00B95846">
        <w:rPr>
          <w:sz w:val="24"/>
          <w:szCs w:val="24"/>
        </w:rPr>
        <w:t xml:space="preserve">currently approved collection. </w:t>
      </w:r>
    </w:p>
    <w:p w:rsidR="00311682" w:rsidRPr="00B95846" w:rsidP="00311682" w14:paraId="0C3BDB70" w14:textId="4ABF9AB9">
      <w:pPr>
        <w:pStyle w:val="ListParagraph"/>
        <w:keepLines/>
        <w:numPr>
          <w:ilvl w:val="0"/>
          <w:numId w:val="20"/>
        </w:numPr>
        <w:tabs>
          <w:tab w:val="left" w:pos="360"/>
        </w:tabs>
        <w:spacing w:after="80"/>
        <w:contextualSpacing w:val="0"/>
        <w:rPr>
          <w:sz w:val="24"/>
          <w:szCs w:val="24"/>
        </w:rPr>
      </w:pPr>
      <w:r w:rsidRPr="00B95846">
        <w:rPr>
          <w:sz w:val="24"/>
          <w:szCs w:val="24"/>
        </w:rPr>
        <w:t>HUD-4123: Cost Summary (OMB no: 2501-0044) replaced HUD-53246</w:t>
      </w:r>
    </w:p>
    <w:p w:rsidR="00311682" w:rsidRPr="00B95846" w:rsidP="00311682" w14:paraId="6F5E06AA" w14:textId="77777777">
      <w:pPr>
        <w:pStyle w:val="ListParagraph"/>
        <w:keepLines/>
        <w:numPr>
          <w:ilvl w:val="0"/>
          <w:numId w:val="20"/>
        </w:numPr>
        <w:tabs>
          <w:tab w:val="left" w:pos="360"/>
        </w:tabs>
        <w:spacing w:after="80"/>
        <w:contextualSpacing w:val="0"/>
        <w:rPr>
          <w:sz w:val="24"/>
          <w:szCs w:val="24"/>
        </w:rPr>
      </w:pPr>
      <w:r w:rsidRPr="00B95846">
        <w:rPr>
          <w:sz w:val="24"/>
          <w:szCs w:val="24"/>
        </w:rPr>
        <w:t>HUD-4125: Implementation Schedule (OMB no: 2501-0044) replaced HUD-53247</w:t>
      </w:r>
    </w:p>
    <w:p w:rsidR="00311682" w:rsidRPr="00B95846" w:rsidP="00311682" w14:paraId="0532A3B1" w14:textId="77777777">
      <w:pPr>
        <w:pStyle w:val="ListParagraph"/>
        <w:keepLines/>
        <w:numPr>
          <w:ilvl w:val="0"/>
          <w:numId w:val="20"/>
        </w:numPr>
        <w:tabs>
          <w:tab w:val="left" w:pos="360"/>
        </w:tabs>
        <w:spacing w:after="80"/>
        <w:contextualSpacing w:val="0"/>
        <w:rPr>
          <w:sz w:val="24"/>
          <w:szCs w:val="24"/>
        </w:rPr>
      </w:pPr>
      <w:r w:rsidRPr="00B95846">
        <w:rPr>
          <w:sz w:val="24"/>
          <w:szCs w:val="24"/>
        </w:rPr>
        <w:t xml:space="preserve">Estimated hours per response for both respondents and reviewers were corrected; specifically for Formula forms HUD-4117 and 4119. While every grantee is provided with a HUD-4117, relatively few utilize it annually for requesting adjustments to formula data. Fewer utilize the HUD-4119 to challenge formula data. </w:t>
      </w:r>
    </w:p>
    <w:p w:rsidR="002D0FFF" w:rsidRPr="00B95846" w:rsidP="00311682" w14:paraId="7A856A96" w14:textId="01E6F2F8">
      <w:pPr>
        <w:pStyle w:val="ListParagraph"/>
        <w:keepLines/>
        <w:numPr>
          <w:ilvl w:val="0"/>
          <w:numId w:val="20"/>
        </w:numPr>
        <w:tabs>
          <w:tab w:val="left" w:pos="360"/>
        </w:tabs>
        <w:spacing w:after="80"/>
        <w:contextualSpacing w:val="0"/>
        <w:rPr>
          <w:sz w:val="24"/>
          <w:szCs w:val="24"/>
        </w:rPr>
      </w:pPr>
      <w:r w:rsidRPr="00B95846">
        <w:rPr>
          <w:sz w:val="24"/>
          <w:szCs w:val="24"/>
        </w:rPr>
        <w:t>Collection also makes clear the full burden associated with the grant life cycle.</w:t>
      </w:r>
    </w:p>
    <w:p w:rsidR="00311682" w:rsidRPr="00B95846" w:rsidP="00311682" w14:paraId="02BE8191" w14:textId="77777777">
      <w:pPr>
        <w:keepLines/>
        <w:tabs>
          <w:tab w:val="left" w:pos="360"/>
        </w:tabs>
        <w:spacing w:after="80"/>
        <w:ind w:left="360"/>
        <w:rPr>
          <w:sz w:val="24"/>
          <w:szCs w:val="24"/>
        </w:rPr>
      </w:pPr>
    </w:p>
    <w:p w:rsidR="00311682" w:rsidRPr="00B95846" w:rsidP="00311682" w14:paraId="617D36FE" w14:textId="77777777">
      <w:pPr>
        <w:keepLines/>
        <w:tabs>
          <w:tab w:val="left" w:pos="360"/>
        </w:tabs>
        <w:spacing w:after="80"/>
        <w:ind w:left="360" w:hanging="360"/>
        <w:rPr>
          <w:b/>
          <w:bCs/>
          <w:sz w:val="24"/>
          <w:szCs w:val="24"/>
        </w:rPr>
      </w:pPr>
      <w:r w:rsidRPr="00B95846">
        <w:rPr>
          <w:sz w:val="24"/>
          <w:szCs w:val="24"/>
        </w:rPr>
        <w:t>16.</w:t>
      </w:r>
      <w:r w:rsidRPr="00B95846">
        <w:rPr>
          <w:sz w:val="24"/>
          <w:szCs w:val="24"/>
        </w:rPr>
        <w:tab/>
      </w:r>
      <w:r w:rsidRPr="00B95846">
        <w:rPr>
          <w:b/>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11682" w:rsidRPr="00B95846" w:rsidP="00311682" w14:paraId="1BB3ABA2" w14:textId="77777777">
      <w:pPr>
        <w:tabs>
          <w:tab w:val="left" w:pos="360"/>
        </w:tabs>
        <w:ind w:left="360" w:hanging="360"/>
        <w:rPr>
          <w:sz w:val="24"/>
          <w:szCs w:val="24"/>
        </w:rPr>
      </w:pPr>
    </w:p>
    <w:p w:rsidR="00311682" w:rsidRPr="00B95846" w:rsidP="00311682" w14:paraId="56CC2BE9" w14:textId="3DB52F17">
      <w:pPr>
        <w:ind w:left="360"/>
        <w:rPr>
          <w:sz w:val="24"/>
          <w:szCs w:val="24"/>
        </w:rPr>
      </w:pPr>
      <w:r w:rsidRPr="00B95846">
        <w:rPr>
          <w:rFonts w:eastAsia="Calibri"/>
          <w:color w:val="000000"/>
          <w:sz w:val="24"/>
          <w:szCs w:val="24"/>
        </w:rPr>
        <w:t>Section 407 of NAHASDA requires HUD to prepare an annual report to Congress and the information gathered in this collection will be used to prepare that report. HUD is required to include a description of the progress made in accomplishing the objectives of the IHBG Formula and IHBG</w:t>
      </w:r>
      <w:r w:rsidRPr="00B95846" w:rsidR="00691701">
        <w:rPr>
          <w:rFonts w:eastAsia="Calibri"/>
          <w:color w:val="000000"/>
          <w:sz w:val="24"/>
          <w:szCs w:val="24"/>
        </w:rPr>
        <w:t>-COMP</w:t>
      </w:r>
      <w:r w:rsidRPr="00B95846">
        <w:rPr>
          <w:rFonts w:eastAsia="Calibri"/>
          <w:color w:val="000000"/>
          <w:sz w:val="24"/>
          <w:szCs w:val="24"/>
        </w:rPr>
        <w:t xml:space="preserve"> programs </w:t>
      </w:r>
      <w:r w:rsidRPr="00B95846" w:rsidR="002D0FFF">
        <w:rPr>
          <w:rFonts w:eastAsia="Calibri"/>
          <w:color w:val="000000"/>
          <w:sz w:val="24"/>
          <w:szCs w:val="24"/>
        </w:rPr>
        <w:t xml:space="preserve">grants </w:t>
      </w:r>
      <w:r w:rsidRPr="00B95846">
        <w:rPr>
          <w:rFonts w:eastAsia="Calibri"/>
          <w:color w:val="000000"/>
          <w:sz w:val="24"/>
          <w:szCs w:val="24"/>
        </w:rPr>
        <w:t xml:space="preserve">and to summarize the use of funds during the preceding 12-month period and at the end of the period of performance.  </w:t>
      </w:r>
    </w:p>
    <w:p w:rsidR="00311682" w:rsidRPr="00B95846" w:rsidP="00311682" w14:paraId="71BD5D1D" w14:textId="77777777">
      <w:pPr>
        <w:tabs>
          <w:tab w:val="left" w:pos="360"/>
        </w:tabs>
        <w:ind w:left="360" w:hanging="360"/>
        <w:rPr>
          <w:sz w:val="24"/>
          <w:szCs w:val="24"/>
        </w:rPr>
      </w:pPr>
    </w:p>
    <w:p w:rsidR="00311682" w:rsidRPr="00B95846" w:rsidP="00311682" w14:paraId="08AA08B7" w14:textId="77777777">
      <w:pPr>
        <w:keepLines/>
        <w:tabs>
          <w:tab w:val="left" w:pos="360"/>
        </w:tabs>
        <w:spacing w:after="80"/>
        <w:ind w:left="360" w:hanging="360"/>
        <w:rPr>
          <w:sz w:val="24"/>
          <w:szCs w:val="24"/>
        </w:rPr>
      </w:pPr>
      <w:r w:rsidRPr="00B95846">
        <w:rPr>
          <w:sz w:val="24"/>
          <w:szCs w:val="24"/>
        </w:rPr>
        <w:t>17.</w:t>
      </w:r>
      <w:r w:rsidRPr="00B95846">
        <w:rPr>
          <w:sz w:val="24"/>
          <w:szCs w:val="24"/>
        </w:rPr>
        <w:tab/>
      </w:r>
      <w:r w:rsidRPr="00B95846">
        <w:rPr>
          <w:b/>
          <w:bCs/>
          <w:sz w:val="24"/>
          <w:szCs w:val="24"/>
        </w:rPr>
        <w:t>If seeking approval to not display the expiration date for OMB approval of the information collection, explain the reasons that display would be inappropriate</w:t>
      </w:r>
      <w:r w:rsidRPr="00B95846">
        <w:rPr>
          <w:sz w:val="24"/>
          <w:szCs w:val="24"/>
        </w:rPr>
        <w:t>.</w:t>
      </w:r>
    </w:p>
    <w:p w:rsidR="00311682" w:rsidRPr="00B95846" w:rsidP="00311682" w14:paraId="7E1D0C99" w14:textId="77777777">
      <w:pPr>
        <w:tabs>
          <w:tab w:val="left" w:pos="360"/>
        </w:tabs>
        <w:ind w:left="360"/>
        <w:rPr>
          <w:color w:val="000000"/>
          <w:sz w:val="24"/>
          <w:szCs w:val="24"/>
        </w:rPr>
      </w:pPr>
      <w:r w:rsidRPr="00B95846">
        <w:rPr>
          <w:rFonts w:eastAsia="Calibri"/>
          <w:color w:val="000000"/>
          <w:sz w:val="24"/>
          <w:szCs w:val="24"/>
        </w:rPr>
        <w:t>The OMB control number and expiration date of the information collection will be displayed on the form.</w:t>
      </w:r>
    </w:p>
    <w:p w:rsidR="00311682" w:rsidRPr="00B95846" w:rsidP="00311682" w14:paraId="3B794BA8" w14:textId="77777777">
      <w:pPr>
        <w:keepLines/>
        <w:tabs>
          <w:tab w:val="left" w:pos="360"/>
          <w:tab w:val="left" w:pos="720"/>
        </w:tabs>
        <w:rPr>
          <w:sz w:val="24"/>
          <w:szCs w:val="24"/>
        </w:rPr>
      </w:pPr>
    </w:p>
    <w:p w:rsidR="00311682" w:rsidRPr="00B95846" w:rsidP="00311682" w14:paraId="37585276" w14:textId="77777777">
      <w:pPr>
        <w:keepLines/>
        <w:tabs>
          <w:tab w:val="left" w:pos="360"/>
        </w:tabs>
        <w:spacing w:after="80"/>
        <w:ind w:left="360" w:hanging="360"/>
        <w:rPr>
          <w:b/>
          <w:bCs/>
          <w:sz w:val="24"/>
          <w:szCs w:val="24"/>
        </w:rPr>
      </w:pPr>
      <w:r w:rsidRPr="00B95846">
        <w:rPr>
          <w:sz w:val="24"/>
          <w:szCs w:val="24"/>
        </w:rPr>
        <w:t>18.</w:t>
      </w:r>
      <w:r w:rsidRPr="00B95846">
        <w:rPr>
          <w:sz w:val="24"/>
          <w:szCs w:val="24"/>
        </w:rPr>
        <w:tab/>
      </w:r>
      <w:r w:rsidRPr="00B95846">
        <w:rPr>
          <w:b/>
          <w:bCs/>
          <w:sz w:val="24"/>
          <w:szCs w:val="24"/>
        </w:rPr>
        <w:t>Explain each exception to the certification statement identified in item 19.</w:t>
      </w:r>
    </w:p>
    <w:p w:rsidR="00E74D0B" w:rsidRPr="00B95846" w:rsidP="00B95846" w14:paraId="12B83135" w14:textId="16D149EA">
      <w:pPr>
        <w:keepLines/>
        <w:ind w:left="360"/>
        <w:rPr>
          <w:sz w:val="24"/>
          <w:szCs w:val="24"/>
        </w:rPr>
      </w:pPr>
      <w:r w:rsidRPr="00B95846">
        <w:rPr>
          <w:sz w:val="24"/>
          <w:szCs w:val="24"/>
        </w:rPr>
        <w:t>We are not requesting any exemptions to the provisions stated in 5 CFR 1320.9.</w:t>
      </w:r>
    </w:p>
    <w:sectPr w:rsidSect="00311682">
      <w:footerReference w:type="default" r:id="rId19"/>
      <w:pgSz w:w="12240" w:h="15840"/>
      <w:pgMar w:top="1440" w:right="1080" w:bottom="1440" w:left="1350" w:header="480" w:footer="480" w:gutter="0"/>
      <w:cols w:space="480" w:equalWidth="0">
        <w:col w:w="981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1880643"/>
      <w:docPartObj>
        <w:docPartGallery w:val="Page Numbers (Bottom of Page)"/>
        <w:docPartUnique/>
      </w:docPartObj>
    </w:sdtPr>
    <w:sdtEndPr>
      <w:rPr>
        <w:noProof/>
      </w:rPr>
    </w:sdtEndPr>
    <w:sdtContent>
      <w:p w:rsidR="00C62793" w14:paraId="406F68B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62793" w14:paraId="0D1250B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0E7A1A00"/>
    <w:multiLevelType w:val="singleLevel"/>
    <w:tmpl w:val="B26EA4E0"/>
    <w:lvl w:ilvl="0">
      <w:start w:val="0"/>
      <w:numFmt w:val="decimal"/>
      <w:lvlText w:val="*"/>
      <w:lvlJc w:val="left"/>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20FC1AEB"/>
    <w:multiLevelType w:val="hybridMultilevel"/>
    <w:tmpl w:val="D126350A"/>
    <w:lvl w:ilvl="0">
      <w:start w:val="1"/>
      <w:numFmt w:val="bullet"/>
      <w:lvlText w:val=""/>
      <w:lvlJc w:val="left"/>
      <w:pPr>
        <w:ind w:left="720" w:hanging="360"/>
      </w:pPr>
      <w:rPr>
        <w:rFonts w:ascii="Symbol" w:hAnsi="Symbol"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8F01CA"/>
    <w:multiLevelType w:val="hybridMultilevel"/>
    <w:tmpl w:val="C5E6C54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nsid w:val="231177A2"/>
    <w:multiLevelType w:val="hybridMultilevel"/>
    <w:tmpl w:val="C016B2C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261C3834"/>
    <w:multiLevelType w:val="hybridMultilevel"/>
    <w:tmpl w:val="B602F8B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296C5EDB"/>
    <w:multiLevelType w:val="hybridMultilevel"/>
    <w:tmpl w:val="CE785604"/>
    <w:lvl w:ilvl="0">
      <w:start w:val="0"/>
      <w:numFmt w:val="bullet"/>
      <w:lvlText w:val="•"/>
      <w:lvlJc w:val="left"/>
      <w:pPr>
        <w:ind w:left="900" w:hanging="360"/>
      </w:pPr>
      <w:rPr>
        <w:rFonts w:ascii="Times New Roman" w:eastAsia="Times New Roman" w:hAnsi="Times New Roman" w:cs="Times New Roman" w:hint="default"/>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35276599"/>
    <w:multiLevelType w:val="hybridMultilevel"/>
    <w:tmpl w:val="D89ED09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2">
    <w:nsid w:val="38270024"/>
    <w:multiLevelType w:val="hybridMultilevel"/>
    <w:tmpl w:val="435C789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3D1F0432"/>
    <w:multiLevelType w:val="hybridMultilevel"/>
    <w:tmpl w:val="27D686E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5">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6">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7">
    <w:nsid w:val="50703014"/>
    <w:multiLevelType w:val="hybridMultilevel"/>
    <w:tmpl w:val="346208E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8">
    <w:nsid w:val="51957DAB"/>
    <w:multiLevelType w:val="multilevel"/>
    <w:tmpl w:val="C9705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3"/>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63C16FF"/>
    <w:multiLevelType w:val="hybridMultilevel"/>
    <w:tmpl w:val="BE54323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1">
    <w:nsid w:val="5BD01367"/>
    <w:multiLevelType w:val="hybridMultilevel"/>
    <w:tmpl w:val="093C7F3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2">
    <w:nsid w:val="6596745B"/>
    <w:multiLevelType w:val="hybridMultilevel"/>
    <w:tmpl w:val="2B9A145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3">
    <w:nsid w:val="6B515D8F"/>
    <w:multiLevelType w:val="hybridMultilevel"/>
    <w:tmpl w:val="E8C0BF9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4">
    <w:nsid w:val="6D2D3140"/>
    <w:multiLevelType w:val="hybridMultilevel"/>
    <w:tmpl w:val="5B4C000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nsid w:val="6D58277A"/>
    <w:multiLevelType w:val="hybridMultilevel"/>
    <w:tmpl w:val="4912BC8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7">
    <w:nsid w:val="75B16B72"/>
    <w:multiLevelType w:val="hybridMultilevel"/>
    <w:tmpl w:val="785E330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9">
    <w:nsid w:val="79CF5500"/>
    <w:multiLevelType w:val="multilevel"/>
    <w:tmpl w:val="6C322848"/>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ind w:left="2340" w:hanging="360"/>
      </w:pPr>
      <w:rPr>
        <w:rFonts w:eastAsia="Times New Roman" w:asciiTheme="minorHAnsi" w:hAnsiTheme="minorHAnsi" w:cs="Times New Roman" w:hint="default"/>
        <w:b w:val="0"/>
        <w:bCs w:val="0"/>
        <w:i w:val="0"/>
        <w:iCs w:val="0"/>
        <w:w w:val="100"/>
        <w:sz w:val="24"/>
        <w:szCs w:val="24"/>
        <w:lang w:val="en-US" w:eastAsia="en-US" w:bidi="ar-S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894922379">
    <w:abstractNumId w:val="29"/>
  </w:num>
  <w:num w:numId="2" w16cid:durableId="54664181">
    <w:abstractNumId w:val="29"/>
  </w:num>
  <w:num w:numId="3" w16cid:durableId="960763722">
    <w:abstractNumId w:val="18"/>
  </w:num>
  <w:num w:numId="4" w16cid:durableId="743601999">
    <w:abstractNumId w:val="7"/>
  </w:num>
  <w:num w:numId="5" w16cid:durableId="1939675396">
    <w:abstractNumId w:val="2"/>
  </w:num>
  <w:num w:numId="6" w16cid:durableId="1587377701">
    <w:abstractNumId w:val="20"/>
  </w:num>
  <w:num w:numId="7" w16cid:durableId="887451858">
    <w:abstractNumId w:val="13"/>
  </w:num>
  <w:num w:numId="8" w16cid:durableId="1830825219">
    <w:abstractNumId w:val="15"/>
  </w:num>
  <w:num w:numId="9" w16cid:durableId="2036811765">
    <w:abstractNumId w:val="1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0" w16cid:durableId="1017346939">
    <w:abstractNumId w:val="4"/>
  </w:num>
  <w:num w:numId="11" w16cid:durableId="1708868018">
    <w:abstractNumId w:val="30"/>
  </w:num>
  <w:num w:numId="12" w16cid:durableId="36247648">
    <w:abstractNumId w:val="1"/>
  </w:num>
  <w:num w:numId="13" w16cid:durableId="1269002932">
    <w:abstractNumId w:val="28"/>
  </w:num>
  <w:num w:numId="14" w16cid:durableId="804929379">
    <w:abstractNumId w:val="26"/>
  </w:num>
  <w:num w:numId="15" w16cid:durableId="1778601022">
    <w:abstractNumId w:val="2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6" w16cid:durableId="962225968">
    <w:abstractNumId w:val="16"/>
  </w:num>
  <w:num w:numId="17"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8" w16cid:durableId="1403987033">
    <w:abstractNumId w:val="10"/>
  </w:num>
  <w:num w:numId="19" w16cid:durableId="400107146">
    <w:abstractNumId w:val="3"/>
  </w:num>
  <w:num w:numId="20" w16cid:durableId="482356187">
    <w:abstractNumId w:val="5"/>
  </w:num>
  <w:num w:numId="21" w16cid:durableId="1965189000">
    <w:abstractNumId w:val="6"/>
  </w:num>
  <w:num w:numId="22" w16cid:durableId="680622503">
    <w:abstractNumId w:val="22"/>
  </w:num>
  <w:num w:numId="23" w16cid:durableId="715352131">
    <w:abstractNumId w:val="8"/>
  </w:num>
  <w:num w:numId="24" w16cid:durableId="156650611">
    <w:abstractNumId w:val="23"/>
  </w:num>
  <w:num w:numId="25" w16cid:durableId="1498690824">
    <w:abstractNumId w:val="14"/>
  </w:num>
  <w:num w:numId="26" w16cid:durableId="1357269674">
    <w:abstractNumId w:val="21"/>
  </w:num>
  <w:num w:numId="27" w16cid:durableId="172258758">
    <w:abstractNumId w:val="25"/>
  </w:num>
  <w:num w:numId="28" w16cid:durableId="1965428065">
    <w:abstractNumId w:val="19"/>
  </w:num>
  <w:num w:numId="29" w16cid:durableId="782924818">
    <w:abstractNumId w:val="12"/>
  </w:num>
  <w:num w:numId="30" w16cid:durableId="86313045">
    <w:abstractNumId w:val="17"/>
  </w:num>
  <w:num w:numId="31" w16cid:durableId="713191810">
    <w:abstractNumId w:val="24"/>
  </w:num>
  <w:num w:numId="32" w16cid:durableId="489178775">
    <w:abstractNumId w:val="27"/>
  </w:num>
  <w:num w:numId="33" w16cid:durableId="248198302">
    <w:abstractNumId w:val="11"/>
  </w:num>
  <w:num w:numId="34" w16cid:durableId="10259828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82"/>
    <w:rsid w:val="00005878"/>
    <w:rsid w:val="00027829"/>
    <w:rsid w:val="00060706"/>
    <w:rsid w:val="00066D37"/>
    <w:rsid w:val="00074557"/>
    <w:rsid w:val="000E5CFA"/>
    <w:rsid w:val="000E76C1"/>
    <w:rsid w:val="000F1A0A"/>
    <w:rsid w:val="000F4920"/>
    <w:rsid w:val="000F5E4E"/>
    <w:rsid w:val="00112FB1"/>
    <w:rsid w:val="00123477"/>
    <w:rsid w:val="001267F0"/>
    <w:rsid w:val="00133E43"/>
    <w:rsid w:val="001563BE"/>
    <w:rsid w:val="0016755B"/>
    <w:rsid w:val="00173190"/>
    <w:rsid w:val="00176C6F"/>
    <w:rsid w:val="00195848"/>
    <w:rsid w:val="001A7E83"/>
    <w:rsid w:val="001C1CCD"/>
    <w:rsid w:val="001C62AF"/>
    <w:rsid w:val="001E5674"/>
    <w:rsid w:val="001E6115"/>
    <w:rsid w:val="002079B8"/>
    <w:rsid w:val="002277DE"/>
    <w:rsid w:val="00242813"/>
    <w:rsid w:val="00242AA6"/>
    <w:rsid w:val="00251530"/>
    <w:rsid w:val="002652CC"/>
    <w:rsid w:val="002A687B"/>
    <w:rsid w:val="002D0FFF"/>
    <w:rsid w:val="002F1C65"/>
    <w:rsid w:val="002F6D1E"/>
    <w:rsid w:val="00311682"/>
    <w:rsid w:val="00315372"/>
    <w:rsid w:val="003214A4"/>
    <w:rsid w:val="00324F47"/>
    <w:rsid w:val="0033255C"/>
    <w:rsid w:val="00337217"/>
    <w:rsid w:val="00342022"/>
    <w:rsid w:val="0034375C"/>
    <w:rsid w:val="00356A21"/>
    <w:rsid w:val="00362CE5"/>
    <w:rsid w:val="00376CCD"/>
    <w:rsid w:val="00394454"/>
    <w:rsid w:val="003B4289"/>
    <w:rsid w:val="003D443F"/>
    <w:rsid w:val="003F5B0C"/>
    <w:rsid w:val="003F5D2C"/>
    <w:rsid w:val="004118C3"/>
    <w:rsid w:val="00422B24"/>
    <w:rsid w:val="00427137"/>
    <w:rsid w:val="0042789A"/>
    <w:rsid w:val="0044497D"/>
    <w:rsid w:val="00447669"/>
    <w:rsid w:val="00447D86"/>
    <w:rsid w:val="00473A0B"/>
    <w:rsid w:val="00475601"/>
    <w:rsid w:val="00477319"/>
    <w:rsid w:val="004A678B"/>
    <w:rsid w:val="004B14A7"/>
    <w:rsid w:val="004D1C5E"/>
    <w:rsid w:val="004D5499"/>
    <w:rsid w:val="004F0882"/>
    <w:rsid w:val="004F4912"/>
    <w:rsid w:val="004F4D79"/>
    <w:rsid w:val="005027BB"/>
    <w:rsid w:val="00504F92"/>
    <w:rsid w:val="005065D1"/>
    <w:rsid w:val="00521C09"/>
    <w:rsid w:val="00522C17"/>
    <w:rsid w:val="0052556B"/>
    <w:rsid w:val="005376FB"/>
    <w:rsid w:val="00563AFD"/>
    <w:rsid w:val="00582350"/>
    <w:rsid w:val="005956BC"/>
    <w:rsid w:val="005A61FC"/>
    <w:rsid w:val="005B0721"/>
    <w:rsid w:val="005C3B31"/>
    <w:rsid w:val="005C7042"/>
    <w:rsid w:val="005D2FDF"/>
    <w:rsid w:val="005F72D9"/>
    <w:rsid w:val="006079E0"/>
    <w:rsid w:val="00617ADD"/>
    <w:rsid w:val="0062170D"/>
    <w:rsid w:val="0065584F"/>
    <w:rsid w:val="006618D1"/>
    <w:rsid w:val="00665745"/>
    <w:rsid w:val="0067298F"/>
    <w:rsid w:val="006909CA"/>
    <w:rsid w:val="00691701"/>
    <w:rsid w:val="00694E00"/>
    <w:rsid w:val="006B00CF"/>
    <w:rsid w:val="006B64F6"/>
    <w:rsid w:val="006C0E76"/>
    <w:rsid w:val="006C4A90"/>
    <w:rsid w:val="006E3EF5"/>
    <w:rsid w:val="006F2BFD"/>
    <w:rsid w:val="006F7295"/>
    <w:rsid w:val="00700991"/>
    <w:rsid w:val="007162C3"/>
    <w:rsid w:val="00730117"/>
    <w:rsid w:val="00741EF4"/>
    <w:rsid w:val="0074478A"/>
    <w:rsid w:val="0075093C"/>
    <w:rsid w:val="00750B03"/>
    <w:rsid w:val="007559F4"/>
    <w:rsid w:val="007634FE"/>
    <w:rsid w:val="007B6D56"/>
    <w:rsid w:val="007C3606"/>
    <w:rsid w:val="007C42BB"/>
    <w:rsid w:val="007C70AD"/>
    <w:rsid w:val="007E0434"/>
    <w:rsid w:val="007F27F0"/>
    <w:rsid w:val="007F79D3"/>
    <w:rsid w:val="008021A0"/>
    <w:rsid w:val="00834D4D"/>
    <w:rsid w:val="008357F8"/>
    <w:rsid w:val="00852C2D"/>
    <w:rsid w:val="008811CA"/>
    <w:rsid w:val="00883D47"/>
    <w:rsid w:val="008A58E1"/>
    <w:rsid w:val="008B0FDD"/>
    <w:rsid w:val="008B1C9C"/>
    <w:rsid w:val="00901A3A"/>
    <w:rsid w:val="009033FC"/>
    <w:rsid w:val="00920354"/>
    <w:rsid w:val="009206DE"/>
    <w:rsid w:val="00926B82"/>
    <w:rsid w:val="00950F47"/>
    <w:rsid w:val="009559E5"/>
    <w:rsid w:val="009608C8"/>
    <w:rsid w:val="009B1D0A"/>
    <w:rsid w:val="009C2753"/>
    <w:rsid w:val="009C3844"/>
    <w:rsid w:val="009D349E"/>
    <w:rsid w:val="009E59CD"/>
    <w:rsid w:val="009F6ABC"/>
    <w:rsid w:val="00A11CEA"/>
    <w:rsid w:val="00A16300"/>
    <w:rsid w:val="00A30CC7"/>
    <w:rsid w:val="00A36166"/>
    <w:rsid w:val="00A362ED"/>
    <w:rsid w:val="00A4376B"/>
    <w:rsid w:val="00A55D15"/>
    <w:rsid w:val="00A62089"/>
    <w:rsid w:val="00A65876"/>
    <w:rsid w:val="00A67005"/>
    <w:rsid w:val="00A76C2C"/>
    <w:rsid w:val="00A837D5"/>
    <w:rsid w:val="00AA2087"/>
    <w:rsid w:val="00AA4685"/>
    <w:rsid w:val="00AB683B"/>
    <w:rsid w:val="00AC7BCD"/>
    <w:rsid w:val="00AE1D9E"/>
    <w:rsid w:val="00AF214C"/>
    <w:rsid w:val="00B04D02"/>
    <w:rsid w:val="00B05DD3"/>
    <w:rsid w:val="00B223C5"/>
    <w:rsid w:val="00B267BE"/>
    <w:rsid w:val="00B267D9"/>
    <w:rsid w:val="00B368CB"/>
    <w:rsid w:val="00B619BA"/>
    <w:rsid w:val="00B76FC6"/>
    <w:rsid w:val="00B81B0D"/>
    <w:rsid w:val="00B95846"/>
    <w:rsid w:val="00BA36F0"/>
    <w:rsid w:val="00BB20F8"/>
    <w:rsid w:val="00BD6275"/>
    <w:rsid w:val="00BF455E"/>
    <w:rsid w:val="00C00EEA"/>
    <w:rsid w:val="00C25155"/>
    <w:rsid w:val="00C5666D"/>
    <w:rsid w:val="00C62793"/>
    <w:rsid w:val="00C91F86"/>
    <w:rsid w:val="00CA1ADE"/>
    <w:rsid w:val="00CD0529"/>
    <w:rsid w:val="00CD7693"/>
    <w:rsid w:val="00CD7EA6"/>
    <w:rsid w:val="00CE44B7"/>
    <w:rsid w:val="00D027D7"/>
    <w:rsid w:val="00D036D9"/>
    <w:rsid w:val="00D30FE9"/>
    <w:rsid w:val="00D56AF5"/>
    <w:rsid w:val="00D6068A"/>
    <w:rsid w:val="00D7335A"/>
    <w:rsid w:val="00D735B7"/>
    <w:rsid w:val="00D93EF7"/>
    <w:rsid w:val="00DA2F79"/>
    <w:rsid w:val="00DD3BE6"/>
    <w:rsid w:val="00DE6FEB"/>
    <w:rsid w:val="00DF1FEA"/>
    <w:rsid w:val="00E00666"/>
    <w:rsid w:val="00E05426"/>
    <w:rsid w:val="00E1617C"/>
    <w:rsid w:val="00E2372E"/>
    <w:rsid w:val="00E31BF7"/>
    <w:rsid w:val="00E347CC"/>
    <w:rsid w:val="00E53FA1"/>
    <w:rsid w:val="00E6373E"/>
    <w:rsid w:val="00E74D0B"/>
    <w:rsid w:val="00E75AD0"/>
    <w:rsid w:val="00E75F35"/>
    <w:rsid w:val="00E82EBF"/>
    <w:rsid w:val="00EA22AD"/>
    <w:rsid w:val="00EA6D97"/>
    <w:rsid w:val="00EB2B4D"/>
    <w:rsid w:val="00EB491E"/>
    <w:rsid w:val="00EC2B23"/>
    <w:rsid w:val="00ED3D49"/>
    <w:rsid w:val="00EE0CCB"/>
    <w:rsid w:val="00EE2FAA"/>
    <w:rsid w:val="00F04FA1"/>
    <w:rsid w:val="00F44759"/>
    <w:rsid w:val="00F83226"/>
    <w:rsid w:val="00F8659D"/>
    <w:rsid w:val="00F93049"/>
    <w:rsid w:val="00F93380"/>
    <w:rsid w:val="00FA1472"/>
    <w:rsid w:val="00FA4B25"/>
    <w:rsid w:val="00FD03A2"/>
    <w:rsid w:val="00FD1151"/>
    <w:rsid w:val="00FE77FB"/>
    <w:rsid w:val="00FF4C54"/>
    <w:rsid w:val="03F23CFF"/>
    <w:rsid w:val="0E65BB9F"/>
    <w:rsid w:val="234B5CFC"/>
    <w:rsid w:val="333CC801"/>
    <w:rsid w:val="479685A4"/>
    <w:rsid w:val="49300D51"/>
    <w:rsid w:val="4C4BE89E"/>
    <w:rsid w:val="4EA19451"/>
    <w:rsid w:val="58804092"/>
    <w:rsid w:val="5E7F3602"/>
    <w:rsid w:val="60673753"/>
    <w:rsid w:val="69B0F203"/>
    <w:rsid w:val="6D8AB5B1"/>
    <w:rsid w:val="6E5336A7"/>
    <w:rsid w:val="701159F7"/>
    <w:rsid w:val="7A9D7DB6"/>
    <w:rsid w:val="7AEBDA6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FA83590"/>
  <w15:chartTrackingRefBased/>
  <w15:docId w15:val="{20BFA2B1-BBD1-4C15-998B-25646FC4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68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11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4F4912"/>
    <w:pPr>
      <w:keepNext/>
      <w:keepLines/>
      <w:widowControl w:val="0"/>
      <w:numPr>
        <w:ilvl w:val="6"/>
        <w:numId w:val="3"/>
      </w:numPr>
      <w:tabs>
        <w:tab w:val="left" w:pos="0"/>
      </w:tabs>
      <w:spacing w:before="240" w:after="240"/>
      <w:ind w:left="360" w:hanging="360"/>
      <w:outlineLvl w:val="2"/>
    </w:pPr>
    <w:rPr>
      <w:rFonts w:ascii="Aptos" w:hAnsi="Aptos" w:eastAsiaTheme="majorEastAsia" w:cstheme="majorBidi"/>
      <w:b/>
      <w:sz w:val="26"/>
      <w:szCs w:val="24"/>
    </w:rPr>
  </w:style>
  <w:style w:type="paragraph" w:styleId="Heading4">
    <w:name w:val="heading 4"/>
    <w:basedOn w:val="Normal"/>
    <w:next w:val="Normal"/>
    <w:link w:val="Heading4Char"/>
    <w:uiPriority w:val="9"/>
    <w:semiHidden/>
    <w:unhideWhenUsed/>
    <w:qFormat/>
    <w:rsid w:val="00311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6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6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6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6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4912"/>
    <w:rPr>
      <w:rFonts w:ascii="Aptos" w:hAnsi="Aptos" w:eastAsiaTheme="majorEastAsia" w:cstheme="majorBidi"/>
      <w:b/>
      <w:sz w:val="26"/>
      <w:szCs w:val="24"/>
    </w:rPr>
  </w:style>
  <w:style w:type="character" w:customStyle="1" w:styleId="Heading1Char">
    <w:name w:val="Heading 1 Char"/>
    <w:basedOn w:val="DefaultParagraphFont"/>
    <w:link w:val="Heading1"/>
    <w:uiPriority w:val="9"/>
    <w:rsid w:val="00311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682"/>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311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682"/>
    <w:rPr>
      <w:rFonts w:eastAsiaTheme="majorEastAsia" w:cstheme="majorBidi"/>
      <w:color w:val="272727" w:themeColor="text1" w:themeTint="D8"/>
    </w:rPr>
  </w:style>
  <w:style w:type="paragraph" w:styleId="Title">
    <w:name w:val="Title"/>
    <w:basedOn w:val="Normal"/>
    <w:next w:val="Normal"/>
    <w:link w:val="TitleChar"/>
    <w:uiPriority w:val="10"/>
    <w:qFormat/>
    <w:rsid w:val="003116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682"/>
    <w:pPr>
      <w:spacing w:before="160"/>
      <w:jc w:val="center"/>
    </w:pPr>
    <w:rPr>
      <w:i/>
      <w:iCs/>
      <w:color w:val="404040" w:themeColor="text1" w:themeTint="BF"/>
    </w:rPr>
  </w:style>
  <w:style w:type="character" w:customStyle="1" w:styleId="QuoteChar">
    <w:name w:val="Quote Char"/>
    <w:basedOn w:val="DefaultParagraphFont"/>
    <w:link w:val="Quote"/>
    <w:uiPriority w:val="29"/>
    <w:rsid w:val="00311682"/>
    <w:rPr>
      <w:i/>
      <w:iCs/>
      <w:color w:val="404040" w:themeColor="text1" w:themeTint="BF"/>
    </w:rPr>
  </w:style>
  <w:style w:type="paragraph" w:styleId="ListParagraph">
    <w:name w:val="List Paragraph"/>
    <w:basedOn w:val="Normal"/>
    <w:uiPriority w:val="34"/>
    <w:qFormat/>
    <w:rsid w:val="00311682"/>
    <w:pPr>
      <w:ind w:left="720"/>
      <w:contextualSpacing/>
    </w:pPr>
  </w:style>
  <w:style w:type="character" w:styleId="IntenseEmphasis">
    <w:name w:val="Intense Emphasis"/>
    <w:basedOn w:val="DefaultParagraphFont"/>
    <w:uiPriority w:val="21"/>
    <w:qFormat/>
    <w:rsid w:val="00311682"/>
    <w:rPr>
      <w:i/>
      <w:iCs/>
      <w:color w:val="0F4761" w:themeColor="accent1" w:themeShade="BF"/>
    </w:rPr>
  </w:style>
  <w:style w:type="paragraph" w:styleId="IntenseQuote">
    <w:name w:val="Intense Quote"/>
    <w:basedOn w:val="Normal"/>
    <w:next w:val="Normal"/>
    <w:link w:val="IntenseQuoteChar"/>
    <w:uiPriority w:val="30"/>
    <w:qFormat/>
    <w:rsid w:val="00311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682"/>
    <w:rPr>
      <w:i/>
      <w:iCs/>
      <w:color w:val="0F4761" w:themeColor="accent1" w:themeShade="BF"/>
    </w:rPr>
  </w:style>
  <w:style w:type="character" w:styleId="IntenseReference">
    <w:name w:val="Intense Reference"/>
    <w:basedOn w:val="DefaultParagraphFont"/>
    <w:uiPriority w:val="32"/>
    <w:qFormat/>
    <w:rsid w:val="00311682"/>
    <w:rPr>
      <w:b/>
      <w:bCs/>
      <w:smallCaps/>
      <w:color w:val="0F4761" w:themeColor="accent1" w:themeShade="BF"/>
      <w:spacing w:val="5"/>
    </w:rPr>
  </w:style>
  <w:style w:type="paragraph" w:styleId="Header">
    <w:name w:val="header"/>
    <w:basedOn w:val="Normal"/>
    <w:link w:val="HeaderChar"/>
    <w:semiHidden/>
    <w:rsid w:val="00311682"/>
    <w:pPr>
      <w:tabs>
        <w:tab w:val="center" w:pos="4320"/>
        <w:tab w:val="right" w:pos="8640"/>
      </w:tabs>
    </w:pPr>
  </w:style>
  <w:style w:type="character" w:customStyle="1" w:styleId="HeaderChar">
    <w:name w:val="Header Char"/>
    <w:basedOn w:val="DefaultParagraphFont"/>
    <w:link w:val="Header"/>
    <w:semiHidden/>
    <w:rsid w:val="00311682"/>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311682"/>
    <w:pPr>
      <w:tabs>
        <w:tab w:val="center" w:pos="4320"/>
        <w:tab w:val="right" w:pos="8640"/>
      </w:tabs>
    </w:pPr>
  </w:style>
  <w:style w:type="character" w:customStyle="1" w:styleId="FooterChar">
    <w:name w:val="Footer Char"/>
    <w:basedOn w:val="DefaultParagraphFont"/>
    <w:link w:val="Footer"/>
    <w:uiPriority w:val="99"/>
    <w:rsid w:val="00311682"/>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3116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682"/>
    <w:rPr>
      <w:rFonts w:ascii="Segoe UI" w:eastAsia="Times New Roman" w:hAnsi="Segoe UI" w:cs="Segoe UI"/>
      <w:kern w:val="0"/>
      <w:sz w:val="18"/>
      <w:szCs w:val="18"/>
      <w14:ligatures w14:val="none"/>
    </w:rPr>
  </w:style>
  <w:style w:type="character" w:styleId="Hyperlink">
    <w:name w:val="Hyperlink"/>
    <w:rsid w:val="00311682"/>
    <w:rPr>
      <w:color w:val="0563C1"/>
      <w:u w:val="single"/>
    </w:rPr>
  </w:style>
  <w:style w:type="character" w:styleId="UnresolvedMention">
    <w:name w:val="Unresolved Mention"/>
    <w:basedOn w:val="DefaultParagraphFont"/>
    <w:uiPriority w:val="99"/>
    <w:semiHidden/>
    <w:unhideWhenUsed/>
    <w:rsid w:val="00311682"/>
    <w:rPr>
      <w:color w:val="605E5C"/>
      <w:shd w:val="clear" w:color="auto" w:fill="E1DFDD"/>
    </w:rPr>
  </w:style>
  <w:style w:type="character" w:styleId="FollowedHyperlink">
    <w:name w:val="FollowedHyperlink"/>
    <w:basedOn w:val="DefaultParagraphFont"/>
    <w:uiPriority w:val="99"/>
    <w:semiHidden/>
    <w:unhideWhenUsed/>
    <w:rsid w:val="00311682"/>
    <w:rPr>
      <w:color w:val="96607D" w:themeColor="followedHyperlink"/>
      <w:u w:val="single"/>
    </w:rPr>
  </w:style>
  <w:style w:type="paragraph" w:styleId="Revision">
    <w:name w:val="Revision"/>
    <w:hidden/>
    <w:uiPriority w:val="99"/>
    <w:semiHidden/>
    <w:rsid w:val="00311682"/>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6079E0"/>
    <w:rPr>
      <w:sz w:val="16"/>
      <w:szCs w:val="16"/>
    </w:rPr>
  </w:style>
  <w:style w:type="paragraph" w:styleId="CommentText">
    <w:name w:val="annotation text"/>
    <w:basedOn w:val="Normal"/>
    <w:link w:val="CommentTextChar"/>
    <w:uiPriority w:val="99"/>
    <w:unhideWhenUsed/>
    <w:rsid w:val="006079E0"/>
  </w:style>
  <w:style w:type="character" w:customStyle="1" w:styleId="CommentTextChar">
    <w:name w:val="Comment Text Char"/>
    <w:basedOn w:val="DefaultParagraphFont"/>
    <w:link w:val="CommentText"/>
    <w:uiPriority w:val="99"/>
    <w:rsid w:val="006079E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79E0"/>
    <w:rPr>
      <w:b/>
      <w:bCs/>
    </w:rPr>
  </w:style>
  <w:style w:type="character" w:customStyle="1" w:styleId="CommentSubjectChar">
    <w:name w:val="Comment Subject Char"/>
    <w:basedOn w:val="CommentTextChar"/>
    <w:link w:val="CommentSubject"/>
    <w:uiPriority w:val="99"/>
    <w:semiHidden/>
    <w:rsid w:val="006079E0"/>
    <w:rPr>
      <w:rFonts w:ascii="Times New Roman" w:eastAsia="Times New Roman" w:hAnsi="Times New Roman" w:cs="Times New Roman"/>
      <w:b/>
      <w:bCs/>
      <w:kern w:val="0"/>
      <w:sz w:val="20"/>
      <w:szCs w:val="20"/>
      <w14:ligatures w14:val="none"/>
    </w:rPr>
  </w:style>
  <w:style w:type="paragraph" w:styleId="BodyText">
    <w:name w:val="Body Text"/>
    <w:basedOn w:val="Normal"/>
    <w:link w:val="BodyTextChar"/>
    <w:uiPriority w:val="1"/>
    <w:qFormat/>
    <w:rsid w:val="008021A0"/>
    <w:pPr>
      <w:widowControl w:val="0"/>
      <w:overflowPunct/>
      <w:adjustRightInd/>
      <w:textAlignment w:val="auto"/>
    </w:pPr>
    <w:rPr>
      <w:sz w:val="24"/>
      <w:szCs w:val="24"/>
    </w:rPr>
  </w:style>
  <w:style w:type="character" w:customStyle="1" w:styleId="BodyTextChar">
    <w:name w:val="Body Text Char"/>
    <w:basedOn w:val="DefaultParagraphFont"/>
    <w:link w:val="BodyText"/>
    <w:uiPriority w:val="1"/>
    <w:rsid w:val="008021A0"/>
    <w:rPr>
      <w:rFonts w:ascii="Times New Roman" w:eastAsia="Times New Roman" w:hAnsi="Times New Roman" w:cs="Times New Roman"/>
      <w:kern w:val="0"/>
      <w:sz w:val="24"/>
      <w:szCs w:val="24"/>
      <w14:ligatures w14:val="none"/>
    </w:rPr>
  </w:style>
  <w:style w:type="paragraph" w:styleId="NoSpacing">
    <w:name w:val="No Spacing"/>
    <w:uiPriority w:val="1"/>
    <w:qFormat/>
    <w:rsid w:val="00B95846"/>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4/section-1000.212" TargetMode="External" /><Relationship Id="rId11" Type="http://schemas.openxmlformats.org/officeDocument/2006/relationships/hyperlink" Target="https://www.ecfr.gov/current/title-24/section-1000.230" TargetMode="External" /><Relationship Id="rId12" Type="http://schemas.openxmlformats.org/officeDocument/2006/relationships/hyperlink" Target="https://www.ecfr.gov/current/title-24/section-1000.512" TargetMode="External" /><Relationship Id="rId13" Type="http://schemas.openxmlformats.org/officeDocument/2006/relationships/hyperlink" Target="https://www.ecfr.gov/current/title-2/section-200.328" TargetMode="External" /><Relationship Id="rId14" Type="http://schemas.openxmlformats.org/officeDocument/2006/relationships/hyperlink" Target="https://www.ecfr.gov/current/title-24/section-1000.315" TargetMode="External" /><Relationship Id="rId15" Type="http://schemas.openxmlformats.org/officeDocument/2006/relationships/hyperlink" Target="https://www.ecfr.gov/current/title-24/section-1000.336" TargetMode="External" /><Relationship Id="rId16" Type="http://schemas.openxmlformats.org/officeDocument/2006/relationships/hyperlink" Target="https://ihbgformula.com/fy2026/" TargetMode="External" /><Relationship Id="rId17" Type="http://schemas.openxmlformats.org/officeDocument/2006/relationships/hyperlink" Target="https://hud.my.site.com/GEMS/s/login/SelfRegister?locale=us" TargetMode="External" /><Relationship Id="rId18" Type="http://schemas.openxmlformats.org/officeDocument/2006/relationships/hyperlink" Target="https://data.bls.gov/oesprofile/"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ud.gov/sites/documents/doc_8141.pdf" TargetMode="External" /><Relationship Id="rId8" Type="http://schemas.openxmlformats.org/officeDocument/2006/relationships/hyperlink" Target="https://www.ecfr.gov/current/title-2/part-25" TargetMode="External" /><Relationship Id="rId9" Type="http://schemas.openxmlformats.org/officeDocument/2006/relationships/hyperlink" Target="https://www.ecfr.gov/current/title-2/section-25.1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09f304-6f1f-4d7a-8331-1e22a435439e" xsi:nil="true"/>
    <lcf76f155ced4ddcb4097134ff3c332f xmlns="e4ee50c9-f3ca-453f-862c-5dbc7d238a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245E5E10E1944A9DEE88C3A7303333" ma:contentTypeVersion="15" ma:contentTypeDescription="Create a new document." ma:contentTypeScope="" ma:versionID="866ef4fce411c3fbe0deeffb85b547c9">
  <xsd:schema xmlns:xsd="http://www.w3.org/2001/XMLSchema" xmlns:xs="http://www.w3.org/2001/XMLSchema" xmlns:p="http://schemas.microsoft.com/office/2006/metadata/properties" xmlns:ns2="e4ee50c9-f3ca-453f-862c-5dbc7d238af9" xmlns:ns3="4009f304-6f1f-4d7a-8331-1e22a435439e" targetNamespace="http://schemas.microsoft.com/office/2006/metadata/properties" ma:root="true" ma:fieldsID="4addb7e813690b19307f5e202629c25a" ns2:_="" ns3:_="">
    <xsd:import namespace="e4ee50c9-f3ca-453f-862c-5dbc7d238af9"/>
    <xsd:import namespace="4009f304-6f1f-4d7a-8331-1e22a43543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e50c9-f3ca-453f-862c-5dbc7d238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09f304-6f1f-4d7a-8331-1e22a43543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3e83c4-464d-45be-b011-2393c205e2cc}" ma:internalName="TaxCatchAll" ma:showField="CatchAllData" ma:web="4009f304-6f1f-4d7a-8331-1e22a4354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D24A9-2CEF-4924-A7F0-FC2EB794A0CC}">
  <ds:schemaRefs>
    <ds:schemaRef ds:uri="http://schemas.microsoft.com/office/2006/metadata/properties"/>
    <ds:schemaRef ds:uri="http://schemas.microsoft.com/office/infopath/2007/PartnerControls"/>
    <ds:schemaRef ds:uri="4009f304-6f1f-4d7a-8331-1e22a435439e"/>
    <ds:schemaRef ds:uri="e4ee50c9-f3ca-453f-862c-5dbc7d238af9"/>
  </ds:schemaRefs>
</ds:datastoreItem>
</file>

<file path=customXml/itemProps2.xml><?xml version="1.0" encoding="utf-8"?>
<ds:datastoreItem xmlns:ds="http://schemas.openxmlformats.org/officeDocument/2006/customXml" ds:itemID="{01C5548C-ECB2-4755-878B-D0382C75B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e50c9-f3ca-453f-862c-5dbc7d238af9"/>
    <ds:schemaRef ds:uri="4009f304-6f1f-4d7a-8331-1e22a4354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98A9-214F-478D-AFF6-977446CAEC34}">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13</Pages>
  <Words>4277</Words>
  <Characters>24381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28601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Halloran, Rebecca L</dc:creator>
  <cp:lastModifiedBy>Guido, Anna P</cp:lastModifiedBy>
  <cp:revision>2</cp:revision>
  <cp:lastPrinted>2025-06-26T12:15:00Z</cp:lastPrinted>
  <dcterms:created xsi:type="dcterms:W3CDTF">2025-07-01T16:12:00Z</dcterms:created>
  <dcterms:modified xsi:type="dcterms:W3CDTF">2025-07-01T16:12:00Z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0x010100B3245E5E10E1944A9DEE88C3A7303333</vt:lpwstr>
  </property>
  <property fmtid="{D5CDD505-2E9C-101B-9397-08002B2CF9AE}" pid="3" name="MediaServiceImageTags">
    <vt:lpwstr/>
  </property>
  <property fmtid="{D5CDD505-2E9C-101B-9397-08002B2CF9AE}" pid="4" name="_dlc_DocIdItemGuid">
    <vt:lpwstr>22638776-be6d-4140-baf5-ed81644a4446</vt:lpwstr>
  </property>
</Properties>
</file>