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12EE942D" w:rsidP="0E043C27" w14:paraId="05C82715" w14:textId="09B4E663">
      <w:pPr>
        <w:pStyle w:val="longnote"/>
        <w:rPr>
          <w:rFonts w:ascii="Times New Roman" w:eastAsia="Times New Roman" w:hAnsi="Times New Roman" w:cs="Times New Roman"/>
          <w:sz w:val="18"/>
          <w:szCs w:val="18"/>
        </w:rPr>
      </w:pPr>
      <w:bookmarkStart w:id="0" w:name="startoffile"/>
      <w:bookmarkEnd w:id="0"/>
    </w:p>
    <w:p w:rsidR="704C2E82" w:rsidP="0E043C27" w14:paraId="2DE6F8A9" w14:textId="4DFF29E2">
      <w:pPr>
        <w:rPr>
          <w:rFonts w:eastAsia="Times New Roman"/>
          <w:i/>
          <w:iCs/>
          <w:color w:val="333333"/>
          <w:sz w:val="18"/>
          <w:szCs w:val="18"/>
        </w:rPr>
      </w:pPr>
      <w:r w:rsidRPr="0E043C27">
        <w:rPr>
          <w:rFonts w:eastAsia="Times New Roman"/>
          <w:b/>
          <w:bCs/>
          <w:i/>
          <w:iCs/>
          <w:color w:val="333333"/>
          <w:sz w:val="18"/>
          <w:szCs w:val="18"/>
        </w:rPr>
        <w:t xml:space="preserve">Public Reporting Burden Statement: </w:t>
      </w:r>
      <w:r w:rsidRPr="0E043C27">
        <w:rPr>
          <w:rFonts w:eastAsia="Times New Roman"/>
          <w:i/>
          <w:iCs/>
          <w:color w:val="333333"/>
          <w:sz w:val="18"/>
          <w:szCs w:val="18"/>
        </w:rPr>
        <w:t>This collection of information is estimated to average 2 hours per response, including the time for reviewing instructions, searching existing data sources, gathering, and maintaining the data needed, and completing and reviewing the collection of the requested information. Comments regarding the accuracy of this burden estimate and any suggestions for reducing this burden can be sent to: U.S. Department of Housing and Urban Development, Office of the Chief Data Officer, R, 451 7th St SW, Room 8210, Washington, DC 20410-5000. Do not send completed forms to this address. This agency may not conduct or sponsor, and a person is not required to respond to, a collection of information unless the collection displays a valid OMB control number. This agency is authorized to collect this information under Section 102 of the Department of Housing and Urban Development Reform Act of 1989. The information you provide will enable HUD to carry out its responsibilities under this Act and ensure greater accountability and integrity in the provision of certain types of assistance administered by HUD. This information is required to obtain the benefit sought in the grant program. Failure to provide any required information may delay the processing of your application and may result in sanctions and penalties including the administrative and civil money penalties specified under 24 CFR §4.38. This information will not be held confidential and may be made available to the public in accordance with the Freedom of Information Act (5 U.S.C. §552). The information contained on the form is not retrieved by a personal identifier, therefore it does not meet the threshold for a Privacy Act Statement.</w:t>
      </w:r>
    </w:p>
    <w:p w:rsidR="00BA16CB" w:rsidP="00BA16CB" w14:paraId="51DD62B0" w14:textId="77777777">
      <w:pPr>
        <w:pStyle w:val="longnote"/>
        <w:spacing w:before="0" w:beforeAutospacing="0" w:after="0" w:afterAutospacing="0"/>
      </w:pPr>
    </w:p>
    <w:p w:rsidR="00BA16CB" w:rsidP="00286542" w14:paraId="351FE769" w14:textId="24A41B31">
      <w:pPr>
        <w:pStyle w:val="Heading1"/>
        <w:spacing w:after="0"/>
        <w:rPr>
          <w:rFonts w:eastAsia="Times New Roman"/>
        </w:rPr>
      </w:pPr>
      <w:r w:rsidRPr="6BB1C61B">
        <w:rPr>
          <w:rFonts w:eastAsia="Times New Roman"/>
        </w:rPr>
        <w:t>Indian Housing Block Grant Formula Data</w:t>
      </w:r>
      <w:r>
        <w:br/>
      </w:r>
      <w:r w:rsidRPr="6BB1C61B">
        <w:rPr>
          <w:rFonts w:eastAsia="Times New Roman"/>
        </w:rPr>
        <w:t xml:space="preserve">for the </w:t>
      </w:r>
      <w:bookmarkStart w:id="1" w:name="tribename"/>
      <w:bookmarkEnd w:id="1"/>
    </w:p>
    <w:p w:rsidR="00367232" w:rsidP="00286542" w14:paraId="23FD6915" w14:textId="77777777">
      <w:pPr>
        <w:pStyle w:val="Heading1"/>
        <w:spacing w:after="0"/>
        <w:rPr>
          <w:rFonts w:eastAsia="Times New Roman"/>
        </w:rPr>
      </w:pPr>
    </w:p>
    <w:p w:rsidR="00A417DD" w:rsidP="6BB1C61B" w14:paraId="4BB51E79" w14:textId="77E1ECDB">
      <w:pPr>
        <w:pStyle w:val="NormalWeb"/>
        <w:spacing w:before="0" w:beforeAutospacing="0" w:after="0" w:afterAutospacing="0"/>
      </w:pPr>
      <w:r>
        <w:t xml:space="preserve">This document provides notice to the </w:t>
      </w:r>
      <w:r w:rsidR="39A6DEB9">
        <w:t>Tribe</w:t>
      </w:r>
      <w:r>
        <w:t xml:space="preserve"> and/or </w:t>
      </w:r>
      <w:r w:rsidR="7A7BB5CB">
        <w:t>T</w:t>
      </w:r>
      <w:r>
        <w:t xml:space="preserve">ribally </w:t>
      </w:r>
      <w:r w:rsidR="0097633A">
        <w:t>D</w:t>
      </w:r>
      <w:r>
        <w:t xml:space="preserve">esignated </w:t>
      </w:r>
      <w:r w:rsidR="0097633A">
        <w:t>H</w:t>
      </w:r>
      <w:r>
        <w:t xml:space="preserve">ousing </w:t>
      </w:r>
      <w:r w:rsidR="0097633A">
        <w:t>E</w:t>
      </w:r>
      <w:r>
        <w:t xml:space="preserve">ntity (TDHE) of the data to be used in calculating its Indian Housing Block Grant (IHBG) program allocation for Fiscal Year (FY) </w:t>
      </w:r>
      <w:r w:rsidR="25CE6B49">
        <w:t>20</w:t>
      </w:r>
      <w:r w:rsidR="7E8034EB">
        <w:t>XX</w:t>
      </w:r>
      <w:r>
        <w:t xml:space="preserve">.  It also provides an estimate of the </w:t>
      </w:r>
      <w:r w:rsidR="39A6DEB9">
        <w:t>Tribe</w:t>
      </w:r>
      <w:r>
        <w:t xml:space="preserve">'s FY </w:t>
      </w:r>
      <w:r w:rsidR="25CE6B49">
        <w:t>20</w:t>
      </w:r>
      <w:r w:rsidR="606463CB">
        <w:t>XX</w:t>
      </w:r>
      <w:r>
        <w:t xml:space="preserve"> allocation.</w:t>
      </w:r>
    </w:p>
    <w:p w:rsidR="00BA16CB" w:rsidP="00BA16CB" w14:paraId="7E5EEB9C" w14:textId="77777777">
      <w:pPr>
        <w:pStyle w:val="NormalWeb"/>
        <w:spacing w:before="0" w:beforeAutospacing="0" w:after="0" w:afterAutospacing="0"/>
        <w:ind w:firstLine="0"/>
      </w:pPr>
    </w:p>
    <w:p w:rsidR="00A417DD" w:rsidP="00BA16CB" w14:paraId="1A81AFD8" w14:textId="765296A4">
      <w:pPr>
        <w:pStyle w:val="NormalWeb"/>
        <w:spacing w:before="0" w:beforeAutospacing="0" w:after="0" w:afterAutospacing="0"/>
      </w:pPr>
      <w:r>
        <w:t xml:space="preserve">Please carefully review your Tribe's data and report any changes and corrections to the IHBG Formula Customer Service Center as described below.  All </w:t>
      </w:r>
      <w:r w:rsidR="00C2403A">
        <w:t>Tribe</w:t>
      </w:r>
      <w:r>
        <w:t>s/TDHEs are responsible for reporting data changes and corrections.  According to 24 CFR</w:t>
      </w:r>
      <w:r w:rsidR="000857B7">
        <w:t xml:space="preserve"> </w:t>
      </w:r>
      <w:r w:rsidRPr="000857B7" w:rsidR="000857B7">
        <w:t>§</w:t>
      </w:r>
      <w:r>
        <w:t xml:space="preserve"> 1000.315(b), the Formula Response Form (FRF) is the only mechanism that a recipient shall use to report changes to the number of </w:t>
      </w:r>
      <w:r w:rsidR="00E21BA0">
        <w:t>Formula Current Assisted Stock (</w:t>
      </w:r>
      <w:r>
        <w:t>FCAS</w:t>
      </w:r>
      <w:r w:rsidR="00E21BA0">
        <w:t>)</w:t>
      </w:r>
      <w:r>
        <w:t xml:space="preserve">.  In addition, </w:t>
      </w:r>
      <w:r w:rsidR="00C2403A">
        <w:t>Tribe</w:t>
      </w:r>
      <w:r>
        <w:t>s/TDHEs should use the FRF to report changes and corrections to the following:</w:t>
      </w:r>
    </w:p>
    <w:p w:rsidR="00BA16CB" w:rsidP="00BA16CB" w14:paraId="7C43A1CB" w14:textId="77777777">
      <w:pPr>
        <w:pStyle w:val="NormalWeb"/>
        <w:spacing w:before="0" w:beforeAutospacing="0" w:after="0" w:afterAutospacing="0"/>
        <w:ind w:firstLine="0"/>
      </w:pPr>
    </w:p>
    <w:p w:rsidR="00A417DD" w:rsidP="00BA16CB" w14:paraId="49A2EF04" w14:textId="77777777">
      <w:pPr>
        <w:numPr>
          <w:ilvl w:val="0"/>
          <w:numId w:val="1"/>
        </w:numPr>
        <w:rPr>
          <w:rFonts w:eastAsia="Times New Roman"/>
        </w:rPr>
      </w:pPr>
      <w:r>
        <w:rPr>
          <w:rFonts w:eastAsia="Times New Roman"/>
        </w:rPr>
        <w:t>Formula Area.</w:t>
      </w:r>
    </w:p>
    <w:p w:rsidR="00A417DD" w:rsidP="00BA16CB" w14:paraId="0AB8597A" w14:textId="77777777">
      <w:pPr>
        <w:numPr>
          <w:ilvl w:val="0"/>
          <w:numId w:val="1"/>
        </w:numPr>
        <w:rPr>
          <w:rFonts w:eastAsia="Times New Roman"/>
        </w:rPr>
      </w:pPr>
      <w:r>
        <w:rPr>
          <w:rFonts w:eastAsia="Times New Roman"/>
        </w:rPr>
        <w:t>Overlapping Formula Areas.</w:t>
      </w:r>
    </w:p>
    <w:p w:rsidR="00A417DD" w:rsidP="00BA16CB" w14:paraId="5D4D5BCF" w14:textId="77777777">
      <w:pPr>
        <w:numPr>
          <w:ilvl w:val="0"/>
          <w:numId w:val="1"/>
        </w:numPr>
        <w:rPr>
          <w:rFonts w:eastAsia="Times New Roman"/>
        </w:rPr>
      </w:pPr>
      <w:r>
        <w:rPr>
          <w:rFonts w:eastAsia="Times New Roman"/>
        </w:rPr>
        <w:t>Tribal Enrollment and Formula Area Population Cap.</w:t>
      </w:r>
    </w:p>
    <w:p w:rsidR="00BA16CB" w:rsidP="00BA16CB" w14:paraId="7BC800C4" w14:textId="77777777">
      <w:pPr>
        <w:pStyle w:val="Heading5"/>
        <w:spacing w:before="0"/>
        <w:rPr>
          <w:rFonts w:eastAsia="Times New Roman"/>
        </w:rPr>
      </w:pPr>
    </w:p>
    <w:p w:rsidR="00A417DD" w:rsidP="00BA16CB" w14:paraId="42D266F9" w14:textId="77777777">
      <w:pPr>
        <w:pStyle w:val="Heading5"/>
        <w:spacing w:before="0"/>
        <w:rPr>
          <w:rFonts w:eastAsia="Times New Roman"/>
        </w:rPr>
      </w:pPr>
      <w:r>
        <w:rPr>
          <w:rFonts w:eastAsia="Times New Roman"/>
        </w:rPr>
        <w:t>Submission Deadlines</w:t>
      </w:r>
    </w:p>
    <w:p w:rsidR="00BA16CB" w:rsidP="00BA16CB" w14:paraId="1CC53D65" w14:textId="77777777">
      <w:pPr>
        <w:pStyle w:val="NormalWeb"/>
        <w:spacing w:before="0" w:beforeAutospacing="0" w:after="0" w:afterAutospacing="0"/>
        <w:ind w:firstLine="0"/>
      </w:pPr>
    </w:p>
    <w:p w:rsidR="00A417DD" w:rsidRPr="00724302" w:rsidP="6BB1C61B" w14:paraId="55D1047C" w14:textId="11191FFB">
      <w:pPr>
        <w:pStyle w:val="NormalWeb"/>
        <w:spacing w:before="0" w:beforeAutospacing="0" w:after="0" w:afterAutospacing="0"/>
      </w:pPr>
      <w:r>
        <w:t xml:space="preserve">The submission must be postmarked or faxed by </w:t>
      </w:r>
      <w:r w:rsidRPr="39A9E8EC" w:rsidR="10A48BBA">
        <w:rPr>
          <w:b/>
          <w:bCs/>
        </w:rPr>
        <w:t xml:space="preserve">August </w:t>
      </w:r>
      <w:r w:rsidRPr="39A9E8EC" w:rsidR="1862A060">
        <w:rPr>
          <w:b/>
          <w:bCs/>
        </w:rPr>
        <w:t>XX</w:t>
      </w:r>
      <w:r w:rsidRPr="39A9E8EC" w:rsidR="10A48BBA">
        <w:rPr>
          <w:b/>
          <w:bCs/>
        </w:rPr>
        <w:t xml:space="preserve">, </w:t>
      </w:r>
      <w:r w:rsidRPr="39A9E8EC" w:rsidR="457947B3">
        <w:rPr>
          <w:b/>
          <w:bCs/>
        </w:rPr>
        <w:t>20</w:t>
      </w:r>
      <w:r w:rsidRPr="39A9E8EC" w:rsidR="295C1F4A">
        <w:rPr>
          <w:b/>
          <w:bCs/>
        </w:rPr>
        <w:t>XX</w:t>
      </w:r>
      <w:r>
        <w:t xml:space="preserve">, for consideration in the FY </w:t>
      </w:r>
      <w:r w:rsidR="2EC30BB2">
        <w:t>20</w:t>
      </w:r>
      <w:r w:rsidR="7BD436E9">
        <w:t>XX</w:t>
      </w:r>
      <w:r w:rsidR="2EC30BB2">
        <w:t xml:space="preserve"> </w:t>
      </w:r>
      <w:r w:rsidR="37873D33">
        <w:t xml:space="preserve">allocation.   Please postmark or fax changes and corrections with appropriate supporting documentation to the IHBG Formula Customer Service Center by </w:t>
      </w:r>
      <w:r w:rsidRPr="39A9E8EC" w:rsidR="10A48BBA">
        <w:rPr>
          <w:b/>
          <w:bCs/>
        </w:rPr>
        <w:t xml:space="preserve">August </w:t>
      </w:r>
      <w:r w:rsidRPr="39A9E8EC" w:rsidR="716E687E">
        <w:rPr>
          <w:b/>
          <w:bCs/>
        </w:rPr>
        <w:t>XX</w:t>
      </w:r>
      <w:r w:rsidRPr="39A9E8EC" w:rsidR="10A48BBA">
        <w:rPr>
          <w:b/>
          <w:bCs/>
        </w:rPr>
        <w:t xml:space="preserve">, </w:t>
      </w:r>
      <w:r w:rsidRPr="39A9E8EC" w:rsidR="457947B3">
        <w:rPr>
          <w:b/>
          <w:bCs/>
        </w:rPr>
        <w:t>20</w:t>
      </w:r>
      <w:r w:rsidRPr="39A9E8EC" w:rsidR="251C9C38">
        <w:rPr>
          <w:b/>
          <w:bCs/>
        </w:rPr>
        <w:t>XX</w:t>
      </w:r>
      <w:r>
        <w:t xml:space="preserve">, for inclusion in the FY </w:t>
      </w:r>
      <w:r w:rsidR="25CE6B49">
        <w:t>20</w:t>
      </w:r>
      <w:r w:rsidR="5CF018E2">
        <w:t>XX</w:t>
      </w:r>
      <w:r w:rsidR="5E6C2F44">
        <w:t xml:space="preserve"> </w:t>
      </w:r>
      <w:r>
        <w:t xml:space="preserve">allocation.  Please note that while </w:t>
      </w:r>
      <w:r w:rsidR="37873D33">
        <w:t xml:space="preserve">HUD requires requests for formula changes to be submitted by </w:t>
      </w:r>
      <w:r w:rsidR="10A48BBA">
        <w:t xml:space="preserve">August </w:t>
      </w:r>
      <w:r w:rsidR="2288A41B">
        <w:t>XX</w:t>
      </w:r>
      <w:r>
        <w:t xml:space="preserve">, HUD may consider subsequent requests from </w:t>
      </w:r>
      <w:r w:rsidR="39A6DEB9">
        <w:t>Tribe</w:t>
      </w:r>
      <w:r>
        <w:t xml:space="preserve">s that have been directly affected by changes resulting from other </w:t>
      </w:r>
      <w:r w:rsidR="39A6DEB9">
        <w:t>Tribe</w:t>
      </w:r>
      <w:r>
        <w:t xml:space="preserve">s' requests submitted prior to the </w:t>
      </w:r>
      <w:r w:rsidR="10A48BBA">
        <w:t xml:space="preserve">August </w:t>
      </w:r>
      <w:r w:rsidR="4904F873">
        <w:t xml:space="preserve">XX </w:t>
      </w:r>
      <w:r>
        <w:t>deadline.  Subsequent requests received in prior FYs may be carried into future FYs if processing of such requests is not finalized in the current FY.  For questions regarding appropriate documentation, please contact the IHBG Formula Customer Service Center at the address listed below.</w:t>
      </w:r>
    </w:p>
    <w:p w:rsidR="00BA16CB" w:rsidRPr="00724302" w:rsidP="00BA16CB" w14:paraId="4EA5FD1C" w14:textId="77777777">
      <w:pPr>
        <w:pStyle w:val="NormalWeb"/>
        <w:spacing w:before="0" w:beforeAutospacing="0" w:after="0" w:afterAutospacing="0"/>
        <w:ind w:firstLine="0"/>
      </w:pPr>
    </w:p>
    <w:p w:rsidR="00A417DD" w:rsidRPr="00822E9A" w:rsidP="6BB1C61B" w14:paraId="50EC02DF" w14:textId="79015E82">
      <w:pPr>
        <w:pStyle w:val="NormalWeb"/>
        <w:spacing w:before="0" w:beforeAutospacing="0" w:after="0" w:afterAutospacing="0"/>
      </w:pPr>
      <w:r>
        <w:t xml:space="preserve">The results of any successful changes to Fair Market Rent (FMR), Total Development Cost (TDC), and the U.S. Census Bureau Population Estimates data should also be submitted by </w:t>
      </w:r>
      <w:r w:rsidR="10A48BBA">
        <w:t xml:space="preserve">August </w:t>
      </w:r>
      <w:r w:rsidR="699967B9">
        <w:t>XX</w:t>
      </w:r>
      <w:r w:rsidR="10A48BBA">
        <w:t xml:space="preserve">, </w:t>
      </w:r>
      <w:r w:rsidR="457947B3">
        <w:t>20</w:t>
      </w:r>
      <w:r w:rsidR="7DE563EF">
        <w:t>XX</w:t>
      </w:r>
      <w:r w:rsidRPr="00724302" w:rsidR="12EE942D">
        <w:t>.  Details on the pro</w:t>
      </w:r>
      <w:r>
        <w:t>cedures to be followed if you wish to chal</w:t>
      </w:r>
      <w:r w:rsidR="12EE942D">
        <w:t xml:space="preserve">lenge these data elements are contained in the Appendices to the </w:t>
      </w:r>
      <w:r w:rsidR="0451F70E">
        <w:t>most recent</w:t>
      </w:r>
      <w:r w:rsidR="115137EE">
        <w:t xml:space="preserve"> published </w:t>
      </w:r>
      <w:r w:rsidR="12EE942D">
        <w:t>document "</w:t>
      </w:r>
      <w:r w:rsidRPr="39A9E8EC" w:rsidR="12EE942D">
        <w:rPr>
          <w:i/>
          <w:iCs/>
        </w:rPr>
        <w:t>Challenging U.S. Decennial Census Data: Guidelines for the Indian Housing Block Grant Formula.</w:t>
      </w:r>
      <w:r w:rsidR="12EE942D">
        <w:t xml:space="preserve">"  This document can be obtained from the IHBG Formula Customer Service </w:t>
      </w:r>
      <w:r w:rsidR="12EE942D">
        <w:t xml:space="preserve">Center </w:t>
      </w:r>
      <w:r w:rsidR="115137EE">
        <w:t>or at</w:t>
      </w:r>
      <w:r w:rsidR="4BC5BC18">
        <w:t>:</w:t>
      </w:r>
      <w:r w:rsidR="115137EE">
        <w:t xml:space="preserve"> </w:t>
      </w:r>
      <w:hyperlink r:id="rId11" w:tgtFrame="_blank" w:history="1">
        <w:r w:rsidRPr="00151F28" w:rsidR="38730707">
          <w:rPr>
            <w:rStyle w:val="Hyperlink"/>
            <w:color w:val="1155CC"/>
            <w:shd w:val="clear" w:color="auto" w:fill="FFFFFF"/>
          </w:rPr>
          <w:t>https://portal.hud.gov/hudportal/HUD?src=/</w:t>
        </w:r>
        <w:r w:rsidR="1C023DDE">
          <w:rPr>
            <w:rStyle w:val="Hyperlink"/>
            <w:color w:val="1155CC"/>
            <w:shd w:val="clear" w:color="auto" w:fill="FFFFFF"/>
          </w:rPr>
          <w:t xml:space="preserve"> </w:t>
        </w:r>
        <w:r w:rsidRPr="00151F28" w:rsidR="38730707">
          <w:rPr>
            <w:rStyle w:val="Hyperlink"/>
            <w:color w:val="1155CC"/>
            <w:shd w:val="clear" w:color="auto" w:fill="FFFFFF"/>
          </w:rPr>
          <w:t>program_offices/public_indian_housing/ih/codetalk/onap/ihbgformula</w:t>
        </w:r>
      </w:hyperlink>
      <w:r w:rsidRPr="00822E9A" w:rsidR="12EE942D">
        <w:t>.</w:t>
      </w:r>
    </w:p>
    <w:p w:rsidR="00BA16CB" w:rsidP="00BA16CB" w14:paraId="09370DD7" w14:textId="77777777">
      <w:pPr>
        <w:pStyle w:val="NormalWeb"/>
        <w:spacing w:before="0" w:beforeAutospacing="0" w:after="0" w:afterAutospacing="0"/>
        <w:ind w:firstLine="0"/>
      </w:pPr>
    </w:p>
    <w:p w:rsidR="00A417DD" w:rsidP="6BB1C61B" w14:paraId="201AA901" w14:textId="73E3B845">
      <w:pPr>
        <w:pStyle w:val="NormalWeb"/>
        <w:spacing w:before="0" w:beforeAutospacing="0" w:after="0" w:afterAutospacing="0"/>
      </w:pPr>
      <w:r>
        <w:t xml:space="preserve">The FRF also includes other data elements used to calculate the Needs component of the Formula.  Tribes/TDHEs wishing to challenge these data elements should review the </w:t>
      </w:r>
      <w:r w:rsidRPr="6BB1C61B">
        <w:rPr>
          <w:b/>
          <w:bCs/>
        </w:rPr>
        <w:t>Needs section</w:t>
      </w:r>
      <w:r>
        <w:t xml:space="preserve"> of this form.   Each year, </w:t>
      </w:r>
      <w:r w:rsidR="39A6DEB9">
        <w:t>Tribe</w:t>
      </w:r>
      <w:r>
        <w:t xml:space="preserve">s/TDHEs are reminded that March 30 is the deadline for the next FY's Census challenge.  The Needs data in this document </w:t>
      </w:r>
      <w:r w:rsidR="6EC0F264">
        <w:t>will</w:t>
      </w:r>
      <w:r>
        <w:t xml:space="preserve"> include </w:t>
      </w:r>
      <w:r w:rsidR="6EC0F264">
        <w:t>previously approved</w:t>
      </w:r>
      <w:r>
        <w:t xml:space="preserve"> Census </w:t>
      </w:r>
      <w:r w:rsidR="411E330D">
        <w:t>c</w:t>
      </w:r>
      <w:r>
        <w:t>hallenges</w:t>
      </w:r>
      <w:r w:rsidR="6EC0F264">
        <w:t>, if still eligible for use</w:t>
      </w:r>
      <w:r w:rsidR="767D923E">
        <w:t xml:space="preserve"> </w:t>
      </w:r>
      <w:r w:rsidR="6EC0F264">
        <w:t>in the FY</w:t>
      </w:r>
      <w:r w:rsidR="767D923E">
        <w:t xml:space="preserve"> </w:t>
      </w:r>
      <w:r w:rsidR="25CE6B49">
        <w:t>20</w:t>
      </w:r>
      <w:r w:rsidR="7D0C10A6">
        <w:t>XX</w:t>
      </w:r>
      <w:r w:rsidR="6EC0F264">
        <w:t xml:space="preserve"> allocation, as well as available Census data</w:t>
      </w:r>
      <w:r>
        <w:t>.  </w:t>
      </w:r>
      <w:r w:rsidR="0F84D640">
        <w:t>If applicable, check</w:t>
      </w:r>
      <w:r>
        <w:t xml:space="preserve"> the Needs section </w:t>
      </w:r>
      <w:r w:rsidR="0F84D640">
        <w:t>to</w:t>
      </w:r>
      <w:r>
        <w:t xml:space="preserve"> verify that successful challenges have been incorporated.  </w:t>
      </w:r>
      <w:r w:rsidR="3F8A68B8">
        <w:t>Needs data for FY 202</w:t>
      </w:r>
      <w:r w:rsidR="7A7BB5CB">
        <w:t>4</w:t>
      </w:r>
      <w:r w:rsidR="3F8A68B8">
        <w:t xml:space="preserve"> is included in Attachment A of this form. </w:t>
      </w:r>
      <w:r>
        <w:t xml:space="preserve">Should you wish to initiate a challenge to your Needs data for FY </w:t>
      </w:r>
      <w:r w:rsidR="457947B3">
        <w:t>202</w:t>
      </w:r>
      <w:r w:rsidR="7A7BB5CB">
        <w:t>4</w:t>
      </w:r>
      <w:r>
        <w:t>, please consult</w:t>
      </w:r>
      <w:r w:rsidR="7D009749">
        <w:t xml:space="preserve"> </w:t>
      </w:r>
      <w:r w:rsidR="7AD10D1C">
        <w:t>the guide</w:t>
      </w:r>
      <w:r>
        <w:t>, "</w:t>
      </w:r>
      <w:r w:rsidRPr="6BB1C61B">
        <w:rPr>
          <w:i/>
          <w:iCs/>
        </w:rPr>
        <w:t>Challenging U.S. Decennial Census Data: Guidelines for the Indian Housing Block Grant Formula.</w:t>
      </w:r>
      <w:r>
        <w:t>"  The guide outlines procedures for conducting a Census challenge.</w:t>
      </w:r>
    </w:p>
    <w:p w:rsidR="00BA16CB" w:rsidP="00BA16CB" w14:paraId="2CAC567A" w14:textId="77777777">
      <w:pPr>
        <w:pStyle w:val="Heading5"/>
        <w:spacing w:before="0"/>
        <w:rPr>
          <w:rFonts w:eastAsia="Times New Roman"/>
        </w:rPr>
      </w:pPr>
    </w:p>
    <w:p w:rsidR="00A417DD" w:rsidP="00BA16CB" w14:paraId="6A7E421C" w14:textId="77777777">
      <w:pPr>
        <w:pStyle w:val="Heading5"/>
        <w:spacing w:before="0"/>
        <w:rPr>
          <w:rFonts w:eastAsia="Times New Roman"/>
        </w:rPr>
      </w:pPr>
      <w:r>
        <w:rPr>
          <w:rFonts w:eastAsia="Times New Roman"/>
        </w:rPr>
        <w:t>Failure to Report</w:t>
      </w:r>
    </w:p>
    <w:p w:rsidR="00BA16CB" w:rsidP="00BA16CB" w14:paraId="08BB2A6E" w14:textId="77777777">
      <w:pPr>
        <w:pStyle w:val="NormalWeb"/>
        <w:spacing w:before="0" w:beforeAutospacing="0" w:after="0" w:afterAutospacing="0"/>
        <w:ind w:firstLine="0"/>
      </w:pPr>
    </w:p>
    <w:p w:rsidR="00A417DD" w:rsidP="00BA16CB" w14:paraId="0F5773EA" w14:textId="12430C56">
      <w:pPr>
        <w:pStyle w:val="NormalWeb"/>
        <w:spacing w:before="0" w:beforeAutospacing="0" w:after="0" w:afterAutospacing="0"/>
      </w:pPr>
      <w:r>
        <w:t xml:space="preserve">Please note that pursuant to </w:t>
      </w:r>
      <w:r w:rsidR="00625A9F">
        <w:t xml:space="preserve">24 CFR </w:t>
      </w:r>
      <w:r>
        <w:t>§1000.315 and</w:t>
      </w:r>
      <w:r w:rsidR="00625A9F">
        <w:t xml:space="preserve"> 24 CFR</w:t>
      </w:r>
      <w:r>
        <w:t xml:space="preserve"> §1000.319, recipients are responsible for verifying and reporting changes to their FCAS on the FRF to ensure that data used for the IHBG Formula are accurate.  Reporting shall be completed in accordance with requirements in subpart D and the FRF.  If a recipient receives an overpayment of funds because it failed to report such changes on the FRF in a timely manner, the recipient shall be required to repay the funds within five fiscal years.  HUD shall subsequently distribute the funds to all Indian </w:t>
      </w:r>
      <w:r w:rsidR="00C2403A">
        <w:t>Tribe</w:t>
      </w:r>
      <w:r>
        <w:t>s in accordance with the next IHBG Formula allocation.  A recipient will not be provided back funding for any units that the recipient failed to report on the FRF in a timely manner.  HUD shall have three years from the date a FRF is sent out to take action against any recipient that fails to correct or make appropriate changes on that FRF.  Review of FCAS will be accomplished by HUD as a component of A-133 audits, routine monitoring, FCAS target monitoring or other reviews.</w:t>
      </w:r>
    </w:p>
    <w:p w:rsidR="00BA16CB" w:rsidP="00BA16CB" w14:paraId="29068318" w14:textId="77777777">
      <w:pPr>
        <w:pStyle w:val="NormalWeb"/>
        <w:spacing w:before="0" w:beforeAutospacing="0" w:after="0" w:afterAutospacing="0"/>
        <w:ind w:firstLine="0"/>
      </w:pPr>
    </w:p>
    <w:p w:rsidR="00A417DD" w:rsidP="6BB1C61B" w14:paraId="79DFF433" w14:textId="38D231BD">
      <w:pPr>
        <w:pStyle w:val="NormalWeb"/>
        <w:spacing w:before="0" w:beforeAutospacing="0" w:after="0" w:afterAutospacing="0"/>
      </w:pPr>
      <w:r>
        <w:t xml:space="preserve">The deadline for responding with changes to the data on the FRF is </w:t>
      </w:r>
      <w:r w:rsidR="10A48BBA">
        <w:t xml:space="preserve">August </w:t>
      </w:r>
      <w:r w:rsidR="52870488">
        <w:t>XX</w:t>
      </w:r>
      <w:r>
        <w:t xml:space="preserve">.  Any changes reported after the </w:t>
      </w:r>
      <w:r w:rsidR="10A48BBA">
        <w:t xml:space="preserve">August </w:t>
      </w:r>
      <w:r w:rsidR="5BEC741A">
        <w:t>XX</w:t>
      </w:r>
      <w:r>
        <w:t xml:space="preserve"> deadline </w:t>
      </w:r>
      <w:r w:rsidR="3F8A68B8">
        <w:t xml:space="preserve">are </w:t>
      </w:r>
      <w:r>
        <w:t xml:space="preserve">not timely under </w:t>
      </w:r>
      <w:r w:rsidR="4A7DA6AF">
        <w:t xml:space="preserve">24 CFR </w:t>
      </w:r>
      <w:r>
        <w:t>§1000.315 and</w:t>
      </w:r>
      <w:r w:rsidR="4A7DA6AF">
        <w:t xml:space="preserve"> 24 CFR</w:t>
      </w:r>
      <w:r>
        <w:t xml:space="preserve"> §1000.319.  Accordingly, no back funding is authorized based on changes reported after </w:t>
      </w:r>
      <w:r w:rsidR="10A48BBA">
        <w:t xml:space="preserve">August </w:t>
      </w:r>
      <w:r w:rsidR="74913A73">
        <w:t>XX</w:t>
      </w:r>
      <w:r>
        <w:t xml:space="preserve">; nor will untimely reported units be included in the FY </w:t>
      </w:r>
      <w:r w:rsidR="25CE6B49">
        <w:t>20</w:t>
      </w:r>
      <w:r w:rsidR="713BF358">
        <w:t>XX</w:t>
      </w:r>
      <w:r w:rsidR="5E6C2F44">
        <w:t xml:space="preserve"> </w:t>
      </w:r>
      <w:r>
        <w:t>allocation.</w:t>
      </w:r>
    </w:p>
    <w:p w:rsidR="00BA16CB" w:rsidP="00BA16CB" w14:paraId="1FA8497B" w14:textId="77777777">
      <w:pPr>
        <w:pStyle w:val="Heading5"/>
        <w:spacing w:before="0"/>
        <w:rPr>
          <w:rFonts w:eastAsia="Times New Roman"/>
        </w:rPr>
      </w:pPr>
    </w:p>
    <w:p w:rsidR="00A417DD" w:rsidP="00BA16CB" w14:paraId="1617BE64" w14:textId="77777777">
      <w:pPr>
        <w:pStyle w:val="Heading5"/>
        <w:spacing w:before="0"/>
        <w:rPr>
          <w:rFonts w:eastAsia="Times New Roman"/>
        </w:rPr>
      </w:pPr>
      <w:r>
        <w:rPr>
          <w:rFonts w:eastAsia="Times New Roman"/>
        </w:rPr>
        <w:t>Appeals Process</w:t>
      </w:r>
    </w:p>
    <w:p w:rsidR="00BA16CB" w:rsidP="00BA16CB" w14:paraId="27EFB97A" w14:textId="77777777">
      <w:pPr>
        <w:pStyle w:val="NormalWeb"/>
        <w:spacing w:before="0" w:beforeAutospacing="0" w:after="0" w:afterAutospacing="0"/>
        <w:ind w:firstLine="0"/>
      </w:pPr>
    </w:p>
    <w:p w:rsidR="00A417DD" w:rsidP="00BA16CB" w14:paraId="32AB4B2C" w14:textId="2D53DC87">
      <w:pPr>
        <w:pStyle w:val="NormalWeb"/>
        <w:spacing w:before="0" w:beforeAutospacing="0" w:after="0" w:afterAutospacing="0"/>
      </w:pPr>
      <w:r>
        <w:t xml:space="preserve">Tribes/TDHEs may appeal HUD decisions regarding data used in the IHBG formula and HUD formula determinations in accordance with </w:t>
      </w:r>
      <w:r w:rsidR="00625A9F">
        <w:t xml:space="preserve">24 CFR </w:t>
      </w:r>
      <w:r>
        <w:t>§1000.336(d).</w:t>
      </w:r>
    </w:p>
    <w:p w:rsidR="00BA16CB" w:rsidP="00BA16CB" w14:paraId="706FA642" w14:textId="77777777">
      <w:pPr>
        <w:pStyle w:val="Heading5"/>
        <w:spacing w:before="0"/>
        <w:rPr>
          <w:rFonts w:eastAsia="Times New Roman"/>
        </w:rPr>
      </w:pPr>
    </w:p>
    <w:p w:rsidR="00A417DD" w:rsidP="00BA16CB" w14:paraId="064A1290" w14:textId="77777777">
      <w:pPr>
        <w:pStyle w:val="Heading5"/>
        <w:spacing w:before="0"/>
        <w:rPr>
          <w:rFonts w:eastAsia="Times New Roman"/>
        </w:rPr>
      </w:pPr>
      <w:r>
        <w:rPr>
          <w:rFonts w:eastAsia="Times New Roman"/>
        </w:rPr>
        <w:t>Technical Assistance</w:t>
      </w:r>
    </w:p>
    <w:p w:rsidR="00BA16CB" w:rsidP="00BA16CB" w14:paraId="62B6D708" w14:textId="77777777">
      <w:pPr>
        <w:pStyle w:val="NormalWeb"/>
        <w:spacing w:before="0" w:beforeAutospacing="0" w:after="0" w:afterAutospacing="0"/>
        <w:ind w:firstLine="0"/>
      </w:pPr>
    </w:p>
    <w:p w:rsidR="00A417DD" w:rsidP="00BA16CB" w14:paraId="1B643B01" w14:textId="77777777">
      <w:pPr>
        <w:pStyle w:val="NormalWeb"/>
        <w:spacing w:before="0" w:beforeAutospacing="0" w:after="0" w:afterAutospacing="0"/>
        <w:ind w:firstLine="720"/>
      </w:pPr>
      <w:r>
        <w:t>Should you have questions, please contact the IHBG Formula Customer Service Center at:</w:t>
      </w:r>
    </w:p>
    <w:p w:rsidR="00BA16CB" w:rsidP="00BA16CB" w14:paraId="6F385AD2" w14:textId="77777777">
      <w:pPr>
        <w:pStyle w:val="NormalWeb"/>
        <w:spacing w:before="0" w:beforeAutospacing="0" w:after="0" w:afterAutospacing="0"/>
        <w:ind w:firstLine="720"/>
      </w:pPr>
    </w:p>
    <w:p w:rsidR="0088391B" w:rsidP="00BA16CB" w14:paraId="6CF499D0" w14:textId="53080A19">
      <w:pPr>
        <w:pStyle w:val="indented"/>
        <w:spacing w:before="0" w:beforeAutospacing="0" w:after="0" w:afterAutospacing="0"/>
      </w:pPr>
      <w:r>
        <w:t>101 Ridgely Avenue, Suite 10</w:t>
      </w:r>
    </w:p>
    <w:p w:rsidR="00A417DD" w:rsidP="6BB1C61B" w14:paraId="600112BD" w14:textId="0186F2B9">
      <w:pPr>
        <w:pStyle w:val="indented"/>
        <w:spacing w:before="0" w:beforeAutospacing="0" w:after="0" w:afterAutospacing="0"/>
      </w:pPr>
      <w:r>
        <w:t>Annapoli</w:t>
      </w:r>
      <w:r w:rsidR="053B154D">
        <w:t>s, MD  21</w:t>
      </w:r>
      <w:r>
        <w:t>41</w:t>
      </w:r>
      <w:r w:rsidR="00625A9F">
        <w:br/>
      </w:r>
      <w:r w:rsidR="12EE942D">
        <w:t>Phone: 800-410-8808</w:t>
      </w:r>
      <w:r w:rsidR="00625A9F">
        <w:br/>
      </w:r>
      <w:r w:rsidR="12EE942D">
        <w:t>Fax: 202-393-6411</w:t>
      </w:r>
      <w:r w:rsidR="00625A9F">
        <w:br/>
      </w:r>
      <w:r w:rsidR="12EE942D">
        <w:t xml:space="preserve">E-mail: </w:t>
      </w:r>
      <w:hyperlink r:id="rId12" w:history="1">
        <w:r w:rsidRPr="3B80EDE9" w:rsidR="12EE942D">
          <w:rPr>
            <w:rStyle w:val="Hyperlink"/>
          </w:rPr>
          <w:t>IHBGformula@firstpic.org</w:t>
        </w:r>
      </w:hyperlink>
    </w:p>
    <w:p w:rsidR="3B80EDE9" w:rsidP="6BB1C61B" w14:paraId="249FC8ED" w14:textId="2C417EF7">
      <w:pPr>
        <w:pStyle w:val="indented"/>
        <w:spacing w:before="0" w:beforeAutospacing="0" w:after="0" w:afterAutospacing="0"/>
      </w:pPr>
    </w:p>
    <w:p w:rsidR="2445D197" w:rsidP="3B80EDE9" w14:paraId="752FEB0D" w14:textId="2CB770CD">
      <w:pPr>
        <w:ind w:firstLine="720"/>
        <w:rPr>
          <w:rFonts w:eastAsia="Times New Roman"/>
          <w:color w:val="000000" w:themeColor="text1"/>
        </w:rPr>
      </w:pPr>
      <w:r w:rsidRPr="6BB1C61B">
        <w:rPr>
          <w:rFonts w:eastAsia="Times New Roman"/>
          <w:color w:val="000000" w:themeColor="text1"/>
        </w:rPr>
        <w:t xml:space="preserve">HUD welcomes and is prepared to receive calls from individuals who are deaf or hard of hearing, as       well as individuals with speech or communication disabilities. To learn more about how to make </w:t>
      </w:r>
      <w:r w:rsidRPr="6BB1C61B" w:rsidR="3882C14D">
        <w:rPr>
          <w:rFonts w:eastAsia="Times New Roman"/>
          <w:color w:val="000000" w:themeColor="text1"/>
        </w:rPr>
        <w:t>an accessible</w:t>
      </w:r>
      <w:r w:rsidRPr="3B80EDE9">
        <w:rPr>
          <w:rFonts w:eastAsia="Times New Roman"/>
          <w:color w:val="000000" w:themeColor="text1"/>
        </w:rPr>
        <w:t xml:space="preserve"> telephone call, please visit </w:t>
      </w:r>
      <w:hyperlink r:id="rId13" w:history="1">
        <w:hyperlink r:id="rId13" w:history="1">
          <w:r w:rsidRPr="3B80EDE9">
            <w:rPr>
              <w:rStyle w:val="Hyperlink"/>
              <w:rFonts w:eastAsia="Times New Roman"/>
            </w:rPr>
            <w:t>https://www.fcc.gov/consumers/guides/telecommunications-relay-service-trs</w:t>
          </w:r>
        </w:hyperlink>
      </w:hyperlink>
      <w:r w:rsidRPr="644AFEB0">
        <w:rPr>
          <w:rFonts w:eastAsia="Times New Roman"/>
          <w:color w:val="000000" w:themeColor="text1"/>
        </w:rPr>
        <w:t>.</w:t>
      </w:r>
    </w:p>
    <w:p w:rsidR="00BA16CB" w:rsidP="00BA16CB" w14:paraId="2438BE98" w14:textId="77777777">
      <w:pPr>
        <w:pStyle w:val="Heading1"/>
        <w:pageBreakBefore/>
        <w:spacing w:after="0"/>
        <w:rPr>
          <w:rFonts w:eastAsia="Times New Roman"/>
        </w:rPr>
      </w:pPr>
      <w:bookmarkStart w:id="2" w:name="tribename1"/>
      <w:bookmarkEnd w:id="2"/>
      <w:r>
        <w:rPr>
          <w:rFonts w:eastAsia="Times New Roman"/>
        </w:rPr>
        <w:br/>
        <w:t>Formula Current Assisted Stock</w:t>
      </w:r>
      <w:r>
        <w:rPr>
          <w:rFonts w:eastAsia="Times New Roman"/>
        </w:rPr>
        <w:br/>
        <w:t>Homeownership and Rental</w:t>
      </w:r>
    </w:p>
    <w:p w:rsidR="00BA16CB" w:rsidP="00BA16CB" w14:paraId="2FF49035" w14:textId="77777777">
      <w:pPr>
        <w:pStyle w:val="NormalWeb"/>
        <w:spacing w:before="0" w:beforeAutospacing="0" w:after="0" w:afterAutospacing="0"/>
      </w:pPr>
    </w:p>
    <w:p w:rsidR="00A417DD" w:rsidP="6BB1C61B" w14:paraId="544D0391" w14:textId="74CA8977">
      <w:pPr>
        <w:pStyle w:val="NormalWeb"/>
        <w:spacing w:before="0" w:beforeAutospacing="0" w:after="0" w:afterAutospacing="0"/>
      </w:pPr>
      <w:r>
        <w:t xml:space="preserve">HUD records show your Tribe/TDHE having the following Formula Current Assisted Stock (FCAS) funded by 1937 Housing Act programs.  Please compare the project numbers, number of units, type of units, and Date of Full Availability (DOFA) with your records.  Then postmark or fax any changes and corrections, including updated information, to the IHBG Formula Customer Service Center by </w:t>
      </w:r>
      <w:r w:rsidRPr="39A9E8EC" w:rsidR="10A48BBA">
        <w:rPr>
          <w:b/>
          <w:bCs/>
        </w:rPr>
        <w:t xml:space="preserve">August </w:t>
      </w:r>
      <w:r w:rsidRPr="39A9E8EC" w:rsidR="27385B74">
        <w:rPr>
          <w:b/>
          <w:bCs/>
        </w:rPr>
        <w:t>XX</w:t>
      </w:r>
      <w:r w:rsidRPr="39A9E8EC" w:rsidR="10A48BBA">
        <w:rPr>
          <w:b/>
          <w:bCs/>
        </w:rPr>
        <w:t xml:space="preserve">, </w:t>
      </w:r>
      <w:r w:rsidRPr="39A9E8EC" w:rsidR="457947B3">
        <w:rPr>
          <w:b/>
          <w:bCs/>
        </w:rPr>
        <w:t>20</w:t>
      </w:r>
      <w:r w:rsidRPr="39A9E8EC" w:rsidR="0064FF91">
        <w:rPr>
          <w:b/>
          <w:bCs/>
        </w:rPr>
        <w:t>XX</w:t>
      </w:r>
      <w:r>
        <w:t xml:space="preserve">, for inclusion in the FY </w:t>
      </w:r>
      <w:r w:rsidR="25CE6B49">
        <w:t>20</w:t>
      </w:r>
      <w:r w:rsidR="7132221B">
        <w:t>XX</w:t>
      </w:r>
      <w:r w:rsidR="5E6C2F44">
        <w:t xml:space="preserve"> </w:t>
      </w:r>
      <w:r>
        <w:t xml:space="preserve">allocation.  </w:t>
      </w:r>
      <w:r w:rsidRPr="39A9E8EC" w:rsidR="773EF4B1">
        <w:rPr>
          <w:b/>
          <w:bCs/>
        </w:rPr>
        <w:t>Please note:</w:t>
      </w:r>
      <w:r w:rsidR="10A48BBA">
        <w:t xml:space="preserve"> If a unit becomes ineligible as FCAS between the date in which you report and September 30, HUD will need to recover the over-funding that the recipient received for that unit unless the recipient submits an additional Appendix A1 before September 30 that indicates the unit's eligibility status.</w:t>
      </w:r>
    </w:p>
    <w:p w:rsidR="00BA16CB" w:rsidP="00BA16CB" w14:paraId="298EA200" w14:textId="77777777">
      <w:pPr>
        <w:pStyle w:val="noindent"/>
        <w:spacing w:before="0" w:beforeAutospacing="0" w:after="0" w:afterAutospacing="0"/>
      </w:pPr>
    </w:p>
    <w:p w:rsidR="00A417DD" w:rsidP="00BA16CB" w14:paraId="5FE9A90C" w14:textId="77777777">
      <w:pPr>
        <w:pStyle w:val="noindent"/>
        <w:spacing w:before="0" w:beforeAutospacing="0" w:after="0" w:afterAutospacing="0"/>
      </w:pPr>
      <w:r>
        <w:t>The unit counts reported below include:</w:t>
      </w:r>
    </w:p>
    <w:p w:rsidR="00BA16CB" w:rsidP="00BA16CB" w14:paraId="22072367" w14:textId="77777777">
      <w:pPr>
        <w:rPr>
          <w:rFonts w:eastAsia="Times New Roman"/>
        </w:rPr>
      </w:pPr>
    </w:p>
    <w:p w:rsidR="00A417DD" w:rsidP="00BA16CB" w14:paraId="06E5EB6E" w14:textId="77777777">
      <w:pPr>
        <w:numPr>
          <w:ilvl w:val="0"/>
          <w:numId w:val="2"/>
        </w:numPr>
        <w:rPr>
          <w:rFonts w:eastAsia="Times New Roman"/>
        </w:rPr>
      </w:pPr>
      <w:r>
        <w:rPr>
          <w:rFonts w:eastAsia="Times New Roman"/>
        </w:rPr>
        <w:t>Low Rent, Mutual Help and Turnkey III units funded under 1937 Housing Act (i.e., units that were subject to an Annual Contributions Contract (ACC)).</w:t>
      </w:r>
    </w:p>
    <w:p w:rsidR="00A417DD" w:rsidP="00BA16CB" w14:paraId="3D85999A" w14:textId="77777777">
      <w:pPr>
        <w:numPr>
          <w:ilvl w:val="0"/>
          <w:numId w:val="2"/>
        </w:numPr>
        <w:rPr>
          <w:rFonts w:eastAsia="Times New Roman"/>
        </w:rPr>
      </w:pPr>
      <w:r>
        <w:rPr>
          <w:rFonts w:eastAsia="Times New Roman"/>
        </w:rPr>
        <w:t xml:space="preserve">Units converted prior to October 1, 1997, as the type of unit to which </w:t>
      </w:r>
      <w:r w:rsidRPr="00CB276C">
        <w:rPr>
          <w:rFonts w:eastAsia="Times New Roman"/>
        </w:rPr>
        <w:t>it</w:t>
      </w:r>
      <w:r>
        <w:rPr>
          <w:rFonts w:eastAsia="Times New Roman"/>
        </w:rPr>
        <w:t xml:space="preserve"> was converted.</w:t>
      </w:r>
    </w:p>
    <w:p w:rsidR="00A417DD" w:rsidP="00BA16CB" w14:paraId="49627D17" w14:textId="77777777">
      <w:pPr>
        <w:numPr>
          <w:ilvl w:val="0"/>
          <w:numId w:val="2"/>
        </w:numPr>
        <w:rPr>
          <w:rFonts w:eastAsia="Times New Roman"/>
        </w:rPr>
      </w:pPr>
      <w:r>
        <w:rPr>
          <w:rFonts w:eastAsia="Times New Roman"/>
        </w:rPr>
        <w:t>Units converted on or after October 1, 1997, as the type of unit funded on the latest ACC.</w:t>
      </w:r>
    </w:p>
    <w:p w:rsidR="00BA16CB" w:rsidP="00BA16CB" w14:paraId="6265B485" w14:textId="77777777">
      <w:pPr>
        <w:pStyle w:val="noindent"/>
        <w:spacing w:before="0" w:beforeAutospacing="0" w:after="0" w:afterAutospacing="0"/>
      </w:pPr>
    </w:p>
    <w:p w:rsidR="00A417DD" w:rsidP="00BA16CB" w14:paraId="72CB31FF" w14:textId="77777777">
      <w:pPr>
        <w:pStyle w:val="noindent"/>
        <w:spacing w:before="0" w:beforeAutospacing="0" w:after="0" w:afterAutospacing="0"/>
      </w:pPr>
      <w:r>
        <w:t xml:space="preserve">The unit counts reported below </w:t>
      </w:r>
      <w:r>
        <w:rPr>
          <w:u w:val="single"/>
        </w:rPr>
        <w:t>do not</w:t>
      </w:r>
      <w:r>
        <w:t xml:space="preserve"> include:</w:t>
      </w:r>
    </w:p>
    <w:p w:rsidR="00BA16CB" w:rsidP="00BA16CB" w14:paraId="784A021D" w14:textId="77777777">
      <w:pPr>
        <w:pStyle w:val="noindent"/>
        <w:spacing w:before="0" w:beforeAutospacing="0" w:after="0" w:afterAutospacing="0"/>
      </w:pPr>
    </w:p>
    <w:p w:rsidR="00A417DD" w:rsidP="00BA16CB" w14:paraId="4A4003C0" w14:textId="77777777">
      <w:pPr>
        <w:numPr>
          <w:ilvl w:val="0"/>
          <w:numId w:val="3"/>
        </w:numPr>
        <w:rPr>
          <w:rFonts w:eastAsia="Times New Roman"/>
        </w:rPr>
      </w:pPr>
      <w:r>
        <w:rPr>
          <w:rFonts w:eastAsia="Times New Roman"/>
        </w:rPr>
        <w:t>Units built with NAHASDA, HOME, or ICDBG funds.</w:t>
      </w:r>
    </w:p>
    <w:p w:rsidR="00A417DD" w:rsidP="00BA16CB" w14:paraId="14DCC846" w14:textId="77777777">
      <w:pPr>
        <w:numPr>
          <w:ilvl w:val="0"/>
          <w:numId w:val="3"/>
        </w:numPr>
        <w:rPr>
          <w:rFonts w:eastAsia="Times New Roman"/>
        </w:rPr>
      </w:pPr>
      <w:r>
        <w:rPr>
          <w:rFonts w:eastAsia="Times New Roman"/>
        </w:rPr>
        <w:t>Units built with BIA, State, or tribal funds.</w:t>
      </w:r>
    </w:p>
    <w:p w:rsidR="00A417DD" w:rsidP="00BA16CB" w14:paraId="74FBF201" w14:textId="77777777">
      <w:pPr>
        <w:numPr>
          <w:ilvl w:val="0"/>
          <w:numId w:val="3"/>
        </w:numPr>
        <w:rPr>
          <w:rFonts w:eastAsia="Times New Roman"/>
        </w:rPr>
      </w:pPr>
      <w:r>
        <w:rPr>
          <w:rFonts w:eastAsia="Times New Roman"/>
        </w:rPr>
        <w:t>Units built over the number specified in the original ACC for Projects with DOFA after October 1, 1997.</w:t>
      </w:r>
    </w:p>
    <w:p w:rsidR="00A417DD" w:rsidP="00BA16CB" w14:paraId="008002A2" w14:textId="77777777">
      <w:pPr>
        <w:numPr>
          <w:ilvl w:val="0"/>
          <w:numId w:val="3"/>
        </w:numPr>
        <w:rPr>
          <w:rFonts w:eastAsia="Times New Roman"/>
        </w:rPr>
      </w:pPr>
      <w:r>
        <w:rPr>
          <w:rFonts w:eastAsia="Times New Roman"/>
        </w:rPr>
        <w:t>Units not used as housing dwelling units, including units used for non-dwelling purposes and unoccupied units not being made available for occupancy.</w:t>
      </w:r>
    </w:p>
    <w:p w:rsidR="00020377" w:rsidP="00BA16CB" w14:paraId="49F1B47A" w14:textId="77777777">
      <w:pPr>
        <w:numPr>
          <w:ilvl w:val="0"/>
          <w:numId w:val="3"/>
        </w:numPr>
        <w:rPr>
          <w:rFonts w:eastAsia="Times New Roman"/>
        </w:rPr>
      </w:pPr>
      <w:r>
        <w:rPr>
          <w:rFonts w:eastAsia="Times New Roman"/>
        </w:rPr>
        <w:t>Units previously reported as having been conveyed, conveyance eligible (paid-off but not conveyed), or demolished.</w:t>
      </w:r>
    </w:p>
    <w:p w:rsidR="00BA16CB" w:rsidP="00BA16CB" w14:paraId="58A58BEE" w14:textId="77777777"/>
    <w:p w:rsidR="00020377" w:rsidP="00BA16CB" w14:paraId="61F60612" w14:textId="4BFBD925">
      <w:pPr>
        <w:rPr>
          <w:rFonts w:eastAsia="Times New Roman"/>
        </w:rPr>
      </w:pPr>
      <w:r>
        <w:tab/>
      </w:r>
      <w:r w:rsidR="000857A4">
        <w:t xml:space="preserve">A unit that is conveyance eligible </w:t>
      </w:r>
      <w:r w:rsidR="00D747EF">
        <w:t>will</w:t>
      </w:r>
      <w:r w:rsidR="000857A4">
        <w:t xml:space="preserve"> be removed from HUD’s FCAS data when it becomes eligible for conveyance.  If a legal impediment prevented the conveyance, the </w:t>
      </w:r>
      <w:r w:rsidR="00C2403A">
        <w:t>Tribe</w:t>
      </w:r>
      <w:r w:rsidR="000857A4">
        <w:t xml:space="preserve">/TDHE needs to make reasonable efforts to overcome the legal impediment as required </w:t>
      </w:r>
      <w:r w:rsidR="00242386">
        <w:t>i</w:t>
      </w:r>
      <w:r w:rsidR="000857A4">
        <w:t xml:space="preserve">n </w:t>
      </w:r>
      <w:r w:rsidR="00625A9F">
        <w:t xml:space="preserve">24 CFR </w:t>
      </w:r>
      <w:r w:rsidR="000857A4">
        <w:t>§1000.318(b)</w:t>
      </w:r>
      <w:r w:rsidR="00BD75EA">
        <w:t>.  When</w:t>
      </w:r>
      <w:r w:rsidR="000857A4">
        <w:t xml:space="preserve"> the unit is conveyed, </w:t>
      </w:r>
      <w:r w:rsidR="00BD75EA">
        <w:t xml:space="preserve">it is up to the </w:t>
      </w:r>
      <w:r w:rsidR="00C2403A">
        <w:t>Tribe</w:t>
      </w:r>
      <w:r w:rsidR="00BD75EA">
        <w:t>/TDHE</w:t>
      </w:r>
      <w:r w:rsidR="000857A4">
        <w:t xml:space="preserve"> to report to the IHBG Formula Customer Service</w:t>
      </w:r>
      <w:r w:rsidR="00BD75EA">
        <w:t xml:space="preserve"> </w:t>
      </w:r>
      <w:r w:rsidR="000857A4">
        <w:t xml:space="preserve">Center when the unit is conveyed or when the 2-year time </w:t>
      </w:r>
      <w:r w:rsidR="00A556ED">
        <w:t xml:space="preserve">period </w:t>
      </w:r>
      <w:r w:rsidR="000857A4">
        <w:t>is up</w:t>
      </w:r>
      <w:r w:rsidR="00A556ED">
        <w:t>,</w:t>
      </w:r>
      <w:r w:rsidR="000857A4">
        <w:t xml:space="preserve"> and </w:t>
      </w:r>
      <w:r w:rsidR="00A556ED">
        <w:t xml:space="preserve">to </w:t>
      </w:r>
      <w:r w:rsidR="000857A4">
        <w:t>provide all necessary documentation</w:t>
      </w:r>
      <w:r w:rsidR="00CC1205">
        <w:t xml:space="preserve"> </w:t>
      </w:r>
      <w:r w:rsidR="000857A4">
        <w:t xml:space="preserve">for HUD to re-evaluate the unit to see if it remained eligible as FCAS beyond the </w:t>
      </w:r>
      <w:r w:rsidR="00D619FE">
        <w:t xml:space="preserve">conveyance </w:t>
      </w:r>
      <w:r w:rsidR="001C176F">
        <w:t>eligibility</w:t>
      </w:r>
      <w:r w:rsidR="000857A4">
        <w:t xml:space="preserve"> date.  </w:t>
      </w:r>
      <w:r w:rsidR="00CC1205">
        <w:t xml:space="preserve">If </w:t>
      </w:r>
      <w:r w:rsidR="000857A4">
        <w:t xml:space="preserve">the </w:t>
      </w:r>
      <w:r w:rsidR="00C2403A">
        <w:t>Tribe</w:t>
      </w:r>
      <w:r w:rsidR="00CC1205">
        <w:t xml:space="preserve">/TDHE </w:t>
      </w:r>
      <w:r w:rsidR="000857A4">
        <w:t xml:space="preserve">has demonstrated it made reasonable efforts to convey in the face of a legal impediment as required by </w:t>
      </w:r>
      <w:r w:rsidR="00625A9F">
        <w:t xml:space="preserve">24 CFR </w:t>
      </w:r>
      <w:r w:rsidR="000857A4">
        <w:t xml:space="preserve">§1000.318(b), then HUD will revise the FCAS data for the preceding years and calculate the appropriate adjustment pursuant to the formula at </w:t>
      </w:r>
      <w:r w:rsidR="00625A9F">
        <w:t xml:space="preserve">24 CFR </w:t>
      </w:r>
      <w:r w:rsidR="000857A4">
        <w:t xml:space="preserve">§1000.319. </w:t>
      </w:r>
      <w:r w:rsidR="006352AA">
        <w:t xml:space="preserve"> </w:t>
      </w:r>
      <w:r w:rsidRPr="000058F7" w:rsidR="000058F7">
        <w:t xml:space="preserve">No </w:t>
      </w:r>
      <w:r w:rsidR="000058F7">
        <w:t>homeownership</w:t>
      </w:r>
      <w:r w:rsidRPr="000058F7" w:rsidR="000058F7">
        <w:t xml:space="preserve"> unit will be considered FCAS 24 months after the date the unit became </w:t>
      </w:r>
      <w:r w:rsidR="000058F7">
        <w:t>conveyance eligible</w:t>
      </w:r>
      <w:r w:rsidRPr="000058F7" w:rsidR="000058F7">
        <w:t xml:space="preserve">, unless the </w:t>
      </w:r>
      <w:r w:rsidR="00C2403A">
        <w:t>Tribe</w:t>
      </w:r>
      <w:r w:rsidRPr="000058F7" w:rsidR="000058F7">
        <w:t xml:space="preserve">, TDHE, or </w:t>
      </w:r>
      <w:r w:rsidRPr="000058F7" w:rsidR="4F21AF09">
        <w:t>Indian Housing Authority (</w:t>
      </w:r>
      <w:r w:rsidRPr="000058F7" w:rsidR="000058F7">
        <w:t>IHA</w:t>
      </w:r>
      <w:r w:rsidRPr="000058F7" w:rsidR="34769DE5">
        <w:t>)</w:t>
      </w:r>
      <w:r w:rsidRPr="000058F7" w:rsidR="000058F7">
        <w:t xml:space="preserve"> provides evidence from a third party, such as a court or state or federal government agency, documenting that a legal impediment continues to prevent conveyance, and assuming that the </w:t>
      </w:r>
      <w:r w:rsidR="00C2403A">
        <w:t>Tribe</w:t>
      </w:r>
      <w:r w:rsidRPr="000058F7" w:rsidR="000058F7">
        <w:t xml:space="preserve"> made reasonable efforts to overcome any existing legal impediments during the preceding 24 months </w:t>
      </w:r>
      <w:r w:rsidR="000058F7">
        <w:t xml:space="preserve">in accordance with </w:t>
      </w:r>
      <w:r w:rsidR="00625A9F">
        <w:t xml:space="preserve">24 CFR </w:t>
      </w:r>
      <w:r w:rsidR="000058F7">
        <w:t>§1000.318(b)</w:t>
      </w:r>
      <w:r w:rsidRPr="000058F7" w:rsidR="000058F7">
        <w:t xml:space="preserve">.  </w:t>
      </w:r>
    </w:p>
    <w:p w:rsidR="00A417DD" w14:paraId="3653CDDC" w14:textId="77777777">
      <w:pPr>
        <w:pStyle w:val="noindent"/>
      </w:pPr>
      <w:r>
        <w:t xml:space="preserve">Please note changes and corrections to the unit counts on the table below and </w:t>
      </w:r>
      <w:r w:rsidR="00A556ED">
        <w:t xml:space="preserve">also </w:t>
      </w:r>
      <w:r>
        <w:t>complete and submit appropriate forms as follows:</w:t>
      </w:r>
    </w:p>
    <w:p w:rsidR="00A417DD" w:rsidRPr="001E48B4" w14:paraId="480D4B49" w14:textId="77777777">
      <w:pPr>
        <w:numPr>
          <w:ilvl w:val="0"/>
          <w:numId w:val="4"/>
        </w:numPr>
        <w:spacing w:before="100" w:beforeAutospacing="1" w:after="100" w:afterAutospacing="1"/>
        <w:rPr>
          <w:rFonts w:eastAsia="Times New Roman"/>
        </w:rPr>
      </w:pPr>
      <w:r w:rsidRPr="001E48B4">
        <w:rPr>
          <w:rFonts w:eastAsia="Times New Roman"/>
        </w:rPr>
        <w:t xml:space="preserve">Use </w:t>
      </w:r>
      <w:r w:rsidRPr="001E48B4">
        <w:rPr>
          <w:rFonts w:eastAsia="Times New Roman"/>
          <w:b/>
          <w:bCs/>
        </w:rPr>
        <w:t>Appendix A1</w:t>
      </w:r>
      <w:r w:rsidRPr="001E48B4">
        <w:rPr>
          <w:rFonts w:eastAsia="Times New Roman"/>
        </w:rPr>
        <w:t xml:space="preserve"> to report </w:t>
      </w:r>
      <w:r w:rsidRPr="001E48B4" w:rsidR="00C87337">
        <w:rPr>
          <w:rFonts w:eastAsia="Times New Roman"/>
        </w:rPr>
        <w:t>units that are conveyance eligible or conveyed</w:t>
      </w:r>
      <w:r w:rsidRPr="001E48B4" w:rsidR="001A5EE9">
        <w:rPr>
          <w:rFonts w:eastAsia="Times New Roman"/>
        </w:rPr>
        <w:t>.</w:t>
      </w:r>
    </w:p>
    <w:p w:rsidR="00A417DD" w:rsidRPr="001E48B4" w14:paraId="410E0B9B" w14:textId="77777777">
      <w:pPr>
        <w:numPr>
          <w:ilvl w:val="0"/>
          <w:numId w:val="4"/>
        </w:numPr>
        <w:spacing w:before="100" w:beforeAutospacing="1" w:after="100" w:afterAutospacing="1"/>
        <w:rPr>
          <w:rFonts w:eastAsia="Times New Roman"/>
        </w:rPr>
      </w:pPr>
      <w:r w:rsidRPr="001E48B4">
        <w:rPr>
          <w:rFonts w:eastAsia="Times New Roman"/>
        </w:rPr>
        <w:t xml:space="preserve">Use </w:t>
      </w:r>
      <w:r w:rsidRPr="001E48B4">
        <w:rPr>
          <w:rFonts w:eastAsia="Times New Roman"/>
          <w:b/>
          <w:bCs/>
        </w:rPr>
        <w:t>Appendix A</w:t>
      </w:r>
      <w:r w:rsidRPr="001E48B4" w:rsidR="000362BE">
        <w:rPr>
          <w:rFonts w:eastAsia="Times New Roman"/>
          <w:b/>
          <w:bCs/>
        </w:rPr>
        <w:t>2</w:t>
      </w:r>
      <w:r w:rsidRPr="001E48B4">
        <w:rPr>
          <w:rFonts w:eastAsia="Times New Roman"/>
        </w:rPr>
        <w:t xml:space="preserve"> to report changes due to DOFA</w:t>
      </w:r>
      <w:r w:rsidRPr="001E48B4" w:rsidR="00416BB1">
        <w:rPr>
          <w:rFonts w:eastAsia="Times New Roman"/>
        </w:rPr>
        <w:t xml:space="preserve"> of FCAS units</w:t>
      </w:r>
      <w:r w:rsidRPr="001E48B4">
        <w:rPr>
          <w:rFonts w:eastAsia="Times New Roman"/>
        </w:rPr>
        <w:t>.</w:t>
      </w:r>
    </w:p>
    <w:p w:rsidR="00A417DD" w:rsidRPr="001E48B4" w14:paraId="52E01C37" w14:textId="77777777">
      <w:pPr>
        <w:numPr>
          <w:ilvl w:val="0"/>
          <w:numId w:val="4"/>
        </w:numPr>
        <w:spacing w:before="100" w:beforeAutospacing="1" w:after="100" w:afterAutospacing="1"/>
        <w:rPr>
          <w:rFonts w:eastAsia="Times New Roman"/>
        </w:rPr>
      </w:pPr>
      <w:r w:rsidRPr="001E48B4">
        <w:rPr>
          <w:rFonts w:eastAsia="Times New Roman"/>
        </w:rPr>
        <w:t xml:space="preserve">Use </w:t>
      </w:r>
      <w:r w:rsidRPr="001E48B4">
        <w:rPr>
          <w:rFonts w:eastAsia="Times New Roman"/>
          <w:b/>
          <w:bCs/>
        </w:rPr>
        <w:t>Appendix A</w:t>
      </w:r>
      <w:r w:rsidRPr="001E48B4" w:rsidR="000362BE">
        <w:rPr>
          <w:rFonts w:eastAsia="Times New Roman"/>
          <w:b/>
          <w:bCs/>
        </w:rPr>
        <w:t>3</w:t>
      </w:r>
      <w:r w:rsidRPr="001E48B4">
        <w:rPr>
          <w:rFonts w:eastAsia="Times New Roman"/>
        </w:rPr>
        <w:t xml:space="preserve"> to report changes due to conversion</w:t>
      </w:r>
      <w:r w:rsidRPr="001E48B4" w:rsidR="00416BB1">
        <w:rPr>
          <w:rFonts w:eastAsia="Times New Roman"/>
        </w:rPr>
        <w:t xml:space="preserve"> of FCAS unit</w:t>
      </w:r>
      <w:r w:rsidRPr="001E48B4">
        <w:rPr>
          <w:rFonts w:eastAsia="Times New Roman"/>
        </w:rPr>
        <w:t>s.</w:t>
      </w:r>
    </w:p>
    <w:p w:rsidR="00A417DD" w:rsidRPr="001E48B4" w14:paraId="7AA73AD3" w14:textId="77777777">
      <w:pPr>
        <w:numPr>
          <w:ilvl w:val="0"/>
          <w:numId w:val="4"/>
        </w:numPr>
        <w:spacing w:before="100" w:beforeAutospacing="1" w:after="100" w:afterAutospacing="1"/>
        <w:rPr>
          <w:rFonts w:eastAsia="Times New Roman"/>
        </w:rPr>
      </w:pPr>
      <w:r w:rsidRPr="001E48B4">
        <w:rPr>
          <w:rFonts w:eastAsia="Times New Roman"/>
        </w:rPr>
        <w:t xml:space="preserve">Use </w:t>
      </w:r>
      <w:r w:rsidRPr="001E48B4">
        <w:rPr>
          <w:rFonts w:eastAsia="Times New Roman"/>
          <w:b/>
          <w:bCs/>
        </w:rPr>
        <w:t>Appendix A</w:t>
      </w:r>
      <w:r w:rsidRPr="001E48B4" w:rsidR="000362BE">
        <w:rPr>
          <w:rFonts w:eastAsia="Times New Roman"/>
          <w:b/>
          <w:bCs/>
        </w:rPr>
        <w:t>4</w:t>
      </w:r>
      <w:r w:rsidRPr="001E48B4">
        <w:rPr>
          <w:rFonts w:eastAsia="Times New Roman"/>
        </w:rPr>
        <w:t xml:space="preserve"> to </w:t>
      </w:r>
      <w:r w:rsidRPr="001E48B4" w:rsidR="00E21BA0">
        <w:rPr>
          <w:rFonts w:eastAsia="Times New Roman"/>
        </w:rPr>
        <w:t>report demolished and rebuilt FCAS units</w:t>
      </w:r>
      <w:r w:rsidRPr="001E48B4">
        <w:rPr>
          <w:rFonts w:eastAsia="Times New Roman"/>
        </w:rPr>
        <w:t>.</w:t>
      </w:r>
    </w:p>
    <w:p w:rsidR="00BA16CB" w:rsidP="00BA16CB" w14:paraId="7C88B07A" w14:textId="77777777">
      <w:pPr>
        <w:numPr>
          <w:ilvl w:val="0"/>
          <w:numId w:val="4"/>
        </w:numPr>
        <w:spacing w:before="100" w:beforeAutospacing="1" w:after="100" w:afterAutospacing="1"/>
        <w:rPr>
          <w:rFonts w:eastAsia="Times New Roman"/>
        </w:rPr>
      </w:pPr>
      <w:r w:rsidRPr="001E48B4">
        <w:rPr>
          <w:rFonts w:eastAsia="Times New Roman"/>
        </w:rPr>
        <w:t xml:space="preserve">Use </w:t>
      </w:r>
      <w:r w:rsidRPr="001E48B4">
        <w:rPr>
          <w:rFonts w:eastAsia="Times New Roman"/>
          <w:b/>
        </w:rPr>
        <w:t>Appendix A</w:t>
      </w:r>
      <w:r w:rsidRPr="001E48B4" w:rsidR="000362BE">
        <w:rPr>
          <w:rFonts w:eastAsia="Times New Roman"/>
          <w:b/>
        </w:rPr>
        <w:t>5</w:t>
      </w:r>
      <w:r w:rsidRPr="001E48B4">
        <w:rPr>
          <w:rFonts w:eastAsia="Times New Roman"/>
        </w:rPr>
        <w:t xml:space="preserve"> to</w:t>
      </w:r>
      <w:r w:rsidRPr="001E48B4" w:rsidR="00E21BA0">
        <w:rPr>
          <w:rFonts w:eastAsia="Times New Roman"/>
        </w:rPr>
        <w:t xml:space="preserve"> report all other FCAS changes</w:t>
      </w:r>
      <w:r w:rsidRPr="001E48B4">
        <w:rPr>
          <w:rFonts w:eastAsia="Times New Roman"/>
        </w:rPr>
        <w:t xml:space="preserve">. </w:t>
      </w:r>
    </w:p>
    <w:p w:rsidR="00A417DD" w:rsidRPr="00BA16CB" w:rsidP="00BA16CB" w14:paraId="22E73407" w14:textId="5BAD57FC">
      <w:pPr>
        <w:spacing w:before="100" w:beforeAutospacing="1" w:after="100" w:afterAutospacing="1"/>
        <w:ind w:firstLine="720"/>
        <w:rPr>
          <w:i/>
          <w:iCs/>
        </w:rPr>
      </w:pPr>
      <w:r w:rsidRPr="00BA16CB">
        <w:rPr>
          <w:b/>
          <w:bCs/>
        </w:rPr>
        <w:t>NOTE:</w:t>
      </w:r>
      <w:r>
        <w:t xml:space="preserve"> In accordance with Section 302(b)(1) of the </w:t>
      </w:r>
      <w:r w:rsidRPr="00BA16CB">
        <w:rPr>
          <w:i/>
          <w:iCs/>
        </w:rPr>
        <w:t xml:space="preserve">Native </w:t>
      </w:r>
      <w:r w:rsidR="00BA16CB">
        <w:rPr>
          <w:i/>
          <w:iCs/>
        </w:rPr>
        <w:t xml:space="preserve">American Housing Assistance and </w:t>
      </w:r>
      <w:r w:rsidRPr="00BA16CB">
        <w:rPr>
          <w:i/>
          <w:iCs/>
        </w:rPr>
        <w:t>Self-Determination Act (NAHASDA)</w:t>
      </w:r>
      <w:r>
        <w:t xml:space="preserve">, 25 U.S.C. § 4152(b)(1), Mutual Help and Turnkey III units developed under the United States Housing Act of 1937 that are conveyed or eligible to be conveyed prior to October 1 of the calendar year immediately preceding the FY for which funds are provided cease to be eligible as FCAS beginning that FY unless the </w:t>
      </w:r>
      <w:r w:rsidR="00C2403A">
        <w:t>Tribe</w:t>
      </w:r>
      <w:r>
        <w:t xml:space="preserve"> can demonstrate that the unit has not been conveyed for reasons beyond its control.</w:t>
      </w:r>
      <w:r w:rsidR="00D820D8">
        <w:t xml:space="preserve"> </w:t>
      </w:r>
      <w:r>
        <w:t xml:space="preserve"> By the terms of their Mutual Help and Occupancy Agreements (MHOA), such units are eligible for conveyance no later than 25 years from the inception of those agreements, which generally corresponds to the Date of Full Availability (DOFA). </w:t>
      </w:r>
      <w:r w:rsidR="009B58DC">
        <w:t xml:space="preserve"> </w:t>
      </w:r>
      <w:r w:rsidRPr="00BA16CB">
        <w:rPr>
          <w:rStyle w:val="Strong"/>
          <w:u w:val="single"/>
        </w:rPr>
        <w:t xml:space="preserve">Accordingly, all units in any project that reached its DOFA in </w:t>
      </w:r>
      <w:r w:rsidR="00EF56B0">
        <w:rPr>
          <w:rStyle w:val="Strong"/>
          <w:u w:val="single"/>
        </w:rPr>
        <w:t xml:space="preserve">FY </w:t>
      </w:r>
      <w:r w:rsidRPr="00BA16CB">
        <w:rPr>
          <w:rStyle w:val="Strong"/>
          <w:u w:val="single"/>
        </w:rPr>
        <w:t>199</w:t>
      </w:r>
      <w:r w:rsidR="000D3C15">
        <w:rPr>
          <w:rStyle w:val="Strong"/>
          <w:u w:val="single"/>
        </w:rPr>
        <w:t>7</w:t>
      </w:r>
      <w:r w:rsidR="000A6556">
        <w:rPr>
          <w:rStyle w:val="Strong"/>
          <w:u w:val="single"/>
          <w:vertAlign w:val="superscript"/>
        </w:rPr>
        <w:t>1</w:t>
      </w:r>
      <w:r w:rsidRPr="00BA16CB" w:rsidR="00EB3F8C">
        <w:rPr>
          <w:rStyle w:val="Strong"/>
          <w:u w:val="single"/>
        </w:rPr>
        <w:t>,</w:t>
      </w:r>
      <w:r w:rsidRPr="00BA16CB">
        <w:rPr>
          <w:rStyle w:val="Strong"/>
          <w:u w:val="single"/>
        </w:rPr>
        <w:t xml:space="preserve"> are presumptively no longer considered FCAS</w:t>
      </w:r>
      <w:r w:rsidR="005B2049">
        <w:rPr>
          <w:rStyle w:val="Strong"/>
          <w:u w:val="single"/>
        </w:rPr>
        <w:t>,</w:t>
      </w:r>
      <w:r w:rsidRPr="00BA16CB">
        <w:rPr>
          <w:rStyle w:val="Strong"/>
          <w:u w:val="single"/>
        </w:rPr>
        <w:t xml:space="preserve"> and HUD is removing them from its FCAS data for the </w:t>
      </w:r>
      <w:r w:rsidR="00C2403A">
        <w:rPr>
          <w:rStyle w:val="Strong"/>
          <w:u w:val="single"/>
        </w:rPr>
        <w:t>Tribe</w:t>
      </w:r>
      <w:r w:rsidRPr="00BA16CB">
        <w:rPr>
          <w:rStyle w:val="Strong"/>
          <w:u w:val="single"/>
        </w:rPr>
        <w:t xml:space="preserve"> in the table below as indicated with a (*).</w:t>
      </w:r>
      <w:r>
        <w:t xml:space="preserve"> If your Tribe believes that any of these units are still eligible for FCAS, please identify the project and unit number and provide the necessary information in accordance with the FRF as follows: </w:t>
      </w:r>
    </w:p>
    <w:p w:rsidR="00A417DD" w:rsidP="001E2FFF" w14:paraId="1AC3C630" w14:textId="72AE887E">
      <w:pPr>
        <w:spacing w:before="100" w:beforeAutospacing="1" w:after="72"/>
        <w:ind w:left="720" w:hanging="360"/>
        <w:rPr>
          <w:rFonts w:eastAsia="Times New Roman"/>
        </w:rPr>
      </w:pPr>
      <w:r>
        <w:rPr>
          <w:rFonts w:eastAsia="Times New Roman"/>
        </w:rPr>
        <w:t xml:space="preserve">1.   </w:t>
      </w:r>
      <w:r w:rsidR="005A0143">
        <w:rPr>
          <w:rFonts w:eastAsia="Times New Roman"/>
        </w:rPr>
        <w:t xml:space="preserve">If the unit was converted to and is currently managed as a Low Rent (LR) unit, provide the information required </w:t>
      </w:r>
      <w:r w:rsidR="002D3C07">
        <w:rPr>
          <w:rFonts w:eastAsia="Times New Roman"/>
        </w:rPr>
        <w:t>i</w:t>
      </w:r>
      <w:r w:rsidR="005A0143">
        <w:rPr>
          <w:rFonts w:eastAsia="Times New Roman"/>
        </w:rPr>
        <w:t>n Appendix A</w:t>
      </w:r>
      <w:r w:rsidR="000362BE">
        <w:rPr>
          <w:rFonts w:eastAsia="Times New Roman"/>
        </w:rPr>
        <w:t>3</w:t>
      </w:r>
      <w:r w:rsidR="005A0143">
        <w:rPr>
          <w:rFonts w:eastAsia="Times New Roman"/>
        </w:rPr>
        <w:t xml:space="preserve">. </w:t>
      </w:r>
    </w:p>
    <w:p w:rsidR="00A417DD" w:rsidP="001E2FFF" w14:paraId="6396EA84" w14:textId="71C52B4D">
      <w:pPr>
        <w:spacing w:before="100" w:beforeAutospacing="1" w:after="72"/>
        <w:ind w:left="720" w:hanging="360"/>
        <w:rPr>
          <w:rFonts w:eastAsia="Times New Roman"/>
        </w:rPr>
      </w:pPr>
      <w:r>
        <w:rPr>
          <w:rFonts w:eastAsia="Times New Roman"/>
        </w:rPr>
        <w:t xml:space="preserve">2.   </w:t>
      </w:r>
      <w:r w:rsidR="005A0143">
        <w:rPr>
          <w:rFonts w:eastAsia="Times New Roman"/>
        </w:rPr>
        <w:t xml:space="preserve">If there is a subsequent homebuyer, or the unit is still within the term of its lease-to-own agreement, please provide the information required </w:t>
      </w:r>
      <w:r w:rsidR="002D3C07">
        <w:rPr>
          <w:rFonts w:eastAsia="Times New Roman"/>
        </w:rPr>
        <w:t>in</w:t>
      </w:r>
      <w:r w:rsidR="005A0143">
        <w:rPr>
          <w:rFonts w:eastAsia="Times New Roman"/>
        </w:rPr>
        <w:t xml:space="preserve"> Appendix </w:t>
      </w:r>
      <w:r w:rsidR="000362BE">
        <w:rPr>
          <w:rFonts w:eastAsia="Times New Roman"/>
        </w:rPr>
        <w:t>A5</w:t>
      </w:r>
      <w:r w:rsidR="005A0143">
        <w:rPr>
          <w:rFonts w:eastAsia="Times New Roman"/>
        </w:rPr>
        <w:t>, including the date that the current agreement was signed and the termination date of the agreement.</w:t>
      </w:r>
    </w:p>
    <w:p w:rsidR="00F1055E" w:rsidP="00151F28" w14:paraId="2FAFA3F1" w14:textId="77777777">
      <w:pPr>
        <w:spacing w:before="100" w:beforeAutospacing="1" w:after="72"/>
        <w:jc w:val="center"/>
        <w:rPr>
          <w:rFonts w:eastAsia="Times New Roman"/>
        </w:rPr>
      </w:pPr>
      <w:bookmarkStart w:id="3" w:name="nocas"/>
      <w:bookmarkEnd w:id="3"/>
    </w:p>
    <w:p w:rsidR="008979DA" w:rsidP="00151F28" w14:paraId="0031342A" w14:textId="77777777">
      <w:pPr>
        <w:spacing w:before="100" w:beforeAutospacing="1" w:after="72"/>
        <w:jc w:val="center"/>
        <w:rPr>
          <w:rFonts w:eastAsia="Times New Roman"/>
        </w:rPr>
      </w:pPr>
    </w:p>
    <w:p w:rsidR="008979DA" w:rsidP="00151F28" w14:paraId="7AAADA0A" w14:textId="77777777">
      <w:pPr>
        <w:spacing w:before="100" w:beforeAutospacing="1" w:after="72"/>
        <w:jc w:val="center"/>
        <w:rPr>
          <w:rFonts w:eastAsia="Times New Roman"/>
        </w:rPr>
      </w:pPr>
    </w:p>
    <w:p w:rsidR="008979DA" w:rsidP="00151F28" w14:paraId="077BA6FA" w14:textId="77777777">
      <w:pPr>
        <w:spacing w:before="100" w:beforeAutospacing="1" w:after="72"/>
        <w:jc w:val="center"/>
        <w:rPr>
          <w:rFonts w:eastAsia="Times New Roman"/>
        </w:rPr>
      </w:pPr>
    </w:p>
    <w:p w:rsidR="000A6556" w:rsidP="00271C06" w14:paraId="2DC1718E" w14:textId="77777777">
      <w:pPr>
        <w:jc w:val="center"/>
        <w:rPr>
          <w:rFonts w:eastAsia="Times New Roman"/>
        </w:rPr>
      </w:pPr>
    </w:p>
    <w:p w:rsidR="000A6556" w:rsidP="00271C06" w14:paraId="712E18EB" w14:textId="77777777">
      <w:pPr>
        <w:jc w:val="center"/>
        <w:rPr>
          <w:rFonts w:eastAsia="Times New Roman"/>
        </w:rPr>
      </w:pPr>
    </w:p>
    <w:p w:rsidR="000A6556" w:rsidP="00271C06" w14:paraId="107EE264" w14:textId="77777777">
      <w:pPr>
        <w:jc w:val="center"/>
        <w:rPr>
          <w:rFonts w:eastAsia="Times New Roman"/>
        </w:rPr>
      </w:pPr>
    </w:p>
    <w:p w:rsidR="000A6556" w:rsidP="00271C06" w14:paraId="6EBFC2E8" w14:textId="77777777">
      <w:pPr>
        <w:jc w:val="center"/>
        <w:rPr>
          <w:rFonts w:eastAsia="Times New Roman"/>
        </w:rPr>
      </w:pPr>
    </w:p>
    <w:p w:rsidR="0018294A" w:rsidP="00151F28" w14:paraId="4DA54168" w14:textId="77777777">
      <w:pPr>
        <w:spacing w:before="100" w:beforeAutospacing="1" w:after="72"/>
        <w:jc w:val="center"/>
        <w:rPr>
          <w:rFonts w:eastAsia="Times New Roman"/>
        </w:rPr>
      </w:pPr>
    </w:p>
    <w:p w:rsidR="000264F8" w14:paraId="57CB07D3" w14:textId="44041948">
      <w:pPr>
        <w:rPr>
          <w:b/>
          <w:sz w:val="20"/>
          <w:szCs w:val="20"/>
        </w:rPr>
      </w:pPr>
      <w:r>
        <w:rPr>
          <w:rFonts w:eastAsia="Times New Roman"/>
          <w:sz w:val="18"/>
          <w:szCs w:val="18"/>
          <w:vertAlign w:val="superscript"/>
        </w:rPr>
        <w:t>1</w:t>
      </w:r>
      <w:r>
        <w:rPr>
          <w:rFonts w:eastAsia="Times New Roman"/>
          <w:sz w:val="18"/>
          <w:szCs w:val="18"/>
        </w:rPr>
        <w:t xml:space="preserve">All units in projects that reached DOFA prior to </w:t>
      </w:r>
      <w:r w:rsidR="00EF56B0">
        <w:rPr>
          <w:rFonts w:eastAsia="Times New Roman"/>
          <w:sz w:val="18"/>
          <w:szCs w:val="18"/>
        </w:rPr>
        <w:t xml:space="preserve">FY </w:t>
      </w:r>
      <w:r w:rsidR="00DC532B">
        <w:rPr>
          <w:rFonts w:eastAsia="Times New Roman"/>
          <w:sz w:val="18"/>
          <w:szCs w:val="18"/>
        </w:rPr>
        <w:t>199</w:t>
      </w:r>
      <w:r w:rsidR="000D3C15">
        <w:rPr>
          <w:rFonts w:eastAsia="Times New Roman"/>
          <w:sz w:val="18"/>
          <w:szCs w:val="18"/>
        </w:rPr>
        <w:t>7</w:t>
      </w:r>
      <w:r w:rsidR="00DC532B">
        <w:rPr>
          <w:rFonts w:eastAsia="Times New Roman"/>
          <w:sz w:val="18"/>
          <w:szCs w:val="18"/>
        </w:rPr>
        <w:t xml:space="preserve"> </w:t>
      </w:r>
      <w:r>
        <w:rPr>
          <w:rFonts w:eastAsia="Times New Roman"/>
          <w:sz w:val="18"/>
          <w:szCs w:val="18"/>
        </w:rPr>
        <w:t xml:space="preserve">were previously removed from FCAS on an FRF for FY 2014 or later, and are only listed on the FRF if the </w:t>
      </w:r>
      <w:r w:rsidR="00C2403A">
        <w:rPr>
          <w:rFonts w:eastAsia="Times New Roman"/>
          <w:sz w:val="18"/>
          <w:szCs w:val="18"/>
        </w:rPr>
        <w:t>Tribe</w:t>
      </w:r>
      <w:r>
        <w:rPr>
          <w:rFonts w:eastAsia="Times New Roman"/>
          <w:sz w:val="18"/>
          <w:szCs w:val="18"/>
        </w:rPr>
        <w:t>/TDHE submitted unit level information documenting continued eligibility.</w:t>
      </w:r>
      <w:r w:rsidR="005B2049">
        <w:rPr>
          <w:rFonts w:eastAsia="Times New Roman"/>
          <w:sz w:val="18"/>
          <w:szCs w:val="18"/>
        </w:rPr>
        <w:t xml:space="preserve"> </w:t>
      </w:r>
      <w:r>
        <w:rPr>
          <w:rFonts w:eastAsia="Times New Roman"/>
          <w:sz w:val="18"/>
          <w:szCs w:val="18"/>
        </w:rPr>
        <w:t xml:space="preserve"> Unit eligibility will be re-challenged every three years </w:t>
      </w:r>
      <w:r w:rsidR="003B31DC">
        <w:rPr>
          <w:rFonts w:eastAsia="Times New Roman"/>
          <w:sz w:val="18"/>
          <w:szCs w:val="18"/>
        </w:rPr>
        <w:t>to assure appropriate treatment</w:t>
      </w:r>
      <w:r w:rsidR="00C102BC">
        <w:rPr>
          <w:rFonts w:eastAsia="Times New Roman"/>
          <w:sz w:val="18"/>
          <w:szCs w:val="18"/>
        </w:rPr>
        <w:t>.</w:t>
      </w:r>
      <w:bookmarkStart w:id="4" w:name="InsertCAStable"/>
      <w:bookmarkEnd w:id="4"/>
      <w:r>
        <w:rPr>
          <w:b/>
          <w:sz w:val="20"/>
          <w:szCs w:val="20"/>
        </w:rPr>
        <w:br w:type="page"/>
      </w:r>
    </w:p>
    <w:p w:rsidR="007569E8" w:rsidP="000264F8" w14:paraId="22F809B6" w14:textId="77777777">
      <w:pPr>
        <w:rPr>
          <w:b/>
          <w:sz w:val="20"/>
          <w:szCs w:val="20"/>
        </w:rPr>
      </w:pPr>
    </w:p>
    <w:p w:rsidR="007569E8" w:rsidRPr="007569E8" w:rsidP="00151F28" w14:paraId="20995FB7" w14:textId="77777777">
      <w:pPr>
        <w:jc w:val="center"/>
        <w:rPr>
          <w:b/>
          <w:sz w:val="28"/>
          <w:szCs w:val="28"/>
        </w:rPr>
      </w:pPr>
      <w:bookmarkStart w:id="5" w:name="tribename2"/>
      <w:bookmarkEnd w:id="5"/>
    </w:p>
    <w:p w:rsidR="00A417DD" w:rsidRPr="00151F28" w:rsidP="00151F28" w14:paraId="36F9A5BB" w14:textId="77777777">
      <w:pPr>
        <w:jc w:val="center"/>
        <w:rPr>
          <w:rFonts w:eastAsia="Times New Roman"/>
          <w:b/>
          <w:sz w:val="28"/>
          <w:szCs w:val="28"/>
        </w:rPr>
      </w:pPr>
      <w:r w:rsidRPr="00151F28">
        <w:rPr>
          <w:rFonts w:eastAsia="Times New Roman"/>
          <w:b/>
          <w:sz w:val="28"/>
          <w:szCs w:val="28"/>
        </w:rPr>
        <w:t>Formula Current Assisted Stock</w:t>
      </w:r>
      <w:r w:rsidRPr="00151F28">
        <w:rPr>
          <w:rFonts w:eastAsia="Times New Roman"/>
          <w:b/>
          <w:sz w:val="28"/>
          <w:szCs w:val="28"/>
        </w:rPr>
        <w:br/>
        <w:t>Section 8</w:t>
      </w:r>
    </w:p>
    <w:p w:rsidR="00A417DD" w14:paraId="2257BDE5" w14:textId="77777777">
      <w:pPr>
        <w:pStyle w:val="NormalWeb"/>
      </w:pPr>
      <w:r>
        <w:t>Under the IHBG Formula, your Tribe's FCAS count includes the following Section 8 units:</w:t>
      </w:r>
    </w:p>
    <w:p w:rsidR="00E73978" w:rsidRPr="00B234C2" w:rsidP="00E73978" w14:paraId="1B1CAE32" w14:textId="77777777">
      <w:pPr>
        <w:pStyle w:val="section8"/>
        <w:rPr>
          <w:b w:val="0"/>
          <w:u w:val="single"/>
        </w:rPr>
      </w:pPr>
      <w:r>
        <w:t>Number of units:</w:t>
      </w:r>
      <w:r w:rsidRPr="00B234C2">
        <w:rPr>
          <w:u w:val="single"/>
        </w:rPr>
        <w:t xml:space="preserve"> </w:t>
      </w:r>
      <w:bookmarkStart w:id="6" w:name="InsertS8units"/>
      <w:bookmarkEnd w:id="6"/>
    </w:p>
    <w:p w:rsidR="00A417DD" w14:paraId="365369E3" w14:textId="6C4AB818">
      <w:pPr>
        <w:pStyle w:val="NormalWeb"/>
      </w:pPr>
      <w:r>
        <w:t xml:space="preserve">By regulation, Section 8 units are counted under the IHBG formula after their contracts expire only if the </w:t>
      </w:r>
      <w:r w:rsidR="00C2403A">
        <w:t>Tribe</w:t>
      </w:r>
      <w:r>
        <w:t>/TDHE continues to manage the assistance in a manner similar to the Section 8 program.</w:t>
      </w:r>
    </w:p>
    <w:p w:rsidR="005150EE" w:rsidRPr="00EC695D" w14:paraId="39120C5F" w14:textId="77777777">
      <w:pPr>
        <w:pStyle w:val="NormalWeb"/>
      </w:pPr>
      <w:r>
        <w:t xml:space="preserve">If you no longer provide or operate an equivalent number of Section 8, please make corrections to the total above and on the table </w:t>
      </w:r>
      <w:r w:rsidRPr="00EC695D">
        <w:t>below.</w:t>
      </w:r>
    </w:p>
    <w:p w:rsidR="005150EE" w:rsidRPr="00EC695D" w14:paraId="0471695D" w14:textId="77777777">
      <w:pPr>
        <w:pStyle w:val="NormalWeb"/>
      </w:pPr>
      <w:bookmarkStart w:id="7" w:name="NoS8"/>
      <w:bookmarkEnd w:id="7"/>
      <w:r w:rsidRPr="00EC695D">
        <w:t xml:space="preserve">  </w:t>
      </w:r>
    </w:p>
    <w:p w:rsidR="005150EE" w:rsidRPr="00EC695D" w14:paraId="0DE3C7E4" w14:textId="77777777">
      <w:pPr>
        <w:pStyle w:val="NormalWeb"/>
      </w:pPr>
      <w:bookmarkStart w:id="8" w:name="InsertS8table"/>
      <w:bookmarkEnd w:id="8"/>
    </w:p>
    <w:p w:rsidR="005150EE" w:rsidRPr="00EC695D" w14:paraId="767824A8" w14:textId="77777777">
      <w:pPr>
        <w:pStyle w:val="NormalWeb"/>
        <w:rPr>
          <w:sz w:val="20"/>
          <w:szCs w:val="20"/>
        </w:rPr>
      </w:pPr>
    </w:p>
    <w:p w:rsidR="005150EE" w14:paraId="7A232F06" w14:textId="77777777">
      <w:pPr>
        <w:pStyle w:val="NormalWeb"/>
      </w:pPr>
    </w:p>
    <w:p w:rsidR="00A417DD" w14:paraId="32CFEBE5" w14:textId="77777777">
      <w:pPr>
        <w:pStyle w:val="Heading1"/>
        <w:pageBreakBefore/>
        <w:rPr>
          <w:rFonts w:eastAsia="Times New Roman"/>
        </w:rPr>
      </w:pPr>
      <w:bookmarkStart w:id="9" w:name="tribename3"/>
      <w:bookmarkEnd w:id="9"/>
      <w:r>
        <w:rPr>
          <w:rFonts w:eastAsia="Times New Roman"/>
        </w:rPr>
        <w:br/>
      </w:r>
      <w:r>
        <w:rPr>
          <w:rFonts w:eastAsia="Times New Roman"/>
        </w:rPr>
        <w:br/>
        <w:t>Adjustment Factors</w:t>
      </w:r>
    </w:p>
    <w:p w:rsidR="00A417DD" w14:paraId="6D998DA0" w14:textId="77777777">
      <w:pPr>
        <w:pStyle w:val="Heading3"/>
        <w:rPr>
          <w:rFonts w:eastAsia="Times New Roman"/>
          <w:sz w:val="24"/>
          <w:szCs w:val="24"/>
        </w:rPr>
      </w:pPr>
      <w:r>
        <w:rPr>
          <w:rFonts w:eastAsia="Times New Roman"/>
          <w:sz w:val="24"/>
          <w:szCs w:val="24"/>
        </w:rPr>
        <w:t>Inflation Rate Factor</w:t>
      </w:r>
    </w:p>
    <w:p w:rsidR="00A417DD" w14:paraId="36DB205F" w14:textId="77777777">
      <w:pPr>
        <w:pStyle w:val="NormalWeb"/>
      </w:pPr>
      <w:r>
        <w:t>Inflation rate is adjusted annually and is a national figure used to adjust the amount of subsidy for FCAS.</w:t>
      </w:r>
    </w:p>
    <w:p w:rsidR="00E73978" w14:paraId="0F75B00F" w14:textId="77777777">
      <w:pPr>
        <w:pStyle w:val="Heading3"/>
        <w:rPr>
          <w:sz w:val="24"/>
          <w:szCs w:val="24"/>
        </w:rPr>
      </w:pPr>
      <w:bookmarkStart w:id="10" w:name="InflationFactor"/>
      <w:bookmarkEnd w:id="10"/>
      <w:r w:rsidRPr="00E73978">
        <w:rPr>
          <w:sz w:val="24"/>
          <w:szCs w:val="24"/>
        </w:rPr>
        <w:t>%</w:t>
      </w:r>
    </w:p>
    <w:p w:rsidR="00A417DD" w14:paraId="30EFF73B" w14:textId="77777777">
      <w:pPr>
        <w:pStyle w:val="Heading3"/>
        <w:rPr>
          <w:rFonts w:eastAsia="Times New Roman"/>
          <w:sz w:val="24"/>
          <w:szCs w:val="24"/>
        </w:rPr>
      </w:pPr>
      <w:r>
        <w:rPr>
          <w:rFonts w:eastAsia="Times New Roman"/>
          <w:sz w:val="24"/>
          <w:szCs w:val="24"/>
        </w:rPr>
        <w:t>Local Area Cost Adjustments</w:t>
      </w:r>
    </w:p>
    <w:p w:rsidR="00A417DD" w14:paraId="00EC6CBA" w14:textId="77777777">
      <w:pPr>
        <w:pStyle w:val="NormalWeb"/>
      </w:pPr>
      <w:r>
        <w:t>Allowable Expense Level (AEL), Fair Market Rent (FMR), and Total Development Cost (TDC) are used to adjust the amount of subsidy for FCAS to reflect local conditions.  TDC is also used to adjust the Needs component to reflect local costs.</w:t>
      </w:r>
    </w:p>
    <w:p w:rsidR="00A417DD" w:rsidP="00030FF1" w14:paraId="0913CA54" w14:textId="24318367">
      <w:pPr>
        <w:spacing w:line="360" w:lineRule="auto"/>
        <w:rPr>
          <w:rFonts w:eastAsia="Times New Roman"/>
        </w:rPr>
      </w:pPr>
      <w:r>
        <w:rPr>
          <w:noProof/>
          <w:color w:val="2B579A"/>
          <w:shd w:val="clear" w:color="auto" w:fill="E6E6E6"/>
        </w:rPr>
        <mc:AlternateContent>
          <mc:Choice Requires="wps">
            <w:drawing>
              <wp:anchor distT="45720" distB="45720" distL="114300" distR="114300" simplePos="0" relativeHeight="251671552" behindDoc="0" locked="0" layoutInCell="1" allowOverlap="1">
                <wp:simplePos x="0" y="0"/>
                <wp:positionH relativeFrom="column">
                  <wp:posOffset>5608320</wp:posOffset>
                </wp:positionH>
                <wp:positionV relativeFrom="paragraph">
                  <wp:posOffset>26670</wp:posOffset>
                </wp:positionV>
                <wp:extent cx="914400" cy="278130"/>
                <wp:effectExtent l="0" t="635" r="1905" b="0"/>
                <wp:wrapSquare wrapText="bothSides"/>
                <wp:docPr id="10" name="Text Box 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14400" cy="27813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133C" w:rsidRPr="00F1023F" w:rsidP="00D1303C" w14:textId="77777777">
                            <w:pPr>
                              <w:jc w:val="right"/>
                              <w:rPr>
                                <w:b/>
                              </w:rPr>
                            </w:pPr>
                            <w:bookmarkStart w:id="11" w:name="AEL"/>
                            <w:bookmarkEnd w:id="11"/>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5" type="#_x0000_t202" style="width:1in;height:21.9pt;margin-top:2.1pt;margin-left:441.6pt;mso-height-percent:0;mso-height-relative:margin;mso-width-percent:0;mso-width-relative:margin;mso-wrap-distance-bottom:3.6pt;mso-wrap-distance-left:9pt;mso-wrap-distance-right:9pt;mso-wrap-distance-top:3.6pt;position:absolute;v-text-anchor:top;z-index:251670528" fillcolor="white" stroked="f">
                <v:textbox>
                  <w:txbxContent>
                    <w:p w:rsidR="0029133C" w:rsidRPr="00F1023F" w:rsidP="00D1303C" w14:paraId="2E9FBD66" w14:textId="77777777">
                      <w:pPr>
                        <w:jc w:val="right"/>
                        <w:rPr>
                          <w:b/>
                        </w:rPr>
                      </w:pPr>
                      <w:bookmarkStart w:id="11" w:name="AEL"/>
                      <w:bookmarkEnd w:id="11"/>
                    </w:p>
                  </w:txbxContent>
                </v:textbox>
                <w10:wrap type="square"/>
              </v:shape>
            </w:pict>
          </mc:Fallback>
        </mc:AlternateContent>
      </w:r>
      <w:r w:rsidR="00030FF1">
        <w:rPr>
          <w:rFonts w:eastAsia="Times New Roman"/>
        </w:rPr>
        <w:t xml:space="preserve">     Annual Expense Level (AEL):</w:t>
      </w:r>
      <w:r w:rsidR="00030FF1">
        <w:rPr>
          <w:rFonts w:eastAsia="Times New Roman"/>
        </w:rPr>
        <w:tab/>
      </w:r>
      <w:r w:rsidR="00030FF1">
        <w:rPr>
          <w:rFonts w:eastAsia="Times New Roman"/>
        </w:rPr>
        <w:tab/>
      </w:r>
      <w:r w:rsidR="00030FF1">
        <w:rPr>
          <w:rFonts w:eastAsia="Times New Roman"/>
        </w:rPr>
        <w:tab/>
      </w:r>
      <w:r w:rsidR="00D1303C">
        <w:rPr>
          <w:rFonts w:eastAsia="Times New Roman"/>
        </w:rPr>
        <w:tab/>
      </w:r>
      <w:r w:rsidR="00D1303C">
        <w:rPr>
          <w:rFonts w:eastAsia="Times New Roman"/>
        </w:rPr>
        <w:tab/>
      </w:r>
      <w:r w:rsidR="00D1303C">
        <w:rPr>
          <w:rFonts w:eastAsia="Times New Roman"/>
        </w:rPr>
        <w:tab/>
      </w:r>
      <w:r w:rsidRPr="00C8584F" w:rsidR="000B467C">
        <w:rPr>
          <w:rFonts w:eastAsia="Times New Roman"/>
          <w:b/>
        </w:rPr>
        <w:tab/>
      </w:r>
    </w:p>
    <w:p w:rsidR="00030FF1" w:rsidRPr="00C8584F" w:rsidP="00030FF1" w14:paraId="5745B92E" w14:textId="46C03149">
      <w:pPr>
        <w:spacing w:line="360" w:lineRule="auto"/>
        <w:rPr>
          <w:rFonts w:eastAsia="Times New Roman"/>
          <w:b/>
        </w:rPr>
      </w:pPr>
      <w:r>
        <w:rPr>
          <w:noProof/>
          <w:color w:val="2B579A"/>
          <w:shd w:val="clear" w:color="auto" w:fill="E6E6E6"/>
        </w:rPr>
        <mc:AlternateContent>
          <mc:Choice Requires="wps">
            <w:drawing>
              <wp:anchor distT="45720" distB="45720" distL="114300" distR="114300" simplePos="0" relativeHeight="251675648" behindDoc="0" locked="0" layoutInCell="1" allowOverlap="1">
                <wp:simplePos x="0" y="0"/>
                <wp:positionH relativeFrom="column">
                  <wp:posOffset>5608320</wp:posOffset>
                </wp:positionH>
                <wp:positionV relativeFrom="paragraph">
                  <wp:posOffset>229870</wp:posOffset>
                </wp:positionV>
                <wp:extent cx="914400" cy="294640"/>
                <wp:effectExtent l="0" t="0" r="1905" b="635"/>
                <wp:wrapSquare wrapText="bothSides"/>
                <wp:docPr id="9"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14400" cy="2946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133C" w:rsidRPr="00F1023F" w:rsidP="00D1303C" w14:textId="77777777">
                            <w:pPr>
                              <w:jc w:val="right"/>
                              <w:rPr>
                                <w:b/>
                              </w:rPr>
                            </w:pPr>
                            <w:bookmarkStart w:id="12" w:name="TDC"/>
                            <w:bookmarkEnd w:id="12"/>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1" o:spid="_x0000_s1026" type="#_x0000_t202" style="width:1in;height:23.2pt;margin-top:18.1pt;margin-left:441.6pt;mso-height-percent:0;mso-height-relative:margin;mso-width-percent:0;mso-width-relative:margin;mso-wrap-distance-bottom:3.6pt;mso-wrap-distance-left:9pt;mso-wrap-distance-right:9pt;mso-wrap-distance-top:3.6pt;position:absolute;v-text-anchor:top;z-index:251674624" fillcolor="white" stroked="f">
                <v:textbox>
                  <w:txbxContent>
                    <w:p w:rsidR="0029133C" w:rsidRPr="00F1023F" w:rsidP="00D1303C" w14:paraId="2B150825" w14:textId="77777777">
                      <w:pPr>
                        <w:jc w:val="right"/>
                        <w:rPr>
                          <w:b/>
                        </w:rPr>
                      </w:pPr>
                      <w:bookmarkStart w:id="12" w:name="TDC"/>
                      <w:bookmarkEnd w:id="12"/>
                    </w:p>
                  </w:txbxContent>
                </v:textbox>
                <w10:wrap type="square"/>
              </v:shape>
            </w:pict>
          </mc:Fallback>
        </mc:AlternateContent>
      </w:r>
      <w:r>
        <w:rPr>
          <w:noProof/>
          <w:color w:val="2B579A"/>
          <w:shd w:val="clear" w:color="auto" w:fill="E6E6E6"/>
        </w:rPr>
        <mc:AlternateContent>
          <mc:Choice Requires="wps">
            <w:drawing>
              <wp:anchor distT="45720" distB="45720" distL="114300" distR="114300" simplePos="0" relativeHeight="251673600" behindDoc="0" locked="0" layoutInCell="1" allowOverlap="1">
                <wp:simplePos x="0" y="0"/>
                <wp:positionH relativeFrom="column">
                  <wp:posOffset>5608320</wp:posOffset>
                </wp:positionH>
                <wp:positionV relativeFrom="paragraph">
                  <wp:posOffset>1270</wp:posOffset>
                </wp:positionV>
                <wp:extent cx="914400" cy="285115"/>
                <wp:effectExtent l="0" t="0" r="1905" b="635"/>
                <wp:wrapSquare wrapText="bothSides"/>
                <wp:docPr id="8"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14400" cy="28511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133C" w:rsidRPr="00F1023F" w:rsidP="00D1303C" w14:textId="77777777">
                            <w:pPr>
                              <w:jc w:val="right"/>
                              <w:rPr>
                                <w:b/>
                              </w:rPr>
                            </w:pPr>
                            <w:bookmarkStart w:id="13" w:name="FMR"/>
                            <w:bookmarkEnd w:id="13"/>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0" o:spid="_x0000_s1027" type="#_x0000_t202" style="width:1in;height:22.45pt;margin-top:0.1pt;margin-left:441.6pt;mso-height-percent:0;mso-height-relative:margin;mso-width-percent:0;mso-width-relative:margin;mso-wrap-distance-bottom:3.6pt;mso-wrap-distance-left:9pt;mso-wrap-distance-right:9pt;mso-wrap-distance-top:3.6pt;position:absolute;v-text-anchor:top;z-index:251672576" fillcolor="white" stroked="f">
                <v:textbox>
                  <w:txbxContent>
                    <w:p w:rsidR="0029133C" w:rsidRPr="00F1023F" w:rsidP="00D1303C" w14:paraId="7CF3630D" w14:textId="77777777">
                      <w:pPr>
                        <w:jc w:val="right"/>
                        <w:rPr>
                          <w:b/>
                        </w:rPr>
                      </w:pPr>
                      <w:bookmarkStart w:id="13" w:name="FMR"/>
                      <w:bookmarkEnd w:id="13"/>
                    </w:p>
                  </w:txbxContent>
                </v:textbox>
                <w10:wrap type="square"/>
              </v:shape>
            </w:pict>
          </mc:Fallback>
        </mc:AlternateContent>
      </w:r>
      <w:r w:rsidR="00030FF1">
        <w:rPr>
          <w:rFonts w:eastAsia="Times New Roman"/>
        </w:rPr>
        <w:t xml:space="preserve">     Fair Market Rent (FMR):</w:t>
      </w:r>
      <w:r w:rsidR="00030FF1">
        <w:rPr>
          <w:rFonts w:eastAsia="Times New Roman"/>
        </w:rPr>
        <w:tab/>
      </w:r>
      <w:r w:rsidR="00030FF1">
        <w:rPr>
          <w:rFonts w:eastAsia="Times New Roman"/>
        </w:rPr>
        <w:tab/>
      </w:r>
      <w:r w:rsidR="00030FF1">
        <w:rPr>
          <w:rFonts w:eastAsia="Times New Roman"/>
        </w:rPr>
        <w:tab/>
      </w:r>
      <w:r w:rsidR="00030FF1">
        <w:rPr>
          <w:rFonts w:eastAsia="Times New Roman"/>
        </w:rPr>
        <w:tab/>
      </w:r>
      <w:r w:rsidR="00030FF1">
        <w:rPr>
          <w:rFonts w:eastAsia="Times New Roman"/>
        </w:rPr>
        <w:tab/>
      </w:r>
      <w:r w:rsidR="00030FF1">
        <w:rPr>
          <w:rFonts w:eastAsia="Times New Roman"/>
        </w:rPr>
        <w:tab/>
      </w:r>
      <w:r w:rsidR="00030FF1">
        <w:rPr>
          <w:rFonts w:eastAsia="Times New Roman"/>
        </w:rPr>
        <w:tab/>
      </w:r>
      <w:r w:rsidR="00030FF1">
        <w:rPr>
          <w:rFonts w:eastAsia="Times New Roman"/>
        </w:rPr>
        <w:tab/>
      </w:r>
    </w:p>
    <w:p w:rsidR="00030FF1" w:rsidP="00FE6545" w14:paraId="28DDF5B0" w14:textId="77777777">
      <w:pPr>
        <w:rPr>
          <w:rFonts w:eastAsia="Times New Roman"/>
          <w:b/>
        </w:rPr>
      </w:pPr>
      <w:r>
        <w:rPr>
          <w:rFonts w:eastAsia="Times New Roman"/>
        </w:rPr>
        <w:t xml:space="preserve">     Total Development Cost (TDC):</w:t>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Pr="00C8584F">
        <w:rPr>
          <w:rFonts w:eastAsia="Times New Roman"/>
          <w:b/>
        </w:rPr>
        <w:tab/>
      </w:r>
    </w:p>
    <w:p w:rsidR="00FE6545" w:rsidRPr="00C8584F" w:rsidP="00FE6545" w14:paraId="6627262B" w14:textId="77777777">
      <w:pPr>
        <w:rPr>
          <w:rFonts w:eastAsia="Times New Roman"/>
          <w:b/>
        </w:rPr>
      </w:pPr>
    </w:p>
    <w:p w:rsidR="00A417DD" w:rsidP="6BB1C61B" w14:paraId="06F03989" w14:textId="7CB9C5AC">
      <w:pPr>
        <w:pStyle w:val="NormalWeb"/>
        <w:spacing w:before="0" w:beforeAutospacing="0"/>
      </w:pPr>
      <w:r>
        <w:t>In accordance with</w:t>
      </w:r>
      <w:r w:rsidR="4A7DA6AF">
        <w:t xml:space="preserve"> 24 CFR</w:t>
      </w:r>
      <w:r>
        <w:t xml:space="preserve"> §1000.336(b), AEL cannot be challenged.  However</w:t>
      </w:r>
      <w:r w:rsidR="4A7DA6AF">
        <w:t>,</w:t>
      </w:r>
      <w:r>
        <w:t xml:space="preserve"> </w:t>
      </w:r>
      <w:r w:rsidR="12EE942D">
        <w:t>instructions for challenging the FMR and TDC are provided in the document "</w:t>
      </w:r>
      <w:r w:rsidRPr="39A9E8EC" w:rsidR="12EE942D">
        <w:rPr>
          <w:i/>
          <w:iCs/>
        </w:rPr>
        <w:t>Challenging U.S. Decennial Census Data: Guidelines for the Indian Housing Block Grant Formula</w:t>
      </w:r>
      <w:r w:rsidR="12EE942D">
        <w:t xml:space="preserve">" available through the IHBG Formula Customer Service Center.  Tribes successfully challenging FMR and TDC data elements must submit the revised figures to the IHBG Formula Customer Service Center by </w:t>
      </w:r>
      <w:r w:rsidR="10A48BBA">
        <w:t xml:space="preserve">August </w:t>
      </w:r>
      <w:r w:rsidR="6EDB4010">
        <w:t>XX</w:t>
      </w:r>
      <w:r w:rsidR="10A48BBA">
        <w:t xml:space="preserve">, </w:t>
      </w:r>
      <w:r w:rsidR="250B8094">
        <w:t>20</w:t>
      </w:r>
      <w:r w:rsidR="2A919D87">
        <w:t>XX</w:t>
      </w:r>
      <w:r w:rsidR="12EE942D">
        <w:t xml:space="preserve">.  Please note that while HUD requires requests for formula changes to be submitted by </w:t>
      </w:r>
      <w:r w:rsidR="10A48BBA">
        <w:t xml:space="preserve">August </w:t>
      </w:r>
      <w:r w:rsidR="6D459424">
        <w:t>XX</w:t>
      </w:r>
      <w:r w:rsidR="12EE942D">
        <w:t xml:space="preserve">, HUD may consider subsequent requests from </w:t>
      </w:r>
      <w:r w:rsidR="39A6DEB9">
        <w:t>Tribe</w:t>
      </w:r>
      <w:r w:rsidR="12EE942D">
        <w:t xml:space="preserve">s that have been directly affected by changes resulting from other </w:t>
      </w:r>
      <w:r w:rsidR="39A6DEB9">
        <w:t>Tribe</w:t>
      </w:r>
      <w:r w:rsidR="12EE942D">
        <w:t xml:space="preserve">s' requests submitted prior to the </w:t>
      </w:r>
      <w:r w:rsidR="10A48BBA">
        <w:t xml:space="preserve">August </w:t>
      </w:r>
      <w:r w:rsidR="587AB42F">
        <w:t>XX</w:t>
      </w:r>
      <w:r w:rsidR="12EE942D">
        <w:t xml:space="preserve"> deadline.  Subsequent requests received in prior FYs may be carried into future FYs if processing of such requests is not finalized in the current FY.</w:t>
      </w:r>
    </w:p>
    <w:p w:rsidR="00A417DD" w14:paraId="48DBDE30" w14:textId="77777777">
      <w:pPr>
        <w:pStyle w:val="Heading1"/>
        <w:pageBreakBefore/>
        <w:rPr>
          <w:rFonts w:eastAsia="Times New Roman"/>
        </w:rPr>
      </w:pPr>
      <w:bookmarkStart w:id="14" w:name="tribename4"/>
      <w:bookmarkEnd w:id="14"/>
      <w:r>
        <w:rPr>
          <w:rFonts w:eastAsia="Times New Roman"/>
        </w:rPr>
        <w:br/>
        <w:t>Formula Area</w:t>
      </w:r>
    </w:p>
    <w:p w:rsidR="00A417DD" w14:paraId="35E7B1BA" w14:textId="54A090E0">
      <w:pPr>
        <w:pStyle w:val="NormalWeb"/>
      </w:pPr>
      <w:r>
        <w:t>In accordance with</w:t>
      </w:r>
      <w:r w:rsidR="00625A9F">
        <w:t xml:space="preserve"> 24 CFR</w:t>
      </w:r>
      <w:r>
        <w:t xml:space="preserve"> §1000.302 Formula Area (1)…."Formula Areas are:"</w:t>
      </w:r>
    </w:p>
    <w:p w:rsidR="00A417DD" w:rsidP="0015130C" w14:paraId="149A01B1" w14:textId="1A965895">
      <w:pPr>
        <w:spacing w:after="72"/>
        <w:ind w:left="720" w:hanging="360"/>
        <w:rPr>
          <w:rFonts w:eastAsia="Times New Roman"/>
        </w:rPr>
      </w:pPr>
      <w:r>
        <w:rPr>
          <w:rFonts w:eastAsia="Times New Roman"/>
        </w:rPr>
        <w:t xml:space="preserve">1.   </w:t>
      </w:r>
      <w:r w:rsidR="005A0143">
        <w:rPr>
          <w:rFonts w:eastAsia="Times New Roman"/>
        </w:rPr>
        <w:t xml:space="preserve">Reservations for federally recognized Indian </w:t>
      </w:r>
      <w:r w:rsidR="00C2403A">
        <w:rPr>
          <w:rFonts w:eastAsia="Times New Roman"/>
        </w:rPr>
        <w:t>Tribe</w:t>
      </w:r>
      <w:r w:rsidR="005A0143">
        <w:rPr>
          <w:rFonts w:eastAsia="Times New Roman"/>
        </w:rPr>
        <w:t>s, as defined by the U.S. Census;</w:t>
      </w:r>
    </w:p>
    <w:p w:rsidR="00A417DD" w:rsidP="0015130C" w14:paraId="733FA3F6" w14:textId="7A59E0FF">
      <w:pPr>
        <w:spacing w:after="72"/>
        <w:ind w:left="720" w:hanging="360"/>
        <w:rPr>
          <w:rFonts w:eastAsia="Times New Roman"/>
        </w:rPr>
      </w:pPr>
      <w:r>
        <w:rPr>
          <w:rFonts w:eastAsia="Times New Roman"/>
        </w:rPr>
        <w:t xml:space="preserve">2.   </w:t>
      </w:r>
      <w:r w:rsidR="005A0143">
        <w:rPr>
          <w:rFonts w:eastAsia="Times New Roman"/>
        </w:rPr>
        <w:t>Trust lands;</w:t>
      </w:r>
    </w:p>
    <w:p w:rsidR="00A417DD" w:rsidP="0015130C" w14:paraId="6B820B33" w14:textId="4C480C61">
      <w:pPr>
        <w:spacing w:after="72"/>
        <w:ind w:left="720" w:hanging="360"/>
        <w:rPr>
          <w:rFonts w:eastAsia="Times New Roman"/>
        </w:rPr>
      </w:pPr>
      <w:r>
        <w:rPr>
          <w:rFonts w:eastAsia="Times New Roman"/>
        </w:rPr>
        <w:t xml:space="preserve">3.   </w:t>
      </w:r>
      <w:r w:rsidR="005A0143">
        <w:rPr>
          <w:rFonts w:eastAsia="Times New Roman"/>
        </w:rPr>
        <w:t>Department of the Interior Near-Reservation Service Areas;</w:t>
      </w:r>
    </w:p>
    <w:p w:rsidR="00A417DD" w:rsidP="0015130C" w14:paraId="76F4A706" w14:textId="4A6A0511">
      <w:pPr>
        <w:spacing w:after="72"/>
        <w:ind w:left="720" w:hanging="360"/>
        <w:rPr>
          <w:rFonts w:eastAsia="Times New Roman"/>
        </w:rPr>
      </w:pPr>
      <w:r>
        <w:rPr>
          <w:rFonts w:eastAsia="Times New Roman"/>
        </w:rPr>
        <w:t xml:space="preserve">4.   </w:t>
      </w:r>
      <w:r w:rsidR="005A0143">
        <w:rPr>
          <w:rFonts w:eastAsia="Times New Roman"/>
        </w:rPr>
        <w:t>Former Indian Reservation Areas in Oklahoma Indian Areas, as defined by the U.S. Census as Oklahoma Tribal Statistical Areas (OTSAs);</w:t>
      </w:r>
    </w:p>
    <w:p w:rsidR="00A417DD" w:rsidP="0015130C" w14:paraId="22B888FE" w14:textId="3B2C0A8D">
      <w:pPr>
        <w:spacing w:after="72"/>
        <w:ind w:left="720" w:hanging="360"/>
        <w:rPr>
          <w:rFonts w:eastAsia="Times New Roman"/>
        </w:rPr>
      </w:pPr>
      <w:r>
        <w:rPr>
          <w:rFonts w:eastAsia="Times New Roman"/>
        </w:rPr>
        <w:t xml:space="preserve">5.   </w:t>
      </w:r>
      <w:r w:rsidR="005A0143">
        <w:rPr>
          <w:rFonts w:eastAsia="Times New Roman"/>
        </w:rPr>
        <w:t>Congressionally Mandated Service Areas;</w:t>
      </w:r>
    </w:p>
    <w:p w:rsidR="00A417DD" w:rsidP="0015130C" w14:paraId="1C6C3CD6" w14:textId="239D8E61">
      <w:pPr>
        <w:spacing w:after="72"/>
        <w:ind w:left="720" w:hanging="360"/>
        <w:rPr>
          <w:rFonts w:eastAsia="Times New Roman"/>
        </w:rPr>
      </w:pPr>
      <w:r>
        <w:rPr>
          <w:rFonts w:eastAsia="Times New Roman"/>
        </w:rPr>
        <w:t xml:space="preserve">6.   </w:t>
      </w:r>
      <w:r w:rsidR="005A0143">
        <w:rPr>
          <w:rFonts w:eastAsia="Times New Roman"/>
        </w:rPr>
        <w:t>State Tribal Areas as defined by the U.S. Census as State Designated American Indian Statistical Areas (SDAISAs);</w:t>
      </w:r>
    </w:p>
    <w:p w:rsidR="00A417DD" w:rsidP="0015130C" w14:paraId="7F6698EF" w14:textId="58A9EBA2">
      <w:pPr>
        <w:spacing w:after="72"/>
        <w:ind w:left="720" w:hanging="360"/>
        <w:rPr>
          <w:rFonts w:eastAsia="Times New Roman"/>
        </w:rPr>
      </w:pPr>
      <w:r>
        <w:rPr>
          <w:rFonts w:eastAsia="Times New Roman"/>
        </w:rPr>
        <w:t xml:space="preserve">7.   </w:t>
      </w:r>
      <w:r w:rsidR="005A0143">
        <w:rPr>
          <w:rFonts w:eastAsia="Times New Roman"/>
        </w:rPr>
        <w:t>Tribal Designated Statistical Areas (TDSAs);</w:t>
      </w:r>
    </w:p>
    <w:p w:rsidR="00A417DD" w:rsidP="0015130C" w14:paraId="1E05F5B3" w14:textId="6491DCC6">
      <w:pPr>
        <w:spacing w:after="72"/>
        <w:ind w:left="720" w:hanging="360"/>
        <w:rPr>
          <w:rFonts w:eastAsia="Times New Roman"/>
        </w:rPr>
      </w:pPr>
      <w:r>
        <w:rPr>
          <w:rFonts w:eastAsia="Times New Roman"/>
        </w:rPr>
        <w:t xml:space="preserve">8.   </w:t>
      </w:r>
      <w:r w:rsidR="005A0143">
        <w:rPr>
          <w:rFonts w:eastAsia="Times New Roman"/>
        </w:rPr>
        <w:t>California Tribal Jurisdictional Areas established or reestablished by Federal court judgment; and</w:t>
      </w:r>
    </w:p>
    <w:p w:rsidR="00A417DD" w:rsidP="0015130C" w14:paraId="65AF84A7" w14:textId="11B70C42">
      <w:pPr>
        <w:spacing w:after="72"/>
        <w:ind w:left="720" w:hanging="360"/>
        <w:rPr>
          <w:rFonts w:eastAsia="Times New Roman"/>
        </w:rPr>
      </w:pPr>
      <w:r>
        <w:rPr>
          <w:rFonts w:eastAsia="Times New Roman"/>
        </w:rPr>
        <w:t xml:space="preserve">9.   </w:t>
      </w:r>
      <w:r w:rsidR="005A0143">
        <w:rPr>
          <w:rFonts w:eastAsia="Times New Roman"/>
        </w:rPr>
        <w:t>Alaska formula areas described in §1000.302 Formula area (4).</w:t>
      </w:r>
    </w:p>
    <w:p w:rsidR="00A417DD" w14:paraId="1980F674" w14:textId="16C066EE">
      <w:pPr>
        <w:pStyle w:val="NormalWeb"/>
      </w:pPr>
      <w:r>
        <w:t xml:space="preserve">Formula areas may include additional geographic units if the </w:t>
      </w:r>
      <w:r w:rsidR="00C2403A">
        <w:t>Tribe</w:t>
      </w:r>
      <w:r w:rsidR="00CF2741">
        <w:t xml:space="preserve"> </w:t>
      </w:r>
      <w:r>
        <w:t xml:space="preserve">demonstrates that it is providing substantial housing services in accord with </w:t>
      </w:r>
      <w:r w:rsidR="00C01FC7">
        <w:t xml:space="preserve">24 CFR </w:t>
      </w:r>
      <w:r>
        <w:t xml:space="preserve">§1000.302 Formula area (2) &amp; (3) and </w:t>
      </w:r>
      <w:r w:rsidR="00C01FC7">
        <w:t xml:space="preserve">24 CFR </w:t>
      </w:r>
      <w:r>
        <w:t>§1000.302 substantial housing services.</w:t>
      </w:r>
    </w:p>
    <w:p w:rsidR="00E73978" w:rsidRPr="009F6A5C" w:rsidP="009515C2" w14:paraId="037B7651" w14:textId="77777777">
      <w:pPr>
        <w:pStyle w:val="NormalWeb"/>
        <w:rPr>
          <w:b/>
        </w:rPr>
      </w:pPr>
      <w:r>
        <w:t>The geographic areas currently contained in your Formula Area are listed below.</w:t>
      </w:r>
      <w:r w:rsidR="009515C2">
        <w:rPr>
          <w:b/>
        </w:rPr>
        <w:t xml:space="preserve"> </w:t>
      </w:r>
    </w:p>
    <w:p w:rsidR="001062DE" w:rsidRPr="00282A93" w:rsidP="00C811F8" w14:paraId="3276C16A" w14:textId="77777777">
      <w:pPr>
        <w:pStyle w:val="NormalWeb"/>
        <w:spacing w:before="0" w:beforeAutospacing="0" w:after="0" w:afterAutospacing="0"/>
      </w:pPr>
      <w:bookmarkStart w:id="15" w:name="FAtable"/>
      <w:bookmarkEnd w:id="15"/>
      <w:r w:rsidRPr="00282A93">
        <w:t xml:space="preserve"> </w:t>
      </w:r>
      <w:r w:rsidRPr="00282A93" w:rsidR="009515C2">
        <w:t xml:space="preserve"> </w:t>
      </w:r>
      <w:bookmarkStart w:id="16" w:name="noFAtable"/>
      <w:bookmarkEnd w:id="16"/>
    </w:p>
    <w:p w:rsidR="00A417DD" w:rsidP="00E71011" w14:paraId="10E6DDFF" w14:textId="1895FF88">
      <w:pPr>
        <w:pStyle w:val="NormalWeb"/>
        <w:spacing w:before="0" w:beforeAutospacing="0"/>
      </w:pPr>
      <w:r>
        <w:t xml:space="preserve">A "+" next to a geographic area listed above indicates that the area overlaps with other </w:t>
      </w:r>
      <w:r w:rsidR="00C2403A">
        <w:t>Tribe</w:t>
      </w:r>
      <w:r>
        <w:t>(s).  For overlapping areas, be sure to review the information in the next section</w:t>
      </w:r>
      <w:r w:rsidR="007E4A63">
        <w:t>,</w:t>
      </w:r>
      <w:r>
        <w:t xml:space="preserve"> "Overlapping Formula Areas."  Balance of county refers to any land in a county outside reservations or trust lands.</w:t>
      </w:r>
    </w:p>
    <w:p w:rsidR="00A417DD" w14:paraId="03DF34FD" w14:textId="1F8087E9">
      <w:pPr>
        <w:pStyle w:val="NormalWeb"/>
      </w:pPr>
      <w:r>
        <w:t>If any of these areas do not meet the above criteria or are not covered under</w:t>
      </w:r>
      <w:r w:rsidR="00C01FC7">
        <w:t xml:space="preserve"> 24 CFR</w:t>
      </w:r>
      <w:r>
        <w:t xml:space="preserve"> §1000.302 Formula area (2), please make changes and corrections in Appendi</w:t>
      </w:r>
      <w:r w:rsidR="003057E1">
        <w:t>ces</w:t>
      </w:r>
      <w:r w:rsidR="002C0344">
        <w:t xml:space="preserve"> B1 and B2.</w:t>
      </w:r>
    </w:p>
    <w:p w:rsidR="00A417DD" w14:paraId="25008DFA" w14:textId="03E1CB90">
      <w:pPr>
        <w:pStyle w:val="NormalWeb"/>
      </w:pPr>
      <w:r>
        <w:t xml:space="preserve">If you wish to request other geographic areas beyond those identified above to be added to your Tribe's Formula Area, please complete the Formula Area table in </w:t>
      </w:r>
      <w:r>
        <w:rPr>
          <w:b/>
          <w:bCs/>
        </w:rPr>
        <w:t>Appendi</w:t>
      </w:r>
      <w:r w:rsidR="00D02663">
        <w:rPr>
          <w:b/>
          <w:bCs/>
        </w:rPr>
        <w:t>ces B1 and</w:t>
      </w:r>
      <w:r w:rsidR="00720136">
        <w:rPr>
          <w:b/>
          <w:bCs/>
        </w:rPr>
        <w:t>/or</w:t>
      </w:r>
      <w:r w:rsidR="00D02663">
        <w:rPr>
          <w:b/>
          <w:bCs/>
        </w:rPr>
        <w:t xml:space="preserve"> B2.</w:t>
      </w:r>
      <w:r w:rsidR="00D02663">
        <w:rPr>
          <w:b/>
          <w:bCs/>
        </w:rPr>
        <w:t xml:space="preserve"> </w:t>
      </w:r>
      <w:r>
        <w:t> HUD will review this submission based on</w:t>
      </w:r>
      <w:r w:rsidR="00C01FC7">
        <w:t xml:space="preserve"> 24 CFR</w:t>
      </w:r>
      <w:r>
        <w:t xml:space="preserve"> §1000.302 Formula area (2) &amp; (3) and</w:t>
      </w:r>
      <w:r w:rsidR="00C01FC7">
        <w:t xml:space="preserve"> 24 CFR</w:t>
      </w:r>
      <w:r>
        <w:t xml:space="preserve"> §1000.302 substantial housing services and determine whether or not to include these areas.  HUD will make its judgment using as its guide whether this addition is fair and equitable for all </w:t>
      </w:r>
      <w:r w:rsidR="00C2403A">
        <w:t>Tribe</w:t>
      </w:r>
      <w:r>
        <w:t xml:space="preserve">s receiving a formula allocation.  Please note that if Formula Area expansions are approved based on substantial housing services, </w:t>
      </w:r>
      <w:r w:rsidR="00C2403A">
        <w:t>Tribe</w:t>
      </w:r>
      <w:r>
        <w:t>s must continue to provide investment levels consistent with the definition of substantial housing services in accordance with</w:t>
      </w:r>
      <w:r w:rsidR="00C01FC7">
        <w:t xml:space="preserve"> 24 CFR</w:t>
      </w:r>
      <w:r>
        <w:t xml:space="preserve"> §1000.302 substantial housing services (2).</w:t>
      </w:r>
    </w:p>
    <w:p w:rsidR="00A417DD" w14:paraId="21536EEA" w14:textId="77777777">
      <w:pPr>
        <w:pStyle w:val="Heading1"/>
        <w:pageBreakBefore/>
        <w:rPr>
          <w:rFonts w:eastAsia="Times New Roman"/>
        </w:rPr>
      </w:pPr>
      <w:bookmarkStart w:id="17" w:name="tribename5"/>
      <w:bookmarkEnd w:id="17"/>
      <w:r>
        <w:rPr>
          <w:rFonts w:eastAsia="Times New Roman"/>
        </w:rPr>
        <w:br/>
        <w:t>Overlapping Formula Areas</w:t>
      </w:r>
    </w:p>
    <w:p w:rsidR="00A417DD" w14:paraId="18D2B83D" w14:textId="2F15565A">
      <w:pPr>
        <w:pStyle w:val="Heading6"/>
        <w:rPr>
          <w:rFonts w:eastAsia="Times New Roman"/>
        </w:rPr>
      </w:pPr>
      <w:r>
        <w:rPr>
          <w:rFonts w:eastAsia="Times New Roman"/>
        </w:rPr>
        <w:t xml:space="preserve">Only for </w:t>
      </w:r>
      <w:r w:rsidR="00C2403A">
        <w:rPr>
          <w:rFonts w:eastAsia="Times New Roman"/>
        </w:rPr>
        <w:t>Tribe</w:t>
      </w:r>
      <w:r>
        <w:rPr>
          <w:rFonts w:eastAsia="Times New Roman"/>
        </w:rPr>
        <w:t>s with a "+" next to the geographic area</w:t>
      </w:r>
      <w:r>
        <w:rPr>
          <w:rFonts w:eastAsia="Times New Roman"/>
        </w:rPr>
        <w:br/>
        <w:t>(see previous section on Formula Area)</w:t>
      </w:r>
    </w:p>
    <w:p w:rsidR="00A417DD" w14:paraId="66F2BC99" w14:textId="3C08FC39">
      <w:pPr>
        <w:pStyle w:val="NormalWeb"/>
      </w:pPr>
      <w:r>
        <w:t xml:space="preserve">In cases where </w:t>
      </w:r>
      <w:r w:rsidR="00C2403A">
        <w:t>Tribe</w:t>
      </w:r>
      <w:r>
        <w:t xml:space="preserve">s are overlapped, Needs data (population and household) for the entire Formula Area of all </w:t>
      </w:r>
      <w:r w:rsidR="00C2403A">
        <w:t>Tribe</w:t>
      </w:r>
      <w:r>
        <w:t>s involved in the overlap are shared.  If your Formula Area is overlapped, you are likely receiving a share of the Needs data for areas beyond those listed as being part of your Tribe's Formula Area.</w:t>
      </w:r>
    </w:p>
    <w:p w:rsidR="00C349CB" w:rsidRPr="00282A93" w:rsidP="00757D4D" w14:paraId="093A1B84" w14:textId="3FC0DF76">
      <w:pPr>
        <w:pStyle w:val="NormalWeb"/>
        <w:contextualSpacing/>
        <w:rPr>
          <w:b/>
        </w:rPr>
      </w:pPr>
      <w:r>
        <w:t xml:space="preserve">Currently, your Tribe is sharing Needs data as a result of overlapping Formula </w:t>
      </w:r>
      <w:r w:rsidR="00A261AB">
        <w:t xml:space="preserve">Areas with the following </w:t>
      </w:r>
      <w:r w:rsidR="00C2403A">
        <w:t>Tribe</w:t>
      </w:r>
      <w:r w:rsidR="00A261AB">
        <w:t>s</w:t>
      </w:r>
      <w:r>
        <w:t xml:space="preserve">:  </w:t>
      </w:r>
    </w:p>
    <w:p w:rsidR="00757D4D" w:rsidRPr="00282A93" w:rsidP="00D317DE" w14:paraId="153E59F1" w14:textId="77777777">
      <w:pPr>
        <w:pStyle w:val="NormalWeb"/>
        <w:spacing w:before="0" w:beforeAutospacing="0" w:after="0" w:afterAutospacing="0"/>
        <w:contextualSpacing/>
        <w:rPr>
          <w:b/>
        </w:rPr>
      </w:pPr>
      <w:bookmarkStart w:id="18" w:name="nooverlap"/>
      <w:bookmarkEnd w:id="18"/>
    </w:p>
    <w:p w:rsidR="00A417DD" w:rsidP="00D317DE" w14:paraId="140D34DE" w14:textId="65DE322B">
      <w:pPr>
        <w:pStyle w:val="NormalWeb"/>
        <w:spacing w:before="0" w:beforeAutospacing="0"/>
        <w:ind w:firstLine="720"/>
      </w:pPr>
      <w:r>
        <w:t xml:space="preserve">Since FY 1998, </w:t>
      </w:r>
      <w:r w:rsidR="005A0143">
        <w:t xml:space="preserve">HUD </w:t>
      </w:r>
      <w:r>
        <w:t xml:space="preserve">has </w:t>
      </w:r>
      <w:r w:rsidR="005A0143">
        <w:t>use</w:t>
      </w:r>
      <w:r>
        <w:t>d the most recent</w:t>
      </w:r>
      <w:r w:rsidR="005A0143">
        <w:t xml:space="preserve"> Bureau of Indian Affairs (BIA) Total Resident Service Area Indian Population (TRSAIP) </w:t>
      </w:r>
      <w:r>
        <w:t xml:space="preserve">data </w:t>
      </w:r>
      <w:r w:rsidR="005A0143">
        <w:t xml:space="preserve">to proportionately </w:t>
      </w:r>
      <w:r>
        <w:t>divide the U.S. Decennial Census population d</w:t>
      </w:r>
      <w:r w:rsidR="005A0143">
        <w:t xml:space="preserve">ata </w:t>
      </w:r>
      <w:r>
        <w:t>for</w:t>
      </w:r>
      <w:r w:rsidR="005A0143">
        <w:t xml:space="preserve"> </w:t>
      </w:r>
      <w:r w:rsidR="00C2403A">
        <w:t>Tribe</w:t>
      </w:r>
      <w:r w:rsidR="005A0143">
        <w:t>s</w:t>
      </w:r>
      <w:r>
        <w:t xml:space="preserve"> with overlapping Formula Areas, unless the Tribes agree on a different allocation method</w:t>
      </w:r>
      <w:r w:rsidR="005A0143">
        <w:t>.</w:t>
      </w:r>
    </w:p>
    <w:p w:rsidR="00A417DD" w:rsidP="00D84385" w14:paraId="59B1D29B" w14:textId="77777777">
      <w:pPr>
        <w:pStyle w:val="NormalWeb"/>
        <w:spacing w:after="0" w:afterAutospacing="0"/>
      </w:pPr>
      <w:r>
        <w:rPr>
          <w:b/>
          <w:bCs/>
        </w:rPr>
        <w:t xml:space="preserve">The TRSAIP being used for your Tribe is: </w:t>
      </w:r>
      <w:bookmarkStart w:id="19" w:name="trisaip"/>
      <w:bookmarkEnd w:id="19"/>
    </w:p>
    <w:p w:rsidR="00A417DD" w:rsidP="00765B7B" w14:paraId="15E979B9" w14:textId="18379784">
      <w:pPr>
        <w:pStyle w:val="NormalWeb"/>
        <w:tabs>
          <w:tab w:val="left" w:pos="8730"/>
        </w:tabs>
      </w:pPr>
      <w:r>
        <w:t>If you wish to correct your Tribe's TRSAIP, please contact your BIA Area Office.  </w:t>
      </w:r>
      <w:r w:rsidRPr="00C110A8" w:rsidR="00F66014">
        <w:rPr>
          <w:bCs/>
          <w:spacing w:val="-5"/>
        </w:rPr>
        <w:t xml:space="preserve">Although BIA no longer manages the Labor Force Report, some offices continue to update TRSAIP figures upon request. </w:t>
      </w:r>
      <w:r w:rsidRPr="00181CDA" w:rsidR="00F66014">
        <w:rPr>
          <w:bCs/>
        </w:rPr>
        <w:t>Requests</w:t>
      </w:r>
      <w:r w:rsidR="00F66014">
        <w:rPr>
          <w:spacing w:val="-1"/>
        </w:rPr>
        <w:t xml:space="preserve"> </w:t>
      </w:r>
      <w:r w:rsidR="00F66014">
        <w:t>must</w:t>
      </w:r>
      <w:r w:rsidR="00F66014">
        <w:rPr>
          <w:spacing w:val="-1"/>
        </w:rPr>
        <w:t xml:space="preserve"> </w:t>
      </w:r>
      <w:r w:rsidR="00F66014">
        <w:t>be</w:t>
      </w:r>
      <w:r w:rsidR="00F66014">
        <w:rPr>
          <w:spacing w:val="-2"/>
        </w:rPr>
        <w:t xml:space="preserve"> </w:t>
      </w:r>
      <w:r w:rsidR="00F66014">
        <w:t>submitted</w:t>
      </w:r>
      <w:r w:rsidR="00F66014">
        <w:rPr>
          <w:spacing w:val="-1"/>
        </w:rPr>
        <w:t xml:space="preserve"> </w:t>
      </w:r>
      <w:r w:rsidR="00F66014">
        <w:t>to</w:t>
      </w:r>
      <w:r w:rsidR="00F66014">
        <w:rPr>
          <w:spacing w:val="-1"/>
        </w:rPr>
        <w:t xml:space="preserve"> </w:t>
      </w:r>
      <w:r w:rsidR="00F66014">
        <w:t>the</w:t>
      </w:r>
      <w:r w:rsidR="00F66014">
        <w:rPr>
          <w:spacing w:val="-2"/>
        </w:rPr>
        <w:t xml:space="preserve"> </w:t>
      </w:r>
      <w:r w:rsidR="00F66014">
        <w:t>Tribe’s</w:t>
      </w:r>
      <w:r w:rsidR="00F66014">
        <w:rPr>
          <w:spacing w:val="-1"/>
        </w:rPr>
        <w:t xml:space="preserve"> </w:t>
      </w:r>
      <w:r w:rsidR="00F66014">
        <w:t>local</w:t>
      </w:r>
      <w:r w:rsidR="00F66014">
        <w:rPr>
          <w:spacing w:val="-1"/>
        </w:rPr>
        <w:t xml:space="preserve"> </w:t>
      </w:r>
      <w:r w:rsidR="00F66014">
        <w:t>BIA</w:t>
      </w:r>
      <w:r w:rsidR="00F66014">
        <w:rPr>
          <w:spacing w:val="-2"/>
        </w:rPr>
        <w:t xml:space="preserve"> </w:t>
      </w:r>
      <w:r w:rsidR="00F66014">
        <w:t>office, which may process them according to</w:t>
      </w:r>
      <w:r w:rsidR="00F66014">
        <w:rPr>
          <w:spacing w:val="-1"/>
        </w:rPr>
        <w:t xml:space="preserve"> </w:t>
      </w:r>
      <w:r w:rsidR="00F66014">
        <w:t>existing</w:t>
      </w:r>
      <w:r w:rsidR="00F66014">
        <w:rPr>
          <w:spacing w:val="-1"/>
        </w:rPr>
        <w:t xml:space="preserve"> </w:t>
      </w:r>
      <w:r w:rsidR="00F66014">
        <w:rPr>
          <w:spacing w:val="-2"/>
        </w:rPr>
        <w:t xml:space="preserve">procedures. </w:t>
      </w:r>
      <w:r w:rsidR="00F66014">
        <w:t>Once your update is approved by BIA,</w:t>
      </w:r>
      <w:r w:rsidR="00F66014">
        <w:rPr>
          <w:spacing w:val="-1"/>
        </w:rPr>
        <w:t xml:space="preserve"> </w:t>
      </w:r>
      <w:r w:rsidR="00F66014">
        <w:t>obtain</w:t>
      </w:r>
      <w:r w:rsidR="00F66014">
        <w:rPr>
          <w:spacing w:val="-2"/>
        </w:rPr>
        <w:t xml:space="preserve"> </w:t>
      </w:r>
      <w:r w:rsidR="00F66014">
        <w:t>a</w:t>
      </w:r>
      <w:r w:rsidR="00F66014">
        <w:rPr>
          <w:spacing w:val="-2"/>
        </w:rPr>
        <w:t xml:space="preserve"> BIA </w:t>
      </w:r>
      <w:r w:rsidR="00F66014">
        <w:t>certification</w:t>
      </w:r>
      <w:r w:rsidR="00F66014">
        <w:rPr>
          <w:spacing w:val="-2"/>
        </w:rPr>
        <w:t xml:space="preserve"> </w:t>
      </w:r>
      <w:r w:rsidR="00F66014">
        <w:t>with</w:t>
      </w:r>
      <w:r w:rsidR="00F66014">
        <w:rPr>
          <w:spacing w:val="-1"/>
        </w:rPr>
        <w:t xml:space="preserve"> </w:t>
      </w:r>
      <w:r w:rsidR="00F66014">
        <w:t>the</w:t>
      </w:r>
      <w:r w:rsidR="00F66014">
        <w:rPr>
          <w:spacing w:val="-3"/>
        </w:rPr>
        <w:t xml:space="preserve"> </w:t>
      </w:r>
      <w:r w:rsidR="00F66014">
        <w:t>updated</w:t>
      </w:r>
      <w:r w:rsidR="00F66014">
        <w:rPr>
          <w:spacing w:val="-1"/>
        </w:rPr>
        <w:t xml:space="preserve"> </w:t>
      </w:r>
      <w:r w:rsidR="00F66014">
        <w:t>TRSAIP</w:t>
      </w:r>
      <w:r w:rsidR="00F66014">
        <w:rPr>
          <w:spacing w:val="-2"/>
        </w:rPr>
        <w:t xml:space="preserve"> </w:t>
      </w:r>
      <w:r w:rsidR="00F66014">
        <w:t>number (</w:t>
      </w:r>
      <w:r>
        <w:t xml:space="preserve">see Appendix </w:t>
      </w:r>
      <w:r w:rsidR="00765B7B">
        <w:t>D</w:t>
      </w:r>
      <w:r>
        <w:t xml:space="preserve"> to the document "</w:t>
      </w:r>
      <w:r>
        <w:rPr>
          <w:i/>
          <w:iCs/>
        </w:rPr>
        <w:t>Challenging U.S. Decennial Census Data: Guidelines for the Indian Housing Block Grant Formula</w:t>
      </w:r>
      <w:r>
        <w:t>" available through the IHBG Formula Customer Service Center).</w:t>
      </w:r>
    </w:p>
    <w:p w:rsidR="00F66014" w:rsidRPr="00C110A8" w:rsidP="00796C12" w14:paraId="69EC6B70" w14:textId="77777777">
      <w:pPr>
        <w:spacing w:after="160" w:line="259" w:lineRule="auto"/>
        <w:ind w:firstLine="720"/>
      </w:pPr>
      <w:r w:rsidRPr="00C110A8">
        <w:t>For</w:t>
      </w:r>
      <w:r w:rsidRPr="003A401B">
        <w:t xml:space="preserve"> </w:t>
      </w:r>
      <w:r>
        <w:t>Tribe</w:t>
      </w:r>
      <w:r w:rsidRPr="003A401B">
        <w:t xml:space="preserve">s </w:t>
      </w:r>
      <w:r w:rsidRPr="00C110A8">
        <w:t>in</w:t>
      </w:r>
      <w:r w:rsidRPr="003A401B">
        <w:t xml:space="preserve"> overlapping Formula </w:t>
      </w:r>
      <w:r w:rsidRPr="00C110A8">
        <w:t>Areas</w:t>
      </w:r>
      <w:r w:rsidRPr="003A401B">
        <w:t xml:space="preserve">, the Needs data for all areas are combined and then </w:t>
      </w:r>
      <w:r w:rsidRPr="00C110A8">
        <w:t>divided</w:t>
      </w:r>
      <w:r w:rsidRPr="003A401B">
        <w:t xml:space="preserve"> among the </w:t>
      </w:r>
      <w:r>
        <w:t>Tribe</w:t>
      </w:r>
      <w:r w:rsidRPr="003A401B">
        <w:t>s</w:t>
      </w:r>
      <w:r w:rsidRPr="00C110A8">
        <w:t>. Under</w:t>
      </w:r>
      <w:r w:rsidRPr="003A401B">
        <w:t xml:space="preserve"> 24 CFR § 1000.326, </w:t>
      </w:r>
      <w:r>
        <w:t>Tribe</w:t>
      </w:r>
      <w:r w:rsidRPr="003A401B">
        <w:t xml:space="preserve">s </w:t>
      </w:r>
      <w:r w:rsidRPr="00C110A8">
        <w:t>can</w:t>
      </w:r>
      <w:r w:rsidRPr="003A401B">
        <w:t xml:space="preserve"> agree on </w:t>
      </w:r>
      <w:r w:rsidRPr="00C110A8">
        <w:t>how to share</w:t>
      </w:r>
      <w:r w:rsidRPr="003A401B">
        <w:t xml:space="preserve"> the data.</w:t>
      </w:r>
      <w:r>
        <w:t xml:space="preserve"> </w:t>
      </w:r>
      <w:r w:rsidRPr="00C110A8">
        <w:t>If no</w:t>
      </w:r>
      <w:r w:rsidRPr="003A401B">
        <w:t xml:space="preserve"> agreement</w:t>
      </w:r>
      <w:r w:rsidRPr="00C110A8">
        <w:t xml:space="preserve"> is reached</w:t>
      </w:r>
      <w:r w:rsidRPr="003A401B">
        <w:t xml:space="preserve">, HUD </w:t>
      </w:r>
      <w:r w:rsidRPr="00C110A8">
        <w:t>uses</w:t>
      </w:r>
      <w:r w:rsidRPr="003A401B">
        <w:t xml:space="preserve"> </w:t>
      </w:r>
      <w:r>
        <w:t>TRSAIP</w:t>
      </w:r>
      <w:r w:rsidRPr="003A401B">
        <w:t xml:space="preserve"> </w:t>
      </w:r>
      <w:r w:rsidRPr="00C110A8">
        <w:t>data to allocate needs.</w:t>
      </w:r>
    </w:p>
    <w:p w:rsidR="00F66014" w:rsidP="00796C12" w14:paraId="2DE29502" w14:textId="77777777">
      <w:pPr>
        <w:spacing w:after="160" w:line="259" w:lineRule="auto"/>
        <w:ind w:firstLine="720"/>
      </w:pPr>
      <w:r>
        <w:t xml:space="preserve">HUD recognizes that in some cases, TRSAIP data may be outdated and BIA may not be able to update it for a Tribe on a case-by-case basis.  HUD also recognizes that there may be cases where TRSAIP data is simply too outdated to equitably distribute Needs data between two Indian Tribes in overlapping Formula Areas.  In such cases, in accordance with 24 CFR </w:t>
      </w:r>
      <w:r w:rsidRPr="003A401B">
        <w:t>§ 1000.326</w:t>
      </w:r>
      <w:r>
        <w:t>, HUD reserves the right to make a decision on what data will be used to divide the funds between Indian Tribes in overlapping Formula Areas.  HUD may choose an alternative data source to divide such funds between the Tribes with the overlapping Formula Areas, as it deems appropriate.</w:t>
      </w:r>
    </w:p>
    <w:p w:rsidR="00F66014" w:rsidP="00796C12" w14:paraId="687B4817" w14:textId="52ECD063">
      <w:pPr>
        <w:spacing w:after="160" w:line="259" w:lineRule="auto"/>
        <w:ind w:firstLine="720"/>
      </w:pPr>
      <w:r>
        <w:t xml:space="preserve">HUD will make the decision on what data will be used to divide the funds between the Indian Tribes by August </w:t>
      </w:r>
      <w:r w:rsidR="548A3F1C">
        <w:t>XX</w:t>
      </w:r>
      <w:r>
        <w:t>.</w:t>
      </w:r>
    </w:p>
    <w:p w:rsidR="00A417DD" w14:paraId="344F0CF6" w14:textId="77777777">
      <w:pPr>
        <w:pStyle w:val="Heading1"/>
        <w:pageBreakBefore/>
        <w:rPr>
          <w:rFonts w:eastAsia="Times New Roman"/>
        </w:rPr>
      </w:pPr>
      <w:bookmarkStart w:id="20" w:name="tribename6"/>
      <w:bookmarkEnd w:id="20"/>
      <w:r>
        <w:rPr>
          <w:rFonts w:eastAsia="Times New Roman"/>
        </w:rPr>
        <w:br/>
        <w:t>Tribal Enrollment &amp; Formula Area Population Cap</w:t>
      </w:r>
    </w:p>
    <w:p w:rsidR="00A417DD" w:rsidP="00AD7859" w14:paraId="57B10D83" w14:textId="43833F1E">
      <w:pPr>
        <w:pStyle w:val="NormalWeb"/>
        <w:spacing w:after="0" w:afterAutospacing="0"/>
      </w:pPr>
      <w:r>
        <w:t>In accordance with</w:t>
      </w:r>
      <w:r w:rsidR="00C01FC7">
        <w:t xml:space="preserve"> 24 CFR</w:t>
      </w:r>
      <w:r>
        <w:t xml:space="preserve"> §1000.302 (5), Tribal Enrollment is used to cap </w:t>
      </w:r>
      <w:r w:rsidRPr="00E46DEF" w:rsidR="002142BD">
        <w:rPr>
          <w:rFonts w:eastAsia="Times New Roman"/>
        </w:rPr>
        <w:t>AIAN</w:t>
      </w:r>
      <w:r w:rsidR="002142BD">
        <w:t xml:space="preserve"> </w:t>
      </w:r>
      <w:r>
        <w:t>persons in calculating Needs data.  A cap is placed at twice Tribal Enrollment.  If there is a "*" next to "AIAN persons" in the Needs section, your Tribe's data have been "capped."</w:t>
      </w:r>
    </w:p>
    <w:p w:rsidR="00E73978" w:rsidP="00AD7859" w14:paraId="3E6033C1" w14:textId="77777777">
      <w:pPr>
        <w:pStyle w:val="NormalWeb"/>
        <w:spacing w:before="120" w:beforeAutospacing="0" w:after="120" w:afterAutospacing="0"/>
        <w:rPr>
          <w:b/>
          <w:bCs/>
        </w:rPr>
      </w:pPr>
      <w:r>
        <w:rPr>
          <w:b/>
          <w:bCs/>
        </w:rPr>
        <w:t>The enrollment being used for your Tribe (or Alaska Village or Corporation) is</w:t>
      </w:r>
      <w:r w:rsidR="00FE6767">
        <w:rPr>
          <w:b/>
          <w:bCs/>
        </w:rPr>
        <w:t xml:space="preserve">:  </w:t>
      </w:r>
      <w:bookmarkStart w:id="21" w:name="biaenrol"/>
      <w:bookmarkEnd w:id="21"/>
    </w:p>
    <w:p w:rsidR="00EF56B0" w:rsidP="001472B2" w14:paraId="0BAE52CD" w14:textId="77777777">
      <w:pPr>
        <w:pStyle w:val="NormalWeb"/>
        <w:spacing w:before="0" w:beforeAutospacing="0" w:after="0" w:afterAutospacing="0"/>
        <w:rPr>
          <w:b/>
          <w:bCs/>
        </w:rPr>
      </w:pPr>
    </w:p>
    <w:p w:rsidR="00A417DD" w:rsidP="00AD7859" w14:paraId="39AB343A" w14:textId="77777777">
      <w:pPr>
        <w:pStyle w:val="NormalWeb"/>
        <w:spacing w:before="0" w:beforeAutospacing="0"/>
      </w:pPr>
      <w:r>
        <w:t>If your Tribe's enrollment is different than what is listed above, please follow the instructions in Appendix D for correcting your Tribe's enrollment.</w:t>
      </w:r>
    </w:p>
    <w:p w:rsidR="00A417DD" w14:paraId="77FF5FEC" w14:textId="23B5DFF3">
      <w:pPr>
        <w:pStyle w:val="NormalWeb"/>
      </w:pPr>
      <w:r>
        <w:t xml:space="preserve">If a cap has been applied to your Tribe </w:t>
      </w:r>
      <w:r>
        <w:rPr>
          <w:u w:val="single"/>
        </w:rPr>
        <w:t>and</w:t>
      </w:r>
      <w:r>
        <w:t xml:space="preserve"> you are providing housing services to more than twice as many AIAN members of other </w:t>
      </w:r>
      <w:r w:rsidR="00C2403A">
        <w:t>Tribe</w:t>
      </w:r>
      <w:r>
        <w:t>s as members of your own Tribe, please follow the instructions in Appendix D for correcting your Tribe's Population Cap.</w:t>
      </w:r>
    </w:p>
    <w:p w:rsidR="00A417DD" w14:paraId="1B0FCC2F" w14:textId="61763E60">
      <w:pPr>
        <w:pStyle w:val="NormalWeb"/>
      </w:pPr>
      <w:r>
        <w:t xml:space="preserve">Please note that Formula Area Population Cap Adjustments must be submitted on an annual basis to the IHBG Formula Customer Service Center for approval.  The requests must be postmarked or faxed by </w:t>
      </w:r>
      <w:r w:rsidR="00743FA2">
        <w:t xml:space="preserve">August </w:t>
      </w:r>
      <w:r w:rsidR="095A60F9">
        <w:t>XX</w:t>
      </w:r>
      <w:r>
        <w:t xml:space="preserve"> </w:t>
      </w:r>
      <w:r w:rsidR="003057E1">
        <w:t xml:space="preserve">of </w:t>
      </w:r>
      <w:r>
        <w:t>this year.</w:t>
      </w:r>
    </w:p>
    <w:p w:rsidR="00A417DD" w14:paraId="4818ECD5" w14:textId="77777777">
      <w:pPr>
        <w:pStyle w:val="Heading1"/>
        <w:pageBreakBefore/>
        <w:rPr>
          <w:rFonts w:eastAsia="Times New Roman"/>
        </w:rPr>
      </w:pPr>
      <w:bookmarkStart w:id="22" w:name="tribename7"/>
      <w:bookmarkEnd w:id="22"/>
      <w:r>
        <w:rPr>
          <w:rFonts w:eastAsia="Times New Roman"/>
        </w:rPr>
        <w:br/>
        <w:t>Needs Data</w:t>
      </w:r>
    </w:p>
    <w:p w:rsidR="00A417DD" w14:paraId="7F428556" w14:textId="77777777">
      <w:pPr>
        <w:pStyle w:val="NormalWeb"/>
      </w:pPr>
      <w:r>
        <w:t>Listed below are the data currently being used to calculate the Needs component of your Tribe's allocation based on your Tribe's "Formula Area" (see Formula Area section of this document).</w:t>
      </w:r>
    </w:p>
    <w:p w:rsidR="00A417DD" w14:paraId="36022BE7" w14:textId="77777777">
      <w:pPr>
        <w:pStyle w:val="smallbottom"/>
      </w:pPr>
      <w:r>
        <w:t>The data used are from a special tabulation.  This tabulation:</w:t>
      </w:r>
    </w:p>
    <w:p w:rsidR="00E46DEF" w:rsidRPr="00151F28" w:rsidP="6BB1C61B" w14:paraId="0C5B19E8" w14:textId="71AFC81E">
      <w:pPr>
        <w:numPr>
          <w:ilvl w:val="0"/>
          <w:numId w:val="7"/>
        </w:numPr>
        <w:tabs>
          <w:tab w:val="left" w:pos="4950"/>
        </w:tabs>
        <w:spacing w:before="100" w:beforeAutospacing="1" w:after="100" w:afterAutospacing="1"/>
        <w:rPr>
          <w:b/>
          <w:bCs/>
        </w:rPr>
      </w:pPr>
      <w:r w:rsidRPr="6BB1C61B">
        <w:rPr>
          <w:rFonts w:eastAsia="Times New Roman"/>
        </w:rPr>
        <w:t>Counts individuals reported as AIAN.  </w:t>
      </w:r>
      <w:r w:rsidR="4453604C">
        <w:t>The AIAN person count variable come</w:t>
      </w:r>
      <w:r w:rsidR="6CEE78AF">
        <w:t>s</w:t>
      </w:r>
      <w:r w:rsidR="4453604C">
        <w:t xml:space="preserve"> from the Decennial Census and </w:t>
      </w:r>
      <w:r w:rsidR="6CEE78AF">
        <w:t xml:space="preserve">is </w:t>
      </w:r>
      <w:r w:rsidR="4453604C">
        <w:t xml:space="preserve">aged using Census population estimates.  For the FY 2010 Decennial Census, data for reservations, trust lands, and remote Alaska will receive an undercount adjustment of 4.88%.  </w:t>
      </w:r>
      <w:r w:rsidRPr="6BB1C61B" w:rsidR="4453604C">
        <w:rPr>
          <w:rFonts w:eastAsia="Times New Roman"/>
        </w:rPr>
        <w:t>For all other Need</w:t>
      </w:r>
      <w:r w:rsidRPr="6BB1C61B" w:rsidR="6CEE78AF">
        <w:rPr>
          <w:rFonts w:eastAsia="Times New Roman"/>
        </w:rPr>
        <w:t>s</w:t>
      </w:r>
      <w:r w:rsidRPr="6BB1C61B" w:rsidR="4453604C">
        <w:rPr>
          <w:rFonts w:eastAsia="Times New Roman"/>
        </w:rPr>
        <w:t xml:space="preserve"> variables, </w:t>
      </w:r>
      <w:r w:rsidRPr="6BB1C61B" w:rsidR="6CEE78AF">
        <w:rPr>
          <w:rFonts w:eastAsia="Times New Roman"/>
        </w:rPr>
        <w:t xml:space="preserve">in FY </w:t>
      </w:r>
      <w:r w:rsidRPr="6BB1C61B" w:rsidR="25CE6B49">
        <w:rPr>
          <w:rFonts w:eastAsia="Times New Roman"/>
        </w:rPr>
        <w:t>20</w:t>
      </w:r>
      <w:r w:rsidRPr="6BB1C61B" w:rsidR="39FC436E">
        <w:rPr>
          <w:rFonts w:eastAsia="Times New Roman"/>
        </w:rPr>
        <w:t>XX</w:t>
      </w:r>
      <w:r w:rsidRPr="6BB1C61B" w:rsidR="6CEE78AF">
        <w:rPr>
          <w:rFonts w:eastAsia="Times New Roman"/>
        </w:rPr>
        <w:t xml:space="preserve"> </w:t>
      </w:r>
      <w:r w:rsidR="4453604C">
        <w:t xml:space="preserve">HUD will use the 5-year rolling average from </w:t>
      </w:r>
      <w:r w:rsidR="250B8094">
        <w:t>201</w:t>
      </w:r>
      <w:r w:rsidR="18C9D60E">
        <w:t>4</w:t>
      </w:r>
      <w:r w:rsidR="250B8094">
        <w:t xml:space="preserve"> </w:t>
      </w:r>
      <w:r w:rsidR="4453604C">
        <w:t xml:space="preserve">to </w:t>
      </w:r>
      <w:r w:rsidR="250B8094">
        <w:t>201</w:t>
      </w:r>
      <w:r w:rsidR="18C9D60E">
        <w:t>8</w:t>
      </w:r>
      <w:r w:rsidR="250B8094">
        <w:t xml:space="preserve"> </w:t>
      </w:r>
      <w:r w:rsidR="4453604C">
        <w:t xml:space="preserve">ACS data.  The ACS data will be updated every year.  These data sources apply unless </w:t>
      </w:r>
      <w:r w:rsidR="39A6DEB9">
        <w:t>Tribe</w:t>
      </w:r>
      <w:r w:rsidR="4453604C">
        <w:t xml:space="preserve">s have </w:t>
      </w:r>
      <w:r w:rsidR="69E82D3E">
        <w:t>approved</w:t>
      </w:r>
      <w:r w:rsidR="082DD254">
        <w:t xml:space="preserve"> Census Ch</w:t>
      </w:r>
      <w:r w:rsidR="5530ACBC">
        <w:t>al</w:t>
      </w:r>
      <w:r w:rsidR="082DD254">
        <w:t xml:space="preserve">lenges </w:t>
      </w:r>
      <w:r w:rsidR="69E82D3E">
        <w:t>in place.</w:t>
      </w:r>
      <w:r w:rsidRPr="6BB1C61B" w:rsidR="25039CA7">
        <w:rPr>
          <w:b/>
          <w:bCs/>
        </w:rPr>
        <w:t xml:space="preserve"> </w:t>
      </w:r>
      <w:bookmarkStart w:id="23" w:name="censuschallengetext"/>
      <w:bookmarkEnd w:id="23"/>
      <w:r w:rsidRPr="6BB1C61B" w:rsidR="1BEA7D38">
        <w:rPr>
          <w:b/>
          <w:bCs/>
        </w:rPr>
        <w:t xml:space="preserve"> </w:t>
      </w:r>
    </w:p>
    <w:p w:rsidR="00A417DD" w:rsidRPr="00E46DEF" w:rsidP="6BB1C61B" w14:paraId="1DFD9CB8" w14:textId="27B7BCE1">
      <w:pPr>
        <w:numPr>
          <w:ilvl w:val="0"/>
          <w:numId w:val="7"/>
        </w:numPr>
        <w:spacing w:before="100" w:beforeAutospacing="1" w:after="100" w:afterAutospacing="1"/>
        <w:rPr>
          <w:rFonts w:eastAsia="Times New Roman"/>
        </w:rPr>
      </w:pPr>
      <w:r w:rsidRPr="6BB1C61B">
        <w:rPr>
          <w:rFonts w:eastAsia="Times New Roman"/>
        </w:rPr>
        <w:t xml:space="preserve">The FY </w:t>
      </w:r>
      <w:r w:rsidRPr="6BB1C61B" w:rsidR="25CE6B49">
        <w:rPr>
          <w:rFonts w:eastAsia="Times New Roman"/>
        </w:rPr>
        <w:t>20</w:t>
      </w:r>
      <w:r w:rsidRPr="6BB1C61B" w:rsidR="7149090F">
        <w:rPr>
          <w:rFonts w:eastAsia="Times New Roman"/>
        </w:rPr>
        <w:t>XX</w:t>
      </w:r>
      <w:r w:rsidRPr="6BB1C61B" w:rsidR="5E6C2F44">
        <w:rPr>
          <w:rFonts w:eastAsia="Times New Roman"/>
        </w:rPr>
        <w:t xml:space="preserve"> </w:t>
      </w:r>
      <w:r w:rsidRPr="6BB1C61B">
        <w:rPr>
          <w:rFonts w:eastAsia="Times New Roman"/>
        </w:rPr>
        <w:t xml:space="preserve">estimate is calculated with the Needs component based on single race (AIAN alone) Census data and multi-race (AIAN alone and in combination with other race(s)) Census data.  The amount of the allocation for each Indian </w:t>
      </w:r>
      <w:r w:rsidRPr="6BB1C61B" w:rsidR="39A6DEB9">
        <w:rPr>
          <w:rFonts w:eastAsia="Times New Roman"/>
        </w:rPr>
        <w:t>Tribe</w:t>
      </w:r>
      <w:r w:rsidRPr="6BB1C61B">
        <w:rPr>
          <w:rFonts w:eastAsia="Times New Roman"/>
        </w:rPr>
        <w:t xml:space="preserve"> was determined to be the greater of the two resulting allocation amounts.</w:t>
      </w:r>
    </w:p>
    <w:p w:rsidR="00A417DD" w:rsidP="6BB1C61B" w14:paraId="222765E8" w14:textId="5997D665">
      <w:pPr>
        <w:pStyle w:val="NormalWeb"/>
      </w:pPr>
      <w:r>
        <w:t xml:space="preserve">The </w:t>
      </w:r>
      <w:r w:rsidR="215E2810">
        <w:t xml:space="preserve">growth adjustment factor and the undercount adjustments used </w:t>
      </w:r>
      <w:r>
        <w:t xml:space="preserve">for your Formula Area </w:t>
      </w:r>
      <w:r w:rsidR="46A24799">
        <w:t>are</w:t>
      </w:r>
      <w:r>
        <w:t xml:space="preserve"> listed next to each Formula Area in the table listing your </w:t>
      </w:r>
      <w:r w:rsidR="6DFC0188">
        <w:t xml:space="preserve">Tribe's </w:t>
      </w:r>
      <w:r>
        <w:t xml:space="preserve">Formula </w:t>
      </w:r>
      <w:r w:rsidR="00636385">
        <w:t>Area.</w:t>
      </w:r>
      <w:r w:rsidR="00636385">
        <w:rPr>
          <w:noProof/>
          <w:color w:val="2B579A"/>
          <w:shd w:val="clear" w:color="auto" w:fill="E6E6E6"/>
        </w:rPr>
        <w:t xml:space="preserve"> </w:t>
      </w:r>
      <w:r w:rsidR="00636385">
        <w:t>After</w:t>
      </w:r>
      <w:r>
        <w:t xml:space="preserve"> </w:t>
      </w:r>
      <w:r w:rsidR="4F050733">
        <w:t xml:space="preserve">adjusting </w:t>
      </w:r>
      <w:r w:rsidR="69E82D3E">
        <w:t xml:space="preserve">for </w:t>
      </w:r>
      <w:r w:rsidR="0764B912">
        <w:t xml:space="preserve">population </w:t>
      </w:r>
      <w:r w:rsidR="69E82D3E">
        <w:t>g</w:t>
      </w:r>
      <w:r w:rsidR="4F050733">
        <w:t>rowth and undercount</w:t>
      </w:r>
      <w:r>
        <w:t xml:space="preserve">, sharing of Needs data among </w:t>
      </w:r>
      <w:r w:rsidR="39A6DEB9">
        <w:t>Tribe</w:t>
      </w:r>
      <w:r>
        <w:t xml:space="preserve">s in cases of overlapping Formula Areas and application of the Population Cap (see note below), your </w:t>
      </w:r>
      <w:r w:rsidR="62728B12">
        <w:t>T</w:t>
      </w:r>
      <w:r>
        <w:t>ribe's Needs component is based on</w:t>
      </w:r>
      <w:r w:rsidRPr="3B80EDE9" w:rsidR="32785692">
        <w:rPr>
          <w:b/>
          <w:bCs/>
        </w:rPr>
        <w:t xml:space="preserve"> </w:t>
      </w:r>
      <w:bookmarkStart w:id="24" w:name="MorS"/>
      <w:bookmarkEnd w:id="24"/>
      <w:r>
        <w:t xml:space="preserve">.  The Needs data are: </w:t>
      </w:r>
    </w:p>
    <w:p w:rsidR="00FE6327" w:rsidRPr="00151F28" w:rsidP="00AA497C" w14:paraId="5C7D4694" w14:textId="4FE387BA">
      <w:pPr>
        <w:pStyle w:val="NormalWeb"/>
        <w:spacing w:before="120" w:beforeAutospacing="0" w:after="120" w:afterAutospacing="0"/>
        <w:rPr>
          <w:b/>
          <w:sz w:val="22"/>
        </w:rPr>
      </w:pPr>
      <w:r>
        <w:rPr>
          <w:noProof/>
          <w:color w:val="2B579A"/>
          <w:sz w:val="22"/>
          <w:szCs w:val="22"/>
          <w:shd w:val="clear" w:color="auto" w:fill="E6E6E6"/>
        </w:rPr>
        <mc:AlternateContent>
          <mc:Choice Requires="wps">
            <w:drawing>
              <wp:anchor distT="45720" distB="45720" distL="114300" distR="114300" simplePos="0" relativeHeight="251659264" behindDoc="0" locked="0" layoutInCell="1" allowOverlap="1">
                <wp:simplePos x="0" y="0"/>
                <wp:positionH relativeFrom="column">
                  <wp:posOffset>5380355</wp:posOffset>
                </wp:positionH>
                <wp:positionV relativeFrom="paragraph">
                  <wp:posOffset>201295</wp:posOffset>
                </wp:positionV>
                <wp:extent cx="914400" cy="283210"/>
                <wp:effectExtent l="0" t="0" r="1270" b="0"/>
                <wp:wrapSquare wrapText="bothSides"/>
                <wp:docPr id="6"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14400" cy="28321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133C" w:rsidRPr="00A53CAE" w:rsidP="00B86E5C" w14:textId="77777777">
                            <w:pPr>
                              <w:jc w:val="right"/>
                              <w:rPr>
                                <w:sz w:val="22"/>
                                <w:szCs w:val="22"/>
                              </w:rPr>
                            </w:pPr>
                            <w:bookmarkStart w:id="25" w:name="aianlt30"/>
                            <w:bookmarkEnd w:id="25"/>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 o:spid="_x0000_s1028" type="#_x0000_t202" style="width:1in;height:22.3pt;margin-top:15.85pt;margin-left:423.65pt;mso-height-percent:0;mso-height-relative:margin;mso-width-percent:0;mso-width-relative:margin;mso-wrap-distance-bottom:3.6pt;mso-wrap-distance-left:9pt;mso-wrap-distance-right:9pt;mso-wrap-distance-top:3.6pt;position:absolute;v-text-anchor:top;z-index:251658240" fillcolor="white" stroked="f">
                <v:textbox>
                  <w:txbxContent>
                    <w:p w:rsidR="0029133C" w:rsidRPr="00A53CAE" w:rsidP="00B86E5C" w14:paraId="54980AD8" w14:textId="77777777">
                      <w:pPr>
                        <w:jc w:val="right"/>
                        <w:rPr>
                          <w:sz w:val="22"/>
                          <w:szCs w:val="22"/>
                        </w:rPr>
                      </w:pPr>
                      <w:bookmarkStart w:id="25" w:name="aianlt30"/>
                      <w:bookmarkEnd w:id="25"/>
                    </w:p>
                  </w:txbxContent>
                </v:textbox>
                <w10:wrap type="square"/>
              </v:shape>
            </w:pict>
          </mc:Fallback>
        </mc:AlternateContent>
      </w:r>
      <w:r w:rsidRPr="00151F28" w:rsidR="001955DB">
        <w:rPr>
          <w:sz w:val="22"/>
        </w:rPr>
        <w:t>AIAN persons:</w:t>
      </w:r>
      <w:r w:rsidRPr="00151F28" w:rsidR="001955DB">
        <w:rPr>
          <w:sz w:val="22"/>
        </w:rPr>
        <w:tab/>
      </w:r>
      <w:r w:rsidRPr="00151F28" w:rsidR="001955DB">
        <w:rPr>
          <w:b/>
          <w:sz w:val="22"/>
        </w:rPr>
        <w:tab/>
      </w:r>
      <w:r w:rsidRPr="00151F28" w:rsidR="001955DB">
        <w:rPr>
          <w:b/>
          <w:sz w:val="22"/>
        </w:rPr>
        <w:tab/>
      </w:r>
      <w:r w:rsidRPr="00151F28" w:rsidR="001955DB">
        <w:rPr>
          <w:sz w:val="22"/>
        </w:rPr>
        <w:tab/>
      </w:r>
      <w:r w:rsidRPr="00151F28" w:rsidR="001955DB">
        <w:rPr>
          <w:b/>
          <w:sz w:val="22"/>
        </w:rPr>
        <w:tab/>
      </w:r>
      <w:r w:rsidRPr="00151F28" w:rsidR="001955DB">
        <w:rPr>
          <w:b/>
          <w:sz w:val="22"/>
        </w:rPr>
        <w:tab/>
      </w:r>
      <w:r w:rsidRPr="00151F28" w:rsidR="001955DB">
        <w:rPr>
          <w:b/>
          <w:sz w:val="22"/>
        </w:rPr>
        <w:tab/>
      </w:r>
      <w:r w:rsidRPr="00151F28" w:rsidR="001955DB">
        <w:rPr>
          <w:b/>
          <w:sz w:val="22"/>
        </w:rPr>
        <w:tab/>
      </w:r>
      <w:r w:rsidRPr="00151F28" w:rsidR="001955DB">
        <w:rPr>
          <w:b/>
          <w:sz w:val="22"/>
        </w:rPr>
        <w:tab/>
      </w:r>
    </w:p>
    <w:p w:rsidR="00FE6327" w:rsidRPr="00151F28" w:rsidP="00AA497C" w14:paraId="4D0978AD" w14:textId="43CF6FED">
      <w:pPr>
        <w:pStyle w:val="NormalWeb"/>
        <w:spacing w:before="120" w:beforeAutospacing="0" w:after="120" w:afterAutospacing="0"/>
        <w:rPr>
          <w:b/>
          <w:sz w:val="22"/>
        </w:rPr>
      </w:pPr>
      <w:r>
        <w:rPr>
          <w:noProof/>
          <w:color w:val="2B579A"/>
          <w:sz w:val="22"/>
          <w:szCs w:val="22"/>
          <w:shd w:val="clear" w:color="auto" w:fill="E6E6E6"/>
        </w:rPr>
        <mc:AlternateContent>
          <mc:Choice Requires="wps">
            <w:drawing>
              <wp:anchor distT="45720" distB="45720" distL="114300" distR="114300" simplePos="0" relativeHeight="251661312" behindDoc="0" locked="0" layoutInCell="1" allowOverlap="1">
                <wp:simplePos x="0" y="0"/>
                <wp:positionH relativeFrom="column">
                  <wp:posOffset>5380355</wp:posOffset>
                </wp:positionH>
                <wp:positionV relativeFrom="paragraph">
                  <wp:posOffset>200025</wp:posOffset>
                </wp:positionV>
                <wp:extent cx="914400" cy="283210"/>
                <wp:effectExtent l="0" t="3175" r="1270" b="0"/>
                <wp:wrapSquare wrapText="bothSides"/>
                <wp:docPr id="5"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14400" cy="28321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133C" w:rsidRPr="00A53CAE" w:rsidP="00B86E5C" w14:textId="77777777">
                            <w:pPr>
                              <w:jc w:val="right"/>
                              <w:rPr>
                                <w:sz w:val="20"/>
                                <w:szCs w:val="20"/>
                              </w:rPr>
                            </w:pPr>
                            <w:bookmarkStart w:id="26" w:name="aian3050"/>
                            <w:bookmarkEnd w:id="26"/>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4" o:spid="_x0000_s1029" type="#_x0000_t202" style="width:1in;height:22.3pt;margin-top:15.75pt;margin-left:423.65pt;mso-height-percent:0;mso-height-relative:margin;mso-width-percent:0;mso-width-relative:margin;mso-wrap-distance-bottom:3.6pt;mso-wrap-distance-left:9pt;mso-wrap-distance-right:9pt;mso-wrap-distance-top:3.6pt;position:absolute;v-text-anchor:top;z-index:251660288" fillcolor="white" stroked="f">
                <v:textbox>
                  <w:txbxContent>
                    <w:p w:rsidR="0029133C" w:rsidRPr="00A53CAE" w:rsidP="00B86E5C" w14:paraId="50924624" w14:textId="77777777">
                      <w:pPr>
                        <w:jc w:val="right"/>
                        <w:rPr>
                          <w:sz w:val="20"/>
                          <w:szCs w:val="20"/>
                        </w:rPr>
                      </w:pPr>
                      <w:bookmarkStart w:id="26" w:name="aian3050"/>
                      <w:bookmarkEnd w:id="26"/>
                    </w:p>
                  </w:txbxContent>
                </v:textbox>
                <w10:wrap type="square"/>
              </v:shape>
            </w:pict>
          </mc:Fallback>
        </mc:AlternateContent>
      </w:r>
      <w:r w:rsidRPr="00151F28" w:rsidR="001955DB">
        <w:rPr>
          <w:sz w:val="22"/>
        </w:rPr>
        <w:t>AIAN households with annual income less than 30% of median income:</w:t>
      </w:r>
      <w:r w:rsidRPr="00151F28" w:rsidR="001955DB">
        <w:rPr>
          <w:b/>
          <w:sz w:val="22"/>
        </w:rPr>
        <w:tab/>
      </w:r>
      <w:r w:rsidRPr="00151F28" w:rsidR="001955DB">
        <w:rPr>
          <w:b/>
          <w:sz w:val="22"/>
        </w:rPr>
        <w:tab/>
      </w:r>
    </w:p>
    <w:p w:rsidR="00FE6327" w:rsidRPr="00151F28" w:rsidP="00AA497C" w14:paraId="7F6767AD" w14:textId="67A0A410">
      <w:pPr>
        <w:pStyle w:val="NormalWeb"/>
        <w:spacing w:before="120" w:beforeAutospacing="0" w:after="120" w:afterAutospacing="0"/>
        <w:rPr>
          <w:b/>
          <w:sz w:val="22"/>
        </w:rPr>
      </w:pPr>
      <w:r>
        <w:rPr>
          <w:noProof/>
          <w:color w:val="2B579A"/>
          <w:shd w:val="clear" w:color="auto" w:fill="E6E6E6"/>
        </w:rPr>
        <mc:AlternateContent>
          <mc:Choice Requires="wps">
            <w:drawing>
              <wp:anchor distT="45720" distB="45720" distL="114300" distR="114300" simplePos="0" relativeHeight="251663360" behindDoc="0" locked="0" layoutInCell="1" allowOverlap="1">
                <wp:simplePos x="0" y="0"/>
                <wp:positionH relativeFrom="column">
                  <wp:posOffset>5380355</wp:posOffset>
                </wp:positionH>
                <wp:positionV relativeFrom="paragraph">
                  <wp:posOffset>202565</wp:posOffset>
                </wp:positionV>
                <wp:extent cx="914400" cy="283210"/>
                <wp:effectExtent l="0" t="4445" r="1270" b="0"/>
                <wp:wrapSquare wrapText="bothSides"/>
                <wp:docPr id="4"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14400" cy="28321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133C" w:rsidRPr="00A53CAE" w:rsidP="00B86E5C" w14:textId="77777777">
                            <w:pPr>
                              <w:jc w:val="right"/>
                              <w:rPr>
                                <w:sz w:val="20"/>
                                <w:szCs w:val="20"/>
                              </w:rPr>
                            </w:pPr>
                            <w:bookmarkStart w:id="27" w:name="aian5080"/>
                            <w:bookmarkEnd w:id="27"/>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5" o:spid="_x0000_s1030" type="#_x0000_t202" style="width:1in;height:22.3pt;margin-top:15.95pt;margin-left:423.65pt;mso-height-percent:0;mso-height-relative:margin;mso-width-percent:0;mso-width-relative:margin;mso-wrap-distance-bottom:3.6pt;mso-wrap-distance-left:9pt;mso-wrap-distance-right:9pt;mso-wrap-distance-top:3.6pt;position:absolute;v-text-anchor:top;z-index:251662336" fillcolor="white" stroked="f">
                <v:textbox>
                  <w:txbxContent>
                    <w:p w:rsidR="0029133C" w:rsidRPr="00A53CAE" w:rsidP="00B86E5C" w14:paraId="1F2FB4B2" w14:textId="77777777">
                      <w:pPr>
                        <w:jc w:val="right"/>
                        <w:rPr>
                          <w:sz w:val="20"/>
                          <w:szCs w:val="20"/>
                        </w:rPr>
                      </w:pPr>
                      <w:bookmarkStart w:id="27" w:name="aian5080"/>
                      <w:bookmarkEnd w:id="27"/>
                    </w:p>
                  </w:txbxContent>
                </v:textbox>
                <w10:wrap type="square"/>
              </v:shape>
            </w:pict>
          </mc:Fallback>
        </mc:AlternateContent>
      </w:r>
      <w:r w:rsidRPr="00151F28" w:rsidR="001955DB">
        <w:rPr>
          <w:sz w:val="22"/>
        </w:rPr>
        <w:t>AIAN households with annual income between 30% and 50% of median income:</w:t>
      </w:r>
      <w:r w:rsidRPr="00151F28" w:rsidR="001955DB">
        <w:rPr>
          <w:b/>
          <w:sz w:val="22"/>
        </w:rPr>
        <w:tab/>
      </w:r>
    </w:p>
    <w:p w:rsidR="00FE6327" w:rsidRPr="00151F28" w:rsidP="00AA497C" w14:paraId="3D014817" w14:textId="3C676FE5">
      <w:pPr>
        <w:pStyle w:val="NormalWeb"/>
        <w:spacing w:before="120" w:beforeAutospacing="0" w:after="120" w:afterAutospacing="0"/>
        <w:rPr>
          <w:b/>
          <w:sz w:val="22"/>
        </w:rPr>
      </w:pPr>
      <w:r>
        <w:rPr>
          <w:rFonts w:eastAsia="Times New Roman"/>
          <w:noProof/>
          <w:color w:val="2B579A"/>
          <w:sz w:val="20"/>
          <w:szCs w:val="20"/>
          <w:shd w:val="clear" w:color="auto" w:fill="E6E6E6"/>
        </w:rPr>
        <mc:AlternateContent>
          <mc:Choice Requires="wps">
            <w:drawing>
              <wp:anchor distT="0" distB="0" distL="114300" distR="114300" simplePos="0" relativeHeight="251665408" behindDoc="0" locked="0" layoutInCell="1" allowOverlap="1">
                <wp:simplePos x="0" y="0"/>
                <wp:positionH relativeFrom="column">
                  <wp:posOffset>5380355</wp:posOffset>
                </wp:positionH>
                <wp:positionV relativeFrom="paragraph">
                  <wp:posOffset>200660</wp:posOffset>
                </wp:positionV>
                <wp:extent cx="914400" cy="283210"/>
                <wp:effectExtent l="0" t="1270" r="1270" b="1270"/>
                <wp:wrapNone/>
                <wp:docPr id="3"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14400" cy="28321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133C" w:rsidRPr="00A53CAE" w:rsidP="00B86E5C" w14:textId="77777777">
                            <w:pPr>
                              <w:jc w:val="right"/>
                              <w:rPr>
                                <w:sz w:val="20"/>
                                <w:szCs w:val="20"/>
                              </w:rPr>
                            </w:pPr>
                            <w:bookmarkStart w:id="28" w:name="aianocrpr"/>
                            <w:bookmarkEnd w:id="28"/>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1031" type="#_x0000_t202" style="width:1in;height:22.3pt;margin-top:15.8pt;margin-left:423.65pt;mso-height-percent:0;mso-height-relative:page;mso-width-percent:0;mso-width-relative:page;mso-wrap-distance-bottom:0;mso-wrap-distance-left:9pt;mso-wrap-distance-right:9pt;mso-wrap-distance-top:0;position:absolute;v-text-anchor:top;z-index:251664384" fillcolor="white" stroked="f">
                <v:textbox>
                  <w:txbxContent>
                    <w:p w:rsidR="0029133C" w:rsidRPr="00A53CAE" w:rsidP="00B86E5C" w14:paraId="50E44BA8" w14:textId="77777777">
                      <w:pPr>
                        <w:jc w:val="right"/>
                        <w:rPr>
                          <w:sz w:val="20"/>
                          <w:szCs w:val="20"/>
                        </w:rPr>
                      </w:pPr>
                      <w:bookmarkStart w:id="28" w:name="aianocrpr"/>
                      <w:bookmarkEnd w:id="28"/>
                    </w:p>
                  </w:txbxContent>
                </v:textbox>
              </v:shape>
            </w:pict>
          </mc:Fallback>
        </mc:AlternateContent>
      </w:r>
      <w:r w:rsidRPr="00151F28" w:rsidR="001955DB">
        <w:rPr>
          <w:sz w:val="22"/>
        </w:rPr>
        <w:t>AIAN households with annual income between 50% and 80% of median income:</w:t>
      </w:r>
      <w:r w:rsidRPr="00151F28" w:rsidR="001955DB">
        <w:rPr>
          <w:b/>
          <w:sz w:val="22"/>
        </w:rPr>
        <w:tab/>
      </w:r>
    </w:p>
    <w:p w:rsidR="00FE6327" w:rsidRPr="00151F28" w:rsidP="00AA497C" w14:paraId="75377816" w14:textId="17C147CE">
      <w:pPr>
        <w:pStyle w:val="NormalWeb"/>
        <w:spacing w:before="120" w:beforeAutospacing="0" w:after="120" w:afterAutospacing="0"/>
        <w:rPr>
          <w:b/>
          <w:sz w:val="22"/>
        </w:rPr>
      </w:pPr>
      <w:r>
        <w:rPr>
          <w:noProof/>
          <w:color w:val="2B579A"/>
          <w:shd w:val="clear" w:color="auto" w:fill="E6E6E6"/>
        </w:rPr>
        <mc:AlternateContent>
          <mc:Choice Requires="wps">
            <w:drawing>
              <wp:anchor distT="45720" distB="45720" distL="114300" distR="114300" simplePos="0" relativeHeight="251667456" behindDoc="0" locked="0" layoutInCell="1" allowOverlap="1">
                <wp:simplePos x="0" y="0"/>
                <wp:positionH relativeFrom="column">
                  <wp:posOffset>5380355</wp:posOffset>
                </wp:positionH>
                <wp:positionV relativeFrom="paragraph">
                  <wp:posOffset>213995</wp:posOffset>
                </wp:positionV>
                <wp:extent cx="914400" cy="255905"/>
                <wp:effectExtent l="0" t="3810" r="1270" b="0"/>
                <wp:wrapSquare wrapText="bothSides"/>
                <wp:docPr id="2" name="Text Box 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14400" cy="255905"/>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133C" w:rsidRPr="00A53CAE" w:rsidP="00A23CA7" w14:textId="77777777">
                            <w:pPr>
                              <w:jc w:val="right"/>
                              <w:rPr>
                                <w:sz w:val="20"/>
                                <w:szCs w:val="20"/>
                              </w:rPr>
                            </w:pPr>
                            <w:bookmarkStart w:id="29" w:name="aianscbtot"/>
                            <w:bookmarkEnd w:id="29"/>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7" o:spid="_x0000_s1032" type="#_x0000_t202" style="width:1in;height:20.15pt;margin-top:16.85pt;margin-left:423.65pt;mso-height-percent:0;mso-height-relative:margin;mso-width-percent:0;mso-width-relative:margin;mso-wrap-distance-bottom:3.6pt;mso-wrap-distance-left:9pt;mso-wrap-distance-right:9pt;mso-wrap-distance-top:3.6pt;position:absolute;v-text-anchor:top;z-index:251666432" fillcolor="white" stroked="f">
                <v:textbox>
                  <w:txbxContent>
                    <w:p w:rsidR="0029133C" w:rsidRPr="00A53CAE" w:rsidP="00A23CA7" w14:paraId="1F01FEE3" w14:textId="77777777">
                      <w:pPr>
                        <w:jc w:val="right"/>
                        <w:rPr>
                          <w:sz w:val="20"/>
                          <w:szCs w:val="20"/>
                        </w:rPr>
                      </w:pPr>
                      <w:bookmarkStart w:id="29" w:name="aianscbtot"/>
                      <w:bookmarkEnd w:id="29"/>
                    </w:p>
                  </w:txbxContent>
                </v:textbox>
                <w10:wrap type="square"/>
              </v:shape>
            </w:pict>
          </mc:Fallback>
        </mc:AlternateContent>
      </w:r>
      <w:r w:rsidRPr="00151F28" w:rsidR="001955DB">
        <w:rPr>
          <w:sz w:val="22"/>
        </w:rPr>
        <w:t>AIAN households which are overcrowded or without kitchen or plumbing:</w:t>
      </w:r>
      <w:r w:rsidRPr="00151F28" w:rsidR="001955DB">
        <w:rPr>
          <w:b/>
          <w:sz w:val="22"/>
        </w:rPr>
        <w:tab/>
      </w:r>
      <w:r w:rsidRPr="00151F28" w:rsidR="001955DB">
        <w:rPr>
          <w:b/>
          <w:sz w:val="22"/>
        </w:rPr>
        <w:tab/>
      </w:r>
    </w:p>
    <w:p w:rsidR="00FE6327" w:rsidRPr="00151F28" w:rsidP="00AA497C" w14:paraId="6C06ED1C" w14:textId="3E9E568F">
      <w:pPr>
        <w:pStyle w:val="NormalWeb"/>
        <w:spacing w:before="120" w:beforeAutospacing="0" w:after="120" w:afterAutospacing="0"/>
        <w:rPr>
          <w:b/>
          <w:sz w:val="22"/>
        </w:rPr>
      </w:pPr>
      <w:r>
        <w:rPr>
          <w:noProof/>
          <w:color w:val="2B579A"/>
          <w:sz w:val="22"/>
          <w:shd w:val="clear" w:color="auto" w:fill="E6E6E6"/>
        </w:rPr>
        <mc:AlternateContent>
          <mc:Choice Requires="wps">
            <w:drawing>
              <wp:anchor distT="45720" distB="45720" distL="114300" distR="114300" simplePos="0" relativeHeight="251669504" behindDoc="0" locked="0" layoutInCell="1" allowOverlap="1">
                <wp:simplePos x="0" y="0"/>
                <wp:positionH relativeFrom="column">
                  <wp:posOffset>5380990</wp:posOffset>
                </wp:positionH>
                <wp:positionV relativeFrom="paragraph">
                  <wp:posOffset>220345</wp:posOffset>
                </wp:positionV>
                <wp:extent cx="914400" cy="283210"/>
                <wp:effectExtent l="0" t="0" r="635" b="3175"/>
                <wp:wrapSquare wrapText="bothSides"/>
                <wp:docPr id="1" name="Text Box 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14400" cy="28321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29133C" w:rsidRPr="00A53CAE" w:rsidP="00A23CA7" w14:textId="77777777">
                            <w:pPr>
                              <w:jc w:val="right"/>
                              <w:rPr>
                                <w:sz w:val="20"/>
                                <w:szCs w:val="20"/>
                              </w:rPr>
                            </w:pPr>
                            <w:bookmarkStart w:id="30" w:name="aianhoushort"/>
                            <w:bookmarkEnd w:id="30"/>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8" o:spid="_x0000_s1033" type="#_x0000_t202" style="width:1in;height:22.3pt;margin-top:17.35pt;margin-left:423.7pt;mso-height-percent:0;mso-height-relative:margin;mso-width-percent:0;mso-width-relative:margin;mso-wrap-distance-bottom:3.6pt;mso-wrap-distance-left:9pt;mso-wrap-distance-right:9pt;mso-wrap-distance-top:3.6pt;position:absolute;v-text-anchor:top;z-index:251668480" fillcolor="white" stroked="f">
                <v:textbox>
                  <w:txbxContent>
                    <w:p w:rsidR="0029133C" w:rsidRPr="00A53CAE" w:rsidP="00A23CA7" w14:paraId="3EFF25FD" w14:textId="77777777">
                      <w:pPr>
                        <w:jc w:val="right"/>
                        <w:rPr>
                          <w:sz w:val="20"/>
                          <w:szCs w:val="20"/>
                        </w:rPr>
                      </w:pPr>
                      <w:bookmarkStart w:id="30" w:name="aianhoushort"/>
                      <w:bookmarkEnd w:id="30"/>
                    </w:p>
                  </w:txbxContent>
                </v:textbox>
                <w10:wrap type="square"/>
              </v:shape>
            </w:pict>
          </mc:Fallback>
        </mc:AlternateContent>
      </w:r>
      <w:r w:rsidRPr="00151F28" w:rsidR="001955DB">
        <w:rPr>
          <w:sz w:val="22"/>
        </w:rPr>
        <w:t>AIAN households with housing cost burden greater than 50% of annual income:</w:t>
      </w:r>
      <w:r w:rsidRPr="00151F28" w:rsidR="001955DB">
        <w:rPr>
          <w:b/>
          <w:sz w:val="22"/>
        </w:rPr>
        <w:tab/>
      </w:r>
    </w:p>
    <w:p w:rsidR="00FE6327" w:rsidRPr="00151F28" w:rsidP="00AA497C" w14:paraId="60C33498" w14:textId="77777777">
      <w:pPr>
        <w:pStyle w:val="NormalWeb"/>
        <w:spacing w:before="120" w:beforeAutospacing="0" w:after="120" w:afterAutospacing="0"/>
        <w:rPr>
          <w:sz w:val="22"/>
        </w:rPr>
      </w:pPr>
      <w:r w:rsidRPr="00151F28">
        <w:rPr>
          <w:sz w:val="22"/>
        </w:rPr>
        <w:t xml:space="preserve">Housing Shortage (number of low-income AIAN households less total number </w:t>
      </w:r>
    </w:p>
    <w:p w:rsidR="0002312E" w:rsidRPr="005F7570" w:rsidP="005F7570" w14:paraId="3BC59AF0" w14:textId="77777777">
      <w:pPr>
        <w:pStyle w:val="NormalWeb"/>
        <w:spacing w:before="120" w:beforeAutospacing="0" w:after="120" w:afterAutospacing="0"/>
        <w:rPr>
          <w:sz w:val="22"/>
        </w:rPr>
      </w:pPr>
      <w:r w:rsidRPr="00151F28">
        <w:rPr>
          <w:sz w:val="22"/>
        </w:rPr>
        <w:t>of NAHASDA and Current Assisted Stock):</w:t>
      </w:r>
    </w:p>
    <w:p w:rsidR="00A417DD" w14:paraId="26D5BC5C" w14:textId="0AF55817">
      <w:pPr>
        <w:pStyle w:val="NormalWeb"/>
      </w:pPr>
      <w:r>
        <w:t xml:space="preserve">Note: If there is a "*" next to "AIAN persons" above, the </w:t>
      </w:r>
      <w:r w:rsidR="00C2403A">
        <w:t>Tribe</w:t>
      </w:r>
      <w:r>
        <w:t xml:space="preserve">'s data have been "capped."  This occurs when the AIAN population in the Tribe's </w:t>
      </w:r>
      <w:r w:rsidR="002564E9">
        <w:t xml:space="preserve">Formula Area </w:t>
      </w:r>
      <w:r>
        <w:t>is greater than twice its total Tribal Enrollment.</w:t>
      </w:r>
    </w:p>
    <w:p w:rsidR="00A417DD" w14:paraId="70A7E0B9" w14:textId="77777777">
      <w:pPr>
        <w:pStyle w:val="NormalWeb"/>
      </w:pPr>
      <w:r>
        <w:t>If you think these data do not reflect your Needs:</w:t>
      </w:r>
    </w:p>
    <w:p w:rsidR="00A417DD" w14:paraId="73650819" w14:textId="77777777">
      <w:pPr>
        <w:numPr>
          <w:ilvl w:val="0"/>
          <w:numId w:val="8"/>
        </w:numPr>
        <w:spacing w:before="100" w:beforeAutospacing="1" w:after="100" w:afterAutospacing="1"/>
        <w:rPr>
          <w:rFonts w:eastAsia="Times New Roman"/>
        </w:rPr>
      </w:pPr>
      <w:r>
        <w:rPr>
          <w:rFonts w:eastAsia="Times New Roman"/>
        </w:rPr>
        <w:t>Check to see if the Formula Area, as listed previously, is correct for your Tribe.  If the Formula Area is not correct, submit that correction.</w:t>
      </w:r>
    </w:p>
    <w:p w:rsidR="00A417DD" w14:paraId="05F4A0B2" w14:textId="014126D4">
      <w:pPr>
        <w:numPr>
          <w:ilvl w:val="0"/>
          <w:numId w:val="8"/>
        </w:numPr>
        <w:spacing w:before="100" w:beforeAutospacing="1" w:after="100" w:afterAutospacing="1"/>
        <w:rPr>
          <w:rFonts w:eastAsia="Times New Roman"/>
        </w:rPr>
      </w:pPr>
      <w:r>
        <w:rPr>
          <w:rFonts w:eastAsia="Times New Roman"/>
        </w:rPr>
        <w:t xml:space="preserve">Check to see if the Formula Area for your Tribe overlaps that of another </w:t>
      </w:r>
      <w:r w:rsidR="00C2403A">
        <w:rPr>
          <w:rFonts w:eastAsia="Times New Roman"/>
        </w:rPr>
        <w:t>Tribe</w:t>
      </w:r>
      <w:r>
        <w:rPr>
          <w:rFonts w:eastAsia="Times New Roman"/>
        </w:rPr>
        <w:t>.  If it does, you may wish to contact the IHBG Formula Customer Service Center to obtain detailed information on how the Needs data are being shared.</w:t>
      </w:r>
    </w:p>
    <w:p w:rsidR="001B17A7" w:rsidRPr="00151F28" w:rsidP="6BB1C61B" w14:paraId="14C578A6" w14:textId="6E7F9637">
      <w:pPr>
        <w:numPr>
          <w:ilvl w:val="0"/>
          <w:numId w:val="8"/>
        </w:numPr>
        <w:spacing w:before="100" w:beforeAutospacing="1" w:after="100" w:afterAutospacing="1"/>
        <w:rPr>
          <w:sz w:val="22"/>
          <w:szCs w:val="22"/>
        </w:rPr>
      </w:pPr>
      <w:r w:rsidRPr="00876606">
        <w:rPr>
          <w:rFonts w:eastAsia="Times New Roman"/>
        </w:rPr>
        <w:t>If you still disagree, you may wis</w:t>
      </w:r>
      <w:r w:rsidRPr="005E0119">
        <w:rPr>
          <w:rFonts w:eastAsia="Times New Roman"/>
        </w:rPr>
        <w:t>h to submit a Census challenge.  </w:t>
      </w:r>
      <w:r w:rsidR="5439BD45">
        <w:rPr>
          <w:rFonts w:eastAsia="Times New Roman"/>
        </w:rPr>
        <w:t>To determine if submitting a Census challenge would be appropriate for your Tribe, p</w:t>
      </w:r>
      <w:r w:rsidRPr="005E0119">
        <w:rPr>
          <w:rFonts w:eastAsia="Times New Roman"/>
        </w:rPr>
        <w:t xml:space="preserve">lease review </w:t>
      </w:r>
      <w:r w:rsidRPr="0082074A" w:rsidR="3399CA18">
        <w:rPr>
          <w:rFonts w:eastAsia="Times New Roman"/>
        </w:rPr>
        <w:t xml:space="preserve">the </w:t>
      </w:r>
      <w:r w:rsidRPr="39A9E8EC" w:rsidR="5E8AFF98">
        <w:rPr>
          <w:rFonts w:eastAsia="Times New Roman"/>
          <w:i/>
          <w:iCs/>
        </w:rPr>
        <w:t xml:space="preserve">FY </w:t>
      </w:r>
      <w:r w:rsidRPr="39A9E8EC" w:rsidR="25CE6B49">
        <w:rPr>
          <w:rFonts w:eastAsia="Times New Roman"/>
          <w:i/>
          <w:iCs/>
        </w:rPr>
        <w:t>20</w:t>
      </w:r>
      <w:r w:rsidRPr="39A9E8EC" w:rsidR="04B7AE77">
        <w:rPr>
          <w:rFonts w:eastAsia="Times New Roman"/>
          <w:i/>
          <w:iCs/>
        </w:rPr>
        <w:t>XX</w:t>
      </w:r>
      <w:r w:rsidRPr="39A9E8EC" w:rsidR="5E8AFF98">
        <w:rPr>
          <w:rFonts w:eastAsia="Times New Roman"/>
          <w:i/>
          <w:iCs/>
        </w:rPr>
        <w:t xml:space="preserve"> Needs Data</w:t>
      </w:r>
      <w:r w:rsidRPr="005E0119" w:rsidR="3399CA18">
        <w:rPr>
          <w:rFonts w:eastAsia="Times New Roman"/>
        </w:rPr>
        <w:t xml:space="preserve"> </w:t>
      </w:r>
      <w:r w:rsidR="7AD10D1C">
        <w:rPr>
          <w:rFonts w:eastAsia="Times New Roman"/>
        </w:rPr>
        <w:t xml:space="preserve">above and the FY </w:t>
      </w:r>
      <w:r w:rsidRPr="39A9E8EC" w:rsidR="52B57A2B">
        <w:rPr>
          <w:rFonts w:eastAsia="Times New Roman"/>
          <w:i/>
          <w:iCs/>
        </w:rPr>
        <w:t>202</w:t>
      </w:r>
      <w:r w:rsidRPr="39A9E8EC" w:rsidR="18C9D60E">
        <w:rPr>
          <w:rFonts w:eastAsia="Times New Roman"/>
          <w:i/>
          <w:iCs/>
        </w:rPr>
        <w:t>4</w:t>
      </w:r>
      <w:r w:rsidR="250B8094">
        <w:rPr>
          <w:rFonts w:eastAsia="Times New Roman"/>
        </w:rPr>
        <w:t xml:space="preserve"> </w:t>
      </w:r>
      <w:r w:rsidRPr="39A9E8EC" w:rsidR="52B57A2B">
        <w:rPr>
          <w:rFonts w:eastAsia="Times New Roman"/>
          <w:i/>
          <w:iCs/>
        </w:rPr>
        <w:t>Needs Data</w:t>
      </w:r>
      <w:r w:rsidR="7AD10D1C">
        <w:rPr>
          <w:rFonts w:eastAsia="Times New Roman"/>
        </w:rPr>
        <w:t xml:space="preserve"> </w:t>
      </w:r>
      <w:r w:rsidR="49BBA6CD">
        <w:rPr>
          <w:rFonts w:eastAsia="Times New Roman"/>
        </w:rPr>
        <w:t xml:space="preserve">on Attachment A for a full presentation on the Needs data available for your </w:t>
      </w:r>
      <w:r w:rsidR="6DFC0188">
        <w:rPr>
          <w:rFonts w:eastAsia="Times New Roman"/>
        </w:rPr>
        <w:t>T</w:t>
      </w:r>
      <w:r w:rsidR="49BBA6CD">
        <w:rPr>
          <w:rFonts w:eastAsia="Times New Roman"/>
        </w:rPr>
        <w:t>ribe</w:t>
      </w:r>
      <w:r w:rsidR="7D009749">
        <w:rPr>
          <w:rFonts w:eastAsia="Times New Roman"/>
        </w:rPr>
        <w:t>,</w:t>
      </w:r>
      <w:r w:rsidR="7AD10D1C">
        <w:rPr>
          <w:rFonts w:eastAsia="Times New Roman"/>
        </w:rPr>
        <w:t xml:space="preserve"> </w:t>
      </w:r>
      <w:r w:rsidR="22DC0895">
        <w:rPr>
          <w:rFonts w:eastAsia="Times New Roman"/>
        </w:rPr>
        <w:t>and then read</w:t>
      </w:r>
      <w:r>
        <w:rPr>
          <w:rFonts w:eastAsia="Times New Roman"/>
        </w:rPr>
        <w:t xml:space="preserve"> the document </w:t>
      </w:r>
      <w:r>
        <w:t>"</w:t>
      </w:r>
      <w:r w:rsidRPr="39A9E8EC">
        <w:rPr>
          <w:i/>
          <w:iCs/>
        </w:rPr>
        <w:t xml:space="preserve">Challenging U.S. Decennial Census Data: Guidelines for the Indian Housing Block Grant </w:t>
      </w:r>
      <w:r w:rsidRPr="39A9E8EC" w:rsidR="099F629F">
        <w:rPr>
          <w:i/>
          <w:iCs/>
        </w:rPr>
        <w:t>F</w:t>
      </w:r>
      <w:r w:rsidRPr="39A9E8EC">
        <w:rPr>
          <w:i/>
          <w:iCs/>
        </w:rPr>
        <w:t>ormula”</w:t>
      </w:r>
      <w:r w:rsidRPr="39A9E8EC" w:rsidR="54B79F2A">
        <w:rPr>
          <w:i/>
          <w:iCs/>
        </w:rPr>
        <w:t xml:space="preserve"> </w:t>
      </w:r>
      <w:r w:rsidRPr="3B80EDE9">
        <w:t>at</w:t>
      </w:r>
      <w:r w:rsidR="4BC5BC18">
        <w:rPr>
          <w:iCs/>
        </w:rPr>
        <w:t>:</w:t>
      </w:r>
      <w:r w:rsidRPr="00971BD0">
        <w:rPr>
          <w:iCs/>
        </w:rPr>
        <w:t xml:space="preserve"> </w:t>
      </w:r>
      <w:hyperlink r:id="rId11" w:tgtFrame="_blank" w:history="1">
        <w:r w:rsidRPr="00151F28" w:rsidR="38730707">
          <w:rPr>
            <w:rStyle w:val="Hyperlink"/>
            <w:color w:val="1155CC"/>
            <w:shd w:val="clear" w:color="auto" w:fill="FFFFFF"/>
          </w:rPr>
          <w:t>https://portal.hud.gov/hudportal/HUD?src=/program_offices/</w:t>
        </w:r>
        <w:r w:rsidR="54B79F2A">
          <w:rPr>
            <w:rStyle w:val="Hyperlink"/>
            <w:color w:val="1155CC"/>
            <w:shd w:val="clear" w:color="auto" w:fill="FFFFFF"/>
          </w:rPr>
          <w:t xml:space="preserve"> </w:t>
        </w:r>
        <w:r w:rsidRPr="00151F28" w:rsidR="38730707">
          <w:rPr>
            <w:rStyle w:val="Hyperlink"/>
            <w:color w:val="1155CC"/>
            <w:shd w:val="clear" w:color="auto" w:fill="FFFFFF"/>
          </w:rPr>
          <w:t>public_indian_housing/ih/codetalk/onap/ihbgformula</w:t>
        </w:r>
      </w:hyperlink>
      <w:r w:rsidRPr="00220EE7">
        <w:rPr>
          <w:iCs/>
        </w:rPr>
        <w:t>.</w:t>
      </w:r>
    </w:p>
    <w:p w:rsidR="00A417DD" w:rsidRPr="009C4686" w14:paraId="76B243AE" w14:textId="77777777">
      <w:pPr>
        <w:pStyle w:val="Heading1"/>
        <w:pageBreakBefore/>
        <w:ind w:left="384"/>
        <w:rPr>
          <w:rFonts w:eastAsia="Times New Roman"/>
        </w:rPr>
      </w:pPr>
      <w:bookmarkStart w:id="31" w:name="tribename8"/>
      <w:bookmarkEnd w:id="31"/>
      <w:r>
        <w:rPr>
          <w:rFonts w:eastAsia="Times New Roman"/>
        </w:rPr>
        <w:br/>
      </w:r>
      <w:r w:rsidRPr="009C4686">
        <w:rPr>
          <w:rFonts w:eastAsia="Times New Roman"/>
        </w:rPr>
        <w:t xml:space="preserve">Preliminary </w:t>
      </w:r>
      <w:r w:rsidRPr="009C4686" w:rsidR="00D035B2">
        <w:rPr>
          <w:rFonts w:eastAsia="Times New Roman"/>
        </w:rPr>
        <w:t>Allocation</w:t>
      </w:r>
      <w:r w:rsidRPr="009C4686">
        <w:rPr>
          <w:rFonts w:eastAsia="Times New Roman"/>
        </w:rPr>
        <w:t xml:space="preserve"> Amount</w:t>
      </w:r>
    </w:p>
    <w:p w:rsidR="00A417DD" w:rsidRPr="009C4686" w14:paraId="2FDB6013" w14:textId="1B22CFD2">
      <w:pPr>
        <w:pStyle w:val="Heading6"/>
        <w:ind w:left="384"/>
        <w:rPr>
          <w:rFonts w:eastAsia="Times New Roman"/>
        </w:rPr>
      </w:pPr>
      <w:r w:rsidRPr="009C4686">
        <w:rPr>
          <w:rFonts w:eastAsia="Times New Roman"/>
          <w:i/>
          <w:iCs/>
        </w:rPr>
        <w:t xml:space="preserve">(Based on an estimated </w:t>
      </w:r>
      <w:r w:rsidRPr="009C4686" w:rsidR="00223CBE">
        <w:rPr>
          <w:rFonts w:eastAsia="Times New Roman"/>
          <w:i/>
          <w:iCs/>
        </w:rPr>
        <w:t>$</w:t>
      </w:r>
      <w:r w:rsidRPr="009C4686" w:rsidR="007C575A">
        <w:rPr>
          <w:rFonts w:eastAsia="Times New Roman"/>
          <w:i/>
          <w:iCs/>
        </w:rPr>
        <w:t>7</w:t>
      </w:r>
      <w:r w:rsidRPr="008D5B88" w:rsidR="009C4686">
        <w:rPr>
          <w:rFonts w:eastAsia="Times New Roman"/>
          <w:i/>
          <w:iCs/>
        </w:rPr>
        <w:t>72</w:t>
      </w:r>
      <w:r w:rsidRPr="009C4686" w:rsidR="002564E9">
        <w:rPr>
          <w:rFonts w:eastAsia="Times New Roman"/>
          <w:i/>
          <w:iCs/>
        </w:rPr>
        <w:t>,000,000</w:t>
      </w:r>
      <w:r w:rsidRPr="009C4686">
        <w:rPr>
          <w:rFonts w:eastAsia="Times New Roman"/>
          <w:i/>
          <w:iCs/>
        </w:rPr>
        <w:t xml:space="preserve"> appropriation)</w:t>
      </w:r>
    </w:p>
    <w:p w:rsidR="00A417DD" w:rsidP="00EA42F1" w14:paraId="0E01881B" w14:textId="50B14EA9">
      <w:pPr>
        <w:pStyle w:val="NormalWeb"/>
        <w:ind w:left="720"/>
      </w:pPr>
      <w:r>
        <w:t xml:space="preserve">This is only a preliminary estimate to be used for planning purposes based on an estimated </w:t>
      </w:r>
      <w:r w:rsidR="37873D33">
        <w:t>$</w:t>
      </w:r>
      <w:r w:rsidR="60331D9A">
        <w:t>7</w:t>
      </w:r>
      <w:r w:rsidR="75218AF4">
        <w:t>72</w:t>
      </w:r>
      <w:r w:rsidR="7665CB2A">
        <w:t>,000,000</w:t>
      </w:r>
      <w:r>
        <w:t xml:space="preserve"> appropriation for the IHBG program.  It will change based on corrections to the data used for all </w:t>
      </w:r>
      <w:r w:rsidR="39A6DEB9">
        <w:t>Tribe</w:t>
      </w:r>
      <w:r>
        <w:t xml:space="preserve">s (any change in one </w:t>
      </w:r>
      <w:r w:rsidR="39A6DEB9">
        <w:t>Tribe</w:t>
      </w:r>
      <w:r>
        <w:t xml:space="preserve">'s data affects the allocation for all </w:t>
      </w:r>
      <w:r w:rsidR="39A6DEB9">
        <w:t>Tribe</w:t>
      </w:r>
      <w:r>
        <w:t xml:space="preserve">s) and/or actual FY </w:t>
      </w:r>
      <w:r w:rsidR="25CE6B49">
        <w:t>20</w:t>
      </w:r>
      <w:r w:rsidR="3C867C98">
        <w:t>XX</w:t>
      </w:r>
      <w:r w:rsidR="5E6C2F44">
        <w:t xml:space="preserve"> </w:t>
      </w:r>
      <w:r>
        <w:t>appropriations.</w:t>
      </w:r>
    </w:p>
    <w:tbl>
      <w:tblPr>
        <w:tblW w:w="41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4632"/>
        <w:gridCol w:w="4276"/>
      </w:tblGrid>
      <w:tr w14:paraId="5D1F0C97" w14:textId="77777777" w:rsidTr="6BB1C61B">
        <w:tblPrEx>
          <w:tblW w:w="41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Ex>
        <w:trPr>
          <w:jc w:val="center"/>
        </w:trPr>
        <w:tc>
          <w:tcPr>
            <w:tcW w:w="2600" w:type="pct"/>
            <w:tcMar>
              <w:top w:w="48" w:type="dxa"/>
              <w:left w:w="48" w:type="dxa"/>
              <w:bottom w:w="48" w:type="dxa"/>
              <w:right w:w="48" w:type="dxa"/>
            </w:tcMar>
            <w:vAlign w:val="center"/>
            <w:hideMark/>
          </w:tcPr>
          <w:p w:rsidR="00A417DD" w:rsidRPr="00575944" w:rsidP="00B35E62" w14:paraId="6BCF270F" w14:textId="77777777">
            <w:pPr>
              <w:rPr>
                <w:rFonts w:eastAsia="Times New Roman"/>
              </w:rPr>
            </w:pPr>
            <w:r w:rsidRPr="00151F28">
              <w:t>FCAS Component</w:t>
            </w:r>
            <w:r w:rsidRPr="00151F28" w:rsidR="003F58CC">
              <w:rPr>
                <w:vertAlign w:val="superscript"/>
              </w:rPr>
              <w:t>2</w:t>
            </w:r>
            <w:bookmarkStart w:id="32" w:name="Notem"/>
            <w:bookmarkStart w:id="33" w:name="Notea"/>
            <w:bookmarkEnd w:id="32"/>
            <w:bookmarkEnd w:id="33"/>
            <w:r w:rsidR="00B35E62">
              <w:t>:</w:t>
            </w:r>
            <w:r w:rsidRPr="00151F28">
              <w:rPr>
                <w:vertAlign w:val="superscript"/>
              </w:rPr>
              <w:t xml:space="preserve">  </w:t>
            </w:r>
          </w:p>
        </w:tc>
        <w:tc>
          <w:tcPr>
            <w:tcW w:w="2400" w:type="pct"/>
            <w:tcMar>
              <w:top w:w="48" w:type="dxa"/>
              <w:left w:w="48" w:type="dxa"/>
              <w:bottom w:w="48" w:type="dxa"/>
              <w:right w:w="48" w:type="dxa"/>
            </w:tcMar>
            <w:vAlign w:val="center"/>
            <w:hideMark/>
          </w:tcPr>
          <w:p w:rsidR="00A417DD" w:rsidRPr="00151F28" w14:paraId="051A4D95" w14:textId="77777777">
            <w:pPr>
              <w:jc w:val="right"/>
            </w:pPr>
            <w:bookmarkStart w:id="34" w:name="fcascomp"/>
            <w:bookmarkEnd w:id="34"/>
          </w:p>
        </w:tc>
      </w:tr>
      <w:tr w14:paraId="33B47712" w14:textId="77777777" w:rsidTr="6BB1C61B">
        <w:tblPrEx>
          <w:tblW w:w="4128" w:type="pct"/>
          <w:jc w:val="center"/>
          <w:tblCellMar>
            <w:top w:w="15" w:type="dxa"/>
            <w:left w:w="15" w:type="dxa"/>
            <w:bottom w:w="15" w:type="dxa"/>
            <w:right w:w="15" w:type="dxa"/>
          </w:tblCellMar>
          <w:tblLook w:val="04A0"/>
        </w:tblPrEx>
        <w:trPr>
          <w:jc w:val="center"/>
        </w:trPr>
        <w:tc>
          <w:tcPr>
            <w:tcW w:w="2600" w:type="pct"/>
            <w:tcMar>
              <w:top w:w="48" w:type="dxa"/>
              <w:left w:w="48" w:type="dxa"/>
              <w:bottom w:w="48" w:type="dxa"/>
              <w:right w:w="48" w:type="dxa"/>
            </w:tcMar>
            <w:vAlign w:val="center"/>
            <w:hideMark/>
          </w:tcPr>
          <w:p w:rsidR="00A417DD" w:rsidRPr="00B35E62" w:rsidP="00B35E62" w14:paraId="0B32F74B" w14:textId="77777777">
            <w:pPr>
              <w:rPr>
                <w:rFonts w:eastAsia="Times New Roman"/>
              </w:rPr>
            </w:pPr>
            <w:r w:rsidRPr="00151F28">
              <w:t>Needs Component</w:t>
            </w:r>
            <w:r w:rsidRPr="00151F28" w:rsidR="003F58CC">
              <w:rPr>
                <w:vertAlign w:val="superscript"/>
              </w:rPr>
              <w:t>3</w:t>
            </w:r>
            <w:r w:rsidR="00B35E62">
              <w:t>:</w:t>
            </w:r>
          </w:p>
        </w:tc>
        <w:tc>
          <w:tcPr>
            <w:tcW w:w="2400" w:type="pct"/>
            <w:tcMar>
              <w:top w:w="48" w:type="dxa"/>
              <w:left w:w="48" w:type="dxa"/>
              <w:bottom w:w="48" w:type="dxa"/>
              <w:right w:w="48" w:type="dxa"/>
            </w:tcMar>
            <w:vAlign w:val="center"/>
            <w:hideMark/>
          </w:tcPr>
          <w:p w:rsidR="00A417DD" w:rsidRPr="00151F28" w14:paraId="3D45A414" w14:textId="77777777">
            <w:pPr>
              <w:jc w:val="right"/>
            </w:pPr>
            <w:bookmarkStart w:id="35" w:name="NeedsComp"/>
            <w:bookmarkEnd w:id="35"/>
          </w:p>
        </w:tc>
      </w:tr>
      <w:tr w14:paraId="35D72019" w14:textId="77777777" w:rsidTr="6BB1C61B">
        <w:tblPrEx>
          <w:tblW w:w="4128" w:type="pct"/>
          <w:jc w:val="center"/>
          <w:tblCellMar>
            <w:top w:w="15" w:type="dxa"/>
            <w:left w:w="15" w:type="dxa"/>
            <w:bottom w:w="15" w:type="dxa"/>
            <w:right w:w="15" w:type="dxa"/>
          </w:tblCellMar>
          <w:tblLook w:val="04A0"/>
        </w:tblPrEx>
        <w:trPr>
          <w:jc w:val="center"/>
        </w:trPr>
        <w:tc>
          <w:tcPr>
            <w:tcW w:w="2600" w:type="pct"/>
            <w:tcMar>
              <w:top w:w="48" w:type="dxa"/>
              <w:left w:w="48" w:type="dxa"/>
              <w:bottom w:w="48" w:type="dxa"/>
              <w:right w:w="48" w:type="dxa"/>
            </w:tcMar>
            <w:vAlign w:val="center"/>
            <w:hideMark/>
          </w:tcPr>
          <w:p w:rsidR="00020377" w:rsidRPr="00151F28" w:rsidP="00151F28" w14:paraId="2D48C548" w14:textId="7DD0333B">
            <w:r>
              <w:rPr>
                <w:rFonts w:eastAsia="Times New Roman"/>
              </w:rPr>
              <w:t xml:space="preserve">24 CFR </w:t>
            </w:r>
            <w:r w:rsidRPr="00575944" w:rsidR="00EA42F1">
              <w:rPr>
                <w:rFonts w:eastAsia="Times New Roman"/>
              </w:rPr>
              <w:t xml:space="preserve">§1000.331 Phase Down Adjustments to Moderate Impact of </w:t>
            </w:r>
            <w:r w:rsidR="00EF4030">
              <w:rPr>
                <w:rFonts w:eastAsia="Times New Roman"/>
              </w:rPr>
              <w:t>Introduction of New Data Source</w:t>
            </w:r>
            <w:r w:rsidRPr="00575944" w:rsidR="003F58CC">
              <w:rPr>
                <w:rStyle w:val="EndnoteReference"/>
                <w:rFonts w:eastAsia="Times New Roman"/>
              </w:rPr>
              <w:t>4</w:t>
            </w:r>
            <w:r w:rsidR="00EF4030">
              <w:rPr>
                <w:rFonts w:eastAsia="Times New Roman"/>
              </w:rPr>
              <w:t>:</w:t>
            </w:r>
          </w:p>
        </w:tc>
        <w:tc>
          <w:tcPr>
            <w:tcW w:w="2400" w:type="pct"/>
            <w:tcMar>
              <w:top w:w="48" w:type="dxa"/>
              <w:left w:w="48" w:type="dxa"/>
              <w:bottom w:w="48" w:type="dxa"/>
              <w:right w:w="48" w:type="dxa"/>
            </w:tcMar>
            <w:vAlign w:val="center"/>
            <w:hideMark/>
          </w:tcPr>
          <w:p w:rsidR="00EA42F1" w:rsidRPr="00151F28" w:rsidP="004914BB" w14:paraId="5BC52988" w14:textId="77777777">
            <w:pPr>
              <w:jc w:val="right"/>
              <w:rPr>
                <w:color w:val="000000"/>
              </w:rPr>
            </w:pPr>
            <w:bookmarkStart w:id="36" w:name="PDADJ"/>
            <w:bookmarkEnd w:id="36"/>
            <w:r w:rsidRPr="00575944">
              <w:rPr>
                <w:rFonts w:eastAsia="Times New Roman"/>
              </w:rPr>
              <w:t xml:space="preserve">                                                            </w:t>
            </w:r>
            <w:r w:rsidRPr="00575944" w:rsidR="00C162CF">
              <w:rPr>
                <w:rFonts w:eastAsia="Times New Roman"/>
              </w:rPr>
              <w:t xml:space="preserve">       </w:t>
            </w:r>
            <w:r w:rsidRPr="00151F28" w:rsidR="00C162CF">
              <w:t xml:space="preserve">    </w:t>
            </w:r>
          </w:p>
        </w:tc>
      </w:tr>
      <w:tr w14:paraId="75E6746C" w14:textId="77777777" w:rsidTr="6BB1C61B">
        <w:tblPrEx>
          <w:tblW w:w="4128" w:type="pct"/>
          <w:jc w:val="center"/>
          <w:tblCellMar>
            <w:top w:w="15" w:type="dxa"/>
            <w:left w:w="15" w:type="dxa"/>
            <w:bottom w:w="15" w:type="dxa"/>
            <w:right w:w="15" w:type="dxa"/>
          </w:tblCellMar>
          <w:tblLook w:val="04A0"/>
        </w:tblPrEx>
        <w:trPr>
          <w:jc w:val="center"/>
        </w:trPr>
        <w:tc>
          <w:tcPr>
            <w:tcW w:w="2600" w:type="pct"/>
            <w:tcMar>
              <w:top w:w="48" w:type="dxa"/>
              <w:left w:w="750" w:type="dxa"/>
              <w:bottom w:w="48" w:type="dxa"/>
              <w:right w:w="48" w:type="dxa"/>
            </w:tcMar>
            <w:vAlign w:val="center"/>
            <w:hideMark/>
          </w:tcPr>
          <w:p w:rsidR="00777F41" w:rsidRPr="00575944" w:rsidP="00151F28" w14:paraId="18F722D2" w14:textId="02151CC9">
            <w:pPr>
              <w:ind w:left="-702"/>
              <w:rPr>
                <w:rFonts w:eastAsia="Times New Roman"/>
              </w:rPr>
            </w:pPr>
            <w:r>
              <w:rPr>
                <w:rFonts w:eastAsia="Times New Roman"/>
              </w:rPr>
              <w:t xml:space="preserve">24 CFR </w:t>
            </w:r>
            <w:r w:rsidRPr="00575944">
              <w:rPr>
                <w:rFonts w:eastAsia="Times New Roman"/>
              </w:rPr>
              <w:t xml:space="preserve">§1000.340 (b) </w:t>
            </w:r>
            <w:r w:rsidRPr="00575944" w:rsidR="00416BB1">
              <w:rPr>
                <w:rFonts w:eastAsia="Times New Roman"/>
                <w:bCs/>
              </w:rPr>
              <w:t>Adjustments to a</w:t>
            </w:r>
            <w:r w:rsidR="00EF4030">
              <w:rPr>
                <w:rFonts w:eastAsia="Times New Roman"/>
                <w:bCs/>
              </w:rPr>
              <w:t>chieve FY 1996 Base Year Amount</w:t>
            </w:r>
            <w:r w:rsidRPr="00575944" w:rsidR="00416BB1">
              <w:rPr>
                <w:rFonts w:eastAsia="Times New Roman"/>
                <w:bCs/>
                <w:vertAlign w:val="superscript"/>
              </w:rPr>
              <w:t>5</w:t>
            </w:r>
            <w:r w:rsidR="00EF4030">
              <w:rPr>
                <w:rFonts w:eastAsia="Times New Roman"/>
              </w:rPr>
              <w:t>:</w:t>
            </w:r>
          </w:p>
        </w:tc>
        <w:tc>
          <w:tcPr>
            <w:tcW w:w="2400" w:type="pct"/>
            <w:tcMar>
              <w:top w:w="48" w:type="dxa"/>
              <w:left w:w="48" w:type="dxa"/>
              <w:bottom w:w="48" w:type="dxa"/>
              <w:right w:w="48" w:type="dxa"/>
            </w:tcMar>
            <w:vAlign w:val="center"/>
            <w:hideMark/>
          </w:tcPr>
          <w:p w:rsidR="00020377" w:rsidRPr="00151F28" w:rsidP="00C162CF" w14:paraId="5BFF8D8E" w14:textId="77777777">
            <w:pPr>
              <w:jc w:val="right"/>
            </w:pPr>
            <w:bookmarkStart w:id="37" w:name="Baseyr1996adj"/>
            <w:bookmarkEnd w:id="37"/>
          </w:p>
        </w:tc>
      </w:tr>
      <w:tr w14:paraId="369CBDF6" w14:textId="77777777" w:rsidTr="6BB1C61B">
        <w:tblPrEx>
          <w:tblW w:w="4128" w:type="pct"/>
          <w:jc w:val="center"/>
          <w:tblCellMar>
            <w:top w:w="15" w:type="dxa"/>
            <w:left w:w="15" w:type="dxa"/>
            <w:bottom w:w="15" w:type="dxa"/>
            <w:right w:w="15" w:type="dxa"/>
          </w:tblCellMar>
          <w:tblLook w:val="04A0"/>
        </w:tblPrEx>
        <w:trPr>
          <w:jc w:val="center"/>
        </w:trPr>
        <w:tc>
          <w:tcPr>
            <w:tcW w:w="2600" w:type="pct"/>
            <w:tcMar>
              <w:top w:w="48" w:type="dxa"/>
              <w:left w:w="48" w:type="dxa"/>
              <w:bottom w:w="48" w:type="dxa"/>
              <w:right w:w="48" w:type="dxa"/>
            </w:tcMar>
            <w:vAlign w:val="center"/>
            <w:hideMark/>
          </w:tcPr>
          <w:p w:rsidR="00777F41" w:rsidRPr="00151F28" w:rsidP="00C752BF" w14:paraId="250D4C65" w14:textId="77777777">
            <w:pPr>
              <w:rPr>
                <w:b/>
              </w:rPr>
            </w:pPr>
            <w:r w:rsidRPr="00151F28">
              <w:rPr>
                <w:b/>
              </w:rPr>
              <w:t xml:space="preserve">Preliminary Current Year Allocation </w:t>
            </w:r>
            <w:r w:rsidRPr="00151F28" w:rsidR="00C752BF">
              <w:rPr>
                <w:b/>
              </w:rPr>
              <w:t>E</w:t>
            </w:r>
            <w:r w:rsidRPr="00151F28">
              <w:rPr>
                <w:b/>
              </w:rPr>
              <w:t>stimate</w:t>
            </w:r>
            <w:r w:rsidR="00EF4030">
              <w:rPr>
                <w:b/>
              </w:rPr>
              <w:t>:</w:t>
            </w:r>
          </w:p>
        </w:tc>
        <w:tc>
          <w:tcPr>
            <w:tcW w:w="2400" w:type="pct"/>
            <w:tcMar>
              <w:top w:w="48" w:type="dxa"/>
              <w:left w:w="48" w:type="dxa"/>
              <w:bottom w:w="48" w:type="dxa"/>
              <w:right w:w="48" w:type="dxa"/>
            </w:tcMar>
            <w:vAlign w:val="center"/>
            <w:hideMark/>
          </w:tcPr>
          <w:p w:rsidR="00777F41" w:rsidRPr="00FE6C70" w14:paraId="0A388D98" w14:textId="77777777">
            <w:pPr>
              <w:jc w:val="right"/>
              <w:rPr>
                <w:rFonts w:eastAsia="Times New Roman"/>
                <w:b/>
                <w:bCs/>
              </w:rPr>
            </w:pPr>
            <w:bookmarkStart w:id="38" w:name="Prelimcurrentyrgrant"/>
            <w:bookmarkEnd w:id="38"/>
          </w:p>
        </w:tc>
      </w:tr>
      <w:tr w14:paraId="0B2CB9DC" w14:textId="77777777" w:rsidTr="6BB1C61B">
        <w:tblPrEx>
          <w:tblW w:w="4128" w:type="pct"/>
          <w:jc w:val="center"/>
          <w:tblCellMar>
            <w:top w:w="15" w:type="dxa"/>
            <w:left w:w="15" w:type="dxa"/>
            <w:bottom w:w="15" w:type="dxa"/>
            <w:right w:w="15" w:type="dxa"/>
          </w:tblCellMar>
          <w:tblLook w:val="04A0"/>
        </w:tblPrEx>
        <w:trPr>
          <w:jc w:val="center"/>
        </w:trPr>
        <w:tc>
          <w:tcPr>
            <w:tcW w:w="2600" w:type="pct"/>
            <w:tcMar>
              <w:top w:w="48" w:type="dxa"/>
              <w:left w:w="48" w:type="dxa"/>
              <w:bottom w:w="48" w:type="dxa"/>
              <w:right w:w="48" w:type="dxa"/>
            </w:tcMar>
            <w:vAlign w:val="center"/>
            <w:hideMark/>
          </w:tcPr>
          <w:p w:rsidR="00020377" w:rsidRPr="005908AE" w:rsidP="00151F28" w14:paraId="3630539F" w14:textId="77777777">
            <w:pPr>
              <w:rPr>
                <w:rFonts w:eastAsia="Times New Roman"/>
              </w:rPr>
            </w:pPr>
            <w:r w:rsidRPr="00151F28">
              <w:t>Adjustments for over- or under-funding in prior years</w:t>
            </w:r>
            <w:r w:rsidRPr="00151F28" w:rsidR="003F58CC">
              <w:rPr>
                <w:vertAlign w:val="superscript"/>
              </w:rPr>
              <w:t>6</w:t>
            </w:r>
            <w:r w:rsidRPr="005908AE" w:rsidR="00EF4030">
              <w:t>:</w:t>
            </w:r>
          </w:p>
        </w:tc>
        <w:tc>
          <w:tcPr>
            <w:tcW w:w="2400" w:type="pct"/>
            <w:tcMar>
              <w:top w:w="48" w:type="dxa"/>
              <w:left w:w="48" w:type="dxa"/>
              <w:bottom w:w="48" w:type="dxa"/>
              <w:right w:w="48" w:type="dxa"/>
            </w:tcMar>
            <w:vAlign w:val="center"/>
            <w:hideMark/>
          </w:tcPr>
          <w:p w:rsidR="00777F41" w:rsidRPr="00151F28" w:rsidP="00C162CF" w14:paraId="7704B8A6" w14:textId="77777777">
            <w:pPr>
              <w:jc w:val="right"/>
            </w:pPr>
            <w:bookmarkStart w:id="39" w:name="repay"/>
            <w:bookmarkEnd w:id="39"/>
          </w:p>
        </w:tc>
      </w:tr>
      <w:tr w14:paraId="52FC73AE" w14:textId="77777777" w:rsidTr="6BB1C61B">
        <w:tblPrEx>
          <w:tblW w:w="4128" w:type="pct"/>
          <w:jc w:val="center"/>
          <w:tblCellMar>
            <w:top w:w="15" w:type="dxa"/>
            <w:left w:w="15" w:type="dxa"/>
            <w:bottom w:w="15" w:type="dxa"/>
            <w:right w:w="15" w:type="dxa"/>
          </w:tblCellMar>
          <w:tblLook w:val="04A0"/>
        </w:tblPrEx>
        <w:trPr>
          <w:jc w:val="center"/>
        </w:trPr>
        <w:tc>
          <w:tcPr>
            <w:tcW w:w="2600" w:type="pct"/>
            <w:tcMar>
              <w:top w:w="48" w:type="dxa"/>
              <w:left w:w="48" w:type="dxa"/>
              <w:bottom w:w="48" w:type="dxa"/>
              <w:right w:w="48" w:type="dxa"/>
            </w:tcMar>
            <w:vAlign w:val="center"/>
            <w:hideMark/>
          </w:tcPr>
          <w:p w:rsidR="00777F41" w:rsidP="0005523D" w14:paraId="4DE2E2A5" w14:textId="77777777">
            <w:pPr>
              <w:rPr>
                <w:rFonts w:eastAsia="Times New Roman"/>
              </w:rPr>
            </w:pPr>
            <w:r>
              <w:rPr>
                <w:rFonts w:eastAsia="Times New Roman"/>
                <w:b/>
                <w:bCs/>
              </w:rPr>
              <w:t>Initial Allocation Estimate</w:t>
            </w:r>
            <w:r w:rsidR="00EF4030">
              <w:rPr>
                <w:rFonts w:eastAsia="Times New Roman"/>
                <w:b/>
                <w:bCs/>
              </w:rPr>
              <w:t>:</w:t>
            </w:r>
          </w:p>
        </w:tc>
        <w:tc>
          <w:tcPr>
            <w:tcW w:w="2400" w:type="pct"/>
            <w:tcMar>
              <w:top w:w="48" w:type="dxa"/>
              <w:left w:w="48" w:type="dxa"/>
              <w:bottom w:w="48" w:type="dxa"/>
              <w:right w:w="48" w:type="dxa"/>
            </w:tcMar>
            <w:vAlign w:val="center"/>
            <w:hideMark/>
          </w:tcPr>
          <w:p w:rsidR="00777F41" w:rsidRPr="0065298B" w14:paraId="141DB6DA" w14:textId="77777777">
            <w:pPr>
              <w:jc w:val="right"/>
              <w:rPr>
                <w:rFonts w:eastAsia="Times New Roman"/>
                <w:b/>
                <w:bCs/>
              </w:rPr>
            </w:pPr>
            <w:bookmarkStart w:id="40" w:name="repgrant"/>
            <w:bookmarkEnd w:id="40"/>
            <w:r w:rsidRPr="0065298B">
              <w:rPr>
                <w:rFonts w:eastAsia="Times New Roman"/>
                <w:b/>
                <w:bCs/>
              </w:rPr>
              <w:t xml:space="preserve"> </w:t>
            </w:r>
          </w:p>
        </w:tc>
      </w:tr>
      <w:tr w14:paraId="7C8072A0" w14:textId="77777777" w:rsidTr="6BB1C61B">
        <w:tblPrEx>
          <w:tblW w:w="4128" w:type="pct"/>
          <w:jc w:val="center"/>
          <w:tblCellMar>
            <w:top w:w="15" w:type="dxa"/>
            <w:left w:w="15" w:type="dxa"/>
            <w:bottom w:w="15" w:type="dxa"/>
            <w:right w:w="15" w:type="dxa"/>
          </w:tblCellMar>
          <w:tblLook w:val="04A0"/>
        </w:tblPrEx>
        <w:trPr>
          <w:jc w:val="center"/>
        </w:trPr>
        <w:tc>
          <w:tcPr>
            <w:tcW w:w="2600" w:type="pct"/>
            <w:tcMar>
              <w:top w:w="48" w:type="dxa"/>
              <w:left w:w="48" w:type="dxa"/>
              <w:bottom w:w="48" w:type="dxa"/>
              <w:right w:w="48" w:type="dxa"/>
            </w:tcMar>
            <w:vAlign w:val="center"/>
          </w:tcPr>
          <w:p w:rsidR="00020377" w:rsidP="00151F28" w14:paraId="39EEB3AD" w14:textId="74CED0A8">
            <w:pPr>
              <w:rPr>
                <w:rFonts w:eastAsia="Times New Roman"/>
                <w:b/>
                <w:bCs/>
              </w:rPr>
            </w:pPr>
            <w:r>
              <w:rPr>
                <w:rFonts w:eastAsia="Times New Roman"/>
              </w:rPr>
              <w:t xml:space="preserve">24 CFR </w:t>
            </w:r>
            <w:r w:rsidRPr="003050E4" w:rsidR="00777F41">
              <w:rPr>
                <w:rFonts w:eastAsia="Times New Roman"/>
              </w:rPr>
              <w:t>§1000</w:t>
            </w:r>
            <w:r w:rsidR="00777F41">
              <w:rPr>
                <w:rFonts w:eastAsia="Times New Roman"/>
              </w:rPr>
              <w:t>.342 Undisbursed Funds Adjustment</w:t>
            </w:r>
            <w:r w:rsidR="003F58CC">
              <w:rPr>
                <w:rStyle w:val="EndnoteReference"/>
                <w:rFonts w:eastAsia="Times New Roman"/>
              </w:rPr>
              <w:t>7</w:t>
            </w:r>
            <w:r w:rsidR="00EF4030">
              <w:rPr>
                <w:rFonts w:eastAsia="Times New Roman"/>
              </w:rPr>
              <w:t>:</w:t>
            </w:r>
          </w:p>
        </w:tc>
        <w:tc>
          <w:tcPr>
            <w:tcW w:w="2400" w:type="pct"/>
            <w:tcMar>
              <w:top w:w="48" w:type="dxa"/>
              <w:left w:w="48" w:type="dxa"/>
              <w:bottom w:w="48" w:type="dxa"/>
              <w:right w:w="48" w:type="dxa"/>
            </w:tcMar>
            <w:vAlign w:val="center"/>
          </w:tcPr>
          <w:p w:rsidR="00777F41" w:rsidRPr="00151F28" w14:paraId="156FC90B" w14:textId="77777777">
            <w:pPr>
              <w:jc w:val="right"/>
            </w:pPr>
            <w:r w:rsidRPr="00151F28">
              <w:t>To be Determined</w:t>
            </w:r>
          </w:p>
        </w:tc>
      </w:tr>
      <w:tr w14:paraId="0F6BC262" w14:textId="77777777" w:rsidTr="6BB1C61B">
        <w:tblPrEx>
          <w:tblW w:w="4128" w:type="pct"/>
          <w:jc w:val="center"/>
          <w:tblCellMar>
            <w:top w:w="15" w:type="dxa"/>
            <w:left w:w="15" w:type="dxa"/>
            <w:bottom w:w="15" w:type="dxa"/>
            <w:right w:w="15" w:type="dxa"/>
          </w:tblCellMar>
          <w:tblLook w:val="04A0"/>
        </w:tblPrEx>
        <w:trPr>
          <w:jc w:val="center"/>
        </w:trPr>
        <w:tc>
          <w:tcPr>
            <w:tcW w:w="2600" w:type="pct"/>
            <w:tcMar>
              <w:top w:w="48" w:type="dxa"/>
              <w:left w:w="43" w:type="dxa"/>
              <w:bottom w:w="48" w:type="dxa"/>
              <w:right w:w="0" w:type="dxa"/>
            </w:tcMar>
            <w:vAlign w:val="center"/>
          </w:tcPr>
          <w:p w:rsidR="00C01FC7" w:rsidP="001E1C26" w14:paraId="18756E8E" w14:textId="677DDE45">
            <w:pPr>
              <w:ind w:left="720" w:hanging="720"/>
              <w:rPr>
                <w:rFonts w:eastAsia="Times New Roman"/>
              </w:rPr>
            </w:pPr>
            <w:r>
              <w:rPr>
                <w:rFonts w:eastAsia="Times New Roman"/>
              </w:rPr>
              <w:t xml:space="preserve">24 CFR </w:t>
            </w:r>
            <w:r w:rsidRPr="003050E4" w:rsidR="00777F41">
              <w:rPr>
                <w:rFonts w:eastAsia="Times New Roman"/>
              </w:rPr>
              <w:t>§1000</w:t>
            </w:r>
            <w:r w:rsidR="00777F41">
              <w:rPr>
                <w:rFonts w:eastAsia="Times New Roman"/>
              </w:rPr>
              <w:t xml:space="preserve">.329 Minimum </w:t>
            </w:r>
            <w:r w:rsidR="00D035B2">
              <w:rPr>
                <w:rFonts w:eastAsia="Times New Roman"/>
              </w:rPr>
              <w:t>Allocation</w:t>
            </w:r>
            <w:r w:rsidR="001E1C26">
              <w:rPr>
                <w:rFonts w:eastAsia="Times New Roman"/>
              </w:rPr>
              <w:t xml:space="preserve"> </w:t>
            </w:r>
          </w:p>
          <w:p w:rsidR="00020377" w:rsidP="001E1C26" w14:paraId="66BA56D7" w14:textId="04B114BE">
            <w:pPr>
              <w:ind w:left="720" w:hanging="720"/>
              <w:rPr>
                <w:rFonts w:eastAsia="Times New Roman"/>
                <w:b/>
                <w:bCs/>
              </w:rPr>
            </w:pPr>
            <w:r>
              <w:rPr>
                <w:rFonts w:eastAsia="Times New Roman"/>
              </w:rPr>
              <w:t>A</w:t>
            </w:r>
            <w:r w:rsidR="00777F41">
              <w:rPr>
                <w:rFonts w:eastAsia="Times New Roman"/>
              </w:rPr>
              <w:t>djustment</w:t>
            </w:r>
            <w:r w:rsidR="003F58CC">
              <w:rPr>
                <w:rStyle w:val="EndnoteReference"/>
                <w:rFonts w:eastAsia="Times New Roman"/>
              </w:rPr>
              <w:t>8</w:t>
            </w:r>
            <w:r w:rsidR="00EF4030">
              <w:rPr>
                <w:rFonts w:eastAsia="Times New Roman"/>
              </w:rPr>
              <w:t>:</w:t>
            </w:r>
          </w:p>
        </w:tc>
        <w:tc>
          <w:tcPr>
            <w:tcW w:w="2400" w:type="pct"/>
            <w:tcMar>
              <w:top w:w="48" w:type="dxa"/>
              <w:left w:w="48" w:type="dxa"/>
              <w:bottom w:w="48" w:type="dxa"/>
              <w:right w:w="48" w:type="dxa"/>
            </w:tcMar>
            <w:vAlign w:val="center"/>
          </w:tcPr>
          <w:p w:rsidR="00777F41" w:rsidRPr="00151F28" w14:paraId="15A2538B" w14:textId="77777777">
            <w:pPr>
              <w:jc w:val="right"/>
            </w:pPr>
            <w:r w:rsidRPr="00151F28">
              <w:t>To be Determined</w:t>
            </w:r>
          </w:p>
        </w:tc>
      </w:tr>
      <w:tr w14:paraId="7D6A52FA" w14:textId="77777777" w:rsidTr="6BB1C61B">
        <w:tblPrEx>
          <w:tblW w:w="4128" w:type="pct"/>
          <w:jc w:val="center"/>
          <w:tblCellMar>
            <w:top w:w="15" w:type="dxa"/>
            <w:left w:w="15" w:type="dxa"/>
            <w:bottom w:w="15" w:type="dxa"/>
            <w:right w:w="15" w:type="dxa"/>
          </w:tblCellMar>
          <w:tblLook w:val="04A0"/>
        </w:tblPrEx>
        <w:trPr>
          <w:trHeight w:val="411"/>
          <w:jc w:val="center"/>
        </w:trPr>
        <w:tc>
          <w:tcPr>
            <w:tcW w:w="2600" w:type="pct"/>
            <w:tcMar>
              <w:top w:w="48" w:type="dxa"/>
              <w:left w:w="48" w:type="dxa"/>
              <w:bottom w:w="48" w:type="dxa"/>
              <w:right w:w="48" w:type="dxa"/>
            </w:tcMar>
            <w:vAlign w:val="center"/>
            <w:hideMark/>
          </w:tcPr>
          <w:p w:rsidR="00777F41" w:rsidP="003F58CC" w14:paraId="340CD6A2" w14:textId="09333411">
            <w:pPr>
              <w:rPr>
                <w:rFonts w:eastAsia="Times New Roman"/>
                <w:b/>
                <w:bCs/>
              </w:rPr>
            </w:pPr>
            <w:r w:rsidRPr="6BB1C61B">
              <w:rPr>
                <w:rFonts w:eastAsia="Times New Roman"/>
                <w:b/>
                <w:bCs/>
              </w:rPr>
              <w:t xml:space="preserve">FY </w:t>
            </w:r>
            <w:r w:rsidRPr="6BB1C61B" w:rsidR="25CE6B49">
              <w:rPr>
                <w:rFonts w:eastAsia="Times New Roman"/>
                <w:b/>
                <w:bCs/>
              </w:rPr>
              <w:t>20</w:t>
            </w:r>
            <w:r w:rsidRPr="6BB1C61B" w:rsidR="56AFD6C1">
              <w:rPr>
                <w:rFonts w:eastAsia="Times New Roman"/>
                <w:b/>
                <w:bCs/>
              </w:rPr>
              <w:t>XX</w:t>
            </w:r>
            <w:r w:rsidRPr="6BB1C61B">
              <w:rPr>
                <w:rFonts w:eastAsia="Times New Roman"/>
                <w:b/>
                <w:bCs/>
              </w:rPr>
              <w:t xml:space="preserve"> Final Allocation Estimate</w:t>
            </w:r>
            <w:r w:rsidRPr="6BB1C61B" w:rsidR="3058196C">
              <w:rPr>
                <w:rFonts w:eastAsia="Times New Roman"/>
                <w:b/>
                <w:bCs/>
              </w:rPr>
              <w:t>:</w:t>
            </w:r>
          </w:p>
        </w:tc>
        <w:tc>
          <w:tcPr>
            <w:tcW w:w="2400" w:type="pct"/>
            <w:tcMar>
              <w:top w:w="48" w:type="dxa"/>
              <w:left w:w="48" w:type="dxa"/>
              <w:bottom w:w="48" w:type="dxa"/>
              <w:right w:w="48" w:type="dxa"/>
            </w:tcMar>
            <w:vAlign w:val="center"/>
            <w:hideMark/>
          </w:tcPr>
          <w:p w:rsidR="00297320" w:rsidRPr="00777F41" w:rsidP="00170FB0" w14:paraId="6B92E50F" w14:textId="77777777">
            <w:pPr>
              <w:jc w:val="right"/>
              <w:rPr>
                <w:rFonts w:eastAsia="Times New Roman"/>
                <w:b/>
                <w:bCs/>
              </w:rPr>
            </w:pPr>
            <w:bookmarkStart w:id="41" w:name="finalgrantamt"/>
            <w:bookmarkEnd w:id="41"/>
          </w:p>
        </w:tc>
      </w:tr>
    </w:tbl>
    <w:p w:rsidR="003F58CC" w:rsidRPr="001B17A7" w:rsidP="00D45DC8" w14:paraId="72FE3BA0" w14:textId="225DFC97">
      <w:pPr>
        <w:divId w:val="334694253"/>
        <w:spacing w:beforeAutospacing="1" w:after="240"/>
        <w:ind w:left="720"/>
        <w:rPr>
          <w:rFonts w:eastAsia="Times New Roman"/>
          <w:sz w:val="18"/>
          <w:szCs w:val="18"/>
        </w:rPr>
      </w:pPr>
      <w:r>
        <w:rPr>
          <w:rFonts w:eastAsia="Times New Roman"/>
        </w:rPr>
        <w:br/>
      </w:r>
      <w:r w:rsidRPr="001B17A7">
        <w:rPr>
          <w:rFonts w:eastAsia="Times New Roman"/>
          <w:sz w:val="18"/>
          <w:szCs w:val="18"/>
          <w:vertAlign w:val="superscript"/>
        </w:rPr>
        <w:t>2</w:t>
      </w:r>
      <w:r w:rsidRPr="001B17A7">
        <w:rPr>
          <w:rFonts w:eastAsia="Times New Roman"/>
          <w:sz w:val="18"/>
          <w:szCs w:val="18"/>
        </w:rPr>
        <w:t xml:space="preserve">If an "M" appears following the FCAS component, it means that the modernization subsidy on which FCAS was based was calculated using the alternative definition in </w:t>
      </w:r>
      <w:r w:rsidR="00C01FC7">
        <w:rPr>
          <w:rFonts w:eastAsia="Times New Roman"/>
          <w:sz w:val="18"/>
          <w:szCs w:val="18"/>
        </w:rPr>
        <w:t xml:space="preserve">24 CFR </w:t>
      </w:r>
      <w:r w:rsidRPr="001B17A7">
        <w:rPr>
          <w:rFonts w:eastAsia="Times New Roman"/>
          <w:sz w:val="18"/>
          <w:szCs w:val="18"/>
        </w:rPr>
        <w:t xml:space="preserve">§1000.316(b)(2), which states that "for Indian </w:t>
      </w:r>
      <w:r w:rsidR="00C2403A">
        <w:rPr>
          <w:rFonts w:eastAsia="Times New Roman"/>
          <w:sz w:val="18"/>
          <w:szCs w:val="18"/>
        </w:rPr>
        <w:t>Tribe</w:t>
      </w:r>
      <w:r w:rsidRPr="001B17A7">
        <w:rPr>
          <w:rFonts w:eastAsia="Times New Roman"/>
          <w:sz w:val="18"/>
          <w:szCs w:val="18"/>
        </w:rPr>
        <w:t xml:space="preserve">s with an Indian Housing Authority (IHA) that owned or operated fewer than 250 public housing units on October 1, 1997, the modernization allocation equals the amount of funds received under the assistance program authorized by Section 14 of the 1937 Act (not including funds provided as emergency assistance) for FYs 1992 through 1997."  If an "A" appears, it means that your </w:t>
      </w:r>
      <w:r w:rsidR="00CF2741">
        <w:rPr>
          <w:rFonts w:eastAsia="Times New Roman"/>
          <w:sz w:val="18"/>
          <w:szCs w:val="18"/>
        </w:rPr>
        <w:t>T</w:t>
      </w:r>
      <w:r w:rsidRPr="001B17A7">
        <w:rPr>
          <w:rFonts w:eastAsia="Times New Roman"/>
          <w:sz w:val="18"/>
          <w:szCs w:val="18"/>
        </w:rPr>
        <w:t>ribe had an IHA that owned or operated fewer than 250 public housing units on October 1, 1997, but was entitled to a larger modernization amount using the original method of calculation (</w:t>
      </w:r>
      <w:r w:rsidR="00C01FC7">
        <w:rPr>
          <w:rFonts w:eastAsia="Times New Roman"/>
          <w:sz w:val="18"/>
          <w:szCs w:val="18"/>
        </w:rPr>
        <w:t xml:space="preserve">24 CFR </w:t>
      </w:r>
      <w:r w:rsidRPr="001B17A7">
        <w:rPr>
          <w:rFonts w:eastAsia="Times New Roman"/>
          <w:sz w:val="18"/>
          <w:szCs w:val="18"/>
        </w:rPr>
        <w:t xml:space="preserve">§1000.316(b)(1)) and your </w:t>
      </w:r>
      <w:r w:rsidR="00D035B2">
        <w:rPr>
          <w:rFonts w:eastAsia="Times New Roman"/>
          <w:sz w:val="18"/>
          <w:szCs w:val="18"/>
        </w:rPr>
        <w:t>allocation</w:t>
      </w:r>
      <w:r w:rsidRPr="001B17A7">
        <w:rPr>
          <w:rFonts w:eastAsia="Times New Roman"/>
          <w:sz w:val="18"/>
          <w:szCs w:val="18"/>
        </w:rPr>
        <w:t xml:space="preserve"> was adjusted to take this into account, as called for in </w:t>
      </w:r>
      <w:r w:rsidR="00C01FC7">
        <w:rPr>
          <w:rFonts w:eastAsia="Times New Roman"/>
          <w:sz w:val="18"/>
          <w:szCs w:val="18"/>
        </w:rPr>
        <w:t xml:space="preserve">24 CFR </w:t>
      </w:r>
      <w:r w:rsidRPr="001B17A7">
        <w:rPr>
          <w:rFonts w:eastAsia="Times New Roman"/>
          <w:sz w:val="18"/>
          <w:szCs w:val="18"/>
        </w:rPr>
        <w:t xml:space="preserve">§1000.340(a).   If no "M" or "A" appears, the modernization subsidy was calculated using the original method described in </w:t>
      </w:r>
      <w:r w:rsidR="00C01FC7">
        <w:rPr>
          <w:rFonts w:eastAsia="Times New Roman"/>
          <w:sz w:val="18"/>
          <w:szCs w:val="18"/>
        </w:rPr>
        <w:t xml:space="preserve">24 CFR </w:t>
      </w:r>
      <w:r w:rsidRPr="001B17A7">
        <w:rPr>
          <w:rFonts w:eastAsia="Times New Roman"/>
          <w:sz w:val="18"/>
          <w:szCs w:val="18"/>
        </w:rPr>
        <w:t>§1000.316(b)(1).</w:t>
      </w:r>
    </w:p>
    <w:p w:rsidR="00020377" w14:paraId="1E425E3E" w14:textId="5EF82E75">
      <w:pPr>
        <w:pStyle w:val="EndnoteText"/>
        <w:divId w:val="334694253"/>
        <w:ind w:left="720"/>
        <w:rPr>
          <w:rFonts w:eastAsia="Times New Roman"/>
          <w:sz w:val="18"/>
          <w:szCs w:val="18"/>
        </w:rPr>
      </w:pPr>
      <w:r w:rsidRPr="001B17A7">
        <w:rPr>
          <w:rFonts w:eastAsia="Times New Roman"/>
          <w:sz w:val="18"/>
          <w:szCs w:val="18"/>
          <w:vertAlign w:val="superscript"/>
        </w:rPr>
        <w:t>3</w:t>
      </w:r>
      <w:r w:rsidRPr="001B17A7" w:rsidR="005A0143">
        <w:rPr>
          <w:rFonts w:eastAsia="Times New Roman"/>
          <w:sz w:val="18"/>
          <w:szCs w:val="18"/>
        </w:rPr>
        <w:t xml:space="preserve">The Needs component includes adjustments needed to achieve minimum funding as called for in </w:t>
      </w:r>
      <w:r w:rsidR="00C01FC7">
        <w:rPr>
          <w:rFonts w:eastAsia="Times New Roman"/>
          <w:sz w:val="18"/>
          <w:szCs w:val="18"/>
        </w:rPr>
        <w:t xml:space="preserve">24 CFR </w:t>
      </w:r>
      <w:r w:rsidRPr="001B17A7" w:rsidR="005A0143">
        <w:rPr>
          <w:rFonts w:eastAsia="Times New Roman"/>
          <w:sz w:val="18"/>
          <w:szCs w:val="18"/>
        </w:rPr>
        <w:t xml:space="preserve">§1000.328.  The minimum allocation in any </w:t>
      </w:r>
      <w:r w:rsidR="006F2EDD">
        <w:rPr>
          <w:rFonts w:eastAsia="Times New Roman"/>
          <w:sz w:val="18"/>
          <w:szCs w:val="18"/>
        </w:rPr>
        <w:t>FY</w:t>
      </w:r>
      <w:r w:rsidRPr="001B17A7" w:rsidR="005A0143">
        <w:rPr>
          <w:rFonts w:eastAsia="Times New Roman"/>
          <w:sz w:val="18"/>
          <w:szCs w:val="18"/>
        </w:rPr>
        <w:t xml:space="preserve"> to an Indian </w:t>
      </w:r>
      <w:r w:rsidR="00C2403A">
        <w:rPr>
          <w:rFonts w:eastAsia="Times New Roman"/>
          <w:sz w:val="18"/>
          <w:szCs w:val="18"/>
        </w:rPr>
        <w:t>Tribe</w:t>
      </w:r>
      <w:r w:rsidRPr="001B17A7" w:rsidR="005A0143">
        <w:rPr>
          <w:rFonts w:eastAsia="Times New Roman"/>
          <w:sz w:val="18"/>
          <w:szCs w:val="18"/>
        </w:rPr>
        <w:t xml:space="preserve"> under the Needs component of the IHBG Formula shall equal 0.007826% of the available appropriations for that FY after set asides.  In this allocation, the minimum Needs </w:t>
      </w:r>
      <w:r w:rsidR="00D035B2">
        <w:rPr>
          <w:rFonts w:eastAsia="Times New Roman"/>
          <w:sz w:val="18"/>
          <w:szCs w:val="18"/>
        </w:rPr>
        <w:t>allocation</w:t>
      </w:r>
      <w:r w:rsidRPr="001B17A7" w:rsidR="005A0143">
        <w:rPr>
          <w:rFonts w:eastAsia="Times New Roman"/>
          <w:sz w:val="18"/>
          <w:szCs w:val="18"/>
        </w:rPr>
        <w:t xml:space="preserve"> </w:t>
      </w:r>
      <w:r w:rsidRPr="009C4686" w:rsidR="005A0143">
        <w:rPr>
          <w:rFonts w:eastAsia="Times New Roman"/>
          <w:sz w:val="18"/>
          <w:szCs w:val="18"/>
        </w:rPr>
        <w:t>is $</w:t>
      </w:r>
      <w:r w:rsidRPr="009C4686" w:rsidR="009C4686">
        <w:rPr>
          <w:rFonts w:eastAsia="Times New Roman"/>
          <w:sz w:val="18"/>
          <w:szCs w:val="18"/>
        </w:rPr>
        <w:t>60,417</w:t>
      </w:r>
      <w:r w:rsidRPr="009C4686" w:rsidR="005A0143">
        <w:rPr>
          <w:rFonts w:eastAsia="Times New Roman"/>
          <w:sz w:val="18"/>
          <w:szCs w:val="18"/>
        </w:rPr>
        <w:t>.</w:t>
      </w:r>
      <w:r w:rsidRPr="001B17A7" w:rsidR="005A0143">
        <w:rPr>
          <w:rFonts w:eastAsia="Times New Roman"/>
          <w:sz w:val="18"/>
          <w:szCs w:val="18"/>
        </w:rPr>
        <w:t xml:space="preserve"> To be eligible for the minimum allocation, an Indian </w:t>
      </w:r>
      <w:r w:rsidR="00C2403A">
        <w:rPr>
          <w:rFonts w:eastAsia="Times New Roman"/>
          <w:sz w:val="18"/>
          <w:szCs w:val="18"/>
        </w:rPr>
        <w:t>Tribe</w:t>
      </w:r>
      <w:r w:rsidRPr="001B17A7" w:rsidR="005A0143">
        <w:rPr>
          <w:rFonts w:eastAsia="Times New Roman"/>
          <w:sz w:val="18"/>
          <w:szCs w:val="18"/>
        </w:rPr>
        <w:t xml:space="preserve"> must receive less than $200,000 under the FCAS component of the IHBG Formula for the </w:t>
      </w:r>
      <w:r w:rsidR="006F2EDD">
        <w:rPr>
          <w:rFonts w:eastAsia="Times New Roman"/>
          <w:sz w:val="18"/>
          <w:szCs w:val="18"/>
        </w:rPr>
        <w:t>FY</w:t>
      </w:r>
      <w:r w:rsidRPr="001B17A7" w:rsidR="005A0143">
        <w:rPr>
          <w:rFonts w:eastAsia="Times New Roman"/>
          <w:sz w:val="18"/>
          <w:szCs w:val="18"/>
        </w:rPr>
        <w:t>, and must demonstrate the presence of any households at or below 80 percent of median income.</w:t>
      </w:r>
    </w:p>
    <w:p w:rsidR="00020377" w14:paraId="73262066" w14:textId="481D1008">
      <w:pPr>
        <w:pStyle w:val="EndnoteText"/>
        <w:divId w:val="334694253"/>
        <w:ind w:left="720"/>
        <w:rPr>
          <w:sz w:val="18"/>
          <w:szCs w:val="18"/>
        </w:rPr>
      </w:pPr>
      <w:r w:rsidRPr="001B17A7">
        <w:rPr>
          <w:rFonts w:eastAsia="Times New Roman"/>
          <w:sz w:val="18"/>
          <w:szCs w:val="18"/>
        </w:rPr>
        <w:br/>
      </w:r>
      <w:r w:rsidRPr="00416BB1" w:rsidR="00416BB1">
        <w:rPr>
          <w:rStyle w:val="EndnoteReference"/>
          <w:sz w:val="18"/>
          <w:szCs w:val="18"/>
        </w:rPr>
        <w:t>4</w:t>
      </w:r>
      <w:r w:rsidRPr="00416BB1" w:rsidR="00416BB1">
        <w:rPr>
          <w:sz w:val="18"/>
          <w:szCs w:val="18"/>
        </w:rPr>
        <w:t xml:space="preserve">In accordance with </w:t>
      </w:r>
      <w:r w:rsidR="00C01FC7">
        <w:rPr>
          <w:sz w:val="18"/>
          <w:szCs w:val="18"/>
        </w:rPr>
        <w:t xml:space="preserve">24 CFR </w:t>
      </w:r>
      <w:r w:rsidRPr="001B17A7" w:rsidR="001B17A7">
        <w:rPr>
          <w:rFonts w:eastAsia="Times New Roman"/>
          <w:sz w:val="18"/>
          <w:szCs w:val="18"/>
        </w:rPr>
        <w:t xml:space="preserve">§1000.331, to minimize the impact of funding changes based on the introduction of a new data source, if, solely as a direct result of the introduction of a new data source, an Indian </w:t>
      </w:r>
      <w:r w:rsidR="00C2403A">
        <w:rPr>
          <w:rFonts w:eastAsia="Times New Roman"/>
          <w:sz w:val="18"/>
          <w:szCs w:val="18"/>
        </w:rPr>
        <w:t>Tribe</w:t>
      </w:r>
      <w:r w:rsidRPr="001B17A7" w:rsidR="001B17A7">
        <w:rPr>
          <w:rFonts w:eastAsia="Times New Roman"/>
          <w:sz w:val="18"/>
          <w:szCs w:val="18"/>
        </w:rPr>
        <w:t xml:space="preserve">'s allocation under the </w:t>
      </w:r>
      <w:r w:rsidR="00875432">
        <w:rPr>
          <w:rFonts w:eastAsia="Times New Roman"/>
          <w:sz w:val="18"/>
          <w:szCs w:val="18"/>
        </w:rPr>
        <w:t>N</w:t>
      </w:r>
      <w:r w:rsidRPr="001B17A7" w:rsidR="001B17A7">
        <w:rPr>
          <w:rFonts w:eastAsia="Times New Roman"/>
          <w:sz w:val="18"/>
          <w:szCs w:val="18"/>
        </w:rPr>
        <w:t>eed</w:t>
      </w:r>
      <w:r w:rsidR="00875432">
        <w:rPr>
          <w:rFonts w:eastAsia="Times New Roman"/>
          <w:sz w:val="18"/>
          <w:szCs w:val="18"/>
        </w:rPr>
        <w:t xml:space="preserve">s </w:t>
      </w:r>
      <w:r w:rsidRPr="001B17A7" w:rsidR="001B17A7">
        <w:rPr>
          <w:rFonts w:eastAsia="Times New Roman"/>
          <w:sz w:val="18"/>
          <w:szCs w:val="18"/>
        </w:rPr>
        <w:t xml:space="preserve">component of the formula is less than 90 percent of the amount it received under the </w:t>
      </w:r>
      <w:r w:rsidR="00875432">
        <w:rPr>
          <w:rFonts w:eastAsia="Times New Roman"/>
          <w:sz w:val="18"/>
          <w:szCs w:val="18"/>
        </w:rPr>
        <w:t>N</w:t>
      </w:r>
      <w:r w:rsidRPr="001B17A7" w:rsidR="001B17A7">
        <w:rPr>
          <w:rFonts w:eastAsia="Times New Roman"/>
          <w:sz w:val="18"/>
          <w:szCs w:val="18"/>
        </w:rPr>
        <w:t>eed</w:t>
      </w:r>
      <w:r w:rsidR="00875432">
        <w:rPr>
          <w:rFonts w:eastAsia="Times New Roman"/>
          <w:sz w:val="18"/>
          <w:szCs w:val="18"/>
        </w:rPr>
        <w:t>s</w:t>
      </w:r>
      <w:r w:rsidRPr="001B17A7" w:rsidR="001B17A7">
        <w:rPr>
          <w:rFonts w:eastAsia="Times New Roman"/>
          <w:sz w:val="18"/>
          <w:szCs w:val="18"/>
        </w:rPr>
        <w:t xml:space="preserve"> component in the immediate previous </w:t>
      </w:r>
      <w:r w:rsidR="006F2EDD">
        <w:rPr>
          <w:rFonts w:eastAsia="Times New Roman"/>
          <w:sz w:val="18"/>
          <w:szCs w:val="18"/>
        </w:rPr>
        <w:t>FY</w:t>
      </w:r>
      <w:r w:rsidRPr="001B17A7" w:rsidR="001B17A7">
        <w:rPr>
          <w:rFonts w:eastAsia="Times New Roman"/>
          <w:sz w:val="18"/>
          <w:szCs w:val="18"/>
        </w:rPr>
        <w:t xml:space="preserve">, the Indian </w:t>
      </w:r>
      <w:r w:rsidR="00C2403A">
        <w:rPr>
          <w:rFonts w:eastAsia="Times New Roman"/>
          <w:sz w:val="18"/>
          <w:szCs w:val="18"/>
        </w:rPr>
        <w:t>Tribe</w:t>
      </w:r>
      <w:r w:rsidRPr="001B17A7" w:rsidR="001B17A7">
        <w:rPr>
          <w:rFonts w:eastAsia="Times New Roman"/>
          <w:sz w:val="18"/>
          <w:szCs w:val="18"/>
        </w:rPr>
        <w:t xml:space="preserve">'s </w:t>
      </w:r>
      <w:r w:rsidR="00875432">
        <w:rPr>
          <w:rFonts w:eastAsia="Times New Roman"/>
          <w:sz w:val="18"/>
          <w:szCs w:val="18"/>
        </w:rPr>
        <w:t>N</w:t>
      </w:r>
      <w:r w:rsidRPr="001B17A7" w:rsidR="001B17A7">
        <w:rPr>
          <w:rFonts w:eastAsia="Times New Roman"/>
          <w:sz w:val="18"/>
          <w:szCs w:val="18"/>
        </w:rPr>
        <w:t>eed</w:t>
      </w:r>
      <w:r w:rsidR="00875432">
        <w:rPr>
          <w:rFonts w:eastAsia="Times New Roman"/>
          <w:sz w:val="18"/>
          <w:szCs w:val="18"/>
        </w:rPr>
        <w:t>s</w:t>
      </w:r>
      <w:r w:rsidRPr="001B17A7" w:rsidR="001B17A7">
        <w:rPr>
          <w:rFonts w:eastAsia="Times New Roman"/>
          <w:sz w:val="18"/>
          <w:szCs w:val="18"/>
        </w:rPr>
        <w:t xml:space="preserve"> allocation shall be adjusted to 90% of the previous year's</w:t>
      </w:r>
      <w:r w:rsidR="00875432">
        <w:rPr>
          <w:rFonts w:eastAsia="Times New Roman"/>
          <w:sz w:val="18"/>
          <w:szCs w:val="18"/>
        </w:rPr>
        <w:t xml:space="preserve"> N</w:t>
      </w:r>
      <w:r w:rsidRPr="001B17A7" w:rsidR="001B17A7">
        <w:rPr>
          <w:rFonts w:eastAsia="Times New Roman"/>
          <w:sz w:val="18"/>
          <w:szCs w:val="18"/>
        </w:rPr>
        <w:t>eed</w:t>
      </w:r>
      <w:r w:rsidR="00875432">
        <w:rPr>
          <w:rFonts w:eastAsia="Times New Roman"/>
          <w:sz w:val="18"/>
          <w:szCs w:val="18"/>
        </w:rPr>
        <w:t>s</w:t>
      </w:r>
      <w:r w:rsidRPr="001B17A7" w:rsidR="001B17A7">
        <w:rPr>
          <w:rFonts w:eastAsia="Times New Roman"/>
          <w:sz w:val="18"/>
          <w:szCs w:val="18"/>
        </w:rPr>
        <w:t xml:space="preserve"> allocation.  </w:t>
      </w:r>
    </w:p>
    <w:p w:rsidR="00020377" w14:paraId="18B5EBE2" w14:textId="77777777">
      <w:pPr>
        <w:pStyle w:val="EndnoteText"/>
        <w:divId w:val="334694253"/>
        <w:ind w:left="720"/>
        <w:rPr>
          <w:sz w:val="18"/>
          <w:szCs w:val="18"/>
        </w:rPr>
      </w:pPr>
    </w:p>
    <w:p w:rsidR="00020377" w14:paraId="1626F646" w14:textId="21525667">
      <w:pPr>
        <w:pStyle w:val="EndnoteText"/>
        <w:divId w:val="334694253"/>
        <w:ind w:left="720"/>
        <w:rPr>
          <w:rFonts w:eastAsia="Times New Roman"/>
          <w:sz w:val="18"/>
          <w:szCs w:val="18"/>
        </w:rPr>
      </w:pPr>
      <w:r w:rsidRPr="00416BB1">
        <w:rPr>
          <w:rStyle w:val="EndnoteReference"/>
          <w:sz w:val="18"/>
          <w:szCs w:val="18"/>
        </w:rPr>
        <w:t>5</w:t>
      </w:r>
      <w:r w:rsidRPr="00416BB1">
        <w:rPr>
          <w:sz w:val="18"/>
          <w:szCs w:val="18"/>
        </w:rPr>
        <w:t xml:space="preserve"> </w:t>
      </w:r>
      <w:r w:rsidRPr="001B17A7" w:rsidR="001B17A7">
        <w:rPr>
          <w:rFonts w:eastAsia="Times New Roman"/>
          <w:sz w:val="18"/>
          <w:szCs w:val="18"/>
        </w:rPr>
        <w:t>According to</w:t>
      </w:r>
      <w:r w:rsidR="00C01FC7">
        <w:rPr>
          <w:rFonts w:eastAsia="Times New Roman"/>
          <w:sz w:val="18"/>
          <w:szCs w:val="18"/>
        </w:rPr>
        <w:t xml:space="preserve"> 24 CFR</w:t>
      </w:r>
      <w:r w:rsidRPr="001B17A7" w:rsidR="001B17A7">
        <w:rPr>
          <w:rFonts w:eastAsia="Times New Roman"/>
          <w:sz w:val="18"/>
          <w:szCs w:val="18"/>
        </w:rPr>
        <w:t xml:space="preserve"> §1000.340, if a </w:t>
      </w:r>
      <w:r w:rsidR="00C2403A">
        <w:rPr>
          <w:rFonts w:eastAsia="Times New Roman"/>
          <w:sz w:val="18"/>
          <w:szCs w:val="18"/>
        </w:rPr>
        <w:t>Tribe</w:t>
      </w:r>
      <w:r w:rsidRPr="001B17A7" w:rsidR="001B17A7">
        <w:rPr>
          <w:rFonts w:eastAsia="Times New Roman"/>
          <w:sz w:val="18"/>
          <w:szCs w:val="18"/>
        </w:rPr>
        <w:t xml:space="preserve"> is allocated less funding under the formula than an IHA received on its behalf in FY 1996 for operating subsidy and modernization, its </w:t>
      </w:r>
      <w:r w:rsidR="00D035B2">
        <w:rPr>
          <w:rFonts w:eastAsia="Times New Roman"/>
          <w:sz w:val="18"/>
          <w:szCs w:val="18"/>
        </w:rPr>
        <w:t>allocation</w:t>
      </w:r>
      <w:r w:rsidRPr="001B17A7" w:rsidR="001B17A7">
        <w:rPr>
          <w:rFonts w:eastAsia="Times New Roman"/>
          <w:sz w:val="18"/>
          <w:szCs w:val="18"/>
        </w:rPr>
        <w:t xml:space="preserve"> is increased to the amount received in FY 1996 for operating subsidy and modernization.</w:t>
      </w:r>
    </w:p>
    <w:p w:rsidR="00020377" w14:paraId="6FC2A59B" w14:textId="77777777">
      <w:pPr>
        <w:pStyle w:val="EndnoteText"/>
        <w:divId w:val="334694253"/>
        <w:ind w:left="720"/>
        <w:rPr>
          <w:sz w:val="18"/>
          <w:szCs w:val="18"/>
        </w:rPr>
      </w:pPr>
    </w:p>
    <w:p w:rsidR="00020377" w14:paraId="195824C5" w14:textId="7050E308">
      <w:pPr>
        <w:pStyle w:val="EndnoteText"/>
        <w:divId w:val="334694253"/>
        <w:ind w:left="720"/>
        <w:rPr>
          <w:rFonts w:eastAsia="Times New Roman"/>
          <w:sz w:val="18"/>
          <w:szCs w:val="18"/>
        </w:rPr>
      </w:pPr>
      <w:r w:rsidRPr="00416BB1">
        <w:rPr>
          <w:rStyle w:val="EndnoteReference"/>
          <w:sz w:val="18"/>
          <w:szCs w:val="18"/>
        </w:rPr>
        <w:t>6</w:t>
      </w:r>
      <w:r w:rsidRPr="00416BB1">
        <w:rPr>
          <w:sz w:val="18"/>
          <w:szCs w:val="18"/>
        </w:rPr>
        <w:t xml:space="preserve"> </w:t>
      </w:r>
      <w:r w:rsidRPr="001B17A7" w:rsidR="001B17A7">
        <w:rPr>
          <w:rFonts w:eastAsia="Times New Roman"/>
          <w:sz w:val="18"/>
          <w:szCs w:val="18"/>
        </w:rPr>
        <w:t xml:space="preserve">Adjustments refer to corrections made to prior year formula allocations.  Most are repayment agreements with HUD, usually for over-funding received by the </w:t>
      </w:r>
      <w:r w:rsidR="00C2403A">
        <w:rPr>
          <w:rFonts w:eastAsia="Times New Roman"/>
          <w:sz w:val="18"/>
          <w:szCs w:val="18"/>
        </w:rPr>
        <w:t>Tribe</w:t>
      </w:r>
      <w:r w:rsidRPr="001B17A7" w:rsidR="001B17A7">
        <w:rPr>
          <w:rFonts w:eastAsia="Times New Roman"/>
          <w:sz w:val="18"/>
          <w:szCs w:val="18"/>
        </w:rPr>
        <w:t xml:space="preserve"> in prior years due to late reporting of paid-off and conveyed FCAS.  Funds recovered through repayments are reallocated among all </w:t>
      </w:r>
      <w:r w:rsidR="00C2403A">
        <w:rPr>
          <w:rFonts w:eastAsia="Times New Roman"/>
          <w:sz w:val="18"/>
          <w:szCs w:val="18"/>
        </w:rPr>
        <w:t>Tribe</w:t>
      </w:r>
      <w:r w:rsidRPr="001B17A7" w:rsidR="001B17A7">
        <w:rPr>
          <w:rFonts w:eastAsia="Times New Roman"/>
          <w:sz w:val="18"/>
          <w:szCs w:val="18"/>
        </w:rPr>
        <w:t xml:space="preserve">s in the following FY through the formula.  Adjustments are also occasionally made as a result of HUD errors in entering </w:t>
      </w:r>
      <w:r w:rsidR="00C2403A">
        <w:rPr>
          <w:rFonts w:eastAsia="Times New Roman"/>
          <w:sz w:val="18"/>
          <w:szCs w:val="18"/>
        </w:rPr>
        <w:t>Tribe</w:t>
      </w:r>
      <w:r w:rsidRPr="001B17A7" w:rsidR="001B17A7">
        <w:rPr>
          <w:rFonts w:eastAsia="Times New Roman"/>
          <w:sz w:val="18"/>
          <w:szCs w:val="18"/>
        </w:rPr>
        <w:t>s' information or in calculating formula allocations.</w:t>
      </w:r>
    </w:p>
    <w:p w:rsidR="00020377" w14:paraId="65875DF9" w14:textId="77777777">
      <w:pPr>
        <w:pStyle w:val="EndnoteText"/>
        <w:divId w:val="334694253"/>
        <w:ind w:left="720"/>
        <w:rPr>
          <w:sz w:val="18"/>
          <w:szCs w:val="18"/>
        </w:rPr>
      </w:pPr>
    </w:p>
    <w:p w:rsidR="00020377" w14:paraId="152D1371" w14:textId="1E805387">
      <w:pPr>
        <w:pStyle w:val="EndnoteText"/>
        <w:divId w:val="334694253"/>
        <w:ind w:left="720"/>
        <w:rPr>
          <w:sz w:val="18"/>
          <w:szCs w:val="18"/>
        </w:rPr>
      </w:pPr>
      <w:r w:rsidRPr="6BB1C61B">
        <w:rPr>
          <w:rStyle w:val="EndnoteReference"/>
          <w:sz w:val="18"/>
          <w:szCs w:val="18"/>
        </w:rPr>
        <w:t>7</w:t>
      </w:r>
      <w:r w:rsidRPr="6BB1C61B">
        <w:rPr>
          <w:sz w:val="18"/>
          <w:szCs w:val="18"/>
        </w:rPr>
        <w:t xml:space="preserve"> In accordance with </w:t>
      </w:r>
      <w:r w:rsidRPr="6BB1C61B" w:rsidR="79CCDAEA">
        <w:rPr>
          <w:sz w:val="18"/>
          <w:szCs w:val="18"/>
        </w:rPr>
        <w:t xml:space="preserve">24 CFR </w:t>
      </w:r>
      <w:r w:rsidRPr="6BB1C61B" w:rsidR="767D923E">
        <w:rPr>
          <w:rFonts w:eastAsia="Times New Roman"/>
          <w:sz w:val="18"/>
          <w:szCs w:val="18"/>
        </w:rPr>
        <w:t>§1000.342</w:t>
      </w:r>
      <w:r w:rsidRPr="6BB1C61B" w:rsidR="09A45AFA">
        <w:rPr>
          <w:rFonts w:eastAsia="Times New Roman"/>
          <w:sz w:val="18"/>
          <w:szCs w:val="18"/>
        </w:rPr>
        <w:t>,</w:t>
      </w:r>
      <w:r w:rsidRPr="6BB1C61B" w:rsidR="1CD6DDF6">
        <w:rPr>
          <w:sz w:val="18"/>
          <w:szCs w:val="18"/>
        </w:rPr>
        <w:t xml:space="preserve"> </w:t>
      </w:r>
      <w:r w:rsidRPr="6BB1C61B" w:rsidR="39A6DEB9">
        <w:rPr>
          <w:sz w:val="18"/>
          <w:szCs w:val="18"/>
        </w:rPr>
        <w:t>Tribe</w:t>
      </w:r>
      <w:r w:rsidRPr="6BB1C61B">
        <w:rPr>
          <w:sz w:val="18"/>
          <w:szCs w:val="18"/>
        </w:rPr>
        <w:t>s with an initial allocation amount of $5 million or greater may be subject to a reduction depending on the amount they have in HUD's Line of Credit Control System</w:t>
      </w:r>
      <w:r w:rsidRPr="6BB1C61B" w:rsidR="09A45AFA">
        <w:rPr>
          <w:sz w:val="18"/>
          <w:szCs w:val="18"/>
        </w:rPr>
        <w:t xml:space="preserve"> (LOCCS)</w:t>
      </w:r>
      <w:r w:rsidRPr="6BB1C61B">
        <w:rPr>
          <w:sz w:val="18"/>
          <w:szCs w:val="18"/>
        </w:rPr>
        <w:t xml:space="preserve"> on the first day of FY </w:t>
      </w:r>
      <w:r w:rsidRPr="6BB1C61B" w:rsidR="25CE6B49">
        <w:rPr>
          <w:sz w:val="18"/>
          <w:szCs w:val="18"/>
        </w:rPr>
        <w:t>20</w:t>
      </w:r>
      <w:r w:rsidRPr="6BB1C61B" w:rsidR="42046B41">
        <w:rPr>
          <w:sz w:val="18"/>
          <w:szCs w:val="18"/>
        </w:rPr>
        <w:t>XX</w:t>
      </w:r>
      <w:r w:rsidRPr="6BB1C61B">
        <w:rPr>
          <w:sz w:val="18"/>
          <w:szCs w:val="18"/>
        </w:rPr>
        <w:t xml:space="preserve">.  The amount of the reduction would be redistributed among other </w:t>
      </w:r>
      <w:r w:rsidRPr="6BB1C61B" w:rsidR="39A6DEB9">
        <w:rPr>
          <w:sz w:val="18"/>
          <w:szCs w:val="18"/>
        </w:rPr>
        <w:t>Tribe</w:t>
      </w:r>
      <w:r w:rsidRPr="6BB1C61B">
        <w:rPr>
          <w:sz w:val="18"/>
          <w:szCs w:val="18"/>
        </w:rPr>
        <w:t xml:space="preserve">s in proportion to their </w:t>
      </w:r>
      <w:r w:rsidRPr="6BB1C61B" w:rsidR="09A45AFA">
        <w:rPr>
          <w:sz w:val="18"/>
          <w:szCs w:val="18"/>
        </w:rPr>
        <w:t>N</w:t>
      </w:r>
      <w:r w:rsidRPr="6BB1C61B">
        <w:rPr>
          <w:sz w:val="18"/>
          <w:szCs w:val="18"/>
        </w:rPr>
        <w:t>eeds calculation.</w:t>
      </w:r>
    </w:p>
    <w:p w:rsidR="00020377" w14:paraId="7D4FA4CC" w14:textId="77777777">
      <w:pPr>
        <w:pStyle w:val="EndnoteText"/>
        <w:divId w:val="334694253"/>
        <w:ind w:left="720"/>
        <w:rPr>
          <w:sz w:val="18"/>
          <w:szCs w:val="18"/>
        </w:rPr>
      </w:pPr>
    </w:p>
    <w:p w:rsidR="00EC7131" w:rsidP="00712D49" w14:paraId="737222A3" w14:textId="0FA99F65">
      <w:pPr>
        <w:pStyle w:val="EndnoteText"/>
        <w:divId w:val="334694253"/>
        <w:widowControl w:val="0"/>
        <w:spacing w:after="240"/>
        <w:ind w:left="720"/>
        <w:rPr>
          <w:rFonts w:eastAsia="Times New Roman"/>
          <w:sz w:val="18"/>
          <w:szCs w:val="18"/>
        </w:rPr>
      </w:pPr>
      <w:r w:rsidRPr="00416BB1">
        <w:rPr>
          <w:rStyle w:val="EndnoteReference"/>
          <w:sz w:val="18"/>
          <w:szCs w:val="18"/>
        </w:rPr>
        <w:t>8</w:t>
      </w:r>
      <w:r w:rsidRPr="00416BB1">
        <w:rPr>
          <w:sz w:val="18"/>
          <w:szCs w:val="18"/>
        </w:rPr>
        <w:t xml:space="preserve"> In accordance with </w:t>
      </w:r>
      <w:r w:rsidR="00C01FC7">
        <w:rPr>
          <w:sz w:val="18"/>
          <w:szCs w:val="18"/>
        </w:rPr>
        <w:t xml:space="preserve">24 CFR </w:t>
      </w:r>
      <w:r w:rsidRPr="001B17A7" w:rsidR="001B17A7">
        <w:rPr>
          <w:rFonts w:eastAsia="Times New Roman"/>
          <w:sz w:val="18"/>
          <w:szCs w:val="18"/>
        </w:rPr>
        <w:t xml:space="preserve">§1000.329, if carryover funds are available in any given year, HUD will hold the lesser </w:t>
      </w:r>
      <w:r w:rsidRPr="00467AAA" w:rsidR="001B17A7">
        <w:rPr>
          <w:rFonts w:eastAsia="Times New Roman"/>
          <w:sz w:val="18"/>
          <w:szCs w:val="18"/>
        </w:rPr>
        <w:t>amount of $</w:t>
      </w:r>
      <w:r w:rsidRPr="00467AAA" w:rsidR="003E16DB">
        <w:rPr>
          <w:rFonts w:eastAsia="Times New Roman"/>
          <w:sz w:val="18"/>
          <w:szCs w:val="18"/>
        </w:rPr>
        <w:t>3</w:t>
      </w:r>
      <w:r w:rsidRPr="00467AAA" w:rsidR="001B17A7">
        <w:rPr>
          <w:rFonts w:eastAsia="Times New Roman"/>
          <w:sz w:val="18"/>
          <w:szCs w:val="18"/>
        </w:rPr>
        <w:t xml:space="preserve"> million</w:t>
      </w:r>
      <w:r w:rsidRPr="001B17A7" w:rsidR="001B17A7">
        <w:rPr>
          <w:rFonts w:eastAsia="Times New Roman"/>
          <w:sz w:val="18"/>
          <w:szCs w:val="18"/>
        </w:rPr>
        <w:t xml:space="preserve"> or available carryover funds for additional allocations to </w:t>
      </w:r>
      <w:r w:rsidR="00C2403A">
        <w:rPr>
          <w:rFonts w:eastAsia="Times New Roman"/>
          <w:sz w:val="18"/>
          <w:szCs w:val="18"/>
        </w:rPr>
        <w:t>Tribe</w:t>
      </w:r>
      <w:r w:rsidRPr="001B17A7" w:rsidR="001B17A7">
        <w:rPr>
          <w:rFonts w:eastAsia="Times New Roman"/>
          <w:sz w:val="18"/>
          <w:szCs w:val="18"/>
        </w:rPr>
        <w:t xml:space="preserve">s with allocations less than </w:t>
      </w:r>
      <w:r w:rsidR="00712D49">
        <w:rPr>
          <w:rFonts w:eastAsia="Times New Roman"/>
          <w:sz w:val="18"/>
          <w:szCs w:val="18"/>
        </w:rPr>
        <w:t>0</w:t>
      </w:r>
      <w:r w:rsidRPr="001B17A7" w:rsidR="001B17A7">
        <w:rPr>
          <w:rFonts w:eastAsia="Times New Roman"/>
          <w:sz w:val="18"/>
          <w:szCs w:val="18"/>
        </w:rPr>
        <w:t>.011547 percent of that year</w:t>
      </w:r>
      <w:r w:rsidR="00971BD0">
        <w:rPr>
          <w:rFonts w:eastAsia="Times New Roman"/>
          <w:sz w:val="18"/>
          <w:szCs w:val="18"/>
        </w:rPr>
        <w:t>’</w:t>
      </w:r>
      <w:r w:rsidRPr="001B17A7" w:rsidR="001B17A7">
        <w:rPr>
          <w:rFonts w:eastAsia="Times New Roman"/>
          <w:sz w:val="18"/>
          <w:szCs w:val="18"/>
        </w:rPr>
        <w:t xml:space="preserve">s appropriation.  If the </w:t>
      </w:r>
      <w:r w:rsidR="002302C9">
        <w:rPr>
          <w:rFonts w:eastAsia="Times New Roman"/>
          <w:sz w:val="18"/>
          <w:szCs w:val="18"/>
        </w:rPr>
        <w:t>s</w:t>
      </w:r>
      <w:r w:rsidRPr="001B17A7" w:rsidR="001B17A7">
        <w:rPr>
          <w:rFonts w:eastAsia="Times New Roman"/>
          <w:sz w:val="18"/>
          <w:szCs w:val="18"/>
        </w:rPr>
        <w:t>et</w:t>
      </w:r>
      <w:r w:rsidR="002302C9">
        <w:rPr>
          <w:rFonts w:eastAsia="Times New Roman"/>
          <w:sz w:val="18"/>
          <w:szCs w:val="18"/>
        </w:rPr>
        <w:t>-</w:t>
      </w:r>
      <w:r w:rsidRPr="001B17A7" w:rsidR="001B17A7">
        <w:rPr>
          <w:rFonts w:eastAsia="Times New Roman"/>
          <w:sz w:val="18"/>
          <w:szCs w:val="18"/>
        </w:rPr>
        <w:t xml:space="preserve">aside carryover funds are insufficient to fund all eligible </w:t>
      </w:r>
      <w:r w:rsidR="00C2403A">
        <w:rPr>
          <w:rFonts w:eastAsia="Times New Roman"/>
          <w:sz w:val="18"/>
          <w:szCs w:val="18"/>
        </w:rPr>
        <w:t>Tribe</w:t>
      </w:r>
      <w:r w:rsidRPr="001B17A7" w:rsidR="001B17A7">
        <w:rPr>
          <w:rFonts w:eastAsia="Times New Roman"/>
          <w:sz w:val="18"/>
          <w:szCs w:val="18"/>
        </w:rPr>
        <w:t xml:space="preserve">s at </w:t>
      </w:r>
      <w:r w:rsidR="00712D49">
        <w:rPr>
          <w:rFonts w:eastAsia="Times New Roman"/>
          <w:sz w:val="18"/>
          <w:szCs w:val="18"/>
        </w:rPr>
        <w:t>0</w:t>
      </w:r>
      <w:r w:rsidRPr="001B17A7" w:rsidR="001B17A7">
        <w:rPr>
          <w:rFonts w:eastAsia="Times New Roman"/>
          <w:sz w:val="18"/>
          <w:szCs w:val="18"/>
        </w:rPr>
        <w:t>.</w:t>
      </w:r>
      <w:r w:rsidRPr="001B17A7" w:rsidR="003E16DB">
        <w:rPr>
          <w:rFonts w:eastAsia="Times New Roman"/>
          <w:sz w:val="18"/>
          <w:szCs w:val="18"/>
        </w:rPr>
        <w:t>0</w:t>
      </w:r>
      <w:r w:rsidR="003E16DB">
        <w:rPr>
          <w:rFonts w:eastAsia="Times New Roman"/>
          <w:sz w:val="18"/>
          <w:szCs w:val="18"/>
        </w:rPr>
        <w:t>1</w:t>
      </w:r>
      <w:r w:rsidRPr="001B17A7" w:rsidR="003E16DB">
        <w:rPr>
          <w:rFonts w:eastAsia="Times New Roman"/>
          <w:sz w:val="18"/>
          <w:szCs w:val="18"/>
        </w:rPr>
        <w:t xml:space="preserve">1547 </w:t>
      </w:r>
      <w:r w:rsidRPr="001B17A7" w:rsidR="001B17A7">
        <w:rPr>
          <w:rFonts w:eastAsia="Times New Roman"/>
          <w:sz w:val="18"/>
          <w:szCs w:val="18"/>
        </w:rPr>
        <w:t xml:space="preserve">percent of that year's appropriations, the minimum total </w:t>
      </w:r>
      <w:r w:rsidR="00D035B2">
        <w:rPr>
          <w:rFonts w:eastAsia="Times New Roman"/>
          <w:sz w:val="18"/>
          <w:szCs w:val="18"/>
        </w:rPr>
        <w:t>allocation</w:t>
      </w:r>
      <w:r w:rsidRPr="001B17A7" w:rsidR="001B17A7">
        <w:rPr>
          <w:rFonts w:eastAsia="Times New Roman"/>
          <w:sz w:val="18"/>
          <w:szCs w:val="18"/>
        </w:rPr>
        <w:t xml:space="preserve"> shall be reduced to an amount which can be fu</w:t>
      </w:r>
      <w:r w:rsidR="006240DA">
        <w:rPr>
          <w:rFonts w:eastAsia="Times New Roman"/>
          <w:sz w:val="18"/>
          <w:szCs w:val="18"/>
        </w:rPr>
        <w:t>lly funded with carryover fund</w:t>
      </w:r>
      <w:r w:rsidR="00EF56B0">
        <w:rPr>
          <w:rFonts w:eastAsia="Times New Roman"/>
          <w:sz w:val="18"/>
          <w:szCs w:val="18"/>
        </w:rPr>
        <w:t>s.</w:t>
      </w:r>
    </w:p>
    <w:p w:rsidR="0000584F" w:rsidP="008D5B88" w14:paraId="69E25ED9" w14:textId="77777777">
      <w:pPr>
        <w:divId w:val="334694253"/>
        <w:rPr>
          <w:sz w:val="18"/>
          <w:szCs w:val="18"/>
        </w:rPr>
      </w:pPr>
    </w:p>
    <w:p w:rsidR="00206696" w14:paraId="5B1197C7" w14:textId="77777777">
      <w:pPr>
        <w:rPr>
          <w:sz w:val="18"/>
          <w:szCs w:val="18"/>
        </w:rPr>
        <w:sectPr w:rsidSect="00151F28">
          <w:headerReference w:type="default" r:id="rId14"/>
          <w:footerReference w:type="default" r:id="rId15"/>
          <w:pgSz w:w="12240" w:h="15840"/>
          <w:pgMar w:top="720" w:right="720" w:bottom="720" w:left="720" w:header="720" w:footer="720" w:gutter="0"/>
          <w:cols w:space="720"/>
          <w:docGrid w:linePitch="360"/>
        </w:sectPr>
      </w:pPr>
      <w:r>
        <w:rPr>
          <w:sz w:val="18"/>
          <w:szCs w:val="18"/>
        </w:rPr>
        <w:br w:type="page"/>
      </w:r>
    </w:p>
    <w:p w:rsidR="00206696" w14:paraId="53E001A5" w14:textId="21DDF520">
      <w:pPr>
        <w:rPr>
          <w:sz w:val="18"/>
          <w:szCs w:val="18"/>
        </w:rPr>
      </w:pPr>
    </w:p>
    <w:p w:rsidR="00206696" w:rsidP="00206696" w14:paraId="6A026B58" w14:textId="7CBD1DE8">
      <w:pPr>
        <w:divId w:val="334694253"/>
        <w:jc w:val="center"/>
        <w:rPr>
          <w:rFonts w:ascii="Arial" w:eastAsia="Times New Roman" w:hAnsi="Arial" w:cs="Arial"/>
          <w:b/>
        </w:rPr>
      </w:pPr>
      <w:r w:rsidRPr="00206696">
        <w:rPr>
          <w:rFonts w:ascii="Arial" w:eastAsia="Times New Roman" w:hAnsi="Arial" w:cs="Arial"/>
          <w:b/>
        </w:rPr>
        <w:t>Attachment A: FY 2024 Indian Housing Block Grant (IHBG) Needs Data</w:t>
      </w:r>
    </w:p>
    <w:p w:rsidR="00C01FC7" w:rsidRPr="00206696" w:rsidP="00206696" w14:paraId="3FEE402D" w14:textId="7AD2AADA">
      <w:pPr>
        <w:divId w:val="334694253"/>
        <w:jc w:val="center"/>
        <w:rPr>
          <w:rFonts w:ascii="Arial" w:eastAsia="Times New Roman" w:hAnsi="Arial" w:cs="Arial"/>
          <w:b/>
        </w:rPr>
      </w:pPr>
      <w:r>
        <w:rPr>
          <w:rFonts w:ascii="Arial" w:eastAsia="Times New Roman" w:hAnsi="Arial" w:cs="Arial"/>
          <w:b/>
        </w:rPr>
        <w:t>For the</w:t>
      </w:r>
    </w:p>
    <w:p w:rsidR="00206696" w:rsidRPr="00206696" w:rsidP="00206696" w14:paraId="79DCEC07" w14:textId="77777777">
      <w:pPr>
        <w:divId w:val="334694253"/>
        <w:rPr>
          <w:rFonts w:eastAsia="Malgun Gothic"/>
        </w:rPr>
      </w:pPr>
    </w:p>
    <w:p w:rsidR="00206696" w:rsidRPr="00206696" w:rsidP="00206696" w14:paraId="2B57B950" w14:textId="77777777">
      <w:pPr>
        <w:divId w:val="334694253"/>
        <w:rPr>
          <w:rFonts w:ascii="Arial" w:eastAsia="Times New Roman" w:hAnsi="Arial" w:cs="Arial"/>
          <w:b/>
        </w:rPr>
      </w:pPr>
    </w:p>
    <w:p w:rsidR="00223EF6" w:rsidRPr="00C01FC7" w:rsidP="00223EF6" w14:paraId="370B65B5" w14:textId="458C34D9">
      <w:pPr>
        <w:divId w:val="334694253"/>
        <w:ind w:firstLine="720"/>
        <w:rPr>
          <w:rFonts w:eastAsia="Times New Roman"/>
        </w:rPr>
      </w:pPr>
      <w:r w:rsidRPr="00C01FC7">
        <w:rPr>
          <w:rFonts w:eastAsia="Times New Roman"/>
        </w:rPr>
        <w:t>The Needs data which will be used to estimate your Fiscal Year (FY) 2024 Indian Housing Block Grant (IHBG) formula allocation are shown below:</w:t>
      </w:r>
    </w:p>
    <w:tbl>
      <w:tblPr>
        <w:tblStyle w:val="TableGrid1"/>
        <w:tblW w:w="0" w:type="auto"/>
        <w:tblLook w:val="04A0"/>
      </w:tblPr>
      <w:tblGrid>
        <w:gridCol w:w="2420"/>
        <w:gridCol w:w="1738"/>
        <w:gridCol w:w="1710"/>
        <w:gridCol w:w="1800"/>
        <w:gridCol w:w="1908"/>
      </w:tblGrid>
      <w:tr w14:paraId="674416AF" w14:textId="77777777" w:rsidTr="00206696">
        <w:tblPrEx>
          <w:tblW w:w="0" w:type="auto"/>
          <w:tblLook w:val="04A0"/>
        </w:tblPrEx>
        <w:trPr>
          <w:divId w:val="334694253"/>
        </w:trPr>
        <w:tc>
          <w:tcPr>
            <w:tcW w:w="2420" w:type="dxa"/>
            <w:vMerge w:val="restart"/>
          </w:tcPr>
          <w:p w:rsidR="00206696" w:rsidRPr="0015130C" w:rsidP="00206696" w14:paraId="74043F73" w14:textId="77777777">
            <w:pPr>
              <w:jc w:val="center"/>
              <w:rPr>
                <w:rFonts w:ascii="Times New Roman" w:eastAsia="Malgun Gothic" w:hAnsi="Times New Roman"/>
                <w:b/>
              </w:rPr>
            </w:pPr>
            <w:r w:rsidRPr="00C01FC7">
              <w:rPr>
                <w:rFonts w:eastAsia="Malgun Gothic"/>
                <w:b/>
              </w:rPr>
              <w:t>Need Variable</w:t>
            </w:r>
          </w:p>
        </w:tc>
        <w:tc>
          <w:tcPr>
            <w:tcW w:w="3448" w:type="dxa"/>
            <w:gridSpan w:val="2"/>
          </w:tcPr>
          <w:p w:rsidR="00206696" w:rsidRPr="0015130C" w:rsidP="00206696" w14:paraId="62030DE5" w14:textId="47EF80EF">
            <w:pPr>
              <w:jc w:val="center"/>
              <w:rPr>
                <w:rFonts w:ascii="Times New Roman" w:eastAsia="Malgun Gothic" w:hAnsi="Times New Roman"/>
                <w:b/>
              </w:rPr>
            </w:pPr>
            <w:r w:rsidRPr="00C01FC7">
              <w:rPr>
                <w:rFonts w:eastAsia="Malgun Gothic"/>
                <w:b/>
              </w:rPr>
              <w:t>Adjusted 2010 Decennial Census and 2015 to 2019 American Community Survey</w:t>
            </w:r>
          </w:p>
        </w:tc>
        <w:tc>
          <w:tcPr>
            <w:tcW w:w="3708" w:type="dxa"/>
            <w:gridSpan w:val="2"/>
          </w:tcPr>
          <w:p w:rsidR="00206696" w:rsidRPr="0015130C" w:rsidP="00206696" w14:paraId="2A38F26B" w14:textId="77777777">
            <w:pPr>
              <w:jc w:val="center"/>
              <w:rPr>
                <w:rFonts w:ascii="Times New Roman" w:eastAsia="Malgun Gothic" w:hAnsi="Times New Roman"/>
                <w:b/>
              </w:rPr>
            </w:pPr>
            <w:r w:rsidRPr="00C01FC7">
              <w:rPr>
                <w:rFonts w:eastAsia="Malgun Gothic"/>
                <w:b/>
              </w:rPr>
              <w:t xml:space="preserve">Tribe Submitted </w:t>
            </w:r>
          </w:p>
          <w:p w:rsidR="00206696" w:rsidRPr="0015130C" w:rsidP="00206696" w14:paraId="65B8BFBF" w14:textId="77777777">
            <w:pPr>
              <w:jc w:val="center"/>
              <w:rPr>
                <w:rFonts w:ascii="Times New Roman" w:eastAsia="Malgun Gothic" w:hAnsi="Times New Roman"/>
                <w:b/>
              </w:rPr>
            </w:pPr>
            <w:r w:rsidRPr="00C01FC7">
              <w:rPr>
                <w:rFonts w:eastAsia="Malgun Gothic"/>
                <w:b/>
              </w:rPr>
              <w:t xml:space="preserve">Census Challenge </w:t>
            </w:r>
          </w:p>
          <w:p w:rsidR="00206696" w:rsidRPr="0015130C" w:rsidP="00206696" w14:paraId="7BA0EA29" w14:textId="77777777">
            <w:pPr>
              <w:jc w:val="center"/>
              <w:rPr>
                <w:rFonts w:ascii="Times New Roman" w:eastAsia="Malgun Gothic" w:hAnsi="Times New Roman"/>
                <w:b/>
              </w:rPr>
            </w:pPr>
            <w:r w:rsidRPr="00C01FC7">
              <w:rPr>
                <w:rFonts w:eastAsia="Malgun Gothic"/>
                <w:b/>
              </w:rPr>
              <w:t>(if applicable)</w:t>
            </w:r>
            <w:bookmarkStart w:id="42" w:name="CCexpdt19"/>
            <w:bookmarkEnd w:id="42"/>
          </w:p>
        </w:tc>
      </w:tr>
      <w:tr w14:paraId="127BC7F0" w14:textId="77777777" w:rsidTr="00206696">
        <w:tblPrEx>
          <w:tblW w:w="0" w:type="auto"/>
          <w:tblLook w:val="04A0"/>
        </w:tblPrEx>
        <w:trPr>
          <w:divId w:val="334694253"/>
        </w:trPr>
        <w:tc>
          <w:tcPr>
            <w:tcW w:w="2420" w:type="dxa"/>
            <w:vMerge/>
          </w:tcPr>
          <w:p w:rsidR="00206696" w:rsidRPr="0015130C" w:rsidP="00206696" w14:paraId="3A273814" w14:textId="77777777">
            <w:pPr>
              <w:rPr>
                <w:rFonts w:ascii="Times New Roman" w:eastAsia="Malgun Gothic" w:hAnsi="Times New Roman"/>
              </w:rPr>
            </w:pPr>
          </w:p>
        </w:tc>
        <w:tc>
          <w:tcPr>
            <w:tcW w:w="1738" w:type="dxa"/>
          </w:tcPr>
          <w:p w:rsidR="00206696" w:rsidRPr="0015130C" w:rsidP="00206696" w14:paraId="0D9F1E73" w14:textId="77777777">
            <w:pPr>
              <w:jc w:val="right"/>
              <w:rPr>
                <w:rFonts w:ascii="Times New Roman" w:eastAsia="Malgun Gothic" w:hAnsi="Times New Roman"/>
              </w:rPr>
            </w:pPr>
            <w:r w:rsidRPr="00C01FC7">
              <w:rPr>
                <w:rFonts w:eastAsia="Malgun Gothic"/>
              </w:rPr>
              <w:t>Single Race</w:t>
            </w:r>
          </w:p>
        </w:tc>
        <w:tc>
          <w:tcPr>
            <w:tcW w:w="1710" w:type="dxa"/>
          </w:tcPr>
          <w:p w:rsidR="00206696" w:rsidRPr="0015130C" w:rsidP="00206696" w14:paraId="2C5FEAAF" w14:textId="77777777">
            <w:pPr>
              <w:jc w:val="right"/>
              <w:rPr>
                <w:rFonts w:ascii="Times New Roman" w:eastAsia="Malgun Gothic" w:hAnsi="Times New Roman"/>
              </w:rPr>
            </w:pPr>
            <w:r w:rsidRPr="00C01FC7">
              <w:rPr>
                <w:rFonts w:eastAsia="Malgun Gothic"/>
              </w:rPr>
              <w:t>Multi Race</w:t>
            </w:r>
          </w:p>
        </w:tc>
        <w:tc>
          <w:tcPr>
            <w:tcW w:w="1800" w:type="dxa"/>
          </w:tcPr>
          <w:p w:rsidR="00206696" w:rsidRPr="0015130C" w:rsidP="00206696" w14:paraId="76BB0B4B" w14:textId="77777777">
            <w:pPr>
              <w:jc w:val="right"/>
              <w:rPr>
                <w:rFonts w:ascii="Times New Roman" w:eastAsia="Malgun Gothic" w:hAnsi="Times New Roman"/>
              </w:rPr>
            </w:pPr>
            <w:r w:rsidRPr="00C01FC7">
              <w:rPr>
                <w:rFonts w:eastAsia="Malgun Gothic"/>
              </w:rPr>
              <w:t>Single Race</w:t>
            </w:r>
          </w:p>
        </w:tc>
        <w:tc>
          <w:tcPr>
            <w:tcW w:w="1908" w:type="dxa"/>
          </w:tcPr>
          <w:p w:rsidR="00206696" w:rsidRPr="0015130C" w:rsidP="00206696" w14:paraId="00AD46A5" w14:textId="77777777">
            <w:pPr>
              <w:jc w:val="right"/>
              <w:rPr>
                <w:rFonts w:ascii="Times New Roman" w:eastAsia="Malgun Gothic" w:hAnsi="Times New Roman"/>
              </w:rPr>
            </w:pPr>
            <w:r w:rsidRPr="00C01FC7">
              <w:rPr>
                <w:rFonts w:eastAsia="Malgun Gothic"/>
              </w:rPr>
              <w:t>Multi Race</w:t>
            </w:r>
          </w:p>
        </w:tc>
      </w:tr>
      <w:tr w14:paraId="572BB07B" w14:textId="77777777" w:rsidTr="00206696">
        <w:tblPrEx>
          <w:tblW w:w="0" w:type="auto"/>
          <w:tblLook w:val="04A0"/>
        </w:tblPrEx>
        <w:trPr>
          <w:divId w:val="334694253"/>
        </w:trPr>
        <w:tc>
          <w:tcPr>
            <w:tcW w:w="2420" w:type="dxa"/>
          </w:tcPr>
          <w:p w:rsidR="00206696" w:rsidRPr="0015130C" w:rsidP="00206696" w14:paraId="31B20B2C" w14:textId="77777777">
            <w:pPr>
              <w:rPr>
                <w:rFonts w:ascii="Times New Roman" w:eastAsia="Malgun Gothic" w:hAnsi="Times New Roman"/>
              </w:rPr>
            </w:pPr>
            <w:r w:rsidRPr="00C01FC7">
              <w:rPr>
                <w:rFonts w:eastAsia="Malgun Gothic"/>
              </w:rPr>
              <w:t>American Indian and Alaska Native (AIAN) persons*</w:t>
            </w:r>
          </w:p>
        </w:tc>
        <w:tc>
          <w:tcPr>
            <w:tcW w:w="1738" w:type="dxa"/>
          </w:tcPr>
          <w:p w:rsidR="00206696" w:rsidRPr="0015130C" w:rsidP="00206696" w14:paraId="166352D1" w14:textId="77777777">
            <w:pPr>
              <w:jc w:val="right"/>
              <w:rPr>
                <w:rFonts w:ascii="Times New Roman" w:eastAsia="Malgun Gothic" w:hAnsi="Times New Roman"/>
              </w:rPr>
            </w:pPr>
            <w:bookmarkStart w:id="43" w:name="AIANPers"/>
            <w:bookmarkStart w:id="44" w:name="AIANPers19"/>
            <w:bookmarkEnd w:id="43"/>
            <w:bookmarkEnd w:id="44"/>
          </w:p>
        </w:tc>
        <w:tc>
          <w:tcPr>
            <w:tcW w:w="1710" w:type="dxa"/>
          </w:tcPr>
          <w:p w:rsidR="00206696" w:rsidRPr="0015130C" w:rsidP="00206696" w14:paraId="7B6CE41E" w14:textId="77777777">
            <w:pPr>
              <w:jc w:val="right"/>
              <w:rPr>
                <w:rFonts w:ascii="Times New Roman" w:eastAsia="Malgun Gothic" w:hAnsi="Times New Roman"/>
              </w:rPr>
            </w:pPr>
            <w:bookmarkStart w:id="45" w:name="AIANPerm19"/>
            <w:bookmarkEnd w:id="45"/>
          </w:p>
        </w:tc>
        <w:tc>
          <w:tcPr>
            <w:tcW w:w="1800" w:type="dxa"/>
          </w:tcPr>
          <w:p w:rsidR="00206696" w:rsidRPr="0015130C" w:rsidP="00206696" w14:paraId="1B784055" w14:textId="77777777">
            <w:pPr>
              <w:jc w:val="right"/>
              <w:rPr>
                <w:rFonts w:ascii="Times New Roman" w:eastAsia="Malgun Gothic" w:hAnsi="Times New Roman"/>
              </w:rPr>
            </w:pPr>
            <w:bookmarkStart w:id="46" w:name="AIANPersCC19"/>
            <w:bookmarkEnd w:id="46"/>
          </w:p>
        </w:tc>
        <w:tc>
          <w:tcPr>
            <w:tcW w:w="1908" w:type="dxa"/>
          </w:tcPr>
          <w:p w:rsidR="00206696" w:rsidRPr="0015130C" w:rsidP="00206696" w14:paraId="6F48CEA0" w14:textId="77777777">
            <w:pPr>
              <w:jc w:val="right"/>
              <w:rPr>
                <w:rFonts w:ascii="Times New Roman" w:eastAsia="Malgun Gothic" w:hAnsi="Times New Roman"/>
              </w:rPr>
            </w:pPr>
            <w:bookmarkStart w:id="47" w:name="AIANPermCC19"/>
            <w:bookmarkEnd w:id="47"/>
          </w:p>
        </w:tc>
      </w:tr>
      <w:tr w14:paraId="2F5C249E" w14:textId="77777777" w:rsidTr="00206696">
        <w:tblPrEx>
          <w:tblW w:w="0" w:type="auto"/>
          <w:tblLook w:val="04A0"/>
        </w:tblPrEx>
        <w:trPr>
          <w:divId w:val="334694253"/>
        </w:trPr>
        <w:tc>
          <w:tcPr>
            <w:tcW w:w="2420" w:type="dxa"/>
          </w:tcPr>
          <w:p w:rsidR="00206696" w:rsidRPr="0015130C" w:rsidP="00206696" w14:paraId="421E4F4D" w14:textId="77777777">
            <w:pPr>
              <w:rPr>
                <w:rFonts w:ascii="Times New Roman" w:eastAsia="Malgun Gothic" w:hAnsi="Times New Roman"/>
              </w:rPr>
            </w:pPr>
            <w:r w:rsidRPr="00C01FC7">
              <w:rPr>
                <w:rFonts w:eastAsia="Malgun Gothic"/>
              </w:rPr>
              <w:t>AIAN households with annual income less than 30% of median income</w:t>
            </w:r>
          </w:p>
        </w:tc>
        <w:tc>
          <w:tcPr>
            <w:tcW w:w="1738" w:type="dxa"/>
          </w:tcPr>
          <w:p w:rsidR="00206696" w:rsidRPr="0015130C" w:rsidP="00206696" w14:paraId="1FD5170A" w14:textId="77777777">
            <w:pPr>
              <w:jc w:val="right"/>
              <w:rPr>
                <w:rFonts w:ascii="Times New Roman" w:eastAsia="Malgun Gothic" w:hAnsi="Times New Roman"/>
              </w:rPr>
            </w:pPr>
            <w:bookmarkStart w:id="48" w:name="HHLT30s"/>
            <w:bookmarkStart w:id="49" w:name="HHLT30s19"/>
            <w:bookmarkEnd w:id="48"/>
            <w:bookmarkEnd w:id="49"/>
          </w:p>
        </w:tc>
        <w:tc>
          <w:tcPr>
            <w:tcW w:w="1710" w:type="dxa"/>
          </w:tcPr>
          <w:p w:rsidR="00206696" w:rsidRPr="0015130C" w:rsidP="00206696" w14:paraId="4CE19AD9" w14:textId="77777777">
            <w:pPr>
              <w:jc w:val="right"/>
              <w:rPr>
                <w:rFonts w:ascii="Times New Roman" w:eastAsia="Malgun Gothic" w:hAnsi="Times New Roman"/>
              </w:rPr>
            </w:pPr>
            <w:bookmarkStart w:id="50" w:name="HHLT30m19"/>
            <w:bookmarkEnd w:id="50"/>
          </w:p>
        </w:tc>
        <w:tc>
          <w:tcPr>
            <w:tcW w:w="1800" w:type="dxa"/>
          </w:tcPr>
          <w:p w:rsidR="00206696" w:rsidRPr="0015130C" w:rsidP="00206696" w14:paraId="05FE43DD" w14:textId="77777777">
            <w:pPr>
              <w:jc w:val="right"/>
              <w:rPr>
                <w:rFonts w:ascii="Times New Roman" w:eastAsia="Malgun Gothic" w:hAnsi="Times New Roman"/>
              </w:rPr>
            </w:pPr>
            <w:bookmarkStart w:id="51" w:name="HHLT30sCC19"/>
            <w:bookmarkEnd w:id="51"/>
          </w:p>
        </w:tc>
        <w:tc>
          <w:tcPr>
            <w:tcW w:w="1908" w:type="dxa"/>
          </w:tcPr>
          <w:p w:rsidR="00206696" w:rsidRPr="0015130C" w:rsidP="00206696" w14:paraId="067E1E46" w14:textId="77777777">
            <w:pPr>
              <w:jc w:val="right"/>
              <w:rPr>
                <w:rFonts w:ascii="Times New Roman" w:eastAsia="Malgun Gothic" w:hAnsi="Times New Roman"/>
              </w:rPr>
            </w:pPr>
            <w:bookmarkStart w:id="52" w:name="HHLT30mCC19"/>
            <w:bookmarkEnd w:id="52"/>
          </w:p>
        </w:tc>
      </w:tr>
      <w:tr w14:paraId="4F118B0F" w14:textId="77777777" w:rsidTr="00206696">
        <w:tblPrEx>
          <w:tblW w:w="0" w:type="auto"/>
          <w:tblLook w:val="04A0"/>
        </w:tblPrEx>
        <w:trPr>
          <w:divId w:val="334694253"/>
        </w:trPr>
        <w:tc>
          <w:tcPr>
            <w:tcW w:w="2420" w:type="dxa"/>
          </w:tcPr>
          <w:p w:rsidR="00206696" w:rsidRPr="0015130C" w:rsidP="00206696" w14:paraId="7CF59C48" w14:textId="77777777">
            <w:pPr>
              <w:rPr>
                <w:rFonts w:ascii="Times New Roman" w:eastAsia="Malgun Gothic" w:hAnsi="Times New Roman"/>
              </w:rPr>
            </w:pPr>
            <w:r w:rsidRPr="00C01FC7">
              <w:rPr>
                <w:rFonts w:eastAsia="Malgun Gothic"/>
              </w:rPr>
              <w:t>AIAN households with annual income between 30% and 50% of median income</w:t>
            </w:r>
          </w:p>
        </w:tc>
        <w:tc>
          <w:tcPr>
            <w:tcW w:w="1738" w:type="dxa"/>
          </w:tcPr>
          <w:p w:rsidR="00206696" w:rsidRPr="0015130C" w:rsidP="00206696" w14:paraId="75798305" w14:textId="77777777">
            <w:pPr>
              <w:jc w:val="right"/>
              <w:rPr>
                <w:rFonts w:ascii="Times New Roman" w:eastAsia="Malgun Gothic" w:hAnsi="Times New Roman"/>
              </w:rPr>
            </w:pPr>
            <w:bookmarkStart w:id="53" w:name="HH3050s"/>
            <w:bookmarkStart w:id="54" w:name="HH3050s19"/>
            <w:bookmarkEnd w:id="53"/>
            <w:bookmarkEnd w:id="54"/>
          </w:p>
        </w:tc>
        <w:tc>
          <w:tcPr>
            <w:tcW w:w="1710" w:type="dxa"/>
          </w:tcPr>
          <w:p w:rsidR="00206696" w:rsidRPr="0015130C" w:rsidP="00206696" w14:paraId="51A4433D" w14:textId="77777777">
            <w:pPr>
              <w:jc w:val="right"/>
              <w:rPr>
                <w:rFonts w:ascii="Times New Roman" w:eastAsia="Malgun Gothic" w:hAnsi="Times New Roman"/>
              </w:rPr>
            </w:pPr>
            <w:bookmarkStart w:id="55" w:name="HH3050m19"/>
            <w:bookmarkEnd w:id="55"/>
          </w:p>
        </w:tc>
        <w:tc>
          <w:tcPr>
            <w:tcW w:w="1800" w:type="dxa"/>
          </w:tcPr>
          <w:p w:rsidR="00206696" w:rsidRPr="0015130C" w:rsidP="00206696" w14:paraId="25B44EB5" w14:textId="77777777">
            <w:pPr>
              <w:jc w:val="right"/>
              <w:rPr>
                <w:rFonts w:ascii="Times New Roman" w:eastAsia="Malgun Gothic" w:hAnsi="Times New Roman"/>
              </w:rPr>
            </w:pPr>
            <w:bookmarkStart w:id="56" w:name="HH3050sCC19"/>
            <w:bookmarkEnd w:id="56"/>
          </w:p>
        </w:tc>
        <w:tc>
          <w:tcPr>
            <w:tcW w:w="1908" w:type="dxa"/>
          </w:tcPr>
          <w:p w:rsidR="00206696" w:rsidRPr="0015130C" w:rsidP="00206696" w14:paraId="113C3D8A" w14:textId="77777777">
            <w:pPr>
              <w:jc w:val="right"/>
              <w:rPr>
                <w:rFonts w:ascii="Times New Roman" w:eastAsia="Malgun Gothic" w:hAnsi="Times New Roman"/>
              </w:rPr>
            </w:pPr>
            <w:bookmarkStart w:id="57" w:name="HH3050mCC19"/>
            <w:bookmarkEnd w:id="57"/>
          </w:p>
        </w:tc>
      </w:tr>
      <w:tr w14:paraId="5DFD229C" w14:textId="77777777" w:rsidTr="00206696">
        <w:tblPrEx>
          <w:tblW w:w="0" w:type="auto"/>
          <w:tblLook w:val="04A0"/>
        </w:tblPrEx>
        <w:trPr>
          <w:divId w:val="334694253"/>
        </w:trPr>
        <w:tc>
          <w:tcPr>
            <w:tcW w:w="2420" w:type="dxa"/>
          </w:tcPr>
          <w:p w:rsidR="00206696" w:rsidRPr="0015130C" w:rsidP="00206696" w14:paraId="6F109391" w14:textId="77777777">
            <w:pPr>
              <w:rPr>
                <w:rFonts w:ascii="Times New Roman" w:eastAsia="Malgun Gothic" w:hAnsi="Times New Roman"/>
              </w:rPr>
            </w:pPr>
            <w:r w:rsidRPr="00C01FC7">
              <w:rPr>
                <w:rFonts w:eastAsia="Malgun Gothic"/>
              </w:rPr>
              <w:t>AIAN households with annual income between 50% and 80% of median income</w:t>
            </w:r>
          </w:p>
        </w:tc>
        <w:tc>
          <w:tcPr>
            <w:tcW w:w="1738" w:type="dxa"/>
          </w:tcPr>
          <w:p w:rsidR="00206696" w:rsidRPr="0015130C" w:rsidP="00206696" w14:paraId="69FA08B3" w14:textId="77777777">
            <w:pPr>
              <w:jc w:val="right"/>
              <w:rPr>
                <w:rFonts w:ascii="Times New Roman" w:eastAsia="Malgun Gothic" w:hAnsi="Times New Roman"/>
              </w:rPr>
            </w:pPr>
            <w:bookmarkStart w:id="58" w:name="HH5080s"/>
            <w:bookmarkStart w:id="59" w:name="HH5080s19"/>
            <w:bookmarkEnd w:id="58"/>
            <w:bookmarkEnd w:id="59"/>
          </w:p>
        </w:tc>
        <w:tc>
          <w:tcPr>
            <w:tcW w:w="1710" w:type="dxa"/>
          </w:tcPr>
          <w:p w:rsidR="00206696" w:rsidRPr="0015130C" w:rsidP="00206696" w14:paraId="382CB1F0" w14:textId="77777777">
            <w:pPr>
              <w:jc w:val="right"/>
              <w:rPr>
                <w:rFonts w:ascii="Times New Roman" w:eastAsia="Malgun Gothic" w:hAnsi="Times New Roman"/>
              </w:rPr>
            </w:pPr>
            <w:bookmarkStart w:id="60" w:name="HH5080m19"/>
            <w:bookmarkEnd w:id="60"/>
          </w:p>
        </w:tc>
        <w:tc>
          <w:tcPr>
            <w:tcW w:w="1800" w:type="dxa"/>
          </w:tcPr>
          <w:p w:rsidR="00206696" w:rsidRPr="0015130C" w:rsidP="00206696" w14:paraId="25B32825" w14:textId="77777777">
            <w:pPr>
              <w:jc w:val="right"/>
              <w:rPr>
                <w:rFonts w:ascii="Times New Roman" w:eastAsia="Malgun Gothic" w:hAnsi="Times New Roman"/>
              </w:rPr>
            </w:pPr>
            <w:bookmarkStart w:id="61" w:name="HH5080sCC19"/>
            <w:bookmarkEnd w:id="61"/>
          </w:p>
        </w:tc>
        <w:tc>
          <w:tcPr>
            <w:tcW w:w="1908" w:type="dxa"/>
          </w:tcPr>
          <w:p w:rsidR="00206696" w:rsidRPr="0015130C" w:rsidP="00206696" w14:paraId="6517D2C1" w14:textId="77777777">
            <w:pPr>
              <w:jc w:val="right"/>
              <w:rPr>
                <w:rFonts w:ascii="Times New Roman" w:eastAsia="Malgun Gothic" w:hAnsi="Times New Roman"/>
              </w:rPr>
            </w:pPr>
            <w:bookmarkStart w:id="62" w:name="HH5080mCC19"/>
            <w:bookmarkEnd w:id="62"/>
          </w:p>
        </w:tc>
      </w:tr>
      <w:tr w14:paraId="6772BD9B" w14:textId="77777777" w:rsidTr="00206696">
        <w:tblPrEx>
          <w:tblW w:w="0" w:type="auto"/>
          <w:tblLook w:val="04A0"/>
        </w:tblPrEx>
        <w:trPr>
          <w:divId w:val="334694253"/>
        </w:trPr>
        <w:tc>
          <w:tcPr>
            <w:tcW w:w="2420" w:type="dxa"/>
          </w:tcPr>
          <w:p w:rsidR="00206696" w:rsidRPr="0015130C" w:rsidP="00206696" w14:paraId="5325951C" w14:textId="77777777">
            <w:pPr>
              <w:rPr>
                <w:rFonts w:ascii="Times New Roman" w:eastAsia="Malgun Gothic" w:hAnsi="Times New Roman"/>
              </w:rPr>
            </w:pPr>
            <w:r w:rsidRPr="00C01FC7">
              <w:rPr>
                <w:rFonts w:eastAsia="Malgun Gothic"/>
              </w:rPr>
              <w:t>AIAN households which are overcrowded or without kitchen or plumbing</w:t>
            </w:r>
          </w:p>
        </w:tc>
        <w:tc>
          <w:tcPr>
            <w:tcW w:w="1738" w:type="dxa"/>
          </w:tcPr>
          <w:p w:rsidR="00206696" w:rsidRPr="0015130C" w:rsidP="00206696" w14:paraId="63D6363A" w14:textId="77777777">
            <w:pPr>
              <w:jc w:val="right"/>
              <w:rPr>
                <w:rFonts w:ascii="Times New Roman" w:eastAsia="Malgun Gothic" w:hAnsi="Times New Roman"/>
              </w:rPr>
            </w:pPr>
            <w:bookmarkStart w:id="63" w:name="OCRs"/>
            <w:bookmarkStart w:id="64" w:name="OCRs19"/>
            <w:bookmarkEnd w:id="63"/>
            <w:bookmarkEnd w:id="64"/>
          </w:p>
        </w:tc>
        <w:tc>
          <w:tcPr>
            <w:tcW w:w="1710" w:type="dxa"/>
          </w:tcPr>
          <w:p w:rsidR="00206696" w:rsidRPr="0015130C" w:rsidP="00206696" w14:paraId="2BEB2DDB" w14:textId="77777777">
            <w:pPr>
              <w:jc w:val="right"/>
              <w:rPr>
                <w:rFonts w:ascii="Times New Roman" w:eastAsia="Malgun Gothic" w:hAnsi="Times New Roman"/>
              </w:rPr>
            </w:pPr>
            <w:bookmarkStart w:id="65" w:name="OCRm19"/>
            <w:bookmarkEnd w:id="65"/>
          </w:p>
        </w:tc>
        <w:tc>
          <w:tcPr>
            <w:tcW w:w="1800" w:type="dxa"/>
          </w:tcPr>
          <w:p w:rsidR="00206696" w:rsidRPr="0015130C" w:rsidP="00206696" w14:paraId="784AFBC7" w14:textId="77777777">
            <w:pPr>
              <w:jc w:val="right"/>
              <w:rPr>
                <w:rFonts w:ascii="Times New Roman" w:eastAsia="Malgun Gothic" w:hAnsi="Times New Roman"/>
              </w:rPr>
            </w:pPr>
            <w:bookmarkStart w:id="66" w:name="OCRsCC19"/>
            <w:bookmarkEnd w:id="66"/>
          </w:p>
        </w:tc>
        <w:tc>
          <w:tcPr>
            <w:tcW w:w="1908" w:type="dxa"/>
          </w:tcPr>
          <w:p w:rsidR="00206696" w:rsidRPr="0015130C" w:rsidP="00206696" w14:paraId="6FA9FD99" w14:textId="77777777">
            <w:pPr>
              <w:jc w:val="right"/>
              <w:rPr>
                <w:rFonts w:ascii="Times New Roman" w:eastAsia="Malgun Gothic" w:hAnsi="Times New Roman"/>
              </w:rPr>
            </w:pPr>
            <w:bookmarkStart w:id="67" w:name="OCRmCC19"/>
            <w:bookmarkEnd w:id="67"/>
          </w:p>
        </w:tc>
      </w:tr>
      <w:tr w14:paraId="142460E3" w14:textId="77777777" w:rsidTr="00206696">
        <w:tblPrEx>
          <w:tblW w:w="0" w:type="auto"/>
          <w:tblLook w:val="04A0"/>
        </w:tblPrEx>
        <w:trPr>
          <w:divId w:val="334694253"/>
        </w:trPr>
        <w:tc>
          <w:tcPr>
            <w:tcW w:w="2420" w:type="dxa"/>
          </w:tcPr>
          <w:p w:rsidR="00206696" w:rsidRPr="0015130C" w:rsidP="00206696" w14:paraId="37E0DA38" w14:textId="77777777">
            <w:pPr>
              <w:rPr>
                <w:rFonts w:ascii="Times New Roman" w:eastAsia="Malgun Gothic" w:hAnsi="Times New Roman"/>
              </w:rPr>
            </w:pPr>
            <w:r w:rsidRPr="00C01FC7">
              <w:rPr>
                <w:rFonts w:eastAsia="Malgun Gothic"/>
              </w:rPr>
              <w:t>AIAN households with housing cost burden greater than 50% of annual income</w:t>
            </w:r>
          </w:p>
        </w:tc>
        <w:tc>
          <w:tcPr>
            <w:tcW w:w="1738" w:type="dxa"/>
          </w:tcPr>
          <w:p w:rsidR="00206696" w:rsidRPr="0015130C" w:rsidP="00206696" w14:paraId="48207A4C" w14:textId="77777777">
            <w:pPr>
              <w:jc w:val="right"/>
              <w:rPr>
                <w:rFonts w:ascii="Times New Roman" w:eastAsia="Malgun Gothic" w:hAnsi="Times New Roman"/>
              </w:rPr>
            </w:pPr>
            <w:bookmarkStart w:id="68" w:name="SCBTOTs"/>
            <w:bookmarkStart w:id="69" w:name="SCBTOTs19"/>
            <w:bookmarkEnd w:id="68"/>
            <w:bookmarkEnd w:id="69"/>
          </w:p>
        </w:tc>
        <w:tc>
          <w:tcPr>
            <w:tcW w:w="1710" w:type="dxa"/>
          </w:tcPr>
          <w:p w:rsidR="00206696" w:rsidRPr="0015130C" w:rsidP="00206696" w14:paraId="21009B4A" w14:textId="77777777">
            <w:pPr>
              <w:jc w:val="right"/>
              <w:rPr>
                <w:rFonts w:ascii="Times New Roman" w:eastAsia="Malgun Gothic" w:hAnsi="Times New Roman"/>
              </w:rPr>
            </w:pPr>
            <w:bookmarkStart w:id="70" w:name="SCBTOTm19"/>
            <w:bookmarkEnd w:id="70"/>
          </w:p>
        </w:tc>
        <w:tc>
          <w:tcPr>
            <w:tcW w:w="1800" w:type="dxa"/>
          </w:tcPr>
          <w:p w:rsidR="00206696" w:rsidRPr="0015130C" w:rsidP="00206696" w14:paraId="2F522C04" w14:textId="77777777">
            <w:pPr>
              <w:jc w:val="right"/>
              <w:rPr>
                <w:rFonts w:ascii="Times New Roman" w:eastAsia="Malgun Gothic" w:hAnsi="Times New Roman"/>
              </w:rPr>
            </w:pPr>
            <w:bookmarkStart w:id="71" w:name="SCBTOTsCC19"/>
            <w:bookmarkEnd w:id="71"/>
          </w:p>
        </w:tc>
        <w:tc>
          <w:tcPr>
            <w:tcW w:w="1908" w:type="dxa"/>
          </w:tcPr>
          <w:p w:rsidR="00206696" w:rsidRPr="0015130C" w:rsidP="00206696" w14:paraId="7E6F6FE3" w14:textId="77777777">
            <w:pPr>
              <w:jc w:val="right"/>
              <w:rPr>
                <w:rFonts w:ascii="Times New Roman" w:eastAsia="Malgun Gothic" w:hAnsi="Times New Roman"/>
              </w:rPr>
            </w:pPr>
            <w:bookmarkStart w:id="72" w:name="SCBTOTmCC19"/>
            <w:bookmarkEnd w:id="72"/>
          </w:p>
        </w:tc>
      </w:tr>
      <w:tr w14:paraId="3A05C919" w14:textId="77777777" w:rsidTr="00206696">
        <w:tblPrEx>
          <w:tblW w:w="0" w:type="auto"/>
          <w:tblLook w:val="04A0"/>
        </w:tblPrEx>
        <w:trPr>
          <w:divId w:val="334694253"/>
        </w:trPr>
        <w:tc>
          <w:tcPr>
            <w:tcW w:w="9576" w:type="dxa"/>
            <w:gridSpan w:val="5"/>
          </w:tcPr>
          <w:p w:rsidR="00206696" w:rsidRPr="0015130C" w:rsidP="00206696" w14:paraId="52A59D09" w14:textId="718C0431">
            <w:pPr>
              <w:rPr>
                <w:rFonts w:ascii="Times New Roman" w:eastAsia="Malgun Gothic" w:hAnsi="Times New Roman"/>
              </w:rPr>
            </w:pPr>
            <w:r w:rsidRPr="00C01FC7">
              <w:rPr>
                <w:rFonts w:eastAsia="Malgun Gothic"/>
              </w:rPr>
              <w:t xml:space="preserve">* The Decennial Census AIAN population data is adjusted for undercounts on reservation/trust lands and for remote Alaska.  It is also adjusted for population change through FY 2019 based on the most recent Census county-level population projections.  The count shown is the same as was used in FY 2022, since any further update is dependent on the introduction of the 2020 Decennial Census.  </w:t>
            </w:r>
          </w:p>
          <w:p w:rsidR="00206696" w:rsidRPr="0015130C" w:rsidP="00206696" w14:paraId="3686416E" w14:textId="77777777">
            <w:pPr>
              <w:rPr>
                <w:rFonts w:ascii="Times New Roman" w:eastAsia="Malgun Gothic" w:hAnsi="Times New Roman"/>
              </w:rPr>
            </w:pPr>
          </w:p>
          <w:p w:rsidR="00206696" w:rsidRPr="0015130C" w:rsidP="00206696" w14:paraId="5788E6A9" w14:textId="612A69ED">
            <w:pPr>
              <w:rPr>
                <w:rFonts w:ascii="Times New Roman" w:eastAsia="Malgun Gothic" w:hAnsi="Times New Roman"/>
              </w:rPr>
            </w:pPr>
            <w:r w:rsidRPr="00C01FC7">
              <w:rPr>
                <w:rFonts w:eastAsia="Malgun Gothic"/>
                <w:b/>
              </w:rPr>
              <w:t>Note:</w:t>
            </w:r>
            <w:r w:rsidRPr="00C01FC7">
              <w:rPr>
                <w:rFonts w:eastAsia="Malgun Gothic"/>
              </w:rPr>
              <w:t xml:space="preserve"> The Housing Shortage Needs variable is not shown because it is based on the sum of low-income households less the total number of Current Assisted Stock (CAS), and CAS is not provided on this document for review.  However, it will be provided on your Tribe’s FY 2024 Formula Response Form. </w:t>
            </w:r>
          </w:p>
        </w:tc>
      </w:tr>
    </w:tbl>
    <w:p w:rsidR="00206696" w:rsidRPr="00C01FC7" w:rsidP="00206696" w14:paraId="0B00868C" w14:textId="77777777">
      <w:pPr>
        <w:divId w:val="334694253"/>
        <w:ind w:firstLine="720"/>
        <w:rPr>
          <w:rFonts w:eastAsia="Times New Roman"/>
        </w:rPr>
      </w:pPr>
    </w:p>
    <w:p w:rsidR="00206696" w:rsidRPr="00C01FC7" w:rsidP="00206696" w14:paraId="2E3660C2" w14:textId="77777777">
      <w:pPr>
        <w:divId w:val="334694253"/>
        <w:ind w:firstLine="720"/>
        <w:rPr>
          <w:rFonts w:eastAsia="Times New Roman"/>
        </w:rPr>
      </w:pPr>
      <w:r w:rsidRPr="00C01FC7">
        <w:rPr>
          <w:rFonts w:eastAsia="Times New Roman"/>
        </w:rPr>
        <w:t>All of the data above reflects the total Needs for your Formula Area prior to the application of the population cap.  Therefore, these figures may be much higher than the amounts shown on your Tribe’s Formula Response Form.  If you share Formula Area with other Tribes, the data shown are your share of the Needs data in your combined overlapping Formula Areas.</w:t>
      </w:r>
    </w:p>
    <w:p w:rsidR="00206696" w:rsidRPr="00C01FC7" w:rsidP="00206696" w14:paraId="772AB948" w14:textId="77777777">
      <w:pPr>
        <w:divId w:val="334694253"/>
        <w:rPr>
          <w:rFonts w:eastAsia="Times New Roman"/>
        </w:rPr>
      </w:pPr>
    </w:p>
    <w:p w:rsidR="00206696" w:rsidRPr="00C01FC7" w:rsidP="00206696" w14:paraId="3D12F1F2" w14:textId="5D464258">
      <w:pPr>
        <w:divId w:val="334694253"/>
        <w:autoSpaceDE w:val="0"/>
        <w:autoSpaceDN w:val="0"/>
        <w:adjustRightInd w:val="0"/>
        <w:ind w:firstLine="720"/>
        <w:rPr>
          <w:rFonts w:eastAsia="Calibri"/>
          <w:color w:val="000000"/>
        </w:rPr>
      </w:pPr>
      <w:r w:rsidRPr="6BB1C61B">
        <w:rPr>
          <w:rFonts w:eastAsia="Times New Roman"/>
          <w:color w:val="000000" w:themeColor="text1"/>
        </w:rPr>
        <w:t>If you have an approved Census challenge it will be shown in the table above, and that data will be used unless the Tribe specifically requests a return to the standard Census data set prior to March 30, 20</w:t>
      </w:r>
      <w:r w:rsidRPr="6BB1C61B" w:rsidR="3C869281">
        <w:rPr>
          <w:rFonts w:eastAsia="Times New Roman"/>
          <w:color w:val="000000" w:themeColor="text1"/>
        </w:rPr>
        <w:t>XX</w:t>
      </w:r>
      <w:r w:rsidRPr="6BB1C61B">
        <w:rPr>
          <w:rFonts w:eastAsia="Times New Roman"/>
          <w:color w:val="000000" w:themeColor="text1"/>
        </w:rPr>
        <w:t xml:space="preserve">.  If you believe you have an approved Census challenge but it is not shown in the table above, please contact the IHBG Formula Customer Service Center. </w:t>
      </w:r>
      <w:r w:rsidRPr="6BB1C61B">
        <w:rPr>
          <w:rFonts w:eastAsia="Calibri"/>
          <w:color w:val="000000" w:themeColor="text1"/>
        </w:rPr>
        <w:t xml:space="preserve"> </w:t>
      </w:r>
    </w:p>
    <w:p w:rsidR="00206696" w:rsidRPr="00C01FC7" w:rsidP="00206696" w14:paraId="1AD8B53F" w14:textId="77777777">
      <w:pPr>
        <w:divId w:val="334694253"/>
        <w:autoSpaceDE w:val="0"/>
        <w:autoSpaceDN w:val="0"/>
        <w:adjustRightInd w:val="0"/>
        <w:rPr>
          <w:rFonts w:eastAsia="Times New Roman"/>
          <w:color w:val="000000"/>
        </w:rPr>
      </w:pPr>
    </w:p>
    <w:p w:rsidR="00206696" w:rsidRPr="00C01FC7" w:rsidP="00206696" w14:paraId="06ADEDAF" w14:textId="77777777">
      <w:pPr>
        <w:divId w:val="334694253"/>
        <w:ind w:firstLine="720"/>
        <w:rPr>
          <w:rFonts w:eastAsia="Times New Roman"/>
        </w:rPr>
      </w:pPr>
      <w:r w:rsidRPr="00C01FC7">
        <w:rPr>
          <w:rFonts w:eastAsia="Times New Roman"/>
        </w:rPr>
        <w:t>If you think these data do not reflect the Tribe’s need:</w:t>
      </w:r>
    </w:p>
    <w:p w:rsidR="00206696" w:rsidRPr="00C01FC7" w:rsidP="00206696" w14:paraId="5984041A" w14:textId="77777777">
      <w:pPr>
        <w:divId w:val="334694253"/>
        <w:rPr>
          <w:rFonts w:eastAsia="Times New Roman"/>
        </w:rPr>
      </w:pPr>
    </w:p>
    <w:p w:rsidR="00206696" w:rsidRPr="00C01FC7" w:rsidP="00206696" w14:paraId="389E35C2" w14:textId="14A96379">
      <w:pPr>
        <w:divId w:val="334694253"/>
        <w:numPr>
          <w:ilvl w:val="0"/>
          <w:numId w:val="9"/>
        </w:numPr>
        <w:contextualSpacing/>
        <w:rPr>
          <w:rFonts w:eastAsia="Times New Roman"/>
        </w:rPr>
      </w:pPr>
      <w:r w:rsidRPr="39A9E8EC">
        <w:rPr>
          <w:rFonts w:eastAsia="Times New Roman"/>
        </w:rPr>
        <w:t>Check to see if the Formula Area, as listed on your FY 20</w:t>
      </w:r>
      <w:r w:rsidRPr="39A9E8EC" w:rsidR="308DF5BB">
        <w:rPr>
          <w:rFonts w:eastAsia="Times New Roman"/>
        </w:rPr>
        <w:t>XX</w:t>
      </w:r>
      <w:r w:rsidRPr="39A9E8EC">
        <w:rPr>
          <w:rFonts w:eastAsia="Times New Roman"/>
        </w:rPr>
        <w:t xml:space="preserve"> Formula Response Form, is correct for your Tribe.  If the Formula Area is not correct, you may submit that correction no later than the August</w:t>
      </w:r>
      <w:r w:rsidRPr="39A9E8EC" w:rsidR="0819BC86">
        <w:rPr>
          <w:rFonts w:eastAsia="Times New Roman"/>
        </w:rPr>
        <w:t xml:space="preserve"> XX</w:t>
      </w:r>
      <w:r w:rsidRPr="39A9E8EC">
        <w:rPr>
          <w:rFonts w:eastAsia="Times New Roman"/>
        </w:rPr>
        <w:t>, 20</w:t>
      </w:r>
      <w:r w:rsidRPr="39A9E8EC" w:rsidR="45C27CB6">
        <w:rPr>
          <w:rFonts w:eastAsia="Times New Roman"/>
        </w:rPr>
        <w:t>XX</w:t>
      </w:r>
      <w:r w:rsidRPr="39A9E8EC">
        <w:rPr>
          <w:rFonts w:eastAsia="Times New Roman"/>
        </w:rPr>
        <w:t>, the deadline for the FY 20</w:t>
      </w:r>
      <w:r w:rsidRPr="39A9E8EC" w:rsidR="5BA4E8B3">
        <w:rPr>
          <w:rFonts w:eastAsia="Times New Roman"/>
        </w:rPr>
        <w:t>XX</w:t>
      </w:r>
      <w:r w:rsidRPr="39A9E8EC">
        <w:rPr>
          <w:rFonts w:eastAsia="Times New Roman"/>
        </w:rPr>
        <w:t xml:space="preserve"> allocation, or August </w:t>
      </w:r>
      <w:r w:rsidRPr="39A9E8EC" w:rsidR="4ED640D3">
        <w:rPr>
          <w:rFonts w:eastAsia="Times New Roman"/>
        </w:rPr>
        <w:t>XX</w:t>
      </w:r>
      <w:r w:rsidRPr="39A9E8EC">
        <w:rPr>
          <w:rFonts w:eastAsia="Times New Roman"/>
        </w:rPr>
        <w:t>, 20</w:t>
      </w:r>
      <w:r w:rsidRPr="39A9E8EC" w:rsidR="0FDFB0E4">
        <w:rPr>
          <w:rFonts w:eastAsia="Times New Roman"/>
        </w:rPr>
        <w:t>XX</w:t>
      </w:r>
      <w:r w:rsidRPr="39A9E8EC">
        <w:rPr>
          <w:rFonts w:eastAsia="Times New Roman"/>
        </w:rPr>
        <w:t>, the deadline for the FY 20</w:t>
      </w:r>
      <w:r w:rsidRPr="39A9E8EC" w:rsidR="006B583E">
        <w:rPr>
          <w:rFonts w:eastAsia="Times New Roman"/>
        </w:rPr>
        <w:t>XX</w:t>
      </w:r>
      <w:r w:rsidRPr="39A9E8EC">
        <w:rPr>
          <w:rFonts w:eastAsia="Times New Roman"/>
        </w:rPr>
        <w:t xml:space="preserve"> allocation.</w:t>
      </w:r>
    </w:p>
    <w:p w:rsidR="00206696" w:rsidRPr="00C01FC7" w:rsidP="00206696" w14:paraId="288124ED" w14:textId="77777777">
      <w:pPr>
        <w:divId w:val="334694253"/>
        <w:ind w:left="720"/>
        <w:contextualSpacing/>
        <w:rPr>
          <w:rFonts w:eastAsia="Times New Roman"/>
        </w:rPr>
      </w:pPr>
    </w:p>
    <w:p w:rsidR="00206696" w:rsidRPr="00C01FC7" w:rsidP="00206696" w14:paraId="7D725C94" w14:textId="77777777">
      <w:pPr>
        <w:divId w:val="334694253"/>
        <w:numPr>
          <w:ilvl w:val="0"/>
          <w:numId w:val="9"/>
        </w:numPr>
        <w:contextualSpacing/>
        <w:rPr>
          <w:rFonts w:eastAsia="Times New Roman"/>
        </w:rPr>
      </w:pPr>
      <w:r w:rsidRPr="00C01FC7">
        <w:rPr>
          <w:rFonts w:eastAsia="Times New Roman"/>
        </w:rPr>
        <w:t>Check to see if the Formula Area for your Tribe overlaps that of another Tribe.  If it does, you may wish to contact the IHBG Formula Customer Service Center to obtain detailed information on how the Needs data are being shared.</w:t>
      </w:r>
    </w:p>
    <w:p w:rsidR="00206696" w:rsidRPr="00C01FC7" w:rsidP="00206696" w14:paraId="27569AB8" w14:textId="77777777">
      <w:pPr>
        <w:divId w:val="334694253"/>
        <w:ind w:left="720"/>
        <w:contextualSpacing/>
        <w:rPr>
          <w:rFonts w:eastAsia="Times New Roman"/>
        </w:rPr>
      </w:pPr>
      <w:r w:rsidRPr="00C01FC7">
        <w:rPr>
          <w:rFonts w:eastAsia="Times New Roman"/>
        </w:rPr>
        <w:t xml:space="preserve"> </w:t>
      </w:r>
    </w:p>
    <w:p w:rsidR="00206696" w:rsidRPr="00C01FC7" w:rsidP="00206696" w14:paraId="407A4F8C" w14:textId="647A62B4">
      <w:pPr>
        <w:divId w:val="334694253"/>
        <w:numPr>
          <w:ilvl w:val="0"/>
          <w:numId w:val="9"/>
        </w:numPr>
        <w:contextualSpacing/>
        <w:rPr>
          <w:rFonts w:eastAsia="Times New Roman"/>
        </w:rPr>
      </w:pPr>
      <w:r w:rsidRPr="00C01FC7">
        <w:rPr>
          <w:rFonts w:eastAsia="Times New Roman"/>
        </w:rPr>
        <w:t>If you still disagree, you may wish to submit a Census challenge no later than March 30, 20</w:t>
      </w:r>
      <w:r w:rsidRPr="00C01FC7" w:rsidR="4E82D51C">
        <w:rPr>
          <w:rFonts w:eastAsia="Times New Roman"/>
        </w:rPr>
        <w:t>XX</w:t>
      </w:r>
      <w:r w:rsidRPr="00C01FC7">
        <w:rPr>
          <w:rFonts w:eastAsia="Times New Roman"/>
        </w:rPr>
        <w:t xml:space="preserve"> for the FY 20</w:t>
      </w:r>
      <w:r w:rsidRPr="00C01FC7" w:rsidR="7769A8EF">
        <w:rPr>
          <w:rFonts w:eastAsia="Times New Roman"/>
        </w:rPr>
        <w:t>XX</w:t>
      </w:r>
      <w:r w:rsidRPr="00C01FC7">
        <w:rPr>
          <w:rFonts w:eastAsia="Times New Roman"/>
        </w:rPr>
        <w:t xml:space="preserve"> IHBG allocation.  If so, please review the guidelines in "Challenging U.S. Census Data: Guidelines for the Indian Housing Block Grant Formula."  </w:t>
      </w:r>
      <w:hyperlink r:id="rId11" w:history="1">
        <w:r w:rsidRPr="00C01FC7">
          <w:rPr>
            <w:rFonts w:eastAsia="Malgun Gothic"/>
            <w:color w:val="0000FF"/>
            <w:u w:val="single"/>
            <w:shd w:val="clear" w:color="auto" w:fill="FFFFFF"/>
          </w:rPr>
          <w:t>https://portal.hud.gov/hudportal/HUD?src=/program_offices/public_indian_housing/ih/codetalk/onap/ihbgformula</w:t>
        </w:r>
      </w:hyperlink>
      <w:r w:rsidRPr="00C01FC7">
        <w:rPr>
          <w:rFonts w:eastAsia="Times New Roman"/>
        </w:rPr>
        <w:t xml:space="preserve">.  </w:t>
      </w:r>
    </w:p>
    <w:p w:rsidR="00206696" w:rsidRPr="00C01FC7" w:rsidP="00206696" w14:paraId="2F4A8B5F" w14:textId="77777777">
      <w:pPr>
        <w:divId w:val="334694253"/>
        <w:autoSpaceDE w:val="0"/>
        <w:autoSpaceDN w:val="0"/>
        <w:adjustRightInd w:val="0"/>
        <w:rPr>
          <w:rFonts w:eastAsia="Calibri"/>
          <w:color w:val="000000"/>
        </w:rPr>
      </w:pPr>
    </w:p>
    <w:p w:rsidR="00206696" w:rsidRPr="00C01FC7" w:rsidP="00206696" w14:paraId="59D1895C" w14:textId="77777777">
      <w:pPr>
        <w:divId w:val="334694253"/>
        <w:autoSpaceDE w:val="0"/>
        <w:autoSpaceDN w:val="0"/>
        <w:adjustRightInd w:val="0"/>
        <w:ind w:firstLine="720"/>
        <w:rPr>
          <w:rFonts w:eastAsia="Calibri"/>
          <w:color w:val="000000"/>
        </w:rPr>
      </w:pPr>
      <w:r w:rsidRPr="00C01FC7">
        <w:rPr>
          <w:rFonts w:eastAsia="Calibri"/>
          <w:color w:val="000000"/>
        </w:rPr>
        <w:t xml:space="preserve">Should you have questions, please contact the IHBG Formula Customer Service Center at: </w:t>
      </w:r>
    </w:p>
    <w:p w:rsidR="00206696" w:rsidRPr="00C01FC7" w:rsidP="00206696" w14:paraId="568F840F" w14:textId="77777777">
      <w:pPr>
        <w:divId w:val="334694253"/>
        <w:rPr>
          <w:rFonts w:eastAsia="Calibri"/>
          <w:color w:val="000000"/>
        </w:rPr>
      </w:pPr>
    </w:p>
    <w:p w:rsidR="00206696" w:rsidRPr="00C01FC7" w:rsidP="00206696" w14:paraId="5ACA1408" w14:textId="4622F61E">
      <w:pPr>
        <w:divId w:val="334694253"/>
        <w:ind w:left="720"/>
        <w:rPr>
          <w:rFonts w:eastAsia="Calibri"/>
          <w:color w:val="000000"/>
        </w:rPr>
      </w:pPr>
      <w:r>
        <w:rPr>
          <w:rFonts w:eastAsia="Calibri"/>
          <w:color w:val="000000"/>
        </w:rPr>
        <w:t>101 Ridgely Avenue, Suite 10</w:t>
      </w:r>
    </w:p>
    <w:p w:rsidR="00206696" w:rsidRPr="00C01FC7" w:rsidP="00206696" w14:paraId="156F55EB" w14:textId="70660D82">
      <w:pPr>
        <w:divId w:val="334694253"/>
        <w:ind w:left="720"/>
        <w:rPr>
          <w:rFonts w:eastAsia="Calibri"/>
          <w:color w:val="000000"/>
        </w:rPr>
      </w:pPr>
      <w:r>
        <w:rPr>
          <w:rFonts w:eastAsia="Calibri"/>
          <w:color w:val="000000"/>
        </w:rPr>
        <w:t>Annapoli</w:t>
      </w:r>
      <w:r w:rsidRPr="00C01FC7">
        <w:rPr>
          <w:rFonts w:eastAsia="Calibri"/>
          <w:color w:val="000000"/>
        </w:rPr>
        <w:t>s, MD 21</w:t>
      </w:r>
      <w:r>
        <w:rPr>
          <w:rFonts w:eastAsia="Calibri"/>
          <w:color w:val="000000"/>
        </w:rPr>
        <w:t>401</w:t>
      </w:r>
    </w:p>
    <w:p w:rsidR="00206696" w:rsidRPr="00C01FC7" w:rsidP="00206696" w14:paraId="6B3FD822" w14:textId="77777777">
      <w:pPr>
        <w:divId w:val="334694253"/>
        <w:ind w:left="720"/>
        <w:rPr>
          <w:rFonts w:eastAsia="Calibri"/>
          <w:color w:val="000000"/>
        </w:rPr>
      </w:pPr>
      <w:r w:rsidRPr="00C01FC7">
        <w:rPr>
          <w:rFonts w:eastAsia="Calibri"/>
          <w:color w:val="000000"/>
        </w:rPr>
        <w:t xml:space="preserve">Phone: 800-410-8808 </w:t>
      </w:r>
    </w:p>
    <w:p w:rsidR="00206696" w:rsidRPr="00C01FC7" w:rsidP="00206696" w14:paraId="0B53804C" w14:textId="77777777">
      <w:pPr>
        <w:divId w:val="334694253"/>
        <w:ind w:left="720"/>
        <w:rPr>
          <w:rFonts w:eastAsia="Calibri"/>
          <w:color w:val="000000"/>
        </w:rPr>
      </w:pPr>
      <w:r w:rsidRPr="00C01FC7">
        <w:rPr>
          <w:rFonts w:eastAsia="Calibri"/>
          <w:color w:val="000000"/>
        </w:rPr>
        <w:t xml:space="preserve">Fax: 202-393-6411 </w:t>
      </w:r>
    </w:p>
    <w:p w:rsidR="00206696" w:rsidRPr="00C01FC7" w:rsidP="00206696" w14:paraId="1D6DA579" w14:textId="77777777">
      <w:pPr>
        <w:divId w:val="334694253"/>
        <w:ind w:left="720"/>
        <w:rPr>
          <w:rFonts w:eastAsia="Malgun Gothic"/>
        </w:rPr>
      </w:pPr>
      <w:r w:rsidRPr="00C01FC7">
        <w:rPr>
          <w:rFonts w:eastAsia="Calibri"/>
          <w:color w:val="000000"/>
        </w:rPr>
        <w:t>E-mail: IHBGformula@firstpic.org</w:t>
      </w:r>
    </w:p>
    <w:p w:rsidR="00206696" w:rsidP="6BB1C61B" w14:paraId="0629FB5E" w14:textId="77777777">
      <w:pPr>
        <w:spacing w:line="259" w:lineRule="auto"/>
        <w:ind w:firstLine="720"/>
        <w:rPr>
          <w:rFonts w:eastAsia="Times New Roman"/>
          <w:color w:val="000000" w:themeColor="text1"/>
        </w:rPr>
      </w:pPr>
    </w:p>
    <w:p w:rsidR="00515F9A" w:rsidP="6BB1C61B" w14:paraId="3750E7E3" w14:textId="43043397">
      <w:pPr>
        <w:spacing w:line="259" w:lineRule="auto"/>
        <w:ind w:firstLine="720"/>
        <w:rPr>
          <w:rFonts w:eastAsia="Times New Roman"/>
          <w:color w:val="000000" w:themeColor="text1"/>
        </w:rPr>
      </w:pPr>
      <w:r w:rsidRPr="6BB1C61B">
        <w:rPr>
          <w:rFonts w:eastAsia="Times New Roman"/>
          <w:color w:val="000000" w:themeColor="text1"/>
        </w:rPr>
        <w:t>HUD welcomes and is prepared to receive calls from individuals who are deaf or hard of hearing, as       well as individuals with speech or communication disabilities. To learn more about how to make an</w:t>
      </w:r>
      <w:r w:rsidRPr="6BB1C61B" w:rsidR="00DF7F18">
        <w:rPr>
          <w:rFonts w:eastAsia="Times New Roman"/>
          <w:color w:val="000000" w:themeColor="text1"/>
        </w:rPr>
        <w:t xml:space="preserve"> </w:t>
      </w:r>
      <w:r w:rsidRPr="6BB1C61B">
        <w:rPr>
          <w:rFonts w:eastAsia="Times New Roman"/>
          <w:color w:val="000000" w:themeColor="text1"/>
        </w:rPr>
        <w:t xml:space="preserve">accessible telephone call, please visit </w:t>
      </w:r>
      <w:hyperlink r:id="rId13" w:history="1">
        <w:r w:rsidRPr="3B80EDE9">
          <w:rPr>
            <w:rStyle w:val="Hyperlink"/>
            <w:rFonts w:eastAsia="Times New Roman"/>
          </w:rPr>
          <w:t>https://www.fcc.gov/consumers/guides/telecommunications-relay-service-trs</w:t>
        </w:r>
      </w:hyperlink>
      <w:r w:rsidRPr="6BB1C61B">
        <w:rPr>
          <w:color w:val="000000" w:themeColor="text1"/>
        </w:rPr>
        <w:t>.</w:t>
      </w:r>
    </w:p>
    <w:p w:rsidR="3B80EDE9" w:rsidP="6BB1C61B" w14:paraId="2EA6BF48" w14:textId="69297822">
      <w:pPr>
        <w:spacing w:line="259" w:lineRule="auto"/>
        <w:ind w:firstLine="720"/>
        <w:rPr>
          <w:rFonts w:eastAsia="Times New Roman"/>
          <w:color w:val="000000" w:themeColor="text1"/>
        </w:rPr>
      </w:pPr>
    </w:p>
    <w:sectPr w:rsidSect="0015130C">
      <w:headerReference w:type="default" r:id="rId1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AF0FAF" w:rsidP="005A0143" w14:paraId="484B59BC" w14:textId="77777777">
      <w:r>
        <w:separator/>
      </w:r>
    </w:p>
    <w:p w:rsidR="00AF0FAF" w14:paraId="0DBE6627" w14:textId="77777777"/>
  </w:endnote>
  <w:endnote w:type="continuationSeparator" w:id="1">
    <w:p w:rsidR="00AF0FAF" w:rsidP="005A0143" w14:paraId="2A1EC049" w14:textId="77777777">
      <w:r>
        <w:continuationSeparator/>
      </w:r>
    </w:p>
    <w:p w:rsidR="00AF0FAF" w14:paraId="78C3691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000"/>
    </w:tblPr>
    <w:tblGrid>
      <w:gridCol w:w="3480"/>
      <w:gridCol w:w="3480"/>
      <w:gridCol w:w="3480"/>
    </w:tblGrid>
    <w:tr w14:paraId="34D697D8" w14:textId="77777777" w:rsidTr="0E043C27">
      <w:tblPrEx>
        <w:tblW w:w="0" w:type="auto"/>
        <w:tblLayout w:type="fixed"/>
        <w:tblLook w:val="0000"/>
      </w:tblPrEx>
      <w:tc>
        <w:tcPr>
          <w:tcW w:w="3480" w:type="dxa"/>
          <w:shd w:val="clear" w:color="auto" w:fill="auto"/>
        </w:tcPr>
        <w:p w:rsidR="0029133C" w:rsidP="006240DA" w14:paraId="55B5CD21" w14:textId="77777777">
          <w:pPr>
            <w:pStyle w:val="Footer"/>
          </w:pPr>
          <w:r w:rsidRPr="005A0143">
            <w:rPr>
              <w:sz w:val="18"/>
            </w:rPr>
            <w:t>Previous editions are obsolete</w:t>
          </w:r>
        </w:p>
      </w:tc>
      <w:tc>
        <w:tcPr>
          <w:tcW w:w="3480" w:type="dxa"/>
          <w:shd w:val="clear" w:color="auto" w:fill="auto"/>
        </w:tcPr>
        <w:p w:rsidR="0029133C" w:rsidP="006240DA" w14:paraId="3A8B431B" w14:textId="3339BAF1">
          <w:pPr>
            <w:pStyle w:val="Footer"/>
            <w:jc w:val="center"/>
          </w:pPr>
          <w:r w:rsidRPr="005A0143">
            <w:rPr>
              <w:sz w:val="20"/>
            </w:rPr>
            <w:t xml:space="preserve">Page </w:t>
          </w:r>
          <w:r w:rsidRPr="005A0143" w:rsidR="00A47BF8">
            <w:rPr>
              <w:color w:val="2B579A"/>
              <w:sz w:val="20"/>
              <w:shd w:val="clear" w:color="auto" w:fill="E6E6E6"/>
            </w:rPr>
            <w:fldChar w:fldCharType="begin"/>
          </w:r>
          <w:r w:rsidRPr="005A0143">
            <w:rPr>
              <w:sz w:val="20"/>
            </w:rPr>
            <w:instrText xml:space="preserve">  = </w:instrText>
          </w:r>
          <w:r w:rsidRPr="005A0143" w:rsidR="00A47BF8">
            <w:rPr>
              <w:color w:val="2B579A"/>
              <w:sz w:val="20"/>
              <w:shd w:val="clear" w:color="auto" w:fill="E6E6E6"/>
            </w:rPr>
            <w:fldChar w:fldCharType="begin"/>
          </w:r>
          <w:r w:rsidRPr="005A0143">
            <w:rPr>
              <w:sz w:val="20"/>
            </w:rPr>
            <w:instrText xml:space="preserve">  PAGE + 1  </w:instrText>
          </w:r>
          <w:r w:rsidRPr="005A0143" w:rsidR="00A47BF8">
            <w:rPr>
              <w:color w:val="2B579A"/>
              <w:sz w:val="20"/>
              <w:shd w:val="clear" w:color="auto" w:fill="E6E6E6"/>
            </w:rPr>
            <w:fldChar w:fldCharType="separate"/>
          </w:r>
          <w:r w:rsidR="0084416A">
            <w:rPr>
              <w:noProof/>
              <w:sz w:val="20"/>
            </w:rPr>
            <w:instrText>2</w:instrText>
          </w:r>
          <w:r w:rsidRPr="005A0143" w:rsidR="00A47BF8">
            <w:rPr>
              <w:color w:val="2B579A"/>
              <w:sz w:val="20"/>
              <w:shd w:val="clear" w:color="auto" w:fill="E6E6E6"/>
            </w:rPr>
            <w:fldChar w:fldCharType="end"/>
          </w:r>
          <w:r w:rsidRPr="005A0143">
            <w:rPr>
              <w:sz w:val="20"/>
            </w:rPr>
            <w:instrText xml:space="preserve">  </w:instrText>
          </w:r>
          <w:r w:rsidRPr="005A0143" w:rsidR="00A47BF8">
            <w:rPr>
              <w:color w:val="2B579A"/>
              <w:sz w:val="20"/>
              <w:shd w:val="clear" w:color="auto" w:fill="E6E6E6"/>
            </w:rPr>
            <w:fldChar w:fldCharType="separate"/>
          </w:r>
          <w:r w:rsidR="0084416A">
            <w:rPr>
              <w:noProof/>
              <w:sz w:val="20"/>
            </w:rPr>
            <w:t>2</w:t>
          </w:r>
          <w:r w:rsidRPr="005A0143" w:rsidR="00A47BF8">
            <w:rPr>
              <w:color w:val="2B579A"/>
              <w:sz w:val="20"/>
              <w:shd w:val="clear" w:color="auto" w:fill="E6E6E6"/>
            </w:rPr>
            <w:fldChar w:fldCharType="end"/>
          </w:r>
          <w:r w:rsidRPr="005A0143">
            <w:rPr>
              <w:sz w:val="20"/>
            </w:rPr>
            <w:t xml:space="preserve"> of </w:t>
          </w:r>
          <w:r w:rsidR="00A47BF8">
            <w:rPr>
              <w:color w:val="2B579A"/>
              <w:sz w:val="20"/>
              <w:shd w:val="clear" w:color="auto" w:fill="E6E6E6"/>
            </w:rPr>
            <w:fldChar w:fldCharType="begin"/>
          </w:r>
          <w:r w:rsidRPr="005A0143">
            <w:rPr>
              <w:sz w:val="20"/>
            </w:rPr>
            <w:instrText xml:space="preserve">  = </w:instrText>
          </w:r>
          <w:r w:rsidRPr="005A0143" w:rsidR="00A47BF8">
            <w:rPr>
              <w:color w:val="2B579A"/>
              <w:sz w:val="20"/>
              <w:shd w:val="clear" w:color="auto" w:fill="E6E6E6"/>
            </w:rPr>
            <w:fldChar w:fldCharType="begin"/>
          </w:r>
          <w:r w:rsidRPr="005A0143">
            <w:rPr>
              <w:sz w:val="20"/>
            </w:rPr>
            <w:instrText xml:space="preserve">  NUMPAGES + 1  </w:instrText>
          </w:r>
          <w:r w:rsidRPr="005A0143" w:rsidR="00A47BF8">
            <w:rPr>
              <w:color w:val="2B579A"/>
              <w:sz w:val="20"/>
              <w:shd w:val="clear" w:color="auto" w:fill="E6E6E6"/>
            </w:rPr>
            <w:fldChar w:fldCharType="separate"/>
          </w:r>
          <w:r w:rsidR="0084416A">
            <w:rPr>
              <w:noProof/>
              <w:sz w:val="20"/>
            </w:rPr>
            <w:instrText>16</w:instrText>
          </w:r>
          <w:r w:rsidRPr="005A0143" w:rsidR="00A47BF8">
            <w:rPr>
              <w:color w:val="2B579A"/>
              <w:sz w:val="20"/>
              <w:shd w:val="clear" w:color="auto" w:fill="E6E6E6"/>
            </w:rPr>
            <w:fldChar w:fldCharType="end"/>
          </w:r>
          <w:r w:rsidRPr="005A0143">
            <w:rPr>
              <w:sz w:val="20"/>
            </w:rPr>
            <w:instrText xml:space="preserve"> </w:instrText>
          </w:r>
          <w:r>
            <w:instrText xml:space="preserve"> </w:instrText>
          </w:r>
          <w:r w:rsidR="00A47BF8">
            <w:rPr>
              <w:color w:val="2B579A"/>
              <w:shd w:val="clear" w:color="auto" w:fill="E6E6E6"/>
            </w:rPr>
            <w:fldChar w:fldCharType="separate"/>
          </w:r>
          <w:r w:rsidR="0084416A">
            <w:rPr>
              <w:noProof/>
              <w:sz w:val="20"/>
            </w:rPr>
            <w:t>16</w:t>
          </w:r>
          <w:r w:rsidR="00A47BF8">
            <w:rPr>
              <w:color w:val="2B579A"/>
              <w:shd w:val="clear" w:color="auto" w:fill="E6E6E6"/>
            </w:rPr>
            <w:fldChar w:fldCharType="end"/>
          </w:r>
        </w:p>
      </w:tc>
      <w:tc>
        <w:tcPr>
          <w:tcW w:w="3480" w:type="dxa"/>
          <w:shd w:val="clear" w:color="auto" w:fill="auto"/>
        </w:tcPr>
        <w:p w:rsidR="0029133C" w:rsidP="00955D50" w14:paraId="0B9A2DAA" w14:textId="074BADA1">
          <w:pPr>
            <w:pStyle w:val="Footer"/>
            <w:jc w:val="center"/>
          </w:pPr>
          <w:r w:rsidRPr="0E043C27">
            <w:rPr>
              <w:sz w:val="18"/>
              <w:szCs w:val="18"/>
            </w:rPr>
            <w:t xml:space="preserve">Form HUD-4117 </w:t>
          </w:r>
        </w:p>
      </w:tc>
    </w:tr>
  </w:tbl>
  <w:p w:rsidR="0029133C" w:rsidP="00D30042" w14:paraId="278BFF1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000"/>
    </w:tblPr>
    <w:tblGrid>
      <w:gridCol w:w="3480"/>
      <w:gridCol w:w="3480"/>
      <w:gridCol w:w="3480"/>
    </w:tblGrid>
    <w:tr w14:paraId="7905B63C" w14:textId="77777777" w:rsidTr="0029133C">
      <w:tblPrEx>
        <w:tblW w:w="0" w:type="auto"/>
        <w:tblLayout w:type="fixed"/>
        <w:tblLook w:val="0000"/>
      </w:tblPrEx>
      <w:tc>
        <w:tcPr>
          <w:tcW w:w="3480" w:type="dxa"/>
          <w:shd w:val="clear" w:color="auto" w:fill="auto"/>
        </w:tcPr>
        <w:p w:rsidR="00206696" w:rsidP="006240DA" w14:paraId="72705B52" w14:textId="3C41C1A1">
          <w:pPr>
            <w:pStyle w:val="Footer"/>
          </w:pPr>
        </w:p>
      </w:tc>
      <w:tc>
        <w:tcPr>
          <w:tcW w:w="3480" w:type="dxa"/>
          <w:shd w:val="clear" w:color="auto" w:fill="auto"/>
        </w:tcPr>
        <w:p w:rsidR="00206696" w:rsidP="006240DA" w14:paraId="5B6C5BB0" w14:textId="28B8A856">
          <w:pPr>
            <w:pStyle w:val="Footer"/>
            <w:jc w:val="center"/>
          </w:pPr>
          <w:r w:rsidRPr="005A0143">
            <w:rPr>
              <w:sz w:val="20"/>
            </w:rPr>
            <w:t xml:space="preserve">Page </w:t>
          </w:r>
          <w:r w:rsidRPr="005A0143">
            <w:rPr>
              <w:color w:val="2B579A"/>
              <w:sz w:val="20"/>
              <w:shd w:val="clear" w:color="auto" w:fill="E6E6E6"/>
            </w:rPr>
            <w:fldChar w:fldCharType="begin"/>
          </w:r>
          <w:r w:rsidRPr="005A0143">
            <w:rPr>
              <w:sz w:val="20"/>
            </w:rPr>
            <w:instrText xml:space="preserve">  = </w:instrText>
          </w:r>
          <w:r w:rsidRPr="005A0143">
            <w:rPr>
              <w:color w:val="2B579A"/>
              <w:sz w:val="20"/>
              <w:shd w:val="clear" w:color="auto" w:fill="E6E6E6"/>
            </w:rPr>
            <w:fldChar w:fldCharType="begin"/>
          </w:r>
          <w:r w:rsidRPr="005A0143">
            <w:rPr>
              <w:sz w:val="20"/>
            </w:rPr>
            <w:instrText xml:space="preserve">  PAGE + 1  </w:instrText>
          </w:r>
          <w:r w:rsidRPr="005A0143">
            <w:rPr>
              <w:color w:val="2B579A"/>
              <w:sz w:val="20"/>
              <w:shd w:val="clear" w:color="auto" w:fill="E6E6E6"/>
            </w:rPr>
            <w:fldChar w:fldCharType="separate"/>
          </w:r>
          <w:r w:rsidR="0084416A">
            <w:rPr>
              <w:noProof/>
              <w:sz w:val="20"/>
            </w:rPr>
            <w:instrText>16</w:instrText>
          </w:r>
          <w:r w:rsidRPr="005A0143">
            <w:rPr>
              <w:color w:val="2B579A"/>
              <w:sz w:val="20"/>
              <w:shd w:val="clear" w:color="auto" w:fill="E6E6E6"/>
            </w:rPr>
            <w:fldChar w:fldCharType="end"/>
          </w:r>
          <w:r w:rsidRPr="005A0143">
            <w:rPr>
              <w:sz w:val="20"/>
            </w:rPr>
            <w:instrText xml:space="preserve">  </w:instrText>
          </w:r>
          <w:r w:rsidRPr="005A0143">
            <w:rPr>
              <w:color w:val="2B579A"/>
              <w:sz w:val="20"/>
              <w:shd w:val="clear" w:color="auto" w:fill="E6E6E6"/>
            </w:rPr>
            <w:fldChar w:fldCharType="separate"/>
          </w:r>
          <w:r w:rsidR="0084416A">
            <w:rPr>
              <w:noProof/>
              <w:sz w:val="20"/>
            </w:rPr>
            <w:t>16</w:t>
          </w:r>
          <w:r w:rsidRPr="005A0143">
            <w:rPr>
              <w:color w:val="2B579A"/>
              <w:sz w:val="20"/>
              <w:shd w:val="clear" w:color="auto" w:fill="E6E6E6"/>
            </w:rPr>
            <w:fldChar w:fldCharType="end"/>
          </w:r>
          <w:r w:rsidRPr="005A0143">
            <w:rPr>
              <w:sz w:val="20"/>
            </w:rPr>
            <w:t xml:space="preserve"> of </w:t>
          </w:r>
          <w:r>
            <w:rPr>
              <w:color w:val="2B579A"/>
              <w:sz w:val="20"/>
              <w:shd w:val="clear" w:color="auto" w:fill="E6E6E6"/>
            </w:rPr>
            <w:fldChar w:fldCharType="begin"/>
          </w:r>
          <w:r w:rsidRPr="005A0143">
            <w:rPr>
              <w:sz w:val="20"/>
            </w:rPr>
            <w:instrText xml:space="preserve">  = </w:instrText>
          </w:r>
          <w:r w:rsidRPr="005A0143">
            <w:rPr>
              <w:color w:val="2B579A"/>
              <w:sz w:val="20"/>
              <w:shd w:val="clear" w:color="auto" w:fill="E6E6E6"/>
            </w:rPr>
            <w:fldChar w:fldCharType="begin"/>
          </w:r>
          <w:r w:rsidRPr="005A0143">
            <w:rPr>
              <w:sz w:val="20"/>
            </w:rPr>
            <w:instrText xml:space="preserve">  NUMPAGES + 1  </w:instrText>
          </w:r>
          <w:r w:rsidRPr="005A0143">
            <w:rPr>
              <w:color w:val="2B579A"/>
              <w:sz w:val="20"/>
              <w:shd w:val="clear" w:color="auto" w:fill="E6E6E6"/>
            </w:rPr>
            <w:fldChar w:fldCharType="separate"/>
          </w:r>
          <w:r w:rsidR="0084416A">
            <w:rPr>
              <w:noProof/>
              <w:sz w:val="20"/>
            </w:rPr>
            <w:instrText>16</w:instrText>
          </w:r>
          <w:r w:rsidRPr="005A0143">
            <w:rPr>
              <w:color w:val="2B579A"/>
              <w:sz w:val="20"/>
              <w:shd w:val="clear" w:color="auto" w:fill="E6E6E6"/>
            </w:rPr>
            <w:fldChar w:fldCharType="end"/>
          </w:r>
          <w:r w:rsidRPr="005A0143">
            <w:rPr>
              <w:sz w:val="20"/>
            </w:rPr>
            <w:instrText xml:space="preserve"> </w:instrText>
          </w:r>
          <w:r>
            <w:instrText xml:space="preserve"> </w:instrText>
          </w:r>
          <w:r>
            <w:rPr>
              <w:color w:val="2B579A"/>
              <w:shd w:val="clear" w:color="auto" w:fill="E6E6E6"/>
            </w:rPr>
            <w:fldChar w:fldCharType="separate"/>
          </w:r>
          <w:r w:rsidR="0084416A">
            <w:rPr>
              <w:noProof/>
              <w:sz w:val="20"/>
            </w:rPr>
            <w:t>16</w:t>
          </w:r>
          <w:r>
            <w:rPr>
              <w:color w:val="2B579A"/>
              <w:shd w:val="clear" w:color="auto" w:fill="E6E6E6"/>
            </w:rPr>
            <w:fldChar w:fldCharType="end"/>
          </w:r>
        </w:p>
      </w:tc>
      <w:tc>
        <w:tcPr>
          <w:tcW w:w="3480" w:type="dxa"/>
          <w:shd w:val="clear" w:color="auto" w:fill="auto"/>
        </w:tcPr>
        <w:p w:rsidR="00206696" w:rsidP="006240DA" w14:paraId="6706555D" w14:textId="41AE001A">
          <w:pPr>
            <w:pStyle w:val="Footer"/>
            <w:jc w:val="right"/>
          </w:pPr>
        </w:p>
      </w:tc>
    </w:tr>
  </w:tbl>
  <w:p w:rsidR="00206696" w:rsidP="00D30042" w14:paraId="6B2D19C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F0FAF" w:rsidP="005A0143" w14:paraId="672E8EE5" w14:textId="77777777">
      <w:r>
        <w:separator/>
      </w:r>
    </w:p>
    <w:p w:rsidR="00AF0FAF" w14:paraId="002CCF32" w14:textId="77777777"/>
  </w:footnote>
  <w:footnote w:type="continuationSeparator" w:id="1">
    <w:p w:rsidR="00AF0FAF" w:rsidP="005A0143" w14:paraId="1A6F317F" w14:textId="77777777">
      <w:r>
        <w:continuationSeparator/>
      </w:r>
    </w:p>
    <w:p w:rsidR="00AF0FAF" w14:paraId="36CA857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1960" w:type="dxa"/>
      <w:tblBorders>
        <w:bottom w:val="single" w:sz="4" w:space="0" w:color="auto"/>
      </w:tblBorders>
      <w:tblLayout w:type="fixed"/>
      <w:tblLook w:val="0000"/>
    </w:tblPr>
    <w:tblGrid>
      <w:gridCol w:w="5000"/>
      <w:gridCol w:w="3480"/>
      <w:gridCol w:w="3480"/>
    </w:tblGrid>
    <w:tr w14:paraId="4F6120DD" w14:textId="77777777" w:rsidTr="6BB1C61B">
      <w:tblPrEx>
        <w:tblW w:w="11960" w:type="dxa"/>
        <w:tblBorders>
          <w:bottom w:val="single" w:sz="4" w:space="0" w:color="auto"/>
        </w:tblBorders>
        <w:tblLayout w:type="fixed"/>
        <w:tblLook w:val="0000"/>
      </w:tblPrEx>
      <w:tc>
        <w:tcPr>
          <w:tcW w:w="5000" w:type="dxa"/>
          <w:shd w:val="clear" w:color="auto" w:fill="auto"/>
          <w:vAlign w:val="bottom"/>
        </w:tcPr>
        <w:p w:rsidR="0029133C" w:rsidP="005762B6" w14:paraId="1106480B" w14:textId="6FC685F7">
          <w:pPr>
            <w:pStyle w:val="Header"/>
            <w:textAlignment w:val="baseline"/>
          </w:pPr>
          <w:r w:rsidRPr="6BB1C61B">
            <w:rPr>
              <w:b/>
              <w:bCs/>
              <w:sz w:val="28"/>
              <w:szCs w:val="28"/>
            </w:rPr>
            <w:t>FY 20XX Formula Response Form</w:t>
          </w:r>
        </w:p>
      </w:tc>
      <w:tc>
        <w:tcPr>
          <w:tcW w:w="3480" w:type="dxa"/>
          <w:shd w:val="clear" w:color="auto" w:fill="auto"/>
          <w:vAlign w:val="bottom"/>
        </w:tcPr>
        <w:p w:rsidR="0029133C" w:rsidRPr="005A0143" w:rsidP="006240DA" w14:paraId="39068991" w14:textId="77777777">
          <w:pPr>
            <w:pStyle w:val="Header"/>
            <w:textAlignment w:val="baseline"/>
            <w:rPr>
              <w:b/>
              <w:sz w:val="18"/>
            </w:rPr>
          </w:pPr>
          <w:r w:rsidRPr="005A0143">
            <w:rPr>
              <w:b/>
              <w:sz w:val="18"/>
            </w:rPr>
            <w:t>U.S. Department of Housing</w:t>
          </w:r>
        </w:p>
        <w:p w:rsidR="0029133C" w:rsidP="006240DA" w14:paraId="4AD842A9" w14:textId="77777777">
          <w:pPr>
            <w:pStyle w:val="Header"/>
            <w:textAlignment w:val="baseline"/>
          </w:pPr>
          <w:r w:rsidRPr="005A0143">
            <w:rPr>
              <w:b/>
              <w:sz w:val="18"/>
            </w:rPr>
            <w:t>and Urban Development</w:t>
          </w:r>
        </w:p>
      </w:tc>
      <w:tc>
        <w:tcPr>
          <w:tcW w:w="3480" w:type="dxa"/>
          <w:shd w:val="clear" w:color="auto" w:fill="auto"/>
          <w:vAlign w:val="bottom"/>
        </w:tcPr>
        <w:p w:rsidR="0029133C" w:rsidP="006240DA" w14:paraId="65823611" w14:textId="713C27D0">
          <w:pPr>
            <w:pStyle w:val="Header"/>
            <w:textAlignment w:val="baseline"/>
          </w:pPr>
          <w:r w:rsidRPr="005A0143">
            <w:rPr>
              <w:b/>
              <w:sz w:val="16"/>
            </w:rPr>
            <w:t xml:space="preserve">OMB </w:t>
          </w:r>
          <w:r w:rsidR="00C85631">
            <w:rPr>
              <w:b/>
              <w:sz w:val="16"/>
            </w:rPr>
            <w:t xml:space="preserve">Control </w:t>
          </w:r>
          <w:r w:rsidRPr="005A0143">
            <w:rPr>
              <w:b/>
              <w:sz w:val="16"/>
            </w:rPr>
            <w:t>No. 2577-0218</w:t>
          </w:r>
        </w:p>
      </w:tc>
    </w:tr>
    <w:tr w14:paraId="518A1707" w14:textId="77777777" w:rsidTr="6BB1C61B">
      <w:tblPrEx>
        <w:tblW w:w="11960" w:type="dxa"/>
        <w:tblLayout w:type="fixed"/>
        <w:tblLook w:val="0000"/>
      </w:tblPrEx>
      <w:tc>
        <w:tcPr>
          <w:tcW w:w="5000" w:type="dxa"/>
          <w:shd w:val="clear" w:color="auto" w:fill="auto"/>
        </w:tcPr>
        <w:p w:rsidR="0029133C" w:rsidP="006240DA" w14:paraId="5C368D55" w14:textId="77777777">
          <w:pPr>
            <w:pStyle w:val="Header"/>
            <w:textAlignment w:val="top"/>
          </w:pPr>
          <w:r w:rsidRPr="005A0143">
            <w:rPr>
              <w:sz w:val="20"/>
            </w:rPr>
            <w:t>Indian Housing Block Grant Formula Data</w:t>
          </w:r>
        </w:p>
      </w:tc>
      <w:tc>
        <w:tcPr>
          <w:tcW w:w="3480" w:type="dxa"/>
          <w:shd w:val="clear" w:color="auto" w:fill="auto"/>
        </w:tcPr>
        <w:p w:rsidR="0029133C" w:rsidP="006240DA" w14:paraId="33D8E7EC" w14:textId="77777777">
          <w:pPr>
            <w:pStyle w:val="Header"/>
            <w:textAlignment w:val="top"/>
          </w:pPr>
          <w:r w:rsidRPr="005A0143">
            <w:rPr>
              <w:sz w:val="16"/>
            </w:rPr>
            <w:t>Office of Native American Programs</w:t>
          </w:r>
        </w:p>
      </w:tc>
      <w:tc>
        <w:tcPr>
          <w:tcW w:w="3480" w:type="dxa"/>
          <w:shd w:val="clear" w:color="auto" w:fill="auto"/>
        </w:tcPr>
        <w:p w:rsidR="0029133C" w:rsidP="006240DA" w14:paraId="23460DBF" w14:textId="6D9617D8">
          <w:pPr>
            <w:pStyle w:val="Header"/>
            <w:textAlignment w:val="top"/>
            <w:rPr>
              <w:sz w:val="16"/>
              <w:szCs w:val="16"/>
            </w:rPr>
          </w:pPr>
          <w:r w:rsidRPr="212488DA">
            <w:rPr>
              <w:sz w:val="16"/>
              <w:szCs w:val="16"/>
            </w:rPr>
            <w:t xml:space="preserve">(exp. </w:t>
          </w:r>
          <w:r w:rsidR="0084416A">
            <w:rPr>
              <w:sz w:val="16"/>
              <w:szCs w:val="16"/>
            </w:rPr>
            <w:t>x</w:t>
          </w:r>
          <w:r w:rsidR="00270F27">
            <w:rPr>
              <w:sz w:val="16"/>
              <w:szCs w:val="16"/>
            </w:rPr>
            <w:t>x/xx/xxx</w:t>
          </w:r>
          <w:r w:rsidRPr="6BB1C61B" w:rsidR="6BB1C61B">
            <w:rPr>
              <w:sz w:val="16"/>
              <w:szCs w:val="16"/>
            </w:rPr>
            <w:t>)</w:t>
          </w:r>
        </w:p>
      </w:tc>
    </w:tr>
  </w:tbl>
  <w:p w:rsidR="0029133C" w:rsidRPr="006240DA" w:rsidP="006240DA" w14:paraId="39A23BB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1960" w:type="dxa"/>
      <w:tblBorders>
        <w:bottom w:val="single" w:sz="4" w:space="0" w:color="auto"/>
      </w:tblBorders>
      <w:tblLayout w:type="fixed"/>
      <w:tblLook w:val="0000"/>
    </w:tblPr>
    <w:tblGrid>
      <w:gridCol w:w="5000"/>
      <w:gridCol w:w="3480"/>
      <w:gridCol w:w="3480"/>
    </w:tblGrid>
    <w:tr w14:paraId="151E739E" w14:textId="77777777" w:rsidTr="6BB1C61B">
      <w:tblPrEx>
        <w:tblW w:w="11960" w:type="dxa"/>
        <w:tblBorders>
          <w:bottom w:val="single" w:sz="4" w:space="0" w:color="auto"/>
        </w:tblBorders>
        <w:tblLayout w:type="fixed"/>
        <w:tblLook w:val="0000"/>
      </w:tblPrEx>
      <w:tc>
        <w:tcPr>
          <w:tcW w:w="5000" w:type="dxa"/>
          <w:shd w:val="clear" w:color="auto" w:fill="auto"/>
          <w:vAlign w:val="bottom"/>
        </w:tcPr>
        <w:p w:rsidR="00206696" w:rsidP="005762B6" w14:paraId="2DC33ACE" w14:textId="54A7473F">
          <w:pPr>
            <w:pStyle w:val="Header"/>
            <w:textAlignment w:val="baseline"/>
          </w:pPr>
          <w:r w:rsidRPr="6BB1C61B">
            <w:rPr>
              <w:b/>
              <w:bCs/>
              <w:sz w:val="28"/>
              <w:szCs w:val="28"/>
            </w:rPr>
            <w:t>FY 20XX Formula Response Form</w:t>
          </w:r>
        </w:p>
      </w:tc>
      <w:tc>
        <w:tcPr>
          <w:tcW w:w="3480" w:type="dxa"/>
          <w:shd w:val="clear" w:color="auto" w:fill="auto"/>
          <w:vAlign w:val="bottom"/>
        </w:tcPr>
        <w:p w:rsidR="00206696" w:rsidRPr="005A0143" w:rsidP="006240DA" w14:paraId="35B3AB22" w14:textId="77777777">
          <w:pPr>
            <w:pStyle w:val="Header"/>
            <w:textAlignment w:val="baseline"/>
            <w:rPr>
              <w:b/>
              <w:sz w:val="18"/>
            </w:rPr>
          </w:pPr>
          <w:r w:rsidRPr="005A0143">
            <w:rPr>
              <w:b/>
              <w:sz w:val="18"/>
            </w:rPr>
            <w:t>U.S. Department of Housing</w:t>
          </w:r>
        </w:p>
        <w:p w:rsidR="00206696" w:rsidP="006240DA" w14:paraId="48B8F6F7" w14:textId="77777777">
          <w:pPr>
            <w:pStyle w:val="Header"/>
            <w:textAlignment w:val="baseline"/>
          </w:pPr>
          <w:r w:rsidRPr="005A0143">
            <w:rPr>
              <w:b/>
              <w:sz w:val="18"/>
            </w:rPr>
            <w:t>and Urban Development</w:t>
          </w:r>
        </w:p>
      </w:tc>
      <w:tc>
        <w:tcPr>
          <w:tcW w:w="3480" w:type="dxa"/>
          <w:shd w:val="clear" w:color="auto" w:fill="auto"/>
          <w:vAlign w:val="bottom"/>
        </w:tcPr>
        <w:p w:rsidR="00206696" w:rsidP="006240DA" w14:paraId="7AE743BC" w14:textId="77777777">
          <w:pPr>
            <w:pStyle w:val="Header"/>
            <w:textAlignment w:val="baseline"/>
          </w:pPr>
          <w:r w:rsidRPr="005A0143">
            <w:rPr>
              <w:b/>
              <w:sz w:val="16"/>
            </w:rPr>
            <w:t>OMB Approval No. 2577-0218</w:t>
          </w:r>
        </w:p>
      </w:tc>
    </w:tr>
    <w:tr w14:paraId="5B40202C" w14:textId="77777777" w:rsidTr="6BB1C61B">
      <w:tblPrEx>
        <w:tblW w:w="11960" w:type="dxa"/>
        <w:tblLayout w:type="fixed"/>
        <w:tblLook w:val="0000"/>
      </w:tblPrEx>
      <w:tc>
        <w:tcPr>
          <w:tcW w:w="5000" w:type="dxa"/>
          <w:shd w:val="clear" w:color="auto" w:fill="auto"/>
        </w:tcPr>
        <w:p w:rsidR="00206696" w:rsidP="006240DA" w14:paraId="4C4632AA" w14:textId="77777777">
          <w:pPr>
            <w:pStyle w:val="Header"/>
            <w:textAlignment w:val="top"/>
          </w:pPr>
          <w:r w:rsidRPr="005A0143">
            <w:rPr>
              <w:sz w:val="20"/>
            </w:rPr>
            <w:t>Indian Housing Block Grant Formula Data</w:t>
          </w:r>
        </w:p>
      </w:tc>
      <w:tc>
        <w:tcPr>
          <w:tcW w:w="3480" w:type="dxa"/>
          <w:shd w:val="clear" w:color="auto" w:fill="auto"/>
        </w:tcPr>
        <w:p w:rsidR="00206696" w:rsidP="006240DA" w14:paraId="3C127B6D" w14:textId="77777777">
          <w:pPr>
            <w:pStyle w:val="Header"/>
            <w:textAlignment w:val="top"/>
          </w:pPr>
          <w:r w:rsidRPr="005A0143">
            <w:rPr>
              <w:sz w:val="16"/>
            </w:rPr>
            <w:t>Office of Native American Programs</w:t>
          </w:r>
        </w:p>
      </w:tc>
      <w:tc>
        <w:tcPr>
          <w:tcW w:w="3480" w:type="dxa"/>
          <w:shd w:val="clear" w:color="auto" w:fill="auto"/>
        </w:tcPr>
        <w:p w:rsidR="00206696" w:rsidP="6BB1C61B" w14:paraId="2C15CC02" w14:textId="7DA86BD6">
          <w:pPr>
            <w:pStyle w:val="Header"/>
            <w:textAlignment w:val="top"/>
            <w:rPr>
              <w:sz w:val="16"/>
              <w:szCs w:val="16"/>
            </w:rPr>
          </w:pPr>
          <w:r w:rsidRPr="212488DA">
            <w:rPr>
              <w:sz w:val="16"/>
              <w:szCs w:val="16"/>
            </w:rPr>
            <w:t xml:space="preserve">(exp. </w:t>
          </w:r>
          <w:r w:rsidRPr="6BB1C61B">
            <w:rPr>
              <w:sz w:val="16"/>
              <w:szCs w:val="16"/>
            </w:rPr>
            <w:t>07/31/2025)</w:t>
          </w:r>
        </w:p>
      </w:tc>
    </w:tr>
  </w:tbl>
  <w:p w:rsidR="00206696" w:rsidRPr="006240DA" w:rsidP="006240DA" w14:paraId="461F21B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0A1560"/>
    <w:multiLevelType w:val="multilevel"/>
    <w:tmpl w:val="5B2AF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3B04F9"/>
    <w:multiLevelType w:val="multilevel"/>
    <w:tmpl w:val="D474F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1F3DF6"/>
    <w:multiLevelType w:val="hybridMultilevel"/>
    <w:tmpl w:val="963ADD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ED45268"/>
    <w:multiLevelType w:val="multilevel"/>
    <w:tmpl w:val="589C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9F1347"/>
    <w:multiLevelType w:val="multilevel"/>
    <w:tmpl w:val="56E4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ED45AA"/>
    <w:multiLevelType w:val="multilevel"/>
    <w:tmpl w:val="AAA04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497519A"/>
    <w:multiLevelType w:val="multilevel"/>
    <w:tmpl w:val="B0D4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6C4591"/>
    <w:multiLevelType w:val="multilevel"/>
    <w:tmpl w:val="4094D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BC1327"/>
    <w:multiLevelType w:val="multilevel"/>
    <w:tmpl w:val="C7547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4568769">
    <w:abstractNumId w:val="4"/>
  </w:num>
  <w:num w:numId="2" w16cid:durableId="1118841783">
    <w:abstractNumId w:val="3"/>
  </w:num>
  <w:num w:numId="3" w16cid:durableId="1667778216">
    <w:abstractNumId w:val="6"/>
  </w:num>
  <w:num w:numId="4" w16cid:durableId="1038748863">
    <w:abstractNumId w:val="1"/>
  </w:num>
  <w:num w:numId="5" w16cid:durableId="417680909">
    <w:abstractNumId w:val="5"/>
  </w:num>
  <w:num w:numId="6" w16cid:durableId="328757498">
    <w:abstractNumId w:val="8"/>
  </w:num>
  <w:num w:numId="7" w16cid:durableId="1835608165">
    <w:abstractNumId w:val="0"/>
  </w:num>
  <w:num w:numId="8" w16cid:durableId="1667129757">
    <w:abstractNumId w:val="7"/>
  </w:num>
  <w:num w:numId="9" w16cid:durableId="1714310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5A4B"/>
    <w:rsid w:val="0000584F"/>
    <w:rsid w:val="000058F7"/>
    <w:rsid w:val="00020377"/>
    <w:rsid w:val="00020E4A"/>
    <w:rsid w:val="000222D2"/>
    <w:rsid w:val="0002312E"/>
    <w:rsid w:val="000264F8"/>
    <w:rsid w:val="0003028B"/>
    <w:rsid w:val="00030FF1"/>
    <w:rsid w:val="00031378"/>
    <w:rsid w:val="00035150"/>
    <w:rsid w:val="00035725"/>
    <w:rsid w:val="000362BE"/>
    <w:rsid w:val="00036CA1"/>
    <w:rsid w:val="00042C2F"/>
    <w:rsid w:val="00043827"/>
    <w:rsid w:val="00044EE1"/>
    <w:rsid w:val="0004653F"/>
    <w:rsid w:val="000512EA"/>
    <w:rsid w:val="00051D9A"/>
    <w:rsid w:val="00055120"/>
    <w:rsid w:val="0005523D"/>
    <w:rsid w:val="00064057"/>
    <w:rsid w:val="00070989"/>
    <w:rsid w:val="00077707"/>
    <w:rsid w:val="00081BB2"/>
    <w:rsid w:val="00082AF1"/>
    <w:rsid w:val="000857A4"/>
    <w:rsid w:val="000857B7"/>
    <w:rsid w:val="000A1502"/>
    <w:rsid w:val="000A6556"/>
    <w:rsid w:val="000A73F8"/>
    <w:rsid w:val="000B3AC5"/>
    <w:rsid w:val="000B467C"/>
    <w:rsid w:val="000B5D4C"/>
    <w:rsid w:val="000C2126"/>
    <w:rsid w:val="000C6EAF"/>
    <w:rsid w:val="000D3C15"/>
    <w:rsid w:val="000D4922"/>
    <w:rsid w:val="000D640E"/>
    <w:rsid w:val="000E054B"/>
    <w:rsid w:val="000E1404"/>
    <w:rsid w:val="000F04DF"/>
    <w:rsid w:val="000F3691"/>
    <w:rsid w:val="001055E2"/>
    <w:rsid w:val="001062DE"/>
    <w:rsid w:val="0011255F"/>
    <w:rsid w:val="00121BAC"/>
    <w:rsid w:val="00134683"/>
    <w:rsid w:val="001406D9"/>
    <w:rsid w:val="0014432D"/>
    <w:rsid w:val="001472B2"/>
    <w:rsid w:val="0015130C"/>
    <w:rsid w:val="00151F28"/>
    <w:rsid w:val="0016550C"/>
    <w:rsid w:val="00166D4C"/>
    <w:rsid w:val="001709E4"/>
    <w:rsid w:val="00170FB0"/>
    <w:rsid w:val="0017337B"/>
    <w:rsid w:val="0017424F"/>
    <w:rsid w:val="00181CDA"/>
    <w:rsid w:val="0018294A"/>
    <w:rsid w:val="001929EE"/>
    <w:rsid w:val="001955DB"/>
    <w:rsid w:val="001A5EE9"/>
    <w:rsid w:val="001A6CA5"/>
    <w:rsid w:val="001B0E4A"/>
    <w:rsid w:val="001B17A7"/>
    <w:rsid w:val="001C0F4E"/>
    <w:rsid w:val="001C176F"/>
    <w:rsid w:val="001C71F6"/>
    <w:rsid w:val="001D2664"/>
    <w:rsid w:val="001E1C26"/>
    <w:rsid w:val="001E2FFF"/>
    <w:rsid w:val="001E35D3"/>
    <w:rsid w:val="001E48B4"/>
    <w:rsid w:val="001F53EE"/>
    <w:rsid w:val="001F5FC7"/>
    <w:rsid w:val="001F6FEB"/>
    <w:rsid w:val="00201ECC"/>
    <w:rsid w:val="00205511"/>
    <w:rsid w:val="00206696"/>
    <w:rsid w:val="002142BD"/>
    <w:rsid w:val="00220EE7"/>
    <w:rsid w:val="00223CBE"/>
    <w:rsid w:val="00223EF6"/>
    <w:rsid w:val="002247F2"/>
    <w:rsid w:val="002302C9"/>
    <w:rsid w:val="00242386"/>
    <w:rsid w:val="00243A1D"/>
    <w:rsid w:val="00245486"/>
    <w:rsid w:val="0024773A"/>
    <w:rsid w:val="002564E9"/>
    <w:rsid w:val="00260BE8"/>
    <w:rsid w:val="0026430B"/>
    <w:rsid w:val="00264EC4"/>
    <w:rsid w:val="00270F27"/>
    <w:rsid w:val="00271C06"/>
    <w:rsid w:val="00271D5A"/>
    <w:rsid w:val="00274D6A"/>
    <w:rsid w:val="0028230C"/>
    <w:rsid w:val="00282A93"/>
    <w:rsid w:val="00286542"/>
    <w:rsid w:val="002911A2"/>
    <w:rsid w:val="0029133C"/>
    <w:rsid w:val="00297320"/>
    <w:rsid w:val="002A617B"/>
    <w:rsid w:val="002B1CB0"/>
    <w:rsid w:val="002B45D3"/>
    <w:rsid w:val="002B592E"/>
    <w:rsid w:val="002B75A4"/>
    <w:rsid w:val="002C0344"/>
    <w:rsid w:val="002C5B04"/>
    <w:rsid w:val="002C7B08"/>
    <w:rsid w:val="002D2F03"/>
    <w:rsid w:val="002D3C07"/>
    <w:rsid w:val="002D4ED7"/>
    <w:rsid w:val="002D6A83"/>
    <w:rsid w:val="002E7FAB"/>
    <w:rsid w:val="002F005C"/>
    <w:rsid w:val="002F61BD"/>
    <w:rsid w:val="003028CB"/>
    <w:rsid w:val="00304476"/>
    <w:rsid w:val="003047A1"/>
    <w:rsid w:val="003050E4"/>
    <w:rsid w:val="003057E1"/>
    <w:rsid w:val="00310007"/>
    <w:rsid w:val="00315229"/>
    <w:rsid w:val="00316688"/>
    <w:rsid w:val="00316E9A"/>
    <w:rsid w:val="0032123D"/>
    <w:rsid w:val="00324160"/>
    <w:rsid w:val="003446F1"/>
    <w:rsid w:val="00353B9C"/>
    <w:rsid w:val="00353CBA"/>
    <w:rsid w:val="003550BB"/>
    <w:rsid w:val="003560EB"/>
    <w:rsid w:val="00357DDA"/>
    <w:rsid w:val="00364253"/>
    <w:rsid w:val="00367232"/>
    <w:rsid w:val="003741E8"/>
    <w:rsid w:val="0037539E"/>
    <w:rsid w:val="00377F7A"/>
    <w:rsid w:val="003863E8"/>
    <w:rsid w:val="0039628B"/>
    <w:rsid w:val="003975ED"/>
    <w:rsid w:val="003A401B"/>
    <w:rsid w:val="003A5770"/>
    <w:rsid w:val="003A687B"/>
    <w:rsid w:val="003B31DC"/>
    <w:rsid w:val="003B4289"/>
    <w:rsid w:val="003D142E"/>
    <w:rsid w:val="003D1D39"/>
    <w:rsid w:val="003D48B6"/>
    <w:rsid w:val="003E16DB"/>
    <w:rsid w:val="003E2B2B"/>
    <w:rsid w:val="003E6E03"/>
    <w:rsid w:val="003F3E8A"/>
    <w:rsid w:val="003F443D"/>
    <w:rsid w:val="003F58CC"/>
    <w:rsid w:val="003F65C7"/>
    <w:rsid w:val="00400A08"/>
    <w:rsid w:val="0040269F"/>
    <w:rsid w:val="004039EB"/>
    <w:rsid w:val="00404036"/>
    <w:rsid w:val="00411DED"/>
    <w:rsid w:val="00416BB1"/>
    <w:rsid w:val="00421C57"/>
    <w:rsid w:val="004222A1"/>
    <w:rsid w:val="004242CA"/>
    <w:rsid w:val="00430B58"/>
    <w:rsid w:val="00431DE3"/>
    <w:rsid w:val="004440E3"/>
    <w:rsid w:val="00446AC5"/>
    <w:rsid w:val="00447FF5"/>
    <w:rsid w:val="0045183F"/>
    <w:rsid w:val="0045274A"/>
    <w:rsid w:val="004571AE"/>
    <w:rsid w:val="00463CB0"/>
    <w:rsid w:val="00463E6C"/>
    <w:rsid w:val="00467478"/>
    <w:rsid w:val="004676A0"/>
    <w:rsid w:val="00467AAA"/>
    <w:rsid w:val="00472609"/>
    <w:rsid w:val="004914BB"/>
    <w:rsid w:val="0049564F"/>
    <w:rsid w:val="004A4614"/>
    <w:rsid w:val="004C1C03"/>
    <w:rsid w:val="004C6BAF"/>
    <w:rsid w:val="004D093D"/>
    <w:rsid w:val="004D4CD9"/>
    <w:rsid w:val="004D52B2"/>
    <w:rsid w:val="004E5679"/>
    <w:rsid w:val="004F3FB5"/>
    <w:rsid w:val="004F51C9"/>
    <w:rsid w:val="005016C2"/>
    <w:rsid w:val="00505D07"/>
    <w:rsid w:val="005150EE"/>
    <w:rsid w:val="00515F9A"/>
    <w:rsid w:val="005266AA"/>
    <w:rsid w:val="00540957"/>
    <w:rsid w:val="00543546"/>
    <w:rsid w:val="00543BFC"/>
    <w:rsid w:val="00547B20"/>
    <w:rsid w:val="0055393E"/>
    <w:rsid w:val="00560D32"/>
    <w:rsid w:val="00561540"/>
    <w:rsid w:val="00566C96"/>
    <w:rsid w:val="00573082"/>
    <w:rsid w:val="005730A2"/>
    <w:rsid w:val="00574FC2"/>
    <w:rsid w:val="00575944"/>
    <w:rsid w:val="005762B6"/>
    <w:rsid w:val="00583EAB"/>
    <w:rsid w:val="00586BAF"/>
    <w:rsid w:val="005908AE"/>
    <w:rsid w:val="00591F5D"/>
    <w:rsid w:val="00592CE4"/>
    <w:rsid w:val="00594EE5"/>
    <w:rsid w:val="005A0143"/>
    <w:rsid w:val="005A0221"/>
    <w:rsid w:val="005A4557"/>
    <w:rsid w:val="005B2049"/>
    <w:rsid w:val="005B5738"/>
    <w:rsid w:val="005C67B5"/>
    <w:rsid w:val="005D01BE"/>
    <w:rsid w:val="005D2FDF"/>
    <w:rsid w:val="005D6452"/>
    <w:rsid w:val="005E0119"/>
    <w:rsid w:val="005E7297"/>
    <w:rsid w:val="005F7570"/>
    <w:rsid w:val="00607832"/>
    <w:rsid w:val="00613C50"/>
    <w:rsid w:val="0061493B"/>
    <w:rsid w:val="00616234"/>
    <w:rsid w:val="00620EFB"/>
    <w:rsid w:val="006240DA"/>
    <w:rsid w:val="00624E62"/>
    <w:rsid w:val="00625A9F"/>
    <w:rsid w:val="00632526"/>
    <w:rsid w:val="006352AA"/>
    <w:rsid w:val="00636385"/>
    <w:rsid w:val="00643D13"/>
    <w:rsid w:val="0064FF91"/>
    <w:rsid w:val="0065298B"/>
    <w:rsid w:val="0066036E"/>
    <w:rsid w:val="00677FDE"/>
    <w:rsid w:val="00682D3C"/>
    <w:rsid w:val="006856B1"/>
    <w:rsid w:val="00697C6F"/>
    <w:rsid w:val="006A0B34"/>
    <w:rsid w:val="006A147C"/>
    <w:rsid w:val="006A430F"/>
    <w:rsid w:val="006A4A53"/>
    <w:rsid w:val="006A60E7"/>
    <w:rsid w:val="006B1382"/>
    <w:rsid w:val="006B2C4B"/>
    <w:rsid w:val="006B583E"/>
    <w:rsid w:val="006D407E"/>
    <w:rsid w:val="006D455E"/>
    <w:rsid w:val="006D4B33"/>
    <w:rsid w:val="006E155F"/>
    <w:rsid w:val="006E19D1"/>
    <w:rsid w:val="006F076A"/>
    <w:rsid w:val="006F2EDD"/>
    <w:rsid w:val="00701C9E"/>
    <w:rsid w:val="00712D49"/>
    <w:rsid w:val="00720136"/>
    <w:rsid w:val="00723774"/>
    <w:rsid w:val="00724302"/>
    <w:rsid w:val="0072443D"/>
    <w:rsid w:val="00726FB6"/>
    <w:rsid w:val="00727888"/>
    <w:rsid w:val="0073043D"/>
    <w:rsid w:val="0073700C"/>
    <w:rsid w:val="00743FA2"/>
    <w:rsid w:val="007450C7"/>
    <w:rsid w:val="00752A16"/>
    <w:rsid w:val="0075364A"/>
    <w:rsid w:val="007569E8"/>
    <w:rsid w:val="00757D4D"/>
    <w:rsid w:val="00765B7B"/>
    <w:rsid w:val="00773768"/>
    <w:rsid w:val="00773EEF"/>
    <w:rsid w:val="00777F41"/>
    <w:rsid w:val="00796C12"/>
    <w:rsid w:val="007A1EFE"/>
    <w:rsid w:val="007A738D"/>
    <w:rsid w:val="007B2E2A"/>
    <w:rsid w:val="007B3E04"/>
    <w:rsid w:val="007B5074"/>
    <w:rsid w:val="007B6318"/>
    <w:rsid w:val="007C575A"/>
    <w:rsid w:val="007C7EE4"/>
    <w:rsid w:val="007D49FE"/>
    <w:rsid w:val="007D5BFC"/>
    <w:rsid w:val="007D73A8"/>
    <w:rsid w:val="007E3A92"/>
    <w:rsid w:val="007E4A63"/>
    <w:rsid w:val="007E6983"/>
    <w:rsid w:val="007F2024"/>
    <w:rsid w:val="007F28E9"/>
    <w:rsid w:val="0080069B"/>
    <w:rsid w:val="0080358F"/>
    <w:rsid w:val="008104DD"/>
    <w:rsid w:val="00816DA8"/>
    <w:rsid w:val="0082074A"/>
    <w:rsid w:val="00822E9A"/>
    <w:rsid w:val="00825D69"/>
    <w:rsid w:val="00833138"/>
    <w:rsid w:val="0083495E"/>
    <w:rsid w:val="00835474"/>
    <w:rsid w:val="0084416A"/>
    <w:rsid w:val="008448E3"/>
    <w:rsid w:val="00846ACE"/>
    <w:rsid w:val="00851DAE"/>
    <w:rsid w:val="00852BAC"/>
    <w:rsid w:val="00854236"/>
    <w:rsid w:val="00855D70"/>
    <w:rsid w:val="00865199"/>
    <w:rsid w:val="00870AE8"/>
    <w:rsid w:val="00875432"/>
    <w:rsid w:val="00876606"/>
    <w:rsid w:val="00877BFE"/>
    <w:rsid w:val="0088391B"/>
    <w:rsid w:val="00892379"/>
    <w:rsid w:val="00894E84"/>
    <w:rsid w:val="00895F26"/>
    <w:rsid w:val="008979DA"/>
    <w:rsid w:val="008A74E4"/>
    <w:rsid w:val="008B01D4"/>
    <w:rsid w:val="008B3255"/>
    <w:rsid w:val="008B5038"/>
    <w:rsid w:val="008C3C20"/>
    <w:rsid w:val="008D5B88"/>
    <w:rsid w:val="008E0647"/>
    <w:rsid w:val="008E0665"/>
    <w:rsid w:val="008E2768"/>
    <w:rsid w:val="008E7BCC"/>
    <w:rsid w:val="008F09D0"/>
    <w:rsid w:val="00910CA1"/>
    <w:rsid w:val="0091342C"/>
    <w:rsid w:val="009179D4"/>
    <w:rsid w:val="00921E15"/>
    <w:rsid w:val="00932EC7"/>
    <w:rsid w:val="00937440"/>
    <w:rsid w:val="009515C2"/>
    <w:rsid w:val="0095198D"/>
    <w:rsid w:val="0095276F"/>
    <w:rsid w:val="00954E89"/>
    <w:rsid w:val="009550ED"/>
    <w:rsid w:val="009553D4"/>
    <w:rsid w:val="00955D50"/>
    <w:rsid w:val="009578DA"/>
    <w:rsid w:val="00960017"/>
    <w:rsid w:val="00963ED7"/>
    <w:rsid w:val="00964EE7"/>
    <w:rsid w:val="00971BD0"/>
    <w:rsid w:val="00973F80"/>
    <w:rsid w:val="0097633A"/>
    <w:rsid w:val="009824BA"/>
    <w:rsid w:val="0098451D"/>
    <w:rsid w:val="00985773"/>
    <w:rsid w:val="00986ABC"/>
    <w:rsid w:val="00991B60"/>
    <w:rsid w:val="009929F3"/>
    <w:rsid w:val="009977FC"/>
    <w:rsid w:val="009A079B"/>
    <w:rsid w:val="009A2D23"/>
    <w:rsid w:val="009B3C6B"/>
    <w:rsid w:val="009B58DC"/>
    <w:rsid w:val="009C0E41"/>
    <w:rsid w:val="009C2538"/>
    <w:rsid w:val="009C2BF6"/>
    <w:rsid w:val="009C4686"/>
    <w:rsid w:val="009C5AE0"/>
    <w:rsid w:val="009D2C5C"/>
    <w:rsid w:val="009D36B6"/>
    <w:rsid w:val="009E09DD"/>
    <w:rsid w:val="009E2C0B"/>
    <w:rsid w:val="009E44BB"/>
    <w:rsid w:val="009F6A5C"/>
    <w:rsid w:val="00A047AC"/>
    <w:rsid w:val="00A107B7"/>
    <w:rsid w:val="00A223D0"/>
    <w:rsid w:val="00A23CA7"/>
    <w:rsid w:val="00A261AB"/>
    <w:rsid w:val="00A325AD"/>
    <w:rsid w:val="00A347DF"/>
    <w:rsid w:val="00A417DD"/>
    <w:rsid w:val="00A47BF8"/>
    <w:rsid w:val="00A51E90"/>
    <w:rsid w:val="00A53CAE"/>
    <w:rsid w:val="00A556ED"/>
    <w:rsid w:val="00A62EBA"/>
    <w:rsid w:val="00A700D1"/>
    <w:rsid w:val="00A80CBD"/>
    <w:rsid w:val="00A84ACB"/>
    <w:rsid w:val="00A92DB2"/>
    <w:rsid w:val="00A96C4F"/>
    <w:rsid w:val="00AA17BB"/>
    <w:rsid w:val="00AA3354"/>
    <w:rsid w:val="00AA497C"/>
    <w:rsid w:val="00AA740E"/>
    <w:rsid w:val="00AB0E79"/>
    <w:rsid w:val="00AC50F7"/>
    <w:rsid w:val="00AC5285"/>
    <w:rsid w:val="00AD0CC1"/>
    <w:rsid w:val="00AD7859"/>
    <w:rsid w:val="00AE1D9E"/>
    <w:rsid w:val="00AF0FAF"/>
    <w:rsid w:val="00B023DE"/>
    <w:rsid w:val="00B061CA"/>
    <w:rsid w:val="00B06DB4"/>
    <w:rsid w:val="00B10991"/>
    <w:rsid w:val="00B1190B"/>
    <w:rsid w:val="00B11EE2"/>
    <w:rsid w:val="00B234C2"/>
    <w:rsid w:val="00B2498D"/>
    <w:rsid w:val="00B26F17"/>
    <w:rsid w:val="00B277B6"/>
    <w:rsid w:val="00B321AA"/>
    <w:rsid w:val="00B327C1"/>
    <w:rsid w:val="00B35E62"/>
    <w:rsid w:val="00B54E1F"/>
    <w:rsid w:val="00B550ED"/>
    <w:rsid w:val="00B56F8B"/>
    <w:rsid w:val="00B73F79"/>
    <w:rsid w:val="00B860CA"/>
    <w:rsid w:val="00B86E5C"/>
    <w:rsid w:val="00BA16CB"/>
    <w:rsid w:val="00BA2BC7"/>
    <w:rsid w:val="00BA3E94"/>
    <w:rsid w:val="00BA7BEB"/>
    <w:rsid w:val="00BB2889"/>
    <w:rsid w:val="00BB32B2"/>
    <w:rsid w:val="00BB4168"/>
    <w:rsid w:val="00BC67BB"/>
    <w:rsid w:val="00BD035B"/>
    <w:rsid w:val="00BD75EA"/>
    <w:rsid w:val="00BE233B"/>
    <w:rsid w:val="00BE32A2"/>
    <w:rsid w:val="00BF6C0C"/>
    <w:rsid w:val="00BF71BE"/>
    <w:rsid w:val="00C01FC7"/>
    <w:rsid w:val="00C02D07"/>
    <w:rsid w:val="00C102BC"/>
    <w:rsid w:val="00C110A8"/>
    <w:rsid w:val="00C162CF"/>
    <w:rsid w:val="00C21267"/>
    <w:rsid w:val="00C2403A"/>
    <w:rsid w:val="00C32E36"/>
    <w:rsid w:val="00C349CB"/>
    <w:rsid w:val="00C44347"/>
    <w:rsid w:val="00C45589"/>
    <w:rsid w:val="00C532E5"/>
    <w:rsid w:val="00C637EF"/>
    <w:rsid w:val="00C638CC"/>
    <w:rsid w:val="00C752BF"/>
    <w:rsid w:val="00C811F8"/>
    <w:rsid w:val="00C83DEC"/>
    <w:rsid w:val="00C85631"/>
    <w:rsid w:val="00C8584F"/>
    <w:rsid w:val="00C87337"/>
    <w:rsid w:val="00C87CDE"/>
    <w:rsid w:val="00CB276C"/>
    <w:rsid w:val="00CB572B"/>
    <w:rsid w:val="00CB58D0"/>
    <w:rsid w:val="00CC1205"/>
    <w:rsid w:val="00CD4FE4"/>
    <w:rsid w:val="00CE589B"/>
    <w:rsid w:val="00CF2741"/>
    <w:rsid w:val="00D02663"/>
    <w:rsid w:val="00D035B2"/>
    <w:rsid w:val="00D1303C"/>
    <w:rsid w:val="00D168FC"/>
    <w:rsid w:val="00D17FD7"/>
    <w:rsid w:val="00D2034D"/>
    <w:rsid w:val="00D236B1"/>
    <w:rsid w:val="00D24BC4"/>
    <w:rsid w:val="00D30042"/>
    <w:rsid w:val="00D31123"/>
    <w:rsid w:val="00D31704"/>
    <w:rsid w:val="00D317DE"/>
    <w:rsid w:val="00D3295C"/>
    <w:rsid w:val="00D3453E"/>
    <w:rsid w:val="00D40BB7"/>
    <w:rsid w:val="00D45DC8"/>
    <w:rsid w:val="00D51C14"/>
    <w:rsid w:val="00D54FAD"/>
    <w:rsid w:val="00D600DD"/>
    <w:rsid w:val="00D619FE"/>
    <w:rsid w:val="00D6321D"/>
    <w:rsid w:val="00D747EF"/>
    <w:rsid w:val="00D820D8"/>
    <w:rsid w:val="00D831CA"/>
    <w:rsid w:val="00D84385"/>
    <w:rsid w:val="00D9608C"/>
    <w:rsid w:val="00D977E6"/>
    <w:rsid w:val="00DA0BA6"/>
    <w:rsid w:val="00DB0BDD"/>
    <w:rsid w:val="00DC532B"/>
    <w:rsid w:val="00DD6092"/>
    <w:rsid w:val="00DE0ADA"/>
    <w:rsid w:val="00DE4AA2"/>
    <w:rsid w:val="00DE4C98"/>
    <w:rsid w:val="00DE6F72"/>
    <w:rsid w:val="00DF2406"/>
    <w:rsid w:val="00DF7F18"/>
    <w:rsid w:val="00E06F8C"/>
    <w:rsid w:val="00E20A2A"/>
    <w:rsid w:val="00E21BA0"/>
    <w:rsid w:val="00E22AA8"/>
    <w:rsid w:val="00E45B8D"/>
    <w:rsid w:val="00E46DEF"/>
    <w:rsid w:val="00E528B0"/>
    <w:rsid w:val="00E71011"/>
    <w:rsid w:val="00E721B7"/>
    <w:rsid w:val="00E7346B"/>
    <w:rsid w:val="00E73978"/>
    <w:rsid w:val="00E773E2"/>
    <w:rsid w:val="00E777E1"/>
    <w:rsid w:val="00E82661"/>
    <w:rsid w:val="00E84163"/>
    <w:rsid w:val="00E84601"/>
    <w:rsid w:val="00E9059C"/>
    <w:rsid w:val="00EA3403"/>
    <w:rsid w:val="00EA42F1"/>
    <w:rsid w:val="00EA44F2"/>
    <w:rsid w:val="00EA6B09"/>
    <w:rsid w:val="00EB3F8C"/>
    <w:rsid w:val="00EB7D07"/>
    <w:rsid w:val="00EC695D"/>
    <w:rsid w:val="00EC6A2D"/>
    <w:rsid w:val="00EC7131"/>
    <w:rsid w:val="00ED2666"/>
    <w:rsid w:val="00ED2F0A"/>
    <w:rsid w:val="00ED3DE1"/>
    <w:rsid w:val="00ED434E"/>
    <w:rsid w:val="00EE3D81"/>
    <w:rsid w:val="00EE4E96"/>
    <w:rsid w:val="00EE500B"/>
    <w:rsid w:val="00EE5F36"/>
    <w:rsid w:val="00EE65BC"/>
    <w:rsid w:val="00EF3A97"/>
    <w:rsid w:val="00EF4030"/>
    <w:rsid w:val="00EF4A8A"/>
    <w:rsid w:val="00EF56B0"/>
    <w:rsid w:val="00F00BD1"/>
    <w:rsid w:val="00F01D2D"/>
    <w:rsid w:val="00F05CF9"/>
    <w:rsid w:val="00F1023F"/>
    <w:rsid w:val="00F1055E"/>
    <w:rsid w:val="00F2157D"/>
    <w:rsid w:val="00F32FB2"/>
    <w:rsid w:val="00F3330A"/>
    <w:rsid w:val="00F36C5C"/>
    <w:rsid w:val="00F440A5"/>
    <w:rsid w:val="00F472EE"/>
    <w:rsid w:val="00F53708"/>
    <w:rsid w:val="00F56C25"/>
    <w:rsid w:val="00F66014"/>
    <w:rsid w:val="00F72D6B"/>
    <w:rsid w:val="00F752AD"/>
    <w:rsid w:val="00F76040"/>
    <w:rsid w:val="00F87002"/>
    <w:rsid w:val="00FA2CE3"/>
    <w:rsid w:val="00FA64F4"/>
    <w:rsid w:val="00FB7C69"/>
    <w:rsid w:val="00FC042E"/>
    <w:rsid w:val="00FC2809"/>
    <w:rsid w:val="00FC5348"/>
    <w:rsid w:val="00FC5A4B"/>
    <w:rsid w:val="00FC5F6E"/>
    <w:rsid w:val="00FC5F87"/>
    <w:rsid w:val="00FE3FFB"/>
    <w:rsid w:val="00FE6327"/>
    <w:rsid w:val="00FE6545"/>
    <w:rsid w:val="00FE6767"/>
    <w:rsid w:val="00FE6C70"/>
    <w:rsid w:val="00FF0FE2"/>
    <w:rsid w:val="00FF6AEA"/>
    <w:rsid w:val="01983E6F"/>
    <w:rsid w:val="02015D08"/>
    <w:rsid w:val="036ECC61"/>
    <w:rsid w:val="04217262"/>
    <w:rsid w:val="0451F70E"/>
    <w:rsid w:val="04B7AE77"/>
    <w:rsid w:val="053B154D"/>
    <w:rsid w:val="072CFF67"/>
    <w:rsid w:val="0764B912"/>
    <w:rsid w:val="0819BC86"/>
    <w:rsid w:val="082DD254"/>
    <w:rsid w:val="095A60F9"/>
    <w:rsid w:val="099F629F"/>
    <w:rsid w:val="09A45AFA"/>
    <w:rsid w:val="0E043C27"/>
    <w:rsid w:val="0F84D640"/>
    <w:rsid w:val="0F9D9B89"/>
    <w:rsid w:val="0FDFB0E4"/>
    <w:rsid w:val="10A48BBA"/>
    <w:rsid w:val="111F9F99"/>
    <w:rsid w:val="113D1D79"/>
    <w:rsid w:val="115137EE"/>
    <w:rsid w:val="12EE942D"/>
    <w:rsid w:val="1407E7D0"/>
    <w:rsid w:val="1862A060"/>
    <w:rsid w:val="18C9D60E"/>
    <w:rsid w:val="1A0D12E8"/>
    <w:rsid w:val="1A905002"/>
    <w:rsid w:val="1B1FDA63"/>
    <w:rsid w:val="1B3DF404"/>
    <w:rsid w:val="1BEA7D38"/>
    <w:rsid w:val="1C023DDE"/>
    <w:rsid w:val="1CD6DDF6"/>
    <w:rsid w:val="1D774041"/>
    <w:rsid w:val="1D8CC1A3"/>
    <w:rsid w:val="212488DA"/>
    <w:rsid w:val="215E2810"/>
    <w:rsid w:val="2288A41B"/>
    <w:rsid w:val="22DC0895"/>
    <w:rsid w:val="2445D197"/>
    <w:rsid w:val="25039CA7"/>
    <w:rsid w:val="250B8094"/>
    <w:rsid w:val="251C9C38"/>
    <w:rsid w:val="25CE6B49"/>
    <w:rsid w:val="27385B74"/>
    <w:rsid w:val="295C1F4A"/>
    <w:rsid w:val="2A919D87"/>
    <w:rsid w:val="2C9C894F"/>
    <w:rsid w:val="2D89810B"/>
    <w:rsid w:val="2EC30BB2"/>
    <w:rsid w:val="3058196C"/>
    <w:rsid w:val="308DF5BB"/>
    <w:rsid w:val="30B8F719"/>
    <w:rsid w:val="3184597B"/>
    <w:rsid w:val="32785692"/>
    <w:rsid w:val="3306B4A3"/>
    <w:rsid w:val="3399CA18"/>
    <w:rsid w:val="34769DE5"/>
    <w:rsid w:val="37873D33"/>
    <w:rsid w:val="38730707"/>
    <w:rsid w:val="3882C14D"/>
    <w:rsid w:val="39A6DEB9"/>
    <w:rsid w:val="39A9E8EC"/>
    <w:rsid w:val="39D255FF"/>
    <w:rsid w:val="39FC436E"/>
    <w:rsid w:val="3B80EDE9"/>
    <w:rsid w:val="3C867C98"/>
    <w:rsid w:val="3C869281"/>
    <w:rsid w:val="3F8A68B8"/>
    <w:rsid w:val="3FB6548A"/>
    <w:rsid w:val="411E330D"/>
    <w:rsid w:val="42046B41"/>
    <w:rsid w:val="4453604C"/>
    <w:rsid w:val="457947B3"/>
    <w:rsid w:val="45C27CB6"/>
    <w:rsid w:val="46A24799"/>
    <w:rsid w:val="489ACC91"/>
    <w:rsid w:val="4904F873"/>
    <w:rsid w:val="49698F96"/>
    <w:rsid w:val="49BBA6CD"/>
    <w:rsid w:val="4A7DA6AF"/>
    <w:rsid w:val="4BC5BC18"/>
    <w:rsid w:val="4E82D51C"/>
    <w:rsid w:val="4ED640D3"/>
    <w:rsid w:val="4F050733"/>
    <w:rsid w:val="4F21AF09"/>
    <w:rsid w:val="513D38BF"/>
    <w:rsid w:val="52870488"/>
    <w:rsid w:val="52B57A2B"/>
    <w:rsid w:val="5439BD45"/>
    <w:rsid w:val="548A3F1C"/>
    <w:rsid w:val="5495D145"/>
    <w:rsid w:val="54B79F2A"/>
    <w:rsid w:val="5530ACBC"/>
    <w:rsid w:val="56AFD6C1"/>
    <w:rsid w:val="587AB42F"/>
    <w:rsid w:val="59A9474A"/>
    <w:rsid w:val="5AEF144F"/>
    <w:rsid w:val="5BA4E8B3"/>
    <w:rsid w:val="5BEC741A"/>
    <w:rsid w:val="5CF018E2"/>
    <w:rsid w:val="5E6C2F44"/>
    <w:rsid w:val="5E8AFF98"/>
    <w:rsid w:val="60331D9A"/>
    <w:rsid w:val="606463CB"/>
    <w:rsid w:val="61CDF854"/>
    <w:rsid w:val="62728B12"/>
    <w:rsid w:val="6355B220"/>
    <w:rsid w:val="63C1273B"/>
    <w:rsid w:val="644AFEB0"/>
    <w:rsid w:val="667048EB"/>
    <w:rsid w:val="676CFE3F"/>
    <w:rsid w:val="699967B9"/>
    <w:rsid w:val="69E82D3E"/>
    <w:rsid w:val="6A2F714F"/>
    <w:rsid w:val="6BA1E45E"/>
    <w:rsid w:val="6BB1C61B"/>
    <w:rsid w:val="6CEE78AF"/>
    <w:rsid w:val="6D459424"/>
    <w:rsid w:val="6DFC0188"/>
    <w:rsid w:val="6EC0F264"/>
    <w:rsid w:val="6EDB4010"/>
    <w:rsid w:val="6FD758EB"/>
    <w:rsid w:val="70240700"/>
    <w:rsid w:val="704C2E82"/>
    <w:rsid w:val="7132221B"/>
    <w:rsid w:val="713BF358"/>
    <w:rsid w:val="7149090F"/>
    <w:rsid w:val="716E687E"/>
    <w:rsid w:val="71B55A32"/>
    <w:rsid w:val="72DBDC07"/>
    <w:rsid w:val="72FC75C4"/>
    <w:rsid w:val="74913A73"/>
    <w:rsid w:val="74F92DDC"/>
    <w:rsid w:val="75218AF4"/>
    <w:rsid w:val="7592DA09"/>
    <w:rsid w:val="7665CB2A"/>
    <w:rsid w:val="767D923E"/>
    <w:rsid w:val="773EF4B1"/>
    <w:rsid w:val="7769A8EF"/>
    <w:rsid w:val="79CCDAEA"/>
    <w:rsid w:val="7A7BB5CB"/>
    <w:rsid w:val="7AD10D1C"/>
    <w:rsid w:val="7BD436E9"/>
    <w:rsid w:val="7D009749"/>
    <w:rsid w:val="7D0C10A6"/>
    <w:rsid w:val="7DE563EF"/>
    <w:rsid w:val="7E8034EB"/>
  </w:rsids>
  <m:mathPr>
    <m:mathFont m:val="Cambria Math"/>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14:docId w14:val="0963E2EE"/>
  <w15:docId w15:val="{D29C1A2F-2A24-422A-9973-3B65FE70E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17DD"/>
    <w:rPr>
      <w:sz w:val="24"/>
      <w:szCs w:val="24"/>
    </w:rPr>
  </w:style>
  <w:style w:type="paragraph" w:styleId="Heading1">
    <w:name w:val="heading 1"/>
    <w:basedOn w:val="Normal"/>
    <w:link w:val="Heading1Char"/>
    <w:uiPriority w:val="9"/>
    <w:qFormat/>
    <w:rsid w:val="00A417DD"/>
    <w:pPr>
      <w:spacing w:after="240"/>
      <w:ind w:left="-336" w:right="-336"/>
      <w:jc w:val="center"/>
      <w:outlineLvl w:val="0"/>
    </w:pPr>
    <w:rPr>
      <w:b/>
      <w:bCs/>
      <w:kern w:val="36"/>
      <w:sz w:val="28"/>
      <w:szCs w:val="28"/>
    </w:rPr>
  </w:style>
  <w:style w:type="paragraph" w:styleId="Heading3">
    <w:name w:val="heading 3"/>
    <w:basedOn w:val="Normal"/>
    <w:link w:val="Heading3Char"/>
    <w:uiPriority w:val="9"/>
    <w:qFormat/>
    <w:rsid w:val="00A417DD"/>
    <w:pPr>
      <w:spacing w:after="240"/>
      <w:ind w:left="-336" w:right="-336"/>
      <w:jc w:val="center"/>
      <w:outlineLvl w:val="2"/>
    </w:pPr>
    <w:rPr>
      <w:b/>
      <w:bCs/>
      <w:sz w:val="28"/>
      <w:szCs w:val="28"/>
    </w:rPr>
  </w:style>
  <w:style w:type="paragraph" w:styleId="Heading4">
    <w:name w:val="heading 4"/>
    <w:basedOn w:val="Normal"/>
    <w:link w:val="Heading4Char"/>
    <w:uiPriority w:val="9"/>
    <w:qFormat/>
    <w:rsid w:val="00A417DD"/>
    <w:pPr>
      <w:outlineLvl w:val="3"/>
    </w:pPr>
  </w:style>
  <w:style w:type="paragraph" w:styleId="Heading5">
    <w:name w:val="heading 5"/>
    <w:basedOn w:val="Normal"/>
    <w:link w:val="Heading5Char"/>
    <w:uiPriority w:val="9"/>
    <w:qFormat/>
    <w:rsid w:val="00A417DD"/>
    <w:pPr>
      <w:spacing w:before="216"/>
      <w:outlineLvl w:val="4"/>
    </w:pPr>
    <w:rPr>
      <w:rFonts w:ascii="Cambria" w:hAnsi="Cambria"/>
      <w:b/>
      <w:bCs/>
      <w:sz w:val="22"/>
      <w:szCs w:val="22"/>
    </w:rPr>
  </w:style>
  <w:style w:type="paragraph" w:styleId="Heading6">
    <w:name w:val="heading 6"/>
    <w:basedOn w:val="Normal"/>
    <w:link w:val="Heading6Char"/>
    <w:uiPriority w:val="9"/>
    <w:qFormat/>
    <w:rsid w:val="00A417DD"/>
    <w:pPr>
      <w:spacing w:after="240"/>
      <w:ind w:left="-336" w:right="-336"/>
      <w:jc w:val="center"/>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7DD"/>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A417DD"/>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A417DD"/>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uiPriority w:val="9"/>
    <w:semiHidden/>
    <w:rsid w:val="00A417DD"/>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uiPriority w:val="9"/>
    <w:semiHidden/>
    <w:rsid w:val="00A417DD"/>
    <w:rPr>
      <w:rFonts w:asciiTheme="majorHAnsi" w:eastAsiaTheme="majorEastAsia" w:hAnsiTheme="majorHAnsi" w:cstheme="majorBidi"/>
      <w:i/>
      <w:iCs/>
      <w:color w:val="243F60" w:themeColor="accent1" w:themeShade="7F"/>
      <w:sz w:val="24"/>
      <w:szCs w:val="24"/>
    </w:rPr>
  </w:style>
  <w:style w:type="paragraph" w:styleId="NormalWeb">
    <w:name w:val="Normal (Web)"/>
    <w:basedOn w:val="Normal"/>
    <w:uiPriority w:val="99"/>
    <w:unhideWhenUsed/>
    <w:rsid w:val="00A417DD"/>
    <w:pPr>
      <w:spacing w:before="100" w:beforeAutospacing="1" w:after="100" w:afterAutospacing="1"/>
      <w:ind w:firstLine="792"/>
    </w:pPr>
  </w:style>
  <w:style w:type="paragraph" w:customStyle="1" w:styleId="longnote">
    <w:name w:val="long_note"/>
    <w:basedOn w:val="Normal"/>
    <w:rsid w:val="00A417DD"/>
    <w:pPr>
      <w:spacing w:before="100" w:beforeAutospacing="1" w:after="100" w:afterAutospacing="1"/>
    </w:pPr>
    <w:rPr>
      <w:rFonts w:ascii="Arial" w:hAnsi="Arial" w:cs="Arial"/>
      <w:sz w:val="16"/>
      <w:szCs w:val="16"/>
    </w:rPr>
  </w:style>
  <w:style w:type="paragraph" w:customStyle="1" w:styleId="noindent">
    <w:name w:val="noindent"/>
    <w:basedOn w:val="Normal"/>
    <w:rsid w:val="00A417DD"/>
    <w:pPr>
      <w:spacing w:before="100" w:beforeAutospacing="1" w:after="100" w:afterAutospacing="1"/>
    </w:pPr>
  </w:style>
  <w:style w:type="paragraph" w:customStyle="1" w:styleId="indented">
    <w:name w:val="indented"/>
    <w:basedOn w:val="Normal"/>
    <w:rsid w:val="00A417DD"/>
    <w:pPr>
      <w:spacing w:before="100" w:beforeAutospacing="1" w:after="100" w:afterAutospacing="1"/>
      <w:ind w:left="792"/>
    </w:pPr>
  </w:style>
  <w:style w:type="paragraph" w:customStyle="1" w:styleId="doubleindented">
    <w:name w:val="double_indented"/>
    <w:basedOn w:val="Normal"/>
    <w:rsid w:val="00A417DD"/>
    <w:pPr>
      <w:spacing w:before="100" w:beforeAutospacing="1" w:after="100" w:afterAutospacing="1"/>
      <w:ind w:left="1584"/>
    </w:pPr>
  </w:style>
  <w:style w:type="paragraph" w:customStyle="1" w:styleId="section8">
    <w:name w:val="section8"/>
    <w:basedOn w:val="Normal"/>
    <w:rsid w:val="00A417DD"/>
    <w:pPr>
      <w:spacing w:before="100" w:beforeAutospacing="1" w:after="100" w:afterAutospacing="1"/>
      <w:ind w:firstLine="792"/>
      <w:jc w:val="center"/>
    </w:pPr>
    <w:rPr>
      <w:b/>
      <w:bCs/>
    </w:rPr>
  </w:style>
  <w:style w:type="paragraph" w:customStyle="1" w:styleId="inflationfactor">
    <w:name w:val="inflation_factor"/>
    <w:basedOn w:val="Normal"/>
    <w:rsid w:val="00A417DD"/>
    <w:pPr>
      <w:spacing w:before="100" w:beforeAutospacing="1" w:after="100" w:afterAutospacing="1"/>
      <w:ind w:firstLine="792"/>
      <w:jc w:val="center"/>
    </w:pPr>
    <w:rPr>
      <w:b/>
      <w:bCs/>
    </w:rPr>
  </w:style>
  <w:style w:type="paragraph" w:customStyle="1" w:styleId="smallbottom">
    <w:name w:val="small_bottom"/>
    <w:basedOn w:val="Normal"/>
    <w:rsid w:val="00A417DD"/>
    <w:pPr>
      <w:spacing w:before="100" w:beforeAutospacing="1"/>
      <w:ind w:firstLine="792"/>
    </w:pPr>
  </w:style>
  <w:style w:type="paragraph" w:customStyle="1" w:styleId="bordered">
    <w:name w:val="bordered"/>
    <w:basedOn w:val="Normal"/>
    <w:rsid w:val="00A417DD"/>
    <w:pPr>
      <w:pBdr>
        <w:top w:val="single" w:sz="6" w:space="0" w:color="000000"/>
        <w:left w:val="single" w:sz="6" w:space="0" w:color="000000"/>
        <w:bottom w:val="single" w:sz="6" w:space="0" w:color="000000"/>
        <w:right w:val="single" w:sz="6" w:space="0" w:color="000000"/>
      </w:pBdr>
      <w:spacing w:before="100" w:beforeAutospacing="1" w:after="100" w:afterAutospacing="1"/>
      <w:ind w:firstLine="792"/>
    </w:pPr>
  </w:style>
  <w:style w:type="paragraph" w:customStyle="1" w:styleId="newpage">
    <w:name w:val="new_page"/>
    <w:basedOn w:val="Normal"/>
    <w:rsid w:val="00A417DD"/>
    <w:pPr>
      <w:pageBreakBefore/>
      <w:spacing w:before="100" w:beforeAutospacing="1" w:after="100" w:afterAutospacing="1"/>
      <w:ind w:firstLine="792"/>
    </w:pPr>
  </w:style>
  <w:style w:type="character" w:styleId="Strong">
    <w:name w:val="Strong"/>
    <w:basedOn w:val="DefaultParagraphFont"/>
    <w:uiPriority w:val="22"/>
    <w:qFormat/>
    <w:rsid w:val="00A417DD"/>
    <w:rPr>
      <w:b/>
      <w:bCs/>
    </w:rPr>
  </w:style>
  <w:style w:type="character" w:styleId="Hyperlink">
    <w:name w:val="Hyperlink"/>
    <w:basedOn w:val="DefaultParagraphFont"/>
    <w:uiPriority w:val="99"/>
    <w:unhideWhenUsed/>
    <w:rsid w:val="00A417DD"/>
    <w:rPr>
      <w:color w:val="0000FF"/>
      <w:u w:val="single"/>
    </w:rPr>
  </w:style>
  <w:style w:type="character" w:styleId="FollowedHyperlink">
    <w:name w:val="FollowedHyperlink"/>
    <w:basedOn w:val="DefaultParagraphFont"/>
    <w:uiPriority w:val="99"/>
    <w:semiHidden/>
    <w:unhideWhenUsed/>
    <w:rsid w:val="00A417DD"/>
    <w:rPr>
      <w:color w:val="800080"/>
      <w:u w:val="single"/>
    </w:rPr>
  </w:style>
  <w:style w:type="paragraph" w:styleId="Header">
    <w:name w:val="header"/>
    <w:basedOn w:val="Normal"/>
    <w:link w:val="HeaderChar"/>
    <w:uiPriority w:val="99"/>
    <w:unhideWhenUsed/>
    <w:rsid w:val="005A0143"/>
    <w:pPr>
      <w:tabs>
        <w:tab w:val="center" w:pos="4680"/>
        <w:tab w:val="right" w:pos="9360"/>
      </w:tabs>
    </w:pPr>
  </w:style>
  <w:style w:type="character" w:customStyle="1" w:styleId="HeaderChar">
    <w:name w:val="Header Char"/>
    <w:basedOn w:val="DefaultParagraphFont"/>
    <w:link w:val="Header"/>
    <w:uiPriority w:val="99"/>
    <w:rsid w:val="005A0143"/>
    <w:rPr>
      <w:rFonts w:eastAsiaTheme="minorEastAsia"/>
      <w:sz w:val="24"/>
      <w:szCs w:val="24"/>
    </w:rPr>
  </w:style>
  <w:style w:type="paragraph" w:styleId="Footer">
    <w:name w:val="footer"/>
    <w:basedOn w:val="Normal"/>
    <w:link w:val="FooterChar"/>
    <w:uiPriority w:val="99"/>
    <w:unhideWhenUsed/>
    <w:rsid w:val="005A0143"/>
    <w:pPr>
      <w:tabs>
        <w:tab w:val="center" w:pos="4680"/>
        <w:tab w:val="right" w:pos="9360"/>
      </w:tabs>
    </w:pPr>
  </w:style>
  <w:style w:type="character" w:customStyle="1" w:styleId="FooterChar">
    <w:name w:val="Footer Char"/>
    <w:basedOn w:val="DefaultParagraphFont"/>
    <w:link w:val="Footer"/>
    <w:uiPriority w:val="99"/>
    <w:rsid w:val="005A0143"/>
    <w:rPr>
      <w:rFonts w:eastAsiaTheme="minorEastAsia"/>
      <w:sz w:val="24"/>
      <w:szCs w:val="24"/>
    </w:rPr>
  </w:style>
  <w:style w:type="paragraph" w:styleId="BalloonText">
    <w:name w:val="Balloon Text"/>
    <w:basedOn w:val="Normal"/>
    <w:link w:val="BalloonTextChar"/>
    <w:uiPriority w:val="99"/>
    <w:semiHidden/>
    <w:unhideWhenUsed/>
    <w:rsid w:val="00E73978"/>
    <w:rPr>
      <w:rFonts w:ascii="Tahoma" w:hAnsi="Tahoma" w:cs="Tahoma"/>
      <w:sz w:val="16"/>
      <w:szCs w:val="16"/>
    </w:rPr>
  </w:style>
  <w:style w:type="character" w:customStyle="1" w:styleId="BalloonTextChar">
    <w:name w:val="Balloon Text Char"/>
    <w:basedOn w:val="DefaultParagraphFont"/>
    <w:link w:val="BalloonText"/>
    <w:uiPriority w:val="99"/>
    <w:semiHidden/>
    <w:rsid w:val="00E73978"/>
    <w:rPr>
      <w:rFonts w:ascii="Tahoma" w:hAnsi="Tahoma" w:eastAsiaTheme="minorEastAsia" w:cs="Tahoma"/>
      <w:sz w:val="16"/>
      <w:szCs w:val="16"/>
    </w:rPr>
  </w:style>
  <w:style w:type="paragraph" w:styleId="HTMLPreformatted">
    <w:name w:val="HTML Preformatted"/>
    <w:basedOn w:val="Normal"/>
    <w:link w:val="HTMLPreformattedChar"/>
    <w:rsid w:val="00E739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basedOn w:val="DefaultParagraphFont"/>
    <w:link w:val="HTMLPreformatted"/>
    <w:rsid w:val="00E73978"/>
    <w:rPr>
      <w:rFonts w:ascii="Courier New" w:hAnsi="Courier New"/>
    </w:rPr>
  </w:style>
  <w:style w:type="character" w:styleId="CommentReference">
    <w:name w:val="annotation reference"/>
    <w:basedOn w:val="DefaultParagraphFont"/>
    <w:uiPriority w:val="99"/>
    <w:semiHidden/>
    <w:unhideWhenUsed/>
    <w:rsid w:val="0045183F"/>
    <w:rPr>
      <w:sz w:val="16"/>
      <w:szCs w:val="16"/>
    </w:rPr>
  </w:style>
  <w:style w:type="paragraph" w:styleId="CommentText">
    <w:name w:val="annotation text"/>
    <w:basedOn w:val="Normal"/>
    <w:link w:val="CommentTextChar"/>
    <w:uiPriority w:val="99"/>
    <w:unhideWhenUsed/>
    <w:rsid w:val="0045183F"/>
    <w:rPr>
      <w:sz w:val="20"/>
      <w:szCs w:val="20"/>
    </w:rPr>
  </w:style>
  <w:style w:type="character" w:customStyle="1" w:styleId="CommentTextChar">
    <w:name w:val="Comment Text Char"/>
    <w:basedOn w:val="DefaultParagraphFont"/>
    <w:link w:val="CommentText"/>
    <w:uiPriority w:val="99"/>
    <w:rsid w:val="0045183F"/>
    <w:rPr>
      <w:rFonts w:eastAsiaTheme="minorEastAsia"/>
    </w:rPr>
  </w:style>
  <w:style w:type="paragraph" w:styleId="CommentSubject">
    <w:name w:val="annotation subject"/>
    <w:basedOn w:val="CommentText"/>
    <w:next w:val="CommentText"/>
    <w:link w:val="CommentSubjectChar"/>
    <w:uiPriority w:val="99"/>
    <w:semiHidden/>
    <w:unhideWhenUsed/>
    <w:rsid w:val="0045183F"/>
    <w:rPr>
      <w:b/>
      <w:bCs/>
    </w:rPr>
  </w:style>
  <w:style w:type="character" w:customStyle="1" w:styleId="CommentSubjectChar">
    <w:name w:val="Comment Subject Char"/>
    <w:basedOn w:val="CommentTextChar"/>
    <w:link w:val="CommentSubject"/>
    <w:uiPriority w:val="99"/>
    <w:semiHidden/>
    <w:rsid w:val="0045183F"/>
    <w:rPr>
      <w:rFonts w:eastAsiaTheme="minorEastAsia"/>
      <w:b/>
      <w:bCs/>
    </w:rPr>
  </w:style>
  <w:style w:type="paragraph" w:styleId="ListParagraph">
    <w:name w:val="List Paragraph"/>
    <w:basedOn w:val="Normal"/>
    <w:uiPriority w:val="34"/>
    <w:qFormat/>
    <w:rsid w:val="000857A4"/>
    <w:pPr>
      <w:ind w:left="720"/>
      <w:contextualSpacing/>
    </w:pPr>
  </w:style>
  <w:style w:type="paragraph" w:styleId="EndnoteText">
    <w:name w:val="endnote text"/>
    <w:basedOn w:val="Normal"/>
    <w:link w:val="EndnoteTextChar"/>
    <w:uiPriority w:val="99"/>
    <w:unhideWhenUsed/>
    <w:rsid w:val="00EA42F1"/>
    <w:rPr>
      <w:sz w:val="20"/>
      <w:szCs w:val="20"/>
    </w:rPr>
  </w:style>
  <w:style w:type="character" w:customStyle="1" w:styleId="EndnoteTextChar">
    <w:name w:val="Endnote Text Char"/>
    <w:basedOn w:val="DefaultParagraphFont"/>
    <w:link w:val="EndnoteText"/>
    <w:uiPriority w:val="99"/>
    <w:rsid w:val="00EA42F1"/>
    <w:rPr>
      <w:rFonts w:eastAsiaTheme="minorEastAsia"/>
    </w:rPr>
  </w:style>
  <w:style w:type="character" w:styleId="EndnoteReference">
    <w:name w:val="endnote reference"/>
    <w:basedOn w:val="DefaultParagraphFont"/>
    <w:uiPriority w:val="99"/>
    <w:semiHidden/>
    <w:unhideWhenUsed/>
    <w:rsid w:val="00EA42F1"/>
    <w:rPr>
      <w:vertAlign w:val="superscript"/>
    </w:rPr>
  </w:style>
  <w:style w:type="paragraph" w:styleId="Revision">
    <w:name w:val="Revision"/>
    <w:hidden/>
    <w:uiPriority w:val="99"/>
    <w:semiHidden/>
    <w:rsid w:val="00777F41"/>
    <w:rPr>
      <w:sz w:val="24"/>
      <w:szCs w:val="24"/>
    </w:rPr>
  </w:style>
  <w:style w:type="table" w:styleId="TableGrid">
    <w:name w:val="Table Grid"/>
    <w:basedOn w:val="TableNormal"/>
    <w:uiPriority w:val="59"/>
    <w:rsid w:val="006A430F"/>
    <w:rPr>
      <w:rFonts w:eastAsia="Times New Roman"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3550BB"/>
    <w:rPr>
      <w:rFonts w:ascii="Tahoma" w:hAnsi="Tahoma" w:cs="Tahoma"/>
      <w:sz w:val="16"/>
      <w:szCs w:val="16"/>
    </w:rPr>
  </w:style>
  <w:style w:type="character" w:customStyle="1" w:styleId="DocumentMapChar">
    <w:name w:val="Document Map Char"/>
    <w:basedOn w:val="DefaultParagraphFont"/>
    <w:link w:val="DocumentMap"/>
    <w:uiPriority w:val="99"/>
    <w:semiHidden/>
    <w:rsid w:val="003550BB"/>
    <w:rPr>
      <w:rFonts w:ascii="Tahoma" w:hAnsi="Tahoma" w:cs="Tahoma"/>
      <w:sz w:val="16"/>
      <w:szCs w:val="16"/>
    </w:rPr>
  </w:style>
  <w:style w:type="paragraph" w:styleId="FootnoteText">
    <w:name w:val="footnote text"/>
    <w:basedOn w:val="Normal"/>
    <w:link w:val="FootnoteTextChar"/>
    <w:uiPriority w:val="99"/>
    <w:semiHidden/>
    <w:unhideWhenUsed/>
    <w:rsid w:val="00A223D0"/>
    <w:rPr>
      <w:sz w:val="20"/>
      <w:szCs w:val="20"/>
    </w:rPr>
  </w:style>
  <w:style w:type="character" w:customStyle="1" w:styleId="FootnoteTextChar">
    <w:name w:val="Footnote Text Char"/>
    <w:basedOn w:val="DefaultParagraphFont"/>
    <w:link w:val="FootnoteText"/>
    <w:uiPriority w:val="99"/>
    <w:semiHidden/>
    <w:rsid w:val="00A223D0"/>
  </w:style>
  <w:style w:type="character" w:styleId="FootnoteReference">
    <w:name w:val="footnote reference"/>
    <w:basedOn w:val="DefaultParagraphFont"/>
    <w:uiPriority w:val="99"/>
    <w:semiHidden/>
    <w:unhideWhenUsed/>
    <w:rsid w:val="00A223D0"/>
    <w:rPr>
      <w:vertAlign w:val="superscript"/>
    </w:rPr>
  </w:style>
  <w:style w:type="table" w:customStyle="1" w:styleId="TableGrid1">
    <w:name w:val="Table Grid1"/>
    <w:basedOn w:val="TableNormal"/>
    <w:next w:val="TableGrid"/>
    <w:uiPriority w:val="59"/>
    <w:rsid w:val="00206696"/>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694253">
      <w:marLeft w:val="0"/>
      <w:marRight w:val="0"/>
      <w:marTop w:val="240"/>
      <w:marBottom w:val="240"/>
      <w:divBdr>
        <w:top w:val="none" w:sz="0" w:space="0" w:color="auto"/>
        <w:left w:val="none" w:sz="0" w:space="0" w:color="auto"/>
        <w:bottom w:val="none" w:sz="0" w:space="0" w:color="auto"/>
        <w:right w:val="none" w:sz="0" w:space="0" w:color="auto"/>
      </w:divBdr>
    </w:div>
    <w:div w:id="986055566">
      <w:marLeft w:val="0"/>
      <w:marRight w:val="0"/>
      <w:marTop w:val="240"/>
      <w:marBottom w:val="240"/>
      <w:divBdr>
        <w:top w:val="none" w:sz="0" w:space="0" w:color="auto"/>
        <w:left w:val="none" w:sz="0" w:space="0" w:color="auto"/>
        <w:bottom w:val="none" w:sz="0" w:space="0" w:color="auto"/>
        <w:right w:val="none" w:sz="0" w:space="0" w:color="auto"/>
      </w:divBdr>
    </w:div>
    <w:div w:id="1265110516">
      <w:marLeft w:val="0"/>
      <w:marRight w:val="0"/>
      <w:marTop w:val="240"/>
      <w:marBottom w:val="240"/>
      <w:divBdr>
        <w:top w:val="none" w:sz="0" w:space="0" w:color="auto"/>
        <w:left w:val="none" w:sz="0" w:space="0" w:color="auto"/>
        <w:bottom w:val="none" w:sz="0" w:space="0" w:color="auto"/>
        <w:right w:val="none" w:sz="0" w:space="0" w:color="auto"/>
      </w:divBdr>
    </w:div>
    <w:div w:id="2025748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portal.hud.gov/hudportal/HUD?src=/program_offices/public_indian_housing/ih/codetalk/onap/ihbgformula" TargetMode="External" /><Relationship Id="rId12" Type="http://schemas.openxmlformats.org/officeDocument/2006/relationships/hyperlink" Target="mailto:IHBGformula@firstpic.org" TargetMode="External" /><Relationship Id="rId13" Type="http://schemas.openxmlformats.org/officeDocument/2006/relationships/hyperlink" Target="https://www.fcc.gov/consumers/guides/telecommunications-relay-service-trs"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footer" Target="footer2.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endnotes" Target="endnotes.xml" /><Relationship Id="rId20"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4ee50c9-f3ca-453f-862c-5dbc7d238af9">
      <Terms xmlns="http://schemas.microsoft.com/office/infopath/2007/PartnerControls"/>
    </lcf76f155ced4ddcb4097134ff3c332f>
    <TaxCatchAll xmlns="4009f304-6f1f-4d7a-8331-1e22a435439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B3245E5E10E1944A9DEE88C3A7303333" ma:contentTypeVersion="15" ma:contentTypeDescription="Create a new document." ma:contentTypeScope="" ma:versionID="866ef4fce411c3fbe0deeffb85b547c9">
  <xsd:schema xmlns:xsd="http://www.w3.org/2001/XMLSchema" xmlns:xs="http://www.w3.org/2001/XMLSchema" xmlns:p="http://schemas.microsoft.com/office/2006/metadata/properties" xmlns:ns2="e4ee50c9-f3ca-453f-862c-5dbc7d238af9" xmlns:ns3="4009f304-6f1f-4d7a-8331-1e22a435439e" targetNamespace="http://schemas.microsoft.com/office/2006/metadata/properties" ma:root="true" ma:fieldsID="4addb7e813690b19307f5e202629c25a" ns2:_="" ns3:_="">
    <xsd:import namespace="e4ee50c9-f3ca-453f-862c-5dbc7d238af9"/>
    <xsd:import namespace="4009f304-6f1f-4d7a-8331-1e22a43543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e50c9-f3ca-453f-862c-5dbc7d238a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09f304-6f1f-4d7a-8331-1e22a43543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d3e83c4-464d-45be-b011-2393c205e2cc}" ma:internalName="TaxCatchAll" ma:showField="CatchAllData" ma:web="4009f304-6f1f-4d7a-8331-1e22a43543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4FF946-9D19-4B33-BB1B-121C89A69BB6}">
  <ds:schemaRefs>
    <ds:schemaRef ds:uri="http://schemas.openxmlformats.org/officeDocument/2006/bibliography"/>
  </ds:schemaRefs>
</ds:datastoreItem>
</file>

<file path=customXml/itemProps2.xml><?xml version="1.0" encoding="utf-8"?>
<ds:datastoreItem xmlns:ds="http://schemas.openxmlformats.org/officeDocument/2006/customXml" ds:itemID="{7F0B4D33-813F-4D41-A63D-6C7E5F5924A9}">
  <ds:schemaRefs>
    <ds:schemaRef ds:uri="http://schemas.microsoft.com/office/2006/metadata/properties"/>
    <ds:schemaRef ds:uri="http://schemas.microsoft.com/office/infopath/2007/PartnerControls"/>
    <ds:schemaRef ds:uri="e4ee50c9-f3ca-453f-862c-5dbc7d238af9"/>
    <ds:schemaRef ds:uri="4009f304-6f1f-4d7a-8331-1e22a435439e"/>
  </ds:schemaRefs>
</ds:datastoreItem>
</file>

<file path=customXml/itemProps3.xml><?xml version="1.0" encoding="utf-8"?>
<ds:datastoreItem xmlns:ds="http://schemas.openxmlformats.org/officeDocument/2006/customXml" ds:itemID="{D64A5F1A-FC6D-4E85-A9C3-1B1FE4DE73B9}">
  <ds:schemaRefs>
    <ds:schemaRef ds:uri="http://schemas.microsoft.com/sharepoint/v3/contenttype/forms"/>
  </ds:schemaRefs>
</ds:datastoreItem>
</file>

<file path=customXml/itemProps4.xml><?xml version="1.0" encoding="utf-8"?>
<ds:datastoreItem xmlns:ds="http://schemas.openxmlformats.org/officeDocument/2006/customXml" ds:itemID="{5F872407-5130-48D5-BA08-80545D152A60}">
  <ds:schemaRefs>
    <ds:schemaRef ds:uri="http://schemas.openxmlformats.org/officeDocument/2006/bibliography"/>
  </ds:schemaRefs>
</ds:datastoreItem>
</file>

<file path=customXml/itemProps5.xml><?xml version="1.0" encoding="utf-8"?>
<ds:datastoreItem xmlns:ds="http://schemas.openxmlformats.org/officeDocument/2006/customXml" ds:itemID="{FDC53BAC-3BD0-4030-9344-B7F658628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e50c9-f3ca-453f-862c-5dbc7d238af9"/>
    <ds:schemaRef ds:uri="4009f304-6f1f-4d7a-8331-1e22a4354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5093</Words>
  <Characters>27821</Characters>
  <Application>Microsoft Office Word</Application>
  <DocSecurity>0</DocSecurity>
  <Lines>231</Lines>
  <Paragraphs>65</Paragraphs>
  <ScaleCrop>false</ScaleCrop>
  <Company>Hewlett-Packard Company</Company>
  <LinksUpToDate>false</LinksUpToDate>
  <CharactersWithSpaces>32849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FY2023 Formula Response Form</dc:title>
  <dc:creator>mdangelo</dc:creator>
  <cp:lastModifiedBy>Guido, Anna P</cp:lastModifiedBy>
  <cp:revision>2</cp:revision>
  <cp:lastPrinted>2017-08-11T15:10:00Z</cp:lastPrinted>
  <dcterms:created xsi:type="dcterms:W3CDTF">2025-06-30T17:21:00Z</dcterms:created>
  <dcterms:modified xsi:type="dcterms:W3CDTF">2025-06-30T17:21:00Z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0x010100B3245E5E10E1944A9DEE88C3A7303333</vt:lpwstr>
  </property>
  <property fmtid="{D5CDD505-2E9C-101B-9397-08002B2CF9AE}" pid="3" name="MediaServiceImageTags">
    <vt:lpwstr/>
  </property>
  <property fmtid="{D5CDD505-2E9C-101B-9397-08002B2CF9AE}" pid="4" name="_NewReviewCycle">
    <vt:lpwstr/>
  </property>
</Properties>
</file>