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843" w:rsidP="00262060" w14:paraId="1AED4EAE" w14:textId="334BAF7B">
      <w:pPr>
        <w:pStyle w:val="Heading1"/>
        <w:spacing w:line="259" w:lineRule="auto"/>
        <w:ind w:left="2992" w:right="2990" w:firstLine="1"/>
        <w:jc w:val="center"/>
      </w:pPr>
      <w:r>
        <w:t>Department of Veterans Affairs Veterans</w:t>
      </w:r>
      <w:r>
        <w:rPr>
          <w:spacing w:val="-17"/>
        </w:rPr>
        <w:t xml:space="preserve"> </w:t>
      </w:r>
      <w:r>
        <w:t>Health</w:t>
      </w:r>
      <w:r>
        <w:rPr>
          <w:spacing w:val="-17"/>
        </w:rPr>
        <w:t xml:space="preserve"> </w:t>
      </w:r>
      <w:r>
        <w:t xml:space="preserve">Administration </w:t>
      </w:r>
      <w:r w:rsidR="0000367F">
        <w:t>Caregiver Support Program</w:t>
      </w:r>
    </w:p>
    <w:p w:rsidR="00AE1843" w14:paraId="1CF03916" w14:textId="77777777">
      <w:pPr>
        <w:pStyle w:val="BodyText"/>
        <w:spacing w:before="9"/>
        <w:rPr>
          <w:b/>
          <w:sz w:val="25"/>
        </w:rPr>
      </w:pPr>
    </w:p>
    <w:p w:rsidR="00262060" w:rsidP="002E3856" w14:paraId="2362A1F2" w14:textId="77777777">
      <w:pPr>
        <w:pStyle w:val="BodyText"/>
        <w:spacing w:line="259" w:lineRule="auto"/>
        <w:ind w:right="116"/>
      </w:pPr>
      <w:r w:rsidRPr="00262060">
        <w:rPr>
          <w:b/>
          <w:bCs/>
        </w:rPr>
        <w:t>Agency Information Collection Activity</w:t>
      </w:r>
      <w:r>
        <w:t xml:space="preserve">: </w:t>
      </w:r>
    </w:p>
    <w:p w:rsidR="00AE1843" w:rsidRPr="00CD2179" w:rsidP="002E3856" w14:paraId="6D17C79F" w14:textId="339F04F0">
      <w:pPr>
        <w:pStyle w:val="BodyText"/>
        <w:spacing w:line="259" w:lineRule="auto"/>
        <w:ind w:right="116"/>
      </w:pPr>
      <w:r w:rsidRPr="00C22DDC">
        <w:t>PCAFC Decision Appeal Form (10-306</w:t>
      </w:r>
      <w:r w:rsidRPr="00CD2179">
        <w:t xml:space="preserve">) OMB control number </w:t>
      </w:r>
      <w:r w:rsidRPr="00CD2179">
        <w:rPr>
          <w:b/>
          <w:bCs/>
        </w:rPr>
        <w:t>2900-0894</w:t>
      </w:r>
    </w:p>
    <w:p w:rsidR="00F36075" w:rsidP="002E3856" w14:paraId="620DDC1E" w14:textId="3AB75B3B">
      <w:pPr>
        <w:pStyle w:val="BodyText"/>
        <w:spacing w:before="182" w:line="259" w:lineRule="auto"/>
        <w:ind w:right="116"/>
      </w:pPr>
      <w:r w:rsidRPr="00CD2179">
        <w:rPr>
          <w:b/>
          <w:bCs/>
        </w:rPr>
        <w:t>PCAFC Decision Appeal Form (10-306)</w:t>
      </w:r>
      <w:r w:rsidRPr="00CD2179">
        <w:t xml:space="preserve"> </w:t>
      </w:r>
      <w:r w:rsidRPr="00CD2179" w:rsidR="00973A6C">
        <w:t>received</w:t>
      </w:r>
      <w:r w:rsidRPr="00CD2179" w:rsidR="00973A6C">
        <w:rPr>
          <w:spacing w:val="-3"/>
        </w:rPr>
        <w:t xml:space="preserve"> </w:t>
      </w:r>
      <w:r w:rsidRPr="00CD2179" w:rsidR="00B913A7">
        <w:t>one</w:t>
      </w:r>
      <w:r w:rsidRPr="00CD2179" w:rsidR="00973A6C">
        <w:rPr>
          <w:spacing w:val="-3"/>
        </w:rPr>
        <w:t xml:space="preserve"> </w:t>
      </w:r>
      <w:r w:rsidRPr="00CD2179" w:rsidR="00973A6C">
        <w:t>comment</w:t>
      </w:r>
      <w:r w:rsidRPr="00CD2179" w:rsidR="00973A6C">
        <w:rPr>
          <w:spacing w:val="-5"/>
        </w:rPr>
        <w:t xml:space="preserve"> </w:t>
      </w:r>
      <w:r w:rsidRPr="00CD2179" w:rsidR="00973A6C">
        <w:t>in</w:t>
      </w:r>
      <w:r w:rsidRPr="00CD2179" w:rsidR="00973A6C">
        <w:rPr>
          <w:spacing w:val="-3"/>
        </w:rPr>
        <w:t xml:space="preserve"> </w:t>
      </w:r>
      <w:r w:rsidRPr="00CD2179" w:rsidR="00973A6C">
        <w:t>response</w:t>
      </w:r>
      <w:r w:rsidRPr="00CD2179" w:rsidR="00973A6C">
        <w:rPr>
          <w:spacing w:val="-3"/>
        </w:rPr>
        <w:t xml:space="preserve"> </w:t>
      </w:r>
      <w:r w:rsidRPr="00CD2179" w:rsidR="00973A6C">
        <w:t>to</w:t>
      </w:r>
      <w:r w:rsidRPr="00CD2179" w:rsidR="00973A6C">
        <w:rPr>
          <w:spacing w:val="-4"/>
        </w:rPr>
        <w:t xml:space="preserve"> </w:t>
      </w:r>
      <w:r w:rsidRPr="00CD2179" w:rsidR="00973A6C">
        <w:t>the</w:t>
      </w:r>
      <w:r w:rsidRPr="00CD2179" w:rsidR="00973A6C">
        <w:rPr>
          <w:spacing w:val="-4"/>
        </w:rPr>
        <w:t xml:space="preserve"> </w:t>
      </w:r>
      <w:r w:rsidRPr="00CD2179" w:rsidR="00973A6C">
        <w:t xml:space="preserve">60-Day Federal Register Notice </w:t>
      </w:r>
      <w:r w:rsidRPr="00CD2179" w:rsidR="00CD2179">
        <w:t>(VA-2025-VACO-0001-18, FR Doc No: 2025-09328)</w:t>
      </w:r>
      <w:r w:rsidRPr="00CD2179" w:rsidR="00E6116A">
        <w:t xml:space="preserve"> on</w:t>
      </w:r>
      <w:r w:rsidRPr="00CD2179">
        <w:rPr>
          <w:rFonts w:eastAsiaTheme="minorHAnsi"/>
        </w:rPr>
        <w:t xml:space="preserve"> May 23</w:t>
      </w:r>
      <w:r w:rsidRPr="00CD2179" w:rsidR="00E6116A">
        <w:rPr>
          <w:rFonts w:eastAsiaTheme="minorHAnsi"/>
        </w:rPr>
        <w:t>, 202</w:t>
      </w:r>
      <w:r w:rsidRPr="00CD2179" w:rsidR="00CD2179">
        <w:rPr>
          <w:rFonts w:eastAsiaTheme="minorHAnsi"/>
        </w:rPr>
        <w:t>5.</w:t>
      </w:r>
      <w:r w:rsidR="00CD2179">
        <w:rPr>
          <w:rFonts w:eastAsiaTheme="minorHAnsi"/>
        </w:rPr>
        <w:t xml:space="preserve">  </w:t>
      </w:r>
    </w:p>
    <w:p w:rsidR="002E3856" w:rsidRPr="00F36075" w:rsidP="002E3856" w14:paraId="743CE988" w14:textId="77777777">
      <w:pPr>
        <w:pStyle w:val="BodyText"/>
        <w:spacing w:before="182" w:line="259" w:lineRule="auto"/>
        <w:ind w:right="116"/>
      </w:pPr>
    </w:p>
    <w:p w:rsidR="00F36075" w:rsidRPr="00F36075" w:rsidP="00F36075" w14:paraId="30A82B51" w14:textId="77777777">
      <w:pPr>
        <w:tabs>
          <w:tab w:val="left" w:pos="820"/>
        </w:tabs>
        <w:spacing w:line="259" w:lineRule="auto"/>
        <w:ind w:right="106"/>
        <w:rPr>
          <w:sz w:val="24"/>
        </w:rPr>
      </w:pPr>
    </w:p>
    <w:p w:rsidR="00007009" w:rsidP="000B5937" w14:paraId="4DA43D23" w14:textId="38BB7D3A">
      <w:pPr>
        <w:widowControl/>
        <w:adjustRightInd w:val="0"/>
        <w:rPr>
          <w:sz w:val="24"/>
        </w:rPr>
      </w:pPr>
      <w:r w:rsidRPr="00262060">
        <w:rPr>
          <w:b/>
          <w:bCs/>
          <w:sz w:val="24"/>
        </w:rPr>
        <w:t>VA-202</w:t>
      </w:r>
      <w:r w:rsidR="0000367F">
        <w:rPr>
          <w:b/>
          <w:bCs/>
          <w:sz w:val="24"/>
        </w:rPr>
        <w:t>5</w:t>
      </w:r>
      <w:r w:rsidRPr="00262060">
        <w:rPr>
          <w:b/>
          <w:bCs/>
          <w:sz w:val="24"/>
        </w:rPr>
        <w:t>-VACO-0001-</w:t>
      </w:r>
      <w:r w:rsidR="0000367F">
        <w:rPr>
          <w:b/>
          <w:bCs/>
          <w:sz w:val="24"/>
        </w:rPr>
        <w:t>20</w:t>
      </w:r>
      <w:r w:rsidRPr="000B5937" w:rsidR="00973A6C">
        <w:rPr>
          <w:sz w:val="24"/>
        </w:rPr>
        <w:t>–</w:t>
      </w:r>
      <w:r w:rsidRPr="000B5937" w:rsidR="00973A6C">
        <w:rPr>
          <w:spacing w:val="-5"/>
          <w:sz w:val="24"/>
        </w:rPr>
        <w:t xml:space="preserve"> </w:t>
      </w:r>
      <w:r w:rsidRPr="000B5937" w:rsidR="00973A6C">
        <w:rPr>
          <w:sz w:val="24"/>
        </w:rPr>
        <w:t>We</w:t>
      </w:r>
      <w:r w:rsidRPr="000B5937" w:rsidR="00973A6C">
        <w:rPr>
          <w:spacing w:val="-5"/>
          <w:sz w:val="24"/>
        </w:rPr>
        <w:t xml:space="preserve"> </w:t>
      </w:r>
      <w:r w:rsidRPr="000B5937" w:rsidR="00973A6C">
        <w:rPr>
          <w:sz w:val="24"/>
        </w:rPr>
        <w:t>appreciate</w:t>
      </w:r>
      <w:r w:rsidRPr="000B5937" w:rsidR="00973A6C">
        <w:rPr>
          <w:spacing w:val="-5"/>
          <w:sz w:val="24"/>
        </w:rPr>
        <w:t xml:space="preserve"> </w:t>
      </w:r>
      <w:r w:rsidRPr="000B5937" w:rsidR="00973A6C">
        <w:rPr>
          <w:sz w:val="24"/>
        </w:rPr>
        <w:t>the</w:t>
      </w:r>
      <w:r w:rsidRPr="000B5937" w:rsidR="00973A6C">
        <w:rPr>
          <w:spacing w:val="-3"/>
          <w:sz w:val="24"/>
        </w:rPr>
        <w:t xml:space="preserve"> </w:t>
      </w:r>
      <w:r w:rsidRPr="000B5937" w:rsidR="00973A6C">
        <w:rPr>
          <w:sz w:val="24"/>
        </w:rPr>
        <w:t>commentor’s</w:t>
      </w:r>
      <w:r w:rsidRPr="000B5937" w:rsidR="00973A6C">
        <w:rPr>
          <w:spacing w:val="-4"/>
          <w:sz w:val="24"/>
        </w:rPr>
        <w:t xml:space="preserve"> </w:t>
      </w:r>
      <w:r w:rsidRPr="000B5937">
        <w:rPr>
          <w:sz w:val="24"/>
        </w:rPr>
        <w:t>concern</w:t>
      </w:r>
      <w:r w:rsidR="00FD64AE">
        <w:rPr>
          <w:sz w:val="24"/>
        </w:rPr>
        <w:t>s</w:t>
      </w:r>
      <w:r>
        <w:rPr>
          <w:sz w:val="24"/>
        </w:rPr>
        <w:t>-suggestions</w:t>
      </w:r>
      <w:r w:rsidR="007851FA">
        <w:rPr>
          <w:sz w:val="24"/>
        </w:rPr>
        <w:t>,</w:t>
      </w:r>
      <w:r>
        <w:rPr>
          <w:sz w:val="24"/>
        </w:rPr>
        <w:t xml:space="preserve"> and </w:t>
      </w:r>
      <w:r w:rsidR="0000367F">
        <w:rPr>
          <w:sz w:val="24"/>
        </w:rPr>
        <w:t>CSP</w:t>
      </w:r>
      <w:r>
        <w:rPr>
          <w:sz w:val="24"/>
        </w:rPr>
        <w:t xml:space="preserve"> responds</w:t>
      </w:r>
      <w:r w:rsidRPr="000B5937">
        <w:rPr>
          <w:sz w:val="24"/>
        </w:rPr>
        <w:t xml:space="preserve"> </w:t>
      </w:r>
      <w:r>
        <w:rPr>
          <w:sz w:val="24"/>
        </w:rPr>
        <w:t>as follows:</w:t>
      </w:r>
    </w:p>
    <w:p w:rsidR="00007009" w:rsidP="00742B54" w14:paraId="14A31E68" w14:textId="038AC052">
      <w:pPr>
        <w:widowControl/>
        <w:tabs>
          <w:tab w:val="left" w:pos="6173"/>
        </w:tabs>
        <w:adjustRightInd w:val="0"/>
        <w:rPr>
          <w:sz w:val="24"/>
        </w:rPr>
      </w:pPr>
      <w:r>
        <w:rPr>
          <w:sz w:val="24"/>
        </w:rPr>
        <w:tab/>
      </w:r>
    </w:p>
    <w:p w:rsidR="002E3856" w:rsidRPr="002E3856" w:rsidP="0000367F" w14:paraId="0180B01A" w14:textId="1F5FEA71">
      <w:pPr>
        <w:pStyle w:val="ListParagraph"/>
        <w:widowControl/>
        <w:numPr>
          <w:ilvl w:val="0"/>
          <w:numId w:val="2"/>
        </w:numPr>
        <w:adjustRightInd w:val="0"/>
        <w:rPr>
          <w:i/>
          <w:iCs/>
          <w:sz w:val="24"/>
          <w:szCs w:val="24"/>
        </w:rPr>
      </w:pPr>
      <w:r>
        <w:rPr>
          <w:b/>
          <w:bCs/>
          <w:sz w:val="24"/>
          <w:szCs w:val="24"/>
        </w:rPr>
        <w:t>Request</w:t>
      </w:r>
      <w:r>
        <w:rPr>
          <w:sz w:val="24"/>
          <w:szCs w:val="24"/>
        </w:rPr>
        <w:t xml:space="preserve">: </w:t>
      </w:r>
      <w:r w:rsidRPr="00C22DDC" w:rsidR="0000367F">
        <w:rPr>
          <w:sz w:val="24"/>
          <w:szCs w:val="24"/>
        </w:rPr>
        <w:t xml:space="preserve">I strongly urge VHA to ensure that the proposed collection is both necessary and appropriately tailored. </w:t>
      </w:r>
    </w:p>
    <w:p w:rsidR="002E3856" w:rsidP="002E3856" w14:paraId="6706944D" w14:textId="77777777">
      <w:pPr>
        <w:pStyle w:val="ListParagraph"/>
        <w:widowControl/>
        <w:adjustRightInd w:val="0"/>
        <w:ind w:left="630" w:firstLine="0"/>
        <w:rPr>
          <w:sz w:val="24"/>
          <w:szCs w:val="24"/>
        </w:rPr>
      </w:pPr>
    </w:p>
    <w:p w:rsidR="0000367F" w:rsidRPr="002E3856" w:rsidP="002E3856" w14:paraId="5F925114" w14:textId="64BB42B1">
      <w:pPr>
        <w:pStyle w:val="ListParagraph"/>
        <w:widowControl/>
        <w:adjustRightInd w:val="0"/>
        <w:ind w:left="630" w:firstLine="0"/>
        <w:rPr>
          <w:sz w:val="24"/>
          <w:szCs w:val="24"/>
        </w:rPr>
      </w:pPr>
      <w:r w:rsidRPr="002E3856">
        <w:rPr>
          <w:b/>
          <w:bCs/>
          <w:sz w:val="24"/>
          <w:szCs w:val="24"/>
        </w:rPr>
        <w:t>Response</w:t>
      </w:r>
      <w:r w:rsidRPr="002E3856">
        <w:rPr>
          <w:sz w:val="24"/>
          <w:szCs w:val="24"/>
        </w:rPr>
        <w:t xml:space="preserve">: </w:t>
      </w:r>
      <w:r w:rsidRPr="002E3856" w:rsidR="00185F49">
        <w:rPr>
          <w:sz w:val="24"/>
          <w:szCs w:val="24"/>
        </w:rPr>
        <w:t xml:space="preserve">VA Form 10-306 </w:t>
      </w:r>
      <w:r w:rsidRPr="002E3856" w:rsidR="006A5FC6">
        <w:rPr>
          <w:sz w:val="24"/>
          <w:szCs w:val="24"/>
        </w:rPr>
        <w:t xml:space="preserve">is </w:t>
      </w:r>
      <w:r w:rsidRPr="002E3856" w:rsidR="00185F49">
        <w:rPr>
          <w:sz w:val="24"/>
          <w:szCs w:val="24"/>
        </w:rPr>
        <w:t xml:space="preserve">both necessary and appropriately tailored to its purpose as </w:t>
      </w:r>
      <w:r w:rsidRPr="002E3856" w:rsidR="006A5FC6">
        <w:rPr>
          <w:sz w:val="24"/>
          <w:szCs w:val="24"/>
        </w:rPr>
        <w:t>a tool for claimant</w:t>
      </w:r>
      <w:r w:rsidRPr="002E3856" w:rsidR="00185F49">
        <w:rPr>
          <w:sz w:val="24"/>
          <w:szCs w:val="24"/>
        </w:rPr>
        <w:t>s</w:t>
      </w:r>
      <w:r w:rsidRPr="002E3856" w:rsidR="006A5FC6">
        <w:rPr>
          <w:sz w:val="24"/>
          <w:szCs w:val="24"/>
        </w:rPr>
        <w:t xml:space="preserve"> to </w:t>
      </w:r>
      <w:r w:rsidRPr="002E3856" w:rsidR="00185F49">
        <w:rPr>
          <w:sz w:val="24"/>
          <w:szCs w:val="24"/>
        </w:rPr>
        <w:t xml:space="preserve">request </w:t>
      </w:r>
      <w:r w:rsidRPr="002E3856" w:rsidR="006A5FC6">
        <w:rPr>
          <w:sz w:val="24"/>
          <w:szCs w:val="24"/>
        </w:rPr>
        <w:t>information related to their P</w:t>
      </w:r>
      <w:r w:rsidRPr="002E3856" w:rsidR="00C22DDC">
        <w:rPr>
          <w:sz w:val="24"/>
          <w:szCs w:val="24"/>
        </w:rPr>
        <w:t xml:space="preserve">rogram of </w:t>
      </w:r>
      <w:r w:rsidRPr="002E3856" w:rsidR="006A5FC6">
        <w:rPr>
          <w:sz w:val="24"/>
          <w:szCs w:val="24"/>
        </w:rPr>
        <w:t>C</w:t>
      </w:r>
      <w:r w:rsidRPr="002E3856" w:rsidR="00C22DDC">
        <w:rPr>
          <w:sz w:val="24"/>
          <w:szCs w:val="24"/>
        </w:rPr>
        <w:t xml:space="preserve">omprehensive </w:t>
      </w:r>
      <w:r w:rsidRPr="002E3856" w:rsidR="006A5FC6">
        <w:rPr>
          <w:sz w:val="24"/>
          <w:szCs w:val="24"/>
        </w:rPr>
        <w:t>A</w:t>
      </w:r>
      <w:r w:rsidRPr="002E3856" w:rsidR="00C22DDC">
        <w:rPr>
          <w:sz w:val="24"/>
          <w:szCs w:val="24"/>
        </w:rPr>
        <w:t xml:space="preserve">ssistance for </w:t>
      </w:r>
      <w:r w:rsidRPr="002E3856" w:rsidR="006A5FC6">
        <w:rPr>
          <w:sz w:val="24"/>
          <w:szCs w:val="24"/>
        </w:rPr>
        <w:t>F</w:t>
      </w:r>
      <w:r w:rsidRPr="002E3856" w:rsidR="00C22DDC">
        <w:rPr>
          <w:sz w:val="24"/>
          <w:szCs w:val="24"/>
        </w:rPr>
        <w:t xml:space="preserve">amily </w:t>
      </w:r>
      <w:r w:rsidRPr="002E3856" w:rsidR="006A5FC6">
        <w:rPr>
          <w:sz w:val="24"/>
          <w:szCs w:val="24"/>
        </w:rPr>
        <w:t>C</w:t>
      </w:r>
      <w:r w:rsidRPr="002E3856" w:rsidR="00C22DDC">
        <w:rPr>
          <w:sz w:val="24"/>
          <w:szCs w:val="24"/>
        </w:rPr>
        <w:t>aregivers (PCAFC)</w:t>
      </w:r>
      <w:r w:rsidRPr="002E3856" w:rsidR="006A5FC6">
        <w:rPr>
          <w:sz w:val="24"/>
          <w:szCs w:val="24"/>
        </w:rPr>
        <w:t xml:space="preserve"> decisions.  </w:t>
      </w:r>
    </w:p>
    <w:p w:rsidR="00C22DDC" w:rsidRPr="00C22DDC" w:rsidP="00C22DDC" w14:paraId="693C0B57" w14:textId="77777777">
      <w:pPr>
        <w:pStyle w:val="ListParagraph"/>
        <w:widowControl/>
        <w:adjustRightInd w:val="0"/>
        <w:ind w:left="630" w:firstLine="0"/>
        <w:rPr>
          <w:i/>
          <w:iCs/>
          <w:sz w:val="24"/>
          <w:szCs w:val="24"/>
        </w:rPr>
      </w:pPr>
    </w:p>
    <w:p w:rsidR="002E3856" w:rsidRPr="002E3856" w:rsidP="0000367F" w14:paraId="17F9FD0B" w14:textId="0C6516B7">
      <w:pPr>
        <w:pStyle w:val="ListParagraph"/>
        <w:widowControl/>
        <w:numPr>
          <w:ilvl w:val="0"/>
          <w:numId w:val="2"/>
        </w:numPr>
        <w:adjustRightInd w:val="0"/>
        <w:rPr>
          <w:color w:val="4F81BD" w:themeColor="accent1"/>
          <w:sz w:val="24"/>
          <w:szCs w:val="24"/>
        </w:rPr>
      </w:pPr>
      <w:r>
        <w:rPr>
          <w:b/>
          <w:bCs/>
          <w:sz w:val="24"/>
          <w:szCs w:val="24"/>
        </w:rPr>
        <w:t>Request</w:t>
      </w:r>
      <w:r>
        <w:rPr>
          <w:sz w:val="24"/>
          <w:szCs w:val="24"/>
        </w:rPr>
        <w:t xml:space="preserve">: </w:t>
      </w:r>
      <w:r w:rsidRPr="00F968D8" w:rsidR="0000367F">
        <w:rPr>
          <w:sz w:val="24"/>
          <w:szCs w:val="24"/>
        </w:rPr>
        <w:t>In conclusion, the proposed collection should be adopted only if it is clearly shown to enhance the efficiency, equity and effectiveness of VHA programs, particularly the PCAFC, and only if alternative sources of data are not available.</w:t>
      </w:r>
      <w:r w:rsidRPr="00F968D8" w:rsidR="006A5FC6">
        <w:rPr>
          <w:sz w:val="24"/>
          <w:szCs w:val="24"/>
        </w:rPr>
        <w:t xml:space="preserve"> </w:t>
      </w:r>
    </w:p>
    <w:p w:rsidR="002E3856" w:rsidRPr="002E3856" w:rsidP="002E3856" w14:paraId="6C6D58DF" w14:textId="77777777">
      <w:pPr>
        <w:pStyle w:val="ListParagraph"/>
        <w:rPr>
          <w:i/>
          <w:iCs/>
          <w:color w:val="4F81BD" w:themeColor="accent1"/>
          <w:sz w:val="24"/>
          <w:szCs w:val="24"/>
        </w:rPr>
      </w:pPr>
    </w:p>
    <w:p w:rsidR="0000367F" w:rsidRPr="002E3856" w:rsidP="002E3856" w14:paraId="0AEFD29A" w14:textId="594ACC82">
      <w:pPr>
        <w:pStyle w:val="ListParagraph"/>
        <w:widowControl/>
        <w:adjustRightInd w:val="0"/>
        <w:ind w:left="630" w:firstLine="0"/>
        <w:rPr>
          <w:sz w:val="24"/>
          <w:szCs w:val="24"/>
        </w:rPr>
      </w:pPr>
      <w:r w:rsidRPr="002E3856">
        <w:rPr>
          <w:b/>
          <w:bCs/>
          <w:sz w:val="24"/>
          <w:szCs w:val="24"/>
        </w:rPr>
        <w:t>Response</w:t>
      </w:r>
      <w:r w:rsidRPr="002E3856">
        <w:rPr>
          <w:sz w:val="24"/>
          <w:szCs w:val="24"/>
        </w:rPr>
        <w:t xml:space="preserve">: </w:t>
      </w:r>
      <w:r w:rsidRPr="002E3856" w:rsidR="006C6208">
        <w:rPr>
          <w:sz w:val="24"/>
          <w:szCs w:val="24"/>
        </w:rPr>
        <w:t xml:space="preserve">Rather than a collection of information, VA Form 10-306 is a request for information, and it is a necessary and effective </w:t>
      </w:r>
      <w:r w:rsidRPr="002E3856" w:rsidR="00F968D8">
        <w:rPr>
          <w:sz w:val="24"/>
          <w:szCs w:val="24"/>
        </w:rPr>
        <w:t xml:space="preserve">tool </w:t>
      </w:r>
      <w:r w:rsidRPr="002E3856" w:rsidR="0000708B">
        <w:rPr>
          <w:sz w:val="24"/>
          <w:szCs w:val="24"/>
        </w:rPr>
        <w:t xml:space="preserve">in </w:t>
      </w:r>
      <w:r w:rsidRPr="002E3856" w:rsidR="006C6208">
        <w:rPr>
          <w:sz w:val="24"/>
          <w:szCs w:val="24"/>
        </w:rPr>
        <w:t>allowing an individual to access their information</w:t>
      </w:r>
      <w:r w:rsidRPr="002E3856" w:rsidR="006A5FC6">
        <w:rPr>
          <w:sz w:val="24"/>
          <w:szCs w:val="24"/>
        </w:rPr>
        <w:t xml:space="preserve">. </w:t>
      </w:r>
    </w:p>
    <w:p w:rsidR="00F968D8" w:rsidRPr="00F968D8" w:rsidP="00F968D8" w14:paraId="36F38454" w14:textId="77777777">
      <w:pPr>
        <w:pStyle w:val="ListParagraph"/>
        <w:rPr>
          <w:color w:val="4F81BD" w:themeColor="accent1"/>
          <w:sz w:val="24"/>
          <w:szCs w:val="24"/>
        </w:rPr>
      </w:pPr>
    </w:p>
    <w:p w:rsidR="00F36075" w:rsidRPr="002E3856" w:rsidP="00F36075" w14:paraId="15861693" w14:textId="639E2340">
      <w:pPr>
        <w:pStyle w:val="BodyText"/>
        <w:rPr>
          <w:sz w:val="26"/>
        </w:rPr>
      </w:pPr>
      <w:r w:rsidRPr="002E3856">
        <w:t>CSP</w:t>
      </w:r>
      <w:r w:rsidRPr="002E3856">
        <w:rPr>
          <w:spacing w:val="-4"/>
        </w:rPr>
        <w:t xml:space="preserve"> </w:t>
      </w:r>
      <w:r w:rsidRPr="002E3856">
        <w:t>appreciates</w:t>
      </w:r>
      <w:r w:rsidRPr="002E3856">
        <w:rPr>
          <w:spacing w:val="-4"/>
        </w:rPr>
        <w:t xml:space="preserve"> </w:t>
      </w:r>
      <w:r w:rsidRPr="002E3856">
        <w:t>the</w:t>
      </w:r>
      <w:r w:rsidRPr="002E3856">
        <w:rPr>
          <w:spacing w:val="-4"/>
        </w:rPr>
        <w:t xml:space="preserve"> </w:t>
      </w:r>
      <w:r w:rsidRPr="002E3856">
        <w:t>opportunity</w:t>
      </w:r>
      <w:r w:rsidRPr="002E3856">
        <w:rPr>
          <w:spacing w:val="-3"/>
        </w:rPr>
        <w:t xml:space="preserve"> </w:t>
      </w:r>
      <w:r w:rsidRPr="002E3856">
        <w:t>to</w:t>
      </w:r>
      <w:r w:rsidRPr="002E3856">
        <w:rPr>
          <w:spacing w:val="-2"/>
        </w:rPr>
        <w:t xml:space="preserve"> </w:t>
      </w:r>
      <w:r w:rsidRPr="002E3856">
        <w:t>review</w:t>
      </w:r>
      <w:r w:rsidRPr="002E3856">
        <w:rPr>
          <w:spacing w:val="-6"/>
        </w:rPr>
        <w:t xml:space="preserve"> </w:t>
      </w:r>
      <w:r w:rsidRPr="002E3856">
        <w:t>and</w:t>
      </w:r>
      <w:r w:rsidRPr="002E3856">
        <w:rPr>
          <w:spacing w:val="-4"/>
        </w:rPr>
        <w:t xml:space="preserve"> </w:t>
      </w:r>
      <w:r w:rsidRPr="002E3856">
        <w:t>respond</w:t>
      </w:r>
      <w:r w:rsidRPr="002E3856">
        <w:rPr>
          <w:spacing w:val="-2"/>
        </w:rPr>
        <w:t xml:space="preserve"> </w:t>
      </w:r>
      <w:r w:rsidRPr="002E3856">
        <w:t>to</w:t>
      </w:r>
      <w:r w:rsidRPr="002E3856">
        <w:rPr>
          <w:spacing w:val="-2"/>
        </w:rPr>
        <w:t xml:space="preserve"> </w:t>
      </w:r>
      <w:r w:rsidRPr="002E3856">
        <w:t>the</w:t>
      </w:r>
      <w:r w:rsidRPr="002E3856">
        <w:rPr>
          <w:spacing w:val="-2"/>
        </w:rPr>
        <w:t xml:space="preserve"> </w:t>
      </w:r>
      <w:r w:rsidRPr="002E3856">
        <w:t>comment.</w:t>
      </w:r>
      <w:r w:rsidRPr="002E3856">
        <w:rPr>
          <w:spacing w:val="-2"/>
        </w:rPr>
        <w:t xml:space="preserve"> </w:t>
      </w:r>
      <w:r w:rsidRPr="002E3856">
        <w:t>As</w:t>
      </w:r>
      <w:r w:rsidRPr="002E3856">
        <w:rPr>
          <w:spacing w:val="-5"/>
        </w:rPr>
        <w:t xml:space="preserve"> </w:t>
      </w:r>
      <w:r w:rsidRPr="002E3856">
        <w:t>noted</w:t>
      </w:r>
      <w:r w:rsidRPr="002E3856">
        <w:rPr>
          <w:spacing w:val="-2"/>
        </w:rPr>
        <w:t xml:space="preserve"> </w:t>
      </w:r>
      <w:r w:rsidRPr="002E3856">
        <w:t xml:space="preserve">above, we make no changes to </w:t>
      </w:r>
      <w:r w:rsidR="00CB7DF6">
        <w:t xml:space="preserve">this form </w:t>
      </w:r>
      <w:r w:rsidRPr="002E3856">
        <w:t>at this time.</w:t>
      </w:r>
    </w:p>
    <w:p w:rsidR="00F36075" w:rsidP="00F36075" w14:paraId="541CD3DA" w14:textId="77777777">
      <w:pPr>
        <w:pStyle w:val="BodyText"/>
        <w:spacing w:before="9"/>
        <w:rPr>
          <w:sz w:val="27"/>
        </w:rPr>
      </w:pPr>
    </w:p>
    <w:p w:rsidR="00F36075" w:rsidP="00F36075" w14:paraId="70F832DA" w14:textId="77777777">
      <w:pPr>
        <w:pStyle w:val="BodyText"/>
        <w:ind w:left="100"/>
      </w:pPr>
      <w:r>
        <w:t>Submitted</w:t>
      </w:r>
      <w:r>
        <w:rPr>
          <w:spacing w:val="-3"/>
        </w:rPr>
        <w:t xml:space="preserve"> </w:t>
      </w:r>
      <w:r>
        <w:rPr>
          <w:spacing w:val="-5"/>
        </w:rPr>
        <w:t>by:</w:t>
      </w:r>
    </w:p>
    <w:p w:rsidR="00F36075" w:rsidRPr="002E3856" w:rsidP="00F36075" w14:paraId="1880B7CA" w14:textId="6F1084D2">
      <w:pPr>
        <w:pStyle w:val="BodyText"/>
        <w:spacing w:before="22" w:line="259" w:lineRule="auto"/>
        <w:ind w:left="100" w:right="3543"/>
      </w:pPr>
      <w:r w:rsidRPr="002E3856">
        <w:t xml:space="preserve">Dr. </w:t>
      </w:r>
      <w:r w:rsidRPr="002E3856" w:rsidR="006A5FC6">
        <w:t>Colleen Richardson</w:t>
      </w:r>
      <w:r w:rsidRPr="002E3856">
        <w:t>, Psy. D</w:t>
      </w:r>
    </w:p>
    <w:p w:rsidR="006A5FC6" w:rsidP="00262060" w14:paraId="1A460463" w14:textId="77777777">
      <w:pPr>
        <w:pStyle w:val="BodyText"/>
        <w:spacing w:before="22" w:line="259" w:lineRule="auto"/>
        <w:ind w:left="100" w:right="3543"/>
      </w:pPr>
      <w:r>
        <w:t>Executive</w:t>
      </w:r>
      <w:r>
        <w:rPr>
          <w:spacing w:val="-10"/>
        </w:rPr>
        <w:t xml:space="preserve"> </w:t>
      </w:r>
      <w:r>
        <w:t>Director,</w:t>
      </w:r>
      <w:r>
        <w:rPr>
          <w:spacing w:val="-8"/>
        </w:rPr>
        <w:t xml:space="preserve"> </w:t>
      </w:r>
      <w:r>
        <w:t>Caregiver Support Program</w:t>
      </w:r>
    </w:p>
    <w:p w:rsidR="00553042" w:rsidRPr="00553042" w:rsidP="006A5FC6" w14:paraId="09DD2271" w14:textId="6EBFAA99">
      <w:pPr>
        <w:pStyle w:val="BodyText"/>
        <w:spacing w:before="22" w:line="259" w:lineRule="auto"/>
        <w:ind w:right="3543" w:firstLine="100"/>
      </w:pPr>
      <w:r>
        <w:t xml:space="preserve">Veterans </w:t>
      </w:r>
      <w:r w:rsidR="00F36075">
        <w:t>Health Administr</w:t>
      </w:r>
      <w:r>
        <w:t>atio</w:t>
      </w:r>
      <w:r w:rsidR="00262060">
        <w:t>n</w:t>
      </w:r>
    </w:p>
    <w:sectPr w:rsidSect="00F36075">
      <w:headerReference w:type="default" r:id="rId4"/>
      <w:footerReference w:type="default" r:id="rId5"/>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B54" w:rsidRPr="00742B54" w14:paraId="13817AA7" w14:textId="4D693440">
    <w:pPr>
      <w:pStyle w:val="Footer"/>
      <w:rPr>
        <w:color w:val="FF0000"/>
      </w:rPr>
    </w:pPr>
    <w:r w:rsidRPr="00742B54">
      <w:rPr>
        <w:color w:val="FF0000"/>
      </w:rPr>
      <w:t>Pre-Decisional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060" w:rsidRPr="00262060" w:rsidP="00262060" w14:paraId="07C9AE1C" w14:textId="5C5624C9">
    <w:pPr>
      <w:pStyle w:val="Header"/>
      <w:jc w:val="right"/>
      <w:rPr>
        <w:b/>
        <w:bCs/>
      </w:rPr>
    </w:pPr>
    <w:r w:rsidRPr="00742B54">
      <w:rPr>
        <w:color w:val="FF0000"/>
      </w:rPr>
      <w:t>Pre-Decisional</w:t>
    </w:r>
    <w:r w:rsidRPr="00742B54">
      <w:rPr>
        <w:b/>
        <w:bCs/>
        <w:color w:val="FF0000"/>
      </w:rPr>
      <w:t xml:space="preserve"> </w:t>
    </w:r>
    <w:r>
      <w:rPr>
        <w:b/>
        <w:bCs/>
      </w:rPr>
      <w:tab/>
    </w:r>
    <w:r>
      <w:rPr>
        <w:b/>
        <w:bCs/>
      </w:rPr>
      <w:tab/>
    </w:r>
    <w:r w:rsidR="00F968D8">
      <w:rPr>
        <w:b/>
        <w:bCs/>
      </w:rPr>
      <w:t>June 2</w:t>
    </w:r>
    <w:r w:rsidR="00C22DDC">
      <w:rPr>
        <w:b/>
        <w:bC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434C9"/>
    <w:multiLevelType w:val="hybridMultilevel"/>
    <w:tmpl w:val="6594471E"/>
    <w:lvl w:ilvl="0">
      <w:start w:val="1"/>
      <w:numFmt w:val="decimal"/>
      <w:lvlText w:val="%1."/>
      <w:lvlJc w:val="left"/>
      <w:pPr>
        <w:ind w:left="820" w:hanging="360"/>
        <w:jc w:val="lef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72FC7DE5"/>
    <w:multiLevelType w:val="hybridMultilevel"/>
    <w:tmpl w:val="0394AB1A"/>
    <w:lvl w:ilvl="0">
      <w:start w:val="1"/>
      <w:numFmt w:val="bullet"/>
      <w:lvlText w:val=""/>
      <w:lvlJc w:val="left"/>
      <w:pPr>
        <w:ind w:left="63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222255">
    <w:abstractNumId w:val="0"/>
  </w:num>
  <w:num w:numId="2" w16cid:durableId="197213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43"/>
    <w:rsid w:val="0000367F"/>
    <w:rsid w:val="00003E95"/>
    <w:rsid w:val="00007009"/>
    <w:rsid w:val="0000708B"/>
    <w:rsid w:val="00073A24"/>
    <w:rsid w:val="0009370A"/>
    <w:rsid w:val="000B5937"/>
    <w:rsid w:val="00185F49"/>
    <w:rsid w:val="002153A4"/>
    <w:rsid w:val="00262060"/>
    <w:rsid w:val="002E3856"/>
    <w:rsid w:val="002F7DFE"/>
    <w:rsid w:val="003F082E"/>
    <w:rsid w:val="004050E5"/>
    <w:rsid w:val="00405506"/>
    <w:rsid w:val="00420EDC"/>
    <w:rsid w:val="00553042"/>
    <w:rsid w:val="005F4DEB"/>
    <w:rsid w:val="00617FB2"/>
    <w:rsid w:val="006A5FC6"/>
    <w:rsid w:val="006C6208"/>
    <w:rsid w:val="006E5739"/>
    <w:rsid w:val="00742B54"/>
    <w:rsid w:val="00747D5A"/>
    <w:rsid w:val="007768D7"/>
    <w:rsid w:val="007851FA"/>
    <w:rsid w:val="007917E6"/>
    <w:rsid w:val="00973A6C"/>
    <w:rsid w:val="00A83AD0"/>
    <w:rsid w:val="00A96B53"/>
    <w:rsid w:val="00AE1843"/>
    <w:rsid w:val="00B26C10"/>
    <w:rsid w:val="00B537DF"/>
    <w:rsid w:val="00B913A7"/>
    <w:rsid w:val="00C22DDC"/>
    <w:rsid w:val="00C9004D"/>
    <w:rsid w:val="00CB7DF6"/>
    <w:rsid w:val="00CD2179"/>
    <w:rsid w:val="00D64FCC"/>
    <w:rsid w:val="00D720E6"/>
    <w:rsid w:val="00E37DB5"/>
    <w:rsid w:val="00E6116A"/>
    <w:rsid w:val="00EA7D69"/>
    <w:rsid w:val="00F36075"/>
    <w:rsid w:val="00F66912"/>
    <w:rsid w:val="00F968D8"/>
    <w:rsid w:val="00FD302E"/>
    <w:rsid w:val="00FD64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F087DF"/>
  <w15:docId w15:val="{4910CC7A-CD1E-4A99-855B-FB5624E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060"/>
    <w:pPr>
      <w:tabs>
        <w:tab w:val="center" w:pos="4680"/>
        <w:tab w:val="right" w:pos="9360"/>
      </w:tabs>
    </w:pPr>
  </w:style>
  <w:style w:type="character" w:customStyle="1" w:styleId="HeaderChar">
    <w:name w:val="Header Char"/>
    <w:basedOn w:val="DefaultParagraphFont"/>
    <w:link w:val="Header"/>
    <w:uiPriority w:val="99"/>
    <w:rsid w:val="00262060"/>
    <w:rPr>
      <w:rFonts w:ascii="Arial" w:eastAsia="Arial" w:hAnsi="Arial" w:cs="Arial"/>
    </w:rPr>
  </w:style>
  <w:style w:type="paragraph" w:styleId="Footer">
    <w:name w:val="footer"/>
    <w:basedOn w:val="Normal"/>
    <w:link w:val="FooterChar"/>
    <w:uiPriority w:val="99"/>
    <w:unhideWhenUsed/>
    <w:rsid w:val="00262060"/>
    <w:pPr>
      <w:tabs>
        <w:tab w:val="center" w:pos="4680"/>
        <w:tab w:val="right" w:pos="9360"/>
      </w:tabs>
    </w:pPr>
  </w:style>
  <w:style w:type="character" w:customStyle="1" w:styleId="FooterChar">
    <w:name w:val="Footer Char"/>
    <w:basedOn w:val="DefaultParagraphFont"/>
    <w:link w:val="Footer"/>
    <w:uiPriority w:val="99"/>
    <w:rsid w:val="00262060"/>
    <w:rPr>
      <w:rFonts w:ascii="Arial" w:eastAsia="Arial" w:hAnsi="Arial" w:cs="Arial"/>
    </w:rPr>
  </w:style>
  <w:style w:type="paragraph" w:customStyle="1" w:styleId="Default">
    <w:name w:val="Default"/>
    <w:rsid w:val="0000367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O'Donnell, Frances M.</cp:lastModifiedBy>
  <cp:revision>3</cp:revision>
  <dcterms:created xsi:type="dcterms:W3CDTF">2025-06-04T19:44:00Z</dcterms:created>
  <dcterms:modified xsi:type="dcterms:W3CDTF">2025-06-04T19:47:00Z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Acrobat PDFMaker 22 for Word</vt:lpwstr>
  </property>
  <property fmtid="{D5CDD505-2E9C-101B-9397-08002B2CF9AE}" pid="4" name="LastSaved">
    <vt:filetime>2022-12-13T00:00:00Z</vt:filetime>
  </property>
  <property fmtid="{D5CDD505-2E9C-101B-9397-08002B2CF9AE}" pid="5" name="Producer">
    <vt:lpwstr>Adobe PDF Library 22.1.117</vt:lpwstr>
  </property>
  <property fmtid="{D5CDD505-2E9C-101B-9397-08002B2CF9AE}" pid="6" name="SourceModified">
    <vt:lpwstr>D:20220601174614</vt:lpwstr>
  </property>
</Properties>
</file>