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B3104" w:rsidRPr="008A6C83" w:rsidP="002B3104" w14:paraId="3BB6691E" w14:textId="77777777">
      <w:pPr>
        <w:spacing w:after="0"/>
        <w:jc w:val="center"/>
        <w:rPr>
          <w:b/>
        </w:rPr>
      </w:pPr>
      <w:r w:rsidRPr="008A6C83">
        <w:rPr>
          <w:b/>
        </w:rPr>
        <w:t>SUPPORTING STATEMENT FOR NEW AND</w:t>
      </w:r>
    </w:p>
    <w:p w:rsidR="00A357EE" w:rsidP="00A357EE" w14:paraId="597546F7" w14:textId="77777777">
      <w:pPr>
        <w:jc w:val="center"/>
        <w:rPr>
          <w:b/>
        </w:rPr>
      </w:pPr>
      <w:r w:rsidRPr="008A6C83">
        <w:rPr>
          <w:b/>
        </w:rPr>
        <w:t>REVISED INFORMATION COLLECTIONS</w:t>
      </w:r>
    </w:p>
    <w:p w:rsidR="00A376D1" w:rsidRPr="00306656" w:rsidP="00A357EE" w14:paraId="6729DA01" w14:textId="410EA926">
      <w:pPr>
        <w:jc w:val="center"/>
      </w:pPr>
      <w:r>
        <w:rPr>
          <w:szCs w:val="24"/>
        </w:rPr>
        <w:t xml:space="preserve">Regulation 16.02 - </w:t>
      </w:r>
      <w:r w:rsidRPr="00306656">
        <w:rPr>
          <w:szCs w:val="24"/>
        </w:rPr>
        <w:t>Daily Trade and Supporting Data Reports</w:t>
      </w:r>
    </w:p>
    <w:p w:rsidR="00A357EE" w:rsidP="00A357EE" w14:paraId="7D110F9B" w14:textId="77777777">
      <w:pPr>
        <w:jc w:val="center"/>
        <w:rPr>
          <w:b/>
        </w:rPr>
      </w:pPr>
      <w:r>
        <w:rPr>
          <w:b/>
        </w:rPr>
        <w:t>OMB CONTROL NUMBER 3038-0061</w:t>
      </w:r>
    </w:p>
    <w:p w:rsidR="002B3104" w:rsidP="002B3104" w14:paraId="4B9D45FC" w14:textId="400E3B98">
      <w:pPr>
        <w:jc w:val="center"/>
        <w:rPr>
          <w:b/>
        </w:rPr>
      </w:pPr>
      <w:r w:rsidRPr="00306656">
        <w:t>CFTC Regulation 16.02</w:t>
      </w:r>
    </w:p>
    <w:p w:rsidR="00E3063F" w:rsidRPr="00FE45FB" w:rsidP="00FE45FB" w14:paraId="73BA8ED6" w14:textId="77777777">
      <w:pPr>
        <w:keepNext/>
        <w:ind w:left="720" w:hanging="720"/>
        <w:rPr>
          <w:b/>
        </w:rPr>
      </w:pPr>
      <w:r w:rsidRPr="008A6C83">
        <w:rPr>
          <w:b/>
        </w:rPr>
        <w:t>1.</w:t>
      </w:r>
      <w:r w:rsidRPr="008A6C83">
        <w:rPr>
          <w:b/>
        </w:rPr>
        <w:tab/>
        <w:t xml:space="preserve">Explain the circumstances that make the collection of information necessary.  Identify any legal or administrative requirements that necessitate the collection.  </w:t>
      </w:r>
      <w:r w:rsidRPr="001E1173">
        <w:rPr>
          <w:b/>
        </w:rPr>
        <w:t>Attach a copy of the appropriate section of each statute and regulation mandating or authorizing the collection of information.</w:t>
      </w:r>
    </w:p>
    <w:p w:rsidR="00074FA7" w:rsidP="00A06BA5" w14:paraId="57068C38" w14:textId="77777777">
      <w:pPr>
        <w:ind w:left="720"/>
      </w:pPr>
      <w:r>
        <w:t xml:space="preserve">The collection of information is </w:t>
      </w:r>
      <w:r w:rsidR="000C774D">
        <w:t>codified</w:t>
      </w:r>
      <w:r>
        <w:t xml:space="preserve"> in</w:t>
      </w:r>
      <w:r>
        <w:t xml:space="preserve"> Commiss</w:t>
      </w:r>
      <w:r w:rsidR="00471707">
        <w:t>ion Rule 16.02, which requires R</w:t>
      </w:r>
      <w:r>
        <w:t xml:space="preserve">eporting </w:t>
      </w:r>
      <w:r w:rsidR="00471707">
        <w:t>M</w:t>
      </w:r>
      <w:r>
        <w:t xml:space="preserve">arkets, including </w:t>
      </w:r>
      <w:r w:rsidR="00471707">
        <w:t>D</w:t>
      </w:r>
      <w:r>
        <w:t xml:space="preserve">esignated </w:t>
      </w:r>
      <w:r w:rsidR="00471707">
        <w:t>C</w:t>
      </w:r>
      <w:r>
        <w:t xml:space="preserve">ontract </w:t>
      </w:r>
      <w:r w:rsidR="00471707">
        <w:t>M</w:t>
      </w:r>
      <w:r>
        <w:t xml:space="preserve">arkets, to </w:t>
      </w:r>
      <w:r>
        <w:t xml:space="preserve">submit daily trade and supporting data reports to the Commission.  </w:t>
      </w:r>
      <w:r>
        <w:t xml:space="preserve">Commission </w:t>
      </w:r>
      <w:r w:rsidR="00C82F2C">
        <w:t>staff</w:t>
      </w:r>
      <w:r w:rsidR="001E5D0D">
        <w:t xml:space="preserve"> </w:t>
      </w:r>
      <w:r>
        <w:t>need access to transaction level data detailing trading activity in the Commission’s jurisdictional markets</w:t>
      </w:r>
      <w:r w:rsidR="00C82F2C">
        <w:t xml:space="preserve"> to discharge the Commission’s</w:t>
      </w:r>
      <w:r>
        <w:t xml:space="preserve"> regulatory responsibilities, including the responsibilities to prevent market manipulations and commodity price distortions and ensure the financial integrity of the Commission’s jurisdictional markets.</w:t>
      </w:r>
    </w:p>
    <w:p w:rsidR="00A06BA5" w:rsidP="00A06BA5" w14:paraId="313E3083" w14:textId="77777777">
      <w:pPr>
        <w:ind w:left="720"/>
      </w:pPr>
      <w:r>
        <w:t xml:space="preserve">Fully regulated markets began voluntarily providing the Commission with </w:t>
      </w:r>
      <w:r w:rsidR="000C774D">
        <w:t xml:space="preserve">daily trade reports </w:t>
      </w:r>
      <w:r>
        <w:t>in the mid-1980s.  The CFTC Reauthorization Act of 2008 (</w:t>
      </w:r>
      <w:r w:rsidR="00C82F2C">
        <w:t xml:space="preserve">2008 </w:t>
      </w:r>
      <w:r>
        <w:t>Reauthorization Act)</w:t>
      </w:r>
      <w:r>
        <w:rPr>
          <w:rStyle w:val="FootnoteReference"/>
        </w:rPr>
        <w:footnoteReference w:id="2"/>
      </w:r>
      <w:r>
        <w:t xml:space="preserve"> amended the Commodity Exchange Act to significantly expand the CFTC’s regulatory authority over certain markets that had previously operated outside the Commission’s </w:t>
      </w:r>
      <w:r w:rsidR="000C774D">
        <w:t xml:space="preserve">full </w:t>
      </w:r>
      <w:r>
        <w:t xml:space="preserve">regulatory reach. The Commission </w:t>
      </w:r>
      <w:r w:rsidR="00074FA7">
        <w:t xml:space="preserve">implemented the </w:t>
      </w:r>
      <w:r w:rsidR="00C82F2C">
        <w:t xml:space="preserve">2008 </w:t>
      </w:r>
      <w:r w:rsidR="00074FA7">
        <w:t>Reauthorization Act, in part, by amending Part 16.02 to formalize the already existing process by which fully regulated markets provide</w:t>
      </w:r>
      <w:r w:rsidR="00C82F2C">
        <w:t>d</w:t>
      </w:r>
      <w:r w:rsidR="00074FA7">
        <w:t xml:space="preserve"> transaction level trade data and related order information to the Commission, and to extend its requirements to markets that were more-fully brought within the Commission’s jurisdiction </w:t>
      </w:r>
      <w:r w:rsidR="000C774D">
        <w:t xml:space="preserve">by the </w:t>
      </w:r>
      <w:r w:rsidR="00C82F2C">
        <w:t xml:space="preserve">2008 </w:t>
      </w:r>
      <w:r w:rsidR="000C774D">
        <w:t>Reauthorization Act.</w:t>
      </w:r>
    </w:p>
    <w:p w:rsidR="002B3104" w:rsidP="002B3104" w14:paraId="39D7E835" w14:textId="77777777">
      <w:pPr>
        <w:keepNext/>
        <w:ind w:left="720" w:hanging="720"/>
        <w:rPr>
          <w:b/>
        </w:rPr>
      </w:pPr>
      <w:r w:rsidRPr="008A6C83">
        <w:rPr>
          <w:b/>
        </w:rPr>
        <w:t>2.</w:t>
      </w:r>
      <w:r w:rsidRPr="008A6C83">
        <w:rPr>
          <w:b/>
        </w:rPr>
        <w:tab/>
        <w:t>Indicate how, by whom, and for what purpose the data would be used.  Except for a new collection, indicate the actual use the agency has made of the information received from the current collection.</w:t>
      </w:r>
    </w:p>
    <w:p w:rsidR="007A0C1D" w:rsidP="000C774D" w14:paraId="2AF41232" w14:textId="77777777">
      <w:pPr>
        <w:ind w:left="720"/>
        <w:jc w:val="both"/>
      </w:pPr>
      <w:r>
        <w:t>Since the mid-1980</w:t>
      </w:r>
      <w:r w:rsidR="000605E8">
        <w:t>s</w:t>
      </w:r>
      <w:r>
        <w:t xml:space="preserve">, the Commission has used transactional data submitted by </w:t>
      </w:r>
      <w:r w:rsidR="000C774D">
        <w:t>regulated markets</w:t>
      </w:r>
      <w:r>
        <w:t xml:space="preserve"> to conduct trade practice surveillance activities.  </w:t>
      </w:r>
      <w:r w:rsidR="000C774D">
        <w:t>T</w:t>
      </w:r>
      <w:r>
        <w:t xml:space="preserve">he Commission </w:t>
      </w:r>
      <w:r w:rsidR="000C774D">
        <w:t>uses</w:t>
      </w:r>
      <w:r>
        <w:t xml:space="preserve"> </w:t>
      </w:r>
      <w:r w:rsidR="00555A04">
        <w:t>such</w:t>
      </w:r>
      <w:r>
        <w:t xml:space="preserve"> data in efforts to surveil markets for price distortions, abusive conduct, manipulative conduct, and for financial surveillance purposes.  </w:t>
      </w:r>
      <w:r w:rsidR="000C774D">
        <w:t>For example,</w:t>
      </w:r>
      <w:r>
        <w:t xml:space="preserve"> the data </w:t>
      </w:r>
      <w:r w:rsidR="000C774D">
        <w:t xml:space="preserve">is used on a daily basis by staff </w:t>
      </w:r>
      <w:r w:rsidR="0061108A">
        <w:t xml:space="preserve">in the Division of Market Oversight </w:t>
      </w:r>
      <w:r>
        <w:t>to monitor for the pres</w:t>
      </w:r>
      <w:r w:rsidR="000C774D">
        <w:t>ence of trade practice abuses,</w:t>
      </w:r>
      <w:r>
        <w:t xml:space="preserve"> daily market surveillance</w:t>
      </w:r>
      <w:r w:rsidR="000C774D">
        <w:t>,</w:t>
      </w:r>
      <w:r>
        <w:t xml:space="preserve"> and </w:t>
      </w:r>
      <w:r w:rsidR="00C82F2C">
        <w:t xml:space="preserve">to </w:t>
      </w:r>
      <w:r>
        <w:t>enforce</w:t>
      </w:r>
      <w:r>
        <w:t xml:space="preserve"> speculative position limits.</w:t>
      </w:r>
    </w:p>
    <w:p w:rsidR="00F5540D" w:rsidP="00F5540D" w14:paraId="706AD2F1" w14:textId="77777777">
      <w:pPr>
        <w:keepNext/>
        <w:ind w:left="720" w:hanging="720"/>
        <w:rPr>
          <w:b/>
        </w:rPr>
      </w:pPr>
      <w:r w:rsidRPr="008A6C83">
        <w:rPr>
          <w:b/>
        </w:rPr>
        <w:t>3.</w:t>
      </w:r>
      <w:r w:rsidRPr="008A6C83">
        <w:rPr>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2B3104" w:rsidRPr="00F5540D" w:rsidP="00397E71" w14:paraId="4D2B4C07" w14:textId="72181B7A">
      <w:pPr>
        <w:ind w:left="720"/>
      </w:pPr>
      <w:r>
        <w:t xml:space="preserve">The data </w:t>
      </w:r>
      <w:r w:rsidR="000C774D">
        <w:t xml:space="preserve">required </w:t>
      </w:r>
      <w:r w:rsidR="00C82F2C">
        <w:t>to be</w:t>
      </w:r>
      <w:r w:rsidR="000C774D">
        <w:t xml:space="preserve"> reported by Commission Rule 16.02 is required to be </w:t>
      </w:r>
      <w:r>
        <w:t>submitted electronically.</w:t>
      </w:r>
    </w:p>
    <w:p w:rsidR="00F5540D" w:rsidP="00F5540D" w14:paraId="111098B7" w14:textId="77777777">
      <w:pPr>
        <w:keepNext/>
        <w:ind w:left="720" w:hanging="720"/>
        <w:rPr>
          <w:b/>
        </w:rPr>
      </w:pPr>
      <w:r w:rsidRPr="008A6C83">
        <w:rPr>
          <w:b/>
        </w:rPr>
        <w:t>4.</w:t>
      </w:r>
      <w:r w:rsidRPr="008A6C83">
        <w:rPr>
          <w:b/>
        </w:rPr>
        <w:tab/>
        <w:t>Describe efforts to identify duplication.  Show specifically why any similar information already available cannot be used or modified for use for the purposes described in Item 2 above.</w:t>
      </w:r>
    </w:p>
    <w:p w:rsidR="002B3104" w:rsidRPr="00F5540D" w:rsidP="00397E71" w14:paraId="44BF54BC" w14:textId="5E2E76B8">
      <w:pPr>
        <w:ind w:left="720"/>
        <w:rPr>
          <w:b/>
        </w:rPr>
      </w:pPr>
      <w:r>
        <w:t xml:space="preserve">Prior to the </w:t>
      </w:r>
      <w:r w:rsidR="00C82F2C">
        <w:t xml:space="preserve">2008 </w:t>
      </w:r>
      <w:r>
        <w:t>Reauthorization Act, the Commission did not have the authority to require the reporting of daily trade and su</w:t>
      </w:r>
      <w:r w:rsidR="00471707">
        <w:t>pporting data reports from all Reporting M</w:t>
      </w:r>
      <w:r>
        <w:t xml:space="preserve">arkets.  The information required to be reported by respondents pursuant to </w:t>
      </w:r>
      <w:r w:rsidR="00C82F2C">
        <w:t xml:space="preserve">Commission Rule 16.02 </w:t>
      </w:r>
      <w:r>
        <w:t xml:space="preserve">is not otherwise available to Commission </w:t>
      </w:r>
      <w:r w:rsidR="00C82F2C">
        <w:t xml:space="preserve">staff </w:t>
      </w:r>
      <w:r>
        <w:t>from any other source.  There is no similar information collection by the Commission or other agencies.</w:t>
      </w:r>
    </w:p>
    <w:p w:rsidR="002B3104" w:rsidRPr="008A6C83" w:rsidP="002B3104" w14:paraId="7B22893C" w14:textId="06A3E684">
      <w:pPr>
        <w:keepNext/>
        <w:ind w:left="720" w:hanging="720"/>
        <w:rPr>
          <w:b/>
        </w:rPr>
      </w:pPr>
      <w:r w:rsidRPr="008A6C83">
        <w:rPr>
          <w:b/>
        </w:rPr>
        <w:t>5.</w:t>
      </w:r>
      <w:r w:rsidRPr="008A6C83">
        <w:rPr>
          <w:b/>
        </w:rPr>
        <w:tab/>
        <w:t>If the collection of information involves small business or other small entities (Item 5 of OMB Fo</w:t>
      </w:r>
      <w:r w:rsidR="003317FB">
        <w:rPr>
          <w:b/>
        </w:rPr>
        <w:t>r</w:t>
      </w:r>
      <w:r w:rsidRPr="008A6C83">
        <w:rPr>
          <w:b/>
        </w:rPr>
        <w:t>m 83-I), describe the methods used to minimize burden.</w:t>
      </w:r>
    </w:p>
    <w:p w:rsidR="002B3104" w:rsidRPr="008A6C83" w:rsidP="002B3104" w14:paraId="76F7B3F0" w14:textId="77777777">
      <w:pPr>
        <w:ind w:firstLine="720"/>
      </w:pPr>
      <w:r>
        <w:t xml:space="preserve">The collection of information </w:t>
      </w:r>
      <w:r w:rsidRPr="008A6C83">
        <w:t>does not</w:t>
      </w:r>
      <w:r w:rsidR="002D406B">
        <w:t xml:space="preserve"> involve </w:t>
      </w:r>
      <w:r>
        <w:t xml:space="preserve">small business or other </w:t>
      </w:r>
      <w:r w:rsidR="002D406B">
        <w:t>small entities</w:t>
      </w:r>
      <w:r w:rsidRPr="008A6C83">
        <w:t>.</w:t>
      </w:r>
    </w:p>
    <w:p w:rsidR="00F5540D" w:rsidP="00F5540D" w14:paraId="17BEE2D2" w14:textId="77777777">
      <w:pPr>
        <w:keepNext/>
        <w:ind w:left="720" w:hanging="720"/>
        <w:rPr>
          <w:b/>
        </w:rPr>
      </w:pPr>
      <w:r w:rsidRPr="008A6C83">
        <w:rPr>
          <w:b/>
        </w:rPr>
        <w:t>6.</w:t>
      </w:r>
      <w:r w:rsidRPr="008A6C83">
        <w:rPr>
          <w:b/>
        </w:rPr>
        <w:tab/>
        <w:t>Describe the consequence to the Federal Program or policy activities if the collection were conducted less frequently as well as any technical or legal obstacles to reducing burden.</w:t>
      </w:r>
    </w:p>
    <w:p w:rsidR="002B3104" w:rsidRPr="00F5540D" w:rsidP="007A0C1D" w14:paraId="111043AC" w14:textId="6E490EF2">
      <w:pPr>
        <w:keepNext/>
        <w:ind w:left="720"/>
        <w:rPr>
          <w:b/>
        </w:rPr>
      </w:pPr>
      <w:r>
        <w:t>The Commission regulates the trading of commodity futures and options contracts that impact a vast array of commodity prices vital to national and international commerce.  The exercise of regulatory oversight for the purpose of conducting market surveillance, financial surveillance, and monitoring of trading for abusive conduct, by necessity, requires the collection of transactio</w:t>
      </w:r>
      <w:r w:rsidR="00C82F2C">
        <w:t>nal information</w:t>
      </w:r>
      <w:r>
        <w:t>.</w:t>
      </w:r>
      <w:r w:rsidR="001E4E0A">
        <w:t xml:space="preserve">  </w:t>
      </w:r>
      <w:r w:rsidRPr="00F54D82" w:rsidR="001E4E0A">
        <w:t>The information collection cannot be</w:t>
      </w:r>
      <w:r w:rsidR="000C75B5">
        <w:t xml:space="preserve"> </w:t>
      </w:r>
      <w:r w:rsidRPr="00F54D82" w:rsidR="001E4E0A">
        <w:t xml:space="preserve">conducted less frequently </w:t>
      </w:r>
      <w:r w:rsidR="00C82F2C">
        <w:t xml:space="preserve">than daily </w:t>
      </w:r>
      <w:r w:rsidRPr="00F54D82" w:rsidR="001E4E0A">
        <w:t>without compromising the accuracy and timeliness of the data.</w:t>
      </w:r>
    </w:p>
    <w:p w:rsidR="002B3104" w:rsidRPr="008A6C83" w:rsidP="002B3104" w14:paraId="3800C57F" w14:textId="77777777">
      <w:pPr>
        <w:keepNext/>
        <w:ind w:left="720" w:hanging="720"/>
        <w:rPr>
          <w:b/>
        </w:rPr>
      </w:pPr>
      <w:r>
        <w:rPr>
          <w:b/>
        </w:rPr>
        <w:t>7.</w:t>
      </w:r>
      <w:r>
        <w:rPr>
          <w:b/>
        </w:rPr>
        <w:tab/>
      </w:r>
      <w:r w:rsidRPr="008A6C83">
        <w:rPr>
          <w:b/>
        </w:rPr>
        <w:t>Explain any special circumstances that require the collection to be conducted in a manner:</w:t>
      </w:r>
    </w:p>
    <w:p w:rsidR="00930E82" w:rsidRPr="002D406B" w:rsidP="00930E82" w14:paraId="10A572D4" w14:textId="77777777">
      <w:pPr>
        <w:keepNext/>
        <w:numPr>
          <w:ilvl w:val="0"/>
          <w:numId w:val="1"/>
        </w:numPr>
        <w:tabs>
          <w:tab w:val="clear" w:pos="720"/>
          <w:tab w:val="num" w:pos="1440"/>
        </w:tabs>
        <w:ind w:left="1440"/>
        <w:rPr>
          <w:b/>
        </w:rPr>
      </w:pPr>
      <w:r w:rsidRPr="00530CC4">
        <w:rPr>
          <w:b/>
        </w:rPr>
        <w:t>Requiring respondents to report information to the agency more often than quarterly.</w:t>
      </w:r>
    </w:p>
    <w:p w:rsidR="002B3104" w:rsidRPr="008A6C83" w:rsidP="002B3104" w14:paraId="3632F2C0" w14:textId="77777777">
      <w:pPr>
        <w:keepNext/>
        <w:numPr>
          <w:ilvl w:val="0"/>
          <w:numId w:val="2"/>
        </w:numPr>
        <w:tabs>
          <w:tab w:val="clear" w:pos="720"/>
          <w:tab w:val="num" w:pos="1440"/>
        </w:tabs>
        <w:ind w:left="1440"/>
        <w:rPr>
          <w:b/>
        </w:rPr>
      </w:pPr>
      <w:r w:rsidRPr="008A6C83">
        <w:rPr>
          <w:b/>
        </w:rPr>
        <w:t>Requiring respondents to prepare a written response to a collection of information in fewer than 30 days after receipt of it.</w:t>
      </w:r>
    </w:p>
    <w:p w:rsidR="001E4E0A" w:rsidRPr="00F5540D" w:rsidP="001E4E0A" w14:paraId="5B979161" w14:textId="77777777">
      <w:pPr>
        <w:keepNext/>
        <w:ind w:left="720"/>
        <w:rPr>
          <w:b/>
        </w:rPr>
      </w:pPr>
      <w:r>
        <w:t xml:space="preserve">The Commission regulates the trading of commodity futures and options contracts that impact a vast array of commodity prices vital to national and international commerce.  </w:t>
      </w:r>
      <w:r>
        <w:t xml:space="preserve">The exercise of regulatory oversight for the purpose of conducting market surveillance, financial surveillance, and monitoring of trading for abusive conduct, by necessity, requires the collection of </w:t>
      </w:r>
      <w:r w:rsidR="00930E82">
        <w:t xml:space="preserve">transactional information </w:t>
      </w:r>
      <w:r>
        <w:t>on a daily basis.</w:t>
      </w:r>
      <w:r>
        <w:t xml:space="preserve">  </w:t>
      </w:r>
      <w:r w:rsidRPr="00F54D82">
        <w:t xml:space="preserve">The information collection cannot be conducted less frequently without compromising the </w:t>
      </w:r>
      <w:r>
        <w:t>ability of the Commission to identify and stop abusive conduct in a timely manner.</w:t>
      </w:r>
    </w:p>
    <w:p w:rsidR="002B3104" w:rsidRPr="008A6C83" w:rsidP="002B3104" w14:paraId="60B12A13" w14:textId="77777777">
      <w:pPr>
        <w:keepNext/>
        <w:numPr>
          <w:ilvl w:val="0"/>
          <w:numId w:val="3"/>
        </w:numPr>
        <w:tabs>
          <w:tab w:val="clear" w:pos="720"/>
          <w:tab w:val="num" w:pos="1440"/>
        </w:tabs>
        <w:ind w:left="1440"/>
        <w:rPr>
          <w:b/>
        </w:rPr>
      </w:pPr>
      <w:r w:rsidRPr="008A6C83">
        <w:rPr>
          <w:b/>
        </w:rPr>
        <w:t>Requiring</w:t>
      </w:r>
      <w:r w:rsidR="00BA2512">
        <w:rPr>
          <w:b/>
        </w:rPr>
        <w:t xml:space="preserve"> respondents to submit more than</w:t>
      </w:r>
      <w:r w:rsidRPr="008A6C83">
        <w:rPr>
          <w:b/>
        </w:rPr>
        <w:t xml:space="preserve"> an original and two copies of any document.</w:t>
      </w:r>
    </w:p>
    <w:p w:rsidR="002B3104" w:rsidRPr="008A6C83" w:rsidP="002B3104" w14:paraId="07A81411" w14:textId="77777777">
      <w:pPr>
        <w:ind w:firstLine="720"/>
      </w:pPr>
      <w:r w:rsidRPr="008A6C83">
        <w:t>Respondents are required to submit only a single copy to the Commission.</w:t>
      </w:r>
    </w:p>
    <w:p w:rsidR="002B3104" w:rsidP="002B3104" w14:paraId="561678A3" w14:textId="77777777">
      <w:pPr>
        <w:keepNext/>
        <w:numPr>
          <w:ilvl w:val="0"/>
          <w:numId w:val="4"/>
        </w:numPr>
        <w:tabs>
          <w:tab w:val="clear" w:pos="720"/>
          <w:tab w:val="num" w:pos="1440"/>
        </w:tabs>
        <w:ind w:left="1440"/>
        <w:rPr>
          <w:b/>
        </w:rPr>
      </w:pPr>
      <w:r w:rsidRPr="000423F3">
        <w:rPr>
          <w:b/>
        </w:rPr>
        <w:t>Requiring respondents to retain records other than health, medical, government contract, grant-in-aid, or tax records, for more than three years.</w:t>
      </w:r>
    </w:p>
    <w:p w:rsidR="001E4E0A" w:rsidRPr="001E4E0A" w:rsidP="001E4E0A" w14:paraId="371EE25A" w14:textId="77777777">
      <w:pPr>
        <w:keepNext/>
        <w:ind w:left="720"/>
      </w:pPr>
      <w:r>
        <w:t xml:space="preserve">The question does not apply.  </w:t>
      </w:r>
      <w:r>
        <w:t>Commission Rule 16.02 does not impose recordkeeping obligations on respondents.</w:t>
      </w:r>
    </w:p>
    <w:p w:rsidR="002B3104" w:rsidRPr="008A6C83" w:rsidP="002B3104" w14:paraId="36DE6811" w14:textId="77777777">
      <w:pPr>
        <w:keepNext/>
        <w:numPr>
          <w:ilvl w:val="0"/>
          <w:numId w:val="5"/>
        </w:numPr>
        <w:tabs>
          <w:tab w:val="clear" w:pos="720"/>
          <w:tab w:val="num" w:pos="1440"/>
        </w:tabs>
        <w:ind w:left="1440"/>
        <w:rPr>
          <w:b/>
        </w:rPr>
      </w:pPr>
      <w:r w:rsidRPr="008A6C83">
        <w:rPr>
          <w:b/>
        </w:rPr>
        <w:t>In connection with a statistical survey, that is not designed to produce valid and reliable results that can be generalized to the universe of study.</w:t>
      </w:r>
    </w:p>
    <w:p w:rsidR="005C5453" w:rsidP="001606B0" w14:paraId="0D4B380F" w14:textId="77777777">
      <w:pPr>
        <w:ind w:left="720"/>
      </w:pPr>
      <w:r w:rsidRPr="00F54D82">
        <w:t xml:space="preserve">This question does not apply.  </w:t>
      </w:r>
      <w:r>
        <w:t xml:space="preserve">Commission Rule 16.02 </w:t>
      </w:r>
      <w:r w:rsidRPr="00F54D82">
        <w:t>does not require nor involve any statistical surveys.</w:t>
      </w:r>
    </w:p>
    <w:p w:rsidR="001606B0" w:rsidRPr="001606B0" w:rsidP="003845EE" w14:paraId="19B24FCC" w14:textId="77777777">
      <w:pPr>
        <w:numPr>
          <w:ilvl w:val="0"/>
          <w:numId w:val="17"/>
        </w:numPr>
      </w:pPr>
      <w:r w:rsidRPr="008A6C83">
        <w:rPr>
          <w:b/>
        </w:rPr>
        <w:t>Requiring the use of a statistical data classification that has not been reviewed and approved by OMB.</w:t>
      </w:r>
      <w:r w:rsidR="003B66AA">
        <w:rPr>
          <w:b/>
        </w:rPr>
        <w:t xml:space="preserve">  </w:t>
      </w:r>
    </w:p>
    <w:p w:rsidR="005C5453" w:rsidP="001606B0" w14:paraId="68AC0F5C" w14:textId="77777777">
      <w:pPr>
        <w:ind w:left="720"/>
      </w:pPr>
      <w:r w:rsidRPr="00F54D82">
        <w:t xml:space="preserve">This question does not apply.  </w:t>
      </w:r>
      <w:r>
        <w:t xml:space="preserve">Commission Rule 16.02 </w:t>
      </w:r>
      <w:r w:rsidRPr="00F54D82">
        <w:t>does not require nor involve any statistical data classification.</w:t>
      </w:r>
    </w:p>
    <w:p w:rsidR="003845EE" w:rsidP="003845EE" w14:paraId="2BD63CDA" w14:textId="77777777">
      <w:pPr>
        <w:numPr>
          <w:ilvl w:val="0"/>
          <w:numId w:val="17"/>
        </w:numPr>
        <w:rPr>
          <w:b/>
        </w:rPr>
      </w:pPr>
      <w:r w:rsidRPr="008A6C83">
        <w:rPr>
          <w:b/>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w:t>
      </w:r>
    </w:p>
    <w:p w:rsidR="003845EE" w:rsidP="003845EE" w14:paraId="54E93768" w14:textId="77777777">
      <w:pPr>
        <w:ind w:left="720"/>
      </w:pPr>
      <w:r w:rsidRPr="00F54D82">
        <w:t xml:space="preserve">This question does not apply.  </w:t>
      </w:r>
      <w:r w:rsidR="000605E8">
        <w:t xml:space="preserve">Commission Rule 16.02 </w:t>
      </w:r>
      <w:r w:rsidR="00555A04">
        <w:t>does</w:t>
      </w:r>
      <w:r w:rsidRPr="008A6C83" w:rsidR="002B3104">
        <w:t xml:space="preserve"> not </w:t>
      </w:r>
      <w:r w:rsidR="003634FE">
        <w:t xml:space="preserve">directly </w:t>
      </w:r>
      <w:r w:rsidRPr="008A6C83" w:rsidR="002B3104">
        <w:t>involve any pledge of confidentiality regarding the collection of data</w:t>
      </w:r>
      <w:r>
        <w:t>.</w:t>
      </w:r>
    </w:p>
    <w:p w:rsidR="003845EE" w:rsidP="003845EE" w14:paraId="11FF842D" w14:textId="77777777">
      <w:pPr>
        <w:numPr>
          <w:ilvl w:val="0"/>
          <w:numId w:val="18"/>
        </w:numPr>
        <w:rPr>
          <w:b/>
        </w:rPr>
      </w:pPr>
      <w:r w:rsidRPr="008A6C83">
        <w:rPr>
          <w:b/>
        </w:rPr>
        <w:t>Requiring respondents to submit proprietary trade secrets, or other confidential information unless the agency can demonstrate that it has instituted procedures to protect the information's confidentiality to the extent permitted by law.</w:t>
      </w:r>
    </w:p>
    <w:p w:rsidR="002B3104" w:rsidRPr="00F5540D" w:rsidP="001606B0" w14:paraId="127E5B56" w14:textId="34036712">
      <w:pPr>
        <w:ind w:left="720"/>
        <w:rPr>
          <w:b/>
        </w:rPr>
      </w:pPr>
      <w:r>
        <w:t xml:space="preserve">Commission Rule 16.02 </w:t>
      </w:r>
      <w:r w:rsidR="003A05D0">
        <w:t>require</w:t>
      </w:r>
      <w:r>
        <w:t>s</w:t>
      </w:r>
      <w:r w:rsidR="003A05D0">
        <w:t xml:space="preserve"> the submission of transactional and commercial data that may involve confidential information or proprietary trade secrets.  </w:t>
      </w:r>
      <w:r w:rsidRPr="003A05D0" w:rsidR="003A05D0">
        <w:t>The Comm</w:t>
      </w:r>
      <w:r w:rsidR="00905F41">
        <w:t xml:space="preserve">ission will protect sensitive </w:t>
      </w:r>
      <w:r w:rsidRPr="003A05D0" w:rsidR="003A05D0">
        <w:t>information according to the Freedo</w:t>
      </w:r>
      <w:r w:rsidR="003A05D0">
        <w:t xml:space="preserve">m of Information Act and 17 CFR </w:t>
      </w:r>
      <w:r w:rsidR="001A5F0B">
        <w:t>P</w:t>
      </w:r>
      <w:r w:rsidRPr="003A05D0" w:rsidR="003A05D0">
        <w:t xml:space="preserve">art 145, </w:t>
      </w:r>
      <w:r w:rsidR="003E5302">
        <w:t>“</w:t>
      </w:r>
      <w:r w:rsidRPr="003A05D0" w:rsidR="003A05D0">
        <w:t>Commission Records and Information.</w:t>
      </w:r>
      <w:r w:rsidR="003E5302">
        <w:t>”</w:t>
      </w:r>
      <w:r w:rsidRPr="003A05D0" w:rsidR="003A05D0">
        <w:t xml:space="preserve">  In addition, </w:t>
      </w:r>
      <w:r w:rsidR="003A05D0">
        <w:t xml:space="preserve">the Commission fully complies with </w:t>
      </w:r>
      <w:r w:rsidR="001A5F0B">
        <w:t>S</w:t>
      </w:r>
      <w:r w:rsidRPr="003A05D0" w:rsidR="003A05D0">
        <w:t xml:space="preserve">ection 8(a)(1) of the </w:t>
      </w:r>
      <w:r w:rsidR="003A05D0">
        <w:t xml:space="preserve">Commodity Exchange Act, which </w:t>
      </w:r>
      <w:r w:rsidRPr="003A05D0" w:rsidR="003A05D0">
        <w:t xml:space="preserve">strictly prohibits the Commission, unless specifically authorized by the </w:t>
      </w:r>
      <w:r w:rsidR="001E1173">
        <w:t xml:space="preserve">Commodity Exchange </w:t>
      </w:r>
      <w:r w:rsidR="001E1173">
        <w:t>Act</w:t>
      </w:r>
      <w:r w:rsidRPr="003A05D0" w:rsidR="003A05D0">
        <w:t>, from making public “data and information that would separately disclose the business transactions or market positions of any person and trade secrets or names of customers.”</w:t>
      </w:r>
    </w:p>
    <w:p w:rsidR="002B3104" w:rsidP="002B3104" w14:paraId="1482B36F" w14:textId="77777777">
      <w:pPr>
        <w:keepNext/>
        <w:ind w:left="720" w:hanging="720"/>
        <w:rPr>
          <w:b/>
        </w:rPr>
      </w:pPr>
      <w:r w:rsidRPr="002525EE">
        <w:rPr>
          <w:b/>
        </w:rPr>
        <w:t>8.</w:t>
      </w:r>
      <w:r w:rsidRPr="002525EE">
        <w:rPr>
          <w:b/>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D13E30" w:rsidRPr="00532416" w:rsidP="0077490B" w14:paraId="752A5DD9" w14:textId="2308AFD3">
      <w:pPr>
        <w:ind w:left="720"/>
      </w:pPr>
      <w:r w:rsidRPr="00E91ECB">
        <w:t>The Commission published a</w:t>
      </w:r>
      <w:r w:rsidRPr="00E91ECB">
        <w:rPr>
          <w:iCs/>
        </w:rPr>
        <w:t xml:space="preserve"> Federal Register notice seeking comment on the information collection on May 9, 2025.</w:t>
      </w:r>
      <w:r w:rsidRPr="00E91ECB">
        <w:t xml:space="preserve">  </w:t>
      </w:r>
      <w:r w:rsidRPr="00C07D6F">
        <w:t xml:space="preserve">The notice provided a 60-day period during which the public was invited to comment on the information collection and the burdens imposed by it.  </w:t>
      </w:r>
      <w:r>
        <w:t>The Commission did not receive any relevant comments on the 60-</w:t>
      </w:r>
      <w:r>
        <w:t>d</w:t>
      </w:r>
      <w:r>
        <w:t>ay Federal Register notice.</w:t>
      </w:r>
    </w:p>
    <w:p w:rsidR="00F5540D" w:rsidP="00F5540D" w14:paraId="60678D4C" w14:textId="77777777">
      <w:pPr>
        <w:keepNext/>
        <w:ind w:left="720" w:hanging="720"/>
        <w:rPr>
          <w:b/>
        </w:rPr>
      </w:pPr>
      <w:r w:rsidRPr="008A6C83">
        <w:rPr>
          <w:b/>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2962B2" w:rsidRPr="00F5540D" w:rsidP="0077490B" w14:paraId="7FA49684" w14:textId="3AE5DA0A">
      <w:pPr>
        <w:ind w:left="720"/>
        <w:rPr>
          <w:b/>
        </w:rPr>
      </w:pPr>
      <w:r>
        <w:t xml:space="preserve">Opportunity for public comment is provided when regulations are initiated or amended.  Contact with </w:t>
      </w:r>
      <w:r w:rsidR="00A260C8">
        <w:t>R</w:t>
      </w:r>
      <w:r w:rsidR="0073756A">
        <w:t xml:space="preserve">eporting </w:t>
      </w:r>
      <w:r w:rsidR="00A260C8">
        <w:t>M</w:t>
      </w:r>
      <w:r w:rsidR="0073756A">
        <w:t>arkets</w:t>
      </w:r>
      <w:r w:rsidR="00702F95">
        <w:t xml:space="preserve"> is</w:t>
      </w:r>
      <w:r>
        <w:t xml:space="preserve"> maintained on an ongoing basis to resolve reporting problems and address concerns.  </w:t>
      </w:r>
      <w:r w:rsidR="000F189C">
        <w:t>T</w:t>
      </w:r>
      <w:r>
        <w:t>he</w:t>
      </w:r>
      <w:r w:rsidR="00DD04B8">
        <w:t xml:space="preserve"> Commission will also</w:t>
      </w:r>
      <w:r w:rsidR="0018562E">
        <w:t>, on an ongoing basis,</w:t>
      </w:r>
      <w:r w:rsidR="00DD04B8">
        <w:t xml:space="preserve"> solicit public comments through the notic</w:t>
      </w:r>
      <w:r w:rsidR="000F189C">
        <w:t>e required by 5 CFR 1320.8(d).</w:t>
      </w:r>
    </w:p>
    <w:p w:rsidR="002B3104" w:rsidRPr="008A6C83" w:rsidP="002B3104" w14:paraId="682F3418" w14:textId="77777777">
      <w:pPr>
        <w:keepNext/>
        <w:ind w:left="720" w:hanging="720"/>
        <w:rPr>
          <w:b/>
        </w:rPr>
      </w:pPr>
      <w:r w:rsidRPr="008A6C83">
        <w:rPr>
          <w:b/>
        </w:rPr>
        <w:tab/>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2B3104" w:rsidRPr="008A6C83" w:rsidP="0073756A" w14:paraId="75EE7D84" w14:textId="77777777">
      <w:pPr>
        <w:tabs>
          <w:tab w:val="left" w:pos="720"/>
        </w:tabs>
        <w:ind w:left="720"/>
      </w:pPr>
      <w:r>
        <w:t xml:space="preserve">Commission staff </w:t>
      </w:r>
      <w:r w:rsidR="00A260C8">
        <w:t>have</w:t>
      </w:r>
      <w:r w:rsidRPr="00F54D82" w:rsidR="0073756A">
        <w:t xml:space="preserve"> continued to meet with affected parties throughout the life of th</w:t>
      </w:r>
      <w:r w:rsidR="0073756A">
        <w:t>e regulation.</w:t>
      </w:r>
    </w:p>
    <w:p w:rsidR="002B3104" w:rsidRPr="008A6C83" w:rsidP="002B3104" w14:paraId="59523A5F" w14:textId="77777777">
      <w:pPr>
        <w:keepNext/>
        <w:ind w:left="720" w:hanging="720"/>
        <w:rPr>
          <w:b/>
        </w:rPr>
      </w:pPr>
      <w:r w:rsidRPr="008A6C83">
        <w:rPr>
          <w:b/>
        </w:rPr>
        <w:t>9.</w:t>
      </w:r>
      <w:r w:rsidRPr="008A6C83">
        <w:rPr>
          <w:b/>
        </w:rPr>
        <w:tab/>
        <w:t>Explain any decision to provide any payment or gift to respondents, other than remuneration of contractors or grantees.</w:t>
      </w:r>
    </w:p>
    <w:p w:rsidR="00F75818" w:rsidP="0073756A" w14:paraId="42962D72" w14:textId="77777777">
      <w:pPr>
        <w:tabs>
          <w:tab w:val="left" w:pos="720"/>
        </w:tabs>
        <w:ind w:left="720"/>
      </w:pPr>
      <w:r w:rsidRPr="00F54D82">
        <w:t>This question does not apply.  This information collection does not involve the provision of any payment or gift to respondents.</w:t>
      </w:r>
    </w:p>
    <w:p w:rsidR="00F5540D" w:rsidRPr="00F75818" w:rsidP="007545FB" w14:paraId="165A4D93" w14:textId="77777777">
      <w:pPr>
        <w:ind w:left="720" w:hanging="720"/>
      </w:pPr>
      <w:r w:rsidRPr="008A6C83">
        <w:rPr>
          <w:b/>
        </w:rPr>
        <w:t>10.</w:t>
      </w:r>
      <w:r w:rsidRPr="008A6C83">
        <w:rPr>
          <w:b/>
        </w:rPr>
        <w:tab/>
        <w:t>Describe any assurance of confidentiality provided to respondents and the basis for the assurance in statute, regulations, or agency policy.</w:t>
      </w:r>
    </w:p>
    <w:p w:rsidR="0073756A" w:rsidRPr="00F54D82" w:rsidP="0073756A" w14:paraId="215ECE1B" w14:textId="77777777">
      <w:pPr>
        <w:tabs>
          <w:tab w:val="left" w:pos="720"/>
        </w:tabs>
        <w:ind w:left="720"/>
        <w:rPr>
          <w:b/>
        </w:rPr>
      </w:pPr>
      <w:r w:rsidRPr="00F54D82">
        <w:t xml:space="preserve">The Commission is required to provide confidentiality to respondents pursuant to the Freedom of Information Act, Privacy Act of 1974, CEA, and Commission regulations </w:t>
      </w:r>
      <w:r w:rsidRPr="00F54D82">
        <w:t>requiring the confidentiality of information.</w:t>
      </w:r>
      <w:r>
        <w:rPr>
          <w:vertAlign w:val="superscript"/>
        </w:rPr>
        <w:footnoteReference w:id="3"/>
      </w:r>
      <w:r w:rsidRPr="00F54D82">
        <w:t xml:space="preserve">  Section 8(a) of the CEA provides for the confidentiality of data and information except under the limited circumstances delineated therein.</w:t>
      </w:r>
    </w:p>
    <w:p w:rsidR="002B3104" w:rsidRPr="008A6C83" w:rsidP="002B3104" w14:paraId="4D15A325" w14:textId="77777777">
      <w:pPr>
        <w:keepNext/>
        <w:ind w:left="720" w:hanging="720"/>
        <w:rPr>
          <w:b/>
        </w:rPr>
      </w:pPr>
      <w:r w:rsidRPr="008A6C83">
        <w:rPr>
          <w:b/>
        </w:rPr>
        <w:t>11.</w:t>
      </w:r>
      <w:r w:rsidRPr="008A6C83">
        <w:rPr>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B3104" w:rsidRPr="008A6C83" w:rsidP="00954D3C" w14:paraId="5220AB44" w14:textId="77777777">
      <w:pPr>
        <w:ind w:left="720"/>
      </w:pPr>
      <w:r w:rsidRPr="008A6C83">
        <w:t>This question does not apply</w:t>
      </w:r>
      <w:r w:rsidR="00954D3C">
        <w:t xml:space="preserve">. </w:t>
      </w:r>
      <w:r w:rsidRPr="00954D3C" w:rsidR="00954D3C">
        <w:t xml:space="preserve"> </w:t>
      </w:r>
      <w:r w:rsidR="00954D3C">
        <w:t xml:space="preserve">Commission Rule 16.02 </w:t>
      </w:r>
      <w:r w:rsidRPr="00F54D82" w:rsidR="00954D3C">
        <w:t xml:space="preserve">does not require </w:t>
      </w:r>
      <w:r w:rsidR="00954D3C">
        <w:t>n</w:t>
      </w:r>
      <w:r w:rsidRPr="00F54D82" w:rsidR="00954D3C">
        <w:t>or request the provision of sensitive information, as that term is used in Question 11.</w:t>
      </w:r>
    </w:p>
    <w:p w:rsidR="002B3104" w:rsidRPr="008A6C83" w:rsidP="002B3104" w14:paraId="4A572DF6" w14:textId="77777777">
      <w:pPr>
        <w:ind w:left="720" w:hanging="720"/>
        <w:rPr>
          <w:b/>
        </w:rPr>
      </w:pPr>
      <w:r w:rsidRPr="008A6C83">
        <w:rPr>
          <w:b/>
        </w:rPr>
        <w:t>12.</w:t>
      </w:r>
      <w:r w:rsidRPr="008A6C83">
        <w:rPr>
          <w:b/>
        </w:rPr>
        <w:tab/>
        <w:t>Provide estimates of the hour burden of the collection of information.  The Statement should:</w:t>
      </w:r>
    </w:p>
    <w:p w:rsidR="00796B0E" w:rsidRPr="00B86310" w:rsidP="00B86310" w14:paraId="0D8B238B" w14:textId="77777777">
      <w:pPr>
        <w:numPr>
          <w:ilvl w:val="0"/>
          <w:numId w:val="9"/>
        </w:numPr>
        <w:tabs>
          <w:tab w:val="clear" w:pos="720"/>
          <w:tab w:val="num" w:pos="1440"/>
        </w:tabs>
        <w:ind w:left="1440"/>
        <w:rPr>
          <w:b/>
        </w:rPr>
      </w:pPr>
      <w:r w:rsidRPr="008A6C83">
        <w:rPr>
          <w:b/>
        </w:rPr>
        <w:t xml:space="preserve">Indicate the number of respondents, frequency of response, annual hour burden and an explanation of how the burden was estimated.  </w:t>
      </w:r>
      <w:r>
        <w:rPr>
          <w:b/>
        </w:rPr>
        <w:tab/>
      </w:r>
    </w:p>
    <w:p w:rsidR="002B3104" w:rsidP="002B3104" w14:paraId="2DDF3190" w14:textId="77777777">
      <w:pPr>
        <w:numPr>
          <w:ilvl w:val="0"/>
          <w:numId w:val="9"/>
        </w:numPr>
        <w:tabs>
          <w:tab w:val="clear" w:pos="720"/>
          <w:tab w:val="num" w:pos="1440"/>
        </w:tabs>
        <w:ind w:left="1440"/>
        <w:rPr>
          <w:b/>
        </w:rPr>
      </w:pPr>
      <w:r w:rsidRPr="008A6C83">
        <w:rPr>
          <w:b/>
        </w:rPr>
        <w:t>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B3104" w:rsidRPr="008A6C83" w:rsidP="002B3104" w14:paraId="667D1F47" w14:textId="77777777">
      <w:pPr>
        <w:numPr>
          <w:ilvl w:val="0"/>
          <w:numId w:val="10"/>
        </w:numPr>
        <w:tabs>
          <w:tab w:val="clear" w:pos="720"/>
          <w:tab w:val="num" w:pos="1440"/>
        </w:tabs>
        <w:ind w:left="1440"/>
        <w:rPr>
          <w:b/>
        </w:rPr>
      </w:pPr>
      <w:r w:rsidRPr="008A6C83">
        <w:rPr>
          <w:b/>
        </w:rPr>
        <w:t>If the request for approval covers more than one form, provide separate hour burden estimates for each form and aggregate the hour burdens in Item 13 of OMB Form 83-I.</w:t>
      </w:r>
    </w:p>
    <w:p w:rsidR="004D68AE" w:rsidRPr="00F71CA3" w:rsidP="00F71CA3" w14:paraId="6925C8F2" w14:textId="3AB5774F">
      <w:pPr>
        <w:keepNext/>
        <w:numPr>
          <w:ilvl w:val="0"/>
          <w:numId w:val="11"/>
        </w:numPr>
        <w:tabs>
          <w:tab w:val="clear" w:pos="720"/>
          <w:tab w:val="num" w:pos="1440"/>
        </w:tabs>
        <w:ind w:left="1440"/>
        <w:rPr>
          <w:b/>
        </w:rPr>
      </w:pPr>
      <w:r w:rsidRPr="008A6C83">
        <w:rPr>
          <w:b/>
        </w:rPr>
        <w:t>Provide estimates of annualized cost to respondents for the hour</w:t>
      </w:r>
      <w:r w:rsidR="00274790">
        <w:rPr>
          <w:b/>
        </w:rPr>
        <w:t xml:space="preserve"> </w:t>
      </w:r>
      <w:r w:rsidRPr="008A6C83">
        <w:rPr>
          <w:b/>
        </w:rPr>
        <w:t>burdens for collections of information, identifying and using appropriate wage rate categories.  The cost of contracting ou</w:t>
      </w:r>
      <w:r w:rsidR="009C5DEF">
        <w:rPr>
          <w:b/>
        </w:rPr>
        <w:t>t</w:t>
      </w:r>
      <w:r w:rsidRPr="008A6C83">
        <w:rPr>
          <w:b/>
        </w:rPr>
        <w:t xml:space="preserve"> or paying outside parties for information collection activities should not be included here.  Instead, this cost should be included in Item 13.</w:t>
      </w:r>
    </w:p>
    <w:p w:rsidR="00F75818" w:rsidP="007545FB" w14:paraId="699AEA2B" w14:textId="77777777">
      <w:pPr>
        <w:ind w:left="720"/>
      </w:pPr>
      <w:r>
        <w:t>R</w:t>
      </w:r>
      <w:r>
        <w:t xml:space="preserve">eporting </w:t>
      </w:r>
      <w:r w:rsidR="00B256BB">
        <w:t>M</w:t>
      </w:r>
      <w:r>
        <w:t>arkets</w:t>
      </w:r>
      <w:r>
        <w:t xml:space="preserve"> are</w:t>
      </w:r>
      <w:r>
        <w:t xml:space="preserve"> required </w:t>
      </w:r>
      <w:r>
        <w:t xml:space="preserve">by Commission Rule 16.02 </w:t>
      </w:r>
      <w:r>
        <w:t xml:space="preserve">to provide trade and supporting data reports to the Commission on a daily basis.  Such reports include transaction-level trade data (such as </w:t>
      </w:r>
      <w:r w:rsidR="00555A04">
        <w:t xml:space="preserve">the </w:t>
      </w:r>
      <w:r>
        <w:t>contract traded, quantity involved, price, counter-party identifiers and time and sales data) and related order information for ea</w:t>
      </w:r>
      <w:r w:rsidR="00B256BB">
        <w:t xml:space="preserve">ch </w:t>
      </w:r>
      <w:r w:rsidR="00B256BB">
        <w:t>transaction executed on the R</w:t>
      </w:r>
      <w:r>
        <w:t xml:space="preserve">eporting </w:t>
      </w:r>
      <w:r w:rsidR="00B256BB">
        <w:t>M</w:t>
      </w:r>
      <w:r>
        <w:t xml:space="preserve">arket and </w:t>
      </w:r>
      <w:r>
        <w:t>are</w:t>
      </w:r>
      <w:r>
        <w:t xml:space="preserve"> </w:t>
      </w:r>
      <w:r>
        <w:t xml:space="preserve">generally </w:t>
      </w:r>
      <w:r>
        <w:t>accompanied by data that identifies traders f</w:t>
      </w:r>
      <w:r>
        <w:t>or each transaction.</w:t>
      </w:r>
    </w:p>
    <w:p w:rsidR="00C32B23" w:rsidP="007545FB" w14:paraId="77164FEE" w14:textId="77777777">
      <w:pPr>
        <w:ind w:left="720"/>
      </w:pPr>
      <w:r w:rsidRPr="00F54D82">
        <w:t xml:space="preserve">The Commission estimates that </w:t>
      </w:r>
      <w:r>
        <w:t xml:space="preserve">all </w:t>
      </w:r>
      <w:r w:rsidRPr="00F54D82">
        <w:t xml:space="preserve">respondents incur </w:t>
      </w:r>
      <w:r>
        <w:t xml:space="preserve">a total of </w:t>
      </w:r>
      <w:r w:rsidRPr="00E84DB2" w:rsidR="000A6183">
        <w:t>10,0</w:t>
      </w:r>
      <w:r w:rsidRPr="00E84DB2">
        <w:t>00</w:t>
      </w:r>
      <w:r w:rsidRPr="00F54D82">
        <w:t xml:space="preserve"> annual burden hours as a result of this collection of information.</w:t>
      </w:r>
      <w:r>
        <w:t xml:space="preserve">  </w:t>
      </w:r>
      <w:r w:rsidRPr="00F54D82">
        <w:t xml:space="preserve">The electronic reporting required by </w:t>
      </w:r>
      <w:r>
        <w:t>Commission Rule 16.02</w:t>
      </w:r>
      <w:r w:rsidRPr="00F54D82">
        <w:t xml:space="preserve"> is generally accomplished in an automated manner by respondents’ computer systems</w:t>
      </w:r>
      <w:r>
        <w:t xml:space="preserve"> transmitting data to the Commission using an electronic communications protocol commonly used in the financial industry</w:t>
      </w:r>
      <w:r w:rsidRPr="00F54D82">
        <w:t xml:space="preserve">.  </w:t>
      </w:r>
      <w:r w:rsidR="001114ED">
        <w:t xml:space="preserve">Reporting entities have already incurred significant one-time costs to establish systems and processes </w:t>
      </w:r>
      <w:r w:rsidR="00DF198B">
        <w:t>to facilitate electronic reporting to the Commission</w:t>
      </w:r>
      <w:r w:rsidR="001114ED">
        <w:t xml:space="preserve">. </w:t>
      </w:r>
      <w:r w:rsidRPr="00F54D82" w:rsidR="001114ED">
        <w:t xml:space="preserve"> </w:t>
      </w:r>
      <w:r w:rsidRPr="00F54D82">
        <w:t xml:space="preserve">The burden hours </w:t>
      </w:r>
      <w:r w:rsidR="001114ED">
        <w:t xml:space="preserve">currently </w:t>
      </w:r>
      <w:r w:rsidRPr="00F54D82">
        <w:t xml:space="preserve">incurred by respondents to comply with </w:t>
      </w:r>
      <w:r>
        <w:t>Commission Rule 16.02</w:t>
      </w:r>
      <w:r w:rsidRPr="00F54D82">
        <w:t xml:space="preserve"> </w:t>
      </w:r>
      <w:r w:rsidR="001114ED">
        <w:t>are</w:t>
      </w:r>
      <w:r w:rsidRPr="00F54D82">
        <w:t xml:space="preserve"> primarily related to the hours necessary to overs</w:t>
      </w:r>
      <w:r w:rsidR="001114ED">
        <w:t xml:space="preserve">ee, maintain, and utilize respondents’ </w:t>
      </w:r>
      <w:r w:rsidR="007545FB">
        <w:t xml:space="preserve">existing </w:t>
      </w:r>
      <w:r w:rsidRPr="00F54D82">
        <w:t>automated reporting functionality</w:t>
      </w:r>
      <w:r>
        <w:t>.</w:t>
      </w:r>
    </w:p>
    <w:p w:rsidR="00C32B23" w:rsidP="007545FB" w14:paraId="2E055546" w14:textId="77777777">
      <w:pPr>
        <w:ind w:left="720"/>
      </w:pPr>
      <w:r>
        <w:t xml:space="preserve">Commission </w:t>
      </w:r>
      <w:r w:rsidR="001114ED">
        <w:t>staff</w:t>
      </w:r>
      <w:r w:rsidR="00274790">
        <w:t xml:space="preserve"> </w:t>
      </w:r>
      <w:r w:rsidR="001114ED">
        <w:t>estimate</w:t>
      </w:r>
      <w:r w:rsidR="00471707">
        <w:t xml:space="preserve"> that Reporting M</w:t>
      </w:r>
      <w:r>
        <w:t xml:space="preserve">arkets expend an average of </w:t>
      </w:r>
      <w:r w:rsidRPr="00E84DB2">
        <w:t>two hours per</w:t>
      </w:r>
      <w:r>
        <w:t xml:space="preserve"> day to oversee, maintain, and utilize </w:t>
      </w:r>
      <w:r w:rsidR="00EB660B">
        <w:t>their systems and proces</w:t>
      </w:r>
      <w:r w:rsidR="007545FB">
        <w:t>s</w:t>
      </w:r>
      <w:r w:rsidR="0006520C">
        <w:t>es</w:t>
      </w:r>
      <w:r w:rsidR="007545FB">
        <w:t xml:space="preserve"> </w:t>
      </w:r>
      <w:r>
        <w:t xml:space="preserve">to </w:t>
      </w:r>
      <w:r w:rsidR="0006520C">
        <w:t xml:space="preserve">electronically transmit daily trade and supporting data reports to the </w:t>
      </w:r>
      <w:r>
        <w:t>Com</w:t>
      </w:r>
      <w:r w:rsidR="001114ED">
        <w:t>mission on a daily basis.  The two</w:t>
      </w:r>
      <w:r>
        <w:t xml:space="preserve"> hours per day </w:t>
      </w:r>
      <w:r w:rsidR="001114ED">
        <w:t xml:space="preserve">estimate also </w:t>
      </w:r>
      <w:r>
        <w:t xml:space="preserve">includes </w:t>
      </w:r>
      <w:r w:rsidR="00471707">
        <w:t>time that R</w:t>
      </w:r>
      <w:r w:rsidR="0006520C">
        <w:t xml:space="preserve">eporting </w:t>
      </w:r>
      <w:r w:rsidR="00471707">
        <w:t>M</w:t>
      </w:r>
      <w:r w:rsidR="0006520C">
        <w:t>arkets</w:t>
      </w:r>
      <w:r>
        <w:t xml:space="preserve"> </w:t>
      </w:r>
      <w:r w:rsidR="0006520C">
        <w:t xml:space="preserve">spend </w:t>
      </w:r>
      <w:r>
        <w:t>interact</w:t>
      </w:r>
      <w:r w:rsidR="0006520C">
        <w:t>ing</w:t>
      </w:r>
      <w:r>
        <w:t xml:space="preserve"> with compliance staff in the Division of Market Oversight </w:t>
      </w:r>
      <w:r w:rsidR="0006520C">
        <w:t xml:space="preserve">and the </w:t>
      </w:r>
      <w:r w:rsidR="000A6183">
        <w:t>Division of Data</w:t>
      </w:r>
      <w:r w:rsidR="001114ED">
        <w:t>.</w:t>
      </w:r>
    </w:p>
    <w:p w:rsidR="00C32B23" w:rsidRPr="004A42A7" w:rsidP="007545FB" w14:paraId="1DA522FE" w14:textId="0FCA2711">
      <w:pPr>
        <w:ind w:left="720"/>
      </w:pPr>
      <w:r>
        <w:t xml:space="preserve">It is estimated that up </w:t>
      </w:r>
      <w:r w:rsidRPr="00111BC0">
        <w:t xml:space="preserve">to </w:t>
      </w:r>
      <w:r w:rsidRPr="00111BC0" w:rsidR="000A6183">
        <w:t>20</w:t>
      </w:r>
      <w:r w:rsidRPr="00111BC0" w:rsidR="001114ED">
        <w:t xml:space="preserve"> </w:t>
      </w:r>
      <w:r w:rsidRPr="00111BC0" w:rsidR="00471707">
        <w:t>R</w:t>
      </w:r>
      <w:r w:rsidRPr="00111BC0" w:rsidR="001114ED">
        <w:t xml:space="preserve">eporting </w:t>
      </w:r>
      <w:r w:rsidRPr="00111BC0" w:rsidR="00471707">
        <w:t>M</w:t>
      </w:r>
      <w:r w:rsidRPr="00111BC0" w:rsidR="001114ED">
        <w:t>arkets</w:t>
      </w:r>
      <w:r w:rsidR="001114ED">
        <w:t xml:space="preserve"> could </w:t>
      </w:r>
      <w:r>
        <w:t>provid</w:t>
      </w:r>
      <w:r w:rsidR="001114ED">
        <w:t>e</w:t>
      </w:r>
      <w:r>
        <w:t xml:space="preserve"> </w:t>
      </w:r>
      <w:r w:rsidR="0006520C">
        <w:t>daily</w:t>
      </w:r>
      <w:r>
        <w:t xml:space="preserve"> </w:t>
      </w:r>
      <w:r w:rsidR="0006520C">
        <w:t xml:space="preserve">trade and supporting </w:t>
      </w:r>
      <w:r>
        <w:t>data</w:t>
      </w:r>
      <w:r w:rsidR="001114ED">
        <w:t xml:space="preserve"> </w:t>
      </w:r>
      <w:r w:rsidR="0006520C">
        <w:t xml:space="preserve">reports </w:t>
      </w:r>
      <w:r w:rsidR="001114ED">
        <w:t>to the Commission in the future</w:t>
      </w:r>
      <w:r>
        <w:t xml:space="preserve">.  As </w:t>
      </w:r>
      <w:r w:rsidR="001114ED">
        <w:t>explained a</w:t>
      </w:r>
      <w:r>
        <w:t xml:space="preserve">bove, </w:t>
      </w:r>
      <w:r w:rsidR="00471707">
        <w:t>R</w:t>
      </w:r>
      <w:r>
        <w:t xml:space="preserve">eporting </w:t>
      </w:r>
      <w:r w:rsidR="00471707">
        <w:t>M</w:t>
      </w:r>
      <w:r>
        <w:t xml:space="preserve">arkets would expend an estimated </w:t>
      </w:r>
      <w:r w:rsidR="001114ED">
        <w:t>two</w:t>
      </w:r>
      <w:r>
        <w:t xml:space="preserve"> hours per day</w:t>
      </w:r>
      <w:r w:rsidR="007545FB">
        <w:t xml:space="preserve">, </w:t>
      </w:r>
      <w:r>
        <w:t>for each trading day</w:t>
      </w:r>
      <w:r w:rsidR="007545FB">
        <w:t>, to comply with Commission Rule 16.02</w:t>
      </w:r>
      <w:r>
        <w:t xml:space="preserve">.  This results in a burden of approximately </w:t>
      </w:r>
      <w:r w:rsidR="000A6183">
        <w:t>10,0</w:t>
      </w:r>
      <w:r>
        <w:t xml:space="preserve">00 hours </w:t>
      </w:r>
      <w:r>
        <w:t>(</w:t>
      </w:r>
      <w:r w:rsidR="000A6183">
        <w:t>20</w:t>
      </w:r>
      <w:r w:rsidR="00471707">
        <w:t xml:space="preserve"> R</w:t>
      </w:r>
      <w:r>
        <w:t xml:space="preserve">eporting </w:t>
      </w:r>
      <w:r w:rsidR="00471707">
        <w:t>M</w:t>
      </w:r>
      <w:r>
        <w:t xml:space="preserve">arkets </w:t>
      </w:r>
      <w:r w:rsidR="00C700DA">
        <w:t>×</w:t>
      </w:r>
      <w:r>
        <w:t xml:space="preserve"> 250 trading days </w:t>
      </w:r>
      <w:r w:rsidR="00C700DA">
        <w:t>×</w:t>
      </w:r>
      <w:r>
        <w:t xml:space="preserve"> 2 hours</w:t>
      </w:r>
      <w:r w:rsidR="001114ED">
        <w:t xml:space="preserve"> per day</w:t>
      </w:r>
      <w:r>
        <w:t xml:space="preserve">) and a cost of </w:t>
      </w:r>
      <w:r w:rsidRPr="00611686" w:rsidR="001114ED">
        <w:t>$</w:t>
      </w:r>
      <w:r w:rsidRPr="00611686" w:rsidR="00611686">
        <w:t>1,026</w:t>
      </w:r>
      <w:r w:rsidR="00611686">
        <w:t>,200</w:t>
      </w:r>
      <w:r w:rsidR="001114ED">
        <w:t xml:space="preserve"> </w:t>
      </w:r>
      <w:r>
        <w:t>(</w:t>
      </w:r>
      <w:r w:rsidR="000A6183">
        <w:t>10,0</w:t>
      </w:r>
      <w:r>
        <w:t xml:space="preserve">00 hours </w:t>
      </w:r>
      <w:r w:rsidR="00C700DA">
        <w:t>×</w:t>
      </w:r>
      <w:r>
        <w:t xml:space="preserve"> </w:t>
      </w:r>
      <w:r>
        <w:t>$</w:t>
      </w:r>
      <w:r w:rsidR="00F672BF">
        <w:t xml:space="preserve">102.62 </w:t>
      </w:r>
      <w:r>
        <w:t xml:space="preserve">per hour) annually. </w:t>
      </w:r>
    </w:p>
    <w:p w:rsidR="00C32B23" w:rsidP="007545FB" w14:paraId="633C2577" w14:textId="7ABB53C2">
      <w:pPr>
        <w:ind w:left="720"/>
      </w:pPr>
      <w:r w:rsidRPr="00F54D82">
        <w:t>In calculating th</w:t>
      </w:r>
      <w:r w:rsidR="007545FB">
        <w:t>e</w:t>
      </w:r>
      <w:r w:rsidRPr="00F54D82">
        <w:t xml:space="preserve"> </w:t>
      </w:r>
      <w:r w:rsidR="001114ED">
        <w:t xml:space="preserve">total annual burden cost of </w:t>
      </w:r>
      <w:r w:rsidRPr="00611686" w:rsidR="00F672BF">
        <w:t>$1,026</w:t>
      </w:r>
      <w:r w:rsidR="00F672BF">
        <w:t>,200</w:t>
      </w:r>
      <w:r w:rsidRPr="00F54D82">
        <w:t xml:space="preserve">, the Commission estimated </w:t>
      </w:r>
      <w:r>
        <w:t>an</w:t>
      </w:r>
      <w:r w:rsidRPr="00F54D82">
        <w:t xml:space="preserve"> appropriate wage rate </w:t>
      </w:r>
      <w:r w:rsidR="001114ED">
        <w:t>o</w:t>
      </w:r>
      <w:r w:rsidRPr="00111BC0" w:rsidR="001114ED">
        <w:t xml:space="preserve">f </w:t>
      </w:r>
      <w:r w:rsidRPr="00111BC0" w:rsidR="00B256BB">
        <w:t>$</w:t>
      </w:r>
      <w:r w:rsidRPr="00111BC0" w:rsidR="00111BC0">
        <w:t>102.62</w:t>
      </w:r>
      <w:r w:rsidRPr="00111BC0" w:rsidR="001114ED">
        <w:t xml:space="preserve"> </w:t>
      </w:r>
      <w:r w:rsidRPr="00111BC0">
        <w:t>based</w:t>
      </w:r>
      <w:r w:rsidRPr="00F54D82">
        <w:t xml:space="preserve"> on salary information </w:t>
      </w:r>
      <w:r w:rsidR="00B256BB">
        <w:t>provided by the Department of Labor’s Bureau of Labor Statistics (BLS).</w:t>
      </w:r>
      <w:r w:rsidRPr="00F54D82">
        <w:t xml:space="preserve"> </w:t>
      </w:r>
      <w:r w:rsidR="00B256BB">
        <w:t xml:space="preserve"> </w:t>
      </w:r>
      <w:r w:rsidRPr="00F54D82">
        <w:t xml:space="preserve">Commission staff </w:t>
      </w:r>
      <w:r w:rsidR="00471707">
        <w:t>arrived at an hourly rate of $</w:t>
      </w:r>
      <w:r w:rsidR="00F672BF">
        <w:t>102.62</w:t>
      </w:r>
      <w:r w:rsidRPr="00F54D82">
        <w:t xml:space="preserve"> using figures fro</w:t>
      </w:r>
      <w:r w:rsidR="00C95824">
        <w:t>m a weighted average of hourly mean wages</w:t>
      </w:r>
      <w:r w:rsidRPr="00F54D82">
        <w:t xml:space="preserve"> across different professions </w:t>
      </w:r>
      <w:r w:rsidR="00C95824">
        <w:t xml:space="preserve">contained in the most recent BLS Occupational Employment and </w:t>
      </w:r>
      <w:r w:rsidR="004F56DC">
        <w:t>W</w:t>
      </w:r>
      <w:r w:rsidR="00C95824">
        <w:t xml:space="preserve">ages </w:t>
      </w:r>
      <w:r w:rsidR="004F56DC">
        <w:t>R</w:t>
      </w:r>
      <w:r w:rsidR="00C95824">
        <w:t>eport</w:t>
      </w:r>
      <w:r w:rsidR="00676A1D">
        <w:t>s</w:t>
      </w:r>
      <w:r w:rsidR="00C95824">
        <w:t xml:space="preserve"> (May 20</w:t>
      </w:r>
      <w:r w:rsidR="00A613A5">
        <w:t>2</w:t>
      </w:r>
      <w:r w:rsidR="00460C61">
        <w:t>3 and May 2024</w:t>
      </w:r>
      <w:r w:rsidR="00C95824">
        <w:t>)</w:t>
      </w:r>
      <w:r w:rsidRPr="00F54D82">
        <w:t xml:space="preserve"> multiplied by 1.3 to account for overhead and other benefits.</w:t>
      </w:r>
      <w:r>
        <w:rPr>
          <w:rStyle w:val="FootnoteReference"/>
        </w:rPr>
        <w:footnoteReference w:id="4"/>
      </w:r>
      <w:r w:rsidRPr="00F54D82">
        <w:t xml:space="preserve">  The Commission estimated appropriate wage rate is a weighted national average of </w:t>
      </w:r>
      <w:r w:rsidR="00C95824">
        <w:t xml:space="preserve">mean hourly wages </w:t>
      </w:r>
      <w:r w:rsidRPr="00F54D82">
        <w:t xml:space="preserve">for </w:t>
      </w:r>
      <w:r w:rsidR="00C95824">
        <w:t>the following occupations</w:t>
      </w:r>
      <w:r w:rsidRPr="00F54D82">
        <w:t xml:space="preserve"> (and their relative weight): </w:t>
      </w:r>
      <w:r w:rsidR="00255D77">
        <w:t xml:space="preserve"> </w:t>
      </w:r>
      <w:r w:rsidRPr="00F54D82">
        <w:t>“</w:t>
      </w:r>
      <w:r w:rsidR="00BA3803">
        <w:t>computer progr</w:t>
      </w:r>
      <w:r w:rsidRPr="00F54D82">
        <w:t>ammer</w:t>
      </w:r>
      <w:r w:rsidR="00BA3803">
        <w:t xml:space="preserve"> - industry: securities, commodity contracts, and other financial investment and related activities” (50</w:t>
      </w:r>
      <w:r w:rsidRPr="00F54D82">
        <w:t xml:space="preserve">% weight); “compliance </w:t>
      </w:r>
      <w:r w:rsidR="00BA3803">
        <w:t>officer - industry: securities, commodity contracts, and other financial investment and related activities” (25</w:t>
      </w:r>
      <w:r w:rsidRPr="00F54D82">
        <w:t>%); “</w:t>
      </w:r>
      <w:r w:rsidR="00BA3803">
        <w:t>lawyer – legal services”</w:t>
      </w:r>
      <w:r w:rsidRPr="00F54D82">
        <w:t xml:space="preserve"> (</w:t>
      </w:r>
      <w:r w:rsidR="00BA3803">
        <w:t>25</w:t>
      </w:r>
      <w:r w:rsidRPr="00F54D82">
        <w:t>%)</w:t>
      </w:r>
      <w:r w:rsidR="00BA3803">
        <w:t>.</w:t>
      </w:r>
      <w:r>
        <w:t xml:space="preserve">  </w:t>
      </w:r>
      <w:r w:rsidR="00417791">
        <w:t xml:space="preserve">Commission staff chose this methodology to </w:t>
      </w:r>
      <w:r w:rsidR="00417791">
        <w:t>account for the variance in skill sets that may be used to accomplish the collection of information</w:t>
      </w:r>
      <w:r w:rsidR="007545FB">
        <w:t>.</w:t>
      </w:r>
    </w:p>
    <w:p w:rsidR="002B3104" w:rsidRPr="008A6C83" w:rsidP="002B3104" w14:paraId="1576331B" w14:textId="77777777">
      <w:pPr>
        <w:ind w:left="720" w:hanging="720"/>
        <w:rPr>
          <w:b/>
        </w:rPr>
      </w:pPr>
      <w:r w:rsidRPr="008A6C83">
        <w:rPr>
          <w:b/>
        </w:rPr>
        <w:t>13.</w:t>
      </w:r>
      <w:r w:rsidRPr="008A6C83">
        <w:rPr>
          <w:b/>
        </w:rPr>
        <w:tab/>
        <w:t>Provide an estimate of the total annual cost burden to respondents or recordkeepers resulting f</w:t>
      </w:r>
      <w:r w:rsidR="00274790">
        <w:rPr>
          <w:b/>
        </w:rPr>
        <w:t>r</w:t>
      </w:r>
      <w:r w:rsidRPr="008A6C83">
        <w:rPr>
          <w:b/>
        </w:rPr>
        <w:t>om the collection of information.  (Do not include the cost of any hour burden shown in Items 12 and 14).</w:t>
      </w:r>
    </w:p>
    <w:p w:rsidR="002B3104" w:rsidRPr="008A6C83" w:rsidP="002B3104" w14:paraId="7293435C" w14:textId="77777777">
      <w:pPr>
        <w:numPr>
          <w:ilvl w:val="0"/>
          <w:numId w:val="12"/>
        </w:numPr>
        <w:tabs>
          <w:tab w:val="clear" w:pos="720"/>
          <w:tab w:val="num" w:pos="1440"/>
        </w:tabs>
        <w:ind w:left="1440"/>
        <w:rPr>
          <w:b/>
        </w:rPr>
      </w:pPr>
      <w:r w:rsidRPr="008A6C83">
        <w:rPr>
          <w:b/>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B3104" w:rsidRPr="008A6C83" w:rsidP="002B3104" w14:paraId="168C153D" w14:textId="77777777">
      <w:pPr>
        <w:numPr>
          <w:ilvl w:val="0"/>
          <w:numId w:val="13"/>
        </w:numPr>
        <w:tabs>
          <w:tab w:val="clear" w:pos="720"/>
          <w:tab w:val="num" w:pos="1440"/>
        </w:tabs>
        <w:ind w:left="1440"/>
        <w:rPr>
          <w:b/>
        </w:rPr>
      </w:pPr>
      <w:r w:rsidRPr="008A6C83">
        <w:rPr>
          <w:b/>
        </w:rPr>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00DD2293" w:rsidP="00DD2293" w14:paraId="17177F88" w14:textId="77777777">
      <w:pPr>
        <w:keepNext/>
        <w:numPr>
          <w:ilvl w:val="0"/>
          <w:numId w:val="14"/>
        </w:numPr>
        <w:tabs>
          <w:tab w:val="clear" w:pos="720"/>
          <w:tab w:val="num" w:pos="1440"/>
        </w:tabs>
        <w:ind w:left="1440"/>
        <w:rPr>
          <w:b/>
        </w:rPr>
      </w:pPr>
      <w:r w:rsidRPr="008A6C83">
        <w:rPr>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5431F0" w:rsidP="00255D77" w14:paraId="7B844AFC" w14:textId="77777777">
      <w:pPr>
        <w:ind w:left="720"/>
      </w:pPr>
      <w:r>
        <w:t xml:space="preserve">There </w:t>
      </w:r>
      <w:r w:rsidR="00274790">
        <w:t xml:space="preserve">are </w:t>
      </w:r>
      <w:r>
        <w:t>no capital or operating and maintenance costs associated with this collection.  Reporting entities have already incurred significant one-time costs to establish systems and processes associated with establishing a data stream to the Commission.</w:t>
      </w:r>
    </w:p>
    <w:p w:rsidR="005431F0" w:rsidP="00454DBC" w14:paraId="61A7C183" w14:textId="77777777">
      <w:pPr>
        <w:ind w:left="720" w:hanging="720"/>
        <w:rPr>
          <w:b/>
        </w:rPr>
      </w:pPr>
      <w:r w:rsidRPr="008A6C83">
        <w:rPr>
          <w:b/>
        </w:rPr>
        <w:t>14.</w:t>
      </w:r>
      <w:r w:rsidRPr="008A6C83">
        <w:rPr>
          <w:b/>
        </w:rPr>
        <w:tab/>
        <w:t>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5431F0" w:rsidP="007F718B" w14:paraId="4E929EA7" w14:textId="414171BF">
      <w:pPr>
        <w:ind w:left="720"/>
      </w:pPr>
      <w:r w:rsidRPr="00F17DEE">
        <w:t xml:space="preserve">Commission </w:t>
      </w:r>
      <w:r w:rsidRPr="00F17DEE" w:rsidR="00F17DEE">
        <w:t xml:space="preserve">staff </w:t>
      </w:r>
      <w:r w:rsidRPr="00F17DEE">
        <w:t xml:space="preserve">estimate that approximately 20 Commission staff members will expend approximately 8 hours per day over 250 trading days to </w:t>
      </w:r>
      <w:r w:rsidRPr="00F17DEE" w:rsidR="00F17DEE">
        <w:t xml:space="preserve">both </w:t>
      </w:r>
      <w:r w:rsidRPr="00F17DEE">
        <w:t xml:space="preserve">analyze the information provided by </w:t>
      </w:r>
      <w:r w:rsidR="000605E8">
        <w:t xml:space="preserve">Commission Rule 16.02 </w:t>
      </w:r>
      <w:r w:rsidRPr="00F17DEE" w:rsidR="00F17DEE">
        <w:t>and maintain the data flows required by Commission Rule 16.02</w:t>
      </w:r>
      <w:r w:rsidRPr="00F17DEE">
        <w:t xml:space="preserve">.  </w:t>
      </w:r>
      <w:r w:rsidRPr="00F17DEE" w:rsidR="00F17DEE">
        <w:t xml:space="preserve">The vast majority of </w:t>
      </w:r>
      <w:r w:rsidR="00DC3EA6">
        <w:t>the approximately</w:t>
      </w:r>
      <w:r w:rsidR="000605E8">
        <w:t xml:space="preserve"> 20 </w:t>
      </w:r>
      <w:r w:rsidRPr="00F17DEE" w:rsidR="00F17DEE">
        <w:t>Commission s</w:t>
      </w:r>
      <w:r w:rsidRPr="00F17DEE">
        <w:t xml:space="preserve">taff </w:t>
      </w:r>
      <w:r w:rsidR="00DC3EA6">
        <w:t xml:space="preserve">members </w:t>
      </w:r>
      <w:r w:rsidRPr="00F17DEE">
        <w:t xml:space="preserve">use the information submitted under </w:t>
      </w:r>
      <w:r w:rsidR="000605E8">
        <w:t xml:space="preserve">Commission Rule 16.02 </w:t>
      </w:r>
      <w:r w:rsidRPr="00F17DEE">
        <w:t xml:space="preserve">to conduct trade practice surveillance activities and employ such data in efforts to surveil markets for price distortions, manipulative conduct, and for financial surveillance purposes.  </w:t>
      </w:r>
      <w:r w:rsidRPr="00F17DEE" w:rsidR="00F17DEE">
        <w:t xml:space="preserve">The estimated annual cost to the Commission per new </w:t>
      </w:r>
      <w:r w:rsidR="00BA3803">
        <w:t xml:space="preserve">hire </w:t>
      </w:r>
      <w:r w:rsidRPr="00B8503B" w:rsidR="00BA3803">
        <w:t>is $</w:t>
      </w:r>
      <w:r w:rsidRPr="00B8503B" w:rsidR="005C4301">
        <w:rPr>
          <w:rFonts w:ascii="Segoe UI" w:hAnsi="Segoe UI" w:cs="Segoe UI"/>
          <w:sz w:val="18"/>
          <w:szCs w:val="18"/>
        </w:rPr>
        <w:t xml:space="preserve"> </w:t>
      </w:r>
      <w:r w:rsidRPr="00B8503B" w:rsidR="005C4301">
        <w:t>171,698</w:t>
      </w:r>
      <w:r w:rsidRPr="00B8503B" w:rsidR="00F17DEE">
        <w:t>.</w:t>
      </w:r>
      <w:r>
        <w:rPr>
          <w:vertAlign w:val="superscript"/>
        </w:rPr>
        <w:footnoteReference w:id="5"/>
      </w:r>
      <w:r w:rsidRPr="00F17DEE" w:rsidR="00F17DEE">
        <w:t xml:space="preserve">  Therefore, the total annual aggregate cost to the Commission is $</w:t>
      </w:r>
      <w:r w:rsidR="005C4301">
        <w:t>3,433,960</w:t>
      </w:r>
      <w:r w:rsidR="00F17DEE">
        <w:t>.</w:t>
      </w:r>
    </w:p>
    <w:p w:rsidR="002B3104" w:rsidP="002B3104" w14:paraId="69DD3BF1" w14:textId="77777777">
      <w:pPr>
        <w:keepNext/>
        <w:ind w:left="720" w:hanging="720"/>
        <w:rPr>
          <w:b/>
        </w:rPr>
      </w:pPr>
      <w:r w:rsidRPr="008A6C83">
        <w:rPr>
          <w:b/>
        </w:rPr>
        <w:t>15.</w:t>
      </w:r>
      <w:r w:rsidRPr="008A6C83">
        <w:rPr>
          <w:b/>
        </w:rPr>
        <w:tab/>
        <w:t>Explain the reasons for any program changes or adjustments reported in Items 13 or</w:t>
      </w:r>
      <w:r w:rsidR="001D4C01">
        <w:rPr>
          <w:b/>
        </w:rPr>
        <w:t xml:space="preserve"> </w:t>
      </w:r>
      <w:r w:rsidRPr="008A6C83">
        <w:rPr>
          <w:b/>
        </w:rPr>
        <w:t>14 of the OMB Form 83-I.</w:t>
      </w:r>
    </w:p>
    <w:p w:rsidR="00D214D0" w:rsidP="00D214D0" w14:paraId="67516D22" w14:textId="07119054">
      <w:pPr>
        <w:keepNext/>
        <w:ind w:left="720"/>
      </w:pPr>
      <w:r w:rsidRPr="001C50B9">
        <w:t xml:space="preserve">There are no program changes or adjustments.  The Commission’s estimates of total annual </w:t>
      </w:r>
      <w:r w:rsidR="007A596D">
        <w:t xml:space="preserve">responses and </w:t>
      </w:r>
      <w:r w:rsidRPr="001C50B9">
        <w:t xml:space="preserve">burden hours </w:t>
      </w:r>
      <w:r w:rsidR="0077269A">
        <w:t xml:space="preserve">remain the same as the estimates associated with the </w:t>
      </w:r>
      <w:r w:rsidRPr="001C50B9">
        <w:t xml:space="preserve">prior renewal.  The Commission has </w:t>
      </w:r>
      <w:r w:rsidR="00F251FA">
        <w:t>revised</w:t>
      </w:r>
      <w:r w:rsidRPr="001C50B9">
        <w:t xml:space="preserve"> its </w:t>
      </w:r>
      <w:r w:rsidRPr="001C50B9" w:rsidR="00D6095F">
        <w:t xml:space="preserve">estimate of the associated annual burden hour costs based upon </w:t>
      </w:r>
      <w:r w:rsidR="007A596D">
        <w:t>updated</w:t>
      </w:r>
      <w:r w:rsidRPr="001C50B9" w:rsidR="00D6095F">
        <w:t xml:space="preserve"> Bureau of Labor Statistics </w:t>
      </w:r>
      <w:r w:rsidRPr="001C50B9">
        <w:t>hourly wage rate</w:t>
      </w:r>
      <w:r w:rsidR="00F251FA">
        <w:t xml:space="preserve"> estimate</w:t>
      </w:r>
      <w:r w:rsidRPr="001C50B9" w:rsidR="004E48D8">
        <w:t>s</w:t>
      </w:r>
      <w:r w:rsidRPr="001C50B9">
        <w:t>.</w:t>
      </w:r>
      <w:r>
        <w:rPr>
          <w:rStyle w:val="FootnoteReference"/>
        </w:rPr>
        <w:footnoteReference w:id="6"/>
      </w:r>
    </w:p>
    <w:p w:rsidR="002B3104" w:rsidRPr="008A6C83" w:rsidP="002B3104" w14:paraId="39D4905D" w14:textId="77777777">
      <w:pPr>
        <w:keepNext/>
        <w:ind w:left="720" w:hanging="720"/>
        <w:rPr>
          <w:b/>
        </w:rPr>
      </w:pPr>
      <w:r w:rsidRPr="008A6C83">
        <w:rPr>
          <w:b/>
        </w:rPr>
        <w:t>16.</w:t>
      </w:r>
      <w:r w:rsidRPr="008A6C83">
        <w:rPr>
          <w:b/>
        </w:rPr>
        <w:tab/>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rsidR="002B3104" w:rsidRPr="008A6C83" w:rsidP="002B3104" w14:paraId="2AB2FF8D" w14:textId="77777777">
      <w:pPr>
        <w:ind w:firstLine="720"/>
      </w:pPr>
      <w:r w:rsidRPr="008A6C83">
        <w:t>This question does not apply.</w:t>
      </w:r>
    </w:p>
    <w:p w:rsidR="002B3104" w:rsidRPr="008A6C83" w:rsidP="002B3104" w14:paraId="30028DCE" w14:textId="77777777">
      <w:pPr>
        <w:keepNext/>
        <w:ind w:left="720" w:hanging="720"/>
        <w:rPr>
          <w:b/>
        </w:rPr>
      </w:pPr>
      <w:r w:rsidRPr="008A6C83">
        <w:rPr>
          <w:b/>
        </w:rPr>
        <w:t>17.</w:t>
      </w:r>
      <w:r w:rsidRPr="008A6C83">
        <w:rPr>
          <w:b/>
        </w:rPr>
        <w:tab/>
        <w:t>If seeking approval to not display the expiration date for OMB approval of the information collection, explain the reasons that display would be inappropriate.</w:t>
      </w:r>
    </w:p>
    <w:p w:rsidR="002B3104" w:rsidRPr="008A6C83" w:rsidP="002B3104" w14:paraId="6D06D98C" w14:textId="77777777">
      <w:pPr>
        <w:ind w:firstLine="720"/>
      </w:pPr>
      <w:r w:rsidRPr="008A6C83">
        <w:t>This question does not apply.</w:t>
      </w:r>
    </w:p>
    <w:p w:rsidR="00F56553" w:rsidP="00F56553" w14:paraId="3AD4B52A" w14:textId="5E6A8E31">
      <w:pPr>
        <w:keepNext/>
        <w:numPr>
          <w:ilvl w:val="0"/>
          <w:numId w:val="15"/>
        </w:numPr>
        <w:rPr>
          <w:b/>
        </w:rPr>
      </w:pPr>
      <w:r w:rsidRPr="008A6C83">
        <w:rPr>
          <w:b/>
        </w:rPr>
        <w:t xml:space="preserve">Explain each exception to the certification statement identified in Item 19, </w:t>
      </w:r>
      <w:r w:rsidR="0064488F">
        <w:rPr>
          <w:b/>
        </w:rPr>
        <w:t>“</w:t>
      </w:r>
      <w:r w:rsidRPr="008A6C83">
        <w:rPr>
          <w:b/>
        </w:rPr>
        <w:t>Certification for Paperwork Reduction Act Submissions,</w:t>
      </w:r>
      <w:r w:rsidR="0064488F">
        <w:rPr>
          <w:b/>
        </w:rPr>
        <w:t>”</w:t>
      </w:r>
      <w:r w:rsidRPr="008A6C83">
        <w:rPr>
          <w:b/>
        </w:rPr>
        <w:t xml:space="preserve"> of OMB Form 83-I.</w:t>
      </w:r>
    </w:p>
    <w:p w:rsidR="002B3104" w:rsidP="008F6987" w14:paraId="0D36D5EA" w14:textId="77777777">
      <w:pPr>
        <w:ind w:left="720"/>
      </w:pPr>
      <w:r w:rsidRPr="008A6C83">
        <w:t>This question does not apply.</w:t>
      </w:r>
      <w:r>
        <w:t xml:space="preserve">  </w:t>
      </w:r>
      <w:r w:rsidR="009C5073">
        <w:t>There are no exceptions to the certification statement</w:t>
      </w:r>
      <w:r>
        <w:t>.</w:t>
      </w:r>
    </w:p>
    <w:p w:rsidR="00B04D99" w:rsidRPr="002F51B0" w:rsidP="00E710ED" w14:paraId="0BB93AB1" w14:textId="6DDC7326">
      <w:pPr>
        <w:jc w:val="center"/>
        <w:rPr>
          <w:b/>
          <w:szCs w:val="24"/>
          <w:u w:val="single"/>
        </w:rPr>
      </w:pPr>
      <w:r>
        <w:br w:type="page"/>
      </w:r>
      <w:r w:rsidRPr="002F51B0">
        <w:rPr>
          <w:b/>
          <w:szCs w:val="24"/>
          <w:u w:val="single"/>
        </w:rPr>
        <w:t>Attachment</w:t>
      </w:r>
      <w:r w:rsidRPr="002F51B0" w:rsidR="00217354">
        <w:rPr>
          <w:b/>
          <w:szCs w:val="24"/>
          <w:u w:val="single"/>
        </w:rPr>
        <w:t xml:space="preserve"> A</w:t>
      </w:r>
    </w:p>
    <w:p w:rsidR="00CB4E43" w:rsidRPr="002F51B0" w:rsidP="00E710ED" w14:paraId="063A964B" w14:textId="77777777">
      <w:pPr>
        <w:spacing w:after="360"/>
        <w:jc w:val="center"/>
        <w:rPr>
          <w:b/>
          <w:bCs/>
          <w:szCs w:val="24"/>
        </w:rPr>
      </w:pPr>
      <w:r w:rsidRPr="002F51B0">
        <w:rPr>
          <w:b/>
          <w:bCs/>
          <w:szCs w:val="24"/>
        </w:rPr>
        <w:t>Regulation 16.02 - Daily Trade and Supporting Data Reports</w:t>
      </w:r>
    </w:p>
    <w:tbl>
      <w:tblPr>
        <w:tblW w:w="10763" w:type="dxa"/>
        <w:jc w:val="center"/>
        <w:tblLayout w:type="fixed"/>
        <w:tblCellMar>
          <w:left w:w="0" w:type="dxa"/>
          <w:right w:w="0" w:type="dxa"/>
        </w:tblCellMar>
        <w:tblLook w:val="0000"/>
      </w:tblPr>
      <w:tblGrid>
        <w:gridCol w:w="1345"/>
        <w:gridCol w:w="1440"/>
        <w:gridCol w:w="1445"/>
        <w:gridCol w:w="1530"/>
        <w:gridCol w:w="1255"/>
        <w:gridCol w:w="1175"/>
        <w:gridCol w:w="1260"/>
        <w:gridCol w:w="1313"/>
      </w:tblGrid>
      <w:tr w14:paraId="49AEB05E" w14:textId="77777777" w:rsidTr="0040077B">
        <w:tblPrEx>
          <w:tblW w:w="10763" w:type="dxa"/>
          <w:jc w:val="center"/>
          <w:tblLayout w:type="fixed"/>
          <w:tblCellMar>
            <w:left w:w="0" w:type="dxa"/>
            <w:right w:w="0" w:type="dxa"/>
          </w:tblCellMar>
          <w:tblLook w:val="0000"/>
        </w:tblPrEx>
        <w:trPr>
          <w:trHeight w:val="1203"/>
          <w:jc w:val="center"/>
        </w:trPr>
        <w:tc>
          <w:tcPr>
            <w:tcW w:w="1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3126D" w:rsidRPr="0040077B" w:rsidP="00E710ED" w14:paraId="3A240418" w14:textId="2471329A">
            <w:pPr>
              <w:spacing w:after="0"/>
              <w:jc w:val="center"/>
              <w:rPr>
                <w:b/>
                <w:bCs/>
                <w:sz w:val="22"/>
                <w:szCs w:val="22"/>
              </w:rPr>
            </w:pPr>
            <w:r w:rsidRPr="0040077B">
              <w:rPr>
                <w:b/>
                <w:bCs/>
                <w:sz w:val="22"/>
                <w:szCs w:val="22"/>
              </w:rPr>
              <w:t>1.</w:t>
            </w:r>
          </w:p>
          <w:p w:rsidR="009C5DEF" w:rsidRPr="0040077B" w:rsidP="00E710ED" w14:paraId="6AC02718" w14:textId="7DEAF773">
            <w:pPr>
              <w:spacing w:after="0"/>
              <w:jc w:val="center"/>
              <w:rPr>
                <w:b/>
                <w:bCs/>
                <w:sz w:val="22"/>
                <w:szCs w:val="22"/>
              </w:rPr>
            </w:pPr>
            <w:r w:rsidRPr="0040077B">
              <w:rPr>
                <w:b/>
                <w:bCs/>
                <w:sz w:val="22"/>
                <w:szCs w:val="22"/>
              </w:rPr>
              <w:t>Type of Respondent</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3126D" w:rsidRPr="0040077B" w:rsidP="00E710ED" w14:paraId="0454D99B" w14:textId="0F12181A">
            <w:pPr>
              <w:spacing w:after="0"/>
              <w:jc w:val="center"/>
              <w:rPr>
                <w:b/>
                <w:bCs/>
                <w:sz w:val="22"/>
                <w:szCs w:val="22"/>
              </w:rPr>
            </w:pPr>
            <w:r w:rsidRPr="0040077B">
              <w:rPr>
                <w:b/>
                <w:bCs/>
                <w:sz w:val="22"/>
                <w:szCs w:val="22"/>
              </w:rPr>
              <w:t>2.</w:t>
            </w:r>
          </w:p>
          <w:p w:rsidR="009C5DEF" w:rsidRPr="0040077B" w:rsidP="00E710ED" w14:paraId="68A8AD71" w14:textId="1CB91B31">
            <w:pPr>
              <w:spacing w:after="0"/>
              <w:jc w:val="center"/>
              <w:rPr>
                <w:b/>
                <w:bCs/>
                <w:sz w:val="22"/>
                <w:szCs w:val="22"/>
              </w:rPr>
            </w:pPr>
            <w:r w:rsidRPr="0040077B">
              <w:rPr>
                <w:b/>
                <w:bCs/>
                <w:sz w:val="22"/>
                <w:szCs w:val="22"/>
              </w:rPr>
              <w:t>Estimated Number of Respondents</w:t>
            </w:r>
          </w:p>
        </w:tc>
        <w:tc>
          <w:tcPr>
            <w:tcW w:w="1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2530C" w:rsidRPr="0040077B" w:rsidP="00E710ED" w14:paraId="02FB99A6" w14:textId="47F5AB6B">
            <w:pPr>
              <w:spacing w:after="0"/>
              <w:jc w:val="center"/>
              <w:rPr>
                <w:b/>
                <w:bCs/>
                <w:sz w:val="22"/>
                <w:szCs w:val="22"/>
              </w:rPr>
            </w:pPr>
            <w:r w:rsidRPr="0040077B">
              <w:rPr>
                <w:b/>
                <w:bCs/>
                <w:sz w:val="22"/>
                <w:szCs w:val="22"/>
              </w:rPr>
              <w:t>3.</w:t>
            </w:r>
          </w:p>
          <w:p w:rsidR="009C5DEF" w:rsidRPr="0040077B" w:rsidP="00E710ED" w14:paraId="2A12AD35" w14:textId="443366CD">
            <w:pPr>
              <w:spacing w:after="0"/>
              <w:jc w:val="center"/>
              <w:rPr>
                <w:b/>
                <w:bCs/>
                <w:sz w:val="22"/>
                <w:szCs w:val="22"/>
              </w:rPr>
            </w:pPr>
            <w:r w:rsidRPr="0040077B">
              <w:rPr>
                <w:b/>
                <w:bCs/>
                <w:sz w:val="22"/>
                <w:szCs w:val="22"/>
              </w:rPr>
              <w:t>Report or Record</w:t>
            </w:r>
          </w:p>
        </w:tc>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2530C" w:rsidRPr="0040077B" w:rsidP="00E710ED" w14:paraId="34C99C75" w14:textId="22C01ED4">
            <w:pPr>
              <w:spacing w:after="0"/>
              <w:jc w:val="center"/>
              <w:rPr>
                <w:b/>
                <w:bCs/>
                <w:sz w:val="22"/>
                <w:szCs w:val="22"/>
              </w:rPr>
            </w:pPr>
            <w:r w:rsidRPr="0040077B">
              <w:rPr>
                <w:b/>
                <w:bCs/>
                <w:sz w:val="22"/>
                <w:szCs w:val="22"/>
              </w:rPr>
              <w:t>4.</w:t>
            </w:r>
          </w:p>
          <w:p w:rsidR="009C5DEF" w:rsidRPr="0040077B" w:rsidP="00E710ED" w14:paraId="298B85F9" w14:textId="36BE121C">
            <w:pPr>
              <w:spacing w:after="0"/>
              <w:jc w:val="center"/>
              <w:rPr>
                <w:b/>
                <w:bCs/>
                <w:sz w:val="22"/>
                <w:szCs w:val="22"/>
              </w:rPr>
            </w:pPr>
            <w:r w:rsidRPr="0040077B">
              <w:rPr>
                <w:b/>
                <w:bCs/>
                <w:sz w:val="22"/>
                <w:szCs w:val="22"/>
              </w:rPr>
              <w:t>Average Reports Annually by Each Respondent</w:t>
            </w:r>
          </w:p>
        </w:tc>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2530C" w:rsidRPr="0040077B" w:rsidP="00E710ED" w14:paraId="49ECABD2" w14:textId="77777777">
            <w:pPr>
              <w:spacing w:after="0"/>
              <w:jc w:val="center"/>
              <w:rPr>
                <w:b/>
                <w:bCs/>
                <w:sz w:val="22"/>
                <w:szCs w:val="22"/>
              </w:rPr>
            </w:pPr>
            <w:r w:rsidRPr="0040077B">
              <w:rPr>
                <w:b/>
                <w:bCs/>
                <w:sz w:val="22"/>
                <w:szCs w:val="22"/>
              </w:rPr>
              <w:t>5.</w:t>
            </w:r>
          </w:p>
          <w:p w:rsidR="009C5DEF" w:rsidRPr="0040077B" w:rsidP="00E710ED" w14:paraId="64195529" w14:textId="77777777">
            <w:pPr>
              <w:spacing w:after="0"/>
              <w:jc w:val="center"/>
              <w:rPr>
                <w:b/>
                <w:bCs/>
                <w:sz w:val="22"/>
                <w:szCs w:val="22"/>
              </w:rPr>
            </w:pPr>
            <w:r w:rsidRPr="0040077B">
              <w:rPr>
                <w:b/>
                <w:bCs/>
                <w:sz w:val="22"/>
                <w:szCs w:val="22"/>
              </w:rPr>
              <w:t>Total Annual Responses</w:t>
            </w:r>
          </w:p>
          <w:p w:rsidR="00D30455" w:rsidRPr="0040077B" w:rsidP="00E710ED" w14:paraId="689F7261" w14:textId="32B2F5AF">
            <w:pPr>
              <w:spacing w:after="0"/>
              <w:jc w:val="center"/>
              <w:rPr>
                <w:b/>
                <w:bCs/>
                <w:sz w:val="22"/>
                <w:szCs w:val="22"/>
              </w:rPr>
            </w:pPr>
            <w:r w:rsidRPr="0040077B">
              <w:rPr>
                <w:b/>
                <w:bCs/>
                <w:sz w:val="22"/>
                <w:szCs w:val="22"/>
              </w:rPr>
              <w:t>(2×</w:t>
            </w:r>
            <w:r w:rsidRPr="0040077B" w:rsidR="00332E35">
              <w:rPr>
                <w:b/>
                <w:bCs/>
                <w:sz w:val="22"/>
                <w:szCs w:val="22"/>
              </w:rPr>
              <w:t>4)</w:t>
            </w:r>
          </w:p>
        </w:tc>
        <w:tc>
          <w:tcPr>
            <w:tcW w:w="11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2530C" w:rsidRPr="0040077B" w:rsidP="00E710ED" w14:paraId="6AA4D6EC" w14:textId="3EBE9198">
            <w:pPr>
              <w:spacing w:after="0"/>
              <w:jc w:val="center"/>
              <w:rPr>
                <w:b/>
                <w:bCs/>
                <w:sz w:val="22"/>
                <w:szCs w:val="22"/>
              </w:rPr>
            </w:pPr>
            <w:r w:rsidRPr="0040077B">
              <w:rPr>
                <w:b/>
                <w:bCs/>
                <w:sz w:val="22"/>
                <w:szCs w:val="22"/>
              </w:rPr>
              <w:t>6.</w:t>
            </w:r>
          </w:p>
          <w:p w:rsidR="009C5DEF" w:rsidRPr="0040077B" w:rsidP="00E710ED" w14:paraId="47F3D3AC" w14:textId="1788800B">
            <w:pPr>
              <w:spacing w:after="0"/>
              <w:jc w:val="center"/>
              <w:rPr>
                <w:b/>
                <w:bCs/>
                <w:sz w:val="22"/>
                <w:szCs w:val="22"/>
              </w:rPr>
            </w:pPr>
            <w:r w:rsidRPr="0040077B">
              <w:rPr>
                <w:b/>
                <w:bCs/>
                <w:sz w:val="22"/>
                <w:szCs w:val="22"/>
              </w:rPr>
              <w:t>Estimated Number of Hours Per Response</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2530C" w:rsidRPr="0040077B" w:rsidP="00E710ED" w14:paraId="15BA0FD0" w14:textId="77777777">
            <w:pPr>
              <w:spacing w:after="0"/>
              <w:jc w:val="center"/>
              <w:rPr>
                <w:b/>
                <w:bCs/>
                <w:sz w:val="22"/>
                <w:szCs w:val="22"/>
              </w:rPr>
            </w:pPr>
            <w:r w:rsidRPr="0040077B">
              <w:rPr>
                <w:b/>
                <w:bCs/>
                <w:sz w:val="22"/>
                <w:szCs w:val="22"/>
              </w:rPr>
              <w:t>7.</w:t>
            </w:r>
          </w:p>
          <w:p w:rsidR="009C5DEF" w:rsidRPr="0040077B" w:rsidP="00E710ED" w14:paraId="588269DE" w14:textId="77777777">
            <w:pPr>
              <w:spacing w:after="0"/>
              <w:jc w:val="center"/>
              <w:rPr>
                <w:b/>
                <w:bCs/>
                <w:sz w:val="22"/>
                <w:szCs w:val="22"/>
              </w:rPr>
            </w:pPr>
            <w:r w:rsidRPr="0040077B">
              <w:rPr>
                <w:b/>
                <w:bCs/>
                <w:sz w:val="22"/>
                <w:szCs w:val="22"/>
              </w:rPr>
              <w:t xml:space="preserve">Annual Burden </w:t>
            </w:r>
            <w:r w:rsidRPr="0040077B" w:rsidR="00227D70">
              <w:rPr>
                <w:b/>
                <w:bCs/>
                <w:sz w:val="22"/>
                <w:szCs w:val="22"/>
              </w:rPr>
              <w:t>Hours</w:t>
            </w:r>
          </w:p>
          <w:p w:rsidR="00332E35" w:rsidRPr="0040077B" w:rsidP="00E710ED" w14:paraId="700C3E8E" w14:textId="30AF1858">
            <w:pPr>
              <w:spacing w:after="0"/>
              <w:jc w:val="center"/>
              <w:rPr>
                <w:b/>
                <w:bCs/>
                <w:sz w:val="22"/>
                <w:szCs w:val="22"/>
              </w:rPr>
            </w:pPr>
            <w:r w:rsidRPr="0040077B">
              <w:rPr>
                <w:b/>
                <w:bCs/>
                <w:sz w:val="22"/>
                <w:szCs w:val="22"/>
              </w:rPr>
              <w:t>(5×6)</w:t>
            </w:r>
          </w:p>
        </w:tc>
        <w:tc>
          <w:tcPr>
            <w:tcW w:w="1313" w:type="dxa"/>
            <w:tcBorders>
              <w:top w:val="single" w:sz="4" w:space="0" w:color="auto"/>
              <w:left w:val="single" w:sz="4" w:space="0" w:color="auto"/>
              <w:bottom w:val="single" w:sz="4" w:space="0" w:color="auto"/>
              <w:right w:val="single" w:sz="4" w:space="0" w:color="auto"/>
            </w:tcBorders>
          </w:tcPr>
          <w:p w:rsidR="00D2530C" w:rsidRPr="0040077B" w:rsidP="00E710ED" w14:paraId="6E8F600D" w14:textId="77777777">
            <w:pPr>
              <w:spacing w:before="240" w:after="0"/>
              <w:jc w:val="center"/>
              <w:rPr>
                <w:b/>
                <w:bCs/>
                <w:sz w:val="22"/>
                <w:szCs w:val="22"/>
              </w:rPr>
            </w:pPr>
            <w:r w:rsidRPr="0040077B">
              <w:rPr>
                <w:b/>
                <w:bCs/>
                <w:sz w:val="22"/>
                <w:szCs w:val="22"/>
              </w:rPr>
              <w:t>8.</w:t>
            </w:r>
          </w:p>
          <w:p w:rsidR="00FA6A7C" w:rsidRPr="0040077B" w:rsidP="00E710ED" w14:paraId="4FDF6EE9" w14:textId="4D42FDBB">
            <w:pPr>
              <w:spacing w:after="0"/>
              <w:jc w:val="center"/>
              <w:rPr>
                <w:b/>
                <w:bCs/>
                <w:sz w:val="22"/>
                <w:szCs w:val="22"/>
              </w:rPr>
            </w:pPr>
            <w:r w:rsidRPr="0040077B">
              <w:rPr>
                <w:b/>
                <w:bCs/>
                <w:sz w:val="22"/>
                <w:szCs w:val="22"/>
              </w:rPr>
              <w:t>Annual Burden Cost</w:t>
            </w:r>
            <w:r>
              <w:rPr>
                <w:rStyle w:val="FootnoteReference"/>
                <w:sz w:val="22"/>
                <w:szCs w:val="22"/>
              </w:rPr>
              <w:footnoteReference w:id="7"/>
            </w:r>
          </w:p>
        </w:tc>
      </w:tr>
      <w:tr w14:paraId="572102D3" w14:textId="77777777" w:rsidTr="0040077B">
        <w:tblPrEx>
          <w:tblW w:w="10763" w:type="dxa"/>
          <w:jc w:val="center"/>
          <w:tblLayout w:type="fixed"/>
          <w:tblCellMar>
            <w:left w:w="0" w:type="dxa"/>
            <w:right w:w="0" w:type="dxa"/>
          </w:tblCellMar>
          <w:tblLook w:val="0000"/>
        </w:tblPrEx>
        <w:trPr>
          <w:jc w:val="center"/>
        </w:trPr>
        <w:tc>
          <w:tcPr>
            <w:tcW w:w="1345"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rsidR="009C5DEF" w:rsidRPr="0040077B" w:rsidP="0040077B" w14:paraId="4DB0EA2D" w14:textId="77777777">
            <w:pPr>
              <w:jc w:val="center"/>
              <w:rPr>
                <w:sz w:val="22"/>
                <w:szCs w:val="22"/>
              </w:rPr>
            </w:pPr>
            <w:r w:rsidRPr="0040077B">
              <w:rPr>
                <w:sz w:val="22"/>
                <w:szCs w:val="22"/>
              </w:rPr>
              <w:t>Reporting Markets</w:t>
            </w:r>
          </w:p>
        </w:tc>
        <w:tc>
          <w:tcPr>
            <w:tcW w:w="1440"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9C5DEF" w:rsidRPr="0040077B" w:rsidP="00E710ED" w14:paraId="1714ACFF" w14:textId="6DA9160E">
            <w:pPr>
              <w:jc w:val="center"/>
              <w:rPr>
                <w:sz w:val="22"/>
                <w:szCs w:val="22"/>
              </w:rPr>
            </w:pPr>
            <w:r w:rsidRPr="0040077B">
              <w:rPr>
                <w:sz w:val="22"/>
                <w:szCs w:val="22"/>
              </w:rPr>
              <w:t>20</w:t>
            </w:r>
          </w:p>
        </w:tc>
        <w:tc>
          <w:tcPr>
            <w:tcW w:w="1445"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9C5DEF" w:rsidRPr="0040077B" w:rsidP="00E710ED" w14:paraId="0F3D74A7" w14:textId="77777777">
            <w:pPr>
              <w:jc w:val="center"/>
              <w:rPr>
                <w:sz w:val="22"/>
                <w:szCs w:val="22"/>
              </w:rPr>
            </w:pPr>
            <w:r w:rsidRPr="0040077B">
              <w:rPr>
                <w:sz w:val="22"/>
                <w:szCs w:val="22"/>
              </w:rPr>
              <w:t>Daily Trade and Supporting Data Reports (R. 16.02)</w:t>
            </w:r>
          </w:p>
        </w:tc>
        <w:tc>
          <w:tcPr>
            <w:tcW w:w="1530"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9C5DEF" w:rsidRPr="0040077B" w:rsidP="00E710ED" w14:paraId="43B0DF1E" w14:textId="0AC011F9">
            <w:pPr>
              <w:jc w:val="center"/>
              <w:rPr>
                <w:sz w:val="22"/>
                <w:szCs w:val="22"/>
              </w:rPr>
            </w:pPr>
            <w:r w:rsidRPr="0040077B">
              <w:rPr>
                <w:sz w:val="22"/>
                <w:szCs w:val="22"/>
              </w:rPr>
              <w:t>250</w:t>
            </w:r>
          </w:p>
        </w:tc>
        <w:tc>
          <w:tcPr>
            <w:tcW w:w="1255"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9C5DEF" w:rsidRPr="0040077B" w:rsidP="00E710ED" w14:paraId="736C616E" w14:textId="057E2CBE">
            <w:pPr>
              <w:jc w:val="center"/>
              <w:rPr>
                <w:sz w:val="22"/>
                <w:szCs w:val="22"/>
              </w:rPr>
            </w:pPr>
            <w:r w:rsidRPr="0040077B">
              <w:rPr>
                <w:sz w:val="22"/>
                <w:szCs w:val="22"/>
              </w:rPr>
              <w:t>5,000</w:t>
            </w:r>
          </w:p>
        </w:tc>
        <w:tc>
          <w:tcPr>
            <w:tcW w:w="1175"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9C5DEF" w:rsidRPr="0040077B" w:rsidP="00E710ED" w14:paraId="1FE2A981" w14:textId="548719BD">
            <w:pPr>
              <w:jc w:val="center"/>
              <w:rPr>
                <w:sz w:val="22"/>
                <w:szCs w:val="22"/>
              </w:rPr>
            </w:pPr>
            <w:r w:rsidRPr="0040077B">
              <w:rPr>
                <w:sz w:val="22"/>
                <w:szCs w:val="22"/>
              </w:rPr>
              <w:t>2</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C5DEF" w:rsidRPr="0040077B" w:rsidP="00E710ED" w14:paraId="558D8D1C" w14:textId="5DF341A6">
            <w:pPr>
              <w:jc w:val="center"/>
              <w:rPr>
                <w:sz w:val="22"/>
                <w:szCs w:val="22"/>
              </w:rPr>
            </w:pPr>
            <w:r w:rsidRPr="0040077B">
              <w:rPr>
                <w:sz w:val="22"/>
                <w:szCs w:val="22"/>
              </w:rPr>
              <w:t>10,000</w:t>
            </w:r>
          </w:p>
        </w:tc>
        <w:tc>
          <w:tcPr>
            <w:tcW w:w="1313" w:type="dxa"/>
            <w:tcBorders>
              <w:top w:val="single" w:sz="4" w:space="0" w:color="auto"/>
              <w:left w:val="single" w:sz="4" w:space="0" w:color="auto"/>
              <w:bottom w:val="single" w:sz="4" w:space="0" w:color="auto"/>
              <w:right w:val="single" w:sz="4" w:space="0" w:color="auto"/>
            </w:tcBorders>
            <w:vAlign w:val="center"/>
          </w:tcPr>
          <w:p w:rsidR="00FA6A7C" w:rsidRPr="0040077B" w:rsidP="0040077B" w14:paraId="326B3D72" w14:textId="6C3B4E27">
            <w:pPr>
              <w:jc w:val="center"/>
              <w:rPr>
                <w:sz w:val="22"/>
                <w:szCs w:val="22"/>
              </w:rPr>
            </w:pPr>
            <w:r w:rsidRPr="0040077B">
              <w:rPr>
                <w:sz w:val="22"/>
                <w:szCs w:val="22"/>
              </w:rPr>
              <w:t>$</w:t>
            </w:r>
            <w:r w:rsidRPr="0040077B" w:rsidR="008D7889">
              <w:rPr>
                <w:sz w:val="22"/>
                <w:szCs w:val="22"/>
              </w:rPr>
              <w:t>1,026,200</w:t>
            </w:r>
          </w:p>
        </w:tc>
      </w:tr>
    </w:tbl>
    <w:p w:rsidR="00B04D99" w:rsidP="00B04D99" w14:paraId="28762C46" w14:textId="77777777">
      <w:pPr>
        <w:jc w:val="center"/>
        <w:rPr>
          <w:rFonts w:ascii="Arial" w:hAnsi="Arial"/>
          <w:b/>
        </w:rPr>
      </w:pPr>
    </w:p>
    <w:sectPr w:rsidSect="000C75B5">
      <w:footerReference w:type="even" r:id="rId9"/>
      <w:footerReference w:type="default" r:id="rId10"/>
      <w:pgSz w:w="12240" w:h="15840"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42A7" w:rsidP="00BE76D5" w14:paraId="2D5F6A20"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A42A7" w14:paraId="40772A7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86251215"/>
      <w:docPartObj>
        <w:docPartGallery w:val="Page Numbers (Bottom of Page)"/>
        <w:docPartUnique/>
      </w:docPartObj>
    </w:sdtPr>
    <w:sdtEndPr>
      <w:rPr>
        <w:noProof/>
      </w:rPr>
    </w:sdtEndPr>
    <w:sdtContent>
      <w:p w:rsidR="00E41C79" w14:paraId="6B4EEFEE" w14:textId="77777777">
        <w:pPr>
          <w:pStyle w:val="Footer"/>
          <w:jc w:val="center"/>
        </w:pPr>
        <w:r>
          <w:fldChar w:fldCharType="begin"/>
        </w:r>
        <w:r>
          <w:instrText xml:space="preserve"> PAGE   \* MERGEFORMAT </w:instrText>
        </w:r>
        <w:r>
          <w:fldChar w:fldCharType="separate"/>
        </w:r>
        <w:r w:rsidR="002F774A">
          <w:rPr>
            <w:noProof/>
          </w:rPr>
          <w:t>8</w:t>
        </w:r>
        <w:r>
          <w:rPr>
            <w:noProof/>
          </w:rPr>
          <w:fldChar w:fldCharType="end"/>
        </w:r>
      </w:p>
    </w:sdtContent>
  </w:sdt>
  <w:p w:rsidR="004A42A7" w14:paraId="4E57810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D3AAD" w14:paraId="44B091A0" w14:textId="77777777">
      <w:r>
        <w:separator/>
      </w:r>
    </w:p>
  </w:footnote>
  <w:footnote w:type="continuationSeparator" w:id="1">
    <w:p w:rsidR="00AD3AAD" w14:paraId="65A4EBA5" w14:textId="77777777">
      <w:r>
        <w:continuationSeparator/>
      </w:r>
    </w:p>
  </w:footnote>
  <w:footnote w:id="2">
    <w:p w:rsidR="00A06BA5" w:rsidP="00A06BA5" w14:paraId="5797990B" w14:textId="5814F1EA">
      <w:pPr>
        <w:pStyle w:val="FootnoteText"/>
        <w:spacing w:after="0"/>
      </w:pPr>
      <w:r>
        <w:rPr>
          <w:rStyle w:val="FootnoteReference"/>
        </w:rPr>
        <w:footnoteRef/>
      </w:r>
      <w:r>
        <w:t xml:space="preserve"> The CFTC Reauthorization Act of 2008 was incorporated into the Food, Conservation and Energy Act of 2008 as Title XIII of that legislation, Pub.</w:t>
      </w:r>
      <w:r w:rsidR="003317FB">
        <w:t xml:space="preserve"> </w:t>
      </w:r>
      <w:r>
        <w:t>L. No. 110-246 (June 18, 2008).</w:t>
      </w:r>
    </w:p>
  </w:footnote>
  <w:footnote w:id="3">
    <w:p w:rsidR="0073756A" w:rsidRPr="00F54D82" w:rsidP="0073756A" w14:paraId="6DD72817" w14:textId="77777777">
      <w:pPr>
        <w:pStyle w:val="FootnoteText"/>
      </w:pPr>
      <w:r w:rsidRPr="00F54D82">
        <w:rPr>
          <w:rStyle w:val="FootnoteReference"/>
        </w:rPr>
        <w:footnoteRef/>
      </w:r>
      <w:r w:rsidRPr="00F54D82">
        <w:t xml:space="preserve"> See 17 CFR 145.</w:t>
      </w:r>
    </w:p>
  </w:footnote>
  <w:footnote w:id="4">
    <w:p w:rsidR="004F56DC" w:rsidP="004F56DC" w14:paraId="7229E62D" w14:textId="5F558CE9">
      <w:pPr>
        <w:pStyle w:val="FootnoteText"/>
      </w:pPr>
      <w:r>
        <w:rPr>
          <w:rStyle w:val="FootnoteReference"/>
        </w:rPr>
        <w:footnoteRef/>
      </w:r>
      <w:r>
        <w:t xml:space="preserve"> The BLS Occupational Employment and Wages Report is available at </w:t>
      </w:r>
      <w:hyperlink r:id="rId1" w:history="1">
        <w:r>
          <w:rPr>
            <w:rStyle w:val="Hyperlink"/>
          </w:rPr>
          <w:t>https://www.bls.gov/oes/current/naics4_523000.htm</w:t>
        </w:r>
      </w:hyperlink>
      <w:r>
        <w:t>. </w:t>
      </w:r>
      <w:r w:rsidR="00A512E8">
        <w:t xml:space="preserve">Wage </w:t>
      </w:r>
      <w:r w:rsidR="00926C67">
        <w:t>estimates</w:t>
      </w:r>
      <w:r w:rsidR="00A512E8">
        <w:t xml:space="preserve"> for the occupation </w:t>
      </w:r>
      <w:r w:rsidRPr="00F54D82" w:rsidR="00A512E8">
        <w:t>“</w:t>
      </w:r>
      <w:r w:rsidR="00A512E8">
        <w:t>computer progr</w:t>
      </w:r>
      <w:r w:rsidRPr="00F54D82" w:rsidR="00A512E8">
        <w:t>ammer</w:t>
      </w:r>
      <w:r w:rsidR="00A512E8">
        <w:t xml:space="preserve"> - industry: securities, commodity contracts, and other financial investment and related activities,” </w:t>
      </w:r>
      <w:r w:rsidR="00926C67">
        <w:t>were</w:t>
      </w:r>
      <w:r w:rsidR="00A512E8">
        <w:t xml:space="preserve"> not </w:t>
      </w:r>
      <w:r w:rsidR="00926C67">
        <w:t xml:space="preserve">provided in the May 2024 Report, so </w:t>
      </w:r>
      <w:r w:rsidR="00AA717C">
        <w:t xml:space="preserve">for that occupation, </w:t>
      </w:r>
      <w:r w:rsidR="00926C67">
        <w:t>Commission staff used the</w:t>
      </w:r>
      <w:r w:rsidR="00FA4F5C">
        <w:t xml:space="preserve"> hourly mean wage</w:t>
      </w:r>
      <w:r w:rsidR="00926C67">
        <w:t xml:space="preserve"> estimate</w:t>
      </w:r>
      <w:r w:rsidR="009E0490">
        <w:t xml:space="preserve"> </w:t>
      </w:r>
      <w:r w:rsidR="00926C67">
        <w:t>from the May 2023 Report.</w:t>
      </w:r>
    </w:p>
  </w:footnote>
  <w:footnote w:id="5">
    <w:p w:rsidR="00F17DEE" w:rsidRPr="00F54D82" w:rsidP="00F17DEE" w14:paraId="4C7034DF" w14:textId="5AABC8CE">
      <w:pPr>
        <w:pStyle w:val="FootnoteText"/>
      </w:pPr>
      <w:r w:rsidRPr="00F54D82">
        <w:rPr>
          <w:rStyle w:val="FootnoteReference"/>
        </w:rPr>
        <w:footnoteRef/>
      </w:r>
      <w:r w:rsidRPr="00F54D82">
        <w:t xml:space="preserve"> This figure is a composite of the salaries for economists (Grade 11-13) and attorneys (Grade 11-14) in the Commission’s Division of Market Oversight.  In obtaining the composite, Com</w:t>
      </w:r>
      <w:r w:rsidR="004F56DC">
        <w:t xml:space="preserve">mission staff used the CFTC </w:t>
      </w:r>
      <w:r w:rsidR="00A901AE">
        <w:t xml:space="preserve">2025 </w:t>
      </w:r>
      <w:r w:rsidRPr="00F54D82">
        <w:t>Washington Pay Chart (with adjusted locality pay).  This figure does not include employee benefits.</w:t>
      </w:r>
    </w:p>
  </w:footnote>
  <w:footnote w:id="6">
    <w:p w:rsidR="00D214D0" w:rsidP="00D214D0" w14:paraId="07A937D7" w14:textId="1EFE4EF5">
      <w:pPr>
        <w:pStyle w:val="FootnoteText"/>
      </w:pPr>
      <w:r>
        <w:rPr>
          <w:rStyle w:val="FootnoteReference"/>
        </w:rPr>
        <w:footnoteRef/>
      </w:r>
      <w:r>
        <w:t xml:space="preserve">  The current estimated wage rate is based on wage information contained in the most recent BLS Occupational Employment and Wages Report</w:t>
      </w:r>
      <w:r w:rsidR="007632DB">
        <w:t>s</w:t>
      </w:r>
      <w:r>
        <w:t xml:space="preserve"> (May 20</w:t>
      </w:r>
      <w:r w:rsidR="000A30FE">
        <w:t>2</w:t>
      </w:r>
      <w:r w:rsidR="007632DB">
        <w:t>3 and May 2024</w:t>
      </w:r>
      <w:r w:rsidR="00B8503B">
        <w:t>).</w:t>
      </w:r>
    </w:p>
  </w:footnote>
  <w:footnote w:id="7">
    <w:p w:rsidR="00332E35" w:rsidP="00332E35" w14:paraId="1E0CD776" w14:textId="77777777">
      <w:pPr>
        <w:pStyle w:val="FootnoteText"/>
      </w:pPr>
      <w:r>
        <w:rPr>
          <w:rStyle w:val="FootnoteReference"/>
        </w:rPr>
        <w:footnoteRef/>
      </w:r>
      <w:r>
        <w:t xml:space="preserve"> </w:t>
      </w:r>
      <w:r w:rsidRPr="00306656">
        <w:rPr>
          <w:i/>
        </w:rPr>
        <w:t>See</w:t>
      </w:r>
      <w:r>
        <w:t xml:space="preserve"> Response # 12 on p. 6: respondent’s hourly salary times column g ($102.62 × 10,000 burden hours).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ED21B0"/>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1">
    <w:nsid w:val="042249C4"/>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2">
    <w:nsid w:val="0531597B"/>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3">
    <w:nsid w:val="1B3452A6"/>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4">
    <w:nsid w:val="1C244709"/>
    <w:multiLevelType w:val="singleLevel"/>
    <w:tmpl w:val="E3CA438C"/>
    <w:lvl w:ilvl="0">
      <w:start w:val="18"/>
      <w:numFmt w:val="decimal"/>
      <w:lvlText w:val="%1."/>
      <w:lvlJc w:val="left"/>
      <w:pPr>
        <w:tabs>
          <w:tab w:val="num" w:pos="720"/>
        </w:tabs>
        <w:ind w:left="720" w:hanging="720"/>
      </w:pPr>
      <w:rPr>
        <w:rFonts w:hint="default"/>
      </w:rPr>
    </w:lvl>
  </w:abstractNum>
  <w:abstractNum w:abstractNumId="5">
    <w:nsid w:val="21521112"/>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6">
    <w:nsid w:val="40345A45"/>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7">
    <w:nsid w:val="47F36AE3"/>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8">
    <w:nsid w:val="483555B5"/>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9">
    <w:nsid w:val="4C331615"/>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10">
    <w:nsid w:val="51A20CC7"/>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11">
    <w:nsid w:val="6109749F"/>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12">
    <w:nsid w:val="66312B2C"/>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13">
    <w:nsid w:val="6DB21C3A"/>
    <w:multiLevelType w:val="hybridMultilevel"/>
    <w:tmpl w:val="F86876E6"/>
    <w:lvl w:ilvl="0">
      <w:start w:val="1"/>
      <w:numFmt w:val="bullet"/>
      <w:lvlText w:val=""/>
      <w:lvlJc w:val="left"/>
      <w:pPr>
        <w:tabs>
          <w:tab w:val="num" w:pos="1080"/>
        </w:tabs>
        <w:ind w:left="1080" w:hanging="360"/>
      </w:pPr>
      <w:rPr>
        <w:rFonts w:ascii="Symbol" w:hAnsi="Symbol" w:hint="default"/>
        <w:color w:val="auto"/>
        <w:sz w:val="24"/>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4">
    <w:nsid w:val="6E2C5016"/>
    <w:multiLevelType w:val="hybridMultilevel"/>
    <w:tmpl w:val="4FFE33BC"/>
    <w:lvl w:ilvl="0">
      <w:start w:val="1"/>
      <w:numFmt w:val="bullet"/>
      <w:lvlText w:val=""/>
      <w:lvlJc w:val="left"/>
      <w:pPr>
        <w:tabs>
          <w:tab w:val="num" w:pos="1080"/>
        </w:tabs>
        <w:ind w:left="1080" w:hanging="360"/>
      </w:pPr>
      <w:rPr>
        <w:rFonts w:ascii="Symbol" w:hAnsi="Symbol" w:hint="default"/>
        <w:color w:val="auto"/>
        <w:sz w:val="24"/>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5">
    <w:nsid w:val="6F9E59C7"/>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16">
    <w:nsid w:val="7B3C0AC2"/>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17">
    <w:nsid w:val="7D85388B"/>
    <w:multiLevelType w:val="hybridMultilevel"/>
    <w:tmpl w:val="AB4E79B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586961256">
    <w:abstractNumId w:val="1"/>
  </w:num>
  <w:num w:numId="2" w16cid:durableId="293996570">
    <w:abstractNumId w:val="3"/>
  </w:num>
  <w:num w:numId="3" w16cid:durableId="1389106811">
    <w:abstractNumId w:val="16"/>
  </w:num>
  <w:num w:numId="4" w16cid:durableId="118770185">
    <w:abstractNumId w:val="8"/>
  </w:num>
  <w:num w:numId="5" w16cid:durableId="1131361615">
    <w:abstractNumId w:val="6"/>
  </w:num>
  <w:num w:numId="6" w16cid:durableId="1875077870">
    <w:abstractNumId w:val="7"/>
  </w:num>
  <w:num w:numId="7" w16cid:durableId="1716343780">
    <w:abstractNumId w:val="9"/>
  </w:num>
  <w:num w:numId="8" w16cid:durableId="939408719">
    <w:abstractNumId w:val="12"/>
  </w:num>
  <w:num w:numId="9" w16cid:durableId="342560448">
    <w:abstractNumId w:val="11"/>
  </w:num>
  <w:num w:numId="10" w16cid:durableId="1470704246">
    <w:abstractNumId w:val="10"/>
  </w:num>
  <w:num w:numId="11" w16cid:durableId="1876963281">
    <w:abstractNumId w:val="15"/>
  </w:num>
  <w:num w:numId="12" w16cid:durableId="1450709631">
    <w:abstractNumId w:val="0"/>
  </w:num>
  <w:num w:numId="13" w16cid:durableId="560487225">
    <w:abstractNumId w:val="5"/>
  </w:num>
  <w:num w:numId="14" w16cid:durableId="1583905418">
    <w:abstractNumId w:val="2"/>
  </w:num>
  <w:num w:numId="15" w16cid:durableId="1192651786">
    <w:abstractNumId w:val="4"/>
  </w:num>
  <w:num w:numId="16" w16cid:durableId="1326394964">
    <w:abstractNumId w:val="17"/>
  </w:num>
  <w:num w:numId="17" w16cid:durableId="1496342814">
    <w:abstractNumId w:val="13"/>
  </w:num>
  <w:num w:numId="18" w16cid:durableId="47364739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57"/>
  <w:displayVerticalDrawingGridEvery w:val="2"/>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104"/>
    <w:rsid w:val="000002EE"/>
    <w:rsid w:val="00000D33"/>
    <w:rsid w:val="000011B2"/>
    <w:rsid w:val="00001857"/>
    <w:rsid w:val="00001DCD"/>
    <w:rsid w:val="00005FF6"/>
    <w:rsid w:val="00016D97"/>
    <w:rsid w:val="0001776B"/>
    <w:rsid w:val="000232F0"/>
    <w:rsid w:val="00024314"/>
    <w:rsid w:val="00030EBB"/>
    <w:rsid w:val="0003126D"/>
    <w:rsid w:val="000341C4"/>
    <w:rsid w:val="000423F3"/>
    <w:rsid w:val="00057324"/>
    <w:rsid w:val="000600B6"/>
    <w:rsid w:val="000605D8"/>
    <w:rsid w:val="000605E8"/>
    <w:rsid w:val="00063FBB"/>
    <w:rsid w:val="00064F7E"/>
    <w:rsid w:val="0006520C"/>
    <w:rsid w:val="00065329"/>
    <w:rsid w:val="00074FA7"/>
    <w:rsid w:val="000769AC"/>
    <w:rsid w:val="000805A7"/>
    <w:rsid w:val="000809DF"/>
    <w:rsid w:val="00081341"/>
    <w:rsid w:val="00081F64"/>
    <w:rsid w:val="00090D3E"/>
    <w:rsid w:val="0009101D"/>
    <w:rsid w:val="000915A9"/>
    <w:rsid w:val="000939F0"/>
    <w:rsid w:val="00096950"/>
    <w:rsid w:val="000A30FE"/>
    <w:rsid w:val="000A4746"/>
    <w:rsid w:val="000A6183"/>
    <w:rsid w:val="000B26DF"/>
    <w:rsid w:val="000B37A1"/>
    <w:rsid w:val="000B3EC2"/>
    <w:rsid w:val="000B49B7"/>
    <w:rsid w:val="000C1389"/>
    <w:rsid w:val="000C15B6"/>
    <w:rsid w:val="000C30AD"/>
    <w:rsid w:val="000C75B5"/>
    <w:rsid w:val="000C774D"/>
    <w:rsid w:val="000D1683"/>
    <w:rsid w:val="000E216C"/>
    <w:rsid w:val="000F189C"/>
    <w:rsid w:val="000F413A"/>
    <w:rsid w:val="000F43CF"/>
    <w:rsid w:val="000F7C4A"/>
    <w:rsid w:val="001114ED"/>
    <w:rsid w:val="00111BC0"/>
    <w:rsid w:val="0012025C"/>
    <w:rsid w:val="00124A68"/>
    <w:rsid w:val="00132FB8"/>
    <w:rsid w:val="00146EA6"/>
    <w:rsid w:val="001606B0"/>
    <w:rsid w:val="00161FF7"/>
    <w:rsid w:val="0016738E"/>
    <w:rsid w:val="00171C64"/>
    <w:rsid w:val="001737C1"/>
    <w:rsid w:val="0017723B"/>
    <w:rsid w:val="00180088"/>
    <w:rsid w:val="001819D8"/>
    <w:rsid w:val="001836E4"/>
    <w:rsid w:val="00184A5F"/>
    <w:rsid w:val="00184C35"/>
    <w:rsid w:val="0018562E"/>
    <w:rsid w:val="001864E6"/>
    <w:rsid w:val="00190146"/>
    <w:rsid w:val="001A1542"/>
    <w:rsid w:val="001A21D2"/>
    <w:rsid w:val="001A315C"/>
    <w:rsid w:val="001A5F0B"/>
    <w:rsid w:val="001A6947"/>
    <w:rsid w:val="001B1D9B"/>
    <w:rsid w:val="001C06D6"/>
    <w:rsid w:val="001C50B9"/>
    <w:rsid w:val="001C5DC9"/>
    <w:rsid w:val="001D0FB2"/>
    <w:rsid w:val="001D4C01"/>
    <w:rsid w:val="001D4DE5"/>
    <w:rsid w:val="001E0D04"/>
    <w:rsid w:val="001E1173"/>
    <w:rsid w:val="001E4E0A"/>
    <w:rsid w:val="001E5D0D"/>
    <w:rsid w:val="001F4DED"/>
    <w:rsid w:val="00202C3B"/>
    <w:rsid w:val="002037F6"/>
    <w:rsid w:val="0021089C"/>
    <w:rsid w:val="0021123A"/>
    <w:rsid w:val="002125DA"/>
    <w:rsid w:val="00217354"/>
    <w:rsid w:val="00227D70"/>
    <w:rsid w:val="002362C9"/>
    <w:rsid w:val="0024018D"/>
    <w:rsid w:val="00240EFF"/>
    <w:rsid w:val="0024239F"/>
    <w:rsid w:val="00247D20"/>
    <w:rsid w:val="002525EE"/>
    <w:rsid w:val="00254662"/>
    <w:rsid w:val="00255D77"/>
    <w:rsid w:val="00256058"/>
    <w:rsid w:val="0026473C"/>
    <w:rsid w:val="00266723"/>
    <w:rsid w:val="00272411"/>
    <w:rsid w:val="00274790"/>
    <w:rsid w:val="002815E1"/>
    <w:rsid w:val="00291365"/>
    <w:rsid w:val="002962B2"/>
    <w:rsid w:val="002A102C"/>
    <w:rsid w:val="002A3DCA"/>
    <w:rsid w:val="002A77B7"/>
    <w:rsid w:val="002B3104"/>
    <w:rsid w:val="002B51B6"/>
    <w:rsid w:val="002B6044"/>
    <w:rsid w:val="002C7146"/>
    <w:rsid w:val="002D3E29"/>
    <w:rsid w:val="002D406B"/>
    <w:rsid w:val="002D50DC"/>
    <w:rsid w:val="002D689C"/>
    <w:rsid w:val="002D69B6"/>
    <w:rsid w:val="002E1502"/>
    <w:rsid w:val="002E2A94"/>
    <w:rsid w:val="002E349F"/>
    <w:rsid w:val="002F1336"/>
    <w:rsid w:val="002F2092"/>
    <w:rsid w:val="002F4589"/>
    <w:rsid w:val="002F51B0"/>
    <w:rsid w:val="002F774A"/>
    <w:rsid w:val="0030293E"/>
    <w:rsid w:val="00306656"/>
    <w:rsid w:val="00315A79"/>
    <w:rsid w:val="003168A3"/>
    <w:rsid w:val="00322AFB"/>
    <w:rsid w:val="0032436D"/>
    <w:rsid w:val="00324C6B"/>
    <w:rsid w:val="00325B2C"/>
    <w:rsid w:val="00330E82"/>
    <w:rsid w:val="003317FB"/>
    <w:rsid w:val="00331D41"/>
    <w:rsid w:val="00332E35"/>
    <w:rsid w:val="00346328"/>
    <w:rsid w:val="00346CCF"/>
    <w:rsid w:val="00351F14"/>
    <w:rsid w:val="0035220D"/>
    <w:rsid w:val="00355CD8"/>
    <w:rsid w:val="003617EF"/>
    <w:rsid w:val="003634FE"/>
    <w:rsid w:val="003742D1"/>
    <w:rsid w:val="00380D74"/>
    <w:rsid w:val="00383EE8"/>
    <w:rsid w:val="003845EE"/>
    <w:rsid w:val="00387DE0"/>
    <w:rsid w:val="0039451B"/>
    <w:rsid w:val="00397E71"/>
    <w:rsid w:val="003A04C2"/>
    <w:rsid w:val="003A05D0"/>
    <w:rsid w:val="003A1FBE"/>
    <w:rsid w:val="003B2CD3"/>
    <w:rsid w:val="003B60A5"/>
    <w:rsid w:val="003B66AA"/>
    <w:rsid w:val="003C5E56"/>
    <w:rsid w:val="003C71C2"/>
    <w:rsid w:val="003D4079"/>
    <w:rsid w:val="003D4314"/>
    <w:rsid w:val="003D597E"/>
    <w:rsid w:val="003E256B"/>
    <w:rsid w:val="003E2ACE"/>
    <w:rsid w:val="003E5302"/>
    <w:rsid w:val="003F0037"/>
    <w:rsid w:val="003F4662"/>
    <w:rsid w:val="003F6136"/>
    <w:rsid w:val="0040077B"/>
    <w:rsid w:val="004024C0"/>
    <w:rsid w:val="00415146"/>
    <w:rsid w:val="0041717C"/>
    <w:rsid w:val="00417791"/>
    <w:rsid w:val="00420535"/>
    <w:rsid w:val="00427241"/>
    <w:rsid w:val="00430BF5"/>
    <w:rsid w:val="00437688"/>
    <w:rsid w:val="00441BF4"/>
    <w:rsid w:val="0044398D"/>
    <w:rsid w:val="0044682F"/>
    <w:rsid w:val="00450402"/>
    <w:rsid w:val="00454DBC"/>
    <w:rsid w:val="00457CD5"/>
    <w:rsid w:val="00460C61"/>
    <w:rsid w:val="00461BE7"/>
    <w:rsid w:val="00471707"/>
    <w:rsid w:val="00484030"/>
    <w:rsid w:val="00484368"/>
    <w:rsid w:val="00490037"/>
    <w:rsid w:val="00491F04"/>
    <w:rsid w:val="0049214C"/>
    <w:rsid w:val="0049439D"/>
    <w:rsid w:val="0049540F"/>
    <w:rsid w:val="004A282C"/>
    <w:rsid w:val="004A42A7"/>
    <w:rsid w:val="004A6492"/>
    <w:rsid w:val="004B7C1F"/>
    <w:rsid w:val="004D05BA"/>
    <w:rsid w:val="004D3005"/>
    <w:rsid w:val="004D68AE"/>
    <w:rsid w:val="004E4687"/>
    <w:rsid w:val="004E48D8"/>
    <w:rsid w:val="004E77DC"/>
    <w:rsid w:val="004F4B58"/>
    <w:rsid w:val="004F56DC"/>
    <w:rsid w:val="004F5BCC"/>
    <w:rsid w:val="00503C27"/>
    <w:rsid w:val="00505FD7"/>
    <w:rsid w:val="00506A54"/>
    <w:rsid w:val="005143E7"/>
    <w:rsid w:val="0051754E"/>
    <w:rsid w:val="00524271"/>
    <w:rsid w:val="00525E95"/>
    <w:rsid w:val="0052625D"/>
    <w:rsid w:val="00526447"/>
    <w:rsid w:val="00530965"/>
    <w:rsid w:val="00530CC4"/>
    <w:rsid w:val="00532416"/>
    <w:rsid w:val="00534983"/>
    <w:rsid w:val="00542723"/>
    <w:rsid w:val="005431F0"/>
    <w:rsid w:val="0055242F"/>
    <w:rsid w:val="00555A04"/>
    <w:rsid w:val="00556CE4"/>
    <w:rsid w:val="00565921"/>
    <w:rsid w:val="00576890"/>
    <w:rsid w:val="00577EB3"/>
    <w:rsid w:val="00580DEB"/>
    <w:rsid w:val="00583E5B"/>
    <w:rsid w:val="00586F7E"/>
    <w:rsid w:val="00591252"/>
    <w:rsid w:val="00592165"/>
    <w:rsid w:val="0059221E"/>
    <w:rsid w:val="00596D53"/>
    <w:rsid w:val="005A4D99"/>
    <w:rsid w:val="005A56CC"/>
    <w:rsid w:val="005A61C0"/>
    <w:rsid w:val="005B27BA"/>
    <w:rsid w:val="005B4DD6"/>
    <w:rsid w:val="005C3CF3"/>
    <w:rsid w:val="005C4301"/>
    <w:rsid w:val="005C479A"/>
    <w:rsid w:val="005C5453"/>
    <w:rsid w:val="005D0314"/>
    <w:rsid w:val="005D130D"/>
    <w:rsid w:val="005D557B"/>
    <w:rsid w:val="005E0829"/>
    <w:rsid w:val="005E1368"/>
    <w:rsid w:val="005E536C"/>
    <w:rsid w:val="005E7C8F"/>
    <w:rsid w:val="005F4138"/>
    <w:rsid w:val="005F449F"/>
    <w:rsid w:val="0060418F"/>
    <w:rsid w:val="006046B6"/>
    <w:rsid w:val="0061108A"/>
    <w:rsid w:val="00611686"/>
    <w:rsid w:val="0061218E"/>
    <w:rsid w:val="00613D92"/>
    <w:rsid w:val="00620DBB"/>
    <w:rsid w:val="00625474"/>
    <w:rsid w:val="00625D1B"/>
    <w:rsid w:val="00634796"/>
    <w:rsid w:val="006371A5"/>
    <w:rsid w:val="0064488F"/>
    <w:rsid w:val="006463FF"/>
    <w:rsid w:val="006500E8"/>
    <w:rsid w:val="00652B56"/>
    <w:rsid w:val="00655F6D"/>
    <w:rsid w:val="00664257"/>
    <w:rsid w:val="00675296"/>
    <w:rsid w:val="00676A1D"/>
    <w:rsid w:val="00677610"/>
    <w:rsid w:val="00677F55"/>
    <w:rsid w:val="00684FD1"/>
    <w:rsid w:val="0069148B"/>
    <w:rsid w:val="00691857"/>
    <w:rsid w:val="00692A25"/>
    <w:rsid w:val="006956D8"/>
    <w:rsid w:val="00695E25"/>
    <w:rsid w:val="006A05A1"/>
    <w:rsid w:val="006A3336"/>
    <w:rsid w:val="006A6FCF"/>
    <w:rsid w:val="006B2F41"/>
    <w:rsid w:val="006B470F"/>
    <w:rsid w:val="006C305E"/>
    <w:rsid w:val="006D0492"/>
    <w:rsid w:val="006D38A6"/>
    <w:rsid w:val="006D673A"/>
    <w:rsid w:val="006D759D"/>
    <w:rsid w:val="006E3F07"/>
    <w:rsid w:val="006E6E7E"/>
    <w:rsid w:val="006F3D24"/>
    <w:rsid w:val="006F4F75"/>
    <w:rsid w:val="006F7274"/>
    <w:rsid w:val="0070129B"/>
    <w:rsid w:val="00702F95"/>
    <w:rsid w:val="00706B5F"/>
    <w:rsid w:val="007109C2"/>
    <w:rsid w:val="00711A55"/>
    <w:rsid w:val="00734946"/>
    <w:rsid w:val="0073756A"/>
    <w:rsid w:val="0074513D"/>
    <w:rsid w:val="00752C1C"/>
    <w:rsid w:val="00753B6E"/>
    <w:rsid w:val="007545FB"/>
    <w:rsid w:val="007602AC"/>
    <w:rsid w:val="007616A9"/>
    <w:rsid w:val="007632DB"/>
    <w:rsid w:val="0077269A"/>
    <w:rsid w:val="00773F48"/>
    <w:rsid w:val="0077490B"/>
    <w:rsid w:val="00775781"/>
    <w:rsid w:val="00775AF4"/>
    <w:rsid w:val="00796330"/>
    <w:rsid w:val="00796B0E"/>
    <w:rsid w:val="00797153"/>
    <w:rsid w:val="007A0C1D"/>
    <w:rsid w:val="007A3B33"/>
    <w:rsid w:val="007A41B4"/>
    <w:rsid w:val="007A596D"/>
    <w:rsid w:val="007A777F"/>
    <w:rsid w:val="007B5777"/>
    <w:rsid w:val="007B6872"/>
    <w:rsid w:val="007C23DC"/>
    <w:rsid w:val="007C3453"/>
    <w:rsid w:val="007D270C"/>
    <w:rsid w:val="007D67AF"/>
    <w:rsid w:val="007D7EBC"/>
    <w:rsid w:val="007F2D28"/>
    <w:rsid w:val="007F4BE5"/>
    <w:rsid w:val="007F718B"/>
    <w:rsid w:val="00803774"/>
    <w:rsid w:val="0080506E"/>
    <w:rsid w:val="0080572A"/>
    <w:rsid w:val="00806F18"/>
    <w:rsid w:val="00810F14"/>
    <w:rsid w:val="00813C9A"/>
    <w:rsid w:val="008207B9"/>
    <w:rsid w:val="0082308B"/>
    <w:rsid w:val="00834DD7"/>
    <w:rsid w:val="00846F9E"/>
    <w:rsid w:val="00847761"/>
    <w:rsid w:val="008519D2"/>
    <w:rsid w:val="0085370C"/>
    <w:rsid w:val="00854EC3"/>
    <w:rsid w:val="00860CE6"/>
    <w:rsid w:val="00863A6C"/>
    <w:rsid w:val="00864576"/>
    <w:rsid w:val="00877F36"/>
    <w:rsid w:val="008827E0"/>
    <w:rsid w:val="00890A69"/>
    <w:rsid w:val="008953AE"/>
    <w:rsid w:val="008A6C83"/>
    <w:rsid w:val="008B2B97"/>
    <w:rsid w:val="008B7E9D"/>
    <w:rsid w:val="008C1109"/>
    <w:rsid w:val="008C2556"/>
    <w:rsid w:val="008C3257"/>
    <w:rsid w:val="008C3CA7"/>
    <w:rsid w:val="008C4ABA"/>
    <w:rsid w:val="008D1529"/>
    <w:rsid w:val="008D6D6A"/>
    <w:rsid w:val="008D7889"/>
    <w:rsid w:val="008E3461"/>
    <w:rsid w:val="008E7AF8"/>
    <w:rsid w:val="008F1930"/>
    <w:rsid w:val="008F3907"/>
    <w:rsid w:val="008F6987"/>
    <w:rsid w:val="008F6D80"/>
    <w:rsid w:val="0090417E"/>
    <w:rsid w:val="00905F41"/>
    <w:rsid w:val="00910AE2"/>
    <w:rsid w:val="00911EE7"/>
    <w:rsid w:val="00912ED3"/>
    <w:rsid w:val="00916A20"/>
    <w:rsid w:val="00921316"/>
    <w:rsid w:val="00924864"/>
    <w:rsid w:val="00925FF4"/>
    <w:rsid w:val="00926C67"/>
    <w:rsid w:val="00930E82"/>
    <w:rsid w:val="00932277"/>
    <w:rsid w:val="009367E2"/>
    <w:rsid w:val="009418CA"/>
    <w:rsid w:val="00954D3C"/>
    <w:rsid w:val="0095732F"/>
    <w:rsid w:val="00966FC3"/>
    <w:rsid w:val="00967675"/>
    <w:rsid w:val="00981DB6"/>
    <w:rsid w:val="009826C7"/>
    <w:rsid w:val="009A296C"/>
    <w:rsid w:val="009A6072"/>
    <w:rsid w:val="009B0A9F"/>
    <w:rsid w:val="009B2E25"/>
    <w:rsid w:val="009B5165"/>
    <w:rsid w:val="009C0842"/>
    <w:rsid w:val="009C364E"/>
    <w:rsid w:val="009C5073"/>
    <w:rsid w:val="009C5DEF"/>
    <w:rsid w:val="009D187B"/>
    <w:rsid w:val="009D3A33"/>
    <w:rsid w:val="009E0490"/>
    <w:rsid w:val="009E20E0"/>
    <w:rsid w:val="009F4777"/>
    <w:rsid w:val="009F5BE2"/>
    <w:rsid w:val="00A00592"/>
    <w:rsid w:val="00A0346E"/>
    <w:rsid w:val="00A05E23"/>
    <w:rsid w:val="00A06BA5"/>
    <w:rsid w:val="00A06CDC"/>
    <w:rsid w:val="00A07C30"/>
    <w:rsid w:val="00A20639"/>
    <w:rsid w:val="00A25356"/>
    <w:rsid w:val="00A260C8"/>
    <w:rsid w:val="00A31CC4"/>
    <w:rsid w:val="00A3377F"/>
    <w:rsid w:val="00A357EE"/>
    <w:rsid w:val="00A376D1"/>
    <w:rsid w:val="00A50199"/>
    <w:rsid w:val="00A512E8"/>
    <w:rsid w:val="00A56721"/>
    <w:rsid w:val="00A60D55"/>
    <w:rsid w:val="00A61170"/>
    <w:rsid w:val="00A613A5"/>
    <w:rsid w:val="00A67505"/>
    <w:rsid w:val="00A70351"/>
    <w:rsid w:val="00A73956"/>
    <w:rsid w:val="00A80D36"/>
    <w:rsid w:val="00A828D5"/>
    <w:rsid w:val="00A83D7B"/>
    <w:rsid w:val="00A8414C"/>
    <w:rsid w:val="00A84945"/>
    <w:rsid w:val="00A8760E"/>
    <w:rsid w:val="00A87E91"/>
    <w:rsid w:val="00A901AE"/>
    <w:rsid w:val="00A938FE"/>
    <w:rsid w:val="00A95253"/>
    <w:rsid w:val="00AA017F"/>
    <w:rsid w:val="00AA528D"/>
    <w:rsid w:val="00AA717C"/>
    <w:rsid w:val="00AB13A1"/>
    <w:rsid w:val="00AB4A92"/>
    <w:rsid w:val="00AB6C3D"/>
    <w:rsid w:val="00AC00CC"/>
    <w:rsid w:val="00AC05A6"/>
    <w:rsid w:val="00AC5FE3"/>
    <w:rsid w:val="00AD1B32"/>
    <w:rsid w:val="00AD1B5B"/>
    <w:rsid w:val="00AD3AAD"/>
    <w:rsid w:val="00AD716A"/>
    <w:rsid w:val="00AD72CD"/>
    <w:rsid w:val="00AF1ED0"/>
    <w:rsid w:val="00AF4A73"/>
    <w:rsid w:val="00B04D99"/>
    <w:rsid w:val="00B10E9F"/>
    <w:rsid w:val="00B22DD7"/>
    <w:rsid w:val="00B22FB7"/>
    <w:rsid w:val="00B24F98"/>
    <w:rsid w:val="00B256BB"/>
    <w:rsid w:val="00B31D59"/>
    <w:rsid w:val="00B34061"/>
    <w:rsid w:val="00B36E33"/>
    <w:rsid w:val="00B43DFA"/>
    <w:rsid w:val="00B50EEE"/>
    <w:rsid w:val="00B518FA"/>
    <w:rsid w:val="00B556F6"/>
    <w:rsid w:val="00B66F38"/>
    <w:rsid w:val="00B6733B"/>
    <w:rsid w:val="00B7033E"/>
    <w:rsid w:val="00B77124"/>
    <w:rsid w:val="00B8421E"/>
    <w:rsid w:val="00B8503B"/>
    <w:rsid w:val="00B86310"/>
    <w:rsid w:val="00B90175"/>
    <w:rsid w:val="00B97064"/>
    <w:rsid w:val="00B970EB"/>
    <w:rsid w:val="00BA2512"/>
    <w:rsid w:val="00BA3803"/>
    <w:rsid w:val="00BA7889"/>
    <w:rsid w:val="00BA7CB9"/>
    <w:rsid w:val="00BB2999"/>
    <w:rsid w:val="00BB4556"/>
    <w:rsid w:val="00BB4C1A"/>
    <w:rsid w:val="00BC0A8F"/>
    <w:rsid w:val="00BC4498"/>
    <w:rsid w:val="00BC5447"/>
    <w:rsid w:val="00BC5A4D"/>
    <w:rsid w:val="00BD09CF"/>
    <w:rsid w:val="00BD4849"/>
    <w:rsid w:val="00BE1714"/>
    <w:rsid w:val="00BE679C"/>
    <w:rsid w:val="00BE76D5"/>
    <w:rsid w:val="00BF20CC"/>
    <w:rsid w:val="00BF54BE"/>
    <w:rsid w:val="00C07D6F"/>
    <w:rsid w:val="00C158CA"/>
    <w:rsid w:val="00C2325B"/>
    <w:rsid w:val="00C32B23"/>
    <w:rsid w:val="00C33FC9"/>
    <w:rsid w:val="00C35D40"/>
    <w:rsid w:val="00C37027"/>
    <w:rsid w:val="00C37E53"/>
    <w:rsid w:val="00C41433"/>
    <w:rsid w:val="00C4280C"/>
    <w:rsid w:val="00C4606F"/>
    <w:rsid w:val="00C46F4E"/>
    <w:rsid w:val="00C50F6D"/>
    <w:rsid w:val="00C50FAC"/>
    <w:rsid w:val="00C60B24"/>
    <w:rsid w:val="00C61DF9"/>
    <w:rsid w:val="00C6498B"/>
    <w:rsid w:val="00C649BE"/>
    <w:rsid w:val="00C67134"/>
    <w:rsid w:val="00C700DA"/>
    <w:rsid w:val="00C75F72"/>
    <w:rsid w:val="00C767A4"/>
    <w:rsid w:val="00C82F2C"/>
    <w:rsid w:val="00C83F82"/>
    <w:rsid w:val="00C902A1"/>
    <w:rsid w:val="00C94075"/>
    <w:rsid w:val="00C95040"/>
    <w:rsid w:val="00C95824"/>
    <w:rsid w:val="00CA503B"/>
    <w:rsid w:val="00CB24FF"/>
    <w:rsid w:val="00CB398D"/>
    <w:rsid w:val="00CB4E43"/>
    <w:rsid w:val="00CB7148"/>
    <w:rsid w:val="00CD2664"/>
    <w:rsid w:val="00CD4552"/>
    <w:rsid w:val="00CE69CF"/>
    <w:rsid w:val="00CF3EA8"/>
    <w:rsid w:val="00D01471"/>
    <w:rsid w:val="00D05B93"/>
    <w:rsid w:val="00D066E1"/>
    <w:rsid w:val="00D07970"/>
    <w:rsid w:val="00D13557"/>
    <w:rsid w:val="00D13E30"/>
    <w:rsid w:val="00D20989"/>
    <w:rsid w:val="00D214D0"/>
    <w:rsid w:val="00D21740"/>
    <w:rsid w:val="00D229C9"/>
    <w:rsid w:val="00D2530C"/>
    <w:rsid w:val="00D25912"/>
    <w:rsid w:val="00D2692C"/>
    <w:rsid w:val="00D30455"/>
    <w:rsid w:val="00D31D01"/>
    <w:rsid w:val="00D374E5"/>
    <w:rsid w:val="00D40FE0"/>
    <w:rsid w:val="00D5167D"/>
    <w:rsid w:val="00D52101"/>
    <w:rsid w:val="00D55CAE"/>
    <w:rsid w:val="00D56DB4"/>
    <w:rsid w:val="00D6095F"/>
    <w:rsid w:val="00D6428B"/>
    <w:rsid w:val="00D67296"/>
    <w:rsid w:val="00D67916"/>
    <w:rsid w:val="00D75350"/>
    <w:rsid w:val="00D77105"/>
    <w:rsid w:val="00D8025D"/>
    <w:rsid w:val="00D8470F"/>
    <w:rsid w:val="00D9298D"/>
    <w:rsid w:val="00D93BA9"/>
    <w:rsid w:val="00D93ED5"/>
    <w:rsid w:val="00DA2565"/>
    <w:rsid w:val="00DA48A1"/>
    <w:rsid w:val="00DB03AA"/>
    <w:rsid w:val="00DB2157"/>
    <w:rsid w:val="00DC3EA6"/>
    <w:rsid w:val="00DC522E"/>
    <w:rsid w:val="00DC52A5"/>
    <w:rsid w:val="00DD04B8"/>
    <w:rsid w:val="00DD2293"/>
    <w:rsid w:val="00DF198B"/>
    <w:rsid w:val="00DF4C74"/>
    <w:rsid w:val="00E013D8"/>
    <w:rsid w:val="00E03210"/>
    <w:rsid w:val="00E05D75"/>
    <w:rsid w:val="00E11EED"/>
    <w:rsid w:val="00E17DE8"/>
    <w:rsid w:val="00E22E82"/>
    <w:rsid w:val="00E23748"/>
    <w:rsid w:val="00E240FB"/>
    <w:rsid w:val="00E268D0"/>
    <w:rsid w:val="00E2745F"/>
    <w:rsid w:val="00E3063F"/>
    <w:rsid w:val="00E313D8"/>
    <w:rsid w:val="00E32326"/>
    <w:rsid w:val="00E36569"/>
    <w:rsid w:val="00E36FCD"/>
    <w:rsid w:val="00E41C79"/>
    <w:rsid w:val="00E42631"/>
    <w:rsid w:val="00E53EE8"/>
    <w:rsid w:val="00E54A26"/>
    <w:rsid w:val="00E605B7"/>
    <w:rsid w:val="00E639DE"/>
    <w:rsid w:val="00E647BF"/>
    <w:rsid w:val="00E70175"/>
    <w:rsid w:val="00E710ED"/>
    <w:rsid w:val="00E80483"/>
    <w:rsid w:val="00E8384B"/>
    <w:rsid w:val="00E84DB2"/>
    <w:rsid w:val="00E861B5"/>
    <w:rsid w:val="00E90F3F"/>
    <w:rsid w:val="00E917C2"/>
    <w:rsid w:val="00E91ECB"/>
    <w:rsid w:val="00E93DA6"/>
    <w:rsid w:val="00E944C1"/>
    <w:rsid w:val="00EA260E"/>
    <w:rsid w:val="00EA39F9"/>
    <w:rsid w:val="00EB41A5"/>
    <w:rsid w:val="00EB660B"/>
    <w:rsid w:val="00EB7F98"/>
    <w:rsid w:val="00EC0E5E"/>
    <w:rsid w:val="00EC15B6"/>
    <w:rsid w:val="00EC28A6"/>
    <w:rsid w:val="00EC3425"/>
    <w:rsid w:val="00EC7005"/>
    <w:rsid w:val="00EC772C"/>
    <w:rsid w:val="00ED0361"/>
    <w:rsid w:val="00ED23C2"/>
    <w:rsid w:val="00ED609B"/>
    <w:rsid w:val="00EE2608"/>
    <w:rsid w:val="00EE4E0D"/>
    <w:rsid w:val="00EE677F"/>
    <w:rsid w:val="00EE7872"/>
    <w:rsid w:val="00EE7D31"/>
    <w:rsid w:val="00EF1DAC"/>
    <w:rsid w:val="00EF20B8"/>
    <w:rsid w:val="00F12BA6"/>
    <w:rsid w:val="00F17DEE"/>
    <w:rsid w:val="00F20C3C"/>
    <w:rsid w:val="00F24E01"/>
    <w:rsid w:val="00F251FA"/>
    <w:rsid w:val="00F264B6"/>
    <w:rsid w:val="00F33350"/>
    <w:rsid w:val="00F350F9"/>
    <w:rsid w:val="00F36F82"/>
    <w:rsid w:val="00F4138D"/>
    <w:rsid w:val="00F52D41"/>
    <w:rsid w:val="00F54D82"/>
    <w:rsid w:val="00F5540D"/>
    <w:rsid w:val="00F56553"/>
    <w:rsid w:val="00F570E2"/>
    <w:rsid w:val="00F60BAB"/>
    <w:rsid w:val="00F670BD"/>
    <w:rsid w:val="00F672BF"/>
    <w:rsid w:val="00F70990"/>
    <w:rsid w:val="00F71CA3"/>
    <w:rsid w:val="00F75818"/>
    <w:rsid w:val="00F86BB6"/>
    <w:rsid w:val="00F86F2A"/>
    <w:rsid w:val="00F91BB4"/>
    <w:rsid w:val="00F9435E"/>
    <w:rsid w:val="00F978BB"/>
    <w:rsid w:val="00FA241F"/>
    <w:rsid w:val="00FA4F5C"/>
    <w:rsid w:val="00FA6A7C"/>
    <w:rsid w:val="00FB05B4"/>
    <w:rsid w:val="00FB404A"/>
    <w:rsid w:val="00FC10FB"/>
    <w:rsid w:val="00FC5158"/>
    <w:rsid w:val="00FC59D7"/>
    <w:rsid w:val="00FC5CA9"/>
    <w:rsid w:val="00FD0FBE"/>
    <w:rsid w:val="00FE238D"/>
    <w:rsid w:val="00FE45FB"/>
    <w:rsid w:val="00FF1ABC"/>
    <w:rsid w:val="00FF4046"/>
    <w:rsid w:val="00FF6071"/>
    <w:rsid w:val="00FF7336"/>
    <w:rsid w:val="00FF7C9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3AF6B8A"/>
  <w15:docId w15:val="{8BC3026A-ABA3-4B48-B90A-C2E97C9AC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iPriority="9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B3104"/>
    <w:pPr>
      <w:spacing w:after="240"/>
    </w:pPr>
    <w:rPr>
      <w:sz w:val="24"/>
    </w:rPr>
  </w:style>
  <w:style w:type="paragraph" w:styleId="Heading4">
    <w:name w:val="heading 4"/>
    <w:basedOn w:val="Normal"/>
    <w:qFormat/>
    <w:rsid w:val="002B3104"/>
    <w:pPr>
      <w:spacing w:before="100" w:beforeAutospacing="1" w:after="100" w:afterAutospacing="1"/>
      <w:outlineLvl w:val="3"/>
    </w:pPr>
    <w:rPr>
      <w:rFonts w:ascii="Arial Unicode MS" w:eastAsia="Arial Unicode MS" w:hAnsi="Arial Unicode MS" w:cs="Arial Unicode MS"/>
      <w:b/>
      <w:bCs/>
      <w:szCs w:val="24"/>
    </w:rPr>
  </w:style>
  <w:style w:type="paragraph" w:styleId="Heading5">
    <w:name w:val="heading 5"/>
    <w:basedOn w:val="Normal"/>
    <w:next w:val="Normal"/>
    <w:qFormat/>
    <w:rsid w:val="002B3104"/>
    <w:pPr>
      <w:spacing w:before="240" w:after="60"/>
      <w:outlineLvl w:val="4"/>
    </w:pPr>
    <w:rPr>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2B3104"/>
    <w:rPr>
      <w:b/>
    </w:rPr>
  </w:style>
  <w:style w:type="character" w:styleId="Hyperlink">
    <w:name w:val="Hyperlink"/>
    <w:rsid w:val="002B3104"/>
    <w:rPr>
      <w:color w:val="0000FF"/>
      <w:u w:val="single"/>
    </w:rPr>
  </w:style>
  <w:style w:type="paragraph" w:styleId="NormalWeb">
    <w:name w:val="Normal (Web)"/>
    <w:basedOn w:val="Normal"/>
    <w:rsid w:val="002B3104"/>
    <w:pPr>
      <w:spacing w:before="100" w:beforeAutospacing="1" w:after="100" w:afterAutospacing="1"/>
    </w:pPr>
    <w:rPr>
      <w:rFonts w:ascii="Arial Unicode MS" w:eastAsia="Arial Unicode MS" w:hAnsi="Arial Unicode MS" w:cs="Arial Unicode MS"/>
      <w:szCs w:val="24"/>
    </w:rPr>
  </w:style>
  <w:style w:type="paragraph" w:styleId="FootnoteText">
    <w:name w:val="footnote text"/>
    <w:basedOn w:val="Normal"/>
    <w:link w:val="FootnoteTextChar"/>
    <w:rsid w:val="00B518FA"/>
    <w:rPr>
      <w:sz w:val="20"/>
    </w:rPr>
  </w:style>
  <w:style w:type="character" w:styleId="FootnoteReference">
    <w:name w:val="footnote reference"/>
    <w:rsid w:val="00B518FA"/>
    <w:rPr>
      <w:vertAlign w:val="superscript"/>
    </w:rPr>
  </w:style>
  <w:style w:type="character" w:styleId="CommentReference">
    <w:name w:val="annotation reference"/>
    <w:semiHidden/>
    <w:rsid w:val="009F4777"/>
    <w:rPr>
      <w:sz w:val="16"/>
      <w:szCs w:val="16"/>
    </w:rPr>
  </w:style>
  <w:style w:type="paragraph" w:styleId="CommentText">
    <w:name w:val="annotation text"/>
    <w:basedOn w:val="Normal"/>
    <w:semiHidden/>
    <w:rsid w:val="009F4777"/>
    <w:rPr>
      <w:sz w:val="20"/>
    </w:rPr>
  </w:style>
  <w:style w:type="paragraph" w:styleId="CommentSubject">
    <w:name w:val="annotation subject"/>
    <w:basedOn w:val="CommentText"/>
    <w:next w:val="CommentText"/>
    <w:semiHidden/>
    <w:rsid w:val="009F4777"/>
    <w:rPr>
      <w:b/>
      <w:bCs/>
    </w:rPr>
  </w:style>
  <w:style w:type="paragraph" w:styleId="BalloonText">
    <w:name w:val="Balloon Text"/>
    <w:basedOn w:val="Normal"/>
    <w:semiHidden/>
    <w:rsid w:val="009F4777"/>
    <w:rPr>
      <w:rFonts w:ascii="Tahoma" w:hAnsi="Tahoma"/>
      <w:sz w:val="16"/>
      <w:szCs w:val="16"/>
    </w:rPr>
  </w:style>
  <w:style w:type="paragraph" w:styleId="Footer">
    <w:name w:val="footer"/>
    <w:basedOn w:val="Normal"/>
    <w:link w:val="FooterChar"/>
    <w:uiPriority w:val="99"/>
    <w:rsid w:val="000805A7"/>
    <w:pPr>
      <w:tabs>
        <w:tab w:val="center" w:pos="4320"/>
        <w:tab w:val="right" w:pos="8640"/>
      </w:tabs>
    </w:pPr>
  </w:style>
  <w:style w:type="character" w:styleId="PageNumber">
    <w:name w:val="page number"/>
    <w:basedOn w:val="DefaultParagraphFont"/>
    <w:rsid w:val="000805A7"/>
  </w:style>
  <w:style w:type="paragraph" w:styleId="Header">
    <w:name w:val="header"/>
    <w:basedOn w:val="Normal"/>
    <w:rsid w:val="00BC4498"/>
    <w:pPr>
      <w:tabs>
        <w:tab w:val="center" w:pos="4320"/>
        <w:tab w:val="right" w:pos="8640"/>
      </w:tabs>
    </w:pPr>
  </w:style>
  <w:style w:type="character" w:customStyle="1" w:styleId="FootnoteTextChar">
    <w:name w:val="Footnote Text Char"/>
    <w:link w:val="FootnoteText"/>
    <w:rsid w:val="0073756A"/>
  </w:style>
  <w:style w:type="character" w:styleId="FollowedHyperlink">
    <w:name w:val="FollowedHyperlink"/>
    <w:rsid w:val="009418CA"/>
    <w:rPr>
      <w:color w:val="800080"/>
      <w:u w:val="single"/>
    </w:rPr>
  </w:style>
  <w:style w:type="character" w:customStyle="1" w:styleId="FooterChar">
    <w:name w:val="Footer Char"/>
    <w:basedOn w:val="DefaultParagraphFont"/>
    <w:link w:val="Footer"/>
    <w:uiPriority w:val="99"/>
    <w:rsid w:val="00E41C79"/>
    <w:rPr>
      <w:sz w:val="24"/>
    </w:rPr>
  </w:style>
  <w:style w:type="paragraph" w:styleId="TOC6">
    <w:name w:val="toc 6"/>
    <w:basedOn w:val="Normal"/>
    <w:next w:val="Normal"/>
    <w:uiPriority w:val="99"/>
    <w:semiHidden/>
    <w:rsid w:val="00D13E30"/>
    <w:pPr>
      <w:tabs>
        <w:tab w:val="right" w:pos="9360"/>
      </w:tabs>
      <w:suppressAutoHyphens/>
      <w:overflowPunct w:val="0"/>
      <w:autoSpaceDE w:val="0"/>
      <w:autoSpaceDN w:val="0"/>
      <w:adjustRightInd w:val="0"/>
      <w:spacing w:after="0"/>
      <w:ind w:left="720" w:hanging="720"/>
      <w:textAlignment w:val="baseline"/>
    </w:pPr>
    <w:rPr>
      <w:rFonts w:ascii="Courier" w:hAnsi="Courier"/>
    </w:rPr>
  </w:style>
  <w:style w:type="paragraph" w:styleId="Revision">
    <w:name w:val="Revision"/>
    <w:hidden/>
    <w:uiPriority w:val="99"/>
    <w:semiHidden/>
    <w:rsid w:val="00A901AE"/>
    <w:rPr>
      <w:sz w:val="24"/>
    </w:rPr>
  </w:style>
  <w:style w:type="character" w:styleId="UnresolvedMention">
    <w:name w:val="Unresolved Mention"/>
    <w:basedOn w:val="DefaultParagraphFont"/>
    <w:uiPriority w:val="99"/>
    <w:semiHidden/>
    <w:unhideWhenUsed/>
    <w:rsid w:val="005C43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naics4_523000.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2A2E5BC6E29446B814993D0E99D427" ma:contentTypeVersion="6" ma:contentTypeDescription="Create a new document." ma:contentTypeScope="" ma:versionID="9122341e5fc42c4506ad661a6cd24e94">
  <xsd:schema xmlns:xsd="http://www.w3.org/2001/XMLSchema" xmlns:xs="http://www.w3.org/2001/XMLSchema" xmlns:p="http://schemas.microsoft.com/office/2006/metadata/properties" xmlns:ns2="2511bf97-9b04-4989-9a0d-8a2f8dab4e40" targetNamespace="http://schemas.microsoft.com/office/2006/metadata/properties" ma:root="true" ma:fieldsID="304f9970500f8e20a8a3b69a4f845f4f" ns2:_="">
    <xsd:import namespace="2511bf97-9b04-4989-9a0d-8a2f8dab4e4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11bf97-9b04-4989-9a0d-8a2f8dab4e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549C96-4A29-4855-B3FA-CAC68C06B5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11bf97-9b04-4989-9a0d-8a2f8dab4e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1B04B6-9DEF-42BD-81E7-9589245FA391}">
  <ds:schemaRefs>
    <ds:schemaRef ds:uri="http://schemas.openxmlformats.org/officeDocument/2006/bibliography"/>
  </ds:schemaRefs>
</ds:datastoreItem>
</file>

<file path=customXml/itemProps3.xml><?xml version="1.0" encoding="utf-8"?>
<ds:datastoreItem xmlns:ds="http://schemas.openxmlformats.org/officeDocument/2006/customXml" ds:itemID="{2AA530F0-6FEA-4C30-8002-3044000CD1A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775055D-43A9-4088-BAB4-57640F3917F2}">
  <ds:schemaRefs>
    <ds:schemaRef ds:uri="http://schemas.microsoft.com/sharepoint/v3/contenttype/forms"/>
  </ds:schemaRefs>
</ds:datastoreItem>
</file>

<file path=docMetadata/LabelInfo.xml><?xml version="1.0" encoding="utf-8"?>
<clbl:labelList xmlns:clbl="http://schemas.microsoft.com/office/2020/mipLabelMetadata">
  <clbl:label id="{ff902a63-4837-4fa7-905b-52887c7f3cff}" enabled="0" method="" siteId="{ff902a63-4837-4fa7-905b-52887c7f3cff}" removed="1"/>
</clbl:labelList>
</file>

<file path=docProps/app.xml><?xml version="1.0" encoding="utf-8"?>
<Properties xmlns="http://schemas.openxmlformats.org/officeDocument/2006/extended-properties" xmlns:vt="http://schemas.openxmlformats.org/officeDocument/2006/docPropsVTypes">
  <Template>Normal</Template>
  <TotalTime>5</TotalTime>
  <Pages>9</Pages>
  <Words>3051</Words>
  <Characters>17563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CFTC</Company>
  <LinksUpToDate>false</LinksUpToDate>
  <CharactersWithSpaces>20573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of the General Counsel</dc:creator>
  <cp:lastModifiedBy>Kenny Wright</cp:lastModifiedBy>
  <cp:revision>6</cp:revision>
  <dcterms:created xsi:type="dcterms:W3CDTF">2025-07-16T15:32:00Z</dcterms:created>
  <dcterms:modified xsi:type="dcterms:W3CDTF">2025-07-17T15:13:00Z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0x010100252A2E5BC6E29446B814993D0E99D427</vt:lpwstr>
  </property>
</Properties>
</file>