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0928BF" w:rsidP="00217D9D" w14:paraId="4A3ABD0B" w14:textId="3C6A4C08">
      <w:pPr>
        <w:pStyle w:val="Title"/>
        <w:spacing w:before="79"/>
        <w:ind w:right="1295"/>
      </w:pPr>
      <w:r>
        <w:t>INFORMATION</w:t>
      </w:r>
      <w:r>
        <w:rPr>
          <w:spacing w:val="-7"/>
        </w:rPr>
        <w:t xml:space="preserve"> </w:t>
      </w:r>
      <w:r>
        <w:t>COLLECTION</w:t>
      </w:r>
      <w:r>
        <w:rPr>
          <w:spacing w:val="-5"/>
        </w:rPr>
        <w:t xml:space="preserve"> </w:t>
      </w:r>
      <w:r>
        <w:t>REQUEST</w:t>
      </w:r>
      <w:r>
        <w:rPr>
          <w:spacing w:val="-3"/>
        </w:rPr>
        <w:t xml:space="preserve"> </w:t>
      </w:r>
      <w:r>
        <w:rPr>
          <w:spacing w:val="-2"/>
        </w:rPr>
        <w:t>(ICR):</w:t>
      </w:r>
      <w:bookmarkStart w:id="0" w:name="A._JUSTIFICATION"/>
      <w:bookmarkEnd w:id="0"/>
      <w:r w:rsidR="009910CB">
        <w:rPr>
          <w:spacing w:val="-2"/>
        </w:rPr>
        <w:br/>
      </w:r>
      <w:r w:rsidR="0066204E">
        <w:t>Bathtub Slip Resistance Study</w:t>
      </w:r>
      <w:r w:rsidR="00ED02ED">
        <w:br/>
        <w:t>OMB Control Number: 3041-</w:t>
      </w:r>
      <w:r w:rsidR="0066204E">
        <w:t>xxxx</w:t>
      </w:r>
    </w:p>
    <w:p w:rsidR="000928BF" w:rsidP="00833B94" w14:paraId="4A733B91" w14:textId="77777777">
      <w:pPr>
        <w:pStyle w:val="BodyText"/>
      </w:pPr>
    </w:p>
    <w:p w:rsidR="000928BF" w:rsidP="00833B94" w14:paraId="41C10B15" w14:textId="77777777">
      <w:pPr>
        <w:pStyle w:val="BodyText"/>
      </w:pPr>
    </w:p>
    <w:p w:rsidR="000928BF" w:rsidRPr="00833B94" w:rsidP="00833B94" w14:paraId="2B3C8A79" w14:textId="7D2FB0B8">
      <w:pPr>
        <w:pStyle w:val="ListParagraph"/>
        <w:numPr>
          <w:ilvl w:val="0"/>
          <w:numId w:val="2"/>
        </w:numPr>
        <w:tabs>
          <w:tab w:val="left" w:pos="479"/>
        </w:tabs>
        <w:ind w:left="479" w:hanging="359"/>
        <w:rPr>
          <w:sz w:val="24"/>
        </w:rPr>
      </w:pPr>
      <w:r>
        <w:rPr>
          <w:spacing w:val="-2"/>
          <w:sz w:val="24"/>
        </w:rPr>
        <w:t>JUSTIFICATION</w:t>
      </w:r>
    </w:p>
    <w:p w:rsidR="00077A71" w:rsidP="001277F0" w14:paraId="372C7324" w14:textId="28274BBD">
      <w:pPr>
        <w:pStyle w:val="Heading1"/>
      </w:pPr>
      <w:bookmarkStart w:id="1" w:name="A.1_Circumstances_Making_the_Collection_"/>
      <w:bookmarkEnd w:id="1"/>
      <w:r w:rsidRPr="00833B94">
        <w:t>Circumstances Making the Collection of Information Necessary</w:t>
      </w:r>
    </w:p>
    <w:p w:rsidR="006C0140" w:rsidP="00DC63CB" w14:paraId="592B2721" w14:textId="39534F13">
      <w:pPr>
        <w:pStyle w:val="BodyText"/>
      </w:pPr>
      <w:r w:rsidRPr="000D7A2A">
        <w:t>The U.S. Consumer Product Safety Commission (CPSC) staff</w:t>
      </w:r>
      <w:r w:rsidR="00DD00C5">
        <w:t xml:space="preserve"> </w:t>
      </w:r>
      <w:r w:rsidRPr="000D7A2A">
        <w:t xml:space="preserve">needs updated information to </w:t>
      </w:r>
      <w:r w:rsidR="00DD00C5">
        <w:t>further develop</w:t>
      </w:r>
      <w:r w:rsidRPr="000D7A2A">
        <w:t xml:space="preserve"> bathing surface</w:t>
      </w:r>
      <w:r w:rsidRPr="000D7A2A">
        <w:rPr>
          <w:spacing w:val="-1"/>
        </w:rPr>
        <w:t xml:space="preserve"> </w:t>
      </w:r>
      <w:r w:rsidRPr="000D7A2A">
        <w:t>safety.</w:t>
      </w:r>
    </w:p>
    <w:p w:rsidR="001D0F75" w:rsidP="001D0F75" w14:paraId="616875CF" w14:textId="7F99B57B">
      <w:pPr>
        <w:pStyle w:val="BodyText"/>
      </w:pPr>
      <w:r w:rsidRPr="001D0F75">
        <w:t>Falls are the leading cause</w:t>
      </w:r>
      <w:r>
        <w:t xml:space="preserve"> </w:t>
      </w:r>
      <w:r w:rsidRPr="001D0F75">
        <w:t>of injury and death for older adults 65</w:t>
      </w:r>
      <w:r>
        <w:t xml:space="preserve"> </w:t>
      </w:r>
      <w:r w:rsidRPr="001D0F75">
        <w:t>and older</w:t>
      </w:r>
      <w:r w:rsidRPr="006C0140" w:rsidR="006C0140">
        <w:t>.</w:t>
      </w:r>
      <w:r>
        <w:rPr>
          <w:rStyle w:val="FootnoteReference"/>
        </w:rPr>
        <w:footnoteReference w:id="2"/>
      </w:r>
      <w:r w:rsidRPr="006C0140" w:rsidR="006C0140">
        <w:t xml:space="preserve">  </w:t>
      </w:r>
      <w:r w:rsidRPr="001D0F75">
        <w:t>Information</w:t>
      </w:r>
      <w:r>
        <w:t xml:space="preserve"> </w:t>
      </w:r>
      <w:r w:rsidRPr="001D0F75">
        <w:t>collected as part</w:t>
      </w:r>
      <w:r>
        <w:t xml:space="preserve"> </w:t>
      </w:r>
      <w:r w:rsidRPr="001D0F75">
        <w:t>of the bathtub slip resistance study is</w:t>
      </w:r>
      <w:r>
        <w:t xml:space="preserve"> </w:t>
      </w:r>
      <w:r w:rsidRPr="001D0F75">
        <w:t>needed to support CPSC staff in</w:t>
      </w:r>
      <w:r>
        <w:t xml:space="preserve"> </w:t>
      </w:r>
      <w:r w:rsidRPr="001D0F75">
        <w:t>efforts to work with the ASTM F15.03</w:t>
      </w:r>
      <w:r>
        <w:t xml:space="preserve"> </w:t>
      </w:r>
      <w:r w:rsidRPr="001D0F75">
        <w:t>Committee on Safety Standards for</w:t>
      </w:r>
      <w:r>
        <w:t xml:space="preserve"> </w:t>
      </w:r>
      <w:r w:rsidRPr="001D0F75">
        <w:t>Bathtub and Shower Structures to</w:t>
      </w:r>
      <w:r>
        <w:t xml:space="preserve"> </w:t>
      </w:r>
      <w:r w:rsidRPr="001D0F75">
        <w:t>replace the obsolete ASTM F462</w:t>
      </w:r>
      <w:r>
        <w:t xml:space="preserve"> </w:t>
      </w:r>
      <w:r w:rsidRPr="001D0F75">
        <w:t>standard for bathing surface friction. This study</w:t>
      </w:r>
      <w:r>
        <w:t xml:space="preserve"> </w:t>
      </w:r>
      <w:r w:rsidRPr="001D0F75">
        <w:t>will be used to inform CPSC staff of</w:t>
      </w:r>
      <w:r>
        <w:t xml:space="preserve"> </w:t>
      </w:r>
      <w:r w:rsidRPr="001D0F75">
        <w:t>major requirements needed to achieve</w:t>
      </w:r>
      <w:r>
        <w:t xml:space="preserve"> </w:t>
      </w:r>
      <w:r w:rsidRPr="001D0F75">
        <w:t>an efficient and effective slip-resistance</w:t>
      </w:r>
      <w:r>
        <w:t xml:space="preserve"> </w:t>
      </w:r>
      <w:r w:rsidRPr="001D0F75">
        <w:t>standard.</w:t>
      </w:r>
    </w:p>
    <w:p w:rsidR="006C0140" w:rsidRPr="006C0140" w:rsidP="00DD00C5" w14:paraId="5ACFDD2F" w14:textId="0E1097AE">
      <w:pPr>
        <w:pStyle w:val="BodyText"/>
      </w:pPr>
      <w:r w:rsidRPr="000D7A2A">
        <w:t xml:space="preserve">The objective of this study is to conduct human slip research on </w:t>
      </w:r>
      <w:r w:rsidR="00090B4A">
        <w:t xml:space="preserve">three </w:t>
      </w:r>
      <w:r w:rsidRPr="000D7A2A">
        <w:t xml:space="preserve">actual bathtubs on the market and to measure the friction demand of participants stepping into and out of the bathtubs when dry and wet.  The study will involve a range of bathtub surfaces and a range of participants with emphasis on older adults.  The results of the study will be shared </w:t>
      </w:r>
      <w:r w:rsidRPr="00DD00C5" w:rsidR="00DD00C5">
        <w:t>with the ASTM F15.03</w:t>
      </w:r>
      <w:r w:rsidR="00F10992">
        <w:t xml:space="preserve"> </w:t>
      </w:r>
      <w:r w:rsidRPr="00DD00C5" w:rsidR="00DD00C5">
        <w:t>Committee on</w:t>
      </w:r>
      <w:r w:rsidR="00F10992">
        <w:t xml:space="preserve"> </w:t>
      </w:r>
      <w:r w:rsidRPr="00DD00C5" w:rsidR="00DD00C5">
        <w:t>Safety Standards for Bathtub and</w:t>
      </w:r>
      <w:r w:rsidR="00F10992">
        <w:t xml:space="preserve"> </w:t>
      </w:r>
      <w:r w:rsidRPr="00DD00C5" w:rsidR="00DD00C5">
        <w:t>Shower Structure</w:t>
      </w:r>
      <w:r w:rsidR="00F10992">
        <w:t>s</w:t>
      </w:r>
      <w:r w:rsidRPr="00DD00C5" w:rsidR="00DD00C5">
        <w:t>.</w:t>
      </w:r>
    </w:p>
    <w:p w:rsidR="000928BF" w:rsidRPr="00E75585" w:rsidP="00E75585" w14:paraId="6A09D447" w14:textId="34C425B6">
      <w:pPr>
        <w:pStyle w:val="Heading1"/>
      </w:pPr>
      <w:bookmarkStart w:id="2" w:name="A.2_Purpose_and_Use_of_the_Information_C"/>
      <w:bookmarkEnd w:id="2"/>
      <w:r w:rsidRPr="00833B94">
        <w:t>Purpose</w:t>
      </w:r>
      <w:r w:rsidRPr="00E75585">
        <w:t xml:space="preserve"> </w:t>
      </w:r>
      <w:r w:rsidRPr="00833B94">
        <w:t>and</w:t>
      </w:r>
      <w:r w:rsidRPr="00E75585">
        <w:t xml:space="preserve"> </w:t>
      </w:r>
      <w:r w:rsidRPr="00833B94">
        <w:t>Use</w:t>
      </w:r>
      <w:r w:rsidRPr="00E75585">
        <w:t xml:space="preserve"> </w:t>
      </w:r>
      <w:r w:rsidRPr="00833B94">
        <w:t>of</w:t>
      </w:r>
      <w:r w:rsidRPr="00E75585">
        <w:t xml:space="preserve"> </w:t>
      </w:r>
      <w:r w:rsidRPr="00833B94">
        <w:t>the</w:t>
      </w:r>
      <w:r w:rsidRPr="00E75585">
        <w:t xml:space="preserve"> </w:t>
      </w:r>
      <w:r w:rsidRPr="00833B94">
        <w:t>Information</w:t>
      </w:r>
      <w:r w:rsidRPr="00E75585">
        <w:t xml:space="preserve"> Collection</w:t>
      </w:r>
    </w:p>
    <w:p w:rsidR="001D0F75" w:rsidP="001D0F75" w14:paraId="4398F8C0" w14:textId="27B3BDBF">
      <w:pPr>
        <w:pStyle w:val="BodyText"/>
      </w:pPr>
      <w:r w:rsidRPr="001D0F75">
        <w:t>CPSC</w:t>
      </w:r>
      <w:r>
        <w:t xml:space="preserve"> </w:t>
      </w:r>
      <w:r w:rsidRPr="001D0F75">
        <w:t xml:space="preserve">staff will share the results of the </w:t>
      </w:r>
      <w:r w:rsidR="00F10992">
        <w:t xml:space="preserve">bathtub slip resistance </w:t>
      </w:r>
      <w:r w:rsidRPr="001D0F75">
        <w:t>study</w:t>
      </w:r>
      <w:r>
        <w:t xml:space="preserve"> </w:t>
      </w:r>
      <w:r w:rsidRPr="001D0F75">
        <w:t xml:space="preserve">with the ASTM F15.03 </w:t>
      </w:r>
      <w:r w:rsidR="00F10992">
        <w:t>c</w:t>
      </w:r>
      <w:r w:rsidRPr="001D0F75">
        <w:t>ommittee working on replacing</w:t>
      </w:r>
      <w:r>
        <w:t xml:space="preserve"> </w:t>
      </w:r>
      <w:r w:rsidRPr="001D0F75">
        <w:t>ASTM F462.</w:t>
      </w:r>
      <w:r>
        <w:t xml:space="preserve"> </w:t>
      </w:r>
      <w:r w:rsidRPr="00DC63CB">
        <w:t>In general, this study will be used to inform CPSC staff of major requirements needed to achieve an efficient and effective slip-resistance standard.</w:t>
      </w:r>
    </w:p>
    <w:p w:rsidR="00C01A88" w:rsidRPr="00DC63CB" w:rsidP="00DC63CB" w14:paraId="35127AFE" w14:textId="03820206">
      <w:pPr>
        <w:pStyle w:val="BodyText"/>
      </w:pPr>
      <w:r w:rsidRPr="00DC63CB">
        <w:t xml:space="preserve">This </w:t>
      </w:r>
      <w:r w:rsidR="00F10992">
        <w:t xml:space="preserve">human research </w:t>
      </w:r>
      <w:r w:rsidRPr="00DC63CB">
        <w:t xml:space="preserve">study will include slip test to quantify the minimum frictional performance required for each bathtub’s bathing surface, as characterized by human slip test results.  </w:t>
      </w:r>
      <w:r w:rsidR="00F10992">
        <w:t>It</w:t>
      </w:r>
      <w:r w:rsidRPr="00DC63CB">
        <w:t xml:space="preserve"> will incorporate some of the unique ambulation characteristics associated with bathing in general – i.e., stepping over the bathtub lip, lower walking velocity than normal ambulation, abnormal gait characteristics common in older adults and vulnerable population, and shortened stepping movement.  </w:t>
      </w:r>
    </w:p>
    <w:p w:rsidR="008571D9" w:rsidRPr="00DC63CB" w:rsidP="00DC63CB" w14:paraId="0ED00089" w14:textId="2EDE5FC1">
      <w:pPr>
        <w:pStyle w:val="BodyText"/>
      </w:pPr>
      <w:r w:rsidRPr="00DC63CB">
        <w:t xml:space="preserve">Factors related to the biomechanics of human movement during entry and exit from the bathtub will be evaluated, including availability of handrails, utilization of mats or rugs in the area </w:t>
      </w:r>
      <w:r w:rsidRPr="00DC63CB">
        <w:t>surrounding the tub or shower, and utilization of mats and/or stick-on materials on the</w:t>
      </w:r>
      <w:r w:rsidRPr="00DC63CB" w:rsidR="00C01A88">
        <w:t xml:space="preserve"> </w:t>
      </w:r>
      <w:r w:rsidRPr="00DC63CB">
        <w:t xml:space="preserve">bathing surface itself as </w:t>
      </w:r>
      <w:r w:rsidRPr="00DC63CB" w:rsidR="0044490B">
        <w:t>exploratory</w:t>
      </w:r>
      <w:r w:rsidRPr="00DC63CB">
        <w:t xml:space="preserve"> research.</w:t>
      </w:r>
    </w:p>
    <w:p w:rsidR="000928BF" w:rsidRPr="00833B94" w:rsidP="00833B94" w14:paraId="45DC806E" w14:textId="77777777">
      <w:pPr>
        <w:pStyle w:val="Heading2"/>
      </w:pPr>
      <w:r w:rsidRPr="00833B94">
        <w:t>Description of study</w:t>
      </w:r>
    </w:p>
    <w:p w:rsidR="00423268" w:rsidP="00DD00C5" w14:paraId="1E4CD132" w14:textId="240C4AC1">
      <w:pPr>
        <w:pStyle w:val="BodyText"/>
        <w:rPr>
          <w:rFonts w:eastAsia="Arial Narrow"/>
        </w:rPr>
      </w:pPr>
      <w:r w:rsidRPr="00E6795B">
        <w:rPr>
          <w:rFonts w:eastAsia="Arial Narrow"/>
        </w:rPr>
        <w:t>CPSC</w:t>
      </w:r>
      <w:r>
        <w:rPr>
          <w:rFonts w:eastAsia="Arial Narrow"/>
        </w:rPr>
        <w:t xml:space="preserve"> </w:t>
      </w:r>
      <w:r w:rsidRPr="00E6795B">
        <w:rPr>
          <w:rFonts w:eastAsia="Arial Narrow"/>
        </w:rPr>
        <w:t>contracted with Arizona State</w:t>
      </w:r>
      <w:r>
        <w:rPr>
          <w:rFonts w:eastAsia="Arial Narrow"/>
        </w:rPr>
        <w:t xml:space="preserve"> </w:t>
      </w:r>
      <w:r w:rsidRPr="00E6795B">
        <w:rPr>
          <w:rFonts w:eastAsia="Arial Narrow"/>
        </w:rPr>
        <w:t>University (ASU) to conduct this study.</w:t>
      </w:r>
      <w:r>
        <w:rPr>
          <w:rFonts w:eastAsia="Arial Narrow"/>
        </w:rPr>
        <w:t xml:space="preserve"> </w:t>
      </w:r>
      <w:r w:rsidRPr="00E6795B">
        <w:rPr>
          <w:rFonts w:eastAsia="Arial Narrow"/>
        </w:rPr>
        <w:t>The</w:t>
      </w:r>
      <w:r>
        <w:rPr>
          <w:rFonts w:eastAsia="Arial Narrow"/>
        </w:rPr>
        <w:t xml:space="preserve"> </w:t>
      </w:r>
      <w:r w:rsidRPr="00E6795B">
        <w:rPr>
          <w:rFonts w:eastAsia="Arial Narrow"/>
        </w:rPr>
        <w:t>experiments will be conducted at ASU’s</w:t>
      </w:r>
      <w:r>
        <w:rPr>
          <w:rFonts w:eastAsia="Arial Narrow"/>
        </w:rPr>
        <w:t xml:space="preserve"> </w:t>
      </w:r>
      <w:r w:rsidRPr="00E6795B">
        <w:rPr>
          <w:rFonts w:eastAsia="Arial Narrow"/>
        </w:rPr>
        <w:t>Locomotion Research Laboratory.</w:t>
      </w:r>
      <w:r>
        <w:rPr>
          <w:rFonts w:eastAsia="Arial Narrow"/>
        </w:rPr>
        <w:t xml:space="preserve"> </w:t>
      </w:r>
      <w:r w:rsidRPr="00E6795B">
        <w:rPr>
          <w:rFonts w:eastAsia="Arial Narrow"/>
        </w:rPr>
        <w:t>Participants will be recruited from the</w:t>
      </w:r>
      <w:r>
        <w:rPr>
          <w:rFonts w:eastAsia="Arial Narrow"/>
        </w:rPr>
        <w:t xml:space="preserve"> </w:t>
      </w:r>
      <w:r w:rsidRPr="00E6795B">
        <w:rPr>
          <w:rFonts w:eastAsia="Arial Narrow"/>
        </w:rPr>
        <w:t>Phoenix, Arizona metro area.</w:t>
      </w:r>
      <w:r>
        <w:rPr>
          <w:rFonts w:eastAsia="Arial Narrow"/>
        </w:rPr>
        <w:t xml:space="preserve"> </w:t>
      </w:r>
      <w:r w:rsidRPr="000D7A2A" w:rsidR="002A2D92">
        <w:rPr>
          <w:rFonts w:eastAsia="Arial Narrow"/>
        </w:rPr>
        <w:t>All participants included in this study will be generally healthy</w:t>
      </w:r>
      <w:r w:rsidR="00DD00C5">
        <w:rPr>
          <w:rFonts w:eastAsia="Arial Narrow"/>
        </w:rPr>
        <w:t xml:space="preserve"> a</w:t>
      </w:r>
      <w:r w:rsidRPr="00DD00C5" w:rsidR="00DD00C5">
        <w:rPr>
          <w:rFonts w:eastAsia="Arial Narrow"/>
        </w:rPr>
        <w:t xml:space="preserve">dults between </w:t>
      </w:r>
      <w:r w:rsidRPr="00DD00C5" w:rsidR="00DD00C5">
        <w:rPr>
          <w:rFonts w:eastAsia="Arial Narrow"/>
        </w:rPr>
        <w:t>ages</w:t>
      </w:r>
      <w:r w:rsidR="00F10992">
        <w:rPr>
          <w:rFonts w:eastAsia="Arial Narrow"/>
        </w:rPr>
        <w:t xml:space="preserve"> </w:t>
      </w:r>
      <w:r w:rsidRPr="00DD00C5" w:rsidR="00DD00C5">
        <w:rPr>
          <w:rFonts w:eastAsia="Arial Narrow"/>
        </w:rPr>
        <w:t>18 and 95 years old</w:t>
      </w:r>
      <w:r w:rsidRPr="000D7A2A" w:rsidR="002A2D92">
        <w:rPr>
          <w:rFonts w:eastAsia="Arial Narrow"/>
        </w:rPr>
        <w:t xml:space="preserve">.  </w:t>
      </w:r>
    </w:p>
    <w:p w:rsidR="001D0F75" w:rsidRPr="000D7A2A" w:rsidP="001D0F75" w14:paraId="3EACDBF2" w14:textId="3375DE56">
      <w:pPr>
        <w:pStyle w:val="BodyText"/>
        <w:rPr>
          <w:rFonts w:eastAsia="Arial Narrow"/>
        </w:rPr>
      </w:pPr>
      <w:r w:rsidRPr="001D0F75">
        <w:rPr>
          <w:rFonts w:eastAsia="Arial Narrow"/>
        </w:rPr>
        <w:t>The</w:t>
      </w:r>
      <w:r>
        <w:rPr>
          <w:rFonts w:eastAsia="Arial Narrow"/>
        </w:rPr>
        <w:t xml:space="preserve"> </w:t>
      </w:r>
      <w:r w:rsidRPr="001D0F75">
        <w:rPr>
          <w:rFonts w:eastAsia="Arial Narrow"/>
        </w:rPr>
        <w:t>study will involve a total of three</w:t>
      </w:r>
      <w:r>
        <w:rPr>
          <w:rFonts w:eastAsia="Arial Narrow"/>
        </w:rPr>
        <w:t xml:space="preserve"> </w:t>
      </w:r>
      <w:r w:rsidRPr="001D0F75">
        <w:rPr>
          <w:rFonts w:eastAsia="Arial Narrow"/>
        </w:rPr>
        <w:t>sessions to test three bathtub surfaces,</w:t>
      </w:r>
      <w:r>
        <w:rPr>
          <w:rFonts w:eastAsia="Arial Narrow"/>
        </w:rPr>
        <w:t xml:space="preserve"> </w:t>
      </w:r>
      <w:r w:rsidRPr="001D0F75">
        <w:rPr>
          <w:rFonts w:eastAsia="Arial Narrow"/>
        </w:rPr>
        <w:t>where participants will walk into the</w:t>
      </w:r>
      <w:r>
        <w:rPr>
          <w:rFonts w:eastAsia="Arial Narrow"/>
        </w:rPr>
        <w:t xml:space="preserve"> </w:t>
      </w:r>
      <w:r w:rsidRPr="001D0F75">
        <w:rPr>
          <w:rFonts w:eastAsia="Arial Narrow"/>
        </w:rPr>
        <w:t>tub and step out, while wearing fall</w:t>
      </w:r>
      <w:r>
        <w:rPr>
          <w:rFonts w:eastAsia="Arial Narrow"/>
        </w:rPr>
        <w:t xml:space="preserve"> </w:t>
      </w:r>
      <w:r w:rsidRPr="001D0F75">
        <w:rPr>
          <w:rFonts w:eastAsia="Arial Narrow"/>
        </w:rPr>
        <w:t>arresting</w:t>
      </w:r>
      <w:r w:rsidRPr="001D0F75">
        <w:rPr>
          <w:rFonts w:eastAsia="Arial Narrow"/>
        </w:rPr>
        <w:t xml:space="preserve"> harness systems for safety.</w:t>
      </w:r>
      <w:r>
        <w:rPr>
          <w:rFonts w:eastAsia="Arial Narrow"/>
        </w:rPr>
        <w:t xml:space="preserve"> </w:t>
      </w:r>
      <w:r w:rsidRPr="001D0F75">
        <w:rPr>
          <w:rFonts w:eastAsia="Arial Narrow"/>
        </w:rPr>
        <w:t>During these sessions, resistance forces</w:t>
      </w:r>
      <w:r>
        <w:rPr>
          <w:rFonts w:eastAsia="Arial Narrow"/>
        </w:rPr>
        <w:t xml:space="preserve"> </w:t>
      </w:r>
      <w:r w:rsidRPr="001D0F75">
        <w:rPr>
          <w:rFonts w:eastAsia="Arial Narrow"/>
        </w:rPr>
        <w:t>under the foot and motion of the foot</w:t>
      </w:r>
      <w:r>
        <w:rPr>
          <w:rFonts w:eastAsia="Arial Narrow"/>
        </w:rPr>
        <w:t xml:space="preserve"> </w:t>
      </w:r>
      <w:r w:rsidRPr="001D0F75">
        <w:rPr>
          <w:rFonts w:eastAsia="Arial Narrow"/>
        </w:rPr>
        <w:t>movements will be measured. The study</w:t>
      </w:r>
      <w:r>
        <w:rPr>
          <w:rFonts w:eastAsia="Arial Narrow"/>
        </w:rPr>
        <w:t xml:space="preserve"> </w:t>
      </w:r>
      <w:r w:rsidRPr="001D0F75">
        <w:rPr>
          <w:rFonts w:eastAsia="Arial Narrow"/>
        </w:rPr>
        <w:t>will quantify the minimum frictional</w:t>
      </w:r>
      <w:r>
        <w:rPr>
          <w:rFonts w:eastAsia="Arial Narrow"/>
        </w:rPr>
        <w:t xml:space="preserve"> </w:t>
      </w:r>
      <w:r w:rsidRPr="001D0F75">
        <w:rPr>
          <w:rFonts w:eastAsia="Arial Narrow"/>
        </w:rPr>
        <w:t>performance required for a bathing</w:t>
      </w:r>
      <w:r>
        <w:rPr>
          <w:rFonts w:eastAsia="Arial Narrow"/>
        </w:rPr>
        <w:t xml:space="preserve"> </w:t>
      </w:r>
      <w:r w:rsidRPr="001D0F75">
        <w:rPr>
          <w:rFonts w:eastAsia="Arial Narrow"/>
        </w:rPr>
        <w:t>surface to reduce slips and falls.</w:t>
      </w:r>
    </w:p>
    <w:p w:rsidR="005A19B5" w:rsidP="00F01D7E" w14:paraId="27FB87D7" w14:textId="77777777">
      <w:pPr>
        <w:pStyle w:val="BodyText"/>
      </w:pPr>
      <w:r w:rsidRPr="000D7A2A">
        <w:rPr>
          <w:rFonts w:eastAsia="Arial Narrow"/>
        </w:rPr>
        <w:t xml:space="preserve">For the data collection timeline, when </w:t>
      </w:r>
      <w:r w:rsidR="001E1316">
        <w:rPr>
          <w:rFonts w:eastAsia="Arial Narrow"/>
        </w:rPr>
        <w:t>participant</w:t>
      </w:r>
      <w:r w:rsidRPr="000D7A2A">
        <w:rPr>
          <w:rFonts w:eastAsia="Arial Narrow"/>
        </w:rPr>
        <w:t xml:space="preserve">s agree to participate in the study, </w:t>
      </w:r>
      <w:r w:rsidR="0099786F">
        <w:rPr>
          <w:rFonts w:eastAsia="Arial Narrow"/>
        </w:rPr>
        <w:t xml:space="preserve">a </w:t>
      </w:r>
      <w:r w:rsidRPr="000D7A2A">
        <w:rPr>
          <w:rFonts w:eastAsia="Arial Narrow"/>
        </w:rPr>
        <w:t xml:space="preserve">research associate will go over the detailed procedure of the study and answer all the questions/concerns. After signing the consent form, all the </w:t>
      </w:r>
      <w:r w:rsidR="001E1316">
        <w:rPr>
          <w:rFonts w:eastAsia="Arial Narrow"/>
        </w:rPr>
        <w:t>participant</w:t>
      </w:r>
      <w:r w:rsidRPr="000D7A2A">
        <w:rPr>
          <w:rFonts w:eastAsia="Arial Narrow"/>
        </w:rPr>
        <w:t>s’ height and weight will be measured, this will take approximately 5 minute</w:t>
      </w:r>
      <w:r w:rsidR="001E1316">
        <w:rPr>
          <w:rFonts w:eastAsia="Arial Narrow"/>
        </w:rPr>
        <w:t>s</w:t>
      </w:r>
      <w:r w:rsidRPr="000D7A2A">
        <w:rPr>
          <w:rFonts w:eastAsia="Arial Narrow"/>
        </w:rPr>
        <w:t xml:space="preserve">. Then </w:t>
      </w:r>
      <w:r w:rsidR="001E1316">
        <w:rPr>
          <w:rFonts w:eastAsia="Arial Narrow"/>
        </w:rPr>
        <w:t>participants</w:t>
      </w:r>
      <w:r w:rsidRPr="000D7A2A" w:rsidR="001E1316">
        <w:t xml:space="preserve"> </w:t>
      </w:r>
      <w:r w:rsidRPr="000D7A2A">
        <w:t xml:space="preserve">will fill out the Medical History, questionnaire, </w:t>
      </w:r>
      <w:r w:rsidRPr="000D7A2A">
        <w:rPr>
          <w:lang w:eastAsia="ko-KR"/>
        </w:rPr>
        <w:t xml:space="preserve">survey </w:t>
      </w:r>
      <w:r w:rsidRPr="000D7A2A">
        <w:rPr>
          <w:lang w:eastAsia="ko-KR"/>
        </w:rPr>
        <w:t>etc</w:t>
      </w:r>
      <w:r w:rsidRPr="000D7A2A">
        <w:rPr>
          <w:lang w:eastAsia="ko-KR"/>
        </w:rPr>
        <w:t>,</w:t>
      </w:r>
      <w:r w:rsidRPr="000D7A2A">
        <w:t xml:space="preserve"> which will take about 10</w:t>
      </w:r>
      <w:r>
        <w:t xml:space="preserve"> to </w:t>
      </w:r>
      <w:r w:rsidRPr="000D7A2A">
        <w:t xml:space="preserve">15 minutes. After filling out all the </w:t>
      </w:r>
      <w:r w:rsidR="001E1316">
        <w:t>participant</w:t>
      </w:r>
      <w:r w:rsidRPr="000D7A2A">
        <w:t xml:space="preserve"> documents, </w:t>
      </w:r>
      <w:r w:rsidRPr="000D7A2A" w:rsidR="001E1316">
        <w:t>the subject</w:t>
      </w:r>
      <w:r w:rsidRPr="000D7A2A">
        <w:t xml:space="preserve"> will start the friction demand assessments on variety of Bathtubs (three different types) on the laboratory mockup of bathing floor surfaces</w:t>
      </w:r>
      <w:bookmarkStart w:id="3" w:name="_Hlk93228408"/>
      <w:r w:rsidRPr="000D7A2A">
        <w:t xml:space="preserve">.  </w:t>
      </w:r>
    </w:p>
    <w:p w:rsidR="00D960DA" w:rsidRPr="00D960DA" w:rsidP="00D960DA" w14:paraId="11060522" w14:textId="6BEED941">
      <w:pPr>
        <w:pStyle w:val="BodyText"/>
        <w:rPr>
          <w:bCs/>
        </w:rPr>
      </w:pPr>
      <w:r w:rsidRPr="000D7A2A">
        <w:t>Each test will take 20 minutes and</w:t>
      </w:r>
      <w:r w:rsidR="0099786F">
        <w:t>,</w:t>
      </w:r>
      <w:r w:rsidRPr="000D7A2A">
        <w:t xml:space="preserve"> with three bathtubs</w:t>
      </w:r>
      <w:r w:rsidR="0099786F">
        <w:t>,</w:t>
      </w:r>
      <w:r w:rsidRPr="000D7A2A">
        <w:t xml:space="preserve"> will last about two hours. </w:t>
      </w:r>
      <w:bookmarkStart w:id="4" w:name="_Hlk93230828"/>
      <w:r w:rsidRPr="000D7A2A">
        <w:t>The experiment will be done while on barefoot for stepping in and out of the bathing surfaces. W</w:t>
      </w:r>
      <w:r>
        <w:t>e</w:t>
      </w:r>
      <w:r w:rsidRPr="000D7A2A">
        <w:t xml:space="preserve"> will ask: “You will be asked to wear comfortable clothing for the activity, and if not wearing the appropriate clothing, a change of clothes </w:t>
      </w:r>
      <w:r w:rsidRPr="000D7A2A">
        <w:t>are</w:t>
      </w:r>
      <w:r w:rsidRPr="000D7A2A">
        <w:t xml:space="preserve"> available for the participants to wear for the duration of the experiment.”</w:t>
      </w:r>
      <w:bookmarkEnd w:id="4"/>
      <w:r>
        <w:t xml:space="preserve"> </w:t>
      </w:r>
      <w:bookmarkStart w:id="5" w:name="_Hlk93466604"/>
      <w:r w:rsidRPr="000D7A2A">
        <w:rPr>
          <w:rFonts w:eastAsia="Arial Narrow"/>
        </w:rPr>
        <w:t>There will be</w:t>
      </w:r>
      <w:r>
        <w:rPr>
          <w:rFonts w:eastAsia="Arial Narrow"/>
        </w:rPr>
        <w:t xml:space="preserve"> a</w:t>
      </w:r>
      <w:r w:rsidRPr="000D7A2A">
        <w:rPr>
          <w:rFonts w:eastAsia="Arial Narrow"/>
        </w:rPr>
        <w:t xml:space="preserve"> total of three sessions for this study protocol </w:t>
      </w:r>
      <w:r w:rsidRPr="000D7A2A">
        <w:rPr>
          <w:rFonts w:eastAsia="Arial Narrow"/>
        </w:rPr>
        <w:t>as a result of</w:t>
      </w:r>
      <w:r w:rsidRPr="000D7A2A">
        <w:rPr>
          <w:rFonts w:eastAsia="Arial Narrow"/>
        </w:rPr>
        <w:t xml:space="preserve"> having to test three bathtub </w:t>
      </w:r>
      <w:r>
        <w:rPr>
          <w:rFonts w:eastAsia="Arial Narrow"/>
        </w:rPr>
        <w:t>s</w:t>
      </w:r>
      <w:r w:rsidRPr="000D7A2A">
        <w:rPr>
          <w:rFonts w:eastAsia="Arial Narrow"/>
        </w:rPr>
        <w:t xml:space="preserve">urfaces. </w:t>
      </w:r>
      <w:bookmarkEnd w:id="5"/>
    </w:p>
    <w:p w:rsidR="00D960DA" w:rsidRPr="006C0140" w:rsidP="00D960DA" w14:paraId="5BB133B9" w14:textId="77777777">
      <w:pPr>
        <w:pStyle w:val="BodyText"/>
        <w:rPr>
          <w:spacing w:val="-2"/>
        </w:rPr>
      </w:pPr>
      <w:r>
        <w:t>The study</w:t>
      </w:r>
      <w:r w:rsidRPr="006C0140">
        <w:t xml:space="preserve"> will utilize four major disciplines (epidemiology, tribology, biomechanics, and</w:t>
      </w:r>
      <w:r w:rsidRPr="006C0140">
        <w:rPr>
          <w:spacing w:val="1"/>
        </w:rPr>
        <w:t xml:space="preserve"> </w:t>
      </w:r>
      <w:r w:rsidRPr="006C0140">
        <w:t>psychophysics) to cogently address and inform CPSC staff of major requirements needed to achieve an</w:t>
      </w:r>
      <w:r w:rsidRPr="006C0140">
        <w:rPr>
          <w:spacing w:val="1"/>
        </w:rPr>
        <w:t xml:space="preserve"> </w:t>
      </w:r>
      <w:r w:rsidRPr="006C0140">
        <w:t>efficient and smooth transition towards an effective slip-resistance standard to improve bathing safety of our adult</w:t>
      </w:r>
      <w:r w:rsidRPr="006C0140">
        <w:rPr>
          <w:spacing w:val="1"/>
        </w:rPr>
        <w:t xml:space="preserve"> </w:t>
      </w:r>
      <w:r w:rsidRPr="006C0140">
        <w:t>cohorts.</w:t>
      </w:r>
      <w:r w:rsidRPr="006C0140">
        <w:rPr>
          <w:spacing w:val="44"/>
        </w:rPr>
        <w:t xml:space="preserve"> </w:t>
      </w:r>
    </w:p>
    <w:p w:rsidR="000D7A2A" w:rsidP="00F01D7E" w14:paraId="6322FFBA" w14:textId="2EFFAE70">
      <w:pPr>
        <w:pStyle w:val="BodyText"/>
      </w:pPr>
      <w:r w:rsidRPr="000D7A2A">
        <w:t xml:space="preserve">Each session </w:t>
      </w:r>
      <w:r w:rsidRPr="000D7A2A" w:rsidR="001E1316">
        <w:t>procedure</w:t>
      </w:r>
      <w:r w:rsidRPr="000D7A2A">
        <w:t xml:space="preserve"> will be identical except for stepping on three different bathing surfaces.  Participants will walk into the tub and step out of the tub, and we will measure resistant force under the foot (i.e., force plates) and motion of the foot movements.  Two trials will be on the dry surface.  Two more trials are on the same bathtub surface, but it will be sprayed on with a liquid solution (90% water, 10% SLS). Participants will be wearing a fall arresting harness system for safety.  Once this session is completed (approximately 10-15 minutes), a 5-minute rest will be provided to the participant – thus, ending the first bathtub trials.  The participants </w:t>
      </w:r>
      <w:r w:rsidRPr="000D7A2A">
        <w:t xml:space="preserve">will go through two more bathtubs with the rest breaks.  </w:t>
      </w:r>
      <w:bookmarkEnd w:id="3"/>
      <w:r w:rsidRPr="000D7A2A">
        <w:t>As such, with breaks in between, two hours will be compensated.</w:t>
      </w:r>
    </w:p>
    <w:p w:rsidR="004E08BF" w:rsidRPr="000D7A2A" w:rsidP="005A19B5" w14:paraId="7865D987" w14:textId="2C03BD28">
      <w:pPr>
        <w:pStyle w:val="BodyText"/>
      </w:pPr>
      <w:r w:rsidRPr="000D7A2A">
        <w:t xml:space="preserve">In this study, we will be testing the </w:t>
      </w:r>
      <w:r w:rsidRPr="000D7A2A">
        <w:rPr>
          <w:u w:val="single"/>
        </w:rPr>
        <w:t>actual bathtub surfaces</w:t>
      </w:r>
      <w:r w:rsidRPr="000D7A2A">
        <w:t xml:space="preserve"> for slip resistance characteristics. </w:t>
      </w:r>
      <w:r w:rsidR="005A19B5">
        <w:t>W</w:t>
      </w:r>
      <w:r w:rsidRPr="000D7A2A">
        <w:t>e will test three types of bathtub surfaces:</w:t>
      </w:r>
    </w:p>
    <w:p w:rsidR="004E08BF" w:rsidRPr="00F01D7E" w:rsidP="00F01D7E" w14:paraId="018ABB81" w14:textId="2B6B52D0">
      <w:pPr>
        <w:pStyle w:val="BodyText"/>
      </w:pPr>
      <w:r w:rsidRPr="000D7A2A">
        <w:rPr>
          <w:b/>
          <w:bCs/>
        </w:rPr>
        <w:t>Porcelain-enameled steel</w:t>
      </w:r>
      <w:r w:rsidRPr="000D7A2A">
        <w:t xml:space="preserve">: Such bathing surface products typically use “gritty” surface roughness features (patterned or uniformly applied) to facilitate friction. </w:t>
      </w:r>
    </w:p>
    <w:p w:rsidR="004E08BF" w:rsidRPr="000D7A2A" w:rsidP="00F01D7E" w14:paraId="5E950E84" w14:textId="4F54BFD1">
      <w:pPr>
        <w:pStyle w:val="BodyText"/>
      </w:pPr>
      <w:r w:rsidRPr="000D7A2A">
        <w:rPr>
          <w:b/>
          <w:bCs/>
        </w:rPr>
        <w:t>Embossed (vacuum-formed) sheet plastic</w:t>
      </w:r>
      <w:r w:rsidRPr="000D7A2A">
        <w:t>: Such bathing surface products typically use 3D-profiled patterned friction features embossed into otherwise-smooth glossy sheet acrylic.</w:t>
      </w:r>
    </w:p>
    <w:p w:rsidR="004E08BF" w:rsidRPr="00F01D7E" w:rsidP="00F01D7E" w14:paraId="1320A0AE" w14:textId="014F8EFE">
      <w:pPr>
        <w:pStyle w:val="BodyText"/>
      </w:pPr>
      <w:r w:rsidRPr="005A19B5">
        <w:rPr>
          <w:b/>
          <w:bCs/>
        </w:rPr>
        <w:t>Simulated gelcoat</w:t>
      </w:r>
      <w:r w:rsidRPr="000D7A2A">
        <w:rPr>
          <w:b/>
          <w:bCs/>
        </w:rPr>
        <w:t>/fiberglass</w:t>
      </w:r>
      <w:r w:rsidRPr="000D7A2A">
        <w:t xml:space="preserve">: Such bathing surface products typically use 3D-profiled patterned friction features molded using a composite layup of a gelcoat (colored unreinforced resin) exposed surface backed by fiberglass and polyester resin. </w:t>
      </w:r>
    </w:p>
    <w:p w:rsidR="004E08BF" w:rsidRPr="000D7A2A" w:rsidP="00DC63CB" w14:paraId="282585F5" w14:textId="23B732EF">
      <w:pPr>
        <w:pStyle w:val="BodyText"/>
      </w:pPr>
      <w:r w:rsidRPr="000D7A2A">
        <w:t>Any of the following devices can be used to collect data within this protocol</w:t>
      </w:r>
      <w:r w:rsidR="00D960DA">
        <w:t>:</w:t>
      </w:r>
    </w:p>
    <w:p w:rsidR="004E08BF" w:rsidRPr="00D960DA" w:rsidP="00D960DA" w14:paraId="4290DBB3" w14:textId="6FF35CAE">
      <w:pPr>
        <w:pStyle w:val="BodyText"/>
        <w:numPr>
          <w:ilvl w:val="0"/>
          <w:numId w:val="11"/>
        </w:numPr>
        <w:rPr>
          <w:bCs/>
        </w:rPr>
      </w:pPr>
      <w:r w:rsidRPr="00D960DA">
        <w:rPr>
          <w:bCs/>
        </w:rPr>
        <w:t xml:space="preserve">D motion-capture system: (VICON®, nexus, 3 video cameras and 10 Bonita camera, </w:t>
      </w:r>
      <w:r w:rsidR="00D960DA">
        <w:rPr>
          <w:bCs/>
        </w:rPr>
        <w:t xml:space="preserve">by </w:t>
      </w:r>
      <w:r w:rsidRPr="00D960DA">
        <w:rPr>
          <w:bCs/>
        </w:rPr>
        <w:t>Oxford Metrics, Oxford, UK</w:t>
      </w:r>
      <w:r w:rsidR="00D960DA">
        <w:rPr>
          <w:bCs/>
        </w:rPr>
        <w:t>)</w:t>
      </w:r>
      <w:r w:rsidRPr="00D960DA">
        <w:rPr>
          <w:bCs/>
        </w:rPr>
        <w:t xml:space="preserve"> that tracks the kinematics of </w:t>
      </w:r>
      <w:r w:rsidRPr="00D960DA">
        <w:rPr>
          <w:bCs/>
        </w:rPr>
        <w:t>whole body</w:t>
      </w:r>
      <w:r w:rsidRPr="00D960DA">
        <w:rPr>
          <w:bCs/>
        </w:rPr>
        <w:t xml:space="preserve"> movement within the integration of kinetics</w:t>
      </w:r>
      <w:r w:rsidRPr="00D960DA" w:rsidR="00D960DA">
        <w:rPr>
          <w:bCs/>
        </w:rPr>
        <w:t>.</w:t>
      </w:r>
    </w:p>
    <w:p w:rsidR="004E08BF" w:rsidRPr="00D960DA" w:rsidP="00D960DA" w14:paraId="4A4937BF" w14:textId="77777777">
      <w:pPr>
        <w:pStyle w:val="BodyText"/>
        <w:numPr>
          <w:ilvl w:val="0"/>
          <w:numId w:val="11"/>
        </w:numPr>
        <w:rPr>
          <w:bCs/>
        </w:rPr>
      </w:pPr>
      <w:r w:rsidRPr="00D960DA">
        <w:rPr>
          <w:rFonts w:eastAsia="SimSun"/>
          <w:bCs/>
        </w:rPr>
        <w:t xml:space="preserve">AMTI's </w:t>
      </w:r>
      <w:r w:rsidRPr="00D960DA">
        <w:rPr>
          <w:rFonts w:eastAsia="SimSun"/>
          <w:bCs/>
        </w:rPr>
        <w:t>AccuGait</w:t>
      </w:r>
      <w:r w:rsidRPr="00D960DA">
        <w:rPr>
          <w:rFonts w:eastAsia="SimSun"/>
          <w:bCs/>
        </w:rPr>
        <w:t xml:space="preserve"> Optimized™ multi-axis force platform is a portable </w:t>
      </w:r>
      <w:r w:rsidRPr="00D960DA">
        <w:rPr>
          <w:rFonts w:eastAsia="SimSun"/>
          <w:bCs/>
        </w:rPr>
        <w:t>forceplate</w:t>
      </w:r>
      <w:r w:rsidRPr="00D960DA">
        <w:rPr>
          <w:rFonts w:eastAsia="SimSun"/>
          <w:bCs/>
        </w:rPr>
        <w:t xml:space="preserve"> for quantifying human gait and balance. </w:t>
      </w:r>
    </w:p>
    <w:p w:rsidR="004E08BF" w:rsidRPr="00D960DA" w:rsidP="00D960DA" w14:paraId="0A08B432" w14:textId="1FD51DB6">
      <w:pPr>
        <w:pStyle w:val="BodyText"/>
        <w:numPr>
          <w:ilvl w:val="0"/>
          <w:numId w:val="11"/>
        </w:numPr>
        <w:rPr>
          <w:bCs/>
        </w:rPr>
      </w:pPr>
      <w:r w:rsidRPr="00D960DA">
        <w:rPr>
          <w:bCs/>
        </w:rPr>
        <w:t>Inertial measurement units (IMU) system (acceleration, magnetometer, and gyroscope data in x, y, and z directions).</w:t>
      </w:r>
    </w:p>
    <w:p w:rsidR="00402718" w:rsidRPr="000D7A2A" w:rsidP="00DC63CB" w14:paraId="5B64E3E7" w14:textId="020DCF6E">
      <w:pPr>
        <w:pStyle w:val="BodyText"/>
        <w:rPr>
          <w:bCs/>
        </w:rPr>
      </w:pPr>
      <w:r w:rsidRPr="000D7A2A">
        <w:t xml:space="preserve">This study will quantify the minimum frictional performance required for bathing surface. </w:t>
      </w:r>
      <w:r w:rsidRPr="000D7A2A">
        <w:t>Similar to</w:t>
      </w:r>
      <w:r w:rsidRPr="000D7A2A">
        <w:t xml:space="preserve"> the study performed by Siegmund et al., 2010, we will test all age groups (i.e., young, middle and older adults). Thus, approximately 500 participants will be tested while stepping over bathtub and shower pan rim mockups at about 2.5% slope grade (Figure 1).</w:t>
      </w:r>
    </w:p>
    <w:p w:rsidR="00402718" w:rsidRPr="000D7A2A" w:rsidP="00DC63CB" w14:paraId="01E222FD" w14:textId="77777777">
      <w:pPr>
        <w:pStyle w:val="BodyText"/>
        <w:rPr>
          <w:bCs/>
        </w:rPr>
      </w:pPr>
    </w:p>
    <w:p w:rsidR="004E08BF" w:rsidRPr="00EF234D" w:rsidP="004E08BF" w14:paraId="4897DD74" w14:textId="77777777">
      <w:pPr>
        <w:rPr>
          <w:rFonts w:ascii="Arial Narrow" w:hAnsi="Arial Narrow"/>
          <w:sz w:val="20"/>
          <w:szCs w:val="20"/>
        </w:rPr>
      </w:pPr>
    </w:p>
    <w:p w:rsidR="004E08BF" w:rsidP="004E08BF" w14:paraId="051798D7" w14:textId="77777777">
      <w:pPr>
        <w:rPr>
          <w:rFonts w:ascii="Arial Narrow" w:hAnsi="Arial Narrow"/>
          <w:sz w:val="20"/>
          <w:szCs w:val="20"/>
        </w:rPr>
      </w:pPr>
      <w:r w:rsidRPr="00F54AC6">
        <w:rPr>
          <w:rFonts w:ascii="Arial" w:hAnsi="Arial" w:cs="Arial"/>
          <w:noProof/>
        </w:rPr>
        <w:drawing>
          <wp:inline distT="0" distB="0" distL="0" distR="0">
            <wp:extent cx="1776464" cy="1319561"/>
            <wp:effectExtent l="0" t="0" r="0" b="0"/>
            <wp:docPr id="30" name="Picture 30" descr="Ch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Picture 1" descr="Chart&#10;&#10;Description automatically generated"/>
                    <pic:cNvPicPr/>
                  </pic:nvPicPr>
                  <pic:blipFill>
                    <a:blip xmlns:r="http://schemas.openxmlformats.org/officeDocument/2006/relationships" r:embed="rId6"/>
                    <a:stretch>
                      <a:fillRect/>
                    </a:stretch>
                  </pic:blipFill>
                  <pic:spPr>
                    <a:xfrm>
                      <a:off x="0" y="0"/>
                      <a:ext cx="1857674" cy="1379884"/>
                    </a:xfrm>
                    <a:prstGeom prst="rect">
                      <a:avLst/>
                    </a:prstGeom>
                  </pic:spPr>
                </pic:pic>
              </a:graphicData>
            </a:graphic>
          </wp:inline>
        </w:drawing>
      </w:r>
      <w:r w:rsidRPr="00F54AC6">
        <w:rPr>
          <w:rFonts w:ascii="Arial" w:hAnsi="Arial" w:cs="Arial"/>
          <w:noProof/>
        </w:rPr>
        <w:drawing>
          <wp:inline distT="0" distB="0" distL="0" distR="0">
            <wp:extent cx="1606102" cy="1568605"/>
            <wp:effectExtent l="0" t="0" r="0" b="0"/>
            <wp:docPr id="12" name="Picture 12" descr="A picture containing indoor, ceiling&#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descr="A picture containing indoor, ceiling&#10;&#10;Description automatically generated"/>
                    <pic:cNvPicPr>
                      <a:picLocks noChangeAspect="1" noChangeArrowheads="1"/>
                    </pic:cNvPicPr>
                  </pic:nvPicPr>
                  <pic:blipFill>
                    <a:blip xmlns:r="http://schemas.openxmlformats.org/officeDocument/2006/relationships" r:embed="rId7"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1638554" cy="1600299"/>
                    </a:xfrm>
                    <a:prstGeom prst="rect">
                      <a:avLst/>
                    </a:prstGeom>
                    <a:noFill/>
                    <a:ln>
                      <a:noFill/>
                    </a:ln>
                  </pic:spPr>
                </pic:pic>
              </a:graphicData>
            </a:graphic>
          </wp:inline>
        </w:drawing>
      </w:r>
      <w:r w:rsidRPr="00F54AC6">
        <w:rPr>
          <w:rFonts w:ascii="Arial" w:hAnsi="Arial" w:cs="Arial"/>
          <w:noProof/>
        </w:rPr>
        <w:drawing>
          <wp:inline distT="0" distB="0" distL="0" distR="0">
            <wp:extent cx="1315281" cy="1712559"/>
            <wp:effectExtent l="0" t="0" r="0" b="2540"/>
            <wp:docPr id="7" name="Picture 7" descr="A picture containing indoo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A picture containing indoor&#10;&#10;Description automatically generated"/>
                    <pic:cNvPicPr>
                      <a:picLocks noChangeAspect="1" noChangeArrowheads="1"/>
                    </pic:cNvPicPr>
                  </pic:nvPicPr>
                  <pic:blipFill>
                    <a:blip xmlns:r="http://schemas.openxmlformats.org/officeDocument/2006/relationships" r:embed="rId8"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1369071" cy="1782596"/>
                    </a:xfrm>
                    <a:prstGeom prst="rect">
                      <a:avLst/>
                    </a:prstGeom>
                    <a:noFill/>
                    <a:ln>
                      <a:noFill/>
                    </a:ln>
                  </pic:spPr>
                </pic:pic>
              </a:graphicData>
            </a:graphic>
          </wp:inline>
        </w:drawing>
      </w:r>
      <w:r w:rsidRPr="00F54AC6">
        <w:rPr>
          <w:rFonts w:ascii="Arial" w:hAnsi="Arial" w:cs="Arial"/>
          <w:noProof/>
        </w:rPr>
        <w:drawing>
          <wp:inline distT="0" distB="0" distL="0" distR="0">
            <wp:extent cx="1291227" cy="1737995"/>
            <wp:effectExtent l="0" t="0" r="4445" b="0"/>
            <wp:docPr id="8" name="Picture 8" descr="A picture containing indoo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3" descr="A picture containing indoor&#10;&#10;Description automatically generated"/>
                    <pic:cNvPicPr>
                      <a:picLocks noChangeAspect="1" noChangeArrowheads="1"/>
                    </pic:cNvPicPr>
                  </pic:nvPicPr>
                  <pic:blipFill>
                    <a:blip xmlns:r="http://schemas.openxmlformats.org/officeDocument/2006/relationships" r:embed="rId9"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1317316" cy="1773112"/>
                    </a:xfrm>
                    <a:prstGeom prst="rect">
                      <a:avLst/>
                    </a:prstGeom>
                    <a:noFill/>
                    <a:ln>
                      <a:noFill/>
                    </a:ln>
                  </pic:spPr>
                </pic:pic>
              </a:graphicData>
            </a:graphic>
          </wp:inline>
        </w:drawing>
      </w:r>
    </w:p>
    <w:p w:rsidR="004E08BF" w:rsidRPr="00EF234D" w:rsidP="004E08BF" w14:paraId="77A1E1F9" w14:textId="489F5C0F">
      <w:pPr>
        <w:rPr>
          <w:rFonts w:ascii="Arial Narrow" w:hAnsi="Arial Narrow"/>
          <w:sz w:val="20"/>
          <w:szCs w:val="20"/>
        </w:rPr>
      </w:pPr>
    </w:p>
    <w:p w:rsidR="004E08BF" w:rsidRPr="00EF234D" w:rsidP="000D7A2A" w14:paraId="406D8D37" w14:textId="77777777">
      <w:pPr>
        <w:jc w:val="center"/>
        <w:rPr>
          <w:rFonts w:ascii="Arial Narrow" w:hAnsi="Arial Narrow"/>
          <w:sz w:val="20"/>
          <w:szCs w:val="20"/>
        </w:rPr>
      </w:pPr>
      <w:r>
        <w:rPr>
          <w:rFonts w:ascii="Arial Narrow" w:hAnsi="Arial Narrow"/>
          <w:sz w:val="20"/>
          <w:szCs w:val="20"/>
        </w:rPr>
        <w:t>Figure 1.  The experimental setup – stepping into the angled bathing surfaces.</w:t>
      </w:r>
    </w:p>
    <w:p w:rsidR="005A38C0" w:rsidRPr="000D7A2A" w:rsidP="005A38C0" w14:paraId="11037754" w14:textId="40BA3230">
      <w:pPr>
        <w:pStyle w:val="BodyText"/>
        <w:spacing w:before="196"/>
        <w:ind w:right="411"/>
      </w:pPr>
      <w:bookmarkStart w:id="6" w:name="_Hlk182491695"/>
    </w:p>
    <w:p w:rsidR="000928BF" w:rsidP="00E75585" w14:paraId="043F2C94" w14:textId="6F29F9F7">
      <w:pPr>
        <w:pStyle w:val="Heading2"/>
      </w:pPr>
      <w:bookmarkStart w:id="7" w:name="A.2.3_Methods_of_dissemination"/>
      <w:bookmarkEnd w:id="6"/>
      <w:bookmarkEnd w:id="7"/>
      <w:r>
        <w:t>Methods</w:t>
      </w:r>
      <w:r>
        <w:rPr>
          <w:spacing w:val="-3"/>
        </w:rPr>
        <w:t xml:space="preserve"> </w:t>
      </w:r>
      <w:r>
        <w:t>of dissemination</w:t>
      </w:r>
    </w:p>
    <w:p w:rsidR="005F5E5F" w:rsidRPr="00DC63CB" w:rsidP="00DC63CB" w14:paraId="0952AE2F" w14:textId="3EEE4A30">
      <w:pPr>
        <w:pStyle w:val="BodyText"/>
      </w:pPr>
      <w:r w:rsidRPr="00DC63CB">
        <w:t xml:space="preserve">The data collected will be used in dissertations, theses, and masters applied projects. </w:t>
      </w:r>
      <w:r w:rsidRPr="00DC63CB">
        <w:t xml:space="preserve">ASU will publish the results in </w:t>
      </w:r>
      <w:r w:rsidRPr="00DC63CB" w:rsidR="007B6DCB">
        <w:t>a journal setting after permission is granted by CPSC.</w:t>
      </w:r>
      <w:r w:rsidRPr="00DC63CB" w:rsidR="000D7A2A">
        <w:t xml:space="preserve"> </w:t>
      </w:r>
      <w:r w:rsidRPr="00DC63CB">
        <w:t>Results and data could be shared with other 3rd party organizations, but all subject information will be de</w:t>
      </w:r>
      <w:r w:rsidR="00D960DA">
        <w:t>-i</w:t>
      </w:r>
      <w:r w:rsidRPr="00DC63CB">
        <w:t xml:space="preserve">dentified. </w:t>
      </w:r>
      <w:r w:rsidRPr="00DC63CB" w:rsidR="000D7A2A">
        <w:t xml:space="preserve">Typically, CPSC will </w:t>
      </w:r>
      <w:r w:rsidRPr="00DC63CB" w:rsidR="004729D7">
        <w:t xml:space="preserve">also </w:t>
      </w:r>
      <w:r w:rsidRPr="00DC63CB" w:rsidR="000D7A2A">
        <w:t>post a report</w:t>
      </w:r>
      <w:r w:rsidRPr="00DC63CB" w:rsidR="004729D7">
        <w:t xml:space="preserve"> of the study</w:t>
      </w:r>
      <w:r w:rsidRPr="00DC63CB" w:rsidR="000D7A2A">
        <w:t xml:space="preserve"> to the CPSC website to disseminate the results </w:t>
      </w:r>
      <w:r w:rsidRPr="00DC63CB" w:rsidR="004729D7">
        <w:t>to the public</w:t>
      </w:r>
      <w:r w:rsidRPr="00DC63CB" w:rsidR="000D7A2A">
        <w:t>.</w:t>
      </w:r>
    </w:p>
    <w:p w:rsidR="000928BF" w:rsidRPr="00833B94" w:rsidP="00833B94" w14:paraId="5EC82B3B" w14:textId="77777777">
      <w:pPr>
        <w:pStyle w:val="Heading1"/>
      </w:pPr>
      <w:bookmarkStart w:id="8" w:name="A.3_Use_of_Information_Technology"/>
      <w:bookmarkEnd w:id="8"/>
      <w:r w:rsidRPr="00833B94">
        <w:t>Use of Information Technology</w:t>
      </w:r>
    </w:p>
    <w:p w:rsidR="00806C83" w:rsidP="000D7A2A" w14:paraId="400189A7" w14:textId="483D630A">
      <w:pPr>
        <w:pStyle w:val="BodyText"/>
      </w:pPr>
      <w:r>
        <w:t>The Questionnaires and initial recruitment forms can be sent via electronic forms</w:t>
      </w:r>
      <w:r w:rsidR="00522FE0">
        <w:t xml:space="preserve"> – via email list etc.</w:t>
      </w:r>
    </w:p>
    <w:p w:rsidR="000928BF" w:rsidP="00833B94" w14:paraId="3D96A5AA" w14:textId="77777777">
      <w:pPr>
        <w:pStyle w:val="Heading1"/>
      </w:pPr>
      <w:bookmarkStart w:id="9" w:name="A.4_Efforts_to_Identify_Duplication_and_"/>
      <w:bookmarkEnd w:id="9"/>
      <w:r>
        <w:t>Efforts</w:t>
      </w:r>
      <w:r>
        <w:rPr>
          <w:spacing w:val="-4"/>
        </w:rPr>
        <w:t xml:space="preserve"> </w:t>
      </w:r>
      <w:r>
        <w:t>to</w:t>
      </w:r>
      <w:r>
        <w:rPr>
          <w:spacing w:val="-1"/>
        </w:rPr>
        <w:t xml:space="preserve"> </w:t>
      </w:r>
      <w:r>
        <w:t>Identify</w:t>
      </w:r>
      <w:r>
        <w:rPr>
          <w:spacing w:val="-2"/>
        </w:rPr>
        <w:t xml:space="preserve"> </w:t>
      </w:r>
      <w:r>
        <w:t>Duplication</w:t>
      </w:r>
      <w:r>
        <w:rPr>
          <w:spacing w:val="-1"/>
        </w:rPr>
        <w:t xml:space="preserve"> </w:t>
      </w:r>
      <w:r>
        <w:t>and</w:t>
      </w:r>
      <w:r>
        <w:rPr>
          <w:spacing w:val="-1"/>
        </w:rPr>
        <w:t xml:space="preserve"> </w:t>
      </w:r>
      <w:r>
        <w:t>Use</w:t>
      </w:r>
      <w:r>
        <w:rPr>
          <w:spacing w:val="-2"/>
        </w:rPr>
        <w:t xml:space="preserve"> </w:t>
      </w:r>
      <w:r>
        <w:t>of</w:t>
      </w:r>
      <w:r>
        <w:rPr>
          <w:spacing w:val="-1"/>
        </w:rPr>
        <w:t xml:space="preserve"> </w:t>
      </w:r>
      <w:r>
        <w:t>Similar</w:t>
      </w:r>
      <w:r>
        <w:rPr>
          <w:spacing w:val="-4"/>
        </w:rPr>
        <w:t xml:space="preserve"> </w:t>
      </w:r>
      <w:r>
        <w:rPr>
          <w:spacing w:val="-2"/>
        </w:rPr>
        <w:t>Information</w:t>
      </w:r>
    </w:p>
    <w:p w:rsidR="00F02290" w:rsidP="00E75585" w14:paraId="2AB21CE9" w14:textId="263EBD1E">
      <w:pPr>
        <w:pStyle w:val="BodyText"/>
      </w:pPr>
      <w:r w:rsidRPr="000D7A2A">
        <w:t>The</w:t>
      </w:r>
      <w:r w:rsidRPr="000D7A2A">
        <w:rPr>
          <w:spacing w:val="-4"/>
        </w:rPr>
        <w:t xml:space="preserve"> </w:t>
      </w:r>
      <w:r w:rsidRPr="000D7A2A">
        <w:t>intent</w:t>
      </w:r>
      <w:r w:rsidRPr="000D7A2A">
        <w:rPr>
          <w:spacing w:val="-3"/>
        </w:rPr>
        <w:t xml:space="preserve"> </w:t>
      </w:r>
      <w:r w:rsidRPr="000D7A2A">
        <w:t>of</w:t>
      </w:r>
      <w:r w:rsidRPr="000D7A2A">
        <w:rPr>
          <w:spacing w:val="-4"/>
        </w:rPr>
        <w:t xml:space="preserve"> </w:t>
      </w:r>
      <w:r w:rsidRPr="000D7A2A">
        <w:t>this</w:t>
      </w:r>
      <w:r w:rsidRPr="000D7A2A">
        <w:rPr>
          <w:spacing w:val="-3"/>
        </w:rPr>
        <w:t xml:space="preserve"> </w:t>
      </w:r>
      <w:r w:rsidRPr="000D7A2A">
        <w:t>data</w:t>
      </w:r>
      <w:r w:rsidRPr="000D7A2A">
        <w:rPr>
          <w:spacing w:val="-4"/>
        </w:rPr>
        <w:t xml:space="preserve"> </w:t>
      </w:r>
      <w:r w:rsidRPr="000D7A2A">
        <w:t>collection</w:t>
      </w:r>
      <w:r w:rsidRPr="000D7A2A">
        <w:rPr>
          <w:spacing w:val="-3"/>
        </w:rPr>
        <w:t xml:space="preserve"> </w:t>
      </w:r>
      <w:r w:rsidRPr="000D7A2A">
        <w:t>is</w:t>
      </w:r>
      <w:r w:rsidRPr="000D7A2A">
        <w:rPr>
          <w:spacing w:val="-3"/>
        </w:rPr>
        <w:t xml:space="preserve"> </w:t>
      </w:r>
      <w:r w:rsidRPr="000D7A2A">
        <w:t>to</w:t>
      </w:r>
      <w:r w:rsidRPr="000D7A2A">
        <w:rPr>
          <w:spacing w:val="-3"/>
        </w:rPr>
        <w:t xml:space="preserve"> </w:t>
      </w:r>
      <w:r w:rsidRPr="000D7A2A">
        <w:t>obtain</w:t>
      </w:r>
      <w:r w:rsidRPr="000D7A2A">
        <w:rPr>
          <w:spacing w:val="-3"/>
        </w:rPr>
        <w:t xml:space="preserve"> </w:t>
      </w:r>
      <w:r w:rsidRPr="000D7A2A">
        <w:t>information</w:t>
      </w:r>
      <w:r w:rsidRPr="000D7A2A">
        <w:rPr>
          <w:spacing w:val="-3"/>
        </w:rPr>
        <w:t xml:space="preserve"> </w:t>
      </w:r>
      <w:r w:rsidRPr="000D7A2A">
        <w:t>that</w:t>
      </w:r>
      <w:r w:rsidRPr="000D7A2A">
        <w:rPr>
          <w:spacing w:val="-3"/>
        </w:rPr>
        <w:t xml:space="preserve"> </w:t>
      </w:r>
      <w:r w:rsidRPr="000D7A2A">
        <w:t>is</w:t>
      </w:r>
      <w:r w:rsidRPr="000D7A2A">
        <w:rPr>
          <w:spacing w:val="-3"/>
        </w:rPr>
        <w:t xml:space="preserve"> </w:t>
      </w:r>
      <w:r w:rsidRPr="000D7A2A">
        <w:t>not</w:t>
      </w:r>
      <w:r w:rsidRPr="000D7A2A">
        <w:rPr>
          <w:spacing w:val="-3"/>
        </w:rPr>
        <w:t xml:space="preserve"> </w:t>
      </w:r>
      <w:r w:rsidRPr="000D7A2A">
        <w:t>readily</w:t>
      </w:r>
      <w:r w:rsidRPr="000D7A2A">
        <w:rPr>
          <w:spacing w:val="-6"/>
        </w:rPr>
        <w:t xml:space="preserve"> </w:t>
      </w:r>
      <w:r w:rsidRPr="000D7A2A">
        <w:t>available</w:t>
      </w:r>
      <w:r w:rsidRPr="000D7A2A">
        <w:rPr>
          <w:spacing w:val="-4"/>
        </w:rPr>
        <w:t xml:space="preserve"> </w:t>
      </w:r>
      <w:r w:rsidRPr="000D7A2A">
        <w:t xml:space="preserve">elsewhere. </w:t>
      </w:r>
      <w:r w:rsidR="0033429E">
        <w:t>The following references are examples of similar research on the subject:</w:t>
      </w:r>
    </w:p>
    <w:p w:rsidR="0033429E" w:rsidRPr="000D7A2A" w:rsidP="00E75585" w14:paraId="7E31582D" w14:textId="77777777">
      <w:pPr>
        <w:pStyle w:val="BodyText"/>
      </w:pPr>
    </w:p>
    <w:p w:rsidR="00953C9C" w:rsidRPr="000D7A2A" w:rsidP="00953C9C" w14:paraId="71FA0C58" w14:textId="77777777">
      <w:pPr>
        <w:pStyle w:val="ListParagraph"/>
        <w:widowControl/>
        <w:numPr>
          <w:ilvl w:val="0"/>
          <w:numId w:val="7"/>
        </w:numPr>
        <w:autoSpaceDE/>
        <w:autoSpaceDN/>
        <w:contextualSpacing/>
        <w:rPr>
          <w:sz w:val="24"/>
          <w:szCs w:val="24"/>
        </w:rPr>
      </w:pPr>
      <w:r w:rsidRPr="000D7A2A">
        <w:rPr>
          <w:b/>
          <w:sz w:val="24"/>
          <w:szCs w:val="24"/>
        </w:rPr>
        <w:t>Lockhart TE</w:t>
      </w:r>
      <w:r w:rsidRPr="000D7A2A">
        <w:rPr>
          <w:sz w:val="24"/>
          <w:szCs w:val="24"/>
        </w:rPr>
        <w:t xml:space="preserve">, </w:t>
      </w:r>
      <w:r w:rsidRPr="000D7A2A">
        <w:rPr>
          <w:sz w:val="24"/>
          <w:szCs w:val="24"/>
        </w:rPr>
        <w:t>Woldstad</w:t>
      </w:r>
      <w:r w:rsidRPr="000D7A2A">
        <w:rPr>
          <w:sz w:val="24"/>
          <w:szCs w:val="24"/>
        </w:rPr>
        <w:t xml:space="preserve"> JC, Smith JL. Assessment of slip severity among different age groups, metrology of pedestrian locomotion and slip resistance. American Society for Testing and Materials, ASTM STP. 2002; 1424:17-32.</w:t>
      </w:r>
    </w:p>
    <w:p w:rsidR="00677972" w:rsidRPr="000D7A2A" w:rsidP="00677972" w14:paraId="7A424DD7" w14:textId="77777777">
      <w:pPr>
        <w:pStyle w:val="ListParagraph"/>
        <w:widowControl/>
        <w:numPr>
          <w:ilvl w:val="0"/>
          <w:numId w:val="7"/>
        </w:numPr>
        <w:autoSpaceDE/>
        <w:autoSpaceDN/>
        <w:contextualSpacing/>
        <w:rPr>
          <w:sz w:val="24"/>
          <w:szCs w:val="24"/>
        </w:rPr>
      </w:pPr>
      <w:r w:rsidRPr="000D7A2A">
        <w:rPr>
          <w:b/>
          <w:sz w:val="24"/>
          <w:szCs w:val="24"/>
        </w:rPr>
        <w:t>Lockhart TE</w:t>
      </w:r>
      <w:r w:rsidRPr="000D7A2A">
        <w:rPr>
          <w:sz w:val="24"/>
          <w:szCs w:val="24"/>
        </w:rPr>
        <w:t xml:space="preserve">, </w:t>
      </w:r>
      <w:r w:rsidRPr="000D7A2A">
        <w:rPr>
          <w:sz w:val="24"/>
          <w:szCs w:val="24"/>
        </w:rPr>
        <w:t>Woldstad</w:t>
      </w:r>
      <w:r w:rsidRPr="000D7A2A">
        <w:rPr>
          <w:sz w:val="24"/>
          <w:szCs w:val="24"/>
        </w:rPr>
        <w:t xml:space="preserve"> JC, Smith JL, Ramsey JD. Effects of </w:t>
      </w:r>
      <w:r w:rsidRPr="000D7A2A">
        <w:rPr>
          <w:sz w:val="24"/>
          <w:szCs w:val="24"/>
        </w:rPr>
        <w:t>age related</w:t>
      </w:r>
      <w:r w:rsidRPr="000D7A2A">
        <w:rPr>
          <w:sz w:val="24"/>
          <w:szCs w:val="24"/>
        </w:rPr>
        <w:t xml:space="preserve"> sensory degradation on perception of floor slipperiness and associated slip parameters. Saf Sci. 2002 Nov 1; 40(7-8):689-703. PMID: 20607132; PMCID: PMC2895329. </w:t>
      </w:r>
    </w:p>
    <w:p w:rsidR="00677972" w:rsidRPr="000D7A2A" w:rsidP="00677972" w14:paraId="5CB11FA0" w14:textId="77777777">
      <w:pPr>
        <w:pStyle w:val="ListParagraph"/>
        <w:rPr>
          <w:sz w:val="24"/>
          <w:szCs w:val="24"/>
        </w:rPr>
      </w:pPr>
    </w:p>
    <w:p w:rsidR="00AE05E5" w:rsidRPr="000D7A2A" w:rsidP="00AE05E5" w14:paraId="3B65629E" w14:textId="77777777">
      <w:pPr>
        <w:pStyle w:val="ListParagraph"/>
        <w:widowControl/>
        <w:numPr>
          <w:ilvl w:val="0"/>
          <w:numId w:val="7"/>
        </w:numPr>
        <w:autoSpaceDE/>
        <w:autoSpaceDN/>
        <w:contextualSpacing/>
        <w:rPr>
          <w:sz w:val="24"/>
          <w:szCs w:val="24"/>
        </w:rPr>
      </w:pPr>
      <w:r w:rsidRPr="000D7A2A">
        <w:rPr>
          <w:b/>
          <w:sz w:val="24"/>
          <w:szCs w:val="24"/>
        </w:rPr>
        <w:t>Lockhart TE</w:t>
      </w:r>
      <w:r w:rsidRPr="000D7A2A">
        <w:rPr>
          <w:sz w:val="24"/>
          <w:szCs w:val="24"/>
        </w:rPr>
        <w:t xml:space="preserve">, </w:t>
      </w:r>
      <w:r w:rsidRPr="000D7A2A">
        <w:rPr>
          <w:sz w:val="24"/>
          <w:szCs w:val="24"/>
        </w:rPr>
        <w:t>Woldstad</w:t>
      </w:r>
      <w:r w:rsidRPr="000D7A2A">
        <w:rPr>
          <w:sz w:val="24"/>
          <w:szCs w:val="24"/>
        </w:rPr>
        <w:t xml:space="preserve"> JC, Smith JL. Effects of age-related gait changes on the biomechanics of slips and falls. Ergonomics. 2003 Oct 10; 46(12):1136-60. PMID: 12933077; PMCID: PMC2891178. </w:t>
      </w:r>
    </w:p>
    <w:p w:rsidR="00AE05E5" w:rsidRPr="000D7A2A" w:rsidP="00AE05E5" w14:paraId="3B851267" w14:textId="77777777">
      <w:pPr>
        <w:pStyle w:val="ListParagraph"/>
        <w:rPr>
          <w:sz w:val="24"/>
          <w:szCs w:val="24"/>
        </w:rPr>
      </w:pPr>
    </w:p>
    <w:p w:rsidR="00F02290" w:rsidRPr="000D7A2A" w:rsidP="00841F56" w14:paraId="64A37CD8" w14:textId="1BFAD94B">
      <w:pPr>
        <w:pStyle w:val="ListParagraph"/>
        <w:widowControl/>
        <w:numPr>
          <w:ilvl w:val="0"/>
          <w:numId w:val="7"/>
        </w:numPr>
        <w:autoSpaceDE/>
        <w:autoSpaceDN/>
        <w:contextualSpacing/>
        <w:rPr>
          <w:sz w:val="24"/>
          <w:szCs w:val="24"/>
        </w:rPr>
      </w:pPr>
      <w:r w:rsidRPr="000D7A2A">
        <w:rPr>
          <w:sz w:val="24"/>
          <w:szCs w:val="24"/>
        </w:rPr>
        <w:t>CPSC Staff Statement on Arizona State University (ASU) report “Factors influencing slip/fall risk while entering and exiting bathing surfaces.”</w:t>
      </w:r>
      <w:r w:rsidRPr="000D7A2A" w:rsidR="00841F56">
        <w:rPr>
          <w:sz w:val="24"/>
          <w:szCs w:val="24"/>
        </w:rPr>
        <w:t xml:space="preserve">  </w:t>
      </w:r>
      <w:hyperlink r:id="rId10" w:history="1">
        <w:r w:rsidRPr="000D7A2A" w:rsidR="00841F56">
          <w:rPr>
            <w:rStyle w:val="Hyperlink"/>
            <w:sz w:val="24"/>
            <w:szCs w:val="24"/>
          </w:rPr>
          <w:t>https://www.cpsc.gov/s3fs-public/Task-3-Report-Bathing-Surfaces-Slip-Study_0.pdf?VersionId=DsZwYTg_Jf.1A2G9WwmKvqY23uTEE1Zf</w:t>
        </w:r>
      </w:hyperlink>
    </w:p>
    <w:p w:rsidR="00841F56" w:rsidRPr="00841F56" w:rsidP="00841F56" w14:paraId="02456BDE" w14:textId="77777777">
      <w:pPr>
        <w:pStyle w:val="ListParagraph"/>
        <w:widowControl/>
        <w:autoSpaceDE/>
        <w:autoSpaceDN/>
        <w:ind w:left="720" w:firstLine="0"/>
        <w:contextualSpacing/>
        <w:rPr>
          <w:sz w:val="16"/>
          <w:szCs w:val="16"/>
        </w:rPr>
      </w:pPr>
    </w:p>
    <w:p w:rsidR="000928BF" w:rsidP="00833B94" w14:paraId="1CFDE2A9" w14:textId="77777777">
      <w:pPr>
        <w:pStyle w:val="Heading1"/>
      </w:pPr>
      <w:bookmarkStart w:id="10" w:name="A.5_Impact_on_Small_Businesses_or_Other_"/>
      <w:bookmarkEnd w:id="10"/>
      <w:r>
        <w:t>Impact</w:t>
      </w:r>
      <w:r>
        <w:rPr>
          <w:spacing w:val="-2"/>
        </w:rPr>
        <w:t xml:space="preserve"> </w:t>
      </w:r>
      <w:r>
        <w:t>on</w:t>
      </w:r>
      <w:r>
        <w:rPr>
          <w:spacing w:val="-2"/>
        </w:rPr>
        <w:t xml:space="preserve"> </w:t>
      </w:r>
      <w:r>
        <w:t>Small</w:t>
      </w:r>
      <w:r>
        <w:rPr>
          <w:spacing w:val="-2"/>
        </w:rPr>
        <w:t xml:space="preserve"> </w:t>
      </w:r>
      <w:r>
        <w:t>Businesses</w:t>
      </w:r>
      <w:r>
        <w:rPr>
          <w:spacing w:val="-1"/>
        </w:rPr>
        <w:t xml:space="preserve"> </w:t>
      </w:r>
      <w:r>
        <w:t>or</w:t>
      </w:r>
      <w:r>
        <w:rPr>
          <w:spacing w:val="-2"/>
        </w:rPr>
        <w:t xml:space="preserve"> </w:t>
      </w:r>
      <w:r>
        <w:t>Other</w:t>
      </w:r>
      <w:r>
        <w:rPr>
          <w:spacing w:val="-2"/>
        </w:rPr>
        <w:t xml:space="preserve"> </w:t>
      </w:r>
      <w:r>
        <w:t>Small</w:t>
      </w:r>
      <w:r>
        <w:rPr>
          <w:spacing w:val="-1"/>
        </w:rPr>
        <w:t xml:space="preserve"> </w:t>
      </w:r>
      <w:r>
        <w:rPr>
          <w:spacing w:val="-2"/>
        </w:rPr>
        <w:t>Entities</w:t>
      </w:r>
    </w:p>
    <w:p w:rsidR="000928BF" w:rsidP="00833B94" w14:paraId="71BED264" w14:textId="00C5211C">
      <w:pPr>
        <w:pStyle w:val="BodyText"/>
      </w:pPr>
      <w:r>
        <w:t>The</w:t>
      </w:r>
      <w:r>
        <w:rPr>
          <w:spacing w:val="-5"/>
        </w:rPr>
        <w:t xml:space="preserve"> </w:t>
      </w:r>
      <w:r>
        <w:t>information</w:t>
      </w:r>
      <w:r>
        <w:rPr>
          <w:spacing w:val="-1"/>
        </w:rPr>
        <w:t xml:space="preserve"> </w:t>
      </w:r>
      <w:r>
        <w:t>will</w:t>
      </w:r>
      <w:r>
        <w:rPr>
          <w:spacing w:val="-1"/>
        </w:rPr>
        <w:t xml:space="preserve"> </w:t>
      </w:r>
      <w:r>
        <w:t>not</w:t>
      </w:r>
      <w:r>
        <w:rPr>
          <w:spacing w:val="-2"/>
        </w:rPr>
        <w:t xml:space="preserve"> </w:t>
      </w:r>
      <w:r>
        <w:t>be</w:t>
      </w:r>
      <w:r>
        <w:rPr>
          <w:spacing w:val="-2"/>
        </w:rPr>
        <w:t xml:space="preserve"> </w:t>
      </w:r>
      <w:r>
        <w:t>collected from</w:t>
      </w:r>
      <w:r>
        <w:rPr>
          <w:spacing w:val="-1"/>
        </w:rPr>
        <w:t xml:space="preserve"> </w:t>
      </w:r>
      <w:r>
        <w:t>small</w:t>
      </w:r>
      <w:r>
        <w:rPr>
          <w:spacing w:val="-1"/>
        </w:rPr>
        <w:t xml:space="preserve"> </w:t>
      </w:r>
      <w:r>
        <w:t>businesses</w:t>
      </w:r>
      <w:r>
        <w:rPr>
          <w:spacing w:val="-2"/>
        </w:rPr>
        <w:t xml:space="preserve"> </w:t>
      </w:r>
      <w:r>
        <w:t>or</w:t>
      </w:r>
      <w:r>
        <w:rPr>
          <w:spacing w:val="-2"/>
        </w:rPr>
        <w:t xml:space="preserve"> </w:t>
      </w:r>
      <w:r>
        <w:t>other</w:t>
      </w:r>
      <w:r>
        <w:rPr>
          <w:spacing w:val="-2"/>
        </w:rPr>
        <w:t xml:space="preserve"> </w:t>
      </w:r>
      <w:r>
        <w:t>small</w:t>
      </w:r>
      <w:r>
        <w:rPr>
          <w:spacing w:val="-1"/>
        </w:rPr>
        <w:t xml:space="preserve"> </w:t>
      </w:r>
      <w:r>
        <w:rPr>
          <w:spacing w:val="-2"/>
        </w:rPr>
        <w:t>entities.</w:t>
      </w:r>
    </w:p>
    <w:p w:rsidR="00FA72BE" w:rsidP="00FA72BE" w14:paraId="18E3C884" w14:textId="669F3C24">
      <w:pPr>
        <w:pStyle w:val="Heading1"/>
      </w:pPr>
      <w:bookmarkStart w:id="11" w:name="A.6_Consequences_to_federal_program_or_p"/>
      <w:bookmarkEnd w:id="11"/>
      <w:r>
        <w:t>Consequences</w:t>
      </w:r>
      <w:r>
        <w:rPr>
          <w:spacing w:val="-3"/>
        </w:rPr>
        <w:t xml:space="preserve"> </w:t>
      </w:r>
      <w:r>
        <w:t>to</w:t>
      </w:r>
      <w:r>
        <w:rPr>
          <w:spacing w:val="-3"/>
        </w:rPr>
        <w:t xml:space="preserve"> </w:t>
      </w:r>
      <w:r>
        <w:t>federal</w:t>
      </w:r>
      <w:r>
        <w:rPr>
          <w:spacing w:val="-1"/>
        </w:rPr>
        <w:t xml:space="preserve"> </w:t>
      </w:r>
      <w:r>
        <w:t>program</w:t>
      </w:r>
      <w:r>
        <w:rPr>
          <w:spacing w:val="-4"/>
        </w:rPr>
        <w:t xml:space="preserve"> </w:t>
      </w:r>
      <w:r>
        <w:t>or</w:t>
      </w:r>
      <w:r>
        <w:rPr>
          <w:spacing w:val="-3"/>
        </w:rPr>
        <w:t xml:space="preserve"> </w:t>
      </w:r>
      <w:r>
        <w:t>policy</w:t>
      </w:r>
      <w:r>
        <w:rPr>
          <w:spacing w:val="-4"/>
        </w:rPr>
        <w:t xml:space="preserve"> </w:t>
      </w:r>
      <w:r>
        <w:t>activities</w:t>
      </w:r>
      <w:r>
        <w:rPr>
          <w:spacing w:val="-3"/>
        </w:rPr>
        <w:t xml:space="preserve"> </w:t>
      </w:r>
      <w:r>
        <w:t>if</w:t>
      </w:r>
      <w:r>
        <w:rPr>
          <w:spacing w:val="-3"/>
        </w:rPr>
        <w:t xml:space="preserve"> </w:t>
      </w:r>
      <w:r>
        <w:t>collection</w:t>
      </w:r>
      <w:r>
        <w:rPr>
          <w:spacing w:val="-3"/>
        </w:rPr>
        <w:t xml:space="preserve"> </w:t>
      </w:r>
      <w:r>
        <w:t>is</w:t>
      </w:r>
      <w:r>
        <w:rPr>
          <w:spacing w:val="-3"/>
        </w:rPr>
        <w:t xml:space="preserve"> </w:t>
      </w:r>
      <w:r>
        <w:t>not</w:t>
      </w:r>
      <w:r>
        <w:rPr>
          <w:spacing w:val="-3"/>
        </w:rPr>
        <w:t xml:space="preserve"> </w:t>
      </w:r>
      <w:r>
        <w:t>conducted</w:t>
      </w:r>
      <w:r>
        <w:rPr>
          <w:spacing w:val="-3"/>
        </w:rPr>
        <w:t xml:space="preserve"> </w:t>
      </w:r>
      <w:r>
        <w:t>or</w:t>
      </w:r>
      <w:r>
        <w:rPr>
          <w:spacing w:val="-3"/>
        </w:rPr>
        <w:t xml:space="preserve"> </w:t>
      </w:r>
      <w:r>
        <w:t>is conducted less frequently</w:t>
      </w:r>
    </w:p>
    <w:p w:rsidR="00FA72BE" w:rsidP="000D7A2A" w14:paraId="324F5153" w14:textId="25EC5CF8">
      <w:pPr>
        <w:pStyle w:val="BodyText"/>
        <w:spacing w:before="159"/>
        <w:ind w:right="493"/>
      </w:pPr>
      <w:r>
        <w:t xml:space="preserve">Injuries due to bathtub safety can increase significantly among older adults if not controlled. </w:t>
      </w:r>
      <w:r>
        <w:t>As indicated, CPSC staff</w:t>
      </w:r>
      <w:r>
        <w:t xml:space="preserve"> </w:t>
      </w:r>
      <w:r>
        <w:t>needs</w:t>
      </w:r>
      <w:r>
        <w:t xml:space="preserve"> updated information to support the efforts toward</w:t>
      </w:r>
      <w:r>
        <w:rPr>
          <w:spacing w:val="-48"/>
        </w:rPr>
        <w:t xml:space="preserve"> </w:t>
      </w:r>
      <w:r>
        <w:t xml:space="preserve">working </w:t>
      </w:r>
      <w:r>
        <w:t>with the ASTM F15.03 Committee on Safety Standards for Bathtub and Shower Structure to</w:t>
      </w:r>
      <w:r>
        <w:rPr>
          <w:spacing w:val="1"/>
        </w:rPr>
        <w:t xml:space="preserve"> </w:t>
      </w:r>
      <w:r>
        <w:t>replace</w:t>
      </w:r>
      <w:r>
        <w:rPr>
          <w:spacing w:val="-1"/>
        </w:rPr>
        <w:t xml:space="preserve"> </w:t>
      </w:r>
      <w:r>
        <w:t>the obsolete</w:t>
      </w:r>
      <w:r>
        <w:rPr>
          <w:spacing w:val="-1"/>
        </w:rPr>
        <w:t xml:space="preserve"> </w:t>
      </w:r>
      <w:r>
        <w:t>ASTM F462</w:t>
      </w:r>
      <w:r>
        <w:rPr>
          <w:spacing w:val="-1"/>
        </w:rPr>
        <w:t xml:space="preserve"> </w:t>
      </w:r>
      <w:r>
        <w:t>Safety</w:t>
      </w:r>
      <w:r>
        <w:rPr>
          <w:spacing w:val="-1"/>
        </w:rPr>
        <w:t xml:space="preserve"> </w:t>
      </w:r>
      <w:r>
        <w:t>standards for</w:t>
      </w:r>
      <w:r>
        <w:rPr>
          <w:spacing w:val="-1"/>
        </w:rPr>
        <w:t xml:space="preserve"> </w:t>
      </w:r>
      <w:r>
        <w:t>bathing surface</w:t>
      </w:r>
      <w:r>
        <w:rPr>
          <w:spacing w:val="-1"/>
        </w:rPr>
        <w:t xml:space="preserve"> </w:t>
      </w:r>
      <w:r>
        <w:t xml:space="preserve">safety.  </w:t>
      </w:r>
    </w:p>
    <w:p w:rsidR="000928BF" w:rsidP="00833B94" w14:paraId="38389E03" w14:textId="77777777">
      <w:pPr>
        <w:pStyle w:val="Heading1"/>
      </w:pPr>
      <w:bookmarkStart w:id="12" w:name="A.7_Special_Circumstances_Relating_to_th"/>
      <w:bookmarkEnd w:id="12"/>
      <w:r>
        <w:t>Special</w:t>
      </w:r>
      <w:r>
        <w:rPr>
          <w:spacing w:val="-2"/>
        </w:rPr>
        <w:t xml:space="preserve"> </w:t>
      </w:r>
      <w:r>
        <w:t>Circumstances</w:t>
      </w:r>
      <w:r>
        <w:rPr>
          <w:spacing w:val="-1"/>
        </w:rPr>
        <w:t xml:space="preserve"> </w:t>
      </w:r>
      <w:r>
        <w:t>Relating</w:t>
      </w:r>
      <w:r>
        <w:rPr>
          <w:spacing w:val="-1"/>
        </w:rPr>
        <w:t xml:space="preserve"> </w:t>
      </w:r>
      <w:r>
        <w:t>to</w:t>
      </w:r>
      <w:r>
        <w:rPr>
          <w:spacing w:val="-1"/>
        </w:rPr>
        <w:t xml:space="preserve"> </w:t>
      </w:r>
      <w:r>
        <w:t>the</w:t>
      </w:r>
      <w:r>
        <w:rPr>
          <w:spacing w:val="-2"/>
        </w:rPr>
        <w:t xml:space="preserve"> </w:t>
      </w:r>
      <w:r>
        <w:t>Guidelines</w:t>
      </w:r>
      <w:r>
        <w:rPr>
          <w:spacing w:val="-1"/>
        </w:rPr>
        <w:t xml:space="preserve"> </w:t>
      </w:r>
      <w:r>
        <w:t>of</w:t>
      </w:r>
      <w:r>
        <w:rPr>
          <w:spacing w:val="-1"/>
        </w:rPr>
        <w:t xml:space="preserve"> </w:t>
      </w:r>
      <w:r>
        <w:t>5</w:t>
      </w:r>
      <w:r>
        <w:rPr>
          <w:spacing w:val="-1"/>
        </w:rPr>
        <w:t xml:space="preserve"> </w:t>
      </w:r>
      <w:r>
        <w:t>CFR</w:t>
      </w:r>
      <w:r>
        <w:rPr>
          <w:spacing w:val="-2"/>
        </w:rPr>
        <w:t xml:space="preserve"> §1320.5</w:t>
      </w:r>
    </w:p>
    <w:p w:rsidR="008B7CC0" w:rsidP="00162C07" w14:paraId="46CD9CCA" w14:textId="059C88D2">
      <w:pPr>
        <w:pStyle w:val="BodyText"/>
      </w:pPr>
      <w:r>
        <w:t>There</w:t>
      </w:r>
      <w:r>
        <w:rPr>
          <w:spacing w:val="-3"/>
        </w:rPr>
        <w:t xml:space="preserve"> </w:t>
      </w:r>
      <w:r>
        <w:t>are</w:t>
      </w:r>
      <w:r>
        <w:rPr>
          <w:spacing w:val="-5"/>
        </w:rPr>
        <w:t xml:space="preserve"> </w:t>
      </w:r>
      <w:r>
        <w:t>no</w:t>
      </w:r>
      <w:r>
        <w:rPr>
          <w:spacing w:val="-4"/>
        </w:rPr>
        <w:t xml:space="preserve"> </w:t>
      </w:r>
      <w:r>
        <w:t>special</w:t>
      </w:r>
      <w:r>
        <w:rPr>
          <w:spacing w:val="-4"/>
        </w:rPr>
        <w:t xml:space="preserve"> </w:t>
      </w:r>
      <w:r>
        <w:t>circumstances.</w:t>
      </w:r>
      <w:r>
        <w:rPr>
          <w:spacing w:val="-4"/>
        </w:rPr>
        <w:t xml:space="preserve"> </w:t>
      </w:r>
      <w:r>
        <w:t>This</w:t>
      </w:r>
      <w:r>
        <w:rPr>
          <w:spacing w:val="-4"/>
        </w:rPr>
        <w:t xml:space="preserve"> </w:t>
      </w:r>
      <w:r>
        <w:t>information</w:t>
      </w:r>
      <w:r>
        <w:rPr>
          <w:spacing w:val="-4"/>
        </w:rPr>
        <w:t xml:space="preserve"> </w:t>
      </w:r>
      <w:r>
        <w:t>collection</w:t>
      </w:r>
      <w:r>
        <w:rPr>
          <w:spacing w:val="-4"/>
        </w:rPr>
        <w:t xml:space="preserve"> </w:t>
      </w:r>
      <w:r>
        <w:t>is</w:t>
      </w:r>
      <w:r>
        <w:rPr>
          <w:spacing w:val="-4"/>
        </w:rPr>
        <w:t xml:space="preserve"> </w:t>
      </w:r>
      <w:r>
        <w:t>consistent</w:t>
      </w:r>
      <w:r>
        <w:rPr>
          <w:spacing w:val="-4"/>
        </w:rPr>
        <w:t xml:space="preserve"> </w:t>
      </w:r>
      <w:r>
        <w:t>with</w:t>
      </w:r>
      <w:r>
        <w:rPr>
          <w:spacing w:val="-4"/>
        </w:rPr>
        <w:t xml:space="preserve"> </w:t>
      </w:r>
      <w:r>
        <w:t>the</w:t>
      </w:r>
      <w:r>
        <w:rPr>
          <w:spacing w:val="-5"/>
        </w:rPr>
        <w:t xml:space="preserve"> </w:t>
      </w:r>
      <w:r>
        <w:t>guidelines prescribed in 5 CFR §1320.5</w:t>
      </w:r>
      <w:bookmarkStart w:id="13" w:name="_Hlk179194062"/>
      <w:r w:rsidR="007D41DA">
        <w:t>.</w:t>
      </w:r>
    </w:p>
    <w:p w:rsidR="000928BF" w:rsidP="00833B94" w14:paraId="3CB1C10B" w14:textId="77777777">
      <w:pPr>
        <w:pStyle w:val="Heading1"/>
      </w:pPr>
      <w:bookmarkStart w:id="14" w:name="A.8_Consultation_and_Public_Comments"/>
      <w:bookmarkEnd w:id="14"/>
      <w:bookmarkEnd w:id="13"/>
      <w:r>
        <w:t>Consultation</w:t>
      </w:r>
      <w:r>
        <w:rPr>
          <w:spacing w:val="-4"/>
        </w:rPr>
        <w:t xml:space="preserve"> </w:t>
      </w:r>
      <w:r>
        <w:t>and</w:t>
      </w:r>
      <w:r>
        <w:rPr>
          <w:spacing w:val="-2"/>
        </w:rPr>
        <w:t xml:space="preserve"> </w:t>
      </w:r>
      <w:r>
        <w:t>Public</w:t>
      </w:r>
      <w:r>
        <w:rPr>
          <w:spacing w:val="-2"/>
        </w:rPr>
        <w:t xml:space="preserve"> Comments</w:t>
      </w:r>
    </w:p>
    <w:p w:rsidR="000928BF" w:rsidRPr="00E75585" w:rsidP="00E75585" w14:paraId="752B1403" w14:textId="27B782E0">
      <w:pPr>
        <w:pStyle w:val="Heading3"/>
      </w:pPr>
      <w:r w:rsidRPr="00E75585">
        <w:t>Part A. Public Notice</w:t>
      </w:r>
    </w:p>
    <w:p w:rsidR="00540420" w:rsidP="0004052B" w14:paraId="2728D910" w14:textId="5B1C1A7E">
      <w:pPr>
        <w:pStyle w:val="BodyText"/>
      </w:pPr>
      <w:r>
        <w:t xml:space="preserve">On January 6, </w:t>
      </w:r>
      <w:r>
        <w:t>2025</w:t>
      </w:r>
      <w:r>
        <w:t xml:space="preserve"> CPSC published a </w:t>
      </w:r>
      <w:r w:rsidR="00D02C24">
        <w:t>60-</w:t>
      </w:r>
      <w:r>
        <w:t>d</w:t>
      </w:r>
      <w:r w:rsidR="00D02C24">
        <w:t>ay</w:t>
      </w:r>
      <w:r>
        <w:t xml:space="preserve"> notice in the </w:t>
      </w:r>
      <w:r w:rsidR="00D02C24">
        <w:t>Federal</w:t>
      </w:r>
      <w:r w:rsidR="00D02C24">
        <w:rPr>
          <w:spacing w:val="-3"/>
        </w:rPr>
        <w:t xml:space="preserve"> </w:t>
      </w:r>
      <w:r w:rsidR="00D02C24">
        <w:t>Register</w:t>
      </w:r>
      <w:r w:rsidR="00D02C24">
        <w:rPr>
          <w:spacing w:val="-4"/>
        </w:rPr>
        <w:t xml:space="preserve"> </w:t>
      </w:r>
      <w:r w:rsidR="00D02C24">
        <w:t>(FR)</w:t>
      </w:r>
      <w:r>
        <w:t xml:space="preserve"> seeking comments on the information collection request. 90</w:t>
      </w:r>
      <w:r w:rsidR="008B7CC0">
        <w:t xml:space="preserve"> </w:t>
      </w:r>
      <w:r w:rsidR="00D02C24">
        <w:t xml:space="preserve">FR </w:t>
      </w:r>
      <w:r>
        <w:t>613</w:t>
      </w:r>
      <w:r w:rsidR="00D02C24">
        <w:t>.</w:t>
      </w:r>
      <w:r>
        <w:t xml:space="preserve"> The Commission received nine public comments. </w:t>
      </w:r>
      <w:r w:rsidR="0004052B">
        <w:t>Responses</w:t>
      </w:r>
      <w:r>
        <w:t xml:space="preserve"> to </w:t>
      </w:r>
      <w:r w:rsidR="0004052B">
        <w:t xml:space="preserve">these </w:t>
      </w:r>
      <w:r>
        <w:t xml:space="preserve">public comments </w:t>
      </w:r>
      <w:r w:rsidR="0004052B">
        <w:t>were</w:t>
      </w:r>
      <w:r>
        <w:t xml:space="preserve"> published in </w:t>
      </w:r>
      <w:r w:rsidR="0004052B">
        <w:t>the</w:t>
      </w:r>
      <w:r>
        <w:t xml:space="preserve"> 30-day FR notice, 90 FR 15978, on April 16, 2025</w:t>
      </w:r>
      <w:r w:rsidR="0004052B">
        <w:t xml:space="preserve">. </w:t>
      </w:r>
      <w:r w:rsidR="0004052B">
        <w:t>Those</w:t>
      </w:r>
      <w:r w:rsidR="0004052B">
        <w:t xml:space="preserve"> responses are also</w:t>
      </w:r>
      <w:r>
        <w:t xml:space="preserve"> </w:t>
      </w:r>
      <w:r w:rsidR="0004052B">
        <w:t>provided</w:t>
      </w:r>
      <w:r>
        <w:t xml:space="preserve"> here. </w:t>
      </w:r>
    </w:p>
    <w:p w:rsidR="00540420" w:rsidRPr="00540420" w:rsidP="00540420" w14:paraId="44C96BD8" w14:textId="7A13B90C">
      <w:pPr>
        <w:pStyle w:val="BodyText"/>
      </w:pPr>
      <w:r w:rsidRPr="00540420">
        <w:t>Most commenters expressed support</w:t>
      </w:r>
      <w:r w:rsidR="00DE61EE">
        <w:t xml:space="preserve"> </w:t>
      </w:r>
      <w:r w:rsidRPr="00540420">
        <w:t>for the proposed information collection</w:t>
      </w:r>
      <w:r w:rsidR="00DE61EE">
        <w:t xml:space="preserve"> </w:t>
      </w:r>
      <w:r w:rsidRPr="00540420">
        <w:t>with some commenters offering</w:t>
      </w:r>
      <w:r w:rsidR="00DE61EE">
        <w:t xml:space="preserve"> </w:t>
      </w:r>
      <w:r w:rsidRPr="00540420">
        <w:t>suggestions that were out of scope.</w:t>
      </w:r>
      <w:r w:rsidR="00DE61EE">
        <w:t xml:space="preserve"> </w:t>
      </w:r>
      <w:r w:rsidRPr="00540420">
        <w:t>Other comments included discussing</w:t>
      </w:r>
      <w:r w:rsidR="00DE61EE">
        <w:t xml:space="preserve"> </w:t>
      </w:r>
      <w:r w:rsidRPr="00540420">
        <w:t>the sample size, requesting clarity about</w:t>
      </w:r>
      <w:r w:rsidR="00DE61EE">
        <w:t xml:space="preserve"> </w:t>
      </w:r>
      <w:r w:rsidRPr="00540420">
        <w:t>the development of the standard,</w:t>
      </w:r>
      <w:r w:rsidR="00DE61EE">
        <w:t xml:space="preserve"> </w:t>
      </w:r>
      <w:r w:rsidRPr="00540420">
        <w:t>suggesting ways to measure data, and</w:t>
      </w:r>
      <w:r w:rsidR="00DE61EE">
        <w:t xml:space="preserve"> </w:t>
      </w:r>
      <w:r w:rsidRPr="00540420">
        <w:t>seeking information about the</w:t>
      </w:r>
      <w:r w:rsidR="00DE61EE">
        <w:t xml:space="preserve"> </w:t>
      </w:r>
      <w:r w:rsidRPr="00540420">
        <w:t>equipment that will be used to measure</w:t>
      </w:r>
      <w:r w:rsidR="00DE61EE">
        <w:t xml:space="preserve"> </w:t>
      </w:r>
      <w:r w:rsidRPr="00540420">
        <w:t>friction data.</w:t>
      </w:r>
    </w:p>
    <w:p w:rsidR="00540420" w:rsidRPr="00540420" w:rsidP="00540420" w14:paraId="39BF8AE4" w14:textId="7393F7A0">
      <w:pPr>
        <w:pStyle w:val="BodyText"/>
      </w:pPr>
      <w:r w:rsidRPr="00540420">
        <w:t>An engineering consultant, a</w:t>
      </w:r>
      <w:r w:rsidR="00DE61EE">
        <w:t xml:space="preserve"> </w:t>
      </w:r>
      <w:r w:rsidRPr="00540420">
        <w:t>biomedical consultant, and an</w:t>
      </w:r>
      <w:r w:rsidR="00DE61EE">
        <w:t xml:space="preserve"> </w:t>
      </w:r>
      <w:r w:rsidRPr="00540420">
        <w:t>anonymous commenter opined that the</w:t>
      </w:r>
      <w:r w:rsidR="00DE61EE">
        <w:t xml:space="preserve"> </w:t>
      </w:r>
      <w:r w:rsidRPr="00540420">
        <w:t>proposed research includes a small</w:t>
      </w:r>
      <w:r w:rsidR="00DE61EE">
        <w:t xml:space="preserve"> </w:t>
      </w:r>
      <w:r w:rsidRPr="00540420">
        <w:t>sample size of bathtubs. The bathtubs in</w:t>
      </w:r>
      <w:r w:rsidR="00DE61EE">
        <w:t xml:space="preserve"> </w:t>
      </w:r>
      <w:r w:rsidRPr="00540420">
        <w:t>the study are representative of three</w:t>
      </w:r>
      <w:r w:rsidR="00DE61EE">
        <w:t xml:space="preserve"> </w:t>
      </w:r>
      <w:r w:rsidRPr="00540420">
        <w:t>types of bathtub surfaces. Staff assessed</w:t>
      </w:r>
      <w:r w:rsidR="00DE61EE">
        <w:t xml:space="preserve"> </w:t>
      </w:r>
      <w:r w:rsidRPr="00540420">
        <w:t>that this is adequate for gathering</w:t>
      </w:r>
      <w:r w:rsidR="00DE61EE">
        <w:t xml:space="preserve"> </w:t>
      </w:r>
      <w:r w:rsidRPr="00540420">
        <w:t>preliminary data on whether a</w:t>
      </w:r>
      <w:r w:rsidR="00DE61EE">
        <w:t xml:space="preserve"> </w:t>
      </w:r>
      <w:r w:rsidRPr="00540420">
        <w:t>minimum frictional performance for</w:t>
      </w:r>
      <w:r w:rsidR="00DE61EE">
        <w:t xml:space="preserve"> </w:t>
      </w:r>
      <w:r w:rsidRPr="00540420">
        <w:t>reducing slips and falls exists.</w:t>
      </w:r>
    </w:p>
    <w:p w:rsidR="00540420" w:rsidRPr="00540420" w:rsidP="00540420" w14:paraId="665D3450" w14:textId="11E9DC6C">
      <w:pPr>
        <w:pStyle w:val="BodyText"/>
      </w:pPr>
      <w:r w:rsidRPr="00540420">
        <w:t>The engineering consultant further</w:t>
      </w:r>
      <w:r w:rsidR="00DE61EE">
        <w:t xml:space="preserve"> </w:t>
      </w:r>
      <w:r w:rsidRPr="00540420">
        <w:t>commented seeking clarity on how the</w:t>
      </w:r>
      <w:r w:rsidR="00DE61EE">
        <w:t xml:space="preserve"> </w:t>
      </w:r>
      <w:r w:rsidRPr="00540420">
        <w:t>results will be used to develop a</w:t>
      </w:r>
      <w:r w:rsidR="00DE61EE">
        <w:t xml:space="preserve"> </w:t>
      </w:r>
      <w:r w:rsidRPr="00540420">
        <w:t xml:space="preserve">standard. As stated in the </w:t>
      </w:r>
      <w:r w:rsidRPr="00540420">
        <w:rPr>
          <w:i/>
          <w:iCs/>
        </w:rPr>
        <w:t>Summary of</w:t>
      </w:r>
      <w:r w:rsidR="00DE61EE">
        <w:rPr>
          <w:i/>
          <w:iCs/>
        </w:rPr>
        <w:t xml:space="preserve"> </w:t>
      </w:r>
      <w:r w:rsidRPr="00540420">
        <w:rPr>
          <w:i/>
          <w:iCs/>
        </w:rPr>
        <w:t xml:space="preserve">the Collection of Information, </w:t>
      </w:r>
      <w:r w:rsidRPr="00540420">
        <w:t>during the</w:t>
      </w:r>
      <w:r w:rsidR="00DE61EE">
        <w:t xml:space="preserve"> </w:t>
      </w:r>
      <w:r w:rsidRPr="00540420">
        <w:t>three sessions where participants will</w:t>
      </w:r>
      <w:r w:rsidR="00DE61EE">
        <w:t xml:space="preserve"> </w:t>
      </w:r>
      <w:r w:rsidRPr="00540420">
        <w:t>step into and out of the bathtubs, the</w:t>
      </w:r>
      <w:r w:rsidR="00DE61EE">
        <w:t xml:space="preserve"> </w:t>
      </w:r>
      <w:r w:rsidRPr="00540420">
        <w:t>resistance forces under the foot and</w:t>
      </w:r>
      <w:r w:rsidR="00DE61EE">
        <w:t xml:space="preserve"> </w:t>
      </w:r>
      <w:r w:rsidRPr="00540420">
        <w:t>motion of the foot movements will be</w:t>
      </w:r>
      <w:r w:rsidR="00DE61EE">
        <w:t xml:space="preserve"> </w:t>
      </w:r>
      <w:r w:rsidRPr="00540420">
        <w:t>measured to quantify the minimum</w:t>
      </w:r>
      <w:r w:rsidR="00DE61EE">
        <w:t xml:space="preserve"> </w:t>
      </w:r>
      <w:r w:rsidRPr="00540420">
        <w:t>frictional performance required for a</w:t>
      </w:r>
      <w:r w:rsidR="00DE61EE">
        <w:t xml:space="preserve"> </w:t>
      </w:r>
      <w:r w:rsidRPr="00540420">
        <w:t>bathing surface to reduce slips and falls</w:t>
      </w:r>
      <w:r w:rsidR="00DE61EE">
        <w:t xml:space="preserve"> </w:t>
      </w:r>
      <w:r w:rsidRPr="00540420">
        <w:t>to support ASTM’s work in developing</w:t>
      </w:r>
      <w:r w:rsidR="00DE61EE">
        <w:t xml:space="preserve"> </w:t>
      </w:r>
      <w:r w:rsidRPr="00540420">
        <w:t>the standard.</w:t>
      </w:r>
    </w:p>
    <w:p w:rsidR="00540420" w:rsidRPr="00540420" w:rsidP="00540420" w14:paraId="4BD00F5A" w14:textId="34B060D4">
      <w:pPr>
        <w:pStyle w:val="BodyText"/>
      </w:pPr>
      <w:r w:rsidRPr="00540420">
        <w:t>The Tile Council of North America</w:t>
      </w:r>
      <w:r w:rsidR="00DE61EE">
        <w:t xml:space="preserve"> </w:t>
      </w:r>
      <w:r w:rsidRPr="00540420">
        <w:t>(TCNA) commented that transition from</w:t>
      </w:r>
      <w:r w:rsidR="00DE61EE">
        <w:t xml:space="preserve"> </w:t>
      </w:r>
      <w:r w:rsidRPr="00540420">
        <w:t>dry to wet surfaces should be</w:t>
      </w:r>
      <w:r w:rsidR="00DE61EE">
        <w:t xml:space="preserve"> </w:t>
      </w:r>
      <w:r w:rsidRPr="00540420">
        <w:t>considered, as unexpected changes in</w:t>
      </w:r>
      <w:r w:rsidR="00DE61EE">
        <w:t xml:space="preserve"> </w:t>
      </w:r>
      <w:r w:rsidRPr="00540420">
        <w:t>traction can cause slip incidents. Staff</w:t>
      </w:r>
      <w:r w:rsidR="00DE61EE">
        <w:t xml:space="preserve"> </w:t>
      </w:r>
      <w:r w:rsidRPr="00540420">
        <w:t>notes that the study will include</w:t>
      </w:r>
      <w:r w:rsidR="00DE61EE">
        <w:t xml:space="preserve"> </w:t>
      </w:r>
      <w:r w:rsidRPr="00540420">
        <w:t>transitions from dry to wet surfaces.</w:t>
      </w:r>
      <w:r w:rsidR="00DE61EE">
        <w:t xml:space="preserve"> </w:t>
      </w:r>
      <w:r w:rsidRPr="00540420">
        <w:t>TCNA also requested clarification on</w:t>
      </w:r>
      <w:r w:rsidR="00DE61EE">
        <w:t xml:space="preserve"> </w:t>
      </w:r>
      <w:r w:rsidRPr="00540420">
        <w:t>how friction data will be collected.</w:t>
      </w:r>
      <w:r w:rsidR="00DE61EE">
        <w:t xml:space="preserve"> </w:t>
      </w:r>
      <w:r w:rsidRPr="00540420">
        <w:t>Friction data will be collected using a</w:t>
      </w:r>
      <w:r w:rsidR="00DE61EE">
        <w:t xml:space="preserve"> </w:t>
      </w:r>
      <w:r w:rsidRPr="00540420">
        <w:t>force plate</w:t>
      </w:r>
      <w:r>
        <w:rPr>
          <w:rStyle w:val="FootnoteReference"/>
        </w:rPr>
        <w:footnoteReference w:id="3"/>
      </w:r>
      <w:r w:rsidRPr="00540420">
        <w:t xml:space="preserve"> to</w:t>
      </w:r>
      <w:r w:rsidR="00DE61EE">
        <w:t xml:space="preserve"> </w:t>
      </w:r>
      <w:r w:rsidRPr="00540420">
        <w:t>quantify human gait and</w:t>
      </w:r>
      <w:r w:rsidR="00DE61EE">
        <w:t xml:space="preserve"> </w:t>
      </w:r>
      <w:r w:rsidRPr="00540420">
        <w:t>balance.</w:t>
      </w:r>
    </w:p>
    <w:p w:rsidR="00540420" w:rsidRPr="00540420" w:rsidP="00540420" w14:paraId="15044959" w14:textId="74DB6516">
      <w:pPr>
        <w:pStyle w:val="BodyText"/>
      </w:pPr>
      <w:r w:rsidRPr="00540420">
        <w:t>Another engineering consultant</w:t>
      </w:r>
      <w:r w:rsidR="00DE61EE">
        <w:t xml:space="preserve"> </w:t>
      </w:r>
      <w:r w:rsidRPr="00540420">
        <w:t>commented that CPSC’s proposed</w:t>
      </w:r>
      <w:r w:rsidR="00DE61EE">
        <w:t xml:space="preserve"> </w:t>
      </w:r>
      <w:r w:rsidRPr="00540420">
        <w:t>collection of information does not have</w:t>
      </w:r>
      <w:r w:rsidR="00DE61EE">
        <w:t xml:space="preserve"> </w:t>
      </w:r>
      <w:r w:rsidRPr="00540420">
        <w:t>practical utility because it will not</w:t>
      </w:r>
      <w:r w:rsidR="00DE61EE">
        <w:t xml:space="preserve"> </w:t>
      </w:r>
      <w:r w:rsidRPr="00540420">
        <w:t>provide useful information to replace</w:t>
      </w:r>
      <w:r w:rsidR="00DE61EE">
        <w:t xml:space="preserve"> </w:t>
      </w:r>
      <w:r w:rsidRPr="00540420">
        <w:t xml:space="preserve">ASTM F462, and they pointed </w:t>
      </w:r>
      <w:r w:rsidRPr="00540420">
        <w:t>to</w:t>
      </w:r>
      <w:r w:rsidRPr="00540420">
        <w:t xml:space="preserve"> other</w:t>
      </w:r>
      <w:r w:rsidR="00DE61EE">
        <w:t xml:space="preserve"> </w:t>
      </w:r>
      <w:r w:rsidRPr="00540420">
        <w:t>research that should be considered.</w:t>
      </w:r>
      <w:r>
        <w:t xml:space="preserve"> </w:t>
      </w:r>
      <w:r w:rsidRPr="00540420">
        <w:t>Practical utility is defined as ‘‘the ability</w:t>
      </w:r>
      <w:r w:rsidR="00DE61EE">
        <w:t xml:space="preserve"> </w:t>
      </w:r>
      <w:r w:rsidRPr="00540420">
        <w:t>of an agency to use information,</w:t>
      </w:r>
      <w:r w:rsidR="00DE61EE">
        <w:t xml:space="preserve"> </w:t>
      </w:r>
      <w:r w:rsidRPr="00540420">
        <w:t>particularly the capability to process</w:t>
      </w:r>
      <w:r w:rsidR="00DE61EE">
        <w:t xml:space="preserve"> </w:t>
      </w:r>
      <w:r w:rsidRPr="00540420">
        <w:t>such</w:t>
      </w:r>
      <w:r w:rsidR="00DE61EE">
        <w:t xml:space="preserve"> </w:t>
      </w:r>
      <w:r w:rsidRPr="00540420">
        <w:t>information in a timely and useful</w:t>
      </w:r>
      <w:r w:rsidR="00DE61EE">
        <w:t xml:space="preserve"> </w:t>
      </w:r>
      <w:r w:rsidRPr="00540420">
        <w:t>fashion.’’ 44 U.S.C. 3502(11). As stated</w:t>
      </w:r>
      <w:r w:rsidR="00DE61EE">
        <w:t xml:space="preserve"> </w:t>
      </w:r>
      <w:r w:rsidRPr="00540420">
        <w:t xml:space="preserve">in the </w:t>
      </w:r>
      <w:r w:rsidRPr="00540420">
        <w:rPr>
          <w:i/>
          <w:iCs/>
        </w:rPr>
        <w:t>Description of the Need for the</w:t>
      </w:r>
      <w:r w:rsidR="00DE61EE">
        <w:rPr>
          <w:i/>
          <w:iCs/>
        </w:rPr>
        <w:t xml:space="preserve"> </w:t>
      </w:r>
      <w:r w:rsidRPr="00540420">
        <w:rPr>
          <w:i/>
          <w:iCs/>
        </w:rPr>
        <w:t>Information and Proposed Use of the</w:t>
      </w:r>
      <w:r w:rsidR="00DE61EE">
        <w:rPr>
          <w:i/>
          <w:iCs/>
        </w:rPr>
        <w:t xml:space="preserve"> </w:t>
      </w:r>
      <w:r w:rsidRPr="00540420">
        <w:rPr>
          <w:i/>
          <w:iCs/>
        </w:rPr>
        <w:t xml:space="preserve">Information, </w:t>
      </w:r>
      <w:r w:rsidRPr="00540420">
        <w:t>the study will quantify the</w:t>
      </w:r>
      <w:r w:rsidR="00DE61EE">
        <w:t xml:space="preserve"> </w:t>
      </w:r>
      <w:r w:rsidRPr="00540420">
        <w:t>minimum frictional performance</w:t>
      </w:r>
      <w:r w:rsidR="00DE61EE">
        <w:t xml:space="preserve"> </w:t>
      </w:r>
      <w:r w:rsidRPr="00540420">
        <w:t>required for a bathing surface to reduce</w:t>
      </w:r>
      <w:r w:rsidR="00DE61EE">
        <w:t xml:space="preserve"> </w:t>
      </w:r>
      <w:r w:rsidRPr="00540420">
        <w:t xml:space="preserve">slips and falls. Staff </w:t>
      </w:r>
      <w:r w:rsidRPr="00540420">
        <w:t>intends</w:t>
      </w:r>
      <w:r w:rsidRPr="00540420">
        <w:t xml:space="preserve"> to work</w:t>
      </w:r>
      <w:r w:rsidR="00DE61EE">
        <w:t xml:space="preserve"> </w:t>
      </w:r>
      <w:r w:rsidRPr="00540420">
        <w:t>with the ASTM F15.03 Subcommittee</w:t>
      </w:r>
      <w:r w:rsidR="00DE61EE">
        <w:t xml:space="preserve"> </w:t>
      </w:r>
      <w:r w:rsidRPr="00540420">
        <w:t>on Safety Standards for Bathtub and</w:t>
      </w:r>
      <w:r w:rsidR="00DE61EE">
        <w:t xml:space="preserve"> </w:t>
      </w:r>
      <w:r w:rsidRPr="00540420">
        <w:t>Shower Structures to replace the</w:t>
      </w:r>
      <w:r w:rsidR="00DE61EE">
        <w:t xml:space="preserve"> </w:t>
      </w:r>
      <w:r w:rsidRPr="00540420">
        <w:t>obsolete ASTM F462 standard for</w:t>
      </w:r>
      <w:r w:rsidR="00DE61EE">
        <w:t xml:space="preserve"> </w:t>
      </w:r>
      <w:r w:rsidRPr="00540420">
        <w:t>bathing surface friction that ASTM</w:t>
      </w:r>
      <w:r w:rsidR="00DE61EE">
        <w:t xml:space="preserve"> </w:t>
      </w:r>
      <w:r w:rsidRPr="00540420">
        <w:t>withdrew in 2016. This study will be</w:t>
      </w:r>
      <w:r w:rsidR="00DE61EE">
        <w:t xml:space="preserve"> </w:t>
      </w:r>
      <w:r w:rsidRPr="00540420">
        <w:t>used to inform CPSC of major</w:t>
      </w:r>
      <w:r w:rsidR="00DE61EE">
        <w:t xml:space="preserve"> </w:t>
      </w:r>
      <w:r w:rsidRPr="00540420">
        <w:t>requirements needed to achieve an</w:t>
      </w:r>
      <w:r w:rsidR="00DE61EE">
        <w:t xml:space="preserve"> </w:t>
      </w:r>
      <w:r w:rsidRPr="00540420">
        <w:t>efficient and effective slip-resistance</w:t>
      </w:r>
      <w:r w:rsidR="00DE61EE">
        <w:t xml:space="preserve"> </w:t>
      </w:r>
      <w:r w:rsidRPr="00540420">
        <w:t>standard. With this information, the</w:t>
      </w:r>
      <w:r w:rsidR="00DE61EE">
        <w:t xml:space="preserve"> </w:t>
      </w:r>
      <w:r w:rsidRPr="00540420">
        <w:t>Commission details its need and ability</w:t>
      </w:r>
      <w:r w:rsidR="00DE61EE">
        <w:t xml:space="preserve"> </w:t>
      </w:r>
      <w:r w:rsidRPr="00540420">
        <w:t>to process and use this information</w:t>
      </w:r>
      <w:r w:rsidR="00DE61EE">
        <w:t xml:space="preserve"> </w:t>
      </w:r>
      <w:r w:rsidRPr="00540420">
        <w:t>collection.</w:t>
      </w:r>
    </w:p>
    <w:p w:rsidR="00540420" w:rsidP="00540420" w14:paraId="0848C687" w14:textId="3E4A1639">
      <w:pPr>
        <w:pStyle w:val="BodyText"/>
      </w:pPr>
      <w:r w:rsidRPr="00540420">
        <w:t>The National Floor Safety Institute</w:t>
      </w:r>
      <w:r w:rsidR="00DE61EE">
        <w:t xml:space="preserve"> </w:t>
      </w:r>
      <w:r w:rsidRPr="00540420">
        <w:t>(NFSI) also submitted comments to</w:t>
      </w:r>
      <w:r w:rsidR="00DE61EE">
        <w:t xml:space="preserve"> </w:t>
      </w:r>
      <w:r w:rsidRPr="00540420">
        <w:t>suggest that CPSC should not conduct</w:t>
      </w:r>
      <w:r w:rsidR="00DE61EE">
        <w:t xml:space="preserve"> </w:t>
      </w:r>
      <w:r w:rsidRPr="00540420">
        <w:t>their own research and instead rely on</w:t>
      </w:r>
      <w:r w:rsidR="00DE61EE">
        <w:t xml:space="preserve"> </w:t>
      </w:r>
      <w:r w:rsidRPr="00540420">
        <w:t>NFSI’s research and standard. As stated</w:t>
      </w:r>
      <w:r w:rsidR="00DE61EE">
        <w:t xml:space="preserve"> </w:t>
      </w:r>
      <w:r w:rsidRPr="00540420">
        <w:t xml:space="preserve">in the </w:t>
      </w:r>
      <w:r w:rsidRPr="00540420">
        <w:rPr>
          <w:i/>
          <w:iCs/>
        </w:rPr>
        <w:t>Description of the Need for the</w:t>
      </w:r>
      <w:r w:rsidR="00DE61EE">
        <w:rPr>
          <w:i/>
          <w:iCs/>
        </w:rPr>
        <w:t xml:space="preserve"> </w:t>
      </w:r>
      <w:r w:rsidRPr="00540420">
        <w:rPr>
          <w:i/>
          <w:iCs/>
        </w:rPr>
        <w:t>Information and Proposed Use of the</w:t>
      </w:r>
      <w:r w:rsidR="00DE61EE">
        <w:rPr>
          <w:i/>
          <w:iCs/>
        </w:rPr>
        <w:t xml:space="preserve"> </w:t>
      </w:r>
      <w:r w:rsidRPr="00540420">
        <w:rPr>
          <w:i/>
          <w:iCs/>
        </w:rPr>
        <w:t xml:space="preserve">Information, </w:t>
      </w:r>
      <w:r w:rsidRPr="00540420">
        <w:t>the Commission describes</w:t>
      </w:r>
      <w:r w:rsidR="00DE61EE">
        <w:t xml:space="preserve"> </w:t>
      </w:r>
      <w:r w:rsidRPr="00540420">
        <w:t>the need for this study to support</w:t>
      </w:r>
      <w:r w:rsidR="00DE61EE">
        <w:t xml:space="preserve"> </w:t>
      </w:r>
      <w:r w:rsidRPr="00540420">
        <w:t>CPSC’s efforts to work with the ASTM</w:t>
      </w:r>
      <w:r w:rsidR="00DE61EE">
        <w:t xml:space="preserve"> </w:t>
      </w:r>
      <w:r w:rsidRPr="00540420">
        <w:t>F15.03 Subcommittee on Safety</w:t>
      </w:r>
      <w:r w:rsidR="00DE61EE">
        <w:t xml:space="preserve"> </w:t>
      </w:r>
      <w:r w:rsidRPr="00540420">
        <w:t>Standard for Bathtub and Shower</w:t>
      </w:r>
      <w:r w:rsidR="00DE61EE">
        <w:t xml:space="preserve"> </w:t>
      </w:r>
      <w:r w:rsidRPr="00540420">
        <w:t>Structures to replace the withdrawn</w:t>
      </w:r>
      <w:r w:rsidR="00DE61EE">
        <w:t xml:space="preserve"> </w:t>
      </w:r>
      <w:r w:rsidRPr="00540420">
        <w:t>ASTM F462 standard.</w:t>
      </w:r>
    </w:p>
    <w:p w:rsidR="000928BF" w:rsidP="00F01D7E" w14:paraId="53254640" w14:textId="3F5441F1">
      <w:pPr>
        <w:pStyle w:val="Heading3"/>
      </w:pPr>
      <w:r>
        <w:t>Part B. Consultation</w:t>
      </w:r>
    </w:p>
    <w:p w:rsidR="0099786F" w:rsidRPr="0099786F" w:rsidP="00F01D7E" w14:paraId="3B431A35" w14:textId="77777777">
      <w:pPr>
        <w:keepNext/>
        <w:ind w:left="144"/>
        <w:jc w:val="both"/>
        <w:rPr>
          <w:rFonts w:eastAsia="Arial Narrow"/>
          <w:sz w:val="24"/>
          <w:szCs w:val="24"/>
        </w:rPr>
      </w:pPr>
    </w:p>
    <w:p w:rsidR="0099786F" w:rsidRPr="0099786F" w:rsidP="00F01D7E" w14:paraId="629192FC" w14:textId="793C14E0">
      <w:pPr>
        <w:pStyle w:val="BodyText"/>
        <w:keepNext/>
        <w:rPr>
          <w:rFonts w:eastAsia="Arial Narrow"/>
        </w:rPr>
      </w:pPr>
      <w:r>
        <w:rPr>
          <w:rFonts w:eastAsia="Arial Narrow"/>
        </w:rPr>
        <w:t xml:space="preserve">The CPSC has consulted with Thurmon Lockhart on this study. </w:t>
      </w:r>
      <w:r w:rsidRPr="0099786F">
        <w:rPr>
          <w:rFonts w:eastAsia="Arial Narrow"/>
        </w:rPr>
        <w:t xml:space="preserve">Over the past 30 years, Thurmon Lockhart, PhD, </w:t>
      </w:r>
      <w:r>
        <w:rPr>
          <w:rFonts w:eastAsia="Arial Narrow"/>
        </w:rPr>
        <w:t xml:space="preserve">has </w:t>
      </w:r>
      <w:r w:rsidRPr="0099786F">
        <w:rPr>
          <w:rFonts w:eastAsia="Arial Narrow"/>
        </w:rPr>
        <w:t>research</w:t>
      </w:r>
      <w:r>
        <w:rPr>
          <w:rFonts w:eastAsia="Arial Narrow"/>
        </w:rPr>
        <w:t>ed and investigated</w:t>
      </w:r>
      <w:r w:rsidRPr="0099786F">
        <w:rPr>
          <w:rFonts w:eastAsia="Arial Narrow"/>
        </w:rPr>
        <w:t xml:space="preserve"> the influence of frailty among older adults on gait and postural stability relevant to fall accidents. Given the similar research interests in motor control and rehabilitation engineering among various populations influenced by neurological deficits in this study</w:t>
      </w:r>
      <w:r>
        <w:rPr>
          <w:rFonts w:eastAsia="Arial Narrow"/>
        </w:rPr>
        <w:t>, his expertise is valuable.</w:t>
      </w:r>
    </w:p>
    <w:p w:rsidR="000928BF" w:rsidP="00833B94" w14:paraId="59905054" w14:textId="77777777">
      <w:pPr>
        <w:pStyle w:val="Heading1"/>
      </w:pPr>
      <w:r>
        <w:t>Explanation</w:t>
      </w:r>
      <w:r>
        <w:rPr>
          <w:spacing w:val="-1"/>
        </w:rPr>
        <w:t xml:space="preserve"> </w:t>
      </w:r>
      <w:r>
        <w:t>of</w:t>
      </w:r>
      <w:r>
        <w:rPr>
          <w:spacing w:val="-1"/>
        </w:rPr>
        <w:t xml:space="preserve"> </w:t>
      </w:r>
      <w:r>
        <w:t>any</w:t>
      </w:r>
      <w:r>
        <w:rPr>
          <w:spacing w:val="-2"/>
        </w:rPr>
        <w:t xml:space="preserve"> </w:t>
      </w:r>
      <w:r>
        <w:t>Payment</w:t>
      </w:r>
      <w:r>
        <w:rPr>
          <w:spacing w:val="-1"/>
        </w:rPr>
        <w:t xml:space="preserve"> </w:t>
      </w:r>
      <w:r>
        <w:t>or</w:t>
      </w:r>
      <w:r>
        <w:rPr>
          <w:spacing w:val="-1"/>
        </w:rPr>
        <w:t xml:space="preserve"> </w:t>
      </w:r>
      <w:r>
        <w:rPr>
          <w:spacing w:val="-4"/>
        </w:rPr>
        <w:t>Gift</w:t>
      </w:r>
    </w:p>
    <w:p w:rsidR="00D8164A" w:rsidRPr="00F01D7E" w:rsidP="004705A6" w14:paraId="734B2016" w14:textId="287C3F6B">
      <w:pPr>
        <w:pStyle w:val="BodyText"/>
      </w:pPr>
      <w:r w:rsidRPr="004705A6">
        <w:t>Participants will receive</w:t>
      </w:r>
      <w:r>
        <w:t xml:space="preserve"> </w:t>
      </w:r>
      <w:r w:rsidRPr="004705A6">
        <w:t>$100 for participation in the study.</w:t>
      </w:r>
      <w:r>
        <w:t xml:space="preserve"> </w:t>
      </w:r>
      <w:r w:rsidRPr="00F01D7E">
        <w:t>This incentive will encourage full participation in the study. Specifically, meeting with the</w:t>
      </w:r>
      <w:r w:rsidRPr="00F01D7E">
        <w:rPr>
          <w:rFonts w:eastAsia="Arial Narrow"/>
        </w:rPr>
        <w:t xml:space="preserve"> research associate to address their questions and concerns, signing the consent form, being measured for height and weight,</w:t>
      </w:r>
      <w:r w:rsidRPr="00F01D7E">
        <w:t xml:space="preserve"> filling out their medical history questionnaire, and, after filling out all the patient documents, participating in the friction demand assessments on three different types of laboratory mockup bathing floor surfaces. Each complete session will take approximately 2 hours but could last up to 2.5 hours with breaks. </w:t>
      </w:r>
      <w:r w:rsidRPr="00F01D7E" w:rsidR="00844ACE">
        <w:t>As mentioned, two trials will be on the dry surface.  Two more trials are on the same bathtub surface, but it will be sprayed on with a liquid solution (90% water, 10% SLS). Participants will be wearing a fall arresting harness system for safety.</w:t>
      </w:r>
    </w:p>
    <w:p w:rsidR="00D8164A" w:rsidRPr="00F01D7E" w:rsidP="00F01D7E" w14:paraId="0B69E199" w14:textId="308D9D71">
      <w:pPr>
        <w:pStyle w:val="BodyText"/>
      </w:pPr>
      <w:r w:rsidRPr="00F01D7E">
        <w:t xml:space="preserve">The $100 payment is commensurate with </w:t>
      </w:r>
      <w:r w:rsidR="00F01D7E">
        <w:t xml:space="preserve">the </w:t>
      </w:r>
      <w:r w:rsidRPr="00F01D7E">
        <w:t>physical nature of the study and the time requested of</w:t>
      </w:r>
      <w:r w:rsidR="00F01D7E">
        <w:t xml:space="preserve"> the</w:t>
      </w:r>
      <w:r w:rsidRPr="00F01D7E">
        <w:t xml:space="preserve"> participants.</w:t>
      </w:r>
    </w:p>
    <w:p w:rsidR="000928BF" w:rsidP="00833B94" w14:paraId="55AF7546" w14:textId="77777777">
      <w:pPr>
        <w:pStyle w:val="Heading1"/>
      </w:pPr>
      <w:bookmarkStart w:id="15" w:name="A.10_Assurance_of_Confidentiality_Provid"/>
      <w:bookmarkEnd w:id="15"/>
      <w:r>
        <w:t>Assurance</w:t>
      </w:r>
      <w:r>
        <w:rPr>
          <w:spacing w:val="-5"/>
        </w:rPr>
        <w:t xml:space="preserve"> </w:t>
      </w:r>
      <w:r>
        <w:t>of</w:t>
      </w:r>
      <w:r>
        <w:rPr>
          <w:spacing w:val="-1"/>
        </w:rPr>
        <w:t xml:space="preserve"> </w:t>
      </w:r>
      <w:r>
        <w:t>Confidentiality</w:t>
      </w:r>
      <w:r>
        <w:rPr>
          <w:spacing w:val="-3"/>
        </w:rPr>
        <w:t xml:space="preserve"> </w:t>
      </w:r>
      <w:r>
        <w:t>Provided</w:t>
      </w:r>
      <w:r>
        <w:rPr>
          <w:spacing w:val="-1"/>
        </w:rPr>
        <w:t xml:space="preserve"> </w:t>
      </w:r>
      <w:r>
        <w:t>to</w:t>
      </w:r>
      <w:r>
        <w:rPr>
          <w:spacing w:val="-1"/>
        </w:rPr>
        <w:t xml:space="preserve"> </w:t>
      </w:r>
      <w:r>
        <w:rPr>
          <w:spacing w:val="-2"/>
        </w:rPr>
        <w:t>Respondents</w:t>
      </w:r>
    </w:p>
    <w:p w:rsidR="004459AE" w:rsidRPr="004729D7" w:rsidP="004459AE" w14:paraId="224439DD" w14:textId="77777777">
      <w:pPr>
        <w:tabs>
          <w:tab w:val="left" w:pos="360"/>
        </w:tabs>
        <w:jc w:val="both"/>
        <w:rPr>
          <w:rFonts w:eastAsia="Arial Narrow"/>
          <w:b/>
          <w:sz w:val="24"/>
          <w:szCs w:val="24"/>
        </w:rPr>
      </w:pPr>
      <w:r w:rsidRPr="004729D7">
        <w:rPr>
          <w:rFonts w:eastAsia="Arial Narrow"/>
          <w:b/>
          <w:sz w:val="24"/>
          <w:szCs w:val="24"/>
        </w:rPr>
        <w:t>Data Security and Participant Confidentiality:</w:t>
      </w:r>
    </w:p>
    <w:p w:rsidR="00D92678" w:rsidRPr="00D92678" w:rsidP="00D92678" w14:paraId="5DB3E223" w14:textId="77777777">
      <w:pPr>
        <w:widowControl/>
        <w:tabs>
          <w:tab w:val="left" w:pos="360"/>
        </w:tabs>
        <w:autoSpaceDE/>
        <w:autoSpaceDN/>
        <w:ind w:left="144"/>
        <w:contextualSpacing/>
        <w:jc w:val="both"/>
        <w:rPr>
          <w:rFonts w:eastAsia="Arial Narrow"/>
          <w:sz w:val="24"/>
          <w:szCs w:val="24"/>
        </w:rPr>
      </w:pPr>
    </w:p>
    <w:p w:rsidR="004459AE" w:rsidRPr="00D92678" w:rsidP="00F01D7E" w14:paraId="6190A17F" w14:textId="1D69D1D0">
      <w:pPr>
        <w:pStyle w:val="BodyText"/>
        <w:rPr>
          <w:rFonts w:eastAsia="Arial Narrow"/>
        </w:rPr>
      </w:pPr>
      <w:r w:rsidRPr="00D92678">
        <w:rPr>
          <w:rFonts w:eastAsia="Arial Narrow"/>
        </w:rPr>
        <w:t>All the data will be depersonalized so no personal data will be compromised.</w:t>
      </w:r>
      <w:r w:rsidR="00D92678">
        <w:rPr>
          <w:rFonts w:eastAsia="Arial Narrow"/>
        </w:rPr>
        <w:t xml:space="preserve"> </w:t>
      </w:r>
      <w:r w:rsidRPr="00D92678">
        <w:rPr>
          <w:rFonts w:eastAsia="Arial Narrow"/>
        </w:rPr>
        <w:t xml:space="preserve">Each participant will be assigned an identification number, e.g., </w:t>
      </w:r>
      <w:r w:rsidRPr="00D92678">
        <w:rPr>
          <w:rFonts w:eastAsia="Arial Narrow"/>
        </w:rPr>
        <w:t>two-letter</w:t>
      </w:r>
      <w:r w:rsidRPr="00D92678">
        <w:rPr>
          <w:rFonts w:eastAsia="Arial Narrow"/>
        </w:rPr>
        <w:t xml:space="preserve"> alphabetical permutations and three number permutations (26</w:t>
      </w:r>
      <w:r w:rsidR="00E920ED">
        <w:rPr>
          <w:rFonts w:eastAsia="Arial Narrow"/>
        </w:rPr>
        <w:t xml:space="preserve"> </w:t>
      </w:r>
      <w:r w:rsidRPr="00D92678">
        <w:rPr>
          <w:rFonts w:eastAsia="Arial Narrow"/>
        </w:rPr>
        <w:t>x</w:t>
      </w:r>
      <w:r w:rsidR="00E920ED">
        <w:rPr>
          <w:rFonts w:eastAsia="Arial Narrow"/>
        </w:rPr>
        <w:t xml:space="preserve"> </w:t>
      </w:r>
      <w:r w:rsidRPr="00D92678">
        <w:rPr>
          <w:rFonts w:eastAsia="Arial Narrow"/>
        </w:rPr>
        <w:t>26</w:t>
      </w:r>
      <w:r w:rsidR="00E920ED">
        <w:rPr>
          <w:rFonts w:eastAsia="Arial Narrow"/>
        </w:rPr>
        <w:t xml:space="preserve"> </w:t>
      </w:r>
      <w:r w:rsidRPr="00D92678">
        <w:rPr>
          <w:rFonts w:eastAsia="Arial Narrow"/>
        </w:rPr>
        <w:t>x</w:t>
      </w:r>
      <w:r w:rsidR="00E920ED">
        <w:rPr>
          <w:rFonts w:eastAsia="Arial Narrow"/>
        </w:rPr>
        <w:t xml:space="preserve"> </w:t>
      </w:r>
      <w:r w:rsidRPr="00D92678">
        <w:rPr>
          <w:rFonts w:eastAsia="Arial Narrow"/>
        </w:rPr>
        <w:t>10</w:t>
      </w:r>
      <w:r w:rsidR="00E920ED">
        <w:rPr>
          <w:rFonts w:eastAsia="Arial Narrow"/>
        </w:rPr>
        <w:t xml:space="preserve"> </w:t>
      </w:r>
      <w:r w:rsidRPr="00D92678">
        <w:rPr>
          <w:rFonts w:eastAsia="Arial Narrow"/>
        </w:rPr>
        <w:t>x</w:t>
      </w:r>
      <w:r w:rsidR="00E920ED">
        <w:rPr>
          <w:rFonts w:eastAsia="Arial Narrow"/>
        </w:rPr>
        <w:t xml:space="preserve"> </w:t>
      </w:r>
      <w:r w:rsidRPr="00D92678">
        <w:rPr>
          <w:rFonts w:eastAsia="Arial Narrow"/>
        </w:rPr>
        <w:t>10</w:t>
      </w:r>
      <w:r w:rsidR="00E920ED">
        <w:rPr>
          <w:rFonts w:eastAsia="Arial Narrow"/>
        </w:rPr>
        <w:t xml:space="preserve"> </w:t>
      </w:r>
      <w:r w:rsidRPr="00D92678">
        <w:rPr>
          <w:rFonts w:eastAsia="Arial Narrow"/>
        </w:rPr>
        <w:t>x</w:t>
      </w:r>
      <w:r w:rsidR="00E920ED">
        <w:rPr>
          <w:rFonts w:eastAsia="Arial Narrow"/>
        </w:rPr>
        <w:t xml:space="preserve"> </w:t>
      </w:r>
      <w:r w:rsidRPr="00D92678">
        <w:rPr>
          <w:rFonts w:eastAsia="Arial Narrow"/>
        </w:rPr>
        <w:t>10 = 67,000), which will be written on the consent form that the participant signs. All other study files will use the participant's assigned ID number and the participant's name will appear nowhere else.</w:t>
      </w:r>
    </w:p>
    <w:p w:rsidR="00D92678" w:rsidRPr="00F01D7E" w:rsidP="00F01D7E" w14:paraId="21E9F03D" w14:textId="3C776FD9">
      <w:pPr>
        <w:pStyle w:val="BodyText"/>
      </w:pPr>
      <w:r w:rsidRPr="004729D7">
        <w:rPr>
          <w:rFonts w:eastAsia="Arial Narrow"/>
        </w:rPr>
        <w:t xml:space="preserve">Data will be stored on an encrypted external hard drive and kept in a secure cabinet, drawer, or desk of the </w:t>
      </w:r>
      <w:r w:rsidR="00390FCD">
        <w:rPr>
          <w:rFonts w:eastAsia="Arial Narrow"/>
        </w:rPr>
        <w:t>principal investigator (PI)</w:t>
      </w:r>
      <w:r w:rsidRPr="004729D7">
        <w:rPr>
          <w:rFonts w:eastAsia="Arial Narrow"/>
        </w:rPr>
        <w:t>.</w:t>
      </w:r>
      <w:r>
        <w:rPr>
          <w:rFonts w:eastAsia="Arial Narrow"/>
        </w:rPr>
        <w:t xml:space="preserve"> </w:t>
      </w:r>
      <w:r w:rsidRPr="004729D7">
        <w:rPr>
          <w:rFonts w:eastAsia="Arial Narrow"/>
        </w:rPr>
        <w:t xml:space="preserve">Only the PI will have access to a document that contains the </w:t>
      </w:r>
      <w:r w:rsidRPr="004729D7" w:rsidR="001E1316">
        <w:rPr>
          <w:rFonts w:eastAsia="Arial Narrow"/>
        </w:rPr>
        <w:t>participant</w:t>
      </w:r>
      <w:r w:rsidRPr="004729D7">
        <w:rPr>
          <w:rFonts w:eastAsia="Arial Narrow"/>
        </w:rPr>
        <w:t xml:space="preserve"> ID number of the participants.</w:t>
      </w:r>
      <w:r>
        <w:rPr>
          <w:rFonts w:eastAsia="Arial Narrow"/>
        </w:rPr>
        <w:t xml:space="preserve"> </w:t>
      </w:r>
      <w:r w:rsidRPr="004729D7">
        <w:rPr>
          <w:rFonts w:eastAsia="Arial Narrow"/>
        </w:rPr>
        <w:t>Data from this study will be stored for up to 10 years after the enrollment period.</w:t>
      </w:r>
      <w:r>
        <w:rPr>
          <w:rFonts w:eastAsia="Arial Narrow"/>
        </w:rPr>
        <w:t xml:space="preserve"> Undergraduate researchers, collaborative researchers, graduate research assistants, and postdoctoral fellows will have access to the data.</w:t>
      </w:r>
    </w:p>
    <w:p w:rsidR="004459AE" w:rsidRPr="004729D7" w:rsidP="00F01D7E" w14:paraId="327FEC53" w14:textId="5B99449C">
      <w:pPr>
        <w:pStyle w:val="BodyText"/>
        <w:rPr>
          <w:rFonts w:eastAsia="Arial Narrow"/>
        </w:rPr>
      </w:pPr>
      <w:bookmarkStart w:id="16" w:name="_Hlk183096071"/>
      <w:r w:rsidRPr="004729D7">
        <w:rPr>
          <w:rFonts w:eastAsia="Arial Narrow"/>
        </w:rPr>
        <w:t xml:space="preserve">Participants will fill out a medical history form after signing all the necessary consent forms and before any data collection or surveys are filled out. From the medical history form, we can discern whether the participants meet all the inclusion criteria or if they meet any of the exclusion criteria. If </w:t>
      </w:r>
      <w:r w:rsidRPr="004729D7">
        <w:rPr>
          <w:rFonts w:eastAsia="Arial Narrow"/>
        </w:rPr>
        <w:t>subject</w:t>
      </w:r>
      <w:r w:rsidRPr="004729D7">
        <w:rPr>
          <w:rFonts w:eastAsia="Arial Narrow"/>
        </w:rPr>
        <w:t xml:space="preserve"> is not qualified for the study, then they will be thanked for their time and dismissed from the study. </w:t>
      </w:r>
      <w:bookmarkEnd w:id="16"/>
      <w:r w:rsidRPr="004729D7">
        <w:rPr>
          <w:rFonts w:eastAsia="Arial Narrow"/>
        </w:rPr>
        <w:t xml:space="preserve">Their medical history form will be shredded by the end of the day. </w:t>
      </w:r>
    </w:p>
    <w:p w:rsidR="00844ACE" w:rsidRPr="00F01D7E" w:rsidP="00F01D7E" w14:paraId="2BE3D5B7" w14:textId="0370D1DA">
      <w:pPr>
        <w:pStyle w:val="BodyText"/>
        <w:rPr>
          <w:b/>
          <w:bCs/>
        </w:rPr>
      </w:pPr>
      <w:r w:rsidRPr="00844ACE">
        <w:rPr>
          <w:rFonts w:eastAsia="Arial Narrow"/>
        </w:rPr>
        <w:t xml:space="preserve">This study is a noninvasive and minimal risk study. If any problems or adverse </w:t>
      </w:r>
      <w:r w:rsidRPr="00844ACE">
        <w:rPr>
          <w:rFonts w:eastAsia="Arial Narrow"/>
        </w:rPr>
        <w:t>event does</w:t>
      </w:r>
      <w:r w:rsidRPr="00844ACE">
        <w:rPr>
          <w:rFonts w:eastAsia="Arial Narrow"/>
        </w:rPr>
        <w:t xml:space="preserve"> occur, the issue will be immediately reported and discussed with the PI (Dr. Lockhart). The problem will be handled and reported according to the ASU IRB regulations and the clinical care required for the patient. Only the PI will have access to a document that contains the name, patient ID number, phone number, and address of the subjects.</w:t>
      </w:r>
    </w:p>
    <w:p w:rsidR="00844ACE" w:rsidRPr="00844ACE" w:rsidP="00F01D7E" w14:paraId="669DC91E" w14:textId="403ED794">
      <w:pPr>
        <w:pStyle w:val="BodyText"/>
        <w:rPr>
          <w:rFonts w:eastAsia="Arial Narrow"/>
        </w:rPr>
      </w:pPr>
      <w:r w:rsidRPr="00844ACE">
        <w:rPr>
          <w:rFonts w:eastAsia="Arial Narrow"/>
        </w:rPr>
        <w:t xml:space="preserve">Following a participant's voluntary interest in the study, participant will be provided with a consent form prior to the initiation of the study and details about the study’s purpose, procedure, risks involved, and all information relevant to the participant responsibilities, safety, privacy, and benefits. The consent form is provided beforehand to ensure </w:t>
      </w:r>
      <w:r w:rsidR="000E3B56">
        <w:rPr>
          <w:rFonts w:eastAsia="Arial Narrow"/>
        </w:rPr>
        <w:t>the</w:t>
      </w:r>
      <w:r w:rsidRPr="00844ACE">
        <w:rPr>
          <w:rFonts w:eastAsia="Arial Narrow"/>
        </w:rPr>
        <w:t xml:space="preserve"> participant </w:t>
      </w:r>
      <w:r w:rsidR="000E3B56">
        <w:rPr>
          <w:rFonts w:eastAsia="Arial Narrow"/>
        </w:rPr>
        <w:t>has</w:t>
      </w:r>
      <w:r w:rsidRPr="00844ACE">
        <w:rPr>
          <w:rFonts w:eastAsia="Arial Narrow"/>
        </w:rPr>
        <w:t xml:space="preserve"> ample time to review the documentation and arrive </w:t>
      </w:r>
      <w:r w:rsidRPr="00844ACE">
        <w:rPr>
          <w:rFonts w:eastAsia="Arial Narrow"/>
        </w:rPr>
        <w:t>to</w:t>
      </w:r>
      <w:r w:rsidRPr="00844ACE">
        <w:rPr>
          <w:rFonts w:eastAsia="Arial Narrow"/>
        </w:rPr>
        <w:t xml:space="preserve"> the study with extensive knowledge of the study protocol, their requirements, and any questions/concerns they may have. If the potential subject is comfortable with their role in the study and general procedures involved, they will be enrolled into the study, whereby they will sign their informed consent in person. The subjects will then fill out a medical history form. Also, the subjects are free to withdraw from the study at any time and for any reason.</w:t>
      </w:r>
    </w:p>
    <w:p w:rsidR="004459AE" w:rsidRPr="004729D7" w:rsidP="00F01D7E" w14:paraId="76BF4197" w14:textId="5F469A0E">
      <w:pPr>
        <w:pStyle w:val="BodyText"/>
      </w:pPr>
      <w:r w:rsidRPr="004729D7">
        <w:rPr>
          <w:rFonts w:eastAsia="Arial Narrow"/>
        </w:rPr>
        <w:t>Participants may not request their personal results from the study.</w:t>
      </w:r>
    </w:p>
    <w:p w:rsidR="000928BF" w:rsidP="00833B94" w14:paraId="7DB9A74C" w14:textId="77777777">
      <w:pPr>
        <w:pStyle w:val="Heading1"/>
      </w:pPr>
      <w:r>
        <w:t>Justification</w:t>
      </w:r>
      <w:r>
        <w:rPr>
          <w:spacing w:val="-2"/>
        </w:rPr>
        <w:t xml:space="preserve"> </w:t>
      </w:r>
      <w:r>
        <w:t>for</w:t>
      </w:r>
      <w:r>
        <w:rPr>
          <w:spacing w:val="-1"/>
        </w:rPr>
        <w:t xml:space="preserve"> </w:t>
      </w:r>
      <w:r>
        <w:t>Sensitive</w:t>
      </w:r>
      <w:r>
        <w:rPr>
          <w:spacing w:val="-2"/>
        </w:rPr>
        <w:t xml:space="preserve"> Questions</w:t>
      </w:r>
    </w:p>
    <w:p w:rsidR="000928BF" w:rsidP="00E75585" w14:paraId="5653FE8D" w14:textId="77777777">
      <w:pPr>
        <w:pStyle w:val="BodyText"/>
      </w:pPr>
      <w:r>
        <w:t>Questions</w:t>
      </w:r>
      <w:r>
        <w:rPr>
          <w:spacing w:val="-3"/>
        </w:rPr>
        <w:t xml:space="preserve"> </w:t>
      </w:r>
      <w:r>
        <w:t>asked in</w:t>
      </w:r>
      <w:r>
        <w:rPr>
          <w:spacing w:val="-1"/>
        </w:rPr>
        <w:t xml:space="preserve"> </w:t>
      </w:r>
      <w:r>
        <w:t>the</w:t>
      </w:r>
      <w:r>
        <w:rPr>
          <w:spacing w:val="-1"/>
        </w:rPr>
        <w:t xml:space="preserve"> </w:t>
      </w:r>
      <w:r>
        <w:t>study</w:t>
      </w:r>
      <w:r>
        <w:rPr>
          <w:spacing w:val="-6"/>
        </w:rPr>
        <w:t xml:space="preserve"> </w:t>
      </w:r>
      <w:r>
        <w:t>typically</w:t>
      </w:r>
      <w:r>
        <w:rPr>
          <w:spacing w:val="-5"/>
        </w:rPr>
        <w:t xml:space="preserve"> </w:t>
      </w:r>
      <w:r>
        <w:t>are</w:t>
      </w:r>
      <w:r>
        <w:rPr>
          <w:spacing w:val="-2"/>
        </w:rPr>
        <w:t xml:space="preserve"> </w:t>
      </w:r>
      <w:r>
        <w:t>not considered</w:t>
      </w:r>
      <w:r>
        <w:rPr>
          <w:spacing w:val="-1"/>
        </w:rPr>
        <w:t xml:space="preserve"> </w:t>
      </w:r>
      <w:r>
        <w:t>sensitive</w:t>
      </w:r>
      <w:r>
        <w:rPr>
          <w:spacing w:val="-1"/>
        </w:rPr>
        <w:t xml:space="preserve"> </w:t>
      </w:r>
      <w:r>
        <w:t xml:space="preserve">in </w:t>
      </w:r>
      <w:r>
        <w:rPr>
          <w:spacing w:val="-2"/>
        </w:rPr>
        <w:t>nature.</w:t>
      </w:r>
    </w:p>
    <w:p w:rsidR="000928BF" w:rsidP="00833B94" w14:paraId="5049BBA7" w14:textId="77777777">
      <w:pPr>
        <w:pStyle w:val="Heading1"/>
      </w:pPr>
      <w:bookmarkStart w:id="17" w:name="A.12_Estimate_of_Hour_Burden_to_Responde"/>
      <w:bookmarkEnd w:id="17"/>
      <w:r>
        <w:t>Estimate</w:t>
      </w:r>
      <w:r>
        <w:rPr>
          <w:spacing w:val="-3"/>
        </w:rPr>
        <w:t xml:space="preserve"> </w:t>
      </w:r>
      <w:r>
        <w:t>of</w:t>
      </w:r>
      <w:r>
        <w:rPr>
          <w:spacing w:val="-2"/>
        </w:rPr>
        <w:t xml:space="preserve"> </w:t>
      </w:r>
      <w:r>
        <w:t>Hour</w:t>
      </w:r>
      <w:r>
        <w:rPr>
          <w:spacing w:val="-1"/>
        </w:rPr>
        <w:t xml:space="preserve"> </w:t>
      </w:r>
      <w:r>
        <w:t>Burden</w:t>
      </w:r>
      <w:r>
        <w:rPr>
          <w:spacing w:val="-2"/>
        </w:rPr>
        <w:t xml:space="preserve"> </w:t>
      </w:r>
      <w:r>
        <w:t>to</w:t>
      </w:r>
      <w:r>
        <w:rPr>
          <w:spacing w:val="-1"/>
        </w:rPr>
        <w:t xml:space="preserve"> </w:t>
      </w:r>
      <w:r>
        <w:rPr>
          <w:spacing w:val="-2"/>
        </w:rPr>
        <w:t>Respondents</w:t>
      </w:r>
    </w:p>
    <w:p w:rsidR="000928BF" w:rsidP="00E75585" w14:paraId="37B0DD98" w14:textId="7C9AD5BC">
      <w:pPr>
        <w:pStyle w:val="BodyText"/>
      </w:pPr>
      <w:r>
        <w:t>The estimated annual burden of the collection is summarized in table 1.</w:t>
      </w:r>
    </w:p>
    <w:p w:rsidR="001607DD" w:rsidP="001607DD" w14:paraId="668B397C" w14:textId="426093EA">
      <w:pPr>
        <w:pStyle w:val="BodyText"/>
        <w:jc w:val="center"/>
      </w:pPr>
      <w:r>
        <w:rPr>
          <w:sz w:val="20"/>
        </w:rPr>
        <w:t>Table</w:t>
      </w:r>
      <w:r>
        <w:rPr>
          <w:spacing w:val="-6"/>
          <w:sz w:val="20"/>
        </w:rPr>
        <w:t xml:space="preserve"> </w:t>
      </w:r>
      <w:r>
        <w:rPr>
          <w:sz w:val="20"/>
        </w:rPr>
        <w:t>1.</w:t>
      </w:r>
      <w:r>
        <w:rPr>
          <w:spacing w:val="-5"/>
          <w:sz w:val="20"/>
        </w:rPr>
        <w:t xml:space="preserve"> </w:t>
      </w:r>
      <w:r>
        <w:rPr>
          <w:sz w:val="20"/>
        </w:rPr>
        <w:t>Estimated Annual Reporting Burden</w:t>
      </w:r>
    </w:p>
    <w:tbl>
      <w:tblPr>
        <w:tblW w:w="0" w:type="auto"/>
        <w:tblInd w:w="1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tblPr>
      <w:tblGrid>
        <w:gridCol w:w="2251"/>
        <w:gridCol w:w="1389"/>
        <w:gridCol w:w="1400"/>
        <w:gridCol w:w="1171"/>
        <w:gridCol w:w="1529"/>
        <w:gridCol w:w="1529"/>
      </w:tblGrid>
      <w:tr w14:paraId="464D6AD3" w14:textId="77777777" w:rsidTr="004729D7">
        <w:tblPrEx>
          <w:tblW w:w="0" w:type="auto"/>
          <w:tblInd w:w="1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tblPrEx>
        <w:trPr>
          <w:trHeight w:val="889"/>
        </w:trPr>
        <w:tc>
          <w:tcPr>
            <w:tcW w:w="2251" w:type="dxa"/>
            <w:shd w:val="clear" w:color="auto" w:fill="F2F2F2" w:themeFill="background1" w:themeFillShade="F2"/>
          </w:tcPr>
          <w:p w:rsidR="001607DD" w:rsidRPr="004729D7" w14:paraId="708E3763" w14:textId="78AB6D40">
            <w:pPr>
              <w:pStyle w:val="TableParagraph"/>
              <w:spacing w:before="240"/>
              <w:ind w:left="107"/>
              <w:rPr>
                <w:b/>
                <w:bCs/>
              </w:rPr>
            </w:pPr>
            <w:r w:rsidRPr="004729D7">
              <w:rPr>
                <w:b/>
                <w:bCs/>
                <w:spacing w:val="-2"/>
              </w:rPr>
              <w:t>Respondent</w:t>
            </w:r>
          </w:p>
        </w:tc>
        <w:tc>
          <w:tcPr>
            <w:tcW w:w="1389" w:type="dxa"/>
            <w:shd w:val="clear" w:color="auto" w:fill="F2F2F2" w:themeFill="background1" w:themeFillShade="F2"/>
          </w:tcPr>
          <w:p w:rsidR="001607DD" w:rsidRPr="004729D7" w14:paraId="1AEFBF43" w14:textId="571966BB">
            <w:pPr>
              <w:pStyle w:val="TableParagraph"/>
              <w:spacing w:before="96" w:line="276" w:lineRule="auto"/>
              <w:ind w:left="105"/>
              <w:rPr>
                <w:b/>
                <w:bCs/>
              </w:rPr>
            </w:pPr>
            <w:r w:rsidRPr="004729D7">
              <w:rPr>
                <w:b/>
                <w:bCs/>
              </w:rPr>
              <w:t>Number of respondents</w:t>
            </w:r>
          </w:p>
        </w:tc>
        <w:tc>
          <w:tcPr>
            <w:tcW w:w="1400" w:type="dxa"/>
            <w:shd w:val="clear" w:color="auto" w:fill="F2F2F2" w:themeFill="background1" w:themeFillShade="F2"/>
          </w:tcPr>
          <w:p w:rsidR="001607DD" w:rsidRPr="004729D7" w14:paraId="7A892F33" w14:textId="1E13AF33">
            <w:pPr>
              <w:pStyle w:val="TableParagraph"/>
              <w:spacing w:before="96" w:line="276" w:lineRule="auto"/>
              <w:ind w:left="105" w:right="133"/>
              <w:rPr>
                <w:b/>
                <w:bCs/>
              </w:rPr>
            </w:pPr>
            <w:r w:rsidRPr="004729D7">
              <w:rPr>
                <w:b/>
                <w:bCs/>
              </w:rPr>
              <w:t>Frequency of response</w:t>
            </w:r>
          </w:p>
        </w:tc>
        <w:tc>
          <w:tcPr>
            <w:tcW w:w="1171" w:type="dxa"/>
            <w:shd w:val="clear" w:color="auto" w:fill="F2F2F2" w:themeFill="background1" w:themeFillShade="F2"/>
          </w:tcPr>
          <w:p w:rsidR="001607DD" w:rsidRPr="004729D7" w14:paraId="7BE4AAC4" w14:textId="1C94F828">
            <w:pPr>
              <w:pStyle w:val="TableParagraph"/>
              <w:spacing w:before="96" w:line="276" w:lineRule="auto"/>
              <w:ind w:left="107"/>
              <w:rPr>
                <w:b/>
                <w:bCs/>
              </w:rPr>
            </w:pPr>
            <w:r>
              <w:rPr>
                <w:b/>
                <w:bCs/>
                <w:spacing w:val="-2"/>
              </w:rPr>
              <w:t xml:space="preserve">Total </w:t>
            </w:r>
            <w:r w:rsidRPr="004729D7">
              <w:rPr>
                <w:b/>
                <w:bCs/>
                <w:spacing w:val="-2"/>
              </w:rPr>
              <w:t>number of responses</w:t>
            </w:r>
          </w:p>
        </w:tc>
        <w:tc>
          <w:tcPr>
            <w:tcW w:w="1529" w:type="dxa"/>
            <w:shd w:val="clear" w:color="auto" w:fill="F2F2F2" w:themeFill="background1" w:themeFillShade="F2"/>
          </w:tcPr>
          <w:p w:rsidR="001607DD" w:rsidRPr="004729D7" w14:paraId="2CA5C7D1" w14:textId="1B625BC9">
            <w:pPr>
              <w:pStyle w:val="TableParagraph"/>
              <w:spacing w:before="96" w:line="276" w:lineRule="auto"/>
              <w:ind w:left="105" w:right="133"/>
              <w:rPr>
                <w:b/>
                <w:bCs/>
              </w:rPr>
            </w:pPr>
            <w:r w:rsidRPr="004729D7">
              <w:rPr>
                <w:b/>
                <w:bCs/>
              </w:rPr>
              <w:t>Duration of response (in hours)</w:t>
            </w:r>
          </w:p>
        </w:tc>
        <w:tc>
          <w:tcPr>
            <w:tcW w:w="1529" w:type="dxa"/>
            <w:shd w:val="clear" w:color="auto" w:fill="F2F2F2" w:themeFill="background1" w:themeFillShade="F2"/>
          </w:tcPr>
          <w:p w:rsidR="001607DD" w:rsidRPr="004729D7" w14:paraId="0E780922" w14:textId="2A2A65D0">
            <w:pPr>
              <w:pStyle w:val="TableParagraph"/>
              <w:spacing w:before="96" w:line="276" w:lineRule="auto"/>
              <w:ind w:left="105" w:right="133"/>
              <w:rPr>
                <w:b/>
                <w:bCs/>
              </w:rPr>
            </w:pPr>
            <w:r w:rsidRPr="004729D7">
              <w:rPr>
                <w:b/>
                <w:bCs/>
              </w:rPr>
              <w:t xml:space="preserve">Total </w:t>
            </w:r>
            <w:r w:rsidR="00E5704B">
              <w:rPr>
                <w:b/>
                <w:bCs/>
              </w:rPr>
              <w:t>estimated</w:t>
            </w:r>
            <w:r w:rsidRPr="004729D7">
              <w:rPr>
                <w:b/>
                <w:bCs/>
              </w:rPr>
              <w:t xml:space="preserve"> response burden </w:t>
            </w:r>
            <w:r w:rsidR="00E5704B">
              <w:rPr>
                <w:b/>
                <w:bCs/>
              </w:rPr>
              <w:br/>
            </w:r>
            <w:r w:rsidRPr="004729D7">
              <w:rPr>
                <w:b/>
                <w:bCs/>
              </w:rPr>
              <w:t>(in hours)</w:t>
            </w:r>
          </w:p>
        </w:tc>
      </w:tr>
      <w:tr w14:paraId="4AD233F3" w14:textId="77777777" w:rsidTr="004729D7">
        <w:tblPrEx>
          <w:tblW w:w="0" w:type="auto"/>
          <w:tblInd w:w="130" w:type="dxa"/>
          <w:tblLayout w:type="fixed"/>
          <w:tblCellMar>
            <w:left w:w="0" w:type="dxa"/>
            <w:right w:w="0" w:type="dxa"/>
          </w:tblCellMar>
          <w:tblLook w:val="01E0"/>
        </w:tblPrEx>
        <w:trPr>
          <w:trHeight w:val="412"/>
        </w:trPr>
        <w:tc>
          <w:tcPr>
            <w:tcW w:w="2251" w:type="dxa"/>
          </w:tcPr>
          <w:p w:rsidR="001607DD" w14:paraId="23080AD4" w14:textId="0F13C218">
            <w:pPr>
              <w:pStyle w:val="TableParagraph"/>
              <w:ind w:left="107"/>
            </w:pPr>
            <w:r>
              <w:rPr>
                <w:spacing w:val="-2"/>
              </w:rPr>
              <w:t>Bathtub Slip Resistance Study participant</w:t>
            </w:r>
          </w:p>
        </w:tc>
        <w:tc>
          <w:tcPr>
            <w:tcW w:w="1389" w:type="dxa"/>
            <w:vAlign w:val="center"/>
          </w:tcPr>
          <w:p w:rsidR="001607DD" w:rsidP="001607DD" w14:paraId="06942942" w14:textId="259CE1D0">
            <w:pPr>
              <w:pStyle w:val="TableParagraph"/>
              <w:jc w:val="center"/>
            </w:pPr>
            <w:r>
              <w:t>200</w:t>
            </w:r>
          </w:p>
        </w:tc>
        <w:tc>
          <w:tcPr>
            <w:tcW w:w="1400" w:type="dxa"/>
            <w:vAlign w:val="center"/>
          </w:tcPr>
          <w:p w:rsidR="001607DD" w:rsidP="001607DD" w14:paraId="7CFF6BF7" w14:textId="2C1AC90A">
            <w:pPr>
              <w:pStyle w:val="TableParagraph"/>
              <w:jc w:val="center"/>
            </w:pPr>
            <w:r>
              <w:t>1</w:t>
            </w:r>
          </w:p>
        </w:tc>
        <w:tc>
          <w:tcPr>
            <w:tcW w:w="1171" w:type="dxa"/>
            <w:vAlign w:val="center"/>
          </w:tcPr>
          <w:p w:rsidR="001607DD" w:rsidP="001607DD" w14:paraId="6DDDDC43" w14:textId="2D8CA1AF">
            <w:pPr>
              <w:pStyle w:val="TableParagraph"/>
              <w:jc w:val="center"/>
            </w:pPr>
            <w:r>
              <w:t>200</w:t>
            </w:r>
          </w:p>
        </w:tc>
        <w:tc>
          <w:tcPr>
            <w:tcW w:w="1529" w:type="dxa"/>
            <w:vAlign w:val="center"/>
          </w:tcPr>
          <w:p w:rsidR="001607DD" w:rsidP="001607DD" w14:paraId="6F875E98" w14:textId="04A98B6E">
            <w:pPr>
              <w:pStyle w:val="TableParagraph"/>
              <w:jc w:val="center"/>
            </w:pPr>
            <w:r>
              <w:t>2</w:t>
            </w:r>
            <w:r w:rsidR="00E33115">
              <w:t>.5</w:t>
            </w:r>
          </w:p>
        </w:tc>
        <w:tc>
          <w:tcPr>
            <w:tcW w:w="1529" w:type="dxa"/>
            <w:vAlign w:val="center"/>
          </w:tcPr>
          <w:p w:rsidR="001607DD" w:rsidP="001607DD" w14:paraId="7357E827" w14:textId="66475083">
            <w:pPr>
              <w:pStyle w:val="TableParagraph"/>
              <w:jc w:val="center"/>
            </w:pPr>
            <w:r>
              <w:t>500</w:t>
            </w:r>
          </w:p>
        </w:tc>
      </w:tr>
    </w:tbl>
    <w:p w:rsidR="000E041B" w:rsidP="00E75585" w14:paraId="7ECB8788" w14:textId="27AD4366">
      <w:pPr>
        <w:pStyle w:val="BodyText"/>
        <w:ind w:left="0"/>
      </w:pPr>
    </w:p>
    <w:p w:rsidR="00BD3C7A" w:rsidP="00774CED" w14:paraId="4B52BC69" w14:textId="1AEB7544">
      <w:pPr>
        <w:pStyle w:val="BodyText"/>
        <w:ind w:left="0"/>
      </w:pPr>
      <w:r>
        <w:t>In the first year</w:t>
      </w:r>
      <w:r w:rsidR="00E5704B">
        <w:t xml:space="preserve"> that the study is funded w</w:t>
      </w:r>
      <w:r w:rsidR="001607DD">
        <w:t xml:space="preserve">e expect there will be </w:t>
      </w:r>
      <w:r w:rsidR="00222FA6">
        <w:t>36</w:t>
      </w:r>
      <w:r w:rsidR="001607DD">
        <w:t xml:space="preserve"> participants in the bathtub slip resistance study</w:t>
      </w:r>
      <w:r w:rsidR="00E5704B">
        <w:t xml:space="preserve"> focusing on older adults</w:t>
      </w:r>
      <w:r w:rsidR="00E33115">
        <w:t xml:space="preserve">, however </w:t>
      </w:r>
      <w:r w:rsidR="00E33115">
        <w:t>the burden estimate includes additional responses to account for burden to participants that are selected but ultimately not tested</w:t>
      </w:r>
      <w:r w:rsidR="00E5704B">
        <w:t>, as well as other study changes. In addition, the burden estimates account for the testing of younger age groups in future years, if funding becomes available</w:t>
      </w:r>
      <w:r w:rsidR="00E33115">
        <w:t>.</w:t>
      </w:r>
      <w:r w:rsidR="001607DD">
        <w:t xml:space="preserve"> </w:t>
      </w:r>
      <w:r w:rsidR="00E33115">
        <w:t xml:space="preserve">We estimated that </w:t>
      </w:r>
      <w:r w:rsidR="001607DD">
        <w:t xml:space="preserve">each </w:t>
      </w:r>
      <w:r w:rsidR="00E33115">
        <w:t>respondent</w:t>
      </w:r>
      <w:r w:rsidR="001607DD">
        <w:t xml:space="preserve"> will respond to the collection of </w:t>
      </w:r>
      <w:r w:rsidR="001607DD">
        <w:t>information</w:t>
      </w:r>
      <w:r w:rsidR="001607DD">
        <w:t xml:space="preserve"> once. Therefore</w:t>
      </w:r>
      <w:r w:rsidR="00E92EBC">
        <w:t>,</w:t>
      </w:r>
      <w:r w:rsidR="001607DD">
        <w:t xml:space="preserve"> the total estimated </w:t>
      </w:r>
      <w:r w:rsidR="00E5704B">
        <w:t xml:space="preserve">annual </w:t>
      </w:r>
      <w:r w:rsidR="001607DD">
        <w:t xml:space="preserve">number of responses for the study is </w:t>
      </w:r>
      <w:r w:rsidR="00E5704B">
        <w:t>200</w:t>
      </w:r>
      <w:r w:rsidR="00E33115">
        <w:t xml:space="preserve"> </w:t>
      </w:r>
      <w:r w:rsidR="001607DD">
        <w:t>(</w:t>
      </w:r>
      <w:r w:rsidR="00E5704B">
        <w:t>200</w:t>
      </w:r>
      <w:r w:rsidR="001607DD">
        <w:t xml:space="preserve"> respondents </w:t>
      </w:r>
      <w:r w:rsidR="00E92EBC">
        <w:t xml:space="preserve">× 1 response per participant). </w:t>
      </w:r>
    </w:p>
    <w:p w:rsidR="00E92EBC" w:rsidP="00774CED" w14:paraId="6B9ABA7D" w14:textId="46431F4B">
      <w:pPr>
        <w:pStyle w:val="BodyText"/>
        <w:ind w:left="0"/>
      </w:pPr>
      <w:r>
        <w:t>Though response times will vary, on average, it will take 2</w:t>
      </w:r>
      <w:r w:rsidR="00E33115">
        <w:t>.5</w:t>
      </w:r>
      <w:r>
        <w:t xml:space="preserve"> hours for respondents to fully participate in the study. Therefore</w:t>
      </w:r>
      <w:r w:rsidR="00233615">
        <w:t>,</w:t>
      </w:r>
      <w:r>
        <w:t xml:space="preserve"> the </w:t>
      </w:r>
      <w:r w:rsidR="00E5704B">
        <w:t>annual</w:t>
      </w:r>
      <w:r>
        <w:t xml:space="preserve"> estimated</w:t>
      </w:r>
      <w:r w:rsidR="00E5704B">
        <w:t xml:space="preserve"> </w:t>
      </w:r>
      <w:r>
        <w:t xml:space="preserve">response burden is </w:t>
      </w:r>
      <w:r w:rsidR="00E5704B">
        <w:t>500</w:t>
      </w:r>
      <w:r w:rsidR="00E33115">
        <w:t xml:space="preserve"> </w:t>
      </w:r>
      <w:r>
        <w:t>hours (</w:t>
      </w:r>
      <w:r w:rsidR="00E5704B">
        <w:t xml:space="preserve">200 </w:t>
      </w:r>
      <w:r>
        <w:t>responses × 2</w:t>
      </w:r>
      <w:r w:rsidR="00E33115">
        <w:t>.5</w:t>
      </w:r>
      <w:r>
        <w:t xml:space="preserve"> hours per response).</w:t>
      </w:r>
    </w:p>
    <w:p w:rsidR="000928BF" w:rsidP="00833B94" w14:paraId="1BD9FE8D" w14:textId="77777777">
      <w:pPr>
        <w:pStyle w:val="Heading1"/>
      </w:pPr>
      <w:bookmarkStart w:id="18" w:name="A.13_Estimate_of_Total_Annual_Cost_Burde"/>
      <w:bookmarkEnd w:id="18"/>
      <w:r>
        <w:t>Estimate</w:t>
      </w:r>
      <w:r>
        <w:rPr>
          <w:spacing w:val="-2"/>
        </w:rPr>
        <w:t xml:space="preserve"> </w:t>
      </w:r>
      <w:r>
        <w:t>of</w:t>
      </w:r>
      <w:r>
        <w:rPr>
          <w:spacing w:val="-1"/>
        </w:rPr>
        <w:t xml:space="preserve"> </w:t>
      </w:r>
      <w:r>
        <w:t>Total</w:t>
      </w:r>
      <w:r>
        <w:rPr>
          <w:spacing w:val="-1"/>
        </w:rPr>
        <w:t xml:space="preserve"> </w:t>
      </w:r>
      <w:r>
        <w:t>Annual</w:t>
      </w:r>
      <w:r>
        <w:rPr>
          <w:spacing w:val="-3"/>
        </w:rPr>
        <w:t xml:space="preserve"> </w:t>
      </w:r>
      <w:r>
        <w:t>Cost</w:t>
      </w:r>
      <w:r>
        <w:rPr>
          <w:spacing w:val="-1"/>
        </w:rPr>
        <w:t xml:space="preserve"> </w:t>
      </w:r>
      <w:r>
        <w:t>Burden</w:t>
      </w:r>
      <w:r>
        <w:rPr>
          <w:spacing w:val="-1"/>
        </w:rPr>
        <w:t xml:space="preserve"> </w:t>
      </w:r>
      <w:r>
        <w:t>to</w:t>
      </w:r>
      <w:r>
        <w:rPr>
          <w:spacing w:val="-1"/>
        </w:rPr>
        <w:t xml:space="preserve"> </w:t>
      </w:r>
      <w:r>
        <w:rPr>
          <w:spacing w:val="-2"/>
        </w:rPr>
        <w:t>Respondents</w:t>
      </w:r>
    </w:p>
    <w:p w:rsidR="000928BF" w:rsidP="00E75585" w14:paraId="15071AB4" w14:textId="77777777">
      <w:pPr>
        <w:pStyle w:val="BodyText"/>
      </w:pPr>
      <w:r>
        <w:t>There</w:t>
      </w:r>
      <w:r>
        <w:rPr>
          <w:spacing w:val="-3"/>
        </w:rPr>
        <w:t xml:space="preserve"> </w:t>
      </w:r>
      <w:r>
        <w:t>are</w:t>
      </w:r>
      <w:r>
        <w:rPr>
          <w:spacing w:val="-5"/>
        </w:rPr>
        <w:t xml:space="preserve"> </w:t>
      </w:r>
      <w:r>
        <w:t>no</w:t>
      </w:r>
      <w:r>
        <w:rPr>
          <w:spacing w:val="-2"/>
        </w:rPr>
        <w:t xml:space="preserve"> </w:t>
      </w:r>
      <w:r>
        <w:t>costs</w:t>
      </w:r>
      <w:r>
        <w:rPr>
          <w:spacing w:val="-4"/>
        </w:rPr>
        <w:t xml:space="preserve"> </w:t>
      </w:r>
      <w:r>
        <w:t>to</w:t>
      </w:r>
      <w:r>
        <w:rPr>
          <w:spacing w:val="-4"/>
        </w:rPr>
        <w:t xml:space="preserve"> </w:t>
      </w:r>
      <w:r>
        <w:t>respondents</w:t>
      </w:r>
      <w:r>
        <w:rPr>
          <w:spacing w:val="-4"/>
        </w:rPr>
        <w:t xml:space="preserve"> </w:t>
      </w:r>
      <w:r>
        <w:t>and</w:t>
      </w:r>
      <w:r>
        <w:rPr>
          <w:spacing w:val="-4"/>
        </w:rPr>
        <w:t xml:space="preserve"> </w:t>
      </w:r>
      <w:r>
        <w:t>no</w:t>
      </w:r>
      <w:r>
        <w:rPr>
          <w:spacing w:val="-4"/>
        </w:rPr>
        <w:t xml:space="preserve"> </w:t>
      </w:r>
      <w:r>
        <w:t>respondent</w:t>
      </w:r>
      <w:r>
        <w:rPr>
          <w:spacing w:val="-4"/>
        </w:rPr>
        <w:t xml:space="preserve"> </w:t>
      </w:r>
      <w:r>
        <w:t>recordkeeping</w:t>
      </w:r>
      <w:r>
        <w:rPr>
          <w:spacing w:val="-6"/>
        </w:rPr>
        <w:t xml:space="preserve"> </w:t>
      </w:r>
      <w:r>
        <w:t>requirements</w:t>
      </w:r>
      <w:r>
        <w:rPr>
          <w:spacing w:val="-4"/>
        </w:rPr>
        <w:t xml:space="preserve"> </w:t>
      </w:r>
      <w:r>
        <w:t>associated</w:t>
      </w:r>
      <w:r>
        <w:rPr>
          <w:spacing w:val="-4"/>
        </w:rPr>
        <w:t xml:space="preserve"> </w:t>
      </w:r>
      <w:r>
        <w:t>with the study. There are no operating, maintenance, or capital costs associated with the collection.</w:t>
      </w:r>
    </w:p>
    <w:p w:rsidR="000928BF" w:rsidP="00833B94" w14:paraId="01ABAA6C" w14:textId="77777777">
      <w:pPr>
        <w:pStyle w:val="Heading1"/>
      </w:pPr>
      <w:bookmarkStart w:id="19" w:name="A.14__Estimate_of_Annualized_Costs_to_th"/>
      <w:bookmarkEnd w:id="19"/>
      <w:r>
        <w:t>Estimate</w:t>
      </w:r>
      <w:r>
        <w:rPr>
          <w:spacing w:val="-3"/>
        </w:rPr>
        <w:t xml:space="preserve"> </w:t>
      </w:r>
      <w:r>
        <w:t>of</w:t>
      </w:r>
      <w:r>
        <w:rPr>
          <w:spacing w:val="-1"/>
        </w:rPr>
        <w:t xml:space="preserve"> </w:t>
      </w:r>
      <w:r>
        <w:t>Annualized</w:t>
      </w:r>
      <w:r>
        <w:rPr>
          <w:spacing w:val="-1"/>
        </w:rPr>
        <w:t xml:space="preserve"> </w:t>
      </w:r>
      <w:r>
        <w:t>Costs</w:t>
      </w:r>
      <w:r>
        <w:rPr>
          <w:spacing w:val="-1"/>
        </w:rPr>
        <w:t xml:space="preserve"> </w:t>
      </w:r>
      <w:r>
        <w:t>to</w:t>
      </w:r>
      <w:r>
        <w:rPr>
          <w:spacing w:val="-1"/>
        </w:rPr>
        <w:t xml:space="preserve"> </w:t>
      </w:r>
      <w:r>
        <w:t>the</w:t>
      </w:r>
      <w:r>
        <w:rPr>
          <w:spacing w:val="-2"/>
        </w:rPr>
        <w:t xml:space="preserve"> </w:t>
      </w:r>
      <w:r>
        <w:t>Federal</w:t>
      </w:r>
      <w:r>
        <w:rPr>
          <w:spacing w:val="-1"/>
        </w:rPr>
        <w:t xml:space="preserve"> </w:t>
      </w:r>
      <w:r>
        <w:rPr>
          <w:spacing w:val="-2"/>
        </w:rPr>
        <w:t>Government</w:t>
      </w:r>
    </w:p>
    <w:p w:rsidR="00FF481E" w:rsidP="00A751E2" w14:paraId="1E0BDC60" w14:textId="27EB9709">
      <w:pPr>
        <w:pStyle w:val="BodyText"/>
      </w:pPr>
      <w:r>
        <w:t>The estimated annual cost of the information collection requirements to the Federal Government is approximately $</w:t>
      </w:r>
      <w:r w:rsidR="003E337E">
        <w:t>197,477</w:t>
      </w:r>
      <w:r>
        <w:t xml:space="preserve">, which includes 12 staff months to examine and evaluate the information, as needed, as well as </w:t>
      </w:r>
      <w:r>
        <w:t>monitor</w:t>
      </w:r>
      <w:r>
        <w:t xml:space="preserve"> the contract and other activities. This is based on a GS-13, step 5 level salaried employee. The average annual wage rate for a mid-level salarie</w:t>
      </w:r>
      <w:r w:rsidR="003E337E">
        <w:t>d</w:t>
      </w:r>
      <w:r>
        <w:t xml:space="preserve"> </w:t>
      </w:r>
      <w:r w:rsidRPr="00FF481E">
        <w:t>GS-13 employee in the Washington, DC metropolitan area (effective as of January 2024) is $</w:t>
      </w:r>
      <w:r w:rsidR="003E337E">
        <w:t>133,692</w:t>
      </w:r>
      <w:r w:rsidRPr="00FF481E">
        <w:t xml:space="preserve"> (GS-13, step 5). This represents 67.7 percent of total compensation (U.S. Bureau of Labor </w:t>
      </w:r>
      <w:r w:rsidRPr="00FF481E" w:rsidR="00952616">
        <w:t>Statistics</w:t>
      </w:r>
      <w:r w:rsidRPr="00FF481E">
        <w:t xml:space="preserve">, “Employer Costs for Employee Compensation,” June 2024, Table 2., percentage of wages and salaries for all civilian management, professional, and related employees: https://www.bls.gov/news.release/archives/ecec_09102024.pdf).  Adding an additional 32.3 percent for benefits brings average annual compensation for a mid-level salaried </w:t>
      </w:r>
      <w:r w:rsidRPr="00FF481E">
        <w:t>GS</w:t>
      </w:r>
      <w:r>
        <w:t>-13 employee to $</w:t>
      </w:r>
      <w:r w:rsidR="003E337E">
        <w:t>197,477</w:t>
      </w:r>
      <w:r>
        <w:t xml:space="preserve">. </w:t>
      </w:r>
      <w:r>
        <w:t>Assuming that</w:t>
      </w:r>
      <w:r>
        <w:t xml:space="preserve"> approximately 12 staff months will be required annually, this results in an annual cost </w:t>
      </w:r>
      <w:r w:rsidR="003E337E">
        <w:t xml:space="preserve">to the federal government </w:t>
      </w:r>
      <w:r>
        <w:t>of $</w:t>
      </w:r>
      <w:r w:rsidR="003E337E">
        <w:t>197,477.</w:t>
      </w:r>
    </w:p>
    <w:p w:rsidR="000928BF" w:rsidP="00833B94" w14:paraId="05A78C07" w14:textId="77777777">
      <w:pPr>
        <w:pStyle w:val="Heading1"/>
      </w:pPr>
      <w:r>
        <w:t>Program</w:t>
      </w:r>
      <w:r>
        <w:rPr>
          <w:spacing w:val="-3"/>
        </w:rPr>
        <w:t xml:space="preserve"> </w:t>
      </w:r>
      <w:r>
        <w:t>Changes</w:t>
      </w:r>
      <w:r>
        <w:rPr>
          <w:spacing w:val="-2"/>
        </w:rPr>
        <w:t xml:space="preserve"> </w:t>
      </w:r>
      <w:r>
        <w:t>or</w:t>
      </w:r>
      <w:r>
        <w:rPr>
          <w:spacing w:val="-2"/>
        </w:rPr>
        <w:t xml:space="preserve"> Adjustments</w:t>
      </w:r>
    </w:p>
    <w:p w:rsidR="000928BF" w:rsidP="00833B94" w14:paraId="0FC8C540" w14:textId="73360AF0">
      <w:pPr>
        <w:pStyle w:val="BodyText"/>
      </w:pPr>
      <w:r>
        <w:t>This is a new collection of information. There are no program changes or adjustments</w:t>
      </w:r>
      <w:r w:rsidR="00D02C24">
        <w:rPr>
          <w:spacing w:val="-2"/>
        </w:rPr>
        <w:t>.</w:t>
      </w:r>
    </w:p>
    <w:p w:rsidR="000928BF" w:rsidP="00833B94" w14:paraId="2443EC5D" w14:textId="77777777">
      <w:pPr>
        <w:pStyle w:val="Heading1"/>
      </w:pPr>
      <w:bookmarkStart w:id="20" w:name="A.16_Publication_Plan"/>
      <w:bookmarkEnd w:id="20"/>
      <w:r>
        <w:t>Publication</w:t>
      </w:r>
      <w:r>
        <w:rPr>
          <w:spacing w:val="-2"/>
        </w:rPr>
        <w:t xml:space="preserve"> </w:t>
      </w:r>
      <w:r>
        <w:rPr>
          <w:spacing w:val="-4"/>
        </w:rPr>
        <w:t>Plan</w:t>
      </w:r>
    </w:p>
    <w:p w:rsidR="00402718" w:rsidP="00127035" w14:paraId="0300EF2C" w14:textId="525E6BA4">
      <w:pPr>
        <w:pStyle w:val="BodyText"/>
      </w:pPr>
      <w:r w:rsidRPr="00DC63CB">
        <w:t>The data collected will be used in dissertations, theses, and masters applied projects. ASU will publish the results in a journal setting after permission is granted by CPSC. Results and data could be shared with other 3rd party organizations, but all subject information will be de</w:t>
      </w:r>
      <w:r>
        <w:t>-i</w:t>
      </w:r>
      <w:r w:rsidRPr="00DC63CB">
        <w:t>dentified. Typically, CPSC will also post a report of the study to the CPSC website to disseminate the results to the public.</w:t>
      </w:r>
    </w:p>
    <w:p w:rsidR="000928BF" w:rsidP="00833B94" w14:paraId="20A4FD6F" w14:textId="77777777">
      <w:pPr>
        <w:pStyle w:val="Heading1"/>
      </w:pPr>
      <w:bookmarkStart w:id="21" w:name="A.17_Rationale_for_Not_Displaying_the_Ex"/>
      <w:bookmarkEnd w:id="21"/>
      <w:r>
        <w:t>Rationale</w:t>
      </w:r>
      <w:r>
        <w:rPr>
          <w:spacing w:val="-3"/>
        </w:rPr>
        <w:t xml:space="preserve"> </w:t>
      </w:r>
      <w:r>
        <w:t>for</w:t>
      </w:r>
      <w:r>
        <w:rPr>
          <w:spacing w:val="-1"/>
        </w:rPr>
        <w:t xml:space="preserve"> </w:t>
      </w:r>
      <w:r>
        <w:t>Not</w:t>
      </w:r>
      <w:r>
        <w:rPr>
          <w:spacing w:val="-2"/>
        </w:rPr>
        <w:t xml:space="preserve"> </w:t>
      </w:r>
      <w:r>
        <w:t>Displaying</w:t>
      </w:r>
      <w:r>
        <w:rPr>
          <w:spacing w:val="-1"/>
        </w:rPr>
        <w:t xml:space="preserve"> </w:t>
      </w:r>
      <w:r>
        <w:t>the</w:t>
      </w:r>
      <w:r>
        <w:rPr>
          <w:spacing w:val="-3"/>
        </w:rPr>
        <w:t xml:space="preserve"> </w:t>
      </w:r>
      <w:r>
        <w:t>Expiration</w:t>
      </w:r>
      <w:r>
        <w:rPr>
          <w:spacing w:val="-1"/>
        </w:rPr>
        <w:t xml:space="preserve"> </w:t>
      </w:r>
      <w:r>
        <w:t>Date</w:t>
      </w:r>
      <w:r>
        <w:rPr>
          <w:spacing w:val="-1"/>
        </w:rPr>
        <w:t xml:space="preserve"> </w:t>
      </w:r>
      <w:r>
        <w:t>for</w:t>
      </w:r>
      <w:r>
        <w:rPr>
          <w:spacing w:val="-1"/>
        </w:rPr>
        <w:t xml:space="preserve"> </w:t>
      </w:r>
      <w:r>
        <w:t>OMB</w:t>
      </w:r>
      <w:r>
        <w:rPr>
          <w:spacing w:val="-2"/>
        </w:rPr>
        <w:t xml:space="preserve"> Approval</w:t>
      </w:r>
    </w:p>
    <w:p w:rsidR="000928BF" w:rsidP="00E75585" w14:paraId="02E78E99" w14:textId="02760CAA">
      <w:pPr>
        <w:pStyle w:val="BodyText"/>
      </w:pPr>
      <w:r>
        <w:t>No such exception is sought. The OMB data collection number and expiration date will be displayed</w:t>
      </w:r>
      <w:r>
        <w:rPr>
          <w:spacing w:val="-3"/>
        </w:rPr>
        <w:t xml:space="preserve"> </w:t>
      </w:r>
      <w:r>
        <w:t>on</w:t>
      </w:r>
      <w:r>
        <w:rPr>
          <w:spacing w:val="-3"/>
        </w:rPr>
        <w:t xml:space="preserve"> </w:t>
      </w:r>
      <w:r>
        <w:t>informed</w:t>
      </w:r>
      <w:r>
        <w:rPr>
          <w:spacing w:val="-3"/>
        </w:rPr>
        <w:t xml:space="preserve"> </w:t>
      </w:r>
      <w:r>
        <w:t>consent</w:t>
      </w:r>
      <w:r>
        <w:rPr>
          <w:spacing w:val="-3"/>
        </w:rPr>
        <w:t xml:space="preserve"> </w:t>
      </w:r>
      <w:r>
        <w:t>form.</w:t>
      </w:r>
    </w:p>
    <w:p w:rsidR="000928BF" w:rsidP="00833B94" w14:paraId="08562BAC" w14:textId="77777777">
      <w:pPr>
        <w:pStyle w:val="Heading1"/>
      </w:pPr>
      <w:bookmarkStart w:id="22" w:name="A.18_Exception_to_the_Certification_Stat"/>
      <w:bookmarkEnd w:id="22"/>
      <w:r>
        <w:t>Exception</w:t>
      </w:r>
      <w:r>
        <w:rPr>
          <w:spacing w:val="-2"/>
        </w:rPr>
        <w:t xml:space="preserve"> </w:t>
      </w:r>
      <w:r>
        <w:t>to</w:t>
      </w:r>
      <w:r>
        <w:rPr>
          <w:spacing w:val="-2"/>
        </w:rPr>
        <w:t xml:space="preserve"> </w:t>
      </w:r>
      <w:r>
        <w:t>the</w:t>
      </w:r>
      <w:r>
        <w:rPr>
          <w:spacing w:val="-2"/>
        </w:rPr>
        <w:t xml:space="preserve"> </w:t>
      </w:r>
      <w:r>
        <w:t>Certification</w:t>
      </w:r>
      <w:r>
        <w:rPr>
          <w:spacing w:val="-1"/>
        </w:rPr>
        <w:t xml:space="preserve"> </w:t>
      </w:r>
      <w:r>
        <w:rPr>
          <w:spacing w:val="-2"/>
        </w:rPr>
        <w:t>Statement</w:t>
      </w:r>
    </w:p>
    <w:p w:rsidR="000928BF" w:rsidP="00E75585" w14:paraId="6CD61FC7" w14:textId="77777777">
      <w:pPr>
        <w:pStyle w:val="BodyText"/>
      </w:pPr>
      <w:r>
        <w:t>No</w:t>
      </w:r>
      <w:r>
        <w:rPr>
          <w:spacing w:val="-3"/>
        </w:rPr>
        <w:t xml:space="preserve"> </w:t>
      </w:r>
      <w:r>
        <w:t>such</w:t>
      </w:r>
      <w:r>
        <w:rPr>
          <w:spacing w:val="-1"/>
        </w:rPr>
        <w:t xml:space="preserve"> </w:t>
      </w:r>
      <w:r>
        <w:t>exception is</w:t>
      </w:r>
      <w:r>
        <w:rPr>
          <w:spacing w:val="-1"/>
        </w:rPr>
        <w:t xml:space="preserve"> </w:t>
      </w:r>
      <w:r>
        <w:t>sought.</w:t>
      </w:r>
      <w:r>
        <w:rPr>
          <w:spacing w:val="-1"/>
        </w:rPr>
        <w:t xml:space="preserve"> </w:t>
      </w:r>
      <w:r>
        <w:t>These</w:t>
      </w:r>
      <w:r>
        <w:rPr>
          <w:spacing w:val="-1"/>
        </w:rPr>
        <w:t xml:space="preserve"> </w:t>
      </w:r>
      <w:r>
        <w:t>activities</w:t>
      </w:r>
      <w:r>
        <w:rPr>
          <w:spacing w:val="-1"/>
        </w:rPr>
        <w:t xml:space="preserve"> </w:t>
      </w:r>
      <w:r>
        <w:t>comply</w:t>
      </w:r>
      <w:r>
        <w:rPr>
          <w:spacing w:val="-5"/>
        </w:rPr>
        <w:t xml:space="preserve"> </w:t>
      </w:r>
      <w:r>
        <w:t>with</w:t>
      </w:r>
      <w:r>
        <w:rPr>
          <w:spacing w:val="-1"/>
        </w:rPr>
        <w:t xml:space="preserve"> </w:t>
      </w:r>
      <w:r>
        <w:t>the</w:t>
      </w:r>
      <w:r>
        <w:rPr>
          <w:spacing w:val="-1"/>
        </w:rPr>
        <w:t xml:space="preserve"> </w:t>
      </w:r>
      <w:r>
        <w:t>requirements</w:t>
      </w:r>
      <w:r>
        <w:rPr>
          <w:spacing w:val="-1"/>
        </w:rPr>
        <w:t xml:space="preserve"> </w:t>
      </w:r>
      <w:r>
        <w:t>in</w:t>
      </w:r>
      <w:r>
        <w:rPr>
          <w:spacing w:val="-1"/>
        </w:rPr>
        <w:t xml:space="preserve"> </w:t>
      </w:r>
      <w:r>
        <w:rPr>
          <w:i/>
        </w:rPr>
        <w:t>5 CFR</w:t>
      </w:r>
      <w:r>
        <w:rPr>
          <w:i/>
          <w:spacing w:val="-2"/>
        </w:rPr>
        <w:t xml:space="preserve"> </w:t>
      </w:r>
      <w:r>
        <w:rPr>
          <w:i/>
        </w:rPr>
        <w:t xml:space="preserve">§ </w:t>
      </w:r>
      <w:r>
        <w:rPr>
          <w:i/>
          <w:spacing w:val="-2"/>
        </w:rPr>
        <w:t>1320.9</w:t>
      </w:r>
      <w:r>
        <w:rPr>
          <w:spacing w:val="-2"/>
        </w:rPr>
        <w:t>.</w:t>
      </w:r>
    </w:p>
    <w:sectPr>
      <w:footerReference w:type="default" r:id="rId11"/>
      <w:pgSz w:w="12240" w:h="15840"/>
      <w:pgMar w:top="1360" w:right="1340" w:bottom="1260" w:left="1320" w:header="0" w:footer="1075"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826359055"/>
      <w:docPartObj>
        <w:docPartGallery w:val="Page Numbers (Bottom of Page)"/>
        <w:docPartUnique/>
      </w:docPartObj>
    </w:sdtPr>
    <w:sdtEndPr>
      <w:rPr>
        <w:noProof/>
      </w:rPr>
    </w:sdtEndPr>
    <w:sdtContent>
      <w:p w:rsidR="000928BF" w:rsidRPr="00E75585" w:rsidP="00E75585" w14:paraId="368C57C5" w14:textId="6151C5E1">
        <w:pPr>
          <w:pStyle w:val="Footer"/>
          <w:jc w:val="right"/>
        </w:pPr>
        <w:r>
          <w:fldChar w:fldCharType="begin"/>
        </w:r>
        <w:r>
          <w:instrText xml:space="preserve"> PAGE   \* MERGEFORMAT </w:instrText>
        </w:r>
        <w:r>
          <w:fldChar w:fldCharType="separate"/>
        </w:r>
        <w:r>
          <w:rPr>
            <w:noProof/>
          </w:rPr>
          <w:t>2</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3B5C81" w14:paraId="15264BF0" w14:textId="77777777">
      <w:r>
        <w:separator/>
      </w:r>
    </w:p>
  </w:footnote>
  <w:footnote w:type="continuationSeparator" w:id="1">
    <w:p w:rsidR="003B5C81" w14:paraId="0BA5233E" w14:textId="77777777">
      <w:r>
        <w:continuationSeparator/>
      </w:r>
    </w:p>
  </w:footnote>
  <w:footnote w:id="2">
    <w:p w:rsidR="001D0F75" w:rsidP="001D0F75" w14:paraId="4A8A116D" w14:textId="6C3B68FC">
      <w:pPr>
        <w:pStyle w:val="FootnoteText"/>
      </w:pPr>
      <w:r>
        <w:rPr>
          <w:rStyle w:val="FootnoteReference"/>
        </w:rPr>
        <w:footnoteRef/>
      </w:r>
      <w:r>
        <w:t xml:space="preserve"> </w:t>
      </w:r>
      <w:r w:rsidRPr="001D0F75">
        <w:t>Chowdhury et al., U.S. Consumer Prod. Safety</w:t>
      </w:r>
      <w:r>
        <w:t xml:space="preserve"> </w:t>
      </w:r>
      <w:r w:rsidRPr="001D0F75">
        <w:t xml:space="preserve">Comm’n., </w:t>
      </w:r>
      <w:r w:rsidRPr="001D0F75">
        <w:rPr>
          <w:i/>
          <w:iCs/>
        </w:rPr>
        <w:t>Consumer Product-related Injuries and</w:t>
      </w:r>
      <w:r>
        <w:rPr>
          <w:i/>
          <w:iCs/>
        </w:rPr>
        <w:t xml:space="preserve"> </w:t>
      </w:r>
      <w:r w:rsidRPr="001D0F75">
        <w:rPr>
          <w:i/>
          <w:iCs/>
        </w:rPr>
        <w:t>Deaths Among Adults 65 Years of Age and Older,</w:t>
      </w:r>
      <w:r>
        <w:rPr>
          <w:i/>
          <w:iCs/>
        </w:rPr>
        <w:t xml:space="preserve"> </w:t>
      </w:r>
      <w:r w:rsidRPr="001D0F75">
        <w:t xml:space="preserve">67–68 (2021), </w:t>
      </w:r>
      <w:r w:rsidRPr="001D0F75">
        <w:rPr>
          <w:i/>
          <w:iCs/>
        </w:rPr>
        <w:t>available at https://tinyurl.com/2t88v33m.</w:t>
      </w:r>
    </w:p>
  </w:footnote>
  <w:footnote w:id="3">
    <w:p w:rsidR="0004052B" w:rsidP="0004052B" w14:paraId="6D7F7EC7" w14:textId="5F96D7F3">
      <w:pPr>
        <w:pStyle w:val="FootnoteText"/>
      </w:pPr>
      <w:r>
        <w:rPr>
          <w:rStyle w:val="FootnoteReference"/>
        </w:rPr>
        <w:footnoteRef/>
      </w:r>
      <w:r>
        <w:t xml:space="preserve"> </w:t>
      </w:r>
      <w:r w:rsidRPr="0004052B">
        <w:t>A force plate is a mechanical sensing system</w:t>
      </w:r>
      <w:r>
        <w:t xml:space="preserve"> </w:t>
      </w:r>
      <w:r w:rsidRPr="0004052B">
        <w:t>‘‘designed to measure the ground reaction forces</w:t>
      </w:r>
      <w:r>
        <w:t xml:space="preserve"> </w:t>
      </w:r>
      <w:r w:rsidRPr="0004052B">
        <w:t>and moments involved in human movements.’’</w:t>
      </w:r>
      <w:r>
        <w:t xml:space="preserve"> </w:t>
      </w:r>
      <w:r w:rsidRPr="0004052B">
        <w:t xml:space="preserve">More information </w:t>
      </w:r>
      <w:r w:rsidRPr="0004052B">
        <w:rPr>
          <w:i/>
          <w:iCs/>
        </w:rPr>
        <w:t>available at: https://www.sciencedirect.com/topics/engineering/force-plate.</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0CB0DD2"/>
    <w:multiLevelType w:val="hybridMultilevel"/>
    <w:tmpl w:val="20D8827E"/>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cs="Courier New" w:hint="default"/>
      </w:rPr>
    </w:lvl>
    <w:lvl w:ilvl="2">
      <w:start w:val="0"/>
      <w:numFmt w:val="bullet"/>
      <w:lvlText w:val="•"/>
      <w:lvlJc w:val="left"/>
      <w:pPr>
        <w:ind w:left="2520" w:hanging="360"/>
      </w:pPr>
      <w:rPr>
        <w:rFonts w:ascii="Arial Narrow" w:eastAsia="Times New Roman" w:hAnsi="Arial Narrow" w:cs="Times New Roman"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
    <w:nsid w:val="19516435"/>
    <w:multiLevelType w:val="hybridMultilevel"/>
    <w:tmpl w:val="7670166E"/>
    <w:lvl w:ilvl="0">
      <w:start w:val="1"/>
      <w:numFmt w:val="bullet"/>
      <w:lvlText w:val=""/>
      <w:lvlJc w:val="left"/>
      <w:pPr>
        <w:ind w:left="835" w:hanging="360"/>
      </w:pPr>
      <w:rPr>
        <w:rFonts w:ascii="Symbol" w:hAnsi="Symbol" w:hint="default"/>
      </w:rPr>
    </w:lvl>
    <w:lvl w:ilvl="1" w:tentative="1">
      <w:start w:val="1"/>
      <w:numFmt w:val="bullet"/>
      <w:lvlText w:val="o"/>
      <w:lvlJc w:val="left"/>
      <w:pPr>
        <w:ind w:left="1555" w:hanging="360"/>
      </w:pPr>
      <w:rPr>
        <w:rFonts w:ascii="Courier New" w:hAnsi="Courier New" w:cs="Courier New" w:hint="default"/>
      </w:rPr>
    </w:lvl>
    <w:lvl w:ilvl="2" w:tentative="1">
      <w:start w:val="1"/>
      <w:numFmt w:val="bullet"/>
      <w:lvlText w:val=""/>
      <w:lvlJc w:val="left"/>
      <w:pPr>
        <w:ind w:left="2275" w:hanging="360"/>
      </w:pPr>
      <w:rPr>
        <w:rFonts w:ascii="Wingdings" w:hAnsi="Wingdings" w:hint="default"/>
      </w:rPr>
    </w:lvl>
    <w:lvl w:ilvl="3" w:tentative="1">
      <w:start w:val="1"/>
      <w:numFmt w:val="bullet"/>
      <w:lvlText w:val=""/>
      <w:lvlJc w:val="left"/>
      <w:pPr>
        <w:ind w:left="2995" w:hanging="360"/>
      </w:pPr>
      <w:rPr>
        <w:rFonts w:ascii="Symbol" w:hAnsi="Symbol" w:hint="default"/>
      </w:rPr>
    </w:lvl>
    <w:lvl w:ilvl="4" w:tentative="1">
      <w:start w:val="1"/>
      <w:numFmt w:val="bullet"/>
      <w:lvlText w:val="o"/>
      <w:lvlJc w:val="left"/>
      <w:pPr>
        <w:ind w:left="3715" w:hanging="360"/>
      </w:pPr>
      <w:rPr>
        <w:rFonts w:ascii="Courier New" w:hAnsi="Courier New" w:cs="Courier New" w:hint="default"/>
      </w:rPr>
    </w:lvl>
    <w:lvl w:ilvl="5" w:tentative="1">
      <w:start w:val="1"/>
      <w:numFmt w:val="bullet"/>
      <w:lvlText w:val=""/>
      <w:lvlJc w:val="left"/>
      <w:pPr>
        <w:ind w:left="4435" w:hanging="360"/>
      </w:pPr>
      <w:rPr>
        <w:rFonts w:ascii="Wingdings" w:hAnsi="Wingdings" w:hint="default"/>
      </w:rPr>
    </w:lvl>
    <w:lvl w:ilvl="6" w:tentative="1">
      <w:start w:val="1"/>
      <w:numFmt w:val="bullet"/>
      <w:lvlText w:val=""/>
      <w:lvlJc w:val="left"/>
      <w:pPr>
        <w:ind w:left="5155" w:hanging="360"/>
      </w:pPr>
      <w:rPr>
        <w:rFonts w:ascii="Symbol" w:hAnsi="Symbol" w:hint="default"/>
      </w:rPr>
    </w:lvl>
    <w:lvl w:ilvl="7" w:tentative="1">
      <w:start w:val="1"/>
      <w:numFmt w:val="bullet"/>
      <w:lvlText w:val="o"/>
      <w:lvlJc w:val="left"/>
      <w:pPr>
        <w:ind w:left="5875" w:hanging="360"/>
      </w:pPr>
      <w:rPr>
        <w:rFonts w:ascii="Courier New" w:hAnsi="Courier New" w:cs="Courier New" w:hint="default"/>
      </w:rPr>
    </w:lvl>
    <w:lvl w:ilvl="8" w:tentative="1">
      <w:start w:val="1"/>
      <w:numFmt w:val="bullet"/>
      <w:lvlText w:val=""/>
      <w:lvlJc w:val="left"/>
      <w:pPr>
        <w:ind w:left="6595" w:hanging="360"/>
      </w:pPr>
      <w:rPr>
        <w:rFonts w:ascii="Wingdings" w:hAnsi="Wingdings" w:hint="default"/>
      </w:rPr>
    </w:lvl>
  </w:abstractNum>
  <w:abstractNum w:abstractNumId="2">
    <w:nsid w:val="27C84F9E"/>
    <w:multiLevelType w:val="multilevel"/>
    <w:tmpl w:val="58FAFA4A"/>
    <w:lvl w:ilvl="0">
      <w:start w:val="1"/>
      <w:numFmt w:val="upperLetter"/>
      <w:lvlText w:val="%1."/>
      <w:lvlJc w:val="left"/>
      <w:pPr>
        <w:ind w:left="480" w:hanging="360"/>
      </w:pPr>
      <w:rPr>
        <w:rFonts w:ascii="Times New Roman" w:eastAsia="Times New Roman" w:hAnsi="Times New Roman" w:cs="Times New Roman" w:hint="default"/>
        <w:b w:val="0"/>
        <w:bCs w:val="0"/>
        <w:i w:val="0"/>
        <w:iCs w:val="0"/>
        <w:spacing w:val="-1"/>
        <w:w w:val="100"/>
        <w:sz w:val="24"/>
        <w:szCs w:val="24"/>
        <w:lang w:val="en-US" w:eastAsia="en-US" w:bidi="ar-SA"/>
      </w:rPr>
    </w:lvl>
    <w:lvl w:ilvl="1">
      <w:start w:val="1"/>
      <w:numFmt w:val="decimal"/>
      <w:pStyle w:val="Heading1"/>
      <w:lvlText w:val="%1.%2"/>
      <w:lvlJc w:val="left"/>
      <w:pPr>
        <w:ind w:left="696" w:hanging="576"/>
      </w:pPr>
      <w:rPr>
        <w:rFonts w:hint="default"/>
        <w:spacing w:val="-1"/>
        <w:w w:val="100"/>
        <w:lang w:val="en-US" w:eastAsia="en-US" w:bidi="ar-SA"/>
      </w:rPr>
    </w:lvl>
    <w:lvl w:ilvl="2">
      <w:start w:val="1"/>
      <w:numFmt w:val="decimal"/>
      <w:pStyle w:val="Heading2"/>
      <w:lvlText w:val="%1.%2.%3"/>
      <w:lvlJc w:val="left"/>
      <w:pPr>
        <w:ind w:left="840" w:hanging="720"/>
      </w:pPr>
      <w:rPr>
        <w:rFonts w:ascii="Times New Roman" w:eastAsia="Times New Roman" w:hAnsi="Times New Roman" w:cs="Times New Roman" w:hint="default"/>
        <w:b w:val="0"/>
        <w:bCs w:val="0"/>
        <w:i w:val="0"/>
        <w:iCs w:val="0"/>
        <w:spacing w:val="-1"/>
        <w:w w:val="100"/>
        <w:sz w:val="24"/>
        <w:szCs w:val="24"/>
        <w:lang w:val="en-US" w:eastAsia="en-US" w:bidi="ar-SA"/>
      </w:rPr>
    </w:lvl>
    <w:lvl w:ilvl="3">
      <w:start w:val="0"/>
      <w:numFmt w:val="bullet"/>
      <w:lvlText w:val="•"/>
      <w:lvlJc w:val="left"/>
      <w:pPr>
        <w:ind w:left="1932" w:hanging="720"/>
      </w:pPr>
      <w:rPr>
        <w:rFonts w:hint="default"/>
        <w:lang w:val="en-US" w:eastAsia="en-US" w:bidi="ar-SA"/>
      </w:rPr>
    </w:lvl>
    <w:lvl w:ilvl="4">
      <w:start w:val="0"/>
      <w:numFmt w:val="bullet"/>
      <w:lvlText w:val="•"/>
      <w:lvlJc w:val="left"/>
      <w:pPr>
        <w:ind w:left="3025" w:hanging="720"/>
      </w:pPr>
      <w:rPr>
        <w:rFonts w:hint="default"/>
        <w:lang w:val="en-US" w:eastAsia="en-US" w:bidi="ar-SA"/>
      </w:rPr>
    </w:lvl>
    <w:lvl w:ilvl="5">
      <w:start w:val="0"/>
      <w:numFmt w:val="bullet"/>
      <w:lvlText w:val="•"/>
      <w:lvlJc w:val="left"/>
      <w:pPr>
        <w:ind w:left="4117" w:hanging="720"/>
      </w:pPr>
      <w:rPr>
        <w:rFonts w:hint="default"/>
        <w:lang w:val="en-US" w:eastAsia="en-US" w:bidi="ar-SA"/>
      </w:rPr>
    </w:lvl>
    <w:lvl w:ilvl="6">
      <w:start w:val="0"/>
      <w:numFmt w:val="bullet"/>
      <w:lvlText w:val="•"/>
      <w:lvlJc w:val="left"/>
      <w:pPr>
        <w:ind w:left="5210" w:hanging="720"/>
      </w:pPr>
      <w:rPr>
        <w:rFonts w:hint="default"/>
        <w:lang w:val="en-US" w:eastAsia="en-US" w:bidi="ar-SA"/>
      </w:rPr>
    </w:lvl>
    <w:lvl w:ilvl="7">
      <w:start w:val="0"/>
      <w:numFmt w:val="bullet"/>
      <w:lvlText w:val="•"/>
      <w:lvlJc w:val="left"/>
      <w:pPr>
        <w:ind w:left="6302" w:hanging="720"/>
      </w:pPr>
      <w:rPr>
        <w:rFonts w:hint="default"/>
        <w:lang w:val="en-US" w:eastAsia="en-US" w:bidi="ar-SA"/>
      </w:rPr>
    </w:lvl>
    <w:lvl w:ilvl="8">
      <w:start w:val="0"/>
      <w:numFmt w:val="bullet"/>
      <w:lvlText w:val="•"/>
      <w:lvlJc w:val="left"/>
      <w:pPr>
        <w:ind w:left="7395" w:hanging="720"/>
      </w:pPr>
      <w:rPr>
        <w:rFonts w:hint="default"/>
        <w:lang w:val="en-US" w:eastAsia="en-US" w:bidi="ar-SA"/>
      </w:rPr>
    </w:lvl>
  </w:abstractNum>
  <w:abstractNum w:abstractNumId="3">
    <w:nsid w:val="47682879"/>
    <w:multiLevelType w:val="multilevel"/>
    <w:tmpl w:val="0A523B34"/>
    <w:lvl w:ilvl="0">
      <w:start w:val="1"/>
      <w:numFmt w:val="decimal"/>
      <w:pStyle w:val="ChecklistLevel1"/>
      <w:lvlText w:val="%1"/>
      <w:lvlJc w:val="left"/>
      <w:pPr>
        <w:tabs>
          <w:tab w:val="num" w:pos="990"/>
        </w:tabs>
        <w:ind w:left="990" w:hanging="720"/>
      </w:pPr>
      <w:rPr>
        <w:b/>
      </w:rPr>
    </w:lvl>
    <w:lvl w:ilvl="1">
      <w:start w:val="1"/>
      <w:numFmt w:val="decimal"/>
      <w:pStyle w:val="ChecklistLevel2"/>
      <w:lvlText w:val="☐  %1.%2"/>
      <w:lvlJc w:val="left"/>
      <w:pPr>
        <w:tabs>
          <w:tab w:val="num" w:pos="-1440"/>
        </w:tabs>
        <w:ind w:left="-1440" w:hanging="720"/>
      </w:pPr>
      <w:rPr>
        <w:rFonts w:ascii="Arial Unicode MS" w:eastAsia="Arial Unicode MS" w:hAnsi="Arial Unicode MS" w:hint="eastAsia"/>
      </w:rPr>
    </w:lvl>
    <w:lvl w:ilvl="2">
      <w:start w:val="1"/>
      <w:numFmt w:val="decimal"/>
      <w:pStyle w:val="ChecklistLevel3"/>
      <w:lvlText w:val="☐    %1.%2.%3"/>
      <w:lvlJc w:val="left"/>
      <w:pPr>
        <w:tabs>
          <w:tab w:val="num" w:pos="-252"/>
        </w:tabs>
        <w:ind w:left="-252" w:hanging="1008"/>
      </w:pPr>
      <w:rPr>
        <w:rFonts w:ascii="Arial Unicode MS" w:eastAsia="Arial Unicode MS" w:hAnsi="Arial Unicode MS" w:hint="eastAsia"/>
      </w:rPr>
    </w:lvl>
    <w:lvl w:ilvl="3">
      <w:start w:val="1"/>
      <w:numFmt w:val="decimal"/>
      <w:pStyle w:val="ChecklistLevel4"/>
      <w:lvlText w:val="☐    %1.%2.%3.%4"/>
      <w:lvlJc w:val="left"/>
      <w:pPr>
        <w:tabs>
          <w:tab w:val="num" w:pos="1224"/>
        </w:tabs>
        <w:ind w:left="1224" w:hanging="1296"/>
      </w:pPr>
      <w:rPr>
        <w:rFonts w:ascii="Arial Unicode MS" w:eastAsia="Arial Unicode MS" w:hAnsi="Arial Unicode MS" w:hint="eastAsia"/>
        <w:strike w:val="0"/>
        <w:dstrike w:val="0"/>
        <w:color w:val="000000"/>
        <w:vertAlign w:val="baseline"/>
      </w:rPr>
    </w:lvl>
    <w:lvl w:ilvl="4">
      <w:start w:val="1"/>
      <w:numFmt w:val="decimal"/>
      <w:lvlText w:val="%1.%2.%3.%4.%5"/>
      <w:lvlJc w:val="left"/>
      <w:pPr>
        <w:tabs>
          <w:tab w:val="num" w:pos="2808"/>
        </w:tabs>
        <w:ind w:left="2808" w:hanging="1584"/>
      </w:pPr>
      <w:rPr>
        <w:rFonts w:hint="default"/>
      </w:rPr>
    </w:lvl>
    <w:lvl w:ilvl="5">
      <w:start w:val="1"/>
      <w:numFmt w:val="decimal"/>
      <w:lvlText w:val="%1.%2.%3.%4.%5.%6"/>
      <w:lvlJc w:val="left"/>
      <w:pPr>
        <w:tabs>
          <w:tab w:val="num" w:pos="4680"/>
        </w:tabs>
        <w:ind w:left="4680" w:hanging="1872"/>
      </w:pPr>
      <w:rPr>
        <w:rFonts w:hint="default"/>
      </w:rPr>
    </w:lvl>
    <w:lvl w:ilvl="6">
      <w:start w:val="1"/>
      <w:numFmt w:val="decimal"/>
      <w:lvlText w:val="%1.%2.%3.%4.%5.%6.%7"/>
      <w:lvlJc w:val="left"/>
      <w:pPr>
        <w:tabs>
          <w:tab w:val="num" w:pos="-1224"/>
        </w:tabs>
        <w:ind w:left="-1224" w:hanging="1296"/>
      </w:pPr>
      <w:rPr>
        <w:rFonts w:hint="default"/>
      </w:rPr>
    </w:lvl>
    <w:lvl w:ilvl="7">
      <w:start w:val="1"/>
      <w:numFmt w:val="decimal"/>
      <w:lvlText w:val="%1.%2.%3.%4.%5.%6.%7.%8"/>
      <w:lvlJc w:val="left"/>
      <w:pPr>
        <w:tabs>
          <w:tab w:val="num" w:pos="-1080"/>
        </w:tabs>
        <w:ind w:left="-1080" w:hanging="1440"/>
      </w:pPr>
      <w:rPr>
        <w:rFonts w:hint="default"/>
      </w:rPr>
    </w:lvl>
    <w:lvl w:ilvl="8">
      <w:start w:val="1"/>
      <w:numFmt w:val="decimal"/>
      <w:lvlText w:val="%1.%2.%3.%4.%5.%6.%7.%8.%9"/>
      <w:lvlJc w:val="left"/>
      <w:pPr>
        <w:tabs>
          <w:tab w:val="num" w:pos="-936"/>
        </w:tabs>
        <w:ind w:left="-936" w:hanging="1584"/>
      </w:pPr>
      <w:rPr>
        <w:rFonts w:hint="default"/>
      </w:rPr>
    </w:lvl>
  </w:abstractNum>
  <w:abstractNum w:abstractNumId="4">
    <w:nsid w:val="47BD6C7B"/>
    <w:multiLevelType w:val="multilevel"/>
    <w:tmpl w:val="04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5">
    <w:nsid w:val="5DBB1242"/>
    <w:multiLevelType w:val="hybridMultilevel"/>
    <w:tmpl w:val="D8526D7E"/>
    <w:lvl w:ilvl="0">
      <w:start w:val="1"/>
      <w:numFmt w:val="decimal"/>
      <w:lvlText w:val="%1."/>
      <w:lvlJc w:val="left"/>
      <w:pPr>
        <w:ind w:left="720" w:hanging="360"/>
      </w:pPr>
      <w:rPr>
        <w:sz w:val="20"/>
        <w:szCs w:val="2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nsid w:val="67213AAF"/>
    <w:multiLevelType w:val="hybridMultilevel"/>
    <w:tmpl w:val="F3826EEE"/>
    <w:lvl w:ilvl="0">
      <w:start w:val="0"/>
      <w:numFmt w:val="bullet"/>
      <w:lvlText w:val=""/>
      <w:lvlJc w:val="left"/>
      <w:pPr>
        <w:ind w:left="840" w:hanging="360"/>
      </w:pPr>
      <w:rPr>
        <w:rFonts w:ascii="Symbol" w:eastAsia="Symbol" w:hAnsi="Symbol" w:cs="Symbol" w:hint="default"/>
        <w:b w:val="0"/>
        <w:bCs w:val="0"/>
        <w:i w:val="0"/>
        <w:iCs w:val="0"/>
        <w:spacing w:val="0"/>
        <w:w w:val="100"/>
        <w:sz w:val="24"/>
        <w:szCs w:val="24"/>
        <w:lang w:val="en-US" w:eastAsia="en-US" w:bidi="ar-SA"/>
      </w:rPr>
    </w:lvl>
    <w:lvl w:ilvl="1">
      <w:start w:val="0"/>
      <w:numFmt w:val="bullet"/>
      <w:lvlText w:val="•"/>
      <w:lvlJc w:val="left"/>
      <w:pPr>
        <w:ind w:left="1714" w:hanging="360"/>
      </w:pPr>
      <w:rPr>
        <w:rFonts w:hint="default"/>
        <w:lang w:val="en-US" w:eastAsia="en-US" w:bidi="ar-SA"/>
      </w:rPr>
    </w:lvl>
    <w:lvl w:ilvl="2">
      <w:start w:val="0"/>
      <w:numFmt w:val="bullet"/>
      <w:lvlText w:val="•"/>
      <w:lvlJc w:val="left"/>
      <w:pPr>
        <w:ind w:left="2588" w:hanging="360"/>
      </w:pPr>
      <w:rPr>
        <w:rFonts w:hint="default"/>
        <w:lang w:val="en-US" w:eastAsia="en-US" w:bidi="ar-SA"/>
      </w:rPr>
    </w:lvl>
    <w:lvl w:ilvl="3">
      <w:start w:val="0"/>
      <w:numFmt w:val="bullet"/>
      <w:lvlText w:val="•"/>
      <w:lvlJc w:val="left"/>
      <w:pPr>
        <w:ind w:left="3462" w:hanging="360"/>
      </w:pPr>
      <w:rPr>
        <w:rFonts w:hint="default"/>
        <w:lang w:val="en-US" w:eastAsia="en-US" w:bidi="ar-SA"/>
      </w:rPr>
    </w:lvl>
    <w:lvl w:ilvl="4">
      <w:start w:val="0"/>
      <w:numFmt w:val="bullet"/>
      <w:lvlText w:val="•"/>
      <w:lvlJc w:val="left"/>
      <w:pPr>
        <w:ind w:left="4336" w:hanging="360"/>
      </w:pPr>
      <w:rPr>
        <w:rFonts w:hint="default"/>
        <w:lang w:val="en-US" w:eastAsia="en-US" w:bidi="ar-SA"/>
      </w:rPr>
    </w:lvl>
    <w:lvl w:ilvl="5">
      <w:start w:val="0"/>
      <w:numFmt w:val="bullet"/>
      <w:lvlText w:val="•"/>
      <w:lvlJc w:val="left"/>
      <w:pPr>
        <w:ind w:left="5210" w:hanging="360"/>
      </w:pPr>
      <w:rPr>
        <w:rFonts w:hint="default"/>
        <w:lang w:val="en-US" w:eastAsia="en-US" w:bidi="ar-SA"/>
      </w:rPr>
    </w:lvl>
    <w:lvl w:ilvl="6">
      <w:start w:val="0"/>
      <w:numFmt w:val="bullet"/>
      <w:lvlText w:val="•"/>
      <w:lvlJc w:val="left"/>
      <w:pPr>
        <w:ind w:left="6084" w:hanging="360"/>
      </w:pPr>
      <w:rPr>
        <w:rFonts w:hint="default"/>
        <w:lang w:val="en-US" w:eastAsia="en-US" w:bidi="ar-SA"/>
      </w:rPr>
    </w:lvl>
    <w:lvl w:ilvl="7">
      <w:start w:val="0"/>
      <w:numFmt w:val="bullet"/>
      <w:lvlText w:val="•"/>
      <w:lvlJc w:val="left"/>
      <w:pPr>
        <w:ind w:left="6958" w:hanging="360"/>
      </w:pPr>
      <w:rPr>
        <w:rFonts w:hint="default"/>
        <w:lang w:val="en-US" w:eastAsia="en-US" w:bidi="ar-SA"/>
      </w:rPr>
    </w:lvl>
    <w:lvl w:ilvl="8">
      <w:start w:val="0"/>
      <w:numFmt w:val="bullet"/>
      <w:lvlText w:val="•"/>
      <w:lvlJc w:val="left"/>
      <w:pPr>
        <w:ind w:left="7832" w:hanging="360"/>
      </w:pPr>
      <w:rPr>
        <w:rFonts w:hint="default"/>
        <w:lang w:val="en-US" w:eastAsia="en-US" w:bidi="ar-SA"/>
      </w:rPr>
    </w:lvl>
  </w:abstractNum>
  <w:abstractNum w:abstractNumId="7">
    <w:nsid w:val="676613AA"/>
    <w:multiLevelType w:val="hybridMultilevel"/>
    <w:tmpl w:val="25848CB4"/>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8">
    <w:nsid w:val="6FCA6B47"/>
    <w:multiLevelType w:val="hybridMultilevel"/>
    <w:tmpl w:val="E746FF4C"/>
    <w:lvl w:ilvl="0">
      <w:start w:val="1"/>
      <w:numFmt w:val="bullet"/>
      <w:lvlText w:val=""/>
      <w:lvlJc w:val="left"/>
      <w:pPr>
        <w:ind w:left="720" w:hanging="360"/>
      </w:pPr>
      <w:rPr>
        <w:rFonts w:ascii="Wingdings" w:hAnsi="Wingding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9">
    <w:nsid w:val="75F62332"/>
    <w:multiLevelType w:val="multilevel"/>
    <w:tmpl w:val="1EF63DCA"/>
    <w:lvl w:ilvl="0">
      <w:start w:val="1"/>
      <w:numFmt w:val="bullet"/>
      <w:lvlText w:val="●"/>
      <w:lvlJc w:val="left"/>
      <w:pPr>
        <w:ind w:left="1080" w:firstLine="1800"/>
      </w:pPr>
      <w:rPr>
        <w:rFonts w:ascii="Arial" w:eastAsia="Arial" w:hAnsi="Arial" w:cs="Arial"/>
        <w:sz w:val="20"/>
        <w:szCs w:val="20"/>
      </w:rPr>
    </w:lvl>
    <w:lvl w:ilvl="1">
      <w:start w:val="1"/>
      <w:numFmt w:val="bullet"/>
      <w:lvlText w:val="o"/>
      <w:lvlJc w:val="left"/>
      <w:pPr>
        <w:ind w:left="1800" w:firstLine="3240"/>
      </w:pPr>
      <w:rPr>
        <w:rFonts w:ascii="Arial" w:eastAsia="Arial" w:hAnsi="Arial" w:cs="Arial"/>
      </w:rPr>
    </w:lvl>
    <w:lvl w:ilvl="2">
      <w:start w:val="1"/>
      <w:numFmt w:val="bullet"/>
      <w:lvlText w:val="•"/>
      <w:lvlJc w:val="left"/>
      <w:pPr>
        <w:ind w:left="2520" w:firstLine="4680"/>
      </w:pPr>
      <w:rPr>
        <w:rFonts w:ascii="Arial" w:eastAsia="Arial" w:hAnsi="Arial" w:cs="Arial"/>
      </w:rPr>
    </w:lvl>
    <w:lvl w:ilvl="3">
      <w:start w:val="1"/>
      <w:numFmt w:val="bullet"/>
      <w:lvlText w:val="●"/>
      <w:lvlJc w:val="left"/>
      <w:pPr>
        <w:ind w:left="3240" w:firstLine="6120"/>
      </w:pPr>
      <w:rPr>
        <w:rFonts w:ascii="Arial" w:eastAsia="Arial" w:hAnsi="Arial" w:cs="Arial"/>
      </w:rPr>
    </w:lvl>
    <w:lvl w:ilvl="4">
      <w:start w:val="1"/>
      <w:numFmt w:val="bullet"/>
      <w:lvlText w:val="o"/>
      <w:lvlJc w:val="left"/>
      <w:pPr>
        <w:ind w:left="3960" w:firstLine="7560"/>
      </w:pPr>
      <w:rPr>
        <w:rFonts w:ascii="Arial" w:eastAsia="Arial" w:hAnsi="Arial" w:cs="Arial"/>
      </w:rPr>
    </w:lvl>
    <w:lvl w:ilvl="5">
      <w:start w:val="1"/>
      <w:numFmt w:val="bullet"/>
      <w:lvlText w:val="▪"/>
      <w:lvlJc w:val="left"/>
      <w:pPr>
        <w:ind w:left="4680" w:firstLine="9000"/>
      </w:pPr>
      <w:rPr>
        <w:rFonts w:ascii="Arial" w:eastAsia="Arial" w:hAnsi="Arial" w:cs="Arial"/>
      </w:rPr>
    </w:lvl>
    <w:lvl w:ilvl="6">
      <w:start w:val="1"/>
      <w:numFmt w:val="bullet"/>
      <w:lvlText w:val="●"/>
      <w:lvlJc w:val="left"/>
      <w:pPr>
        <w:ind w:left="5400" w:firstLine="10440"/>
      </w:pPr>
      <w:rPr>
        <w:rFonts w:ascii="Arial" w:eastAsia="Arial" w:hAnsi="Arial" w:cs="Arial"/>
      </w:rPr>
    </w:lvl>
    <w:lvl w:ilvl="7">
      <w:start w:val="1"/>
      <w:numFmt w:val="bullet"/>
      <w:lvlText w:val="o"/>
      <w:lvlJc w:val="left"/>
      <w:pPr>
        <w:ind w:left="6120" w:firstLine="11880"/>
      </w:pPr>
      <w:rPr>
        <w:rFonts w:ascii="Arial" w:eastAsia="Arial" w:hAnsi="Arial" w:cs="Arial"/>
      </w:rPr>
    </w:lvl>
    <w:lvl w:ilvl="8">
      <w:start w:val="1"/>
      <w:numFmt w:val="bullet"/>
      <w:lvlText w:val="▪"/>
      <w:lvlJc w:val="left"/>
      <w:pPr>
        <w:ind w:left="6840" w:firstLine="13320"/>
      </w:pPr>
      <w:rPr>
        <w:rFonts w:ascii="Arial" w:eastAsia="Arial" w:hAnsi="Arial" w:cs="Arial"/>
      </w:rPr>
    </w:lvl>
  </w:abstractNum>
  <w:num w:numId="1" w16cid:durableId="1227104561">
    <w:abstractNumId w:val="6"/>
  </w:num>
  <w:num w:numId="2" w16cid:durableId="1781676996">
    <w:abstractNumId w:val="2"/>
  </w:num>
  <w:num w:numId="3" w16cid:durableId="805121241">
    <w:abstractNumId w:val="2"/>
  </w:num>
  <w:num w:numId="4" w16cid:durableId="918253644">
    <w:abstractNumId w:val="3"/>
  </w:num>
  <w:num w:numId="5" w16cid:durableId="1316911209">
    <w:abstractNumId w:val="8"/>
  </w:num>
  <w:num w:numId="6" w16cid:durableId="1549341281">
    <w:abstractNumId w:val="0"/>
  </w:num>
  <w:num w:numId="7" w16cid:durableId="2099710526">
    <w:abstractNumId w:val="5"/>
  </w:num>
  <w:num w:numId="8" w16cid:durableId="1951887741">
    <w:abstractNumId w:val="4"/>
  </w:num>
  <w:num w:numId="9" w16cid:durableId="688263604">
    <w:abstractNumId w:val="9"/>
  </w:num>
  <w:num w:numId="10" w16cid:durableId="1800881932">
    <w:abstractNumId w:val="7"/>
  </w:num>
  <w:num w:numId="11" w16cid:durableId="6233674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10"/>
  <w:displayHorizontalDrawingGridEvery w:val="2"/>
  <w:characterSpacingControl w:val="doNotCompress"/>
  <w:footnotePr>
    <w:footnote w:id="0"/>
    <w:footnote w:id="1"/>
  </w:foot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28BF"/>
    <w:rsid w:val="00012F9F"/>
    <w:rsid w:val="0004052B"/>
    <w:rsid w:val="00052149"/>
    <w:rsid w:val="000574BD"/>
    <w:rsid w:val="0007364B"/>
    <w:rsid w:val="00077A71"/>
    <w:rsid w:val="00090B4A"/>
    <w:rsid w:val="000928BF"/>
    <w:rsid w:val="000A2AB7"/>
    <w:rsid w:val="000B448A"/>
    <w:rsid w:val="000B5930"/>
    <w:rsid w:val="000D7A2A"/>
    <w:rsid w:val="000E041B"/>
    <w:rsid w:val="000E3B56"/>
    <w:rsid w:val="000E5E1C"/>
    <w:rsid w:val="00117159"/>
    <w:rsid w:val="00122AA3"/>
    <w:rsid w:val="00127035"/>
    <w:rsid w:val="001277F0"/>
    <w:rsid w:val="001607DD"/>
    <w:rsid w:val="00162C07"/>
    <w:rsid w:val="00187F01"/>
    <w:rsid w:val="001B0147"/>
    <w:rsid w:val="001D0F75"/>
    <w:rsid w:val="001E1316"/>
    <w:rsid w:val="001E14CC"/>
    <w:rsid w:val="00217D9D"/>
    <w:rsid w:val="00222FA6"/>
    <w:rsid w:val="00233615"/>
    <w:rsid w:val="00256147"/>
    <w:rsid w:val="002616BF"/>
    <w:rsid w:val="00280CF8"/>
    <w:rsid w:val="002839D5"/>
    <w:rsid w:val="002A2D92"/>
    <w:rsid w:val="002B2C4E"/>
    <w:rsid w:val="002B3354"/>
    <w:rsid w:val="00334278"/>
    <w:rsid w:val="0033429E"/>
    <w:rsid w:val="0033740F"/>
    <w:rsid w:val="003463D7"/>
    <w:rsid w:val="00367C75"/>
    <w:rsid w:val="00390FCD"/>
    <w:rsid w:val="003A4A01"/>
    <w:rsid w:val="003A7F39"/>
    <w:rsid w:val="003B5C81"/>
    <w:rsid w:val="003E337E"/>
    <w:rsid w:val="00401065"/>
    <w:rsid w:val="00402718"/>
    <w:rsid w:val="00411B49"/>
    <w:rsid w:val="00423268"/>
    <w:rsid w:val="0042784E"/>
    <w:rsid w:val="004349DC"/>
    <w:rsid w:val="0044490B"/>
    <w:rsid w:val="004459AE"/>
    <w:rsid w:val="004705A6"/>
    <w:rsid w:val="0047244A"/>
    <w:rsid w:val="004729D7"/>
    <w:rsid w:val="004B35E9"/>
    <w:rsid w:val="004B706E"/>
    <w:rsid w:val="004D60AA"/>
    <w:rsid w:val="004E08BF"/>
    <w:rsid w:val="004E1639"/>
    <w:rsid w:val="00522FE0"/>
    <w:rsid w:val="00537B0C"/>
    <w:rsid w:val="00540420"/>
    <w:rsid w:val="005703EA"/>
    <w:rsid w:val="00572AAD"/>
    <w:rsid w:val="00580DFD"/>
    <w:rsid w:val="005A19B5"/>
    <w:rsid w:val="005A38C0"/>
    <w:rsid w:val="005D3834"/>
    <w:rsid w:val="005D66C4"/>
    <w:rsid w:val="005F5E5F"/>
    <w:rsid w:val="00651FD3"/>
    <w:rsid w:val="0066204E"/>
    <w:rsid w:val="00677972"/>
    <w:rsid w:val="006B2A0F"/>
    <w:rsid w:val="006C0140"/>
    <w:rsid w:val="006C3447"/>
    <w:rsid w:val="00752D07"/>
    <w:rsid w:val="00774CED"/>
    <w:rsid w:val="007A2FE2"/>
    <w:rsid w:val="007B1B89"/>
    <w:rsid w:val="007B6DCB"/>
    <w:rsid w:val="007C641C"/>
    <w:rsid w:val="007D41DA"/>
    <w:rsid w:val="00806C83"/>
    <w:rsid w:val="00812A12"/>
    <w:rsid w:val="008240A5"/>
    <w:rsid w:val="00833B94"/>
    <w:rsid w:val="00841F56"/>
    <w:rsid w:val="00842E8B"/>
    <w:rsid w:val="00844ACE"/>
    <w:rsid w:val="008571D9"/>
    <w:rsid w:val="00860853"/>
    <w:rsid w:val="00892CD9"/>
    <w:rsid w:val="008B1BA8"/>
    <w:rsid w:val="008B7CC0"/>
    <w:rsid w:val="00912ED3"/>
    <w:rsid w:val="00952616"/>
    <w:rsid w:val="00953C9C"/>
    <w:rsid w:val="009910CB"/>
    <w:rsid w:val="009958F0"/>
    <w:rsid w:val="0099786F"/>
    <w:rsid w:val="009B7E66"/>
    <w:rsid w:val="009C0BD0"/>
    <w:rsid w:val="009F595F"/>
    <w:rsid w:val="00A130E3"/>
    <w:rsid w:val="00A2131F"/>
    <w:rsid w:val="00A422F3"/>
    <w:rsid w:val="00A57974"/>
    <w:rsid w:val="00A64348"/>
    <w:rsid w:val="00A751E2"/>
    <w:rsid w:val="00A87BFC"/>
    <w:rsid w:val="00AA3283"/>
    <w:rsid w:val="00AA6B30"/>
    <w:rsid w:val="00AB4C45"/>
    <w:rsid w:val="00AE05E5"/>
    <w:rsid w:val="00AE6A10"/>
    <w:rsid w:val="00B01E42"/>
    <w:rsid w:val="00B24C20"/>
    <w:rsid w:val="00B31F90"/>
    <w:rsid w:val="00B514D1"/>
    <w:rsid w:val="00B5631C"/>
    <w:rsid w:val="00B571BB"/>
    <w:rsid w:val="00B715EE"/>
    <w:rsid w:val="00B8550A"/>
    <w:rsid w:val="00BB79E8"/>
    <w:rsid w:val="00BC1F1D"/>
    <w:rsid w:val="00BD2FF3"/>
    <w:rsid w:val="00BD3C7A"/>
    <w:rsid w:val="00C01A88"/>
    <w:rsid w:val="00C26669"/>
    <w:rsid w:val="00C81FAE"/>
    <w:rsid w:val="00D00FD4"/>
    <w:rsid w:val="00D0131E"/>
    <w:rsid w:val="00D02C24"/>
    <w:rsid w:val="00D034AE"/>
    <w:rsid w:val="00D12EEE"/>
    <w:rsid w:val="00D20F98"/>
    <w:rsid w:val="00D30CC8"/>
    <w:rsid w:val="00D8164A"/>
    <w:rsid w:val="00D92678"/>
    <w:rsid w:val="00D960DA"/>
    <w:rsid w:val="00DC63CB"/>
    <w:rsid w:val="00DD00C5"/>
    <w:rsid w:val="00DE61EE"/>
    <w:rsid w:val="00E33115"/>
    <w:rsid w:val="00E5704B"/>
    <w:rsid w:val="00E57B85"/>
    <w:rsid w:val="00E6795B"/>
    <w:rsid w:val="00E75585"/>
    <w:rsid w:val="00E920ED"/>
    <w:rsid w:val="00E92EBC"/>
    <w:rsid w:val="00EB5DB9"/>
    <w:rsid w:val="00ED02ED"/>
    <w:rsid w:val="00EF234D"/>
    <w:rsid w:val="00F01D7E"/>
    <w:rsid w:val="00F02290"/>
    <w:rsid w:val="00F0627B"/>
    <w:rsid w:val="00F10992"/>
    <w:rsid w:val="00F14B3D"/>
    <w:rsid w:val="00F72CD1"/>
    <w:rsid w:val="00F82A51"/>
    <w:rsid w:val="00F86868"/>
    <w:rsid w:val="00FA72BE"/>
    <w:rsid w:val="00FB3478"/>
    <w:rsid w:val="00FD5BB5"/>
    <w:rsid w:val="00FF481E"/>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71F37843"/>
  <w15:docId w15:val="{D2EA7ABF-0407-4D14-9319-D0B1365CED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ListParagraph"/>
    <w:next w:val="Normal"/>
    <w:link w:val="Heading1Char"/>
    <w:uiPriority w:val="9"/>
    <w:qFormat/>
    <w:rsid w:val="00E75585"/>
    <w:pPr>
      <w:keepNext/>
      <w:numPr>
        <w:ilvl w:val="1"/>
        <w:numId w:val="2"/>
      </w:numPr>
      <w:tabs>
        <w:tab w:val="left" w:pos="695"/>
      </w:tabs>
      <w:spacing w:before="360" w:after="240"/>
      <w:ind w:left="691"/>
      <w:outlineLvl w:val="0"/>
    </w:pPr>
    <w:rPr>
      <w:i/>
      <w:sz w:val="24"/>
    </w:rPr>
  </w:style>
  <w:style w:type="paragraph" w:styleId="Heading2">
    <w:name w:val="heading 2"/>
    <w:basedOn w:val="ListParagraph"/>
    <w:next w:val="Normal"/>
    <w:link w:val="Heading2Char"/>
    <w:uiPriority w:val="9"/>
    <w:unhideWhenUsed/>
    <w:qFormat/>
    <w:rsid w:val="00E75585"/>
    <w:pPr>
      <w:keepNext/>
      <w:numPr>
        <w:ilvl w:val="2"/>
        <w:numId w:val="2"/>
      </w:numPr>
      <w:tabs>
        <w:tab w:val="left" w:pos="838"/>
      </w:tabs>
      <w:spacing w:before="360" w:after="120"/>
      <w:ind w:left="835"/>
      <w:outlineLvl w:val="1"/>
    </w:pPr>
    <w:rPr>
      <w:sz w:val="24"/>
    </w:rPr>
  </w:style>
  <w:style w:type="paragraph" w:styleId="Heading3">
    <w:name w:val="heading 3"/>
    <w:basedOn w:val="BodyText"/>
    <w:next w:val="Normal"/>
    <w:link w:val="Heading3Char"/>
    <w:uiPriority w:val="9"/>
    <w:unhideWhenUsed/>
    <w:qFormat/>
    <w:rsid w:val="00E75585"/>
    <w:pPr>
      <w:keepNext/>
      <w:outlineLvl w:val="2"/>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sid w:val="00E75585"/>
    <w:pPr>
      <w:widowControl/>
      <w:spacing w:before="141" w:line="276" w:lineRule="auto"/>
      <w:ind w:left="115" w:right="130"/>
    </w:pPr>
    <w:rPr>
      <w:sz w:val="24"/>
      <w:szCs w:val="24"/>
    </w:rPr>
  </w:style>
  <w:style w:type="paragraph" w:styleId="Title">
    <w:name w:val="Title"/>
    <w:basedOn w:val="Normal"/>
    <w:uiPriority w:val="10"/>
    <w:qFormat/>
    <w:pPr>
      <w:ind w:left="1311" w:right="1294"/>
      <w:jc w:val="center"/>
    </w:pPr>
    <w:rPr>
      <w:b/>
      <w:bCs/>
      <w:sz w:val="24"/>
      <w:szCs w:val="24"/>
    </w:rPr>
  </w:style>
  <w:style w:type="paragraph" w:styleId="ListParagraph">
    <w:name w:val="List Paragraph"/>
    <w:basedOn w:val="Normal"/>
    <w:uiPriority w:val="34"/>
    <w:qFormat/>
    <w:pPr>
      <w:ind w:left="839" w:hanging="359"/>
    </w:pPr>
  </w:style>
  <w:style w:type="paragraph" w:customStyle="1" w:styleId="TableParagraph">
    <w:name w:val="Table Paragraph"/>
    <w:basedOn w:val="Normal"/>
    <w:uiPriority w:val="1"/>
    <w:qFormat/>
  </w:style>
  <w:style w:type="paragraph" w:styleId="Revision">
    <w:name w:val="Revision"/>
    <w:hidden/>
    <w:uiPriority w:val="99"/>
    <w:semiHidden/>
    <w:rsid w:val="00B31F90"/>
    <w:pPr>
      <w:widowControl/>
      <w:autoSpaceDE/>
      <w:autoSpaceDN/>
    </w:pPr>
    <w:rPr>
      <w:rFonts w:ascii="Times New Roman" w:eastAsia="Times New Roman" w:hAnsi="Times New Roman" w:cs="Times New Roman"/>
    </w:rPr>
  </w:style>
  <w:style w:type="character" w:styleId="CommentReference">
    <w:name w:val="annotation reference"/>
    <w:basedOn w:val="DefaultParagraphFont"/>
    <w:uiPriority w:val="99"/>
    <w:semiHidden/>
    <w:unhideWhenUsed/>
    <w:rsid w:val="00B31F90"/>
    <w:rPr>
      <w:sz w:val="16"/>
      <w:szCs w:val="16"/>
    </w:rPr>
  </w:style>
  <w:style w:type="paragraph" w:styleId="CommentText">
    <w:name w:val="annotation text"/>
    <w:basedOn w:val="Normal"/>
    <w:link w:val="CommentTextChar"/>
    <w:uiPriority w:val="99"/>
    <w:unhideWhenUsed/>
    <w:rsid w:val="00B31F90"/>
    <w:rPr>
      <w:sz w:val="20"/>
      <w:szCs w:val="20"/>
    </w:rPr>
  </w:style>
  <w:style w:type="character" w:customStyle="1" w:styleId="CommentTextChar">
    <w:name w:val="Comment Text Char"/>
    <w:basedOn w:val="DefaultParagraphFont"/>
    <w:link w:val="CommentText"/>
    <w:uiPriority w:val="99"/>
    <w:rsid w:val="00B31F90"/>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B31F90"/>
    <w:rPr>
      <w:b/>
      <w:bCs/>
    </w:rPr>
  </w:style>
  <w:style w:type="character" w:customStyle="1" w:styleId="CommentSubjectChar">
    <w:name w:val="Comment Subject Char"/>
    <w:basedOn w:val="CommentTextChar"/>
    <w:link w:val="CommentSubject"/>
    <w:uiPriority w:val="99"/>
    <w:semiHidden/>
    <w:rsid w:val="00B31F90"/>
    <w:rPr>
      <w:rFonts w:ascii="Times New Roman" w:eastAsia="Times New Roman" w:hAnsi="Times New Roman" w:cs="Times New Roman"/>
      <w:b/>
      <w:bCs/>
      <w:sz w:val="20"/>
      <w:szCs w:val="20"/>
    </w:rPr>
  </w:style>
  <w:style w:type="paragraph" w:styleId="FootnoteText">
    <w:name w:val="footnote text"/>
    <w:basedOn w:val="Normal"/>
    <w:link w:val="FootnoteTextChar"/>
    <w:uiPriority w:val="99"/>
    <w:semiHidden/>
    <w:unhideWhenUsed/>
    <w:rsid w:val="00833B94"/>
    <w:rPr>
      <w:sz w:val="20"/>
      <w:szCs w:val="20"/>
    </w:rPr>
  </w:style>
  <w:style w:type="character" w:customStyle="1" w:styleId="FootnoteTextChar">
    <w:name w:val="Footnote Text Char"/>
    <w:basedOn w:val="DefaultParagraphFont"/>
    <w:link w:val="FootnoteText"/>
    <w:uiPriority w:val="99"/>
    <w:semiHidden/>
    <w:rsid w:val="00833B94"/>
    <w:rPr>
      <w:rFonts w:ascii="Times New Roman" w:eastAsia="Times New Roman" w:hAnsi="Times New Roman" w:cs="Times New Roman"/>
      <w:sz w:val="20"/>
      <w:szCs w:val="20"/>
    </w:rPr>
  </w:style>
  <w:style w:type="character" w:styleId="FootnoteReference">
    <w:name w:val="footnote reference"/>
    <w:basedOn w:val="DefaultParagraphFont"/>
    <w:uiPriority w:val="99"/>
    <w:semiHidden/>
    <w:unhideWhenUsed/>
    <w:rsid w:val="00833B94"/>
    <w:rPr>
      <w:vertAlign w:val="superscript"/>
    </w:rPr>
  </w:style>
  <w:style w:type="character" w:customStyle="1" w:styleId="Heading1Char">
    <w:name w:val="Heading 1 Char"/>
    <w:basedOn w:val="DefaultParagraphFont"/>
    <w:link w:val="Heading1"/>
    <w:uiPriority w:val="9"/>
    <w:rsid w:val="00E75585"/>
    <w:rPr>
      <w:rFonts w:ascii="Times New Roman" w:eastAsia="Times New Roman" w:hAnsi="Times New Roman" w:cs="Times New Roman"/>
      <w:i/>
      <w:sz w:val="24"/>
    </w:rPr>
  </w:style>
  <w:style w:type="character" w:customStyle="1" w:styleId="Heading2Char">
    <w:name w:val="Heading 2 Char"/>
    <w:basedOn w:val="DefaultParagraphFont"/>
    <w:link w:val="Heading2"/>
    <w:uiPriority w:val="9"/>
    <w:rsid w:val="00E75585"/>
    <w:rPr>
      <w:rFonts w:ascii="Times New Roman" w:eastAsia="Times New Roman" w:hAnsi="Times New Roman" w:cs="Times New Roman"/>
      <w:sz w:val="24"/>
    </w:rPr>
  </w:style>
  <w:style w:type="character" w:customStyle="1" w:styleId="Heading3Char">
    <w:name w:val="Heading 3 Char"/>
    <w:basedOn w:val="DefaultParagraphFont"/>
    <w:link w:val="Heading3"/>
    <w:uiPriority w:val="9"/>
    <w:rsid w:val="00E75585"/>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E75585"/>
    <w:pPr>
      <w:tabs>
        <w:tab w:val="center" w:pos="4680"/>
        <w:tab w:val="right" w:pos="9360"/>
      </w:tabs>
    </w:pPr>
  </w:style>
  <w:style w:type="character" w:customStyle="1" w:styleId="HeaderChar">
    <w:name w:val="Header Char"/>
    <w:basedOn w:val="DefaultParagraphFont"/>
    <w:link w:val="Header"/>
    <w:uiPriority w:val="99"/>
    <w:rsid w:val="00E75585"/>
    <w:rPr>
      <w:rFonts w:ascii="Times New Roman" w:eastAsia="Times New Roman" w:hAnsi="Times New Roman" w:cs="Times New Roman"/>
    </w:rPr>
  </w:style>
  <w:style w:type="paragraph" w:styleId="Footer">
    <w:name w:val="footer"/>
    <w:basedOn w:val="Normal"/>
    <w:link w:val="FooterChar"/>
    <w:uiPriority w:val="99"/>
    <w:unhideWhenUsed/>
    <w:rsid w:val="00E75585"/>
    <w:pPr>
      <w:tabs>
        <w:tab w:val="center" w:pos="4680"/>
        <w:tab w:val="right" w:pos="9360"/>
      </w:tabs>
    </w:pPr>
  </w:style>
  <w:style w:type="character" w:customStyle="1" w:styleId="FooterChar">
    <w:name w:val="Footer Char"/>
    <w:basedOn w:val="DefaultParagraphFont"/>
    <w:link w:val="Footer"/>
    <w:uiPriority w:val="99"/>
    <w:rsid w:val="00E75585"/>
    <w:rPr>
      <w:rFonts w:ascii="Times New Roman" w:eastAsia="Times New Roman" w:hAnsi="Times New Roman" w:cs="Times New Roman"/>
    </w:rPr>
  </w:style>
  <w:style w:type="character" w:styleId="Hyperlink">
    <w:name w:val="Hyperlink"/>
    <w:basedOn w:val="DefaultParagraphFont"/>
    <w:uiPriority w:val="99"/>
    <w:unhideWhenUsed/>
    <w:rsid w:val="007D41DA"/>
    <w:rPr>
      <w:color w:val="0000FF" w:themeColor="hyperlink"/>
      <w:u w:val="single"/>
    </w:rPr>
  </w:style>
  <w:style w:type="character" w:styleId="UnresolvedMention">
    <w:name w:val="Unresolved Mention"/>
    <w:basedOn w:val="DefaultParagraphFont"/>
    <w:uiPriority w:val="99"/>
    <w:semiHidden/>
    <w:unhideWhenUsed/>
    <w:rsid w:val="007D41DA"/>
    <w:rPr>
      <w:color w:val="605E5C"/>
      <w:shd w:val="clear" w:color="auto" w:fill="E1DFDD"/>
    </w:rPr>
  </w:style>
  <w:style w:type="table" w:styleId="TableGrid">
    <w:name w:val="Table Grid"/>
    <w:basedOn w:val="TableNormal"/>
    <w:uiPriority w:val="39"/>
    <w:rsid w:val="00BD3C7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ecklistLevel1">
    <w:name w:val="Checklist Level 1"/>
    <w:basedOn w:val="Normal"/>
    <w:rsid w:val="00F0627B"/>
    <w:pPr>
      <w:widowControl/>
      <w:numPr>
        <w:numId w:val="4"/>
      </w:numPr>
      <w:tabs>
        <w:tab w:val="left" w:pos="360"/>
      </w:tabs>
      <w:autoSpaceDE/>
      <w:autoSpaceDN/>
    </w:pPr>
    <w:rPr>
      <w:rFonts w:ascii="Arial Narrow" w:hAnsi="Arial Narrow" w:eastAsiaTheme="minorEastAsia"/>
      <w:b/>
      <w:sz w:val="20"/>
      <w:szCs w:val="24"/>
    </w:rPr>
  </w:style>
  <w:style w:type="paragraph" w:customStyle="1" w:styleId="ChecklistLevel2">
    <w:name w:val="Checklist Level 2"/>
    <w:basedOn w:val="ChecklistLevel1"/>
    <w:rsid w:val="00F0627B"/>
    <w:pPr>
      <w:numPr>
        <w:ilvl w:val="1"/>
      </w:numPr>
      <w:tabs>
        <w:tab w:val="clear" w:pos="360"/>
        <w:tab w:val="left" w:pos="720"/>
      </w:tabs>
    </w:pPr>
    <w:rPr>
      <w:b w:val="0"/>
    </w:rPr>
  </w:style>
  <w:style w:type="paragraph" w:customStyle="1" w:styleId="ChecklistLevel3">
    <w:name w:val="Checklist Level 3"/>
    <w:basedOn w:val="ChecklistLevel2"/>
    <w:rsid w:val="00F0627B"/>
    <w:pPr>
      <w:numPr>
        <w:ilvl w:val="2"/>
      </w:numPr>
      <w:tabs>
        <w:tab w:val="clear" w:pos="720"/>
        <w:tab w:val="left" w:pos="1728"/>
      </w:tabs>
    </w:pPr>
  </w:style>
  <w:style w:type="paragraph" w:customStyle="1" w:styleId="ChecklistLevel4">
    <w:name w:val="Checklist Level 4"/>
    <w:basedOn w:val="ChecklistLevel3"/>
    <w:rsid w:val="00F0627B"/>
    <w:pPr>
      <w:numPr>
        <w:ilvl w:val="3"/>
      </w:numPr>
      <w:tabs>
        <w:tab w:val="clear" w:pos="1728"/>
        <w:tab w:val="left" w:pos="3024"/>
      </w:tabs>
    </w:pPr>
  </w:style>
  <w:style w:type="paragraph" w:customStyle="1" w:styleId="ChecklistBasis">
    <w:name w:val="Checklist Basis"/>
    <w:link w:val="ChecklistBasisChar"/>
    <w:rsid w:val="004E08BF"/>
    <w:pPr>
      <w:widowControl/>
      <w:autoSpaceDE/>
      <w:autoSpaceDN/>
    </w:pPr>
    <w:rPr>
      <w:rFonts w:ascii="Arial Narrow" w:hAnsi="Arial Narrow" w:eastAsiaTheme="minorEastAsia" w:cs="Times New Roman"/>
      <w:sz w:val="20"/>
      <w:szCs w:val="24"/>
    </w:rPr>
  </w:style>
  <w:style w:type="character" w:customStyle="1" w:styleId="ChecklistBasisChar">
    <w:name w:val="Checklist Basis Char"/>
    <w:link w:val="ChecklistBasis"/>
    <w:rsid w:val="004E08BF"/>
    <w:rPr>
      <w:rFonts w:ascii="Arial Narrow" w:hAnsi="Arial Narrow" w:eastAsiaTheme="minorEastAsia" w:cs="Times New Roman"/>
      <w:sz w:val="20"/>
      <w:szCs w:val="24"/>
    </w:rPr>
  </w:style>
  <w:style w:type="numbering" w:styleId="111111">
    <w:name w:val="Outline List 2"/>
    <w:basedOn w:val="NoList"/>
    <w:semiHidden/>
    <w:rsid w:val="004459AE"/>
    <w:pPr>
      <w:numPr>
        <w:numId w:val="8"/>
      </w:numPr>
    </w:pPr>
  </w:style>
  <w:style w:type="paragraph" w:customStyle="1" w:styleId="ChecklistSimple">
    <w:name w:val="Checklist Simple"/>
    <w:basedOn w:val="ChecklistLevel2"/>
    <w:rsid w:val="00844ACE"/>
    <w:pPr>
      <w:numPr>
        <w:ilvl w:val="0"/>
        <w:numId w:val="0"/>
      </w:numPr>
      <w:tabs>
        <w:tab w:val="left" w:pos="360"/>
      </w:tabs>
      <w:ind w:left="360" w:hanging="36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yperlink" Target="https://www.cpsc.gov/s3fs-public/Task-3-Report-Bathing-Surfaces-Slip-Study_0.pdf?VersionId=DsZwYTg_Jf.1A2G9WwmKvqY23uTEE1Zf" TargetMode="External" /><Relationship Id="rId11" Type="http://schemas.openxmlformats.org/officeDocument/2006/relationships/footer" Target="footer1.xml" /><Relationship Id="rId12" Type="http://schemas.openxmlformats.org/officeDocument/2006/relationships/theme" Target="theme/theme1.xml" /><Relationship Id="rId13" Type="http://schemas.openxmlformats.org/officeDocument/2006/relationships/numbering" Target="numbering.xml" /><Relationship Id="rId14"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image" Target="media/image1.png" /><Relationship Id="rId7" Type="http://schemas.openxmlformats.org/officeDocument/2006/relationships/image" Target="media/image2.jpeg" /><Relationship Id="rId8" Type="http://schemas.openxmlformats.org/officeDocument/2006/relationships/image" Target="media/image3.jpeg" /><Relationship Id="rId9" Type="http://schemas.openxmlformats.org/officeDocument/2006/relationships/image" Target="media/image4.jpe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9280E79-FE52-4F0C-A131-4A8D1713CA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130</TotalTime>
  <Pages>9</Pages>
  <Words>3193</Words>
  <Characters>18201</Characters>
  <Application>Microsoft Office Word</Application>
  <DocSecurity>0</DocSecurity>
  <Lines>151</Lines>
  <Paragraphs>42</Paragraphs>
  <ScaleCrop>false</ScaleCrop>
  <HeadingPairs>
    <vt:vector size="2" baseType="variant">
      <vt:variant>
        <vt:lpstr>Title</vt:lpstr>
      </vt:variant>
      <vt:variant>
        <vt:i4>1</vt:i4>
      </vt:variant>
    </vt:vector>
  </HeadingPairs>
  <TitlesOfParts>
    <vt:vector size="1" baseType="lpstr">
      <vt:lpstr>Child Strength Study - OMB PRA documents</vt:lpstr>
    </vt:vector>
  </TitlesOfParts>
  <Company>DOT</Company>
  <LinksUpToDate>false</LinksUpToDate>
  <CharactersWithSpaces>21352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Child Strength Study - OMB PRA documents</dc:title>
  <dc:creator>USDOT User</dc:creator>
  <cp:lastModifiedBy>Gillham, Cynthia</cp:lastModifiedBy>
  <cp:revision>17</cp:revision>
  <dcterms:created xsi:type="dcterms:W3CDTF">2025-03-24T19:16:00Z</dcterms:created>
  <dcterms:modified xsi:type="dcterms:W3CDTF">2025-04-17T17:24:00Z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0x010100485527BB70C80849B09DD4EA1A1A9E0B</vt:lpwstr>
  </property>
  <property fmtid="{D5CDD505-2E9C-101B-9397-08002B2CF9AE}" pid="3" name="Created">
    <vt:filetime>2021-12-21T00:00:00Z</vt:filetime>
  </property>
  <property fmtid="{D5CDD505-2E9C-101B-9397-08002B2CF9AE}" pid="4" name="Creator">
    <vt:lpwstr>Acrobat PDFMaker 21 for Word</vt:lpwstr>
  </property>
  <property fmtid="{D5CDD505-2E9C-101B-9397-08002B2CF9AE}" pid="5" name="LastSaved">
    <vt:filetime>2024-09-30T00:00:00Z</vt:filetime>
  </property>
  <property fmtid="{D5CDD505-2E9C-101B-9397-08002B2CF9AE}" pid="6" name="ListID">
    <vt:lpwstr>702</vt:lpwstr>
  </property>
  <property fmtid="{D5CDD505-2E9C-101B-9397-08002B2CF9AE}" pid="7" name="Producer">
    <vt:lpwstr>Adobe PDF Library 21.7.131</vt:lpwstr>
  </property>
  <property fmtid="{D5CDD505-2E9C-101B-9397-08002B2CF9AE}" pid="8" name="SourceModified">
    <vt:lpwstr>D:20211221202029</vt:lpwstr>
  </property>
  <property fmtid="{D5CDD505-2E9C-101B-9397-08002B2CF9AE}" pid="9" name="WorkflowChangePath">
    <vt:lpwstr>01ee53bd-c735-4c8b-b5ea-afc401d24c2d,2;</vt:lpwstr>
  </property>
</Properties>
</file>