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0A1A" w:rsidRPr="00C40A1A" w:rsidP="00C40A1A" w14:paraId="7B926D59"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sidRPr="00C40A1A">
        <w:rPr>
          <w:rFonts w:ascii="Times New Roman" w:hAnsi="Times New Roman"/>
          <w:szCs w:val="24"/>
        </w:rPr>
        <w:t>SUPPORTING STATEMENT</w:t>
      </w:r>
    </w:p>
    <w:p w:rsidR="00886ADA" w:rsidP="000014B9" w14:paraId="3B79E100" w14:textId="77777777">
      <w:pPr>
        <w:widowControl/>
        <w:tabs>
          <w:tab w:val="center" w:pos="5112"/>
        </w:tabs>
        <w:jc w:val="center"/>
        <w:rPr>
          <w:rFonts w:ascii="Times New Roman" w:hAnsi="Times New Roman"/>
        </w:rPr>
      </w:pPr>
      <w:r w:rsidRPr="00886ADA">
        <w:rPr>
          <w:rFonts w:ascii="Times New Roman" w:hAnsi="Times New Roman"/>
        </w:rPr>
        <w:t xml:space="preserve">NOTICE REGARDING UNAUTHORIZED ACCESS </w:t>
      </w:r>
    </w:p>
    <w:p w:rsidR="00B37694" w:rsidRPr="00B37694" w:rsidP="000014B9" w14:paraId="4DB9859B" w14:textId="77777777">
      <w:pPr>
        <w:widowControl/>
        <w:tabs>
          <w:tab w:val="center" w:pos="5112"/>
        </w:tabs>
        <w:jc w:val="center"/>
        <w:rPr>
          <w:rFonts w:ascii="Times New Roman" w:hAnsi="Times New Roman"/>
        </w:rPr>
      </w:pPr>
      <w:r w:rsidRPr="00886ADA">
        <w:rPr>
          <w:rFonts w:ascii="Times New Roman" w:hAnsi="Times New Roman"/>
        </w:rPr>
        <w:t>TO CUSTOMER INFORMATION</w:t>
      </w:r>
    </w:p>
    <w:p w:rsidR="00C40A1A" w:rsidRPr="00C40A1A" w:rsidP="00915517" w14:paraId="61476585" w14:textId="77777777">
      <w:pPr>
        <w:tabs>
          <w:tab w:val="left" w:pos="0"/>
          <w:tab w:val="right" w:pos="2020"/>
        </w:tabs>
        <w:spacing w:line="360" w:lineRule="auto"/>
        <w:jc w:val="center"/>
        <w:rPr>
          <w:rFonts w:ascii="Times New Roman" w:hAnsi="Times New Roman"/>
          <w:szCs w:val="24"/>
        </w:rPr>
      </w:pPr>
      <w:r w:rsidRPr="00C40A1A">
        <w:rPr>
          <w:rFonts w:ascii="Times New Roman" w:hAnsi="Times New Roman"/>
          <w:szCs w:val="24"/>
        </w:rPr>
        <w:t xml:space="preserve"> </w:t>
      </w:r>
      <w:r w:rsidRPr="00C40A1A">
        <w:rPr>
          <w:rFonts w:ascii="Times New Roman" w:hAnsi="Times New Roman"/>
          <w:szCs w:val="24"/>
        </w:rPr>
        <w:t>(OMB Control No. 3064-0</w:t>
      </w:r>
      <w:r w:rsidR="00886ADA">
        <w:rPr>
          <w:rFonts w:ascii="Times New Roman" w:hAnsi="Times New Roman"/>
          <w:szCs w:val="24"/>
        </w:rPr>
        <w:t>145</w:t>
      </w:r>
      <w:r w:rsidRPr="00C40A1A">
        <w:rPr>
          <w:rFonts w:ascii="Times New Roman" w:hAnsi="Times New Roman"/>
          <w:szCs w:val="24"/>
        </w:rPr>
        <w:t>)</w:t>
      </w:r>
    </w:p>
    <w:p w:rsidR="00F146F1" w14:paraId="0B0E93D5"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494A172A" w14:textId="77777777">
      <w:pPr>
        <w:widowControl/>
        <w:tabs>
          <w:tab w:val="left" w:pos="576"/>
          <w:tab w:val="left" w:pos="1440"/>
          <w:tab w:val="left" w:pos="2160"/>
          <w:tab w:val="left" w:pos="2880"/>
          <w:tab w:val="left" w:pos="3600"/>
          <w:tab w:val="left" w:pos="4320"/>
          <w:tab w:val="left" w:pos="5040"/>
        </w:tabs>
        <w:rPr>
          <w:rFonts w:ascii="Times New Roman" w:hAnsi="Times New Roman"/>
        </w:rPr>
      </w:pPr>
    </w:p>
    <w:p w:rsidR="00F146F1" w14:paraId="3A67765B" w14:textId="77777777">
      <w:pPr>
        <w:widowControl/>
        <w:tabs>
          <w:tab w:val="left" w:pos="576"/>
          <w:tab w:val="left" w:pos="1440"/>
          <w:tab w:val="left" w:pos="2160"/>
          <w:tab w:val="left" w:pos="2880"/>
          <w:tab w:val="left" w:pos="3600"/>
          <w:tab w:val="left" w:pos="4320"/>
          <w:tab w:val="left" w:pos="5040"/>
        </w:tabs>
        <w:rPr>
          <w:rFonts w:ascii="Times New Roman" w:hAnsi="Times New Roman"/>
        </w:rPr>
      </w:pPr>
      <w:r>
        <w:rPr>
          <w:rFonts w:ascii="Times New Roman" w:hAnsi="Times New Roman"/>
          <w:u w:val="single"/>
        </w:rPr>
        <w:t>INTRODUCTION</w:t>
      </w:r>
    </w:p>
    <w:p w:rsidR="00D07D24" w:rsidP="00583579" w14:paraId="2E346191" w14:textId="77777777">
      <w:pPr>
        <w:widowControl/>
        <w:autoSpaceDE w:val="0"/>
        <w:autoSpaceDN w:val="0"/>
        <w:adjustRightInd w:val="0"/>
        <w:rPr>
          <w:rFonts w:ascii="Times New Roman" w:hAnsi="Times New Roman"/>
          <w:szCs w:val="24"/>
        </w:rPr>
      </w:pPr>
    </w:p>
    <w:p w:rsidR="00B10980" w:rsidP="00583579" w14:paraId="2A8FCFB8" w14:textId="796DFAE1">
      <w:pPr>
        <w:widowControl/>
        <w:autoSpaceDE w:val="0"/>
        <w:autoSpaceDN w:val="0"/>
        <w:adjustRightInd w:val="0"/>
        <w:rPr>
          <w:rFonts w:ascii="Times New Roman" w:hAnsi="Times New Roman"/>
          <w:szCs w:val="24"/>
        </w:rPr>
      </w:pPr>
      <w:r w:rsidRPr="00886ADA">
        <w:rPr>
          <w:rFonts w:ascii="Times New Roman" w:hAnsi="Times New Roman"/>
          <w:bCs/>
          <w:szCs w:val="24"/>
        </w:rPr>
        <w:t xml:space="preserve">The FDIC is requesting OMB approval for a three-year extension, without change in the method or substance of collection, to continue the information collection requirements contained in the </w:t>
      </w:r>
      <w:r w:rsidRPr="00886ADA">
        <w:rPr>
          <w:rFonts w:ascii="Times New Roman" w:hAnsi="Times New Roman"/>
          <w:bCs/>
          <w:i/>
          <w:szCs w:val="24"/>
        </w:rPr>
        <w:t>Interagency Guidance on Response Programs for Unauthorized Access to Customer Information and Customer Notice</w:t>
      </w:r>
      <w:r w:rsidRPr="00886ADA">
        <w:rPr>
          <w:rFonts w:ascii="Times New Roman" w:hAnsi="Times New Roman"/>
          <w:bCs/>
          <w:szCs w:val="24"/>
        </w:rPr>
        <w:t xml:space="preserve"> published jointly by the FDIC, the Board of Governors of the Federal Reserve System and the Office of the Comptroller of the Currency.  The information collection expires on </w:t>
      </w:r>
      <w:r>
        <w:rPr>
          <w:rFonts w:ascii="Times New Roman" w:hAnsi="Times New Roman"/>
          <w:bCs/>
          <w:szCs w:val="24"/>
        </w:rPr>
        <w:t>April 30, 202</w:t>
      </w:r>
      <w:r w:rsidR="007A7131">
        <w:rPr>
          <w:rFonts w:ascii="Times New Roman" w:hAnsi="Times New Roman"/>
          <w:bCs/>
          <w:szCs w:val="24"/>
        </w:rPr>
        <w:t>5</w:t>
      </w:r>
      <w:r w:rsidRPr="000014B9" w:rsidR="000014B9">
        <w:rPr>
          <w:rFonts w:ascii="Times New Roman" w:hAnsi="Times New Roman"/>
          <w:szCs w:val="24"/>
        </w:rPr>
        <w:t>.</w:t>
      </w:r>
      <w:r w:rsidR="0006307F">
        <w:rPr>
          <w:rFonts w:ascii="Times New Roman" w:hAnsi="Times New Roman"/>
          <w:szCs w:val="24"/>
        </w:rPr>
        <w:t xml:space="preserve"> </w:t>
      </w:r>
      <w:r w:rsidRPr="00A52DA4" w:rsidR="0006307F">
        <w:rPr>
          <w:rFonts w:ascii="Times New Roman" w:hAnsi="Times New Roman"/>
          <w:bCs/>
          <w:szCs w:val="24"/>
        </w:rPr>
        <w:t>There is no change in the method or substance of the collection</w:t>
      </w:r>
      <w:r w:rsidR="0006307F">
        <w:rPr>
          <w:rFonts w:ascii="Times New Roman" w:hAnsi="Times New Roman"/>
          <w:bCs/>
          <w:szCs w:val="24"/>
        </w:rPr>
        <w:t>.</w:t>
      </w:r>
    </w:p>
    <w:p w:rsidR="000014B9" w:rsidP="00583579" w14:paraId="6A2089BA" w14:textId="77777777">
      <w:pPr>
        <w:widowControl/>
        <w:autoSpaceDE w:val="0"/>
        <w:autoSpaceDN w:val="0"/>
        <w:adjustRightInd w:val="0"/>
        <w:rPr>
          <w:rFonts w:ascii="Times New Roman" w:hAnsi="Times New Roman"/>
        </w:rPr>
      </w:pPr>
    </w:p>
    <w:p w:rsidR="00F146F1" w:rsidP="0024672A" w14:paraId="7D509423" w14:textId="77777777">
      <w:pPr>
        <w:widowControl/>
        <w:numPr>
          <w:ilvl w:val="0"/>
          <w:numId w:val="2"/>
        </w:numPr>
        <w:rPr>
          <w:rFonts w:ascii="Times New Roman" w:hAnsi="Times New Roman"/>
        </w:rPr>
      </w:pPr>
      <w:r>
        <w:rPr>
          <w:rFonts w:ascii="Times New Roman" w:hAnsi="Times New Roman"/>
          <w:u w:val="single"/>
        </w:rPr>
        <w:t>JUSTIFICATION</w:t>
      </w:r>
    </w:p>
    <w:p w:rsidR="00F146F1" w14:paraId="174FEE51" w14:textId="77777777">
      <w:pPr>
        <w:widowControl/>
        <w:rPr>
          <w:rFonts w:ascii="Times New Roman" w:hAnsi="Times New Roman"/>
        </w:rPr>
      </w:pPr>
    </w:p>
    <w:p w:rsidR="00F146F1" w:rsidP="00F175D5" w14:paraId="7076469B" w14:textId="77777777">
      <w:pPr>
        <w:widowControl/>
        <w:numPr>
          <w:ilvl w:val="0"/>
          <w:numId w:val="4"/>
        </w:numPr>
        <w:rPr>
          <w:rFonts w:ascii="Times New Roman" w:hAnsi="Times New Roman"/>
        </w:rPr>
      </w:pPr>
      <w:r w:rsidRPr="00C56C82">
        <w:rPr>
          <w:rFonts w:ascii="Times New Roman" w:hAnsi="Times New Roman"/>
          <w:bCs/>
          <w:iCs/>
          <w:u w:val="single"/>
        </w:rPr>
        <w:t>Circumstances tha</w:t>
      </w:r>
      <w:r>
        <w:rPr>
          <w:rFonts w:ascii="Times New Roman" w:hAnsi="Times New Roman"/>
          <w:bCs/>
          <w:iCs/>
          <w:u w:val="single"/>
        </w:rPr>
        <w:t>t make the collection necessary:</w:t>
      </w:r>
    </w:p>
    <w:p w:rsidR="00F146F1" w14:paraId="047F9675" w14:textId="77777777">
      <w:pPr>
        <w:widowControl/>
        <w:rPr>
          <w:rFonts w:ascii="Times New Roman" w:hAnsi="Times New Roman"/>
        </w:rPr>
      </w:pPr>
    </w:p>
    <w:p w:rsidR="00FA4D5D" w:rsidRPr="00FA4D5D" w:rsidP="000014B9" w14:paraId="2DBBBA95" w14:textId="77777777">
      <w:pPr>
        <w:widowControl/>
        <w:ind w:left="1440"/>
        <w:rPr>
          <w:rFonts w:ascii="Times New Roman" w:hAnsi="Times New Roman"/>
        </w:rPr>
      </w:pPr>
      <w:r w:rsidRPr="00D367A8">
        <w:rPr>
          <w:rFonts w:ascii="Times New Roman" w:hAnsi="Times New Roman"/>
          <w:bCs/>
        </w:rPr>
        <w:t xml:space="preserve">The </w:t>
      </w:r>
      <w:r w:rsidRPr="00D367A8">
        <w:rPr>
          <w:rFonts w:ascii="Times New Roman" w:hAnsi="Times New Roman"/>
          <w:bCs/>
          <w:i/>
        </w:rPr>
        <w:t>Interagency Guidance on Response Programs for Unauthorized Access to Customer Information and Customer Notice</w:t>
      </w:r>
      <w:r w:rsidRPr="00D367A8">
        <w:rPr>
          <w:rFonts w:ascii="Times New Roman" w:hAnsi="Times New Roman"/>
          <w:bCs/>
        </w:rPr>
        <w:t xml:space="preserve"> describes the Agencies’ expectations regarding a response program, including customer notification procedures, that a financial institution should develop and apply under the circumstances described in the </w:t>
      </w:r>
      <w:r w:rsidRPr="00D367A8">
        <w:rPr>
          <w:rFonts w:ascii="Times New Roman" w:hAnsi="Times New Roman"/>
          <w:bCs/>
          <w:i/>
        </w:rPr>
        <w:t>Guidance</w:t>
      </w:r>
      <w:r w:rsidRPr="00D367A8">
        <w:rPr>
          <w:rFonts w:ascii="Times New Roman" w:hAnsi="Times New Roman"/>
          <w:bCs/>
        </w:rPr>
        <w:t xml:space="preserve"> to address unauthorized access to or use of customer information that could result in substantial harm or inconvenience to a customer.  The </w:t>
      </w:r>
      <w:r w:rsidRPr="00D367A8">
        <w:rPr>
          <w:rFonts w:ascii="Times New Roman" w:hAnsi="Times New Roman"/>
          <w:bCs/>
          <w:i/>
        </w:rPr>
        <w:t>Guidance</w:t>
      </w:r>
      <w:r w:rsidRPr="00D367A8">
        <w:rPr>
          <w:rFonts w:ascii="Times New Roman" w:hAnsi="Times New Roman"/>
          <w:bCs/>
        </w:rPr>
        <w:t xml:space="preserve"> advises financial institutions when and how they might develop and adopt policies and procedures regarding unauthorized access to customer information.  </w:t>
      </w:r>
      <w:r w:rsidRPr="00D367A8">
        <w:rPr>
          <w:rFonts w:ascii="Times New Roman" w:hAnsi="Times New Roman"/>
        </w:rPr>
        <w:t>The guidance also states that "an institution should notify affected customers when it becomes aware of unauthorized access to sensitive customer information unless the institution, after an appropriate investigation, reasonably concludes that misuse is unlikely to occur and takes appropriate steps to safeguard the interests of affected customers, including monitoring affected customers' accounts for unusual or suspicious activity."</w:t>
      </w:r>
      <w:r w:rsidRPr="00FA4D5D">
        <w:rPr>
          <w:rFonts w:ascii="Times New Roman" w:hAnsi="Times New Roman"/>
        </w:rPr>
        <w:t xml:space="preserve">     </w:t>
      </w:r>
    </w:p>
    <w:p w:rsidR="0024672A" w:rsidP="00FA4D5D" w14:paraId="15F1A2D3" w14:textId="77777777">
      <w:pPr>
        <w:widowControl/>
        <w:rPr>
          <w:rFonts w:ascii="Times New Roman" w:hAnsi="Times New Roman"/>
        </w:rPr>
      </w:pPr>
    </w:p>
    <w:p w:rsidR="000A3C39" w:rsidP="000A3C39" w14:paraId="09516355" w14:textId="77777777">
      <w:pPr>
        <w:widowControl/>
        <w:numPr>
          <w:ilvl w:val="0"/>
          <w:numId w:val="4"/>
        </w:numPr>
        <w:rPr>
          <w:rFonts w:ascii="Times New Roman" w:hAnsi="Times New Roman"/>
        </w:rPr>
      </w:pPr>
      <w:r w:rsidRPr="00366534">
        <w:rPr>
          <w:rFonts w:ascii="Times New Roman" w:hAnsi="Times New Roman"/>
          <w:u w:val="single"/>
        </w:rPr>
        <w:t xml:space="preserve">Use of </w:t>
      </w:r>
      <w:r>
        <w:rPr>
          <w:rFonts w:ascii="Times New Roman" w:hAnsi="Times New Roman"/>
          <w:u w:val="single"/>
        </w:rPr>
        <w:t>I</w:t>
      </w:r>
      <w:r w:rsidRPr="00366534">
        <w:rPr>
          <w:rFonts w:ascii="Times New Roman" w:hAnsi="Times New Roman"/>
          <w:u w:val="single"/>
        </w:rPr>
        <w:t>nformation:</w:t>
      </w:r>
    </w:p>
    <w:p w:rsidR="00F146F1" w14:paraId="0C677721" w14:textId="77777777">
      <w:pPr>
        <w:widowControl/>
        <w:rPr>
          <w:rFonts w:ascii="Times New Roman" w:hAnsi="Times New Roman"/>
        </w:rPr>
      </w:pPr>
    </w:p>
    <w:p w:rsidR="00D367A8" w:rsidRPr="00D367A8" w:rsidP="00D367A8" w14:paraId="7851DC91" w14:textId="77777777">
      <w:pPr>
        <w:widowControl/>
        <w:ind w:left="1440"/>
        <w:rPr>
          <w:rFonts w:ascii="Times New Roman" w:hAnsi="Times New Roman"/>
        </w:rPr>
      </w:pPr>
      <w:r w:rsidRPr="00D367A8">
        <w:rPr>
          <w:rFonts w:ascii="Times New Roman" w:hAnsi="Times New Roman"/>
        </w:rPr>
        <w:t>The collection is intended to help financial institutions develop administrative, technical, and physical safeguards to: (1) insure the security and confidentiality of customer records and information; (2) protect against anticipated threats or hazards to the security or integrity of such records; and (3) protect against unauthorized access to or use of such records or information that could result in substantial harm or inconvenience to any customer.</w:t>
      </w:r>
    </w:p>
    <w:p w:rsidR="00D367A8" w:rsidRPr="00D367A8" w:rsidP="00D367A8" w14:paraId="77878DA0" w14:textId="77777777">
      <w:pPr>
        <w:widowControl/>
        <w:ind w:left="1440"/>
        <w:rPr>
          <w:rFonts w:ascii="Times New Roman" w:hAnsi="Times New Roman"/>
        </w:rPr>
      </w:pPr>
    </w:p>
    <w:p w:rsidR="00F146F1" w:rsidP="00D367A8" w14:paraId="26512325" w14:textId="77777777">
      <w:pPr>
        <w:widowControl/>
        <w:ind w:left="1440"/>
        <w:rPr>
          <w:rFonts w:ascii="Times New Roman" w:hAnsi="Times New Roman"/>
        </w:rPr>
      </w:pPr>
      <w:r w:rsidRPr="00D367A8">
        <w:rPr>
          <w:rFonts w:ascii="Times New Roman" w:hAnsi="Times New Roman"/>
        </w:rPr>
        <w:t xml:space="preserve">A response program, of which this collection is a critical part, contains policies and procedures that enable the financial institution to:  (a) assess the situation to determine the nature and scope of the incident, and identify the information systems and types of customer information affected; (b) notify the institution’s </w:t>
      </w:r>
      <w:r w:rsidRPr="00D367A8">
        <w:rPr>
          <w:rFonts w:ascii="Times New Roman" w:hAnsi="Times New Roman"/>
        </w:rPr>
        <w:t>primary Federal regulator and, in accordance with applicable regulations and guidance, file a Suspicious Activity Report and notify appropriate law enforcement agencies; (c) take measures to contain and control the incident to prevent further unauthorized access to or misuse of customer information, including shutting down particular applications or third party connections, reconfiguring firewalls, changing computer access codes, and modifying physical access controls; and (d) address and mitigate harm to individual customers</w:t>
      </w:r>
      <w:r w:rsidR="004A75C2">
        <w:rPr>
          <w:rFonts w:ascii="Times New Roman" w:hAnsi="Times New Roman"/>
        </w:rPr>
        <w:t>.</w:t>
      </w:r>
    </w:p>
    <w:p w:rsidR="00FA4D5D" w:rsidP="00FA4D5D" w14:paraId="11BE0B33" w14:textId="77777777">
      <w:pPr>
        <w:widowControl/>
        <w:ind w:left="1440"/>
        <w:rPr>
          <w:rFonts w:ascii="Times New Roman" w:hAnsi="Times New Roman"/>
        </w:rPr>
      </w:pPr>
    </w:p>
    <w:p w:rsidR="00F146F1" w:rsidP="00F175D5" w14:paraId="42C06551" w14:textId="77777777">
      <w:pPr>
        <w:widowControl/>
        <w:numPr>
          <w:ilvl w:val="0"/>
          <w:numId w:val="4"/>
        </w:numPr>
        <w:rPr>
          <w:rFonts w:ascii="Times New Roman" w:hAnsi="Times New Roman"/>
        </w:rPr>
      </w:pPr>
      <w:r w:rsidRPr="00366534">
        <w:rPr>
          <w:rFonts w:ascii="Times New Roman" w:hAnsi="Times New Roman"/>
          <w:u w:val="single"/>
        </w:rPr>
        <w:t>Consideration of the use of improved information technology:</w:t>
      </w:r>
    </w:p>
    <w:p w:rsidR="00F146F1" w14:paraId="69FB9A55" w14:textId="77777777">
      <w:pPr>
        <w:widowControl/>
        <w:rPr>
          <w:rFonts w:ascii="Times New Roman" w:hAnsi="Times New Roman"/>
        </w:rPr>
      </w:pPr>
    </w:p>
    <w:p w:rsidR="00F146F1" w14:paraId="745C9AC6" w14:textId="77777777">
      <w:pPr>
        <w:widowControl/>
        <w:ind w:left="1440"/>
        <w:rPr>
          <w:rFonts w:ascii="Times New Roman" w:hAnsi="Times New Roman"/>
        </w:rPr>
      </w:pPr>
      <w:r w:rsidRPr="000014B9">
        <w:rPr>
          <w:rFonts w:ascii="Times New Roman" w:hAnsi="Times New Roman"/>
        </w:rPr>
        <w:t>Institutions are free to use whatever methods are the least burdensome to them for sending the necessary information to the FDIC</w:t>
      </w:r>
      <w:r w:rsidRPr="00FA4D5D" w:rsidR="00FA4D5D">
        <w:rPr>
          <w:rFonts w:ascii="Times New Roman" w:hAnsi="Times New Roman"/>
        </w:rPr>
        <w:t>.</w:t>
      </w:r>
      <w:r>
        <w:rPr>
          <w:rFonts w:ascii="Times New Roman" w:hAnsi="Times New Roman"/>
        </w:rPr>
        <w:t xml:space="preserve">  </w:t>
      </w:r>
    </w:p>
    <w:p w:rsidR="00F146F1" w14:paraId="1FAA8D5A" w14:textId="77777777">
      <w:pPr>
        <w:widowControl/>
        <w:ind w:left="1440"/>
        <w:rPr>
          <w:rFonts w:ascii="Times New Roman" w:hAnsi="Times New Roman"/>
        </w:rPr>
      </w:pPr>
    </w:p>
    <w:p w:rsidR="00F146F1" w:rsidP="00F175D5" w14:paraId="6CFD6D11" w14:textId="328DC796">
      <w:pPr>
        <w:widowControl/>
        <w:numPr>
          <w:ilvl w:val="0"/>
          <w:numId w:val="4"/>
        </w:numPr>
        <w:rPr>
          <w:rFonts w:ascii="Times New Roman" w:hAnsi="Times New Roman"/>
        </w:rPr>
      </w:pPr>
      <w:r w:rsidRPr="00366534">
        <w:rPr>
          <w:rFonts w:ascii="Times New Roman" w:hAnsi="Times New Roman"/>
          <w:u w:val="single"/>
        </w:rPr>
        <w:t xml:space="preserve">Efforts to </w:t>
      </w:r>
      <w:r>
        <w:rPr>
          <w:rFonts w:ascii="Times New Roman" w:hAnsi="Times New Roman"/>
          <w:u w:val="single"/>
        </w:rPr>
        <w:t>I</w:t>
      </w:r>
      <w:r w:rsidRPr="00366534">
        <w:rPr>
          <w:rFonts w:ascii="Times New Roman" w:hAnsi="Times New Roman"/>
          <w:u w:val="single"/>
        </w:rPr>
        <w:t xml:space="preserve">dentify </w:t>
      </w:r>
      <w:r>
        <w:rPr>
          <w:rFonts w:ascii="Times New Roman" w:hAnsi="Times New Roman"/>
          <w:u w:val="single"/>
        </w:rPr>
        <w:t>D</w:t>
      </w:r>
      <w:r w:rsidRPr="00366534">
        <w:rPr>
          <w:rFonts w:ascii="Times New Roman" w:hAnsi="Times New Roman"/>
          <w:u w:val="single"/>
        </w:rPr>
        <w:t>uplication</w:t>
      </w:r>
      <w:r w:rsidRPr="00366534" w:rsidR="00F175D5">
        <w:rPr>
          <w:rFonts w:ascii="Times New Roman" w:hAnsi="Times New Roman"/>
          <w:u w:val="single"/>
        </w:rPr>
        <w:t>:</w:t>
      </w:r>
    </w:p>
    <w:p w:rsidR="00F146F1" w14:paraId="514E07EE" w14:textId="77777777">
      <w:pPr>
        <w:widowControl/>
        <w:rPr>
          <w:rFonts w:ascii="Times New Roman" w:hAnsi="Times New Roman"/>
        </w:rPr>
      </w:pPr>
    </w:p>
    <w:p w:rsidR="00F146F1" w:rsidP="00FA4D5D" w14:paraId="39931EE3" w14:textId="77777777">
      <w:pPr>
        <w:widowControl/>
        <w:ind w:left="1440"/>
        <w:rPr>
          <w:rFonts w:ascii="Times New Roman" w:hAnsi="Times New Roman"/>
        </w:rPr>
      </w:pPr>
      <w:r w:rsidRPr="00D367A8">
        <w:rPr>
          <w:rFonts w:ascii="Times New Roman" w:hAnsi="Times New Roman"/>
        </w:rPr>
        <w:t xml:space="preserve">There is no duplication.  Each respondent is encouraged to adopt policies and procedures appropriate to their </w:t>
      </w:r>
      <w:r w:rsidRPr="00D367A8">
        <w:rPr>
          <w:rFonts w:ascii="Times New Roman" w:hAnsi="Times New Roman"/>
        </w:rPr>
        <w:t>particular circumstances</w:t>
      </w:r>
      <w:r w:rsidRPr="00D367A8">
        <w:rPr>
          <w:rFonts w:ascii="Times New Roman" w:hAnsi="Times New Roman"/>
        </w:rPr>
        <w:t>, level of complexity and size.</w:t>
      </w:r>
    </w:p>
    <w:p w:rsidR="00ED4700" w14:paraId="5C14B3BE" w14:textId="77777777">
      <w:pPr>
        <w:widowControl/>
        <w:ind w:left="1440"/>
        <w:rPr>
          <w:rFonts w:ascii="Times New Roman" w:hAnsi="Times New Roman"/>
        </w:rPr>
      </w:pPr>
    </w:p>
    <w:p w:rsidR="00F146F1" w:rsidP="00F175D5" w14:paraId="21407297" w14:textId="77777777">
      <w:pPr>
        <w:widowControl/>
        <w:numPr>
          <w:ilvl w:val="0"/>
          <w:numId w:val="4"/>
        </w:numPr>
        <w:rPr>
          <w:rFonts w:ascii="Times New Roman" w:hAnsi="Times New Roman"/>
        </w:rPr>
      </w:pPr>
      <w:r w:rsidRPr="00366534">
        <w:rPr>
          <w:rFonts w:ascii="Times New Roman" w:hAnsi="Times New Roman"/>
          <w:u w:val="single"/>
        </w:rPr>
        <w:t>Methods used to minimize burden if the collection has a significant impact on a substantial number of small entities:</w:t>
      </w:r>
    </w:p>
    <w:p w:rsidR="00F146F1" w14:paraId="4078DA48" w14:textId="77777777">
      <w:pPr>
        <w:widowControl/>
        <w:rPr>
          <w:rFonts w:ascii="Times New Roman" w:hAnsi="Times New Roman"/>
        </w:rPr>
      </w:pPr>
    </w:p>
    <w:p w:rsidR="00F146F1" w:rsidP="000014B9" w14:paraId="775AC44F" w14:textId="77777777">
      <w:pPr>
        <w:widowControl/>
        <w:ind w:left="1440"/>
        <w:rPr>
          <w:rFonts w:ascii="Times New Roman" w:hAnsi="Times New Roman"/>
          <w:szCs w:val="24"/>
        </w:rPr>
      </w:pPr>
      <w:r w:rsidRPr="00D367A8">
        <w:rPr>
          <w:rFonts w:ascii="Times New Roman" w:hAnsi="Times New Roman"/>
        </w:rPr>
        <w:t xml:space="preserve">The information collection is not expected to have a significant impact on a substantial number of small entities. Each respondent is encouraged to adopt policies and procedures appropriate to their </w:t>
      </w:r>
      <w:r w:rsidRPr="00D367A8">
        <w:rPr>
          <w:rFonts w:ascii="Times New Roman" w:hAnsi="Times New Roman"/>
        </w:rPr>
        <w:t>particular circumstances</w:t>
      </w:r>
      <w:r w:rsidRPr="00D367A8">
        <w:rPr>
          <w:rFonts w:ascii="Times New Roman" w:hAnsi="Times New Roman"/>
        </w:rPr>
        <w:t>, level of complexity and size.</w:t>
      </w:r>
    </w:p>
    <w:p w:rsidR="004A75C2" w:rsidP="004A75C2" w14:paraId="702A07D4" w14:textId="77777777">
      <w:pPr>
        <w:widowControl/>
        <w:rPr>
          <w:rFonts w:ascii="Times New Roman" w:hAnsi="Times New Roman"/>
        </w:rPr>
      </w:pPr>
    </w:p>
    <w:p w:rsidR="00F146F1" w:rsidP="00F175D5" w14:paraId="177B370B" w14:textId="11C50D12">
      <w:pPr>
        <w:widowControl/>
        <w:numPr>
          <w:ilvl w:val="0"/>
          <w:numId w:val="4"/>
        </w:numPr>
        <w:rPr>
          <w:rFonts w:ascii="Times New Roman" w:hAnsi="Times New Roman"/>
        </w:rPr>
      </w:pPr>
      <w:r w:rsidRPr="00366534">
        <w:rPr>
          <w:rFonts w:ascii="Times New Roman" w:hAnsi="Times New Roman"/>
          <w:u w:val="single"/>
        </w:rPr>
        <w:t xml:space="preserve">Consequences to </w:t>
      </w:r>
      <w:r>
        <w:rPr>
          <w:rFonts w:ascii="Times New Roman" w:hAnsi="Times New Roman"/>
          <w:u w:val="single"/>
        </w:rPr>
        <w:t>Less Frequent Collections</w:t>
      </w:r>
      <w:r w:rsidRPr="00366534" w:rsidR="00F175D5">
        <w:rPr>
          <w:rFonts w:ascii="Times New Roman" w:hAnsi="Times New Roman"/>
          <w:u w:val="single"/>
        </w:rPr>
        <w:t>:</w:t>
      </w:r>
    </w:p>
    <w:p w:rsidR="00F146F1" w14:paraId="6CFB718B" w14:textId="77777777">
      <w:pPr>
        <w:widowControl/>
        <w:rPr>
          <w:rFonts w:ascii="Times New Roman" w:hAnsi="Times New Roman"/>
        </w:rPr>
      </w:pPr>
    </w:p>
    <w:p w:rsidR="00F146F1" w14:paraId="053FC574" w14:textId="77777777">
      <w:pPr>
        <w:widowControl/>
        <w:ind w:left="1440"/>
        <w:rPr>
          <w:rFonts w:ascii="Times New Roman" w:hAnsi="Times New Roman"/>
        </w:rPr>
      </w:pPr>
      <w:r w:rsidRPr="00D367A8">
        <w:rPr>
          <w:rFonts w:ascii="Times New Roman" w:hAnsi="Times New Roman"/>
        </w:rPr>
        <w:t>The FDIC believes that less frequent collection (a less stringent disclosure standard) would result in unacceptable risk of harm to customers of financial institutions</w:t>
      </w:r>
      <w:r w:rsidRPr="00E57520" w:rsidR="00E57520">
        <w:rPr>
          <w:rFonts w:ascii="Times New Roman" w:hAnsi="Times New Roman"/>
        </w:rPr>
        <w:t>.</w:t>
      </w:r>
    </w:p>
    <w:p w:rsidR="00F146F1" w14:paraId="7A86B29A" w14:textId="77777777">
      <w:pPr>
        <w:widowControl/>
        <w:rPr>
          <w:rFonts w:ascii="Times New Roman" w:hAnsi="Times New Roman"/>
        </w:rPr>
      </w:pPr>
    </w:p>
    <w:p w:rsidR="00F146F1" w:rsidP="00F175D5" w14:paraId="1C7EB861" w14:textId="77777777">
      <w:pPr>
        <w:widowControl/>
        <w:numPr>
          <w:ilvl w:val="0"/>
          <w:numId w:val="4"/>
        </w:numPr>
        <w:rPr>
          <w:rFonts w:ascii="Times New Roman" w:hAnsi="Times New Roman"/>
        </w:rPr>
      </w:pPr>
      <w:r w:rsidRPr="00366534">
        <w:rPr>
          <w:rFonts w:ascii="Times New Roman" w:hAnsi="Times New Roman"/>
          <w:u w:val="single"/>
        </w:rPr>
        <w:t>Special circumstances necessitating collection inconsistent with 5 CFR Part 1320.5(d)(2):</w:t>
      </w:r>
    </w:p>
    <w:p w:rsidR="00F146F1" w14:paraId="44743396" w14:textId="77777777">
      <w:pPr>
        <w:widowControl/>
        <w:rPr>
          <w:rFonts w:ascii="Times New Roman" w:hAnsi="Times New Roman"/>
        </w:rPr>
      </w:pPr>
    </w:p>
    <w:p w:rsidR="00F146F1" w:rsidP="00820109" w14:paraId="38EBCCDF" w14:textId="129CBF6B">
      <w:pPr>
        <w:widowControl/>
        <w:ind w:left="1440"/>
        <w:rPr>
          <w:rFonts w:ascii="Times New Roman" w:hAnsi="Times New Roman"/>
        </w:rPr>
      </w:pPr>
      <w:r w:rsidRPr="00366534">
        <w:rPr>
          <w:rFonts w:ascii="Times New Roman" w:hAnsi="Times New Roman"/>
        </w:rPr>
        <w:t>None</w:t>
      </w:r>
    </w:p>
    <w:p w:rsidR="00F146F1" w14:paraId="491F5683" w14:textId="77777777">
      <w:pPr>
        <w:widowControl/>
        <w:ind w:left="576"/>
        <w:rPr>
          <w:rFonts w:ascii="Times New Roman" w:hAnsi="Times New Roman"/>
        </w:rPr>
      </w:pPr>
    </w:p>
    <w:p w:rsidR="00F146F1" w:rsidP="00F175D5" w14:paraId="5246AEB7" w14:textId="15557D4F">
      <w:pPr>
        <w:widowControl/>
        <w:numPr>
          <w:ilvl w:val="0"/>
          <w:numId w:val="4"/>
        </w:numPr>
        <w:rPr>
          <w:rFonts w:ascii="Times New Roman" w:hAnsi="Times New Roman"/>
        </w:rPr>
      </w:pPr>
      <w:r>
        <w:rPr>
          <w:rFonts w:ascii="Times New Roman" w:hAnsi="Times New Roman"/>
          <w:u w:val="single"/>
        </w:rPr>
        <w:t>Consultation</w:t>
      </w:r>
      <w:r w:rsidRPr="00366534">
        <w:rPr>
          <w:rFonts w:ascii="Times New Roman" w:hAnsi="Times New Roman"/>
          <w:u w:val="single"/>
        </w:rPr>
        <w:t xml:space="preserve"> with </w:t>
      </w:r>
      <w:r>
        <w:rPr>
          <w:rFonts w:ascii="Times New Roman" w:hAnsi="Times New Roman"/>
          <w:u w:val="single"/>
        </w:rPr>
        <w:t>P</w:t>
      </w:r>
      <w:r w:rsidRPr="00366534">
        <w:rPr>
          <w:rFonts w:ascii="Times New Roman" w:hAnsi="Times New Roman"/>
          <w:u w:val="single"/>
        </w:rPr>
        <w:t xml:space="preserve">ersons </w:t>
      </w:r>
      <w:r>
        <w:rPr>
          <w:rFonts w:ascii="Times New Roman" w:hAnsi="Times New Roman"/>
          <w:u w:val="single"/>
        </w:rPr>
        <w:t>O</w:t>
      </w:r>
      <w:r w:rsidRPr="00366534">
        <w:rPr>
          <w:rFonts w:ascii="Times New Roman" w:hAnsi="Times New Roman"/>
          <w:u w:val="single"/>
        </w:rPr>
        <w:t xml:space="preserve">utside the </w:t>
      </w:r>
      <w:r>
        <w:rPr>
          <w:rFonts w:ascii="Times New Roman" w:hAnsi="Times New Roman"/>
          <w:u w:val="single"/>
        </w:rPr>
        <w:t>FDIC</w:t>
      </w:r>
      <w:r w:rsidRPr="00366534" w:rsidR="002423D4">
        <w:rPr>
          <w:rFonts w:ascii="Times New Roman" w:hAnsi="Times New Roman"/>
          <w:u w:val="single"/>
        </w:rPr>
        <w:t>:</w:t>
      </w:r>
    </w:p>
    <w:p w:rsidR="00F146F1" w:rsidRPr="00280958" w:rsidP="00280958" w14:paraId="7CA9751F" w14:textId="77777777">
      <w:pPr>
        <w:widowControl/>
        <w:ind w:left="1440"/>
        <w:rPr>
          <w:rFonts w:ascii="Times New Roman" w:hAnsi="Times New Roman"/>
        </w:rPr>
      </w:pPr>
    </w:p>
    <w:p w:rsidR="00F146F1" w:rsidP="00280958" w14:paraId="0BFF33E1" w14:textId="4ADF9029">
      <w:pPr>
        <w:pStyle w:val="Footer"/>
        <w:widowControl/>
        <w:tabs>
          <w:tab w:val="clear" w:pos="4320"/>
          <w:tab w:val="clear" w:pos="8640"/>
        </w:tabs>
        <w:ind w:left="1440"/>
        <w:rPr>
          <w:rFonts w:ascii="Times New Roman" w:hAnsi="Times New Roman"/>
        </w:rPr>
      </w:pPr>
      <w:r w:rsidRPr="005E1A91">
        <w:rPr>
          <w:rFonts w:ascii="Times New Roman" w:hAnsi="Times New Roman"/>
        </w:rPr>
        <w:t xml:space="preserve">A 60-day notice seeking public comment on the </w:t>
      </w:r>
      <w:r>
        <w:rPr>
          <w:rFonts w:ascii="Times New Roman" w:hAnsi="Times New Roman"/>
        </w:rPr>
        <w:t>FDIC’s</w:t>
      </w:r>
      <w:r w:rsidRPr="005E1A91">
        <w:rPr>
          <w:rFonts w:ascii="Times New Roman" w:hAnsi="Times New Roman"/>
        </w:rPr>
        <w:t xml:space="preserve"> renewal of the information collection was published on </w:t>
      </w:r>
      <w:r w:rsidR="00655E8E">
        <w:rPr>
          <w:rFonts w:ascii="Times New Roman" w:hAnsi="Times New Roman"/>
        </w:rPr>
        <w:t>March 4, 2025</w:t>
      </w:r>
      <w:r w:rsidR="00CA5E80">
        <w:rPr>
          <w:rFonts w:ascii="Times New Roman" w:hAnsi="Times New Roman"/>
        </w:rPr>
        <w:t xml:space="preserve"> (</w:t>
      </w:r>
      <w:r w:rsidR="00655E8E">
        <w:rPr>
          <w:rFonts w:ascii="Times New Roman" w:hAnsi="Times New Roman"/>
        </w:rPr>
        <w:t>90</w:t>
      </w:r>
      <w:r>
        <w:rPr>
          <w:rFonts w:ascii="Times New Roman" w:hAnsi="Times New Roman"/>
        </w:rPr>
        <w:t xml:space="preserve"> FR </w:t>
      </w:r>
      <w:r w:rsidR="00655E8E">
        <w:rPr>
          <w:rFonts w:ascii="Times New Roman" w:hAnsi="Times New Roman"/>
        </w:rPr>
        <w:t>11173</w:t>
      </w:r>
      <w:r>
        <w:rPr>
          <w:rFonts w:ascii="Times New Roman" w:hAnsi="Times New Roman"/>
        </w:rPr>
        <w:t>)</w:t>
      </w:r>
      <w:r w:rsidRPr="005E1A91">
        <w:rPr>
          <w:rFonts w:ascii="Times New Roman" w:hAnsi="Times New Roman"/>
        </w:rPr>
        <w:t xml:space="preserve">.  </w:t>
      </w:r>
      <w:r w:rsidRPr="005E1A91" w:rsidR="005E66C4">
        <w:rPr>
          <w:rFonts w:ascii="Times New Roman" w:hAnsi="Times New Roman"/>
        </w:rPr>
        <w:t>No comments were received</w:t>
      </w:r>
      <w:r w:rsidRPr="005E1A91">
        <w:rPr>
          <w:rFonts w:ascii="Times New Roman" w:hAnsi="Times New Roman"/>
        </w:rPr>
        <w:t>.</w:t>
      </w:r>
      <w:r w:rsidRPr="00280958" w:rsidR="00280958">
        <w:rPr>
          <w:rFonts w:ascii="Times New Roman" w:hAnsi="Times New Roman"/>
        </w:rPr>
        <w:t xml:space="preserve"> </w:t>
      </w:r>
    </w:p>
    <w:p w:rsidR="005E66C4" w14:paraId="5875FDE7" w14:textId="5C5A4AD1">
      <w:pPr>
        <w:widowControl/>
        <w:rPr>
          <w:rFonts w:ascii="Times New Roman" w:hAnsi="Times New Roman"/>
        </w:rPr>
      </w:pPr>
      <w:r>
        <w:rPr>
          <w:rFonts w:ascii="Times New Roman" w:hAnsi="Times New Roman"/>
        </w:rPr>
        <w:br w:type="page"/>
      </w:r>
    </w:p>
    <w:p w:rsidR="00280958" w:rsidRPr="00280958" w:rsidP="00280958" w14:paraId="0EF52380" w14:textId="77777777">
      <w:pPr>
        <w:pStyle w:val="Footer"/>
        <w:widowControl/>
        <w:tabs>
          <w:tab w:val="clear" w:pos="4320"/>
          <w:tab w:val="clear" w:pos="8640"/>
        </w:tabs>
        <w:ind w:left="1440"/>
        <w:rPr>
          <w:rFonts w:ascii="Times New Roman" w:hAnsi="Times New Roman"/>
        </w:rPr>
      </w:pPr>
    </w:p>
    <w:p w:rsidR="00F146F1" w:rsidP="00F175D5" w14:paraId="419A657A" w14:textId="4878AEE0">
      <w:pPr>
        <w:widowControl/>
        <w:numPr>
          <w:ilvl w:val="0"/>
          <w:numId w:val="4"/>
        </w:numPr>
        <w:rPr>
          <w:rFonts w:ascii="Times New Roman" w:hAnsi="Times New Roman"/>
        </w:rPr>
      </w:pPr>
      <w:r w:rsidRPr="00366534">
        <w:rPr>
          <w:rFonts w:ascii="Times New Roman" w:hAnsi="Times New Roman"/>
          <w:u w:val="single"/>
        </w:rPr>
        <w:t xml:space="preserve">Payment or </w:t>
      </w:r>
      <w:r>
        <w:rPr>
          <w:rFonts w:ascii="Times New Roman" w:hAnsi="Times New Roman"/>
          <w:u w:val="single"/>
        </w:rPr>
        <w:t>G</w:t>
      </w:r>
      <w:r w:rsidRPr="00366534">
        <w:rPr>
          <w:rFonts w:ascii="Times New Roman" w:hAnsi="Times New Roman"/>
          <w:u w:val="single"/>
        </w:rPr>
        <w:t xml:space="preserve">ift to </w:t>
      </w:r>
      <w:r>
        <w:rPr>
          <w:rFonts w:ascii="Times New Roman" w:hAnsi="Times New Roman"/>
          <w:u w:val="single"/>
        </w:rPr>
        <w:t>R</w:t>
      </w:r>
      <w:r w:rsidRPr="00366534">
        <w:rPr>
          <w:rFonts w:ascii="Times New Roman" w:hAnsi="Times New Roman"/>
          <w:u w:val="single"/>
        </w:rPr>
        <w:t>espondents</w:t>
      </w:r>
      <w:r w:rsidRPr="00366534" w:rsidR="002423D4">
        <w:rPr>
          <w:rFonts w:ascii="Times New Roman" w:hAnsi="Times New Roman"/>
          <w:u w:val="single"/>
        </w:rPr>
        <w:t>:</w:t>
      </w:r>
    </w:p>
    <w:p w:rsidR="00F146F1" w14:paraId="5B33DC00" w14:textId="77777777">
      <w:pPr>
        <w:widowControl/>
        <w:rPr>
          <w:rFonts w:ascii="Times New Roman" w:hAnsi="Times New Roman"/>
        </w:rPr>
      </w:pPr>
    </w:p>
    <w:p w:rsidR="00F146F1" w14:paraId="6F8BCE4E" w14:textId="77777777">
      <w:pPr>
        <w:widowControl/>
        <w:ind w:left="720" w:firstLine="720"/>
        <w:rPr>
          <w:rFonts w:ascii="Times New Roman" w:hAnsi="Times New Roman"/>
        </w:rPr>
      </w:pPr>
      <w:r w:rsidRPr="00712BA4">
        <w:rPr>
          <w:rFonts w:ascii="Times New Roman" w:hAnsi="Times New Roman"/>
        </w:rPr>
        <w:t>Not applicable.</w:t>
      </w:r>
      <w:r>
        <w:rPr>
          <w:rFonts w:ascii="Times New Roman" w:hAnsi="Times New Roman"/>
        </w:rPr>
        <w:t xml:space="preserve"> </w:t>
      </w:r>
    </w:p>
    <w:p w:rsidR="00573F81" w:rsidP="00E57520" w14:paraId="61766C29" w14:textId="77777777">
      <w:pPr>
        <w:widowControl/>
        <w:rPr>
          <w:rFonts w:ascii="Times New Roman" w:hAnsi="Times New Roman"/>
        </w:rPr>
      </w:pPr>
    </w:p>
    <w:p w:rsidR="00F146F1" w:rsidP="00F175D5" w14:paraId="17205B68" w14:textId="77777777">
      <w:pPr>
        <w:widowControl/>
        <w:numPr>
          <w:ilvl w:val="0"/>
          <w:numId w:val="4"/>
        </w:numPr>
        <w:rPr>
          <w:rFonts w:ascii="Times New Roman" w:hAnsi="Times New Roman"/>
        </w:rPr>
      </w:pPr>
      <w:r w:rsidRPr="00366534">
        <w:rPr>
          <w:rFonts w:ascii="Times New Roman" w:hAnsi="Times New Roman"/>
          <w:u w:val="single"/>
        </w:rPr>
        <w:t>Any assurance of confidentiality:</w:t>
      </w:r>
    </w:p>
    <w:p w:rsidR="00F146F1" w14:paraId="4F5F5795" w14:textId="77777777">
      <w:pPr>
        <w:widowControl/>
        <w:ind w:left="576"/>
        <w:rPr>
          <w:rFonts w:ascii="Times New Roman" w:hAnsi="Times New Roman"/>
        </w:rPr>
      </w:pPr>
    </w:p>
    <w:p w:rsidR="00F146F1" w14:paraId="17AFCED1" w14:textId="77777777">
      <w:pPr>
        <w:widowControl/>
        <w:ind w:left="1440"/>
        <w:rPr>
          <w:rFonts w:ascii="Times New Roman" w:hAnsi="Times New Roman"/>
        </w:rPr>
      </w:pPr>
      <w:r w:rsidRPr="00E57520">
        <w:rPr>
          <w:rFonts w:ascii="Times New Roman" w:hAnsi="Times New Roman"/>
        </w:rPr>
        <w:t>Any information deemed to be of a confidential nature would be exempt from public disclosure in accordance with the provisions of the Freedom of Information Act (5 U.S.C. 552).</w:t>
      </w:r>
      <w:r>
        <w:rPr>
          <w:rFonts w:ascii="Times New Roman" w:hAnsi="Times New Roman"/>
        </w:rPr>
        <w:t xml:space="preserve">  </w:t>
      </w:r>
    </w:p>
    <w:p w:rsidR="00F146F1" w14:paraId="4E9DD9AD" w14:textId="77777777">
      <w:pPr>
        <w:widowControl/>
        <w:rPr>
          <w:rFonts w:ascii="Times New Roman" w:hAnsi="Times New Roman"/>
        </w:rPr>
      </w:pPr>
    </w:p>
    <w:p w:rsidR="00F146F1" w:rsidP="00F175D5" w14:paraId="18B4B311" w14:textId="77777777">
      <w:pPr>
        <w:widowControl/>
        <w:numPr>
          <w:ilvl w:val="0"/>
          <w:numId w:val="4"/>
        </w:numPr>
        <w:rPr>
          <w:rFonts w:ascii="Times New Roman" w:hAnsi="Times New Roman"/>
        </w:rPr>
      </w:pPr>
      <w:r w:rsidRPr="00366534">
        <w:rPr>
          <w:rFonts w:ascii="Times New Roman" w:hAnsi="Times New Roman"/>
          <w:u w:val="single"/>
        </w:rPr>
        <w:t>Justification for questions of a sensitive nature:</w:t>
      </w:r>
    </w:p>
    <w:p w:rsidR="00F146F1" w14:paraId="67465842" w14:textId="77777777">
      <w:pPr>
        <w:widowControl/>
        <w:rPr>
          <w:rFonts w:ascii="Times New Roman" w:hAnsi="Times New Roman"/>
        </w:rPr>
      </w:pPr>
    </w:p>
    <w:p w:rsidR="009D2562" w:rsidP="009D2562" w14:paraId="10B4C7F4" w14:textId="77777777">
      <w:pPr>
        <w:widowControl/>
        <w:ind w:left="1440"/>
        <w:rPr>
          <w:rFonts w:ascii="Times New Roman" w:hAnsi="Times New Roman"/>
        </w:rPr>
      </w:pPr>
      <w:r w:rsidRPr="00945113">
        <w:rPr>
          <w:rFonts w:ascii="Times New Roman" w:hAnsi="Times New Roman"/>
        </w:rPr>
        <w:t>The information collection does not request information of a sensitive nature</w:t>
      </w:r>
      <w:r w:rsidRPr="000014B9" w:rsidR="000014B9">
        <w:rPr>
          <w:rFonts w:ascii="Times New Roman" w:hAnsi="Times New Roman"/>
        </w:rPr>
        <w:t>.</w:t>
      </w:r>
    </w:p>
    <w:p w:rsidR="00BE7264" w:rsidP="009D2562" w14:paraId="0267854E" w14:textId="77777777">
      <w:pPr>
        <w:widowControl/>
        <w:ind w:left="1440"/>
        <w:rPr>
          <w:rFonts w:ascii="Times New Roman" w:hAnsi="Times New Roman"/>
        </w:rPr>
      </w:pPr>
    </w:p>
    <w:p w:rsidR="00F146F1" w:rsidRPr="009234BE" w:rsidP="00F175D5" w14:paraId="5871B483" w14:textId="30DA9A0D">
      <w:pPr>
        <w:widowControl/>
        <w:numPr>
          <w:ilvl w:val="0"/>
          <w:numId w:val="4"/>
        </w:numPr>
        <w:rPr>
          <w:rFonts w:ascii="Times New Roman" w:hAnsi="Times New Roman"/>
        </w:rPr>
      </w:pPr>
      <w:bookmarkStart w:id="0" w:name="_DV_M10"/>
      <w:bookmarkEnd w:id="0"/>
      <w:r w:rsidRPr="009234BE">
        <w:rPr>
          <w:rFonts w:ascii="Times New Roman" w:hAnsi="Times New Roman"/>
          <w:u w:val="single"/>
        </w:rPr>
        <w:t xml:space="preserve">Estimate of </w:t>
      </w:r>
      <w:r>
        <w:rPr>
          <w:rFonts w:ascii="Times New Roman" w:hAnsi="Times New Roman"/>
          <w:u w:val="single"/>
        </w:rPr>
        <w:t>H</w:t>
      </w:r>
      <w:r w:rsidRPr="009234BE">
        <w:rPr>
          <w:rFonts w:ascii="Times New Roman" w:hAnsi="Times New Roman"/>
          <w:u w:val="single"/>
        </w:rPr>
        <w:t xml:space="preserve">our </w:t>
      </w:r>
      <w:r>
        <w:rPr>
          <w:rFonts w:ascii="Times New Roman" w:hAnsi="Times New Roman"/>
          <w:u w:val="single"/>
        </w:rPr>
        <w:t>B</w:t>
      </w:r>
      <w:r w:rsidRPr="009234BE">
        <w:rPr>
          <w:rFonts w:ascii="Times New Roman" w:hAnsi="Times New Roman"/>
          <w:u w:val="single"/>
        </w:rPr>
        <w:t xml:space="preserve">urden </w:t>
      </w:r>
      <w:r>
        <w:rPr>
          <w:rFonts w:ascii="Times New Roman" w:hAnsi="Times New Roman"/>
          <w:u w:val="single"/>
        </w:rPr>
        <w:t>I</w:t>
      </w:r>
      <w:r w:rsidRPr="009234BE">
        <w:rPr>
          <w:rFonts w:ascii="Times New Roman" w:hAnsi="Times New Roman"/>
          <w:u w:val="single"/>
        </w:rPr>
        <w:t xml:space="preserve">ncluding </w:t>
      </w:r>
      <w:r>
        <w:rPr>
          <w:rFonts w:ascii="Times New Roman" w:hAnsi="Times New Roman"/>
          <w:u w:val="single"/>
        </w:rPr>
        <w:t>A</w:t>
      </w:r>
      <w:r w:rsidRPr="009234BE">
        <w:rPr>
          <w:rFonts w:ascii="Times New Roman" w:hAnsi="Times New Roman"/>
          <w:u w:val="single"/>
        </w:rPr>
        <w:t xml:space="preserve">nnualized </w:t>
      </w:r>
      <w:r>
        <w:rPr>
          <w:rFonts w:ascii="Times New Roman" w:hAnsi="Times New Roman"/>
          <w:u w:val="single"/>
        </w:rPr>
        <w:t>H</w:t>
      </w:r>
      <w:r w:rsidRPr="009234BE">
        <w:rPr>
          <w:rFonts w:ascii="Times New Roman" w:hAnsi="Times New Roman"/>
          <w:u w:val="single"/>
        </w:rPr>
        <w:t xml:space="preserve">ourly </w:t>
      </w:r>
      <w:r>
        <w:rPr>
          <w:rFonts w:ascii="Times New Roman" w:hAnsi="Times New Roman"/>
          <w:u w:val="single"/>
        </w:rPr>
        <w:t>C</w:t>
      </w:r>
      <w:r w:rsidRPr="009234BE">
        <w:rPr>
          <w:rFonts w:ascii="Times New Roman" w:hAnsi="Times New Roman"/>
          <w:u w:val="single"/>
        </w:rPr>
        <w:t>osts</w:t>
      </w:r>
      <w:r w:rsidRPr="009234BE" w:rsidR="002423D4">
        <w:rPr>
          <w:rFonts w:ascii="Times New Roman" w:hAnsi="Times New Roman"/>
          <w:u w:val="single"/>
        </w:rPr>
        <w:t>:</w:t>
      </w:r>
    </w:p>
    <w:p w:rsidR="00F146F1" w:rsidRPr="00820109" w14:paraId="1D26E1C2" w14:textId="77777777">
      <w:pPr>
        <w:widowControl/>
        <w:rPr>
          <w:rFonts w:ascii="Times New Roman" w:hAnsi="Times New Roman"/>
          <w:sz w:val="22"/>
          <w:szCs w:val="22"/>
        </w:rPr>
      </w:pPr>
    </w:p>
    <w:tbl>
      <w:tblPr>
        <w:tblW w:w="10272" w:type="dxa"/>
        <w:tblCellMar>
          <w:top w:w="15" w:type="dxa"/>
        </w:tblCellMar>
        <w:tblLook w:val="04A0"/>
      </w:tblPr>
      <w:tblGrid>
        <w:gridCol w:w="2344"/>
        <w:gridCol w:w="2084"/>
        <w:gridCol w:w="1478"/>
        <w:gridCol w:w="1893"/>
        <w:gridCol w:w="1194"/>
        <w:gridCol w:w="1279"/>
      </w:tblGrid>
      <w:tr w14:paraId="64B49051" w14:textId="77777777" w:rsidTr="00272315">
        <w:tblPrEx>
          <w:tblW w:w="10272" w:type="dxa"/>
          <w:tblCellMar>
            <w:top w:w="15" w:type="dxa"/>
          </w:tblCellMar>
          <w:tblLook w:val="04A0"/>
        </w:tblPrEx>
        <w:trPr>
          <w:trHeight w:val="384"/>
        </w:trPr>
        <w:tc>
          <w:tcPr>
            <w:tcW w:w="1027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D94BDB" w:rsidRPr="00D94BDB" w:rsidP="00BA4F4E" w14:paraId="33A1E400" w14:textId="6BE351DC">
            <w:pPr>
              <w:jc w:val="center"/>
              <w:rPr>
                <w:rFonts w:ascii="Times New Roman" w:hAnsi="Times New Roman"/>
                <w:color w:val="000000"/>
                <w:szCs w:val="24"/>
              </w:rPr>
            </w:pPr>
            <w:r w:rsidRPr="00D94BDB">
              <w:rPr>
                <w:rFonts w:ascii="Times New Roman" w:hAnsi="Times New Roman"/>
                <w:color w:val="000000"/>
                <w:szCs w:val="24"/>
              </w:rPr>
              <w:t>Summary of Estimated Annual Burden (OMB No. 3064-0145)</w:t>
            </w:r>
          </w:p>
        </w:tc>
      </w:tr>
      <w:tr w14:paraId="3CB4CCEA" w14:textId="77777777" w:rsidTr="00272315">
        <w:tblPrEx>
          <w:tblW w:w="10272" w:type="dxa"/>
          <w:tblCellMar>
            <w:top w:w="15" w:type="dxa"/>
          </w:tblCellMar>
          <w:tblLook w:val="04A0"/>
        </w:tblPrEx>
        <w:trPr>
          <w:trHeight w:val="895"/>
        </w:trPr>
        <w:tc>
          <w:tcPr>
            <w:tcW w:w="2344" w:type="dxa"/>
            <w:tcBorders>
              <w:top w:val="nil"/>
              <w:left w:val="single" w:sz="8" w:space="0" w:color="auto"/>
              <w:bottom w:val="single" w:sz="8" w:space="0" w:color="auto"/>
              <w:right w:val="single" w:sz="8" w:space="0" w:color="auto"/>
            </w:tcBorders>
            <w:shd w:val="clear" w:color="auto" w:fill="auto"/>
            <w:vAlign w:val="center"/>
            <w:hideMark/>
          </w:tcPr>
          <w:p w:rsidR="00D94BDB" w:rsidRPr="00D94BDB" w:rsidP="00BA4F4E" w14:paraId="7E1155BA" w14:textId="77777777">
            <w:pPr>
              <w:rPr>
                <w:rFonts w:ascii="Times New Roman" w:hAnsi="Times New Roman"/>
                <w:color w:val="000000"/>
                <w:sz w:val="20"/>
              </w:rPr>
            </w:pPr>
            <w:r w:rsidRPr="00D94BDB">
              <w:rPr>
                <w:rFonts w:ascii="Times New Roman" w:hAnsi="Times New Roman"/>
                <w:color w:val="000000"/>
                <w:sz w:val="20"/>
              </w:rPr>
              <w:t>Information Collection (IC) (Obligation to Respond)</w:t>
            </w:r>
          </w:p>
        </w:tc>
        <w:tc>
          <w:tcPr>
            <w:tcW w:w="2084" w:type="dxa"/>
            <w:tcBorders>
              <w:top w:val="nil"/>
              <w:left w:val="nil"/>
              <w:bottom w:val="single" w:sz="8" w:space="0" w:color="auto"/>
              <w:right w:val="single" w:sz="8" w:space="0" w:color="auto"/>
            </w:tcBorders>
            <w:shd w:val="clear" w:color="auto" w:fill="auto"/>
            <w:vAlign w:val="center"/>
            <w:hideMark/>
          </w:tcPr>
          <w:p w:rsidR="00D94BDB" w:rsidRPr="00D94BDB" w:rsidP="00BA4F4E" w14:paraId="7A12CCC2" w14:textId="77777777">
            <w:pPr>
              <w:jc w:val="center"/>
              <w:rPr>
                <w:rFonts w:ascii="Times New Roman" w:hAnsi="Times New Roman"/>
                <w:color w:val="000000"/>
                <w:sz w:val="20"/>
              </w:rPr>
            </w:pPr>
            <w:r w:rsidRPr="00D94BDB">
              <w:rPr>
                <w:rFonts w:ascii="Times New Roman" w:hAnsi="Times New Roman"/>
                <w:color w:val="000000"/>
                <w:sz w:val="20"/>
              </w:rPr>
              <w:t>Type of Burden</w:t>
            </w:r>
            <w:r w:rsidRPr="00D94BDB">
              <w:rPr>
                <w:rFonts w:ascii="Times New Roman" w:hAnsi="Times New Roman"/>
                <w:color w:val="000000"/>
                <w:sz w:val="20"/>
              </w:rPr>
              <w:br/>
              <w:t>(Frequency of Response)</w:t>
            </w:r>
          </w:p>
        </w:tc>
        <w:tc>
          <w:tcPr>
            <w:tcW w:w="1478" w:type="dxa"/>
            <w:tcBorders>
              <w:top w:val="nil"/>
              <w:left w:val="nil"/>
              <w:bottom w:val="single" w:sz="8" w:space="0" w:color="auto"/>
              <w:right w:val="single" w:sz="8" w:space="0" w:color="auto"/>
            </w:tcBorders>
            <w:shd w:val="clear" w:color="auto" w:fill="auto"/>
            <w:vAlign w:val="center"/>
            <w:hideMark/>
          </w:tcPr>
          <w:p w:rsidR="00D94BDB" w:rsidRPr="00D94BDB" w:rsidP="00BA4F4E" w14:paraId="3E4628FC" w14:textId="77777777">
            <w:pPr>
              <w:jc w:val="center"/>
              <w:rPr>
                <w:rFonts w:ascii="Times New Roman" w:hAnsi="Times New Roman"/>
                <w:color w:val="000000"/>
                <w:sz w:val="20"/>
              </w:rPr>
            </w:pPr>
            <w:r w:rsidRPr="00D94BDB">
              <w:rPr>
                <w:rFonts w:ascii="Times New Roman" w:hAnsi="Times New Roman"/>
                <w:color w:val="000000"/>
                <w:sz w:val="20"/>
              </w:rPr>
              <w:t xml:space="preserve"> Number of Respondents</w:t>
            </w:r>
          </w:p>
        </w:tc>
        <w:tc>
          <w:tcPr>
            <w:tcW w:w="1893" w:type="dxa"/>
            <w:tcBorders>
              <w:top w:val="nil"/>
              <w:left w:val="nil"/>
              <w:bottom w:val="single" w:sz="8" w:space="0" w:color="auto"/>
              <w:right w:val="single" w:sz="8" w:space="0" w:color="auto"/>
            </w:tcBorders>
            <w:shd w:val="clear" w:color="auto" w:fill="auto"/>
            <w:vAlign w:val="center"/>
            <w:hideMark/>
          </w:tcPr>
          <w:p w:rsidR="00D94BDB" w:rsidRPr="00D94BDB" w:rsidP="00BA4F4E" w14:paraId="249F24CA" w14:textId="77777777">
            <w:pPr>
              <w:jc w:val="center"/>
              <w:rPr>
                <w:rFonts w:ascii="Times New Roman" w:hAnsi="Times New Roman"/>
                <w:color w:val="000000"/>
                <w:sz w:val="20"/>
              </w:rPr>
            </w:pPr>
            <w:r w:rsidRPr="00D94BDB">
              <w:rPr>
                <w:rFonts w:ascii="Times New Roman" w:hAnsi="Times New Roman"/>
                <w:color w:val="000000"/>
                <w:sz w:val="20"/>
              </w:rPr>
              <w:t xml:space="preserve"> Number of Responses per Respondent</w:t>
            </w:r>
          </w:p>
        </w:tc>
        <w:tc>
          <w:tcPr>
            <w:tcW w:w="1193" w:type="dxa"/>
            <w:tcBorders>
              <w:top w:val="nil"/>
              <w:left w:val="nil"/>
              <w:bottom w:val="single" w:sz="8" w:space="0" w:color="auto"/>
              <w:right w:val="single" w:sz="8" w:space="0" w:color="auto"/>
            </w:tcBorders>
            <w:shd w:val="clear" w:color="auto" w:fill="auto"/>
            <w:vAlign w:val="center"/>
            <w:hideMark/>
          </w:tcPr>
          <w:p w:rsidR="00D94BDB" w:rsidRPr="00D94BDB" w:rsidP="00BA4F4E" w14:paraId="085319AD" w14:textId="77777777">
            <w:pPr>
              <w:jc w:val="center"/>
              <w:rPr>
                <w:rFonts w:ascii="Times New Roman" w:hAnsi="Times New Roman"/>
                <w:color w:val="000000"/>
                <w:sz w:val="20"/>
              </w:rPr>
            </w:pPr>
            <w:r w:rsidRPr="00D94BDB">
              <w:rPr>
                <w:rFonts w:ascii="Times New Roman" w:hAnsi="Times New Roman"/>
                <w:color w:val="000000"/>
                <w:sz w:val="20"/>
              </w:rPr>
              <w:t>Time per Response (HH:MM)</w:t>
            </w:r>
          </w:p>
        </w:tc>
        <w:tc>
          <w:tcPr>
            <w:tcW w:w="1278" w:type="dxa"/>
            <w:tcBorders>
              <w:top w:val="nil"/>
              <w:left w:val="nil"/>
              <w:bottom w:val="single" w:sz="8" w:space="0" w:color="auto"/>
              <w:right w:val="single" w:sz="8" w:space="0" w:color="auto"/>
            </w:tcBorders>
            <w:shd w:val="clear" w:color="auto" w:fill="auto"/>
            <w:vAlign w:val="center"/>
            <w:hideMark/>
          </w:tcPr>
          <w:p w:rsidR="00D94BDB" w:rsidRPr="00D94BDB" w:rsidP="00BA4F4E" w14:paraId="770CAF7A" w14:textId="77777777">
            <w:pPr>
              <w:jc w:val="center"/>
              <w:rPr>
                <w:rFonts w:ascii="Times New Roman" w:hAnsi="Times New Roman"/>
                <w:color w:val="000000"/>
                <w:sz w:val="20"/>
              </w:rPr>
            </w:pPr>
            <w:r w:rsidRPr="00D94BDB">
              <w:rPr>
                <w:rFonts w:ascii="Times New Roman" w:hAnsi="Times New Roman"/>
                <w:color w:val="000000"/>
                <w:sz w:val="20"/>
              </w:rPr>
              <w:t>Annual Burden (Hours)</w:t>
            </w:r>
          </w:p>
        </w:tc>
      </w:tr>
      <w:tr w14:paraId="4121D055" w14:textId="77777777" w:rsidTr="00272315">
        <w:tblPrEx>
          <w:tblW w:w="10272" w:type="dxa"/>
          <w:tblCellMar>
            <w:top w:w="15" w:type="dxa"/>
          </w:tblCellMar>
          <w:tblLook w:val="04A0"/>
        </w:tblPrEx>
        <w:trPr>
          <w:trHeight w:val="1485"/>
        </w:trPr>
        <w:tc>
          <w:tcPr>
            <w:tcW w:w="2344" w:type="dxa"/>
            <w:tcBorders>
              <w:top w:val="nil"/>
              <w:left w:val="single" w:sz="8" w:space="0" w:color="auto"/>
              <w:bottom w:val="single" w:sz="8" w:space="0" w:color="auto"/>
              <w:right w:val="single" w:sz="8" w:space="0" w:color="auto"/>
            </w:tcBorders>
            <w:shd w:val="clear" w:color="auto" w:fill="auto"/>
            <w:vAlign w:val="center"/>
            <w:hideMark/>
          </w:tcPr>
          <w:p w:rsidR="00D94BDB" w:rsidRPr="00D94BDB" w:rsidP="00BA4F4E" w14:paraId="7F25EE91" w14:textId="77777777">
            <w:pPr>
              <w:rPr>
                <w:rFonts w:ascii="Times New Roman" w:hAnsi="Times New Roman"/>
                <w:color w:val="000000"/>
                <w:sz w:val="20"/>
              </w:rPr>
            </w:pPr>
            <w:r w:rsidRPr="00D94BDB">
              <w:rPr>
                <w:rFonts w:ascii="Times New Roman" w:hAnsi="Times New Roman"/>
                <w:color w:val="000000"/>
                <w:sz w:val="20"/>
              </w:rPr>
              <w:t>1. Develop Policies and Procedures for Response Program,</w:t>
            </w:r>
            <w:r w:rsidRPr="00D94BDB">
              <w:rPr>
                <w:rFonts w:ascii="Times New Roman" w:hAnsi="Times New Roman"/>
                <w:color w:val="000000"/>
                <w:sz w:val="20"/>
              </w:rPr>
              <w:br/>
            </w:r>
            <w:r w:rsidRPr="00D94BDB">
              <w:rPr>
                <w:rFonts w:ascii="Times New Roman" w:hAnsi="Times New Roman"/>
                <w:sz w:val="20"/>
              </w:rPr>
              <w:t>12 CFR Part 364, App. B, § III</w:t>
            </w:r>
            <w:r w:rsidRPr="00D94BDB">
              <w:rPr>
                <w:rFonts w:ascii="Times New Roman" w:hAnsi="Times New Roman"/>
                <w:color w:val="000000"/>
                <w:sz w:val="20"/>
              </w:rPr>
              <w:t xml:space="preserve"> (Mandatory)</w:t>
            </w:r>
          </w:p>
        </w:tc>
        <w:tc>
          <w:tcPr>
            <w:tcW w:w="2084" w:type="dxa"/>
            <w:tcBorders>
              <w:top w:val="nil"/>
              <w:left w:val="nil"/>
              <w:bottom w:val="single" w:sz="8" w:space="0" w:color="auto"/>
              <w:right w:val="single" w:sz="8" w:space="0" w:color="auto"/>
            </w:tcBorders>
            <w:shd w:val="clear" w:color="auto" w:fill="auto"/>
            <w:vAlign w:val="center"/>
            <w:hideMark/>
          </w:tcPr>
          <w:p w:rsidR="00D94BDB" w:rsidRPr="00D94BDB" w:rsidP="00BA4F4E" w14:paraId="6D3E2E67" w14:textId="77777777">
            <w:pPr>
              <w:jc w:val="center"/>
              <w:rPr>
                <w:rFonts w:ascii="Times New Roman" w:hAnsi="Times New Roman"/>
                <w:color w:val="000000"/>
                <w:sz w:val="20"/>
              </w:rPr>
            </w:pPr>
            <w:r w:rsidRPr="00D94BDB">
              <w:rPr>
                <w:rFonts w:ascii="Times New Roman" w:hAnsi="Times New Roman"/>
                <w:color w:val="000000"/>
                <w:sz w:val="20"/>
              </w:rPr>
              <w:t>Recordkeeping</w:t>
            </w:r>
            <w:r w:rsidRPr="00D94BDB">
              <w:rPr>
                <w:rFonts w:ascii="Times New Roman" w:hAnsi="Times New Roman"/>
                <w:color w:val="000000"/>
                <w:sz w:val="20"/>
              </w:rPr>
              <w:br/>
              <w:t>(On Occasion)</w:t>
            </w:r>
          </w:p>
        </w:tc>
        <w:tc>
          <w:tcPr>
            <w:tcW w:w="1478" w:type="dxa"/>
            <w:tcBorders>
              <w:top w:val="nil"/>
              <w:left w:val="nil"/>
              <w:bottom w:val="single" w:sz="8" w:space="0" w:color="auto"/>
              <w:right w:val="single" w:sz="8" w:space="0" w:color="auto"/>
            </w:tcBorders>
            <w:shd w:val="clear" w:color="auto" w:fill="auto"/>
            <w:noWrap/>
            <w:vAlign w:val="center"/>
            <w:hideMark/>
          </w:tcPr>
          <w:p w:rsidR="00D94BDB" w:rsidRPr="00D94BDB" w:rsidP="00BA4F4E" w14:paraId="05871DD5" w14:textId="77777777">
            <w:pPr>
              <w:jc w:val="right"/>
              <w:rPr>
                <w:rFonts w:ascii="Times New Roman" w:hAnsi="Times New Roman"/>
                <w:color w:val="000000"/>
                <w:sz w:val="20"/>
              </w:rPr>
            </w:pPr>
            <w:r w:rsidRPr="00D94BDB">
              <w:rPr>
                <w:rFonts w:ascii="Times New Roman" w:hAnsi="Times New Roman"/>
                <w:color w:val="000000"/>
                <w:sz w:val="20"/>
              </w:rPr>
              <w:t>9</w:t>
            </w:r>
          </w:p>
        </w:tc>
        <w:tc>
          <w:tcPr>
            <w:tcW w:w="1893" w:type="dxa"/>
            <w:tcBorders>
              <w:top w:val="nil"/>
              <w:left w:val="nil"/>
              <w:bottom w:val="single" w:sz="8" w:space="0" w:color="auto"/>
              <w:right w:val="single" w:sz="8" w:space="0" w:color="auto"/>
            </w:tcBorders>
            <w:shd w:val="clear" w:color="auto" w:fill="auto"/>
            <w:noWrap/>
            <w:vAlign w:val="center"/>
            <w:hideMark/>
          </w:tcPr>
          <w:p w:rsidR="00D94BDB" w:rsidRPr="00D94BDB" w:rsidP="00BA4F4E" w14:paraId="2B9023F6" w14:textId="77777777">
            <w:pPr>
              <w:jc w:val="right"/>
              <w:rPr>
                <w:rFonts w:ascii="Times New Roman" w:hAnsi="Times New Roman"/>
                <w:color w:val="000000"/>
                <w:sz w:val="20"/>
              </w:rPr>
            </w:pPr>
            <w:r w:rsidRPr="00D94BDB">
              <w:rPr>
                <w:rFonts w:ascii="Times New Roman" w:hAnsi="Times New Roman"/>
                <w:color w:val="000000"/>
                <w:sz w:val="20"/>
              </w:rPr>
              <w:t>1</w:t>
            </w:r>
          </w:p>
        </w:tc>
        <w:tc>
          <w:tcPr>
            <w:tcW w:w="1193" w:type="dxa"/>
            <w:tcBorders>
              <w:top w:val="nil"/>
              <w:left w:val="nil"/>
              <w:bottom w:val="single" w:sz="8" w:space="0" w:color="auto"/>
              <w:right w:val="nil"/>
            </w:tcBorders>
            <w:shd w:val="clear" w:color="auto" w:fill="auto"/>
            <w:vAlign w:val="center"/>
            <w:hideMark/>
          </w:tcPr>
          <w:p w:rsidR="00D94BDB" w:rsidRPr="00D94BDB" w:rsidP="00BA4F4E" w14:paraId="53C054F4" w14:textId="77777777">
            <w:pPr>
              <w:jc w:val="right"/>
              <w:rPr>
                <w:rFonts w:ascii="Times New Roman" w:hAnsi="Times New Roman"/>
                <w:color w:val="000000"/>
                <w:sz w:val="20"/>
              </w:rPr>
            </w:pPr>
            <w:r w:rsidRPr="00D94BDB">
              <w:rPr>
                <w:rFonts w:ascii="Times New Roman" w:hAnsi="Times New Roman"/>
                <w:color w:val="000000"/>
                <w:sz w:val="20"/>
              </w:rPr>
              <w:t>24:00</w:t>
            </w:r>
          </w:p>
        </w:tc>
        <w:tc>
          <w:tcPr>
            <w:tcW w:w="1278" w:type="dxa"/>
            <w:tcBorders>
              <w:top w:val="nil"/>
              <w:left w:val="single" w:sz="8" w:space="0" w:color="auto"/>
              <w:bottom w:val="single" w:sz="8" w:space="0" w:color="auto"/>
              <w:right w:val="single" w:sz="8" w:space="0" w:color="auto"/>
            </w:tcBorders>
            <w:shd w:val="clear" w:color="auto" w:fill="auto"/>
            <w:noWrap/>
            <w:vAlign w:val="center"/>
            <w:hideMark/>
          </w:tcPr>
          <w:p w:rsidR="00D94BDB" w:rsidRPr="00D94BDB" w:rsidP="00BA4F4E" w14:paraId="14880483" w14:textId="77777777">
            <w:pPr>
              <w:jc w:val="right"/>
              <w:rPr>
                <w:rFonts w:ascii="Times New Roman" w:hAnsi="Times New Roman"/>
                <w:color w:val="000000"/>
                <w:sz w:val="20"/>
              </w:rPr>
            </w:pPr>
            <w:r w:rsidRPr="00D94BDB">
              <w:rPr>
                <w:rFonts w:ascii="Times New Roman" w:hAnsi="Times New Roman"/>
                <w:color w:val="000000"/>
                <w:sz w:val="20"/>
              </w:rPr>
              <w:t>216</w:t>
            </w:r>
          </w:p>
        </w:tc>
      </w:tr>
      <w:tr w14:paraId="51327057" w14:textId="77777777" w:rsidTr="00272315">
        <w:tblPrEx>
          <w:tblW w:w="10272" w:type="dxa"/>
          <w:tblCellMar>
            <w:top w:w="15" w:type="dxa"/>
          </w:tblCellMar>
          <w:tblLook w:val="04A0"/>
        </w:tblPrEx>
        <w:trPr>
          <w:trHeight w:val="1485"/>
        </w:trPr>
        <w:tc>
          <w:tcPr>
            <w:tcW w:w="2344" w:type="dxa"/>
            <w:tcBorders>
              <w:top w:val="nil"/>
              <w:left w:val="single" w:sz="8" w:space="0" w:color="auto"/>
              <w:bottom w:val="single" w:sz="8" w:space="0" w:color="auto"/>
              <w:right w:val="single" w:sz="8" w:space="0" w:color="auto"/>
            </w:tcBorders>
            <w:shd w:val="clear" w:color="auto" w:fill="auto"/>
            <w:vAlign w:val="center"/>
            <w:hideMark/>
          </w:tcPr>
          <w:p w:rsidR="00D94BDB" w:rsidRPr="00D94BDB" w:rsidP="00BA4F4E" w14:paraId="4942364E" w14:textId="77777777">
            <w:pPr>
              <w:rPr>
                <w:rFonts w:ascii="Times New Roman" w:hAnsi="Times New Roman"/>
                <w:color w:val="000000"/>
                <w:sz w:val="20"/>
              </w:rPr>
            </w:pPr>
            <w:r w:rsidRPr="00D94BDB">
              <w:rPr>
                <w:rFonts w:ascii="Times New Roman" w:hAnsi="Times New Roman"/>
                <w:color w:val="000000"/>
                <w:sz w:val="20"/>
              </w:rPr>
              <w:t>2. Notice Regarding Unauthorized Access to Customer Information,</w:t>
            </w:r>
            <w:r w:rsidRPr="00D94BDB">
              <w:rPr>
                <w:rFonts w:ascii="Times New Roman" w:hAnsi="Times New Roman"/>
                <w:color w:val="000000"/>
                <w:sz w:val="20"/>
              </w:rPr>
              <w:br/>
              <w:t>12 CFR Part 364, App. B, § III(C)(1)(g) (Mandatory)</w:t>
            </w:r>
          </w:p>
        </w:tc>
        <w:tc>
          <w:tcPr>
            <w:tcW w:w="2084" w:type="dxa"/>
            <w:tcBorders>
              <w:top w:val="nil"/>
              <w:left w:val="nil"/>
              <w:bottom w:val="single" w:sz="8" w:space="0" w:color="auto"/>
              <w:right w:val="single" w:sz="8" w:space="0" w:color="auto"/>
            </w:tcBorders>
            <w:shd w:val="clear" w:color="auto" w:fill="auto"/>
            <w:vAlign w:val="center"/>
            <w:hideMark/>
          </w:tcPr>
          <w:p w:rsidR="00D94BDB" w:rsidRPr="00D94BDB" w:rsidP="00BA4F4E" w14:paraId="0C2A179F" w14:textId="77777777">
            <w:pPr>
              <w:jc w:val="center"/>
              <w:rPr>
                <w:rFonts w:ascii="Times New Roman" w:hAnsi="Times New Roman"/>
                <w:color w:val="000000"/>
                <w:sz w:val="20"/>
              </w:rPr>
            </w:pPr>
            <w:r w:rsidRPr="00D94BDB">
              <w:rPr>
                <w:rFonts w:ascii="Times New Roman" w:hAnsi="Times New Roman"/>
                <w:color w:val="000000"/>
                <w:sz w:val="20"/>
              </w:rPr>
              <w:t>Disclosure</w:t>
            </w:r>
            <w:r w:rsidRPr="00D94BDB">
              <w:rPr>
                <w:rFonts w:ascii="Times New Roman" w:hAnsi="Times New Roman"/>
                <w:color w:val="000000"/>
                <w:sz w:val="20"/>
              </w:rPr>
              <w:br/>
              <w:t>(On Occasion)</w:t>
            </w:r>
          </w:p>
        </w:tc>
        <w:tc>
          <w:tcPr>
            <w:tcW w:w="1478" w:type="dxa"/>
            <w:tcBorders>
              <w:top w:val="nil"/>
              <w:left w:val="nil"/>
              <w:bottom w:val="single" w:sz="8" w:space="0" w:color="auto"/>
              <w:right w:val="single" w:sz="8" w:space="0" w:color="auto"/>
            </w:tcBorders>
            <w:shd w:val="clear" w:color="auto" w:fill="auto"/>
            <w:noWrap/>
            <w:vAlign w:val="center"/>
            <w:hideMark/>
          </w:tcPr>
          <w:p w:rsidR="00D94BDB" w:rsidRPr="00D94BDB" w:rsidP="00BA4F4E" w14:paraId="45D8D49A" w14:textId="77777777">
            <w:pPr>
              <w:jc w:val="right"/>
              <w:rPr>
                <w:rFonts w:ascii="Times New Roman" w:hAnsi="Times New Roman"/>
                <w:color w:val="000000"/>
                <w:sz w:val="20"/>
              </w:rPr>
            </w:pPr>
            <w:r w:rsidRPr="00D94BDB">
              <w:rPr>
                <w:rFonts w:ascii="Times New Roman" w:hAnsi="Times New Roman"/>
                <w:color w:val="000000"/>
                <w:sz w:val="20"/>
              </w:rPr>
              <w:t>350</w:t>
            </w:r>
          </w:p>
        </w:tc>
        <w:tc>
          <w:tcPr>
            <w:tcW w:w="1893" w:type="dxa"/>
            <w:tcBorders>
              <w:top w:val="nil"/>
              <w:left w:val="nil"/>
              <w:bottom w:val="single" w:sz="8" w:space="0" w:color="auto"/>
              <w:right w:val="single" w:sz="8" w:space="0" w:color="auto"/>
            </w:tcBorders>
            <w:shd w:val="clear" w:color="auto" w:fill="auto"/>
            <w:noWrap/>
            <w:vAlign w:val="center"/>
            <w:hideMark/>
          </w:tcPr>
          <w:p w:rsidR="00D94BDB" w:rsidRPr="00D94BDB" w:rsidP="00BA4F4E" w14:paraId="2A60E75F" w14:textId="77777777">
            <w:pPr>
              <w:jc w:val="right"/>
              <w:rPr>
                <w:rFonts w:ascii="Times New Roman" w:hAnsi="Times New Roman"/>
                <w:color w:val="000000"/>
                <w:sz w:val="20"/>
              </w:rPr>
            </w:pPr>
            <w:r w:rsidRPr="00D94BDB">
              <w:rPr>
                <w:rFonts w:ascii="Times New Roman" w:hAnsi="Times New Roman"/>
                <w:color w:val="000000"/>
                <w:sz w:val="20"/>
              </w:rPr>
              <w:t>1</w:t>
            </w:r>
          </w:p>
        </w:tc>
        <w:tc>
          <w:tcPr>
            <w:tcW w:w="1193" w:type="dxa"/>
            <w:tcBorders>
              <w:top w:val="nil"/>
              <w:left w:val="nil"/>
              <w:bottom w:val="single" w:sz="8" w:space="0" w:color="auto"/>
              <w:right w:val="nil"/>
            </w:tcBorders>
            <w:shd w:val="clear" w:color="auto" w:fill="auto"/>
            <w:vAlign w:val="center"/>
            <w:hideMark/>
          </w:tcPr>
          <w:p w:rsidR="00D94BDB" w:rsidRPr="00D94BDB" w:rsidP="00BA4F4E" w14:paraId="6298EFAA" w14:textId="77777777">
            <w:pPr>
              <w:jc w:val="right"/>
              <w:rPr>
                <w:rFonts w:ascii="Times New Roman" w:hAnsi="Times New Roman"/>
                <w:color w:val="000000"/>
                <w:sz w:val="20"/>
              </w:rPr>
            </w:pPr>
            <w:r w:rsidRPr="00D94BDB">
              <w:rPr>
                <w:rFonts w:ascii="Times New Roman" w:hAnsi="Times New Roman"/>
                <w:color w:val="000000"/>
                <w:sz w:val="20"/>
              </w:rPr>
              <w:t>36:00</w:t>
            </w:r>
          </w:p>
        </w:tc>
        <w:tc>
          <w:tcPr>
            <w:tcW w:w="1278" w:type="dxa"/>
            <w:tcBorders>
              <w:top w:val="nil"/>
              <w:left w:val="single" w:sz="8" w:space="0" w:color="auto"/>
              <w:bottom w:val="single" w:sz="8" w:space="0" w:color="auto"/>
              <w:right w:val="single" w:sz="8" w:space="0" w:color="auto"/>
            </w:tcBorders>
            <w:shd w:val="clear" w:color="auto" w:fill="auto"/>
            <w:noWrap/>
            <w:vAlign w:val="center"/>
            <w:hideMark/>
          </w:tcPr>
          <w:p w:rsidR="00D94BDB" w:rsidRPr="00D94BDB" w:rsidP="00BA4F4E" w14:paraId="202F49E4" w14:textId="77777777">
            <w:pPr>
              <w:jc w:val="right"/>
              <w:rPr>
                <w:rFonts w:ascii="Times New Roman" w:hAnsi="Times New Roman"/>
                <w:color w:val="000000"/>
                <w:sz w:val="20"/>
              </w:rPr>
            </w:pPr>
            <w:r w:rsidRPr="00D94BDB">
              <w:rPr>
                <w:rFonts w:ascii="Times New Roman" w:hAnsi="Times New Roman"/>
                <w:color w:val="000000"/>
                <w:sz w:val="20"/>
              </w:rPr>
              <w:t>12,600</w:t>
            </w:r>
          </w:p>
        </w:tc>
      </w:tr>
      <w:tr w14:paraId="395EED6D" w14:textId="77777777" w:rsidTr="00272315">
        <w:tblPrEx>
          <w:tblW w:w="10272" w:type="dxa"/>
          <w:tblCellMar>
            <w:top w:w="15" w:type="dxa"/>
          </w:tblCellMar>
          <w:tblLook w:val="04A0"/>
        </w:tblPrEx>
        <w:trPr>
          <w:trHeight w:val="1178"/>
        </w:trPr>
        <w:tc>
          <w:tcPr>
            <w:tcW w:w="2344" w:type="dxa"/>
            <w:tcBorders>
              <w:top w:val="nil"/>
              <w:left w:val="single" w:sz="8" w:space="0" w:color="auto"/>
              <w:bottom w:val="single" w:sz="8" w:space="0" w:color="auto"/>
              <w:right w:val="single" w:sz="8" w:space="0" w:color="auto"/>
            </w:tcBorders>
            <w:shd w:val="clear" w:color="auto" w:fill="auto"/>
            <w:vAlign w:val="center"/>
            <w:hideMark/>
          </w:tcPr>
          <w:p w:rsidR="00D94BDB" w:rsidRPr="00D94BDB" w:rsidP="00BA4F4E" w14:paraId="170CA282" w14:textId="77777777">
            <w:pPr>
              <w:rPr>
                <w:rFonts w:ascii="Times New Roman" w:hAnsi="Times New Roman"/>
                <w:color w:val="000000"/>
                <w:sz w:val="20"/>
              </w:rPr>
            </w:pPr>
            <w:r w:rsidRPr="00D94BDB">
              <w:rPr>
                <w:rFonts w:ascii="Times New Roman" w:hAnsi="Times New Roman"/>
                <w:color w:val="000000"/>
                <w:sz w:val="20"/>
              </w:rPr>
              <w:t>3. Incident Notification to Primary Federal Regulator, 12 CFR Part 364, App. B, § III(C)(1)(g) (Mandatory)</w:t>
            </w:r>
          </w:p>
        </w:tc>
        <w:tc>
          <w:tcPr>
            <w:tcW w:w="2084" w:type="dxa"/>
            <w:tcBorders>
              <w:top w:val="nil"/>
              <w:left w:val="nil"/>
              <w:bottom w:val="single" w:sz="8" w:space="0" w:color="auto"/>
              <w:right w:val="single" w:sz="8" w:space="0" w:color="auto"/>
            </w:tcBorders>
            <w:shd w:val="clear" w:color="auto" w:fill="auto"/>
            <w:vAlign w:val="center"/>
            <w:hideMark/>
          </w:tcPr>
          <w:p w:rsidR="00D94BDB" w:rsidRPr="00D94BDB" w:rsidP="00BA4F4E" w14:paraId="5AC31417" w14:textId="77777777">
            <w:pPr>
              <w:jc w:val="center"/>
              <w:rPr>
                <w:rFonts w:ascii="Times New Roman" w:hAnsi="Times New Roman"/>
                <w:color w:val="000000"/>
                <w:sz w:val="20"/>
              </w:rPr>
            </w:pPr>
            <w:r w:rsidRPr="00D94BDB">
              <w:rPr>
                <w:rFonts w:ascii="Times New Roman" w:hAnsi="Times New Roman"/>
                <w:color w:val="000000"/>
                <w:sz w:val="20"/>
              </w:rPr>
              <w:t xml:space="preserve">Reporting </w:t>
            </w:r>
            <w:r w:rsidRPr="00D94BDB">
              <w:rPr>
                <w:rFonts w:ascii="Times New Roman" w:hAnsi="Times New Roman"/>
                <w:color w:val="000000"/>
                <w:sz w:val="20"/>
              </w:rPr>
              <w:br/>
              <w:t>(On Occasion)</w:t>
            </w:r>
          </w:p>
        </w:tc>
        <w:tc>
          <w:tcPr>
            <w:tcW w:w="1478" w:type="dxa"/>
            <w:tcBorders>
              <w:top w:val="nil"/>
              <w:left w:val="nil"/>
              <w:bottom w:val="single" w:sz="8" w:space="0" w:color="auto"/>
              <w:right w:val="single" w:sz="8" w:space="0" w:color="auto"/>
            </w:tcBorders>
            <w:shd w:val="clear" w:color="auto" w:fill="auto"/>
            <w:noWrap/>
            <w:vAlign w:val="center"/>
            <w:hideMark/>
          </w:tcPr>
          <w:p w:rsidR="00D94BDB" w:rsidRPr="00D94BDB" w:rsidP="00BA4F4E" w14:paraId="08E69F69" w14:textId="77777777">
            <w:pPr>
              <w:jc w:val="right"/>
              <w:rPr>
                <w:rFonts w:ascii="Times New Roman" w:hAnsi="Times New Roman"/>
                <w:color w:val="000000"/>
                <w:sz w:val="20"/>
              </w:rPr>
            </w:pPr>
            <w:r w:rsidRPr="00D94BDB">
              <w:rPr>
                <w:rFonts w:ascii="Times New Roman" w:hAnsi="Times New Roman"/>
                <w:color w:val="000000"/>
                <w:sz w:val="20"/>
              </w:rPr>
              <w:t>350</w:t>
            </w:r>
          </w:p>
        </w:tc>
        <w:tc>
          <w:tcPr>
            <w:tcW w:w="1893" w:type="dxa"/>
            <w:tcBorders>
              <w:top w:val="nil"/>
              <w:left w:val="nil"/>
              <w:bottom w:val="single" w:sz="8" w:space="0" w:color="auto"/>
              <w:right w:val="single" w:sz="8" w:space="0" w:color="auto"/>
            </w:tcBorders>
            <w:shd w:val="clear" w:color="auto" w:fill="auto"/>
            <w:noWrap/>
            <w:vAlign w:val="center"/>
            <w:hideMark/>
          </w:tcPr>
          <w:p w:rsidR="00D94BDB" w:rsidRPr="00D94BDB" w:rsidP="00BA4F4E" w14:paraId="127E2596" w14:textId="77777777">
            <w:pPr>
              <w:jc w:val="right"/>
              <w:rPr>
                <w:rFonts w:ascii="Times New Roman" w:hAnsi="Times New Roman"/>
                <w:color w:val="000000"/>
                <w:sz w:val="20"/>
              </w:rPr>
            </w:pPr>
            <w:r w:rsidRPr="00D94BDB">
              <w:rPr>
                <w:rFonts w:ascii="Times New Roman" w:hAnsi="Times New Roman"/>
                <w:color w:val="000000"/>
                <w:sz w:val="20"/>
              </w:rPr>
              <w:t>1</w:t>
            </w:r>
          </w:p>
        </w:tc>
        <w:tc>
          <w:tcPr>
            <w:tcW w:w="1193" w:type="dxa"/>
            <w:tcBorders>
              <w:top w:val="nil"/>
              <w:left w:val="nil"/>
              <w:bottom w:val="single" w:sz="8" w:space="0" w:color="auto"/>
              <w:right w:val="nil"/>
            </w:tcBorders>
            <w:shd w:val="clear" w:color="auto" w:fill="auto"/>
            <w:vAlign w:val="center"/>
            <w:hideMark/>
          </w:tcPr>
          <w:p w:rsidR="00D94BDB" w:rsidRPr="00D94BDB" w:rsidP="00BA4F4E" w14:paraId="0C74A5F1" w14:textId="77777777">
            <w:pPr>
              <w:jc w:val="right"/>
              <w:rPr>
                <w:rFonts w:ascii="Times New Roman" w:hAnsi="Times New Roman"/>
                <w:color w:val="000000"/>
                <w:sz w:val="20"/>
              </w:rPr>
            </w:pPr>
            <w:r w:rsidRPr="00D94BDB">
              <w:rPr>
                <w:rFonts w:ascii="Times New Roman" w:hAnsi="Times New Roman"/>
                <w:color w:val="000000"/>
                <w:sz w:val="20"/>
              </w:rPr>
              <w:t>01:00</w:t>
            </w:r>
          </w:p>
        </w:tc>
        <w:tc>
          <w:tcPr>
            <w:tcW w:w="1278" w:type="dxa"/>
            <w:tcBorders>
              <w:top w:val="nil"/>
              <w:left w:val="single" w:sz="8" w:space="0" w:color="auto"/>
              <w:bottom w:val="single" w:sz="8" w:space="0" w:color="auto"/>
              <w:right w:val="single" w:sz="8" w:space="0" w:color="auto"/>
            </w:tcBorders>
            <w:shd w:val="clear" w:color="auto" w:fill="auto"/>
            <w:noWrap/>
            <w:vAlign w:val="center"/>
            <w:hideMark/>
          </w:tcPr>
          <w:p w:rsidR="00D94BDB" w:rsidRPr="00D94BDB" w:rsidP="00BA4F4E" w14:paraId="720EB5BC" w14:textId="77777777">
            <w:pPr>
              <w:jc w:val="right"/>
              <w:rPr>
                <w:rFonts w:ascii="Times New Roman" w:hAnsi="Times New Roman"/>
                <w:color w:val="000000"/>
                <w:sz w:val="20"/>
              </w:rPr>
            </w:pPr>
            <w:r w:rsidRPr="00D94BDB">
              <w:rPr>
                <w:rFonts w:ascii="Times New Roman" w:hAnsi="Times New Roman"/>
                <w:color w:val="000000"/>
                <w:sz w:val="20"/>
              </w:rPr>
              <w:t>350</w:t>
            </w:r>
          </w:p>
        </w:tc>
      </w:tr>
      <w:tr w14:paraId="385462AE" w14:textId="77777777" w:rsidTr="00272315">
        <w:tblPrEx>
          <w:tblW w:w="10272" w:type="dxa"/>
          <w:tblCellMar>
            <w:top w:w="15" w:type="dxa"/>
          </w:tblCellMar>
          <w:tblLook w:val="04A0"/>
        </w:tblPrEx>
        <w:trPr>
          <w:trHeight w:val="319"/>
        </w:trPr>
        <w:tc>
          <w:tcPr>
            <w:tcW w:w="8993" w:type="dxa"/>
            <w:gridSpan w:val="5"/>
            <w:tcBorders>
              <w:top w:val="single" w:sz="8" w:space="0" w:color="auto"/>
              <w:left w:val="single" w:sz="8" w:space="0" w:color="auto"/>
              <w:bottom w:val="single" w:sz="8" w:space="0" w:color="auto"/>
              <w:right w:val="nil"/>
            </w:tcBorders>
            <w:shd w:val="clear" w:color="000000" w:fill="FFFFFF"/>
            <w:noWrap/>
            <w:vAlign w:val="center"/>
            <w:hideMark/>
          </w:tcPr>
          <w:p w:rsidR="00D94BDB" w:rsidRPr="00D94BDB" w:rsidP="00BA4F4E" w14:paraId="09C73974" w14:textId="77777777">
            <w:pPr>
              <w:jc w:val="right"/>
              <w:rPr>
                <w:rFonts w:ascii="Times New Roman" w:hAnsi="Times New Roman"/>
                <w:b/>
                <w:bCs/>
                <w:i/>
                <w:iCs/>
                <w:color w:val="000000"/>
              </w:rPr>
            </w:pPr>
            <w:r w:rsidRPr="00D94BDB">
              <w:rPr>
                <w:rFonts w:ascii="Times New Roman" w:hAnsi="Times New Roman"/>
                <w:b/>
                <w:bCs/>
                <w:i/>
                <w:iCs/>
                <w:color w:val="000000"/>
              </w:rPr>
              <w:t>Total Annual Burden (Hours):</w:t>
            </w:r>
          </w:p>
        </w:tc>
        <w:tc>
          <w:tcPr>
            <w:tcW w:w="1278" w:type="dxa"/>
            <w:tcBorders>
              <w:top w:val="nil"/>
              <w:left w:val="nil"/>
              <w:bottom w:val="single" w:sz="8" w:space="0" w:color="auto"/>
              <w:right w:val="single" w:sz="8" w:space="0" w:color="auto"/>
            </w:tcBorders>
            <w:shd w:val="clear" w:color="auto" w:fill="auto"/>
            <w:noWrap/>
            <w:vAlign w:val="bottom"/>
            <w:hideMark/>
          </w:tcPr>
          <w:p w:rsidR="00D94BDB" w:rsidRPr="00D94BDB" w:rsidP="00BA4F4E" w14:paraId="3AF3DC3A" w14:textId="77777777">
            <w:pPr>
              <w:jc w:val="right"/>
              <w:rPr>
                <w:rFonts w:ascii="Times New Roman" w:hAnsi="Times New Roman"/>
                <w:b/>
                <w:bCs/>
                <w:i/>
                <w:iCs/>
                <w:color w:val="000000"/>
              </w:rPr>
            </w:pPr>
            <w:r w:rsidRPr="00D94BDB">
              <w:rPr>
                <w:rFonts w:ascii="Times New Roman" w:hAnsi="Times New Roman"/>
                <w:b/>
                <w:bCs/>
                <w:i/>
                <w:iCs/>
                <w:color w:val="000000"/>
              </w:rPr>
              <w:t>13,166</w:t>
            </w:r>
          </w:p>
        </w:tc>
      </w:tr>
      <w:tr w14:paraId="62834056" w14:textId="77777777" w:rsidTr="00272315">
        <w:tblPrEx>
          <w:tblW w:w="10272" w:type="dxa"/>
          <w:tblCellMar>
            <w:top w:w="15" w:type="dxa"/>
          </w:tblCellMar>
          <w:tblLook w:val="04A0"/>
        </w:tblPrEx>
        <w:trPr>
          <w:trHeight w:val="268"/>
        </w:trPr>
        <w:tc>
          <w:tcPr>
            <w:tcW w:w="10272" w:type="dxa"/>
            <w:gridSpan w:val="6"/>
            <w:tcBorders>
              <w:top w:val="single" w:sz="8" w:space="0" w:color="auto"/>
              <w:left w:val="single" w:sz="8" w:space="0" w:color="auto"/>
              <w:bottom w:val="single" w:sz="4" w:space="0" w:color="auto"/>
              <w:right w:val="single" w:sz="8" w:space="0" w:color="000000"/>
            </w:tcBorders>
            <w:shd w:val="clear" w:color="auto" w:fill="auto"/>
            <w:noWrap/>
            <w:hideMark/>
          </w:tcPr>
          <w:p w:rsidR="00D94BDB" w:rsidRPr="00D94BDB" w:rsidP="00BA4F4E" w14:paraId="185A7D3D" w14:textId="77777777">
            <w:pPr>
              <w:rPr>
                <w:rFonts w:ascii="Times New Roman" w:hAnsi="Times New Roman"/>
                <w:color w:val="000000"/>
                <w:sz w:val="18"/>
                <w:szCs w:val="18"/>
              </w:rPr>
            </w:pPr>
            <w:r w:rsidRPr="00D94BDB">
              <w:rPr>
                <w:rFonts w:ascii="Times New Roman" w:hAnsi="Times New Roman"/>
                <w:color w:val="000000"/>
                <w:sz w:val="18"/>
                <w:szCs w:val="18"/>
              </w:rPr>
              <w:t>Source: FDIC.</w:t>
            </w:r>
          </w:p>
        </w:tc>
      </w:tr>
    </w:tbl>
    <w:p w:rsidR="00807975" w:rsidP="009234BE" w14:paraId="24D06507" w14:textId="125B734F">
      <w:pPr>
        <w:tabs>
          <w:tab w:val="left" w:pos="-1440"/>
        </w:tabs>
        <w:spacing w:line="360" w:lineRule="auto"/>
        <w:ind w:left="1440"/>
        <w:contextualSpacing/>
        <w:rPr>
          <w:rFonts w:ascii="Times New Roman" w:hAnsi="Times New Roman"/>
        </w:rPr>
      </w:pPr>
    </w:p>
    <w:p w:rsidR="00573F81" w:rsidP="00DF069D" w14:paraId="7F4B99E2" w14:textId="71E809B7">
      <w:pPr>
        <w:widowControl/>
        <w:rPr>
          <w:rFonts w:ascii="Times New Roman" w:hAnsi="Times New Roman"/>
        </w:rPr>
      </w:pPr>
      <w:r>
        <w:rPr>
          <w:rFonts w:ascii="Times New Roman" w:hAnsi="Times New Roman"/>
        </w:rPr>
        <w:br w:type="page"/>
      </w:r>
    </w:p>
    <w:tbl>
      <w:tblPr>
        <w:tblW w:w="10423" w:type="dxa"/>
        <w:tblCellMar>
          <w:top w:w="15" w:type="dxa"/>
        </w:tblCellMar>
        <w:tblLook w:val="04A0"/>
      </w:tblPr>
      <w:tblGrid>
        <w:gridCol w:w="2166"/>
        <w:gridCol w:w="835"/>
        <w:gridCol w:w="1000"/>
        <w:gridCol w:w="1000"/>
        <w:gridCol w:w="900"/>
        <w:gridCol w:w="1000"/>
        <w:gridCol w:w="1000"/>
        <w:gridCol w:w="900"/>
        <w:gridCol w:w="1400"/>
        <w:gridCol w:w="222"/>
      </w:tblGrid>
      <w:tr w14:paraId="421FCAD7" w14:textId="77777777" w:rsidTr="00E669C4">
        <w:tblPrEx>
          <w:tblW w:w="10423" w:type="dxa"/>
          <w:tblCellMar>
            <w:top w:w="15" w:type="dxa"/>
          </w:tblCellMar>
          <w:tblLook w:val="04A0"/>
        </w:tblPrEx>
        <w:trPr>
          <w:gridAfter w:val="1"/>
          <w:wAfter w:w="222" w:type="dxa"/>
          <w:trHeight w:val="360"/>
        </w:trPr>
        <w:tc>
          <w:tcPr>
            <w:tcW w:w="10201" w:type="dxa"/>
            <w:gridSpan w:val="9"/>
            <w:tcBorders>
              <w:top w:val="single" w:sz="8" w:space="0" w:color="auto"/>
              <w:left w:val="single" w:sz="8" w:space="0" w:color="auto"/>
              <w:bottom w:val="single" w:sz="8" w:space="0" w:color="auto"/>
              <w:right w:val="single" w:sz="8" w:space="0" w:color="auto"/>
            </w:tcBorders>
            <w:shd w:val="clear" w:color="auto" w:fill="auto"/>
            <w:noWrap/>
            <w:vAlign w:val="bottom"/>
            <w:hideMark/>
          </w:tcPr>
          <w:p w:rsidR="00807975" w:rsidRPr="008E70B9" w:rsidP="00BA4F4E" w14:paraId="15F70FA4" w14:textId="50F78AFC">
            <w:pPr>
              <w:jc w:val="center"/>
              <w:rPr>
                <w:rFonts w:ascii="Times New Roman" w:hAnsi="Times New Roman"/>
                <w:color w:val="000000"/>
                <w:szCs w:val="24"/>
              </w:rPr>
            </w:pPr>
            <w:r w:rsidRPr="008E70B9">
              <w:rPr>
                <w:rFonts w:ascii="Times New Roman" w:hAnsi="Times New Roman"/>
                <w:color w:val="000000"/>
                <w:szCs w:val="24"/>
              </w:rPr>
              <w:t>Summary of Hourly Burden Cost Estimate (OMB No. 3064-0145)</w:t>
            </w:r>
          </w:p>
        </w:tc>
      </w:tr>
      <w:tr w14:paraId="3E5C0702" w14:textId="77777777" w:rsidTr="00E669C4">
        <w:tblPrEx>
          <w:tblW w:w="10423" w:type="dxa"/>
          <w:tblCellMar>
            <w:top w:w="15" w:type="dxa"/>
          </w:tblCellMar>
          <w:tblLook w:val="04A0"/>
        </w:tblPrEx>
        <w:trPr>
          <w:gridAfter w:val="1"/>
          <w:wAfter w:w="222" w:type="dxa"/>
          <w:trHeight w:val="600"/>
        </w:trPr>
        <w:tc>
          <w:tcPr>
            <w:tcW w:w="2166"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58B55FCA" w14:textId="77777777">
            <w:pPr>
              <w:rPr>
                <w:rFonts w:ascii="Times New Roman" w:hAnsi="Times New Roman"/>
                <w:color w:val="000000"/>
                <w:sz w:val="20"/>
              </w:rPr>
            </w:pPr>
            <w:r w:rsidRPr="008E70B9">
              <w:rPr>
                <w:rFonts w:ascii="Times New Roman" w:hAnsi="Times New Roman"/>
                <w:color w:val="000000"/>
                <w:sz w:val="20"/>
              </w:rPr>
              <w:t xml:space="preserve">Information Collection (IC) (Obligation to Respond) </w:t>
            </w:r>
          </w:p>
        </w:tc>
        <w:tc>
          <w:tcPr>
            <w:tcW w:w="835"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41289F60" w14:textId="77777777">
            <w:pPr>
              <w:jc w:val="center"/>
              <w:rPr>
                <w:rFonts w:ascii="Times New Roman" w:hAnsi="Times New Roman"/>
                <w:color w:val="000000"/>
                <w:sz w:val="20"/>
              </w:rPr>
            </w:pPr>
            <w:r w:rsidRPr="008E70B9">
              <w:rPr>
                <w:rFonts w:ascii="Times New Roman" w:hAnsi="Times New Roman"/>
                <w:color w:val="000000"/>
                <w:sz w:val="20"/>
              </w:rPr>
              <w:t xml:space="preserve">Hourly Weight </w:t>
            </w:r>
            <w:r w:rsidRPr="008E70B9">
              <w:rPr>
                <w:rFonts w:ascii="Times New Roman" w:hAnsi="Times New Roman"/>
                <w:color w:val="000000"/>
                <w:sz w:val="20"/>
              </w:rPr>
              <w:br/>
              <w:t>(%)</w:t>
            </w:r>
          </w:p>
        </w:tc>
        <w:tc>
          <w:tcPr>
            <w:tcW w:w="5800" w:type="dxa"/>
            <w:gridSpan w:val="6"/>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807975" w:rsidRPr="008E70B9" w:rsidP="00BA4F4E" w14:paraId="4E76FB4B" w14:textId="77777777">
            <w:pPr>
              <w:jc w:val="center"/>
              <w:rPr>
                <w:rFonts w:ascii="Times New Roman" w:hAnsi="Times New Roman"/>
                <w:color w:val="000000"/>
                <w:sz w:val="20"/>
              </w:rPr>
            </w:pPr>
            <w:r w:rsidRPr="008E70B9">
              <w:rPr>
                <w:rFonts w:ascii="Times New Roman" w:hAnsi="Times New Roman"/>
                <w:color w:val="000000"/>
                <w:sz w:val="20"/>
              </w:rPr>
              <w:t xml:space="preserve">Percentage Shares of Hours Spent by and </w:t>
            </w:r>
            <w:r w:rsidRPr="008E70B9">
              <w:rPr>
                <w:rFonts w:ascii="Times New Roman" w:hAnsi="Times New Roman"/>
                <w:color w:val="000000"/>
                <w:sz w:val="20"/>
              </w:rPr>
              <w:br/>
              <w:t xml:space="preserve">Hourly Compensation Rates for each Occupation Group </w:t>
            </w:r>
            <w:r w:rsidRPr="008E70B9">
              <w:rPr>
                <w:rFonts w:ascii="Times New Roman" w:hAnsi="Times New Roman"/>
                <w:color w:val="000000"/>
                <w:sz w:val="20"/>
              </w:rPr>
              <w:br/>
              <w:t>(by Collection)</w:t>
            </w:r>
          </w:p>
        </w:tc>
        <w:tc>
          <w:tcPr>
            <w:tcW w:w="14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459348C8" w14:textId="77777777">
            <w:pPr>
              <w:jc w:val="center"/>
              <w:rPr>
                <w:rFonts w:ascii="Times New Roman" w:hAnsi="Times New Roman"/>
                <w:color w:val="000000"/>
                <w:sz w:val="20"/>
              </w:rPr>
            </w:pPr>
            <w:r w:rsidRPr="008E70B9">
              <w:rPr>
                <w:rFonts w:ascii="Times New Roman" w:hAnsi="Times New Roman"/>
                <w:color w:val="000000"/>
                <w:sz w:val="20"/>
              </w:rPr>
              <w:t>Estimated Hourly Compensation Rate</w:t>
            </w:r>
          </w:p>
        </w:tc>
      </w:tr>
      <w:tr w14:paraId="20DFC830" w14:textId="77777777" w:rsidTr="00E669C4">
        <w:tblPrEx>
          <w:tblW w:w="10423" w:type="dxa"/>
          <w:tblCellMar>
            <w:top w:w="15" w:type="dxa"/>
          </w:tblCellMar>
          <w:tblLook w:val="04A0"/>
        </w:tblPrEx>
        <w:trPr>
          <w:trHeight w:val="864"/>
        </w:trPr>
        <w:tc>
          <w:tcPr>
            <w:tcW w:w="2166" w:type="dxa"/>
            <w:vMerge/>
            <w:tcBorders>
              <w:top w:val="nil"/>
              <w:left w:val="single" w:sz="8" w:space="0" w:color="auto"/>
              <w:bottom w:val="single" w:sz="8" w:space="0" w:color="auto"/>
              <w:right w:val="single" w:sz="8" w:space="0" w:color="auto"/>
            </w:tcBorders>
            <w:vAlign w:val="center"/>
            <w:hideMark/>
          </w:tcPr>
          <w:p w:rsidR="00807975" w:rsidRPr="008E70B9" w:rsidP="00BA4F4E" w14:paraId="6B85B635" w14:textId="77777777">
            <w:pPr>
              <w:rPr>
                <w:rFonts w:ascii="Times New Roman" w:hAnsi="Times New Roman"/>
                <w:color w:val="000000"/>
                <w:sz w:val="20"/>
              </w:rPr>
            </w:pPr>
          </w:p>
        </w:tc>
        <w:tc>
          <w:tcPr>
            <w:tcW w:w="835" w:type="dxa"/>
            <w:vMerge/>
            <w:tcBorders>
              <w:top w:val="nil"/>
              <w:left w:val="single" w:sz="8" w:space="0" w:color="auto"/>
              <w:bottom w:val="single" w:sz="8" w:space="0" w:color="auto"/>
              <w:right w:val="single" w:sz="8" w:space="0" w:color="auto"/>
            </w:tcBorders>
            <w:vAlign w:val="center"/>
            <w:hideMark/>
          </w:tcPr>
          <w:p w:rsidR="00807975" w:rsidRPr="008E70B9" w:rsidP="00BA4F4E" w14:paraId="03AC1155" w14:textId="77777777">
            <w:pPr>
              <w:rPr>
                <w:rFonts w:ascii="Times New Roman" w:hAnsi="Times New Roman"/>
                <w:color w:val="000000"/>
                <w:sz w:val="20"/>
              </w:rPr>
            </w:pPr>
          </w:p>
        </w:tc>
        <w:tc>
          <w:tcPr>
            <w:tcW w:w="5800" w:type="dxa"/>
            <w:gridSpan w:val="6"/>
            <w:vMerge/>
            <w:tcBorders>
              <w:top w:val="single" w:sz="8" w:space="0" w:color="auto"/>
              <w:left w:val="single" w:sz="8" w:space="0" w:color="auto"/>
              <w:bottom w:val="single" w:sz="8" w:space="0" w:color="auto"/>
              <w:right w:val="single" w:sz="8" w:space="0" w:color="auto"/>
            </w:tcBorders>
            <w:vAlign w:val="center"/>
            <w:hideMark/>
          </w:tcPr>
          <w:p w:rsidR="00807975" w:rsidRPr="008E70B9" w:rsidP="00BA4F4E" w14:paraId="7B21A9F0" w14:textId="77777777">
            <w:pPr>
              <w:rPr>
                <w:rFonts w:ascii="Times New Roman" w:hAnsi="Times New Roman"/>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807975" w:rsidRPr="008E70B9" w:rsidP="00BA4F4E" w14:paraId="55816801" w14:textId="77777777">
            <w:pPr>
              <w:rPr>
                <w:rFonts w:ascii="Times New Roman" w:hAnsi="Times New Roman"/>
                <w:color w:val="000000"/>
                <w:sz w:val="20"/>
              </w:rPr>
            </w:pPr>
          </w:p>
        </w:tc>
        <w:tc>
          <w:tcPr>
            <w:tcW w:w="222" w:type="dxa"/>
            <w:tcBorders>
              <w:top w:val="nil"/>
              <w:left w:val="nil"/>
              <w:bottom w:val="nil"/>
              <w:right w:val="nil"/>
            </w:tcBorders>
            <w:shd w:val="clear" w:color="auto" w:fill="auto"/>
            <w:noWrap/>
            <w:vAlign w:val="bottom"/>
            <w:hideMark/>
          </w:tcPr>
          <w:p w:rsidR="00807975" w:rsidRPr="008E70B9" w:rsidP="00BA4F4E" w14:paraId="607FC61A" w14:textId="77777777">
            <w:pPr>
              <w:jc w:val="center"/>
              <w:rPr>
                <w:rFonts w:ascii="Times New Roman" w:hAnsi="Times New Roman"/>
                <w:color w:val="000000"/>
                <w:sz w:val="20"/>
              </w:rPr>
            </w:pPr>
          </w:p>
        </w:tc>
      </w:tr>
      <w:tr w14:paraId="2F9BD314" w14:textId="77777777" w:rsidTr="00E669C4">
        <w:tblPrEx>
          <w:tblW w:w="10423" w:type="dxa"/>
          <w:tblCellMar>
            <w:top w:w="15" w:type="dxa"/>
          </w:tblCellMar>
          <w:tblLook w:val="04A0"/>
        </w:tblPrEx>
        <w:trPr>
          <w:trHeight w:val="360"/>
        </w:trPr>
        <w:tc>
          <w:tcPr>
            <w:tcW w:w="2166" w:type="dxa"/>
            <w:vMerge/>
            <w:tcBorders>
              <w:top w:val="nil"/>
              <w:left w:val="single" w:sz="8" w:space="0" w:color="auto"/>
              <w:bottom w:val="single" w:sz="8" w:space="0" w:color="auto"/>
              <w:right w:val="single" w:sz="8" w:space="0" w:color="auto"/>
            </w:tcBorders>
            <w:vAlign w:val="center"/>
            <w:hideMark/>
          </w:tcPr>
          <w:p w:rsidR="00807975" w:rsidRPr="008E70B9" w:rsidP="00BA4F4E" w14:paraId="440F8CC3" w14:textId="77777777">
            <w:pPr>
              <w:rPr>
                <w:rFonts w:ascii="Times New Roman" w:hAnsi="Times New Roman"/>
                <w:color w:val="000000"/>
                <w:sz w:val="20"/>
              </w:rPr>
            </w:pPr>
          </w:p>
        </w:tc>
        <w:tc>
          <w:tcPr>
            <w:tcW w:w="835" w:type="dxa"/>
            <w:vMerge/>
            <w:tcBorders>
              <w:top w:val="nil"/>
              <w:left w:val="single" w:sz="8" w:space="0" w:color="auto"/>
              <w:bottom w:val="single" w:sz="8" w:space="0" w:color="auto"/>
              <w:right w:val="single" w:sz="8" w:space="0" w:color="auto"/>
            </w:tcBorders>
            <w:vAlign w:val="center"/>
            <w:hideMark/>
          </w:tcPr>
          <w:p w:rsidR="00807975" w:rsidRPr="008E70B9" w:rsidP="00BA4F4E" w14:paraId="2397FEF1" w14:textId="77777777">
            <w:pPr>
              <w:rPr>
                <w:rFonts w:ascii="Times New Roman" w:hAnsi="Times New Roman"/>
                <w:color w:val="000000"/>
                <w:sz w:val="20"/>
              </w:rPr>
            </w:pP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191C1ED2" w14:textId="77777777">
            <w:pPr>
              <w:jc w:val="center"/>
              <w:rPr>
                <w:rFonts w:ascii="Times New Roman" w:hAnsi="Times New Roman"/>
                <w:color w:val="000000"/>
                <w:sz w:val="20"/>
              </w:rPr>
            </w:pPr>
            <w:r w:rsidRPr="008E70B9">
              <w:rPr>
                <w:rFonts w:ascii="Times New Roman" w:hAnsi="Times New Roman"/>
                <w:color w:val="000000"/>
                <w:sz w:val="20"/>
              </w:rPr>
              <w:t>Exec. &amp; Mgr.      ($146.13)</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66D72BC3" w14:textId="77777777">
            <w:pPr>
              <w:jc w:val="center"/>
              <w:rPr>
                <w:rFonts w:ascii="Times New Roman" w:hAnsi="Times New Roman"/>
                <w:color w:val="000000"/>
                <w:sz w:val="20"/>
              </w:rPr>
            </w:pPr>
            <w:r w:rsidRPr="008E70B9">
              <w:rPr>
                <w:rFonts w:ascii="Times New Roman" w:hAnsi="Times New Roman"/>
                <w:color w:val="000000"/>
                <w:sz w:val="20"/>
              </w:rPr>
              <w:t>Lawyer</w:t>
            </w:r>
            <w:r w:rsidRPr="008E70B9">
              <w:rPr>
                <w:rFonts w:ascii="Times New Roman" w:hAnsi="Times New Roman"/>
                <w:color w:val="000000"/>
                <w:sz w:val="20"/>
              </w:rPr>
              <w:t xml:space="preserve">   (</w:t>
            </w:r>
            <w:r w:rsidRPr="008E70B9">
              <w:rPr>
                <w:rFonts w:ascii="Times New Roman" w:hAnsi="Times New Roman"/>
                <w:color w:val="000000"/>
                <w:sz w:val="20"/>
              </w:rPr>
              <w:t>$182.07)</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67B6D0FF" w14:textId="77777777">
            <w:pPr>
              <w:jc w:val="center"/>
              <w:rPr>
                <w:rFonts w:ascii="Times New Roman" w:hAnsi="Times New Roman"/>
                <w:color w:val="000000"/>
                <w:sz w:val="20"/>
              </w:rPr>
            </w:pPr>
            <w:r w:rsidRPr="008E70B9">
              <w:rPr>
                <w:rFonts w:ascii="Times New Roman" w:hAnsi="Times New Roman"/>
                <w:color w:val="000000"/>
                <w:sz w:val="20"/>
              </w:rPr>
              <w:t>Compl</w:t>
            </w:r>
            <w:r w:rsidRPr="008E70B9">
              <w:rPr>
                <w:rFonts w:ascii="Times New Roman" w:hAnsi="Times New Roman"/>
                <w:color w:val="000000"/>
                <w:sz w:val="20"/>
              </w:rPr>
              <w:t>. Ofc.   ($77.07)</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6B7CBBD2" w14:textId="77777777">
            <w:pPr>
              <w:jc w:val="center"/>
              <w:rPr>
                <w:rFonts w:ascii="Times New Roman" w:hAnsi="Times New Roman"/>
                <w:color w:val="000000"/>
                <w:sz w:val="20"/>
              </w:rPr>
            </w:pPr>
            <w:r w:rsidRPr="008E70B9">
              <w:rPr>
                <w:rFonts w:ascii="Times New Roman" w:hAnsi="Times New Roman"/>
                <w:color w:val="000000"/>
                <w:sz w:val="20"/>
              </w:rPr>
              <w:t xml:space="preserve">IT </w:t>
            </w:r>
            <w:r w:rsidRPr="008E70B9">
              <w:rPr>
                <w:rFonts w:ascii="Times New Roman" w:hAnsi="Times New Roman"/>
                <w:color w:val="000000"/>
                <w:sz w:val="20"/>
              </w:rPr>
              <w:t xml:space="preserve">   (</w:t>
            </w:r>
            <w:r w:rsidRPr="008E70B9">
              <w:rPr>
                <w:rFonts w:ascii="Times New Roman" w:hAnsi="Times New Roman"/>
                <w:color w:val="000000"/>
                <w:sz w:val="20"/>
              </w:rPr>
              <w:t>$110.91)</w:t>
            </w:r>
          </w:p>
        </w:tc>
        <w:tc>
          <w:tcPr>
            <w:tcW w:w="10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2B3E6ACA" w14:textId="77777777">
            <w:pPr>
              <w:jc w:val="center"/>
              <w:rPr>
                <w:rFonts w:ascii="Times New Roman" w:hAnsi="Times New Roman"/>
                <w:color w:val="000000"/>
                <w:sz w:val="20"/>
              </w:rPr>
            </w:pPr>
            <w:r w:rsidRPr="008E70B9">
              <w:rPr>
                <w:rFonts w:ascii="Times New Roman" w:hAnsi="Times New Roman"/>
                <w:color w:val="000000"/>
                <w:sz w:val="20"/>
              </w:rPr>
              <w:t xml:space="preserve">Fin. </w:t>
            </w:r>
            <w:r w:rsidRPr="008E70B9">
              <w:rPr>
                <w:rFonts w:ascii="Times New Roman" w:hAnsi="Times New Roman"/>
                <w:color w:val="000000"/>
                <w:sz w:val="20"/>
              </w:rPr>
              <w:t>Anlst</w:t>
            </w:r>
            <w:r w:rsidRPr="008E70B9">
              <w:rPr>
                <w:rFonts w:ascii="Times New Roman" w:hAnsi="Times New Roman"/>
                <w:color w:val="000000"/>
                <w:sz w:val="20"/>
              </w:rPr>
              <w:t>.    ($100.28)</w:t>
            </w:r>
          </w:p>
        </w:tc>
        <w:tc>
          <w:tcPr>
            <w:tcW w:w="900" w:type="dxa"/>
            <w:vMerge w:val="restart"/>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149398D5" w14:textId="77777777">
            <w:pPr>
              <w:jc w:val="center"/>
              <w:rPr>
                <w:rFonts w:ascii="Times New Roman" w:hAnsi="Times New Roman"/>
                <w:color w:val="000000"/>
                <w:sz w:val="20"/>
              </w:rPr>
            </w:pPr>
            <w:r w:rsidRPr="008E70B9">
              <w:rPr>
                <w:rFonts w:ascii="Times New Roman" w:hAnsi="Times New Roman"/>
                <w:color w:val="000000"/>
                <w:sz w:val="20"/>
              </w:rPr>
              <w:t xml:space="preserve">Clerical </w:t>
            </w:r>
            <w:r w:rsidRPr="008E70B9">
              <w:rPr>
                <w:rFonts w:ascii="Times New Roman" w:hAnsi="Times New Roman"/>
                <w:color w:val="000000"/>
                <w:sz w:val="20"/>
              </w:rPr>
              <w:t xml:space="preserve">   (</w:t>
            </w:r>
            <w:r w:rsidRPr="008E70B9">
              <w:rPr>
                <w:rFonts w:ascii="Times New Roman" w:hAnsi="Times New Roman"/>
                <w:color w:val="000000"/>
                <w:sz w:val="20"/>
              </w:rPr>
              <w:t>$39.39)</w:t>
            </w:r>
          </w:p>
        </w:tc>
        <w:tc>
          <w:tcPr>
            <w:tcW w:w="1400" w:type="dxa"/>
            <w:vMerge/>
            <w:tcBorders>
              <w:top w:val="nil"/>
              <w:left w:val="single" w:sz="8" w:space="0" w:color="auto"/>
              <w:bottom w:val="single" w:sz="8" w:space="0" w:color="auto"/>
              <w:right w:val="single" w:sz="8" w:space="0" w:color="auto"/>
            </w:tcBorders>
            <w:vAlign w:val="center"/>
            <w:hideMark/>
          </w:tcPr>
          <w:p w:rsidR="00807975" w:rsidRPr="008E70B9" w:rsidP="00BA4F4E" w14:paraId="7D5AE7DC" w14:textId="77777777">
            <w:pPr>
              <w:rPr>
                <w:rFonts w:ascii="Times New Roman" w:hAnsi="Times New Roman"/>
                <w:color w:val="000000"/>
                <w:sz w:val="20"/>
              </w:rPr>
            </w:pPr>
          </w:p>
        </w:tc>
        <w:tc>
          <w:tcPr>
            <w:tcW w:w="222" w:type="dxa"/>
            <w:vAlign w:val="center"/>
            <w:hideMark/>
          </w:tcPr>
          <w:p w:rsidR="00807975" w:rsidRPr="008E70B9" w:rsidP="00BA4F4E" w14:paraId="237DE3E0" w14:textId="77777777">
            <w:pPr>
              <w:rPr>
                <w:rFonts w:ascii="Times New Roman" w:hAnsi="Times New Roman"/>
                <w:sz w:val="20"/>
              </w:rPr>
            </w:pPr>
          </w:p>
        </w:tc>
      </w:tr>
      <w:tr w14:paraId="7FF4B860" w14:textId="77777777" w:rsidTr="00E669C4">
        <w:tblPrEx>
          <w:tblW w:w="10423" w:type="dxa"/>
          <w:tblCellMar>
            <w:top w:w="15" w:type="dxa"/>
          </w:tblCellMar>
          <w:tblLook w:val="04A0"/>
        </w:tblPrEx>
        <w:trPr>
          <w:trHeight w:val="840"/>
        </w:trPr>
        <w:tc>
          <w:tcPr>
            <w:tcW w:w="2166" w:type="dxa"/>
            <w:vMerge/>
            <w:tcBorders>
              <w:top w:val="nil"/>
              <w:left w:val="single" w:sz="8" w:space="0" w:color="auto"/>
              <w:bottom w:val="single" w:sz="8" w:space="0" w:color="auto"/>
              <w:right w:val="single" w:sz="8" w:space="0" w:color="auto"/>
            </w:tcBorders>
            <w:vAlign w:val="center"/>
            <w:hideMark/>
          </w:tcPr>
          <w:p w:rsidR="00807975" w:rsidRPr="008E70B9" w:rsidP="00BA4F4E" w14:paraId="07FD83C8" w14:textId="77777777">
            <w:pPr>
              <w:rPr>
                <w:rFonts w:ascii="Times New Roman" w:hAnsi="Times New Roman"/>
                <w:color w:val="000000"/>
                <w:sz w:val="20"/>
              </w:rPr>
            </w:pPr>
          </w:p>
        </w:tc>
        <w:tc>
          <w:tcPr>
            <w:tcW w:w="835" w:type="dxa"/>
            <w:vMerge/>
            <w:tcBorders>
              <w:top w:val="nil"/>
              <w:left w:val="single" w:sz="8" w:space="0" w:color="auto"/>
              <w:bottom w:val="single" w:sz="8" w:space="0" w:color="auto"/>
              <w:right w:val="single" w:sz="8" w:space="0" w:color="auto"/>
            </w:tcBorders>
            <w:vAlign w:val="center"/>
            <w:hideMark/>
          </w:tcPr>
          <w:p w:rsidR="00807975" w:rsidRPr="008E70B9" w:rsidP="00BA4F4E" w14:paraId="23B53725"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807975" w:rsidRPr="008E70B9" w:rsidP="00BA4F4E" w14:paraId="7A1155B6"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807975" w:rsidRPr="008E70B9" w:rsidP="00BA4F4E" w14:paraId="06122E11"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807975" w:rsidRPr="008E70B9" w:rsidP="00BA4F4E" w14:paraId="027DFAE7"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807975" w:rsidRPr="008E70B9" w:rsidP="00BA4F4E" w14:paraId="360F104A" w14:textId="77777777">
            <w:pPr>
              <w:rPr>
                <w:rFonts w:ascii="Times New Roman" w:hAnsi="Times New Roman"/>
                <w:color w:val="000000"/>
                <w:sz w:val="20"/>
              </w:rPr>
            </w:pPr>
          </w:p>
        </w:tc>
        <w:tc>
          <w:tcPr>
            <w:tcW w:w="1000" w:type="dxa"/>
            <w:vMerge/>
            <w:tcBorders>
              <w:top w:val="nil"/>
              <w:left w:val="single" w:sz="8" w:space="0" w:color="auto"/>
              <w:bottom w:val="single" w:sz="8" w:space="0" w:color="auto"/>
              <w:right w:val="single" w:sz="8" w:space="0" w:color="auto"/>
            </w:tcBorders>
            <w:vAlign w:val="center"/>
            <w:hideMark/>
          </w:tcPr>
          <w:p w:rsidR="00807975" w:rsidRPr="008E70B9" w:rsidP="00BA4F4E" w14:paraId="7AF0AC57" w14:textId="77777777">
            <w:pPr>
              <w:rPr>
                <w:rFonts w:ascii="Times New Roman" w:hAnsi="Times New Roman"/>
                <w:color w:val="000000"/>
                <w:sz w:val="20"/>
              </w:rPr>
            </w:pPr>
          </w:p>
        </w:tc>
        <w:tc>
          <w:tcPr>
            <w:tcW w:w="900" w:type="dxa"/>
            <w:vMerge/>
            <w:tcBorders>
              <w:top w:val="nil"/>
              <w:left w:val="single" w:sz="8" w:space="0" w:color="auto"/>
              <w:bottom w:val="single" w:sz="8" w:space="0" w:color="auto"/>
              <w:right w:val="single" w:sz="8" w:space="0" w:color="auto"/>
            </w:tcBorders>
            <w:vAlign w:val="center"/>
            <w:hideMark/>
          </w:tcPr>
          <w:p w:rsidR="00807975" w:rsidRPr="008E70B9" w:rsidP="00BA4F4E" w14:paraId="7E10850E" w14:textId="77777777">
            <w:pPr>
              <w:rPr>
                <w:rFonts w:ascii="Times New Roman" w:hAnsi="Times New Roman"/>
                <w:color w:val="000000"/>
                <w:sz w:val="20"/>
              </w:rPr>
            </w:pPr>
          </w:p>
        </w:tc>
        <w:tc>
          <w:tcPr>
            <w:tcW w:w="1400" w:type="dxa"/>
            <w:vMerge/>
            <w:tcBorders>
              <w:top w:val="nil"/>
              <w:left w:val="single" w:sz="8" w:space="0" w:color="auto"/>
              <w:bottom w:val="single" w:sz="8" w:space="0" w:color="auto"/>
              <w:right w:val="single" w:sz="8" w:space="0" w:color="auto"/>
            </w:tcBorders>
            <w:vAlign w:val="center"/>
            <w:hideMark/>
          </w:tcPr>
          <w:p w:rsidR="00807975" w:rsidRPr="008E70B9" w:rsidP="00BA4F4E" w14:paraId="5ACD693D" w14:textId="77777777">
            <w:pPr>
              <w:rPr>
                <w:rFonts w:ascii="Times New Roman" w:hAnsi="Times New Roman"/>
                <w:color w:val="000000"/>
                <w:sz w:val="20"/>
              </w:rPr>
            </w:pPr>
          </w:p>
        </w:tc>
        <w:tc>
          <w:tcPr>
            <w:tcW w:w="222" w:type="dxa"/>
            <w:tcBorders>
              <w:top w:val="nil"/>
              <w:left w:val="nil"/>
              <w:bottom w:val="nil"/>
              <w:right w:val="nil"/>
            </w:tcBorders>
            <w:shd w:val="clear" w:color="auto" w:fill="auto"/>
            <w:noWrap/>
            <w:vAlign w:val="bottom"/>
            <w:hideMark/>
          </w:tcPr>
          <w:p w:rsidR="00807975" w:rsidRPr="008E70B9" w:rsidP="00BA4F4E" w14:paraId="154B2C71" w14:textId="77777777">
            <w:pPr>
              <w:jc w:val="center"/>
              <w:rPr>
                <w:rFonts w:ascii="Times New Roman" w:hAnsi="Times New Roman"/>
                <w:color w:val="000000"/>
                <w:sz w:val="20"/>
              </w:rPr>
            </w:pPr>
          </w:p>
        </w:tc>
      </w:tr>
      <w:tr w14:paraId="258CCD03" w14:textId="77777777" w:rsidTr="00E669C4">
        <w:tblPrEx>
          <w:tblW w:w="10423" w:type="dxa"/>
          <w:tblCellMar>
            <w:top w:w="15" w:type="dxa"/>
          </w:tblCellMar>
          <w:tblLook w:val="04A0"/>
        </w:tblPrEx>
        <w:trPr>
          <w:trHeight w:val="1392"/>
        </w:trPr>
        <w:tc>
          <w:tcPr>
            <w:tcW w:w="2166" w:type="dxa"/>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6A522618" w14:textId="77777777">
            <w:pPr>
              <w:rPr>
                <w:rFonts w:ascii="Times New Roman" w:hAnsi="Times New Roman"/>
                <w:color w:val="000000"/>
                <w:sz w:val="20"/>
              </w:rPr>
            </w:pPr>
            <w:r w:rsidRPr="008E70B9">
              <w:rPr>
                <w:rFonts w:ascii="Times New Roman" w:hAnsi="Times New Roman"/>
                <w:color w:val="000000"/>
                <w:sz w:val="20"/>
              </w:rPr>
              <w:t>1. Develop Policies and Procedures for Response Program,</w:t>
            </w:r>
            <w:r w:rsidRPr="008E70B9">
              <w:rPr>
                <w:rFonts w:ascii="Times New Roman" w:hAnsi="Times New Roman"/>
                <w:color w:val="000000"/>
                <w:sz w:val="20"/>
              </w:rPr>
              <w:br/>
              <w:t xml:space="preserve">12 CFR Part 364, App. B, § III </w:t>
            </w:r>
          </w:p>
          <w:p w:rsidR="00807975" w:rsidRPr="008E70B9" w:rsidP="00BA4F4E" w14:paraId="6C8C6439" w14:textId="77777777">
            <w:pPr>
              <w:rPr>
                <w:rFonts w:ascii="Times New Roman" w:hAnsi="Times New Roman"/>
                <w:color w:val="000000"/>
                <w:sz w:val="20"/>
              </w:rPr>
            </w:pPr>
            <w:r w:rsidRPr="008E70B9">
              <w:rPr>
                <w:rFonts w:ascii="Times New Roman" w:hAnsi="Times New Roman"/>
                <w:color w:val="000000"/>
                <w:sz w:val="20"/>
              </w:rPr>
              <w:t xml:space="preserve"> (Mandatory)</w:t>
            </w:r>
          </w:p>
        </w:tc>
        <w:tc>
          <w:tcPr>
            <w:tcW w:w="835" w:type="dxa"/>
            <w:tcBorders>
              <w:top w:val="nil"/>
              <w:left w:val="nil"/>
              <w:bottom w:val="single" w:sz="8" w:space="0" w:color="auto"/>
              <w:right w:val="single" w:sz="8" w:space="0" w:color="auto"/>
            </w:tcBorders>
            <w:shd w:val="clear" w:color="auto" w:fill="auto"/>
            <w:vAlign w:val="center"/>
            <w:hideMark/>
          </w:tcPr>
          <w:p w:rsidR="00807975" w:rsidRPr="008E70B9" w:rsidP="00BA4F4E" w14:paraId="60EDC20F" w14:textId="77777777">
            <w:pPr>
              <w:jc w:val="center"/>
              <w:rPr>
                <w:rFonts w:ascii="Times New Roman" w:hAnsi="Times New Roman"/>
                <w:color w:val="000000"/>
                <w:sz w:val="20"/>
              </w:rPr>
            </w:pPr>
            <w:r w:rsidRPr="008E70B9">
              <w:rPr>
                <w:rFonts w:ascii="Times New Roman" w:hAnsi="Times New Roman"/>
                <w:color w:val="000000"/>
                <w:sz w:val="20"/>
              </w:rPr>
              <w:t>1.64</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1C3AB442" w14:textId="77777777">
            <w:pPr>
              <w:jc w:val="center"/>
              <w:rPr>
                <w:rFonts w:ascii="Times New Roman" w:hAnsi="Times New Roman"/>
                <w:color w:val="000000"/>
                <w:sz w:val="20"/>
              </w:rPr>
            </w:pPr>
            <w:r w:rsidRPr="008E70B9">
              <w:rPr>
                <w:rFonts w:ascii="Times New Roman" w:hAnsi="Times New Roman"/>
                <w:color w:val="000000"/>
                <w:sz w:val="20"/>
              </w:rPr>
              <w:t>10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132216A8"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807975" w:rsidRPr="008E70B9" w:rsidP="00BA4F4E" w14:paraId="1DCBD3DF"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2F8BC544" w14:textId="77777777">
            <w:pPr>
              <w:jc w:val="center"/>
              <w:rPr>
                <w:rFonts w:ascii="Times New Roman" w:hAnsi="Times New Roman"/>
                <w:color w:val="000000"/>
                <w:sz w:val="20"/>
              </w:rPr>
            </w:pPr>
            <w:r w:rsidRPr="008E70B9">
              <w:rPr>
                <w:rFonts w:ascii="Times New Roman" w:hAnsi="Times New Roman"/>
                <w:color w:val="000000"/>
                <w:sz w:val="20"/>
              </w:rPr>
              <w:t>20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201B7E79" w14:textId="77777777">
            <w:pPr>
              <w:jc w:val="center"/>
              <w:rPr>
                <w:rFonts w:ascii="Times New Roman" w:hAnsi="Times New Roman"/>
                <w:color w:val="000000"/>
                <w:sz w:val="20"/>
              </w:rPr>
            </w:pPr>
            <w:r w:rsidRPr="008E70B9">
              <w:rPr>
                <w:rFonts w:ascii="Times New Roman" w:hAnsi="Times New Roman"/>
                <w:color w:val="000000"/>
                <w:sz w:val="20"/>
              </w:rPr>
              <w:t>25</w:t>
            </w:r>
          </w:p>
        </w:tc>
        <w:tc>
          <w:tcPr>
            <w:tcW w:w="900" w:type="dxa"/>
            <w:tcBorders>
              <w:top w:val="nil"/>
              <w:left w:val="nil"/>
              <w:bottom w:val="single" w:sz="8" w:space="0" w:color="auto"/>
              <w:right w:val="single" w:sz="8" w:space="0" w:color="auto"/>
            </w:tcBorders>
            <w:shd w:val="clear" w:color="auto" w:fill="auto"/>
            <w:vAlign w:val="center"/>
            <w:hideMark/>
          </w:tcPr>
          <w:p w:rsidR="00807975" w:rsidRPr="008E70B9" w:rsidP="00BA4F4E" w14:paraId="59CFA758"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1400" w:type="dxa"/>
            <w:tcBorders>
              <w:top w:val="nil"/>
              <w:left w:val="nil"/>
              <w:bottom w:val="single" w:sz="8" w:space="0" w:color="auto"/>
              <w:right w:val="single" w:sz="8" w:space="0" w:color="auto"/>
            </w:tcBorders>
            <w:shd w:val="clear" w:color="auto" w:fill="auto"/>
            <w:vAlign w:val="center"/>
            <w:hideMark/>
          </w:tcPr>
          <w:p w:rsidR="00807975" w:rsidRPr="008E70B9" w:rsidP="00BA4F4E" w14:paraId="0E53CE70" w14:textId="77777777">
            <w:pPr>
              <w:ind w:firstLine="200" w:firstLineChars="100"/>
              <w:jc w:val="right"/>
              <w:rPr>
                <w:rFonts w:ascii="Times New Roman" w:hAnsi="Times New Roman"/>
                <w:color w:val="000000"/>
                <w:sz w:val="20"/>
              </w:rPr>
            </w:pPr>
            <w:r w:rsidRPr="008E70B9">
              <w:rPr>
                <w:rFonts w:ascii="Times New Roman" w:hAnsi="Times New Roman"/>
                <w:color w:val="000000"/>
                <w:sz w:val="20"/>
              </w:rPr>
              <w:t xml:space="preserve">$106.64 </w:t>
            </w:r>
          </w:p>
        </w:tc>
        <w:tc>
          <w:tcPr>
            <w:tcW w:w="222" w:type="dxa"/>
            <w:vAlign w:val="center"/>
            <w:hideMark/>
          </w:tcPr>
          <w:p w:rsidR="00807975" w:rsidRPr="008E70B9" w:rsidP="00BA4F4E" w14:paraId="40234EA4" w14:textId="77777777">
            <w:pPr>
              <w:rPr>
                <w:rFonts w:ascii="Times New Roman" w:hAnsi="Times New Roman"/>
                <w:sz w:val="20"/>
              </w:rPr>
            </w:pPr>
          </w:p>
        </w:tc>
      </w:tr>
      <w:tr w14:paraId="71F95F55" w14:textId="77777777" w:rsidTr="00E669C4">
        <w:tblPrEx>
          <w:tblW w:w="10423" w:type="dxa"/>
          <w:tblCellMar>
            <w:top w:w="15" w:type="dxa"/>
          </w:tblCellMar>
          <w:tblLook w:val="04A0"/>
        </w:tblPrEx>
        <w:trPr>
          <w:trHeight w:val="1392"/>
        </w:trPr>
        <w:tc>
          <w:tcPr>
            <w:tcW w:w="2166" w:type="dxa"/>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25A1A0FE" w14:textId="77777777">
            <w:pPr>
              <w:rPr>
                <w:rFonts w:ascii="Times New Roman" w:hAnsi="Times New Roman"/>
                <w:color w:val="000000"/>
                <w:sz w:val="20"/>
              </w:rPr>
            </w:pPr>
            <w:r w:rsidRPr="008E70B9">
              <w:rPr>
                <w:rFonts w:ascii="Times New Roman" w:hAnsi="Times New Roman"/>
                <w:color w:val="000000"/>
                <w:sz w:val="20"/>
              </w:rPr>
              <w:t>2. Notice Regarding Unauthorized Access to Customer Information,</w:t>
            </w:r>
            <w:r w:rsidRPr="008E70B9">
              <w:rPr>
                <w:rFonts w:ascii="Times New Roman" w:hAnsi="Times New Roman"/>
                <w:color w:val="000000"/>
                <w:sz w:val="20"/>
              </w:rPr>
              <w:br/>
              <w:t xml:space="preserve">12 CFR Part 364, App. B, § III(C)(1)(g) </w:t>
            </w:r>
          </w:p>
          <w:p w:rsidR="00807975" w:rsidRPr="008E70B9" w:rsidP="00BA4F4E" w14:paraId="44A9ECE4" w14:textId="77777777">
            <w:pPr>
              <w:rPr>
                <w:rFonts w:ascii="Times New Roman" w:hAnsi="Times New Roman"/>
                <w:color w:val="000000"/>
                <w:sz w:val="20"/>
              </w:rPr>
            </w:pPr>
            <w:r w:rsidRPr="008E70B9">
              <w:rPr>
                <w:rFonts w:ascii="Times New Roman" w:hAnsi="Times New Roman"/>
                <w:color w:val="000000"/>
                <w:sz w:val="20"/>
              </w:rPr>
              <w:t>(Mandatory)</w:t>
            </w:r>
          </w:p>
        </w:tc>
        <w:tc>
          <w:tcPr>
            <w:tcW w:w="835" w:type="dxa"/>
            <w:tcBorders>
              <w:top w:val="nil"/>
              <w:left w:val="nil"/>
              <w:bottom w:val="single" w:sz="8" w:space="0" w:color="auto"/>
              <w:right w:val="single" w:sz="8" w:space="0" w:color="auto"/>
            </w:tcBorders>
            <w:shd w:val="clear" w:color="auto" w:fill="auto"/>
            <w:vAlign w:val="center"/>
            <w:hideMark/>
          </w:tcPr>
          <w:p w:rsidR="00807975" w:rsidRPr="008E70B9" w:rsidP="00BA4F4E" w14:paraId="45F1BEA5" w14:textId="77777777">
            <w:pPr>
              <w:jc w:val="center"/>
              <w:rPr>
                <w:rFonts w:ascii="Times New Roman" w:hAnsi="Times New Roman"/>
                <w:color w:val="000000"/>
                <w:sz w:val="20"/>
              </w:rPr>
            </w:pPr>
            <w:r w:rsidRPr="008E70B9">
              <w:rPr>
                <w:rFonts w:ascii="Times New Roman" w:hAnsi="Times New Roman"/>
                <w:color w:val="000000"/>
                <w:sz w:val="20"/>
              </w:rPr>
              <w:t>95.70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662B9548" w14:textId="77777777">
            <w:pPr>
              <w:jc w:val="center"/>
              <w:rPr>
                <w:rFonts w:ascii="Times New Roman" w:hAnsi="Times New Roman"/>
                <w:color w:val="000000"/>
                <w:sz w:val="20"/>
              </w:rPr>
            </w:pPr>
            <w:r w:rsidRPr="008E70B9">
              <w:rPr>
                <w:rFonts w:ascii="Times New Roman" w:hAnsi="Times New Roman"/>
                <w:color w:val="000000"/>
                <w:sz w:val="20"/>
              </w:rPr>
              <w:t>10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310AE717"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807975" w:rsidRPr="008E70B9" w:rsidP="00BA4F4E" w14:paraId="0A502178"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3F20B057" w14:textId="77777777">
            <w:pPr>
              <w:jc w:val="center"/>
              <w:rPr>
                <w:rFonts w:ascii="Times New Roman" w:hAnsi="Times New Roman"/>
                <w:color w:val="000000"/>
                <w:sz w:val="20"/>
              </w:rPr>
            </w:pPr>
            <w:r w:rsidRPr="008E70B9">
              <w:rPr>
                <w:rFonts w:ascii="Times New Roman" w:hAnsi="Times New Roman"/>
                <w:color w:val="000000"/>
                <w:sz w:val="20"/>
              </w:rPr>
              <w:t>20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6419D8D6" w14:textId="77777777">
            <w:pPr>
              <w:jc w:val="center"/>
              <w:rPr>
                <w:rFonts w:ascii="Times New Roman" w:hAnsi="Times New Roman"/>
                <w:color w:val="000000"/>
                <w:sz w:val="20"/>
              </w:rPr>
            </w:pPr>
            <w:r w:rsidRPr="008E70B9">
              <w:rPr>
                <w:rFonts w:ascii="Times New Roman" w:hAnsi="Times New Roman"/>
                <w:color w:val="000000"/>
                <w:sz w:val="20"/>
              </w:rPr>
              <w:t>25</w:t>
            </w:r>
          </w:p>
        </w:tc>
        <w:tc>
          <w:tcPr>
            <w:tcW w:w="900" w:type="dxa"/>
            <w:tcBorders>
              <w:top w:val="nil"/>
              <w:left w:val="nil"/>
              <w:bottom w:val="single" w:sz="8" w:space="0" w:color="auto"/>
              <w:right w:val="single" w:sz="8" w:space="0" w:color="auto"/>
            </w:tcBorders>
            <w:shd w:val="clear" w:color="auto" w:fill="auto"/>
            <w:vAlign w:val="center"/>
            <w:hideMark/>
          </w:tcPr>
          <w:p w:rsidR="00807975" w:rsidRPr="008E70B9" w:rsidP="00BA4F4E" w14:paraId="4EA084C6"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1400" w:type="dxa"/>
            <w:tcBorders>
              <w:top w:val="nil"/>
              <w:left w:val="nil"/>
              <w:bottom w:val="single" w:sz="8" w:space="0" w:color="auto"/>
              <w:right w:val="single" w:sz="8" w:space="0" w:color="auto"/>
            </w:tcBorders>
            <w:shd w:val="clear" w:color="auto" w:fill="auto"/>
            <w:vAlign w:val="center"/>
            <w:hideMark/>
          </w:tcPr>
          <w:p w:rsidR="00807975" w:rsidRPr="008E70B9" w:rsidP="00BA4F4E" w14:paraId="7F128382" w14:textId="77777777">
            <w:pPr>
              <w:ind w:firstLine="200" w:firstLineChars="100"/>
              <w:jc w:val="right"/>
              <w:rPr>
                <w:rFonts w:ascii="Times New Roman" w:hAnsi="Times New Roman"/>
                <w:color w:val="000000"/>
                <w:sz w:val="20"/>
              </w:rPr>
            </w:pPr>
            <w:r w:rsidRPr="008E70B9">
              <w:rPr>
                <w:rFonts w:ascii="Times New Roman" w:hAnsi="Times New Roman"/>
                <w:color w:val="000000"/>
                <w:sz w:val="20"/>
              </w:rPr>
              <w:t xml:space="preserve">$106.64 </w:t>
            </w:r>
          </w:p>
        </w:tc>
        <w:tc>
          <w:tcPr>
            <w:tcW w:w="222" w:type="dxa"/>
            <w:vAlign w:val="center"/>
            <w:hideMark/>
          </w:tcPr>
          <w:p w:rsidR="00807975" w:rsidRPr="008E70B9" w:rsidP="00BA4F4E" w14:paraId="044BFB6E" w14:textId="77777777">
            <w:pPr>
              <w:rPr>
                <w:rFonts w:ascii="Times New Roman" w:hAnsi="Times New Roman"/>
                <w:sz w:val="20"/>
              </w:rPr>
            </w:pPr>
          </w:p>
        </w:tc>
      </w:tr>
      <w:tr w14:paraId="509B494C" w14:textId="77777777" w:rsidTr="00E669C4">
        <w:tblPrEx>
          <w:tblW w:w="10423" w:type="dxa"/>
          <w:tblCellMar>
            <w:top w:w="15" w:type="dxa"/>
          </w:tblCellMar>
          <w:tblLook w:val="04A0"/>
        </w:tblPrEx>
        <w:trPr>
          <w:trHeight w:val="1104"/>
        </w:trPr>
        <w:tc>
          <w:tcPr>
            <w:tcW w:w="2166" w:type="dxa"/>
            <w:tcBorders>
              <w:top w:val="nil"/>
              <w:left w:val="single" w:sz="8" w:space="0" w:color="auto"/>
              <w:bottom w:val="single" w:sz="8" w:space="0" w:color="auto"/>
              <w:right w:val="single" w:sz="8" w:space="0" w:color="auto"/>
            </w:tcBorders>
            <w:shd w:val="clear" w:color="auto" w:fill="auto"/>
            <w:vAlign w:val="center"/>
            <w:hideMark/>
          </w:tcPr>
          <w:p w:rsidR="00807975" w:rsidRPr="008E70B9" w:rsidP="00BA4F4E" w14:paraId="06CB3ED0" w14:textId="77777777">
            <w:pPr>
              <w:rPr>
                <w:rFonts w:ascii="Times New Roman" w:hAnsi="Times New Roman"/>
                <w:color w:val="000000"/>
                <w:sz w:val="20"/>
              </w:rPr>
            </w:pPr>
            <w:r w:rsidRPr="008E70B9">
              <w:rPr>
                <w:rFonts w:ascii="Times New Roman" w:hAnsi="Times New Roman"/>
                <w:color w:val="000000"/>
                <w:sz w:val="20"/>
              </w:rPr>
              <w:t>3. Incident Notification to Primary Federal Regulator, 12 CFR Part 364, App. B, § III(C)(1)(</w:t>
            </w:r>
            <w:r w:rsidRPr="008E70B9">
              <w:rPr>
                <w:rFonts w:ascii="Times New Roman" w:hAnsi="Times New Roman"/>
                <w:color w:val="000000"/>
                <w:sz w:val="20"/>
              </w:rPr>
              <w:t>g)  (</w:t>
            </w:r>
            <w:r w:rsidRPr="008E70B9">
              <w:rPr>
                <w:rFonts w:ascii="Times New Roman" w:hAnsi="Times New Roman"/>
                <w:color w:val="000000"/>
                <w:sz w:val="20"/>
              </w:rPr>
              <w:t>Mandatory)</w:t>
            </w:r>
          </w:p>
        </w:tc>
        <w:tc>
          <w:tcPr>
            <w:tcW w:w="835" w:type="dxa"/>
            <w:tcBorders>
              <w:top w:val="nil"/>
              <w:left w:val="nil"/>
              <w:bottom w:val="single" w:sz="8" w:space="0" w:color="auto"/>
              <w:right w:val="single" w:sz="8" w:space="0" w:color="auto"/>
            </w:tcBorders>
            <w:shd w:val="clear" w:color="auto" w:fill="auto"/>
            <w:vAlign w:val="center"/>
            <w:hideMark/>
          </w:tcPr>
          <w:p w:rsidR="00807975" w:rsidRPr="008E70B9" w:rsidP="00BA4F4E" w14:paraId="3E3559A6" w14:textId="77777777">
            <w:pPr>
              <w:jc w:val="center"/>
              <w:rPr>
                <w:rFonts w:ascii="Times New Roman" w:hAnsi="Times New Roman"/>
                <w:color w:val="000000"/>
                <w:sz w:val="20"/>
              </w:rPr>
            </w:pPr>
            <w:r w:rsidRPr="008E70B9">
              <w:rPr>
                <w:rFonts w:ascii="Times New Roman" w:hAnsi="Times New Roman"/>
                <w:color w:val="000000"/>
                <w:sz w:val="20"/>
              </w:rPr>
              <w:t>2.66</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1FBD15F7" w14:textId="77777777">
            <w:pPr>
              <w:jc w:val="center"/>
              <w:rPr>
                <w:rFonts w:ascii="Times New Roman" w:hAnsi="Times New Roman"/>
                <w:color w:val="000000"/>
                <w:sz w:val="20"/>
              </w:rPr>
            </w:pPr>
            <w:r w:rsidRPr="008E70B9">
              <w:rPr>
                <w:rFonts w:ascii="Times New Roman" w:hAnsi="Times New Roman"/>
                <w:color w:val="000000"/>
                <w:sz w:val="20"/>
              </w:rPr>
              <w:t>10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34006458"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900" w:type="dxa"/>
            <w:tcBorders>
              <w:top w:val="nil"/>
              <w:left w:val="nil"/>
              <w:bottom w:val="single" w:sz="8" w:space="0" w:color="auto"/>
              <w:right w:val="single" w:sz="8" w:space="0" w:color="auto"/>
            </w:tcBorders>
            <w:shd w:val="clear" w:color="auto" w:fill="auto"/>
            <w:vAlign w:val="center"/>
            <w:hideMark/>
          </w:tcPr>
          <w:p w:rsidR="00807975" w:rsidRPr="008E70B9" w:rsidP="00BA4F4E" w14:paraId="0E1665FA"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0C52F1C7" w14:textId="77777777">
            <w:pPr>
              <w:jc w:val="center"/>
              <w:rPr>
                <w:rFonts w:ascii="Times New Roman" w:hAnsi="Times New Roman"/>
                <w:color w:val="000000"/>
                <w:sz w:val="20"/>
              </w:rPr>
            </w:pPr>
            <w:r w:rsidRPr="008E70B9">
              <w:rPr>
                <w:rFonts w:ascii="Times New Roman" w:hAnsi="Times New Roman"/>
                <w:color w:val="000000"/>
                <w:sz w:val="20"/>
              </w:rPr>
              <w:t>20</w:t>
            </w:r>
          </w:p>
        </w:tc>
        <w:tc>
          <w:tcPr>
            <w:tcW w:w="1000" w:type="dxa"/>
            <w:tcBorders>
              <w:top w:val="nil"/>
              <w:left w:val="nil"/>
              <w:bottom w:val="single" w:sz="8" w:space="0" w:color="auto"/>
              <w:right w:val="single" w:sz="8" w:space="0" w:color="auto"/>
            </w:tcBorders>
            <w:shd w:val="clear" w:color="auto" w:fill="auto"/>
            <w:vAlign w:val="center"/>
            <w:hideMark/>
          </w:tcPr>
          <w:p w:rsidR="00807975" w:rsidRPr="008E70B9" w:rsidP="00BA4F4E" w14:paraId="65121D7B" w14:textId="77777777">
            <w:pPr>
              <w:jc w:val="center"/>
              <w:rPr>
                <w:rFonts w:ascii="Times New Roman" w:hAnsi="Times New Roman"/>
                <w:color w:val="000000"/>
                <w:sz w:val="20"/>
              </w:rPr>
            </w:pPr>
            <w:r w:rsidRPr="008E70B9">
              <w:rPr>
                <w:rFonts w:ascii="Times New Roman" w:hAnsi="Times New Roman"/>
                <w:color w:val="000000"/>
                <w:sz w:val="20"/>
              </w:rPr>
              <w:t>25</w:t>
            </w:r>
          </w:p>
        </w:tc>
        <w:tc>
          <w:tcPr>
            <w:tcW w:w="900" w:type="dxa"/>
            <w:tcBorders>
              <w:top w:val="nil"/>
              <w:left w:val="nil"/>
              <w:bottom w:val="single" w:sz="8" w:space="0" w:color="auto"/>
              <w:right w:val="single" w:sz="8" w:space="0" w:color="auto"/>
            </w:tcBorders>
            <w:shd w:val="clear" w:color="auto" w:fill="auto"/>
            <w:vAlign w:val="center"/>
            <w:hideMark/>
          </w:tcPr>
          <w:p w:rsidR="00807975" w:rsidRPr="008E70B9" w:rsidP="00BA4F4E" w14:paraId="0301EEC0" w14:textId="77777777">
            <w:pPr>
              <w:jc w:val="center"/>
              <w:rPr>
                <w:rFonts w:ascii="Times New Roman" w:hAnsi="Times New Roman"/>
                <w:color w:val="000000"/>
                <w:sz w:val="20"/>
              </w:rPr>
            </w:pPr>
            <w:r w:rsidRPr="008E70B9">
              <w:rPr>
                <w:rFonts w:ascii="Times New Roman" w:hAnsi="Times New Roman"/>
                <w:color w:val="000000"/>
                <w:sz w:val="20"/>
              </w:rPr>
              <w:t>15</w:t>
            </w:r>
          </w:p>
        </w:tc>
        <w:tc>
          <w:tcPr>
            <w:tcW w:w="1400" w:type="dxa"/>
            <w:tcBorders>
              <w:top w:val="nil"/>
              <w:left w:val="nil"/>
              <w:bottom w:val="single" w:sz="8" w:space="0" w:color="auto"/>
              <w:right w:val="single" w:sz="8" w:space="0" w:color="auto"/>
            </w:tcBorders>
            <w:shd w:val="clear" w:color="auto" w:fill="auto"/>
            <w:vAlign w:val="center"/>
            <w:hideMark/>
          </w:tcPr>
          <w:p w:rsidR="00807975" w:rsidRPr="008E70B9" w:rsidP="00BA4F4E" w14:paraId="7C30E0E9" w14:textId="77777777">
            <w:pPr>
              <w:ind w:firstLine="200" w:firstLineChars="100"/>
              <w:jc w:val="right"/>
              <w:rPr>
                <w:rFonts w:ascii="Times New Roman" w:hAnsi="Times New Roman"/>
                <w:color w:val="000000"/>
                <w:sz w:val="20"/>
              </w:rPr>
            </w:pPr>
            <w:r w:rsidRPr="008E70B9">
              <w:rPr>
                <w:rFonts w:ascii="Times New Roman" w:hAnsi="Times New Roman"/>
                <w:color w:val="000000"/>
                <w:sz w:val="20"/>
              </w:rPr>
              <w:t xml:space="preserve">$106.64 </w:t>
            </w:r>
          </w:p>
        </w:tc>
        <w:tc>
          <w:tcPr>
            <w:tcW w:w="222" w:type="dxa"/>
            <w:vAlign w:val="center"/>
            <w:hideMark/>
          </w:tcPr>
          <w:p w:rsidR="00807975" w:rsidRPr="008E70B9" w:rsidP="00BA4F4E" w14:paraId="7A314E71" w14:textId="77777777">
            <w:pPr>
              <w:rPr>
                <w:rFonts w:ascii="Times New Roman" w:hAnsi="Times New Roman"/>
                <w:sz w:val="20"/>
              </w:rPr>
            </w:pPr>
          </w:p>
        </w:tc>
      </w:tr>
      <w:tr w14:paraId="31CEBDF8" w14:textId="77777777" w:rsidTr="00E669C4">
        <w:tblPrEx>
          <w:tblW w:w="10423" w:type="dxa"/>
          <w:tblCellMar>
            <w:top w:w="15" w:type="dxa"/>
          </w:tblCellMar>
          <w:tblLook w:val="04A0"/>
        </w:tblPrEx>
        <w:trPr>
          <w:trHeight w:val="343"/>
        </w:trPr>
        <w:tc>
          <w:tcPr>
            <w:tcW w:w="8801" w:type="dxa"/>
            <w:gridSpan w:val="8"/>
            <w:tcBorders>
              <w:top w:val="single" w:sz="8" w:space="0" w:color="auto"/>
              <w:left w:val="single" w:sz="8" w:space="0" w:color="auto"/>
              <w:bottom w:val="single" w:sz="4" w:space="0" w:color="auto"/>
              <w:right w:val="single" w:sz="8" w:space="0" w:color="auto"/>
            </w:tcBorders>
            <w:shd w:val="clear" w:color="auto" w:fill="auto"/>
            <w:vAlign w:val="center"/>
            <w:hideMark/>
          </w:tcPr>
          <w:p w:rsidR="00807975" w:rsidRPr="008E70B9" w:rsidP="00BA4F4E" w14:paraId="7057D960" w14:textId="77777777">
            <w:pPr>
              <w:jc w:val="right"/>
              <w:rPr>
                <w:rFonts w:ascii="Times New Roman" w:hAnsi="Times New Roman"/>
                <w:b/>
                <w:bCs/>
                <w:i/>
                <w:iCs/>
                <w:color w:val="000000"/>
              </w:rPr>
            </w:pPr>
            <w:r w:rsidRPr="008E70B9">
              <w:rPr>
                <w:rFonts w:ascii="Times New Roman" w:hAnsi="Times New Roman"/>
                <w:b/>
                <w:bCs/>
                <w:i/>
                <w:iCs/>
                <w:color w:val="000000"/>
              </w:rPr>
              <w:t>Weighted Average Hourly Compensation Rate:</w:t>
            </w:r>
          </w:p>
        </w:tc>
        <w:tc>
          <w:tcPr>
            <w:tcW w:w="1400" w:type="dxa"/>
            <w:tcBorders>
              <w:top w:val="nil"/>
              <w:left w:val="nil"/>
              <w:bottom w:val="single" w:sz="4" w:space="0" w:color="auto"/>
              <w:right w:val="single" w:sz="8" w:space="0" w:color="auto"/>
            </w:tcBorders>
            <w:shd w:val="clear" w:color="auto" w:fill="auto"/>
            <w:vAlign w:val="center"/>
            <w:hideMark/>
          </w:tcPr>
          <w:p w:rsidR="00807975" w:rsidRPr="008E70B9" w:rsidP="00BA4F4E" w14:paraId="753B1FDF" w14:textId="77777777">
            <w:pPr>
              <w:ind w:firstLine="240" w:firstLineChars="100"/>
              <w:jc w:val="right"/>
              <w:rPr>
                <w:rFonts w:ascii="Times New Roman" w:hAnsi="Times New Roman"/>
                <w:b/>
                <w:bCs/>
                <w:i/>
                <w:iCs/>
                <w:color w:val="000000"/>
              </w:rPr>
            </w:pPr>
            <w:r w:rsidRPr="008E70B9">
              <w:rPr>
                <w:rFonts w:ascii="Times New Roman" w:hAnsi="Times New Roman"/>
                <w:b/>
                <w:bCs/>
                <w:i/>
                <w:iCs/>
                <w:color w:val="000000"/>
              </w:rPr>
              <w:t xml:space="preserve">$106.64 </w:t>
            </w:r>
          </w:p>
        </w:tc>
        <w:tc>
          <w:tcPr>
            <w:tcW w:w="222" w:type="dxa"/>
            <w:vAlign w:val="center"/>
            <w:hideMark/>
          </w:tcPr>
          <w:p w:rsidR="00807975" w:rsidRPr="008E70B9" w:rsidP="00BA4F4E" w14:paraId="7842B2B5" w14:textId="77777777">
            <w:pPr>
              <w:rPr>
                <w:rFonts w:ascii="Times New Roman" w:hAnsi="Times New Roman"/>
                <w:sz w:val="20"/>
              </w:rPr>
            </w:pPr>
          </w:p>
        </w:tc>
      </w:tr>
      <w:tr w14:paraId="37E5BCC0" w14:textId="77777777" w:rsidTr="006718CC">
        <w:tblPrEx>
          <w:tblW w:w="10423" w:type="dxa"/>
          <w:tblCellMar>
            <w:top w:w="15" w:type="dxa"/>
          </w:tblCellMar>
          <w:tblLook w:val="04A0"/>
        </w:tblPrEx>
        <w:trPr>
          <w:trHeight w:val="343"/>
        </w:trPr>
        <w:tc>
          <w:tcPr>
            <w:tcW w:w="1020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E669C4" w:rsidRPr="008E70B9" w:rsidP="00E669C4" w14:paraId="1673F8B7" w14:textId="0F0B8CA6">
            <w:pPr>
              <w:rPr>
                <w:rFonts w:ascii="Times New Roman" w:hAnsi="Times New Roman"/>
                <w:b/>
                <w:bCs/>
                <w:i/>
                <w:iCs/>
                <w:color w:val="000000"/>
              </w:rPr>
            </w:pPr>
            <w:r w:rsidRPr="008E70B9">
              <w:rPr>
                <w:rFonts w:ascii="Times New Roman" w:hAnsi="Times New Roman"/>
                <w:color w:val="000000"/>
                <w:sz w:val="18"/>
                <w:szCs w:val="18"/>
              </w:rPr>
              <w:t xml:space="preserve">Source: </w:t>
            </w:r>
            <w:r w:rsidRPr="008E70B9" w:rsidR="006332BB">
              <w:rPr>
                <w:rFonts w:ascii="Times New Roman" w:hAnsi="Times New Roman"/>
                <w:color w:val="000000"/>
                <w:sz w:val="18"/>
                <w:szCs w:val="18"/>
              </w:rPr>
              <w:t>Source: Bureau of Labor Statistics</w:t>
            </w:r>
            <w:r w:rsidRPr="008E70B9">
              <w:rPr>
                <w:rFonts w:ascii="Times New Roman" w:hAnsi="Times New Roman"/>
                <w:color w:val="000000"/>
                <w:sz w:val="18"/>
                <w:szCs w:val="18"/>
              </w:rPr>
              <w:t>.</w:t>
            </w:r>
          </w:p>
        </w:tc>
        <w:tc>
          <w:tcPr>
            <w:tcW w:w="222" w:type="dxa"/>
            <w:tcBorders>
              <w:left w:val="single" w:sz="4" w:space="0" w:color="auto"/>
            </w:tcBorders>
            <w:vAlign w:val="center"/>
          </w:tcPr>
          <w:p w:rsidR="00E669C4" w:rsidRPr="008E70B9" w:rsidP="00BA4F4E" w14:paraId="7A194E82" w14:textId="77777777">
            <w:pPr>
              <w:rPr>
                <w:rFonts w:ascii="Times New Roman" w:hAnsi="Times New Roman"/>
                <w:sz w:val="20"/>
              </w:rPr>
            </w:pPr>
          </w:p>
        </w:tc>
      </w:tr>
    </w:tbl>
    <w:p w:rsidR="000F36F0" w:rsidP="000F36F0" w14:paraId="16DF1CF0" w14:textId="65728E2F">
      <w:pPr>
        <w:tabs>
          <w:tab w:val="left" w:pos="-1440"/>
        </w:tabs>
        <w:spacing w:line="360" w:lineRule="auto"/>
        <w:ind w:left="720"/>
        <w:contextualSpacing/>
        <w:rPr>
          <w:rFonts w:ascii="Times New Roman" w:hAnsi="Times New Roman"/>
        </w:rPr>
      </w:pPr>
    </w:p>
    <w:tbl>
      <w:tblPr>
        <w:tblpPr w:leftFromText="180" w:rightFromText="180" w:vertAnchor="text" w:horzAnchor="margin" w:tblpY="74"/>
        <w:tblW w:w="10294" w:type="dxa"/>
        <w:tblLook w:val="04A0"/>
      </w:tblPr>
      <w:tblGrid>
        <w:gridCol w:w="2314"/>
        <w:gridCol w:w="2948"/>
        <w:gridCol w:w="2888"/>
        <w:gridCol w:w="2144"/>
      </w:tblGrid>
      <w:tr w14:paraId="32B859F5" w14:textId="77777777" w:rsidTr="0046355C">
        <w:tblPrEx>
          <w:tblW w:w="10294" w:type="dxa"/>
          <w:tblLook w:val="04A0"/>
        </w:tblPrEx>
        <w:trPr>
          <w:trHeight w:val="365"/>
        </w:trPr>
        <w:tc>
          <w:tcPr>
            <w:tcW w:w="1029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6355C" w:rsidRPr="0046355C" w:rsidP="0046355C" w14:paraId="49BB54FD" w14:textId="189D2148">
            <w:pPr>
              <w:jc w:val="center"/>
              <w:rPr>
                <w:rFonts w:ascii="Times New Roman" w:hAnsi="Times New Roman"/>
                <w:color w:val="000000"/>
                <w:szCs w:val="24"/>
              </w:rPr>
            </w:pPr>
            <w:r w:rsidRPr="0046355C">
              <w:rPr>
                <w:rFonts w:ascii="Times New Roman" w:hAnsi="Times New Roman"/>
                <w:color w:val="000000"/>
                <w:szCs w:val="24"/>
              </w:rPr>
              <w:t>Total Estimated Cost Burden (OMB No. 3064-0145)</w:t>
            </w:r>
          </w:p>
        </w:tc>
      </w:tr>
      <w:tr w14:paraId="6438E405" w14:textId="77777777" w:rsidTr="0046355C">
        <w:tblPrEx>
          <w:tblW w:w="10294" w:type="dxa"/>
          <w:tblLook w:val="04A0"/>
        </w:tblPrEx>
        <w:trPr>
          <w:trHeight w:val="610"/>
        </w:trPr>
        <w:tc>
          <w:tcPr>
            <w:tcW w:w="2314" w:type="dxa"/>
            <w:tcBorders>
              <w:top w:val="nil"/>
              <w:left w:val="single" w:sz="8" w:space="0" w:color="auto"/>
              <w:bottom w:val="single" w:sz="8" w:space="0" w:color="auto"/>
              <w:right w:val="single" w:sz="8" w:space="0" w:color="auto"/>
            </w:tcBorders>
            <w:shd w:val="clear" w:color="auto" w:fill="auto"/>
            <w:vAlign w:val="center"/>
            <w:hideMark/>
          </w:tcPr>
          <w:p w:rsidR="0046355C" w:rsidRPr="0046355C" w:rsidP="0046355C" w14:paraId="655FE2FE" w14:textId="77777777">
            <w:pPr>
              <w:rPr>
                <w:rFonts w:ascii="Times New Roman" w:hAnsi="Times New Roman"/>
                <w:color w:val="000000"/>
                <w:sz w:val="20"/>
              </w:rPr>
            </w:pPr>
            <w:r w:rsidRPr="0046355C">
              <w:rPr>
                <w:rFonts w:ascii="Times New Roman" w:hAnsi="Times New Roman"/>
                <w:color w:val="000000"/>
                <w:sz w:val="20"/>
              </w:rPr>
              <w:t>Information Collection Request</w:t>
            </w:r>
          </w:p>
        </w:tc>
        <w:tc>
          <w:tcPr>
            <w:tcW w:w="2948" w:type="dxa"/>
            <w:tcBorders>
              <w:top w:val="nil"/>
              <w:left w:val="nil"/>
              <w:bottom w:val="single" w:sz="8" w:space="0" w:color="auto"/>
              <w:right w:val="single" w:sz="8" w:space="0" w:color="auto"/>
            </w:tcBorders>
            <w:shd w:val="clear" w:color="auto" w:fill="auto"/>
            <w:vAlign w:val="center"/>
            <w:hideMark/>
          </w:tcPr>
          <w:p w:rsidR="0046355C" w:rsidRPr="0046355C" w:rsidP="0046355C" w14:paraId="2A94260E" w14:textId="77777777">
            <w:pPr>
              <w:jc w:val="center"/>
              <w:rPr>
                <w:rFonts w:ascii="Times New Roman" w:hAnsi="Times New Roman"/>
                <w:color w:val="000000"/>
                <w:sz w:val="20"/>
              </w:rPr>
            </w:pPr>
            <w:r w:rsidRPr="0046355C">
              <w:rPr>
                <w:rFonts w:ascii="Times New Roman" w:hAnsi="Times New Roman"/>
                <w:color w:val="000000"/>
                <w:sz w:val="20"/>
              </w:rPr>
              <w:t>Annual Burden (Hours)</w:t>
            </w:r>
          </w:p>
        </w:tc>
        <w:tc>
          <w:tcPr>
            <w:tcW w:w="2887" w:type="dxa"/>
            <w:tcBorders>
              <w:top w:val="nil"/>
              <w:left w:val="nil"/>
              <w:bottom w:val="single" w:sz="8" w:space="0" w:color="auto"/>
              <w:right w:val="single" w:sz="8" w:space="0" w:color="auto"/>
            </w:tcBorders>
            <w:shd w:val="clear" w:color="auto" w:fill="auto"/>
            <w:vAlign w:val="center"/>
            <w:hideMark/>
          </w:tcPr>
          <w:p w:rsidR="0046355C" w:rsidRPr="0046355C" w:rsidP="0046355C" w14:paraId="1084C3A0" w14:textId="77777777">
            <w:pPr>
              <w:jc w:val="center"/>
              <w:rPr>
                <w:rFonts w:ascii="Times New Roman" w:hAnsi="Times New Roman"/>
                <w:color w:val="000000"/>
                <w:sz w:val="20"/>
              </w:rPr>
            </w:pPr>
            <w:r w:rsidRPr="0046355C">
              <w:rPr>
                <w:rFonts w:ascii="Times New Roman" w:hAnsi="Times New Roman"/>
                <w:color w:val="000000"/>
                <w:sz w:val="20"/>
              </w:rPr>
              <w:t>Weighted Average Hourly Compensation Rate</w:t>
            </w:r>
          </w:p>
        </w:tc>
        <w:tc>
          <w:tcPr>
            <w:tcW w:w="2143" w:type="dxa"/>
            <w:tcBorders>
              <w:top w:val="nil"/>
              <w:left w:val="nil"/>
              <w:bottom w:val="single" w:sz="8" w:space="0" w:color="auto"/>
              <w:right w:val="single" w:sz="8" w:space="0" w:color="auto"/>
            </w:tcBorders>
            <w:shd w:val="clear" w:color="auto" w:fill="auto"/>
            <w:vAlign w:val="center"/>
            <w:hideMark/>
          </w:tcPr>
          <w:p w:rsidR="0046355C" w:rsidRPr="0046355C" w:rsidP="0046355C" w14:paraId="5051911D" w14:textId="77777777">
            <w:pPr>
              <w:jc w:val="center"/>
              <w:rPr>
                <w:rFonts w:ascii="Times New Roman" w:hAnsi="Times New Roman"/>
                <w:color w:val="000000"/>
                <w:sz w:val="20"/>
              </w:rPr>
            </w:pPr>
            <w:r w:rsidRPr="0046355C">
              <w:rPr>
                <w:rFonts w:ascii="Times New Roman" w:hAnsi="Times New Roman"/>
                <w:color w:val="000000"/>
                <w:sz w:val="20"/>
              </w:rPr>
              <w:t>Annual Respondent Cost</w:t>
            </w:r>
          </w:p>
        </w:tc>
      </w:tr>
      <w:tr w14:paraId="1457DEF9" w14:textId="77777777" w:rsidTr="0046355C">
        <w:tblPrEx>
          <w:tblW w:w="10294" w:type="dxa"/>
          <w:tblLook w:val="04A0"/>
        </w:tblPrEx>
        <w:trPr>
          <w:trHeight w:val="878"/>
        </w:trPr>
        <w:tc>
          <w:tcPr>
            <w:tcW w:w="2314" w:type="dxa"/>
            <w:tcBorders>
              <w:top w:val="nil"/>
              <w:left w:val="single" w:sz="8" w:space="0" w:color="auto"/>
              <w:bottom w:val="single" w:sz="8" w:space="0" w:color="auto"/>
              <w:right w:val="single" w:sz="8" w:space="0" w:color="auto"/>
            </w:tcBorders>
            <w:shd w:val="clear" w:color="auto" w:fill="auto"/>
            <w:vAlign w:val="center"/>
            <w:hideMark/>
          </w:tcPr>
          <w:p w:rsidR="0046355C" w:rsidRPr="0046355C" w:rsidP="0046355C" w14:paraId="75906F87" w14:textId="77777777">
            <w:pPr>
              <w:rPr>
                <w:rFonts w:ascii="Times New Roman" w:hAnsi="Times New Roman"/>
                <w:color w:val="000000"/>
                <w:sz w:val="20"/>
              </w:rPr>
            </w:pPr>
            <w:r w:rsidRPr="0046355C">
              <w:rPr>
                <w:rFonts w:ascii="Times New Roman" w:hAnsi="Times New Roman"/>
                <w:color w:val="000000"/>
                <w:sz w:val="20"/>
              </w:rPr>
              <w:t>Notice Regarding Unauthorized Access to Customer Information</w:t>
            </w:r>
          </w:p>
        </w:tc>
        <w:tc>
          <w:tcPr>
            <w:tcW w:w="2948" w:type="dxa"/>
            <w:tcBorders>
              <w:top w:val="nil"/>
              <w:left w:val="nil"/>
              <w:bottom w:val="single" w:sz="8" w:space="0" w:color="auto"/>
              <w:right w:val="single" w:sz="8" w:space="0" w:color="auto"/>
            </w:tcBorders>
            <w:shd w:val="clear" w:color="auto" w:fill="auto"/>
            <w:noWrap/>
            <w:vAlign w:val="center"/>
            <w:hideMark/>
          </w:tcPr>
          <w:p w:rsidR="0046355C" w:rsidRPr="0046355C" w:rsidP="0046355C" w14:paraId="41137478" w14:textId="77777777">
            <w:pPr>
              <w:ind w:firstLine="400" w:firstLineChars="200"/>
              <w:jc w:val="right"/>
              <w:rPr>
                <w:rFonts w:ascii="Times New Roman" w:hAnsi="Times New Roman"/>
                <w:color w:val="000000"/>
                <w:sz w:val="20"/>
              </w:rPr>
            </w:pPr>
            <w:r w:rsidRPr="0046355C">
              <w:rPr>
                <w:rFonts w:ascii="Times New Roman" w:hAnsi="Times New Roman"/>
                <w:color w:val="000000"/>
                <w:sz w:val="20"/>
              </w:rPr>
              <w:t xml:space="preserve">                                            13,166 </w:t>
            </w:r>
          </w:p>
        </w:tc>
        <w:tc>
          <w:tcPr>
            <w:tcW w:w="2887" w:type="dxa"/>
            <w:tcBorders>
              <w:top w:val="nil"/>
              <w:left w:val="nil"/>
              <w:bottom w:val="single" w:sz="8" w:space="0" w:color="auto"/>
              <w:right w:val="single" w:sz="8" w:space="0" w:color="auto"/>
            </w:tcBorders>
            <w:shd w:val="clear" w:color="auto" w:fill="auto"/>
            <w:noWrap/>
            <w:vAlign w:val="center"/>
            <w:hideMark/>
          </w:tcPr>
          <w:p w:rsidR="0046355C" w:rsidRPr="0046355C" w:rsidP="0046355C" w14:paraId="22680520" w14:textId="77777777">
            <w:pPr>
              <w:ind w:firstLine="200" w:firstLineChars="100"/>
              <w:jc w:val="right"/>
              <w:rPr>
                <w:rFonts w:ascii="Times New Roman" w:hAnsi="Times New Roman"/>
                <w:color w:val="000000"/>
                <w:sz w:val="20"/>
              </w:rPr>
            </w:pPr>
            <w:r w:rsidRPr="0046355C">
              <w:rPr>
                <w:rFonts w:ascii="Times New Roman" w:hAnsi="Times New Roman"/>
                <w:color w:val="000000"/>
                <w:sz w:val="20"/>
              </w:rPr>
              <w:t>$106.64</w:t>
            </w:r>
          </w:p>
        </w:tc>
        <w:tc>
          <w:tcPr>
            <w:tcW w:w="2143" w:type="dxa"/>
            <w:tcBorders>
              <w:top w:val="nil"/>
              <w:left w:val="nil"/>
              <w:bottom w:val="single" w:sz="8" w:space="0" w:color="auto"/>
              <w:right w:val="single" w:sz="8" w:space="0" w:color="auto"/>
            </w:tcBorders>
            <w:shd w:val="clear" w:color="auto" w:fill="auto"/>
            <w:noWrap/>
            <w:vAlign w:val="center"/>
            <w:hideMark/>
          </w:tcPr>
          <w:p w:rsidR="0046355C" w:rsidRPr="0046355C" w:rsidP="0046355C" w14:paraId="0B9954D3" w14:textId="77777777">
            <w:pPr>
              <w:ind w:firstLine="200" w:firstLineChars="100"/>
              <w:jc w:val="right"/>
              <w:rPr>
                <w:rFonts w:ascii="Times New Roman" w:hAnsi="Times New Roman"/>
                <w:color w:val="000000"/>
                <w:sz w:val="20"/>
              </w:rPr>
            </w:pPr>
            <w:r w:rsidRPr="0046355C">
              <w:rPr>
                <w:rFonts w:ascii="Times New Roman" w:hAnsi="Times New Roman"/>
                <w:color w:val="000000"/>
                <w:sz w:val="20"/>
              </w:rPr>
              <w:t>$1,404,022</w:t>
            </w:r>
          </w:p>
        </w:tc>
      </w:tr>
      <w:tr w14:paraId="698E2A2B" w14:textId="77777777" w:rsidTr="0046355C">
        <w:tblPrEx>
          <w:tblW w:w="10294" w:type="dxa"/>
          <w:tblLook w:val="04A0"/>
        </w:tblPrEx>
        <w:trPr>
          <w:trHeight w:val="365"/>
        </w:trPr>
        <w:tc>
          <w:tcPr>
            <w:tcW w:w="8150" w:type="dxa"/>
            <w:gridSpan w:val="3"/>
            <w:tcBorders>
              <w:top w:val="single" w:sz="8" w:space="0" w:color="auto"/>
              <w:left w:val="single" w:sz="8" w:space="0" w:color="auto"/>
              <w:bottom w:val="single" w:sz="8" w:space="0" w:color="auto"/>
              <w:right w:val="nil"/>
            </w:tcBorders>
            <w:shd w:val="clear" w:color="000000" w:fill="FFFFFF"/>
            <w:noWrap/>
            <w:vAlign w:val="center"/>
            <w:hideMark/>
          </w:tcPr>
          <w:p w:rsidR="0046355C" w:rsidRPr="0046355C" w:rsidP="0046355C" w14:paraId="0A11B267" w14:textId="77777777">
            <w:pPr>
              <w:jc w:val="right"/>
              <w:rPr>
                <w:rFonts w:ascii="Times New Roman" w:hAnsi="Times New Roman"/>
                <w:b/>
                <w:bCs/>
                <w:i/>
                <w:iCs/>
                <w:color w:val="000000"/>
              </w:rPr>
            </w:pPr>
            <w:r w:rsidRPr="0046355C">
              <w:rPr>
                <w:rFonts w:ascii="Times New Roman" w:hAnsi="Times New Roman"/>
                <w:b/>
                <w:bCs/>
                <w:i/>
                <w:iCs/>
                <w:color w:val="000000"/>
              </w:rPr>
              <w:t>Total Annual Respondent Cost:</w:t>
            </w:r>
          </w:p>
        </w:tc>
        <w:tc>
          <w:tcPr>
            <w:tcW w:w="2143" w:type="dxa"/>
            <w:tcBorders>
              <w:top w:val="nil"/>
              <w:left w:val="nil"/>
              <w:bottom w:val="single" w:sz="8" w:space="0" w:color="auto"/>
              <w:right w:val="single" w:sz="8" w:space="0" w:color="auto"/>
            </w:tcBorders>
            <w:shd w:val="clear" w:color="000000" w:fill="FFFFFF"/>
            <w:vAlign w:val="center"/>
            <w:hideMark/>
          </w:tcPr>
          <w:p w:rsidR="0046355C" w:rsidRPr="0046355C" w:rsidP="0046355C" w14:paraId="63F5D8E1" w14:textId="77777777">
            <w:pPr>
              <w:ind w:firstLine="240" w:firstLineChars="100"/>
              <w:jc w:val="right"/>
              <w:rPr>
                <w:rFonts w:ascii="Times New Roman" w:hAnsi="Times New Roman"/>
                <w:b/>
                <w:bCs/>
                <w:i/>
                <w:iCs/>
                <w:color w:val="000000"/>
              </w:rPr>
            </w:pPr>
            <w:r w:rsidRPr="0046355C">
              <w:rPr>
                <w:rFonts w:ascii="Times New Roman" w:hAnsi="Times New Roman"/>
                <w:b/>
                <w:bCs/>
                <w:i/>
                <w:iCs/>
                <w:color w:val="000000"/>
              </w:rPr>
              <w:t xml:space="preserve">$1,404,022 </w:t>
            </w:r>
          </w:p>
        </w:tc>
      </w:tr>
      <w:tr w14:paraId="7E7E4483" w14:textId="77777777" w:rsidTr="0046355C">
        <w:tblPrEx>
          <w:tblW w:w="10294" w:type="dxa"/>
          <w:tblLook w:val="04A0"/>
        </w:tblPrEx>
        <w:trPr>
          <w:trHeight w:val="333"/>
        </w:trPr>
        <w:tc>
          <w:tcPr>
            <w:tcW w:w="10294"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46355C" w:rsidRPr="0046355C" w:rsidP="0046355C" w14:paraId="0DF4AC2F" w14:textId="77777777">
            <w:pPr>
              <w:rPr>
                <w:rFonts w:ascii="Times New Roman" w:hAnsi="Times New Roman"/>
                <w:color w:val="000000"/>
                <w:sz w:val="18"/>
                <w:szCs w:val="18"/>
              </w:rPr>
            </w:pPr>
            <w:r w:rsidRPr="0046355C">
              <w:rPr>
                <w:rFonts w:ascii="Times New Roman" w:hAnsi="Times New Roman"/>
                <w:color w:val="000000"/>
                <w:sz w:val="18"/>
                <w:szCs w:val="18"/>
              </w:rPr>
              <w:t>Source: FDIC.</w:t>
            </w:r>
          </w:p>
        </w:tc>
      </w:tr>
    </w:tbl>
    <w:p w:rsidR="0046355C" w:rsidP="000F36F0" w14:paraId="51A1A31B" w14:textId="52BAC750">
      <w:pPr>
        <w:tabs>
          <w:tab w:val="left" w:pos="-1440"/>
        </w:tabs>
        <w:spacing w:line="360" w:lineRule="auto"/>
        <w:ind w:left="720"/>
        <w:contextualSpacing/>
        <w:rPr>
          <w:rFonts w:ascii="Times New Roman" w:hAnsi="Times New Roman"/>
        </w:rPr>
      </w:pPr>
    </w:p>
    <w:p w:rsidR="00820109" w:rsidP="0046355C" w14:paraId="69642DF9" w14:textId="5EEBD554">
      <w:pPr>
        <w:widowControl/>
        <w:rPr>
          <w:rFonts w:ascii="Times New Roman" w:hAnsi="Times New Roman"/>
        </w:rPr>
      </w:pPr>
      <w:r>
        <w:rPr>
          <w:rFonts w:ascii="Times New Roman" w:hAnsi="Times New Roman"/>
        </w:rPr>
        <w:br w:type="page"/>
      </w:r>
    </w:p>
    <w:p w:rsidR="00F146F1" w:rsidRPr="002423D4" w:rsidP="002423D4" w14:paraId="43449CC6" w14:textId="4273D4A1">
      <w:pPr>
        <w:numPr>
          <w:ilvl w:val="0"/>
          <w:numId w:val="4"/>
        </w:numPr>
        <w:tabs>
          <w:tab w:val="left" w:pos="480"/>
          <w:tab w:val="left" w:pos="1080"/>
        </w:tabs>
        <w:suppressAutoHyphens/>
        <w:rPr>
          <w:rFonts w:ascii="Times New Roman" w:hAnsi="Times New Roman"/>
        </w:rPr>
      </w:pPr>
      <w:r w:rsidRPr="00CE68BD">
        <w:rPr>
          <w:rFonts w:ascii="Times New Roman" w:hAnsi="Times New Roman"/>
          <w:szCs w:val="24"/>
          <w:u w:val="single"/>
        </w:rPr>
        <w:t xml:space="preserve">Capital, Start-up, Operating, and Maintenance </w:t>
      </w:r>
      <w:r w:rsidRPr="00CE68BD">
        <w:rPr>
          <w:rFonts w:ascii="Times New Roman" w:hAnsi="Times New Roman"/>
          <w:u w:val="single"/>
        </w:rPr>
        <w:t>Estimate of Start-up Costs to Respondents</w:t>
      </w:r>
      <w:r w:rsidRPr="00366534" w:rsidR="002423D4">
        <w:rPr>
          <w:rFonts w:ascii="Times New Roman" w:hAnsi="Times New Roman"/>
          <w:u w:val="single"/>
        </w:rPr>
        <w:t>:</w:t>
      </w:r>
    </w:p>
    <w:p w:rsidR="00F146F1" w14:paraId="3A3F2BC6" w14:textId="77777777">
      <w:pPr>
        <w:widowControl/>
        <w:rPr>
          <w:rFonts w:ascii="Times New Roman" w:hAnsi="Times New Roman"/>
        </w:rPr>
      </w:pPr>
    </w:p>
    <w:p w:rsidR="00F146F1" w14:paraId="247F2E96" w14:textId="77777777">
      <w:pPr>
        <w:widowControl/>
        <w:ind w:left="720" w:firstLine="720"/>
        <w:rPr>
          <w:rFonts w:ascii="Times New Roman" w:hAnsi="Times New Roman"/>
        </w:rPr>
      </w:pPr>
      <w:r w:rsidRPr="00366534">
        <w:rPr>
          <w:rFonts w:ascii="Times New Roman" w:hAnsi="Times New Roman"/>
        </w:rPr>
        <w:t>There are no anticipated capital, start-up, or operating costs.</w:t>
      </w:r>
    </w:p>
    <w:p w:rsidR="00F146F1" w14:paraId="3E2AFA4C" w14:textId="77777777">
      <w:pPr>
        <w:widowControl/>
        <w:rPr>
          <w:rFonts w:ascii="Times New Roman" w:hAnsi="Times New Roman"/>
        </w:rPr>
      </w:pPr>
    </w:p>
    <w:p w:rsidR="00F146F1" w:rsidP="00F175D5" w14:paraId="11D10C3B" w14:textId="77777777">
      <w:pPr>
        <w:widowControl/>
        <w:numPr>
          <w:ilvl w:val="0"/>
          <w:numId w:val="4"/>
        </w:numPr>
        <w:rPr>
          <w:rFonts w:ascii="Times New Roman" w:hAnsi="Times New Roman"/>
        </w:rPr>
      </w:pPr>
      <w:r w:rsidRPr="00243153">
        <w:rPr>
          <w:rFonts w:ascii="Times New Roman" w:hAnsi="Times New Roman"/>
          <w:color w:val="000000"/>
          <w:u w:val="single"/>
        </w:rPr>
        <w:t xml:space="preserve">Estimates of </w:t>
      </w:r>
      <w:r>
        <w:rPr>
          <w:rFonts w:ascii="Times New Roman" w:hAnsi="Times New Roman"/>
          <w:color w:val="000000"/>
          <w:u w:val="single"/>
        </w:rPr>
        <w:t>a</w:t>
      </w:r>
      <w:r w:rsidRPr="00243153">
        <w:rPr>
          <w:rFonts w:ascii="Times New Roman" w:hAnsi="Times New Roman"/>
          <w:color w:val="000000"/>
          <w:u w:val="single"/>
        </w:rPr>
        <w:t xml:space="preserve">nnualized </w:t>
      </w:r>
      <w:r>
        <w:rPr>
          <w:rFonts w:ascii="Times New Roman" w:hAnsi="Times New Roman"/>
          <w:color w:val="000000"/>
          <w:u w:val="single"/>
        </w:rPr>
        <w:t>c</w:t>
      </w:r>
      <w:r w:rsidRPr="00243153">
        <w:rPr>
          <w:rFonts w:ascii="Times New Roman" w:hAnsi="Times New Roman"/>
          <w:color w:val="000000"/>
          <w:u w:val="single"/>
        </w:rPr>
        <w:t xml:space="preserve">ost to the </w:t>
      </w:r>
      <w:r>
        <w:rPr>
          <w:rFonts w:ascii="Times New Roman" w:hAnsi="Times New Roman"/>
          <w:color w:val="000000"/>
          <w:u w:val="single"/>
        </w:rPr>
        <w:t>f</w:t>
      </w:r>
      <w:r w:rsidRPr="00243153">
        <w:rPr>
          <w:rFonts w:ascii="Times New Roman" w:hAnsi="Times New Roman"/>
          <w:color w:val="000000"/>
          <w:u w:val="single"/>
        </w:rPr>
        <w:t xml:space="preserve">ederal </w:t>
      </w:r>
      <w:r w:rsidRPr="00366534">
        <w:rPr>
          <w:rFonts w:ascii="Times New Roman" w:hAnsi="Times New Roman"/>
          <w:color w:val="000000"/>
          <w:u w:val="single"/>
        </w:rPr>
        <w:t>government:</w:t>
      </w:r>
    </w:p>
    <w:p w:rsidR="00F146F1" w14:paraId="1BCEE603" w14:textId="77777777">
      <w:pPr>
        <w:widowControl/>
        <w:rPr>
          <w:rFonts w:ascii="Times New Roman" w:hAnsi="Times New Roman"/>
        </w:rPr>
      </w:pPr>
    </w:p>
    <w:p w:rsidR="00F146F1" w14:paraId="6B5ACBDE" w14:textId="77777777">
      <w:pPr>
        <w:widowControl/>
        <w:ind w:left="1440"/>
        <w:rPr>
          <w:rFonts w:ascii="Times New Roman" w:hAnsi="Times New Roman"/>
        </w:rPr>
      </w:pPr>
      <w:r>
        <w:rPr>
          <w:rFonts w:ascii="Times New Roman" w:hAnsi="Times New Roman"/>
        </w:rPr>
        <w:t xml:space="preserve">None. </w:t>
      </w:r>
    </w:p>
    <w:p w:rsidR="00F146F1" w14:paraId="154BE821" w14:textId="77777777">
      <w:pPr>
        <w:widowControl/>
        <w:ind w:left="1440"/>
        <w:rPr>
          <w:rFonts w:ascii="Times New Roman" w:hAnsi="Times New Roman"/>
        </w:rPr>
      </w:pPr>
    </w:p>
    <w:p w:rsidR="00F146F1" w:rsidRPr="009234BE" w:rsidP="002423D4" w14:paraId="1C1503CC" w14:textId="66372EDC">
      <w:pPr>
        <w:numPr>
          <w:ilvl w:val="0"/>
          <w:numId w:val="4"/>
        </w:numPr>
        <w:tabs>
          <w:tab w:val="left" w:pos="480"/>
          <w:tab w:val="left" w:pos="1080"/>
          <w:tab w:val="left" w:pos="1680"/>
        </w:tabs>
        <w:suppressAutoHyphens/>
        <w:rPr>
          <w:rFonts w:ascii="Times New Roman" w:hAnsi="Times New Roman"/>
        </w:rPr>
      </w:pPr>
      <w:r>
        <w:rPr>
          <w:rFonts w:ascii="Times New Roman" w:hAnsi="Times New Roman"/>
          <w:u w:val="single"/>
        </w:rPr>
        <w:t>Reason for C</w:t>
      </w:r>
      <w:r w:rsidRPr="009234BE">
        <w:rPr>
          <w:rFonts w:ascii="Times New Roman" w:hAnsi="Times New Roman"/>
          <w:u w:val="single"/>
        </w:rPr>
        <w:t xml:space="preserve">hange in </w:t>
      </w:r>
      <w:r>
        <w:rPr>
          <w:rFonts w:ascii="Times New Roman" w:hAnsi="Times New Roman"/>
          <w:u w:val="single"/>
        </w:rPr>
        <w:t>B</w:t>
      </w:r>
      <w:r w:rsidRPr="009234BE">
        <w:rPr>
          <w:rFonts w:ascii="Times New Roman" w:hAnsi="Times New Roman"/>
          <w:u w:val="single"/>
        </w:rPr>
        <w:t>urden</w:t>
      </w:r>
      <w:r w:rsidRPr="009234BE" w:rsidR="002423D4">
        <w:rPr>
          <w:rFonts w:ascii="Times New Roman" w:hAnsi="Times New Roman"/>
          <w:u w:val="single"/>
        </w:rPr>
        <w:t>:</w:t>
      </w:r>
    </w:p>
    <w:p w:rsidR="00F146F1" w14:paraId="6D3F595C" w14:textId="77777777">
      <w:pPr>
        <w:widowControl/>
        <w:rPr>
          <w:rFonts w:ascii="Times New Roman" w:hAnsi="Times New Roman"/>
        </w:rPr>
      </w:pPr>
    </w:p>
    <w:p w:rsidR="00D5774D" w:rsidP="003548EB" w14:paraId="32541DBA" w14:textId="77DD9342">
      <w:pPr>
        <w:widowControl/>
        <w:ind w:left="1440"/>
        <w:rPr>
          <w:rFonts w:ascii="Times New Roman" w:hAnsi="Times New Roman"/>
          <w:spacing w:val="-3"/>
        </w:rPr>
      </w:pPr>
      <w:r w:rsidRPr="004A13D2">
        <w:rPr>
          <w:rFonts w:ascii="Times New Roman" w:hAnsi="Times New Roman"/>
          <w:spacing w:val="-3"/>
        </w:rPr>
        <w:t xml:space="preserve">There is no change in the method or substance of the collection.  The overall increase in burden hours (from </w:t>
      </w:r>
      <w:r>
        <w:rPr>
          <w:rFonts w:ascii="Times New Roman" w:hAnsi="Times New Roman"/>
          <w:spacing w:val="-3"/>
        </w:rPr>
        <w:t>1</w:t>
      </w:r>
      <w:r w:rsidR="0020203D">
        <w:rPr>
          <w:rFonts w:ascii="Times New Roman" w:hAnsi="Times New Roman"/>
          <w:spacing w:val="-3"/>
        </w:rPr>
        <w:t>1</w:t>
      </w:r>
      <w:r>
        <w:rPr>
          <w:rFonts w:ascii="Times New Roman" w:hAnsi="Times New Roman"/>
          <w:spacing w:val="-3"/>
        </w:rPr>
        <w:t>,</w:t>
      </w:r>
      <w:r w:rsidR="0020203D">
        <w:rPr>
          <w:rFonts w:ascii="Times New Roman" w:hAnsi="Times New Roman"/>
          <w:spacing w:val="-3"/>
        </w:rPr>
        <w:t>580</w:t>
      </w:r>
      <w:r w:rsidRPr="004A13D2">
        <w:rPr>
          <w:rFonts w:ascii="Times New Roman" w:hAnsi="Times New Roman"/>
          <w:spacing w:val="-3"/>
        </w:rPr>
        <w:t xml:space="preserve"> hours to </w:t>
      </w:r>
      <w:r w:rsidR="00C82531">
        <w:rPr>
          <w:rFonts w:ascii="Times New Roman" w:hAnsi="Times New Roman"/>
          <w:spacing w:val="-3"/>
        </w:rPr>
        <w:t>13,166</w:t>
      </w:r>
      <w:r w:rsidRPr="004A13D2">
        <w:rPr>
          <w:rFonts w:ascii="Times New Roman" w:hAnsi="Times New Roman"/>
          <w:spacing w:val="-3"/>
        </w:rPr>
        <w:t xml:space="preserve"> hours) is the result of </w:t>
      </w:r>
      <w:r w:rsidR="002364E8">
        <w:rPr>
          <w:rFonts w:ascii="Times New Roman" w:hAnsi="Times New Roman"/>
          <w:spacing w:val="-3"/>
        </w:rPr>
        <w:t>the increased</w:t>
      </w:r>
      <w:r w:rsidRPr="004A13D2">
        <w:rPr>
          <w:rFonts w:ascii="Times New Roman" w:hAnsi="Times New Roman"/>
          <w:spacing w:val="-3"/>
        </w:rPr>
        <w:t xml:space="preserve"> number of respondents</w:t>
      </w:r>
      <w:r w:rsidR="00B1708F">
        <w:rPr>
          <w:rFonts w:ascii="Times New Roman" w:hAnsi="Times New Roman"/>
          <w:spacing w:val="-3"/>
        </w:rPr>
        <w:t xml:space="preserve">, as well as the addition </w:t>
      </w:r>
      <w:r w:rsidR="00CC19B1">
        <w:rPr>
          <w:rFonts w:ascii="Times New Roman" w:hAnsi="Times New Roman"/>
          <w:spacing w:val="-3"/>
        </w:rPr>
        <w:t xml:space="preserve">of </w:t>
      </w:r>
      <w:r w:rsidR="00F1672E">
        <w:rPr>
          <w:rFonts w:ascii="Times New Roman" w:hAnsi="Times New Roman"/>
          <w:spacing w:val="-3"/>
        </w:rPr>
        <w:t xml:space="preserve">an additional information collection </w:t>
      </w:r>
      <w:r w:rsidRPr="00AA57C9" w:rsidR="00AA57C9">
        <w:rPr>
          <w:rFonts w:ascii="Times New Roman" w:hAnsi="Times New Roman"/>
          <w:spacing w:val="-3"/>
        </w:rPr>
        <w:t xml:space="preserve">to account for the reporting burden incurred when an </w:t>
      </w:r>
      <w:r w:rsidR="00AA57C9">
        <w:rPr>
          <w:rFonts w:ascii="Times New Roman" w:hAnsi="Times New Roman"/>
          <w:spacing w:val="-3"/>
        </w:rPr>
        <w:t>institution</w:t>
      </w:r>
      <w:r w:rsidRPr="00AA57C9" w:rsidR="00AA57C9">
        <w:rPr>
          <w:rFonts w:ascii="Times New Roman" w:hAnsi="Times New Roman"/>
          <w:spacing w:val="-3"/>
        </w:rPr>
        <w:t xml:space="preserve"> notifies its primary federal regulator of an incident</w:t>
      </w:r>
      <w:r w:rsidR="004604FB">
        <w:rPr>
          <w:rFonts w:ascii="Times New Roman" w:hAnsi="Times New Roman"/>
          <w:spacing w:val="-3"/>
        </w:rPr>
        <w:t>.</w:t>
      </w:r>
    </w:p>
    <w:p w:rsidR="004A13D2" w:rsidP="003548EB" w14:paraId="6005336C" w14:textId="77777777">
      <w:pPr>
        <w:widowControl/>
        <w:ind w:left="1440"/>
        <w:rPr>
          <w:rFonts w:ascii="Times New Roman" w:hAnsi="Times New Roman"/>
        </w:rPr>
      </w:pPr>
    </w:p>
    <w:p w:rsidR="00F146F1" w:rsidP="00F175D5" w14:paraId="4292A1AF" w14:textId="77777777">
      <w:pPr>
        <w:widowControl/>
        <w:numPr>
          <w:ilvl w:val="0"/>
          <w:numId w:val="4"/>
        </w:numPr>
        <w:rPr>
          <w:rFonts w:ascii="Times New Roman" w:hAnsi="Times New Roman"/>
        </w:rPr>
      </w:pPr>
      <w:r w:rsidRPr="00366534">
        <w:rPr>
          <w:rFonts w:ascii="Times New Roman" w:hAnsi="Times New Roman"/>
          <w:u w:val="single"/>
        </w:rPr>
        <w:t>Information regarding collections whose results are planned to be published for statistical use:</w:t>
      </w:r>
    </w:p>
    <w:p w:rsidR="00F146F1" w14:paraId="0E517C30" w14:textId="77777777">
      <w:pPr>
        <w:widowControl/>
        <w:rPr>
          <w:rFonts w:ascii="Times New Roman" w:hAnsi="Times New Roman"/>
        </w:rPr>
      </w:pPr>
    </w:p>
    <w:p w:rsidR="00820109" w:rsidP="00573F81" w14:paraId="6715E718" w14:textId="77777777">
      <w:pPr>
        <w:widowControl/>
        <w:ind w:left="1296" w:firstLine="144"/>
        <w:rPr>
          <w:rFonts w:ascii="Times New Roman" w:hAnsi="Times New Roman"/>
        </w:rPr>
      </w:pPr>
      <w:r w:rsidRPr="00573F81">
        <w:rPr>
          <w:rFonts w:ascii="Times New Roman" w:hAnsi="Times New Roman"/>
        </w:rPr>
        <w:t>Th</w:t>
      </w:r>
      <w:r w:rsidR="00EC31FD">
        <w:rPr>
          <w:rFonts w:ascii="Times New Roman" w:hAnsi="Times New Roman"/>
        </w:rPr>
        <w:t>e</w:t>
      </w:r>
      <w:r w:rsidRPr="00573F81">
        <w:rPr>
          <w:rFonts w:ascii="Times New Roman" w:hAnsi="Times New Roman"/>
        </w:rPr>
        <w:t xml:space="preserve"> information contained in this collection is not published</w:t>
      </w:r>
      <w:r w:rsidR="00C856F6">
        <w:rPr>
          <w:rFonts w:ascii="Times New Roman" w:hAnsi="Times New Roman"/>
        </w:rPr>
        <w:t>.</w:t>
      </w:r>
    </w:p>
    <w:p w:rsidR="00820109" w14:paraId="4E4F839F" w14:textId="77777777">
      <w:pPr>
        <w:widowControl/>
        <w:rPr>
          <w:rFonts w:ascii="Times New Roman" w:hAnsi="Times New Roman"/>
        </w:rPr>
      </w:pPr>
    </w:p>
    <w:p w:rsidR="00F146F1" w:rsidP="00F175D5" w14:paraId="5B7946EC" w14:textId="77777777">
      <w:pPr>
        <w:widowControl/>
        <w:numPr>
          <w:ilvl w:val="0"/>
          <w:numId w:val="4"/>
        </w:numPr>
        <w:rPr>
          <w:rFonts w:ascii="Times New Roman" w:hAnsi="Times New Roman"/>
        </w:rPr>
      </w:pPr>
      <w:r w:rsidRPr="00366534">
        <w:rPr>
          <w:rFonts w:ascii="Times New Roman" w:hAnsi="Times New Roman"/>
          <w:u w:val="single"/>
        </w:rPr>
        <w:t>Exceptions to expiration date display</w:t>
      </w:r>
      <w:r>
        <w:rPr>
          <w:rFonts w:ascii="Times New Roman" w:hAnsi="Times New Roman"/>
          <w:u w:val="single"/>
        </w:rPr>
        <w:t>:</w:t>
      </w:r>
    </w:p>
    <w:p w:rsidR="00F146F1" w14:paraId="56A2B59B" w14:textId="77777777">
      <w:pPr>
        <w:widowControl/>
        <w:rPr>
          <w:rFonts w:ascii="Times New Roman" w:hAnsi="Times New Roman"/>
        </w:rPr>
      </w:pPr>
    </w:p>
    <w:p w:rsidR="00F146F1" w:rsidP="00820109" w14:paraId="3B1DEE66" w14:textId="77777777">
      <w:pPr>
        <w:widowControl/>
        <w:ind w:left="1296" w:firstLine="144"/>
        <w:rPr>
          <w:rFonts w:ascii="Times New Roman" w:hAnsi="Times New Roman"/>
        </w:rPr>
      </w:pPr>
      <w:r w:rsidRPr="00820109">
        <w:rPr>
          <w:rFonts w:ascii="Times New Roman" w:hAnsi="Times New Roman"/>
        </w:rPr>
        <w:t>Not applicable.</w:t>
      </w:r>
      <w:r>
        <w:rPr>
          <w:rFonts w:ascii="Times New Roman" w:hAnsi="Times New Roman"/>
        </w:rPr>
        <w:t xml:space="preserve"> </w:t>
      </w:r>
    </w:p>
    <w:p w:rsidR="00EC31FD" w:rsidP="00820109" w14:paraId="064F98E6" w14:textId="77777777">
      <w:pPr>
        <w:widowControl/>
        <w:ind w:left="1296" w:firstLine="144"/>
        <w:rPr>
          <w:rFonts w:ascii="Times New Roman" w:hAnsi="Times New Roman"/>
        </w:rPr>
      </w:pPr>
    </w:p>
    <w:p w:rsidR="00F146F1" w:rsidP="00F175D5" w14:paraId="36A95ADD" w14:textId="650BBA66">
      <w:pPr>
        <w:widowControl/>
        <w:numPr>
          <w:ilvl w:val="0"/>
          <w:numId w:val="4"/>
        </w:numPr>
        <w:rPr>
          <w:rFonts w:ascii="Times New Roman" w:hAnsi="Times New Roman"/>
        </w:rPr>
      </w:pPr>
      <w:r>
        <w:rPr>
          <w:rFonts w:ascii="Times New Roman" w:hAnsi="Times New Roman"/>
          <w:u w:val="single"/>
        </w:rPr>
        <w:t>Exceptions to C</w:t>
      </w:r>
      <w:r w:rsidRPr="00366534">
        <w:rPr>
          <w:rFonts w:ascii="Times New Roman" w:hAnsi="Times New Roman"/>
          <w:u w:val="single"/>
        </w:rPr>
        <w:t>ertification</w:t>
      </w:r>
      <w:r>
        <w:rPr>
          <w:rFonts w:ascii="Times New Roman" w:hAnsi="Times New Roman"/>
          <w:u w:val="single"/>
        </w:rPr>
        <w:t xml:space="preserve"> Statement</w:t>
      </w:r>
      <w:r w:rsidR="00C856F6">
        <w:rPr>
          <w:rFonts w:ascii="Times New Roman" w:hAnsi="Times New Roman"/>
          <w:u w:val="single"/>
        </w:rPr>
        <w:t>:</w:t>
      </w:r>
    </w:p>
    <w:p w:rsidR="00F146F1" w14:paraId="1A0FA9AD" w14:textId="77777777">
      <w:pPr>
        <w:widowControl/>
        <w:rPr>
          <w:rFonts w:ascii="Times New Roman" w:hAnsi="Times New Roman"/>
        </w:rPr>
      </w:pPr>
    </w:p>
    <w:p w:rsidR="00F146F1" w14:paraId="65ED2012" w14:textId="77777777">
      <w:pPr>
        <w:widowControl/>
        <w:ind w:left="1296" w:firstLine="144"/>
        <w:rPr>
          <w:rFonts w:ascii="Times New Roman" w:hAnsi="Times New Roman"/>
        </w:rPr>
      </w:pPr>
      <w:r>
        <w:rPr>
          <w:rFonts w:ascii="Times New Roman" w:hAnsi="Times New Roman"/>
        </w:rPr>
        <w:t xml:space="preserve">None. </w:t>
      </w:r>
    </w:p>
    <w:p w:rsidR="00F146F1" w14:paraId="54F444A7" w14:textId="77777777">
      <w:pPr>
        <w:pStyle w:val="Footer"/>
        <w:widowControl/>
        <w:tabs>
          <w:tab w:val="clear" w:pos="4320"/>
          <w:tab w:val="clear" w:pos="8640"/>
        </w:tabs>
        <w:rPr>
          <w:rFonts w:ascii="Times New Roman" w:hAnsi="Times New Roman"/>
        </w:rPr>
      </w:pPr>
    </w:p>
    <w:p w:rsidR="00F146F1" w:rsidP="0024672A" w14:paraId="39FAAD02" w14:textId="77777777">
      <w:pPr>
        <w:widowControl/>
        <w:numPr>
          <w:ilvl w:val="0"/>
          <w:numId w:val="2"/>
        </w:numPr>
        <w:rPr>
          <w:rFonts w:ascii="Times New Roman" w:hAnsi="Times New Roman"/>
        </w:rPr>
      </w:pPr>
      <w:r>
        <w:rPr>
          <w:rFonts w:ascii="Times New Roman" w:hAnsi="Times New Roman"/>
          <w:u w:val="single"/>
        </w:rPr>
        <w:t>STATISTICAL METHODS</w:t>
      </w:r>
    </w:p>
    <w:p w:rsidR="00F146F1" w14:paraId="60CC069B" w14:textId="77777777">
      <w:pPr>
        <w:widowControl/>
        <w:rPr>
          <w:rFonts w:ascii="Times New Roman" w:hAnsi="Times New Roman"/>
        </w:rPr>
      </w:pPr>
    </w:p>
    <w:p w:rsidR="00F146F1" w:rsidP="009C04B1" w14:paraId="0E266332" w14:textId="7CD903F7">
      <w:pPr>
        <w:ind w:left="360" w:firstLine="720"/>
      </w:pPr>
      <w:r>
        <w:rPr>
          <w:rFonts w:ascii="Times New Roman" w:hAnsi="Times New Roman"/>
        </w:rPr>
        <w:t>Not applicable</w:t>
      </w:r>
      <w:r w:rsidR="00C856F6">
        <w:rPr>
          <w:rFonts w:ascii="Times New Roman" w:hAnsi="Times New Roman"/>
        </w:rPr>
        <w:t>.</w:t>
      </w:r>
    </w:p>
    <w:sectPr w:rsidSect="00B91D2F">
      <w:headerReference w:type="even" r:id="rId5"/>
      <w:headerReference w:type="default" r:id="rId6"/>
      <w:footerReference w:type="default" r:id="rId7"/>
      <w:headerReference w:type="first" r:id="rId8"/>
      <w:pgSz w:w="12240" w:h="15840" w:code="1"/>
      <w:pgMar w:top="1440" w:right="1440" w:bottom="1152"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B6E" w:rsidRPr="00AB4B6E" w14:paraId="2B52EB07" w14:textId="77777777">
    <w:pPr>
      <w:pStyle w:val="Footer"/>
      <w:jc w:val="center"/>
      <w:rPr>
        <w:rFonts w:ascii="Times New Roman" w:hAnsi="Times New Roman"/>
      </w:rPr>
    </w:pPr>
    <w:r w:rsidRPr="00AB4B6E">
      <w:rPr>
        <w:rFonts w:ascii="Times New Roman" w:hAnsi="Times New Roman"/>
      </w:rPr>
      <w:fldChar w:fldCharType="begin"/>
    </w:r>
    <w:r w:rsidRPr="00AB4B6E">
      <w:rPr>
        <w:rFonts w:ascii="Times New Roman" w:hAnsi="Times New Roman"/>
      </w:rPr>
      <w:instrText xml:space="preserve"> PAGE   \* MERGEFORMAT </w:instrText>
    </w:r>
    <w:r w:rsidRPr="00AB4B6E">
      <w:rPr>
        <w:rFonts w:ascii="Times New Roman" w:hAnsi="Times New Roman"/>
      </w:rPr>
      <w:fldChar w:fldCharType="separate"/>
    </w:r>
    <w:r w:rsidR="008A2C2E">
      <w:rPr>
        <w:rFonts w:ascii="Times New Roman" w:hAnsi="Times New Roman"/>
        <w:noProof/>
      </w:rPr>
      <w:t>5</w:t>
    </w:r>
    <w:r w:rsidRPr="00AB4B6E">
      <w:rPr>
        <w:rFonts w:ascii="Times New Roman" w:hAnsi="Times New Roman"/>
        <w:noProof/>
      </w:rPr>
      <w:fldChar w:fldCharType="end"/>
    </w:r>
  </w:p>
  <w:p w:rsidR="00AB4B6E" w14:paraId="270F2FB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1A0EB1CB" w14:textId="15D90F88">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top</wp:align>
              </wp:positionV>
              <wp:extent cx="2000885" cy="382270"/>
              <wp:effectExtent l="0" t="0" r="18415" b="17780"/>
              <wp:wrapNone/>
              <wp:docPr id="1234148856" name="Text Box 2" descr="CONTROLLED//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0885" cy="382270"/>
                      </a:xfrm>
                      <a:prstGeom prst="rect">
                        <a:avLst/>
                      </a:prstGeom>
                      <a:noFill/>
                      <a:ln>
                        <a:noFill/>
                      </a:ln>
                    </wps:spPr>
                    <wps:txbx>
                      <w:txbxContent>
                        <w:p w:rsidR="00857F39" w:rsidRPr="00857F39" w:rsidP="00857F39" w14:textId="5378790F">
                          <w:pPr>
                            <w:rPr>
                              <w:rFonts w:ascii="Source Sans Pro Semibold" w:eastAsia="Source Sans Pro Semibold" w:hAnsi="Source Sans Pro Semibold" w:cs="Source Sans Pro Semibold"/>
                              <w:noProof/>
                              <w:color w:val="000000"/>
                              <w:szCs w:val="24"/>
                            </w:rPr>
                          </w:pPr>
                          <w:r w:rsidRPr="00857F39">
                            <w:rPr>
                              <w:rFonts w:ascii="Source Sans Pro Semibold" w:eastAsia="Source Sans Pro Semibold" w:hAnsi="Source Sans Pro Semibold" w:cs="Source Sans Pro Semibold"/>
                              <w:noProof/>
                              <w:color w:val="000000"/>
                              <w:szCs w:val="24"/>
                            </w:rPr>
                            <w:t>CONTROLLED//FDIC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ONTROLLED//FDIC BUSINESS" style="width:15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0,15pt,0,0">
                <w:txbxContent>
                  <w:p w:rsidR="00857F39" w:rsidRPr="00857F39" w:rsidP="00857F39" w14:paraId="28294CEA" w14:textId="5378790F">
                    <w:pPr>
                      <w:rPr>
                        <w:rFonts w:ascii="Source Sans Pro Semibold" w:eastAsia="Source Sans Pro Semibold" w:hAnsi="Source Sans Pro Semibold" w:cs="Source Sans Pro Semibold"/>
                        <w:noProof/>
                        <w:color w:val="000000"/>
                        <w:szCs w:val="24"/>
                      </w:rPr>
                    </w:pPr>
                    <w:r w:rsidRPr="00857F39">
                      <w:rPr>
                        <w:rFonts w:ascii="Source Sans Pro Semibold" w:eastAsia="Source Sans Pro Semibold" w:hAnsi="Source Sans Pro Semibold" w:cs="Source Sans Pro Semibold"/>
                        <w:noProof/>
                        <w:color w:val="000000"/>
                        <w:szCs w:val="24"/>
                      </w:rPr>
                      <w:t>CONTROLLED//FDIC BUSINESS</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3EF9D396" w14:textId="444A8019">
    <w:pPr>
      <w:pStyle w:val="Header"/>
    </w:pPr>
    <w:r>
      <w:rPr>
        <w:noProof/>
        <w:snapToGrid/>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top</wp:align>
              </wp:positionV>
              <wp:extent cx="2000885" cy="382270"/>
              <wp:effectExtent l="0" t="0" r="18415" b="17780"/>
              <wp:wrapNone/>
              <wp:docPr id="395240639" name="Text Box 3" descr="CONTROLLED//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2000885" cy="382270"/>
                      </a:xfrm>
                      <a:prstGeom prst="rect">
                        <a:avLst/>
                      </a:prstGeom>
                      <a:noFill/>
                      <a:ln>
                        <a:noFill/>
                      </a:ln>
                    </wps:spPr>
                    <wps:txbx>
                      <w:txbxContent>
                        <w:p w:rsidR="00857F39" w:rsidRPr="00857F39" w:rsidP="00857F39" w14:textId="6682F053">
                          <w:pPr>
                            <w:rPr>
                              <w:rFonts w:ascii="Source Sans Pro Semibold" w:eastAsia="Source Sans Pro Semibold" w:hAnsi="Source Sans Pro Semibold" w:cs="Source Sans Pro Semibold"/>
                              <w:noProof/>
                              <w:color w:val="000000"/>
                              <w:szCs w:val="24"/>
                            </w:rPr>
                          </w:pPr>
                          <w:r w:rsidRPr="00857F39">
                            <w:rPr>
                              <w:rFonts w:ascii="Source Sans Pro Semibold" w:eastAsia="Source Sans Pro Semibold" w:hAnsi="Source Sans Pro Semibold" w:cs="Source Sans Pro Semibold"/>
                              <w:noProof/>
                              <w:color w:val="000000"/>
                              <w:szCs w:val="24"/>
                            </w:rPr>
                            <w:t>CONTROLLED//FDIC BUSINESS</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CONTROLLED//FDIC BUSINESS" style="width:157.55pt;height:30.1pt;margin-top:0;margin-left:0;mso-position-horizontal:center;mso-position-horizontal-relative:page;mso-position-vertical:top;mso-position-vertical-relative:page;mso-wrap-distance-bottom:0;mso-wrap-distance-left:0;mso-wrap-distance-right:0;mso-wrap-distance-top:0;mso-wrap-style:none;position:absolute;visibility:visible;v-text-anchor:top;z-index:251663360" filled="f" stroked="f">
              <v:fill o:detectmouseclick="t"/>
              <v:textbox style="mso-fit-shape-to-text:t" inset="0,15pt,0,0">
                <w:txbxContent>
                  <w:p w:rsidR="00857F39" w:rsidRPr="00857F39" w:rsidP="00857F39" w14:paraId="2404C83F" w14:textId="6682F053">
                    <w:pPr>
                      <w:rPr>
                        <w:rFonts w:ascii="Source Sans Pro Semibold" w:eastAsia="Source Sans Pro Semibold" w:hAnsi="Source Sans Pro Semibold" w:cs="Source Sans Pro Semibold"/>
                        <w:noProof/>
                        <w:color w:val="000000"/>
                        <w:szCs w:val="24"/>
                      </w:rPr>
                    </w:pPr>
                    <w:r w:rsidRPr="00857F39">
                      <w:rPr>
                        <w:rFonts w:ascii="Source Sans Pro Semibold" w:eastAsia="Source Sans Pro Semibold" w:hAnsi="Source Sans Pro Semibold" w:cs="Source Sans Pro Semibold"/>
                        <w:noProof/>
                        <w:color w:val="000000"/>
                        <w:szCs w:val="24"/>
                      </w:rPr>
                      <w:t>CONTROLLED//FDIC BUSINESS</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63FB" w14:paraId="79651290" w14:textId="275F86D0">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posOffset>3829050</wp:posOffset>
              </wp:positionH>
              <wp:positionV relativeFrom="page">
                <wp:posOffset>0</wp:posOffset>
              </wp:positionV>
              <wp:extent cx="152400" cy="514350"/>
              <wp:effectExtent l="0" t="0" r="0" b="0"/>
              <wp:wrapNone/>
              <wp:docPr id="523718167" name="Text Box 1" descr="CONTROLLED//FDIC BUSINESS">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400" cy="514350"/>
                      </a:xfrm>
                      <a:prstGeom prst="rect">
                        <a:avLst/>
                      </a:prstGeom>
                      <a:noFill/>
                      <a:ln>
                        <a:noFill/>
                      </a:ln>
                    </wps:spPr>
                    <wps:txbx>
                      <w:txbxContent>
                        <w:p w:rsidR="00857F39" w:rsidRPr="00857F39" w:rsidP="00857F39" w14:textId="74D53A09">
                          <w:pPr>
                            <w:rPr>
                              <w:rFonts w:ascii="Source Sans Pro Semibold" w:eastAsia="Source Sans Pro Semibold" w:hAnsi="Source Sans Pro Semibold" w:cs="Source Sans Pro Semibold"/>
                              <w:noProof/>
                              <w:color w:val="000000"/>
                              <w:szCs w:val="24"/>
                            </w:rPr>
                          </w:pPr>
                        </w:p>
                      </w:txbxContent>
                    </wps:txbx>
                    <wps:bodyPr rot="0" spcFirstLastPara="0" vertOverflow="overflow" horzOverflow="overflow" vert="horz" wrap="square" lIns="0" tIns="19050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2051" type="#_x0000_t202" alt="CONTROLLED//FDIC BUSINESS" style="width:12pt;height:40.5pt;margin-top:0;margin-left:301.5pt;mso-height-percent:0;mso-height-relative:margin;mso-position-horizontal-relative:page;mso-position-vertical-relative:page;mso-width-percent:0;mso-width-relative:margin;mso-wrap-distance-bottom:0;mso-wrap-distance-left:0;mso-wrap-distance-right:0;mso-wrap-distance-top:0;mso-wrap-style:square;position:absolute;visibility:visible;v-text-anchor:top;z-index:251659264" filled="f" stroked="f">
              <v:fill o:detectmouseclick="t"/>
              <v:textbox inset="0,15pt,0,0">
                <w:txbxContent>
                  <w:p w:rsidR="00857F39" w:rsidRPr="00857F39" w:rsidP="00857F39" w14:paraId="020AE044" w14:textId="74D53A09">
                    <w:pPr>
                      <w:rPr>
                        <w:rFonts w:ascii="Source Sans Pro Semibold" w:eastAsia="Source Sans Pro Semibold" w:hAnsi="Source Sans Pro Semibold" w:cs="Source Sans Pro Semibold"/>
                        <w:noProof/>
                        <w:color w:val="000000"/>
                        <w:szCs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A523C"/>
    <w:multiLevelType w:val="hybridMultilevel"/>
    <w:tmpl w:val="6ED445DA"/>
    <w:lvl w:ilvl="0">
      <w:start w:val="1"/>
      <w:numFmt w:val="decimal"/>
      <w:lvlText w:val="%1."/>
      <w:lvlJc w:val="left"/>
      <w:pPr>
        <w:ind w:left="1440" w:hanging="864"/>
      </w:pPr>
      <w:rPr>
        <w:rFonts w:hint="default"/>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07EA3C54"/>
    <w:multiLevelType w:val="singleLevel"/>
    <w:tmpl w:val="4F782F56"/>
    <w:lvl w:ilvl="0">
      <w:start w:val="13"/>
      <w:numFmt w:val="decimal"/>
      <w:lvlText w:val="%1."/>
      <w:lvlJc w:val="left"/>
      <w:pPr>
        <w:tabs>
          <w:tab w:val="num" w:pos="1080"/>
        </w:tabs>
        <w:ind w:left="1080" w:hanging="600"/>
      </w:pPr>
      <w:rPr>
        <w:rFonts w:hint="default"/>
      </w:rPr>
    </w:lvl>
  </w:abstractNum>
  <w:abstractNum w:abstractNumId="2">
    <w:nsid w:val="24411919"/>
    <w:multiLevelType w:val="hybridMultilevel"/>
    <w:tmpl w:val="6E22AA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33446CD4"/>
    <w:multiLevelType w:val="hybridMultilevel"/>
    <w:tmpl w:val="BA4A55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37436B8"/>
    <w:multiLevelType w:val="hybridMultilevel"/>
    <w:tmpl w:val="FD229DEA"/>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0136721">
    <w:abstractNumId w:val="3"/>
  </w:num>
  <w:num w:numId="2" w16cid:durableId="844129183">
    <w:abstractNumId w:val="4"/>
  </w:num>
  <w:num w:numId="3" w16cid:durableId="957027580">
    <w:abstractNumId w:val="0"/>
  </w:num>
  <w:num w:numId="4" w16cid:durableId="2034764190">
    <w:abstractNumId w:val="2"/>
  </w:num>
  <w:num w:numId="5" w16cid:durableId="884874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93A"/>
    <w:rsid w:val="000014B9"/>
    <w:rsid w:val="000305E9"/>
    <w:rsid w:val="00041792"/>
    <w:rsid w:val="000467FC"/>
    <w:rsid w:val="0006307F"/>
    <w:rsid w:val="00091BEA"/>
    <w:rsid w:val="000A3C39"/>
    <w:rsid w:val="000E621B"/>
    <w:rsid w:val="000F36F0"/>
    <w:rsid w:val="000F78A5"/>
    <w:rsid w:val="00112C43"/>
    <w:rsid w:val="00133277"/>
    <w:rsid w:val="00145F58"/>
    <w:rsid w:val="0019296B"/>
    <w:rsid w:val="001B6E46"/>
    <w:rsid w:val="001C1315"/>
    <w:rsid w:val="001C3DCF"/>
    <w:rsid w:val="001F2335"/>
    <w:rsid w:val="001F423C"/>
    <w:rsid w:val="0020203D"/>
    <w:rsid w:val="002259F8"/>
    <w:rsid w:val="002364E8"/>
    <w:rsid w:val="002423D4"/>
    <w:rsid w:val="00243153"/>
    <w:rsid w:val="00244DE1"/>
    <w:rsid w:val="0024672A"/>
    <w:rsid w:val="00257FD9"/>
    <w:rsid w:val="00263676"/>
    <w:rsid w:val="00272315"/>
    <w:rsid w:val="00275749"/>
    <w:rsid w:val="002761FD"/>
    <w:rsid w:val="00280958"/>
    <w:rsid w:val="00293E01"/>
    <w:rsid w:val="002D08FA"/>
    <w:rsid w:val="002E7411"/>
    <w:rsid w:val="0030358E"/>
    <w:rsid w:val="003548EB"/>
    <w:rsid w:val="00360271"/>
    <w:rsid w:val="00366534"/>
    <w:rsid w:val="00397D8A"/>
    <w:rsid w:val="003B6611"/>
    <w:rsid w:val="00403156"/>
    <w:rsid w:val="004236C6"/>
    <w:rsid w:val="00440BFE"/>
    <w:rsid w:val="00450EA2"/>
    <w:rsid w:val="004604FB"/>
    <w:rsid w:val="004610F8"/>
    <w:rsid w:val="0046355C"/>
    <w:rsid w:val="004A13D2"/>
    <w:rsid w:val="004A1DB1"/>
    <w:rsid w:val="004A735C"/>
    <w:rsid w:val="004A75C2"/>
    <w:rsid w:val="004D178A"/>
    <w:rsid w:val="004D39FB"/>
    <w:rsid w:val="00573F81"/>
    <w:rsid w:val="00577D56"/>
    <w:rsid w:val="00583579"/>
    <w:rsid w:val="005A7323"/>
    <w:rsid w:val="005C3A95"/>
    <w:rsid w:val="005D7D11"/>
    <w:rsid w:val="005E1A91"/>
    <w:rsid w:val="005E66C4"/>
    <w:rsid w:val="006028DC"/>
    <w:rsid w:val="006332BB"/>
    <w:rsid w:val="00655E8E"/>
    <w:rsid w:val="00665011"/>
    <w:rsid w:val="00685D84"/>
    <w:rsid w:val="00686394"/>
    <w:rsid w:val="006C40EC"/>
    <w:rsid w:val="006D363B"/>
    <w:rsid w:val="006E7CE7"/>
    <w:rsid w:val="00703F01"/>
    <w:rsid w:val="00712BA4"/>
    <w:rsid w:val="007520FC"/>
    <w:rsid w:val="007A7131"/>
    <w:rsid w:val="007C18CB"/>
    <w:rsid w:val="007C7C88"/>
    <w:rsid w:val="007E19E5"/>
    <w:rsid w:val="00807975"/>
    <w:rsid w:val="00820109"/>
    <w:rsid w:val="0084367C"/>
    <w:rsid w:val="00857F39"/>
    <w:rsid w:val="0086148F"/>
    <w:rsid w:val="008633DF"/>
    <w:rsid w:val="00886ADA"/>
    <w:rsid w:val="008A2C2E"/>
    <w:rsid w:val="008D5746"/>
    <w:rsid w:val="008E70B9"/>
    <w:rsid w:val="00915517"/>
    <w:rsid w:val="009234BE"/>
    <w:rsid w:val="00940034"/>
    <w:rsid w:val="00945113"/>
    <w:rsid w:val="009533E6"/>
    <w:rsid w:val="00966D55"/>
    <w:rsid w:val="009A2D61"/>
    <w:rsid w:val="009C04B1"/>
    <w:rsid w:val="009D2562"/>
    <w:rsid w:val="00A07FF0"/>
    <w:rsid w:val="00A352C5"/>
    <w:rsid w:val="00A52DA4"/>
    <w:rsid w:val="00A92BC6"/>
    <w:rsid w:val="00A9693A"/>
    <w:rsid w:val="00AA57C9"/>
    <w:rsid w:val="00AB4B6E"/>
    <w:rsid w:val="00AC65F4"/>
    <w:rsid w:val="00AC6C23"/>
    <w:rsid w:val="00AF457E"/>
    <w:rsid w:val="00B10980"/>
    <w:rsid w:val="00B1708F"/>
    <w:rsid w:val="00B37694"/>
    <w:rsid w:val="00B84F00"/>
    <w:rsid w:val="00B91D2F"/>
    <w:rsid w:val="00BA4F4E"/>
    <w:rsid w:val="00BB3ECC"/>
    <w:rsid w:val="00BB4659"/>
    <w:rsid w:val="00BD100A"/>
    <w:rsid w:val="00BE42C9"/>
    <w:rsid w:val="00BE7264"/>
    <w:rsid w:val="00C2127E"/>
    <w:rsid w:val="00C378BA"/>
    <w:rsid w:val="00C40A1A"/>
    <w:rsid w:val="00C47693"/>
    <w:rsid w:val="00C56C82"/>
    <w:rsid w:val="00C650FC"/>
    <w:rsid w:val="00C82531"/>
    <w:rsid w:val="00C85089"/>
    <w:rsid w:val="00C856F6"/>
    <w:rsid w:val="00CA4477"/>
    <w:rsid w:val="00CA5E80"/>
    <w:rsid w:val="00CC19B1"/>
    <w:rsid w:val="00CC631A"/>
    <w:rsid w:val="00CE68BD"/>
    <w:rsid w:val="00D07D24"/>
    <w:rsid w:val="00D367A8"/>
    <w:rsid w:val="00D42DF2"/>
    <w:rsid w:val="00D463FB"/>
    <w:rsid w:val="00D5774D"/>
    <w:rsid w:val="00D61C76"/>
    <w:rsid w:val="00D945A4"/>
    <w:rsid w:val="00D94BDB"/>
    <w:rsid w:val="00DB3B4B"/>
    <w:rsid w:val="00DE7B91"/>
    <w:rsid w:val="00DF069D"/>
    <w:rsid w:val="00DF6607"/>
    <w:rsid w:val="00E25D2F"/>
    <w:rsid w:val="00E474FF"/>
    <w:rsid w:val="00E57520"/>
    <w:rsid w:val="00E57EA2"/>
    <w:rsid w:val="00E669C4"/>
    <w:rsid w:val="00EC31FD"/>
    <w:rsid w:val="00ED4700"/>
    <w:rsid w:val="00EE7AE6"/>
    <w:rsid w:val="00EF4F6D"/>
    <w:rsid w:val="00F146F1"/>
    <w:rsid w:val="00F1672E"/>
    <w:rsid w:val="00F175D5"/>
    <w:rsid w:val="00F57EDA"/>
    <w:rsid w:val="00F611B1"/>
    <w:rsid w:val="00F64A3B"/>
    <w:rsid w:val="00F74C02"/>
    <w:rsid w:val="00F85608"/>
    <w:rsid w:val="00FA0B60"/>
    <w:rsid w:val="00FA4D5D"/>
    <w:rsid w:val="00FA5B95"/>
    <w:rsid w:val="00FE0498"/>
    <w:rsid w:val="00FE67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C6F205"/>
  <w15:chartTrackingRefBased/>
  <w15:docId w15:val="{5B7B95E4-8F71-478B-8B08-B977EB1C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Hyperlink">
    <w:name w:val="Hyperlink"/>
    <w:uiPriority w:val="99"/>
    <w:unhideWhenUsed/>
    <w:rsid w:val="00FE0498"/>
    <w:rPr>
      <w:color w:val="0000FF"/>
      <w:u w:val="single"/>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locked/>
    <w:rsid w:val="00FE0498"/>
  </w:style>
  <w:style w:type="paragraph" w:styleId="FootnoteText">
    <w:name w:val="footnote text"/>
    <w:aliases w:val="ALTS FOOTNOTE,Footnote Text Char Char Char Char Char Char Char Char Char Char Char Char Char Char Char Char Char,Footnote Text Char Char Char Char Char Char Char Char Char Char Char Char Char Char Char Char Char Char Char Char,fn,ft"/>
    <w:basedOn w:val="Normal"/>
    <w:link w:val="FootnoteTextChar"/>
    <w:uiPriority w:val="99"/>
    <w:unhideWhenUsed/>
    <w:qFormat/>
    <w:rsid w:val="00FE0498"/>
    <w:pPr>
      <w:widowControl/>
    </w:pPr>
    <w:rPr>
      <w:rFonts w:ascii="Times New Roman" w:hAnsi="Times New Roman"/>
      <w:snapToGrid/>
      <w:sz w:val="20"/>
    </w:rPr>
  </w:style>
  <w:style w:type="character" w:customStyle="1" w:styleId="FootnoteTextChar1">
    <w:name w:val="Footnote Text Char1"/>
    <w:rsid w:val="00FE0498"/>
    <w:rPr>
      <w:rFonts w:ascii="Courier" w:hAnsi="Courier"/>
      <w:snapToGrid w:val="0"/>
    </w:rPr>
  </w:style>
  <w:style w:type="paragraph" w:customStyle="1" w:styleId="Default">
    <w:name w:val="Default"/>
    <w:rsid w:val="00FE0498"/>
    <w:pPr>
      <w:autoSpaceDE w:val="0"/>
      <w:autoSpaceDN w:val="0"/>
      <w:adjustRightInd w:val="0"/>
    </w:pPr>
    <w:rPr>
      <w:color w:val="000000"/>
      <w:sz w:val="24"/>
      <w:szCs w:val="24"/>
    </w:rPr>
  </w:style>
  <w:style w:type="character" w:styleId="FootnoteReference">
    <w:name w:val="footnote reference"/>
    <w:aliases w:val="(Footnote Reference),12,BVI fnr,EN Footnote Reference,Footnote,Footnote Reference Superscript,Footnote reference number,Footnote symbol,Nota,SUPERS,Style 14,Style 16,Style 19,Style 35,Style 39,Style 6,Voetnootverwijzing,fr,note TESI"/>
    <w:uiPriority w:val="99"/>
    <w:unhideWhenUsed/>
    <w:qFormat/>
    <w:rsid w:val="00FE0498"/>
    <w:rPr>
      <w:vertAlign w:val="superscript"/>
    </w:rPr>
  </w:style>
  <w:style w:type="character" w:styleId="FollowedHyperlink">
    <w:name w:val="FollowedHyperlink"/>
    <w:rsid w:val="000305E9"/>
    <w:rPr>
      <w:color w:val="800080"/>
      <w:u w:val="single"/>
    </w:rPr>
  </w:style>
  <w:style w:type="paragraph" w:styleId="BalloonText">
    <w:name w:val="Balloon Text"/>
    <w:basedOn w:val="Normal"/>
    <w:link w:val="BalloonTextChar"/>
    <w:rsid w:val="009533E6"/>
    <w:rPr>
      <w:rFonts w:ascii="Tahoma" w:hAnsi="Tahoma" w:cs="Tahoma"/>
      <w:sz w:val="16"/>
      <w:szCs w:val="16"/>
    </w:rPr>
  </w:style>
  <w:style w:type="character" w:customStyle="1" w:styleId="BalloonTextChar">
    <w:name w:val="Balloon Text Char"/>
    <w:link w:val="BalloonText"/>
    <w:rsid w:val="009533E6"/>
    <w:rPr>
      <w:rFonts w:ascii="Tahoma" w:hAnsi="Tahoma" w:cs="Tahoma"/>
      <w:snapToGrid w:val="0"/>
      <w:sz w:val="16"/>
      <w:szCs w:val="16"/>
    </w:rPr>
  </w:style>
  <w:style w:type="paragraph" w:styleId="Header">
    <w:name w:val="header"/>
    <w:basedOn w:val="Normal"/>
    <w:link w:val="HeaderChar"/>
    <w:rsid w:val="00AB4B6E"/>
    <w:pPr>
      <w:tabs>
        <w:tab w:val="center" w:pos="4680"/>
        <w:tab w:val="right" w:pos="9360"/>
      </w:tabs>
    </w:pPr>
  </w:style>
  <w:style w:type="character" w:customStyle="1" w:styleId="HeaderChar">
    <w:name w:val="Header Char"/>
    <w:link w:val="Header"/>
    <w:rsid w:val="00AB4B6E"/>
    <w:rPr>
      <w:rFonts w:ascii="Courier" w:hAnsi="Courier"/>
      <w:snapToGrid w:val="0"/>
      <w:sz w:val="24"/>
    </w:rPr>
  </w:style>
  <w:style w:type="character" w:customStyle="1" w:styleId="FooterChar">
    <w:name w:val="Footer Char"/>
    <w:link w:val="Footer"/>
    <w:uiPriority w:val="99"/>
    <w:rsid w:val="00AB4B6E"/>
    <w:rPr>
      <w:rFonts w:ascii="Courier" w:hAnsi="Courier"/>
      <w:snapToGrid w:val="0"/>
      <w:sz w:val="24"/>
    </w:rPr>
  </w:style>
  <w:style w:type="character" w:customStyle="1" w:styleId="normaltextrun">
    <w:name w:val="normaltextrun"/>
    <w:rsid w:val="009234BE"/>
  </w:style>
  <w:style w:type="character" w:customStyle="1" w:styleId="eop">
    <w:name w:val="eop"/>
    <w:rsid w:val="009234BE"/>
  </w:style>
  <w:style w:type="table" w:styleId="TableGrid">
    <w:name w:val="Table Grid"/>
    <w:basedOn w:val="TableNormal"/>
    <w:uiPriority w:val="39"/>
    <w:rsid w:val="008201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A4D5D"/>
  </w:style>
  <w:style w:type="table" w:customStyle="1" w:styleId="TableGrid1">
    <w:name w:val="Table Grid1"/>
    <w:basedOn w:val="TableNormal"/>
    <w:next w:val="TableGrid"/>
    <w:uiPriority w:val="39"/>
    <w:rsid w:val="007C18CB"/>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A75C2"/>
    <w:rPr>
      <w:sz w:val="16"/>
      <w:szCs w:val="16"/>
    </w:rPr>
  </w:style>
  <w:style w:type="paragraph" w:styleId="CommentText">
    <w:name w:val="annotation text"/>
    <w:basedOn w:val="Normal"/>
    <w:link w:val="CommentTextChar"/>
    <w:rsid w:val="004A75C2"/>
    <w:rPr>
      <w:sz w:val="20"/>
    </w:rPr>
  </w:style>
  <w:style w:type="character" w:customStyle="1" w:styleId="CommentTextChar">
    <w:name w:val="Comment Text Char"/>
    <w:link w:val="CommentText"/>
    <w:rsid w:val="004A75C2"/>
    <w:rPr>
      <w:rFonts w:ascii="Courier" w:hAnsi="Courier"/>
      <w:snapToGrid w:val="0"/>
    </w:rPr>
  </w:style>
  <w:style w:type="paragraph" w:styleId="CommentSubject">
    <w:name w:val="annotation subject"/>
    <w:basedOn w:val="CommentText"/>
    <w:next w:val="CommentText"/>
    <w:link w:val="CommentSubjectChar"/>
    <w:rsid w:val="004A75C2"/>
    <w:rPr>
      <w:b/>
      <w:bCs/>
    </w:rPr>
  </w:style>
  <w:style w:type="character" w:customStyle="1" w:styleId="CommentSubjectChar">
    <w:name w:val="Comment Subject Char"/>
    <w:link w:val="CommentSubject"/>
    <w:rsid w:val="004A75C2"/>
    <w:rPr>
      <w:rFonts w:ascii="Courier" w:hAnsi="Courier"/>
      <w:b/>
      <w:bCs/>
      <w:snapToGrid w:val="0"/>
    </w:rPr>
  </w:style>
  <w:style w:type="paragraph" w:styleId="Revision">
    <w:name w:val="Revision"/>
    <w:hidden/>
    <w:uiPriority w:val="99"/>
    <w:semiHidden/>
    <w:rsid w:val="004A75C2"/>
    <w:rPr>
      <w:rFonts w:ascii="Courier" w:hAnsi="Courier"/>
      <w:snapToGrid w:val="0"/>
      <w:sz w:val="24"/>
    </w:rPr>
  </w:style>
  <w:style w:type="table" w:customStyle="1" w:styleId="TableGrid2">
    <w:name w:val="Table Grid2"/>
    <w:basedOn w:val="TableNormal"/>
    <w:next w:val="TableGrid"/>
    <w:uiPriority w:val="39"/>
    <w:rsid w:val="00945113"/>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1FD37-BF7A-4242-A397-581AFF4AA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1185</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Gofney, Rashida K.</dc:creator>
  <cp:lastModifiedBy>Gofney, Rashida K.</cp:lastModifiedBy>
  <cp:revision>35</cp:revision>
  <dcterms:created xsi:type="dcterms:W3CDTF">2025-04-07T17:45:00Z</dcterms:created>
  <dcterms:modified xsi:type="dcterms:W3CDTF">2025-04-07T18:19:00Z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#000000,12,Source Sans Pro SemiBold</vt:lpwstr>
  </property>
  <property fmtid="{D5CDD505-2E9C-101B-9397-08002B2CF9AE}" pid="3" name="ClassificationContentMarkingHeaderShapeIds">
    <vt:lpwstr>1f374e17,498f9df8,178ee4bf</vt:lpwstr>
  </property>
  <property fmtid="{D5CDD505-2E9C-101B-9397-08002B2CF9AE}" pid="4" name="ClassificationContentMarkingHeaderText">
    <vt:lpwstr>CONTROLLED//FDIC BUSINESS</vt:lpwstr>
  </property>
  <property fmtid="{D5CDD505-2E9C-101B-9397-08002B2CF9AE}" pid="5" name="MSIP_Label_bf169515-7cbd-4c51-8e2e-ac5f43c5fba7_ActionId">
    <vt:lpwstr>c4b6f11f-6dda-422b-9e77-e0b0ba600cd4</vt:lpwstr>
  </property>
  <property fmtid="{D5CDD505-2E9C-101B-9397-08002B2CF9AE}" pid="6" name="MSIP_Label_bf169515-7cbd-4c51-8e2e-ac5f43c5fba7_ContentBits">
    <vt:lpwstr>1</vt:lpwstr>
  </property>
  <property fmtid="{D5CDD505-2E9C-101B-9397-08002B2CF9AE}" pid="7" name="MSIP_Label_bf169515-7cbd-4c51-8e2e-ac5f43c5fba7_Enabled">
    <vt:lpwstr>true</vt:lpwstr>
  </property>
  <property fmtid="{D5CDD505-2E9C-101B-9397-08002B2CF9AE}" pid="8" name="MSIP_Label_bf169515-7cbd-4c51-8e2e-ac5f43c5fba7_Method">
    <vt:lpwstr>Privileged</vt:lpwstr>
  </property>
  <property fmtid="{D5CDD505-2E9C-101B-9397-08002B2CF9AE}" pid="9" name="MSIP_Label_bf169515-7cbd-4c51-8e2e-ac5f43c5fba7_Name">
    <vt:lpwstr>bf169515-7cbd-4c51-8e2e-ac5f43c5fba7</vt:lpwstr>
  </property>
  <property fmtid="{D5CDD505-2E9C-101B-9397-08002B2CF9AE}" pid="10" name="MSIP_Label_bf169515-7cbd-4c51-8e2e-ac5f43c5fba7_SetDate">
    <vt:lpwstr>2025-04-07T17:41:09Z</vt:lpwstr>
  </property>
  <property fmtid="{D5CDD505-2E9C-101B-9397-08002B2CF9AE}" pid="11" name="MSIP_Label_bf169515-7cbd-4c51-8e2e-ac5f43c5fba7_SiteId">
    <vt:lpwstr>26c83bc9-31c1-4d77-a523-0816095aba31</vt:lpwstr>
  </property>
  <property fmtid="{D5CDD505-2E9C-101B-9397-08002B2CF9AE}" pid="12" name="MSIP_Label_bf169515-7cbd-4c51-8e2e-ac5f43c5fba7_Tag">
    <vt:lpwstr>10, 0, 1, 1</vt:lpwstr>
  </property>
</Properties>
</file>