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A1A" w:rsidRPr="00C40A1A" w:rsidP="00C40A1A" w14:paraId="2064AEF5"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sidRPr="00C40A1A">
        <w:rPr>
          <w:rFonts w:ascii="Times New Roman" w:hAnsi="Times New Roman"/>
          <w:szCs w:val="24"/>
        </w:rPr>
        <w:t>SUPPORTING STATEMENT</w:t>
      </w:r>
    </w:p>
    <w:p w:rsidR="00B37694" w:rsidRPr="00B37694" w:rsidP="000014B9" w14:paraId="5198B742" w14:textId="77777777">
      <w:pPr>
        <w:widowControl/>
        <w:tabs>
          <w:tab w:val="center" w:pos="5112"/>
        </w:tabs>
        <w:jc w:val="center"/>
        <w:rPr>
          <w:rFonts w:ascii="Times New Roman" w:hAnsi="Times New Roman"/>
        </w:rPr>
      </w:pPr>
      <w:r w:rsidRPr="00864737">
        <w:rPr>
          <w:rFonts w:ascii="Times New Roman" w:hAnsi="Times New Roman"/>
        </w:rPr>
        <w:t>FURNISHER INFORMATION ACCURACY AND INTEGRITY (FACTA 312)</w:t>
      </w:r>
    </w:p>
    <w:p w:rsidR="00C40A1A" w:rsidRPr="00C40A1A" w:rsidP="00915517" w14:paraId="6ABB390A" w14:textId="7777777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Pr>
          <w:rFonts w:ascii="Times New Roman" w:hAnsi="Times New Roman"/>
          <w:szCs w:val="24"/>
        </w:rPr>
        <w:t>(OMB Control No. 3064-0</w:t>
      </w:r>
      <w:r w:rsidR="00864737">
        <w:rPr>
          <w:rFonts w:ascii="Times New Roman" w:hAnsi="Times New Roman"/>
          <w:szCs w:val="24"/>
        </w:rPr>
        <w:t>161</w:t>
      </w:r>
      <w:r w:rsidRPr="00C40A1A">
        <w:rPr>
          <w:rFonts w:ascii="Times New Roman" w:hAnsi="Times New Roman"/>
          <w:szCs w:val="24"/>
        </w:rPr>
        <w:t>)</w:t>
      </w:r>
    </w:p>
    <w:p w:rsidR="00F146F1" w14:paraId="2B881B36"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1F88B3A5"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5A60904A" w14:textId="77777777">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14:paraId="458C4E6F" w14:textId="77777777">
      <w:pPr>
        <w:widowControl/>
        <w:autoSpaceDE w:val="0"/>
        <w:autoSpaceDN w:val="0"/>
        <w:adjustRightInd w:val="0"/>
        <w:rPr>
          <w:rFonts w:ascii="Times New Roman" w:hAnsi="Times New Roman"/>
          <w:szCs w:val="24"/>
        </w:rPr>
      </w:pPr>
    </w:p>
    <w:p w:rsidR="00B10980" w:rsidP="00583579" w14:paraId="32A9D337" w14:textId="440110F6">
      <w:pPr>
        <w:widowControl/>
        <w:autoSpaceDE w:val="0"/>
        <w:autoSpaceDN w:val="0"/>
        <w:adjustRightInd w:val="0"/>
        <w:rPr>
          <w:rFonts w:ascii="Times New Roman" w:hAnsi="Times New Roman"/>
          <w:szCs w:val="24"/>
        </w:rPr>
      </w:pPr>
      <w:r w:rsidRPr="00864737">
        <w:rPr>
          <w:rFonts w:ascii="Times New Roman" w:hAnsi="Times New Roman"/>
          <w:bCs/>
          <w:szCs w:val="24"/>
        </w:rPr>
        <w:t xml:space="preserve">The Federal Deposit Insurance Corporation (FDIC) is requesting a three-year renewal of the information collection for its collection (3064-0161) associated with privacy of consumer financial information.  The current clearance for the collection expires on </w:t>
      </w:r>
      <w:r>
        <w:rPr>
          <w:rFonts w:ascii="Times New Roman" w:hAnsi="Times New Roman"/>
          <w:bCs/>
          <w:szCs w:val="24"/>
        </w:rPr>
        <w:t>April 30, 20</w:t>
      </w:r>
      <w:r w:rsidR="0010602E">
        <w:rPr>
          <w:rFonts w:ascii="Times New Roman" w:hAnsi="Times New Roman"/>
          <w:bCs/>
          <w:szCs w:val="24"/>
        </w:rPr>
        <w:t>25</w:t>
      </w:r>
      <w:r w:rsidRPr="00864737">
        <w:rPr>
          <w:rFonts w:ascii="Times New Roman" w:hAnsi="Times New Roman"/>
          <w:bCs/>
          <w:szCs w:val="24"/>
        </w:rPr>
        <w:t>.  There</w:t>
      </w:r>
      <w:r w:rsidR="000D5C9E">
        <w:rPr>
          <w:rFonts w:ascii="Times New Roman" w:hAnsi="Times New Roman"/>
          <w:bCs/>
          <w:szCs w:val="24"/>
        </w:rPr>
        <w:t xml:space="preserve"> </w:t>
      </w:r>
      <w:r w:rsidRPr="00864737">
        <w:rPr>
          <w:rFonts w:ascii="Times New Roman" w:hAnsi="Times New Roman"/>
          <w:bCs/>
          <w:szCs w:val="24"/>
        </w:rPr>
        <w:t>is no change in the method or substance of the collection</w:t>
      </w:r>
      <w:r w:rsidRPr="000014B9" w:rsidR="000014B9">
        <w:rPr>
          <w:rFonts w:ascii="Times New Roman" w:hAnsi="Times New Roman"/>
          <w:szCs w:val="24"/>
        </w:rPr>
        <w:t>.</w:t>
      </w:r>
    </w:p>
    <w:p w:rsidR="000014B9" w:rsidP="00583579" w14:paraId="3818A51F" w14:textId="77777777">
      <w:pPr>
        <w:widowControl/>
        <w:autoSpaceDE w:val="0"/>
        <w:autoSpaceDN w:val="0"/>
        <w:adjustRightInd w:val="0"/>
        <w:rPr>
          <w:rFonts w:ascii="Times New Roman" w:hAnsi="Times New Roman"/>
        </w:rPr>
      </w:pPr>
    </w:p>
    <w:p w:rsidR="00F146F1" w:rsidP="0024672A" w14:paraId="24835C52" w14:textId="77777777">
      <w:pPr>
        <w:widowControl/>
        <w:numPr>
          <w:ilvl w:val="0"/>
          <w:numId w:val="2"/>
        </w:numPr>
        <w:rPr>
          <w:rFonts w:ascii="Times New Roman" w:hAnsi="Times New Roman"/>
        </w:rPr>
      </w:pPr>
      <w:r>
        <w:rPr>
          <w:rFonts w:ascii="Times New Roman" w:hAnsi="Times New Roman"/>
          <w:u w:val="single"/>
        </w:rPr>
        <w:t>JUSTIFICATION</w:t>
      </w:r>
    </w:p>
    <w:p w:rsidR="00F146F1" w14:paraId="5E798942" w14:textId="77777777">
      <w:pPr>
        <w:widowControl/>
        <w:rPr>
          <w:rFonts w:ascii="Times New Roman" w:hAnsi="Times New Roman"/>
        </w:rPr>
      </w:pPr>
    </w:p>
    <w:p w:rsidR="00F146F1" w:rsidP="00F175D5" w14:paraId="77939026" w14:textId="77777777">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14:paraId="730E0693" w14:textId="77777777">
      <w:pPr>
        <w:widowControl/>
        <w:rPr>
          <w:rFonts w:ascii="Times New Roman" w:hAnsi="Times New Roman"/>
        </w:rPr>
      </w:pPr>
    </w:p>
    <w:p w:rsidR="00FA4D5D" w:rsidRPr="00FA4D5D" w:rsidP="000014B9" w14:paraId="7C1F3082" w14:textId="77777777">
      <w:pPr>
        <w:widowControl/>
        <w:ind w:left="1440"/>
        <w:rPr>
          <w:rFonts w:ascii="Times New Roman" w:hAnsi="Times New Roman"/>
        </w:rPr>
      </w:pPr>
      <w:r w:rsidRPr="00864737">
        <w:rPr>
          <w:rFonts w:ascii="Times New Roman" w:hAnsi="Times New Roman"/>
          <w:iCs/>
        </w:rPr>
        <w:t>The Federal Deposit Insurance Corporation, the Board of Governors of the Federal Reserve System, the Office of the Comptroller of the Currency, the Office of Thrift Supervision (OTS), the National Credit Union Administration, and the Federal Trade Commission, (Agencies) were required by section 312 of the Fair and Accurate Credit Transactions Act of 2003 (FACT Act) to issue guidelines for use by furnishers regarding the accuracy and integrity of the information about consumers that they furnish to consumer reporting agencies and prescribe regulations requiring furnishers to establish reasonable policies and procedures for implementing the guidelines.  Section 312 also required t</w:t>
      </w:r>
      <w:r w:rsidRPr="00864737">
        <w:rPr>
          <w:rFonts w:ascii="Times New Roman" w:hAnsi="Times New Roman"/>
        </w:rPr>
        <w:t>he Agencies to issue regulations identifying the circumstances under which a furnisher must reinvestigate disputes about the accuracy of information contained in a consumer report based on a direct request from a consumer.  The regulations covering this information collection are contained in Regulation V of the Consumer Financial Protection Bureau’s regulations, Fair Credit Reporting, 12 CFR Section 1022.  The FDIC examines for compliance with Regulation V and takes enforcement action when warranted</w:t>
      </w:r>
      <w:r w:rsidRPr="00FA4D5D">
        <w:rPr>
          <w:rFonts w:ascii="Times New Roman" w:hAnsi="Times New Roman"/>
        </w:rPr>
        <w:t xml:space="preserve">.     </w:t>
      </w:r>
    </w:p>
    <w:p w:rsidR="0024672A" w:rsidP="00FA4D5D" w14:paraId="5394D5D9" w14:textId="77777777">
      <w:pPr>
        <w:widowControl/>
        <w:rPr>
          <w:rFonts w:ascii="Times New Roman" w:hAnsi="Times New Roman"/>
        </w:rPr>
      </w:pPr>
    </w:p>
    <w:p w:rsidR="00F146F1" w:rsidP="00F175D5" w14:paraId="0FDCD1F5" w14:textId="4F0A792B">
      <w:pPr>
        <w:widowControl/>
        <w:numPr>
          <w:ilvl w:val="0"/>
          <w:numId w:val="4"/>
        </w:numPr>
        <w:rPr>
          <w:rFonts w:ascii="Times New Roman" w:hAnsi="Times New Roman"/>
        </w:rPr>
      </w:pPr>
      <w:r w:rsidRPr="00366534">
        <w:rPr>
          <w:rFonts w:ascii="Times New Roman" w:hAnsi="Times New Roman"/>
          <w:u w:val="single"/>
        </w:rPr>
        <w:t xml:space="preserve">Use of </w:t>
      </w:r>
      <w:r>
        <w:rPr>
          <w:rFonts w:ascii="Times New Roman" w:hAnsi="Times New Roman"/>
          <w:u w:val="single"/>
        </w:rPr>
        <w:t>I</w:t>
      </w:r>
      <w:r w:rsidRPr="00366534">
        <w:rPr>
          <w:rFonts w:ascii="Times New Roman" w:hAnsi="Times New Roman"/>
          <w:u w:val="single"/>
        </w:rPr>
        <w:t>nformation</w:t>
      </w:r>
      <w:r w:rsidRPr="00366534" w:rsidR="00F175D5">
        <w:rPr>
          <w:rFonts w:ascii="Times New Roman" w:hAnsi="Times New Roman"/>
          <w:u w:val="single"/>
        </w:rPr>
        <w:t>:</w:t>
      </w:r>
    </w:p>
    <w:p w:rsidR="00F146F1" w14:paraId="256F5B9A" w14:textId="77777777">
      <w:pPr>
        <w:widowControl/>
        <w:rPr>
          <w:rFonts w:ascii="Times New Roman" w:hAnsi="Times New Roman"/>
        </w:rPr>
      </w:pPr>
    </w:p>
    <w:p w:rsidR="00864737" w:rsidRPr="00864737" w:rsidP="00864737" w14:paraId="3C19F43E" w14:textId="77777777">
      <w:pPr>
        <w:widowControl/>
        <w:ind w:left="1440"/>
        <w:rPr>
          <w:rFonts w:ascii="Times New Roman" w:hAnsi="Times New Roman"/>
        </w:rPr>
      </w:pPr>
      <w:r w:rsidRPr="00864737">
        <w:rPr>
          <w:rFonts w:ascii="Times New Roman" w:hAnsi="Times New Roman"/>
        </w:rPr>
        <w:t xml:space="preserve">Section 1022.42(a) requires furnishers to establish and implement reasonable written policies and procedures regarding the accuracy and integrity of information relating to consumers that they provide to a consumer reporting agency (CRA).  This rule requires furnishers to put into writing policies and procedures that address their section 312 responsibilities regarding the accuracy and integrity of information.  Furnishers’ accuracy and integrity policies and procedures may include their existing policies and procedures that are reasonable and appropriate.  </w:t>
      </w:r>
    </w:p>
    <w:p w:rsidR="00864737" w:rsidRPr="00864737" w:rsidP="00864737" w14:paraId="4ABBCB6F" w14:textId="77777777">
      <w:pPr>
        <w:widowControl/>
        <w:ind w:left="1440"/>
        <w:rPr>
          <w:rFonts w:ascii="Times New Roman" w:hAnsi="Times New Roman"/>
        </w:rPr>
      </w:pPr>
    </w:p>
    <w:p w:rsidR="00864737" w:rsidRPr="00864737" w:rsidP="00864737" w14:paraId="21784428" w14:textId="77777777">
      <w:pPr>
        <w:widowControl/>
        <w:ind w:left="1440"/>
        <w:rPr>
          <w:rFonts w:ascii="Times New Roman" w:hAnsi="Times New Roman"/>
        </w:rPr>
      </w:pPr>
      <w:r w:rsidRPr="00864737">
        <w:rPr>
          <w:rFonts w:ascii="Times New Roman" w:hAnsi="Times New Roman"/>
        </w:rPr>
        <w:t xml:space="preserve">Section 1022.43(a) permits consumers to initiate disputes directly with the furnishers. This gave consumers a new way to dispute consumer report information; instead of having to go through a CRA as permitted by the Fair </w:t>
      </w:r>
      <w:r w:rsidRPr="00864737">
        <w:rPr>
          <w:rFonts w:ascii="Times New Roman" w:hAnsi="Times New Roman"/>
        </w:rPr>
        <w:t xml:space="preserve">Credit Reporting Act, consumers now have the right to go directly to the furnisher in certain circumstances.  Under the rule, furnishers have to follow a process substantially similar to what they currently use for handling disputes submitted through a CRA.  Furnishers need to amend their procedures to ensure that disputes received directly from consumers are handled in a substantially similar manner to the CRA dispute process.  </w:t>
      </w:r>
    </w:p>
    <w:p w:rsidR="00864737" w:rsidRPr="00864737" w:rsidP="00864737" w14:paraId="1DDB7C6A" w14:textId="77777777">
      <w:pPr>
        <w:widowControl/>
        <w:ind w:left="1440"/>
        <w:rPr>
          <w:rFonts w:ascii="Times New Roman" w:hAnsi="Times New Roman"/>
        </w:rPr>
      </w:pPr>
    </w:p>
    <w:p w:rsidR="00F146F1" w:rsidP="00864737" w14:paraId="0840A5BC" w14:textId="77777777">
      <w:pPr>
        <w:widowControl/>
        <w:ind w:left="1440"/>
        <w:rPr>
          <w:rFonts w:ascii="Times New Roman" w:hAnsi="Times New Roman"/>
        </w:rPr>
      </w:pPr>
      <w:r w:rsidRPr="00864737">
        <w:rPr>
          <w:rFonts w:ascii="Times New Roman" w:hAnsi="Times New Roman"/>
        </w:rPr>
        <w:t xml:space="preserve">Section 1022.43(f)(2) incorporates the statutory requirement that a furnisher must notify a consumer by mail or other means (if authorized by the consumer) not later than five business days after </w:t>
      </w:r>
      <w:r w:rsidRPr="00864737">
        <w:rPr>
          <w:rFonts w:ascii="Times New Roman" w:hAnsi="Times New Roman"/>
        </w:rPr>
        <w:t>making a determination</w:t>
      </w:r>
      <w:r w:rsidRPr="00864737">
        <w:rPr>
          <w:rFonts w:ascii="Times New Roman" w:hAnsi="Times New Roman"/>
        </w:rPr>
        <w:t xml:space="preserve"> that a dispute is frivolous or irrelevant.  Section 1022.43(f)(3) incorporates the statute’s content requirements for the notices</w:t>
      </w:r>
      <w:r>
        <w:rPr>
          <w:rFonts w:ascii="Times New Roman" w:hAnsi="Times New Roman"/>
        </w:rPr>
        <w:t>.</w:t>
      </w:r>
    </w:p>
    <w:p w:rsidR="00FA4D5D" w:rsidP="00FA4D5D" w14:paraId="3322CBC1" w14:textId="77777777">
      <w:pPr>
        <w:widowControl/>
        <w:ind w:left="1440"/>
        <w:rPr>
          <w:rFonts w:ascii="Times New Roman" w:hAnsi="Times New Roman"/>
        </w:rPr>
      </w:pPr>
    </w:p>
    <w:p w:rsidR="00F146F1" w:rsidP="00F175D5" w14:paraId="58EF7644" w14:textId="77777777">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14:paraId="7598EFA8" w14:textId="77777777">
      <w:pPr>
        <w:widowControl/>
        <w:rPr>
          <w:rFonts w:ascii="Times New Roman" w:hAnsi="Times New Roman"/>
        </w:rPr>
      </w:pPr>
    </w:p>
    <w:p w:rsidR="00F146F1" w14:paraId="072F01E3" w14:textId="77777777">
      <w:pPr>
        <w:widowControl/>
        <w:ind w:left="1440"/>
        <w:rPr>
          <w:rFonts w:ascii="Times New Roman" w:hAnsi="Times New Roman"/>
        </w:rPr>
      </w:pPr>
      <w:r w:rsidRPr="00864737">
        <w:rPr>
          <w:rFonts w:ascii="Times New Roman" w:hAnsi="Times New Roman"/>
        </w:rPr>
        <w:t>Financial institutions may adopt any existing technology relevant to producing or delivering the information</w:t>
      </w:r>
      <w:r w:rsidRPr="00FA4D5D" w:rsidR="00FA4D5D">
        <w:rPr>
          <w:rFonts w:ascii="Times New Roman" w:hAnsi="Times New Roman"/>
        </w:rPr>
        <w:t>.</w:t>
      </w:r>
      <w:r>
        <w:rPr>
          <w:rFonts w:ascii="Times New Roman" w:hAnsi="Times New Roman"/>
        </w:rPr>
        <w:t xml:space="preserve">  </w:t>
      </w:r>
    </w:p>
    <w:p w:rsidR="00F146F1" w14:paraId="31680CB3" w14:textId="77777777">
      <w:pPr>
        <w:widowControl/>
        <w:ind w:left="1440"/>
        <w:rPr>
          <w:rFonts w:ascii="Times New Roman" w:hAnsi="Times New Roman"/>
        </w:rPr>
      </w:pPr>
    </w:p>
    <w:p w:rsidR="00F146F1" w:rsidP="00F175D5" w14:paraId="7FBC0172" w14:textId="0BF2FE4D">
      <w:pPr>
        <w:widowControl/>
        <w:numPr>
          <w:ilvl w:val="0"/>
          <w:numId w:val="4"/>
        </w:numPr>
        <w:rPr>
          <w:rFonts w:ascii="Times New Roman" w:hAnsi="Times New Roman"/>
        </w:rPr>
      </w:pPr>
      <w:r w:rsidRPr="00366534">
        <w:rPr>
          <w:rFonts w:ascii="Times New Roman" w:hAnsi="Times New Roman"/>
          <w:u w:val="single"/>
        </w:rPr>
        <w:t xml:space="preserve">Efforts to </w:t>
      </w:r>
      <w:r>
        <w:rPr>
          <w:rFonts w:ascii="Times New Roman" w:hAnsi="Times New Roman"/>
          <w:u w:val="single"/>
        </w:rPr>
        <w:t>I</w:t>
      </w:r>
      <w:r w:rsidRPr="00366534">
        <w:rPr>
          <w:rFonts w:ascii="Times New Roman" w:hAnsi="Times New Roman"/>
          <w:u w:val="single"/>
        </w:rPr>
        <w:t xml:space="preserve">dentify </w:t>
      </w:r>
      <w:r>
        <w:rPr>
          <w:rFonts w:ascii="Times New Roman" w:hAnsi="Times New Roman"/>
          <w:u w:val="single"/>
        </w:rPr>
        <w:t>D</w:t>
      </w:r>
      <w:r w:rsidRPr="00366534">
        <w:rPr>
          <w:rFonts w:ascii="Times New Roman" w:hAnsi="Times New Roman"/>
          <w:u w:val="single"/>
        </w:rPr>
        <w:t>uplication</w:t>
      </w:r>
      <w:r w:rsidRPr="00366534" w:rsidR="00F175D5">
        <w:rPr>
          <w:rFonts w:ascii="Times New Roman" w:hAnsi="Times New Roman"/>
          <w:u w:val="single"/>
        </w:rPr>
        <w:t>:</w:t>
      </w:r>
    </w:p>
    <w:p w:rsidR="00F146F1" w14:paraId="6A906B1F" w14:textId="77777777">
      <w:pPr>
        <w:widowControl/>
        <w:rPr>
          <w:rFonts w:ascii="Times New Roman" w:hAnsi="Times New Roman"/>
        </w:rPr>
      </w:pPr>
    </w:p>
    <w:p w:rsidR="00F146F1" w:rsidP="00FA4D5D" w14:paraId="416A7614" w14:textId="77777777">
      <w:pPr>
        <w:widowControl/>
        <w:ind w:left="1440"/>
        <w:rPr>
          <w:rFonts w:ascii="Times New Roman" w:hAnsi="Times New Roman"/>
        </w:rPr>
      </w:pPr>
      <w:r w:rsidRPr="00621A3B">
        <w:rPr>
          <w:rFonts w:ascii="Times New Roman" w:hAnsi="Times New Roman"/>
        </w:rPr>
        <w:t>The information required by this collection is not available elsewhere.</w:t>
      </w:r>
    </w:p>
    <w:p w:rsidR="00ED4700" w14:paraId="2C40B3BC" w14:textId="77777777">
      <w:pPr>
        <w:widowControl/>
        <w:ind w:left="1440"/>
        <w:rPr>
          <w:rFonts w:ascii="Times New Roman" w:hAnsi="Times New Roman"/>
        </w:rPr>
      </w:pPr>
    </w:p>
    <w:p w:rsidR="00F146F1" w:rsidP="00F175D5" w14:paraId="493BFE4D" w14:textId="77777777">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14:paraId="1D97A2FF" w14:textId="77777777">
      <w:pPr>
        <w:widowControl/>
        <w:rPr>
          <w:rFonts w:ascii="Times New Roman" w:hAnsi="Times New Roman"/>
        </w:rPr>
      </w:pPr>
    </w:p>
    <w:p w:rsidR="00864737" w:rsidRPr="00864737" w:rsidP="00864737" w14:paraId="5D54CE00" w14:textId="77777777">
      <w:pPr>
        <w:widowControl/>
        <w:ind w:left="1440"/>
        <w:rPr>
          <w:rFonts w:ascii="Times New Roman" w:hAnsi="Times New Roman"/>
        </w:rPr>
      </w:pPr>
      <w:r w:rsidRPr="00864737">
        <w:rPr>
          <w:rFonts w:ascii="Times New Roman" w:hAnsi="Times New Roman"/>
        </w:rPr>
        <w:t>The information collections do not impose any significant burden beyond that required by the statute.  Because of the statutory requirements, there are no significant alternatives that minimize burden on small institutions.</w:t>
      </w:r>
    </w:p>
    <w:p w:rsidR="00864737" w:rsidRPr="00864737" w:rsidP="00864737" w14:paraId="196FCD23" w14:textId="77777777">
      <w:pPr>
        <w:widowControl/>
        <w:ind w:left="1440"/>
        <w:rPr>
          <w:rFonts w:ascii="Times New Roman" w:hAnsi="Times New Roman"/>
        </w:rPr>
      </w:pPr>
    </w:p>
    <w:p w:rsidR="00621A3B" w:rsidRPr="00621A3B" w:rsidP="00864737" w14:paraId="711D8A35" w14:textId="5C0F6C60">
      <w:pPr>
        <w:widowControl/>
        <w:ind w:left="1440"/>
        <w:rPr>
          <w:rFonts w:ascii="Times New Roman" w:hAnsi="Times New Roman"/>
        </w:rPr>
      </w:pPr>
      <w:r w:rsidRPr="00864737">
        <w:rPr>
          <w:rFonts w:ascii="Times New Roman" w:hAnsi="Times New Roman"/>
        </w:rPr>
        <w:t>This collection has a significant impact on a substantial number of small entities.  In particular, according to Cal</w:t>
      </w:r>
      <w:r>
        <w:rPr>
          <w:rFonts w:ascii="Times New Roman" w:hAnsi="Times New Roman"/>
        </w:rPr>
        <w:t>l Report data as of September 30, 202</w:t>
      </w:r>
      <w:r w:rsidR="00554ED6">
        <w:rPr>
          <w:rFonts w:ascii="Times New Roman" w:hAnsi="Times New Roman"/>
        </w:rPr>
        <w:t>4</w:t>
      </w:r>
      <w:r w:rsidRPr="00864737">
        <w:rPr>
          <w:rFonts w:ascii="Times New Roman" w:hAnsi="Times New Roman"/>
        </w:rPr>
        <w:t xml:space="preserve">, there were </w:t>
      </w:r>
      <w:r w:rsidR="00DF1C36">
        <w:rPr>
          <w:rFonts w:ascii="Times New Roman" w:hAnsi="Times New Roman"/>
        </w:rPr>
        <w:t>2,820</w:t>
      </w:r>
      <w:r w:rsidRPr="00864737">
        <w:rPr>
          <w:rFonts w:ascii="Times New Roman" w:hAnsi="Times New Roman"/>
        </w:rPr>
        <w:t xml:space="preserve"> FDIC-supervised institutions. 2,</w:t>
      </w:r>
      <w:r w:rsidR="00F9119D">
        <w:rPr>
          <w:rFonts w:ascii="Times New Roman" w:hAnsi="Times New Roman"/>
        </w:rPr>
        <w:t>153</w:t>
      </w:r>
      <w:r w:rsidRPr="00864737">
        <w:rPr>
          <w:rFonts w:ascii="Times New Roman" w:hAnsi="Times New Roman"/>
        </w:rPr>
        <w:t xml:space="preserve"> of these entities have total assets of less than $</w:t>
      </w:r>
      <w:r w:rsidR="00525FCC">
        <w:rPr>
          <w:rFonts w:ascii="Times New Roman" w:hAnsi="Times New Roman"/>
        </w:rPr>
        <w:t xml:space="preserve">850 </w:t>
      </w:r>
      <w:r w:rsidRPr="00864737">
        <w:rPr>
          <w:rFonts w:ascii="Times New Roman" w:hAnsi="Times New Roman"/>
        </w:rPr>
        <w:t>million therefore meeting the Small Business Administration’s definition of a “smal</w:t>
      </w:r>
      <w:r w:rsidR="007A5DB9">
        <w:rPr>
          <w:rFonts w:ascii="Times New Roman" w:hAnsi="Times New Roman"/>
        </w:rPr>
        <w:t>l entity</w:t>
      </w:r>
      <w:r w:rsidRPr="00621A3B">
        <w:rPr>
          <w:rFonts w:ascii="Times New Roman" w:hAnsi="Times New Roman"/>
        </w:rPr>
        <w:t xml:space="preserve">. </w:t>
      </w:r>
    </w:p>
    <w:p w:rsidR="004A75C2" w:rsidP="004A75C2" w14:paraId="154C12EF" w14:textId="77777777">
      <w:pPr>
        <w:widowControl/>
        <w:rPr>
          <w:rFonts w:ascii="Times New Roman" w:hAnsi="Times New Roman"/>
        </w:rPr>
      </w:pPr>
    </w:p>
    <w:p w:rsidR="00F146F1" w:rsidP="00F175D5" w14:paraId="227F2215" w14:textId="67EDB185">
      <w:pPr>
        <w:widowControl/>
        <w:numPr>
          <w:ilvl w:val="0"/>
          <w:numId w:val="4"/>
        </w:numPr>
        <w:rPr>
          <w:rFonts w:ascii="Times New Roman" w:hAnsi="Times New Roman"/>
        </w:rPr>
      </w:pPr>
      <w:r w:rsidRPr="00366534">
        <w:rPr>
          <w:rFonts w:ascii="Times New Roman" w:hAnsi="Times New Roman"/>
          <w:u w:val="single"/>
        </w:rPr>
        <w:t xml:space="preserve">Consequences </w:t>
      </w:r>
      <w:r>
        <w:rPr>
          <w:rFonts w:ascii="Times New Roman" w:hAnsi="Times New Roman"/>
          <w:u w:val="single"/>
        </w:rPr>
        <w:t>to L</w:t>
      </w:r>
      <w:r w:rsidRPr="00366534">
        <w:rPr>
          <w:rFonts w:ascii="Times New Roman" w:hAnsi="Times New Roman"/>
          <w:u w:val="single"/>
        </w:rPr>
        <w:t xml:space="preserve">ess </w:t>
      </w:r>
      <w:r>
        <w:rPr>
          <w:rFonts w:ascii="Times New Roman" w:hAnsi="Times New Roman"/>
          <w:u w:val="single"/>
        </w:rPr>
        <w:t>F</w:t>
      </w:r>
      <w:r w:rsidRPr="00366534">
        <w:rPr>
          <w:rFonts w:ascii="Times New Roman" w:hAnsi="Times New Roman"/>
          <w:u w:val="single"/>
        </w:rPr>
        <w:t>requent</w:t>
      </w:r>
      <w:r>
        <w:rPr>
          <w:rFonts w:ascii="Times New Roman" w:hAnsi="Times New Roman"/>
          <w:u w:val="single"/>
        </w:rPr>
        <w:t xml:space="preserve"> Collections</w:t>
      </w:r>
      <w:r w:rsidRPr="00366534" w:rsidR="00F175D5">
        <w:rPr>
          <w:rFonts w:ascii="Times New Roman" w:hAnsi="Times New Roman"/>
          <w:u w:val="single"/>
        </w:rPr>
        <w:t>:</w:t>
      </w:r>
    </w:p>
    <w:p w:rsidR="00F146F1" w14:paraId="024B4F82" w14:textId="77777777">
      <w:pPr>
        <w:widowControl/>
        <w:rPr>
          <w:rFonts w:ascii="Times New Roman" w:hAnsi="Times New Roman"/>
        </w:rPr>
      </w:pPr>
    </w:p>
    <w:p w:rsidR="007A5DB9" w:rsidRPr="007A5DB9" w:rsidP="007A5DB9" w14:paraId="1E35D378" w14:textId="77777777">
      <w:pPr>
        <w:widowControl/>
        <w:ind w:left="1440"/>
        <w:rPr>
          <w:rFonts w:ascii="Times New Roman" w:hAnsi="Times New Roman"/>
        </w:rPr>
      </w:pPr>
      <w:r w:rsidRPr="007A5DB9">
        <w:rPr>
          <w:rFonts w:ascii="Times New Roman" w:hAnsi="Times New Roman"/>
        </w:rPr>
        <w:t>Without this information, the Agencies would be unable to meet the requirements of the statute.</w:t>
      </w:r>
    </w:p>
    <w:p w:rsidR="00F146F1" w14:paraId="11FE60A4" w14:textId="77777777">
      <w:pPr>
        <w:widowControl/>
        <w:rPr>
          <w:rFonts w:ascii="Times New Roman" w:hAnsi="Times New Roman"/>
        </w:rPr>
      </w:pPr>
    </w:p>
    <w:p w:rsidR="00F146F1" w:rsidP="00F175D5" w14:paraId="66CE26FA" w14:textId="77777777">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14:paraId="0DBA35E4" w14:textId="77777777">
      <w:pPr>
        <w:widowControl/>
        <w:rPr>
          <w:rFonts w:ascii="Times New Roman" w:hAnsi="Times New Roman"/>
        </w:rPr>
      </w:pPr>
    </w:p>
    <w:p w:rsidR="008036B1" w:rsidP="00820109" w14:paraId="3BB222FA" w14:textId="19D01B64">
      <w:pPr>
        <w:widowControl/>
        <w:ind w:left="1440"/>
        <w:rPr>
          <w:rFonts w:ascii="Times New Roman" w:hAnsi="Times New Roman"/>
        </w:rPr>
      </w:pPr>
      <w:r w:rsidRPr="00366534">
        <w:rPr>
          <w:rFonts w:ascii="Times New Roman" w:hAnsi="Times New Roman"/>
        </w:rPr>
        <w:t xml:space="preserve">None.  </w:t>
      </w:r>
    </w:p>
    <w:p w:rsidR="00F146F1" w:rsidP="008036B1" w14:paraId="3BF49EAC" w14:textId="71412121">
      <w:pPr>
        <w:widowControl/>
        <w:rPr>
          <w:rFonts w:ascii="Times New Roman" w:hAnsi="Times New Roman"/>
        </w:rPr>
      </w:pPr>
      <w:r>
        <w:rPr>
          <w:rFonts w:ascii="Times New Roman" w:hAnsi="Times New Roman"/>
        </w:rPr>
        <w:br w:type="page"/>
      </w:r>
    </w:p>
    <w:p w:rsidR="00F146F1" w:rsidP="00F175D5" w14:paraId="3277FBC2" w14:textId="38EFEA2A">
      <w:pPr>
        <w:widowControl/>
        <w:numPr>
          <w:ilvl w:val="0"/>
          <w:numId w:val="4"/>
        </w:numPr>
        <w:rPr>
          <w:rFonts w:ascii="Times New Roman" w:hAnsi="Times New Roman"/>
        </w:rPr>
      </w:pPr>
      <w:r w:rsidRPr="00E93BB0">
        <w:rPr>
          <w:rFonts w:ascii="Times New Roman" w:hAnsi="Times New Roman"/>
          <w:u w:val="single"/>
        </w:rPr>
        <w:t>Consultation with Persons Outside the FDIC</w:t>
      </w:r>
      <w:r w:rsidRPr="00366534" w:rsidR="002423D4">
        <w:rPr>
          <w:rFonts w:ascii="Times New Roman" w:hAnsi="Times New Roman"/>
          <w:u w:val="single"/>
        </w:rPr>
        <w:t>:</w:t>
      </w:r>
    </w:p>
    <w:p w:rsidR="00F146F1" w:rsidRPr="00280958" w:rsidP="00280958" w14:paraId="4002220F" w14:textId="77777777">
      <w:pPr>
        <w:widowControl/>
        <w:ind w:left="1440"/>
        <w:rPr>
          <w:rFonts w:ascii="Times New Roman" w:hAnsi="Times New Roman"/>
        </w:rPr>
      </w:pPr>
    </w:p>
    <w:p w:rsidR="00F146F1" w:rsidP="00280958" w14:paraId="2CE17876" w14:textId="4B961059">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0203BD">
        <w:rPr>
          <w:rFonts w:ascii="Times New Roman" w:hAnsi="Times New Roman"/>
        </w:rPr>
        <w:t>March 4, 2025</w:t>
      </w:r>
      <w:r w:rsidR="007A5DB9">
        <w:rPr>
          <w:rFonts w:ascii="Times New Roman" w:hAnsi="Times New Roman"/>
        </w:rPr>
        <w:t xml:space="preserve"> (</w:t>
      </w:r>
      <w:r w:rsidR="000203BD">
        <w:rPr>
          <w:rFonts w:ascii="Times New Roman" w:hAnsi="Times New Roman"/>
        </w:rPr>
        <w:t>90</w:t>
      </w:r>
      <w:r>
        <w:rPr>
          <w:rFonts w:ascii="Times New Roman" w:hAnsi="Times New Roman"/>
        </w:rPr>
        <w:t xml:space="preserve"> FR </w:t>
      </w:r>
      <w:r w:rsidR="000203BD">
        <w:rPr>
          <w:rFonts w:ascii="Times New Roman" w:hAnsi="Times New Roman"/>
        </w:rPr>
        <w:t>11173</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p>
    <w:p w:rsidR="00280958" w:rsidRPr="00280958" w:rsidP="00280958" w14:paraId="60D706A1" w14:textId="77777777">
      <w:pPr>
        <w:pStyle w:val="Footer"/>
        <w:widowControl/>
        <w:tabs>
          <w:tab w:val="clear" w:pos="4320"/>
          <w:tab w:val="clear" w:pos="8640"/>
        </w:tabs>
        <w:ind w:left="1440"/>
        <w:rPr>
          <w:rFonts w:ascii="Times New Roman" w:hAnsi="Times New Roman"/>
        </w:rPr>
      </w:pPr>
    </w:p>
    <w:p w:rsidR="00F146F1" w:rsidP="00F175D5" w14:paraId="34263E6F" w14:textId="140034DB">
      <w:pPr>
        <w:widowControl/>
        <w:numPr>
          <w:ilvl w:val="0"/>
          <w:numId w:val="4"/>
        </w:numPr>
        <w:rPr>
          <w:rFonts w:ascii="Times New Roman" w:hAnsi="Times New Roman"/>
        </w:rPr>
      </w:pPr>
      <w:r w:rsidRPr="00B432DE">
        <w:rPr>
          <w:rFonts w:ascii="Times New Roman" w:hAnsi="Times New Roman"/>
          <w:u w:val="single"/>
        </w:rPr>
        <w:t>Payment or Gift to Respondents</w:t>
      </w:r>
      <w:r w:rsidRPr="00366534" w:rsidR="002423D4">
        <w:rPr>
          <w:rFonts w:ascii="Times New Roman" w:hAnsi="Times New Roman"/>
          <w:u w:val="single"/>
        </w:rPr>
        <w:t>:</w:t>
      </w:r>
    </w:p>
    <w:p w:rsidR="00F146F1" w14:paraId="3A35EA09" w14:textId="77777777">
      <w:pPr>
        <w:widowControl/>
        <w:rPr>
          <w:rFonts w:ascii="Times New Roman" w:hAnsi="Times New Roman"/>
        </w:rPr>
      </w:pPr>
    </w:p>
    <w:p w:rsidR="00F146F1" w14:paraId="41604093" w14:textId="77777777">
      <w:pPr>
        <w:widowControl/>
        <w:ind w:left="720" w:firstLine="720"/>
        <w:rPr>
          <w:rFonts w:ascii="Times New Roman" w:hAnsi="Times New Roman"/>
        </w:rPr>
      </w:pPr>
      <w:r w:rsidRPr="00712BA4">
        <w:rPr>
          <w:rFonts w:ascii="Times New Roman" w:hAnsi="Times New Roman"/>
        </w:rPr>
        <w:t>Not applicable.</w:t>
      </w:r>
      <w:r>
        <w:rPr>
          <w:rFonts w:ascii="Times New Roman" w:hAnsi="Times New Roman"/>
        </w:rPr>
        <w:t xml:space="preserve"> </w:t>
      </w:r>
    </w:p>
    <w:p w:rsidR="00573F81" w:rsidP="00E57520" w14:paraId="249A110F" w14:textId="77777777">
      <w:pPr>
        <w:widowControl/>
        <w:rPr>
          <w:rFonts w:ascii="Times New Roman" w:hAnsi="Times New Roman"/>
        </w:rPr>
      </w:pPr>
    </w:p>
    <w:p w:rsidR="00F146F1" w:rsidP="00F175D5" w14:paraId="458D3521" w14:textId="77777777">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14:paraId="553C142B" w14:textId="77777777">
      <w:pPr>
        <w:widowControl/>
        <w:ind w:left="576"/>
        <w:rPr>
          <w:rFonts w:ascii="Times New Roman" w:hAnsi="Times New Roman"/>
        </w:rPr>
      </w:pPr>
    </w:p>
    <w:p w:rsidR="00F146F1" w14:paraId="7CDEA603" w14:textId="77777777">
      <w:pPr>
        <w:widowControl/>
        <w:ind w:left="1440"/>
        <w:rPr>
          <w:rFonts w:ascii="Times New Roman" w:hAnsi="Times New Roman"/>
        </w:rPr>
      </w:pPr>
      <w:r w:rsidRPr="00E57520">
        <w:rPr>
          <w:rFonts w:ascii="Times New Roman" w:hAnsi="Times New Roman"/>
        </w:rPr>
        <w:t>Any information deemed to be of a confidential nature would be exempt from public disclosure in accordance with the provisions of the Freedom of Information Act (5 U.S.C. 552).</w:t>
      </w:r>
      <w:r>
        <w:rPr>
          <w:rFonts w:ascii="Times New Roman" w:hAnsi="Times New Roman"/>
        </w:rPr>
        <w:t xml:space="preserve">  </w:t>
      </w:r>
    </w:p>
    <w:p w:rsidR="00621A3B" w14:paraId="0493AC9E" w14:textId="77777777">
      <w:pPr>
        <w:widowControl/>
        <w:rPr>
          <w:rFonts w:ascii="Times New Roman" w:hAnsi="Times New Roman"/>
        </w:rPr>
      </w:pPr>
    </w:p>
    <w:p w:rsidR="00F146F1" w:rsidP="00F175D5" w14:paraId="3051CFB0" w14:textId="77777777">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14:paraId="4D9965CF" w14:textId="77777777">
      <w:pPr>
        <w:widowControl/>
        <w:rPr>
          <w:rFonts w:ascii="Times New Roman" w:hAnsi="Times New Roman"/>
        </w:rPr>
      </w:pPr>
    </w:p>
    <w:p w:rsidR="009D2562" w:rsidP="009D2562" w14:paraId="10E38BFF" w14:textId="77777777">
      <w:pPr>
        <w:widowControl/>
        <w:ind w:left="1440"/>
        <w:rPr>
          <w:rFonts w:ascii="Times New Roman" w:hAnsi="Times New Roman"/>
        </w:rPr>
      </w:pPr>
      <w:r w:rsidRPr="00621A3B">
        <w:rPr>
          <w:rFonts w:ascii="Times New Roman" w:hAnsi="Times New Roman"/>
        </w:rPr>
        <w:t>No questions of a sensitive nature are included in the collection.</w:t>
      </w:r>
    </w:p>
    <w:p w:rsidR="002423D4" w:rsidP="00820109" w14:paraId="047E684B" w14:textId="77777777">
      <w:pPr>
        <w:widowControl/>
        <w:rPr>
          <w:rFonts w:ascii="Times New Roman" w:eastAsia="Calibri" w:hAnsi="Times New Roman"/>
        </w:rPr>
      </w:pPr>
    </w:p>
    <w:p w:rsidR="00F146F1" w:rsidRPr="00621A3B" w:rsidP="00F175D5" w14:paraId="0073B0A2" w14:textId="5CFBDC8C">
      <w:pPr>
        <w:widowControl/>
        <w:numPr>
          <w:ilvl w:val="0"/>
          <w:numId w:val="4"/>
        </w:numPr>
        <w:rPr>
          <w:rFonts w:ascii="Times New Roman" w:hAnsi="Times New Roman"/>
        </w:rPr>
      </w:pPr>
      <w:bookmarkStart w:id="0" w:name="_DV_M10"/>
      <w:bookmarkEnd w:id="0"/>
      <w:r w:rsidRPr="009234BE">
        <w:rPr>
          <w:rFonts w:ascii="Times New Roman" w:hAnsi="Times New Roman"/>
          <w:u w:val="single"/>
        </w:rPr>
        <w:t xml:space="preserve">Estimate of </w:t>
      </w:r>
      <w:r>
        <w:rPr>
          <w:rFonts w:ascii="Times New Roman" w:hAnsi="Times New Roman"/>
          <w:u w:val="single"/>
        </w:rPr>
        <w:t>H</w:t>
      </w:r>
      <w:r w:rsidRPr="009234BE">
        <w:rPr>
          <w:rFonts w:ascii="Times New Roman" w:hAnsi="Times New Roman"/>
          <w:u w:val="single"/>
        </w:rPr>
        <w:t xml:space="preserve">our </w:t>
      </w:r>
      <w:r>
        <w:rPr>
          <w:rFonts w:ascii="Times New Roman" w:hAnsi="Times New Roman"/>
          <w:u w:val="single"/>
        </w:rPr>
        <w:t>B</w:t>
      </w:r>
      <w:r w:rsidRPr="009234BE">
        <w:rPr>
          <w:rFonts w:ascii="Times New Roman" w:hAnsi="Times New Roman"/>
          <w:u w:val="single"/>
        </w:rPr>
        <w:t xml:space="preserve">urden </w:t>
      </w:r>
      <w:r>
        <w:rPr>
          <w:rFonts w:ascii="Times New Roman" w:hAnsi="Times New Roman"/>
          <w:u w:val="single"/>
        </w:rPr>
        <w:t>I</w:t>
      </w:r>
      <w:r w:rsidRPr="009234BE">
        <w:rPr>
          <w:rFonts w:ascii="Times New Roman" w:hAnsi="Times New Roman"/>
          <w:u w:val="single"/>
        </w:rPr>
        <w:t xml:space="preserve">ncluding </w:t>
      </w:r>
      <w:r>
        <w:rPr>
          <w:rFonts w:ascii="Times New Roman" w:hAnsi="Times New Roman"/>
          <w:u w:val="single"/>
        </w:rPr>
        <w:t>A</w:t>
      </w:r>
      <w:r w:rsidRPr="009234BE">
        <w:rPr>
          <w:rFonts w:ascii="Times New Roman" w:hAnsi="Times New Roman"/>
          <w:u w:val="single"/>
        </w:rPr>
        <w:t xml:space="preserve">nnualized </w:t>
      </w:r>
      <w:r>
        <w:rPr>
          <w:rFonts w:ascii="Times New Roman" w:hAnsi="Times New Roman"/>
          <w:u w:val="single"/>
        </w:rPr>
        <w:t>H</w:t>
      </w:r>
      <w:r w:rsidRPr="009234BE">
        <w:rPr>
          <w:rFonts w:ascii="Times New Roman" w:hAnsi="Times New Roman"/>
          <w:u w:val="single"/>
        </w:rPr>
        <w:t xml:space="preserve">ourly </w:t>
      </w:r>
      <w:r>
        <w:rPr>
          <w:rFonts w:ascii="Times New Roman" w:hAnsi="Times New Roman"/>
          <w:u w:val="single"/>
        </w:rPr>
        <w:t>C</w:t>
      </w:r>
      <w:r w:rsidRPr="009234BE">
        <w:rPr>
          <w:rFonts w:ascii="Times New Roman" w:hAnsi="Times New Roman"/>
          <w:u w:val="single"/>
        </w:rPr>
        <w:t>osts</w:t>
      </w:r>
      <w:r w:rsidRPr="009234BE" w:rsidR="002423D4">
        <w:rPr>
          <w:rFonts w:ascii="Times New Roman" w:hAnsi="Times New Roman"/>
          <w:u w:val="single"/>
        </w:rPr>
        <w:t>:</w:t>
      </w:r>
    </w:p>
    <w:p w:rsidR="00621A3B" w:rsidP="00621A3B" w14:paraId="714BF0D8" w14:textId="77777777">
      <w:pPr>
        <w:widowControl/>
        <w:ind w:left="720"/>
        <w:rPr>
          <w:rFonts w:ascii="Times New Roman" w:hAnsi="Times New Roman"/>
        </w:rPr>
      </w:pPr>
    </w:p>
    <w:tbl>
      <w:tblPr>
        <w:tblW w:w="5467" w:type="pct"/>
        <w:tblCellMar>
          <w:top w:w="15" w:type="dxa"/>
        </w:tblCellMar>
        <w:tblLook w:val="04A0"/>
      </w:tblPr>
      <w:tblGrid>
        <w:gridCol w:w="2660"/>
        <w:gridCol w:w="2077"/>
        <w:gridCol w:w="1509"/>
        <w:gridCol w:w="1536"/>
        <w:gridCol w:w="1313"/>
        <w:gridCol w:w="1117"/>
      </w:tblGrid>
      <w:tr w14:paraId="3EB4D9AD" w14:textId="77777777" w:rsidTr="00267803">
        <w:tblPrEx>
          <w:tblW w:w="5467" w:type="pct"/>
          <w:tblCellMar>
            <w:top w:w="15" w:type="dxa"/>
          </w:tblCellMar>
          <w:tblLook w:val="04A0"/>
        </w:tblPrEx>
        <w:trPr>
          <w:trHeight w:val="363"/>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B541D" w:rsidRPr="00DB541D" w:rsidP="00DB541D" w14:paraId="1FEF69A6" w14:textId="1A4A55E7">
            <w:pPr>
              <w:widowControl/>
              <w:jc w:val="center"/>
              <w:rPr>
                <w:rFonts w:ascii="Times New Roman" w:hAnsi="Times New Roman"/>
                <w:snapToGrid/>
                <w:color w:val="000000"/>
                <w:szCs w:val="24"/>
              </w:rPr>
            </w:pPr>
            <w:r w:rsidRPr="00DB541D">
              <w:rPr>
                <w:rFonts w:ascii="Times New Roman" w:hAnsi="Times New Roman"/>
                <w:snapToGrid/>
                <w:color w:val="000000"/>
                <w:szCs w:val="24"/>
              </w:rPr>
              <w:t>Summary of Estimated Annual Burden (OMB No. 3064-0161)</w:t>
            </w:r>
          </w:p>
        </w:tc>
      </w:tr>
      <w:tr w14:paraId="67AA970D" w14:textId="77777777" w:rsidTr="00267803">
        <w:tblPrEx>
          <w:tblW w:w="5467" w:type="pct"/>
          <w:tblCellMar>
            <w:top w:w="15" w:type="dxa"/>
          </w:tblCellMar>
          <w:tblLook w:val="04A0"/>
        </w:tblPrEx>
        <w:trPr>
          <w:trHeight w:val="848"/>
        </w:trPr>
        <w:tc>
          <w:tcPr>
            <w:tcW w:w="1302" w:type="pct"/>
            <w:tcBorders>
              <w:top w:val="nil"/>
              <w:left w:val="single" w:sz="8" w:space="0" w:color="auto"/>
              <w:bottom w:val="single" w:sz="8" w:space="0" w:color="auto"/>
              <w:right w:val="single" w:sz="8" w:space="0" w:color="auto"/>
            </w:tcBorders>
            <w:shd w:val="clear" w:color="auto" w:fill="auto"/>
            <w:vAlign w:val="center"/>
            <w:hideMark/>
          </w:tcPr>
          <w:p w:rsidR="00DB541D" w:rsidRPr="00DB541D" w:rsidP="00DB541D" w14:paraId="3B0F898E" w14:textId="77777777">
            <w:pPr>
              <w:widowControl/>
              <w:rPr>
                <w:rFonts w:ascii="Times New Roman" w:hAnsi="Times New Roman"/>
                <w:snapToGrid/>
                <w:color w:val="000000"/>
                <w:sz w:val="20"/>
              </w:rPr>
            </w:pPr>
            <w:r w:rsidRPr="00DB541D">
              <w:rPr>
                <w:rFonts w:ascii="Times New Roman" w:hAnsi="Times New Roman"/>
                <w:snapToGrid/>
                <w:color w:val="000000"/>
                <w:sz w:val="20"/>
              </w:rPr>
              <w:t>Information Collection (IC) (Obligation to Respond)</w:t>
            </w:r>
          </w:p>
        </w:tc>
        <w:tc>
          <w:tcPr>
            <w:tcW w:w="1017" w:type="pct"/>
            <w:tcBorders>
              <w:top w:val="nil"/>
              <w:left w:val="nil"/>
              <w:bottom w:val="single" w:sz="8" w:space="0" w:color="auto"/>
              <w:right w:val="single" w:sz="8" w:space="0" w:color="auto"/>
            </w:tcBorders>
            <w:shd w:val="clear" w:color="auto" w:fill="auto"/>
            <w:vAlign w:val="center"/>
            <w:hideMark/>
          </w:tcPr>
          <w:p w:rsidR="00DB541D" w:rsidRPr="00DB541D" w:rsidP="00DB541D" w14:paraId="5E1CDFE8" w14:textId="77777777">
            <w:pPr>
              <w:widowControl/>
              <w:jc w:val="center"/>
              <w:rPr>
                <w:rFonts w:ascii="Times New Roman" w:hAnsi="Times New Roman"/>
                <w:snapToGrid/>
                <w:color w:val="000000"/>
                <w:sz w:val="20"/>
              </w:rPr>
            </w:pPr>
            <w:r w:rsidRPr="00DB541D">
              <w:rPr>
                <w:rFonts w:ascii="Times New Roman" w:hAnsi="Times New Roman"/>
                <w:snapToGrid/>
                <w:color w:val="000000"/>
                <w:sz w:val="20"/>
              </w:rPr>
              <w:t>Type of Burden</w:t>
            </w:r>
            <w:r w:rsidRPr="00DB541D">
              <w:rPr>
                <w:rFonts w:ascii="Times New Roman" w:hAnsi="Times New Roman"/>
                <w:snapToGrid/>
                <w:color w:val="000000"/>
                <w:sz w:val="20"/>
              </w:rPr>
              <w:br/>
              <w:t>(Frequency of Response)</w:t>
            </w:r>
          </w:p>
        </w:tc>
        <w:tc>
          <w:tcPr>
            <w:tcW w:w="739" w:type="pct"/>
            <w:tcBorders>
              <w:top w:val="nil"/>
              <w:left w:val="nil"/>
              <w:bottom w:val="single" w:sz="8" w:space="0" w:color="auto"/>
              <w:right w:val="single" w:sz="8" w:space="0" w:color="auto"/>
            </w:tcBorders>
            <w:shd w:val="clear" w:color="auto" w:fill="auto"/>
            <w:vAlign w:val="center"/>
            <w:hideMark/>
          </w:tcPr>
          <w:p w:rsidR="00DB541D" w:rsidRPr="00DB541D" w:rsidP="00DB541D" w14:paraId="14C6A086" w14:textId="77777777">
            <w:pPr>
              <w:widowControl/>
              <w:jc w:val="center"/>
              <w:rPr>
                <w:rFonts w:ascii="Times New Roman" w:hAnsi="Times New Roman"/>
                <w:snapToGrid/>
                <w:color w:val="000000"/>
                <w:sz w:val="20"/>
              </w:rPr>
            </w:pPr>
            <w:r w:rsidRPr="00DB541D">
              <w:rPr>
                <w:rFonts w:ascii="Times New Roman" w:hAnsi="Times New Roman"/>
                <w:snapToGrid/>
                <w:color w:val="000000"/>
                <w:sz w:val="20"/>
              </w:rPr>
              <w:t xml:space="preserve"> Number of Respondents</w:t>
            </w:r>
          </w:p>
        </w:tc>
        <w:tc>
          <w:tcPr>
            <w:tcW w:w="752" w:type="pct"/>
            <w:tcBorders>
              <w:top w:val="nil"/>
              <w:left w:val="nil"/>
              <w:bottom w:val="single" w:sz="8" w:space="0" w:color="auto"/>
              <w:right w:val="single" w:sz="8" w:space="0" w:color="auto"/>
            </w:tcBorders>
            <w:shd w:val="clear" w:color="auto" w:fill="auto"/>
            <w:vAlign w:val="center"/>
            <w:hideMark/>
          </w:tcPr>
          <w:p w:rsidR="00DB541D" w:rsidRPr="00DB541D" w:rsidP="00DB541D" w14:paraId="2308F4F8" w14:textId="77777777">
            <w:pPr>
              <w:widowControl/>
              <w:jc w:val="center"/>
              <w:rPr>
                <w:rFonts w:ascii="Times New Roman" w:hAnsi="Times New Roman"/>
                <w:snapToGrid/>
                <w:color w:val="000000"/>
                <w:sz w:val="20"/>
              </w:rPr>
            </w:pPr>
            <w:r w:rsidRPr="00DB541D">
              <w:rPr>
                <w:rFonts w:ascii="Times New Roman" w:hAnsi="Times New Roman"/>
                <w:snapToGrid/>
                <w:color w:val="000000"/>
                <w:sz w:val="20"/>
              </w:rPr>
              <w:t xml:space="preserve"> Number of Responses per Respondent</w:t>
            </w:r>
          </w:p>
        </w:tc>
        <w:tc>
          <w:tcPr>
            <w:tcW w:w="641" w:type="pct"/>
            <w:tcBorders>
              <w:top w:val="nil"/>
              <w:left w:val="nil"/>
              <w:bottom w:val="single" w:sz="8" w:space="0" w:color="auto"/>
              <w:right w:val="single" w:sz="8" w:space="0" w:color="auto"/>
            </w:tcBorders>
            <w:shd w:val="clear" w:color="auto" w:fill="auto"/>
            <w:vAlign w:val="center"/>
            <w:hideMark/>
          </w:tcPr>
          <w:p w:rsidR="00DB541D" w:rsidRPr="00DB541D" w:rsidP="00DB541D" w14:paraId="29AAA217" w14:textId="77777777">
            <w:pPr>
              <w:widowControl/>
              <w:jc w:val="center"/>
              <w:rPr>
                <w:rFonts w:ascii="Times New Roman" w:hAnsi="Times New Roman"/>
                <w:snapToGrid/>
                <w:color w:val="000000"/>
                <w:sz w:val="20"/>
              </w:rPr>
            </w:pPr>
            <w:r w:rsidRPr="00DB541D">
              <w:rPr>
                <w:rFonts w:ascii="Times New Roman" w:hAnsi="Times New Roman"/>
                <w:snapToGrid/>
                <w:color w:val="000000"/>
                <w:sz w:val="20"/>
              </w:rPr>
              <w:t>Average Time per Response (HH:MM)</w:t>
            </w:r>
          </w:p>
        </w:tc>
        <w:tc>
          <w:tcPr>
            <w:tcW w:w="547" w:type="pct"/>
            <w:tcBorders>
              <w:top w:val="nil"/>
              <w:left w:val="nil"/>
              <w:bottom w:val="single" w:sz="8" w:space="0" w:color="auto"/>
              <w:right w:val="single" w:sz="8" w:space="0" w:color="auto"/>
            </w:tcBorders>
            <w:shd w:val="clear" w:color="auto" w:fill="auto"/>
            <w:vAlign w:val="center"/>
            <w:hideMark/>
          </w:tcPr>
          <w:p w:rsidR="00DB541D" w:rsidRPr="00DB541D" w:rsidP="00DB541D" w14:paraId="12191796" w14:textId="77777777">
            <w:pPr>
              <w:widowControl/>
              <w:jc w:val="center"/>
              <w:rPr>
                <w:rFonts w:ascii="Times New Roman" w:hAnsi="Times New Roman"/>
                <w:snapToGrid/>
                <w:color w:val="000000"/>
                <w:sz w:val="20"/>
              </w:rPr>
            </w:pPr>
            <w:r w:rsidRPr="00DB541D">
              <w:rPr>
                <w:rFonts w:ascii="Times New Roman" w:hAnsi="Times New Roman"/>
                <w:snapToGrid/>
                <w:color w:val="000000"/>
                <w:sz w:val="20"/>
              </w:rPr>
              <w:t>Annual Burden (Hours)</w:t>
            </w:r>
          </w:p>
        </w:tc>
      </w:tr>
      <w:tr w14:paraId="4EB4EF4B" w14:textId="77777777" w:rsidTr="00267803">
        <w:tblPrEx>
          <w:tblW w:w="5467" w:type="pct"/>
          <w:tblCellMar>
            <w:top w:w="15" w:type="dxa"/>
          </w:tblCellMar>
          <w:tblLook w:val="04A0"/>
        </w:tblPrEx>
        <w:trPr>
          <w:trHeight w:val="1405"/>
        </w:trPr>
        <w:tc>
          <w:tcPr>
            <w:tcW w:w="1302" w:type="pct"/>
            <w:tcBorders>
              <w:top w:val="nil"/>
              <w:left w:val="single" w:sz="8" w:space="0" w:color="auto"/>
              <w:bottom w:val="single" w:sz="8" w:space="0" w:color="auto"/>
              <w:right w:val="single" w:sz="8" w:space="0" w:color="auto"/>
            </w:tcBorders>
            <w:shd w:val="clear" w:color="auto" w:fill="auto"/>
            <w:vAlign w:val="center"/>
            <w:hideMark/>
          </w:tcPr>
          <w:p w:rsidR="00DB541D" w:rsidRPr="00DB541D" w:rsidP="00DB541D" w14:paraId="1671CB75" w14:textId="77777777">
            <w:pPr>
              <w:widowControl/>
              <w:rPr>
                <w:rFonts w:ascii="Times New Roman" w:hAnsi="Times New Roman"/>
                <w:snapToGrid/>
                <w:color w:val="000000"/>
                <w:sz w:val="20"/>
              </w:rPr>
            </w:pPr>
            <w:r w:rsidRPr="00DB541D">
              <w:rPr>
                <w:rFonts w:ascii="Times New Roman" w:hAnsi="Times New Roman"/>
                <w:snapToGrid/>
                <w:color w:val="000000"/>
                <w:sz w:val="20"/>
              </w:rPr>
              <w:t>1. Procedures to Enhance the Accuracy and Integrity of Information Furnished to Consumer Reporting Agencies under Section 312 of the Fair and Accurate Credit Transactions Act of 2003,</w:t>
            </w:r>
            <w:r w:rsidRPr="00DB541D">
              <w:rPr>
                <w:rFonts w:ascii="Times New Roman" w:hAnsi="Times New Roman"/>
                <w:snapToGrid/>
                <w:color w:val="000000"/>
                <w:sz w:val="20"/>
              </w:rPr>
              <w:br/>
              <w:t>12 CFR Part 1022, Subpart E (Mandatory)</w:t>
            </w:r>
          </w:p>
        </w:tc>
        <w:tc>
          <w:tcPr>
            <w:tcW w:w="1017" w:type="pct"/>
            <w:tcBorders>
              <w:top w:val="nil"/>
              <w:left w:val="nil"/>
              <w:bottom w:val="single" w:sz="8" w:space="0" w:color="auto"/>
              <w:right w:val="single" w:sz="8" w:space="0" w:color="auto"/>
            </w:tcBorders>
            <w:shd w:val="clear" w:color="auto" w:fill="auto"/>
            <w:vAlign w:val="center"/>
            <w:hideMark/>
          </w:tcPr>
          <w:p w:rsidR="00DB541D" w:rsidRPr="00DB541D" w:rsidP="00DB541D" w14:paraId="2696F30A" w14:textId="77777777">
            <w:pPr>
              <w:widowControl/>
              <w:jc w:val="center"/>
              <w:rPr>
                <w:rFonts w:ascii="Times New Roman" w:hAnsi="Times New Roman"/>
                <w:snapToGrid/>
                <w:color w:val="000000"/>
                <w:sz w:val="20"/>
              </w:rPr>
            </w:pPr>
            <w:r w:rsidRPr="00DB541D">
              <w:rPr>
                <w:rFonts w:ascii="Times New Roman" w:hAnsi="Times New Roman"/>
                <w:snapToGrid/>
                <w:color w:val="000000"/>
                <w:sz w:val="20"/>
              </w:rPr>
              <w:t>Recordkeeping</w:t>
            </w:r>
            <w:r w:rsidRPr="00DB541D">
              <w:rPr>
                <w:rFonts w:ascii="Times New Roman" w:hAnsi="Times New Roman"/>
                <w:snapToGrid/>
                <w:color w:val="000000"/>
                <w:sz w:val="20"/>
              </w:rPr>
              <w:br/>
              <w:t>(Annual)</w:t>
            </w:r>
          </w:p>
        </w:tc>
        <w:tc>
          <w:tcPr>
            <w:tcW w:w="739" w:type="pct"/>
            <w:tcBorders>
              <w:top w:val="nil"/>
              <w:left w:val="nil"/>
              <w:bottom w:val="single" w:sz="8" w:space="0" w:color="auto"/>
              <w:right w:val="single" w:sz="8" w:space="0" w:color="auto"/>
            </w:tcBorders>
            <w:shd w:val="clear" w:color="auto" w:fill="auto"/>
            <w:noWrap/>
            <w:vAlign w:val="center"/>
            <w:hideMark/>
          </w:tcPr>
          <w:p w:rsidR="00DB541D" w:rsidRPr="00DB541D" w:rsidP="00DB541D" w14:paraId="07F68E91" w14:textId="77777777">
            <w:pPr>
              <w:widowControl/>
              <w:jc w:val="right"/>
              <w:rPr>
                <w:rFonts w:ascii="Times New Roman" w:hAnsi="Times New Roman"/>
                <w:snapToGrid/>
                <w:color w:val="000000"/>
                <w:sz w:val="20"/>
              </w:rPr>
            </w:pPr>
            <w:r w:rsidRPr="00DB541D">
              <w:rPr>
                <w:rFonts w:ascii="Times New Roman" w:hAnsi="Times New Roman"/>
                <w:snapToGrid/>
                <w:color w:val="000000"/>
                <w:sz w:val="20"/>
              </w:rPr>
              <w:t>2,820</w:t>
            </w:r>
          </w:p>
        </w:tc>
        <w:tc>
          <w:tcPr>
            <w:tcW w:w="752" w:type="pct"/>
            <w:tcBorders>
              <w:top w:val="nil"/>
              <w:left w:val="nil"/>
              <w:bottom w:val="single" w:sz="8" w:space="0" w:color="auto"/>
              <w:right w:val="single" w:sz="8" w:space="0" w:color="auto"/>
            </w:tcBorders>
            <w:shd w:val="clear" w:color="auto" w:fill="auto"/>
            <w:noWrap/>
            <w:vAlign w:val="center"/>
            <w:hideMark/>
          </w:tcPr>
          <w:p w:rsidR="00DB541D" w:rsidRPr="00DB541D" w:rsidP="00DB541D" w14:paraId="18C8128A" w14:textId="77777777">
            <w:pPr>
              <w:widowControl/>
              <w:jc w:val="right"/>
              <w:rPr>
                <w:rFonts w:ascii="Times New Roman" w:hAnsi="Times New Roman"/>
                <w:snapToGrid/>
                <w:color w:val="000000"/>
                <w:sz w:val="20"/>
              </w:rPr>
            </w:pPr>
            <w:r w:rsidRPr="00DB541D">
              <w:rPr>
                <w:rFonts w:ascii="Times New Roman" w:hAnsi="Times New Roman"/>
                <w:snapToGrid/>
                <w:color w:val="000000"/>
                <w:sz w:val="20"/>
              </w:rPr>
              <w:t>1</w:t>
            </w:r>
          </w:p>
        </w:tc>
        <w:tc>
          <w:tcPr>
            <w:tcW w:w="641" w:type="pct"/>
            <w:tcBorders>
              <w:top w:val="nil"/>
              <w:left w:val="nil"/>
              <w:bottom w:val="single" w:sz="8" w:space="0" w:color="auto"/>
              <w:right w:val="nil"/>
            </w:tcBorders>
            <w:shd w:val="clear" w:color="auto" w:fill="auto"/>
            <w:vAlign w:val="center"/>
            <w:hideMark/>
          </w:tcPr>
          <w:p w:rsidR="00DB541D" w:rsidRPr="00DB541D" w:rsidP="00DB541D" w14:paraId="4E7C0502" w14:textId="77777777">
            <w:pPr>
              <w:widowControl/>
              <w:jc w:val="right"/>
              <w:rPr>
                <w:rFonts w:ascii="Times New Roman" w:hAnsi="Times New Roman"/>
                <w:snapToGrid/>
                <w:color w:val="000000"/>
                <w:sz w:val="20"/>
              </w:rPr>
            </w:pPr>
            <w:r w:rsidRPr="00DB541D">
              <w:rPr>
                <w:rFonts w:ascii="Times New Roman" w:hAnsi="Times New Roman"/>
                <w:snapToGrid/>
                <w:color w:val="000000"/>
                <w:sz w:val="20"/>
              </w:rPr>
              <w:t>40:00</w:t>
            </w:r>
          </w:p>
        </w:tc>
        <w:tc>
          <w:tcPr>
            <w:tcW w:w="547" w:type="pct"/>
            <w:tcBorders>
              <w:top w:val="nil"/>
              <w:left w:val="single" w:sz="8" w:space="0" w:color="auto"/>
              <w:bottom w:val="single" w:sz="8" w:space="0" w:color="auto"/>
              <w:right w:val="single" w:sz="8" w:space="0" w:color="auto"/>
            </w:tcBorders>
            <w:shd w:val="clear" w:color="auto" w:fill="auto"/>
            <w:noWrap/>
            <w:vAlign w:val="center"/>
            <w:hideMark/>
          </w:tcPr>
          <w:p w:rsidR="00DB541D" w:rsidRPr="00DB541D" w:rsidP="00DB541D" w14:paraId="06D90582" w14:textId="77777777">
            <w:pPr>
              <w:widowControl/>
              <w:jc w:val="right"/>
              <w:rPr>
                <w:rFonts w:ascii="Times New Roman" w:hAnsi="Times New Roman"/>
                <w:snapToGrid/>
                <w:color w:val="000000"/>
                <w:sz w:val="20"/>
              </w:rPr>
            </w:pPr>
            <w:r w:rsidRPr="00DB541D">
              <w:rPr>
                <w:rFonts w:ascii="Times New Roman" w:hAnsi="Times New Roman"/>
                <w:snapToGrid/>
                <w:color w:val="000000"/>
                <w:sz w:val="20"/>
              </w:rPr>
              <w:t>112,800</w:t>
            </w:r>
          </w:p>
        </w:tc>
      </w:tr>
      <w:tr w14:paraId="2148C504" w14:textId="77777777" w:rsidTr="00267803">
        <w:tblPrEx>
          <w:tblW w:w="5467" w:type="pct"/>
          <w:tblCellMar>
            <w:top w:w="15" w:type="dxa"/>
          </w:tblCellMar>
          <w:tblLook w:val="04A0"/>
        </w:tblPrEx>
        <w:trPr>
          <w:trHeight w:val="1962"/>
        </w:trPr>
        <w:tc>
          <w:tcPr>
            <w:tcW w:w="1302" w:type="pct"/>
            <w:tcBorders>
              <w:top w:val="nil"/>
              <w:left w:val="single" w:sz="8" w:space="0" w:color="auto"/>
              <w:bottom w:val="single" w:sz="8" w:space="0" w:color="auto"/>
              <w:right w:val="single" w:sz="8" w:space="0" w:color="auto"/>
            </w:tcBorders>
            <w:shd w:val="clear" w:color="auto" w:fill="auto"/>
            <w:vAlign w:val="center"/>
            <w:hideMark/>
          </w:tcPr>
          <w:p w:rsidR="00DB541D" w:rsidRPr="00DB541D" w:rsidP="00DB541D" w14:paraId="0E4CEA63" w14:textId="77777777">
            <w:pPr>
              <w:widowControl/>
              <w:rPr>
                <w:rFonts w:ascii="Times New Roman" w:hAnsi="Times New Roman"/>
                <w:snapToGrid/>
                <w:color w:val="000000"/>
                <w:sz w:val="20"/>
              </w:rPr>
            </w:pPr>
            <w:r w:rsidRPr="00DB541D">
              <w:rPr>
                <w:rFonts w:ascii="Times New Roman" w:hAnsi="Times New Roman"/>
                <w:snapToGrid/>
                <w:color w:val="000000"/>
                <w:sz w:val="20"/>
              </w:rPr>
              <w:t>2. Distribution of Notices in Response to Direct Disputes,</w:t>
            </w:r>
            <w:r w:rsidRPr="00DB541D">
              <w:rPr>
                <w:rFonts w:ascii="Times New Roman" w:hAnsi="Times New Roman"/>
                <w:snapToGrid/>
                <w:color w:val="000000"/>
                <w:sz w:val="20"/>
              </w:rPr>
              <w:br/>
              <w:t>12 CFR Part 1022, Subpart E (Mandatory)</w:t>
            </w:r>
          </w:p>
        </w:tc>
        <w:tc>
          <w:tcPr>
            <w:tcW w:w="1017" w:type="pct"/>
            <w:tcBorders>
              <w:top w:val="nil"/>
              <w:left w:val="nil"/>
              <w:bottom w:val="single" w:sz="8" w:space="0" w:color="auto"/>
              <w:right w:val="single" w:sz="8" w:space="0" w:color="auto"/>
            </w:tcBorders>
            <w:shd w:val="clear" w:color="auto" w:fill="auto"/>
            <w:vAlign w:val="center"/>
            <w:hideMark/>
          </w:tcPr>
          <w:p w:rsidR="00DB541D" w:rsidRPr="00DB541D" w:rsidP="00DB541D" w14:paraId="37C89F26" w14:textId="77777777">
            <w:pPr>
              <w:widowControl/>
              <w:jc w:val="center"/>
              <w:rPr>
                <w:rFonts w:ascii="Times New Roman" w:hAnsi="Times New Roman"/>
                <w:snapToGrid/>
                <w:color w:val="000000"/>
                <w:sz w:val="20"/>
              </w:rPr>
            </w:pPr>
            <w:r w:rsidRPr="00DB541D">
              <w:rPr>
                <w:rFonts w:ascii="Times New Roman" w:hAnsi="Times New Roman"/>
                <w:snapToGrid/>
                <w:color w:val="000000"/>
                <w:sz w:val="20"/>
              </w:rPr>
              <w:t>Third Party Disclosure</w:t>
            </w:r>
            <w:r w:rsidRPr="00DB541D">
              <w:rPr>
                <w:rFonts w:ascii="Times New Roman" w:hAnsi="Times New Roman"/>
                <w:snapToGrid/>
                <w:color w:val="000000"/>
                <w:sz w:val="20"/>
              </w:rPr>
              <w:br/>
              <w:t>(On Occasion)</w:t>
            </w:r>
          </w:p>
        </w:tc>
        <w:tc>
          <w:tcPr>
            <w:tcW w:w="739" w:type="pct"/>
            <w:tcBorders>
              <w:top w:val="nil"/>
              <w:left w:val="nil"/>
              <w:bottom w:val="single" w:sz="8" w:space="0" w:color="auto"/>
              <w:right w:val="single" w:sz="8" w:space="0" w:color="auto"/>
            </w:tcBorders>
            <w:shd w:val="clear" w:color="auto" w:fill="auto"/>
            <w:noWrap/>
            <w:vAlign w:val="center"/>
            <w:hideMark/>
          </w:tcPr>
          <w:p w:rsidR="00DB541D" w:rsidRPr="00DB541D" w:rsidP="00DB541D" w14:paraId="268E3DB6" w14:textId="77777777">
            <w:pPr>
              <w:widowControl/>
              <w:jc w:val="right"/>
              <w:rPr>
                <w:rFonts w:ascii="Times New Roman" w:hAnsi="Times New Roman"/>
                <w:snapToGrid/>
                <w:color w:val="000000"/>
                <w:sz w:val="20"/>
              </w:rPr>
            </w:pPr>
            <w:r w:rsidRPr="00DB541D">
              <w:rPr>
                <w:rFonts w:ascii="Times New Roman" w:hAnsi="Times New Roman"/>
                <w:snapToGrid/>
                <w:color w:val="000000"/>
                <w:sz w:val="20"/>
              </w:rPr>
              <w:t>2,820</w:t>
            </w:r>
          </w:p>
        </w:tc>
        <w:tc>
          <w:tcPr>
            <w:tcW w:w="752" w:type="pct"/>
            <w:tcBorders>
              <w:top w:val="nil"/>
              <w:left w:val="nil"/>
              <w:bottom w:val="single" w:sz="8" w:space="0" w:color="auto"/>
              <w:right w:val="single" w:sz="8" w:space="0" w:color="auto"/>
            </w:tcBorders>
            <w:shd w:val="clear" w:color="auto" w:fill="auto"/>
            <w:noWrap/>
            <w:vAlign w:val="center"/>
            <w:hideMark/>
          </w:tcPr>
          <w:p w:rsidR="00DB541D" w:rsidRPr="00DB541D" w:rsidP="00DB541D" w14:paraId="39E23ED7" w14:textId="77777777">
            <w:pPr>
              <w:widowControl/>
              <w:jc w:val="right"/>
              <w:rPr>
                <w:rFonts w:ascii="Times New Roman" w:hAnsi="Times New Roman"/>
                <w:snapToGrid/>
                <w:color w:val="000000"/>
                <w:sz w:val="20"/>
              </w:rPr>
            </w:pPr>
            <w:r w:rsidRPr="00DB541D">
              <w:rPr>
                <w:rFonts w:ascii="Times New Roman" w:hAnsi="Times New Roman"/>
                <w:snapToGrid/>
                <w:color w:val="000000"/>
                <w:sz w:val="20"/>
              </w:rPr>
              <w:t>98</w:t>
            </w:r>
          </w:p>
        </w:tc>
        <w:tc>
          <w:tcPr>
            <w:tcW w:w="641" w:type="pct"/>
            <w:tcBorders>
              <w:top w:val="nil"/>
              <w:left w:val="nil"/>
              <w:bottom w:val="single" w:sz="8" w:space="0" w:color="auto"/>
              <w:right w:val="nil"/>
            </w:tcBorders>
            <w:shd w:val="clear" w:color="auto" w:fill="auto"/>
            <w:vAlign w:val="center"/>
            <w:hideMark/>
          </w:tcPr>
          <w:p w:rsidR="00DB541D" w:rsidRPr="00DB541D" w:rsidP="00DB541D" w14:paraId="3791A223" w14:textId="77777777">
            <w:pPr>
              <w:widowControl/>
              <w:jc w:val="right"/>
              <w:rPr>
                <w:rFonts w:ascii="Times New Roman" w:hAnsi="Times New Roman"/>
                <w:snapToGrid/>
                <w:color w:val="000000"/>
                <w:sz w:val="20"/>
              </w:rPr>
            </w:pPr>
            <w:r w:rsidRPr="00DB541D">
              <w:rPr>
                <w:rFonts w:ascii="Times New Roman" w:hAnsi="Times New Roman"/>
                <w:snapToGrid/>
                <w:color w:val="000000"/>
                <w:sz w:val="20"/>
              </w:rPr>
              <w:t>00:14</w:t>
            </w:r>
          </w:p>
        </w:tc>
        <w:tc>
          <w:tcPr>
            <w:tcW w:w="547" w:type="pct"/>
            <w:tcBorders>
              <w:top w:val="nil"/>
              <w:left w:val="single" w:sz="8" w:space="0" w:color="auto"/>
              <w:bottom w:val="single" w:sz="8" w:space="0" w:color="auto"/>
              <w:right w:val="single" w:sz="8" w:space="0" w:color="auto"/>
            </w:tcBorders>
            <w:shd w:val="clear" w:color="auto" w:fill="auto"/>
            <w:noWrap/>
            <w:vAlign w:val="center"/>
            <w:hideMark/>
          </w:tcPr>
          <w:p w:rsidR="00DB541D" w:rsidRPr="00DB541D" w:rsidP="00DB541D" w14:paraId="6905DEFF" w14:textId="77777777">
            <w:pPr>
              <w:widowControl/>
              <w:jc w:val="right"/>
              <w:rPr>
                <w:rFonts w:ascii="Times New Roman" w:hAnsi="Times New Roman"/>
                <w:snapToGrid/>
                <w:color w:val="000000"/>
                <w:sz w:val="20"/>
              </w:rPr>
            </w:pPr>
            <w:r w:rsidRPr="00DB541D">
              <w:rPr>
                <w:rFonts w:ascii="Times New Roman" w:hAnsi="Times New Roman"/>
                <w:snapToGrid/>
                <w:color w:val="000000"/>
                <w:sz w:val="20"/>
              </w:rPr>
              <w:t>64,484</w:t>
            </w:r>
          </w:p>
        </w:tc>
      </w:tr>
      <w:tr w14:paraId="698AE364" w14:textId="77777777" w:rsidTr="00267803">
        <w:tblPrEx>
          <w:tblW w:w="5467" w:type="pct"/>
          <w:tblCellMar>
            <w:top w:w="15" w:type="dxa"/>
          </w:tblCellMar>
          <w:tblLook w:val="04A0"/>
        </w:tblPrEx>
        <w:trPr>
          <w:trHeight w:val="302"/>
        </w:trPr>
        <w:tc>
          <w:tcPr>
            <w:tcW w:w="4453" w:type="pct"/>
            <w:gridSpan w:val="5"/>
            <w:tcBorders>
              <w:top w:val="single" w:sz="8" w:space="0" w:color="auto"/>
              <w:left w:val="single" w:sz="8" w:space="0" w:color="auto"/>
              <w:bottom w:val="single" w:sz="8" w:space="0" w:color="auto"/>
              <w:right w:val="nil"/>
            </w:tcBorders>
            <w:shd w:val="clear" w:color="000000" w:fill="FFFFFF"/>
            <w:noWrap/>
            <w:vAlign w:val="center"/>
            <w:hideMark/>
          </w:tcPr>
          <w:p w:rsidR="00DB541D" w:rsidRPr="00DB541D" w:rsidP="00DB541D" w14:paraId="7FBADEE6" w14:textId="77777777">
            <w:pPr>
              <w:widowControl/>
              <w:jc w:val="right"/>
              <w:rPr>
                <w:rFonts w:ascii="Times New Roman" w:hAnsi="Times New Roman"/>
                <w:b/>
                <w:bCs/>
                <w:i/>
                <w:iCs/>
                <w:snapToGrid/>
                <w:color w:val="000000"/>
                <w:sz w:val="22"/>
                <w:szCs w:val="22"/>
              </w:rPr>
            </w:pPr>
            <w:r w:rsidRPr="00DB541D">
              <w:rPr>
                <w:rFonts w:ascii="Times New Roman" w:hAnsi="Times New Roman"/>
                <w:b/>
                <w:bCs/>
                <w:i/>
                <w:iCs/>
                <w:snapToGrid/>
                <w:color w:val="000000"/>
                <w:sz w:val="22"/>
                <w:szCs w:val="22"/>
              </w:rPr>
              <w:t>Total Annual Burden (Hours):</w:t>
            </w:r>
          </w:p>
        </w:tc>
        <w:tc>
          <w:tcPr>
            <w:tcW w:w="547" w:type="pct"/>
            <w:tcBorders>
              <w:top w:val="nil"/>
              <w:left w:val="nil"/>
              <w:bottom w:val="single" w:sz="8" w:space="0" w:color="auto"/>
              <w:right w:val="single" w:sz="8" w:space="0" w:color="auto"/>
            </w:tcBorders>
            <w:shd w:val="clear" w:color="auto" w:fill="auto"/>
            <w:noWrap/>
            <w:vAlign w:val="bottom"/>
            <w:hideMark/>
          </w:tcPr>
          <w:p w:rsidR="00DB541D" w:rsidRPr="00DB541D" w:rsidP="00DB541D" w14:paraId="3F062374" w14:textId="77777777">
            <w:pPr>
              <w:widowControl/>
              <w:jc w:val="right"/>
              <w:rPr>
                <w:rFonts w:ascii="Times New Roman" w:hAnsi="Times New Roman"/>
                <w:b/>
                <w:bCs/>
                <w:i/>
                <w:iCs/>
                <w:snapToGrid/>
                <w:color w:val="000000"/>
                <w:sz w:val="22"/>
                <w:szCs w:val="22"/>
              </w:rPr>
            </w:pPr>
            <w:r w:rsidRPr="00DB541D">
              <w:rPr>
                <w:rFonts w:ascii="Times New Roman" w:hAnsi="Times New Roman"/>
                <w:b/>
                <w:bCs/>
                <w:i/>
                <w:iCs/>
                <w:snapToGrid/>
                <w:color w:val="000000"/>
                <w:sz w:val="22"/>
                <w:szCs w:val="22"/>
              </w:rPr>
              <w:t>177,284</w:t>
            </w:r>
          </w:p>
        </w:tc>
      </w:tr>
      <w:tr w14:paraId="605F99B0" w14:textId="77777777" w:rsidTr="00267803">
        <w:tblPrEx>
          <w:tblW w:w="5467" w:type="pct"/>
          <w:tblCellMar>
            <w:top w:w="15" w:type="dxa"/>
          </w:tblCellMar>
          <w:tblLook w:val="04A0"/>
        </w:tblPrEx>
        <w:trPr>
          <w:trHeight w:val="254"/>
        </w:trPr>
        <w:tc>
          <w:tcPr>
            <w:tcW w:w="5000" w:type="pct"/>
            <w:gridSpan w:val="6"/>
            <w:tcBorders>
              <w:top w:val="single" w:sz="8" w:space="0" w:color="auto"/>
              <w:left w:val="single" w:sz="8" w:space="0" w:color="auto"/>
              <w:bottom w:val="single" w:sz="4" w:space="0" w:color="auto"/>
              <w:right w:val="single" w:sz="8" w:space="0" w:color="000000"/>
            </w:tcBorders>
            <w:shd w:val="clear" w:color="auto" w:fill="auto"/>
            <w:noWrap/>
            <w:hideMark/>
          </w:tcPr>
          <w:p w:rsidR="00DB541D" w:rsidRPr="00DB541D" w:rsidP="00DB541D" w14:paraId="104273C2" w14:textId="77777777">
            <w:pPr>
              <w:widowControl/>
              <w:rPr>
                <w:rFonts w:ascii="Times New Roman" w:hAnsi="Times New Roman"/>
                <w:snapToGrid/>
                <w:color w:val="000000"/>
                <w:sz w:val="18"/>
                <w:szCs w:val="18"/>
              </w:rPr>
            </w:pPr>
            <w:r w:rsidRPr="00DB541D">
              <w:rPr>
                <w:rFonts w:ascii="Times New Roman" w:hAnsi="Times New Roman"/>
                <w:snapToGrid/>
                <w:color w:val="000000"/>
                <w:sz w:val="18"/>
                <w:szCs w:val="18"/>
              </w:rPr>
              <w:t>Source: FDIC.</w:t>
            </w:r>
          </w:p>
        </w:tc>
      </w:tr>
    </w:tbl>
    <w:p w:rsidR="00FD54B0" w:rsidRPr="009234BE" w:rsidP="00621A3B" w14:paraId="45BF410B" w14:textId="77777777">
      <w:pPr>
        <w:widowControl/>
        <w:ind w:left="720"/>
        <w:rPr>
          <w:rFonts w:ascii="Times New Roman" w:hAnsi="Times New Roman"/>
        </w:rPr>
      </w:pPr>
    </w:p>
    <w:p w:rsidR="002B69D8" w:rsidP="002B69D8" w14:paraId="22EF43DB" w14:textId="77777777">
      <w:pPr>
        <w:tabs>
          <w:tab w:val="left" w:pos="-1440"/>
        </w:tabs>
        <w:spacing w:line="360" w:lineRule="auto"/>
        <w:ind w:left="720"/>
        <w:contextualSpacing/>
        <w:rPr>
          <w:rFonts w:ascii="Times New Roman" w:hAnsi="Times New Roman"/>
        </w:rPr>
      </w:pPr>
    </w:p>
    <w:tbl>
      <w:tblPr>
        <w:tblW w:w="10623" w:type="dxa"/>
        <w:tblCellMar>
          <w:top w:w="15" w:type="dxa"/>
        </w:tblCellMar>
        <w:tblLook w:val="04A0"/>
      </w:tblPr>
      <w:tblGrid>
        <w:gridCol w:w="2327"/>
        <w:gridCol w:w="843"/>
        <w:gridCol w:w="1000"/>
        <w:gridCol w:w="1000"/>
        <w:gridCol w:w="920"/>
        <w:gridCol w:w="1000"/>
        <w:gridCol w:w="1000"/>
        <w:gridCol w:w="900"/>
        <w:gridCol w:w="1413"/>
        <w:gridCol w:w="222"/>
      </w:tblGrid>
      <w:tr w14:paraId="64F7936E" w14:textId="77777777" w:rsidTr="004220E1">
        <w:tblPrEx>
          <w:tblW w:w="10623" w:type="dxa"/>
          <w:tblCellMar>
            <w:top w:w="15" w:type="dxa"/>
          </w:tblCellMar>
          <w:tblLook w:val="04A0"/>
        </w:tblPrEx>
        <w:trPr>
          <w:gridAfter w:val="1"/>
          <w:wAfter w:w="222" w:type="dxa"/>
          <w:trHeight w:val="360"/>
        </w:trPr>
        <w:tc>
          <w:tcPr>
            <w:tcW w:w="10401"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20E1" w:rsidRPr="004220E1" w:rsidP="004220E1" w14:paraId="6CB132D2" w14:textId="2D5FFEC5">
            <w:pPr>
              <w:widowControl/>
              <w:jc w:val="center"/>
              <w:rPr>
                <w:rFonts w:ascii="Times New Roman" w:hAnsi="Times New Roman"/>
                <w:snapToGrid/>
                <w:color w:val="000000"/>
                <w:szCs w:val="24"/>
              </w:rPr>
            </w:pPr>
            <w:r w:rsidRPr="004220E1">
              <w:rPr>
                <w:rFonts w:ascii="Times New Roman" w:hAnsi="Times New Roman"/>
                <w:snapToGrid/>
                <w:color w:val="000000"/>
                <w:szCs w:val="24"/>
              </w:rPr>
              <w:t>Summary of Hourly Burden Cost Estimate (OMB No. 3064-0161)</w:t>
            </w:r>
          </w:p>
        </w:tc>
      </w:tr>
      <w:tr w14:paraId="568D1232" w14:textId="77777777" w:rsidTr="004220E1">
        <w:tblPrEx>
          <w:tblW w:w="10623" w:type="dxa"/>
          <w:tblCellMar>
            <w:top w:w="15" w:type="dxa"/>
          </w:tblCellMar>
          <w:tblLook w:val="04A0"/>
        </w:tblPrEx>
        <w:trPr>
          <w:gridAfter w:val="1"/>
          <w:wAfter w:w="222" w:type="dxa"/>
          <w:trHeight w:val="600"/>
        </w:trPr>
        <w:tc>
          <w:tcPr>
            <w:tcW w:w="2373" w:type="dxa"/>
            <w:vMerge w:val="restart"/>
            <w:tcBorders>
              <w:top w:val="nil"/>
              <w:left w:val="single" w:sz="8" w:space="0" w:color="auto"/>
              <w:bottom w:val="single" w:sz="8" w:space="0" w:color="auto"/>
              <w:right w:val="single" w:sz="8" w:space="0" w:color="auto"/>
            </w:tcBorders>
            <w:shd w:val="clear" w:color="auto" w:fill="auto"/>
            <w:vAlign w:val="center"/>
            <w:hideMark/>
          </w:tcPr>
          <w:p w:rsidR="004220E1" w:rsidRPr="004220E1" w:rsidP="004220E1" w14:paraId="08DFC798" w14:textId="77777777">
            <w:pPr>
              <w:widowControl/>
              <w:rPr>
                <w:rFonts w:ascii="Times New Roman" w:hAnsi="Times New Roman"/>
                <w:snapToGrid/>
                <w:color w:val="000000"/>
                <w:sz w:val="20"/>
              </w:rPr>
            </w:pPr>
            <w:r w:rsidRPr="004220E1">
              <w:rPr>
                <w:rFonts w:ascii="Times New Roman" w:hAnsi="Times New Roman"/>
                <w:snapToGrid/>
                <w:color w:val="000000"/>
                <w:sz w:val="20"/>
              </w:rPr>
              <w:t xml:space="preserve">Information Collection (IC) (Obligation to Respond) </w:t>
            </w:r>
          </w:p>
        </w:tc>
        <w:tc>
          <w:tcPr>
            <w:tcW w:w="844" w:type="dxa"/>
            <w:vMerge w:val="restart"/>
            <w:tcBorders>
              <w:top w:val="nil"/>
              <w:left w:val="single" w:sz="8" w:space="0" w:color="auto"/>
              <w:bottom w:val="single" w:sz="8" w:space="0" w:color="auto"/>
              <w:right w:val="single" w:sz="8" w:space="0" w:color="auto"/>
            </w:tcBorders>
            <w:shd w:val="clear" w:color="auto" w:fill="auto"/>
            <w:vAlign w:val="center"/>
            <w:hideMark/>
          </w:tcPr>
          <w:p w:rsidR="004220E1" w:rsidRPr="004220E1" w:rsidP="004220E1" w14:paraId="0BF8C386"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 xml:space="preserve">Hourly Weight </w:t>
            </w:r>
            <w:r w:rsidRPr="004220E1">
              <w:rPr>
                <w:rFonts w:ascii="Times New Roman" w:hAnsi="Times New Roman"/>
                <w:snapToGrid/>
                <w:color w:val="000000"/>
                <w:sz w:val="20"/>
              </w:rPr>
              <w:br/>
              <w:t>(%)</w:t>
            </w:r>
          </w:p>
        </w:tc>
        <w:tc>
          <w:tcPr>
            <w:tcW w:w="574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220E1" w:rsidRPr="004220E1" w:rsidP="004220E1" w14:paraId="6171B316"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 xml:space="preserve">Percentage Shares of Hours Spent by and </w:t>
            </w:r>
            <w:r w:rsidRPr="004220E1">
              <w:rPr>
                <w:rFonts w:ascii="Times New Roman" w:hAnsi="Times New Roman"/>
                <w:snapToGrid/>
                <w:color w:val="000000"/>
                <w:sz w:val="20"/>
              </w:rPr>
              <w:br/>
              <w:t xml:space="preserve">Hourly Compensation Rates for each Occupation Group </w:t>
            </w:r>
            <w:r w:rsidRPr="004220E1">
              <w:rPr>
                <w:rFonts w:ascii="Times New Roman" w:hAnsi="Times New Roman"/>
                <w:snapToGrid/>
                <w:color w:val="000000"/>
                <w:sz w:val="20"/>
              </w:rPr>
              <w:br/>
              <w:t>(by Collection)</w:t>
            </w:r>
          </w:p>
        </w:tc>
        <w:tc>
          <w:tcPr>
            <w:tcW w:w="1444" w:type="dxa"/>
            <w:vMerge w:val="restart"/>
            <w:tcBorders>
              <w:top w:val="nil"/>
              <w:left w:val="single" w:sz="8" w:space="0" w:color="auto"/>
              <w:bottom w:val="single" w:sz="8" w:space="0" w:color="auto"/>
              <w:right w:val="single" w:sz="8" w:space="0" w:color="auto"/>
            </w:tcBorders>
            <w:shd w:val="clear" w:color="auto" w:fill="auto"/>
            <w:vAlign w:val="center"/>
            <w:hideMark/>
          </w:tcPr>
          <w:p w:rsidR="004220E1" w:rsidRPr="004220E1" w:rsidP="004220E1" w14:paraId="61F030CD"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Estimated Hourly Compensation Rate</w:t>
            </w:r>
          </w:p>
        </w:tc>
      </w:tr>
      <w:tr w14:paraId="173DEF45" w14:textId="77777777" w:rsidTr="004220E1">
        <w:tblPrEx>
          <w:tblW w:w="10623" w:type="dxa"/>
          <w:tblCellMar>
            <w:top w:w="15" w:type="dxa"/>
          </w:tblCellMar>
          <w:tblLook w:val="04A0"/>
        </w:tblPrEx>
        <w:trPr>
          <w:trHeight w:val="865"/>
        </w:trPr>
        <w:tc>
          <w:tcPr>
            <w:tcW w:w="2373" w:type="dxa"/>
            <w:vMerge/>
            <w:tcBorders>
              <w:top w:val="nil"/>
              <w:left w:val="single" w:sz="8" w:space="0" w:color="auto"/>
              <w:bottom w:val="single" w:sz="8" w:space="0" w:color="auto"/>
              <w:right w:val="single" w:sz="8" w:space="0" w:color="auto"/>
            </w:tcBorders>
            <w:vAlign w:val="center"/>
            <w:hideMark/>
          </w:tcPr>
          <w:p w:rsidR="004220E1" w:rsidRPr="004220E1" w:rsidP="004220E1" w14:paraId="7CFFED50" w14:textId="77777777">
            <w:pPr>
              <w:widowControl/>
              <w:rPr>
                <w:rFonts w:ascii="Times New Roman" w:hAnsi="Times New Roman"/>
                <w:snapToGrid/>
                <w:color w:val="000000"/>
                <w:sz w:val="20"/>
              </w:rPr>
            </w:pPr>
          </w:p>
        </w:tc>
        <w:tc>
          <w:tcPr>
            <w:tcW w:w="844" w:type="dxa"/>
            <w:vMerge/>
            <w:tcBorders>
              <w:top w:val="nil"/>
              <w:left w:val="single" w:sz="8" w:space="0" w:color="auto"/>
              <w:bottom w:val="single" w:sz="8" w:space="0" w:color="auto"/>
              <w:right w:val="single" w:sz="8" w:space="0" w:color="auto"/>
            </w:tcBorders>
            <w:vAlign w:val="center"/>
            <w:hideMark/>
          </w:tcPr>
          <w:p w:rsidR="004220E1" w:rsidRPr="004220E1" w:rsidP="004220E1" w14:paraId="01401E83" w14:textId="77777777">
            <w:pPr>
              <w:widowControl/>
              <w:rPr>
                <w:rFonts w:ascii="Times New Roman" w:hAnsi="Times New Roman"/>
                <w:snapToGrid/>
                <w:color w:val="000000"/>
                <w:sz w:val="20"/>
              </w:rPr>
            </w:pPr>
          </w:p>
        </w:tc>
        <w:tc>
          <w:tcPr>
            <w:tcW w:w="5740" w:type="dxa"/>
            <w:gridSpan w:val="6"/>
            <w:vMerge/>
            <w:tcBorders>
              <w:top w:val="single" w:sz="8" w:space="0" w:color="auto"/>
              <w:left w:val="single" w:sz="8" w:space="0" w:color="auto"/>
              <w:bottom w:val="single" w:sz="8" w:space="0" w:color="auto"/>
              <w:right w:val="single" w:sz="8" w:space="0" w:color="auto"/>
            </w:tcBorders>
            <w:vAlign w:val="center"/>
            <w:hideMark/>
          </w:tcPr>
          <w:p w:rsidR="004220E1" w:rsidRPr="004220E1" w:rsidP="004220E1" w14:paraId="13DF323A" w14:textId="77777777">
            <w:pPr>
              <w:widowControl/>
              <w:rPr>
                <w:rFonts w:ascii="Times New Roman" w:hAnsi="Times New Roman"/>
                <w:snapToGrid/>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4220E1" w:rsidRPr="004220E1" w:rsidP="004220E1" w14:paraId="74969C1B" w14:textId="77777777">
            <w:pPr>
              <w:widowControl/>
              <w:rPr>
                <w:rFonts w:ascii="Times New Roman" w:hAnsi="Times New Roman"/>
                <w:snapToGrid/>
                <w:color w:val="000000"/>
                <w:sz w:val="20"/>
              </w:rPr>
            </w:pPr>
          </w:p>
        </w:tc>
        <w:tc>
          <w:tcPr>
            <w:tcW w:w="222" w:type="dxa"/>
            <w:tcBorders>
              <w:top w:val="nil"/>
              <w:left w:val="nil"/>
              <w:bottom w:val="nil"/>
              <w:right w:val="nil"/>
            </w:tcBorders>
            <w:shd w:val="clear" w:color="auto" w:fill="auto"/>
            <w:noWrap/>
            <w:vAlign w:val="bottom"/>
            <w:hideMark/>
          </w:tcPr>
          <w:p w:rsidR="004220E1" w:rsidRPr="004220E1" w:rsidP="004220E1" w14:paraId="50EFB6A0" w14:textId="77777777">
            <w:pPr>
              <w:widowControl/>
              <w:jc w:val="center"/>
              <w:rPr>
                <w:rFonts w:ascii="Times New Roman" w:hAnsi="Times New Roman"/>
                <w:snapToGrid/>
                <w:color w:val="000000"/>
                <w:sz w:val="20"/>
              </w:rPr>
            </w:pPr>
          </w:p>
        </w:tc>
      </w:tr>
      <w:tr w14:paraId="453F67D9" w14:textId="77777777" w:rsidTr="004220E1">
        <w:tblPrEx>
          <w:tblW w:w="10623" w:type="dxa"/>
          <w:tblCellMar>
            <w:top w:w="15" w:type="dxa"/>
          </w:tblCellMar>
          <w:tblLook w:val="04A0"/>
        </w:tblPrEx>
        <w:trPr>
          <w:trHeight w:val="360"/>
        </w:trPr>
        <w:tc>
          <w:tcPr>
            <w:tcW w:w="2373" w:type="dxa"/>
            <w:vMerge/>
            <w:tcBorders>
              <w:top w:val="nil"/>
              <w:left w:val="single" w:sz="8" w:space="0" w:color="auto"/>
              <w:bottom w:val="single" w:sz="8" w:space="0" w:color="auto"/>
              <w:right w:val="single" w:sz="8" w:space="0" w:color="auto"/>
            </w:tcBorders>
            <w:vAlign w:val="center"/>
            <w:hideMark/>
          </w:tcPr>
          <w:p w:rsidR="004220E1" w:rsidRPr="004220E1" w:rsidP="004220E1" w14:paraId="3E10E70F" w14:textId="77777777">
            <w:pPr>
              <w:widowControl/>
              <w:rPr>
                <w:rFonts w:ascii="Times New Roman" w:hAnsi="Times New Roman"/>
                <w:snapToGrid/>
                <w:color w:val="000000"/>
                <w:sz w:val="20"/>
              </w:rPr>
            </w:pPr>
          </w:p>
        </w:tc>
        <w:tc>
          <w:tcPr>
            <w:tcW w:w="844" w:type="dxa"/>
            <w:vMerge/>
            <w:tcBorders>
              <w:top w:val="nil"/>
              <w:left w:val="single" w:sz="8" w:space="0" w:color="auto"/>
              <w:bottom w:val="single" w:sz="8" w:space="0" w:color="auto"/>
              <w:right w:val="single" w:sz="8" w:space="0" w:color="auto"/>
            </w:tcBorders>
            <w:vAlign w:val="center"/>
            <w:hideMark/>
          </w:tcPr>
          <w:p w:rsidR="004220E1" w:rsidRPr="004220E1" w:rsidP="004220E1" w14:paraId="297CFEBF" w14:textId="77777777">
            <w:pPr>
              <w:widowControl/>
              <w:rPr>
                <w:rFonts w:ascii="Times New Roman" w:hAnsi="Times New Roman"/>
                <w:snapToGrid/>
                <w:color w:val="000000"/>
                <w:sz w:val="20"/>
              </w:rPr>
            </w:pP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4220E1" w:rsidRPr="004220E1" w:rsidP="004220E1" w14:paraId="3B45A620"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Exec. &amp; Mgr.      ($146.13)</w:t>
            </w: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4220E1" w:rsidRPr="004220E1" w:rsidP="004220E1" w14:paraId="7A02F110"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Lawyer</w:t>
            </w:r>
            <w:r w:rsidRPr="004220E1">
              <w:rPr>
                <w:rFonts w:ascii="Times New Roman" w:hAnsi="Times New Roman"/>
                <w:snapToGrid/>
                <w:color w:val="000000"/>
                <w:sz w:val="20"/>
              </w:rPr>
              <w:t xml:space="preserve">   (</w:t>
            </w:r>
            <w:r w:rsidRPr="004220E1">
              <w:rPr>
                <w:rFonts w:ascii="Times New Roman" w:hAnsi="Times New Roman"/>
                <w:snapToGrid/>
                <w:color w:val="000000"/>
                <w:sz w:val="20"/>
              </w:rPr>
              <w:t>$182.07)</w:t>
            </w:r>
          </w:p>
        </w:tc>
        <w:tc>
          <w:tcPr>
            <w:tcW w:w="920" w:type="dxa"/>
            <w:vMerge w:val="restart"/>
            <w:tcBorders>
              <w:top w:val="nil"/>
              <w:left w:val="single" w:sz="8" w:space="0" w:color="auto"/>
              <w:bottom w:val="single" w:sz="8" w:space="0" w:color="auto"/>
              <w:right w:val="single" w:sz="8" w:space="0" w:color="auto"/>
            </w:tcBorders>
            <w:shd w:val="clear" w:color="auto" w:fill="auto"/>
            <w:vAlign w:val="center"/>
            <w:hideMark/>
          </w:tcPr>
          <w:p w:rsidR="004220E1" w:rsidRPr="004220E1" w:rsidP="004220E1" w14:paraId="5DE6F20A"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Compl</w:t>
            </w:r>
            <w:r w:rsidRPr="004220E1">
              <w:rPr>
                <w:rFonts w:ascii="Times New Roman" w:hAnsi="Times New Roman"/>
                <w:snapToGrid/>
                <w:color w:val="000000"/>
                <w:sz w:val="20"/>
              </w:rPr>
              <w:t>. Ofc.   ($77.07)</w:t>
            </w: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4220E1" w:rsidRPr="004220E1" w:rsidP="004220E1" w14:paraId="7FE053F4"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 xml:space="preserve">IT </w:t>
            </w:r>
            <w:r w:rsidRPr="004220E1">
              <w:rPr>
                <w:rFonts w:ascii="Times New Roman" w:hAnsi="Times New Roman"/>
                <w:snapToGrid/>
                <w:color w:val="000000"/>
                <w:sz w:val="20"/>
              </w:rPr>
              <w:t xml:space="preserve">   (</w:t>
            </w:r>
            <w:r w:rsidRPr="004220E1">
              <w:rPr>
                <w:rFonts w:ascii="Times New Roman" w:hAnsi="Times New Roman"/>
                <w:snapToGrid/>
                <w:color w:val="000000"/>
                <w:sz w:val="20"/>
              </w:rPr>
              <w:t>$110.91)</w:t>
            </w: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4220E1" w:rsidRPr="004220E1" w:rsidP="004220E1" w14:paraId="5C01AE2D"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 xml:space="preserve">Fin. </w:t>
            </w:r>
            <w:r w:rsidRPr="004220E1">
              <w:rPr>
                <w:rFonts w:ascii="Times New Roman" w:hAnsi="Times New Roman"/>
                <w:snapToGrid/>
                <w:color w:val="000000"/>
                <w:sz w:val="20"/>
              </w:rPr>
              <w:t>Anlst</w:t>
            </w:r>
            <w:r w:rsidRPr="004220E1">
              <w:rPr>
                <w:rFonts w:ascii="Times New Roman" w:hAnsi="Times New Roman"/>
                <w:snapToGrid/>
                <w:color w:val="000000"/>
                <w:sz w:val="20"/>
              </w:rPr>
              <w:t>.    ($100.28)</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4220E1" w:rsidRPr="004220E1" w:rsidP="004220E1" w14:paraId="4783DBF9"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 xml:space="preserve">Clerical </w:t>
            </w:r>
            <w:r w:rsidRPr="004220E1">
              <w:rPr>
                <w:rFonts w:ascii="Times New Roman" w:hAnsi="Times New Roman"/>
                <w:snapToGrid/>
                <w:color w:val="000000"/>
                <w:sz w:val="20"/>
              </w:rPr>
              <w:t xml:space="preserve">   (</w:t>
            </w:r>
            <w:r w:rsidRPr="004220E1">
              <w:rPr>
                <w:rFonts w:ascii="Times New Roman" w:hAnsi="Times New Roman"/>
                <w:snapToGrid/>
                <w:color w:val="000000"/>
                <w:sz w:val="20"/>
              </w:rPr>
              <w:t>$39.39)</w:t>
            </w:r>
          </w:p>
        </w:tc>
        <w:tc>
          <w:tcPr>
            <w:tcW w:w="1444" w:type="dxa"/>
            <w:vMerge/>
            <w:tcBorders>
              <w:top w:val="nil"/>
              <w:left w:val="single" w:sz="8" w:space="0" w:color="auto"/>
              <w:bottom w:val="single" w:sz="8" w:space="0" w:color="auto"/>
              <w:right w:val="single" w:sz="8" w:space="0" w:color="auto"/>
            </w:tcBorders>
            <w:vAlign w:val="center"/>
            <w:hideMark/>
          </w:tcPr>
          <w:p w:rsidR="004220E1" w:rsidRPr="004220E1" w:rsidP="004220E1" w14:paraId="289AC151" w14:textId="77777777">
            <w:pPr>
              <w:widowControl/>
              <w:rPr>
                <w:rFonts w:ascii="Times New Roman" w:hAnsi="Times New Roman"/>
                <w:snapToGrid/>
                <w:color w:val="000000"/>
                <w:sz w:val="20"/>
              </w:rPr>
            </w:pPr>
          </w:p>
        </w:tc>
        <w:tc>
          <w:tcPr>
            <w:tcW w:w="222" w:type="dxa"/>
            <w:vAlign w:val="center"/>
            <w:hideMark/>
          </w:tcPr>
          <w:p w:rsidR="004220E1" w:rsidRPr="004220E1" w:rsidP="004220E1" w14:paraId="53F6FC71" w14:textId="77777777">
            <w:pPr>
              <w:widowControl/>
              <w:rPr>
                <w:rFonts w:ascii="Times New Roman" w:hAnsi="Times New Roman"/>
                <w:snapToGrid/>
                <w:sz w:val="20"/>
              </w:rPr>
            </w:pPr>
          </w:p>
        </w:tc>
      </w:tr>
      <w:tr w14:paraId="65216192" w14:textId="77777777" w:rsidTr="004220E1">
        <w:tblPrEx>
          <w:tblW w:w="10623" w:type="dxa"/>
          <w:tblCellMar>
            <w:top w:w="15" w:type="dxa"/>
          </w:tblCellMar>
          <w:tblLook w:val="04A0"/>
        </w:tblPrEx>
        <w:trPr>
          <w:trHeight w:val="840"/>
        </w:trPr>
        <w:tc>
          <w:tcPr>
            <w:tcW w:w="2373" w:type="dxa"/>
            <w:vMerge/>
            <w:tcBorders>
              <w:top w:val="nil"/>
              <w:left w:val="single" w:sz="8" w:space="0" w:color="auto"/>
              <w:bottom w:val="single" w:sz="8" w:space="0" w:color="auto"/>
              <w:right w:val="single" w:sz="8" w:space="0" w:color="auto"/>
            </w:tcBorders>
            <w:vAlign w:val="center"/>
            <w:hideMark/>
          </w:tcPr>
          <w:p w:rsidR="004220E1" w:rsidRPr="004220E1" w:rsidP="004220E1" w14:paraId="2C7FBFC8" w14:textId="77777777">
            <w:pPr>
              <w:widowControl/>
              <w:rPr>
                <w:rFonts w:ascii="Times New Roman" w:hAnsi="Times New Roman"/>
                <w:snapToGrid/>
                <w:color w:val="000000"/>
                <w:sz w:val="20"/>
              </w:rPr>
            </w:pPr>
          </w:p>
        </w:tc>
        <w:tc>
          <w:tcPr>
            <w:tcW w:w="844" w:type="dxa"/>
            <w:vMerge/>
            <w:tcBorders>
              <w:top w:val="nil"/>
              <w:left w:val="single" w:sz="8" w:space="0" w:color="auto"/>
              <w:bottom w:val="single" w:sz="8" w:space="0" w:color="auto"/>
              <w:right w:val="single" w:sz="8" w:space="0" w:color="auto"/>
            </w:tcBorders>
            <w:vAlign w:val="center"/>
            <w:hideMark/>
          </w:tcPr>
          <w:p w:rsidR="004220E1" w:rsidRPr="004220E1" w:rsidP="004220E1" w14:paraId="3BED2E3A" w14:textId="77777777">
            <w:pPr>
              <w:widowControl/>
              <w:rPr>
                <w:rFonts w:ascii="Times New Roman" w:hAnsi="Times New Roman"/>
                <w:snapToGrid/>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4220E1" w:rsidRPr="004220E1" w:rsidP="004220E1" w14:paraId="1513475B" w14:textId="77777777">
            <w:pPr>
              <w:widowControl/>
              <w:rPr>
                <w:rFonts w:ascii="Times New Roman" w:hAnsi="Times New Roman"/>
                <w:snapToGrid/>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4220E1" w:rsidRPr="004220E1" w:rsidP="004220E1" w14:paraId="1FA53132" w14:textId="77777777">
            <w:pPr>
              <w:widowControl/>
              <w:rPr>
                <w:rFonts w:ascii="Times New Roman" w:hAnsi="Times New Roman"/>
                <w:snapToGrid/>
                <w:color w:val="000000"/>
                <w:sz w:val="20"/>
              </w:rPr>
            </w:pPr>
          </w:p>
        </w:tc>
        <w:tc>
          <w:tcPr>
            <w:tcW w:w="920" w:type="dxa"/>
            <w:vMerge/>
            <w:tcBorders>
              <w:top w:val="nil"/>
              <w:left w:val="single" w:sz="8" w:space="0" w:color="auto"/>
              <w:bottom w:val="single" w:sz="8" w:space="0" w:color="auto"/>
              <w:right w:val="single" w:sz="8" w:space="0" w:color="auto"/>
            </w:tcBorders>
            <w:vAlign w:val="center"/>
            <w:hideMark/>
          </w:tcPr>
          <w:p w:rsidR="004220E1" w:rsidRPr="004220E1" w:rsidP="004220E1" w14:paraId="1F5D1B6A" w14:textId="77777777">
            <w:pPr>
              <w:widowControl/>
              <w:rPr>
                <w:rFonts w:ascii="Times New Roman" w:hAnsi="Times New Roman"/>
                <w:snapToGrid/>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4220E1" w:rsidRPr="004220E1" w:rsidP="004220E1" w14:paraId="51F17997" w14:textId="77777777">
            <w:pPr>
              <w:widowControl/>
              <w:rPr>
                <w:rFonts w:ascii="Times New Roman" w:hAnsi="Times New Roman"/>
                <w:snapToGrid/>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4220E1" w:rsidRPr="004220E1" w:rsidP="004220E1" w14:paraId="37D265A8" w14:textId="77777777">
            <w:pPr>
              <w:widowControl/>
              <w:rPr>
                <w:rFonts w:ascii="Times New Roman" w:hAnsi="Times New Roman"/>
                <w:snapToGrid/>
                <w:color w:val="000000"/>
                <w:sz w:val="20"/>
              </w:rPr>
            </w:pPr>
          </w:p>
        </w:tc>
        <w:tc>
          <w:tcPr>
            <w:tcW w:w="884" w:type="dxa"/>
            <w:vMerge/>
            <w:tcBorders>
              <w:top w:val="nil"/>
              <w:left w:val="single" w:sz="8" w:space="0" w:color="auto"/>
              <w:bottom w:val="single" w:sz="8" w:space="0" w:color="auto"/>
              <w:right w:val="single" w:sz="8" w:space="0" w:color="auto"/>
            </w:tcBorders>
            <w:vAlign w:val="center"/>
            <w:hideMark/>
          </w:tcPr>
          <w:p w:rsidR="004220E1" w:rsidRPr="004220E1" w:rsidP="004220E1" w14:paraId="1D92A2AB" w14:textId="77777777">
            <w:pPr>
              <w:widowControl/>
              <w:rPr>
                <w:rFonts w:ascii="Times New Roman" w:hAnsi="Times New Roman"/>
                <w:snapToGrid/>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4220E1" w:rsidRPr="004220E1" w:rsidP="004220E1" w14:paraId="1D773C49" w14:textId="77777777">
            <w:pPr>
              <w:widowControl/>
              <w:rPr>
                <w:rFonts w:ascii="Times New Roman" w:hAnsi="Times New Roman"/>
                <w:snapToGrid/>
                <w:color w:val="000000"/>
                <w:sz w:val="20"/>
              </w:rPr>
            </w:pPr>
          </w:p>
        </w:tc>
        <w:tc>
          <w:tcPr>
            <w:tcW w:w="222" w:type="dxa"/>
            <w:tcBorders>
              <w:top w:val="nil"/>
              <w:left w:val="nil"/>
              <w:bottom w:val="nil"/>
              <w:right w:val="nil"/>
            </w:tcBorders>
            <w:shd w:val="clear" w:color="auto" w:fill="auto"/>
            <w:noWrap/>
            <w:vAlign w:val="bottom"/>
            <w:hideMark/>
          </w:tcPr>
          <w:p w:rsidR="004220E1" w:rsidRPr="004220E1" w:rsidP="004220E1" w14:paraId="02507EE9" w14:textId="77777777">
            <w:pPr>
              <w:widowControl/>
              <w:jc w:val="center"/>
              <w:rPr>
                <w:rFonts w:ascii="Times New Roman" w:hAnsi="Times New Roman"/>
                <w:snapToGrid/>
                <w:color w:val="000000"/>
                <w:sz w:val="20"/>
              </w:rPr>
            </w:pPr>
          </w:p>
        </w:tc>
      </w:tr>
      <w:tr w14:paraId="73307561" w14:textId="77777777" w:rsidTr="004220E1">
        <w:tblPrEx>
          <w:tblW w:w="10623" w:type="dxa"/>
          <w:tblCellMar>
            <w:top w:w="15" w:type="dxa"/>
          </w:tblCellMar>
          <w:tblLook w:val="04A0"/>
        </w:tblPrEx>
        <w:trPr>
          <w:trHeight w:val="2350"/>
        </w:trPr>
        <w:tc>
          <w:tcPr>
            <w:tcW w:w="2373" w:type="dxa"/>
            <w:tcBorders>
              <w:top w:val="nil"/>
              <w:left w:val="single" w:sz="8" w:space="0" w:color="auto"/>
              <w:bottom w:val="single" w:sz="8" w:space="0" w:color="auto"/>
              <w:right w:val="single" w:sz="8" w:space="0" w:color="auto"/>
            </w:tcBorders>
            <w:shd w:val="clear" w:color="auto" w:fill="auto"/>
            <w:vAlign w:val="center"/>
            <w:hideMark/>
          </w:tcPr>
          <w:p w:rsidR="004220E1" w:rsidRPr="004220E1" w:rsidP="004220E1" w14:paraId="4CA90F55" w14:textId="77777777">
            <w:pPr>
              <w:widowControl/>
              <w:rPr>
                <w:rFonts w:ascii="Times New Roman" w:hAnsi="Times New Roman"/>
                <w:snapToGrid/>
                <w:color w:val="000000"/>
                <w:sz w:val="20"/>
              </w:rPr>
            </w:pPr>
            <w:r w:rsidRPr="004220E1">
              <w:rPr>
                <w:rFonts w:ascii="Times New Roman" w:hAnsi="Times New Roman"/>
                <w:snapToGrid/>
                <w:color w:val="000000"/>
                <w:sz w:val="20"/>
              </w:rPr>
              <w:t>1. Procedures to Enhance the Accuracy and Integrity of Information Furnished to Consumer Reporting Agencies under Section 312 of the Fair and Accurate Credit Transactions Act of 2003,</w:t>
            </w:r>
            <w:r w:rsidRPr="004220E1">
              <w:rPr>
                <w:rFonts w:ascii="Times New Roman" w:hAnsi="Times New Roman"/>
                <w:snapToGrid/>
                <w:color w:val="000000"/>
                <w:sz w:val="20"/>
              </w:rPr>
              <w:br/>
              <w:t>12 CFR Part 1022, Subpart E (Mandatory)</w:t>
            </w:r>
          </w:p>
        </w:tc>
        <w:tc>
          <w:tcPr>
            <w:tcW w:w="844" w:type="dxa"/>
            <w:tcBorders>
              <w:top w:val="nil"/>
              <w:left w:val="nil"/>
              <w:bottom w:val="single" w:sz="8" w:space="0" w:color="auto"/>
              <w:right w:val="single" w:sz="8" w:space="0" w:color="auto"/>
            </w:tcBorders>
            <w:shd w:val="clear" w:color="auto" w:fill="auto"/>
            <w:vAlign w:val="center"/>
            <w:hideMark/>
          </w:tcPr>
          <w:p w:rsidR="004220E1" w:rsidRPr="004220E1" w:rsidP="004220E1" w14:paraId="0CBE12F0"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63.63</w:t>
            </w:r>
          </w:p>
        </w:tc>
        <w:tc>
          <w:tcPr>
            <w:tcW w:w="984" w:type="dxa"/>
            <w:tcBorders>
              <w:top w:val="nil"/>
              <w:left w:val="nil"/>
              <w:bottom w:val="single" w:sz="8" w:space="0" w:color="auto"/>
              <w:right w:val="single" w:sz="8" w:space="0" w:color="auto"/>
            </w:tcBorders>
            <w:shd w:val="clear" w:color="auto" w:fill="auto"/>
            <w:vAlign w:val="center"/>
            <w:hideMark/>
          </w:tcPr>
          <w:p w:rsidR="004220E1" w:rsidRPr="004220E1" w:rsidP="004220E1" w14:paraId="72E9399B"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15</w:t>
            </w:r>
          </w:p>
        </w:tc>
        <w:tc>
          <w:tcPr>
            <w:tcW w:w="984" w:type="dxa"/>
            <w:tcBorders>
              <w:top w:val="nil"/>
              <w:left w:val="nil"/>
              <w:bottom w:val="single" w:sz="8" w:space="0" w:color="auto"/>
              <w:right w:val="single" w:sz="8" w:space="0" w:color="auto"/>
            </w:tcBorders>
            <w:shd w:val="clear" w:color="auto" w:fill="auto"/>
            <w:vAlign w:val="center"/>
            <w:hideMark/>
          </w:tcPr>
          <w:p w:rsidR="004220E1" w:rsidRPr="004220E1" w:rsidP="004220E1" w14:paraId="7853E6E4"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10</w:t>
            </w:r>
          </w:p>
        </w:tc>
        <w:tc>
          <w:tcPr>
            <w:tcW w:w="920" w:type="dxa"/>
            <w:tcBorders>
              <w:top w:val="nil"/>
              <w:left w:val="nil"/>
              <w:bottom w:val="single" w:sz="8" w:space="0" w:color="auto"/>
              <w:right w:val="single" w:sz="8" w:space="0" w:color="auto"/>
            </w:tcBorders>
            <w:shd w:val="clear" w:color="auto" w:fill="auto"/>
            <w:vAlign w:val="center"/>
            <w:hideMark/>
          </w:tcPr>
          <w:p w:rsidR="004220E1" w:rsidRPr="004220E1" w:rsidP="004220E1" w14:paraId="45CDB522"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30</w:t>
            </w:r>
          </w:p>
        </w:tc>
        <w:tc>
          <w:tcPr>
            <w:tcW w:w="984" w:type="dxa"/>
            <w:tcBorders>
              <w:top w:val="nil"/>
              <w:left w:val="nil"/>
              <w:bottom w:val="single" w:sz="8" w:space="0" w:color="auto"/>
              <w:right w:val="single" w:sz="8" w:space="0" w:color="auto"/>
            </w:tcBorders>
            <w:shd w:val="clear" w:color="auto" w:fill="auto"/>
            <w:vAlign w:val="center"/>
            <w:hideMark/>
          </w:tcPr>
          <w:p w:rsidR="004220E1" w:rsidRPr="004220E1" w:rsidP="004220E1" w14:paraId="7FAAC060"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45</w:t>
            </w:r>
          </w:p>
        </w:tc>
        <w:tc>
          <w:tcPr>
            <w:tcW w:w="984" w:type="dxa"/>
            <w:tcBorders>
              <w:top w:val="nil"/>
              <w:left w:val="nil"/>
              <w:bottom w:val="single" w:sz="8" w:space="0" w:color="auto"/>
              <w:right w:val="single" w:sz="8" w:space="0" w:color="auto"/>
            </w:tcBorders>
            <w:shd w:val="clear" w:color="auto" w:fill="auto"/>
            <w:vAlign w:val="center"/>
            <w:hideMark/>
          </w:tcPr>
          <w:p w:rsidR="004220E1" w:rsidRPr="004220E1" w:rsidP="004220E1" w14:paraId="54A319B6"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4220E1" w:rsidRPr="004220E1" w:rsidP="004220E1" w14:paraId="101E3842"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4220E1" w:rsidRPr="004220E1" w:rsidP="004220E1" w14:paraId="7260E6FC" w14:textId="77777777">
            <w:pPr>
              <w:widowControl/>
              <w:ind w:firstLine="200" w:firstLineChars="100"/>
              <w:jc w:val="right"/>
              <w:rPr>
                <w:rFonts w:ascii="Times New Roman" w:hAnsi="Times New Roman"/>
                <w:snapToGrid/>
                <w:color w:val="000000"/>
                <w:sz w:val="20"/>
              </w:rPr>
            </w:pPr>
            <w:r w:rsidRPr="004220E1">
              <w:rPr>
                <w:rFonts w:ascii="Times New Roman" w:hAnsi="Times New Roman"/>
                <w:snapToGrid/>
                <w:color w:val="000000"/>
                <w:sz w:val="20"/>
              </w:rPr>
              <w:t xml:space="preserve">$113.16 </w:t>
            </w:r>
          </w:p>
        </w:tc>
        <w:tc>
          <w:tcPr>
            <w:tcW w:w="222" w:type="dxa"/>
            <w:vAlign w:val="center"/>
            <w:hideMark/>
          </w:tcPr>
          <w:p w:rsidR="004220E1" w:rsidRPr="004220E1" w:rsidP="004220E1" w14:paraId="0A8A356E" w14:textId="77777777">
            <w:pPr>
              <w:widowControl/>
              <w:rPr>
                <w:rFonts w:ascii="Times New Roman" w:hAnsi="Times New Roman"/>
                <w:snapToGrid/>
                <w:sz w:val="20"/>
              </w:rPr>
            </w:pPr>
          </w:p>
        </w:tc>
      </w:tr>
      <w:tr w14:paraId="75CBDA7A" w14:textId="77777777" w:rsidTr="004220E1">
        <w:tblPrEx>
          <w:tblW w:w="10623" w:type="dxa"/>
          <w:tblCellMar>
            <w:top w:w="15" w:type="dxa"/>
          </w:tblCellMar>
          <w:tblLook w:val="04A0"/>
        </w:tblPrEx>
        <w:trPr>
          <w:trHeight w:val="1310"/>
        </w:trPr>
        <w:tc>
          <w:tcPr>
            <w:tcW w:w="2373" w:type="dxa"/>
            <w:tcBorders>
              <w:top w:val="nil"/>
              <w:left w:val="single" w:sz="8" w:space="0" w:color="auto"/>
              <w:bottom w:val="single" w:sz="8" w:space="0" w:color="auto"/>
              <w:right w:val="single" w:sz="8" w:space="0" w:color="auto"/>
            </w:tcBorders>
            <w:shd w:val="clear" w:color="auto" w:fill="auto"/>
            <w:vAlign w:val="center"/>
            <w:hideMark/>
          </w:tcPr>
          <w:p w:rsidR="004220E1" w:rsidRPr="004220E1" w:rsidP="004220E1" w14:paraId="251401D3" w14:textId="77777777">
            <w:pPr>
              <w:widowControl/>
              <w:rPr>
                <w:rFonts w:ascii="Times New Roman" w:hAnsi="Times New Roman"/>
                <w:snapToGrid/>
                <w:color w:val="000000"/>
                <w:sz w:val="20"/>
              </w:rPr>
            </w:pPr>
            <w:r w:rsidRPr="004220E1">
              <w:rPr>
                <w:rFonts w:ascii="Times New Roman" w:hAnsi="Times New Roman"/>
                <w:snapToGrid/>
                <w:color w:val="000000"/>
                <w:sz w:val="20"/>
              </w:rPr>
              <w:t>2. Distribution of Notices in Response to Direct Disputes,</w:t>
            </w:r>
            <w:r w:rsidRPr="004220E1">
              <w:rPr>
                <w:rFonts w:ascii="Times New Roman" w:hAnsi="Times New Roman"/>
                <w:snapToGrid/>
                <w:color w:val="000000"/>
                <w:sz w:val="20"/>
              </w:rPr>
              <w:br/>
              <w:t>12 CFR Part 1022, Subpart E (Mandatory)</w:t>
            </w:r>
          </w:p>
        </w:tc>
        <w:tc>
          <w:tcPr>
            <w:tcW w:w="844" w:type="dxa"/>
            <w:tcBorders>
              <w:top w:val="nil"/>
              <w:left w:val="nil"/>
              <w:bottom w:val="single" w:sz="8" w:space="0" w:color="auto"/>
              <w:right w:val="single" w:sz="8" w:space="0" w:color="auto"/>
            </w:tcBorders>
            <w:shd w:val="clear" w:color="auto" w:fill="auto"/>
            <w:vAlign w:val="center"/>
            <w:hideMark/>
          </w:tcPr>
          <w:p w:rsidR="004220E1" w:rsidRPr="004220E1" w:rsidP="004220E1" w14:paraId="0B96D199"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36.37</w:t>
            </w:r>
          </w:p>
        </w:tc>
        <w:tc>
          <w:tcPr>
            <w:tcW w:w="984" w:type="dxa"/>
            <w:tcBorders>
              <w:top w:val="nil"/>
              <w:left w:val="nil"/>
              <w:bottom w:val="single" w:sz="8" w:space="0" w:color="auto"/>
              <w:right w:val="single" w:sz="8" w:space="0" w:color="auto"/>
            </w:tcBorders>
            <w:shd w:val="clear" w:color="auto" w:fill="auto"/>
            <w:vAlign w:val="center"/>
            <w:hideMark/>
          </w:tcPr>
          <w:p w:rsidR="004220E1" w:rsidRPr="004220E1" w:rsidP="004220E1" w14:paraId="33F39B2C"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4220E1" w:rsidRPr="004220E1" w:rsidP="004220E1" w14:paraId="2394B07E"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15</w:t>
            </w:r>
          </w:p>
        </w:tc>
        <w:tc>
          <w:tcPr>
            <w:tcW w:w="920" w:type="dxa"/>
            <w:tcBorders>
              <w:top w:val="nil"/>
              <w:left w:val="nil"/>
              <w:bottom w:val="single" w:sz="8" w:space="0" w:color="auto"/>
              <w:right w:val="single" w:sz="8" w:space="0" w:color="auto"/>
            </w:tcBorders>
            <w:shd w:val="clear" w:color="auto" w:fill="auto"/>
            <w:vAlign w:val="center"/>
            <w:hideMark/>
          </w:tcPr>
          <w:p w:rsidR="004220E1" w:rsidRPr="004220E1" w:rsidP="004220E1" w14:paraId="1A438C85"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65</w:t>
            </w:r>
          </w:p>
        </w:tc>
        <w:tc>
          <w:tcPr>
            <w:tcW w:w="984" w:type="dxa"/>
            <w:tcBorders>
              <w:top w:val="nil"/>
              <w:left w:val="nil"/>
              <w:bottom w:val="single" w:sz="8" w:space="0" w:color="auto"/>
              <w:right w:val="single" w:sz="8" w:space="0" w:color="auto"/>
            </w:tcBorders>
            <w:shd w:val="clear" w:color="auto" w:fill="auto"/>
            <w:vAlign w:val="center"/>
            <w:hideMark/>
          </w:tcPr>
          <w:p w:rsidR="004220E1" w:rsidRPr="004220E1" w:rsidP="004220E1" w14:paraId="2C728D61"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20</w:t>
            </w:r>
          </w:p>
        </w:tc>
        <w:tc>
          <w:tcPr>
            <w:tcW w:w="984" w:type="dxa"/>
            <w:tcBorders>
              <w:top w:val="nil"/>
              <w:left w:val="nil"/>
              <w:bottom w:val="single" w:sz="8" w:space="0" w:color="auto"/>
              <w:right w:val="single" w:sz="8" w:space="0" w:color="auto"/>
            </w:tcBorders>
            <w:shd w:val="clear" w:color="auto" w:fill="auto"/>
            <w:vAlign w:val="center"/>
            <w:hideMark/>
          </w:tcPr>
          <w:p w:rsidR="004220E1" w:rsidRPr="004220E1" w:rsidP="004220E1" w14:paraId="41A68B85"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4220E1" w:rsidRPr="004220E1" w:rsidP="004220E1" w14:paraId="2D433985" w14:textId="77777777">
            <w:pPr>
              <w:widowControl/>
              <w:jc w:val="center"/>
              <w:rPr>
                <w:rFonts w:ascii="Times New Roman" w:hAnsi="Times New Roman"/>
                <w:snapToGrid/>
                <w:color w:val="000000"/>
                <w:sz w:val="20"/>
              </w:rPr>
            </w:pPr>
            <w:r w:rsidRPr="004220E1">
              <w:rPr>
                <w:rFonts w:ascii="Times New Roman" w:hAnsi="Times New Roman"/>
                <w:snapToGrid/>
                <w:color w:val="000000"/>
                <w:sz w:val="20"/>
              </w:rPr>
              <w:t>0</w:t>
            </w:r>
          </w:p>
        </w:tc>
        <w:tc>
          <w:tcPr>
            <w:tcW w:w="1444" w:type="dxa"/>
            <w:tcBorders>
              <w:top w:val="nil"/>
              <w:left w:val="nil"/>
              <w:bottom w:val="single" w:sz="4" w:space="0" w:color="auto"/>
              <w:right w:val="single" w:sz="8" w:space="0" w:color="auto"/>
            </w:tcBorders>
            <w:shd w:val="clear" w:color="auto" w:fill="auto"/>
            <w:vAlign w:val="center"/>
            <w:hideMark/>
          </w:tcPr>
          <w:p w:rsidR="004220E1" w:rsidRPr="004220E1" w:rsidP="004220E1" w14:paraId="070272BF" w14:textId="77777777">
            <w:pPr>
              <w:widowControl/>
              <w:ind w:firstLine="200" w:firstLineChars="100"/>
              <w:jc w:val="right"/>
              <w:rPr>
                <w:rFonts w:ascii="Times New Roman" w:hAnsi="Times New Roman"/>
                <w:snapToGrid/>
                <w:color w:val="000000"/>
                <w:sz w:val="20"/>
              </w:rPr>
            </w:pPr>
            <w:r w:rsidRPr="004220E1">
              <w:rPr>
                <w:rFonts w:ascii="Times New Roman" w:hAnsi="Times New Roman"/>
                <w:snapToGrid/>
                <w:color w:val="000000"/>
                <w:sz w:val="20"/>
              </w:rPr>
              <w:t xml:space="preserve">$99.59 </w:t>
            </w:r>
          </w:p>
        </w:tc>
        <w:tc>
          <w:tcPr>
            <w:tcW w:w="222" w:type="dxa"/>
            <w:vAlign w:val="center"/>
            <w:hideMark/>
          </w:tcPr>
          <w:p w:rsidR="004220E1" w:rsidRPr="004220E1" w:rsidP="004220E1" w14:paraId="03F8AB2F" w14:textId="77777777">
            <w:pPr>
              <w:widowControl/>
              <w:rPr>
                <w:rFonts w:ascii="Times New Roman" w:hAnsi="Times New Roman"/>
                <w:snapToGrid/>
                <w:sz w:val="20"/>
              </w:rPr>
            </w:pPr>
          </w:p>
        </w:tc>
      </w:tr>
      <w:tr w14:paraId="608BD592" w14:textId="77777777" w:rsidTr="004220E1">
        <w:tblPrEx>
          <w:tblW w:w="10623" w:type="dxa"/>
          <w:tblCellMar>
            <w:top w:w="15" w:type="dxa"/>
          </w:tblCellMar>
          <w:tblLook w:val="04A0"/>
        </w:tblPrEx>
        <w:trPr>
          <w:trHeight w:val="300"/>
        </w:trPr>
        <w:tc>
          <w:tcPr>
            <w:tcW w:w="8957" w:type="dxa"/>
            <w:gridSpan w:val="8"/>
            <w:tcBorders>
              <w:top w:val="single" w:sz="8" w:space="0" w:color="auto"/>
              <w:left w:val="single" w:sz="8" w:space="0" w:color="auto"/>
              <w:bottom w:val="single" w:sz="8" w:space="0" w:color="auto"/>
              <w:right w:val="single" w:sz="4" w:space="0" w:color="auto"/>
            </w:tcBorders>
            <w:shd w:val="clear" w:color="auto" w:fill="auto"/>
            <w:vAlign w:val="center"/>
            <w:hideMark/>
          </w:tcPr>
          <w:p w:rsidR="004220E1" w:rsidRPr="004220E1" w:rsidP="004220E1" w14:paraId="28896133" w14:textId="77777777">
            <w:pPr>
              <w:widowControl/>
              <w:jc w:val="right"/>
              <w:rPr>
                <w:rFonts w:ascii="Times New Roman" w:hAnsi="Times New Roman"/>
                <w:b/>
                <w:bCs/>
                <w:i/>
                <w:iCs/>
                <w:snapToGrid/>
                <w:color w:val="000000"/>
                <w:sz w:val="22"/>
                <w:szCs w:val="22"/>
              </w:rPr>
            </w:pPr>
            <w:r w:rsidRPr="004220E1">
              <w:rPr>
                <w:rFonts w:ascii="Times New Roman" w:hAnsi="Times New Roman"/>
                <w:b/>
                <w:bCs/>
                <w:i/>
                <w:iCs/>
                <w:snapToGrid/>
                <w:color w:val="000000"/>
                <w:sz w:val="22"/>
                <w:szCs w:val="22"/>
              </w:rPr>
              <w:t>Weighted Average Hourly Compensation Rate:</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0E1" w:rsidRPr="004220E1" w:rsidP="004220E1" w14:paraId="3962A424" w14:textId="77777777">
            <w:pPr>
              <w:widowControl/>
              <w:ind w:firstLine="220" w:firstLineChars="100"/>
              <w:jc w:val="right"/>
              <w:rPr>
                <w:rFonts w:ascii="Times New Roman" w:hAnsi="Times New Roman"/>
                <w:b/>
                <w:bCs/>
                <w:i/>
                <w:iCs/>
                <w:snapToGrid/>
                <w:color w:val="000000"/>
                <w:sz w:val="22"/>
                <w:szCs w:val="22"/>
              </w:rPr>
            </w:pPr>
            <w:r w:rsidRPr="004220E1">
              <w:rPr>
                <w:rFonts w:ascii="Times New Roman" w:hAnsi="Times New Roman"/>
                <w:b/>
                <w:bCs/>
                <w:i/>
                <w:iCs/>
                <w:snapToGrid/>
                <w:color w:val="000000"/>
                <w:sz w:val="22"/>
                <w:szCs w:val="22"/>
              </w:rPr>
              <w:t xml:space="preserve">$108.22 </w:t>
            </w:r>
          </w:p>
        </w:tc>
        <w:tc>
          <w:tcPr>
            <w:tcW w:w="222" w:type="dxa"/>
            <w:tcBorders>
              <w:left w:val="single" w:sz="4" w:space="0" w:color="auto"/>
            </w:tcBorders>
            <w:vAlign w:val="center"/>
            <w:hideMark/>
          </w:tcPr>
          <w:p w:rsidR="004220E1" w:rsidRPr="004220E1" w:rsidP="004220E1" w14:paraId="183FBEEA" w14:textId="77777777">
            <w:pPr>
              <w:widowControl/>
              <w:rPr>
                <w:rFonts w:ascii="Times New Roman" w:hAnsi="Times New Roman"/>
                <w:snapToGrid/>
                <w:sz w:val="20"/>
              </w:rPr>
            </w:pPr>
          </w:p>
        </w:tc>
      </w:tr>
      <w:tr w14:paraId="45C66B79" w14:textId="77777777" w:rsidTr="00586624">
        <w:tblPrEx>
          <w:tblW w:w="10623" w:type="dxa"/>
          <w:tblCellMar>
            <w:top w:w="15" w:type="dxa"/>
          </w:tblCellMar>
          <w:tblLook w:val="04A0"/>
        </w:tblPrEx>
        <w:trPr>
          <w:trHeight w:val="300"/>
        </w:trPr>
        <w:tc>
          <w:tcPr>
            <w:tcW w:w="10401" w:type="dxa"/>
            <w:gridSpan w:val="9"/>
            <w:tcBorders>
              <w:top w:val="single" w:sz="8" w:space="0" w:color="auto"/>
              <w:left w:val="single" w:sz="8" w:space="0" w:color="auto"/>
              <w:bottom w:val="single" w:sz="8" w:space="0" w:color="auto"/>
              <w:right w:val="single" w:sz="4" w:space="0" w:color="auto"/>
            </w:tcBorders>
            <w:shd w:val="clear" w:color="auto" w:fill="auto"/>
            <w:vAlign w:val="center"/>
          </w:tcPr>
          <w:p w:rsidR="004220E1" w:rsidRPr="00AF65FC" w:rsidP="00375190" w14:paraId="41ADF949" w14:textId="49B85470">
            <w:pPr>
              <w:widowControl/>
              <w:rPr>
                <w:rFonts w:ascii="Times New Roman" w:hAnsi="Times New Roman"/>
                <w:b/>
                <w:bCs/>
                <w:i/>
                <w:iCs/>
                <w:snapToGrid/>
                <w:color w:val="000000"/>
                <w:sz w:val="22"/>
                <w:szCs w:val="22"/>
              </w:rPr>
            </w:pPr>
            <w:r w:rsidRPr="00AF65FC">
              <w:rPr>
                <w:rFonts w:ascii="Times New Roman" w:hAnsi="Times New Roman"/>
                <w:snapToGrid/>
                <w:color w:val="000000"/>
                <w:sz w:val="18"/>
                <w:szCs w:val="18"/>
              </w:rPr>
              <w:t xml:space="preserve">Source: </w:t>
            </w:r>
            <w:r w:rsidRPr="00AF65FC">
              <w:rPr>
                <w:rFonts w:ascii="Times New Roman" w:hAnsi="Times New Roman"/>
                <w:color w:val="000000"/>
                <w:sz w:val="18"/>
                <w:szCs w:val="18"/>
              </w:rPr>
              <w:t xml:space="preserve"> Bureau of Labor Statistics</w:t>
            </w:r>
            <w:r w:rsidRPr="00AF65FC">
              <w:rPr>
                <w:rFonts w:ascii="Times New Roman" w:hAnsi="Times New Roman"/>
                <w:snapToGrid/>
                <w:color w:val="000000"/>
                <w:sz w:val="18"/>
                <w:szCs w:val="18"/>
              </w:rPr>
              <w:t>.</w:t>
            </w:r>
          </w:p>
        </w:tc>
        <w:tc>
          <w:tcPr>
            <w:tcW w:w="222" w:type="dxa"/>
            <w:tcBorders>
              <w:left w:val="single" w:sz="4" w:space="0" w:color="auto"/>
            </w:tcBorders>
            <w:vAlign w:val="center"/>
          </w:tcPr>
          <w:p w:rsidR="004220E1" w:rsidRPr="00AF65FC" w:rsidP="004220E1" w14:paraId="4A414A26" w14:textId="77777777">
            <w:pPr>
              <w:widowControl/>
              <w:rPr>
                <w:rFonts w:ascii="Times New Roman" w:hAnsi="Times New Roman"/>
                <w:snapToGrid/>
                <w:sz w:val="20"/>
              </w:rPr>
            </w:pPr>
          </w:p>
        </w:tc>
      </w:tr>
    </w:tbl>
    <w:p w:rsidR="000F36F0" w:rsidP="00EC31FD" w14:paraId="4CAA8600" w14:textId="77777777">
      <w:pPr>
        <w:widowControl/>
        <w:rPr>
          <w:rFonts w:ascii="Times New Roman" w:hAnsi="Times New Roman"/>
        </w:rPr>
      </w:pPr>
    </w:p>
    <w:tbl>
      <w:tblPr>
        <w:tblW w:w="10406" w:type="dxa"/>
        <w:tblLook w:val="04A0"/>
      </w:tblPr>
      <w:tblGrid>
        <w:gridCol w:w="2881"/>
        <w:gridCol w:w="3116"/>
        <w:gridCol w:w="2506"/>
        <w:gridCol w:w="1903"/>
      </w:tblGrid>
      <w:tr w14:paraId="144BE6A2" w14:textId="77777777" w:rsidTr="00267803">
        <w:tblPrEx>
          <w:tblW w:w="10406" w:type="dxa"/>
          <w:tblLook w:val="04A0"/>
        </w:tblPrEx>
        <w:trPr>
          <w:trHeight w:val="354"/>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67803" w:rsidRPr="00267803" w:rsidP="00BA4F4E" w14:paraId="07138E6F" w14:textId="6F4D813B">
            <w:pPr>
              <w:jc w:val="center"/>
              <w:rPr>
                <w:rFonts w:ascii="Times New Roman" w:hAnsi="Times New Roman"/>
                <w:color w:val="000000"/>
                <w:szCs w:val="24"/>
              </w:rPr>
            </w:pPr>
            <w:r w:rsidRPr="00267803">
              <w:rPr>
                <w:rFonts w:ascii="Times New Roman" w:hAnsi="Times New Roman"/>
                <w:color w:val="000000"/>
                <w:szCs w:val="24"/>
              </w:rPr>
              <w:t>Total Estimated Cost Burden (OMB No. 3064-0161)</w:t>
            </w:r>
          </w:p>
        </w:tc>
      </w:tr>
      <w:tr w14:paraId="3795C53F" w14:textId="77777777" w:rsidTr="00267803">
        <w:tblPrEx>
          <w:tblW w:w="10406" w:type="dxa"/>
          <w:tblLook w:val="04A0"/>
        </w:tblPrEx>
        <w:trPr>
          <w:trHeight w:val="5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67803" w:rsidRPr="00267803" w:rsidP="00BA4F4E" w14:paraId="3EDB9212" w14:textId="77777777">
            <w:pPr>
              <w:rPr>
                <w:rFonts w:ascii="Times New Roman" w:hAnsi="Times New Roman"/>
                <w:color w:val="000000"/>
                <w:sz w:val="20"/>
              </w:rPr>
            </w:pPr>
            <w:r w:rsidRPr="00267803">
              <w:rPr>
                <w:rFonts w:ascii="Times New Roman" w:hAnsi="Times New Roman"/>
                <w:color w:val="000000"/>
                <w:sz w:val="20"/>
              </w:rPr>
              <w:t>Information Collection Request</w:t>
            </w:r>
          </w:p>
        </w:tc>
        <w:tc>
          <w:tcPr>
            <w:tcW w:w="0" w:type="auto"/>
            <w:tcBorders>
              <w:top w:val="nil"/>
              <w:left w:val="nil"/>
              <w:bottom w:val="single" w:sz="8" w:space="0" w:color="auto"/>
              <w:right w:val="single" w:sz="8" w:space="0" w:color="auto"/>
            </w:tcBorders>
            <w:shd w:val="clear" w:color="auto" w:fill="auto"/>
            <w:vAlign w:val="center"/>
            <w:hideMark/>
          </w:tcPr>
          <w:p w:rsidR="00267803" w:rsidRPr="00267803" w:rsidP="00BA4F4E" w14:paraId="087F7F61" w14:textId="77777777">
            <w:pPr>
              <w:jc w:val="center"/>
              <w:rPr>
                <w:rFonts w:ascii="Times New Roman" w:hAnsi="Times New Roman"/>
                <w:color w:val="000000"/>
                <w:sz w:val="20"/>
              </w:rPr>
            </w:pPr>
            <w:r w:rsidRPr="00267803">
              <w:rPr>
                <w:rFonts w:ascii="Times New Roman" w:hAnsi="Times New Roman"/>
                <w:color w:val="000000"/>
                <w:sz w:val="20"/>
              </w:rPr>
              <w:t>Annual Burden (Hours)</w:t>
            </w:r>
          </w:p>
        </w:tc>
        <w:tc>
          <w:tcPr>
            <w:tcW w:w="0" w:type="auto"/>
            <w:tcBorders>
              <w:top w:val="nil"/>
              <w:left w:val="nil"/>
              <w:bottom w:val="single" w:sz="8" w:space="0" w:color="auto"/>
              <w:right w:val="single" w:sz="8" w:space="0" w:color="auto"/>
            </w:tcBorders>
            <w:shd w:val="clear" w:color="auto" w:fill="auto"/>
            <w:vAlign w:val="center"/>
            <w:hideMark/>
          </w:tcPr>
          <w:p w:rsidR="00267803" w:rsidRPr="00267803" w:rsidP="00BA4F4E" w14:paraId="1E46609E" w14:textId="77777777">
            <w:pPr>
              <w:jc w:val="center"/>
              <w:rPr>
                <w:rFonts w:ascii="Times New Roman" w:hAnsi="Times New Roman"/>
                <w:color w:val="000000"/>
                <w:sz w:val="20"/>
              </w:rPr>
            </w:pPr>
            <w:r w:rsidRPr="00267803">
              <w:rPr>
                <w:rFonts w:ascii="Times New Roman" w:hAnsi="Times New Roman"/>
                <w:color w:val="000000"/>
                <w:sz w:val="20"/>
              </w:rPr>
              <w:t>Weighted Average Hourly Compensation Rate</w:t>
            </w:r>
          </w:p>
        </w:tc>
        <w:tc>
          <w:tcPr>
            <w:tcW w:w="0" w:type="auto"/>
            <w:tcBorders>
              <w:top w:val="nil"/>
              <w:left w:val="nil"/>
              <w:bottom w:val="single" w:sz="8" w:space="0" w:color="auto"/>
              <w:right w:val="single" w:sz="8" w:space="0" w:color="auto"/>
            </w:tcBorders>
            <w:shd w:val="clear" w:color="auto" w:fill="auto"/>
            <w:vAlign w:val="center"/>
            <w:hideMark/>
          </w:tcPr>
          <w:p w:rsidR="00267803" w:rsidRPr="00267803" w:rsidP="00BA4F4E" w14:paraId="0CF53F9B" w14:textId="77777777">
            <w:pPr>
              <w:jc w:val="center"/>
              <w:rPr>
                <w:rFonts w:ascii="Times New Roman" w:hAnsi="Times New Roman"/>
                <w:color w:val="000000"/>
                <w:sz w:val="20"/>
              </w:rPr>
            </w:pPr>
            <w:r w:rsidRPr="00267803">
              <w:rPr>
                <w:rFonts w:ascii="Times New Roman" w:hAnsi="Times New Roman"/>
                <w:color w:val="000000"/>
                <w:sz w:val="20"/>
              </w:rPr>
              <w:t>Annual Respondent Cost</w:t>
            </w:r>
          </w:p>
        </w:tc>
      </w:tr>
      <w:tr w14:paraId="3C815B50" w14:textId="77777777" w:rsidTr="00267803">
        <w:tblPrEx>
          <w:tblW w:w="10406" w:type="dxa"/>
          <w:tblLook w:val="04A0"/>
        </w:tblPrEx>
        <w:trPr>
          <w:trHeight w:val="8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67803" w:rsidRPr="00267803" w:rsidP="00BA4F4E" w14:paraId="07BCD49C" w14:textId="77777777">
            <w:pPr>
              <w:rPr>
                <w:rFonts w:ascii="Times New Roman" w:hAnsi="Times New Roman"/>
                <w:color w:val="000000"/>
                <w:sz w:val="20"/>
              </w:rPr>
            </w:pPr>
            <w:r w:rsidRPr="00267803">
              <w:rPr>
                <w:rFonts w:ascii="Times New Roman" w:hAnsi="Times New Roman"/>
                <w:color w:val="000000"/>
                <w:sz w:val="20"/>
              </w:rPr>
              <w:t>Furnisher Information Accuracy and Integrity (FACTA 312)</w:t>
            </w:r>
          </w:p>
        </w:tc>
        <w:tc>
          <w:tcPr>
            <w:tcW w:w="0" w:type="auto"/>
            <w:tcBorders>
              <w:top w:val="nil"/>
              <w:left w:val="nil"/>
              <w:bottom w:val="single" w:sz="8" w:space="0" w:color="auto"/>
              <w:right w:val="single" w:sz="8" w:space="0" w:color="auto"/>
            </w:tcBorders>
            <w:shd w:val="clear" w:color="auto" w:fill="auto"/>
            <w:noWrap/>
            <w:vAlign w:val="center"/>
            <w:hideMark/>
          </w:tcPr>
          <w:p w:rsidR="00267803" w:rsidRPr="00267803" w:rsidP="00BA4F4E" w14:paraId="72352C86" w14:textId="77777777">
            <w:pPr>
              <w:ind w:firstLine="400" w:firstLineChars="200"/>
              <w:jc w:val="right"/>
              <w:rPr>
                <w:rFonts w:ascii="Times New Roman" w:hAnsi="Times New Roman"/>
                <w:color w:val="000000"/>
                <w:sz w:val="20"/>
              </w:rPr>
            </w:pPr>
            <w:r w:rsidRPr="00267803">
              <w:rPr>
                <w:rFonts w:ascii="Times New Roman" w:hAnsi="Times New Roman"/>
                <w:color w:val="000000"/>
                <w:sz w:val="20"/>
              </w:rPr>
              <w:t xml:space="preserve">                                     177,284 </w:t>
            </w:r>
          </w:p>
        </w:tc>
        <w:tc>
          <w:tcPr>
            <w:tcW w:w="0" w:type="auto"/>
            <w:tcBorders>
              <w:top w:val="nil"/>
              <w:left w:val="nil"/>
              <w:bottom w:val="single" w:sz="8" w:space="0" w:color="auto"/>
              <w:right w:val="single" w:sz="8" w:space="0" w:color="auto"/>
            </w:tcBorders>
            <w:shd w:val="clear" w:color="auto" w:fill="auto"/>
            <w:noWrap/>
            <w:vAlign w:val="center"/>
            <w:hideMark/>
          </w:tcPr>
          <w:p w:rsidR="00267803" w:rsidRPr="00267803" w:rsidP="00BA4F4E" w14:paraId="7CFA184C" w14:textId="77777777">
            <w:pPr>
              <w:ind w:firstLine="200" w:firstLineChars="100"/>
              <w:jc w:val="right"/>
              <w:rPr>
                <w:rFonts w:ascii="Times New Roman" w:hAnsi="Times New Roman"/>
                <w:color w:val="000000"/>
                <w:sz w:val="20"/>
              </w:rPr>
            </w:pPr>
            <w:r w:rsidRPr="00267803">
              <w:rPr>
                <w:rFonts w:ascii="Times New Roman" w:hAnsi="Times New Roman"/>
                <w:color w:val="000000"/>
                <w:sz w:val="20"/>
              </w:rPr>
              <w:t>$108.22</w:t>
            </w:r>
          </w:p>
        </w:tc>
        <w:tc>
          <w:tcPr>
            <w:tcW w:w="0" w:type="auto"/>
            <w:tcBorders>
              <w:top w:val="nil"/>
              <w:left w:val="nil"/>
              <w:bottom w:val="single" w:sz="8" w:space="0" w:color="auto"/>
              <w:right w:val="single" w:sz="8" w:space="0" w:color="auto"/>
            </w:tcBorders>
            <w:shd w:val="clear" w:color="auto" w:fill="auto"/>
            <w:noWrap/>
            <w:vAlign w:val="center"/>
            <w:hideMark/>
          </w:tcPr>
          <w:p w:rsidR="00267803" w:rsidRPr="00267803" w:rsidP="00BA4F4E" w14:paraId="2183131F" w14:textId="77777777">
            <w:pPr>
              <w:ind w:firstLine="200" w:firstLineChars="100"/>
              <w:jc w:val="right"/>
              <w:rPr>
                <w:rFonts w:ascii="Times New Roman" w:hAnsi="Times New Roman"/>
                <w:color w:val="000000"/>
                <w:sz w:val="20"/>
              </w:rPr>
            </w:pPr>
            <w:r w:rsidRPr="00267803">
              <w:rPr>
                <w:rFonts w:ascii="Times New Roman" w:hAnsi="Times New Roman"/>
                <w:color w:val="000000"/>
                <w:sz w:val="20"/>
              </w:rPr>
              <w:t>$19,185,674</w:t>
            </w:r>
          </w:p>
        </w:tc>
      </w:tr>
      <w:tr w14:paraId="20F96CE9" w14:textId="77777777" w:rsidTr="00267803">
        <w:tblPrEx>
          <w:tblW w:w="10406" w:type="dxa"/>
          <w:tblLook w:val="04A0"/>
        </w:tblPrEx>
        <w:trPr>
          <w:trHeight w:val="354"/>
        </w:trPr>
        <w:tc>
          <w:tcPr>
            <w:tcW w:w="0" w:type="auto"/>
            <w:gridSpan w:val="3"/>
            <w:tcBorders>
              <w:top w:val="single" w:sz="8" w:space="0" w:color="auto"/>
              <w:left w:val="single" w:sz="8" w:space="0" w:color="auto"/>
              <w:bottom w:val="single" w:sz="8" w:space="0" w:color="auto"/>
              <w:right w:val="nil"/>
            </w:tcBorders>
            <w:shd w:val="clear" w:color="000000" w:fill="FFFFFF"/>
            <w:noWrap/>
            <w:vAlign w:val="center"/>
            <w:hideMark/>
          </w:tcPr>
          <w:p w:rsidR="00267803" w:rsidRPr="00267803" w:rsidP="00BA4F4E" w14:paraId="4998D7BD" w14:textId="77777777">
            <w:pPr>
              <w:jc w:val="right"/>
              <w:rPr>
                <w:rFonts w:ascii="Times New Roman" w:hAnsi="Times New Roman"/>
                <w:b/>
                <w:bCs/>
                <w:i/>
                <w:iCs/>
                <w:color w:val="000000"/>
              </w:rPr>
            </w:pPr>
            <w:r w:rsidRPr="00267803">
              <w:rPr>
                <w:rFonts w:ascii="Times New Roman" w:hAnsi="Times New Roman"/>
                <w:b/>
                <w:bCs/>
                <w:i/>
                <w:iCs/>
                <w:color w:val="000000"/>
              </w:rPr>
              <w:t>Total Annual Respondent Cost:</w:t>
            </w:r>
          </w:p>
        </w:tc>
        <w:tc>
          <w:tcPr>
            <w:tcW w:w="0" w:type="auto"/>
            <w:tcBorders>
              <w:top w:val="nil"/>
              <w:left w:val="nil"/>
              <w:bottom w:val="single" w:sz="8" w:space="0" w:color="auto"/>
              <w:right w:val="single" w:sz="8" w:space="0" w:color="auto"/>
            </w:tcBorders>
            <w:shd w:val="clear" w:color="000000" w:fill="FFFFFF"/>
            <w:vAlign w:val="center"/>
            <w:hideMark/>
          </w:tcPr>
          <w:p w:rsidR="00267803" w:rsidRPr="00267803" w:rsidP="00BA4F4E" w14:paraId="07995909" w14:textId="77777777">
            <w:pPr>
              <w:ind w:firstLine="240" w:firstLineChars="100"/>
              <w:jc w:val="right"/>
              <w:rPr>
                <w:rFonts w:ascii="Times New Roman" w:hAnsi="Times New Roman"/>
                <w:b/>
                <w:bCs/>
                <w:i/>
                <w:iCs/>
                <w:color w:val="000000"/>
              </w:rPr>
            </w:pPr>
            <w:r w:rsidRPr="00267803">
              <w:rPr>
                <w:rFonts w:ascii="Times New Roman" w:hAnsi="Times New Roman"/>
                <w:b/>
                <w:bCs/>
                <w:i/>
                <w:iCs/>
                <w:color w:val="000000"/>
              </w:rPr>
              <w:t xml:space="preserve">$19,185,674 </w:t>
            </w:r>
          </w:p>
        </w:tc>
      </w:tr>
      <w:tr w14:paraId="2E48F08D" w14:textId="77777777" w:rsidTr="00267803">
        <w:tblPrEx>
          <w:tblW w:w="10406" w:type="dxa"/>
          <w:tblLook w:val="04A0"/>
        </w:tblPrEx>
        <w:trPr>
          <w:trHeight w:val="281"/>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hideMark/>
          </w:tcPr>
          <w:p w:rsidR="00267803" w:rsidRPr="00267803" w:rsidP="00BA4F4E" w14:paraId="1BD3FACB" w14:textId="3EB6364A">
            <w:pPr>
              <w:rPr>
                <w:rFonts w:ascii="Times New Roman" w:hAnsi="Times New Roman"/>
                <w:color w:val="000000"/>
                <w:sz w:val="18"/>
                <w:szCs w:val="18"/>
              </w:rPr>
            </w:pPr>
            <w:r w:rsidRPr="00267803">
              <w:rPr>
                <w:rFonts w:ascii="Times New Roman" w:hAnsi="Times New Roman"/>
                <w:color w:val="000000"/>
                <w:sz w:val="18"/>
                <w:szCs w:val="18"/>
              </w:rPr>
              <w:t xml:space="preserve">Source: FDIC. </w:t>
            </w:r>
          </w:p>
        </w:tc>
      </w:tr>
    </w:tbl>
    <w:p w:rsidR="00267803" w:rsidP="00EC31FD" w14:paraId="665A8BCD" w14:textId="77777777">
      <w:pPr>
        <w:widowControl/>
        <w:rPr>
          <w:rFonts w:ascii="Times New Roman" w:hAnsi="Times New Roman"/>
        </w:rPr>
      </w:pPr>
    </w:p>
    <w:p w:rsidR="00820109" w14:paraId="44E38C8F" w14:textId="77777777">
      <w:pPr>
        <w:widowControl/>
        <w:ind w:left="1152" w:firstLine="288"/>
        <w:rPr>
          <w:rFonts w:ascii="Times New Roman" w:hAnsi="Times New Roman"/>
        </w:rPr>
      </w:pPr>
    </w:p>
    <w:p w:rsidR="00F146F1" w:rsidRPr="002423D4" w:rsidP="002423D4" w14:paraId="68942CA1" w14:textId="47490CE8">
      <w:pPr>
        <w:numPr>
          <w:ilvl w:val="0"/>
          <w:numId w:val="4"/>
        </w:numPr>
        <w:tabs>
          <w:tab w:val="left" w:pos="480"/>
          <w:tab w:val="left" w:pos="1080"/>
        </w:tabs>
        <w:suppressAutoHyphens/>
        <w:rPr>
          <w:rFonts w:ascii="Times New Roman" w:hAnsi="Times New Roman"/>
        </w:rPr>
      </w:pPr>
      <w:r w:rsidRPr="00AD7D87">
        <w:rPr>
          <w:rFonts w:ascii="Times New Roman" w:hAnsi="Times New Roman"/>
          <w:u w:val="single"/>
        </w:rPr>
        <w:t>Capital, Start-up, Operating, and Maintenance Estimate of Start-up Costs to Respondents</w:t>
      </w:r>
      <w:r w:rsidRPr="00366534" w:rsidR="002423D4">
        <w:rPr>
          <w:rFonts w:ascii="Times New Roman" w:hAnsi="Times New Roman"/>
          <w:u w:val="single"/>
        </w:rPr>
        <w:t>:</w:t>
      </w:r>
    </w:p>
    <w:p w:rsidR="00F146F1" w14:paraId="1780FECC" w14:textId="77777777">
      <w:pPr>
        <w:widowControl/>
        <w:rPr>
          <w:rFonts w:ascii="Times New Roman" w:hAnsi="Times New Roman"/>
        </w:rPr>
      </w:pPr>
    </w:p>
    <w:p w:rsidR="00F146F1" w14:paraId="4ABB9793" w14:textId="77777777">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14:paraId="25AF74CF" w14:textId="244703C6">
      <w:pPr>
        <w:widowControl/>
        <w:rPr>
          <w:rFonts w:ascii="Times New Roman" w:hAnsi="Times New Roman"/>
        </w:rPr>
      </w:pPr>
      <w:r>
        <w:rPr>
          <w:rFonts w:ascii="Times New Roman" w:hAnsi="Times New Roman"/>
        </w:rPr>
        <w:br w:type="page"/>
      </w:r>
    </w:p>
    <w:p w:rsidR="00F146F1" w:rsidP="00F175D5" w14:paraId="780F1226" w14:textId="77777777">
      <w:pPr>
        <w:widowControl/>
        <w:numPr>
          <w:ilvl w:val="0"/>
          <w:numId w:val="4"/>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14:paraId="753845F8" w14:textId="77777777">
      <w:pPr>
        <w:widowControl/>
        <w:rPr>
          <w:rFonts w:ascii="Times New Roman" w:hAnsi="Times New Roman"/>
        </w:rPr>
      </w:pPr>
    </w:p>
    <w:p w:rsidR="00F146F1" w14:paraId="0AE13934" w14:textId="77777777">
      <w:pPr>
        <w:widowControl/>
        <w:ind w:left="1440"/>
        <w:rPr>
          <w:rFonts w:ascii="Times New Roman" w:hAnsi="Times New Roman"/>
        </w:rPr>
      </w:pPr>
      <w:r>
        <w:rPr>
          <w:rFonts w:ascii="Times New Roman" w:hAnsi="Times New Roman"/>
        </w:rPr>
        <w:t xml:space="preserve">None. </w:t>
      </w:r>
    </w:p>
    <w:p w:rsidR="00F146F1" w14:paraId="7D5C27F9" w14:textId="77777777">
      <w:pPr>
        <w:widowControl/>
        <w:ind w:left="1440"/>
        <w:rPr>
          <w:rFonts w:ascii="Times New Roman" w:hAnsi="Times New Roman"/>
        </w:rPr>
      </w:pPr>
    </w:p>
    <w:p w:rsidR="00F146F1" w:rsidRPr="009234BE" w:rsidP="002423D4" w14:paraId="5376827A" w14:textId="022D114D">
      <w:pPr>
        <w:numPr>
          <w:ilvl w:val="0"/>
          <w:numId w:val="4"/>
        </w:numPr>
        <w:tabs>
          <w:tab w:val="left" w:pos="480"/>
          <w:tab w:val="left" w:pos="1080"/>
          <w:tab w:val="left" w:pos="1680"/>
        </w:tabs>
        <w:suppressAutoHyphens/>
        <w:rPr>
          <w:rFonts w:ascii="Times New Roman" w:hAnsi="Times New Roman"/>
        </w:rPr>
      </w:pPr>
      <w:r w:rsidRPr="009234BE">
        <w:rPr>
          <w:rFonts w:ascii="Times New Roman" w:hAnsi="Times New Roman"/>
          <w:u w:val="single"/>
        </w:rPr>
        <w:t xml:space="preserve">Analysis of </w:t>
      </w:r>
      <w:r w:rsidR="008C21F5">
        <w:rPr>
          <w:rFonts w:ascii="Times New Roman" w:hAnsi="Times New Roman"/>
          <w:u w:val="single"/>
        </w:rPr>
        <w:t>C</w:t>
      </w:r>
      <w:r w:rsidRPr="009234BE">
        <w:rPr>
          <w:rFonts w:ascii="Times New Roman" w:hAnsi="Times New Roman"/>
          <w:u w:val="single"/>
        </w:rPr>
        <w:t xml:space="preserve">hange in </w:t>
      </w:r>
      <w:r w:rsidR="008C21F5">
        <w:rPr>
          <w:rFonts w:ascii="Times New Roman" w:hAnsi="Times New Roman"/>
          <w:u w:val="single"/>
        </w:rPr>
        <w:t>B</w:t>
      </w:r>
      <w:r w:rsidRPr="009234BE">
        <w:rPr>
          <w:rFonts w:ascii="Times New Roman" w:hAnsi="Times New Roman"/>
          <w:u w:val="single"/>
        </w:rPr>
        <w:t>urden:</w:t>
      </w:r>
    </w:p>
    <w:p w:rsidR="00F146F1" w14:paraId="04786874" w14:textId="77777777">
      <w:pPr>
        <w:widowControl/>
        <w:rPr>
          <w:rFonts w:ascii="Times New Roman" w:hAnsi="Times New Roman"/>
        </w:rPr>
      </w:pPr>
    </w:p>
    <w:p w:rsidR="00821720" w:rsidRPr="00821720" w:rsidP="00821720" w14:paraId="1A4BCD5C" w14:textId="77959C5F">
      <w:pPr>
        <w:tabs>
          <w:tab w:val="left" w:pos="-1440"/>
        </w:tabs>
        <w:ind w:left="1440"/>
        <w:rPr>
          <w:rFonts w:ascii="Times New Roman" w:hAnsi="Times New Roman"/>
          <w:spacing w:val="-3"/>
        </w:rPr>
      </w:pPr>
      <w:r w:rsidRPr="001F2335">
        <w:rPr>
          <w:rFonts w:ascii="Times New Roman" w:hAnsi="Times New Roman"/>
          <w:spacing w:val="-3"/>
        </w:rPr>
        <w:t xml:space="preserve">There is no change in the method or substance of the collection.  The overall </w:t>
      </w:r>
      <w:r w:rsidR="00692F7B">
        <w:rPr>
          <w:rFonts w:ascii="Times New Roman" w:hAnsi="Times New Roman"/>
          <w:spacing w:val="-3"/>
        </w:rPr>
        <w:t>increase</w:t>
      </w:r>
      <w:r w:rsidRPr="001F2335">
        <w:rPr>
          <w:rFonts w:ascii="Times New Roman" w:hAnsi="Times New Roman"/>
          <w:spacing w:val="-3"/>
        </w:rPr>
        <w:t xml:space="preserve"> in burden hours (from </w:t>
      </w:r>
      <w:r w:rsidR="00692F7B">
        <w:rPr>
          <w:rFonts w:ascii="Times New Roman" w:hAnsi="Times New Roman"/>
          <w:spacing w:val="-3"/>
        </w:rPr>
        <w:t>15</w:t>
      </w:r>
      <w:r w:rsidR="00EE3796">
        <w:rPr>
          <w:rFonts w:ascii="Times New Roman" w:hAnsi="Times New Roman"/>
          <w:spacing w:val="-3"/>
        </w:rPr>
        <w:t>9</w:t>
      </w:r>
      <w:r w:rsidR="00692F7B">
        <w:rPr>
          <w:rFonts w:ascii="Times New Roman" w:hAnsi="Times New Roman"/>
          <w:spacing w:val="-3"/>
        </w:rPr>
        <w:t>,</w:t>
      </w:r>
      <w:r w:rsidR="00EE3796">
        <w:rPr>
          <w:rFonts w:ascii="Times New Roman" w:hAnsi="Times New Roman"/>
          <w:spacing w:val="-3"/>
        </w:rPr>
        <w:t>303</w:t>
      </w:r>
      <w:r w:rsidRPr="001F2335">
        <w:rPr>
          <w:rFonts w:ascii="Times New Roman" w:hAnsi="Times New Roman"/>
          <w:spacing w:val="-3"/>
        </w:rPr>
        <w:t xml:space="preserve"> hours to </w:t>
      </w:r>
      <w:r w:rsidR="00692F7B">
        <w:rPr>
          <w:rFonts w:ascii="Times New Roman" w:hAnsi="Times New Roman"/>
          <w:spacing w:val="-3"/>
        </w:rPr>
        <w:t>1</w:t>
      </w:r>
      <w:r w:rsidR="006910DA">
        <w:rPr>
          <w:rFonts w:ascii="Times New Roman" w:hAnsi="Times New Roman"/>
          <w:spacing w:val="-3"/>
        </w:rPr>
        <w:t>77</w:t>
      </w:r>
      <w:r w:rsidR="00692F7B">
        <w:rPr>
          <w:rFonts w:ascii="Times New Roman" w:hAnsi="Times New Roman"/>
          <w:spacing w:val="-3"/>
        </w:rPr>
        <w:t>,</w:t>
      </w:r>
      <w:r w:rsidR="006910DA">
        <w:rPr>
          <w:rFonts w:ascii="Times New Roman" w:hAnsi="Times New Roman"/>
          <w:spacing w:val="-3"/>
        </w:rPr>
        <w:t>284</w:t>
      </w:r>
      <w:r w:rsidRPr="001F2335">
        <w:rPr>
          <w:rFonts w:ascii="Times New Roman" w:hAnsi="Times New Roman"/>
          <w:spacing w:val="-3"/>
        </w:rPr>
        <w:t xml:space="preserve"> hours) is the result of economic fluctuation.  </w:t>
      </w:r>
      <w:r w:rsidRPr="00821720">
        <w:rPr>
          <w:rFonts w:ascii="Times New Roman" w:hAnsi="Times New Roman"/>
          <w:spacing w:val="-3"/>
        </w:rPr>
        <w:t>In particular</w:t>
      </w:r>
      <w:r w:rsidR="00692F7B">
        <w:rPr>
          <w:rFonts w:ascii="Times New Roman" w:hAnsi="Times New Roman"/>
          <w:spacing w:val="-3"/>
        </w:rPr>
        <w:t xml:space="preserve">, the </w:t>
      </w:r>
      <w:r w:rsidR="0057363A">
        <w:rPr>
          <w:rFonts w:ascii="Times New Roman" w:hAnsi="Times New Roman"/>
          <w:spacing w:val="-3"/>
        </w:rPr>
        <w:t xml:space="preserve">estimated </w:t>
      </w:r>
      <w:r w:rsidR="00692F7B">
        <w:rPr>
          <w:rFonts w:ascii="Times New Roman" w:hAnsi="Times New Roman"/>
          <w:spacing w:val="-3"/>
        </w:rPr>
        <w:t xml:space="preserve">number of </w:t>
      </w:r>
      <w:r w:rsidR="0057363A">
        <w:rPr>
          <w:rFonts w:ascii="Times New Roman" w:hAnsi="Times New Roman"/>
          <w:spacing w:val="-3"/>
        </w:rPr>
        <w:t>responses</w:t>
      </w:r>
      <w:r w:rsidR="0051604F">
        <w:rPr>
          <w:rFonts w:ascii="Times New Roman" w:hAnsi="Times New Roman"/>
          <w:spacing w:val="-3"/>
        </w:rPr>
        <w:t xml:space="preserve"> per </w:t>
      </w:r>
      <w:r w:rsidR="00692F7B">
        <w:rPr>
          <w:rFonts w:ascii="Times New Roman" w:hAnsi="Times New Roman"/>
          <w:spacing w:val="-3"/>
        </w:rPr>
        <w:t xml:space="preserve">respondents </w:t>
      </w:r>
      <w:r w:rsidR="00766761">
        <w:rPr>
          <w:rFonts w:ascii="Times New Roman" w:hAnsi="Times New Roman"/>
          <w:spacing w:val="-3"/>
        </w:rPr>
        <w:t xml:space="preserve">has </w:t>
      </w:r>
      <w:r w:rsidR="00F07E72">
        <w:rPr>
          <w:rFonts w:ascii="Times New Roman" w:hAnsi="Times New Roman"/>
          <w:spacing w:val="-3"/>
        </w:rPr>
        <w:t>increased</w:t>
      </w:r>
      <w:r w:rsidR="00692F7B">
        <w:rPr>
          <w:rFonts w:ascii="Times New Roman" w:hAnsi="Times New Roman"/>
          <w:spacing w:val="-3"/>
        </w:rPr>
        <w:t xml:space="preserve"> while the hours per response </w:t>
      </w:r>
      <w:r w:rsidRPr="00821720">
        <w:rPr>
          <w:rFonts w:ascii="Times New Roman" w:hAnsi="Times New Roman"/>
          <w:spacing w:val="-3"/>
        </w:rPr>
        <w:t xml:space="preserve">remained the same.  </w:t>
      </w:r>
    </w:p>
    <w:p w:rsidR="00D5774D" w:rsidP="003548EB" w14:paraId="69120422" w14:textId="77777777">
      <w:pPr>
        <w:widowControl/>
        <w:ind w:left="1440"/>
        <w:rPr>
          <w:rFonts w:ascii="Times New Roman" w:hAnsi="Times New Roman"/>
        </w:rPr>
      </w:pPr>
    </w:p>
    <w:p w:rsidR="00F146F1" w:rsidP="00F175D5" w14:paraId="733571A7" w14:textId="77777777">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14:paraId="645603AF" w14:textId="77777777">
      <w:pPr>
        <w:widowControl/>
        <w:rPr>
          <w:rFonts w:ascii="Times New Roman" w:hAnsi="Times New Roman"/>
        </w:rPr>
      </w:pPr>
    </w:p>
    <w:p w:rsidR="00820109" w:rsidP="00573F81" w14:paraId="52D83FB1" w14:textId="77777777">
      <w:pPr>
        <w:widowControl/>
        <w:ind w:left="1296" w:firstLine="144"/>
        <w:rPr>
          <w:rFonts w:ascii="Times New Roman" w:hAnsi="Times New Roman"/>
        </w:rPr>
      </w:pPr>
      <w:r w:rsidRPr="00573F81">
        <w:rPr>
          <w:rFonts w:ascii="Times New Roman" w:hAnsi="Times New Roman"/>
        </w:rPr>
        <w:t>Th</w:t>
      </w:r>
      <w:r w:rsidR="00EC31FD">
        <w:rPr>
          <w:rFonts w:ascii="Times New Roman" w:hAnsi="Times New Roman"/>
        </w:rPr>
        <w:t>e</w:t>
      </w:r>
      <w:r w:rsidRPr="00573F81">
        <w:rPr>
          <w:rFonts w:ascii="Times New Roman" w:hAnsi="Times New Roman"/>
        </w:rPr>
        <w:t xml:space="preserve"> information contained in this collection is not published</w:t>
      </w:r>
      <w:r w:rsidR="00C856F6">
        <w:rPr>
          <w:rFonts w:ascii="Times New Roman" w:hAnsi="Times New Roman"/>
        </w:rPr>
        <w:t>.</w:t>
      </w:r>
    </w:p>
    <w:p w:rsidR="00820109" w14:paraId="4D105173" w14:textId="77777777">
      <w:pPr>
        <w:widowControl/>
        <w:rPr>
          <w:rFonts w:ascii="Times New Roman" w:hAnsi="Times New Roman"/>
        </w:rPr>
      </w:pPr>
    </w:p>
    <w:p w:rsidR="00F146F1" w:rsidP="00F175D5" w14:paraId="0611950D" w14:textId="246419BD">
      <w:pPr>
        <w:widowControl/>
        <w:numPr>
          <w:ilvl w:val="0"/>
          <w:numId w:val="4"/>
        </w:numPr>
        <w:rPr>
          <w:rFonts w:ascii="Times New Roman" w:hAnsi="Times New Roman"/>
        </w:rPr>
      </w:pPr>
      <w:r>
        <w:rPr>
          <w:rFonts w:ascii="Times New Roman" w:hAnsi="Times New Roman"/>
          <w:u w:val="single"/>
        </w:rPr>
        <w:t>Display of E</w:t>
      </w:r>
      <w:r w:rsidRPr="00366534">
        <w:rPr>
          <w:rFonts w:ascii="Times New Roman" w:hAnsi="Times New Roman"/>
          <w:u w:val="single"/>
        </w:rPr>
        <w:t xml:space="preserve">xpiration </w:t>
      </w:r>
      <w:r>
        <w:rPr>
          <w:rFonts w:ascii="Times New Roman" w:hAnsi="Times New Roman"/>
          <w:u w:val="single"/>
        </w:rPr>
        <w:t>D</w:t>
      </w:r>
      <w:r w:rsidRPr="00366534">
        <w:rPr>
          <w:rFonts w:ascii="Times New Roman" w:hAnsi="Times New Roman"/>
          <w:u w:val="single"/>
        </w:rPr>
        <w:t>ate</w:t>
      </w:r>
      <w:r w:rsidR="00C856F6">
        <w:rPr>
          <w:rFonts w:ascii="Times New Roman" w:hAnsi="Times New Roman"/>
          <w:u w:val="single"/>
        </w:rPr>
        <w:t>:</w:t>
      </w:r>
    </w:p>
    <w:p w:rsidR="00F146F1" w14:paraId="6B8FD941" w14:textId="77777777">
      <w:pPr>
        <w:widowControl/>
        <w:rPr>
          <w:rFonts w:ascii="Times New Roman" w:hAnsi="Times New Roman"/>
        </w:rPr>
      </w:pPr>
    </w:p>
    <w:p w:rsidR="008F47F2" w:rsidRPr="008F47F2" w:rsidP="008F47F2" w14:paraId="088E8209" w14:textId="77777777">
      <w:pPr>
        <w:widowControl/>
        <w:ind w:left="1296" w:firstLine="144"/>
        <w:rPr>
          <w:rFonts w:ascii="Times New Roman" w:hAnsi="Times New Roman"/>
        </w:rPr>
      </w:pPr>
      <w:r w:rsidRPr="008F47F2">
        <w:rPr>
          <w:rFonts w:ascii="Times New Roman" w:hAnsi="Times New Roman"/>
        </w:rPr>
        <w:t>This information collection is contained in a regulation.</w:t>
      </w:r>
    </w:p>
    <w:p w:rsidR="00EC31FD" w:rsidP="00820109" w14:paraId="5E1F4AA4" w14:textId="77777777">
      <w:pPr>
        <w:widowControl/>
        <w:ind w:left="1296" w:firstLine="144"/>
        <w:rPr>
          <w:rFonts w:ascii="Times New Roman" w:hAnsi="Times New Roman"/>
        </w:rPr>
      </w:pPr>
    </w:p>
    <w:p w:rsidR="00F146F1" w:rsidP="00F175D5" w14:paraId="717F5855" w14:textId="77777777">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14:paraId="3D6C9E27" w14:textId="77777777">
      <w:pPr>
        <w:widowControl/>
        <w:rPr>
          <w:rFonts w:ascii="Times New Roman" w:hAnsi="Times New Roman"/>
        </w:rPr>
      </w:pPr>
    </w:p>
    <w:p w:rsidR="00F146F1" w14:paraId="0AFC1FF4" w14:textId="77777777">
      <w:pPr>
        <w:widowControl/>
        <w:ind w:left="1296" w:firstLine="144"/>
        <w:rPr>
          <w:rFonts w:ascii="Times New Roman" w:hAnsi="Times New Roman"/>
        </w:rPr>
      </w:pPr>
      <w:r>
        <w:rPr>
          <w:rFonts w:ascii="Times New Roman" w:hAnsi="Times New Roman"/>
        </w:rPr>
        <w:t xml:space="preserve">None. </w:t>
      </w:r>
    </w:p>
    <w:p w:rsidR="00F146F1" w14:paraId="056288B2" w14:textId="77777777">
      <w:pPr>
        <w:pStyle w:val="Footer"/>
        <w:widowControl/>
        <w:tabs>
          <w:tab w:val="clear" w:pos="4320"/>
          <w:tab w:val="clear" w:pos="8640"/>
        </w:tabs>
        <w:rPr>
          <w:rFonts w:ascii="Times New Roman" w:hAnsi="Times New Roman"/>
        </w:rPr>
      </w:pPr>
    </w:p>
    <w:p w:rsidR="00F146F1" w:rsidP="0024672A" w14:paraId="3022B8DB" w14:textId="77777777">
      <w:pPr>
        <w:widowControl/>
        <w:numPr>
          <w:ilvl w:val="0"/>
          <w:numId w:val="2"/>
        </w:numPr>
        <w:rPr>
          <w:rFonts w:ascii="Times New Roman" w:hAnsi="Times New Roman"/>
        </w:rPr>
      </w:pPr>
      <w:r>
        <w:rPr>
          <w:rFonts w:ascii="Times New Roman" w:hAnsi="Times New Roman"/>
          <w:u w:val="single"/>
        </w:rPr>
        <w:t>STATISTICAL METHODS</w:t>
      </w:r>
    </w:p>
    <w:p w:rsidR="00F146F1" w14:paraId="3F1A7922" w14:textId="77777777">
      <w:pPr>
        <w:widowControl/>
        <w:rPr>
          <w:rFonts w:ascii="Times New Roman" w:hAnsi="Times New Roman"/>
        </w:rPr>
      </w:pPr>
    </w:p>
    <w:p w:rsidR="00F146F1" w14:paraId="75A5E371" w14:textId="77777777">
      <w:pPr>
        <w:ind w:firstLine="720"/>
      </w:pPr>
      <w:r>
        <w:rPr>
          <w:rFonts w:ascii="Times New Roman" w:hAnsi="Times New Roman"/>
        </w:rPr>
        <w:t>Statistical methods are not employed in this collection.</w:t>
      </w:r>
    </w:p>
    <w:sectPr w:rsidSect="00B91D2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3589A1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B6E" w:rsidRPr="00AB4B6E" w14:paraId="53A0F483" w14:textId="77777777">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F33E37">
      <w:rPr>
        <w:rFonts w:ascii="Times New Roman" w:hAnsi="Times New Roman"/>
        <w:noProof/>
      </w:rPr>
      <w:t>5</w:t>
    </w:r>
    <w:r w:rsidRPr="00AB4B6E">
      <w:rPr>
        <w:rFonts w:ascii="Times New Roman" w:hAnsi="Times New Roman"/>
        <w:noProof/>
      </w:rPr>
      <w:fldChar w:fldCharType="end"/>
    </w:r>
  </w:p>
  <w:p w:rsidR="00AB4B6E" w14:paraId="60D12C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1D018F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1EA811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17C452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3581ED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A523C"/>
    <w:multiLevelType w:val="hybridMultilevel"/>
    <w:tmpl w:val="6ED445DA"/>
    <w:lvl w:ilvl="0">
      <w:start w:val="1"/>
      <w:numFmt w:val="decimal"/>
      <w:lvlText w:val="%1."/>
      <w:lvlJc w:val="left"/>
      <w:pPr>
        <w:ind w:left="1440" w:hanging="864"/>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nsid w:val="24411919"/>
    <w:multiLevelType w:val="hybridMultilevel"/>
    <w:tmpl w:val="6E22AA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3446CD4"/>
    <w:multiLevelType w:val="hybridMultilevel"/>
    <w:tmpl w:val="BA4A55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7436B8"/>
    <w:multiLevelType w:val="hybridMultilevel"/>
    <w:tmpl w:val="FD229DE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8471174">
    <w:abstractNumId w:val="3"/>
  </w:num>
  <w:num w:numId="2" w16cid:durableId="1485465346">
    <w:abstractNumId w:val="4"/>
  </w:num>
  <w:num w:numId="3" w16cid:durableId="440950948">
    <w:abstractNumId w:val="0"/>
  </w:num>
  <w:num w:numId="4" w16cid:durableId="1958291961">
    <w:abstractNumId w:val="2"/>
  </w:num>
  <w:num w:numId="5" w16cid:durableId="92518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3A"/>
    <w:rsid w:val="000014B9"/>
    <w:rsid w:val="000203BD"/>
    <w:rsid w:val="000305E9"/>
    <w:rsid w:val="00041792"/>
    <w:rsid w:val="000467FC"/>
    <w:rsid w:val="00091BEA"/>
    <w:rsid w:val="000B2466"/>
    <w:rsid w:val="000D5C9E"/>
    <w:rsid w:val="000E621B"/>
    <w:rsid w:val="000F36F0"/>
    <w:rsid w:val="000F78A5"/>
    <w:rsid w:val="0010602E"/>
    <w:rsid w:val="001326BC"/>
    <w:rsid w:val="00133277"/>
    <w:rsid w:val="00145F58"/>
    <w:rsid w:val="0019296B"/>
    <w:rsid w:val="001B6E46"/>
    <w:rsid w:val="001C1315"/>
    <w:rsid w:val="001F2335"/>
    <w:rsid w:val="002259F8"/>
    <w:rsid w:val="00227500"/>
    <w:rsid w:val="00233FA3"/>
    <w:rsid w:val="002423D4"/>
    <w:rsid w:val="00243153"/>
    <w:rsid w:val="00244DE1"/>
    <w:rsid w:val="0024672A"/>
    <w:rsid w:val="00257FD9"/>
    <w:rsid w:val="00263676"/>
    <w:rsid w:val="00267803"/>
    <w:rsid w:val="00275749"/>
    <w:rsid w:val="002761FD"/>
    <w:rsid w:val="00280958"/>
    <w:rsid w:val="00293E01"/>
    <w:rsid w:val="002B69D8"/>
    <w:rsid w:val="002D08FA"/>
    <w:rsid w:val="002E7411"/>
    <w:rsid w:val="0030358E"/>
    <w:rsid w:val="00312424"/>
    <w:rsid w:val="003548EB"/>
    <w:rsid w:val="00360271"/>
    <w:rsid w:val="00366534"/>
    <w:rsid w:val="00375190"/>
    <w:rsid w:val="00397D8A"/>
    <w:rsid w:val="003B6611"/>
    <w:rsid w:val="00403156"/>
    <w:rsid w:val="004220E1"/>
    <w:rsid w:val="004236C6"/>
    <w:rsid w:val="00440B98"/>
    <w:rsid w:val="00440BFE"/>
    <w:rsid w:val="00450EA2"/>
    <w:rsid w:val="004610F8"/>
    <w:rsid w:val="004A1DB1"/>
    <w:rsid w:val="004A239A"/>
    <w:rsid w:val="004A735C"/>
    <w:rsid w:val="004A75C2"/>
    <w:rsid w:val="004D178A"/>
    <w:rsid w:val="004D39FB"/>
    <w:rsid w:val="00515E50"/>
    <w:rsid w:val="0051604F"/>
    <w:rsid w:val="00525FCC"/>
    <w:rsid w:val="00554ED6"/>
    <w:rsid w:val="0057363A"/>
    <w:rsid w:val="00573F81"/>
    <w:rsid w:val="00577D56"/>
    <w:rsid w:val="00583579"/>
    <w:rsid w:val="0058474C"/>
    <w:rsid w:val="005C1F65"/>
    <w:rsid w:val="005C3A95"/>
    <w:rsid w:val="005D7D11"/>
    <w:rsid w:val="005E1A91"/>
    <w:rsid w:val="00621A3B"/>
    <w:rsid w:val="00665011"/>
    <w:rsid w:val="00685D84"/>
    <w:rsid w:val="006910DA"/>
    <w:rsid w:val="00692F7B"/>
    <w:rsid w:val="006C40EC"/>
    <w:rsid w:val="006D363B"/>
    <w:rsid w:val="006E7CE7"/>
    <w:rsid w:val="00712BA4"/>
    <w:rsid w:val="00766761"/>
    <w:rsid w:val="007A5DB9"/>
    <w:rsid w:val="007C18CB"/>
    <w:rsid w:val="007C7C88"/>
    <w:rsid w:val="007D0E2E"/>
    <w:rsid w:val="007E19E5"/>
    <w:rsid w:val="008036B1"/>
    <w:rsid w:val="00820109"/>
    <w:rsid w:val="00821720"/>
    <w:rsid w:val="0086148F"/>
    <w:rsid w:val="00864737"/>
    <w:rsid w:val="00893BA0"/>
    <w:rsid w:val="008A4D89"/>
    <w:rsid w:val="008C21F5"/>
    <w:rsid w:val="008D5746"/>
    <w:rsid w:val="008F47F2"/>
    <w:rsid w:val="009122FC"/>
    <w:rsid w:val="00915517"/>
    <w:rsid w:val="00917DC4"/>
    <w:rsid w:val="009234BE"/>
    <w:rsid w:val="00940034"/>
    <w:rsid w:val="009533E6"/>
    <w:rsid w:val="00966D55"/>
    <w:rsid w:val="009A2D61"/>
    <w:rsid w:val="009B06DB"/>
    <w:rsid w:val="009D2562"/>
    <w:rsid w:val="009D6FFC"/>
    <w:rsid w:val="009E72E2"/>
    <w:rsid w:val="00A07FF0"/>
    <w:rsid w:val="00A352C5"/>
    <w:rsid w:val="00A55F32"/>
    <w:rsid w:val="00A9693A"/>
    <w:rsid w:val="00AB4B6E"/>
    <w:rsid w:val="00AC65F4"/>
    <w:rsid w:val="00AC6C23"/>
    <w:rsid w:val="00AD7D87"/>
    <w:rsid w:val="00AF457E"/>
    <w:rsid w:val="00AF65FC"/>
    <w:rsid w:val="00B10980"/>
    <w:rsid w:val="00B37694"/>
    <w:rsid w:val="00B432DE"/>
    <w:rsid w:val="00B84F00"/>
    <w:rsid w:val="00B91D2F"/>
    <w:rsid w:val="00BA4F4E"/>
    <w:rsid w:val="00BB4659"/>
    <w:rsid w:val="00BD100A"/>
    <w:rsid w:val="00BE42C9"/>
    <w:rsid w:val="00BE7264"/>
    <w:rsid w:val="00C2127E"/>
    <w:rsid w:val="00C378BA"/>
    <w:rsid w:val="00C40A1A"/>
    <w:rsid w:val="00C47693"/>
    <w:rsid w:val="00C56C82"/>
    <w:rsid w:val="00C85089"/>
    <w:rsid w:val="00C856F6"/>
    <w:rsid w:val="00CC631A"/>
    <w:rsid w:val="00D07D24"/>
    <w:rsid w:val="00D463FB"/>
    <w:rsid w:val="00D5774D"/>
    <w:rsid w:val="00D61C76"/>
    <w:rsid w:val="00D63EFD"/>
    <w:rsid w:val="00DB3B4B"/>
    <w:rsid w:val="00DB541D"/>
    <w:rsid w:val="00DE7B91"/>
    <w:rsid w:val="00DF1C36"/>
    <w:rsid w:val="00DF6607"/>
    <w:rsid w:val="00E007AE"/>
    <w:rsid w:val="00E25D2F"/>
    <w:rsid w:val="00E57520"/>
    <w:rsid w:val="00E57EA2"/>
    <w:rsid w:val="00E93BB0"/>
    <w:rsid w:val="00EC31FD"/>
    <w:rsid w:val="00ED4700"/>
    <w:rsid w:val="00EE3796"/>
    <w:rsid w:val="00EE7AE6"/>
    <w:rsid w:val="00EF4F6D"/>
    <w:rsid w:val="00F07E72"/>
    <w:rsid w:val="00F146F1"/>
    <w:rsid w:val="00F156D1"/>
    <w:rsid w:val="00F175D5"/>
    <w:rsid w:val="00F33E37"/>
    <w:rsid w:val="00F43A6D"/>
    <w:rsid w:val="00F611B1"/>
    <w:rsid w:val="00F64A3B"/>
    <w:rsid w:val="00F85608"/>
    <w:rsid w:val="00F9119D"/>
    <w:rsid w:val="00FA0B60"/>
    <w:rsid w:val="00FA4D5D"/>
    <w:rsid w:val="00FA5B95"/>
    <w:rsid w:val="00FD54B0"/>
    <w:rsid w:val="00FE04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4926A5"/>
  <w15:chartTrackingRefBased/>
  <w15:docId w15:val="{5B7B95E4-8F71-478B-8B08-B977EB1C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locked/>
    <w:rsid w:val="00FE0498"/>
  </w:style>
  <w:style w:type="paragraph" w:styleId="FootnoteText">
    <w:name w:val="footnote text"/>
    <w:aliases w:val="ALTS FOOTNOTE,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ootnote Reference),12,BVI fnr,EN Footnote Reference,Footnote,Footnote Reference Superscript,Footnote reference number,Footnote symbol,Nota,SUPERS,Style 14,Style 16,Style 19,Style 35,Style 39,Style 6,Voetnootverwijzing,fr,note TESI"/>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75C2"/>
    <w:rPr>
      <w:sz w:val="16"/>
      <w:szCs w:val="16"/>
    </w:rPr>
  </w:style>
  <w:style w:type="paragraph" w:styleId="CommentText">
    <w:name w:val="annotation text"/>
    <w:basedOn w:val="Normal"/>
    <w:link w:val="CommentTextChar"/>
    <w:rsid w:val="004A75C2"/>
    <w:rPr>
      <w:sz w:val="20"/>
    </w:rPr>
  </w:style>
  <w:style w:type="character" w:customStyle="1" w:styleId="CommentTextChar">
    <w:name w:val="Comment Text Char"/>
    <w:link w:val="CommentText"/>
    <w:rsid w:val="004A75C2"/>
    <w:rPr>
      <w:rFonts w:ascii="Courier" w:hAnsi="Courier"/>
      <w:snapToGrid w:val="0"/>
    </w:rPr>
  </w:style>
  <w:style w:type="paragraph" w:styleId="CommentSubject">
    <w:name w:val="annotation subject"/>
    <w:basedOn w:val="CommentText"/>
    <w:next w:val="CommentText"/>
    <w:link w:val="CommentSubjectChar"/>
    <w:rsid w:val="004A75C2"/>
    <w:rPr>
      <w:b/>
      <w:bCs/>
    </w:rPr>
  </w:style>
  <w:style w:type="character" w:customStyle="1" w:styleId="CommentSubjectChar">
    <w:name w:val="Comment Subject Char"/>
    <w:link w:val="CommentSubject"/>
    <w:rsid w:val="004A75C2"/>
    <w:rPr>
      <w:rFonts w:ascii="Courier" w:hAnsi="Courier"/>
      <w:b/>
      <w:bCs/>
      <w:snapToGrid w:val="0"/>
    </w:rPr>
  </w:style>
  <w:style w:type="paragraph" w:styleId="Revision">
    <w:name w:val="Revision"/>
    <w:hidden/>
    <w:uiPriority w:val="99"/>
    <w:semiHidden/>
    <w:rsid w:val="004A75C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B3587-F229-4E6C-8EB0-9AC6C227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3</cp:revision>
  <dcterms:created xsi:type="dcterms:W3CDTF">2025-04-07T19:08:00Z</dcterms:created>
  <dcterms:modified xsi:type="dcterms:W3CDTF">2025-04-22T13:13:00Z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4aefb883-2076-4e78-bdbb-f5918b136111</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2025-04-07T18:26:11Z</vt:lpwstr>
  </property>
  <property fmtid="{D5CDD505-2E9C-101B-9397-08002B2CF9AE}" pid="8" name="MSIP_Label_3be8ab8c-433c-4394-a4fb-cd2d5c4d0a5e_SiteId">
    <vt:lpwstr>26c83bc9-31c1-4d77-a523-0816095aba31</vt:lpwstr>
  </property>
  <property fmtid="{D5CDD505-2E9C-101B-9397-08002B2CF9AE}" pid="9" name="MSIP_Label_3be8ab8c-433c-4394-a4fb-cd2d5c4d0a5e_Tag">
    <vt:lpwstr>10, 0, 1, 1</vt:lpwstr>
  </property>
</Properties>
</file>