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C652D5" w14:paraId="0B0005BA" w14:textId="77777777">
      <w:pPr>
        <w:spacing w:after="0" w:line="240" w:lineRule="auto"/>
        <w:jc w:val="center"/>
        <w:rPr>
          <w:sz w:val="24"/>
          <w:szCs w:val="24"/>
        </w:rPr>
      </w:pPr>
      <w:r>
        <w:rPr>
          <w:rFonts w:ascii="Times New Roman" w:eastAsia="Times New Roman" w:hAnsi="Times New Roman" w:cs="Times New Roman"/>
          <w:b/>
          <w:sz w:val="24"/>
          <w:szCs w:val="24"/>
        </w:rPr>
        <w:t xml:space="preserve">General Services Administration </w:t>
      </w:r>
    </w:p>
    <w:p w:rsidR="00C652D5" w14:paraId="1AE877FB"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Information Collection Submissions for “Generic Clearance for the Collection of Qualitative Feedback on Agency Service Delivery”</w:t>
      </w:r>
    </w:p>
    <w:p w:rsidR="00C652D5" w14:paraId="634F8FA1"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3090-0297</w:t>
      </w:r>
    </w:p>
    <w:p w:rsidR="00C652D5" w14:paraId="7E45FD35" w14:textId="77777777">
      <w:pPr>
        <w:tabs>
          <w:tab w:val="center" w:pos="4320"/>
          <w:tab w:val="right" w:pos="86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Justification – Part A Supporting Statement </w:t>
      </w:r>
    </w:p>
    <w:p w:rsidR="00C652D5" w14:paraId="5E0FE5C5" w14:textId="77777777">
      <w:pPr>
        <w:spacing w:after="0" w:line="240" w:lineRule="auto"/>
        <w:jc w:val="center"/>
        <w:rPr>
          <w:sz w:val="24"/>
          <w:szCs w:val="24"/>
        </w:rPr>
      </w:pPr>
    </w:p>
    <w:p w:rsidR="00C652D5" w14:paraId="22EE98CD" w14:textId="77777777">
      <w:pPr>
        <w:spacing w:after="0" w:line="240" w:lineRule="auto"/>
        <w:rPr>
          <w:rFonts w:ascii="Times New Roman" w:eastAsia="Times New Roman" w:hAnsi="Times New Roman" w:cs="Times New Roman"/>
          <w:b/>
          <w:sz w:val="24"/>
          <w:szCs w:val="24"/>
        </w:rPr>
      </w:pPr>
    </w:p>
    <w:p w:rsidR="00C652D5" w14:paraId="3668A8F8" w14:textId="77777777">
      <w:pPr>
        <w:spacing w:after="0" w:line="240" w:lineRule="auto"/>
        <w:ind w:right="-360"/>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Overview of Information Collection</w:t>
      </w:r>
      <w:r>
        <w:rPr>
          <w:rFonts w:ascii="Times New Roman" w:eastAsia="Times New Roman" w:hAnsi="Times New Roman" w:cs="Times New Roman"/>
          <w:sz w:val="24"/>
          <w:szCs w:val="24"/>
        </w:rPr>
        <w:t xml:space="preserve">: </w:t>
      </w:r>
    </w:p>
    <w:p w:rsidR="00C652D5" w14:paraId="68270A48" w14:textId="77777777">
      <w:pPr>
        <w:spacing w:after="0" w:line="240" w:lineRule="auto"/>
        <w:ind w:right="-360"/>
        <w:rPr>
          <w:rFonts w:ascii="Times New Roman" w:eastAsia="Times New Roman" w:hAnsi="Times New Roman" w:cs="Times New Roman"/>
          <w:i/>
          <w:sz w:val="24"/>
          <w:szCs w:val="24"/>
        </w:rPr>
      </w:pPr>
    </w:p>
    <w:p w:rsidR="00C652D5" w14:paraId="3CC26457" w14:textId="77777777">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This request is an extension without change of a previously approved clearance. The sole material change of importance is an increase in estimated number of responses during the three-year clearance period. This change takes into account increased participation in qualitative feedback activities and in a greater number of focus group and usability testing sessions.</w:t>
      </w:r>
    </w:p>
    <w:p w:rsidR="00C652D5" w14:paraId="089044EF" w14:textId="77777777">
      <w:pPr>
        <w:spacing w:after="0" w:line="240" w:lineRule="auto"/>
        <w:rPr>
          <w:sz w:val="24"/>
          <w:szCs w:val="24"/>
        </w:rPr>
      </w:pPr>
    </w:p>
    <w:p w:rsidR="00C652D5" w:rsidRPr="00FC4556" w:rsidP="00FC4556" w14:paraId="21B14ACF" w14:textId="08618A3E">
      <w:pPr>
        <w:pStyle w:val="ListParagraph"/>
        <w:numPr>
          <w:ilvl w:val="0"/>
          <w:numId w:val="8"/>
        </w:numPr>
        <w:spacing w:after="0" w:line="240" w:lineRule="auto"/>
        <w:ind w:right="-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 </w:t>
      </w:r>
      <w:r w:rsidRPr="00FC4556" w:rsidR="003D154F">
        <w:rPr>
          <w:rFonts w:ascii="Times New Roman" w:eastAsia="Times New Roman" w:hAnsi="Times New Roman" w:cs="Times New Roman"/>
          <w:b/>
          <w:sz w:val="24"/>
          <w:szCs w:val="24"/>
          <w:u w:val="single"/>
        </w:rPr>
        <w:t>Need &amp; Method for the Information Collection.</w:t>
      </w:r>
    </w:p>
    <w:p w:rsidR="00C652D5" w14:paraId="298FB3B4" w14:textId="77777777">
      <w:pPr>
        <w:spacing w:after="0" w:line="240" w:lineRule="auto"/>
        <w:rPr>
          <w:rFonts w:ascii="Times New Roman" w:eastAsia="Times New Roman" w:hAnsi="Times New Roman" w:cs="Times New Roman"/>
          <w:sz w:val="24"/>
          <w:szCs w:val="24"/>
        </w:rPr>
      </w:pPr>
    </w:p>
    <w:p w:rsidR="00C652D5" w14:paraId="08EDC554" w14:textId="77777777">
      <w:pPr>
        <w:spacing w:after="0" w:line="240" w:lineRule="auto"/>
        <w:rPr>
          <w:sz w:val="24"/>
          <w:szCs w:val="24"/>
        </w:rPr>
      </w:pPr>
      <w:r>
        <w:rPr>
          <w:rFonts w:ascii="Times New Roman" w:eastAsia="Times New Roman" w:hAnsi="Times New Roman" w:cs="Times New Roman"/>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the General Services Administration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C652D5" w14:paraId="24B7DF30" w14:textId="77777777">
      <w:pPr>
        <w:spacing w:after="0" w:line="240" w:lineRule="auto"/>
        <w:rPr>
          <w:sz w:val="24"/>
          <w:szCs w:val="24"/>
        </w:rPr>
      </w:pPr>
    </w:p>
    <w:p w:rsidR="00C652D5" w14:paraId="3CFA0CB4" w14:textId="77777777">
      <w:pPr>
        <w:spacing w:after="0" w:line="240" w:lineRule="auto"/>
        <w:rPr>
          <w:sz w:val="24"/>
          <w:szCs w:val="24"/>
        </w:rPr>
      </w:pPr>
      <w:r>
        <w:rPr>
          <w:rFonts w:ascii="Times New Roman" w:eastAsia="Times New Roman" w:hAnsi="Times New Roman" w:cs="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C652D5" w14:paraId="5FC62E2E" w14:textId="77777777">
      <w:pPr>
        <w:spacing w:after="0" w:line="240" w:lineRule="auto"/>
        <w:rPr>
          <w:sz w:val="24"/>
          <w:szCs w:val="24"/>
        </w:rPr>
      </w:pPr>
      <w:r>
        <w:rPr>
          <w:rFonts w:ascii="Times New Roman" w:eastAsia="Times New Roman" w:hAnsi="Times New Roman" w:cs="Times New Roman"/>
          <w:sz w:val="24"/>
          <w:szCs w:val="24"/>
        </w:rPr>
        <w:t xml:space="preserve"> </w:t>
      </w:r>
    </w:p>
    <w:p w:rsidR="00C652D5" w:rsidRPr="00FC4556" w:rsidP="00FC4556" w14:paraId="50E67DEA" w14:textId="719816C0">
      <w:pPr>
        <w:pStyle w:val="ListParagraph"/>
        <w:numPr>
          <w:ilvl w:val="0"/>
          <w:numId w:val="8"/>
        </w:numPr>
        <w:spacing w:after="0" w:line="240" w:lineRule="auto"/>
        <w:rPr>
          <w:rFonts w:ascii="Times New Roman" w:eastAsia="Times New Roman" w:hAnsi="Times New Roman" w:cs="Times New Roman"/>
          <w:b/>
          <w:sz w:val="24"/>
          <w:szCs w:val="24"/>
        </w:rPr>
      </w:pPr>
      <w:r w:rsidRPr="00FC4556">
        <w:rPr>
          <w:rFonts w:ascii="Times New Roman" w:eastAsia="Times New Roman" w:hAnsi="Times New Roman" w:cs="Times New Roman"/>
          <w:b/>
          <w:sz w:val="24"/>
          <w:szCs w:val="24"/>
        </w:rPr>
        <w:t>Use of Information.</w:t>
      </w:r>
    </w:p>
    <w:p w:rsidR="00C652D5" w14:paraId="357966BB" w14:textId="77777777">
      <w:pPr>
        <w:spacing w:after="0" w:line="240" w:lineRule="auto"/>
        <w:rPr>
          <w:rFonts w:ascii="Times New Roman" w:eastAsia="Times New Roman" w:hAnsi="Times New Roman" w:cs="Times New Roman"/>
          <w:sz w:val="24"/>
          <w:szCs w:val="24"/>
        </w:rPr>
      </w:pPr>
    </w:p>
    <w:p w:rsidR="00C652D5" w14:paraId="0D66DCEB" w14:textId="77777777">
      <w:pPr>
        <w:spacing w:after="0" w:line="240" w:lineRule="auto"/>
        <w:rPr>
          <w:sz w:val="24"/>
          <w:szCs w:val="24"/>
        </w:rPr>
      </w:pPr>
      <w:r>
        <w:rPr>
          <w:rFonts w:ascii="Times New Roman" w:eastAsia="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ease of use, and resolution of issues with service delivery.   Responses will be assessed to plan and inform efforts to improve or maintain the quality of service offered to the public.  If this information is </w:t>
      </w:r>
      <w:r>
        <w:rPr>
          <w:rFonts w:ascii="Times New Roman" w:eastAsia="Times New Roman" w:hAnsi="Times New Roman" w:cs="Times New Roman"/>
          <w:sz w:val="24"/>
          <w:szCs w:val="24"/>
        </w:rPr>
        <w:t>not collected, vital feedback from customers and stakeholders on the Agency’s services will be unavailable.</w:t>
      </w:r>
    </w:p>
    <w:p w:rsidR="00C652D5" w14:paraId="3E35D3B3" w14:textId="77777777">
      <w:pPr>
        <w:spacing w:after="0" w:line="240" w:lineRule="auto"/>
        <w:rPr>
          <w:sz w:val="24"/>
          <w:szCs w:val="24"/>
        </w:rPr>
      </w:pPr>
    </w:p>
    <w:p w:rsidR="00C652D5" w14:paraId="320759F0" w14:textId="77777777">
      <w:pPr>
        <w:spacing w:after="0" w:line="240" w:lineRule="auto"/>
        <w:rPr>
          <w:sz w:val="24"/>
          <w:szCs w:val="24"/>
        </w:rPr>
      </w:pPr>
      <w:r>
        <w:rPr>
          <w:rFonts w:ascii="Times New Roman" w:eastAsia="Times New Roman" w:hAnsi="Times New Roman" w:cs="Times New Roman"/>
          <w:sz w:val="24"/>
          <w:szCs w:val="24"/>
        </w:rPr>
        <w:t xml:space="preserve">The Agency will only submit a collection for approval under this generic clearance if it meets the following conditions:   </w:t>
      </w:r>
    </w:p>
    <w:p w:rsidR="00C652D5" w14:paraId="5F1212D8" w14:textId="77777777">
      <w:pPr>
        <w:spacing w:after="0" w:line="240" w:lineRule="auto"/>
        <w:rPr>
          <w:sz w:val="24"/>
          <w:szCs w:val="24"/>
        </w:rPr>
      </w:pPr>
    </w:p>
    <w:p w:rsidR="00C652D5" w14:paraId="5369CD52" w14:textId="77777777">
      <w:pPr>
        <w:numPr>
          <w:ilvl w:val="0"/>
          <w:numId w:val="3"/>
        </w:numPr>
        <w:spacing w:after="0" w:line="240" w:lineRule="auto"/>
        <w:ind w:hanging="360"/>
        <w:rPr>
          <w:sz w:val="24"/>
          <w:szCs w:val="24"/>
        </w:rPr>
      </w:pPr>
      <w:r>
        <w:rPr>
          <w:rFonts w:ascii="Times New Roman" w:eastAsia="Times New Roman" w:hAnsi="Times New Roman" w:cs="Times New Roman"/>
          <w:sz w:val="24"/>
          <w:szCs w:val="24"/>
        </w:rPr>
        <w:t>Information gathered will be used only internally  for general service improvement and program management purposes and is not intended for release outside of the agency (if released, procedures outlined in Question 16 will be followed);</w:t>
      </w:r>
    </w:p>
    <w:p w:rsidR="00C652D5" w14:paraId="1CF6AF5D" w14:textId="77777777">
      <w:pPr>
        <w:numPr>
          <w:ilvl w:val="0"/>
          <w:numId w:val="5"/>
        </w:numPr>
        <w:spacing w:after="0" w:line="240" w:lineRule="auto"/>
        <w:ind w:hanging="360"/>
        <w:rPr>
          <w:sz w:val="24"/>
          <w:szCs w:val="24"/>
        </w:rPr>
      </w:pPr>
      <w:r>
        <w:rPr>
          <w:rFonts w:ascii="Times New Roman" w:eastAsia="Times New Roman" w:hAnsi="Times New Roman" w:cs="Times New Roman"/>
          <w:sz w:val="24"/>
          <w:szCs w:val="24"/>
        </w:rPr>
        <w:t>Information gathered will not be used for the purpose of substantially informing influential policy decisions;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C652D5" w14:paraId="3EB23DD4"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w:t>
      </w:r>
    </w:p>
    <w:p w:rsidR="00C652D5" w14:paraId="56FACCF3"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The collections are voluntary;</w:t>
      </w:r>
    </w:p>
    <w:p w:rsidR="00C652D5" w14:paraId="6E95656F"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C652D5" w14:paraId="74614763"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 xml:space="preserve">The collections are non-controversial and do not raise issues of  concern to other Federal agencies; </w:t>
      </w:r>
    </w:p>
    <w:p w:rsidR="00C652D5" w14:paraId="52FC88BD"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Any collection is targeted to the solicitation of opinions from respondents who have experience with the program or may have experience with the program in the near future; and</w:t>
      </w:r>
    </w:p>
    <w:p w:rsidR="00C652D5" w14:paraId="3D16AA87" w14:textId="77777777">
      <w:pPr>
        <w:numPr>
          <w:ilvl w:val="0"/>
          <w:numId w:val="2"/>
        </w:numPr>
        <w:spacing w:after="0" w:line="240" w:lineRule="auto"/>
        <w:ind w:hanging="360"/>
        <w:rPr>
          <w:sz w:val="24"/>
          <w:szCs w:val="24"/>
        </w:rPr>
      </w:pPr>
      <w:r>
        <w:rPr>
          <w:rFonts w:ascii="Times New Roman" w:eastAsia="Times New Roman" w:hAnsi="Times New Roman" w:cs="Times New Roman"/>
          <w:sz w:val="24"/>
          <w:szCs w:val="24"/>
        </w:rPr>
        <w:t xml:space="preserve">With the exception of information needed to provide remuneration for participants in focus groups and cognitive laboratory studies, personally identifiable information (PII) is collected only to the extent necessary and will not be retained. </w:t>
      </w:r>
    </w:p>
    <w:p w:rsidR="00C652D5" w14:paraId="2998DE27" w14:textId="77777777">
      <w:pPr>
        <w:spacing w:after="0" w:line="240" w:lineRule="auto"/>
        <w:ind w:left="360"/>
        <w:rPr>
          <w:sz w:val="24"/>
          <w:szCs w:val="24"/>
        </w:rPr>
      </w:pPr>
    </w:p>
    <w:p w:rsidR="00C652D5" w14:paraId="688F413A" w14:textId="77777777">
      <w:pPr>
        <w:spacing w:after="0" w:line="240" w:lineRule="auto"/>
        <w:rPr>
          <w:sz w:val="24"/>
          <w:szCs w:val="24"/>
        </w:rPr>
      </w:pPr>
      <w:r>
        <w:rPr>
          <w:rFonts w:ascii="Times New Roman" w:eastAsia="Times New Roman" w:hAnsi="Times New Roman" w:cs="Times New Roman"/>
          <w:sz w:val="24"/>
          <w:szCs w:val="24"/>
        </w:rPr>
        <w:t xml:space="preserve">If these conditions are not met, the Agency will submit an information collection request to OMB for approval through the normal PRA process.  </w:t>
      </w:r>
    </w:p>
    <w:p w:rsidR="00C652D5" w14:paraId="5AC63DB6" w14:textId="77777777">
      <w:pPr>
        <w:spacing w:after="0" w:line="240" w:lineRule="auto"/>
        <w:rPr>
          <w:sz w:val="24"/>
          <w:szCs w:val="24"/>
        </w:rPr>
      </w:pPr>
    </w:p>
    <w:p w:rsidR="00C652D5" w14:paraId="023A61B0" w14:textId="77777777">
      <w:pPr>
        <w:spacing w:after="0" w:line="240" w:lineRule="auto"/>
        <w:rPr>
          <w:sz w:val="24"/>
          <w:szCs w:val="24"/>
        </w:rPr>
      </w:pPr>
      <w:r>
        <w:rPr>
          <w:rFonts w:ascii="Times New Roman" w:eastAsia="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C652D5" w14:paraId="14C24600" w14:textId="77777777">
      <w:pPr>
        <w:spacing w:after="0" w:line="240" w:lineRule="auto"/>
        <w:rPr>
          <w:sz w:val="24"/>
          <w:szCs w:val="24"/>
        </w:rPr>
      </w:pPr>
    </w:p>
    <w:p w:rsidR="00C652D5" w14:paraId="7C043628" w14:textId="77777777">
      <w:pPr>
        <w:rPr>
          <w:sz w:val="24"/>
          <w:szCs w:val="24"/>
        </w:rPr>
      </w:pPr>
      <w:r>
        <w:rPr>
          <w:rFonts w:ascii="Times New Roman" w:eastAsia="Times New Roman" w:hAnsi="Times New Roman" w:cs="Times New Roman"/>
          <w:sz w:val="24"/>
          <w:szCs w:val="24"/>
        </w:rPr>
        <w:t>The types of collections that this generic clearance covers include, but are not limited to:</w:t>
      </w:r>
    </w:p>
    <w:p w:rsidR="00C652D5" w14:paraId="489E8A4D" w14:textId="77777777">
      <w:pPr>
        <w:numPr>
          <w:ilvl w:val="0"/>
          <w:numId w:val="4"/>
        </w:numPr>
        <w:spacing w:after="0"/>
        <w:ind w:hanging="360"/>
        <w:rPr>
          <w:sz w:val="24"/>
          <w:szCs w:val="24"/>
        </w:rPr>
      </w:pPr>
      <w:r>
        <w:rPr>
          <w:rFonts w:ascii="Times New Roman" w:eastAsia="Times New Roman" w:hAnsi="Times New Roman" w:cs="Times New Roman"/>
          <w:sz w:val="24"/>
          <w:szCs w:val="24"/>
        </w:rPr>
        <w:t>Customer comment cards/complaint forms;</w:t>
      </w:r>
    </w:p>
    <w:p w:rsidR="00C652D5" w14:paraId="052C89DD" w14:textId="77777777">
      <w:pPr>
        <w:numPr>
          <w:ilvl w:val="0"/>
          <w:numId w:val="4"/>
        </w:numPr>
        <w:spacing w:after="0"/>
        <w:ind w:hanging="360"/>
        <w:rPr>
          <w:sz w:val="24"/>
          <w:szCs w:val="24"/>
        </w:rPr>
      </w:pPr>
      <w:r>
        <w:rPr>
          <w:rFonts w:ascii="Times New Roman" w:eastAsia="Times New Roman" w:hAnsi="Times New Roman" w:cs="Times New Roman"/>
          <w:sz w:val="24"/>
          <w:szCs w:val="24"/>
        </w:rPr>
        <w:t>Interviews to gather customer opinions;</w:t>
      </w:r>
    </w:p>
    <w:p w:rsidR="00C652D5" w14:paraId="18B18741" w14:textId="77777777">
      <w:pPr>
        <w:numPr>
          <w:ilvl w:val="0"/>
          <w:numId w:val="4"/>
        </w:numPr>
        <w:spacing w:after="0" w:line="240" w:lineRule="auto"/>
        <w:ind w:hanging="360"/>
        <w:rPr>
          <w:sz w:val="24"/>
          <w:szCs w:val="24"/>
        </w:rPr>
      </w:pPr>
      <w:r>
        <w:rPr>
          <w:rFonts w:ascii="Times New Roman" w:eastAsia="Times New Roman" w:hAnsi="Times New Roman" w:cs="Times New Roman"/>
          <w:sz w:val="24"/>
          <w:szCs w:val="24"/>
        </w:rPr>
        <w:t>Focus Groups of customers, potential customers, delivery partners, or other stakeholders;</w:t>
      </w:r>
    </w:p>
    <w:p w:rsidR="00C652D5" w14:paraId="6D9E8348" w14:textId="77777777">
      <w:pPr>
        <w:numPr>
          <w:ilvl w:val="0"/>
          <w:numId w:val="4"/>
        </w:numPr>
        <w:spacing w:after="0" w:line="240" w:lineRule="auto"/>
        <w:ind w:hanging="360"/>
        <w:rPr>
          <w:sz w:val="24"/>
          <w:szCs w:val="24"/>
        </w:rPr>
      </w:pPr>
      <w:r>
        <w:rPr>
          <w:rFonts w:ascii="Times New Roman" w:eastAsia="Times New Roman" w:hAnsi="Times New Roman" w:cs="Times New Roman"/>
          <w:sz w:val="24"/>
          <w:szCs w:val="24"/>
        </w:rPr>
        <w:t>Cognitive laboratory studies, such as those used to refine questions or assess usability of a website;</w:t>
      </w:r>
    </w:p>
    <w:p w:rsidR="00C652D5" w14:paraId="751F439C" w14:textId="77777777">
      <w:pPr>
        <w:numPr>
          <w:ilvl w:val="0"/>
          <w:numId w:val="4"/>
        </w:numPr>
        <w:spacing w:after="0"/>
        <w:ind w:hanging="360"/>
        <w:rPr>
          <w:sz w:val="24"/>
          <w:szCs w:val="24"/>
        </w:rPr>
      </w:pPr>
      <w:r>
        <w:rPr>
          <w:rFonts w:ascii="Times New Roman" w:eastAsia="Times New Roman" w:hAnsi="Times New Roman" w:cs="Times New Roman"/>
          <w:sz w:val="24"/>
          <w:szCs w:val="24"/>
        </w:rPr>
        <w:t>Qualitative customer satisfaction surveys (e.g., post-transaction surveys; opt-out web surveys); and</w:t>
      </w:r>
    </w:p>
    <w:p w:rsidR="00C652D5" w14:paraId="4B71AB96" w14:textId="77777777">
      <w:pPr>
        <w:numPr>
          <w:ilvl w:val="0"/>
          <w:numId w:val="4"/>
        </w:numPr>
        <w:spacing w:after="0"/>
        <w:ind w:hanging="360"/>
        <w:rPr>
          <w:sz w:val="24"/>
          <w:szCs w:val="24"/>
        </w:rPr>
      </w:pPr>
      <w:r>
        <w:rPr>
          <w:rFonts w:ascii="Times New Roman" w:eastAsia="Times New Roman" w:hAnsi="Times New Roman" w:cs="Times New Roman"/>
          <w:sz w:val="24"/>
          <w:szCs w:val="24"/>
        </w:rPr>
        <w:t>In-person observation testing (e.g., website or software usability tests).</w:t>
      </w:r>
    </w:p>
    <w:p w:rsidR="00C652D5" w14:paraId="62D07354" w14:textId="77777777">
      <w:pPr>
        <w:spacing w:after="0" w:line="240" w:lineRule="auto"/>
        <w:rPr>
          <w:sz w:val="24"/>
          <w:szCs w:val="24"/>
        </w:rPr>
      </w:pPr>
      <w:r>
        <w:rPr>
          <w:rFonts w:ascii="Times New Roman" w:eastAsia="Times New Roman" w:hAnsi="Times New Roman" w:cs="Times New Roman"/>
          <w:sz w:val="24"/>
          <w:szCs w:val="24"/>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C652D5" w14:paraId="71E5558C" w14:textId="77777777">
      <w:pPr>
        <w:spacing w:after="0" w:line="240" w:lineRule="auto"/>
        <w:rPr>
          <w:sz w:val="24"/>
          <w:szCs w:val="24"/>
        </w:rPr>
      </w:pPr>
    </w:p>
    <w:p w:rsidR="00C652D5" w:rsidRPr="00FC4556" w:rsidP="00FC4556" w14:paraId="060FDB9E" w14:textId="3D244CBE">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C4556" w:rsidR="003D154F">
        <w:rPr>
          <w:rFonts w:ascii="Times New Roman" w:eastAsia="Times New Roman" w:hAnsi="Times New Roman" w:cs="Times New Roman"/>
          <w:b/>
          <w:sz w:val="24"/>
          <w:szCs w:val="24"/>
        </w:rPr>
        <w:t>Use of Information Technology.</w:t>
      </w:r>
    </w:p>
    <w:p w:rsidR="00C652D5" w14:paraId="2968E456" w14:textId="77777777">
      <w:pPr>
        <w:spacing w:after="0" w:line="240" w:lineRule="auto"/>
        <w:rPr>
          <w:rFonts w:ascii="Times New Roman" w:eastAsia="Times New Roman" w:hAnsi="Times New Roman" w:cs="Times New Roman"/>
          <w:sz w:val="24"/>
          <w:szCs w:val="24"/>
        </w:rPr>
      </w:pPr>
    </w:p>
    <w:p w:rsidR="00C652D5" w14:paraId="380C89F7" w14:textId="77777777">
      <w:pPr>
        <w:spacing w:after="0" w:line="240" w:lineRule="auto"/>
        <w:rPr>
          <w:sz w:val="24"/>
          <w:szCs w:val="24"/>
        </w:rPr>
      </w:pPr>
      <w:r>
        <w:rPr>
          <w:rFonts w:ascii="Times New Roman" w:eastAsia="Times New Roman" w:hAnsi="Times New Roman" w:cs="Times New Roman"/>
          <w:sz w:val="24"/>
          <w:szCs w:val="24"/>
        </w:rPr>
        <w:t>If appropriate, the Agency will collect information electronically and/or use online collaboration tools to reduce burden.</w:t>
      </w:r>
    </w:p>
    <w:p w:rsidR="00C652D5" w14:paraId="54159096" w14:textId="77777777">
      <w:pPr>
        <w:spacing w:after="0" w:line="240" w:lineRule="auto"/>
        <w:rPr>
          <w:sz w:val="24"/>
          <w:szCs w:val="24"/>
        </w:rPr>
      </w:pPr>
    </w:p>
    <w:p w:rsidR="00C652D5" w:rsidRPr="003D154F" w:rsidP="003D154F" w14:paraId="5A58ABBF" w14:textId="0F9878C1">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Non-Duplication.</w:t>
      </w:r>
    </w:p>
    <w:p w:rsidR="00C652D5" w14:paraId="16C1B5C0" w14:textId="77777777">
      <w:pPr>
        <w:spacing w:after="0" w:line="240" w:lineRule="auto"/>
        <w:rPr>
          <w:rFonts w:ascii="Times New Roman" w:eastAsia="Times New Roman" w:hAnsi="Times New Roman" w:cs="Times New Roman"/>
          <w:sz w:val="24"/>
          <w:szCs w:val="24"/>
        </w:rPr>
      </w:pPr>
    </w:p>
    <w:p w:rsidR="00C652D5" w14:paraId="206647CA" w14:textId="77777777">
      <w:pPr>
        <w:spacing w:after="0" w:line="240" w:lineRule="auto"/>
        <w:rPr>
          <w:sz w:val="24"/>
          <w:szCs w:val="24"/>
        </w:rPr>
      </w:pPr>
      <w:r>
        <w:rPr>
          <w:rFonts w:ascii="Times New Roman" w:eastAsia="Times New Roman" w:hAnsi="Times New Roman" w:cs="Times New Roman"/>
          <w:sz w:val="24"/>
          <w:szCs w:val="24"/>
        </w:rPr>
        <w:t>No similar data are gathered or maintained by the Agency or are available from other sources known to the Agency.</w:t>
      </w:r>
    </w:p>
    <w:p w:rsidR="00C652D5" w14:paraId="0EDCDD56" w14:textId="77777777">
      <w:pPr>
        <w:spacing w:after="0" w:line="240" w:lineRule="auto"/>
        <w:rPr>
          <w:sz w:val="24"/>
          <w:szCs w:val="24"/>
        </w:rPr>
      </w:pPr>
    </w:p>
    <w:p w:rsidR="00C652D5" w:rsidRPr="003D154F" w:rsidP="003D154F" w14:paraId="4A23F49F" w14:textId="5225CA36">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Burden on Small Business.</w:t>
      </w:r>
    </w:p>
    <w:p w:rsidR="00C652D5" w14:paraId="606C636F" w14:textId="77777777">
      <w:pPr>
        <w:spacing w:after="0" w:line="240" w:lineRule="auto"/>
        <w:rPr>
          <w:rFonts w:ascii="Times New Roman" w:eastAsia="Times New Roman" w:hAnsi="Times New Roman" w:cs="Times New Roman"/>
          <w:sz w:val="24"/>
          <w:szCs w:val="24"/>
        </w:rPr>
      </w:pPr>
    </w:p>
    <w:p w:rsidR="00C652D5" w14:paraId="392F73D7"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Small businesses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C652D5" w14:paraId="6C7BC2C3" w14:textId="77777777">
      <w:pPr>
        <w:spacing w:after="0" w:line="240" w:lineRule="auto"/>
        <w:rPr>
          <w:sz w:val="24"/>
          <w:szCs w:val="24"/>
        </w:rPr>
      </w:pPr>
    </w:p>
    <w:p w:rsidR="00C652D5" w:rsidRPr="003D154F" w:rsidP="003D154F" w14:paraId="62EBB3DD" w14:textId="6293D504">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Less Frequent Collection.</w:t>
      </w:r>
    </w:p>
    <w:p w:rsidR="00C652D5" w14:paraId="07601D66" w14:textId="77777777">
      <w:pPr>
        <w:spacing w:after="0" w:line="240" w:lineRule="auto"/>
        <w:rPr>
          <w:rFonts w:ascii="Times New Roman" w:eastAsia="Times New Roman" w:hAnsi="Times New Roman" w:cs="Times New Roman"/>
          <w:b/>
          <w:sz w:val="24"/>
          <w:szCs w:val="24"/>
        </w:rPr>
      </w:pPr>
    </w:p>
    <w:p w:rsidR="00C652D5" w14:paraId="0D548C0D" w14:textId="77777777">
      <w:pPr>
        <w:spacing w:after="0" w:line="240" w:lineRule="auto"/>
        <w:rPr>
          <w:sz w:val="24"/>
          <w:szCs w:val="24"/>
        </w:rPr>
      </w:pPr>
      <w:r>
        <w:rPr>
          <w:rFonts w:ascii="Times New Roman" w:eastAsia="Times New Roman" w:hAnsi="Times New Roman" w:cs="Times New Roman"/>
          <w:sz w:val="24"/>
          <w:szCs w:val="24"/>
        </w:rPr>
        <w:t>Without these types of feedback, the Agency will not have timely information to adjust its services to meet customer needs.</w:t>
      </w:r>
    </w:p>
    <w:p w:rsidR="00C652D5" w14:paraId="7F8D98D3" w14:textId="77777777">
      <w:pPr>
        <w:spacing w:after="0" w:line="240" w:lineRule="auto"/>
        <w:rPr>
          <w:sz w:val="24"/>
          <w:szCs w:val="24"/>
        </w:rPr>
      </w:pPr>
    </w:p>
    <w:p w:rsidR="00C652D5" w:rsidRPr="003D154F" w:rsidP="003D154F" w14:paraId="762CC924" w14:textId="0F0375C0">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Paperwork Reduction Act Guidelines.</w:t>
      </w:r>
    </w:p>
    <w:p w:rsidR="00C652D5" w14:paraId="2F2D58E6" w14:textId="77777777">
      <w:pPr>
        <w:spacing w:after="0" w:line="240" w:lineRule="auto"/>
        <w:rPr>
          <w:rFonts w:ascii="Times New Roman" w:eastAsia="Times New Roman" w:hAnsi="Times New Roman" w:cs="Times New Roman"/>
          <w:sz w:val="24"/>
          <w:szCs w:val="24"/>
        </w:rPr>
      </w:pPr>
    </w:p>
    <w:p w:rsidR="00C652D5" w14:paraId="79B83BE7" w14:textId="77777777">
      <w:pPr>
        <w:spacing w:after="0" w:line="240" w:lineRule="auto"/>
        <w:rPr>
          <w:sz w:val="24"/>
          <w:szCs w:val="24"/>
        </w:rPr>
      </w:pPr>
      <w:r>
        <w:rPr>
          <w:rFonts w:ascii="Times New Roman" w:eastAsia="Times New Roman" w:hAnsi="Times New Roman" w:cs="Times New Roman"/>
          <w:sz w:val="24"/>
          <w:szCs w:val="24"/>
        </w:rPr>
        <w:t>There are no special circumstances. The information collected will be voluntary and will not be used for statistical purposes.</w:t>
      </w:r>
    </w:p>
    <w:p w:rsidR="00C652D5" w14:paraId="2BDF10A5" w14:textId="77777777">
      <w:pPr>
        <w:spacing w:after="0" w:line="240" w:lineRule="auto"/>
        <w:rPr>
          <w:sz w:val="24"/>
          <w:szCs w:val="24"/>
        </w:rPr>
      </w:pPr>
    </w:p>
    <w:p w:rsidR="00C652D5" w:rsidRPr="003D154F" w:rsidP="003D154F" w14:paraId="278E4A02" w14:textId="2AB75B59">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Consultations and Public Comments.</w:t>
      </w:r>
    </w:p>
    <w:p w:rsidR="00C652D5" w14:paraId="18B9EDD2" w14:textId="77777777">
      <w:pPr>
        <w:spacing w:after="0" w:line="240" w:lineRule="auto"/>
        <w:rPr>
          <w:rFonts w:ascii="Times New Roman" w:eastAsia="Times New Roman" w:hAnsi="Times New Roman" w:cs="Times New Roman"/>
          <w:sz w:val="24"/>
          <w:szCs w:val="24"/>
        </w:rPr>
      </w:pPr>
    </w:p>
    <w:p w:rsidR="00FC4556" w:rsidRPr="00FC4556" w:rsidP="00FC4556" w14:paraId="1FB4C1AF" w14:textId="77777777">
      <w:pPr>
        <w:spacing w:after="0" w:line="240" w:lineRule="auto"/>
        <w:rPr>
          <w:rFonts w:ascii="Times New Roman" w:eastAsia="Times New Roman" w:hAnsi="Times New Roman" w:cs="Times New Roman"/>
          <w:sz w:val="24"/>
          <w:szCs w:val="24"/>
        </w:rPr>
      </w:pPr>
      <w:r w:rsidRPr="00FC4556">
        <w:rPr>
          <w:rFonts w:ascii="Times New Roman" w:eastAsia="Times New Roman" w:hAnsi="Times New Roman" w:cs="Times New Roman"/>
          <w:bCs/>
          <w:sz w:val="24"/>
          <w:szCs w:val="24"/>
        </w:rPr>
        <w:t xml:space="preserve">A 60-day notice was published in the </w:t>
      </w:r>
      <w:r w:rsidRPr="00FC4556">
        <w:rPr>
          <w:rFonts w:ascii="Times New Roman" w:eastAsia="Times New Roman" w:hAnsi="Times New Roman" w:cs="Times New Roman"/>
          <w:bCs/>
          <w:i/>
          <w:iCs/>
          <w:sz w:val="24"/>
          <w:szCs w:val="24"/>
        </w:rPr>
        <w:t>Federal Register</w:t>
      </w:r>
      <w:r w:rsidRPr="00FC4556">
        <w:rPr>
          <w:rFonts w:ascii="Times New Roman" w:eastAsia="Times New Roman" w:hAnsi="Times New Roman" w:cs="Times New Roman"/>
          <w:bCs/>
          <w:sz w:val="24"/>
          <w:szCs w:val="24"/>
        </w:rPr>
        <w:t xml:space="preserve"> at 90 FR 15242 on April 9, 2025. No public comments were received.</w:t>
      </w:r>
      <w:r w:rsidRPr="00FC4556">
        <w:rPr>
          <w:rFonts w:ascii="Times New Roman" w:eastAsia="Times New Roman" w:hAnsi="Times New Roman" w:cs="Times New Roman"/>
          <w:b/>
          <w:sz w:val="24"/>
          <w:szCs w:val="24"/>
        </w:rPr>
        <w:t xml:space="preserve"> </w:t>
      </w:r>
    </w:p>
    <w:p w:rsidR="00C652D5" w14:paraId="0935A8C2" w14:textId="77777777">
      <w:pPr>
        <w:spacing w:after="0" w:line="240" w:lineRule="auto"/>
        <w:rPr>
          <w:rFonts w:ascii="Times New Roman" w:eastAsia="Times New Roman" w:hAnsi="Times New Roman" w:cs="Times New Roman"/>
          <w:b/>
          <w:sz w:val="24"/>
          <w:szCs w:val="24"/>
        </w:rPr>
      </w:pPr>
    </w:p>
    <w:p w:rsidR="00A73C61" w:rsidRPr="00FC4556" w:rsidP="00A73C61" w14:paraId="7BE52FA4" w14:textId="493FA5DC">
      <w:pPr>
        <w:spacing w:after="0" w:line="240" w:lineRule="auto"/>
        <w:rPr>
          <w:rFonts w:ascii="Times New Roman" w:eastAsia="Times New Roman" w:hAnsi="Times New Roman" w:cs="Times New Roman"/>
          <w:sz w:val="24"/>
          <w:szCs w:val="24"/>
        </w:rPr>
      </w:pPr>
      <w:r w:rsidRPr="00FC4556">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3</w:t>
      </w:r>
      <w:r w:rsidRPr="00FC4556">
        <w:rPr>
          <w:rFonts w:ascii="Times New Roman" w:eastAsia="Times New Roman" w:hAnsi="Times New Roman" w:cs="Times New Roman"/>
          <w:bCs/>
          <w:sz w:val="24"/>
          <w:szCs w:val="24"/>
        </w:rPr>
        <w:t xml:space="preserve">0-day notice was published in the </w:t>
      </w:r>
      <w:r w:rsidRPr="00FC4556">
        <w:rPr>
          <w:rFonts w:ascii="Times New Roman" w:eastAsia="Times New Roman" w:hAnsi="Times New Roman" w:cs="Times New Roman"/>
          <w:bCs/>
          <w:i/>
          <w:iCs/>
          <w:sz w:val="24"/>
          <w:szCs w:val="24"/>
        </w:rPr>
        <w:t>Federal Register</w:t>
      </w:r>
      <w:r w:rsidRPr="00FC4556">
        <w:rPr>
          <w:rFonts w:ascii="Times New Roman" w:eastAsia="Times New Roman" w:hAnsi="Times New Roman" w:cs="Times New Roman"/>
          <w:bCs/>
          <w:sz w:val="24"/>
          <w:szCs w:val="24"/>
        </w:rPr>
        <w:t xml:space="preserve"> at 90 FR </w:t>
      </w:r>
      <w:r>
        <w:rPr>
          <w:rFonts w:ascii="Times New Roman" w:eastAsia="Times New Roman" w:hAnsi="Times New Roman" w:cs="Times New Roman"/>
          <w:bCs/>
          <w:sz w:val="24"/>
          <w:szCs w:val="24"/>
        </w:rPr>
        <w:t xml:space="preserve">25044 </w:t>
      </w:r>
      <w:r w:rsidRPr="00FC4556">
        <w:rPr>
          <w:rFonts w:ascii="Times New Roman" w:eastAsia="Times New Roman" w:hAnsi="Times New Roman" w:cs="Times New Roman"/>
          <w:bCs/>
          <w:sz w:val="24"/>
          <w:szCs w:val="24"/>
        </w:rPr>
        <w:t xml:space="preserve">on </w:t>
      </w:r>
      <w:r>
        <w:rPr>
          <w:rFonts w:ascii="Times New Roman" w:eastAsia="Times New Roman" w:hAnsi="Times New Roman" w:cs="Times New Roman"/>
          <w:bCs/>
          <w:sz w:val="24"/>
          <w:szCs w:val="24"/>
        </w:rPr>
        <w:t>June 13</w:t>
      </w:r>
      <w:r w:rsidRPr="00FC4556">
        <w:rPr>
          <w:rFonts w:ascii="Times New Roman" w:eastAsia="Times New Roman" w:hAnsi="Times New Roman" w:cs="Times New Roman"/>
          <w:bCs/>
          <w:sz w:val="24"/>
          <w:szCs w:val="24"/>
        </w:rPr>
        <w:t xml:space="preserve">, 2025. </w:t>
      </w:r>
    </w:p>
    <w:p w:rsidR="00A73C61" w14:paraId="24FC3E0D" w14:textId="77777777">
      <w:pPr>
        <w:spacing w:after="0" w:line="240" w:lineRule="auto"/>
        <w:rPr>
          <w:rFonts w:ascii="Times New Roman" w:eastAsia="Times New Roman" w:hAnsi="Times New Roman" w:cs="Times New Roman"/>
          <w:b/>
          <w:sz w:val="24"/>
          <w:szCs w:val="24"/>
        </w:rPr>
      </w:pPr>
    </w:p>
    <w:p w:rsidR="00C652D5" w:rsidRPr="003D154F" w:rsidP="003D154F" w14:paraId="6A97D60B" w14:textId="13506FA8">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Gift or Payment.</w:t>
      </w:r>
    </w:p>
    <w:p w:rsidR="00C652D5" w14:paraId="5DFB4D58" w14:textId="77777777">
      <w:pPr>
        <w:spacing w:after="0" w:line="240" w:lineRule="auto"/>
        <w:ind w:left="360"/>
        <w:rPr>
          <w:rFonts w:ascii="Times New Roman" w:eastAsia="Times New Roman" w:hAnsi="Times New Roman" w:cs="Times New Roman"/>
          <w:b/>
          <w:sz w:val="24"/>
          <w:szCs w:val="24"/>
        </w:rPr>
      </w:pPr>
    </w:p>
    <w:p w:rsidR="00C652D5" w14:paraId="0CD311A6" w14:textId="6FE3B32C">
      <w:pPr>
        <w:spacing w:after="0" w:line="240" w:lineRule="auto"/>
        <w:rPr>
          <w:sz w:val="24"/>
          <w:szCs w:val="24"/>
        </w:rPr>
      </w:pPr>
      <w:r>
        <w:rPr>
          <w:rFonts w:ascii="Times New Roman" w:eastAsia="Times New Roman" w:hAnsi="Times New Roman" w:cs="Times New Roman"/>
          <w:sz w:val="24"/>
          <w:szCs w:val="24"/>
        </w:rPr>
        <w:t>The Agency will not provide payment or other forms of remuneration to respondents of its various forms of collecting feedback.  Focus groups and cognitive laboratory studies are the exceptions.</w:t>
      </w:r>
      <w:r>
        <w:rPr>
          <w:sz w:val="24"/>
          <w:szCs w:val="24"/>
        </w:rPr>
        <w:t xml:space="preserve"> </w:t>
      </w:r>
      <w:r>
        <w:rPr>
          <w:rFonts w:ascii="Times New Roman" w:eastAsia="Times New Roman" w:hAnsi="Times New Roman" w:cs="Times New Roman"/>
          <w:sz w:val="24"/>
          <w:szCs w:val="24"/>
        </w:rPr>
        <w:t xml:space="preserve">In the case of in-person cognitive laboratory and usability studies, the Agency may provide stipends of up to $40.  In the case of in-person focus groups, the Agency may provide stipends of up to $75.  </w:t>
      </w:r>
      <w:r w:rsidR="00FC4556">
        <w:rPr>
          <w:rFonts w:ascii="Times New Roman" w:eastAsia="Times New Roman" w:hAnsi="Times New Roman" w:cs="Times New Roman"/>
          <w:sz w:val="24"/>
          <w:szCs w:val="24"/>
        </w:rPr>
        <w:t>If respondents</w:t>
      </w:r>
      <w:r>
        <w:rPr>
          <w:rFonts w:ascii="Times New Roman" w:eastAsia="Times New Roman" w:hAnsi="Times New Roman" w:cs="Times New Roman"/>
          <w:sz w:val="24"/>
          <w:szCs w:val="24"/>
        </w:rP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C652D5" w14:paraId="1858B744" w14:textId="77777777">
      <w:pPr>
        <w:spacing w:after="0" w:line="240" w:lineRule="auto"/>
        <w:rPr>
          <w:sz w:val="24"/>
          <w:szCs w:val="24"/>
        </w:rPr>
      </w:pPr>
    </w:p>
    <w:p w:rsidR="00C652D5" w:rsidRPr="003D154F" w:rsidP="003D154F" w14:paraId="1E7B7AC1" w14:textId="2B6FE765">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Privacy &amp; Confidentiality.</w:t>
      </w:r>
    </w:p>
    <w:p w:rsidR="00C652D5" w14:paraId="022109CC" w14:textId="77777777">
      <w:pPr>
        <w:spacing w:after="0" w:line="240" w:lineRule="auto"/>
        <w:ind w:left="360"/>
        <w:rPr>
          <w:rFonts w:ascii="Times New Roman" w:eastAsia="Times New Roman" w:hAnsi="Times New Roman" w:cs="Times New Roman"/>
          <w:b/>
          <w:sz w:val="24"/>
          <w:szCs w:val="24"/>
        </w:rPr>
      </w:pPr>
    </w:p>
    <w:p w:rsidR="00C652D5" w14:paraId="488175C1" w14:textId="77777777">
      <w:pPr>
        <w:spacing w:after="0" w:line="240" w:lineRule="auto"/>
        <w:rPr>
          <w:sz w:val="24"/>
          <w:szCs w:val="24"/>
        </w:rPr>
      </w:pPr>
      <w:r>
        <w:rPr>
          <w:rFonts w:ascii="Times New Roman" w:eastAsia="Times New Roman" w:hAnsi="Times New Roman" w:cs="Times New Roman"/>
          <w:sz w:val="24"/>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C652D5" w14:paraId="298F521F" w14:textId="77777777">
      <w:pPr>
        <w:spacing w:after="0" w:line="240" w:lineRule="auto"/>
        <w:rPr>
          <w:sz w:val="24"/>
          <w:szCs w:val="24"/>
        </w:rPr>
      </w:pPr>
    </w:p>
    <w:p w:rsidR="00C652D5" w:rsidRPr="003D154F" w:rsidP="003D154F" w14:paraId="7A4E340B" w14:textId="046A6914">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Sensitive Questions.</w:t>
      </w:r>
    </w:p>
    <w:p w:rsidR="00C652D5" w14:paraId="252F8076" w14:textId="77777777">
      <w:pPr>
        <w:spacing w:after="0" w:line="240" w:lineRule="auto"/>
        <w:ind w:left="360"/>
        <w:rPr>
          <w:rFonts w:ascii="Times New Roman" w:eastAsia="Times New Roman" w:hAnsi="Times New Roman" w:cs="Times New Roman"/>
          <w:b/>
          <w:sz w:val="24"/>
          <w:szCs w:val="24"/>
        </w:rPr>
      </w:pPr>
    </w:p>
    <w:p w:rsidR="00C652D5" w14:paraId="2A5FE917" w14:textId="77777777">
      <w:pPr>
        <w:spacing w:after="0" w:line="240" w:lineRule="auto"/>
        <w:rPr>
          <w:sz w:val="24"/>
          <w:szCs w:val="24"/>
        </w:rPr>
      </w:pPr>
      <w:r>
        <w:rPr>
          <w:rFonts w:ascii="Times New Roman" w:eastAsia="Times New Roman" w:hAnsi="Times New Roman" w:cs="Times New Roman"/>
          <w:sz w:val="24"/>
          <w:szCs w:val="24"/>
        </w:rPr>
        <w:t>No questions will be asked that are of a personal or sensitive nature.</w:t>
      </w:r>
    </w:p>
    <w:p w:rsidR="00C652D5" w14:paraId="3C7DD000" w14:textId="77777777">
      <w:pPr>
        <w:spacing w:after="0" w:line="240" w:lineRule="auto"/>
        <w:rPr>
          <w:sz w:val="24"/>
          <w:szCs w:val="24"/>
        </w:rPr>
      </w:pPr>
    </w:p>
    <w:p w:rsidR="00C652D5" w:rsidRPr="003D154F" w:rsidP="003D154F" w14:paraId="41A17621" w14:textId="6AAE96D2">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154F">
        <w:rPr>
          <w:rFonts w:ascii="Times New Roman" w:eastAsia="Times New Roman" w:hAnsi="Times New Roman" w:cs="Times New Roman"/>
          <w:b/>
          <w:sz w:val="24"/>
          <w:szCs w:val="24"/>
        </w:rPr>
        <w:t>Burden Estimate.</w:t>
      </w:r>
    </w:p>
    <w:p w:rsidR="00C652D5" w14:paraId="6A3D9991" w14:textId="77777777">
      <w:pPr>
        <w:spacing w:after="0" w:line="240" w:lineRule="auto"/>
        <w:ind w:left="360"/>
        <w:rPr>
          <w:rFonts w:ascii="Times New Roman" w:eastAsia="Times New Roman" w:hAnsi="Times New Roman" w:cs="Times New Roman"/>
          <w:b/>
          <w:sz w:val="24"/>
          <w:szCs w:val="24"/>
        </w:rPr>
      </w:pPr>
    </w:p>
    <w:p w:rsidR="00C652D5" w14:paraId="583937C0" w14:textId="77777777">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instruments and platforms will be used to collect information from respondents.  The annual burden hours previously requested (23,278) were based on the number of collections we expected to conduct over the requested period for this clearance.  A change is being requested due to the increase in participation.</w:t>
      </w:r>
    </w:p>
    <w:p w:rsidR="00C652D5" w14:paraId="261CA60E" w14:textId="77777777">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p>
    <w:p w:rsidR="00C652D5" w14:paraId="341B30BE" w14:textId="77777777">
      <w:pPr>
        <w:tabs>
          <w:tab w:val="left" w:pos="-1080"/>
          <w:tab w:val="left" w:pos="-720"/>
          <w:tab w:val="left" w:pos="0"/>
          <w:tab w:val="left" w:pos="450"/>
          <w:tab w:val="left" w:pos="720"/>
          <w:tab w:val="left" w:pos="2160"/>
        </w:tabs>
        <w:spacing w:after="0" w:line="240" w:lineRule="auto"/>
        <w:rPr>
          <w:sz w:val="24"/>
          <w:szCs w:val="24"/>
        </w:rPr>
      </w:pPr>
    </w:p>
    <w:tbl>
      <w:tblPr>
        <w:tblStyle w:val="a"/>
        <w:tblW w:w="9360" w:type="dxa"/>
        <w:tblInd w:w="-204" w:type="dxa"/>
        <w:tblLayout w:type="fixed"/>
        <w:tblLook w:val="0000"/>
      </w:tblPr>
      <w:tblGrid>
        <w:gridCol w:w="2880"/>
        <w:gridCol w:w="1710"/>
        <w:gridCol w:w="1710"/>
        <w:gridCol w:w="1800"/>
        <w:gridCol w:w="1260"/>
      </w:tblGrid>
      <w:tr w14:paraId="7C61FC6E" w14:textId="77777777">
        <w:tblPrEx>
          <w:tblW w:w="9360" w:type="dxa"/>
          <w:tblInd w:w="-204" w:type="dxa"/>
          <w:tblLayout w:type="fixed"/>
          <w:tblLook w:val="0000"/>
        </w:tblPrEx>
        <w:tc>
          <w:tcPr>
            <w:tcW w:w="9360" w:type="dxa"/>
            <w:gridSpan w:val="5"/>
            <w:tcBorders>
              <w:top w:val="single" w:sz="7" w:space="0" w:color="000000"/>
              <w:left w:val="single" w:sz="7" w:space="0" w:color="000000"/>
              <w:bottom w:val="single" w:sz="6" w:space="0" w:color="FFFFFF"/>
              <w:right w:val="single" w:sz="7" w:space="0" w:color="000000"/>
            </w:tcBorders>
          </w:tcPr>
          <w:p w:rsidR="00C652D5" w14:paraId="1229B1B5" w14:textId="77777777">
            <w:pPr>
              <w:spacing w:after="0" w:line="240" w:lineRule="auto"/>
              <w:rPr>
                <w:sz w:val="24"/>
                <w:szCs w:val="24"/>
              </w:rPr>
            </w:pPr>
          </w:p>
          <w:p w:rsidR="00C652D5" w14:paraId="64932792"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 xml:space="preserve">           Estimated Annual Reporting Burden</w:t>
            </w:r>
          </w:p>
        </w:tc>
      </w:tr>
      <w:tr w14:paraId="76C53036" w14:textId="77777777">
        <w:tblPrEx>
          <w:tblW w:w="9360" w:type="dxa"/>
          <w:tblInd w:w="-204" w:type="dxa"/>
          <w:tblLayout w:type="fixed"/>
          <w:tblLook w:val="0000"/>
        </w:tblPrEx>
        <w:tc>
          <w:tcPr>
            <w:tcW w:w="2880" w:type="dxa"/>
            <w:tcBorders>
              <w:top w:val="single" w:sz="7" w:space="0" w:color="000000"/>
              <w:left w:val="single" w:sz="7" w:space="0" w:color="000000"/>
              <w:bottom w:val="single" w:sz="6" w:space="0" w:color="FFFFFF"/>
              <w:right w:val="single" w:sz="6" w:space="0" w:color="FFFFFF"/>
            </w:tcBorders>
          </w:tcPr>
          <w:p w:rsidR="00C652D5" w14:paraId="561DF37B" w14:textId="77777777">
            <w:pPr>
              <w:spacing w:after="0" w:line="240" w:lineRule="auto"/>
              <w:rPr>
                <w:sz w:val="24"/>
                <w:szCs w:val="24"/>
              </w:rPr>
            </w:pPr>
          </w:p>
          <w:p w:rsidR="00C652D5" w14:paraId="5612A8B3"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C652D5" w14:paraId="24DEADE6" w14:textId="77777777">
            <w:pPr>
              <w:spacing w:after="0" w:line="240" w:lineRule="auto"/>
              <w:rPr>
                <w:sz w:val="24"/>
                <w:szCs w:val="24"/>
              </w:rPr>
            </w:pPr>
          </w:p>
          <w:p w:rsidR="00C652D5" w14:paraId="0DC2265A"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C652D5" w14:paraId="6C45FD58" w14:textId="77777777">
            <w:pPr>
              <w:spacing w:after="0" w:line="240" w:lineRule="auto"/>
              <w:rPr>
                <w:sz w:val="24"/>
                <w:szCs w:val="24"/>
              </w:rPr>
            </w:pPr>
          </w:p>
          <w:p w:rsidR="00C652D5" w14:paraId="54151114"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C652D5" w14:paraId="473D0CB3" w14:textId="77777777">
            <w:pPr>
              <w:spacing w:after="0" w:line="240" w:lineRule="auto"/>
              <w:rPr>
                <w:sz w:val="24"/>
                <w:szCs w:val="24"/>
              </w:rPr>
            </w:pPr>
          </w:p>
          <w:p w:rsidR="00C652D5" w14:paraId="0C1D001A"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Hours/Minutes per Response</w:t>
            </w:r>
          </w:p>
        </w:tc>
        <w:tc>
          <w:tcPr>
            <w:tcW w:w="1260" w:type="dxa"/>
            <w:tcBorders>
              <w:top w:val="single" w:sz="7" w:space="0" w:color="000000"/>
              <w:left w:val="single" w:sz="7" w:space="0" w:color="000000"/>
              <w:bottom w:val="single" w:sz="6" w:space="0" w:color="FFFFFF"/>
              <w:right w:val="single" w:sz="7" w:space="0" w:color="000000"/>
            </w:tcBorders>
          </w:tcPr>
          <w:p w:rsidR="00C652D5" w14:paraId="4F99AD73" w14:textId="77777777">
            <w:pPr>
              <w:spacing w:after="0" w:line="240" w:lineRule="auto"/>
              <w:rPr>
                <w:sz w:val="24"/>
                <w:szCs w:val="24"/>
              </w:rPr>
            </w:pPr>
          </w:p>
          <w:p w:rsidR="00C652D5" w14:paraId="55A003F8" w14:textId="77777777">
            <w:pPr>
              <w:tabs>
                <w:tab w:val="left" w:pos="-1080"/>
                <w:tab w:val="left" w:pos="-720"/>
                <w:tab w:val="left" w:pos="0"/>
                <w:tab w:val="left" w:pos="450"/>
                <w:tab w:val="left" w:pos="720"/>
                <w:tab w:val="left" w:pos="2160"/>
              </w:tabs>
              <w:spacing w:after="0" w:line="240" w:lineRule="auto"/>
              <w:jc w:val="center"/>
              <w:rPr>
                <w:sz w:val="24"/>
                <w:szCs w:val="24"/>
              </w:rPr>
            </w:pPr>
            <w:r>
              <w:rPr>
                <w:rFonts w:ascii="Times New Roman" w:eastAsia="Times New Roman" w:hAnsi="Times New Roman" w:cs="Times New Roman"/>
                <w:sz w:val="24"/>
                <w:szCs w:val="24"/>
              </w:rPr>
              <w:t>Total Hours</w:t>
            </w:r>
          </w:p>
        </w:tc>
      </w:tr>
      <w:tr w14:paraId="7566B430" w14:textId="77777777">
        <w:tblPrEx>
          <w:tblW w:w="9360" w:type="dxa"/>
          <w:tblInd w:w="-204" w:type="dxa"/>
          <w:tblLayout w:type="fixed"/>
          <w:tblLook w:val="0000"/>
        </w:tblPrEx>
        <w:tc>
          <w:tcPr>
            <w:tcW w:w="2880" w:type="dxa"/>
            <w:tcBorders>
              <w:top w:val="single" w:sz="7" w:space="0" w:color="000000"/>
              <w:left w:val="single" w:sz="7" w:space="0" w:color="000000"/>
              <w:bottom w:val="single" w:sz="7" w:space="0" w:color="000000"/>
              <w:right w:val="single" w:sz="6" w:space="0" w:color="FFFFFF"/>
            </w:tcBorders>
          </w:tcPr>
          <w:p w:rsidR="00C652D5" w14:paraId="05D76FC5"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Web-based or brief comment form surveys of services and products</w:t>
            </w:r>
          </w:p>
        </w:tc>
        <w:tc>
          <w:tcPr>
            <w:tcW w:w="1710" w:type="dxa"/>
            <w:tcBorders>
              <w:top w:val="single" w:sz="7" w:space="0" w:color="000000"/>
              <w:left w:val="single" w:sz="7" w:space="0" w:color="000000"/>
              <w:bottom w:val="single" w:sz="7" w:space="0" w:color="000000"/>
              <w:right w:val="single" w:sz="6" w:space="0" w:color="FFFFFF"/>
            </w:tcBorders>
          </w:tcPr>
          <w:p w:rsidR="00C652D5" w14:paraId="34E79EA0" w14:textId="77777777">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C652D5" w14:paraId="34BD3399"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2</w:t>
            </w:r>
          </w:p>
        </w:tc>
        <w:tc>
          <w:tcPr>
            <w:tcW w:w="1800" w:type="dxa"/>
            <w:tcBorders>
              <w:top w:val="single" w:sz="7" w:space="0" w:color="000000"/>
              <w:left w:val="single" w:sz="7" w:space="0" w:color="000000"/>
              <w:bottom w:val="single" w:sz="7" w:space="0" w:color="000000"/>
              <w:right w:val="single" w:sz="6" w:space="0" w:color="FFFFFF"/>
            </w:tcBorders>
            <w:vAlign w:val="center"/>
          </w:tcPr>
          <w:p w:rsidR="00C652D5" w14:paraId="59713565"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.063445 hours</w:t>
            </w:r>
          </w:p>
        </w:tc>
        <w:tc>
          <w:tcPr>
            <w:tcW w:w="1260" w:type="dxa"/>
            <w:tcBorders>
              <w:top w:val="single" w:sz="7" w:space="0" w:color="000000"/>
              <w:left w:val="single" w:sz="7" w:space="0" w:color="000000"/>
              <w:bottom w:val="single" w:sz="7" w:space="0" w:color="000000"/>
              <w:right w:val="single" w:sz="7" w:space="0" w:color="000000"/>
            </w:tcBorders>
            <w:vAlign w:val="center"/>
          </w:tcPr>
          <w:p w:rsidR="00C652D5" w14:paraId="671A4219"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126,890</w:t>
            </w:r>
          </w:p>
        </w:tc>
      </w:tr>
      <w:tr w14:paraId="18E17F9F" w14:textId="77777777">
        <w:tblPrEx>
          <w:tblW w:w="9360" w:type="dxa"/>
          <w:tblInd w:w="-204" w:type="dxa"/>
          <w:tblLayout w:type="fixed"/>
          <w:tblLook w:val="0000"/>
        </w:tblPrEx>
        <w:tc>
          <w:tcPr>
            <w:tcW w:w="2880" w:type="dxa"/>
            <w:tcBorders>
              <w:top w:val="single" w:sz="7" w:space="0" w:color="000000"/>
              <w:left w:val="single" w:sz="7" w:space="0" w:color="000000"/>
              <w:bottom w:val="single" w:sz="7" w:space="0" w:color="000000"/>
              <w:right w:val="single" w:sz="6" w:space="0" w:color="FFFFFF"/>
            </w:tcBorders>
          </w:tcPr>
          <w:p w:rsidR="00C652D5" w14:paraId="001B7FFD" w14:textId="77777777">
            <w:pPr>
              <w:spacing w:after="0" w:line="240" w:lineRule="auto"/>
              <w:rPr>
                <w:sz w:val="24"/>
                <w:szCs w:val="24"/>
              </w:rPr>
            </w:pPr>
            <w:r>
              <w:rPr>
                <w:rFonts w:ascii="Times New Roman" w:eastAsia="Times New Roman" w:hAnsi="Times New Roman" w:cs="Times New Roman"/>
                <w:sz w:val="24"/>
                <w:szCs w:val="24"/>
              </w:rPr>
              <w:t>Web-based or brief comment form evaluations of programs and events</w:t>
            </w:r>
          </w:p>
        </w:tc>
        <w:tc>
          <w:tcPr>
            <w:tcW w:w="1710" w:type="dxa"/>
            <w:tcBorders>
              <w:top w:val="single" w:sz="7" w:space="0" w:color="000000"/>
              <w:left w:val="single" w:sz="7" w:space="0" w:color="000000"/>
              <w:bottom w:val="single" w:sz="7" w:space="0" w:color="000000"/>
              <w:right w:val="single" w:sz="6" w:space="0" w:color="FFFFFF"/>
            </w:tcBorders>
          </w:tcPr>
          <w:p w:rsidR="00C652D5" w14:paraId="3A09CBC7" w14:textId="77777777">
            <w:pPr>
              <w:spacing w:after="0" w:line="240" w:lineRule="auto"/>
              <w:rPr>
                <w:sz w:val="24"/>
                <w:szCs w:val="24"/>
              </w:rPr>
            </w:pPr>
            <w:r>
              <w:rPr>
                <w:rFonts w:ascii="Times New Roman" w:eastAsia="Times New Roman" w:hAnsi="Times New Roman" w:cs="Times New Roman"/>
                <w:sz w:val="24"/>
                <w:szCs w:val="24"/>
              </w:rPr>
              <w:t>10,000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C652D5" w14:paraId="24DB53FC" w14:textId="77777777">
            <w:pPr>
              <w:spacing w:after="0" w:line="240" w:lineRule="auto"/>
              <w:rPr>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C652D5" w14:paraId="0D319F60" w14:textId="77777777">
            <w:pPr>
              <w:spacing w:after="0" w:line="240" w:lineRule="auto"/>
              <w:rPr>
                <w:sz w:val="24"/>
                <w:szCs w:val="24"/>
              </w:rPr>
            </w:pPr>
            <w:r>
              <w:rPr>
                <w:rFonts w:ascii="Times New Roman" w:eastAsia="Times New Roman" w:hAnsi="Times New Roman" w:cs="Times New Roman"/>
                <w:sz w:val="24"/>
                <w:szCs w:val="24"/>
              </w:rPr>
              <w:t>.083 hours</w:t>
            </w:r>
          </w:p>
        </w:tc>
        <w:tc>
          <w:tcPr>
            <w:tcW w:w="1260" w:type="dxa"/>
            <w:tcBorders>
              <w:top w:val="single" w:sz="7" w:space="0" w:color="000000"/>
              <w:left w:val="single" w:sz="7" w:space="0" w:color="000000"/>
              <w:bottom w:val="single" w:sz="7" w:space="0" w:color="000000"/>
              <w:right w:val="single" w:sz="7" w:space="0" w:color="000000"/>
            </w:tcBorders>
            <w:vAlign w:val="center"/>
          </w:tcPr>
          <w:p w:rsidR="00C652D5" w14:paraId="43BBDB86"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830</w:t>
            </w:r>
          </w:p>
        </w:tc>
      </w:tr>
      <w:tr w14:paraId="78325E8E" w14:textId="77777777">
        <w:tblPrEx>
          <w:tblW w:w="9360" w:type="dxa"/>
          <w:tblInd w:w="-204" w:type="dxa"/>
          <w:tblLayout w:type="fixed"/>
          <w:tblLook w:val="0000"/>
        </w:tblPrEx>
        <w:tc>
          <w:tcPr>
            <w:tcW w:w="2880" w:type="dxa"/>
            <w:tcBorders>
              <w:top w:val="single" w:sz="7" w:space="0" w:color="000000"/>
              <w:left w:val="single" w:sz="7" w:space="0" w:color="000000"/>
              <w:bottom w:val="single" w:sz="7" w:space="0" w:color="000000"/>
              <w:right w:val="single" w:sz="6" w:space="0" w:color="FFFFFF"/>
            </w:tcBorders>
          </w:tcPr>
          <w:p w:rsidR="00C652D5" w14:paraId="1DE9A55F" w14:textId="77777777">
            <w:pPr>
              <w:spacing w:after="0" w:line="240" w:lineRule="auto"/>
              <w:rPr>
                <w:sz w:val="24"/>
                <w:szCs w:val="24"/>
              </w:rPr>
            </w:pPr>
            <w:r>
              <w:rPr>
                <w:rFonts w:ascii="Times New Roman" w:eastAsia="Times New Roman" w:hAnsi="Times New Roman" w:cs="Times New Roman"/>
                <w:sz w:val="24"/>
                <w:szCs w:val="24"/>
              </w:rPr>
              <w:t>Focus Groups</w:t>
            </w:r>
          </w:p>
        </w:tc>
        <w:tc>
          <w:tcPr>
            <w:tcW w:w="1710" w:type="dxa"/>
            <w:tcBorders>
              <w:top w:val="single" w:sz="7" w:space="0" w:color="000000"/>
              <w:left w:val="single" w:sz="7" w:space="0" w:color="000000"/>
              <w:bottom w:val="single" w:sz="7" w:space="0" w:color="000000"/>
              <w:right w:val="single" w:sz="6" w:space="0" w:color="FFFFFF"/>
            </w:tcBorders>
          </w:tcPr>
          <w:p w:rsidR="00C652D5" w14:paraId="2779E03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710" w:type="dxa"/>
            <w:tcBorders>
              <w:top w:val="single" w:sz="7" w:space="0" w:color="000000"/>
              <w:left w:val="single" w:sz="7" w:space="0" w:color="000000"/>
              <w:bottom w:val="single" w:sz="7" w:space="0" w:color="000000"/>
              <w:right w:val="single" w:sz="6" w:space="0" w:color="FFFFFF"/>
            </w:tcBorders>
            <w:vAlign w:val="center"/>
          </w:tcPr>
          <w:p w:rsidR="00C652D5" w14:paraId="099C5CE1" w14:textId="77777777">
            <w:pPr>
              <w:spacing w:after="0" w:line="240" w:lineRule="auto"/>
              <w:rPr>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C652D5" w14:paraId="4EA3D99C" w14:textId="77777777">
            <w:pPr>
              <w:spacing w:after="0" w:line="240" w:lineRule="auto"/>
              <w:rPr>
                <w:sz w:val="24"/>
                <w:szCs w:val="24"/>
              </w:rPr>
            </w:pPr>
            <w:r>
              <w:rPr>
                <w:rFonts w:ascii="Times New Roman" w:eastAsia="Times New Roman" w:hAnsi="Times New Roman" w:cs="Times New Roman"/>
                <w:sz w:val="24"/>
                <w:szCs w:val="24"/>
              </w:rPr>
              <w:t>1 hour</w:t>
            </w:r>
          </w:p>
        </w:tc>
        <w:tc>
          <w:tcPr>
            <w:tcW w:w="1260" w:type="dxa"/>
            <w:tcBorders>
              <w:top w:val="single" w:sz="7" w:space="0" w:color="000000"/>
              <w:left w:val="single" w:sz="7" w:space="0" w:color="000000"/>
              <w:bottom w:val="single" w:sz="7" w:space="0" w:color="000000"/>
              <w:right w:val="single" w:sz="7" w:space="0" w:color="000000"/>
            </w:tcBorders>
            <w:vAlign w:val="center"/>
          </w:tcPr>
          <w:p w:rsidR="00C652D5" w14:paraId="7EE02683"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150</w:t>
            </w:r>
          </w:p>
        </w:tc>
      </w:tr>
      <w:tr w14:paraId="5CA9B052" w14:textId="77777777">
        <w:tblPrEx>
          <w:tblW w:w="9360" w:type="dxa"/>
          <w:tblInd w:w="-204" w:type="dxa"/>
          <w:tblLayout w:type="fixed"/>
          <w:tblLook w:val="0000"/>
        </w:tblPrEx>
        <w:trPr>
          <w:trHeight w:val="420"/>
        </w:trPr>
        <w:tc>
          <w:tcPr>
            <w:tcW w:w="2880" w:type="dxa"/>
            <w:tcBorders>
              <w:top w:val="single" w:sz="7" w:space="0" w:color="000000"/>
              <w:left w:val="single" w:sz="7" w:space="0" w:color="000000"/>
              <w:bottom w:val="single" w:sz="7" w:space="0" w:color="000000"/>
              <w:right w:val="single" w:sz="6" w:space="0" w:color="FFFFFF"/>
            </w:tcBorders>
          </w:tcPr>
          <w:p w:rsidR="00C652D5" w14:paraId="3F626E3D" w14:textId="77777777">
            <w:pPr>
              <w:spacing w:after="0" w:line="240" w:lineRule="auto"/>
              <w:rPr>
                <w:sz w:val="24"/>
                <w:szCs w:val="24"/>
              </w:rPr>
            </w:pPr>
            <w:r>
              <w:rPr>
                <w:rFonts w:ascii="Times New Roman" w:eastAsia="Times New Roman" w:hAnsi="Times New Roman" w:cs="Times New Roman"/>
                <w:sz w:val="24"/>
                <w:szCs w:val="24"/>
              </w:rPr>
              <w:t>Usability testing of websites or software</w:t>
            </w:r>
          </w:p>
        </w:tc>
        <w:tc>
          <w:tcPr>
            <w:tcW w:w="1710" w:type="dxa"/>
            <w:tcBorders>
              <w:top w:val="single" w:sz="7" w:space="0" w:color="000000"/>
              <w:left w:val="single" w:sz="7" w:space="0" w:color="000000"/>
              <w:bottom w:val="single" w:sz="7" w:space="0" w:color="000000"/>
              <w:right w:val="single" w:sz="6" w:space="0" w:color="FFFFFF"/>
            </w:tcBorders>
          </w:tcPr>
          <w:p w:rsidR="00C652D5" w14:paraId="3E2BEF5B" w14:textId="77777777">
            <w:pPr>
              <w:spacing w:after="0" w:line="240" w:lineRule="auto"/>
              <w:rPr>
                <w:rFonts w:ascii="Times New Roman" w:eastAsia="Times New Roman" w:hAnsi="Times New Roman" w:cs="Times New Roman"/>
                <w:sz w:val="24"/>
                <w:szCs w:val="24"/>
              </w:rPr>
            </w:pPr>
          </w:p>
          <w:p w:rsidR="00C652D5" w14:paraId="368A3DB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p w:rsidR="00C652D5" w14:paraId="706D7BA6" w14:textId="77777777">
            <w:pPr>
              <w:spacing w:after="0" w:line="240" w:lineRule="auto"/>
              <w:rPr>
                <w:rFonts w:ascii="Times New Roman" w:eastAsia="Times New Roman" w:hAnsi="Times New Roman" w:cs="Times New Roman"/>
                <w:sz w:val="24"/>
                <w:szCs w:val="24"/>
              </w:rPr>
            </w:pPr>
          </w:p>
        </w:tc>
        <w:tc>
          <w:tcPr>
            <w:tcW w:w="1710" w:type="dxa"/>
            <w:tcBorders>
              <w:top w:val="single" w:sz="7" w:space="0" w:color="000000"/>
              <w:left w:val="single" w:sz="7" w:space="0" w:color="000000"/>
              <w:bottom w:val="single" w:sz="7" w:space="0" w:color="000000"/>
              <w:right w:val="single" w:sz="6" w:space="0" w:color="FFFFFF"/>
            </w:tcBorders>
            <w:vAlign w:val="center"/>
          </w:tcPr>
          <w:p w:rsidR="00C652D5" w14:paraId="332D9308" w14:textId="77777777">
            <w:pPr>
              <w:spacing w:after="0" w:line="240" w:lineRule="auto"/>
              <w:rPr>
                <w:sz w:val="24"/>
                <w:szCs w:val="24"/>
              </w:rPr>
            </w:pPr>
          </w:p>
          <w:p w:rsidR="00C652D5" w14:paraId="766E59F8" w14:textId="77777777">
            <w:pPr>
              <w:spacing w:after="0" w:line="240" w:lineRule="auto"/>
              <w:rPr>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C652D5" w14:paraId="027E648D" w14:textId="77777777">
            <w:pPr>
              <w:spacing w:after="0" w:line="240" w:lineRule="auto"/>
              <w:rPr>
                <w:sz w:val="24"/>
                <w:szCs w:val="24"/>
              </w:rPr>
            </w:pPr>
            <w:r>
              <w:rPr>
                <w:rFonts w:ascii="Times New Roman" w:eastAsia="Times New Roman" w:hAnsi="Times New Roman" w:cs="Times New Roman"/>
                <w:sz w:val="24"/>
                <w:szCs w:val="24"/>
              </w:rPr>
              <w:t>.50 hours</w:t>
            </w:r>
          </w:p>
        </w:tc>
        <w:tc>
          <w:tcPr>
            <w:tcW w:w="1260" w:type="dxa"/>
            <w:tcBorders>
              <w:top w:val="single" w:sz="7" w:space="0" w:color="000000"/>
              <w:left w:val="single" w:sz="7" w:space="0" w:color="000000"/>
              <w:bottom w:val="single" w:sz="7" w:space="0" w:color="000000"/>
              <w:right w:val="single" w:sz="7" w:space="0" w:color="000000"/>
            </w:tcBorders>
            <w:vAlign w:val="center"/>
          </w:tcPr>
          <w:p w:rsidR="00C652D5" w14:paraId="45E4269A" w14:textId="77777777">
            <w:pPr>
              <w:tabs>
                <w:tab w:val="left" w:pos="-1080"/>
                <w:tab w:val="left" w:pos="-720"/>
                <w:tab w:val="left" w:pos="0"/>
                <w:tab w:val="left" w:pos="450"/>
                <w:tab w:val="left" w:pos="720"/>
                <w:tab w:val="left" w:pos="2160"/>
              </w:tabs>
              <w:spacing w:after="0" w:line="240" w:lineRule="auto"/>
              <w:rPr>
                <w:sz w:val="24"/>
                <w:szCs w:val="24"/>
              </w:rPr>
            </w:pPr>
            <w:r>
              <w:rPr>
                <w:rFonts w:ascii="Times New Roman" w:eastAsia="Times New Roman" w:hAnsi="Times New Roman" w:cs="Times New Roman"/>
                <w:sz w:val="24"/>
                <w:szCs w:val="24"/>
              </w:rPr>
              <w:t>250</w:t>
            </w:r>
          </w:p>
        </w:tc>
      </w:tr>
      <w:tr w14:paraId="22EE63BA" w14:textId="77777777">
        <w:tblPrEx>
          <w:tblW w:w="9360" w:type="dxa"/>
          <w:tblInd w:w="-204" w:type="dxa"/>
          <w:tblLayout w:type="fixed"/>
          <w:tblLook w:val="0000"/>
        </w:tblPrEx>
        <w:trPr>
          <w:trHeight w:val="420"/>
        </w:trPr>
        <w:tc>
          <w:tcPr>
            <w:tcW w:w="2880" w:type="dxa"/>
            <w:tcBorders>
              <w:top w:val="single" w:sz="7" w:space="0" w:color="000000"/>
              <w:left w:val="single" w:sz="7" w:space="0" w:color="000000"/>
              <w:bottom w:val="single" w:sz="7" w:space="0" w:color="000000"/>
              <w:right w:val="single" w:sz="6" w:space="0" w:color="FFFFFF"/>
            </w:tcBorders>
          </w:tcPr>
          <w:p w:rsidR="00C652D5" w14:paraId="74DE2A7A" w14:textId="77777777">
            <w:pPr>
              <w:spacing w:after="0" w:line="240" w:lineRule="auto"/>
              <w:rPr>
                <w:sz w:val="24"/>
                <w:szCs w:val="24"/>
              </w:rPr>
            </w:pPr>
            <w:r>
              <w:rPr>
                <w:rFonts w:ascii="Times New Roman" w:eastAsia="Times New Roman" w:hAnsi="Times New Roman" w:cs="Times New Roman"/>
                <w:sz w:val="24"/>
                <w:szCs w:val="24"/>
              </w:rPr>
              <w:t>Total</w:t>
            </w:r>
          </w:p>
        </w:tc>
        <w:tc>
          <w:tcPr>
            <w:tcW w:w="1710" w:type="dxa"/>
            <w:tcBorders>
              <w:top w:val="single" w:sz="7" w:space="0" w:color="000000"/>
              <w:left w:val="single" w:sz="7" w:space="0" w:color="000000"/>
              <w:bottom w:val="single" w:sz="7" w:space="0" w:color="000000"/>
              <w:right w:val="single" w:sz="6" w:space="0" w:color="FFFFFF"/>
            </w:tcBorders>
          </w:tcPr>
          <w:p w:rsidR="00C652D5" w14:paraId="0A1091B8" w14:textId="3DC97065">
            <w:pPr>
              <w:spacing w:after="0" w:line="240" w:lineRule="auto"/>
              <w:rPr>
                <w:sz w:val="24"/>
                <w:szCs w:val="24"/>
              </w:rPr>
            </w:pPr>
            <w:r>
              <w:rPr>
                <w:sz w:val="24"/>
                <w:szCs w:val="24"/>
              </w:rPr>
              <w:t>2</w:t>
            </w:r>
            <w:r w:rsidR="003D154F">
              <w:rPr>
                <w:sz w:val="24"/>
                <w:szCs w:val="24"/>
              </w:rPr>
              <w:t>,010,650</w:t>
            </w:r>
          </w:p>
        </w:tc>
        <w:tc>
          <w:tcPr>
            <w:tcW w:w="1710" w:type="dxa"/>
            <w:tcBorders>
              <w:top w:val="single" w:sz="7" w:space="0" w:color="000000"/>
              <w:left w:val="single" w:sz="7" w:space="0" w:color="000000"/>
              <w:bottom w:val="single" w:sz="7" w:space="0" w:color="000000"/>
              <w:right w:val="single" w:sz="6" w:space="0" w:color="FFFFFF"/>
            </w:tcBorders>
            <w:vAlign w:val="center"/>
          </w:tcPr>
          <w:p w:rsidR="00C652D5" w14:paraId="38B2FC03" w14:textId="77777777">
            <w:pPr>
              <w:spacing w:after="0" w:line="240" w:lineRule="auto"/>
              <w:rPr>
                <w:sz w:val="24"/>
                <w:szCs w:val="24"/>
              </w:rPr>
            </w:pPr>
            <w:r>
              <w:rPr>
                <w:sz w:val="24"/>
                <w:szCs w:val="24"/>
              </w:rPr>
              <w:t>--</w:t>
            </w:r>
          </w:p>
        </w:tc>
        <w:tc>
          <w:tcPr>
            <w:tcW w:w="1800" w:type="dxa"/>
            <w:tcBorders>
              <w:top w:val="single" w:sz="7" w:space="0" w:color="000000"/>
              <w:left w:val="single" w:sz="7" w:space="0" w:color="000000"/>
              <w:bottom w:val="single" w:sz="7" w:space="0" w:color="000000"/>
              <w:right w:val="single" w:sz="6" w:space="0" w:color="FFFFFF"/>
            </w:tcBorders>
            <w:vAlign w:val="center"/>
          </w:tcPr>
          <w:p w:rsidR="00C652D5" w14:paraId="457AD37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0" w:type="dxa"/>
            <w:tcBorders>
              <w:top w:val="single" w:sz="7" w:space="0" w:color="000000"/>
              <w:left w:val="single" w:sz="7" w:space="0" w:color="000000"/>
              <w:bottom w:val="single" w:sz="7" w:space="0" w:color="000000"/>
              <w:right w:val="single" w:sz="7" w:space="0" w:color="000000"/>
            </w:tcBorders>
            <w:vAlign w:val="center"/>
          </w:tcPr>
          <w:p w:rsidR="00C652D5" w14:paraId="140F1D94" w14:textId="77777777">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128,120</w:t>
            </w:r>
          </w:p>
        </w:tc>
      </w:tr>
    </w:tbl>
    <w:p w:rsidR="00C652D5" w14:paraId="2E748973" w14:textId="77777777">
      <w:pPr>
        <w:rPr>
          <w:rFonts w:ascii="Times New Roman" w:eastAsia="Times New Roman" w:hAnsi="Times New Roman" w:cs="Times New Roman"/>
          <w:sz w:val="24"/>
          <w:szCs w:val="24"/>
        </w:rPr>
      </w:pPr>
      <w:bookmarkStart w:id="0" w:name="gjdgxs" w:colFirst="0" w:colLast="0"/>
      <w:bookmarkEnd w:id="0"/>
      <w:r>
        <w:rPr>
          <w:rFonts w:ascii="Times New Roman" w:eastAsia="Times New Roman" w:hAnsi="Times New Roman" w:cs="Times New Roman"/>
          <w:sz w:val="24"/>
          <w:szCs w:val="24"/>
        </w:rPr>
        <w:t xml:space="preserve"> </w:t>
      </w:r>
    </w:p>
    <w:p w:rsidR="00C652D5" w:rsidRPr="003D154F" w:rsidP="003D154F" w14:paraId="47C9C111" w14:textId="0BEC5900">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Costs to Respondents</w:t>
      </w:r>
    </w:p>
    <w:p w:rsidR="00C652D5" w14:paraId="22007D2C" w14:textId="77777777">
      <w:pPr>
        <w:spacing w:after="0" w:line="240" w:lineRule="auto"/>
        <w:rPr>
          <w:rFonts w:ascii="Times New Roman" w:eastAsia="Times New Roman" w:hAnsi="Times New Roman" w:cs="Times New Roman"/>
          <w:sz w:val="24"/>
          <w:szCs w:val="24"/>
        </w:rPr>
      </w:pPr>
    </w:p>
    <w:p w:rsidR="00C652D5" w14:paraId="07CECC37" w14:textId="77777777">
      <w:pPr>
        <w:spacing w:after="0" w:line="240" w:lineRule="auto"/>
        <w:rPr>
          <w:sz w:val="24"/>
          <w:szCs w:val="24"/>
        </w:rPr>
      </w:pPr>
      <w:r>
        <w:rPr>
          <w:rFonts w:ascii="Times New Roman" w:eastAsia="Times New Roman" w:hAnsi="Times New Roman" w:cs="Times New Roman"/>
          <w:sz w:val="24"/>
          <w:szCs w:val="24"/>
        </w:rPr>
        <w:t xml:space="preserve">No costs are anticipated.  </w:t>
      </w:r>
    </w:p>
    <w:p w:rsidR="00C652D5" w14:paraId="237D1B8B" w14:textId="77777777">
      <w:pPr>
        <w:spacing w:after="0" w:line="240" w:lineRule="auto"/>
        <w:rPr>
          <w:sz w:val="24"/>
          <w:szCs w:val="24"/>
        </w:rPr>
      </w:pPr>
    </w:p>
    <w:p w:rsidR="00C652D5" w:rsidRPr="003D154F" w:rsidP="003D154F" w14:paraId="11967ADE" w14:textId="01BFCC30">
      <w:pPr>
        <w:pStyle w:val="ListParagraph"/>
        <w:numPr>
          <w:ilvl w:val="0"/>
          <w:numId w:val="8"/>
        </w:numPr>
        <w:spacing w:after="0" w:line="240" w:lineRule="auto"/>
        <w:rPr>
          <w:rFonts w:ascii="Times New Roman" w:eastAsia="Times New Roman" w:hAnsi="Times New Roman" w:cs="Times New Roman"/>
          <w:b/>
          <w:sz w:val="24"/>
          <w:szCs w:val="24"/>
        </w:rPr>
      </w:pPr>
      <w:r w:rsidRPr="003D154F">
        <w:rPr>
          <w:rFonts w:ascii="Times New Roman" w:eastAsia="Times New Roman" w:hAnsi="Times New Roman" w:cs="Times New Roman"/>
          <w:b/>
          <w:sz w:val="24"/>
          <w:szCs w:val="24"/>
        </w:rPr>
        <w:t>Estimated Costs to the Government.</w:t>
      </w:r>
    </w:p>
    <w:p w:rsidR="00C652D5" w14:paraId="54F4422E" w14:textId="77777777">
      <w:pPr>
        <w:spacing w:after="0" w:line="240" w:lineRule="auto"/>
        <w:rPr>
          <w:rFonts w:ascii="Times New Roman" w:eastAsia="Times New Roman" w:hAnsi="Times New Roman" w:cs="Times New Roman"/>
          <w:sz w:val="24"/>
          <w:szCs w:val="24"/>
        </w:rPr>
      </w:pPr>
    </w:p>
    <w:p w:rsidR="00C652D5" w14:paraId="399BCD02" w14:textId="77777777">
      <w:pPr>
        <w:spacing w:after="0" w:line="240" w:lineRule="auto"/>
        <w:rPr>
          <w:sz w:val="24"/>
          <w:szCs w:val="24"/>
        </w:rPr>
      </w:pPr>
      <w:r>
        <w:rPr>
          <w:rFonts w:ascii="Times New Roman" w:eastAsia="Times New Roman" w:hAnsi="Times New Roman" w:cs="Times New Roman"/>
          <w:sz w:val="24"/>
          <w:szCs w:val="24"/>
        </w:rPr>
        <w:t>The anticipated cost to the Federal Government is not easily calculable, but has been averaged using the cost of the base survey platform at the Agency divided by the anticipated number of all responses, then multiplying that cost-per-survey by total number of responses in the above table. The total cost to government has been averaged to $205,253.91. Any costs will be related to minimal staff/administrative time in analyzing the data.  No travel, postage or significant printing costs will be involved as Web-based technologies will be the primary method used to collect the data.  Comment forms submitted at events may also be used.  Contractor costs are not expected to exceed the cost of current contracts to maintain existing Web technologies used at the Agency.</w:t>
      </w:r>
    </w:p>
    <w:p w:rsidR="00FC4556" w:rsidP="00FC4556" w14:paraId="0363A074" w14:textId="77777777">
      <w:pPr>
        <w:spacing w:after="0" w:line="240" w:lineRule="auto"/>
        <w:rPr>
          <w:sz w:val="24"/>
          <w:szCs w:val="24"/>
        </w:rPr>
      </w:pPr>
    </w:p>
    <w:p w:rsidR="00C652D5" w:rsidRPr="003D154F" w:rsidP="003D154F" w14:paraId="13A278BC" w14:textId="55D94FC7">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154F">
        <w:rPr>
          <w:rFonts w:ascii="Times New Roman" w:eastAsia="Times New Roman" w:hAnsi="Times New Roman" w:cs="Times New Roman"/>
          <w:b/>
          <w:sz w:val="24"/>
          <w:szCs w:val="24"/>
        </w:rPr>
        <w:t>Reasons for Changes.</w:t>
      </w:r>
    </w:p>
    <w:p w:rsidR="00C652D5" w14:paraId="5AFE85B5" w14:textId="77777777">
      <w:pPr>
        <w:spacing w:after="0" w:line="240" w:lineRule="auto"/>
        <w:rPr>
          <w:rFonts w:ascii="Times New Roman" w:eastAsia="Times New Roman" w:hAnsi="Times New Roman" w:cs="Times New Roman"/>
          <w:sz w:val="24"/>
          <w:szCs w:val="24"/>
        </w:rPr>
      </w:pPr>
    </w:p>
    <w:p w:rsidR="00C652D5" w14:paraId="715C608B" w14:textId="77777777">
      <w:pPr>
        <w:spacing w:after="0" w:line="240" w:lineRule="auto"/>
        <w:rPr>
          <w:sz w:val="24"/>
          <w:szCs w:val="24"/>
        </w:rPr>
      </w:pPr>
      <w:r>
        <w:rPr>
          <w:rFonts w:ascii="Times New Roman" w:eastAsia="Times New Roman" w:hAnsi="Times New Roman" w:cs="Times New Roman"/>
          <w:sz w:val="24"/>
          <w:szCs w:val="24"/>
        </w:rPr>
        <w:t>The request to increase the total number of responses and total burden hours is due to the Agency's increased participation in use of the collection. The agency will identify strengths and weaknesses of current services and make improvements in service delivery based on feedback.</w:t>
      </w:r>
    </w:p>
    <w:p w:rsidR="00C652D5" w14:paraId="7FF0B4FF" w14:textId="77777777">
      <w:pPr>
        <w:spacing w:after="0" w:line="240" w:lineRule="auto"/>
        <w:rPr>
          <w:sz w:val="24"/>
          <w:szCs w:val="24"/>
        </w:rPr>
      </w:pPr>
    </w:p>
    <w:p w:rsidR="00C652D5" w:rsidRPr="003D154F" w:rsidP="003D154F" w14:paraId="505C8842" w14:textId="483F6AF5">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154F">
        <w:rPr>
          <w:rFonts w:ascii="Times New Roman" w:eastAsia="Times New Roman" w:hAnsi="Times New Roman" w:cs="Times New Roman"/>
          <w:b/>
          <w:sz w:val="24"/>
          <w:szCs w:val="24"/>
        </w:rPr>
        <w:t>Publicizing Results.</w:t>
      </w:r>
    </w:p>
    <w:p w:rsidR="00C652D5" w14:paraId="08E41BEE" w14:textId="77777777">
      <w:pPr>
        <w:spacing w:after="0" w:line="240" w:lineRule="auto"/>
        <w:rPr>
          <w:rFonts w:ascii="Times New Roman" w:eastAsia="Times New Roman" w:hAnsi="Times New Roman" w:cs="Times New Roman"/>
          <w:sz w:val="24"/>
          <w:szCs w:val="24"/>
        </w:rPr>
      </w:pPr>
    </w:p>
    <w:p w:rsidR="00C652D5" w14:paraId="321025AB" w14:textId="77777777">
      <w:pPr>
        <w:spacing w:after="0" w:line="240" w:lineRule="auto"/>
        <w:rPr>
          <w:sz w:val="24"/>
          <w:szCs w:val="24"/>
        </w:rPr>
      </w:pPr>
      <w:r>
        <w:rPr>
          <w:rFonts w:ascii="Times New Roman" w:eastAsia="Times New Roman" w:hAnsi="Times New Roman" w:cs="Times New Roman"/>
          <w:sz w:val="24"/>
          <w:szCs w:val="24"/>
        </w:rPr>
        <w:t xml:space="preserve">Feedback collected under this generic clearance provides useful information, but it does not yield data that can be generalized to the overall population. Findings will be used for general service improvement, but are not intended for publication or other public release.  </w:t>
      </w:r>
    </w:p>
    <w:p w:rsidR="00C652D5" w14:paraId="3081F168" w14:textId="77777777">
      <w:pPr>
        <w:spacing w:after="0" w:line="240" w:lineRule="auto"/>
        <w:rPr>
          <w:sz w:val="24"/>
          <w:szCs w:val="24"/>
        </w:rPr>
      </w:pPr>
    </w:p>
    <w:p w:rsidR="00C652D5" w14:paraId="0416E5E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C652D5" w14:paraId="7D7F389E" w14:textId="77777777">
      <w:pPr>
        <w:spacing w:after="0" w:line="240" w:lineRule="auto"/>
        <w:rPr>
          <w:sz w:val="24"/>
          <w:szCs w:val="24"/>
        </w:rPr>
      </w:pPr>
    </w:p>
    <w:p w:rsidR="00C652D5" w:rsidRPr="003D154F" w:rsidP="003D154F" w14:paraId="14ABF3D9" w14:textId="7E351495">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154F">
        <w:rPr>
          <w:rFonts w:ascii="Times New Roman" w:eastAsia="Times New Roman" w:hAnsi="Times New Roman" w:cs="Times New Roman"/>
          <w:b/>
          <w:sz w:val="24"/>
          <w:szCs w:val="24"/>
        </w:rPr>
        <w:t>OMB Not to Display Approval.</w:t>
      </w:r>
    </w:p>
    <w:p w:rsidR="00C652D5" w14:paraId="23B6756B" w14:textId="77777777">
      <w:pPr>
        <w:spacing w:after="0" w:line="240" w:lineRule="auto"/>
        <w:rPr>
          <w:rFonts w:ascii="Times New Roman" w:eastAsia="Times New Roman" w:hAnsi="Times New Roman" w:cs="Times New Roman"/>
          <w:sz w:val="24"/>
          <w:szCs w:val="24"/>
        </w:rPr>
      </w:pPr>
    </w:p>
    <w:p w:rsidR="00C652D5" w14:paraId="29C35C72" w14:textId="77777777">
      <w:pPr>
        <w:spacing w:after="0" w:line="240" w:lineRule="auto"/>
        <w:rPr>
          <w:sz w:val="24"/>
          <w:szCs w:val="24"/>
        </w:rPr>
      </w:pPr>
      <w:r>
        <w:rPr>
          <w:rFonts w:ascii="Times New Roman" w:eastAsia="Times New Roman" w:hAnsi="Times New Roman" w:cs="Times New Roman"/>
          <w:sz w:val="24"/>
          <w:szCs w:val="24"/>
        </w:rPr>
        <w:t>We are requesting no exemption.</w:t>
      </w:r>
    </w:p>
    <w:p w:rsidR="00C652D5" w14:paraId="46BE3B55" w14:textId="77777777">
      <w:pPr>
        <w:spacing w:after="0" w:line="240" w:lineRule="auto"/>
        <w:rPr>
          <w:sz w:val="24"/>
          <w:szCs w:val="24"/>
        </w:rPr>
      </w:pPr>
    </w:p>
    <w:p w:rsidR="00C652D5" w:rsidRPr="003D154F" w:rsidP="003D154F" w14:paraId="0AF71562" w14:textId="338D705A">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154F">
        <w:rPr>
          <w:rFonts w:ascii="Times New Roman" w:eastAsia="Times New Roman" w:hAnsi="Times New Roman" w:cs="Times New Roman"/>
          <w:b/>
          <w:sz w:val="24"/>
          <w:szCs w:val="24"/>
        </w:rPr>
        <w:t>Exceptions to “Certification for Paperwork Reduction Act Submissions”.</w:t>
      </w:r>
    </w:p>
    <w:p w:rsidR="00C652D5" w14:paraId="43FBFA7D" w14:textId="77777777">
      <w:pPr>
        <w:spacing w:after="0" w:line="240" w:lineRule="auto"/>
        <w:rPr>
          <w:rFonts w:ascii="Times New Roman" w:eastAsia="Times New Roman" w:hAnsi="Times New Roman" w:cs="Times New Roman"/>
          <w:sz w:val="24"/>
          <w:szCs w:val="24"/>
        </w:rPr>
      </w:pPr>
    </w:p>
    <w:p w:rsidR="00C652D5" w14:paraId="34C5557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activities comply with the requirements in 5 CFR 1320.9.</w:t>
      </w:r>
    </w:p>
    <w:p w:rsidR="00C652D5" w14:paraId="116D9293" w14:textId="77777777">
      <w:pPr>
        <w:spacing w:after="0" w:line="240" w:lineRule="auto"/>
        <w:rPr>
          <w:rFonts w:ascii="Times New Roman" w:eastAsia="Times New Roman" w:hAnsi="Times New Roman" w:cs="Times New Roman"/>
          <w:sz w:val="24"/>
          <w:szCs w:val="24"/>
        </w:rPr>
      </w:pPr>
    </w:p>
    <w:p w:rsidR="00C652D5" w:rsidRPr="003D154F" w:rsidP="003D154F" w14:paraId="339CD60A" w14:textId="07286E01">
      <w:pPr>
        <w:pStyle w:val="ListParagraph"/>
        <w:numPr>
          <w:ilvl w:val="0"/>
          <w:numId w:val="8"/>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Pr="003D154F">
        <w:rPr>
          <w:rFonts w:ascii="Times New Roman" w:eastAsia="Times New Roman" w:hAnsi="Times New Roman" w:cs="Times New Roman"/>
          <w:b/>
          <w:sz w:val="24"/>
          <w:szCs w:val="24"/>
          <w:u w:val="single"/>
        </w:rPr>
        <w:t>Surveys, Censuses, and Other Collections that Employ Statistical Methods.</w:t>
      </w:r>
    </w:p>
    <w:p w:rsidR="00C652D5" w14:paraId="22CBFFCC" w14:textId="77777777">
      <w:pPr>
        <w:spacing w:after="0" w:line="240" w:lineRule="auto"/>
        <w:rPr>
          <w:rFonts w:ascii="Times New Roman" w:eastAsia="Times New Roman" w:hAnsi="Times New Roman" w:cs="Times New Roman"/>
          <w:sz w:val="24"/>
          <w:szCs w:val="24"/>
        </w:rPr>
      </w:pPr>
    </w:p>
    <w:p w:rsidR="00C652D5" w14:paraId="0720F780" w14:textId="77777777">
      <w:pPr>
        <w:tabs>
          <w:tab w:val="left" w:pos="360"/>
        </w:tabs>
        <w:spacing w:after="0" w:line="240" w:lineRule="auto"/>
        <w:rPr>
          <w:sz w:val="24"/>
          <w:szCs w:val="24"/>
        </w:rPr>
      </w:pPr>
      <w:r>
        <w:rPr>
          <w:sz w:val="24"/>
          <w:szCs w:val="24"/>
        </w:rPr>
        <w:t>See Part B.</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6A5B000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48FCEC8C" w14:textId="77777777">
    <w:pPr>
      <w:tabs>
        <w:tab w:val="center" w:pos="4680"/>
        <w:tab w:val="right" w:pos="9360"/>
      </w:tabs>
      <w:spacing w:after="720" w:line="240" w:lineRule="auto"/>
      <w:jc w:val="center"/>
    </w:pPr>
    <w:r>
      <w:fldChar w:fldCharType="begin"/>
    </w:r>
    <w:r>
      <w:instrText>PAGE</w:instrText>
    </w:r>
    <w:r>
      <w:fldChar w:fldCharType="separate"/>
    </w:r>
    <w:r w:rsidR="00FC45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2BE4BB69"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154F" w14:paraId="690838E3" w14:textId="77777777">
      <w:pPr>
        <w:spacing w:after="0" w:line="240" w:lineRule="auto"/>
      </w:pPr>
      <w:r>
        <w:separator/>
      </w:r>
    </w:p>
  </w:footnote>
  <w:footnote w:type="continuationSeparator" w:id="1">
    <w:p w:rsidR="003D154F" w14:paraId="448DF597" w14:textId="77777777">
      <w:pPr>
        <w:spacing w:after="0" w:line="240" w:lineRule="auto"/>
      </w:pPr>
      <w:r>
        <w:continuationSeparator/>
      </w:r>
    </w:p>
  </w:footnote>
  <w:footnote w:id="2">
    <w:p w:rsidR="00C652D5" w14:paraId="64FB155B" w14:textId="77777777">
      <w:pPr>
        <w:rPr>
          <w:rFonts w:ascii="Times New Roman" w:eastAsia="Times New Roman" w:hAnsi="Times New Roman" w:cs="Times New Roman"/>
          <w:color w:val="000000"/>
          <w:sz w:val="24"/>
          <w:szCs w:val="24"/>
        </w:rPr>
      </w:pPr>
      <w:r>
        <w:rPr>
          <w:vertAlign w:val="superscript"/>
        </w:rPr>
        <w:footnoteRef/>
      </w:r>
      <w:r>
        <w:rPr>
          <w:sz w:val="20"/>
          <w:szCs w:val="20"/>
        </w:rPr>
        <w:t xml:space="preserve"> As defined in OMB’s “Information Quality Guidelines”, “influential” means that “an agency can reasonably determine that dissemination of the information will have or does have a clear and substantial impact on important public policies or important private sector decisions.” (</w:t>
      </w:r>
      <w:hyperlink r:id="rId1">
        <w:r>
          <w:rPr>
            <w:sz w:val="20"/>
            <w:szCs w:val="20"/>
          </w:rPr>
          <w:t>https://www.whitehouse.gov/sites/whitehouse.gov/files/omb/assets/OMB/inforeg/iqg_oct2002.pdf</w:t>
        </w:r>
      </w:hyperlink>
    </w:p>
    <w:p w:rsidR="00C652D5" w14:paraId="0F6F3B2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62AFC865"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17233E49"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2D5" w14:paraId="1BA09356"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A4C89"/>
    <w:multiLevelType w:val="multilevel"/>
    <w:tmpl w:val="C4D6C3E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18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18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180"/>
      </w:pPr>
      <w:rPr>
        <w:u w:val="none"/>
      </w:rPr>
    </w:lvl>
  </w:abstractNum>
  <w:abstractNum w:abstractNumId="1">
    <w:nsid w:val="148D096A"/>
    <w:multiLevelType w:val="multilevel"/>
    <w:tmpl w:val="A9B62A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D793708"/>
    <w:multiLevelType w:val="multilevel"/>
    <w:tmpl w:val="FBBAC1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FA87039"/>
    <w:multiLevelType w:val="multilevel"/>
    <w:tmpl w:val="F4FAA7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494535A"/>
    <w:multiLevelType w:val="multilevel"/>
    <w:tmpl w:val="C4D6C3E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18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18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180"/>
      </w:pPr>
      <w:rPr>
        <w:u w:val="none"/>
      </w:rPr>
    </w:lvl>
  </w:abstractNum>
  <w:abstractNum w:abstractNumId="5">
    <w:nsid w:val="35471A28"/>
    <w:multiLevelType w:val="multilevel"/>
    <w:tmpl w:val="526A2D72"/>
    <w:lvl w:ilvl="0">
      <w:start w:val="1"/>
      <w:numFmt w:val="decimal"/>
      <w:lvlText w:val="%1."/>
      <w:lvlJc w:val="left"/>
      <w:pPr>
        <w:ind w:left="360" w:hanging="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4DC953AE"/>
    <w:multiLevelType w:val="hybridMultilevel"/>
    <w:tmpl w:val="54885BF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B162A1"/>
    <w:multiLevelType w:val="multilevel"/>
    <w:tmpl w:val="1EEC94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296837672">
    <w:abstractNumId w:val="5"/>
  </w:num>
  <w:num w:numId="2" w16cid:durableId="832257055">
    <w:abstractNumId w:val="1"/>
  </w:num>
  <w:num w:numId="3" w16cid:durableId="239028814">
    <w:abstractNumId w:val="3"/>
  </w:num>
  <w:num w:numId="4" w16cid:durableId="1574581621">
    <w:abstractNumId w:val="2"/>
  </w:num>
  <w:num w:numId="5" w16cid:durableId="1840391097">
    <w:abstractNumId w:val="7"/>
  </w:num>
  <w:num w:numId="6" w16cid:durableId="1306349193">
    <w:abstractNumId w:val="4"/>
  </w:num>
  <w:num w:numId="7" w16cid:durableId="1615402418">
    <w:abstractNumId w:val="0"/>
  </w:num>
  <w:num w:numId="8" w16cid:durableId="287055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D5"/>
    <w:rsid w:val="000B61CD"/>
    <w:rsid w:val="001B217A"/>
    <w:rsid w:val="003D154F"/>
    <w:rsid w:val="004E23E9"/>
    <w:rsid w:val="00967174"/>
    <w:rsid w:val="00A73C61"/>
    <w:rsid w:val="00C652D5"/>
    <w:rsid w:val="00E56EF9"/>
    <w:rsid w:val="00E80E05"/>
    <w:rsid w:val="00FC45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0BA353"/>
  <w15:docId w15:val="{BF18E069-9A32-4988-A755-EA7016C1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02" w:type="dxa"/>
        <w:right w:w="102" w:type="dxa"/>
      </w:tblCellMar>
    </w:tblPr>
  </w:style>
  <w:style w:type="paragraph" w:styleId="ListParagraph">
    <w:name w:val="List Paragraph"/>
    <w:basedOn w:val="Normal"/>
    <w:uiPriority w:val="34"/>
    <w:qFormat/>
    <w:rsid w:val="00FC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sites/whitehouse.gov/files/omb/assets/OMB/inforeg/iqg_oct200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5</cp:revision>
  <dcterms:created xsi:type="dcterms:W3CDTF">2025-06-10T14:36:00Z</dcterms:created>
  <dcterms:modified xsi:type="dcterms:W3CDTF">2025-06-13T12:11:00Z</dcterms:modified>
</cp:coreProperties>
</file>