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588" w:rsidRPr="009B3429" w:rsidP="006F5EB5" w14:paraId="3698CDAB" w14:textId="4E52E656">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006B4588" w14:paraId="6A7EDFC9" w14:textId="77777777">
      <w:pPr>
        <w:spacing w:line="360" w:lineRule="auto"/>
        <w:jc w:val="center"/>
        <w:rPr>
          <w:rFonts w:eastAsia="Times New Roman"/>
          <w:b/>
          <w:color w:val="000000"/>
          <w:sz w:val="36"/>
          <w:szCs w:val="36"/>
        </w:rPr>
      </w:pPr>
    </w:p>
    <w:p w:rsidR="006B4588" w:rsidRPr="009B3429" w:rsidP="006B4588" w14:paraId="205C0BBF" w14:textId="77777777">
      <w:pPr>
        <w:spacing w:line="360" w:lineRule="auto"/>
        <w:jc w:val="center"/>
        <w:rPr>
          <w:rFonts w:eastAsia="Times New Roman"/>
          <w:b/>
          <w:color w:val="000000"/>
          <w:sz w:val="36"/>
          <w:szCs w:val="36"/>
        </w:rPr>
      </w:pPr>
      <w:r w:rsidRPr="009B3429">
        <w:rPr>
          <w:rFonts w:eastAsia="Times New Roman"/>
          <w:b/>
          <w:color w:val="000000"/>
          <w:sz w:val="36"/>
          <w:szCs w:val="36"/>
        </w:rPr>
        <w:t>High Frequency Surveys Program</w:t>
      </w:r>
    </w:p>
    <w:p w:rsidR="006B4588" w:rsidRPr="009B3429" w:rsidP="006B4588" w14:paraId="063B5D2E" w14:textId="77777777">
      <w:pPr>
        <w:spacing w:line="360" w:lineRule="auto"/>
        <w:jc w:val="center"/>
        <w:rPr>
          <w:rFonts w:eastAsia="Times New Roman"/>
          <w:b/>
          <w:sz w:val="36"/>
          <w:szCs w:val="36"/>
        </w:rPr>
      </w:pPr>
      <w:r w:rsidRPr="009B3429">
        <w:rPr>
          <w:rFonts w:eastAsia="Times New Roman"/>
          <w:b/>
          <w:color w:val="000000"/>
          <w:sz w:val="36"/>
          <w:szCs w:val="36"/>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B955B7" w:rsidRPr="009B3429" w:rsidP="00942196" w14:paraId="0807295A" w14:textId="2CDF072C">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774685" w:rsidRPr="009B3429" w:rsidP="00A63C05" w14:paraId="51A01C9E" w14:textId="76228D60">
      <w:pPr>
        <w:spacing w:before="161"/>
        <w:ind w:left="400" w:right="362"/>
      </w:pPr>
      <w:r>
        <w:t>In February 2025, we conducted a sample replenishment operation. Approximately 110,000 additional households were invited to join the HTOPS panel. Of those households, 11,29</w:t>
      </w:r>
      <w:r w:rsidR="1B67911E">
        <w:t>6</w:t>
      </w:r>
      <w:r>
        <w:t xml:space="preserve"> households responded to the baseline questionnaire, increasing t</w:t>
      </w:r>
      <w:r w:rsidR="00725D68">
        <w:t>he</w:t>
      </w:r>
      <w:r w:rsidR="008D5A21">
        <w:t xml:space="preserve"> </w:t>
      </w:r>
      <w:r w:rsidR="00725D68">
        <w:t>topical</w:t>
      </w:r>
      <w:r>
        <w:t xml:space="preserve"> </w:t>
      </w:r>
      <w:r w:rsidR="006B4588">
        <w:t xml:space="preserve">monthly </w:t>
      </w:r>
      <w:r>
        <w:t>sample size</w:t>
      </w:r>
      <w:r>
        <w:t xml:space="preserve"> from 17,</w:t>
      </w:r>
      <w:r w:rsidR="5A82690F">
        <w:t>917</w:t>
      </w:r>
      <w:r>
        <w:t xml:space="preserve"> to</w:t>
      </w:r>
      <w:r w:rsidR="00C30F3D">
        <w:t xml:space="preserve"> </w:t>
      </w:r>
      <w:r w:rsidR="00CA059D">
        <w:t>approximately 2</w:t>
      </w:r>
      <w:r>
        <w:t>9</w:t>
      </w:r>
      <w:r w:rsidR="00CA059D">
        <w:t>,</w:t>
      </w:r>
      <w:r w:rsidR="7D5BC91A">
        <w:t>213</w:t>
      </w:r>
      <w:r w:rsidR="00CA059D">
        <w:t xml:space="preserve"> </w:t>
      </w:r>
      <w:r>
        <w:t xml:space="preserve">housing units. </w:t>
      </w:r>
      <w:r w:rsidR="00AE74AE">
        <w:t>Previous topicals yielded, on average, a response rate of</w:t>
      </w:r>
      <w:r w:rsidR="00332063">
        <w:t xml:space="preserve"> approximately </w:t>
      </w:r>
      <w:r w:rsidR="00AE74AE">
        <w:t>5</w:t>
      </w:r>
      <w:r w:rsidR="720327F0">
        <w:t>5</w:t>
      </w:r>
      <w:r w:rsidR="00332063">
        <w:t>%. Subsequent topicals are expected to have a similar response rate</w:t>
      </w:r>
      <w:r w:rsidR="002038D4">
        <w:t xml:space="preserve">, </w:t>
      </w:r>
      <w:r>
        <w:t xml:space="preserve">resulting in </w:t>
      </w:r>
      <w:r w:rsidR="002038D4">
        <w:t xml:space="preserve">approximately </w:t>
      </w:r>
      <w:r w:rsidR="00CA059D">
        <w:t>16,000</w:t>
      </w:r>
      <w:r w:rsidR="008D5A21">
        <w:t xml:space="preserve"> </w:t>
      </w:r>
      <w:r>
        <w:t xml:space="preserve">households </w:t>
      </w:r>
      <w:r w:rsidR="00AB0698">
        <w:t xml:space="preserve">responding to the </w:t>
      </w:r>
      <w:r w:rsidR="00CA059D">
        <w:t>June and August</w:t>
      </w:r>
      <w:r w:rsidR="00AE74AE">
        <w:t xml:space="preserve"> </w:t>
      </w:r>
      <w:r w:rsidR="002038D4">
        <w:t>surveys.</w:t>
      </w:r>
    </w:p>
    <w:p w:rsidR="008D5A21" w:rsidRPr="009B3429" w:rsidP="00A63C05" w14:paraId="4A21AB7B" w14:textId="37698A93">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483D709E">
      <w:pPr>
        <w:pStyle w:val="BodyText"/>
        <w:spacing w:before="221" w:line="259" w:lineRule="auto"/>
        <w:ind w:right="340"/>
        <w:rPr>
          <w:sz w:val="22"/>
          <w:szCs w:val="22"/>
        </w:rPr>
      </w:pPr>
      <w:r w:rsidRPr="009B3429">
        <w:rPr>
          <w:sz w:val="22"/>
          <w:szCs w:val="22"/>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w:t>
      </w:r>
      <w:r w:rsidRPr="009B3429" w:rsidR="006F5EB5">
        <w:rPr>
          <w:sz w:val="22"/>
          <w:szCs w:val="22"/>
        </w:rPr>
        <w:t>nine</w:t>
      </w:r>
      <w:r w:rsidRPr="009B3429">
        <w:rPr>
          <w:sz w:val="22"/>
          <w:szCs w:val="22"/>
        </w:rPr>
        <w:t xml:space="preserve"> Census Bureau </w:t>
      </w:r>
      <w:r w:rsidRPr="009B3429" w:rsidR="006F5EB5">
        <w:rPr>
          <w:sz w:val="22"/>
          <w:szCs w:val="22"/>
        </w:rPr>
        <w:t>divisions</w:t>
      </w:r>
      <w:r w:rsidRPr="009B3429">
        <w:rPr>
          <w:sz w:val="22"/>
          <w:szCs w:val="22"/>
        </w:rPr>
        <w:t xml:space="preserve">.  MAF records not stratified into a stratum based on the DF or PDB will be defined as their own strata.  The sample will be distributed proportionately within </w:t>
      </w:r>
      <w:r w:rsidRPr="009B3429" w:rsidR="006F5EB5">
        <w:rPr>
          <w:sz w:val="22"/>
          <w:szCs w:val="22"/>
        </w:rPr>
        <w:t>divisions</w:t>
      </w:r>
      <w:r w:rsidRPr="009B3429">
        <w:rPr>
          <w:sz w:val="22"/>
          <w:szCs w:val="22"/>
        </w:rPr>
        <w:t xml:space="preserve"> 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42196" w:rsidRPr="009B3429" w:rsidP="009A01EE" w14:paraId="443F8059" w14:textId="70D01ADE">
      <w:pPr>
        <w:pStyle w:val="BodyText"/>
        <w:spacing w:before="221" w:line="259" w:lineRule="auto"/>
        <w:ind w:right="340"/>
        <w:rPr>
          <w:sz w:val="22"/>
          <w:szCs w:val="22"/>
        </w:rPr>
      </w:pPr>
      <w:r w:rsidRPr="009B3429">
        <w:rPr>
          <w:sz w:val="22"/>
          <w:szCs w:val="22"/>
        </w:rPr>
        <w:t xml:space="preserve">Future refreshment samples will be drawn from a frame that uses updated MAF, DF and PDB information, and those samples may be targeted at the geographic or domain level, </w:t>
      </w:r>
      <w:r w:rsidRPr="009B3429" w:rsidR="000E7FA4">
        <w:rPr>
          <w:sz w:val="22"/>
          <w:szCs w:val="22"/>
        </w:rPr>
        <w:t>to</w:t>
      </w:r>
      <w:r w:rsidRPr="009B3429">
        <w:rPr>
          <w:sz w:val="22"/>
          <w:szCs w:val="22"/>
        </w:rPr>
        <w:t xml:space="preserve"> maintain representativeness of the Household Panel Survey, adjust sample sizes based on observed nonresponse, and account for sample units that are rotating out of the panel.</w:t>
      </w:r>
    </w:p>
    <w:p w:rsidR="009A01EE" w:rsidRPr="009B3429" w:rsidP="009A01EE" w14:paraId="0910DEE4" w14:textId="140416B1">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A928BB" w14:paraId="7462578B" w14:textId="08CDE356">
      <w:pPr>
        <w:pStyle w:val="BodyText"/>
        <w:ind w:left="450"/>
        <w:rPr>
          <w:sz w:val="22"/>
          <w:szCs w:val="22"/>
        </w:rPr>
      </w:pPr>
      <w:r w:rsidRPr="009B3429">
        <w:rPr>
          <w:sz w:val="22"/>
          <w:szCs w:val="22"/>
        </w:rPr>
        <w:t>Enrolled</w:t>
      </w:r>
      <w:r w:rsidRPr="009B3429" w:rsidR="006B4588">
        <w:rPr>
          <w:sz w:val="22"/>
          <w:szCs w:val="22"/>
        </w:rPr>
        <w:t xml:space="preserve"> HTOPS</w:t>
      </w:r>
      <w:r w:rsidRPr="009B3429">
        <w:rPr>
          <w:sz w:val="22"/>
          <w:szCs w:val="22"/>
        </w:rPr>
        <w:t xml:space="preserve"> </w:t>
      </w:r>
      <w:r w:rsidRPr="009B3429" w:rsidR="006B4588">
        <w:rPr>
          <w:sz w:val="22"/>
          <w:szCs w:val="22"/>
        </w:rPr>
        <w:t>participants are</w:t>
      </w:r>
      <w:r w:rsidRPr="009B3429" w:rsidR="5E88C2A8">
        <w:rPr>
          <w:sz w:val="22"/>
          <w:szCs w:val="22"/>
        </w:rPr>
        <w:t xml:space="preserve"> invited to respond to monthly topical surveys. Invitations will be sent by email, text message (opt-in), and</w:t>
      </w:r>
      <w:r w:rsidRPr="009B3429" w:rsidR="00AB0698">
        <w:rPr>
          <w:sz w:val="22"/>
          <w:szCs w:val="22"/>
        </w:rPr>
        <w:t xml:space="preserve"> for those panelists with no email or mobile phone contact information, outbound telephone calling. </w:t>
      </w:r>
      <w:r w:rsidRPr="009B3429" w:rsidR="5E88C2A8">
        <w:rPr>
          <w:sz w:val="22"/>
          <w:szCs w:val="22"/>
        </w:rPr>
        <w:t xml:space="preserve">Using a unique login, panelists can access a topical questionnaire by computer, tablet, or smartphone. Phone-only panelists will complete topical surveys via inbound </w:t>
      </w:r>
      <w:r w:rsidRPr="009B3429" w:rsidR="00AB0698">
        <w:rPr>
          <w:sz w:val="22"/>
          <w:szCs w:val="22"/>
        </w:rPr>
        <w:t xml:space="preserve">or outbound </w:t>
      </w:r>
      <w:r w:rsidRPr="009B3429" w:rsidR="5E88C2A8">
        <w:rPr>
          <w:sz w:val="22"/>
          <w:szCs w:val="22"/>
        </w:rPr>
        <w:t xml:space="preserve">CATI. </w:t>
      </w:r>
    </w:p>
    <w:p w:rsidR="00D64EFA" w:rsidRPr="009B3429" w:rsidP="00A928BB" w14:paraId="7BC55E76" w14:textId="6AA86253">
      <w:pPr>
        <w:pStyle w:val="BodyText"/>
        <w:ind w:left="450"/>
        <w:rPr>
          <w:sz w:val="22"/>
          <w:szCs w:val="22"/>
        </w:rPr>
      </w:pPr>
      <w:r w:rsidRPr="009B3429">
        <w:rPr>
          <w:sz w:val="22"/>
          <w:szCs w:val="22"/>
        </w:rPr>
        <w:t xml:space="preserve">Data collection for each topical survey will take place in a 2-week window. Each topical survey will be approximately </w:t>
      </w:r>
      <w:r w:rsidRPr="009B3429" w:rsidR="005B2CBD">
        <w:rPr>
          <w:sz w:val="22"/>
          <w:szCs w:val="22"/>
        </w:rPr>
        <w:t xml:space="preserve">20 </w:t>
      </w:r>
      <w:r w:rsidRPr="009B3429">
        <w:rPr>
          <w:sz w:val="22"/>
          <w:szCs w:val="22"/>
        </w:rPr>
        <w:t>minutes long and panelists will receive up to two reminders to complete a topical survey. Panelists who complete a topical survey will be mailed a thank you letter with a $</w:t>
      </w:r>
      <w:r w:rsidRPr="009B3429" w:rsidR="006B4588">
        <w:rPr>
          <w:sz w:val="22"/>
          <w:szCs w:val="22"/>
        </w:rPr>
        <w:t>5</w:t>
      </w:r>
      <w:r w:rsidR="0032471E">
        <w:rPr>
          <w:sz w:val="22"/>
          <w:szCs w:val="22"/>
        </w:rPr>
        <w:t xml:space="preserve"> </w:t>
      </w:r>
      <w:r w:rsidRPr="009B3429">
        <w:rPr>
          <w:sz w:val="22"/>
          <w:szCs w:val="22"/>
        </w:rPr>
        <w:t>incentive</w:t>
      </w:r>
      <w:r w:rsidRPr="009B3429" w:rsidR="006B4588">
        <w:rPr>
          <w:sz w:val="22"/>
          <w:szCs w:val="22"/>
        </w:rPr>
        <w:t xml:space="preserve"> (either digital or cash)</w:t>
      </w:r>
      <w:r w:rsidRPr="009B3429">
        <w:rPr>
          <w:sz w:val="22"/>
          <w:szCs w:val="22"/>
        </w:rPr>
        <w:t xml:space="preserve"> about </w:t>
      </w:r>
      <w:r w:rsidRPr="009B3429" w:rsidR="006B4588">
        <w:rPr>
          <w:sz w:val="22"/>
          <w:szCs w:val="22"/>
        </w:rPr>
        <w:t xml:space="preserve">2 to </w:t>
      </w:r>
      <w:r w:rsidRPr="009B3429" w:rsidR="00292D2F">
        <w:rPr>
          <w:sz w:val="22"/>
          <w:szCs w:val="22"/>
        </w:rPr>
        <w:t>6 weeks</w:t>
      </w:r>
      <w:r w:rsidRPr="009B3429">
        <w:rPr>
          <w:sz w:val="22"/>
          <w:szCs w:val="22"/>
        </w:rPr>
        <w:t xml:space="preserve"> after the topical survey field period closes</w:t>
      </w:r>
      <w:r w:rsidRPr="009B3429" w:rsidR="006B4588">
        <w:rPr>
          <w:sz w:val="22"/>
          <w:szCs w:val="22"/>
        </w:rPr>
        <w:t xml:space="preserve"> (depending on the type of incentive)</w:t>
      </w:r>
      <w:r w:rsidRPr="009B3429">
        <w:rPr>
          <w:sz w:val="22"/>
          <w:szCs w:val="22"/>
        </w:rPr>
        <w:t>.</w:t>
      </w:r>
    </w:p>
    <w:p w:rsidR="00D64EFA" w:rsidRPr="009B3429" w:rsidP="00A928BB" w14:paraId="5DC5D584" w14:textId="48D5635E">
      <w:pPr>
        <w:pStyle w:val="BodyText"/>
        <w:ind w:left="450"/>
        <w:rPr>
          <w:sz w:val="22"/>
          <w:szCs w:val="22"/>
        </w:rPr>
      </w:pPr>
      <w:r w:rsidRPr="009B3429">
        <w:rPr>
          <w:sz w:val="22"/>
          <w:szCs w:val="22"/>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RPr="009B3429" w:rsidP="00A928BB" w14:paraId="29B05BA4" w14:textId="77777777">
      <w:pPr>
        <w:spacing w:line="276" w:lineRule="auto"/>
        <w:ind w:left="450"/>
      </w:pPr>
    </w:p>
    <w:p w:rsidR="00D64EFA" w:rsidRPr="009B3429" w:rsidP="00A928BB" w14:paraId="3166C00F" w14:textId="4DD97027">
      <w:pPr>
        <w:spacing w:line="276" w:lineRule="auto"/>
        <w:ind w:left="450"/>
      </w:pPr>
      <w:r w:rsidRPr="009B3429">
        <w:t xml:space="preserve">Keeping panelists engaged will prevent attrition and maintain the representativeness of the panel. We </w:t>
      </w:r>
      <w:r w:rsidRPr="009B3429" w:rsidR="00292D2F">
        <w:t>will continue</w:t>
      </w:r>
      <w:r w:rsidRPr="009B3429">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w:t>
      </w:r>
      <w:r w:rsidRPr="009B3429">
        <w:t>asked to respond to a pre-designed panel maintenance questionnaire that will also serve to verify demographic information and record any changes.</w:t>
      </w:r>
    </w:p>
    <w:p w:rsidR="00D64EFA" w:rsidRPr="009B3429" w:rsidP="00D64EFA" w14:paraId="4DE2DCE2" w14:textId="77777777">
      <w:pPr>
        <w:spacing w:line="276" w:lineRule="auto"/>
        <w:ind w:left="320"/>
      </w:pPr>
    </w:p>
    <w:p w:rsidR="3AF4A5F5" w:rsidRPr="009B3429" w:rsidP="3AF4A5F5" w14:paraId="0D3F0A2D" w14:textId="6DF22E0A">
      <w:pPr>
        <w:spacing w:line="276" w:lineRule="auto"/>
        <w:ind w:left="320"/>
      </w:pPr>
    </w:p>
    <w:p w:rsidR="00D64EFA" w:rsidRPr="009B3429" w:rsidP="00A928BB" w14:paraId="34C6A4BA" w14:textId="03F4B6BB">
      <w:pPr>
        <w:pStyle w:val="Heading2"/>
        <w:ind w:left="320" w:firstLine="40"/>
        <w:rPr>
          <w:rFonts w:ascii="Arial" w:eastAsia="Arial" w:hAnsi="Arial" w:cs="Arial"/>
          <w:color w:val="auto"/>
          <w:sz w:val="22"/>
          <w:szCs w:val="22"/>
        </w:rPr>
      </w:pPr>
      <w:bookmarkStart w:id="0" w:name="_Toc78201646"/>
      <w:r w:rsidRPr="00A928BB">
        <w:rPr>
          <w:rFonts w:ascii="Arial" w:eastAsia="Arial" w:hAnsi="Arial" w:cs="Arial"/>
          <w:b/>
          <w:bCs/>
          <w:color w:val="auto"/>
          <w:sz w:val="22"/>
          <w:szCs w:val="22"/>
        </w:rPr>
        <w:t>HTOPS</w:t>
      </w:r>
      <w:r w:rsidRPr="009B3429">
        <w:rPr>
          <w:rFonts w:ascii="Arial" w:eastAsia="Arial" w:hAnsi="Arial" w:cs="Arial"/>
          <w:color w:val="auto"/>
          <w:sz w:val="22"/>
          <w:szCs w:val="22"/>
        </w:rPr>
        <w:t xml:space="preserve"> </w:t>
      </w:r>
      <w:r w:rsidRPr="009B3429">
        <w:rPr>
          <w:rFonts w:ascii="Arial" w:eastAsia="Arial" w:hAnsi="Arial" w:cs="Arial"/>
          <w:color w:val="auto"/>
          <w:sz w:val="22"/>
          <w:szCs w:val="22"/>
        </w:rPr>
        <w:t>Replacement and Replenishment</w:t>
      </w:r>
      <w:bookmarkEnd w:id="0"/>
      <w:r w:rsidRPr="009B3429">
        <w:rPr>
          <w:rFonts w:ascii="Arial" w:eastAsia="Arial" w:hAnsi="Arial" w:cs="Arial"/>
          <w:color w:val="auto"/>
          <w:sz w:val="22"/>
          <w:szCs w:val="22"/>
        </w:rPr>
        <w:t xml:space="preserve"> </w:t>
      </w:r>
    </w:p>
    <w:p w:rsidR="007E5C90" w:rsidP="007E5C90" w14:paraId="63371C1C" w14:textId="77777777">
      <w:pPr>
        <w:pStyle w:val="BodyText"/>
        <w:ind w:left="360"/>
        <w:rPr>
          <w:sz w:val="22"/>
          <w:szCs w:val="22"/>
        </w:rPr>
      </w:pPr>
      <w:r w:rsidRPr="009B3429">
        <w:rPr>
          <w:sz w:val="22"/>
          <w:szCs w:val="22"/>
        </w:rPr>
        <w:t>H</w:t>
      </w:r>
      <w:r w:rsidRPr="009B3429" w:rsidR="2AC76220">
        <w:rPr>
          <w:sz w:val="22"/>
          <w:szCs w:val="22"/>
        </w:rPr>
        <w:t>TOPS</w:t>
      </w:r>
      <w:r w:rsidRPr="009B3429" w:rsidR="001C384F">
        <w:rPr>
          <w:sz w:val="22"/>
          <w:szCs w:val="22"/>
        </w:rPr>
        <w:t xml:space="preserve"> </w:t>
      </w:r>
      <w:r w:rsidRPr="009B3429">
        <w:rPr>
          <w:sz w:val="22"/>
          <w:szCs w:val="22"/>
        </w:rPr>
        <w:t>panel</w:t>
      </w:r>
      <w:r w:rsidRPr="009B3429" w:rsidR="00D64EFA">
        <w:rPr>
          <w:sz w:val="22"/>
          <w:szCs w:val="22"/>
        </w:rPr>
        <w:t xml:space="preserve">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9B3429" w:rsidR="00D64EFA">
        <w:rPr>
          <w:sz w:val="22"/>
          <w:szCs w:val="22"/>
        </w:rPr>
        <w:t>Blom</w:t>
      </w:r>
      <w:r w:rsidRPr="009B3429" w:rsidR="00D64EFA">
        <w:rPr>
          <w:sz w:val="22"/>
          <w:szCs w:val="22"/>
        </w:rPr>
        <w:t xml:space="preserve">, 2019; </w:t>
      </w:r>
      <w:r w:rsidRPr="009B3429" w:rsidR="00D64EFA">
        <w:rPr>
          <w:sz w:val="22"/>
          <w:szCs w:val="22"/>
        </w:rPr>
        <w:t>Lugtig</w:t>
      </w:r>
      <w:r w:rsidRPr="009B3429" w:rsidR="00D64EFA">
        <w:rPr>
          <w:sz w:val="22"/>
          <w:szCs w:val="22"/>
        </w:rPr>
        <w:t xml:space="preserve"> et al., 2014; </w:t>
      </w:r>
      <w:r w:rsidRPr="009B3429" w:rsidR="00D64EFA">
        <w:rPr>
          <w:sz w:val="22"/>
          <w:szCs w:val="22"/>
        </w:rPr>
        <w:t>Schifeling</w:t>
      </w:r>
      <w:r w:rsidRPr="009B3429" w:rsidR="00D64EFA">
        <w:rPr>
          <w:sz w:val="22"/>
          <w:szCs w:val="22"/>
        </w:rPr>
        <w:t xml:space="preserve"> et al., 2015; </w:t>
      </w:r>
      <w:r w:rsidRPr="009B3429" w:rsidR="00D64EFA">
        <w:rPr>
          <w:sz w:val="22"/>
          <w:szCs w:val="22"/>
        </w:rPr>
        <w:t>Toepoela</w:t>
      </w:r>
      <w:r w:rsidRPr="009B3429" w:rsidR="00D64EFA">
        <w:rPr>
          <w:sz w:val="22"/>
          <w:szCs w:val="22"/>
        </w:rPr>
        <w:t xml:space="preserve"> &amp; </w:t>
      </w:r>
      <w:r w:rsidRPr="009B3429" w:rsidR="00D64EFA">
        <w:rPr>
          <w:sz w:val="22"/>
          <w:szCs w:val="22"/>
        </w:rPr>
        <w:t>Schonlau</w:t>
      </w:r>
      <w:r w:rsidRPr="009B3429" w:rsidR="00D64EFA">
        <w:rPr>
          <w:sz w:val="22"/>
          <w:szCs w:val="22"/>
        </w:rPr>
        <w:t xml:space="preserve">, 2017). </w:t>
      </w:r>
    </w:p>
    <w:p w:rsidR="007E5C90" w:rsidP="006C0921" w14:paraId="29D896CF" w14:textId="77777777">
      <w:pPr>
        <w:pStyle w:val="BodyText"/>
        <w:ind w:left="360"/>
        <w:rPr>
          <w:sz w:val="22"/>
          <w:szCs w:val="22"/>
        </w:rPr>
      </w:pPr>
      <w:r w:rsidRPr="392C8C28">
        <w:rPr>
          <w:sz w:val="22"/>
          <w:szCs w:val="22"/>
        </w:rPr>
        <w:t xml:space="preserve">Panelist requests to disenroll from the panel will be identified and processed according to </w:t>
      </w:r>
      <w:r w:rsidRPr="392C8C28">
        <w:rPr>
          <w:sz w:val="22"/>
          <w:szCs w:val="22"/>
        </w:rPr>
        <w:t xml:space="preserve">forthcoming protocols. Periodic nonresponse or refusal to the monthly requests for otherwise active panelists is expected. </w:t>
      </w:r>
    </w:p>
    <w:p w:rsidR="00D64EFA" w:rsidRPr="009B3429" w:rsidP="007E5C90" w14:paraId="73C20738" w14:textId="592CE1A0">
      <w:pPr>
        <w:pStyle w:val="BodyText"/>
        <w:ind w:left="360"/>
        <w:rPr>
          <w:sz w:val="22"/>
          <w:szCs w:val="22"/>
        </w:rPr>
      </w:pPr>
      <w:r w:rsidRPr="009B3429">
        <w:rPr>
          <w:sz w:val="22"/>
          <w:szCs w:val="22"/>
        </w:rPr>
        <w:t xml:space="preserve">A particular </w:t>
      </w:r>
      <w:r w:rsidRPr="009B3429">
        <w:rPr>
          <w:sz w:val="22"/>
          <w:szCs w:val="22"/>
        </w:rPr>
        <w:t xml:space="preserve">questionnaire may be classified as “no response” due to unit nonresponse (i.e., no questionnaire initiation), item nonresponse resulting in an interview that is not usable for analyses (e.g., </w:t>
      </w:r>
      <w:r w:rsidRPr="009B3429" w:rsidR="3D49A21E">
        <w:rPr>
          <w:sz w:val="22"/>
          <w:szCs w:val="22"/>
        </w:rPr>
        <w:t xml:space="preserve">item </w:t>
      </w:r>
      <w:r w:rsidRPr="009B3429">
        <w:rPr>
          <w:sz w:val="22"/>
          <w:szCs w:val="22"/>
        </w:rPr>
        <w:t xml:space="preserve">nonresponse to questions deemed critical for analysis, high item nonresponse alone or after data review), and poor-quality data resulting in an unusable interview. Inactive panelists will remain members of the </w:t>
      </w:r>
      <w:r w:rsidRPr="009B3429" w:rsidR="0003008E">
        <w:rPr>
          <w:sz w:val="22"/>
          <w:szCs w:val="22"/>
        </w:rPr>
        <w:t>HTOPS panel</w:t>
      </w:r>
      <w:r w:rsidRPr="009B3429">
        <w:rPr>
          <w:sz w:val="22"/>
          <w:szCs w:val="22"/>
        </w:rPr>
        <w:t xml:space="preserve"> if reengagement is desired by Census staff, especially for rare or historically undercounted populations. Definition of poor-quality responses is forthcoming.</w:t>
      </w:r>
    </w:p>
    <w:p w:rsidR="00D64EFA" w:rsidRPr="009B3429" w:rsidP="006C0921" w14:paraId="759BDE29" w14:textId="77777777">
      <w:pPr>
        <w:pStyle w:val="BodyText"/>
        <w:ind w:left="360"/>
        <w:rPr>
          <w:sz w:val="22"/>
          <w:szCs w:val="22"/>
        </w:rPr>
      </w:pPr>
      <w:r w:rsidRPr="009B3429">
        <w:rPr>
          <w:sz w:val="22"/>
          <w:szCs w:val="22"/>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9B3429">
        <w:rPr>
          <w:sz w:val="22"/>
          <w:szCs w:val="22"/>
        </w:rPr>
        <w:t>Biffignandi</w:t>
      </w:r>
      <w:r w:rsidRPr="009B3429">
        <w:rPr>
          <w:sz w:val="22"/>
          <w:szCs w:val="22"/>
        </w:rPr>
        <w:t xml:space="preserve">, 2017; Eckman et al., 2021; Groves &amp; </w:t>
      </w:r>
      <w:r w:rsidRPr="009B3429">
        <w:rPr>
          <w:sz w:val="22"/>
          <w:szCs w:val="22"/>
        </w:rPr>
        <w:t>Peytcheva</w:t>
      </w:r>
      <w:r w:rsidRPr="009B3429">
        <w:rPr>
          <w:sz w:val="22"/>
          <w:szCs w:val="22"/>
        </w:rPr>
        <w:t xml:space="preserve">, 2008; </w:t>
      </w:r>
      <w:r w:rsidRPr="009B3429">
        <w:rPr>
          <w:sz w:val="22"/>
          <w:szCs w:val="22"/>
        </w:rPr>
        <w:t>Peytcheva</w:t>
      </w:r>
      <w:r w:rsidRPr="009B3429">
        <w:rPr>
          <w:sz w:val="22"/>
          <w:szCs w:val="22"/>
        </w:rPr>
        <w:t xml:space="preserve"> &amp; Groves, 2009; Rosen et al., 2014). </w:t>
      </w:r>
    </w:p>
    <w:p w:rsidR="00D64EFA" w:rsidRPr="009B3429" w:rsidP="006C0921" w14:paraId="78B0A038" w14:textId="77777777">
      <w:pPr>
        <w:pStyle w:val="table-sourcealt-1"/>
        <w:ind w:left="360" w:firstLine="0"/>
        <w:rPr>
          <w:rFonts w:ascii="Arial" w:eastAsia="Arial" w:hAnsi="Arial" w:cs="Arial"/>
          <w:sz w:val="22"/>
          <w:lang w:eastAsia="en-US" w:bidi="en-US"/>
        </w:rPr>
      </w:pPr>
    </w:p>
    <w:p w:rsidR="00D64EFA" w:rsidRPr="009B3429" w:rsidP="006C0921" w14:paraId="77A6BD9B" w14:textId="1C40B01A">
      <w:pPr>
        <w:pStyle w:val="table-sourcealt-1"/>
        <w:ind w:left="360" w:firstLine="0"/>
        <w:rPr>
          <w:rFonts w:ascii="Arial" w:eastAsia="Arial" w:hAnsi="Arial" w:cs="Arial"/>
          <w:sz w:val="22"/>
          <w:lang w:eastAsia="en-US" w:bidi="en-US"/>
        </w:rPr>
      </w:pPr>
      <w:r w:rsidRPr="009B3429">
        <w:rPr>
          <w:rFonts w:ascii="Arial" w:eastAsia="Arial" w:hAnsi="Arial" w:cs="Arial"/>
          <w:sz w:val="22"/>
          <w:lang w:eastAsia="en-US" w:bidi="en-US"/>
        </w:rPr>
        <w:t xml:space="preserve">Based on results from multiple analyses, we will identify any subgroups requiring replenishment. New members will be sampled and recruited using the same protocol as for initial enrollment. </w:t>
      </w:r>
    </w:p>
    <w:p w:rsidR="00D64EFA" w:rsidRPr="009B3429" w:rsidP="006C0921" w14:paraId="2956A05A" w14:textId="77777777">
      <w:pPr>
        <w:pStyle w:val="BodyText"/>
        <w:ind w:left="360"/>
        <w:rPr>
          <w:sz w:val="22"/>
          <w:szCs w:val="22"/>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9B3429">
        <w:rPr>
          <w:sz w:val="22"/>
          <w:szCs w:val="22"/>
        </w:rPr>
        <w:t>Because incentives remain one of the most effective ways to encourage survey participation. The current incentive design includes the following:</w:t>
      </w:r>
    </w:p>
    <w:p w:rsidR="3AF4A5F5" w:rsidRPr="009B3429" w:rsidP="3AF4A5F5" w14:paraId="788D7014" w14:textId="2D3A8D50">
      <w:pPr>
        <w:pStyle w:val="BodyText"/>
        <w:ind w:left="360"/>
        <w:rPr>
          <w:sz w:val="22"/>
          <w:szCs w:val="22"/>
        </w:rPr>
      </w:pPr>
    </w:p>
    <w:p w:rsidR="00D64EFA" w:rsidRPr="009B3429" w:rsidP="006C0921" w14:paraId="7B5278C7" w14:textId="335940BE">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Initial Invitation: $</w:t>
      </w:r>
      <w:r w:rsidRPr="009B3429" w:rsidR="0003008E">
        <w:rPr>
          <w:rFonts w:ascii="Arial" w:eastAsia="Arial" w:hAnsi="Arial" w:cs="Arial"/>
          <w:sz w:val="22"/>
          <w:lang w:eastAsia="en-US" w:bidi="en-US"/>
        </w:rPr>
        <w:t>2</w:t>
      </w:r>
      <w:r w:rsidRPr="009B3429">
        <w:rPr>
          <w:rFonts w:ascii="Arial" w:eastAsia="Arial" w:hAnsi="Arial" w:cs="Arial"/>
          <w:sz w:val="22"/>
          <w:lang w:eastAsia="en-US" w:bidi="en-US"/>
        </w:rPr>
        <w:t xml:space="preserve"> visible prepaid incentive with the initial invitation to complete the screener.</w:t>
      </w:r>
    </w:p>
    <w:p w:rsidR="00D64EFA" w:rsidRPr="009B3429" w:rsidP="006C0921" w14:paraId="25F07390" w14:textId="43F2D1C2">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Baseline Questionnaire: $</w:t>
      </w:r>
      <w:r w:rsidRPr="009B3429" w:rsidR="0003008E">
        <w:rPr>
          <w:rFonts w:ascii="Arial" w:eastAsia="Arial" w:hAnsi="Arial" w:cs="Arial"/>
          <w:sz w:val="22"/>
          <w:lang w:eastAsia="en-US" w:bidi="en-US"/>
        </w:rPr>
        <w:t>1</w:t>
      </w:r>
      <w:r w:rsidRPr="009B3429">
        <w:rPr>
          <w:rFonts w:ascii="Arial" w:eastAsia="Arial" w:hAnsi="Arial" w:cs="Arial"/>
          <w:sz w:val="22"/>
          <w:lang w:eastAsia="en-US" w:bidi="en-US"/>
        </w:rPr>
        <w:t>0 baseline contingent incentive after initial recruitment field period.</w:t>
      </w:r>
    </w:p>
    <w:p w:rsidR="00D64EFA" w:rsidRPr="009B3429" w:rsidP="006C0921" w14:paraId="148E2C2A" w14:textId="2AC25AFF">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Topical Surveys: $</w:t>
      </w:r>
      <w:r w:rsidRPr="009B3429" w:rsidR="0003008E">
        <w:rPr>
          <w:rFonts w:ascii="Arial" w:eastAsia="Arial" w:hAnsi="Arial" w:cs="Arial"/>
          <w:sz w:val="22"/>
          <w:lang w:eastAsia="en-US" w:bidi="en-US"/>
        </w:rPr>
        <w:t xml:space="preserve">5 </w:t>
      </w:r>
      <w:r w:rsidRPr="009B3429">
        <w:rPr>
          <w:rFonts w:ascii="Arial" w:eastAsia="Arial" w:hAnsi="Arial" w:cs="Arial"/>
          <w:sz w:val="22"/>
          <w:lang w:eastAsia="en-US" w:bidi="en-US"/>
        </w:rPr>
        <w:t>for each topical survey (~</w:t>
      </w:r>
      <w:r w:rsidRPr="009B3429" w:rsidR="00C31A66">
        <w:rPr>
          <w:rFonts w:ascii="Arial" w:eastAsia="Arial" w:hAnsi="Arial" w:cs="Arial"/>
          <w:sz w:val="22"/>
          <w:lang w:eastAsia="en-US" w:bidi="en-US"/>
        </w:rPr>
        <w:t>20</w:t>
      </w:r>
      <w:r w:rsidRPr="009B3429">
        <w:rPr>
          <w:rFonts w:ascii="Arial" w:eastAsia="Arial" w:hAnsi="Arial" w:cs="Arial"/>
          <w:sz w:val="22"/>
          <w:lang w:eastAsia="en-US" w:bidi="en-US"/>
        </w:rPr>
        <w:t>-minute average; once per month).</w:t>
      </w:r>
    </w:p>
    <w:p w:rsidR="00D64EFA" w:rsidRPr="009B3429" w:rsidP="006C0921" w14:paraId="2D40FA5C" w14:textId="72A8F229">
      <w:pPr>
        <w:pStyle w:val="BodyText"/>
        <w:ind w:left="360"/>
        <w:rPr>
          <w:sz w:val="22"/>
          <w:szCs w:val="22"/>
        </w:rPr>
      </w:pPr>
      <w:r w:rsidRPr="009B3429">
        <w:rPr>
          <w:sz w:val="22"/>
          <w:szCs w:val="22"/>
        </w:rPr>
        <w:t xml:space="preserve">Respondents will be </w:t>
      </w:r>
      <w:r w:rsidRPr="009B3429" w:rsidR="0003008E">
        <w:rPr>
          <w:sz w:val="22"/>
          <w:szCs w:val="22"/>
        </w:rPr>
        <w:t xml:space="preserve">emailed digital incentives or </w:t>
      </w:r>
      <w:r w:rsidRPr="009B3429">
        <w:rPr>
          <w:sz w:val="22"/>
          <w:szCs w:val="22"/>
        </w:rPr>
        <w:t>mailed cash</w:t>
      </w:r>
      <w:r w:rsidRPr="009B3429" w:rsidR="00C31A66">
        <w:rPr>
          <w:sz w:val="22"/>
          <w:szCs w:val="22"/>
        </w:rPr>
        <w:t xml:space="preserve"> </w:t>
      </w:r>
      <w:r w:rsidRPr="009B3429">
        <w:rPr>
          <w:sz w:val="22"/>
          <w:szCs w:val="22"/>
        </w:rPr>
        <w:t>incentives</w:t>
      </w:r>
      <w:r w:rsidRPr="009B3429" w:rsidR="0003008E">
        <w:rPr>
          <w:sz w:val="22"/>
          <w:szCs w:val="22"/>
        </w:rPr>
        <w:t xml:space="preserve"> (if unable or unwilling to accept digital incentives)</w:t>
      </w:r>
      <w:r w:rsidRPr="009B3429">
        <w:rPr>
          <w:sz w:val="22"/>
          <w:szCs w:val="22"/>
        </w:rPr>
        <w:t xml:space="preserve"> for survey completion. </w:t>
      </w:r>
      <w:r w:rsidRPr="009B3429" w:rsidR="0003008E">
        <w:rPr>
          <w:sz w:val="22"/>
          <w:szCs w:val="22"/>
        </w:rPr>
        <w:t>The National Processing Center (</w:t>
      </w:r>
      <w:r w:rsidRPr="009B3429">
        <w:rPr>
          <w:sz w:val="22"/>
          <w:szCs w:val="22"/>
        </w:rPr>
        <w:t>NPC</w:t>
      </w:r>
      <w:r w:rsidRPr="009B3429" w:rsidR="0003008E">
        <w:rPr>
          <w:sz w:val="22"/>
          <w:szCs w:val="22"/>
        </w:rPr>
        <w:t>) and the Associate Director for Demographic Programs – Survey Operations (ADDP-SO) team</w:t>
      </w:r>
      <w:r w:rsidRPr="009B3429">
        <w:rPr>
          <w:sz w:val="22"/>
          <w:szCs w:val="22"/>
        </w:rPr>
        <w:t xml:space="preserve"> will coordinate incentive distribution. The incentive structure could be amended to facilitate ongoing engagement of panelists, particularly for groups of panelists that are rare or historically undercounted.</w:t>
      </w:r>
    </w:p>
    <w:p w:rsidR="00A057FA" w:rsidRPr="009B3429" w:rsidP="00942196" w14:paraId="4E919211" w14:textId="77777777">
      <w:pPr>
        <w:pStyle w:val="BodyText"/>
        <w:spacing w:before="158" w:line="259" w:lineRule="auto"/>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A928BB" w:rsidP="6AB70D1D" w14:paraId="4BEEA6C1" w14:textId="77777777">
      <w:pPr>
        <w:pStyle w:val="BodyText"/>
        <w:spacing w:line="259" w:lineRule="auto"/>
        <w:ind w:right="407"/>
        <w:rPr>
          <w:b/>
          <w:bCs/>
          <w:sz w:val="22"/>
          <w:szCs w:val="22"/>
          <w:u w:val="single"/>
        </w:rPr>
      </w:pPr>
    </w:p>
    <w:p w:rsidR="00520E6E" w:rsidRPr="00520E6E" w:rsidP="00520E6E" w14:paraId="11609455" w14:textId="77777777">
      <w:pPr>
        <w:spacing w:after="160" w:line="257" w:lineRule="auto"/>
        <w:ind w:left="360"/>
        <w:rPr>
          <w:b/>
          <w:bCs/>
          <w:u w:val="single"/>
        </w:rPr>
      </w:pPr>
      <w:r w:rsidRPr="00520E6E">
        <w:rPr>
          <w:b/>
          <w:bCs/>
          <w:u w:val="single"/>
        </w:rPr>
        <w:t xml:space="preserve">Yes/No Radio Button and Select-all Check Box A/B Test </w:t>
      </w:r>
    </w:p>
    <w:p w:rsidR="00520E6E" w:rsidRPr="00520E6E" w:rsidP="00520E6E" w14:paraId="41274B6F" w14:textId="77777777">
      <w:pPr>
        <w:spacing w:after="160" w:line="257" w:lineRule="auto"/>
        <w:ind w:left="360"/>
        <w:rPr>
          <w:b/>
          <w:bCs/>
          <w:u w:val="single"/>
        </w:rPr>
      </w:pPr>
    </w:p>
    <w:p w:rsidR="00351911" w:rsidRPr="007E5C90" w:rsidP="007E5C90" w14:paraId="4136DBBD" w14:textId="0579BB6A">
      <w:pPr>
        <w:spacing w:after="160"/>
        <w:ind w:left="360"/>
      </w:pPr>
      <w:r w:rsidRPr="007E5C90">
        <w:t xml:space="preserve">In Internet Self-Response, the way that respondents treat ‘forced choice’ radio buttons versus 'Select all that apply’ check boxes </w:t>
      </w:r>
      <w:r w:rsidRPr="007E5C90">
        <w:t>remains</w:t>
      </w:r>
      <w:r w:rsidRPr="007E5C90">
        <w:t xml:space="preserve"> an open question. Research shows that a set of forced choice yes/no questions elicit more affirmative responses than a select all that apply question. Current research on these response formats generally </w:t>
      </w:r>
      <w:r w:rsidRPr="007E5C90">
        <w:t>focus</w:t>
      </w:r>
      <w:r w:rsidRPr="007E5C90">
        <w:t xml:space="preserve"> on experiences and opinions. Fewer, if any, ask about factual questions typical in household surveys. Further, while some respondents treat forced choice questions like a select all that apply by ignoring the ‘no’ column, it does provide them the opportunity to explicitly say ‘no’, unlike the select all that apply format. Eliciting a ‘no’ provides more information beyond a ‘skipped/don’t know/refuse’ nonresponse. The comparison of item non-response for the two types of questions has not been explored in-depth. In this test conducted during the June data collection, respondents will receive questions about the same set of programs and who in the household participates in the programs, however they will be randomly assigned to either receive a select all that apply or forced choice format of some applicable questions. This will allow us to compare the prevalence of ‘Yes’ responses as well as the rate of item non-response in either setting.  </w:t>
      </w: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Provide the name and telephone number of individuals consulted on statistical aspects of the design and the name of the agency unit, contractor(s), grantee(s), or other person(s) who will actually collect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Anthony </w:t>
      </w:r>
      <w:r w:rsidRPr="009B3429">
        <w:t>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 Fields</w:t>
      </w:r>
    </w:p>
    <w:p w:rsidR="005A6942" w:rsidRPr="009B3429"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Social Economic and Housing Statistics Division</w:t>
      </w:r>
    </w:p>
    <w:p w:rsidR="005A6942" w:rsidRPr="009B3429"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jason.m.fields@census.gov</w:t>
      </w:r>
    </w:p>
    <w:p w:rsidR="005A6942" w:rsidRPr="009B3429"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jennifer.hunter.childs@census.gov</w:t>
      </w:r>
    </w:p>
    <w:p w:rsidR="005A6942" w:rsidRPr="009B3429"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r>
      <w:r w:rsidRPr="009B3429">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A6203"/>
    <w:rsid w:val="000B2AA7"/>
    <w:rsid w:val="000B515B"/>
    <w:rsid w:val="000E7FA4"/>
    <w:rsid w:val="001304CC"/>
    <w:rsid w:val="00130530"/>
    <w:rsid w:val="00170A53"/>
    <w:rsid w:val="00172512"/>
    <w:rsid w:val="0019678B"/>
    <w:rsid w:val="001C384F"/>
    <w:rsid w:val="001D5A72"/>
    <w:rsid w:val="002038D4"/>
    <w:rsid w:val="0023781D"/>
    <w:rsid w:val="00292D2F"/>
    <w:rsid w:val="002F57F7"/>
    <w:rsid w:val="0032471E"/>
    <w:rsid w:val="00325F54"/>
    <w:rsid w:val="00332063"/>
    <w:rsid w:val="003436E2"/>
    <w:rsid w:val="00351911"/>
    <w:rsid w:val="00353F8C"/>
    <w:rsid w:val="003902F3"/>
    <w:rsid w:val="003A0215"/>
    <w:rsid w:val="003E0710"/>
    <w:rsid w:val="00401686"/>
    <w:rsid w:val="00442F57"/>
    <w:rsid w:val="00471C90"/>
    <w:rsid w:val="00490FD9"/>
    <w:rsid w:val="004A140A"/>
    <w:rsid w:val="004E2561"/>
    <w:rsid w:val="00505C26"/>
    <w:rsid w:val="00512BBE"/>
    <w:rsid w:val="00520E6E"/>
    <w:rsid w:val="005367D0"/>
    <w:rsid w:val="005561F6"/>
    <w:rsid w:val="00596850"/>
    <w:rsid w:val="005A1D38"/>
    <w:rsid w:val="005A6942"/>
    <w:rsid w:val="005B2CBD"/>
    <w:rsid w:val="00615B02"/>
    <w:rsid w:val="00647934"/>
    <w:rsid w:val="006533B0"/>
    <w:rsid w:val="006722A9"/>
    <w:rsid w:val="00677C42"/>
    <w:rsid w:val="006B4588"/>
    <w:rsid w:val="006C0921"/>
    <w:rsid w:val="006F5EB5"/>
    <w:rsid w:val="00705089"/>
    <w:rsid w:val="00725D68"/>
    <w:rsid w:val="00774685"/>
    <w:rsid w:val="007B055E"/>
    <w:rsid w:val="007B36BA"/>
    <w:rsid w:val="007E0B54"/>
    <w:rsid w:val="007E5C90"/>
    <w:rsid w:val="00817764"/>
    <w:rsid w:val="00833FE2"/>
    <w:rsid w:val="00837B80"/>
    <w:rsid w:val="00892982"/>
    <w:rsid w:val="00893405"/>
    <w:rsid w:val="008A1A1D"/>
    <w:rsid w:val="008D126D"/>
    <w:rsid w:val="008D5A21"/>
    <w:rsid w:val="00933B30"/>
    <w:rsid w:val="00942196"/>
    <w:rsid w:val="00945CFB"/>
    <w:rsid w:val="0098249B"/>
    <w:rsid w:val="009A01EE"/>
    <w:rsid w:val="009A05A9"/>
    <w:rsid w:val="009A51FF"/>
    <w:rsid w:val="009B3429"/>
    <w:rsid w:val="009C500B"/>
    <w:rsid w:val="009D1016"/>
    <w:rsid w:val="00A057FA"/>
    <w:rsid w:val="00A63C05"/>
    <w:rsid w:val="00A928BB"/>
    <w:rsid w:val="00AA5146"/>
    <w:rsid w:val="00AB0698"/>
    <w:rsid w:val="00AE74AE"/>
    <w:rsid w:val="00AF392F"/>
    <w:rsid w:val="00B90413"/>
    <w:rsid w:val="00B955B7"/>
    <w:rsid w:val="00BC1E42"/>
    <w:rsid w:val="00C30F3D"/>
    <w:rsid w:val="00C31A66"/>
    <w:rsid w:val="00C96CF5"/>
    <w:rsid w:val="00CA059D"/>
    <w:rsid w:val="00CB6264"/>
    <w:rsid w:val="00CD3BD1"/>
    <w:rsid w:val="00D36A12"/>
    <w:rsid w:val="00D455B4"/>
    <w:rsid w:val="00D548D5"/>
    <w:rsid w:val="00D64EFA"/>
    <w:rsid w:val="00D704EC"/>
    <w:rsid w:val="00D7274A"/>
    <w:rsid w:val="00DE34FB"/>
    <w:rsid w:val="00DE5F61"/>
    <w:rsid w:val="00E023A4"/>
    <w:rsid w:val="00E21840"/>
    <w:rsid w:val="00E7588B"/>
    <w:rsid w:val="00E971A9"/>
    <w:rsid w:val="00EC6FA3"/>
    <w:rsid w:val="00F31AA9"/>
    <w:rsid w:val="00F34B4B"/>
    <w:rsid w:val="02DB1C3A"/>
    <w:rsid w:val="03EF97A0"/>
    <w:rsid w:val="057BAA3C"/>
    <w:rsid w:val="067208CF"/>
    <w:rsid w:val="085D056E"/>
    <w:rsid w:val="0AF29544"/>
    <w:rsid w:val="0BF75780"/>
    <w:rsid w:val="0C4603B0"/>
    <w:rsid w:val="0C98DAC5"/>
    <w:rsid w:val="0E6A75DD"/>
    <w:rsid w:val="10D39956"/>
    <w:rsid w:val="10FF0A87"/>
    <w:rsid w:val="11E0F258"/>
    <w:rsid w:val="171C3C0A"/>
    <w:rsid w:val="195E4359"/>
    <w:rsid w:val="1B67911E"/>
    <w:rsid w:val="1BA5ED54"/>
    <w:rsid w:val="1DA01EDD"/>
    <w:rsid w:val="2094DAD7"/>
    <w:rsid w:val="2129F4FD"/>
    <w:rsid w:val="22B33671"/>
    <w:rsid w:val="22BE80E5"/>
    <w:rsid w:val="239B71D9"/>
    <w:rsid w:val="241BAF37"/>
    <w:rsid w:val="24EF7087"/>
    <w:rsid w:val="25652BD8"/>
    <w:rsid w:val="27FDB1A9"/>
    <w:rsid w:val="29507A02"/>
    <w:rsid w:val="2953C2EA"/>
    <w:rsid w:val="2AC76220"/>
    <w:rsid w:val="2B7476F5"/>
    <w:rsid w:val="2BBD66B9"/>
    <w:rsid w:val="2F698E8A"/>
    <w:rsid w:val="2FBE3795"/>
    <w:rsid w:val="3014C738"/>
    <w:rsid w:val="328C5171"/>
    <w:rsid w:val="32AD7CAC"/>
    <w:rsid w:val="34908F70"/>
    <w:rsid w:val="34FFA383"/>
    <w:rsid w:val="392C8C28"/>
    <w:rsid w:val="39F9E1A1"/>
    <w:rsid w:val="3AF4A5F5"/>
    <w:rsid w:val="3D49A21E"/>
    <w:rsid w:val="3F82DD94"/>
    <w:rsid w:val="400D6AE6"/>
    <w:rsid w:val="41F3F71C"/>
    <w:rsid w:val="42C6A1A1"/>
    <w:rsid w:val="432EB2F6"/>
    <w:rsid w:val="43D7FDE0"/>
    <w:rsid w:val="4468FD5D"/>
    <w:rsid w:val="474F9928"/>
    <w:rsid w:val="47CAA914"/>
    <w:rsid w:val="48019FCA"/>
    <w:rsid w:val="49A9731F"/>
    <w:rsid w:val="4B00FF06"/>
    <w:rsid w:val="4D0A7959"/>
    <w:rsid w:val="4DCC55FF"/>
    <w:rsid w:val="4FDB6910"/>
    <w:rsid w:val="50F5AA2C"/>
    <w:rsid w:val="50F8F9C7"/>
    <w:rsid w:val="51DC39C0"/>
    <w:rsid w:val="53441DD3"/>
    <w:rsid w:val="543110C2"/>
    <w:rsid w:val="56360999"/>
    <w:rsid w:val="582D2CA5"/>
    <w:rsid w:val="5884989C"/>
    <w:rsid w:val="5A78B66F"/>
    <w:rsid w:val="5A82690F"/>
    <w:rsid w:val="5B181AFD"/>
    <w:rsid w:val="5C9E1594"/>
    <w:rsid w:val="5E88C2A8"/>
    <w:rsid w:val="613B04BD"/>
    <w:rsid w:val="61E186F4"/>
    <w:rsid w:val="63A0CF57"/>
    <w:rsid w:val="6426B7D8"/>
    <w:rsid w:val="65F9CD7C"/>
    <w:rsid w:val="6609F8EC"/>
    <w:rsid w:val="6710F5FB"/>
    <w:rsid w:val="69D92356"/>
    <w:rsid w:val="6AB70D1D"/>
    <w:rsid w:val="6D10C418"/>
    <w:rsid w:val="6EF3E171"/>
    <w:rsid w:val="6F67C515"/>
    <w:rsid w:val="702524E6"/>
    <w:rsid w:val="71B0063C"/>
    <w:rsid w:val="720327F0"/>
    <w:rsid w:val="7348F9F1"/>
    <w:rsid w:val="75263C8C"/>
    <w:rsid w:val="7959DAD9"/>
    <w:rsid w:val="79F4A6D1"/>
    <w:rsid w:val="7A4349AC"/>
    <w:rsid w:val="7C7EDA74"/>
    <w:rsid w:val="7D14C280"/>
    <w:rsid w:val="7D5BC91A"/>
    <w:rsid w:val="7ED3A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1874</Parent_ICR>
    <ICR_ID xmlns="f762c95d-3cca-4969-a35b-3d8ab5bf0d48">1874</ICR_ID>
    <DocumentType xmlns="f762c95d-3cca-4969-a35b-3d8ab5bf0d48">Supporting Statement B</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1A590-94F6-44B3-8640-9FA102D0243A}">
  <ds:schemaRefs/>
</ds:datastoreItem>
</file>

<file path=customXml/itemProps2.xml><?xml version="1.0" encoding="utf-8"?>
<ds:datastoreItem xmlns:ds="http://schemas.openxmlformats.org/officeDocument/2006/customXml" ds:itemID="{DADCDF7C-A524-4C82-A864-B81CABA0B5DB}">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558250db-76c6-400c-8e4d-8eb171d738bd"/>
    <ds:schemaRef ds:uri="6e791d5b-3bd7-4d87-b80d-5e4c71e4c5f9"/>
    <ds:schemaRef ds:uri="f762c95d-3cca-4969-a35b-3d8ab5bf0d48"/>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June and August Supporting Statement B</dc:title>
  <dc:creator>Mary Reuling Lenaiyasa (CENSUS/PCO FED)</dc:creator>
  <cp:lastModifiedBy>Danielle A Norman (CENSUS/PCO FED)</cp:lastModifiedBy>
  <cp:revision>4</cp:revision>
  <dcterms:created xsi:type="dcterms:W3CDTF">2025-04-07T17:26:00Z</dcterms:created>
  <dcterms:modified xsi:type="dcterms:W3CDTF">2025-05-05T17:06:40Z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5a86410b-1247-43c2-ad4e-0d29e9645750</vt:lpwstr>
  </property>
</Properties>
</file>