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68ADF8DB" w14:textId="77777777">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tcPr>
          <w:p w:rsidR="004438C2" w:rsidRPr="001A1568" w:rsidP="00295CFE" w14:paraId="16FD5C3E" w14:textId="1BF3FBE4">
            <w:pPr>
              <w:spacing w:before="0"/>
              <w:jc w:val="right"/>
              <w:rPr>
                <w:rFonts w:eastAsia="Times New Roman"/>
                <w:color w:val="000000"/>
                <w:sz w:val="22"/>
                <w:szCs w:val="22"/>
              </w:rPr>
            </w:pPr>
            <w:r w:rsidRPr="001A1568">
              <w:rPr>
                <w:rFonts w:eastAsia="Times New Roman"/>
                <w:color w:val="000000"/>
                <w:sz w:val="20"/>
                <w:szCs w:val="20"/>
              </w:rPr>
              <w:t xml:space="preserve">OMB </w:t>
            </w:r>
            <w:r w:rsidRPr="001A1568" w:rsidR="006A1850">
              <w:rPr>
                <w:rFonts w:eastAsia="Times New Roman"/>
                <w:color w:val="000000"/>
                <w:sz w:val="20"/>
                <w:szCs w:val="20"/>
              </w:rPr>
              <w:t xml:space="preserve">Control </w:t>
            </w:r>
            <w:r w:rsidRPr="001A1568">
              <w:rPr>
                <w:rFonts w:eastAsia="Times New Roman"/>
                <w:color w:val="000000"/>
                <w:sz w:val="20"/>
                <w:szCs w:val="20"/>
              </w:rPr>
              <w:t>No. 0625-0139</w:t>
            </w:r>
            <w:r w:rsidRPr="001A1568">
              <w:rPr>
                <w:rFonts w:eastAsia="Times New Roman"/>
                <w:color w:val="000000"/>
                <w:sz w:val="20"/>
                <w:szCs w:val="20"/>
              </w:rPr>
              <w:br/>
              <w:t>Expiration Date</w:t>
            </w:r>
            <w:r w:rsidRPr="001A1568" w:rsidR="006A1850">
              <w:rPr>
                <w:rFonts w:eastAsia="Times New Roman"/>
                <w:color w:val="000000"/>
                <w:sz w:val="20"/>
                <w:szCs w:val="20"/>
              </w:rPr>
              <w:t xml:space="preserve">: </w:t>
            </w:r>
            <w:r w:rsidRPr="001A1568" w:rsidR="0069049E">
              <w:rPr>
                <w:rFonts w:eastAsia="Times New Roman"/>
                <w:color w:val="000000"/>
                <w:sz w:val="20"/>
                <w:szCs w:val="20"/>
              </w:rPr>
              <w:t xml:space="preserve"> </w:t>
            </w:r>
            <w:r w:rsidRPr="00886B69" w:rsidR="005D68D9">
              <w:rPr>
                <w:rFonts w:eastAsia="Times New Roman"/>
                <w:color w:val="000000"/>
                <w:sz w:val="20"/>
                <w:szCs w:val="20"/>
                <w:highlight w:val="yellow"/>
              </w:rPr>
              <w:t>0</w:t>
            </w:r>
            <w:r w:rsidRPr="00886B69" w:rsidR="004B3A4E">
              <w:rPr>
                <w:rFonts w:eastAsia="Times New Roman"/>
                <w:color w:val="000000"/>
                <w:sz w:val="20"/>
                <w:szCs w:val="20"/>
                <w:highlight w:val="yellow"/>
              </w:rPr>
              <w:t>7</w:t>
            </w:r>
            <w:r w:rsidRPr="00886B69" w:rsidR="005D68D9">
              <w:rPr>
                <w:rFonts w:eastAsia="Times New Roman"/>
                <w:color w:val="000000"/>
                <w:sz w:val="20"/>
                <w:szCs w:val="20"/>
                <w:highlight w:val="yellow"/>
              </w:rPr>
              <w:t>/3</w:t>
            </w:r>
            <w:r w:rsidRPr="00886B69" w:rsidR="004B3A4E">
              <w:rPr>
                <w:rFonts w:eastAsia="Times New Roman"/>
                <w:color w:val="000000"/>
                <w:sz w:val="20"/>
                <w:szCs w:val="20"/>
                <w:highlight w:val="yellow"/>
              </w:rPr>
              <w:t>1</w:t>
            </w:r>
            <w:r w:rsidRPr="00886B69" w:rsidR="005D68D9">
              <w:rPr>
                <w:rFonts w:eastAsia="Times New Roman"/>
                <w:color w:val="000000"/>
                <w:sz w:val="20"/>
                <w:szCs w:val="20"/>
                <w:highlight w:val="yellow"/>
              </w:rPr>
              <w:t>/2</w:t>
            </w:r>
            <w:r w:rsidRPr="00886B69">
              <w:rPr>
                <w:rFonts w:eastAsia="Times New Roman"/>
                <w:color w:val="000000"/>
                <w:sz w:val="20"/>
                <w:szCs w:val="20"/>
                <w:highlight w:val="yellow"/>
              </w:rPr>
              <w:t>0</w:t>
            </w:r>
            <w:r w:rsidRPr="00886B69" w:rsidR="00657F09">
              <w:rPr>
                <w:rFonts w:eastAsia="Times New Roman"/>
                <w:color w:val="000000"/>
                <w:sz w:val="20"/>
                <w:szCs w:val="20"/>
                <w:highlight w:val="yellow"/>
              </w:rPr>
              <w:t>2</w:t>
            </w:r>
            <w:r w:rsidR="004E05E3">
              <w:rPr>
                <w:rFonts w:eastAsia="Times New Roman"/>
                <w:color w:val="000000"/>
                <w:sz w:val="20"/>
                <w:szCs w:val="20"/>
              </w:rPr>
              <w:t>8</w:t>
            </w:r>
          </w:p>
          <w:p w:rsidR="00546F28" w:rsidRPr="001A1568" w:rsidP="00295CFE" w14:paraId="10C86355" w14:textId="77777777">
            <w:pPr>
              <w:spacing w:before="0"/>
              <w:rPr>
                <w:rFonts w:eastAsia="Times New Roman"/>
                <w:b/>
                <w:bCs/>
                <w:color w:val="000000"/>
                <w:sz w:val="24"/>
                <w:szCs w:val="24"/>
              </w:rPr>
            </w:pPr>
          </w:p>
          <w:p w:rsidR="002D0673" w:rsidRPr="001A1568" w:rsidP="004E5DC0" w14:paraId="72977F2E" w14:textId="77777777">
            <w:pPr>
              <w:pStyle w:val="Head1"/>
            </w:pPr>
            <w:r w:rsidRPr="001A1568">
              <w:t>Notific</w:t>
            </w:r>
            <w:r w:rsidRPr="001A1568" w:rsidR="00AD1305">
              <w:t xml:space="preserve">ation </w:t>
            </w:r>
            <w:r w:rsidRPr="001A1568" w:rsidR="002B12A3">
              <w:t xml:space="preserve">Requesting </w:t>
            </w:r>
            <w:r w:rsidRPr="001A1568" w:rsidR="00F916A1">
              <w:t xml:space="preserve">Production </w:t>
            </w:r>
            <w:r w:rsidRPr="001A1568" w:rsidR="004438C2">
              <w:t>Authority</w:t>
            </w:r>
          </w:p>
          <w:p w:rsidR="002D0673" w:rsidRPr="001A1568" w:rsidP="004E5DC0" w14:paraId="38F6F69B" w14:textId="77777777">
            <w:pPr>
              <w:pStyle w:val="Head1"/>
            </w:pPr>
          </w:p>
          <w:p w:rsidR="004438C2" w:rsidRPr="001A1568" w:rsidP="004E5DC0" w14:paraId="755F6B8D" w14:textId="77777777">
            <w:pPr>
              <w:pStyle w:val="Head1"/>
              <w:rPr>
                <w:sz w:val="22"/>
                <w:szCs w:val="22"/>
              </w:rPr>
            </w:pPr>
            <w:r w:rsidRPr="001A1568">
              <w:t>Instruction Sheet</w:t>
            </w:r>
          </w:p>
        </w:tc>
      </w:tr>
      <w:tr w14:paraId="0E50AE7E" w14:textId="77777777">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tcPr>
          <w:p w:rsidR="0017204E" w:rsidRPr="001A1568" w:rsidP="0017204E" w14:paraId="7530D47A" w14:textId="77777777">
            <w:pPr>
              <w:spacing w:before="0" w:after="240"/>
              <w:jc w:val="left"/>
              <w:rPr>
                <w:rFonts w:eastAsia="Times New Roman"/>
                <w:color w:val="000000"/>
                <w:sz w:val="22"/>
                <w:szCs w:val="22"/>
              </w:rPr>
            </w:pPr>
            <w:r w:rsidRPr="001A1568">
              <w:rPr>
                <w:rFonts w:eastAsia="Times New Roman"/>
                <w:color w:val="000000"/>
                <w:sz w:val="22"/>
                <w:szCs w:val="22"/>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5.5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1A1568">
              <w:rPr>
                <w:rFonts w:eastAsia="Times New Roman"/>
                <w:color w:val="000000"/>
                <w:sz w:val="22"/>
                <w:szCs w:val="22"/>
                <w:vertAlign w:val="superscript"/>
              </w:rPr>
              <w:t>th</w:t>
            </w:r>
            <w:r w:rsidRPr="001A1568">
              <w:rPr>
                <w:rFonts w:eastAsia="Times New Roman"/>
                <w:color w:val="000000"/>
                <w:sz w:val="22"/>
                <w:szCs w:val="22"/>
              </w:rPr>
              <w:t xml:space="preserve"> and </w:t>
            </w:r>
            <w:smartTag w:uri="urn:schemas-microsoft-com:office:smarttags" w:element="address">
              <w:smartTag w:uri="urn:schemas-microsoft-com:office:smarttags" w:element="Street">
                <w:r w:rsidRPr="001A1568">
                  <w:rPr>
                    <w:rFonts w:eastAsia="Times New Roman"/>
                    <w:color w:val="000000"/>
                    <w:sz w:val="22"/>
                    <w:szCs w:val="22"/>
                  </w:rPr>
                  <w:t>Constitution Avenue, NW</w:t>
                </w:r>
              </w:smartTag>
              <w:r w:rsidRPr="001A1568">
                <w:rPr>
                  <w:rFonts w:eastAsia="Times New Roman"/>
                  <w:color w:val="000000"/>
                  <w:sz w:val="22"/>
                  <w:szCs w:val="22"/>
                </w:rPr>
                <w:t xml:space="preserve">, </w:t>
              </w:r>
              <w:smartTag w:uri="urn:schemas-microsoft-com:office:smarttags" w:element="City">
                <w:r w:rsidRPr="001A1568">
                  <w:rPr>
                    <w:rFonts w:eastAsia="Times New Roman"/>
                    <w:color w:val="000000"/>
                    <w:sz w:val="22"/>
                    <w:szCs w:val="22"/>
                  </w:rPr>
                  <w:t>Washington</w:t>
                </w:r>
              </w:smartTag>
              <w:r w:rsidRPr="001A1568">
                <w:rPr>
                  <w:rFonts w:eastAsia="Times New Roman"/>
                  <w:color w:val="000000"/>
                  <w:sz w:val="22"/>
                  <w:szCs w:val="22"/>
                </w:rPr>
                <w:t xml:space="preserve">, </w:t>
              </w:r>
              <w:smartTag w:uri="urn:schemas-microsoft-com:office:smarttags" w:element="State">
                <w:r w:rsidRPr="001A1568">
                  <w:rPr>
                    <w:rFonts w:eastAsia="Times New Roman"/>
                    <w:color w:val="000000"/>
                    <w:sz w:val="22"/>
                    <w:szCs w:val="22"/>
                  </w:rPr>
                  <w:t>DC</w:t>
                </w:r>
              </w:smartTag>
              <w:r w:rsidRPr="001A1568">
                <w:rPr>
                  <w:rFonts w:eastAsia="Times New Roman"/>
                  <w:color w:val="000000"/>
                  <w:sz w:val="22"/>
                  <w:szCs w:val="22"/>
                </w:rPr>
                <w:t xml:space="preserve"> </w:t>
              </w:r>
              <w:smartTag w:uri="urn:schemas-microsoft-com:office:smarttags" w:element="PostalCode">
                <w:r w:rsidRPr="001A1568">
                  <w:rPr>
                    <w:rFonts w:eastAsia="Times New Roman"/>
                    <w:color w:val="000000"/>
                    <w:sz w:val="22"/>
                    <w:szCs w:val="22"/>
                  </w:rPr>
                  <w:t>20230</w:t>
                </w:r>
              </w:smartTag>
            </w:smartTag>
            <w:r w:rsidRPr="001A1568">
              <w:rPr>
                <w:rFonts w:eastAsia="Times New Roman"/>
                <w:color w:val="000000"/>
                <w:sz w:val="22"/>
                <w:szCs w:val="22"/>
              </w:rPr>
              <w:t>.</w:t>
            </w:r>
          </w:p>
          <w:p w:rsidR="00725ECC" w:rsidRPr="001A1568" w:rsidP="00725ECC" w14:paraId="6D54543D" w14:textId="3CB3B618">
            <w:pPr>
              <w:spacing w:before="0"/>
              <w:jc w:val="left"/>
              <w:rPr>
                <w:rFonts w:eastAsia="Times New Roman"/>
                <w:color w:val="000000"/>
                <w:sz w:val="22"/>
                <w:szCs w:val="22"/>
              </w:rPr>
            </w:pPr>
            <w:r w:rsidRPr="001A1568">
              <w:rPr>
                <w:rFonts w:eastAsia="Times New Roman"/>
                <w:color w:val="000000"/>
                <w:sz w:val="22"/>
                <w:szCs w:val="22"/>
              </w:rPr>
              <w:t>No zone, subzone, zone expansion/reorganization/modification, or production authority may be approved unless a completed application</w:t>
            </w:r>
            <w:r w:rsidRPr="001A1568" w:rsidR="007240D0">
              <w:rPr>
                <w:rFonts w:eastAsia="Times New Roman"/>
                <w:color w:val="000000"/>
                <w:sz w:val="22"/>
                <w:szCs w:val="22"/>
              </w:rPr>
              <w:t>/notification/request</w:t>
            </w:r>
            <w:r w:rsidRPr="001A1568">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10" w:history="1">
              <w:r w:rsidRPr="004E5DC0">
                <w:rPr>
                  <w:rStyle w:val="Hyperlink"/>
                  <w:rFonts w:eastAsia="Times New Roman"/>
                  <w:sz w:val="22"/>
                  <w:szCs w:val="22"/>
                </w:rPr>
                <w:t>FTZ Board web site</w:t>
              </w:r>
            </w:hyperlink>
            <w:r w:rsidR="004E5DC0">
              <w:rPr>
                <w:rFonts w:eastAsia="Times New Roman"/>
                <w:color w:val="000000"/>
                <w:sz w:val="22"/>
                <w:szCs w:val="22"/>
              </w:rPr>
              <w:t>.</w:t>
            </w:r>
            <w:r w:rsidRPr="001A1568">
              <w:rPr>
                <w:rFonts w:eastAsia="Times New Roman"/>
                <w:color w:val="000000"/>
                <w:sz w:val="22"/>
                <w:szCs w:val="22"/>
              </w:rPr>
              <w:t xml:space="preserve"> </w:t>
            </w:r>
          </w:p>
          <w:p w:rsidR="00725ECC" w:rsidRPr="001A1568" w:rsidP="00725ECC" w14:paraId="5730952E" w14:textId="77777777">
            <w:pPr>
              <w:spacing w:before="0"/>
              <w:jc w:val="left"/>
              <w:rPr>
                <w:rFonts w:eastAsia="Times New Roman"/>
                <w:color w:val="000000"/>
                <w:sz w:val="22"/>
                <w:szCs w:val="22"/>
              </w:rPr>
            </w:pPr>
          </w:p>
          <w:p w:rsidR="00725ECC" w:rsidRPr="001A1568" w:rsidP="00725ECC" w14:paraId="7DD7EAA3" w14:textId="2F6CEAED">
            <w:pPr>
              <w:spacing w:before="0"/>
              <w:jc w:val="left"/>
              <w:rPr>
                <w:rFonts w:eastAsia="Times New Roman"/>
                <w:color w:val="000000"/>
                <w:sz w:val="22"/>
                <w:szCs w:val="22"/>
              </w:rPr>
            </w:pPr>
            <w:r w:rsidRPr="001A1568">
              <w:rPr>
                <w:rFonts w:eastAsia="Times New Roman"/>
                <w:color w:val="000000"/>
                <w:sz w:val="22"/>
                <w:szCs w:val="22"/>
              </w:rPr>
              <w:t xml:space="preserve">Corporations submitting applications must be qualified to apply under the laws of the state in which the zone is to be located.  Applicants may submit drafts of their applications to the FTZ Staff, </w:t>
            </w:r>
            <w:r w:rsidR="00877749">
              <w:rPr>
                <w:rFonts w:eastAsia="Times New Roman"/>
                <w:color w:val="000000"/>
                <w:sz w:val="22"/>
                <w:szCs w:val="22"/>
              </w:rPr>
              <w:t>who</w:t>
            </w:r>
            <w:r w:rsidRPr="001A1568" w:rsidR="00877749">
              <w:rPr>
                <w:rFonts w:eastAsia="Times New Roman"/>
                <w:color w:val="000000"/>
                <w:sz w:val="22"/>
                <w:szCs w:val="22"/>
              </w:rPr>
              <w:t xml:space="preserve"> </w:t>
            </w:r>
            <w:r w:rsidRPr="001A1568">
              <w:rPr>
                <w:rFonts w:eastAsia="Times New Roman"/>
                <w:color w:val="000000"/>
                <w:sz w:val="22"/>
                <w:szCs w:val="22"/>
              </w:rPr>
              <w:t>can provide comments and technical assistance in interpreting the Board's regulations.</w:t>
            </w:r>
          </w:p>
          <w:p w:rsidR="00725ECC" w:rsidRPr="001A1568" w:rsidP="00725ECC" w14:paraId="5F5162C1" w14:textId="77777777">
            <w:pPr>
              <w:spacing w:before="0"/>
              <w:jc w:val="left"/>
              <w:rPr>
                <w:rFonts w:eastAsia="Times New Roman"/>
                <w:color w:val="000000"/>
                <w:sz w:val="22"/>
                <w:szCs w:val="22"/>
              </w:rPr>
            </w:pPr>
          </w:p>
          <w:p w:rsidR="00730C26" w:rsidRPr="001A1568" w:rsidP="00725ECC" w14:paraId="5046638C" w14:textId="0D053EBD">
            <w:pPr>
              <w:spacing w:before="0"/>
              <w:jc w:val="left"/>
              <w:rPr>
                <w:rFonts w:eastAsia="Times New Roman"/>
                <w:color w:val="000000"/>
                <w:sz w:val="22"/>
                <w:szCs w:val="22"/>
              </w:rPr>
            </w:pPr>
            <w:r w:rsidRPr="001A1568">
              <w:rPr>
                <w:rFonts w:eastAsia="Times New Roman"/>
                <w:color w:val="000000"/>
                <w:sz w:val="22"/>
                <w:szCs w:val="22"/>
              </w:rPr>
              <w:t>Applicants should note that conduct of their proposed activity under FTZ procedures in</w:t>
            </w:r>
            <w:r w:rsidR="00877749">
              <w:rPr>
                <w:rFonts w:eastAsia="Times New Roman"/>
                <w:color w:val="000000"/>
                <w:sz w:val="22"/>
                <w:szCs w:val="22"/>
              </w:rPr>
              <w:t>cludes</w:t>
            </w:r>
            <w:r w:rsidRPr="001A1568">
              <w:rPr>
                <w:rFonts w:eastAsia="Times New Roman"/>
                <w:color w:val="000000"/>
                <w:sz w:val="22"/>
                <w:szCs w:val="22"/>
              </w:rPr>
              <w:t xml:space="preserve"> an additional, ongoing information-collection burden associated with the Annual Report from Foreign-Trade Zones (OMB Control No. 0625-0109).</w:t>
            </w:r>
          </w:p>
          <w:p w:rsidR="00F2675D" w:rsidRPr="001A1568" w:rsidP="00725ECC" w14:paraId="3765DF1B" w14:textId="77777777">
            <w:pPr>
              <w:spacing w:before="0"/>
              <w:jc w:val="left"/>
              <w:rPr>
                <w:rFonts w:eastAsia="Times New Roman"/>
                <w:color w:val="000000"/>
                <w:sz w:val="22"/>
                <w:szCs w:val="22"/>
              </w:rPr>
            </w:pPr>
          </w:p>
          <w:p w:rsidR="00730C26" w:rsidRPr="001A1568" w:rsidP="00295CFE" w14:paraId="5A2CE234" w14:textId="77777777">
            <w:pPr>
              <w:spacing w:before="0"/>
              <w:jc w:val="left"/>
              <w:rPr>
                <w:rFonts w:eastAsia="Times New Roman"/>
                <w:color w:val="000000"/>
                <w:sz w:val="22"/>
                <w:szCs w:val="22"/>
              </w:rPr>
            </w:pPr>
            <w:r w:rsidRPr="001A1568">
              <w:rPr>
                <w:rFonts w:eastAsia="Times New Roman"/>
                <w:color w:val="000000"/>
                <w:sz w:val="22"/>
                <w:szCs w:val="22"/>
              </w:rPr>
              <w:t>FTZ Staff</w:t>
            </w:r>
          </w:p>
          <w:p w:rsidR="00730C26" w:rsidRPr="001A1568" w:rsidP="00295CFE" w14:paraId="06EEC51A" w14:textId="77777777">
            <w:pPr>
              <w:spacing w:before="0"/>
              <w:jc w:val="left"/>
              <w:rPr>
                <w:rFonts w:eastAsia="Times New Roman"/>
                <w:color w:val="000000"/>
                <w:sz w:val="22"/>
                <w:szCs w:val="22"/>
              </w:rPr>
            </w:pPr>
            <w:r w:rsidRPr="001A1568">
              <w:rPr>
                <w:rFonts w:eastAsia="Times New Roman"/>
                <w:color w:val="000000"/>
                <w:sz w:val="22"/>
                <w:szCs w:val="22"/>
              </w:rPr>
              <w:t>March 2013</w:t>
            </w:r>
          </w:p>
          <w:p w:rsidR="004438C2" w:rsidRPr="001A1568" w:rsidP="00295CFE" w14:paraId="110C329E" w14:textId="77777777">
            <w:pPr>
              <w:spacing w:before="0"/>
              <w:jc w:val="left"/>
              <w:rPr>
                <w:rFonts w:eastAsia="Times New Roman"/>
                <w:color w:val="000000"/>
                <w:sz w:val="22"/>
                <w:szCs w:val="22"/>
              </w:rPr>
            </w:pPr>
            <w:r w:rsidRPr="001A1568">
              <w:rPr>
                <w:rFonts w:eastAsia="Times New Roman"/>
                <w:color w:val="000000"/>
                <w:sz w:val="22"/>
                <w:szCs w:val="22"/>
              </w:rPr>
              <w:br/>
              <w:t>Foreign-Trade Zones Board</w:t>
            </w:r>
            <w:r w:rsidRPr="001A1568">
              <w:rPr>
                <w:rFonts w:eastAsia="Times New Roman"/>
                <w:color w:val="000000"/>
                <w:sz w:val="22"/>
                <w:szCs w:val="22"/>
              </w:rPr>
              <w:br/>
              <w:t>U.S. Department of Commerce</w:t>
            </w:r>
            <w:r w:rsidRPr="001A1568">
              <w:rPr>
                <w:rFonts w:eastAsia="Times New Roman"/>
                <w:color w:val="000000"/>
                <w:sz w:val="22"/>
                <w:szCs w:val="22"/>
              </w:rPr>
              <w:br/>
              <w:t>1401 Constitution Avenue, N.W.</w:t>
            </w:r>
            <w:r w:rsidRPr="001A1568" w:rsidR="001564EA">
              <w:rPr>
                <w:rFonts w:eastAsia="Times New Roman"/>
                <w:color w:val="000000"/>
                <w:sz w:val="22"/>
                <w:szCs w:val="22"/>
              </w:rPr>
              <w:t>, Room 2101</w:t>
            </w:r>
            <w:r w:rsidRPr="001A1568" w:rsidR="005D68D9">
              <w:rPr>
                <w:rFonts w:eastAsia="Times New Roman"/>
                <w:color w:val="000000"/>
                <w:sz w:val="22"/>
                <w:szCs w:val="22"/>
              </w:rPr>
              <w:t>3</w:t>
            </w:r>
            <w:r w:rsidRPr="001A1568">
              <w:rPr>
                <w:rFonts w:eastAsia="Times New Roman"/>
                <w:color w:val="000000"/>
                <w:sz w:val="22"/>
                <w:szCs w:val="22"/>
              </w:rPr>
              <w:br/>
              <w:t>Washington, D.C. 20230</w:t>
            </w:r>
            <w:r w:rsidRPr="001A1568">
              <w:rPr>
                <w:rFonts w:eastAsia="Times New Roman"/>
                <w:color w:val="000000"/>
                <w:sz w:val="22"/>
                <w:szCs w:val="22"/>
              </w:rPr>
              <w:br/>
              <w:t xml:space="preserve">(202) 482-2862 </w:t>
            </w:r>
            <w:bookmarkStart w:id="0" w:name="note"/>
            <w:bookmarkEnd w:id="0"/>
          </w:p>
          <w:p w:rsidR="0017204E" w:rsidRPr="001A1568" w:rsidP="00295CFE" w14:paraId="1BFE8568" w14:textId="77777777">
            <w:pPr>
              <w:spacing w:before="0"/>
              <w:jc w:val="left"/>
              <w:rPr>
                <w:rFonts w:eastAsia="Times New Roman"/>
                <w:color w:val="000000"/>
                <w:sz w:val="22"/>
                <w:szCs w:val="22"/>
              </w:rPr>
            </w:pPr>
          </w:p>
        </w:tc>
      </w:tr>
    </w:tbl>
    <w:p w:rsidR="00725ECC" w:rsidRPr="002D0673" w:rsidP="004438C2" w14:paraId="4842C4BB" w14:textId="77777777">
      <w:pPr>
        <w:spacing w:before="100" w:beforeAutospacing="1" w:after="100" w:afterAutospacing="1"/>
        <w:jc w:val="left"/>
        <w:outlineLvl w:val="2"/>
        <w:rPr>
          <w:rFonts w:eastAsia="Times New Roman"/>
          <w:b/>
          <w:bCs/>
          <w:sz w:val="24"/>
          <w:szCs w:val="24"/>
        </w:rPr>
      </w:pPr>
    </w:p>
    <w:p w:rsidR="004438C2" w:rsidRPr="00886B69" w:rsidP="004E5DC0" w14:paraId="4482132C" w14:textId="77777777">
      <w:pPr>
        <w:pStyle w:val="Head1"/>
        <w:rPr>
          <w:caps/>
        </w:rPr>
      </w:pPr>
      <w:r w:rsidRPr="00526A9F">
        <w:br w:type="page"/>
      </w:r>
      <w:r w:rsidRPr="00886B69" w:rsidR="005C62DD">
        <w:rPr>
          <w:caps/>
        </w:rPr>
        <w:t>Notification</w:t>
      </w:r>
      <w:r w:rsidRPr="00886B69">
        <w:rPr>
          <w:caps/>
        </w:rPr>
        <w:t xml:space="preserve"> </w:t>
      </w:r>
      <w:r w:rsidRPr="00886B69" w:rsidR="002B12A3">
        <w:rPr>
          <w:caps/>
        </w:rPr>
        <w:t>Requesting</w:t>
      </w:r>
      <w:r w:rsidRPr="00886B69">
        <w:rPr>
          <w:caps/>
        </w:rPr>
        <w:t xml:space="preserve"> FTZ </w:t>
      </w:r>
      <w:r w:rsidRPr="00886B69" w:rsidR="0017204E">
        <w:rPr>
          <w:caps/>
        </w:rPr>
        <w:t xml:space="preserve">Production </w:t>
      </w:r>
      <w:r w:rsidRPr="00886B69">
        <w:rPr>
          <w:caps/>
        </w:rPr>
        <w:t>Authority</w:t>
      </w:r>
    </w:p>
    <w:p w:rsidR="003763C9" w:rsidP="003763C9" w14:paraId="4D2665A3" w14:textId="77777777">
      <w:pPr>
        <w:spacing w:before="100" w:beforeAutospacing="1" w:after="100" w:afterAutospacing="1"/>
        <w:jc w:val="left"/>
        <w:rPr>
          <w:rFonts w:eastAsia="Times New Roman"/>
          <w:sz w:val="24"/>
          <w:szCs w:val="24"/>
        </w:rPr>
      </w:pPr>
      <w:r w:rsidRPr="003763C9">
        <w:rPr>
          <w:rFonts w:eastAsia="Times New Roman"/>
          <w:sz w:val="24"/>
          <w:szCs w:val="24"/>
        </w:rPr>
        <w:t xml:space="preserve">Grantees or operators may submit production </w:t>
      </w:r>
      <w:r>
        <w:rPr>
          <w:rFonts w:eastAsia="Times New Roman"/>
          <w:sz w:val="24"/>
          <w:szCs w:val="24"/>
        </w:rPr>
        <w:t>notific</w:t>
      </w:r>
      <w:r w:rsidRPr="003763C9">
        <w:rPr>
          <w:rFonts w:eastAsia="Times New Roman"/>
          <w:sz w:val="24"/>
          <w:szCs w:val="24"/>
        </w:rPr>
        <w:t>ations to the Board’s Executive Secretary</w:t>
      </w:r>
      <w:r w:rsidR="00EC2C8A">
        <w:rPr>
          <w:rFonts w:eastAsia="Times New Roman"/>
          <w:sz w:val="24"/>
          <w:szCs w:val="24"/>
        </w:rPr>
        <w:t xml:space="preserve"> at: </w:t>
      </w:r>
      <w:r w:rsidRPr="00886B69" w:rsidR="00EC2C8A">
        <w:rPr>
          <w:rFonts w:eastAsia="Times New Roman"/>
          <w:color w:val="FF0000"/>
          <w:sz w:val="24"/>
          <w:szCs w:val="24"/>
        </w:rPr>
        <w:t>ftz@trade.gov</w:t>
      </w:r>
      <w:r w:rsidRPr="003763C9">
        <w:rPr>
          <w:rFonts w:eastAsia="Times New Roman"/>
          <w:sz w:val="24"/>
          <w:szCs w:val="24"/>
        </w:rPr>
        <w:t>.  If an operator submits the application, it must also provide a copy to the grantee.</w:t>
      </w:r>
      <w:r w:rsidR="002D0673">
        <w:rPr>
          <w:rFonts w:eastAsia="Times New Roman"/>
          <w:sz w:val="24"/>
          <w:szCs w:val="24"/>
        </w:rPr>
        <w:t xml:space="preserve">  The grantee or operator submitting the notification must at the same time provide a copy to the U.S. Customs and Border Protection (CBP) office with oversight responsibility for the zone.</w:t>
      </w:r>
    </w:p>
    <w:p w:rsidR="009F3146" w:rsidP="003763C9" w14:paraId="5515F235" w14:textId="7F689F88">
      <w:pPr>
        <w:spacing w:before="100" w:beforeAutospacing="1" w:after="100" w:afterAutospacing="1"/>
        <w:jc w:val="left"/>
        <w:rPr>
          <w:rFonts w:eastAsia="Times New Roman"/>
          <w:sz w:val="24"/>
          <w:szCs w:val="24"/>
        </w:rPr>
      </w:pPr>
      <w:r>
        <w:rPr>
          <w:rFonts w:eastAsia="Times New Roman"/>
          <w:sz w:val="24"/>
          <w:szCs w:val="24"/>
        </w:rPr>
        <w:t>R</w:t>
      </w:r>
      <w:r w:rsidRPr="009F3146">
        <w:rPr>
          <w:rFonts w:eastAsia="Times New Roman"/>
          <w:sz w:val="24"/>
          <w:szCs w:val="24"/>
        </w:rPr>
        <w:t>equest</w:t>
      </w:r>
      <w:r>
        <w:rPr>
          <w:rFonts w:eastAsia="Times New Roman"/>
          <w:sz w:val="24"/>
          <w:szCs w:val="24"/>
        </w:rPr>
        <w:t>s for</w:t>
      </w:r>
      <w:r w:rsidRPr="009F3146">
        <w:rPr>
          <w:rFonts w:eastAsia="Times New Roman"/>
          <w:sz w:val="24"/>
          <w:szCs w:val="24"/>
        </w:rPr>
        <w:t xml:space="preserve"> an expansion of an existing scope of authority (new foreign-status components or finished products) should list </w:t>
      </w:r>
      <w:r w:rsidR="000779AE">
        <w:rPr>
          <w:rFonts w:eastAsia="Times New Roman"/>
          <w:sz w:val="24"/>
          <w:szCs w:val="24"/>
        </w:rPr>
        <w:t xml:space="preserve">only </w:t>
      </w:r>
      <w:r w:rsidRPr="009F3146">
        <w:rPr>
          <w:rFonts w:eastAsia="Times New Roman"/>
          <w:sz w:val="24"/>
          <w:szCs w:val="24"/>
        </w:rPr>
        <w:t xml:space="preserve">the proposed </w:t>
      </w:r>
      <w:r w:rsidRPr="00886B69">
        <w:rPr>
          <w:rFonts w:eastAsia="Times New Roman"/>
          <w:color w:val="FF0000"/>
          <w:sz w:val="24"/>
          <w:szCs w:val="24"/>
        </w:rPr>
        <w:t>new</w:t>
      </w:r>
      <w:r w:rsidRPr="009F3146">
        <w:rPr>
          <w:rFonts w:eastAsia="Times New Roman"/>
          <w:sz w:val="24"/>
          <w:szCs w:val="24"/>
        </w:rPr>
        <w:t xml:space="preserve"> finished products and/or foreign-status components in the production notification.</w:t>
      </w:r>
    </w:p>
    <w:p w:rsidR="004438C2" w:rsidP="004438C2" w14:paraId="45F9CCD8" w14:textId="48E5D451">
      <w:pPr>
        <w:spacing w:before="100" w:beforeAutospacing="1" w:after="100" w:afterAutospacing="1"/>
        <w:jc w:val="left"/>
        <w:rPr>
          <w:rFonts w:eastAsia="Times New Roman"/>
          <w:sz w:val="24"/>
          <w:szCs w:val="24"/>
        </w:rPr>
      </w:pPr>
      <w:r w:rsidRPr="00923D1E">
        <w:rPr>
          <w:rFonts w:eastAsia="Times New Roman"/>
          <w:sz w:val="24"/>
          <w:szCs w:val="24"/>
          <w:u w:val="single"/>
        </w:rPr>
        <w:t>Leave</w:t>
      </w:r>
      <w:r w:rsidRPr="00923D1E" w:rsidR="00C70EB4">
        <w:rPr>
          <w:rFonts w:eastAsia="Times New Roman"/>
          <w:sz w:val="24"/>
          <w:szCs w:val="24"/>
          <w:u w:val="single"/>
        </w:rPr>
        <w:t xml:space="preserve"> the </w:t>
      </w:r>
      <w:r w:rsidRPr="00923D1E" w:rsidR="00492999">
        <w:rPr>
          <w:rFonts w:eastAsia="Times New Roman"/>
          <w:sz w:val="24"/>
          <w:szCs w:val="24"/>
          <w:u w:val="single"/>
        </w:rPr>
        <w:t xml:space="preserve">language of each </w:t>
      </w:r>
      <w:r w:rsidRPr="00923D1E" w:rsidR="00C70EB4">
        <w:rPr>
          <w:rFonts w:eastAsia="Times New Roman"/>
          <w:sz w:val="24"/>
          <w:szCs w:val="24"/>
          <w:u w:val="single"/>
        </w:rPr>
        <w:t xml:space="preserve">question </w:t>
      </w:r>
      <w:r w:rsidRPr="00923D1E" w:rsidR="00492999">
        <w:rPr>
          <w:rFonts w:eastAsia="Times New Roman"/>
          <w:sz w:val="24"/>
          <w:szCs w:val="24"/>
          <w:u w:val="single"/>
        </w:rPr>
        <w:t xml:space="preserve">in place (including its </w:t>
      </w:r>
      <w:r w:rsidRPr="00923D1E" w:rsidR="00C70EB4">
        <w:rPr>
          <w:rFonts w:eastAsia="Times New Roman"/>
          <w:sz w:val="24"/>
          <w:szCs w:val="24"/>
          <w:u w:val="single"/>
        </w:rPr>
        <w:t>number</w:t>
      </w:r>
      <w:r w:rsidRPr="00923D1E" w:rsidR="00492999">
        <w:rPr>
          <w:rFonts w:eastAsia="Times New Roman"/>
          <w:sz w:val="24"/>
          <w:szCs w:val="24"/>
          <w:u w:val="single"/>
        </w:rPr>
        <w:t>)</w:t>
      </w:r>
      <w:r w:rsidRPr="00923D1E" w:rsidR="00C70EB4">
        <w:rPr>
          <w:rFonts w:eastAsia="Times New Roman"/>
          <w:sz w:val="24"/>
          <w:szCs w:val="24"/>
          <w:u w:val="single"/>
        </w:rPr>
        <w:t xml:space="preserve"> and </w:t>
      </w:r>
      <w:r w:rsidRPr="00923D1E" w:rsidR="00492999">
        <w:rPr>
          <w:rFonts w:eastAsia="Times New Roman"/>
          <w:sz w:val="24"/>
          <w:szCs w:val="24"/>
          <w:u w:val="single"/>
        </w:rPr>
        <w:t>provide</w:t>
      </w:r>
      <w:r w:rsidRPr="00923D1E" w:rsidR="00C70EB4">
        <w:rPr>
          <w:rFonts w:eastAsia="Times New Roman"/>
          <w:sz w:val="24"/>
          <w:szCs w:val="24"/>
          <w:u w:val="single"/>
        </w:rPr>
        <w:t xml:space="preserve"> your response </w:t>
      </w:r>
      <w:r w:rsidRPr="00923D1E" w:rsidR="00492999">
        <w:rPr>
          <w:rFonts w:eastAsia="Times New Roman"/>
          <w:sz w:val="24"/>
          <w:szCs w:val="24"/>
          <w:u w:val="single"/>
        </w:rPr>
        <w:t>directly below</w:t>
      </w:r>
      <w:r w:rsidRPr="00923D1E" w:rsidR="00C70EB4">
        <w:rPr>
          <w:rFonts w:eastAsia="Times New Roman"/>
          <w:sz w:val="24"/>
          <w:szCs w:val="24"/>
          <w:u w:val="single"/>
        </w:rPr>
        <w:t xml:space="preserve"> each question</w:t>
      </w:r>
      <w:r w:rsidR="00C70EB4">
        <w:rPr>
          <w:rFonts w:eastAsia="Times New Roman"/>
          <w:sz w:val="24"/>
          <w:szCs w:val="24"/>
        </w:rPr>
        <w:t>.</w:t>
      </w:r>
    </w:p>
    <w:p w:rsidR="004438C2" w:rsidRPr="00A00E20" w:rsidP="004E5DC0" w14:paraId="43AF940F" w14:textId="77777777">
      <w:pPr>
        <w:pStyle w:val="SubHead1"/>
      </w:pPr>
      <w:r w:rsidRPr="00A00E20">
        <w:t xml:space="preserve">Company </w:t>
      </w:r>
      <w:r w:rsidR="0017204E">
        <w:t>and FTZ Site(s)</w:t>
      </w:r>
    </w:p>
    <w:p w:rsidR="004438C2" w:rsidRPr="004E5DC0" w:rsidP="004E5DC0" w14:paraId="41CFD559" w14:textId="21C46079">
      <w:pPr>
        <w:pStyle w:val="ListParagraph"/>
        <w:numPr>
          <w:ilvl w:val="0"/>
          <w:numId w:val="2"/>
        </w:numPr>
        <w:spacing w:before="100" w:beforeAutospacing="1" w:after="100" w:afterAutospacing="1"/>
        <w:ind w:left="450" w:hanging="450"/>
        <w:jc w:val="left"/>
        <w:rPr>
          <w:rFonts w:eastAsia="Times New Roman"/>
          <w:sz w:val="24"/>
          <w:szCs w:val="24"/>
        </w:rPr>
      </w:pPr>
      <w:r w:rsidRPr="004E5DC0">
        <w:rPr>
          <w:rFonts w:eastAsia="Times New Roman"/>
          <w:sz w:val="24"/>
          <w:szCs w:val="24"/>
        </w:rPr>
        <w:t>State a) the FTZ user (company for whose benefit the activity would be conducted) and b) the zone/subzone locations (including site numbers) at which the activity would be conducted.</w:t>
      </w:r>
    </w:p>
    <w:p w:rsidR="004E5DC0" w:rsidP="004E5DC0" w14:paraId="57F42377" w14:textId="77777777">
      <w:pPr>
        <w:pStyle w:val="SubHead1"/>
      </w:pPr>
    </w:p>
    <w:p w:rsidR="008C7823" w:rsidRPr="008C7823" w:rsidP="004E5DC0" w14:paraId="5B771590" w14:textId="0EF49490">
      <w:pPr>
        <w:pStyle w:val="SubHead1"/>
      </w:pPr>
      <w:r w:rsidRPr="008C7823">
        <w:t>Proposed Activity</w:t>
      </w:r>
    </w:p>
    <w:p w:rsidR="008C7823" w:rsidRPr="004E5DC0" w:rsidP="004E5DC0" w14:paraId="0283288E" w14:textId="0073F45E">
      <w:pPr>
        <w:pStyle w:val="ListParagraph"/>
        <w:numPr>
          <w:ilvl w:val="0"/>
          <w:numId w:val="2"/>
        </w:numPr>
        <w:spacing w:before="100" w:beforeAutospacing="1" w:after="100" w:afterAutospacing="1"/>
        <w:ind w:left="450" w:hanging="450"/>
        <w:jc w:val="left"/>
        <w:rPr>
          <w:rFonts w:eastAsia="Times New Roman"/>
          <w:sz w:val="24"/>
          <w:szCs w:val="24"/>
        </w:rPr>
      </w:pPr>
      <w:r w:rsidRPr="004E5DC0">
        <w:rPr>
          <w:rFonts w:eastAsia="Times New Roman"/>
          <w:sz w:val="24"/>
          <w:szCs w:val="24"/>
        </w:rPr>
        <w:t xml:space="preserve">Provide a short summary (generally no more than a few paragraphs) of the activity that </w:t>
      </w:r>
      <w:r w:rsidR="00125783">
        <w:rPr>
          <w:rFonts w:eastAsia="Times New Roman"/>
          <w:sz w:val="24"/>
          <w:szCs w:val="24"/>
        </w:rPr>
        <w:t>the company</w:t>
      </w:r>
      <w:r w:rsidRPr="004E5DC0" w:rsidR="00125783">
        <w:rPr>
          <w:rFonts w:eastAsia="Times New Roman"/>
          <w:sz w:val="24"/>
          <w:szCs w:val="24"/>
        </w:rPr>
        <w:t xml:space="preserve"> </w:t>
      </w:r>
      <w:r w:rsidRPr="004E5DC0">
        <w:rPr>
          <w:rFonts w:eastAsia="Times New Roman"/>
          <w:sz w:val="24"/>
          <w:szCs w:val="24"/>
        </w:rPr>
        <w:t>propose</w:t>
      </w:r>
      <w:r w:rsidR="00125783">
        <w:rPr>
          <w:rFonts w:eastAsia="Times New Roman"/>
          <w:sz w:val="24"/>
          <w:szCs w:val="24"/>
        </w:rPr>
        <w:t>s</w:t>
      </w:r>
      <w:r w:rsidRPr="004E5DC0">
        <w:rPr>
          <w:rFonts w:eastAsia="Times New Roman"/>
          <w:sz w:val="24"/>
          <w:szCs w:val="24"/>
        </w:rPr>
        <w:t xml:space="preserve"> to conduct under FTZ procedures.</w:t>
      </w:r>
      <w:r w:rsidR="00EA0A5B">
        <w:rPr>
          <w:rFonts w:eastAsia="Times New Roman"/>
          <w:sz w:val="24"/>
          <w:szCs w:val="24"/>
        </w:rPr>
        <w:t xml:space="preserve"> </w:t>
      </w:r>
    </w:p>
    <w:p w:rsidR="004E5DC0" w:rsidP="004E5DC0" w14:paraId="6DC6A5EC" w14:textId="77777777">
      <w:pPr>
        <w:pStyle w:val="SubHead1"/>
      </w:pPr>
    </w:p>
    <w:p w:rsidR="004438C2" w:rsidRPr="00A00E20" w:rsidP="004E5DC0" w14:paraId="2942766F" w14:textId="4C016D30">
      <w:pPr>
        <w:pStyle w:val="SubHead1"/>
      </w:pPr>
      <w:r w:rsidRPr="00A00E20">
        <w:t>Products and Components</w:t>
      </w:r>
    </w:p>
    <w:p w:rsidR="00DE7851" w:rsidRPr="004E5DC0" w:rsidP="00E55E60" w14:paraId="75C64B2D" w14:textId="400418EF">
      <w:pPr>
        <w:pStyle w:val="ListParagraph"/>
        <w:numPr>
          <w:ilvl w:val="0"/>
          <w:numId w:val="2"/>
        </w:numPr>
        <w:spacing w:before="100" w:beforeAutospacing="1" w:after="100" w:afterAutospacing="1"/>
        <w:ind w:left="450" w:hanging="450"/>
        <w:jc w:val="left"/>
        <w:rPr>
          <w:rFonts w:eastAsia="Times New Roman"/>
          <w:i/>
          <w:iCs/>
          <w:sz w:val="24"/>
          <w:szCs w:val="24"/>
        </w:rPr>
      </w:pPr>
      <w:r w:rsidRPr="004E5DC0">
        <w:rPr>
          <w:rFonts w:eastAsia="Times New Roman"/>
          <w:sz w:val="24"/>
          <w:szCs w:val="24"/>
        </w:rPr>
        <w:t xml:space="preserve">Are any of the listed </w:t>
      </w:r>
      <w:r w:rsidRPr="004E5DC0" w:rsidR="00467FE3">
        <w:rPr>
          <w:rFonts w:eastAsia="Times New Roman"/>
          <w:sz w:val="24"/>
          <w:szCs w:val="24"/>
        </w:rPr>
        <w:t xml:space="preserve">foreign-status </w:t>
      </w:r>
      <w:r w:rsidRPr="004E5DC0">
        <w:rPr>
          <w:rFonts w:eastAsia="Times New Roman"/>
          <w:sz w:val="24"/>
          <w:szCs w:val="24"/>
        </w:rPr>
        <w:t>component</w:t>
      </w:r>
      <w:r w:rsidRPr="004E5DC0" w:rsidR="00F02B04">
        <w:rPr>
          <w:rFonts w:eastAsia="Times New Roman"/>
          <w:sz w:val="24"/>
          <w:szCs w:val="24"/>
        </w:rPr>
        <w:t>s</w:t>
      </w:r>
      <w:r w:rsidRPr="004E5DC0">
        <w:rPr>
          <w:rFonts w:eastAsia="Times New Roman"/>
          <w:sz w:val="24"/>
          <w:szCs w:val="24"/>
        </w:rPr>
        <w:t>/inputs subject to a trade-related measure or proceeding (such as an AD/CVD order or proceeding, suspension of liquidation under AD/CVD procedures</w:t>
      </w:r>
      <w:r w:rsidRPr="004E5DC0" w:rsidR="00467FE3">
        <w:rPr>
          <w:rFonts w:eastAsia="Times New Roman"/>
          <w:sz w:val="24"/>
          <w:szCs w:val="24"/>
        </w:rPr>
        <w:t>, or Section 201/</w:t>
      </w:r>
      <w:r w:rsidRPr="004E5DC0" w:rsidR="001F54ED">
        <w:rPr>
          <w:rFonts w:eastAsia="Times New Roman"/>
          <w:sz w:val="24"/>
          <w:szCs w:val="24"/>
        </w:rPr>
        <w:t>204/</w:t>
      </w:r>
      <w:r w:rsidRPr="004E5DC0" w:rsidR="00D20C55">
        <w:rPr>
          <w:rFonts w:eastAsia="Times New Roman"/>
          <w:sz w:val="24"/>
          <w:szCs w:val="24"/>
        </w:rPr>
        <w:t>232/301/</w:t>
      </w:r>
      <w:r w:rsidRPr="004E5DC0" w:rsidR="00467FE3">
        <w:rPr>
          <w:rFonts w:eastAsia="Times New Roman"/>
          <w:sz w:val="24"/>
          <w:szCs w:val="24"/>
        </w:rPr>
        <w:t>337/421</w:t>
      </w:r>
      <w:r w:rsidR="009A35F6">
        <w:rPr>
          <w:rFonts w:eastAsia="Times New Roman"/>
          <w:sz w:val="24"/>
          <w:szCs w:val="24"/>
        </w:rPr>
        <w:t>/</w:t>
      </w:r>
      <w:r w:rsidR="00277532">
        <w:rPr>
          <w:rFonts w:eastAsia="Times New Roman"/>
          <w:sz w:val="24"/>
          <w:szCs w:val="24"/>
        </w:rPr>
        <w:t>1702</w:t>
      </w:r>
      <w:r w:rsidRPr="004E5DC0" w:rsidR="00467FE3">
        <w:rPr>
          <w:rFonts w:eastAsia="Times New Roman"/>
          <w:sz w:val="24"/>
          <w:szCs w:val="24"/>
        </w:rPr>
        <w:t xml:space="preserve"> </w:t>
      </w:r>
      <w:r w:rsidR="00277532">
        <w:rPr>
          <w:rFonts w:eastAsia="Times New Roman"/>
          <w:sz w:val="24"/>
          <w:szCs w:val="24"/>
        </w:rPr>
        <w:t>orders</w:t>
      </w:r>
      <w:r w:rsidRPr="004E5DC0">
        <w:rPr>
          <w:rFonts w:eastAsia="Times New Roman"/>
          <w:sz w:val="24"/>
          <w:szCs w:val="24"/>
        </w:rPr>
        <w:t xml:space="preserve">)? </w:t>
      </w:r>
      <w:r w:rsidR="009C5D7D">
        <w:rPr>
          <w:rFonts w:eastAsia="Times New Roman"/>
          <w:sz w:val="24"/>
          <w:szCs w:val="24"/>
        </w:rPr>
        <w:t xml:space="preserve">If any </w:t>
      </w:r>
      <w:r w:rsidR="008E75C8">
        <w:rPr>
          <w:rFonts w:eastAsia="Times New Roman"/>
          <w:sz w:val="24"/>
          <w:szCs w:val="24"/>
        </w:rPr>
        <w:t xml:space="preserve">foreign-status components are subject to AD/CVD orders, </w:t>
      </w:r>
      <w:r w:rsidR="00143595">
        <w:rPr>
          <w:rFonts w:eastAsia="Times New Roman"/>
          <w:sz w:val="24"/>
          <w:szCs w:val="24"/>
        </w:rPr>
        <w:t xml:space="preserve">list the components </w:t>
      </w:r>
      <w:r w:rsidR="003923F7">
        <w:rPr>
          <w:rFonts w:eastAsia="Times New Roman"/>
          <w:sz w:val="24"/>
          <w:szCs w:val="24"/>
        </w:rPr>
        <w:t xml:space="preserve">and provide </w:t>
      </w:r>
      <w:r w:rsidR="00143595">
        <w:rPr>
          <w:rFonts w:eastAsia="Times New Roman"/>
          <w:sz w:val="24"/>
          <w:szCs w:val="24"/>
        </w:rPr>
        <w:t xml:space="preserve">the applicable order and </w:t>
      </w:r>
      <w:r w:rsidR="003923F7">
        <w:rPr>
          <w:rFonts w:eastAsia="Times New Roman"/>
          <w:sz w:val="24"/>
          <w:szCs w:val="24"/>
        </w:rPr>
        <w:t>country information</w:t>
      </w:r>
      <w:r w:rsidR="00143595">
        <w:rPr>
          <w:rFonts w:eastAsia="Times New Roman"/>
          <w:sz w:val="24"/>
          <w:szCs w:val="24"/>
        </w:rPr>
        <w:t>.</w:t>
      </w:r>
      <w:r w:rsidR="006D265E">
        <w:rPr>
          <w:rFonts w:eastAsia="Times New Roman"/>
          <w:sz w:val="24"/>
          <w:szCs w:val="24"/>
        </w:rPr>
        <w:t xml:space="preserve"> </w:t>
      </w:r>
      <w:r w:rsidRPr="004E5DC0">
        <w:rPr>
          <w:rFonts w:eastAsia="Times New Roman"/>
          <w:i/>
          <w:iCs/>
          <w:sz w:val="24"/>
          <w:szCs w:val="24"/>
        </w:rPr>
        <w:t>Note that FTZ authority is not specific to country of origin so this question should be answered for all trade measures regardless of current sourc</w:t>
      </w:r>
      <w:r w:rsidR="00E04EDD">
        <w:rPr>
          <w:rFonts w:eastAsia="Times New Roman"/>
          <w:i/>
          <w:iCs/>
          <w:sz w:val="24"/>
          <w:szCs w:val="24"/>
        </w:rPr>
        <w:t>ing</w:t>
      </w:r>
      <w:r w:rsidRPr="004E5DC0">
        <w:rPr>
          <w:rFonts w:eastAsia="Times New Roman"/>
          <w:i/>
          <w:iCs/>
          <w:sz w:val="24"/>
          <w:szCs w:val="24"/>
        </w:rPr>
        <w:t xml:space="preserve">.  </w:t>
      </w:r>
    </w:p>
    <w:p w:rsidR="006A6578" w:rsidP="006A6578" w14:paraId="00864C2E" w14:textId="260321C1">
      <w:pPr>
        <w:spacing w:before="100" w:beforeAutospacing="1" w:after="100" w:afterAutospacing="1"/>
        <w:ind w:left="990" w:hanging="540"/>
        <w:jc w:val="left"/>
        <w:rPr>
          <w:rFonts w:eastAsia="Times New Roman"/>
          <w:sz w:val="24"/>
          <w:szCs w:val="24"/>
        </w:rPr>
      </w:pPr>
      <w:r>
        <w:rPr>
          <w:rFonts w:eastAsia="Times New Roman"/>
          <w:sz w:val="24"/>
          <w:szCs w:val="24"/>
        </w:rPr>
        <w:t>_</w:t>
      </w:r>
      <w:r>
        <w:rPr>
          <w:rFonts w:eastAsia="Times New Roman"/>
          <w:sz w:val="24"/>
          <w:szCs w:val="24"/>
        </w:rPr>
        <w:t>_</w:t>
      </w:r>
      <w:r>
        <w:rPr>
          <w:rFonts w:eastAsia="Times New Roman"/>
          <w:sz w:val="24"/>
          <w:szCs w:val="24"/>
        </w:rPr>
        <w:t>__</w:t>
      </w:r>
      <w:r>
        <w:rPr>
          <w:rFonts w:eastAsia="Times New Roman"/>
          <w:sz w:val="24"/>
          <w:szCs w:val="24"/>
        </w:rPr>
        <w:t xml:space="preserve"> None of the listed foreign-status components are subject to a trade-related measure or proceeding</w:t>
      </w:r>
      <w:r w:rsidR="003B4B3B">
        <w:rPr>
          <w:rFonts w:eastAsia="Times New Roman"/>
          <w:sz w:val="24"/>
          <w:szCs w:val="24"/>
        </w:rPr>
        <w:t>.</w:t>
      </w:r>
    </w:p>
    <w:p w:rsidR="00827734" w14:paraId="423D7FF2" w14:textId="1F940003">
      <w:pPr>
        <w:spacing w:before="100" w:beforeAutospacing="1" w:after="100" w:afterAutospacing="1"/>
        <w:ind w:left="990" w:hanging="540"/>
        <w:jc w:val="left"/>
        <w:rPr>
          <w:rFonts w:eastAsia="Times New Roman"/>
          <w:sz w:val="24"/>
          <w:szCs w:val="24"/>
        </w:rPr>
      </w:pPr>
      <w:r>
        <w:rPr>
          <w:rFonts w:eastAsia="Times New Roman"/>
          <w:sz w:val="24"/>
          <w:szCs w:val="24"/>
        </w:rPr>
        <w:t>____ Some</w:t>
      </w:r>
      <w:r w:rsidR="00631CF1">
        <w:rPr>
          <w:rFonts w:eastAsia="Times New Roman"/>
          <w:sz w:val="24"/>
          <w:szCs w:val="24"/>
        </w:rPr>
        <w:t xml:space="preserve"> or all</w:t>
      </w:r>
      <w:r>
        <w:rPr>
          <w:rFonts w:eastAsia="Times New Roman"/>
          <w:sz w:val="24"/>
          <w:szCs w:val="24"/>
        </w:rPr>
        <w:t xml:space="preserve"> of the listed foreign-status components are subject to a trade-related measure or proceeding</w:t>
      </w:r>
      <w:r w:rsidR="007B1E6B">
        <w:rPr>
          <w:rFonts w:eastAsia="Times New Roman"/>
          <w:sz w:val="24"/>
          <w:szCs w:val="24"/>
        </w:rPr>
        <w:t>, as follows (list the measure</w:t>
      </w:r>
      <w:r w:rsidR="00BE06D8">
        <w:rPr>
          <w:rFonts w:eastAsia="Times New Roman"/>
          <w:sz w:val="24"/>
          <w:szCs w:val="24"/>
        </w:rPr>
        <w:t>(s)</w:t>
      </w:r>
      <w:r w:rsidR="007B1E6B">
        <w:rPr>
          <w:rFonts w:eastAsia="Times New Roman"/>
          <w:sz w:val="24"/>
          <w:szCs w:val="24"/>
        </w:rPr>
        <w:t xml:space="preserve"> and/or proceeding</w:t>
      </w:r>
      <w:r w:rsidR="00BE06D8">
        <w:rPr>
          <w:rFonts w:eastAsia="Times New Roman"/>
          <w:sz w:val="24"/>
          <w:szCs w:val="24"/>
        </w:rPr>
        <w:t>(s)</w:t>
      </w:r>
      <w:r w:rsidR="006D4FEF">
        <w:rPr>
          <w:rFonts w:eastAsia="Times New Roman"/>
          <w:sz w:val="24"/>
          <w:szCs w:val="24"/>
        </w:rPr>
        <w:t>, and include the following AD/CVD table, if applicable</w:t>
      </w:r>
      <w:r w:rsidR="00631CF1">
        <w:rPr>
          <w:rFonts w:eastAsia="Times New Roman"/>
          <w:sz w:val="24"/>
          <w:szCs w:val="24"/>
        </w:rPr>
        <w:t>)</w:t>
      </w:r>
      <w:r w:rsidR="003B4B3B">
        <w:rPr>
          <w:rFonts w:eastAsia="Times New Roman"/>
          <w:sz w:val="24"/>
          <w:szCs w:val="24"/>
        </w:rPr>
        <w:t>.</w:t>
      </w:r>
      <w:r w:rsidR="00631CF1">
        <w:rPr>
          <w:rFonts w:eastAsia="Times New Roman"/>
          <w:sz w:val="24"/>
          <w:szCs w:val="24"/>
        </w:rPr>
        <w:t xml:space="preserve"> </w:t>
      </w:r>
    </w:p>
    <w:p w:rsidR="00827734" w:rsidP="00827734" w14:paraId="22E6AA5F" w14:textId="33B9C64E">
      <w:pPr>
        <w:spacing w:before="100" w:beforeAutospacing="1" w:after="100" w:afterAutospacing="1"/>
        <w:ind w:left="990"/>
        <w:jc w:val="left"/>
        <w:rPr>
          <w:rFonts w:eastAsia="Times New Roman"/>
          <w:sz w:val="24"/>
          <w:szCs w:val="24"/>
        </w:rPr>
      </w:pPr>
      <w:r>
        <w:rPr>
          <w:rFonts w:eastAsia="Times New Roman"/>
          <w:sz w:val="24"/>
          <w:szCs w:val="24"/>
        </w:rPr>
        <w:t>The following components are subject to AD/CVD o</w:t>
      </w:r>
      <w:r w:rsidR="00C07624">
        <w:rPr>
          <w:rFonts w:eastAsia="Times New Roman"/>
          <w:sz w:val="24"/>
          <w:szCs w:val="24"/>
        </w:rPr>
        <w:t>rd</w:t>
      </w:r>
      <w:r>
        <w:rPr>
          <w:rFonts w:eastAsia="Times New Roman"/>
          <w:sz w:val="24"/>
          <w:szCs w:val="24"/>
        </w:rPr>
        <w:t>e</w:t>
      </w:r>
      <w:r w:rsidR="008237AD">
        <w:rPr>
          <w:rFonts w:eastAsia="Times New Roman"/>
          <w:sz w:val="24"/>
          <w:szCs w:val="24"/>
        </w:rPr>
        <w:t>r</w:t>
      </w:r>
      <w:r>
        <w:rPr>
          <w:rFonts w:eastAsia="Times New Roman"/>
          <w:sz w:val="24"/>
          <w:szCs w:val="24"/>
        </w:rPr>
        <w:t>s:</w:t>
      </w:r>
    </w:p>
    <w:tbl>
      <w:tblPr>
        <w:tblStyle w:val="TableGrid"/>
        <w:tblW w:w="0" w:type="auto"/>
        <w:tblInd w:w="990" w:type="dxa"/>
        <w:tblLook w:val="04A0"/>
      </w:tblPr>
      <w:tblGrid>
        <w:gridCol w:w="2875"/>
        <w:gridCol w:w="2604"/>
        <w:gridCol w:w="2256"/>
      </w:tblGrid>
      <w:tr w14:paraId="7044FA79" w14:textId="77777777" w:rsidTr="006D4FEF">
        <w:tblPrEx>
          <w:tblW w:w="0" w:type="auto"/>
          <w:tblInd w:w="990" w:type="dxa"/>
          <w:tblLook w:val="04A0"/>
        </w:tblPrEx>
        <w:tc>
          <w:tcPr>
            <w:tcW w:w="2875" w:type="dxa"/>
          </w:tcPr>
          <w:p w:rsidR="00C07624" w:rsidP="00827734" w14:paraId="3424B6B9" w14:textId="2CCC45D8">
            <w:pPr>
              <w:spacing w:before="100" w:beforeAutospacing="1" w:after="100" w:afterAutospacing="1"/>
              <w:jc w:val="left"/>
              <w:rPr>
                <w:rFonts w:eastAsia="Times New Roman"/>
                <w:sz w:val="24"/>
                <w:szCs w:val="24"/>
              </w:rPr>
            </w:pPr>
            <w:r>
              <w:rPr>
                <w:rFonts w:eastAsia="Times New Roman"/>
                <w:sz w:val="24"/>
                <w:szCs w:val="24"/>
              </w:rPr>
              <w:t>Component</w:t>
            </w:r>
          </w:p>
        </w:tc>
        <w:tc>
          <w:tcPr>
            <w:tcW w:w="2604" w:type="dxa"/>
          </w:tcPr>
          <w:p w:rsidR="00C07624" w:rsidP="00827734" w14:paraId="7F82A820" w14:textId="048D8986">
            <w:pPr>
              <w:spacing w:before="100" w:beforeAutospacing="1" w:after="100" w:afterAutospacing="1"/>
              <w:jc w:val="left"/>
              <w:rPr>
                <w:rFonts w:eastAsia="Times New Roman"/>
                <w:sz w:val="24"/>
                <w:szCs w:val="24"/>
              </w:rPr>
            </w:pPr>
            <w:r>
              <w:rPr>
                <w:rFonts w:eastAsia="Times New Roman"/>
                <w:sz w:val="24"/>
                <w:szCs w:val="24"/>
              </w:rPr>
              <w:t>AD/CVD Order No.</w:t>
            </w:r>
          </w:p>
        </w:tc>
        <w:tc>
          <w:tcPr>
            <w:tcW w:w="2256" w:type="dxa"/>
          </w:tcPr>
          <w:p w:rsidR="00C07624" w:rsidP="00827734" w14:paraId="5278DA6C" w14:textId="2C8E1F78">
            <w:pPr>
              <w:spacing w:before="100" w:beforeAutospacing="1" w:after="100" w:afterAutospacing="1"/>
              <w:jc w:val="left"/>
              <w:rPr>
                <w:rFonts w:eastAsia="Times New Roman"/>
                <w:sz w:val="24"/>
                <w:szCs w:val="24"/>
              </w:rPr>
            </w:pPr>
            <w:r>
              <w:rPr>
                <w:rFonts w:eastAsia="Times New Roman"/>
                <w:sz w:val="24"/>
                <w:szCs w:val="24"/>
              </w:rPr>
              <w:t>Country</w:t>
            </w:r>
          </w:p>
        </w:tc>
      </w:tr>
      <w:tr w14:paraId="15A9A708" w14:textId="77777777" w:rsidTr="006D4FEF">
        <w:tblPrEx>
          <w:tblW w:w="0" w:type="auto"/>
          <w:tblInd w:w="990" w:type="dxa"/>
          <w:tblLook w:val="04A0"/>
        </w:tblPrEx>
        <w:tc>
          <w:tcPr>
            <w:tcW w:w="2875" w:type="dxa"/>
          </w:tcPr>
          <w:p w:rsidR="00C07624" w:rsidP="00827734" w14:paraId="2149EEEB" w14:textId="77777777">
            <w:pPr>
              <w:spacing w:before="100" w:beforeAutospacing="1" w:after="100" w:afterAutospacing="1"/>
              <w:jc w:val="left"/>
              <w:rPr>
                <w:rFonts w:eastAsia="Times New Roman"/>
                <w:sz w:val="24"/>
                <w:szCs w:val="24"/>
              </w:rPr>
            </w:pPr>
          </w:p>
        </w:tc>
        <w:tc>
          <w:tcPr>
            <w:tcW w:w="2604" w:type="dxa"/>
          </w:tcPr>
          <w:p w:rsidR="00C07624" w:rsidP="00827734" w14:paraId="2C5F63B2" w14:textId="77777777">
            <w:pPr>
              <w:spacing w:before="100" w:beforeAutospacing="1" w:after="100" w:afterAutospacing="1"/>
              <w:jc w:val="left"/>
              <w:rPr>
                <w:rFonts w:eastAsia="Times New Roman"/>
                <w:sz w:val="24"/>
                <w:szCs w:val="24"/>
              </w:rPr>
            </w:pPr>
          </w:p>
        </w:tc>
        <w:tc>
          <w:tcPr>
            <w:tcW w:w="2256" w:type="dxa"/>
          </w:tcPr>
          <w:p w:rsidR="00C07624" w:rsidP="00827734" w14:paraId="62807196" w14:textId="77777777">
            <w:pPr>
              <w:spacing w:before="100" w:beforeAutospacing="1" w:after="100" w:afterAutospacing="1"/>
              <w:jc w:val="left"/>
              <w:rPr>
                <w:rFonts w:eastAsia="Times New Roman"/>
                <w:sz w:val="24"/>
                <w:szCs w:val="24"/>
              </w:rPr>
            </w:pPr>
          </w:p>
        </w:tc>
      </w:tr>
      <w:tr w14:paraId="0050B589" w14:textId="77777777" w:rsidTr="006D4FEF">
        <w:tblPrEx>
          <w:tblW w:w="0" w:type="auto"/>
          <w:tblInd w:w="990" w:type="dxa"/>
          <w:tblLook w:val="04A0"/>
        </w:tblPrEx>
        <w:tc>
          <w:tcPr>
            <w:tcW w:w="2875" w:type="dxa"/>
          </w:tcPr>
          <w:p w:rsidR="00C07624" w:rsidP="00827734" w14:paraId="2879A816" w14:textId="77777777">
            <w:pPr>
              <w:spacing w:before="100" w:beforeAutospacing="1" w:after="100" w:afterAutospacing="1"/>
              <w:jc w:val="left"/>
              <w:rPr>
                <w:rFonts w:eastAsia="Times New Roman"/>
                <w:sz w:val="24"/>
                <w:szCs w:val="24"/>
              </w:rPr>
            </w:pPr>
          </w:p>
        </w:tc>
        <w:tc>
          <w:tcPr>
            <w:tcW w:w="2604" w:type="dxa"/>
          </w:tcPr>
          <w:p w:rsidR="00C07624" w:rsidP="00827734" w14:paraId="5E322716" w14:textId="77777777">
            <w:pPr>
              <w:spacing w:before="100" w:beforeAutospacing="1" w:after="100" w:afterAutospacing="1"/>
              <w:jc w:val="left"/>
              <w:rPr>
                <w:rFonts w:eastAsia="Times New Roman"/>
                <w:sz w:val="24"/>
                <w:szCs w:val="24"/>
              </w:rPr>
            </w:pPr>
          </w:p>
        </w:tc>
        <w:tc>
          <w:tcPr>
            <w:tcW w:w="2256" w:type="dxa"/>
          </w:tcPr>
          <w:p w:rsidR="00C07624" w:rsidP="00827734" w14:paraId="451261B1" w14:textId="77777777">
            <w:pPr>
              <w:spacing w:before="100" w:beforeAutospacing="1" w:after="100" w:afterAutospacing="1"/>
              <w:jc w:val="left"/>
              <w:rPr>
                <w:rFonts w:eastAsia="Times New Roman"/>
                <w:sz w:val="24"/>
                <w:szCs w:val="24"/>
              </w:rPr>
            </w:pPr>
          </w:p>
        </w:tc>
      </w:tr>
      <w:tr w14:paraId="09EFE5CC" w14:textId="77777777" w:rsidTr="006D4FEF">
        <w:tblPrEx>
          <w:tblW w:w="0" w:type="auto"/>
          <w:tblInd w:w="990" w:type="dxa"/>
          <w:tblLook w:val="04A0"/>
        </w:tblPrEx>
        <w:tc>
          <w:tcPr>
            <w:tcW w:w="2875" w:type="dxa"/>
          </w:tcPr>
          <w:p w:rsidR="00C07624" w:rsidP="00827734" w14:paraId="3351096F" w14:textId="77777777">
            <w:pPr>
              <w:spacing w:before="100" w:beforeAutospacing="1" w:after="100" w:afterAutospacing="1"/>
              <w:jc w:val="left"/>
              <w:rPr>
                <w:rFonts w:eastAsia="Times New Roman"/>
                <w:sz w:val="24"/>
                <w:szCs w:val="24"/>
              </w:rPr>
            </w:pPr>
          </w:p>
        </w:tc>
        <w:tc>
          <w:tcPr>
            <w:tcW w:w="2604" w:type="dxa"/>
          </w:tcPr>
          <w:p w:rsidR="00C07624" w:rsidP="00827734" w14:paraId="46E3B7CC" w14:textId="77777777">
            <w:pPr>
              <w:spacing w:before="100" w:beforeAutospacing="1" w:after="100" w:afterAutospacing="1"/>
              <w:jc w:val="left"/>
              <w:rPr>
                <w:rFonts w:eastAsia="Times New Roman"/>
                <w:sz w:val="24"/>
                <w:szCs w:val="24"/>
              </w:rPr>
            </w:pPr>
          </w:p>
        </w:tc>
        <w:tc>
          <w:tcPr>
            <w:tcW w:w="2256" w:type="dxa"/>
          </w:tcPr>
          <w:p w:rsidR="00C07624" w:rsidP="00827734" w14:paraId="290EF87C" w14:textId="77777777">
            <w:pPr>
              <w:spacing w:before="100" w:beforeAutospacing="1" w:after="100" w:afterAutospacing="1"/>
              <w:jc w:val="left"/>
              <w:rPr>
                <w:rFonts w:eastAsia="Times New Roman"/>
                <w:sz w:val="24"/>
                <w:szCs w:val="24"/>
              </w:rPr>
            </w:pPr>
          </w:p>
        </w:tc>
      </w:tr>
    </w:tbl>
    <w:p w:rsidR="009F3146" w:rsidP="00A10513" w14:paraId="533EE8CB" w14:textId="738CE0D6">
      <w:pPr>
        <w:spacing w:before="100" w:beforeAutospacing="1" w:after="100" w:afterAutospacing="1"/>
        <w:ind w:left="990"/>
        <w:jc w:val="left"/>
        <w:rPr>
          <w:rFonts w:eastAsia="Times New Roman"/>
          <w:sz w:val="24"/>
          <w:szCs w:val="24"/>
        </w:rPr>
      </w:pPr>
    </w:p>
    <w:p w:rsidR="009F3146" w:rsidRPr="002A0DCE" w:rsidP="002A0DCE" w14:paraId="2F759FDE" w14:textId="3C2B35A3">
      <w:pPr>
        <w:pStyle w:val="ListParagraph"/>
        <w:numPr>
          <w:ilvl w:val="0"/>
          <w:numId w:val="2"/>
        </w:numPr>
        <w:spacing w:before="100" w:beforeAutospacing="1" w:after="100" w:afterAutospacing="1"/>
        <w:jc w:val="left"/>
        <w:rPr>
          <w:rFonts w:eastAsia="Times New Roman"/>
          <w:sz w:val="24"/>
          <w:szCs w:val="24"/>
        </w:rPr>
      </w:pPr>
      <w:r w:rsidRPr="002A0DCE">
        <w:rPr>
          <w:rFonts w:eastAsia="Times New Roman"/>
          <w:sz w:val="24"/>
          <w:szCs w:val="24"/>
        </w:rPr>
        <w:t>Using the table</w:t>
      </w:r>
      <w:r w:rsidR="004F115E">
        <w:rPr>
          <w:rFonts w:eastAsia="Times New Roman"/>
          <w:sz w:val="24"/>
          <w:szCs w:val="24"/>
        </w:rPr>
        <w:t xml:space="preserve"> formats, below</w:t>
      </w:r>
      <w:r w:rsidRPr="002A0DCE" w:rsidR="00C70EB4">
        <w:rPr>
          <w:rFonts w:eastAsia="Times New Roman"/>
          <w:sz w:val="24"/>
          <w:szCs w:val="24"/>
        </w:rPr>
        <w:t xml:space="preserve">, list the finished products and </w:t>
      </w:r>
      <w:r w:rsidRPr="002A0DCE" w:rsidR="00467FE3">
        <w:rPr>
          <w:rFonts w:eastAsia="Times New Roman"/>
          <w:sz w:val="24"/>
          <w:szCs w:val="24"/>
        </w:rPr>
        <w:t xml:space="preserve">foreign-status </w:t>
      </w:r>
      <w:r w:rsidRPr="002A0DCE" w:rsidR="00C70EB4">
        <w:rPr>
          <w:rFonts w:eastAsia="Times New Roman"/>
          <w:sz w:val="24"/>
          <w:szCs w:val="24"/>
        </w:rPr>
        <w:t>components/inputs propose</w:t>
      </w:r>
      <w:r w:rsidR="00607AAD">
        <w:rPr>
          <w:rFonts w:eastAsia="Times New Roman"/>
          <w:sz w:val="24"/>
          <w:szCs w:val="24"/>
        </w:rPr>
        <w:t>d</w:t>
      </w:r>
      <w:r w:rsidRPr="002A0DCE" w:rsidR="00C70EB4">
        <w:rPr>
          <w:rFonts w:eastAsia="Times New Roman"/>
          <w:sz w:val="24"/>
          <w:szCs w:val="24"/>
        </w:rPr>
        <w:t xml:space="preserve"> for production under FTZ procedures. </w:t>
      </w:r>
      <w:r w:rsidR="00607AAD">
        <w:rPr>
          <w:rFonts w:eastAsia="Times New Roman"/>
          <w:sz w:val="24"/>
          <w:szCs w:val="24"/>
        </w:rPr>
        <w:t>The</w:t>
      </w:r>
      <w:r w:rsidRPr="002A0DCE" w:rsidR="00C70EB4">
        <w:rPr>
          <w:rFonts w:eastAsia="Times New Roman"/>
          <w:sz w:val="24"/>
          <w:szCs w:val="24"/>
        </w:rPr>
        <w:t xml:space="preserve"> list of finished products and </w:t>
      </w:r>
      <w:r w:rsidRPr="002A0DCE" w:rsidR="00467FE3">
        <w:rPr>
          <w:rFonts w:eastAsia="Times New Roman"/>
          <w:sz w:val="24"/>
          <w:szCs w:val="24"/>
        </w:rPr>
        <w:t xml:space="preserve">foreign-status </w:t>
      </w:r>
      <w:r w:rsidRPr="002A0DCE" w:rsidR="00C70EB4">
        <w:rPr>
          <w:rFonts w:eastAsia="Times New Roman"/>
          <w:sz w:val="24"/>
          <w:szCs w:val="24"/>
        </w:rPr>
        <w:t>components/inputs should encompass both actual</w:t>
      </w:r>
      <w:r w:rsidRPr="002A0DCE" w:rsidR="00A37E2D">
        <w:rPr>
          <w:rFonts w:eastAsia="Times New Roman"/>
          <w:sz w:val="24"/>
          <w:szCs w:val="24"/>
        </w:rPr>
        <w:t>/</w:t>
      </w:r>
      <w:r w:rsidRPr="002A0DCE" w:rsidR="00C70EB4">
        <w:rPr>
          <w:rFonts w:eastAsia="Times New Roman"/>
          <w:sz w:val="24"/>
          <w:szCs w:val="24"/>
        </w:rPr>
        <w:t xml:space="preserve">planned activity and potential activity for which you request authority. </w:t>
      </w:r>
      <w:r w:rsidR="00270675">
        <w:rPr>
          <w:rFonts w:eastAsia="Times New Roman"/>
          <w:sz w:val="24"/>
          <w:szCs w:val="24"/>
        </w:rPr>
        <w:t>Any</w:t>
      </w:r>
      <w:r w:rsidR="00BD4682">
        <w:rPr>
          <w:rFonts w:eastAsia="Times New Roman"/>
          <w:sz w:val="24"/>
          <w:szCs w:val="24"/>
        </w:rPr>
        <w:t xml:space="preserve"> eventual </w:t>
      </w:r>
      <w:r w:rsidR="00270675">
        <w:rPr>
          <w:rFonts w:eastAsia="Times New Roman"/>
          <w:sz w:val="24"/>
          <w:szCs w:val="24"/>
        </w:rPr>
        <w:t xml:space="preserve">authority approved </w:t>
      </w:r>
      <w:r w:rsidR="00760FA9">
        <w:rPr>
          <w:rFonts w:eastAsia="Times New Roman"/>
          <w:sz w:val="24"/>
          <w:szCs w:val="24"/>
        </w:rPr>
        <w:t xml:space="preserve">by </w:t>
      </w:r>
      <w:r w:rsidR="00270675">
        <w:rPr>
          <w:rFonts w:eastAsia="Times New Roman"/>
          <w:sz w:val="24"/>
          <w:szCs w:val="24"/>
        </w:rPr>
        <w:t>the</w:t>
      </w:r>
      <w:r w:rsidRPr="002A0DCE" w:rsidR="00BD4682">
        <w:rPr>
          <w:rFonts w:eastAsia="Times New Roman"/>
          <w:sz w:val="24"/>
          <w:szCs w:val="24"/>
        </w:rPr>
        <w:t xml:space="preserve"> </w:t>
      </w:r>
      <w:r w:rsidRPr="002A0DCE" w:rsidR="00467FE3">
        <w:rPr>
          <w:rFonts w:eastAsia="Times New Roman"/>
          <w:sz w:val="24"/>
          <w:szCs w:val="24"/>
        </w:rPr>
        <w:t xml:space="preserve">FTZ Board </w:t>
      </w:r>
      <w:r w:rsidR="00BD4682">
        <w:rPr>
          <w:rFonts w:eastAsia="Times New Roman"/>
          <w:sz w:val="24"/>
          <w:szCs w:val="24"/>
        </w:rPr>
        <w:t xml:space="preserve">(the “scope of authority”) </w:t>
      </w:r>
      <w:r w:rsidRPr="002A0DCE" w:rsidR="00C70EB4">
        <w:rPr>
          <w:rFonts w:eastAsia="Times New Roman"/>
          <w:sz w:val="24"/>
          <w:szCs w:val="24"/>
        </w:rPr>
        <w:t xml:space="preserve">would extend </w:t>
      </w:r>
      <w:r w:rsidR="00E97F2B">
        <w:rPr>
          <w:rFonts w:eastAsia="Times New Roman"/>
          <w:sz w:val="24"/>
          <w:szCs w:val="24"/>
        </w:rPr>
        <w:t xml:space="preserve">only </w:t>
      </w:r>
      <w:r w:rsidRPr="002A0DCE" w:rsidR="00C70EB4">
        <w:rPr>
          <w:rFonts w:eastAsia="Times New Roman"/>
          <w:sz w:val="24"/>
          <w:szCs w:val="24"/>
        </w:rPr>
        <w:t xml:space="preserve">to the specific finished products and </w:t>
      </w:r>
      <w:r w:rsidRPr="002A0DCE" w:rsidR="00467FE3">
        <w:rPr>
          <w:rFonts w:eastAsia="Times New Roman"/>
          <w:sz w:val="24"/>
          <w:szCs w:val="24"/>
        </w:rPr>
        <w:t xml:space="preserve">foreign-status </w:t>
      </w:r>
      <w:r w:rsidRPr="002A0DCE" w:rsidR="00C70EB4">
        <w:rPr>
          <w:rFonts w:eastAsia="Times New Roman"/>
          <w:sz w:val="24"/>
          <w:szCs w:val="24"/>
        </w:rPr>
        <w:t xml:space="preserve">components/inputs listed in </w:t>
      </w:r>
      <w:r w:rsidR="002453C5">
        <w:rPr>
          <w:rFonts w:eastAsia="Times New Roman"/>
          <w:sz w:val="24"/>
          <w:szCs w:val="24"/>
        </w:rPr>
        <w:t>the</w:t>
      </w:r>
      <w:r w:rsidRPr="002A0DCE" w:rsidR="00C70EB4">
        <w:rPr>
          <w:rFonts w:eastAsia="Times New Roman"/>
          <w:sz w:val="24"/>
          <w:szCs w:val="24"/>
        </w:rPr>
        <w:t xml:space="preserve"> </w:t>
      </w:r>
      <w:r w:rsidRPr="002A0DCE" w:rsidR="002B12A3">
        <w:rPr>
          <w:rFonts w:eastAsia="Times New Roman"/>
          <w:sz w:val="24"/>
          <w:szCs w:val="24"/>
        </w:rPr>
        <w:t>notification</w:t>
      </w:r>
      <w:r w:rsidR="00BD4682">
        <w:rPr>
          <w:rFonts w:eastAsia="Times New Roman"/>
          <w:sz w:val="24"/>
          <w:szCs w:val="24"/>
        </w:rPr>
        <w:t xml:space="preserve"> and authorized by the FTZ Board</w:t>
      </w:r>
      <w:r w:rsidRPr="002A0DCE" w:rsidR="00A37E2D">
        <w:rPr>
          <w:rFonts w:eastAsia="Times New Roman"/>
          <w:sz w:val="24"/>
          <w:szCs w:val="24"/>
        </w:rPr>
        <w:t>.</w:t>
      </w:r>
      <w:r w:rsidRPr="002A0DCE" w:rsidR="00C70EB4">
        <w:rPr>
          <w:rFonts w:eastAsia="Times New Roman"/>
          <w:sz w:val="24"/>
          <w:szCs w:val="24"/>
        </w:rPr>
        <w:t xml:space="preserve"> For each finished product and </w:t>
      </w:r>
      <w:r w:rsidRPr="002A0DCE" w:rsidR="00467FE3">
        <w:rPr>
          <w:rFonts w:eastAsia="Times New Roman"/>
          <w:sz w:val="24"/>
          <w:szCs w:val="24"/>
        </w:rPr>
        <w:t xml:space="preserve">foreign-status </w:t>
      </w:r>
      <w:r w:rsidRPr="002A0DCE" w:rsidR="00C70EB4">
        <w:rPr>
          <w:rFonts w:eastAsia="Times New Roman"/>
          <w:sz w:val="24"/>
          <w:szCs w:val="24"/>
        </w:rPr>
        <w:t>component/input, provide a</w:t>
      </w:r>
      <w:r w:rsidRPr="002A0DCE" w:rsidR="001727E9">
        <w:rPr>
          <w:rFonts w:eastAsia="Times New Roman"/>
          <w:sz w:val="24"/>
          <w:szCs w:val="24"/>
        </w:rPr>
        <w:t xml:space="preserve"> physical</w:t>
      </w:r>
      <w:r w:rsidRPr="002A0DCE" w:rsidR="00C70EB4">
        <w:rPr>
          <w:rFonts w:eastAsia="Times New Roman"/>
          <w:sz w:val="24"/>
          <w:szCs w:val="24"/>
        </w:rPr>
        <w:t xml:space="preserve"> description</w:t>
      </w:r>
      <w:r w:rsidRPr="002A0DCE" w:rsidR="001727E9">
        <w:rPr>
          <w:rFonts w:eastAsia="Times New Roman"/>
          <w:sz w:val="24"/>
          <w:szCs w:val="24"/>
        </w:rPr>
        <w:t xml:space="preserve"> (</w:t>
      </w:r>
      <w:r w:rsidRPr="002A0DCE" w:rsidR="001727E9">
        <w:rPr>
          <w:rFonts w:eastAsia="Times New Roman"/>
          <w:sz w:val="24"/>
          <w:szCs w:val="24"/>
          <w:u w:val="single"/>
        </w:rPr>
        <w:t>not</w:t>
      </w:r>
      <w:r w:rsidRPr="002A0DCE" w:rsidR="001727E9">
        <w:rPr>
          <w:rFonts w:eastAsia="Times New Roman"/>
          <w:sz w:val="24"/>
          <w:szCs w:val="24"/>
        </w:rPr>
        <w:t xml:space="preserve"> the description from the HTSUS)</w:t>
      </w:r>
      <w:r w:rsidRPr="002A0DCE" w:rsidR="00C70EB4">
        <w:rPr>
          <w:rFonts w:eastAsia="Times New Roman"/>
          <w:sz w:val="24"/>
          <w:szCs w:val="24"/>
        </w:rPr>
        <w:t>, 6-digit HTSUS number, and current U.S. duty rate.</w:t>
      </w:r>
    </w:p>
    <w:p w:rsidR="00562487" w:rsidRPr="00D049D6" w:rsidP="00562487" w14:paraId="7974A100" w14:textId="77777777">
      <w:pPr>
        <w:jc w:val="left"/>
        <w:rPr>
          <w:b/>
          <w:sz w:val="24"/>
          <w:szCs w:val="24"/>
        </w:rPr>
      </w:pPr>
    </w:p>
    <w:p w:rsidR="00C61F40" w:rsidP="00C61F40" w14:paraId="27309F0F" w14:textId="75D40D7F">
      <w:pPr>
        <w:pStyle w:val="Caption"/>
        <w:keepNext/>
      </w:pPr>
      <w:r>
        <w:t xml:space="preserve">Table </w:t>
      </w:r>
      <w:r>
        <w:fldChar w:fldCharType="begin"/>
      </w:r>
      <w:r>
        <w:instrText>SEQ Table \* ARABIC</w:instrText>
      </w:r>
      <w:r>
        <w:fldChar w:fldCharType="separate"/>
      </w:r>
      <w:r>
        <w:rPr>
          <w:noProof/>
        </w:rPr>
        <w:t>1</w:t>
      </w:r>
      <w:r>
        <w:fldChar w:fldCharType="end"/>
      </w:r>
      <w:r>
        <w:t>- Finished Products</w:t>
      </w:r>
    </w:p>
    <w:tbl>
      <w:tblPr>
        <w:tblCaption w:val="Finished Products"/>
        <w:tblDescription w:val="List of proposed finished product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5"/>
        <w:gridCol w:w="2206"/>
        <w:gridCol w:w="1779"/>
      </w:tblGrid>
      <w:tr w14:paraId="4F7D4FFD" w14:textId="77777777" w:rsidTr="00D769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5365" w:type="dxa"/>
            <w:shd w:val="clear" w:color="auto" w:fill="8DB3E2"/>
          </w:tcPr>
          <w:p w:rsidR="00562487" w:rsidRPr="00D049D6" w:rsidP="00D66F23" w14:paraId="0A518633" w14:textId="77777777">
            <w:pPr>
              <w:pStyle w:val="SubHead1"/>
            </w:pPr>
            <w:bookmarkStart w:id="1" w:name="Title_Table_1_Finished_Products"/>
            <w:bookmarkEnd w:id="1"/>
            <w:r w:rsidRPr="00D049D6">
              <w:t>Physical Description (not HTSUS description)</w:t>
            </w:r>
          </w:p>
        </w:tc>
        <w:tc>
          <w:tcPr>
            <w:tcW w:w="2206" w:type="dxa"/>
            <w:shd w:val="clear" w:color="auto" w:fill="8DB3E2"/>
          </w:tcPr>
          <w:p w:rsidR="00562487" w:rsidRPr="00D049D6" w:rsidP="00D66F23" w14:paraId="7495F61E" w14:textId="77777777">
            <w:pPr>
              <w:pStyle w:val="SubHead1"/>
            </w:pPr>
            <w:r w:rsidRPr="00D049D6">
              <w:t>HTSUS No.</w:t>
            </w:r>
          </w:p>
        </w:tc>
        <w:tc>
          <w:tcPr>
            <w:tcW w:w="1779" w:type="dxa"/>
            <w:shd w:val="clear" w:color="auto" w:fill="8DB3E2"/>
          </w:tcPr>
          <w:p w:rsidR="00562487" w:rsidRPr="00D049D6" w:rsidP="00D66F23" w14:paraId="380FC174" w14:textId="77777777">
            <w:pPr>
              <w:pStyle w:val="SubHead1"/>
            </w:pPr>
            <w:r w:rsidRPr="00D049D6">
              <w:t>Duty Rate</w:t>
            </w:r>
          </w:p>
        </w:tc>
      </w:tr>
      <w:tr w14:paraId="7DF1FC55" w14:textId="77777777" w:rsidTr="00C61F40">
        <w:tblPrEx>
          <w:tblW w:w="0" w:type="auto"/>
          <w:tblLook w:val="04A0"/>
        </w:tblPrEx>
        <w:tc>
          <w:tcPr>
            <w:tcW w:w="5365" w:type="dxa"/>
          </w:tcPr>
          <w:p w:rsidR="00562487" w:rsidRPr="00D049D6" w14:paraId="15727661" w14:textId="77777777">
            <w:pPr>
              <w:rPr>
                <w:sz w:val="24"/>
                <w:szCs w:val="24"/>
              </w:rPr>
            </w:pPr>
          </w:p>
        </w:tc>
        <w:tc>
          <w:tcPr>
            <w:tcW w:w="2206" w:type="dxa"/>
          </w:tcPr>
          <w:p w:rsidR="00562487" w:rsidRPr="00D049D6" w14:paraId="63341611" w14:textId="77777777">
            <w:pPr>
              <w:rPr>
                <w:sz w:val="24"/>
                <w:szCs w:val="24"/>
              </w:rPr>
            </w:pPr>
          </w:p>
        </w:tc>
        <w:tc>
          <w:tcPr>
            <w:tcW w:w="1779" w:type="dxa"/>
          </w:tcPr>
          <w:p w:rsidR="00562487" w:rsidRPr="00D049D6" w14:paraId="603F782B" w14:textId="77777777">
            <w:pPr>
              <w:rPr>
                <w:sz w:val="24"/>
                <w:szCs w:val="24"/>
              </w:rPr>
            </w:pPr>
          </w:p>
        </w:tc>
      </w:tr>
      <w:tr w14:paraId="74379E52" w14:textId="77777777" w:rsidTr="00C61F40">
        <w:tblPrEx>
          <w:tblW w:w="0" w:type="auto"/>
          <w:tblLook w:val="04A0"/>
        </w:tblPrEx>
        <w:tc>
          <w:tcPr>
            <w:tcW w:w="5365" w:type="dxa"/>
          </w:tcPr>
          <w:p w:rsidR="00562487" w:rsidRPr="00D049D6" w14:paraId="476A4C9A" w14:textId="77777777">
            <w:pPr>
              <w:rPr>
                <w:sz w:val="24"/>
                <w:szCs w:val="24"/>
              </w:rPr>
            </w:pPr>
          </w:p>
        </w:tc>
        <w:tc>
          <w:tcPr>
            <w:tcW w:w="2206" w:type="dxa"/>
          </w:tcPr>
          <w:p w:rsidR="00562487" w:rsidRPr="00D049D6" w14:paraId="5409965F" w14:textId="77777777">
            <w:pPr>
              <w:rPr>
                <w:sz w:val="24"/>
                <w:szCs w:val="24"/>
              </w:rPr>
            </w:pPr>
          </w:p>
        </w:tc>
        <w:tc>
          <w:tcPr>
            <w:tcW w:w="1779" w:type="dxa"/>
          </w:tcPr>
          <w:p w:rsidR="00562487" w:rsidRPr="00D049D6" w14:paraId="0EDA9FF8" w14:textId="77777777">
            <w:pPr>
              <w:rPr>
                <w:sz w:val="24"/>
                <w:szCs w:val="24"/>
              </w:rPr>
            </w:pPr>
          </w:p>
        </w:tc>
      </w:tr>
      <w:tr w14:paraId="27BFE6D3" w14:textId="77777777" w:rsidTr="00C61F40">
        <w:tblPrEx>
          <w:tblW w:w="0" w:type="auto"/>
          <w:tblLook w:val="04A0"/>
        </w:tblPrEx>
        <w:tc>
          <w:tcPr>
            <w:tcW w:w="5365" w:type="dxa"/>
          </w:tcPr>
          <w:p w:rsidR="00562487" w:rsidRPr="00D049D6" w14:paraId="14C19698" w14:textId="77777777">
            <w:pPr>
              <w:rPr>
                <w:sz w:val="24"/>
                <w:szCs w:val="24"/>
              </w:rPr>
            </w:pPr>
          </w:p>
        </w:tc>
        <w:tc>
          <w:tcPr>
            <w:tcW w:w="2206" w:type="dxa"/>
          </w:tcPr>
          <w:p w:rsidR="00562487" w:rsidRPr="00D049D6" w14:paraId="61BB00C9" w14:textId="77777777">
            <w:pPr>
              <w:rPr>
                <w:sz w:val="24"/>
                <w:szCs w:val="24"/>
              </w:rPr>
            </w:pPr>
          </w:p>
        </w:tc>
        <w:tc>
          <w:tcPr>
            <w:tcW w:w="1779" w:type="dxa"/>
          </w:tcPr>
          <w:p w:rsidR="00562487" w:rsidRPr="00D049D6" w14:paraId="5E1A085E" w14:textId="77777777">
            <w:pPr>
              <w:rPr>
                <w:sz w:val="24"/>
                <w:szCs w:val="24"/>
              </w:rPr>
            </w:pPr>
          </w:p>
        </w:tc>
      </w:tr>
      <w:tr w14:paraId="1A610250" w14:textId="77777777" w:rsidTr="00C61F40">
        <w:tblPrEx>
          <w:tblW w:w="0" w:type="auto"/>
          <w:tblLook w:val="04A0"/>
        </w:tblPrEx>
        <w:tc>
          <w:tcPr>
            <w:tcW w:w="5365" w:type="dxa"/>
          </w:tcPr>
          <w:p w:rsidR="00562487" w:rsidRPr="00D049D6" w14:paraId="0806FCFB" w14:textId="77777777">
            <w:pPr>
              <w:rPr>
                <w:sz w:val="24"/>
                <w:szCs w:val="24"/>
              </w:rPr>
            </w:pPr>
          </w:p>
        </w:tc>
        <w:tc>
          <w:tcPr>
            <w:tcW w:w="2206" w:type="dxa"/>
          </w:tcPr>
          <w:p w:rsidR="00562487" w:rsidRPr="00D049D6" w14:paraId="0F23D1DF" w14:textId="77777777">
            <w:pPr>
              <w:rPr>
                <w:sz w:val="24"/>
                <w:szCs w:val="24"/>
              </w:rPr>
            </w:pPr>
          </w:p>
        </w:tc>
        <w:tc>
          <w:tcPr>
            <w:tcW w:w="1779" w:type="dxa"/>
          </w:tcPr>
          <w:p w:rsidR="00562487" w:rsidRPr="00D049D6" w14:paraId="6C3723B0" w14:textId="77777777">
            <w:pPr>
              <w:rPr>
                <w:sz w:val="24"/>
                <w:szCs w:val="24"/>
              </w:rPr>
            </w:pPr>
          </w:p>
        </w:tc>
      </w:tr>
    </w:tbl>
    <w:p w:rsidR="00562487" w:rsidRPr="00D049D6" w:rsidP="00562487" w14:paraId="503A20D3" w14:textId="77777777">
      <w:pPr>
        <w:jc w:val="left"/>
        <w:rPr>
          <w:b/>
          <w:sz w:val="24"/>
          <w:szCs w:val="24"/>
        </w:rPr>
      </w:pPr>
    </w:p>
    <w:p w:rsidR="002A36A5" w:rsidP="002A36A5" w14:paraId="6649D23E" w14:textId="6C527C7C">
      <w:pPr>
        <w:pStyle w:val="Caption"/>
        <w:keepNext/>
      </w:pPr>
      <w:r>
        <w:t xml:space="preserve">Table </w:t>
      </w:r>
      <w:r>
        <w:fldChar w:fldCharType="begin"/>
      </w:r>
      <w:r>
        <w:instrText>SEQ Table \* ARABIC</w:instrText>
      </w:r>
      <w:r>
        <w:fldChar w:fldCharType="separate"/>
      </w:r>
      <w:r>
        <w:rPr>
          <w:noProof/>
        </w:rPr>
        <w:t>2</w:t>
      </w:r>
      <w:r>
        <w:fldChar w:fldCharType="end"/>
      </w:r>
      <w:r>
        <w:t xml:space="preserve"> - Foreign-Status Components</w:t>
      </w:r>
    </w:p>
    <w:tbl>
      <w:tblPr>
        <w:tblCaption w:val="Foreign-Status Components"/>
        <w:tblDescription w:val="List of proposed foreign-status component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5"/>
        <w:gridCol w:w="2206"/>
        <w:gridCol w:w="1779"/>
      </w:tblGrid>
      <w:tr w14:paraId="4B667718" w14:textId="77777777" w:rsidTr="00FC01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5365" w:type="dxa"/>
            <w:shd w:val="clear" w:color="auto" w:fill="8DB3E2"/>
          </w:tcPr>
          <w:p w:rsidR="00562487" w:rsidRPr="00D049D6" w:rsidP="00D66F23" w14:paraId="610A1EC9" w14:textId="77777777">
            <w:pPr>
              <w:pStyle w:val="SubHead1"/>
            </w:pPr>
            <w:bookmarkStart w:id="2" w:name="Title_Table_2_Components"/>
            <w:bookmarkEnd w:id="2"/>
            <w:r w:rsidRPr="00D049D6">
              <w:t>Physical Description (not HTSUS description)</w:t>
            </w:r>
          </w:p>
        </w:tc>
        <w:tc>
          <w:tcPr>
            <w:tcW w:w="2206" w:type="dxa"/>
            <w:shd w:val="clear" w:color="auto" w:fill="8DB3E2"/>
          </w:tcPr>
          <w:p w:rsidR="00562487" w:rsidRPr="00D049D6" w:rsidP="00D66F23" w14:paraId="5C4BE095" w14:textId="77777777">
            <w:pPr>
              <w:pStyle w:val="SubHead1"/>
            </w:pPr>
            <w:r w:rsidRPr="00D049D6">
              <w:t>HTSUS No.</w:t>
            </w:r>
          </w:p>
        </w:tc>
        <w:tc>
          <w:tcPr>
            <w:tcW w:w="1779" w:type="dxa"/>
            <w:shd w:val="clear" w:color="auto" w:fill="8DB3E2"/>
          </w:tcPr>
          <w:p w:rsidR="00562487" w:rsidRPr="00D049D6" w:rsidP="00D66F23" w14:paraId="65F38C9E" w14:textId="77777777">
            <w:pPr>
              <w:pStyle w:val="SubHead1"/>
            </w:pPr>
            <w:r w:rsidRPr="00D049D6">
              <w:t>Duty Rate</w:t>
            </w:r>
          </w:p>
        </w:tc>
      </w:tr>
      <w:tr w14:paraId="7B77CF48" w14:textId="77777777" w:rsidTr="002A36A5">
        <w:tblPrEx>
          <w:tblW w:w="0" w:type="auto"/>
          <w:tblLook w:val="04A0"/>
        </w:tblPrEx>
        <w:tc>
          <w:tcPr>
            <w:tcW w:w="5365" w:type="dxa"/>
          </w:tcPr>
          <w:p w:rsidR="00562487" w:rsidRPr="00D049D6" w:rsidP="00562487" w14:paraId="34F3AA90" w14:textId="77777777">
            <w:pPr>
              <w:rPr>
                <w:sz w:val="24"/>
                <w:szCs w:val="24"/>
              </w:rPr>
            </w:pPr>
          </w:p>
        </w:tc>
        <w:tc>
          <w:tcPr>
            <w:tcW w:w="2206" w:type="dxa"/>
          </w:tcPr>
          <w:p w:rsidR="00562487" w:rsidRPr="00D049D6" w:rsidP="00562487" w14:paraId="02E31DCC" w14:textId="77777777">
            <w:pPr>
              <w:rPr>
                <w:sz w:val="24"/>
                <w:szCs w:val="24"/>
              </w:rPr>
            </w:pPr>
          </w:p>
        </w:tc>
        <w:tc>
          <w:tcPr>
            <w:tcW w:w="1779" w:type="dxa"/>
          </w:tcPr>
          <w:p w:rsidR="00562487" w:rsidRPr="00D049D6" w:rsidP="00562487" w14:paraId="5DFAD986" w14:textId="77777777">
            <w:pPr>
              <w:rPr>
                <w:sz w:val="24"/>
                <w:szCs w:val="24"/>
              </w:rPr>
            </w:pPr>
          </w:p>
        </w:tc>
      </w:tr>
      <w:tr w14:paraId="299A883F" w14:textId="77777777" w:rsidTr="002A36A5">
        <w:tblPrEx>
          <w:tblW w:w="0" w:type="auto"/>
          <w:tblLook w:val="04A0"/>
        </w:tblPrEx>
        <w:tc>
          <w:tcPr>
            <w:tcW w:w="5365" w:type="dxa"/>
          </w:tcPr>
          <w:p w:rsidR="00562487" w:rsidRPr="00D049D6" w:rsidP="00562487" w14:paraId="3E57F9B0" w14:textId="77777777">
            <w:pPr>
              <w:rPr>
                <w:sz w:val="24"/>
                <w:szCs w:val="24"/>
              </w:rPr>
            </w:pPr>
          </w:p>
        </w:tc>
        <w:tc>
          <w:tcPr>
            <w:tcW w:w="2206" w:type="dxa"/>
          </w:tcPr>
          <w:p w:rsidR="00562487" w:rsidRPr="00D049D6" w:rsidP="00562487" w14:paraId="5012AA94" w14:textId="77777777">
            <w:pPr>
              <w:rPr>
                <w:sz w:val="24"/>
                <w:szCs w:val="24"/>
              </w:rPr>
            </w:pPr>
          </w:p>
        </w:tc>
        <w:tc>
          <w:tcPr>
            <w:tcW w:w="1779" w:type="dxa"/>
          </w:tcPr>
          <w:p w:rsidR="00562487" w:rsidRPr="00D049D6" w:rsidP="00562487" w14:paraId="7726E134" w14:textId="77777777">
            <w:pPr>
              <w:rPr>
                <w:sz w:val="24"/>
                <w:szCs w:val="24"/>
              </w:rPr>
            </w:pPr>
          </w:p>
        </w:tc>
      </w:tr>
      <w:tr w14:paraId="23CD114F" w14:textId="77777777" w:rsidTr="002A36A5">
        <w:tblPrEx>
          <w:tblW w:w="0" w:type="auto"/>
          <w:tblLook w:val="04A0"/>
        </w:tblPrEx>
        <w:tc>
          <w:tcPr>
            <w:tcW w:w="5365" w:type="dxa"/>
          </w:tcPr>
          <w:p w:rsidR="00562487" w:rsidRPr="00D049D6" w:rsidP="00562487" w14:paraId="28699235" w14:textId="77777777">
            <w:pPr>
              <w:rPr>
                <w:sz w:val="24"/>
                <w:szCs w:val="24"/>
              </w:rPr>
            </w:pPr>
          </w:p>
        </w:tc>
        <w:tc>
          <w:tcPr>
            <w:tcW w:w="2206" w:type="dxa"/>
          </w:tcPr>
          <w:p w:rsidR="00562487" w:rsidRPr="00D049D6" w:rsidP="00562487" w14:paraId="751AD35E" w14:textId="77777777">
            <w:pPr>
              <w:rPr>
                <w:sz w:val="24"/>
                <w:szCs w:val="24"/>
              </w:rPr>
            </w:pPr>
          </w:p>
        </w:tc>
        <w:tc>
          <w:tcPr>
            <w:tcW w:w="1779" w:type="dxa"/>
          </w:tcPr>
          <w:p w:rsidR="00562487" w:rsidRPr="00D049D6" w:rsidP="00562487" w14:paraId="212BAE5E" w14:textId="77777777">
            <w:pPr>
              <w:rPr>
                <w:sz w:val="24"/>
                <w:szCs w:val="24"/>
              </w:rPr>
            </w:pPr>
          </w:p>
        </w:tc>
      </w:tr>
      <w:tr w14:paraId="35D0EB68" w14:textId="77777777" w:rsidTr="002A36A5">
        <w:tblPrEx>
          <w:tblW w:w="0" w:type="auto"/>
          <w:tblLook w:val="04A0"/>
        </w:tblPrEx>
        <w:tc>
          <w:tcPr>
            <w:tcW w:w="5365" w:type="dxa"/>
          </w:tcPr>
          <w:p w:rsidR="00562487" w:rsidRPr="00D049D6" w:rsidP="00562487" w14:paraId="0D1DD048" w14:textId="77777777">
            <w:pPr>
              <w:rPr>
                <w:sz w:val="24"/>
                <w:szCs w:val="24"/>
              </w:rPr>
            </w:pPr>
          </w:p>
        </w:tc>
        <w:tc>
          <w:tcPr>
            <w:tcW w:w="2206" w:type="dxa"/>
          </w:tcPr>
          <w:p w:rsidR="00562487" w:rsidRPr="00D049D6" w:rsidP="00562487" w14:paraId="4BCBFFB2" w14:textId="77777777">
            <w:pPr>
              <w:rPr>
                <w:sz w:val="24"/>
                <w:szCs w:val="24"/>
              </w:rPr>
            </w:pPr>
          </w:p>
        </w:tc>
        <w:tc>
          <w:tcPr>
            <w:tcW w:w="1779" w:type="dxa"/>
          </w:tcPr>
          <w:p w:rsidR="00562487" w:rsidRPr="00D049D6" w:rsidP="00562487" w14:paraId="6C1D2993" w14:textId="77777777">
            <w:pPr>
              <w:rPr>
                <w:sz w:val="24"/>
                <w:szCs w:val="24"/>
              </w:rPr>
            </w:pPr>
          </w:p>
        </w:tc>
      </w:tr>
    </w:tbl>
    <w:p w:rsidR="00562487" w:rsidRPr="00D049D6" w:rsidP="00562487" w14:paraId="2AE3CA20" w14:textId="77777777">
      <w:pPr>
        <w:jc w:val="left"/>
        <w:rPr>
          <w:b/>
          <w:sz w:val="24"/>
          <w:szCs w:val="24"/>
        </w:rPr>
      </w:pPr>
    </w:p>
    <w:sectPr w:rsidSect="00780E0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34E84" w:rsidP="00961CD8" w14:paraId="0BCB3CBF" w14:textId="77777777">
      <w:pPr>
        <w:spacing w:before="0"/>
      </w:pPr>
      <w:r>
        <w:separator/>
      </w:r>
    </w:p>
  </w:endnote>
  <w:endnote w:type="continuationSeparator" w:id="1">
    <w:p w:rsidR="00734E84" w:rsidP="00961CD8" w14:paraId="30A1CEC6" w14:textId="77777777">
      <w:pPr>
        <w:spacing w:before="0"/>
      </w:pPr>
      <w:r>
        <w:continuationSeparator/>
      </w:r>
    </w:p>
  </w:endnote>
  <w:endnote w:type="continuationNotice" w:id="2">
    <w:p w:rsidR="00734E84" w14:paraId="1C426B5B"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629" w14:paraId="409374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E0C" w14:paraId="0C9B9C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629" w14:paraId="37E8DA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4E84" w:rsidP="00961CD8" w14:paraId="72404EB8" w14:textId="77777777">
      <w:pPr>
        <w:spacing w:before="0"/>
      </w:pPr>
      <w:r>
        <w:separator/>
      </w:r>
    </w:p>
  </w:footnote>
  <w:footnote w:type="continuationSeparator" w:id="1">
    <w:p w:rsidR="00734E84" w:rsidP="00961CD8" w14:paraId="5D2D347D" w14:textId="77777777">
      <w:pPr>
        <w:spacing w:before="0"/>
      </w:pPr>
      <w:r>
        <w:continuationSeparator/>
      </w:r>
    </w:p>
  </w:footnote>
  <w:footnote w:type="continuationNotice" w:id="2">
    <w:p w:rsidR="00734E84" w14:paraId="7C60DD75"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629" w14:paraId="34AE73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629" w14:paraId="36D06418" w14:textId="77777777">
    <w:pPr>
      <w:pStyle w:val="Header"/>
    </w:pPr>
    <w:r>
      <w:fldChar w:fldCharType="begin"/>
    </w:r>
    <w:r>
      <w:instrText xml:space="preserve"> PAGE   \* MERGEFORMAT </w:instrText>
    </w:r>
    <w:r>
      <w:fldChar w:fldCharType="separate"/>
    </w:r>
    <w:r w:rsidR="00340E6B">
      <w:rPr>
        <w:noProof/>
      </w:rPr>
      <w:t>1</w:t>
    </w:r>
    <w:r>
      <w:rPr>
        <w:noProof/>
      </w:rPr>
      <w:fldChar w:fldCharType="end"/>
    </w:r>
  </w:p>
  <w:p w:rsidR="002E2629" w14:paraId="739CBD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2487" w14:paraId="301301B0" w14:textId="77777777">
    <w:pPr>
      <w:pStyle w:val="Header"/>
    </w:pPr>
  </w:p>
  <w:p w:rsidR="00562487" w14:paraId="643496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52AEE"/>
    <w:multiLevelType w:val="hybridMultilevel"/>
    <w:tmpl w:val="77268276"/>
    <w:lvl w:ilvl="0">
      <w:start w:val="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37008FF"/>
    <w:multiLevelType w:val="hybridMultilevel"/>
    <w:tmpl w:val="AB4025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0985984">
    <w:abstractNumId w:val="1"/>
  </w:num>
  <w:num w:numId="2" w16cid:durableId="60118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C2"/>
    <w:rsid w:val="000106BE"/>
    <w:rsid w:val="000138F3"/>
    <w:rsid w:val="0004565C"/>
    <w:rsid w:val="00045766"/>
    <w:rsid w:val="000779AE"/>
    <w:rsid w:val="00095337"/>
    <w:rsid w:val="000E1CC0"/>
    <w:rsid w:val="00105BF0"/>
    <w:rsid w:val="00125783"/>
    <w:rsid w:val="00143595"/>
    <w:rsid w:val="00146E9F"/>
    <w:rsid w:val="001564EA"/>
    <w:rsid w:val="0017204E"/>
    <w:rsid w:val="001727E9"/>
    <w:rsid w:val="001940C7"/>
    <w:rsid w:val="001A1568"/>
    <w:rsid w:val="001A29C8"/>
    <w:rsid w:val="001A620E"/>
    <w:rsid w:val="001D5216"/>
    <w:rsid w:val="001F54ED"/>
    <w:rsid w:val="00203C41"/>
    <w:rsid w:val="002046FD"/>
    <w:rsid w:val="002453C5"/>
    <w:rsid w:val="00270675"/>
    <w:rsid w:val="00277532"/>
    <w:rsid w:val="00282F26"/>
    <w:rsid w:val="00295CFE"/>
    <w:rsid w:val="002A0DCE"/>
    <w:rsid w:val="002A36A5"/>
    <w:rsid w:val="002A4626"/>
    <w:rsid w:val="002B12A3"/>
    <w:rsid w:val="002B367E"/>
    <w:rsid w:val="002D0673"/>
    <w:rsid w:val="002D11B4"/>
    <w:rsid w:val="002E2629"/>
    <w:rsid w:val="002E3167"/>
    <w:rsid w:val="002E6894"/>
    <w:rsid w:val="00326A76"/>
    <w:rsid w:val="00340E6B"/>
    <w:rsid w:val="00354C69"/>
    <w:rsid w:val="00355705"/>
    <w:rsid w:val="00364C0A"/>
    <w:rsid w:val="003763C9"/>
    <w:rsid w:val="00377733"/>
    <w:rsid w:val="00385BE8"/>
    <w:rsid w:val="0038685F"/>
    <w:rsid w:val="0039101C"/>
    <w:rsid w:val="003923F7"/>
    <w:rsid w:val="00394615"/>
    <w:rsid w:val="003B4B3B"/>
    <w:rsid w:val="003D46E4"/>
    <w:rsid w:val="003F383F"/>
    <w:rsid w:val="00431304"/>
    <w:rsid w:val="004376B1"/>
    <w:rsid w:val="004438C2"/>
    <w:rsid w:val="00467FE3"/>
    <w:rsid w:val="00492999"/>
    <w:rsid w:val="004B3A4E"/>
    <w:rsid w:val="004D0990"/>
    <w:rsid w:val="004E05E3"/>
    <w:rsid w:val="004E12B7"/>
    <w:rsid w:val="004E5DC0"/>
    <w:rsid w:val="004F115E"/>
    <w:rsid w:val="004F510F"/>
    <w:rsid w:val="0051159B"/>
    <w:rsid w:val="00526A9F"/>
    <w:rsid w:val="005404D5"/>
    <w:rsid w:val="00541C18"/>
    <w:rsid w:val="00546F28"/>
    <w:rsid w:val="00562487"/>
    <w:rsid w:val="005917FD"/>
    <w:rsid w:val="00595452"/>
    <w:rsid w:val="005C33FE"/>
    <w:rsid w:val="005C62DD"/>
    <w:rsid w:val="005D68D9"/>
    <w:rsid w:val="005E0493"/>
    <w:rsid w:val="0060391C"/>
    <w:rsid w:val="00607AAD"/>
    <w:rsid w:val="00626763"/>
    <w:rsid w:val="00630CE2"/>
    <w:rsid w:val="00631CF1"/>
    <w:rsid w:val="00633955"/>
    <w:rsid w:val="00636010"/>
    <w:rsid w:val="006365F5"/>
    <w:rsid w:val="00657023"/>
    <w:rsid w:val="00657F09"/>
    <w:rsid w:val="00667EDF"/>
    <w:rsid w:val="0069049E"/>
    <w:rsid w:val="006A144B"/>
    <w:rsid w:val="006A1850"/>
    <w:rsid w:val="006A6578"/>
    <w:rsid w:val="006B1A26"/>
    <w:rsid w:val="006C02FB"/>
    <w:rsid w:val="006D0876"/>
    <w:rsid w:val="006D265E"/>
    <w:rsid w:val="006D4FEF"/>
    <w:rsid w:val="006E6426"/>
    <w:rsid w:val="00701C6B"/>
    <w:rsid w:val="00701E71"/>
    <w:rsid w:val="007122B9"/>
    <w:rsid w:val="00717392"/>
    <w:rsid w:val="00717826"/>
    <w:rsid w:val="007240D0"/>
    <w:rsid w:val="00725ECC"/>
    <w:rsid w:val="00726B47"/>
    <w:rsid w:val="00730C26"/>
    <w:rsid w:val="00734E84"/>
    <w:rsid w:val="00740917"/>
    <w:rsid w:val="00760FA9"/>
    <w:rsid w:val="00780E0C"/>
    <w:rsid w:val="007B15C1"/>
    <w:rsid w:val="007B1E6B"/>
    <w:rsid w:val="00806FE2"/>
    <w:rsid w:val="008237AD"/>
    <w:rsid w:val="00824E91"/>
    <w:rsid w:val="00827734"/>
    <w:rsid w:val="00830562"/>
    <w:rsid w:val="008603B1"/>
    <w:rsid w:val="008604C4"/>
    <w:rsid w:val="00865F13"/>
    <w:rsid w:val="0087102F"/>
    <w:rsid w:val="00871E09"/>
    <w:rsid w:val="00877749"/>
    <w:rsid w:val="00882660"/>
    <w:rsid w:val="008838F7"/>
    <w:rsid w:val="00886B69"/>
    <w:rsid w:val="00891107"/>
    <w:rsid w:val="008969CF"/>
    <w:rsid w:val="008B04F2"/>
    <w:rsid w:val="008C3D35"/>
    <w:rsid w:val="008C7823"/>
    <w:rsid w:val="008D790C"/>
    <w:rsid w:val="008E5229"/>
    <w:rsid w:val="008E75C8"/>
    <w:rsid w:val="00904FFC"/>
    <w:rsid w:val="009234E8"/>
    <w:rsid w:val="00923D1E"/>
    <w:rsid w:val="00925337"/>
    <w:rsid w:val="009256D5"/>
    <w:rsid w:val="009318AB"/>
    <w:rsid w:val="0095011E"/>
    <w:rsid w:val="00953FB0"/>
    <w:rsid w:val="00961CD8"/>
    <w:rsid w:val="00975010"/>
    <w:rsid w:val="009A35F6"/>
    <w:rsid w:val="009C5D7D"/>
    <w:rsid w:val="009E5429"/>
    <w:rsid w:val="009F3146"/>
    <w:rsid w:val="00A00E20"/>
    <w:rsid w:val="00A10276"/>
    <w:rsid w:val="00A10513"/>
    <w:rsid w:val="00A11D80"/>
    <w:rsid w:val="00A27189"/>
    <w:rsid w:val="00A3052A"/>
    <w:rsid w:val="00A32DEE"/>
    <w:rsid w:val="00A37E2D"/>
    <w:rsid w:val="00A44DC8"/>
    <w:rsid w:val="00A66796"/>
    <w:rsid w:val="00AA573C"/>
    <w:rsid w:val="00AC76E4"/>
    <w:rsid w:val="00AD1305"/>
    <w:rsid w:val="00AE01C5"/>
    <w:rsid w:val="00AE19E7"/>
    <w:rsid w:val="00B01A91"/>
    <w:rsid w:val="00B105D9"/>
    <w:rsid w:val="00B239F1"/>
    <w:rsid w:val="00B4564C"/>
    <w:rsid w:val="00B52A76"/>
    <w:rsid w:val="00B84B68"/>
    <w:rsid w:val="00BD4682"/>
    <w:rsid w:val="00BE06D8"/>
    <w:rsid w:val="00BF08B8"/>
    <w:rsid w:val="00C004A7"/>
    <w:rsid w:val="00C03A11"/>
    <w:rsid w:val="00C07624"/>
    <w:rsid w:val="00C151E5"/>
    <w:rsid w:val="00C30291"/>
    <w:rsid w:val="00C36414"/>
    <w:rsid w:val="00C61F40"/>
    <w:rsid w:val="00C70EB4"/>
    <w:rsid w:val="00CB23F0"/>
    <w:rsid w:val="00CD0977"/>
    <w:rsid w:val="00CE383D"/>
    <w:rsid w:val="00D049D6"/>
    <w:rsid w:val="00D1196C"/>
    <w:rsid w:val="00D20C55"/>
    <w:rsid w:val="00D2132F"/>
    <w:rsid w:val="00D43153"/>
    <w:rsid w:val="00D66F23"/>
    <w:rsid w:val="00D769F2"/>
    <w:rsid w:val="00D95927"/>
    <w:rsid w:val="00DA267F"/>
    <w:rsid w:val="00DC4E35"/>
    <w:rsid w:val="00DE0F99"/>
    <w:rsid w:val="00DE7851"/>
    <w:rsid w:val="00E04EDD"/>
    <w:rsid w:val="00E5401C"/>
    <w:rsid w:val="00E55E60"/>
    <w:rsid w:val="00E75F4E"/>
    <w:rsid w:val="00E97F2B"/>
    <w:rsid w:val="00EA0A5B"/>
    <w:rsid w:val="00EC2C8A"/>
    <w:rsid w:val="00EE2CF3"/>
    <w:rsid w:val="00EF4C95"/>
    <w:rsid w:val="00F00201"/>
    <w:rsid w:val="00F02B04"/>
    <w:rsid w:val="00F2495C"/>
    <w:rsid w:val="00F2675D"/>
    <w:rsid w:val="00F56C98"/>
    <w:rsid w:val="00F72EAE"/>
    <w:rsid w:val="00F879C5"/>
    <w:rsid w:val="00F916A1"/>
    <w:rsid w:val="00FC0177"/>
    <w:rsid w:val="00FC64E6"/>
    <w:rsid w:val="00FD3463"/>
    <w:rsid w:val="00FE68A3"/>
    <w:rsid w:val="00FF140B"/>
    <w:rsid w:val="00FF61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DD51A1"/>
  <w15:chartTrackingRefBased/>
  <w15:docId w15:val="{C9D2C15F-6BE6-4C0C-818F-40F97FC4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8C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customStyle="1" w:styleId="HeaderChar">
    <w:name w:val="Header Char"/>
    <w:link w:val="Header"/>
    <w:uiPriority w:val="99"/>
    <w:rsid w:val="00961CD8"/>
    <w:rPr>
      <w:sz w:val="25"/>
      <w:szCs w:val="25"/>
    </w:rPr>
  </w:style>
  <w:style w:type="paragraph" w:styleId="Footer">
    <w:name w:val="footer"/>
    <w:basedOn w:val="Normal"/>
    <w:link w:val="FooterChar"/>
    <w:uiPriority w:val="99"/>
    <w:unhideWhenUsed/>
    <w:rsid w:val="00961CD8"/>
    <w:pPr>
      <w:tabs>
        <w:tab w:val="center" w:pos="4680"/>
        <w:tab w:val="right" w:pos="9360"/>
      </w:tabs>
    </w:pPr>
  </w:style>
  <w:style w:type="character" w:customStyle="1" w:styleId="FooterChar">
    <w:name w:val="Footer Char"/>
    <w:link w:val="Footer"/>
    <w:uiPriority w:val="99"/>
    <w:rsid w:val="00961CD8"/>
    <w:rPr>
      <w:sz w:val="25"/>
      <w:szCs w:val="25"/>
    </w:rPr>
  </w:style>
  <w:style w:type="table" w:styleId="TableGrid">
    <w:name w:val="Table Grid"/>
    <w:basedOn w:val="TableNormal"/>
    <w:uiPriority w:val="59"/>
    <w:rsid w:val="0056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62487"/>
    <w:rPr>
      <w:sz w:val="16"/>
      <w:szCs w:val="16"/>
    </w:rPr>
  </w:style>
  <w:style w:type="paragraph" w:styleId="CommentText">
    <w:name w:val="annotation text"/>
    <w:basedOn w:val="Normal"/>
    <w:link w:val="CommentTextChar"/>
    <w:uiPriority w:val="99"/>
    <w:unhideWhenUsed/>
    <w:rsid w:val="00562487"/>
    <w:rPr>
      <w:sz w:val="20"/>
      <w:szCs w:val="20"/>
    </w:rPr>
  </w:style>
  <w:style w:type="character" w:customStyle="1" w:styleId="CommentTextChar">
    <w:name w:val="Comment Text Char"/>
    <w:basedOn w:val="DefaultParagraphFont"/>
    <w:link w:val="CommentText"/>
    <w:uiPriority w:val="99"/>
    <w:rsid w:val="00562487"/>
  </w:style>
  <w:style w:type="paragraph" w:styleId="CommentSubject">
    <w:name w:val="annotation subject"/>
    <w:basedOn w:val="CommentText"/>
    <w:next w:val="CommentText"/>
    <w:link w:val="CommentSubjectChar"/>
    <w:uiPriority w:val="99"/>
    <w:semiHidden/>
    <w:unhideWhenUsed/>
    <w:rsid w:val="00562487"/>
    <w:rPr>
      <w:b/>
      <w:bCs/>
    </w:rPr>
  </w:style>
  <w:style w:type="character" w:customStyle="1" w:styleId="CommentSubjectChar">
    <w:name w:val="Comment Subject Char"/>
    <w:link w:val="CommentSubject"/>
    <w:uiPriority w:val="99"/>
    <w:semiHidden/>
    <w:rsid w:val="00562487"/>
    <w:rPr>
      <w:b/>
      <w:bCs/>
    </w:rPr>
  </w:style>
  <w:style w:type="paragraph" w:styleId="BalloonText">
    <w:name w:val="Balloon Text"/>
    <w:basedOn w:val="Normal"/>
    <w:link w:val="BalloonTextChar"/>
    <w:uiPriority w:val="99"/>
    <w:semiHidden/>
    <w:unhideWhenUsed/>
    <w:rsid w:val="00562487"/>
    <w:pPr>
      <w:spacing w:before="0"/>
    </w:pPr>
    <w:rPr>
      <w:rFonts w:ascii="Tahoma" w:hAnsi="Tahoma" w:cs="Tahoma"/>
      <w:sz w:val="16"/>
      <w:szCs w:val="16"/>
    </w:rPr>
  </w:style>
  <w:style w:type="character" w:customStyle="1" w:styleId="BalloonTextChar">
    <w:name w:val="Balloon Text Char"/>
    <w:link w:val="BalloonText"/>
    <w:uiPriority w:val="99"/>
    <w:semiHidden/>
    <w:rsid w:val="00562487"/>
    <w:rPr>
      <w:rFonts w:ascii="Tahoma" w:hAnsi="Tahoma" w:cs="Tahoma"/>
      <w:sz w:val="16"/>
      <w:szCs w:val="16"/>
    </w:rPr>
  </w:style>
  <w:style w:type="character" w:styleId="Hyperlink">
    <w:name w:val="Hyperlink"/>
    <w:uiPriority w:val="99"/>
    <w:unhideWhenUsed/>
    <w:rsid w:val="00725ECC"/>
    <w:rPr>
      <w:color w:val="0000FF"/>
      <w:u w:val="single"/>
    </w:rPr>
  </w:style>
  <w:style w:type="paragraph" w:customStyle="1" w:styleId="Head1">
    <w:name w:val="Head1"/>
    <w:basedOn w:val="Normal"/>
    <w:link w:val="Head1Char"/>
    <w:qFormat/>
    <w:rsid w:val="004E5DC0"/>
    <w:pPr>
      <w:spacing w:before="0"/>
    </w:pPr>
    <w:rPr>
      <w:rFonts w:eastAsia="Times New Roman"/>
      <w:b/>
      <w:bCs/>
      <w:color w:val="000000"/>
      <w:sz w:val="24"/>
      <w:szCs w:val="24"/>
    </w:rPr>
  </w:style>
  <w:style w:type="character" w:styleId="UnresolvedMention">
    <w:name w:val="Unresolved Mention"/>
    <w:basedOn w:val="DefaultParagraphFont"/>
    <w:uiPriority w:val="99"/>
    <w:semiHidden/>
    <w:unhideWhenUsed/>
    <w:rsid w:val="004E5DC0"/>
    <w:rPr>
      <w:color w:val="605E5C"/>
      <w:shd w:val="clear" w:color="auto" w:fill="E1DFDD"/>
    </w:rPr>
  </w:style>
  <w:style w:type="character" w:customStyle="1" w:styleId="Head1Char">
    <w:name w:val="Head1 Char"/>
    <w:basedOn w:val="DefaultParagraphFont"/>
    <w:link w:val="Head1"/>
    <w:rsid w:val="004E5DC0"/>
    <w:rPr>
      <w:rFonts w:eastAsia="Times New Roman"/>
      <w:b/>
      <w:bCs/>
      <w:color w:val="000000"/>
      <w:sz w:val="24"/>
      <w:szCs w:val="24"/>
    </w:rPr>
  </w:style>
  <w:style w:type="paragraph" w:customStyle="1" w:styleId="SubHead1">
    <w:name w:val="SubHead1"/>
    <w:basedOn w:val="Normal"/>
    <w:link w:val="SubHead1Char"/>
    <w:qFormat/>
    <w:rsid w:val="004E5DC0"/>
    <w:pPr>
      <w:spacing w:before="100" w:beforeAutospacing="1" w:after="100" w:afterAutospacing="1"/>
      <w:jc w:val="left"/>
    </w:pPr>
    <w:rPr>
      <w:rFonts w:eastAsia="Times New Roman"/>
      <w:b/>
      <w:bCs/>
      <w:sz w:val="24"/>
      <w:szCs w:val="24"/>
    </w:rPr>
  </w:style>
  <w:style w:type="paragraph" w:styleId="ListParagraph">
    <w:name w:val="List Paragraph"/>
    <w:basedOn w:val="Normal"/>
    <w:uiPriority w:val="34"/>
    <w:qFormat/>
    <w:rsid w:val="004E5DC0"/>
    <w:pPr>
      <w:ind w:left="720"/>
      <w:contextualSpacing/>
    </w:pPr>
  </w:style>
  <w:style w:type="character" w:customStyle="1" w:styleId="SubHead1Char">
    <w:name w:val="SubHead1 Char"/>
    <w:basedOn w:val="DefaultParagraphFont"/>
    <w:link w:val="SubHead1"/>
    <w:rsid w:val="004E5DC0"/>
    <w:rPr>
      <w:rFonts w:eastAsia="Times New Roman"/>
      <w:b/>
      <w:bCs/>
      <w:sz w:val="24"/>
      <w:szCs w:val="24"/>
    </w:rPr>
  </w:style>
  <w:style w:type="paragraph" w:styleId="Caption">
    <w:name w:val="caption"/>
    <w:basedOn w:val="Normal"/>
    <w:next w:val="Normal"/>
    <w:uiPriority w:val="35"/>
    <w:unhideWhenUsed/>
    <w:qFormat/>
    <w:rsid w:val="002E3167"/>
    <w:pPr>
      <w:spacing w:before="0" w:after="200"/>
    </w:pPr>
    <w:rPr>
      <w:i/>
      <w:iCs/>
      <w:color w:val="44546A" w:themeColor="text2"/>
      <w:sz w:val="18"/>
      <w:szCs w:val="18"/>
    </w:rPr>
  </w:style>
  <w:style w:type="paragraph" w:styleId="Revision">
    <w:name w:val="Revision"/>
    <w:hidden/>
    <w:uiPriority w:val="99"/>
    <w:semiHidden/>
    <w:rsid w:val="004E05E3"/>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ade.gov/f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00A31-8B55-4590-9587-1E7E6B15F171}">
  <ds:schemaRefs>
    <ds:schemaRef ds:uri="http://schemas.openxmlformats.org/officeDocument/2006/bibliography"/>
  </ds:schemaRefs>
</ds:datastoreItem>
</file>

<file path=customXml/itemProps2.xml><?xml version="1.0" encoding="utf-8"?>
<ds:datastoreItem xmlns:ds="http://schemas.openxmlformats.org/officeDocument/2006/customXml" ds:itemID="{F4EDF917-B1E5-4745-8A9B-91E4C58E90D8}">
  <ds:schemaRefs/>
</ds:datastoreItem>
</file>

<file path=customXml/itemProps3.xml><?xml version="1.0" encoding="utf-8"?>
<ds:datastoreItem xmlns:ds="http://schemas.openxmlformats.org/officeDocument/2006/customXml" ds:itemID="{03AC2982-4968-4084-836B-834F24E1EF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137AB1-9B74-4E0C-A0AF-FDB8AF072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OMB Control No</vt:lpstr>
    </vt:vector>
  </TitlesOfParts>
  <Company>DOC</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Christopher Kemp</dc:creator>
  <cp:lastModifiedBy>Juanita Chen (Federal)</cp:lastModifiedBy>
  <cp:revision>66</cp:revision>
  <dcterms:created xsi:type="dcterms:W3CDTF">2025-04-30T21:28:00Z</dcterms:created>
  <dcterms:modified xsi:type="dcterms:W3CDTF">2025-06-02T16:58:00Z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HS_x0020_Code">
    <vt:lpwstr/>
  </property>
  <property fmtid="{D5CDD505-2E9C-101B-9397-08002B2CF9AE}" pid="10" name="Industries">
    <vt:lpwstr/>
  </property>
  <property fmtid="{D5CDD505-2E9C-101B-9397-08002B2CF9AE}" pid="11" name="o4381bddf9be4a6f896123cbb32d692a">
    <vt:lpwstr/>
  </property>
  <property fmtid="{D5CDD505-2E9C-101B-9397-08002B2CF9AE}" pid="12" name="Topics">
    <vt:lpwstr/>
  </property>
  <property fmtid="{D5CDD505-2E9C-101B-9397-08002B2CF9AE}" pid="13" name="Trade Regions">
    <vt:lpwstr/>
  </property>
  <property fmtid="{D5CDD505-2E9C-101B-9397-08002B2CF9AE}" pid="14" name="Trade_x0020_Regions">
    <vt:lpwstr/>
  </property>
  <property fmtid="{D5CDD505-2E9C-101B-9397-08002B2CF9AE}" pid="15" name="World Regions">
    <vt:lpwstr/>
  </property>
  <property fmtid="{D5CDD505-2E9C-101B-9397-08002B2CF9AE}" pid="16" name="World_x0020_Regions">
    <vt:lpwstr/>
  </property>
</Properties>
</file>