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44F" w:rsidRPr="000833CE" w:rsidP="008C744F" w14:paraId="1D02EF07"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SUPPORTING STATEMENT PART A</w:t>
      </w:r>
    </w:p>
    <w:p w:rsidR="008C744F" w:rsidRPr="000833CE" w:rsidP="008C744F" w14:paraId="1498A0BC"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U. S. Department of Commerce</w:t>
      </w:r>
    </w:p>
    <w:p w:rsidR="00EE1644" w:rsidRPr="00EE1644" w:rsidP="008C744F" w14:paraId="0B4D3EDB" w14:textId="77777777">
      <w:pPr>
        <w:autoSpaceDE w:val="0"/>
        <w:autoSpaceDN w:val="0"/>
        <w:adjustRightInd w:val="0"/>
        <w:spacing w:after="0" w:line="240" w:lineRule="auto"/>
        <w:jc w:val="center"/>
        <w:rPr>
          <w:rFonts w:ascii="Times New Roman" w:eastAsia="Times New Roman" w:hAnsi="Times New Roman" w:cs="Times New Roman"/>
          <w:b/>
          <w:kern w:val="28"/>
          <w:sz w:val="24"/>
          <w:szCs w:val="24"/>
        </w:rPr>
      </w:pPr>
      <w:r w:rsidRPr="00EE1644">
        <w:rPr>
          <w:rFonts w:ascii="Times New Roman" w:eastAsia="Times New Roman" w:hAnsi="Times New Roman" w:cs="Times New Roman"/>
          <w:b/>
          <w:kern w:val="28"/>
          <w:sz w:val="24"/>
          <w:szCs w:val="24"/>
        </w:rPr>
        <w:t xml:space="preserve">Automobile Parts Tariff Offset </w:t>
      </w:r>
    </w:p>
    <w:p w:rsidR="008C744F" w:rsidRPr="000833CE" w:rsidP="008C744F" w14:paraId="34B057CE" w14:textId="6FB05845">
      <w:pPr>
        <w:autoSpaceDE w:val="0"/>
        <w:autoSpaceDN w:val="0"/>
        <w:adjustRightInd w:val="0"/>
        <w:spacing w:after="0" w:line="240" w:lineRule="auto"/>
        <w:jc w:val="center"/>
        <w:rPr>
          <w:rFonts w:ascii="Times New Roman" w:eastAsia="Times New Roman" w:hAnsi="Times New Roman" w:cs="Times New Roman"/>
          <w:sz w:val="24"/>
          <w:szCs w:val="24"/>
        </w:rPr>
      </w:pPr>
      <w:r w:rsidRPr="000833CE">
        <w:rPr>
          <w:rFonts w:ascii="Times New Roman" w:eastAsia="Times New Roman" w:hAnsi="Times New Roman" w:cs="Times New Roman"/>
          <w:b/>
          <w:bCs/>
          <w:sz w:val="24"/>
          <w:szCs w:val="24"/>
        </w:rPr>
        <w:t>OMB Control No. 06</w:t>
      </w:r>
      <w:r w:rsidR="00FC1A6E">
        <w:rPr>
          <w:rFonts w:ascii="Times New Roman" w:eastAsia="Times New Roman" w:hAnsi="Times New Roman" w:cs="Times New Roman"/>
          <w:b/>
          <w:bCs/>
          <w:sz w:val="24"/>
          <w:szCs w:val="24"/>
        </w:rPr>
        <w:t>25</w:t>
      </w:r>
      <w:r w:rsidRPr="000833CE">
        <w:rPr>
          <w:rFonts w:ascii="Times New Roman" w:eastAsia="Times New Roman" w:hAnsi="Times New Roman" w:cs="Times New Roman"/>
          <w:b/>
          <w:bCs/>
          <w:sz w:val="24"/>
          <w:szCs w:val="24"/>
        </w:rPr>
        <w:t xml:space="preserve">-NEW </w:t>
      </w:r>
    </w:p>
    <w:p w:rsidR="00FC1A6E" w:rsidP="008C744F" w14:paraId="7CBBDC75" w14:textId="77777777">
      <w:pPr>
        <w:rPr>
          <w:color w:val="4472C4" w:themeColor="accent1"/>
        </w:rPr>
      </w:pPr>
    </w:p>
    <w:p w:rsidR="008C744F" w:rsidRPr="00FA470D" w:rsidP="008C744F" w14:paraId="5B019A09" w14:textId="17FA69DC">
      <w:pPr>
        <w:rPr>
          <w:b/>
          <w:bCs/>
        </w:rPr>
      </w:pPr>
      <w:r w:rsidRPr="00FA470D">
        <w:rPr>
          <w:b/>
          <w:bCs/>
        </w:rPr>
        <w:t>Justification (Questions and Responses)</w:t>
      </w:r>
    </w:p>
    <w:p w:rsidR="008C744F" w:rsidRPr="00FA470D" w:rsidP="008C744F" w14:paraId="677F3D62" w14:textId="77777777">
      <w:pPr>
        <w:rPr>
          <w:b/>
          <w:bCs/>
        </w:rPr>
      </w:pPr>
      <w:r w:rsidRPr="00FA470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04F9" w:rsidP="000B7771" w14:paraId="1BC959D1" w14:textId="610A7868">
      <w:pPr>
        <w:pStyle w:val="BodyText"/>
        <w:spacing w:line="259" w:lineRule="auto"/>
        <w:ind w:left="120" w:right="112"/>
        <w:rPr>
          <w:rFonts w:ascii="Times New Roman" w:eastAsia="Times New Roman" w:hAnsi="Times New Roman" w:cs="Times New Roman"/>
        </w:rPr>
      </w:pPr>
      <w:r w:rsidRPr="01DA3CDC">
        <w:rPr>
          <w:rFonts w:ascii="Times New Roman" w:eastAsia="Times New Roman" w:hAnsi="Times New Roman" w:cs="Times New Roman"/>
        </w:rPr>
        <w:t>On March 26, 2025, the President issued Proclamation 10908 (90 FR 14705), “Adjusting Imports of Automobiles and Automobile Parts Into the United States,” (Proclamation 10908) finding that imports of automobiles and certain automobile parts continue to threaten to impair the national security of the United States and imposing specified tariffs to adjust imports of automobiles and certain automobile parts so that such imports will not threaten to impair national security pursuant to Section 232</w:t>
      </w:r>
      <w:r w:rsidRPr="01DA3CDC" w:rsidR="754A84A8">
        <w:rPr>
          <w:rFonts w:ascii="Times New Roman" w:eastAsia="Times New Roman" w:hAnsi="Times New Roman" w:cs="Times New Roman"/>
        </w:rPr>
        <w:t xml:space="preserve"> of the Trade Expansion Act of 1962 (“Section 232”)</w:t>
      </w:r>
      <w:r w:rsidRPr="01DA3CDC">
        <w:rPr>
          <w:rFonts w:ascii="Times New Roman" w:eastAsia="Times New Roman" w:hAnsi="Times New Roman" w:cs="Times New Roman"/>
        </w:rPr>
        <w:t xml:space="preserve">.  </w:t>
      </w:r>
      <w:r w:rsidRPr="01DA3CDC" w:rsidR="00390F62">
        <w:rPr>
          <w:rFonts w:ascii="Times New Roman" w:eastAsia="Times New Roman" w:hAnsi="Times New Roman" w:cs="Times New Roman"/>
        </w:rPr>
        <w:t xml:space="preserve">Section 232 authorizes the President to adjust the imports of an article and its derivatives that are being imported into the United States in such quantities or under such circumstances as to threaten to impair the national security of the United States so that such imports will not threaten to impair national security. </w:t>
      </w:r>
      <w:r w:rsidRPr="01DA3CDC">
        <w:rPr>
          <w:rFonts w:ascii="Times New Roman" w:eastAsia="Times New Roman" w:hAnsi="Times New Roman" w:cs="Times New Roman"/>
        </w:rPr>
        <w:t>Proclamation 10908 imposed a 25 percent tariff on certain imports of automobiles, effective April 3, 2025, and certain imports of automobile parts, effective May 3, 2025.</w:t>
      </w:r>
    </w:p>
    <w:p w:rsidR="00F3661D" w:rsidP="01DA3CDC" w14:paraId="7BBAADC3" w14:textId="28002C4C">
      <w:pPr>
        <w:pStyle w:val="BodyText"/>
        <w:spacing w:line="259" w:lineRule="auto"/>
        <w:ind w:left="120" w:right="112"/>
        <w:rPr>
          <w:rFonts w:ascii="Times New Roman" w:hAnsi="Times New Roman" w:cs="Times New Roman"/>
          <w:highlight w:val="yellow"/>
        </w:rPr>
      </w:pPr>
      <w:r w:rsidRPr="01DA3CDC">
        <w:rPr>
          <w:rFonts w:ascii="Times New Roman" w:hAnsi="Times New Roman" w:cs="Times New Roman"/>
        </w:rPr>
        <w:t>On April 29, 2025, the President issued Proclamation 10925 (90 FR 18899), which</w:t>
      </w:r>
      <w:r w:rsidRPr="01DA3CDC">
        <w:rPr>
          <w:rFonts w:ascii="Times New Roman" w:eastAsia="Times New Roman" w:hAnsi="Times New Roman" w:cs="Times New Roman"/>
          <w:color w:val="111111"/>
        </w:rPr>
        <w:t xml:space="preserve"> allowed for automobile manufactures assembling automobiles in the United States to apply for an import adjustment offset amount, which would offset certain tariff liability under Proclamation 10908 on imports of automobile parts. Proclamation 10925 required </w:t>
      </w:r>
      <w:r w:rsidRPr="01DA3CDC" w:rsidR="00261CC6">
        <w:rPr>
          <w:rFonts w:ascii="Times New Roman" w:eastAsia="Times New Roman" w:hAnsi="Times New Roman" w:cs="Times New Roman"/>
          <w:color w:val="111111"/>
        </w:rPr>
        <w:t>that within 30 days of the date of the order</w:t>
      </w:r>
      <w:r w:rsidRPr="01DA3CDC" w:rsidR="00CC1071">
        <w:rPr>
          <w:rFonts w:ascii="Times New Roman" w:eastAsia="Times New Roman" w:hAnsi="Times New Roman" w:cs="Times New Roman"/>
          <w:color w:val="111111"/>
        </w:rPr>
        <w:t xml:space="preserve"> </w:t>
      </w:r>
      <w:r w:rsidRPr="01DA3CDC">
        <w:rPr>
          <w:rFonts w:ascii="Times New Roman" w:eastAsia="Times New Roman" w:hAnsi="Times New Roman" w:cs="Times New Roman"/>
          <w:color w:val="111111"/>
        </w:rPr>
        <w:t xml:space="preserve">the Secretary of the Department of Commerce (Commerce) </w:t>
      </w:r>
      <w:r w:rsidRPr="01DA3CDC" w:rsidR="00CC1071">
        <w:rPr>
          <w:rFonts w:ascii="Times New Roman" w:eastAsia="Times New Roman" w:hAnsi="Times New Roman" w:cs="Times New Roman"/>
          <w:color w:val="111111"/>
        </w:rPr>
        <w:t>shall</w:t>
      </w:r>
      <w:r w:rsidRPr="01DA3CDC">
        <w:rPr>
          <w:rFonts w:ascii="Times New Roman" w:eastAsia="Times New Roman" w:hAnsi="Times New Roman" w:cs="Times New Roman"/>
          <w:color w:val="111111"/>
        </w:rPr>
        <w:t xml:space="preserve"> establish a process by which automobile manufacturers could submit documentation supporting eligibility </w:t>
      </w:r>
      <w:r w:rsidRPr="01DA3CDC" w:rsidR="23D70BA4">
        <w:rPr>
          <w:rFonts w:ascii="Times New Roman" w:eastAsia="Times New Roman" w:hAnsi="Times New Roman" w:cs="Times New Roman"/>
          <w:color w:val="111111"/>
        </w:rPr>
        <w:t xml:space="preserve">and a claim </w:t>
      </w:r>
      <w:r w:rsidRPr="01DA3CDC">
        <w:rPr>
          <w:rFonts w:ascii="Times New Roman" w:eastAsia="Times New Roman" w:hAnsi="Times New Roman" w:cs="Times New Roman"/>
          <w:color w:val="111111"/>
        </w:rPr>
        <w:t xml:space="preserve">for an import adjustment offset amount.  </w:t>
      </w:r>
      <w:r w:rsidRPr="01DA3CDC" w:rsidR="00845359">
        <w:rPr>
          <w:rFonts w:ascii="Times New Roman" w:eastAsia="Times New Roman" w:hAnsi="Times New Roman" w:cs="Times New Roman"/>
          <w:color w:val="111111"/>
        </w:rPr>
        <w:t>A prepared</w:t>
      </w:r>
      <w:r w:rsidRPr="01DA3CDC">
        <w:rPr>
          <w:rFonts w:ascii="Times New Roman" w:hAnsi="Times New Roman" w:cs="Times New Roman"/>
        </w:rPr>
        <w:t xml:space="preserve"> notice announces procedures for administration of the import adjustment offset amount program, including application, documentation, and certification requirements, eligibility conditions, and coordination with U.S. Customs and Border Protection (CBP).</w:t>
      </w:r>
    </w:p>
    <w:p w:rsidR="009C46CE" w:rsidRPr="00845359" w:rsidP="009C46CE" w14:paraId="6928C05A" w14:textId="1C0B837F">
      <w:pPr>
        <w:pStyle w:val="BodyText"/>
        <w:spacing w:line="259" w:lineRule="auto"/>
        <w:ind w:left="120" w:right="112"/>
        <w:rPr>
          <w:rFonts w:ascii="Times New Roman" w:hAnsi="Times New Roman" w:cs="Times New Roman"/>
          <w:bCs/>
        </w:rPr>
      </w:pPr>
      <w:r w:rsidRPr="00845359">
        <w:rPr>
          <w:rFonts w:ascii="Times New Roman" w:hAnsi="Times New Roman" w:cs="Times New Roman"/>
          <w:bCs/>
        </w:rPr>
        <w:t>Th</w:t>
      </w:r>
      <w:r w:rsidR="008A586D">
        <w:rPr>
          <w:rFonts w:ascii="Times New Roman" w:hAnsi="Times New Roman" w:cs="Times New Roman"/>
          <w:bCs/>
        </w:rPr>
        <w:t>is</w:t>
      </w:r>
      <w:r w:rsidRPr="00845359">
        <w:rPr>
          <w:rFonts w:ascii="Times New Roman" w:hAnsi="Times New Roman" w:cs="Times New Roman"/>
          <w:bCs/>
        </w:rPr>
        <w:t xml:space="preserve"> notice establishes procedures for submission and review of such documentation by the Department of Commerce (Department)</w:t>
      </w:r>
      <w:r w:rsidR="008A586D">
        <w:rPr>
          <w:rFonts w:ascii="Times New Roman" w:hAnsi="Times New Roman" w:cs="Times New Roman"/>
          <w:bCs/>
        </w:rPr>
        <w:t>, and t</w:t>
      </w:r>
      <w:r w:rsidRPr="00845359" w:rsidR="0059000E">
        <w:rPr>
          <w:rFonts w:ascii="Times New Roman" w:hAnsi="Times New Roman" w:cs="Times New Roman"/>
          <w:bCs/>
        </w:rPr>
        <w:t xml:space="preserve">he establishment of this notice has resulted in this </w:t>
      </w:r>
      <w:r w:rsidRPr="00845359" w:rsidR="00845359">
        <w:rPr>
          <w:rFonts w:ascii="Times New Roman" w:hAnsi="Times New Roman" w:cs="Times New Roman"/>
          <w:bCs/>
        </w:rPr>
        <w:t>new IC request.</w:t>
      </w:r>
    </w:p>
    <w:p w:rsidR="00F204F9" w:rsidP="000B7771" w14:paraId="62AC6731" w14:textId="77777777">
      <w:pPr>
        <w:pStyle w:val="BodyText"/>
        <w:spacing w:line="259" w:lineRule="auto"/>
        <w:ind w:left="120" w:right="112"/>
        <w:rPr>
          <w:rFonts w:ascii="Times New Roman" w:hAnsi="Times New Roman" w:cs="Times New Roman"/>
          <w:bCs/>
          <w:highlight w:val="yellow"/>
        </w:rPr>
      </w:pPr>
    </w:p>
    <w:p w:rsidR="008C744F" w:rsidRPr="00FA470D" w:rsidP="008C744F" w14:paraId="4410606F" w14:textId="77777777">
      <w:r>
        <w:pict>
          <v:rect id="_x0000_i1025" style="width:405pt;height:0.75pt" o:hrpct="0" o:hralign="center" o:hrstd="t" o:hrnoshade="t" o:hr="t" fillcolor="#414141" stroked="f"/>
        </w:pict>
      </w:r>
    </w:p>
    <w:p w:rsidR="008C744F" w:rsidRPr="00FA470D" w:rsidP="008C744F" w14:paraId="435056D8" w14:textId="77777777">
      <w:r w:rsidRPr="00FA470D">
        <w:rPr>
          <w:b/>
          <w:bCs/>
        </w:rPr>
        <w:t>2. Indicate how, by whom, and for what purpose the information is to be used. Except for a new collection, indicate the actual use the agency has made of the information received from the current collection.</w:t>
      </w:r>
    </w:p>
    <w:p w:rsidR="008B1746" w:rsidP="007E777B" w14:paraId="314699CE" w14:textId="5DFD43B7">
      <w:pPr>
        <w:rPr>
          <w:rFonts w:ascii="Times New Roman" w:hAnsi="Times New Roman" w:cs="Times New Roman"/>
          <w:sz w:val="24"/>
          <w:szCs w:val="24"/>
        </w:rPr>
      </w:pPr>
      <w:r w:rsidRPr="01DA3CDC">
        <w:rPr>
          <w:rFonts w:ascii="Times New Roman" w:hAnsi="Times New Roman" w:cs="Times New Roman"/>
          <w:sz w:val="24"/>
          <w:szCs w:val="24"/>
        </w:rPr>
        <w:t>Proclamation 10925 provide</w:t>
      </w:r>
      <w:r w:rsidRPr="01DA3CDC">
        <w:rPr>
          <w:rFonts w:ascii="Times New Roman" w:hAnsi="Times New Roman" w:cs="Times New Roman"/>
          <w:sz w:val="24"/>
          <w:szCs w:val="24"/>
        </w:rPr>
        <w:t>s</w:t>
      </w:r>
      <w:r w:rsidRPr="01DA3CDC">
        <w:rPr>
          <w:rFonts w:ascii="Times New Roman" w:hAnsi="Times New Roman" w:cs="Times New Roman"/>
          <w:sz w:val="24"/>
          <w:szCs w:val="24"/>
        </w:rPr>
        <w:t xml:space="preserve"> that for automobiles assembled in the United States, automobile manufacturers shall be eligible to receive an import adjustment offset amount applicable to section 232 duties on automobile parts by reducing duties assessed on automobile parts accounting for 15 percent of the value of an automobile assembled in the United States for </w:t>
      </w:r>
      <w:r w:rsidRPr="01DA3CDC" w:rsidR="1988B72C">
        <w:rPr>
          <w:rFonts w:ascii="Times New Roman" w:hAnsi="Times New Roman" w:cs="Times New Roman"/>
          <w:sz w:val="24"/>
          <w:szCs w:val="24"/>
        </w:rPr>
        <w:t xml:space="preserve">an initial period, </w:t>
      </w:r>
      <w:r w:rsidRPr="01DA3CDC">
        <w:rPr>
          <w:rFonts w:ascii="Times New Roman" w:hAnsi="Times New Roman" w:cs="Times New Roman"/>
          <w:sz w:val="24"/>
          <w:szCs w:val="24"/>
        </w:rPr>
        <w:t>and equivalent to 10 percent of that value for an additional year</w:t>
      </w:r>
      <w:r w:rsidRPr="01DA3CDC" w:rsidR="46CC4F19">
        <w:rPr>
          <w:rFonts w:ascii="Times New Roman" w:hAnsi="Times New Roman" w:cs="Times New Roman"/>
          <w:sz w:val="24"/>
          <w:szCs w:val="24"/>
        </w:rPr>
        <w:t xml:space="preserve"> after that initial period closes</w:t>
      </w:r>
      <w:r w:rsidRPr="01DA3CDC">
        <w:rPr>
          <w:rFonts w:ascii="Times New Roman" w:hAnsi="Times New Roman" w:cs="Times New Roman"/>
          <w:sz w:val="24"/>
          <w:szCs w:val="24"/>
        </w:rPr>
        <w:t>.</w:t>
      </w:r>
      <w:r w:rsidRPr="01DA3CDC" w:rsidR="00DF0BE8">
        <w:rPr>
          <w:rFonts w:ascii="Times New Roman" w:hAnsi="Times New Roman" w:cs="Times New Roman"/>
          <w:sz w:val="24"/>
          <w:szCs w:val="24"/>
        </w:rPr>
        <w:t xml:space="preserve">  In the associated notice, </w:t>
      </w:r>
      <w:r w:rsidRPr="01DA3CDC" w:rsidR="00E96234">
        <w:rPr>
          <w:rFonts w:ascii="Times New Roman" w:hAnsi="Times New Roman" w:cs="Times New Roman"/>
          <w:sz w:val="24"/>
          <w:szCs w:val="24"/>
        </w:rPr>
        <w:t>Commerce</w:t>
      </w:r>
      <w:r w:rsidRPr="01DA3CDC" w:rsidR="00DF0BE8">
        <w:rPr>
          <w:rFonts w:ascii="Times New Roman" w:hAnsi="Times New Roman" w:cs="Times New Roman"/>
          <w:sz w:val="24"/>
          <w:szCs w:val="24"/>
        </w:rPr>
        <w:t xml:space="preserve"> is announcing a process for automobile manufacturers with </w:t>
      </w:r>
      <w:r w:rsidRPr="01DA3CDC" w:rsidR="39CBA183">
        <w:rPr>
          <w:rFonts w:ascii="Times New Roman" w:hAnsi="Times New Roman" w:cs="Times New Roman"/>
          <w:sz w:val="24"/>
          <w:szCs w:val="24"/>
        </w:rPr>
        <w:t xml:space="preserve">final </w:t>
      </w:r>
      <w:r w:rsidRPr="01DA3CDC" w:rsidR="00DF0BE8">
        <w:rPr>
          <w:rFonts w:ascii="Times New Roman" w:hAnsi="Times New Roman" w:cs="Times New Roman"/>
          <w:sz w:val="24"/>
          <w:szCs w:val="24"/>
        </w:rPr>
        <w:t>production in the United States to submit documentation to request an import adjustment offset amount that may only be used by importers of record authorized by that manufacturer, and the amount may only be used to offset tariff liability related to that manufacturer's automobile parts tariff liability under Proclamation 10908.</w:t>
      </w:r>
    </w:p>
    <w:p w:rsidR="00287732" w:rsidP="007E777B" w14:paraId="23EB1B8B" w14:textId="77777777">
      <w:pPr>
        <w:contextualSpacing/>
        <w:rPr>
          <w:rFonts w:ascii="Times New Roman" w:hAnsi="Times New Roman" w:cs="Times New Roman"/>
          <w:sz w:val="24"/>
          <w:szCs w:val="24"/>
        </w:rPr>
      </w:pPr>
      <w:r w:rsidRPr="598E3698">
        <w:rPr>
          <w:rFonts w:ascii="Times New Roman" w:hAnsi="Times New Roman" w:cs="Times New Roman"/>
          <w:sz w:val="24"/>
          <w:szCs w:val="24"/>
        </w:rPr>
        <w:t xml:space="preserve">Manufacturers seeking an import adjustment offset </w:t>
      </w:r>
      <w:r>
        <w:rPr>
          <w:rFonts w:ascii="Times New Roman" w:hAnsi="Times New Roman" w:cs="Times New Roman"/>
          <w:sz w:val="24"/>
          <w:szCs w:val="24"/>
        </w:rPr>
        <w:t xml:space="preserve">amount </w:t>
      </w:r>
      <w:r w:rsidRPr="598E3698">
        <w:rPr>
          <w:rFonts w:ascii="Times New Roman" w:hAnsi="Times New Roman" w:cs="Times New Roman"/>
          <w:sz w:val="24"/>
          <w:szCs w:val="24"/>
        </w:rPr>
        <w:t xml:space="preserve">must submit the following documentation for each period for which an </w:t>
      </w:r>
      <w:r w:rsidRPr="65AFCD74">
        <w:rPr>
          <w:rFonts w:ascii="Times New Roman" w:hAnsi="Times New Roman" w:cs="Times New Roman"/>
          <w:sz w:val="24"/>
          <w:szCs w:val="24"/>
        </w:rPr>
        <w:t xml:space="preserve">import </w:t>
      </w:r>
      <w:r w:rsidRPr="72A6D260">
        <w:rPr>
          <w:rFonts w:ascii="Times New Roman" w:hAnsi="Times New Roman" w:cs="Times New Roman"/>
          <w:sz w:val="24"/>
          <w:szCs w:val="24"/>
        </w:rPr>
        <w:t>adjustment offset</w:t>
      </w:r>
      <w:r w:rsidRPr="598E3698">
        <w:rPr>
          <w:rFonts w:ascii="Times New Roman" w:hAnsi="Times New Roman" w:cs="Times New Roman"/>
          <w:sz w:val="24"/>
          <w:szCs w:val="24"/>
        </w:rPr>
        <w:t xml:space="preserve"> </w:t>
      </w:r>
      <w:r>
        <w:rPr>
          <w:rFonts w:ascii="Times New Roman" w:hAnsi="Times New Roman" w:cs="Times New Roman"/>
          <w:sz w:val="24"/>
          <w:szCs w:val="24"/>
        </w:rPr>
        <w:t xml:space="preserve">amount </w:t>
      </w:r>
      <w:r w:rsidRPr="598E3698">
        <w:rPr>
          <w:rFonts w:ascii="Times New Roman" w:hAnsi="Times New Roman" w:cs="Times New Roman"/>
          <w:sz w:val="24"/>
          <w:szCs w:val="24"/>
        </w:rPr>
        <w:t>is sought (</w:t>
      </w:r>
      <w:r w:rsidRPr="007E777B">
        <w:rPr>
          <w:rFonts w:ascii="Times New Roman" w:hAnsi="Times New Roman" w:cs="Times New Roman"/>
          <w:sz w:val="24"/>
          <w:szCs w:val="24"/>
        </w:rPr>
        <w:t>i</w:t>
      </w:r>
      <w:r w:rsidRPr="598E3698">
        <w:rPr>
          <w:rFonts w:ascii="Times New Roman" w:hAnsi="Times New Roman" w:cs="Times New Roman"/>
          <w:sz w:val="24"/>
          <w:szCs w:val="24"/>
        </w:rPr>
        <w:t>.</w:t>
      </w:r>
      <w:r w:rsidRPr="007E777B">
        <w:rPr>
          <w:rFonts w:ascii="Times New Roman" w:hAnsi="Times New Roman" w:cs="Times New Roman"/>
          <w:sz w:val="24"/>
          <w:szCs w:val="24"/>
        </w:rPr>
        <w:t>e</w:t>
      </w:r>
      <w:r w:rsidRPr="598E3698">
        <w:rPr>
          <w:rFonts w:ascii="Times New Roman" w:hAnsi="Times New Roman" w:cs="Times New Roman"/>
          <w:sz w:val="24"/>
          <w:szCs w:val="24"/>
        </w:rPr>
        <w:t xml:space="preserve">., </w:t>
      </w:r>
      <w:r>
        <w:rPr>
          <w:rFonts w:ascii="Times New Roman" w:hAnsi="Times New Roman" w:cs="Times New Roman"/>
          <w:sz w:val="24"/>
          <w:szCs w:val="24"/>
        </w:rPr>
        <w:t xml:space="preserve">one documentation submission for the period of </w:t>
      </w:r>
      <w:r w:rsidRPr="598E3698">
        <w:rPr>
          <w:rFonts w:ascii="Times New Roman" w:hAnsi="Times New Roman" w:cs="Times New Roman"/>
          <w:sz w:val="24"/>
          <w:szCs w:val="24"/>
        </w:rPr>
        <w:t xml:space="preserve">April 3, 2025 through April 30, 2026; and </w:t>
      </w:r>
      <w:r>
        <w:rPr>
          <w:rFonts w:ascii="Times New Roman" w:hAnsi="Times New Roman" w:cs="Times New Roman"/>
          <w:sz w:val="24"/>
          <w:szCs w:val="24"/>
        </w:rPr>
        <w:t xml:space="preserve">a separate documentation submission for the period of </w:t>
      </w:r>
      <w:r w:rsidRPr="598E3698">
        <w:rPr>
          <w:rFonts w:ascii="Times New Roman" w:hAnsi="Times New Roman" w:cs="Times New Roman"/>
          <w:sz w:val="24"/>
          <w:szCs w:val="24"/>
        </w:rPr>
        <w:t>May 1, 2026 through April 30, 2027):</w:t>
      </w:r>
    </w:p>
    <w:p w:rsidR="007E777B" w:rsidRPr="00FE5CF6" w:rsidP="007E777B" w14:paraId="4B73110D" w14:textId="77777777">
      <w:pPr>
        <w:contextualSpacing/>
        <w:rPr>
          <w:rFonts w:ascii="Times New Roman" w:hAnsi="Times New Roman" w:cs="Times New Roman"/>
          <w:sz w:val="24"/>
          <w:szCs w:val="24"/>
        </w:rPr>
      </w:pPr>
    </w:p>
    <w:p w:rsidR="00287732" w:rsidP="00287732" w14:paraId="0D8C5CD2" w14:textId="77777777">
      <w:pPr>
        <w:numPr>
          <w:ilvl w:val="0"/>
          <w:numId w:val="7"/>
        </w:numPr>
        <w:spacing w:after="0" w:line="240" w:lineRule="auto"/>
        <w:rPr>
          <w:rFonts w:ascii="Times New Roman" w:hAnsi="Times New Roman" w:cs="Times New Roman"/>
          <w:sz w:val="24"/>
          <w:szCs w:val="24"/>
        </w:rPr>
      </w:pPr>
      <w:r w:rsidRPr="00FE5CF6">
        <w:rPr>
          <w:rFonts w:ascii="Times New Roman" w:hAnsi="Times New Roman" w:cs="Times New Roman"/>
          <w:b/>
          <w:bCs/>
          <w:sz w:val="24"/>
          <w:szCs w:val="24"/>
        </w:rPr>
        <w:t>Production Forecast:</w:t>
      </w:r>
      <w:r w:rsidRPr="00FE5CF6">
        <w:rPr>
          <w:rFonts w:ascii="Times New Roman" w:hAnsi="Times New Roman" w:cs="Times New Roman"/>
          <w:sz w:val="24"/>
          <w:szCs w:val="24"/>
        </w:rPr>
        <w:t xml:space="preserve"> </w:t>
      </w:r>
      <w:r>
        <w:rPr>
          <w:rFonts w:ascii="Times New Roman" w:hAnsi="Times New Roman" w:cs="Times New Roman"/>
          <w:sz w:val="24"/>
          <w:szCs w:val="24"/>
        </w:rPr>
        <w:t>The n</w:t>
      </w:r>
      <w:r w:rsidRPr="00FE5CF6">
        <w:rPr>
          <w:rFonts w:ascii="Times New Roman" w:hAnsi="Times New Roman" w:cs="Times New Roman"/>
          <w:sz w:val="24"/>
          <w:szCs w:val="24"/>
        </w:rPr>
        <w:t xml:space="preserve">umber </w:t>
      </w:r>
      <w:r>
        <w:rPr>
          <w:rFonts w:ascii="Times New Roman" w:hAnsi="Times New Roman" w:cs="Times New Roman"/>
          <w:sz w:val="24"/>
          <w:szCs w:val="24"/>
        </w:rPr>
        <w:t xml:space="preserve">of automobiles projected to be produced in the United States </w:t>
      </w:r>
      <w:r w:rsidRPr="707D1C72">
        <w:rPr>
          <w:rFonts w:ascii="Times New Roman" w:hAnsi="Times New Roman" w:cs="Times New Roman"/>
          <w:sz w:val="24"/>
          <w:szCs w:val="24"/>
        </w:rPr>
        <w:t xml:space="preserve">by make and </w:t>
      </w:r>
      <w:r w:rsidRPr="31C5B5B8">
        <w:rPr>
          <w:rFonts w:ascii="Times New Roman" w:hAnsi="Times New Roman" w:cs="Times New Roman"/>
          <w:sz w:val="24"/>
          <w:szCs w:val="24"/>
        </w:rPr>
        <w:t>model</w:t>
      </w:r>
      <w:r w:rsidRPr="5E9709BB">
        <w:rPr>
          <w:rFonts w:ascii="Times New Roman" w:hAnsi="Times New Roman" w:cs="Times New Roman"/>
          <w:sz w:val="24"/>
          <w:szCs w:val="24"/>
        </w:rPr>
        <w:t xml:space="preserve"> </w:t>
      </w:r>
      <w:r w:rsidRPr="00FE5CF6">
        <w:rPr>
          <w:rFonts w:ascii="Times New Roman" w:hAnsi="Times New Roman" w:cs="Times New Roman"/>
          <w:sz w:val="24"/>
          <w:szCs w:val="24"/>
        </w:rPr>
        <w:t xml:space="preserve">and </w:t>
      </w:r>
      <w:r>
        <w:rPr>
          <w:rFonts w:ascii="Times New Roman" w:hAnsi="Times New Roman" w:cs="Times New Roman"/>
          <w:sz w:val="24"/>
          <w:szCs w:val="24"/>
        </w:rPr>
        <w:t xml:space="preserve">the plant </w:t>
      </w:r>
      <w:r w:rsidRPr="00FE5CF6">
        <w:rPr>
          <w:rFonts w:ascii="Times New Roman" w:hAnsi="Times New Roman" w:cs="Times New Roman"/>
          <w:sz w:val="24"/>
          <w:szCs w:val="24"/>
        </w:rPr>
        <w:t xml:space="preserve">locations </w:t>
      </w:r>
      <w:r>
        <w:rPr>
          <w:rFonts w:ascii="Times New Roman" w:hAnsi="Times New Roman" w:cs="Times New Roman"/>
          <w:sz w:val="24"/>
          <w:szCs w:val="24"/>
        </w:rPr>
        <w:t>where the projected automobiles will undergo final production</w:t>
      </w:r>
      <w:r w:rsidRPr="76B1C646">
        <w:rPr>
          <w:rFonts w:ascii="Times New Roman" w:hAnsi="Times New Roman" w:cs="Times New Roman"/>
          <w:sz w:val="24"/>
          <w:szCs w:val="24"/>
        </w:rPr>
        <w:t xml:space="preserve"> during </w:t>
      </w:r>
      <w:r w:rsidRPr="49A769FD">
        <w:rPr>
          <w:rFonts w:ascii="Times New Roman" w:hAnsi="Times New Roman" w:cs="Times New Roman"/>
          <w:sz w:val="24"/>
          <w:szCs w:val="24"/>
        </w:rPr>
        <w:t>each reporting period</w:t>
      </w:r>
      <w:r w:rsidRPr="00FE5CF6">
        <w:rPr>
          <w:rFonts w:ascii="Times New Roman" w:hAnsi="Times New Roman" w:cs="Times New Roman"/>
          <w:sz w:val="24"/>
          <w:szCs w:val="24"/>
        </w:rPr>
        <w:t>.</w:t>
      </w:r>
    </w:p>
    <w:p w:rsidR="00EF08F4" w:rsidRPr="00FE5CF6" w:rsidP="00EF08F4" w14:paraId="001EC8B2" w14:textId="77777777">
      <w:pPr>
        <w:spacing w:after="0" w:line="240" w:lineRule="auto"/>
        <w:ind w:left="720"/>
        <w:rPr>
          <w:rFonts w:ascii="Times New Roman" w:hAnsi="Times New Roman" w:cs="Times New Roman"/>
          <w:sz w:val="24"/>
          <w:szCs w:val="24"/>
        </w:rPr>
      </w:pPr>
    </w:p>
    <w:p w:rsidR="00287732" w:rsidP="00287732" w14:paraId="5CD1960A" w14:textId="77777777">
      <w:pPr>
        <w:numPr>
          <w:ilvl w:val="0"/>
          <w:numId w:val="7"/>
        </w:numPr>
        <w:spacing w:after="0" w:line="240" w:lineRule="auto"/>
        <w:rPr>
          <w:rFonts w:ascii="Times New Roman" w:hAnsi="Times New Roman" w:cs="Times New Roman"/>
          <w:sz w:val="24"/>
          <w:szCs w:val="24"/>
        </w:rPr>
      </w:pPr>
      <w:r w:rsidRPr="00DA498C">
        <w:rPr>
          <w:rFonts w:ascii="Times New Roman" w:hAnsi="Times New Roman" w:cs="Times New Roman"/>
          <w:b/>
          <w:bCs/>
          <w:sz w:val="24"/>
          <w:szCs w:val="24"/>
        </w:rPr>
        <w:t>MSRP:</w:t>
      </w:r>
      <w:r w:rsidRPr="6441AAD4">
        <w:rPr>
          <w:rFonts w:ascii="Times New Roman" w:hAnsi="Times New Roman" w:cs="Times New Roman"/>
          <w:sz w:val="24"/>
          <w:szCs w:val="24"/>
        </w:rPr>
        <w:t xml:space="preserve"> The aggregate MSRP value of all automobiles assembled in the United States during </w:t>
      </w:r>
      <w:r w:rsidRPr="7D4BBAE7">
        <w:rPr>
          <w:rFonts w:ascii="Times New Roman" w:hAnsi="Times New Roman" w:cs="Times New Roman"/>
          <w:sz w:val="24"/>
          <w:szCs w:val="24"/>
        </w:rPr>
        <w:t>each reporting period.</w:t>
      </w:r>
    </w:p>
    <w:p w:rsidR="00EF08F4" w:rsidRPr="00EF08F4" w:rsidP="00EF08F4" w14:paraId="12557A9A" w14:textId="77777777">
      <w:pPr>
        <w:spacing w:after="0" w:line="240" w:lineRule="auto"/>
        <w:ind w:left="720"/>
        <w:rPr>
          <w:rFonts w:ascii="Times New Roman" w:hAnsi="Times New Roman" w:cs="Times New Roman"/>
          <w:sz w:val="24"/>
          <w:szCs w:val="24"/>
        </w:rPr>
      </w:pPr>
    </w:p>
    <w:p w:rsidR="00287732" w:rsidRPr="00FE5CF6" w:rsidP="00287732" w14:paraId="6F75EED9" w14:textId="69CDAC3C">
      <w:pPr>
        <w:numPr>
          <w:ilvl w:val="0"/>
          <w:numId w:val="7"/>
        </w:numPr>
        <w:spacing w:after="0" w:line="240" w:lineRule="auto"/>
        <w:rPr>
          <w:rFonts w:ascii="Times New Roman" w:hAnsi="Times New Roman" w:cs="Times New Roman"/>
          <w:sz w:val="24"/>
          <w:szCs w:val="24"/>
        </w:rPr>
      </w:pPr>
      <w:r w:rsidRPr="00FE5CF6">
        <w:rPr>
          <w:rFonts w:ascii="Times New Roman" w:hAnsi="Times New Roman" w:cs="Times New Roman"/>
          <w:b/>
          <w:bCs/>
          <w:sz w:val="24"/>
          <w:szCs w:val="24"/>
        </w:rPr>
        <w:t>Tariff Liability Estimate:</w:t>
      </w:r>
      <w:r w:rsidRPr="00FE5CF6">
        <w:rPr>
          <w:rFonts w:ascii="Times New Roman" w:hAnsi="Times New Roman" w:cs="Times New Roman"/>
          <w:sz w:val="24"/>
          <w:szCs w:val="24"/>
        </w:rPr>
        <w:t xml:space="preserve"> Projected </w:t>
      </w:r>
      <w:r w:rsidRPr="359041D8">
        <w:rPr>
          <w:rFonts w:ascii="Times New Roman" w:hAnsi="Times New Roman" w:cs="Times New Roman"/>
          <w:sz w:val="24"/>
          <w:szCs w:val="24"/>
        </w:rPr>
        <w:t>automobile</w:t>
      </w:r>
      <w:r>
        <w:rPr>
          <w:rFonts w:ascii="Times New Roman" w:hAnsi="Times New Roman" w:cs="Times New Roman"/>
          <w:sz w:val="24"/>
          <w:szCs w:val="24"/>
        </w:rPr>
        <w:t>s and</w:t>
      </w:r>
      <w:r w:rsidRPr="359041D8">
        <w:rPr>
          <w:rFonts w:ascii="Times New Roman" w:hAnsi="Times New Roman" w:cs="Times New Roman"/>
          <w:sz w:val="24"/>
          <w:szCs w:val="24"/>
        </w:rPr>
        <w:t xml:space="preserve"> </w:t>
      </w:r>
      <w:r w:rsidRPr="2C2B0295">
        <w:rPr>
          <w:rFonts w:ascii="Times New Roman" w:hAnsi="Times New Roman" w:cs="Times New Roman"/>
          <w:sz w:val="24"/>
          <w:szCs w:val="24"/>
        </w:rPr>
        <w:t xml:space="preserve">automobile </w:t>
      </w:r>
      <w:r w:rsidRPr="08B1CD53">
        <w:rPr>
          <w:rFonts w:ascii="Times New Roman" w:hAnsi="Times New Roman" w:cs="Times New Roman"/>
          <w:sz w:val="24"/>
          <w:szCs w:val="24"/>
        </w:rPr>
        <w:t xml:space="preserve">parts </w:t>
      </w:r>
      <w:r w:rsidRPr="2C2B0295">
        <w:rPr>
          <w:rFonts w:ascii="Times New Roman" w:hAnsi="Times New Roman" w:cs="Times New Roman"/>
          <w:sz w:val="24"/>
          <w:szCs w:val="24"/>
        </w:rPr>
        <w:t>tariff</w:t>
      </w:r>
      <w:r w:rsidRPr="00FE5CF6">
        <w:rPr>
          <w:rFonts w:ascii="Times New Roman" w:hAnsi="Times New Roman" w:cs="Times New Roman"/>
          <w:sz w:val="24"/>
          <w:szCs w:val="24"/>
        </w:rPr>
        <w:t xml:space="preserve"> </w:t>
      </w:r>
      <w:r w:rsidRPr="412E83B4">
        <w:rPr>
          <w:rFonts w:ascii="Times New Roman" w:hAnsi="Times New Roman" w:cs="Times New Roman"/>
          <w:sz w:val="24"/>
          <w:szCs w:val="24"/>
        </w:rPr>
        <w:t xml:space="preserve">liability </w:t>
      </w:r>
      <w:r w:rsidRPr="0AA5D280">
        <w:rPr>
          <w:rFonts w:ascii="Times New Roman" w:hAnsi="Times New Roman" w:cs="Times New Roman"/>
          <w:sz w:val="24"/>
          <w:szCs w:val="24"/>
        </w:rPr>
        <w:t xml:space="preserve">under Proclamation </w:t>
      </w:r>
      <w:r w:rsidRPr="54C6409A">
        <w:rPr>
          <w:rFonts w:ascii="Times New Roman" w:hAnsi="Times New Roman" w:cs="Times New Roman"/>
          <w:sz w:val="24"/>
          <w:szCs w:val="24"/>
        </w:rPr>
        <w:t>10908</w:t>
      </w:r>
      <w:r>
        <w:rPr>
          <w:rFonts w:ascii="Times New Roman" w:hAnsi="Times New Roman" w:cs="Times New Roman"/>
          <w:sz w:val="24"/>
          <w:szCs w:val="24"/>
        </w:rPr>
        <w:t xml:space="preserve">, broken down by </w:t>
      </w:r>
      <w:r w:rsidRPr="655A9906">
        <w:rPr>
          <w:rFonts w:ascii="Times New Roman" w:hAnsi="Times New Roman" w:cs="Times New Roman"/>
          <w:sz w:val="24"/>
          <w:szCs w:val="24"/>
        </w:rPr>
        <w:t xml:space="preserve">Proclamation </w:t>
      </w:r>
      <w:r w:rsidRPr="2728AC0D">
        <w:rPr>
          <w:rFonts w:ascii="Times New Roman" w:hAnsi="Times New Roman" w:cs="Times New Roman"/>
          <w:sz w:val="24"/>
          <w:szCs w:val="24"/>
        </w:rPr>
        <w:t>10908 tariff</w:t>
      </w:r>
      <w:r>
        <w:rPr>
          <w:rFonts w:ascii="Times New Roman" w:hAnsi="Times New Roman" w:cs="Times New Roman"/>
          <w:sz w:val="24"/>
          <w:szCs w:val="24"/>
        </w:rPr>
        <w:t xml:space="preserve"> costs the manufacturer will incur directly and </w:t>
      </w:r>
      <w:r w:rsidRPr="1BEA33E8">
        <w:rPr>
          <w:rFonts w:ascii="Times New Roman" w:hAnsi="Times New Roman" w:cs="Times New Roman"/>
          <w:sz w:val="24"/>
          <w:szCs w:val="24"/>
        </w:rPr>
        <w:t xml:space="preserve">Proclamation </w:t>
      </w:r>
      <w:r w:rsidRPr="4C959AEA">
        <w:rPr>
          <w:rFonts w:ascii="Times New Roman" w:hAnsi="Times New Roman" w:cs="Times New Roman"/>
          <w:sz w:val="24"/>
          <w:szCs w:val="24"/>
        </w:rPr>
        <w:t>10908 tariff</w:t>
      </w:r>
      <w:r>
        <w:rPr>
          <w:rFonts w:ascii="Times New Roman" w:hAnsi="Times New Roman" w:cs="Times New Roman"/>
          <w:sz w:val="24"/>
          <w:szCs w:val="24"/>
        </w:rPr>
        <w:t xml:space="preserve"> costs</w:t>
      </w:r>
      <w:r w:rsidRPr="00FE5CF6">
        <w:rPr>
          <w:rFonts w:ascii="Times New Roman" w:hAnsi="Times New Roman" w:cs="Times New Roman"/>
          <w:sz w:val="24"/>
          <w:szCs w:val="24"/>
        </w:rPr>
        <w:t xml:space="preserve"> </w:t>
      </w:r>
      <w:r>
        <w:rPr>
          <w:rFonts w:ascii="Times New Roman" w:hAnsi="Times New Roman" w:cs="Times New Roman"/>
          <w:sz w:val="24"/>
          <w:szCs w:val="24"/>
        </w:rPr>
        <w:t xml:space="preserve">the manufacturer’s </w:t>
      </w:r>
      <w:r w:rsidRPr="00FE5CF6">
        <w:rPr>
          <w:rFonts w:ascii="Times New Roman" w:hAnsi="Times New Roman" w:cs="Times New Roman"/>
          <w:sz w:val="24"/>
          <w:szCs w:val="24"/>
        </w:rPr>
        <w:t>suppliers</w:t>
      </w:r>
      <w:r>
        <w:rPr>
          <w:rFonts w:ascii="Times New Roman" w:hAnsi="Times New Roman" w:cs="Times New Roman"/>
          <w:sz w:val="24"/>
          <w:szCs w:val="24"/>
        </w:rPr>
        <w:t xml:space="preserve"> will incur</w:t>
      </w:r>
      <w:r w:rsidRPr="00FE5CF6">
        <w:rPr>
          <w:rFonts w:ascii="Times New Roman" w:hAnsi="Times New Roman" w:cs="Times New Roman"/>
          <w:sz w:val="24"/>
          <w:szCs w:val="24"/>
        </w:rPr>
        <w:t>.</w:t>
      </w:r>
    </w:p>
    <w:p w:rsidR="00EF08F4" w:rsidRPr="00EF08F4" w:rsidP="00EF08F4" w14:paraId="4E36A600" w14:textId="77777777">
      <w:pPr>
        <w:spacing w:after="0" w:line="240" w:lineRule="auto"/>
        <w:ind w:left="720"/>
        <w:rPr>
          <w:rFonts w:ascii="Times New Roman" w:hAnsi="Times New Roman" w:cs="Times New Roman"/>
          <w:sz w:val="24"/>
          <w:szCs w:val="24"/>
        </w:rPr>
      </w:pPr>
    </w:p>
    <w:p w:rsidR="00287732" w:rsidRPr="00FE5CF6" w:rsidP="00287732" w14:paraId="1A58E648" w14:textId="744D22A2">
      <w:pPr>
        <w:numPr>
          <w:ilvl w:val="0"/>
          <w:numId w:val="7"/>
        </w:numPr>
        <w:spacing w:after="0" w:line="240" w:lineRule="auto"/>
        <w:rPr>
          <w:rFonts w:ascii="Times New Roman" w:hAnsi="Times New Roman" w:cs="Times New Roman"/>
          <w:sz w:val="24"/>
          <w:szCs w:val="24"/>
        </w:rPr>
      </w:pPr>
      <w:r w:rsidRPr="00FE5CF6">
        <w:rPr>
          <w:rFonts w:ascii="Times New Roman" w:hAnsi="Times New Roman" w:cs="Times New Roman"/>
          <w:b/>
          <w:bCs/>
          <w:sz w:val="24"/>
          <w:szCs w:val="24"/>
        </w:rPr>
        <w:t>Offset Calculation:</w:t>
      </w:r>
      <w:r w:rsidRPr="00FE5CF6">
        <w:rPr>
          <w:rFonts w:ascii="Times New Roman" w:hAnsi="Times New Roman" w:cs="Times New Roman"/>
          <w:sz w:val="24"/>
          <w:szCs w:val="24"/>
        </w:rPr>
        <w:t xml:space="preserve"> Requested total </w:t>
      </w:r>
      <w:r w:rsidRPr="25058302">
        <w:rPr>
          <w:rFonts w:ascii="Times New Roman" w:hAnsi="Times New Roman" w:cs="Times New Roman"/>
          <w:sz w:val="24"/>
          <w:szCs w:val="24"/>
        </w:rPr>
        <w:t xml:space="preserve">import </w:t>
      </w:r>
      <w:r w:rsidRPr="61C62C3F">
        <w:rPr>
          <w:rFonts w:ascii="Times New Roman" w:hAnsi="Times New Roman" w:cs="Times New Roman"/>
          <w:sz w:val="24"/>
          <w:szCs w:val="24"/>
        </w:rPr>
        <w:t>adjustment</w:t>
      </w:r>
      <w:r w:rsidRPr="46EB08AE">
        <w:rPr>
          <w:rFonts w:ascii="Times New Roman" w:hAnsi="Times New Roman" w:cs="Times New Roman"/>
          <w:sz w:val="24"/>
          <w:szCs w:val="24"/>
        </w:rPr>
        <w:t xml:space="preserve"> offset</w:t>
      </w:r>
      <w:r w:rsidRPr="00FE5CF6">
        <w:rPr>
          <w:rFonts w:ascii="Times New Roman" w:hAnsi="Times New Roman" w:cs="Times New Roman"/>
          <w:sz w:val="24"/>
          <w:szCs w:val="24"/>
        </w:rPr>
        <w:t xml:space="preserve"> amount</w:t>
      </w:r>
      <w:r w:rsidRPr="00FE5CF6">
        <w:rPr>
          <w:rFonts w:ascii="Times New Roman" w:hAnsi="Times New Roman" w:cs="Times New Roman"/>
          <w:sz w:val="24"/>
          <w:szCs w:val="24"/>
        </w:rPr>
        <w:t xml:space="preserve"> </w:t>
      </w:r>
      <w:r w:rsidRPr="17C71778">
        <w:rPr>
          <w:rFonts w:ascii="Times New Roman" w:hAnsi="Times New Roman" w:cs="Times New Roman"/>
          <w:sz w:val="24"/>
          <w:szCs w:val="24"/>
        </w:rPr>
        <w:t xml:space="preserve">for each </w:t>
      </w:r>
      <w:r w:rsidRPr="4A769A5B">
        <w:rPr>
          <w:rFonts w:ascii="Times New Roman" w:hAnsi="Times New Roman" w:cs="Times New Roman"/>
          <w:sz w:val="24"/>
          <w:szCs w:val="24"/>
        </w:rPr>
        <w:t xml:space="preserve">reporting </w:t>
      </w:r>
      <w:r w:rsidRPr="62885F74">
        <w:rPr>
          <w:rFonts w:ascii="Times New Roman" w:hAnsi="Times New Roman" w:cs="Times New Roman"/>
          <w:sz w:val="24"/>
          <w:szCs w:val="24"/>
        </w:rPr>
        <w:t>period</w:t>
      </w:r>
      <w:r>
        <w:rPr>
          <w:rFonts w:ascii="Times New Roman" w:hAnsi="Times New Roman" w:cs="Times New Roman"/>
          <w:sz w:val="24"/>
          <w:szCs w:val="24"/>
        </w:rPr>
        <w:t>, including details of how such amount was calculated</w:t>
      </w:r>
      <w:r w:rsidRPr="00FE5CF6">
        <w:rPr>
          <w:rFonts w:ascii="Times New Roman" w:hAnsi="Times New Roman" w:cs="Times New Roman"/>
          <w:sz w:val="24"/>
          <w:szCs w:val="24"/>
        </w:rPr>
        <w:t>.</w:t>
      </w:r>
    </w:p>
    <w:p w:rsidR="00EF08F4" w:rsidRPr="00EF08F4" w:rsidP="00EF08F4" w14:paraId="273E43C3" w14:textId="77777777">
      <w:pPr>
        <w:spacing w:after="0" w:line="240" w:lineRule="auto"/>
        <w:ind w:left="720"/>
        <w:rPr>
          <w:rFonts w:ascii="Times New Roman" w:hAnsi="Times New Roman" w:cs="Times New Roman"/>
          <w:sz w:val="24"/>
          <w:szCs w:val="24"/>
        </w:rPr>
      </w:pPr>
    </w:p>
    <w:p w:rsidR="00287732" w:rsidP="00287732" w14:paraId="5F871DEA" w14:textId="398E6826">
      <w:pPr>
        <w:numPr>
          <w:ilvl w:val="0"/>
          <w:numId w:val="7"/>
        </w:numPr>
        <w:spacing w:after="0" w:line="240" w:lineRule="auto"/>
        <w:rPr>
          <w:rFonts w:ascii="Times New Roman" w:hAnsi="Times New Roman" w:cs="Times New Roman"/>
          <w:sz w:val="24"/>
          <w:szCs w:val="24"/>
        </w:rPr>
      </w:pPr>
      <w:r w:rsidRPr="598E3698">
        <w:rPr>
          <w:rFonts w:ascii="Times New Roman" w:hAnsi="Times New Roman" w:cs="Times New Roman"/>
          <w:b/>
          <w:bCs/>
          <w:sz w:val="24"/>
          <w:szCs w:val="24"/>
        </w:rPr>
        <w:t>Importers of Record:</w:t>
      </w:r>
      <w:r w:rsidRPr="598E3698">
        <w:rPr>
          <w:rFonts w:ascii="Times New Roman" w:hAnsi="Times New Roman" w:cs="Times New Roman"/>
          <w:sz w:val="24"/>
          <w:szCs w:val="24"/>
        </w:rPr>
        <w:t xml:space="preserve"> A list of authorized importers </w:t>
      </w:r>
      <w:r>
        <w:rPr>
          <w:rFonts w:ascii="Times New Roman" w:hAnsi="Times New Roman" w:cs="Times New Roman"/>
          <w:sz w:val="24"/>
          <w:szCs w:val="24"/>
        </w:rPr>
        <w:t xml:space="preserve">of record </w:t>
      </w:r>
      <w:r w:rsidRPr="598E3698">
        <w:rPr>
          <w:rFonts w:ascii="Times New Roman" w:hAnsi="Times New Roman" w:cs="Times New Roman"/>
          <w:sz w:val="24"/>
          <w:szCs w:val="24"/>
        </w:rPr>
        <w:t xml:space="preserve">eligible to decrement against the manufacturer’s </w:t>
      </w:r>
      <w:r>
        <w:rPr>
          <w:rFonts w:ascii="Times New Roman" w:hAnsi="Times New Roman" w:cs="Times New Roman"/>
          <w:sz w:val="24"/>
          <w:szCs w:val="24"/>
        </w:rPr>
        <w:t xml:space="preserve">import adjustment </w:t>
      </w:r>
      <w:r w:rsidRPr="598E3698">
        <w:rPr>
          <w:rFonts w:ascii="Times New Roman" w:hAnsi="Times New Roman" w:cs="Times New Roman"/>
          <w:sz w:val="24"/>
          <w:szCs w:val="24"/>
        </w:rPr>
        <w:t xml:space="preserve">offset amount. This list must include the importer’s Importer of Record number and the amount of the </w:t>
      </w:r>
      <w:r>
        <w:rPr>
          <w:rFonts w:ascii="Times New Roman" w:hAnsi="Times New Roman" w:cs="Times New Roman"/>
          <w:sz w:val="24"/>
          <w:szCs w:val="24"/>
        </w:rPr>
        <w:t xml:space="preserve">import adjustment </w:t>
      </w:r>
      <w:r w:rsidRPr="598E3698">
        <w:rPr>
          <w:rFonts w:ascii="Times New Roman" w:hAnsi="Times New Roman" w:cs="Times New Roman"/>
          <w:sz w:val="24"/>
          <w:szCs w:val="24"/>
        </w:rPr>
        <w:t xml:space="preserve">offset amount allotted to each importer of record.  Updates to this list may be submitted electronically to Commerce at autooffset@trade.gov.  Commerce will inform CBP of list updates on December 1, 2025; June 1, 2026; and December 1, 2026. At its discretion, Commerce may update this list </w:t>
      </w:r>
      <w:r>
        <w:rPr>
          <w:rFonts w:ascii="Times New Roman" w:hAnsi="Times New Roman" w:cs="Times New Roman"/>
          <w:sz w:val="24"/>
          <w:szCs w:val="24"/>
        </w:rPr>
        <w:t xml:space="preserve">at other times </w:t>
      </w:r>
      <w:r w:rsidRPr="632D8C55">
        <w:rPr>
          <w:rFonts w:ascii="Times New Roman" w:hAnsi="Times New Roman" w:cs="Times New Roman"/>
          <w:sz w:val="24"/>
          <w:szCs w:val="24"/>
        </w:rPr>
        <w:t>during</w:t>
      </w:r>
      <w:r w:rsidRPr="598E3698">
        <w:rPr>
          <w:rFonts w:ascii="Times New Roman" w:hAnsi="Times New Roman" w:cs="Times New Roman"/>
          <w:sz w:val="24"/>
          <w:szCs w:val="24"/>
        </w:rPr>
        <w:t xml:space="preserve"> the program period.</w:t>
      </w:r>
    </w:p>
    <w:p w:rsidR="00EF08F4" w:rsidRPr="00EF08F4" w:rsidP="00EF08F4" w14:paraId="7850599A" w14:textId="77777777">
      <w:pPr>
        <w:pStyle w:val="ListParagraph"/>
        <w:spacing w:after="0" w:line="240" w:lineRule="auto"/>
      </w:pPr>
    </w:p>
    <w:p w:rsidR="00287732" w:rsidRPr="00A635AE" w:rsidP="00287732" w14:paraId="5D9377F7" w14:textId="1ABA4E08">
      <w:pPr>
        <w:pStyle w:val="ListParagraph"/>
        <w:numPr>
          <w:ilvl w:val="0"/>
          <w:numId w:val="7"/>
        </w:numPr>
        <w:spacing w:after="0" w:line="240" w:lineRule="auto"/>
      </w:pPr>
      <w:r w:rsidRPr="002807DB">
        <w:rPr>
          <w:rFonts w:ascii="Times New Roman" w:hAnsi="Times New Roman" w:cs="Times New Roman"/>
          <w:b/>
          <w:bCs/>
          <w:sz w:val="24"/>
          <w:szCs w:val="24"/>
        </w:rPr>
        <w:t>Certification:</w:t>
      </w:r>
      <w:r w:rsidRPr="002807DB">
        <w:rPr>
          <w:rFonts w:ascii="Times New Roman" w:hAnsi="Times New Roman" w:cs="Times New Roman"/>
          <w:sz w:val="24"/>
          <w:szCs w:val="24"/>
        </w:rPr>
        <w:t xml:space="preserve"> A sworn statement from a senior officer </w:t>
      </w:r>
      <w:r>
        <w:rPr>
          <w:rFonts w:ascii="Times New Roman" w:hAnsi="Times New Roman" w:cs="Times New Roman"/>
          <w:sz w:val="24"/>
          <w:szCs w:val="24"/>
        </w:rPr>
        <w:t xml:space="preserve">of the manufacturer </w:t>
      </w:r>
      <w:r w:rsidRPr="002807DB">
        <w:rPr>
          <w:rFonts w:ascii="Times New Roman" w:hAnsi="Times New Roman" w:cs="Times New Roman"/>
          <w:sz w:val="24"/>
          <w:szCs w:val="24"/>
        </w:rPr>
        <w:t xml:space="preserve">confirming that the submission is true, accurate, and complete </w:t>
      </w:r>
      <w:r>
        <w:rPr>
          <w:rFonts w:ascii="Times New Roman" w:hAnsi="Times New Roman" w:cs="Times New Roman"/>
          <w:sz w:val="24"/>
          <w:szCs w:val="24"/>
        </w:rPr>
        <w:t xml:space="preserve">to the best of the manufacturer’s knowledge </w:t>
      </w:r>
      <w:r w:rsidRPr="002807DB">
        <w:rPr>
          <w:rFonts w:ascii="Times New Roman" w:hAnsi="Times New Roman" w:cs="Times New Roman"/>
          <w:sz w:val="24"/>
          <w:szCs w:val="24"/>
        </w:rPr>
        <w:t xml:space="preserve">under penalty of perjury, and confirming that the manufacturer has conducted reasonable diligence to verify the accuracy of the </w:t>
      </w:r>
      <w:r>
        <w:rPr>
          <w:rFonts w:ascii="Times New Roman" w:hAnsi="Times New Roman" w:cs="Times New Roman"/>
          <w:sz w:val="24"/>
          <w:szCs w:val="24"/>
        </w:rPr>
        <w:t xml:space="preserve">assertions and </w:t>
      </w:r>
      <w:r w:rsidRPr="002807DB">
        <w:rPr>
          <w:rFonts w:ascii="Times New Roman" w:hAnsi="Times New Roman" w:cs="Times New Roman"/>
          <w:sz w:val="24"/>
          <w:szCs w:val="24"/>
        </w:rPr>
        <w:t>facts contained in its submissions.</w:t>
      </w:r>
    </w:p>
    <w:p w:rsidR="00950CB3" w:rsidP="008C744F" w14:paraId="418FEDB2" w14:textId="49909CE4">
      <w:pPr>
        <w:rPr>
          <w:rFonts w:ascii="Times New Roman" w:hAnsi="Times New Roman" w:cs="Times New Roman"/>
          <w:sz w:val="24"/>
          <w:szCs w:val="24"/>
        </w:rPr>
      </w:pPr>
    </w:p>
    <w:p w:rsidR="00C6370F" w:rsidP="00C6370F" w14:paraId="53E22827" w14:textId="63768B99">
      <w:pPr>
        <w:pStyle w:val="BodyText"/>
        <w:ind w:right="367"/>
        <w:rPr>
          <w:rFonts w:ascii="Times New Roman" w:hAnsi="Times New Roman" w:cs="Times New Roman"/>
        </w:rPr>
      </w:pPr>
      <w:r w:rsidRPr="00C6370F">
        <w:rPr>
          <w:rFonts w:ascii="Times New Roman" w:hAnsi="Times New Roman" w:cs="Times New Roman"/>
        </w:rPr>
        <w:t xml:space="preserve">The collected information will be used by </w:t>
      </w:r>
      <w:r>
        <w:rPr>
          <w:rFonts w:ascii="Times New Roman" w:hAnsi="Times New Roman" w:cs="Times New Roman"/>
        </w:rPr>
        <w:t>Commerce</w:t>
      </w:r>
      <w:r w:rsidRPr="00C6370F">
        <w:rPr>
          <w:rFonts w:ascii="Times New Roman" w:hAnsi="Times New Roman" w:cs="Times New Roman"/>
        </w:rPr>
        <w:t xml:space="preserve"> staff </w:t>
      </w:r>
      <w:r w:rsidR="00444052">
        <w:rPr>
          <w:rFonts w:ascii="Times New Roman" w:hAnsi="Times New Roman" w:cs="Times New Roman"/>
        </w:rPr>
        <w:t>to</w:t>
      </w:r>
      <w:r w:rsidRPr="00C6370F">
        <w:rPr>
          <w:rFonts w:ascii="Times New Roman" w:hAnsi="Times New Roman" w:cs="Times New Roman"/>
        </w:rPr>
        <w:t xml:space="preserve"> </w:t>
      </w:r>
      <w:r w:rsidR="00163B23">
        <w:rPr>
          <w:rFonts w:ascii="Times New Roman" w:hAnsi="Times New Roman" w:cs="Times New Roman"/>
        </w:rPr>
        <w:t>facilitat</w:t>
      </w:r>
      <w:r w:rsidR="00444052">
        <w:rPr>
          <w:rFonts w:ascii="Times New Roman" w:hAnsi="Times New Roman" w:cs="Times New Roman"/>
        </w:rPr>
        <w:t>e</w:t>
      </w:r>
      <w:r w:rsidR="00163B23">
        <w:rPr>
          <w:rFonts w:ascii="Times New Roman" w:hAnsi="Times New Roman" w:cs="Times New Roman"/>
        </w:rPr>
        <w:t xml:space="preserve"> the Secretary’s review of the applications</w:t>
      </w:r>
      <w:r w:rsidR="00444052">
        <w:rPr>
          <w:rFonts w:ascii="Times New Roman" w:hAnsi="Times New Roman" w:cs="Times New Roman"/>
        </w:rPr>
        <w:t xml:space="preserve"> and to make a determination of eligibility</w:t>
      </w:r>
      <w:r w:rsidR="00EE5DD3">
        <w:rPr>
          <w:rFonts w:ascii="Times New Roman" w:hAnsi="Times New Roman" w:cs="Times New Roman"/>
        </w:rPr>
        <w:t xml:space="preserve"> for the tariff offset on </w:t>
      </w:r>
      <w:r w:rsidR="002B6B9B">
        <w:rPr>
          <w:rFonts w:ascii="Times New Roman" w:hAnsi="Times New Roman" w:cs="Times New Roman"/>
        </w:rPr>
        <w:t>their imported parts</w:t>
      </w:r>
      <w:r w:rsidR="00444052">
        <w:rPr>
          <w:rFonts w:ascii="Times New Roman" w:hAnsi="Times New Roman" w:cs="Times New Roman"/>
        </w:rPr>
        <w:t xml:space="preserve">.  </w:t>
      </w:r>
    </w:p>
    <w:p w:rsidR="00DB3728" w:rsidP="00C6370F" w14:paraId="5F5B6FAC" w14:textId="01B3DB70">
      <w:pPr>
        <w:pStyle w:val="BodyText"/>
        <w:ind w:right="367"/>
        <w:rPr>
          <w:rFonts w:ascii="Times New Roman" w:hAnsi="Times New Roman" w:cs="Times New Roman"/>
        </w:rPr>
      </w:pPr>
      <w:r w:rsidRPr="00DB3728">
        <w:rPr>
          <w:rFonts w:ascii="Times New Roman" w:hAnsi="Times New Roman" w:cs="Times New Roman"/>
        </w:rPr>
        <w:t xml:space="preserve">The collection is voluntary, and the frequency will be </w:t>
      </w:r>
      <w:r w:rsidR="00F067F4">
        <w:rPr>
          <w:rFonts w:ascii="Times New Roman" w:hAnsi="Times New Roman" w:cs="Times New Roman"/>
        </w:rPr>
        <w:t xml:space="preserve">ongoing with </w:t>
      </w:r>
      <w:r w:rsidR="00671EF7">
        <w:rPr>
          <w:rFonts w:ascii="Times New Roman" w:hAnsi="Times New Roman" w:cs="Times New Roman"/>
        </w:rPr>
        <w:t xml:space="preserve">manufacturers submitting </w:t>
      </w:r>
      <w:r w:rsidR="00364EAB">
        <w:rPr>
          <w:rFonts w:ascii="Times New Roman" w:hAnsi="Times New Roman" w:cs="Times New Roman"/>
        </w:rPr>
        <w:t xml:space="preserve">an initial request </w:t>
      </w:r>
      <w:r w:rsidR="0089245E">
        <w:rPr>
          <w:rFonts w:ascii="Times New Roman" w:hAnsi="Times New Roman" w:cs="Times New Roman"/>
        </w:rPr>
        <w:t xml:space="preserve">and amendments to their request as needed.  It’s anticipated that </w:t>
      </w:r>
      <w:r w:rsidR="00C55293">
        <w:rPr>
          <w:rFonts w:ascii="Times New Roman" w:hAnsi="Times New Roman" w:cs="Times New Roman"/>
        </w:rPr>
        <w:t xml:space="preserve">Commerce will inform CBP of offset list updates </w:t>
      </w:r>
      <w:r w:rsidR="000C7FA2">
        <w:rPr>
          <w:rFonts w:ascii="Times New Roman" w:hAnsi="Times New Roman" w:cs="Times New Roman"/>
        </w:rPr>
        <w:t>twice annually for two years, with the first submission anticipated for 30 d</w:t>
      </w:r>
      <w:r w:rsidR="0039286D">
        <w:rPr>
          <w:rFonts w:ascii="Times New Roman" w:hAnsi="Times New Roman" w:cs="Times New Roman"/>
        </w:rPr>
        <w:t>ays after the release of the notice seeking applications</w:t>
      </w:r>
      <w:r w:rsidR="0001548F">
        <w:rPr>
          <w:rFonts w:ascii="Times New Roman" w:hAnsi="Times New Roman" w:cs="Times New Roman"/>
        </w:rPr>
        <w:t xml:space="preserve">.  Additional lists of updates will be shared with CBP on </w:t>
      </w:r>
      <w:r w:rsidRPr="598E3698" w:rsidR="0001548F">
        <w:rPr>
          <w:rFonts w:ascii="Times New Roman" w:hAnsi="Times New Roman" w:cs="Times New Roman"/>
        </w:rPr>
        <w:t>December 1, 2025; June 1, 2026; and December 1, 2026.</w:t>
      </w:r>
    </w:p>
    <w:p w:rsidR="008B1746" w:rsidP="008C744F" w14:paraId="6CECD7D5" w14:textId="77777777">
      <w:pPr>
        <w:rPr>
          <w:rFonts w:ascii="Times New Roman" w:hAnsi="Times New Roman" w:cs="Times New Roman"/>
          <w:sz w:val="24"/>
          <w:szCs w:val="24"/>
        </w:rPr>
      </w:pPr>
    </w:p>
    <w:p w:rsidR="008C744F" w:rsidRPr="00FA470D" w:rsidP="008C744F" w14:paraId="61D0A1CC" w14:textId="77777777">
      <w:r>
        <w:pict>
          <v:rect id="_x0000_i1026" style="width:405pt;height:0.75pt" o:hrpct="0" o:hralign="center" o:hrstd="t" o:hrnoshade="t" o:hr="t" fillcolor="#414141" stroked="f"/>
        </w:pict>
      </w:r>
    </w:p>
    <w:p w:rsidR="008C744F" w:rsidRPr="00FA470D" w:rsidP="008C744F" w14:paraId="1BDC02CD" w14:textId="77777777">
      <w:r w:rsidRPr="00FA470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53E8" w:rsidP="00C953E8" w14:paraId="662E5BC9" w14:textId="4488E5C7">
      <w:pPr>
        <w:pStyle w:val="BodyText"/>
        <w:ind w:left="0" w:right="367"/>
        <w:rPr>
          <w:b/>
          <w:bCs/>
        </w:rPr>
      </w:pPr>
      <w:r>
        <w:rPr>
          <w:rFonts w:ascii="Times New Roman" w:hAnsi="Times New Roman" w:cs="Times New Roman"/>
        </w:rPr>
        <w:t>Manufacturers may submit their applications electr</w:t>
      </w:r>
      <w:r w:rsidR="00597490">
        <w:rPr>
          <w:rFonts w:ascii="Times New Roman" w:hAnsi="Times New Roman" w:cs="Times New Roman"/>
        </w:rPr>
        <w:t>on</w:t>
      </w:r>
      <w:r>
        <w:rPr>
          <w:rFonts w:ascii="Times New Roman" w:hAnsi="Times New Roman" w:cs="Times New Roman"/>
        </w:rPr>
        <w:t>ically via e-mail to the address listed in the notice.</w:t>
      </w:r>
    </w:p>
    <w:p w:rsidR="00C953E8" w:rsidP="008C744F" w14:paraId="3367D202" w14:textId="77777777">
      <w:pPr>
        <w:rPr>
          <w:b/>
          <w:bCs/>
        </w:rPr>
      </w:pPr>
    </w:p>
    <w:p w:rsidR="008C744F" w:rsidRPr="00FA470D" w:rsidP="008C744F" w14:paraId="28398064" w14:textId="1B84095C">
      <w:r w:rsidRPr="00FA470D">
        <w:rPr>
          <w:b/>
          <w:bCs/>
        </w:rPr>
        <w:t>The response to this question should be consistent with the information provided in field 13(b)(1) of the OMB 83-I form.</w:t>
      </w:r>
    </w:p>
    <w:p w:rsidR="008C744F" w:rsidRPr="00FA470D" w:rsidP="008C744F" w14:paraId="40FF3CB1" w14:textId="77777777">
      <w:r>
        <w:pict>
          <v:rect id="_x0000_i1027" style="width:405pt;height:0.75pt" o:hrpct="0" o:hralign="center" o:hrstd="t" o:hrnoshade="t" o:hr="t" fillcolor="#414141" stroked="f"/>
        </w:pict>
      </w:r>
    </w:p>
    <w:p w:rsidR="008C744F" w:rsidRPr="00FA470D" w:rsidP="008C744F" w14:paraId="1AC82D44" w14:textId="77777777">
      <w:r w:rsidRPr="00FA470D">
        <w:rPr>
          <w:b/>
          <w:bCs/>
        </w:rPr>
        <w:t>4. Describe efforts to identify duplication. Show specifically why any similar information already available cannot be used or modified for use for the purposes described in Item 2 above.</w:t>
      </w:r>
    </w:p>
    <w:p w:rsidR="008C744F" w:rsidRPr="00FA470D" w:rsidP="008C744F" w14:paraId="3E91FD80" w14:textId="249FAE08">
      <w:r w:rsidRPr="00DA7F1A">
        <w:rPr>
          <w:rFonts w:ascii="Times New Roman" w:eastAsia="Arial" w:hAnsi="Times New Roman" w:cs="Times New Roman"/>
          <w:sz w:val="24"/>
          <w:szCs w:val="24"/>
        </w:rPr>
        <w:t xml:space="preserve">There is no duplication of information within the DOC or another government entity. The information collected represents unique client information that is required by </w:t>
      </w:r>
      <w:r>
        <w:rPr>
          <w:rFonts w:ascii="Times New Roman" w:eastAsia="Arial" w:hAnsi="Times New Roman" w:cs="Times New Roman"/>
          <w:sz w:val="24"/>
          <w:szCs w:val="24"/>
        </w:rPr>
        <w:t>Commerce</w:t>
      </w:r>
      <w:r w:rsidRPr="00DA7F1A">
        <w:rPr>
          <w:rFonts w:ascii="Times New Roman" w:eastAsia="Arial" w:hAnsi="Times New Roman" w:cs="Times New Roman"/>
          <w:sz w:val="24"/>
          <w:szCs w:val="24"/>
        </w:rPr>
        <w:t xml:space="preserve"> to efficiently and effectivel</w:t>
      </w:r>
      <w:r w:rsidR="00FB3AC0">
        <w:rPr>
          <w:rFonts w:ascii="Times New Roman" w:eastAsia="Arial" w:hAnsi="Times New Roman" w:cs="Times New Roman"/>
          <w:sz w:val="24"/>
          <w:szCs w:val="24"/>
        </w:rPr>
        <w:t>y perform the duties</w:t>
      </w:r>
      <w:r w:rsidR="00212E8A">
        <w:rPr>
          <w:rFonts w:ascii="Times New Roman" w:eastAsia="Arial" w:hAnsi="Times New Roman" w:cs="Times New Roman"/>
          <w:sz w:val="24"/>
          <w:szCs w:val="24"/>
        </w:rPr>
        <w:t xml:space="preserve"> assigned to the Secretary by the President in Proclamation </w:t>
      </w:r>
      <w:r w:rsidR="0026391C">
        <w:rPr>
          <w:rFonts w:ascii="Times New Roman" w:eastAsia="Arial" w:hAnsi="Times New Roman" w:cs="Times New Roman"/>
          <w:sz w:val="24"/>
          <w:szCs w:val="24"/>
        </w:rPr>
        <w:t>10925.</w:t>
      </w:r>
      <w:r w:rsidR="00FB3AC0">
        <w:rPr>
          <w:rFonts w:ascii="Times New Roman" w:eastAsia="Arial" w:hAnsi="Times New Roman" w:cs="Times New Roman"/>
          <w:sz w:val="24"/>
          <w:szCs w:val="24"/>
        </w:rPr>
        <w:t xml:space="preserve"> </w:t>
      </w:r>
      <w:r>
        <w:pict>
          <v:rect id="_x0000_i1028" style="width:405pt;height:0.75pt" o:hrpct="0" o:hralign="center" o:hrstd="t" o:hrnoshade="t" o:hr="t" fillcolor="#414141" stroked="f"/>
        </w:pict>
      </w:r>
    </w:p>
    <w:p w:rsidR="008C744F" w:rsidRPr="00FA470D" w:rsidP="008C744F" w14:paraId="11588281" w14:textId="77777777">
      <w:r w:rsidRPr="00FA470D">
        <w:rPr>
          <w:b/>
          <w:bCs/>
        </w:rPr>
        <w:t>5. If the collection of information impacts small businesses or other small entities (Item 5 of OMB Form 83-I), describe any methods used to minimize burden.</w:t>
      </w:r>
    </w:p>
    <w:p w:rsidR="008C744F" w:rsidRPr="00C91B93" w:rsidP="008C744F" w14:paraId="0B935A78" w14:textId="3A94B2DD">
      <w:pPr>
        <w:rPr>
          <w:color w:val="4472C4" w:themeColor="accent1"/>
        </w:rPr>
      </w:pPr>
      <w:r>
        <w:rPr>
          <w:rFonts w:ascii="Times New Roman" w:eastAsia="Arial" w:hAnsi="Times New Roman" w:cs="Times New Roman"/>
          <w:sz w:val="24"/>
          <w:szCs w:val="24"/>
        </w:rPr>
        <w:t>It</w:t>
      </w:r>
      <w:r w:rsidR="008576EB">
        <w:rPr>
          <w:rFonts w:ascii="Times New Roman" w:eastAsia="Arial" w:hAnsi="Times New Roman" w:cs="Times New Roman"/>
          <w:sz w:val="24"/>
          <w:szCs w:val="24"/>
        </w:rPr>
        <w:t xml:space="preserve"> i</w:t>
      </w:r>
      <w:r>
        <w:rPr>
          <w:rFonts w:ascii="Times New Roman" w:eastAsia="Arial" w:hAnsi="Times New Roman" w:cs="Times New Roman"/>
          <w:sz w:val="24"/>
          <w:szCs w:val="24"/>
        </w:rPr>
        <w:t xml:space="preserve">s </w:t>
      </w:r>
      <w:r w:rsidR="00002E82">
        <w:rPr>
          <w:rFonts w:ascii="Times New Roman" w:eastAsia="Arial" w:hAnsi="Times New Roman" w:cs="Times New Roman"/>
          <w:sz w:val="24"/>
          <w:szCs w:val="24"/>
        </w:rPr>
        <w:t>expected</w:t>
      </w:r>
      <w:r w:rsidR="00E62BC7">
        <w:rPr>
          <w:rFonts w:ascii="Times New Roman" w:eastAsia="Arial" w:hAnsi="Times New Roman" w:cs="Times New Roman"/>
          <w:sz w:val="24"/>
          <w:szCs w:val="24"/>
        </w:rPr>
        <w:t xml:space="preserve"> that all respondents </w:t>
      </w:r>
      <w:r w:rsidR="001E13AD">
        <w:rPr>
          <w:rFonts w:ascii="Times New Roman" w:eastAsia="Arial" w:hAnsi="Times New Roman" w:cs="Times New Roman"/>
          <w:sz w:val="24"/>
          <w:szCs w:val="24"/>
        </w:rPr>
        <w:t xml:space="preserve">will be major </w:t>
      </w:r>
      <w:r w:rsidR="00002E82">
        <w:rPr>
          <w:rFonts w:ascii="Times New Roman" w:eastAsia="Arial" w:hAnsi="Times New Roman" w:cs="Times New Roman"/>
          <w:sz w:val="24"/>
          <w:szCs w:val="24"/>
        </w:rPr>
        <w:t>automobile</w:t>
      </w:r>
      <w:r w:rsidR="001E13AD">
        <w:rPr>
          <w:rFonts w:ascii="Times New Roman" w:eastAsia="Arial" w:hAnsi="Times New Roman" w:cs="Times New Roman"/>
          <w:sz w:val="24"/>
          <w:szCs w:val="24"/>
        </w:rPr>
        <w:t xml:space="preserve"> manufacturers with operations in the United States</w:t>
      </w:r>
      <w:r w:rsidR="007D1742">
        <w:rPr>
          <w:rFonts w:ascii="Times New Roman" w:eastAsia="Arial" w:hAnsi="Times New Roman" w:cs="Times New Roman"/>
          <w:sz w:val="24"/>
          <w:szCs w:val="24"/>
        </w:rPr>
        <w:t>.  None of these companies are known to be small businesses</w:t>
      </w:r>
      <w:r w:rsidR="008576EB">
        <w:rPr>
          <w:rFonts w:ascii="Times New Roman" w:eastAsia="Arial" w:hAnsi="Times New Roman" w:cs="Times New Roman"/>
          <w:sz w:val="24"/>
          <w:szCs w:val="24"/>
        </w:rPr>
        <w:t>.</w:t>
      </w:r>
    </w:p>
    <w:p w:rsidR="008C744F" w:rsidRPr="00FA470D" w:rsidP="008C744F" w14:paraId="2F026BA3" w14:textId="77777777">
      <w:r>
        <w:pict>
          <v:rect id="_x0000_i1029" style="width:405pt;height:0.75pt" o:hrpct="0" o:hralign="center" o:hrstd="t" o:hrnoshade="t" o:hr="t" fillcolor="#414141" stroked="f"/>
        </w:pict>
      </w:r>
    </w:p>
    <w:p w:rsidR="008C744F" w:rsidRPr="00FA470D" w:rsidP="008C744F" w14:paraId="0AE80EFB" w14:textId="77777777">
      <w:r w:rsidRPr="00FA470D">
        <w:rPr>
          <w:b/>
          <w:bCs/>
        </w:rPr>
        <w:t>6. Describe the consequence to Federal program or policy activities if the collection is not conducted or is conducted less frequently, as well as any technical or legal obstacles to reducing burden.</w:t>
      </w:r>
    </w:p>
    <w:p w:rsidR="00242158" w:rsidP="008C744F" w14:paraId="61D63606" w14:textId="77777777">
      <w:pPr>
        <w:rPr>
          <w:rFonts w:ascii="Times New Roman" w:hAnsi="Times New Roman" w:cs="Times New Roman"/>
          <w:sz w:val="24"/>
          <w:szCs w:val="24"/>
        </w:rPr>
      </w:pPr>
      <w:r>
        <w:rPr>
          <w:rFonts w:ascii="Times New Roman" w:eastAsia="Arial" w:hAnsi="Times New Roman" w:cs="Times New Roman"/>
          <w:sz w:val="24"/>
          <w:szCs w:val="24"/>
        </w:rPr>
        <w:t>I</w:t>
      </w:r>
      <w:r w:rsidRPr="007777B4" w:rsidR="007777B4">
        <w:rPr>
          <w:rFonts w:ascii="Times New Roman" w:eastAsia="Arial" w:hAnsi="Times New Roman" w:cs="Times New Roman"/>
          <w:sz w:val="24"/>
          <w:szCs w:val="24"/>
        </w:rPr>
        <w:t xml:space="preserve">f approval is not granted for use of these documents, </w:t>
      </w:r>
      <w:r>
        <w:rPr>
          <w:rFonts w:ascii="Times New Roman" w:eastAsia="Arial" w:hAnsi="Times New Roman" w:cs="Times New Roman"/>
          <w:sz w:val="24"/>
          <w:szCs w:val="24"/>
        </w:rPr>
        <w:t xml:space="preserve">this will </w:t>
      </w:r>
      <w:r w:rsidR="000C0AFD">
        <w:rPr>
          <w:rFonts w:ascii="Times New Roman" w:eastAsia="Arial" w:hAnsi="Times New Roman" w:cs="Times New Roman"/>
          <w:sz w:val="24"/>
          <w:szCs w:val="24"/>
        </w:rPr>
        <w:t>hinder Commerce</w:t>
      </w:r>
      <w:r w:rsidRPr="007777B4" w:rsidR="007777B4">
        <w:rPr>
          <w:rFonts w:ascii="Times New Roman" w:eastAsia="Arial" w:hAnsi="Times New Roman" w:cs="Times New Roman"/>
          <w:sz w:val="24"/>
          <w:szCs w:val="24"/>
        </w:rPr>
        <w:t>’s ability</w:t>
      </w:r>
      <w:r w:rsidR="000C0AFD">
        <w:rPr>
          <w:rFonts w:ascii="Times New Roman" w:eastAsia="Arial" w:hAnsi="Times New Roman" w:cs="Times New Roman"/>
          <w:sz w:val="24"/>
          <w:szCs w:val="24"/>
        </w:rPr>
        <w:t xml:space="preserve"> to fulfill the directives of the President in Proclamation 10925.  Furthermore, </w:t>
      </w:r>
      <w:r w:rsidR="00E34F29">
        <w:rPr>
          <w:rFonts w:ascii="Times New Roman" w:eastAsia="Arial" w:hAnsi="Times New Roman" w:cs="Times New Roman"/>
          <w:sz w:val="24"/>
          <w:szCs w:val="24"/>
        </w:rPr>
        <w:t xml:space="preserve">the tariff offsets introduced in this Proclamation are intended to benefit U.S. automobile manufacturers </w:t>
      </w:r>
      <w:r w:rsidR="00316FAF">
        <w:rPr>
          <w:rFonts w:ascii="Times New Roman" w:eastAsia="Arial" w:hAnsi="Times New Roman" w:cs="Times New Roman"/>
          <w:sz w:val="24"/>
          <w:szCs w:val="24"/>
        </w:rPr>
        <w:t xml:space="preserve">by </w:t>
      </w:r>
      <w:r w:rsidRPr="002A22A3" w:rsidR="00B441B9">
        <w:rPr>
          <w:rFonts w:ascii="Times New Roman" w:hAnsi="Times New Roman" w:cs="Times New Roman"/>
          <w:sz w:val="24"/>
          <w:szCs w:val="24"/>
        </w:rPr>
        <w:t xml:space="preserve">providing manufacturers flexibility </w:t>
      </w:r>
      <w:r>
        <w:rPr>
          <w:rFonts w:ascii="Times New Roman" w:hAnsi="Times New Roman" w:cs="Times New Roman"/>
          <w:sz w:val="24"/>
          <w:szCs w:val="24"/>
        </w:rPr>
        <w:t xml:space="preserve">to meet </w:t>
      </w:r>
      <w:r w:rsidR="00B441B9">
        <w:rPr>
          <w:rFonts w:ascii="Times New Roman" w:hAnsi="Times New Roman" w:cs="Times New Roman"/>
          <w:sz w:val="24"/>
          <w:szCs w:val="24"/>
        </w:rPr>
        <w:t>the</w:t>
      </w:r>
      <w:r w:rsidRPr="002A22A3" w:rsidR="00B441B9">
        <w:rPr>
          <w:rFonts w:ascii="Times New Roman" w:hAnsi="Times New Roman" w:cs="Times New Roman"/>
          <w:sz w:val="24"/>
          <w:szCs w:val="24"/>
        </w:rPr>
        <w:t xml:space="preserve"> Proclamation’s goals</w:t>
      </w:r>
      <w:r>
        <w:rPr>
          <w:rFonts w:ascii="Times New Roman" w:hAnsi="Times New Roman" w:cs="Times New Roman"/>
          <w:sz w:val="24"/>
          <w:szCs w:val="24"/>
        </w:rPr>
        <w:t>,</w:t>
      </w:r>
      <w:r w:rsidRPr="002A22A3" w:rsidR="00B441B9">
        <w:rPr>
          <w:rFonts w:ascii="Times New Roman" w:hAnsi="Times New Roman" w:cs="Times New Roman"/>
          <w:sz w:val="24"/>
          <w:szCs w:val="24"/>
        </w:rPr>
        <w:t xml:space="preserve"> which include to “strengthen United States vehicle assembly operations by encouraging companies to expand domestic production capacity, which is critical to a strong domestic defense industrial base</w:t>
      </w:r>
      <w:r>
        <w:rPr>
          <w:rFonts w:ascii="Times New Roman" w:hAnsi="Times New Roman" w:cs="Times New Roman"/>
          <w:sz w:val="24"/>
          <w:szCs w:val="24"/>
        </w:rPr>
        <w:t>.</w:t>
      </w:r>
      <w:r w:rsidRPr="002A22A3" w:rsidR="00B441B9">
        <w:rPr>
          <w:rFonts w:ascii="Times New Roman" w:hAnsi="Times New Roman" w:cs="Times New Roman"/>
          <w:sz w:val="24"/>
          <w:szCs w:val="24"/>
        </w:rPr>
        <w:t xml:space="preserve">” </w:t>
      </w:r>
    </w:p>
    <w:p w:rsidR="008C744F" w:rsidRPr="00FA470D" w:rsidP="008C744F" w14:paraId="47ED5D8B" w14:textId="1766E7C5">
      <w:r>
        <w:pict>
          <v:rect id="_x0000_i1030" style="width:405pt;height:0.75pt" o:hrpct="0" o:hralign="center" o:hrstd="t" o:hrnoshade="t" o:hr="t" fillcolor="#414141" stroked="f"/>
        </w:pict>
      </w:r>
    </w:p>
    <w:p w:rsidR="008C744F" w:rsidRPr="00FA470D" w:rsidP="008C744F" w14:paraId="782A6B6B" w14:textId="77777777">
      <w:r w:rsidRPr="00FA470D">
        <w:rPr>
          <w:b/>
          <w:bCs/>
        </w:rPr>
        <w:t>7. Explain any special circumstances that would cause an information collection to be conducted in a manner:</w:t>
      </w:r>
    </w:p>
    <w:p w:rsidR="00BA3AFE" w:rsidRPr="00BA3AFE" w:rsidP="00BA3AFE" w14:paraId="565ABEC8" w14:textId="77777777">
      <w:pPr>
        <w:pStyle w:val="BodyText"/>
        <w:spacing w:before="80"/>
        <w:ind w:right="179"/>
        <w:rPr>
          <w:rFonts w:ascii="Times New Roman" w:hAnsi="Times New Roman" w:eastAsiaTheme="minorHAnsi" w:cs="Times New Roman"/>
        </w:rPr>
      </w:pPr>
      <w:r w:rsidRPr="00BA3AFE">
        <w:rPr>
          <w:rFonts w:ascii="Times New Roman" w:hAnsi="Times New Roman" w:eastAsiaTheme="minorHAnsi" w:cs="Times New Roman"/>
        </w:rPr>
        <w:t>This collection will be conducted in a manner consistent with OMB guidelines.</w:t>
      </w:r>
    </w:p>
    <w:p w:rsidR="00BA3AFE" w:rsidP="00BA3AFE" w14:paraId="7255D0A0" w14:textId="77777777">
      <w:pPr>
        <w:pStyle w:val="BodyText"/>
        <w:spacing w:before="80"/>
        <w:ind w:right="179"/>
      </w:pPr>
    </w:p>
    <w:p w:rsidR="008C744F" w:rsidRPr="00FA470D" w:rsidP="008C744F" w14:paraId="09E05CCE" w14:textId="77777777">
      <w:r>
        <w:pict>
          <v:rect id="_x0000_i1031" style="width:405pt;height:0.75pt" o:hrpct="0" o:hralign="center" o:hrstd="t" o:hrnoshade="t" o:hr="t" fillcolor="#414141" stroked="f"/>
        </w:pict>
      </w:r>
    </w:p>
    <w:p w:rsidR="008C744F" w:rsidRPr="00FA470D" w:rsidP="008C744F" w14:paraId="7F5509B2" w14:textId="77777777">
      <w:r w:rsidRPr="00FA470D">
        <w:rPr>
          <w:b/>
          <w:bCs/>
        </w:rPr>
        <w:t xml:space="preserve">8. If applicable, provide a copy and identify the date and page number of </w:t>
      </w:r>
      <w:r>
        <w:rPr>
          <w:b/>
          <w:bCs/>
        </w:rPr>
        <w:t xml:space="preserve">the </w:t>
      </w:r>
      <w:r w:rsidRPr="00FA470D">
        <w:rPr>
          <w:b/>
          <w:bCs/>
        </w:rPr>
        <w:t>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9079E" w:rsidRPr="00D9079E" w:rsidP="008C744F" w14:paraId="6E82C904" w14:textId="294D66D8">
      <w:pPr>
        <w:rPr>
          <w:rFonts w:ascii="Times New Roman" w:hAnsi="Times New Roman" w:cs="Times New Roman"/>
          <w:sz w:val="24"/>
          <w:szCs w:val="24"/>
        </w:rPr>
      </w:pPr>
      <w:r w:rsidRPr="00227F3C">
        <w:rPr>
          <w:rFonts w:ascii="Times New Roman" w:hAnsi="Times New Roman" w:cs="Times New Roman"/>
          <w:sz w:val="24"/>
          <w:szCs w:val="24"/>
        </w:rPr>
        <w:t>The OMB has waived the requirement that the DOC submit a PRA Federal Register Notice for the emergency approval of this information collection.</w:t>
      </w:r>
      <w:r w:rsidRPr="00D9079E">
        <w:rPr>
          <w:rFonts w:ascii="Times New Roman" w:hAnsi="Times New Roman" w:cs="Times New Roman"/>
          <w:sz w:val="24"/>
          <w:szCs w:val="24"/>
        </w:rPr>
        <w:t xml:space="preserve">  </w:t>
      </w:r>
    </w:p>
    <w:p w:rsidR="008C744F" w:rsidRPr="00FA470D" w:rsidP="008C744F" w14:paraId="45C4E924" w14:textId="18757E81">
      <w:r>
        <w:pict>
          <v:rect id="_x0000_i1032" style="width:405pt;height:0.75pt" o:hrpct="0" o:hralign="center" o:hrstd="t" o:hrnoshade="t" o:hr="t" fillcolor="#414141" stroked="f"/>
        </w:pict>
      </w:r>
    </w:p>
    <w:p w:rsidR="008C744F" w:rsidRPr="00FA470D" w:rsidP="008C744F" w14:paraId="2E30F47A" w14:textId="77777777">
      <w:r w:rsidRPr="00FA470D">
        <w:rPr>
          <w:b/>
          <w:bCs/>
        </w:rPr>
        <w:t>9. Explain any decision to provide any payment or gift to respondents, other than remuneration of contractors or grantees.</w:t>
      </w:r>
    </w:p>
    <w:p w:rsidR="00944114" w:rsidRPr="00944114" w:rsidP="00944114" w14:paraId="5BA26D38" w14:textId="77777777">
      <w:pPr>
        <w:pStyle w:val="BodyText"/>
        <w:spacing w:before="158"/>
        <w:ind w:right="421"/>
        <w:rPr>
          <w:rFonts w:ascii="Times New Roman" w:hAnsi="Times New Roman" w:eastAsiaTheme="minorHAnsi" w:cs="Times New Roman"/>
        </w:rPr>
      </w:pPr>
      <w:r w:rsidRPr="00944114">
        <w:rPr>
          <w:rFonts w:ascii="Times New Roman" w:hAnsi="Times New Roman" w:eastAsiaTheme="minorHAnsi" w:cs="Times New Roman"/>
        </w:rPr>
        <w:t>Not applicable.  Respondents will not receive payments or gifts.</w:t>
      </w:r>
    </w:p>
    <w:p w:rsidR="008C744F" w:rsidRPr="00FA470D" w:rsidP="008C744F" w14:paraId="089A693A" w14:textId="77777777">
      <w:r>
        <w:pict>
          <v:rect id="_x0000_i1033" style="width:405pt;height:0.75pt" o:hrpct="0" o:hralign="center" o:hrstd="t" o:hrnoshade="t" o:hr="t" fillcolor="#414141" stroked="f"/>
        </w:pict>
      </w:r>
    </w:p>
    <w:p w:rsidR="008C744F" w:rsidRPr="00FA470D" w:rsidP="008C744F" w14:paraId="26C38401" w14:textId="77777777">
      <w:r w:rsidRPr="00FA470D">
        <w:rPr>
          <w:b/>
          <w:bCs/>
        </w:rPr>
        <w:t>10. Describe any assurance of confidentiality provided to respondents and the basis for the assurance in statute, regulation, or agency policy.</w:t>
      </w:r>
    </w:p>
    <w:p w:rsidR="008C744F" w:rsidRPr="00FA470D" w:rsidP="008C744F" w14:paraId="1D014BE4" w14:textId="5F59A4BC">
      <w:r w:rsidRPr="00B035FD">
        <w:rPr>
          <w:rFonts w:ascii="Times New Roman" w:hAnsi="Times New Roman" w:cs="Times New Roman"/>
          <w:sz w:val="24"/>
          <w:szCs w:val="24"/>
        </w:rPr>
        <w:t>All responses to this collection of information will be provided confidentiality to the extent allowed by law.</w:t>
      </w:r>
      <w:r w:rsidRPr="00D741B7">
        <w:t xml:space="preserve">  </w:t>
      </w:r>
      <w:r>
        <w:pict>
          <v:rect id="_x0000_i1034" style="width:405pt;height:0.75pt" o:hrpct="0" o:hralign="center" o:hrstd="t" o:hrnoshade="t" o:hr="t" fillcolor="#414141" stroked="f"/>
        </w:pict>
      </w:r>
    </w:p>
    <w:p w:rsidR="008C744F" w:rsidRPr="00FA470D" w:rsidP="008C744F" w14:paraId="55C91C54" w14:textId="77777777">
      <w:r w:rsidRPr="00FA470D">
        <w:rPr>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1E3F" w:rsidRPr="00861E3F" w:rsidP="00861E3F" w14:paraId="4548233B" w14:textId="77777777">
      <w:pPr>
        <w:ind w:right="193"/>
        <w:rPr>
          <w:rFonts w:ascii="Times New Roman" w:hAnsi="Times New Roman" w:cs="Times New Roman"/>
          <w:sz w:val="24"/>
          <w:szCs w:val="24"/>
        </w:rPr>
      </w:pPr>
      <w:r w:rsidRPr="00861E3F">
        <w:rPr>
          <w:rFonts w:ascii="Times New Roman" w:hAnsi="Times New Roman" w:cs="Times New Roman"/>
          <w:sz w:val="24"/>
          <w:szCs w:val="24"/>
        </w:rPr>
        <w:t>No questions of a sensitive nature are asked. </w:t>
      </w:r>
    </w:p>
    <w:p w:rsidR="008C744F" w:rsidRPr="00FA470D" w:rsidP="008C744F" w14:paraId="74FDC489" w14:textId="77777777">
      <w:r>
        <w:pict>
          <v:rect id="_x0000_i1035" style="width:405pt;height:0.75pt" o:hrpct="0" o:hralign="center" o:hrstd="t" o:hrnoshade="t" o:hr="t" fillcolor="#414141" stroked="f"/>
        </w:pict>
      </w:r>
    </w:p>
    <w:p w:rsidR="008C744F" w:rsidRPr="00FA470D" w:rsidP="008C744F" w14:paraId="4669AB7D" w14:textId="77777777">
      <w:r w:rsidRPr="00FA470D">
        <w:rPr>
          <w:b/>
          <w:bCs/>
        </w:rPr>
        <w:t>12. Provide estimates of the hour burden of the collection of information. Indicate the number of respondents, frequency of response, annual hour burden, and an explanation of how the burden was estimated.</w:t>
      </w:r>
    </w:p>
    <w:p w:rsidR="008C744F" w:rsidRPr="00C91B93" w:rsidP="008C744F" w14:paraId="5EE4ADA7" w14:textId="2CA55DC3">
      <w:pPr>
        <w:rPr>
          <w:color w:val="4472C4" w:themeColor="accent1"/>
        </w:rPr>
      </w:pPr>
    </w:p>
    <w:p w:rsidR="008C744F" w:rsidRPr="00FA470D" w:rsidP="008C744F" w14:paraId="05E6D84E" w14:textId="77777777">
      <w:r w:rsidRPr="00FA470D">
        <w:rPr>
          <w:b/>
          <w:bCs/>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C744F" w:rsidRPr="00FA470D" w:rsidP="008C744F" w14:paraId="4970A281" w14:textId="77777777">
      <w:r w:rsidRPr="00FA470D">
        <w:rPr>
          <w:b/>
          <w:bCs/>
        </w:rPr>
        <w:t>B) Provide estimates of annualized cost to respondents for the hour burdens for collections of information, identifying and using appropriate wage rate categories.</w:t>
      </w:r>
    </w:p>
    <w:p w:rsidR="00B36796" w:rsidRPr="002D0C4A" w:rsidP="007F66C2" w14:paraId="35433F46" w14:textId="29A8504A">
      <w:pPr>
        <w:pStyle w:val="BodyText"/>
        <w:spacing w:before="199"/>
        <w:ind w:left="0" w:right="101"/>
        <w:rPr>
          <w:rFonts w:ascii="Times New Roman" w:hAnsi="Times New Roman" w:cs="Times New Roman"/>
        </w:rPr>
      </w:pPr>
      <w:r w:rsidRPr="002D0C4A">
        <w:rPr>
          <w:rFonts w:ascii="Times New Roman" w:hAnsi="Times New Roman" w:cs="Times New Roman"/>
        </w:rPr>
        <w:t xml:space="preserve">It is expected </w:t>
      </w:r>
      <w:r w:rsidR="00915090">
        <w:rPr>
          <w:rFonts w:ascii="Times New Roman" w:hAnsi="Times New Roman" w:cs="Times New Roman"/>
        </w:rPr>
        <w:t>that</w:t>
      </w:r>
      <w:r w:rsidRPr="002D0C4A">
        <w:rPr>
          <w:rFonts w:ascii="Times New Roman" w:hAnsi="Times New Roman" w:cs="Times New Roman"/>
        </w:rPr>
        <w:t xml:space="preserve"> 30 respondents from the Private Sector </w:t>
      </w:r>
      <w:r w:rsidR="00915090">
        <w:rPr>
          <w:rFonts w:ascii="Times New Roman" w:hAnsi="Times New Roman" w:cs="Times New Roman"/>
        </w:rPr>
        <w:t xml:space="preserve">will </w:t>
      </w:r>
      <w:r w:rsidRPr="002D0C4A">
        <w:rPr>
          <w:rFonts w:ascii="Times New Roman" w:hAnsi="Times New Roman" w:cs="Times New Roman"/>
        </w:rPr>
        <w:t xml:space="preserve">complete submissions to be considered for </w:t>
      </w:r>
      <w:r w:rsidR="00EE1644">
        <w:rPr>
          <w:rFonts w:ascii="Times New Roman" w:hAnsi="Times New Roman" w:cs="Times New Roman"/>
        </w:rPr>
        <w:t xml:space="preserve">automobile parts tariff offset </w:t>
      </w:r>
      <w:r w:rsidRPr="002D0C4A">
        <w:rPr>
          <w:rFonts w:ascii="Times New Roman" w:hAnsi="Times New Roman" w:cs="Times New Roman"/>
        </w:rPr>
        <w:t xml:space="preserve">treatment in connection with the </w:t>
      </w:r>
      <w:r w:rsidRPr="002D0C4A" w:rsidR="002D0C4A">
        <w:rPr>
          <w:rFonts w:ascii="Times New Roman" w:hAnsi="Times New Roman" w:cs="Times New Roman"/>
        </w:rPr>
        <w:t>Proclamation 10925 of April 29, 2025, “Amendments to Adjusting Imports of Automobiles and Automobile Parts Into the United States</w:t>
      </w:r>
      <w:r w:rsidR="009F73D4">
        <w:rPr>
          <w:rFonts w:ascii="Times New Roman" w:hAnsi="Times New Roman" w:cs="Times New Roman"/>
        </w:rPr>
        <w:t>.</w:t>
      </w:r>
      <w:r w:rsidRPr="002D0C4A" w:rsidR="002D0C4A">
        <w:rPr>
          <w:rFonts w:ascii="Times New Roman" w:hAnsi="Times New Roman" w:cs="Times New Roman"/>
        </w:rPr>
        <w:t>”</w:t>
      </w:r>
      <w:r w:rsidRPr="002D0C4A">
        <w:rPr>
          <w:rFonts w:ascii="Times New Roman" w:hAnsi="Times New Roman" w:cs="Times New Roman"/>
        </w:rPr>
        <w:t xml:space="preserve"> Those submissions are estimated to take each respondent </w:t>
      </w:r>
      <w:r w:rsidR="009F73D4">
        <w:rPr>
          <w:rFonts w:ascii="Times New Roman" w:hAnsi="Times New Roman" w:cs="Times New Roman"/>
        </w:rPr>
        <w:t>4</w:t>
      </w:r>
      <w:r w:rsidRPr="002D0C4A">
        <w:rPr>
          <w:rFonts w:ascii="Times New Roman" w:hAnsi="Times New Roman" w:cs="Times New Roman"/>
        </w:rPr>
        <w:t xml:space="preserve">0 hours to complete, </w:t>
      </w:r>
      <w:r w:rsidR="009F73D4">
        <w:rPr>
          <w:rFonts w:ascii="Times New Roman" w:hAnsi="Times New Roman" w:cs="Times New Roman"/>
        </w:rPr>
        <w:t xml:space="preserve">twice a year, </w:t>
      </w:r>
      <w:r w:rsidRPr="002D0C4A">
        <w:rPr>
          <w:rFonts w:ascii="Times New Roman" w:hAnsi="Times New Roman" w:cs="Times New Roman"/>
        </w:rPr>
        <w:t xml:space="preserve">resulting in </w:t>
      </w:r>
      <w:r w:rsidR="00744870">
        <w:rPr>
          <w:rFonts w:ascii="Times New Roman" w:hAnsi="Times New Roman" w:cs="Times New Roman"/>
        </w:rPr>
        <w:t xml:space="preserve">total estimated respondent </w:t>
      </w:r>
      <w:r w:rsidRPr="002D0C4A">
        <w:rPr>
          <w:rFonts w:ascii="Times New Roman" w:hAnsi="Times New Roman" w:cs="Times New Roman"/>
        </w:rPr>
        <w:t xml:space="preserve">burden hours of </w:t>
      </w:r>
      <w:r w:rsidR="009F73D4">
        <w:rPr>
          <w:rFonts w:ascii="Times New Roman" w:hAnsi="Times New Roman" w:cs="Times New Roman"/>
        </w:rPr>
        <w:t>2,4</w:t>
      </w:r>
      <w:r w:rsidRPr="002D0C4A">
        <w:rPr>
          <w:rFonts w:ascii="Times New Roman" w:hAnsi="Times New Roman" w:cs="Times New Roman"/>
        </w:rPr>
        <w:t>00.</w:t>
      </w:r>
    </w:p>
    <w:p w:rsidR="00B36796" w:rsidP="00B36796" w14:paraId="5EF3FB75" w14:textId="77777777">
      <w:pPr>
        <w:rPr>
          <w:sz w:val="24"/>
        </w:rPr>
      </w:pPr>
    </w:p>
    <w:p w:rsidR="00B36796" w:rsidP="00B36796" w14:paraId="510297C9" w14:textId="39DBEFF3">
      <w:pPr>
        <w:ind w:left="2120" w:right="2119"/>
        <w:jc w:val="center"/>
        <w:rPr>
          <w:b/>
          <w:sz w:val="24"/>
          <w:szCs w:val="24"/>
        </w:rPr>
      </w:pPr>
      <w:r w:rsidRPr="0016613A">
        <w:rPr>
          <w:b/>
          <w:sz w:val="24"/>
          <w:szCs w:val="24"/>
        </w:rPr>
        <w:t>Estimated Respondent Burden Hours</w:t>
      </w:r>
    </w:p>
    <w:tbl>
      <w:tblPr>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1CB31477" w14:textId="77777777" w:rsidTr="00ED520B">
        <w:tblPrEx>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604"/>
        </w:trPr>
        <w:tc>
          <w:tcPr>
            <w:tcW w:w="1500" w:type="dxa"/>
            <w:shd w:val="clear" w:color="auto" w:fill="BDD7EE"/>
          </w:tcPr>
          <w:p w:rsidR="00B36796" w:rsidRPr="00570F90" w:rsidP="00496373" w14:paraId="0A763591"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B36796" w:rsidRPr="00570F90" w:rsidP="00496373" w14:paraId="73F1C3D4"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B36796" w:rsidRPr="00570F90" w:rsidP="00496373" w14:paraId="1CF29926" w14:textId="77777777">
            <w:pPr>
              <w:jc w:val="center"/>
              <w:rPr>
                <w:b/>
                <w:bCs/>
                <w:sz w:val="24"/>
                <w:szCs w:val="24"/>
              </w:rPr>
            </w:pPr>
            <w:r w:rsidRPr="00570F90">
              <w:rPr>
                <w:b/>
                <w:bCs/>
                <w:sz w:val="24"/>
                <w:szCs w:val="24"/>
              </w:rPr>
              <w:t>Number of Respondents (a)</w:t>
            </w:r>
          </w:p>
        </w:tc>
        <w:tc>
          <w:tcPr>
            <w:tcW w:w="1440" w:type="dxa"/>
            <w:shd w:val="clear" w:color="auto" w:fill="BDD7EE"/>
          </w:tcPr>
          <w:p w:rsidR="00B36796" w:rsidRPr="00570F90" w:rsidP="00496373" w14:paraId="21EA0778"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B36796" w:rsidRPr="00570F90" w:rsidP="00496373" w14:paraId="2A2D5712" w14:textId="77777777">
            <w:pPr>
              <w:jc w:val="center"/>
              <w:rPr>
                <w:b/>
                <w:bCs/>
                <w:sz w:val="24"/>
                <w:szCs w:val="24"/>
              </w:rPr>
            </w:pPr>
            <w:r w:rsidRPr="00570F90">
              <w:rPr>
                <w:b/>
                <w:bCs/>
                <w:sz w:val="24"/>
                <w:szCs w:val="24"/>
              </w:rPr>
              <w:t>Total Number of Responses</w:t>
            </w:r>
          </w:p>
          <w:p w:rsidR="00B36796" w:rsidRPr="00570F90" w:rsidP="00496373" w14:paraId="2872042A" w14:textId="77777777">
            <w:pPr>
              <w:jc w:val="center"/>
              <w:rPr>
                <w:b/>
                <w:bCs/>
                <w:sz w:val="24"/>
                <w:szCs w:val="24"/>
              </w:rPr>
            </w:pPr>
            <w:r w:rsidRPr="00570F90">
              <w:rPr>
                <w:b/>
                <w:bCs/>
                <w:sz w:val="24"/>
                <w:szCs w:val="24"/>
              </w:rPr>
              <w:t>(c) = (a) x (b)</w:t>
            </w:r>
          </w:p>
        </w:tc>
        <w:tc>
          <w:tcPr>
            <w:tcW w:w="1350" w:type="dxa"/>
            <w:shd w:val="clear" w:color="auto" w:fill="BDD7EE"/>
          </w:tcPr>
          <w:p w:rsidR="00B36796" w:rsidRPr="00570F90" w:rsidP="00496373" w14:paraId="391682B2" w14:textId="77777777">
            <w:pPr>
              <w:jc w:val="center"/>
              <w:rPr>
                <w:b/>
                <w:bCs/>
                <w:sz w:val="24"/>
                <w:szCs w:val="24"/>
              </w:rPr>
            </w:pPr>
            <w:r w:rsidRPr="00570F90">
              <w:rPr>
                <w:b/>
                <w:bCs/>
                <w:sz w:val="24"/>
                <w:szCs w:val="24"/>
              </w:rPr>
              <w:t>Burden Hours Per Response (d)</w:t>
            </w:r>
          </w:p>
        </w:tc>
        <w:tc>
          <w:tcPr>
            <w:tcW w:w="1350" w:type="dxa"/>
            <w:shd w:val="clear" w:color="auto" w:fill="BDD7EE"/>
          </w:tcPr>
          <w:p w:rsidR="00B36796" w:rsidRPr="00570F90" w:rsidP="00496373" w14:paraId="2FA0AC6C" w14:textId="77777777">
            <w:pPr>
              <w:jc w:val="center"/>
              <w:rPr>
                <w:b/>
                <w:bCs/>
                <w:sz w:val="24"/>
                <w:szCs w:val="24"/>
              </w:rPr>
            </w:pPr>
            <w:r w:rsidRPr="00570F90">
              <w:rPr>
                <w:b/>
                <w:bCs/>
                <w:sz w:val="24"/>
                <w:szCs w:val="24"/>
              </w:rPr>
              <w:t>Total Burden Hours</w:t>
            </w:r>
          </w:p>
          <w:p w:rsidR="00B36796" w:rsidRPr="00570F90" w:rsidP="00496373" w14:paraId="42038932" w14:textId="77777777">
            <w:pPr>
              <w:jc w:val="center"/>
              <w:rPr>
                <w:b/>
                <w:bCs/>
                <w:sz w:val="24"/>
                <w:szCs w:val="24"/>
              </w:rPr>
            </w:pPr>
            <w:r w:rsidRPr="00570F90">
              <w:rPr>
                <w:b/>
                <w:bCs/>
                <w:sz w:val="24"/>
                <w:szCs w:val="24"/>
              </w:rPr>
              <w:t>(e) = (c) x (d)</w:t>
            </w:r>
          </w:p>
        </w:tc>
      </w:tr>
      <w:tr w14:paraId="7A2CCA05" w14:textId="77777777" w:rsidTr="00B36796">
        <w:tblPrEx>
          <w:tblW w:w="10410" w:type="dxa"/>
          <w:tblInd w:w="-543" w:type="dxa"/>
          <w:tblLayout w:type="fixed"/>
          <w:tblCellMar>
            <w:left w:w="0" w:type="dxa"/>
            <w:right w:w="0" w:type="dxa"/>
          </w:tblCellMar>
          <w:tblLook w:val="01E0"/>
        </w:tblPrEx>
        <w:trPr>
          <w:trHeight w:hRule="exact" w:val="1369"/>
        </w:trPr>
        <w:tc>
          <w:tcPr>
            <w:tcW w:w="1500" w:type="dxa"/>
            <w:tcBorders>
              <w:right w:val="single" w:sz="4" w:space="0" w:color="000000"/>
            </w:tcBorders>
          </w:tcPr>
          <w:p w:rsidR="00B36796" w:rsidP="00496373" w14:paraId="4BB607F8" w14:textId="70CCF854">
            <w:pPr>
              <w:jc w:val="center"/>
              <w:rPr>
                <w:sz w:val="24"/>
                <w:szCs w:val="24"/>
              </w:rPr>
            </w:pPr>
            <w:r>
              <w:rPr>
                <w:sz w:val="24"/>
                <w:szCs w:val="24"/>
              </w:rPr>
              <w:t xml:space="preserve">Automobile Parts Tariff Offset </w:t>
            </w:r>
            <w:r>
              <w:rPr>
                <w:sz w:val="24"/>
                <w:szCs w:val="24"/>
              </w:rPr>
              <w:t>Submissions</w:t>
            </w:r>
          </w:p>
        </w:tc>
        <w:tc>
          <w:tcPr>
            <w:tcW w:w="1710" w:type="dxa"/>
            <w:tcBorders>
              <w:left w:val="single" w:sz="4" w:space="0" w:color="000000"/>
              <w:right w:val="single" w:sz="4" w:space="0" w:color="000000"/>
            </w:tcBorders>
          </w:tcPr>
          <w:p w:rsidR="00B36796" w:rsidRPr="00692D20" w:rsidP="00496373" w14:paraId="215C808C" w14:textId="77777777">
            <w:pPr>
              <w:jc w:val="center"/>
              <w:rPr>
                <w:sz w:val="24"/>
                <w:szCs w:val="24"/>
              </w:rPr>
            </w:pPr>
            <w:r w:rsidRPr="00297E79">
              <w:rPr>
                <w:sz w:val="24"/>
                <w:szCs w:val="24"/>
              </w:rPr>
              <w:t>Private Sector</w:t>
            </w:r>
          </w:p>
        </w:tc>
        <w:tc>
          <w:tcPr>
            <w:tcW w:w="1620" w:type="dxa"/>
            <w:tcBorders>
              <w:left w:val="single" w:sz="4" w:space="0" w:color="000000"/>
              <w:right w:val="single" w:sz="4" w:space="0" w:color="000000"/>
            </w:tcBorders>
          </w:tcPr>
          <w:p w:rsidR="00B36796" w:rsidP="00496373" w14:paraId="74BC5153" w14:textId="27475B2D">
            <w:pPr>
              <w:jc w:val="center"/>
              <w:rPr>
                <w:sz w:val="24"/>
                <w:szCs w:val="24"/>
              </w:rPr>
            </w:pPr>
            <w:r>
              <w:rPr>
                <w:sz w:val="24"/>
                <w:szCs w:val="24"/>
              </w:rPr>
              <w:t>3</w:t>
            </w:r>
            <w:r>
              <w:rPr>
                <w:sz w:val="24"/>
                <w:szCs w:val="24"/>
              </w:rPr>
              <w:t>0</w:t>
            </w:r>
          </w:p>
        </w:tc>
        <w:tc>
          <w:tcPr>
            <w:tcW w:w="1440" w:type="dxa"/>
            <w:tcBorders>
              <w:left w:val="single" w:sz="4" w:space="0" w:color="000000"/>
              <w:right w:val="single" w:sz="4" w:space="0" w:color="000000"/>
            </w:tcBorders>
          </w:tcPr>
          <w:p w:rsidR="00B36796" w:rsidP="00496373" w14:paraId="7788CE84" w14:textId="77777777">
            <w:pPr>
              <w:jc w:val="center"/>
              <w:rPr>
                <w:sz w:val="24"/>
                <w:szCs w:val="24"/>
              </w:rPr>
            </w:pPr>
            <w:r>
              <w:rPr>
                <w:sz w:val="24"/>
                <w:szCs w:val="24"/>
              </w:rPr>
              <w:t>2</w:t>
            </w:r>
          </w:p>
        </w:tc>
        <w:tc>
          <w:tcPr>
            <w:tcW w:w="1440" w:type="dxa"/>
            <w:tcBorders>
              <w:left w:val="single" w:sz="4" w:space="0" w:color="000000"/>
              <w:right w:val="single" w:sz="4" w:space="0" w:color="000000"/>
            </w:tcBorders>
          </w:tcPr>
          <w:p w:rsidR="00B36796" w:rsidP="00496373" w14:paraId="56679769" w14:textId="413A4DAA">
            <w:pPr>
              <w:jc w:val="center"/>
              <w:rPr>
                <w:sz w:val="24"/>
                <w:szCs w:val="24"/>
              </w:rPr>
            </w:pPr>
            <w:r>
              <w:rPr>
                <w:sz w:val="24"/>
                <w:szCs w:val="24"/>
              </w:rPr>
              <w:t>6</w:t>
            </w:r>
            <w:r>
              <w:rPr>
                <w:sz w:val="24"/>
                <w:szCs w:val="24"/>
              </w:rPr>
              <w:t>0</w:t>
            </w:r>
          </w:p>
        </w:tc>
        <w:tc>
          <w:tcPr>
            <w:tcW w:w="1350" w:type="dxa"/>
            <w:tcBorders>
              <w:left w:val="single" w:sz="4" w:space="0" w:color="000000"/>
              <w:right w:val="single" w:sz="4" w:space="0" w:color="000000"/>
            </w:tcBorders>
          </w:tcPr>
          <w:p w:rsidR="00B36796" w:rsidP="00496373" w14:paraId="5F2881EA" w14:textId="5E2C4DCD">
            <w:pPr>
              <w:jc w:val="center"/>
              <w:rPr>
                <w:sz w:val="24"/>
                <w:szCs w:val="24"/>
              </w:rPr>
            </w:pPr>
            <w:r>
              <w:rPr>
                <w:sz w:val="24"/>
                <w:szCs w:val="24"/>
              </w:rPr>
              <w:t>4</w:t>
            </w:r>
            <w:r>
              <w:rPr>
                <w:sz w:val="24"/>
                <w:szCs w:val="24"/>
              </w:rPr>
              <w:t>0</w:t>
            </w:r>
          </w:p>
        </w:tc>
        <w:tc>
          <w:tcPr>
            <w:tcW w:w="1350" w:type="dxa"/>
            <w:tcBorders>
              <w:left w:val="single" w:sz="4" w:space="0" w:color="000000"/>
              <w:right w:val="single" w:sz="4" w:space="0" w:color="000000"/>
            </w:tcBorders>
          </w:tcPr>
          <w:p w:rsidR="00B36796" w:rsidP="00496373" w14:paraId="300CE7FE" w14:textId="7E9F0952">
            <w:pPr>
              <w:jc w:val="center"/>
              <w:rPr>
                <w:sz w:val="24"/>
                <w:szCs w:val="24"/>
              </w:rPr>
            </w:pPr>
            <w:r>
              <w:rPr>
                <w:sz w:val="24"/>
                <w:szCs w:val="24"/>
              </w:rPr>
              <w:t>2,4</w:t>
            </w:r>
            <w:r>
              <w:rPr>
                <w:sz w:val="24"/>
                <w:szCs w:val="24"/>
              </w:rPr>
              <w:t>00</w:t>
            </w:r>
          </w:p>
        </w:tc>
      </w:tr>
      <w:tr w14:paraId="1296E9E5" w14:textId="77777777" w:rsidTr="00B36796">
        <w:tblPrEx>
          <w:tblW w:w="10410" w:type="dxa"/>
          <w:tblInd w:w="-543"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B36796" w:rsidRPr="00AD44CD" w:rsidP="00496373" w14:paraId="234F1E59"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B36796" w:rsidRPr="00570F90" w:rsidP="00496373" w14:paraId="2D4C11FA"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B36796" w:rsidP="00496373" w14:paraId="5A5A6EE6"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P="00496373" w14:paraId="5A5D478B"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RPr="00AF4156" w:rsidP="00496373" w14:paraId="478E7F1B"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B36796" w:rsidP="00496373" w14:paraId="40AEFFF5"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B36796" w:rsidRPr="00AD44CD" w:rsidP="00496373" w14:paraId="149E28FB" w14:textId="2C07BFBD">
            <w:pPr>
              <w:jc w:val="center"/>
              <w:rPr>
                <w:b/>
                <w:bCs/>
                <w:sz w:val="24"/>
                <w:szCs w:val="24"/>
              </w:rPr>
            </w:pPr>
            <w:r>
              <w:rPr>
                <w:b/>
                <w:bCs/>
                <w:sz w:val="24"/>
                <w:szCs w:val="24"/>
              </w:rPr>
              <w:t>2,400</w:t>
            </w:r>
          </w:p>
        </w:tc>
      </w:tr>
    </w:tbl>
    <w:p w:rsidR="001E0486" w:rsidP="008C744F" w14:paraId="2927C23A" w14:textId="77777777"/>
    <w:p w:rsidR="001E0486" w:rsidP="008C744F" w14:paraId="74C2C029" w14:textId="77777777"/>
    <w:p w:rsidR="008C744F" w:rsidRPr="00FA470D" w:rsidP="008C744F" w14:paraId="6BD55D1A" w14:textId="218E8CF8">
      <w:r>
        <w:pict>
          <v:rect id="_x0000_i1036" style="width:405pt;height:0.75pt" o:hrpct="0" o:hralign="center" o:hrstd="t" o:hrnoshade="t" o:hr="t" fillcolor="#414141" stroked="f"/>
        </w:pict>
      </w:r>
    </w:p>
    <w:p w:rsidR="008C744F" w:rsidP="008C744F" w14:paraId="73619F36" w14:textId="77777777">
      <w:pPr>
        <w:rPr>
          <w:b/>
          <w:bCs/>
        </w:rPr>
      </w:pPr>
      <w:r w:rsidRPr="00FA470D">
        <w:rPr>
          <w:b/>
          <w:bCs/>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D520B" w:rsidRPr="00FA470D" w:rsidP="008C744F" w14:paraId="14F06CB0" w14:textId="77777777"/>
    <w:tbl>
      <w:tblPr>
        <w:tblW w:w="5099" w:type="pct"/>
        <w:tblLayout w:type="fixed"/>
        <w:tblLook w:val="04A0"/>
      </w:tblPr>
      <w:tblGrid>
        <w:gridCol w:w="2784"/>
        <w:gridCol w:w="1261"/>
        <w:gridCol w:w="1979"/>
        <w:gridCol w:w="1621"/>
        <w:gridCol w:w="1890"/>
      </w:tblGrid>
      <w:tr w14:paraId="5451701A"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7F06CC" w:rsidRPr="007F06CC" w:rsidP="007F06CC" w14:paraId="61907744" w14:textId="77777777">
            <w:pPr>
              <w:widowControl w:val="0"/>
              <w:autoSpaceDE w:val="0"/>
              <w:autoSpaceDN w:val="0"/>
              <w:spacing w:after="0" w:line="240" w:lineRule="auto"/>
              <w:ind w:left="360" w:right="250"/>
              <w:rPr>
                <w:rFonts w:ascii="Calibri" w:eastAsia="Arial" w:hAnsi="Calibri" w:cs="Arial"/>
                <w:b/>
                <w:bCs/>
                <w:color w:val="FFFFFF"/>
              </w:rPr>
            </w:pPr>
            <w:r w:rsidRPr="007F06CC">
              <w:rPr>
                <w:rFonts w:ascii="Calibri" w:eastAsia="Arial" w:hAnsi="Calibri" w:cs="Arial"/>
                <w:b/>
                <w:bCs/>
                <w:color w:val="FFFFFF"/>
              </w:rPr>
              <w:t>Respondent Occupation</w:t>
            </w:r>
          </w:p>
        </w:tc>
        <w:tc>
          <w:tcPr>
            <w:tcW w:w="661"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7E3C4996"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 of Client Pop.</w:t>
            </w:r>
          </w:p>
        </w:tc>
        <w:tc>
          <w:tcPr>
            <w:tcW w:w="1038"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69DFF02F"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Median Salary</w:t>
            </w:r>
          </w:p>
        </w:tc>
        <w:tc>
          <w:tcPr>
            <w:tcW w:w="850"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4F0E1C1B"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Hourly Rate</w:t>
            </w:r>
          </w:p>
        </w:tc>
        <w:tc>
          <w:tcPr>
            <w:tcW w:w="991" w:type="pct"/>
            <w:tcBorders>
              <w:top w:val="single" w:sz="4" w:space="0" w:color="8EA9DB"/>
              <w:left w:val="nil"/>
              <w:bottom w:val="single" w:sz="4" w:space="0" w:color="8EA9DB"/>
              <w:right w:val="single" w:sz="4" w:space="0" w:color="8EA9DB"/>
            </w:tcBorders>
            <w:shd w:val="clear" w:color="4472C4" w:fill="4472C4"/>
            <w:noWrap/>
            <w:vAlign w:val="bottom"/>
            <w:hideMark/>
          </w:tcPr>
          <w:p w:rsidR="007F06CC" w:rsidRPr="007F06CC" w:rsidP="007F06CC" w14:paraId="6B591A43"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Weighted  Avg. Rate</w:t>
            </w:r>
          </w:p>
        </w:tc>
      </w:tr>
      <w:tr w14:paraId="0E21CB1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534687B6"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Executive</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3D12B08"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A6CAA8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$102,690.00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5D7922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$49.37</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4A0DCA9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$13.55</w:t>
            </w:r>
          </w:p>
        </w:tc>
      </w:tr>
      <w:tr w14:paraId="14DFD15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4178E8B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International Business Development</w:t>
            </w: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56850A5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8E9FB6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$52,649.00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535F664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$25.31</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0DE492C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$6.43</w:t>
            </w:r>
          </w:p>
        </w:tc>
      </w:tr>
      <w:tr w14:paraId="37BDE9A2"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696E7913"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Sales</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4E27CDE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20%</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81213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$24,809.00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891116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$11.93</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55698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$2.39</w:t>
            </w:r>
          </w:p>
        </w:tc>
      </w:tr>
      <w:tr w14:paraId="6B0869E4"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0BB8CF49"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Customer Service</w:t>
            </w: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BF4D86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9%</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0B1F63D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$31,493.00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E467A0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$15.14</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00C39A7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$1.33</w:t>
            </w:r>
          </w:p>
        </w:tc>
      </w:tr>
      <w:tr w14:paraId="48BD87BD"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3CD33A4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Government Relations</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E7085B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DC5E2D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$79,168.00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7B9B4E0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$38.06</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0C73A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$2.60</w:t>
            </w:r>
          </w:p>
        </w:tc>
      </w:tr>
      <w:tr w14:paraId="229DC274"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2A0D2EBC"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Export Logistics</w:t>
            </w: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56C6AA4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1E803B2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$50,612.00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386AA96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$24.33</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6EF0B00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w:t>
            </w:r>
          </w:p>
        </w:tc>
      </w:tr>
      <w:tr w14:paraId="292D31A3"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939A1C0"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Policy Director</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2FF12C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E800F7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$78,029.00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31DE4A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$37.51</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7E6B7F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$1.16</w:t>
            </w:r>
          </w:p>
        </w:tc>
      </w:tr>
      <w:tr w14:paraId="6ACACDF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45D6140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External Consultant/Legal Representative</w:t>
            </w: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0CC2E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742AA1D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$78,120.00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22908FE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$37.56</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1EEC502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$0.52</w:t>
            </w:r>
          </w:p>
        </w:tc>
      </w:tr>
      <w:tr w14:paraId="0E1A040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014C5D9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In-house Legal Counsel</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9B024A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57A111A"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$143,307.00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6EEE4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$68.90</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25CEEAF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$0.78</w:t>
            </w:r>
          </w:p>
        </w:tc>
      </w:tr>
      <w:tr w14:paraId="4224D81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1718DCF4"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Other</w:t>
            </w: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2FE14BC4"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8%</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712470D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$59,039.00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1E0A1C1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$28.38</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04E4372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$2.21</w:t>
            </w:r>
          </w:p>
        </w:tc>
      </w:tr>
      <w:tr w14:paraId="5B9F2641"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A82CD0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Weighted Avg. Hourly Rate</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700B494" w14:textId="77777777">
            <w:pPr>
              <w:widowControl w:val="0"/>
              <w:autoSpaceDE w:val="0"/>
              <w:autoSpaceDN w:val="0"/>
              <w:spacing w:after="0" w:line="240" w:lineRule="auto"/>
              <w:ind w:left="360" w:right="250"/>
              <w:jc w:val="right"/>
              <w:rPr>
                <w:rFonts w:ascii="Calibri" w:eastAsia="Arial" w:hAnsi="Calibri" w:cs="Arial"/>
                <w:color w:val="000000"/>
              </w:rPr>
            </w:pP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11C513A"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6651882" w14:textId="77777777">
            <w:pPr>
              <w:widowControl w:val="0"/>
              <w:autoSpaceDE w:val="0"/>
              <w:autoSpaceDN w:val="0"/>
              <w:spacing w:after="0" w:line="240" w:lineRule="auto"/>
              <w:ind w:left="360" w:right="250"/>
              <w:jc w:val="right"/>
              <w:rPr>
                <w:rFonts w:ascii="Arial" w:eastAsia="Arial" w:hAnsi="Arial" w:cs="Arial"/>
                <w:sz w:val="20"/>
              </w:rPr>
            </w:pP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F69DF0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$30.19</w:t>
            </w:r>
          </w:p>
        </w:tc>
      </w:tr>
      <w:tr w14:paraId="0192C00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038B635C" w14:textId="77777777">
            <w:pPr>
              <w:widowControl w:val="0"/>
              <w:autoSpaceDE w:val="0"/>
              <w:autoSpaceDN w:val="0"/>
              <w:spacing w:after="0" w:line="240" w:lineRule="auto"/>
              <w:ind w:left="360" w:right="250"/>
              <w:jc w:val="right"/>
              <w:rPr>
                <w:rFonts w:ascii="Calibri" w:eastAsia="Arial" w:hAnsi="Calibri" w:cs="Arial"/>
                <w:color w:val="000000"/>
              </w:rPr>
            </w:pP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156F6870" w14:textId="77777777">
            <w:pPr>
              <w:widowControl w:val="0"/>
              <w:autoSpaceDE w:val="0"/>
              <w:autoSpaceDN w:val="0"/>
              <w:spacing w:after="0" w:line="240" w:lineRule="auto"/>
              <w:ind w:left="360" w:right="250"/>
              <w:jc w:val="right"/>
              <w:rPr>
                <w:rFonts w:ascii="Arial" w:eastAsia="Arial" w:hAnsi="Arial" w:cs="Arial"/>
                <w:sz w:val="20"/>
              </w:rPr>
            </w:pP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6E064403"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016C1131" w14:textId="2D96C009">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 xml:space="preserve">x </w:t>
            </w:r>
            <w:r>
              <w:rPr>
                <w:rFonts w:ascii="Calibri" w:eastAsia="Arial" w:hAnsi="Calibri" w:cs="Arial"/>
                <w:color w:val="000000"/>
              </w:rPr>
              <w:t>2</w:t>
            </w:r>
            <w:r w:rsidRPr="007F06CC">
              <w:rPr>
                <w:rFonts w:ascii="Calibri" w:eastAsia="Arial" w:hAnsi="Calibri" w:cs="Arial"/>
                <w:color w:val="000000"/>
              </w:rPr>
              <w:t>,</w:t>
            </w:r>
            <w:r>
              <w:rPr>
                <w:rFonts w:ascii="Calibri" w:eastAsia="Arial" w:hAnsi="Calibri" w:cs="Arial"/>
                <w:color w:val="000000"/>
              </w:rPr>
              <w:t>400</w:t>
            </w:r>
            <w:r w:rsidRPr="007F06CC">
              <w:rPr>
                <w:rFonts w:ascii="Calibri" w:eastAsia="Arial" w:hAnsi="Calibri" w:cs="Arial"/>
                <w:color w:val="000000"/>
              </w:rPr>
              <w:t xml:space="preserve"> hours</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29DC4012" w14:textId="763648D1">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w:t>
            </w:r>
            <w:r w:rsidR="00761B20">
              <w:rPr>
                <w:rFonts w:ascii="Calibri" w:eastAsia="Arial" w:hAnsi="Calibri" w:cs="Arial"/>
                <w:color w:val="000000"/>
              </w:rPr>
              <w:t>72,456</w:t>
            </w:r>
          </w:p>
        </w:tc>
      </w:tr>
    </w:tbl>
    <w:p w:rsidR="008C744F" w:rsidRPr="00FA470D" w:rsidP="008C744F" w14:paraId="70267087" w14:textId="77777777">
      <w:r>
        <w:pict>
          <v:rect id="_x0000_i1037" style="width:405pt;height:0.75pt" o:hrpct="0" o:hralign="center" o:hrstd="t" o:hrnoshade="t" o:hr="t" fillcolor="#414141" stroked="f"/>
        </w:pict>
      </w:r>
    </w:p>
    <w:p w:rsidR="008C744F" w:rsidRPr="00FA470D" w:rsidP="008C744F" w14:paraId="0DB7E4A8" w14:textId="0918BA2F">
      <w:r w:rsidRPr="43C9104C">
        <w:rPr>
          <w:b/>
          <w:bCs/>
        </w:rPr>
        <w:t xml:space="preserve">14. Provide estimates of annualized cost to the Federal government. </w:t>
      </w:r>
      <w:r w:rsidRPr="43C9104C" w:rsidR="196AB1DC">
        <w:rPr>
          <w:b/>
          <w:bCs/>
        </w:rPr>
        <w:t>Also, p</w:t>
      </w:r>
      <w:r w:rsidRPr="43C9104C">
        <w:rPr>
          <w:b/>
          <w:bCs/>
        </w:rPr>
        <w:t>rovide a description of the method used to estimate cost and any other expense that would not have been incurred without this collection of information.</w:t>
      </w:r>
    </w:p>
    <w:p w:rsidR="007072CF" w:rsidRPr="00795A45" w:rsidP="007072CF" w14:paraId="7DF0C2B3" w14:textId="222629A2">
      <w:pPr>
        <w:widowControl w:val="0"/>
        <w:autoSpaceDE w:val="0"/>
        <w:autoSpaceDN w:val="0"/>
        <w:spacing w:before="160" w:after="0"/>
        <w:ind w:right="513"/>
        <w:rPr>
          <w:rFonts w:ascii="Times New Roman" w:hAnsi="Times New Roman" w:cs="Times New Roman"/>
          <w:sz w:val="24"/>
          <w:szCs w:val="24"/>
        </w:rPr>
      </w:pPr>
      <w:r w:rsidRPr="00795A45">
        <w:rPr>
          <w:rFonts w:ascii="Times New Roman" w:hAnsi="Times New Roman" w:cs="Times New Roman"/>
          <w:sz w:val="24"/>
          <w:szCs w:val="24"/>
        </w:rPr>
        <w:t xml:space="preserve">It will take ITA staff approximately </w:t>
      </w:r>
      <w:r w:rsidRPr="00795A45" w:rsidR="00502212">
        <w:rPr>
          <w:rFonts w:ascii="Times New Roman" w:hAnsi="Times New Roman" w:cs="Times New Roman"/>
          <w:sz w:val="24"/>
          <w:szCs w:val="24"/>
        </w:rPr>
        <w:t>4</w:t>
      </w:r>
      <w:r w:rsidRPr="00795A45">
        <w:rPr>
          <w:rFonts w:ascii="Times New Roman" w:hAnsi="Times New Roman" w:cs="Times New Roman"/>
          <w:sz w:val="24"/>
          <w:szCs w:val="24"/>
        </w:rPr>
        <w:t xml:space="preserve"> hours to review and process each Tariff Preferential Treatment Submission. The total estimated cost would be approximately $</w:t>
      </w:r>
      <w:r w:rsidRPr="00795A45" w:rsidR="007262C0">
        <w:rPr>
          <w:rFonts w:ascii="Times New Roman" w:hAnsi="Times New Roman" w:cs="Times New Roman"/>
          <w:sz w:val="24"/>
          <w:szCs w:val="24"/>
        </w:rPr>
        <w:t>111,600</w:t>
      </w:r>
      <w:r w:rsidRPr="00795A45">
        <w:rPr>
          <w:rFonts w:ascii="Times New Roman" w:hAnsi="Times New Roman" w:cs="Times New Roman"/>
          <w:sz w:val="24"/>
          <w:szCs w:val="24"/>
        </w:rPr>
        <w:t xml:space="preserve"> per year (</w:t>
      </w:r>
      <w:r w:rsidRPr="00795A45" w:rsidR="007262C0">
        <w:rPr>
          <w:rFonts w:ascii="Times New Roman" w:hAnsi="Times New Roman" w:cs="Times New Roman"/>
          <w:sz w:val="24"/>
          <w:szCs w:val="24"/>
        </w:rPr>
        <w:t>6</w:t>
      </w:r>
      <w:r w:rsidRPr="00795A45">
        <w:rPr>
          <w:rFonts w:ascii="Times New Roman" w:hAnsi="Times New Roman" w:cs="Times New Roman"/>
          <w:sz w:val="24"/>
          <w:szCs w:val="24"/>
        </w:rPr>
        <w:t>0 submissions * 3 staff at an average GS-14 salary ($155/hr)</w:t>
      </w:r>
      <w:r>
        <w:rPr>
          <w:rFonts w:ascii="Times New Roman" w:hAnsi="Times New Roman" w:cs="Times New Roman"/>
          <w:sz w:val="24"/>
          <w:szCs w:val="24"/>
          <w:vertAlign w:val="superscript"/>
        </w:rPr>
        <w:footnoteReference w:id="2"/>
      </w:r>
      <w:r w:rsidRPr="00795A45">
        <w:rPr>
          <w:rFonts w:ascii="Times New Roman" w:hAnsi="Times New Roman" w:cs="Times New Roman"/>
          <w:sz w:val="24"/>
          <w:szCs w:val="24"/>
        </w:rPr>
        <w:t xml:space="preserve"> * </w:t>
      </w:r>
      <w:r w:rsidRPr="00795A45" w:rsidR="007262C0">
        <w:rPr>
          <w:rFonts w:ascii="Times New Roman" w:hAnsi="Times New Roman" w:cs="Times New Roman"/>
          <w:sz w:val="24"/>
          <w:szCs w:val="24"/>
        </w:rPr>
        <w:t>4</w:t>
      </w:r>
      <w:r w:rsidRPr="00795A45">
        <w:rPr>
          <w:rFonts w:ascii="Times New Roman" w:hAnsi="Times New Roman" w:cs="Times New Roman"/>
          <w:sz w:val="24"/>
          <w:szCs w:val="24"/>
        </w:rPr>
        <w:t xml:space="preserve"> hours each to review for each submission).  </w:t>
      </w:r>
    </w:p>
    <w:p w:rsidR="008C744F" w:rsidRPr="00FA470D" w:rsidP="008C744F" w14:paraId="6EA98699" w14:textId="77777777">
      <w:r>
        <w:pict>
          <v:rect id="_x0000_i1038" style="width:405pt;height:0.75pt" o:hrpct="0" o:hralign="center" o:hrstd="t" o:hrnoshade="t" o:hr="t" fillcolor="#414141" stroked="f"/>
        </w:pict>
      </w:r>
    </w:p>
    <w:p w:rsidR="008C744F" w:rsidP="008C744F" w14:paraId="789D9FFA" w14:textId="77777777">
      <w:pPr>
        <w:rPr>
          <w:b/>
          <w:bCs/>
        </w:rPr>
      </w:pPr>
    </w:p>
    <w:p w:rsidR="008C744F" w:rsidRPr="00FA470D" w:rsidP="008C744F" w14:paraId="520F4410" w14:textId="77777777">
      <w:r w:rsidRPr="00FA470D">
        <w:rPr>
          <w:b/>
          <w:bCs/>
        </w:rPr>
        <w:t>15. Explain the reasons for any program changes or adjustments reported in Items 13 or 14 of the OMB Form 83-1.</w:t>
      </w:r>
    </w:p>
    <w:p w:rsidR="008C744F" w:rsidRPr="00795A45" w:rsidP="008C744F" w14:paraId="0E58233F" w14:textId="68C03137">
      <w:pPr>
        <w:rPr>
          <w:rFonts w:ascii="Times New Roman" w:hAnsi="Times New Roman" w:cs="Times New Roman"/>
          <w:sz w:val="24"/>
          <w:szCs w:val="24"/>
        </w:rPr>
      </w:pPr>
      <w:r w:rsidRPr="00227F3C">
        <w:rPr>
          <w:rFonts w:ascii="Times New Roman" w:hAnsi="Times New Roman" w:cs="Times New Roman"/>
          <w:sz w:val="24"/>
          <w:szCs w:val="24"/>
        </w:rPr>
        <w:t>This is a new information collection.</w:t>
      </w:r>
      <w:r w:rsidRPr="00795A45">
        <w:rPr>
          <w:rFonts w:ascii="Times New Roman" w:hAnsi="Times New Roman" w:cs="Times New Roman"/>
          <w:sz w:val="24"/>
          <w:szCs w:val="24"/>
        </w:rPr>
        <w:t>   </w:t>
      </w:r>
    </w:p>
    <w:p w:rsidR="008C744F" w:rsidRPr="00FA470D" w:rsidP="008C744F" w14:paraId="664CF164" w14:textId="77777777">
      <w:r>
        <w:pict>
          <v:rect id="_x0000_i1039" style="width:405pt;height:0.75pt" o:hrpct="0" o:hralign="center" o:hrstd="t" o:hrnoshade="t" o:hr="t" fillcolor="#414141" stroked="f"/>
        </w:pict>
      </w:r>
    </w:p>
    <w:p w:rsidR="008C744F" w:rsidRPr="00FA470D" w:rsidP="008C744F" w14:paraId="30D56A70" w14:textId="77777777">
      <w:r w:rsidRPr="00FA470D">
        <w:rPr>
          <w:b/>
          <w:bCs/>
        </w:rPr>
        <w:t>16. For collections of information whose results are planned to be published, outline plans for tabulation and publication.</w:t>
      </w:r>
    </w:p>
    <w:p w:rsidR="005056F4" w:rsidP="005056F4" w14:paraId="4724C75D" w14:textId="77777777">
      <w:pPr>
        <w:pStyle w:val="BodyText"/>
        <w:spacing w:before="161"/>
        <w:ind w:left="0" w:right="87"/>
        <w:rPr>
          <w:rFonts w:ascii="Times New Roman" w:hAnsi="Times New Roman" w:cs="Times New Roman"/>
        </w:rPr>
      </w:pPr>
    </w:p>
    <w:p w:rsidR="005056F4" w:rsidRPr="005056F4" w:rsidP="005056F4" w14:paraId="765CFBD7" w14:textId="58AB8547">
      <w:pPr>
        <w:pStyle w:val="BodyText"/>
        <w:spacing w:before="161"/>
        <w:ind w:left="0" w:right="87"/>
        <w:rPr>
          <w:rFonts w:ascii="Times New Roman" w:hAnsi="Times New Roman" w:cs="Times New Roman"/>
        </w:rPr>
      </w:pPr>
      <w:r w:rsidRPr="005056F4">
        <w:rPr>
          <w:rFonts w:ascii="Times New Roman" w:hAnsi="Times New Roman" w:cs="Times New Roman"/>
        </w:rPr>
        <w:t>Not applicable.</w:t>
      </w:r>
    </w:p>
    <w:p w:rsidR="008C744F" w:rsidRPr="00FA470D" w:rsidP="008C744F" w14:paraId="54594807" w14:textId="77777777">
      <w:r>
        <w:pict>
          <v:rect id="_x0000_i1040" style="width:405pt;height:0.75pt" o:hrpct="0" o:hralign="center" o:hrstd="t" o:hrnoshade="t" o:hr="t" fillcolor="#414141" stroked="f"/>
        </w:pict>
      </w:r>
    </w:p>
    <w:p w:rsidR="008C744F" w:rsidP="008C744F" w14:paraId="002D271D" w14:textId="77777777">
      <w:pPr>
        <w:rPr>
          <w:b/>
          <w:bCs/>
        </w:rPr>
      </w:pPr>
    </w:p>
    <w:p w:rsidR="008C744F" w:rsidRPr="00FA470D" w:rsidP="008C744F" w14:paraId="5F422C98" w14:textId="77777777">
      <w:r w:rsidRPr="00FA470D">
        <w:rPr>
          <w:b/>
          <w:bCs/>
        </w:rPr>
        <w:t>17. If seeking approval to not display the expiration date for OMB approval of the information collection, explain the reasons that display would be inappropriate.</w:t>
      </w:r>
    </w:p>
    <w:p w:rsidR="00A642BC" w:rsidP="00A642BC" w14:paraId="5E27FA31" w14:textId="77777777">
      <w:pPr>
        <w:pStyle w:val="BodyText"/>
        <w:spacing w:before="161"/>
        <w:ind w:left="0" w:right="87"/>
        <w:rPr>
          <w:rFonts w:ascii="Times New Roman" w:hAnsi="Times New Roman" w:cs="Times New Roman"/>
        </w:rPr>
      </w:pPr>
    </w:p>
    <w:p w:rsidR="008C744F" w:rsidRPr="00FA470D" w:rsidP="008C744F" w14:paraId="62E908EA" w14:textId="65421853">
      <w:r w:rsidRPr="00227F3C">
        <w:rPr>
          <w:rFonts w:ascii="Times New Roman" w:eastAsia="Arial" w:hAnsi="Times New Roman" w:cs="Times New Roman"/>
          <w:sz w:val="24"/>
          <w:szCs w:val="24"/>
        </w:rPr>
        <w:t>The agency plans to display the expiration date for OMB approval of the information collection on all instruments.</w:t>
      </w:r>
      <w:r w:rsidRPr="00795A45">
        <w:rPr>
          <w:rFonts w:ascii="Times New Roman" w:eastAsia="Arial" w:hAnsi="Times New Roman" w:cs="Times New Roman"/>
          <w:sz w:val="24"/>
          <w:szCs w:val="24"/>
        </w:rPr>
        <w:t> </w:t>
      </w:r>
      <w:r>
        <w:pict>
          <v:rect id="_x0000_i1041" style="width:405pt;height:0.75pt" o:hrpct="0" o:hralign="center" o:hrstd="t" o:hrnoshade="t" o:hr="t" fillcolor="#414141" stroked="f"/>
        </w:pict>
      </w:r>
    </w:p>
    <w:p w:rsidR="008C744F" w:rsidRPr="00FA470D" w:rsidP="008C744F" w14:paraId="2107E787" w14:textId="77777777">
      <w:r w:rsidRPr="00FA470D">
        <w:rPr>
          <w:b/>
          <w:bCs/>
        </w:rPr>
        <w:t>18. Explain each exception to the certification statement identified in Item 19 "Certification for Paperwork Reduction Act."</w:t>
      </w:r>
    </w:p>
    <w:p w:rsidR="008C744F" w:rsidRPr="00FA470D" w:rsidP="008C744F" w14:paraId="4749FCCF" w14:textId="77777777">
      <w:r w:rsidRPr="00FA470D">
        <w:rPr>
          <w:b/>
          <w:bCs/>
        </w:rPr>
        <w:t>A. Certification Statement</w:t>
      </w:r>
    </w:p>
    <w:p w:rsidR="00795A45" w:rsidRPr="009A3615" w:rsidP="008C744F" w14:paraId="6B339A70" w14:textId="74DDC2AD">
      <w:pPr>
        <w:rPr>
          <w:rFonts w:ascii="Times New Roman" w:hAnsi="Times New Roman" w:cs="Times New Roman"/>
          <w:sz w:val="24"/>
          <w:szCs w:val="24"/>
        </w:rPr>
      </w:pPr>
      <w:r w:rsidRPr="00227F3C">
        <w:rPr>
          <w:rFonts w:ascii="Times New Roman" w:hAnsi="Times New Roman" w:cs="Times New Roman"/>
          <w:sz w:val="24"/>
          <w:szCs w:val="24"/>
        </w:rPr>
        <w:t>The agency is able to certify compliance with all provisions under Item 19 of OMB Form 83-I.</w:t>
      </w:r>
    </w:p>
    <w:p w:rsidR="008C744F" w:rsidP="008C744F" w14:paraId="6A031A11" w14:textId="77777777"/>
    <w:p w:rsidR="008C744F" w:rsidP="008C744F" w14:paraId="140BF5FD" w14:textId="77777777"/>
    <w:p w:rsidR="008C744F" w:rsidP="008C744F" w14:paraId="29E8AF65" w14:textId="77777777"/>
    <w:p w:rsidR="008C744F" w:rsidP="008C744F" w14:paraId="5E9D9047" w14:textId="77777777"/>
    <w:p w:rsidR="008C744F" w:rsidP="008C744F" w14:paraId="5DB4E4C9" w14:textId="77777777"/>
    <w:p w:rsidR="00237358" w14:paraId="064B41B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7C44" w:rsidP="007072CF" w14:paraId="02020C46" w14:textId="77777777">
      <w:pPr>
        <w:spacing w:after="0" w:line="240" w:lineRule="auto"/>
      </w:pPr>
      <w:r>
        <w:separator/>
      </w:r>
    </w:p>
  </w:footnote>
  <w:footnote w:type="continuationSeparator" w:id="1">
    <w:p w:rsidR="004C7C44" w:rsidP="007072CF" w14:paraId="6EBD6BBF" w14:textId="77777777">
      <w:pPr>
        <w:spacing w:after="0" w:line="240" w:lineRule="auto"/>
      </w:pPr>
      <w:r>
        <w:continuationSeparator/>
      </w:r>
    </w:p>
  </w:footnote>
  <w:footnote w:id="2">
    <w:p w:rsidR="007072CF" w:rsidP="007072CF" w14:paraId="3E923FAB" w14:textId="77777777">
      <w:pPr>
        <w:pStyle w:val="FootnoteText"/>
      </w:pPr>
      <w:r>
        <w:rPr>
          <w:rStyle w:val="FootnoteReference"/>
        </w:rPr>
        <w:footnoteRef/>
      </w:r>
      <w:r>
        <w:t xml:space="preserve"> This value is based on GS 14 step five employees in the Washington, DC locality area in 2025, and the wage rate is adjusted upward by 100% to account for overhead and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15298C"/>
    <w:multiLevelType w:val="multilevel"/>
    <w:tmpl w:val="0E0C4EF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2770550">
    <w:abstractNumId w:val="1"/>
  </w:num>
  <w:num w:numId="2" w16cid:durableId="2063406357">
    <w:abstractNumId w:val="6"/>
  </w:num>
  <w:num w:numId="3" w16cid:durableId="181943650">
    <w:abstractNumId w:val="7"/>
  </w:num>
  <w:num w:numId="4" w16cid:durableId="468976921">
    <w:abstractNumId w:val="2"/>
  </w:num>
  <w:num w:numId="5" w16cid:durableId="917326098">
    <w:abstractNumId w:val="4"/>
  </w:num>
  <w:num w:numId="6" w16cid:durableId="1845240693">
    <w:abstractNumId w:val="0"/>
  </w:num>
  <w:num w:numId="7" w16cid:durableId="1577209628">
    <w:abstractNumId w:val="3"/>
  </w:num>
  <w:num w:numId="8" w16cid:durableId="663553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F"/>
    <w:rsid w:val="00002E82"/>
    <w:rsid w:val="0001548F"/>
    <w:rsid w:val="00044BED"/>
    <w:rsid w:val="000833CE"/>
    <w:rsid w:val="00092EAC"/>
    <w:rsid w:val="000B7771"/>
    <w:rsid w:val="000C0AFD"/>
    <w:rsid w:val="000C2F4F"/>
    <w:rsid w:val="000C7FA2"/>
    <w:rsid w:val="000D3671"/>
    <w:rsid w:val="000F526B"/>
    <w:rsid w:val="00126793"/>
    <w:rsid w:val="00163B23"/>
    <w:rsid w:val="0016613A"/>
    <w:rsid w:val="001E0486"/>
    <w:rsid w:val="001E13AD"/>
    <w:rsid w:val="002016E7"/>
    <w:rsid w:val="00212E8A"/>
    <w:rsid w:val="00227F3C"/>
    <w:rsid w:val="00237358"/>
    <w:rsid w:val="00242158"/>
    <w:rsid w:val="00261CC6"/>
    <w:rsid w:val="0026391C"/>
    <w:rsid w:val="00273F18"/>
    <w:rsid w:val="002807DB"/>
    <w:rsid w:val="00287732"/>
    <w:rsid w:val="00297E79"/>
    <w:rsid w:val="002A22A3"/>
    <w:rsid w:val="002B6B9B"/>
    <w:rsid w:val="002D0C4A"/>
    <w:rsid w:val="00316FAF"/>
    <w:rsid w:val="00332D81"/>
    <w:rsid w:val="00364EAB"/>
    <w:rsid w:val="00390F62"/>
    <w:rsid w:val="0039286D"/>
    <w:rsid w:val="003A1E30"/>
    <w:rsid w:val="003E7E11"/>
    <w:rsid w:val="004052FC"/>
    <w:rsid w:val="004069AF"/>
    <w:rsid w:val="00444052"/>
    <w:rsid w:val="00455EA3"/>
    <w:rsid w:val="00473822"/>
    <w:rsid w:val="00480BF1"/>
    <w:rsid w:val="00496373"/>
    <w:rsid w:val="004C7C44"/>
    <w:rsid w:val="004E3FEA"/>
    <w:rsid w:val="004F1378"/>
    <w:rsid w:val="00502212"/>
    <w:rsid w:val="005056F4"/>
    <w:rsid w:val="00570F90"/>
    <w:rsid w:val="00575550"/>
    <w:rsid w:val="0059000E"/>
    <w:rsid w:val="00597490"/>
    <w:rsid w:val="00636940"/>
    <w:rsid w:val="00646ADD"/>
    <w:rsid w:val="00651588"/>
    <w:rsid w:val="00671EF7"/>
    <w:rsid w:val="00675D9D"/>
    <w:rsid w:val="00692D20"/>
    <w:rsid w:val="006A48B6"/>
    <w:rsid w:val="006C5C2F"/>
    <w:rsid w:val="007072CF"/>
    <w:rsid w:val="0071781A"/>
    <w:rsid w:val="007262C0"/>
    <w:rsid w:val="00744870"/>
    <w:rsid w:val="00761B20"/>
    <w:rsid w:val="007777B4"/>
    <w:rsid w:val="00795A45"/>
    <w:rsid w:val="007C4C71"/>
    <w:rsid w:val="007D1742"/>
    <w:rsid w:val="007E777B"/>
    <w:rsid w:val="007F06CC"/>
    <w:rsid w:val="007F66C2"/>
    <w:rsid w:val="0082085E"/>
    <w:rsid w:val="00845359"/>
    <w:rsid w:val="008576EB"/>
    <w:rsid w:val="00861E3F"/>
    <w:rsid w:val="0089245E"/>
    <w:rsid w:val="008A586D"/>
    <w:rsid w:val="008B1746"/>
    <w:rsid w:val="008C744F"/>
    <w:rsid w:val="00915090"/>
    <w:rsid w:val="00943DD8"/>
    <w:rsid w:val="00944114"/>
    <w:rsid w:val="00950CB3"/>
    <w:rsid w:val="00963C6D"/>
    <w:rsid w:val="00994B41"/>
    <w:rsid w:val="009A3615"/>
    <w:rsid w:val="009C0ECC"/>
    <w:rsid w:val="009C46CE"/>
    <w:rsid w:val="009D6F2B"/>
    <w:rsid w:val="009D7CDB"/>
    <w:rsid w:val="009F73D4"/>
    <w:rsid w:val="00A22E9A"/>
    <w:rsid w:val="00A635AE"/>
    <w:rsid w:val="00A642BC"/>
    <w:rsid w:val="00AD44CD"/>
    <w:rsid w:val="00AF4156"/>
    <w:rsid w:val="00B035FD"/>
    <w:rsid w:val="00B36796"/>
    <w:rsid w:val="00B441B9"/>
    <w:rsid w:val="00B550D0"/>
    <w:rsid w:val="00BA3AFE"/>
    <w:rsid w:val="00C55293"/>
    <w:rsid w:val="00C6370F"/>
    <w:rsid w:val="00C76018"/>
    <w:rsid w:val="00C91B93"/>
    <w:rsid w:val="00C953E8"/>
    <w:rsid w:val="00CC1071"/>
    <w:rsid w:val="00CE4633"/>
    <w:rsid w:val="00D1434F"/>
    <w:rsid w:val="00D54548"/>
    <w:rsid w:val="00D741B7"/>
    <w:rsid w:val="00D9079E"/>
    <w:rsid w:val="00DA498C"/>
    <w:rsid w:val="00DA7F1A"/>
    <w:rsid w:val="00DB3728"/>
    <w:rsid w:val="00DF0BE8"/>
    <w:rsid w:val="00E34F29"/>
    <w:rsid w:val="00E62BC7"/>
    <w:rsid w:val="00E63068"/>
    <w:rsid w:val="00E96234"/>
    <w:rsid w:val="00ED43BB"/>
    <w:rsid w:val="00ED520B"/>
    <w:rsid w:val="00ED5E8F"/>
    <w:rsid w:val="00EE1644"/>
    <w:rsid w:val="00EE5DD3"/>
    <w:rsid w:val="00EE5FF1"/>
    <w:rsid w:val="00EF08F4"/>
    <w:rsid w:val="00EF78F9"/>
    <w:rsid w:val="00F067F4"/>
    <w:rsid w:val="00F204F9"/>
    <w:rsid w:val="00F3661D"/>
    <w:rsid w:val="00F429E0"/>
    <w:rsid w:val="00F83D6C"/>
    <w:rsid w:val="00F96AA6"/>
    <w:rsid w:val="00FA470D"/>
    <w:rsid w:val="00FB3AC0"/>
    <w:rsid w:val="00FC1A6E"/>
    <w:rsid w:val="00FC6D9D"/>
    <w:rsid w:val="00FE5CF6"/>
    <w:rsid w:val="01DA3CDC"/>
    <w:rsid w:val="03F75E4D"/>
    <w:rsid w:val="08B1CD53"/>
    <w:rsid w:val="0AA5D280"/>
    <w:rsid w:val="17C71778"/>
    <w:rsid w:val="196AB1DC"/>
    <w:rsid w:val="1988B72C"/>
    <w:rsid w:val="1BEA33E8"/>
    <w:rsid w:val="23D70BA4"/>
    <w:rsid w:val="25058302"/>
    <w:rsid w:val="2728AC0D"/>
    <w:rsid w:val="2C2B0295"/>
    <w:rsid w:val="31C5B5B8"/>
    <w:rsid w:val="359041D8"/>
    <w:rsid w:val="39CBA183"/>
    <w:rsid w:val="412E83B4"/>
    <w:rsid w:val="43C9104C"/>
    <w:rsid w:val="46CC4F19"/>
    <w:rsid w:val="46EB08AE"/>
    <w:rsid w:val="49A769FD"/>
    <w:rsid w:val="4A769A5B"/>
    <w:rsid w:val="4C959AEA"/>
    <w:rsid w:val="54C6409A"/>
    <w:rsid w:val="598E3698"/>
    <w:rsid w:val="5E9709BB"/>
    <w:rsid w:val="61C62C3F"/>
    <w:rsid w:val="62885F74"/>
    <w:rsid w:val="632D8C55"/>
    <w:rsid w:val="6441AAD4"/>
    <w:rsid w:val="655A9906"/>
    <w:rsid w:val="65AFCD74"/>
    <w:rsid w:val="7000B1F0"/>
    <w:rsid w:val="707D1C72"/>
    <w:rsid w:val="72A6D260"/>
    <w:rsid w:val="754A84A8"/>
    <w:rsid w:val="76B1C646"/>
    <w:rsid w:val="7B79804E"/>
    <w:rsid w:val="7D4BBA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C66B6"/>
  <w15:chartTrackingRefBased/>
  <w15:docId w15:val="{00F54127-C2D0-428E-AC6D-D5B55F06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4F"/>
    <w:rPr>
      <w:color w:val="0563C1" w:themeColor="hyperlink"/>
      <w:u w:val="single"/>
    </w:rPr>
  </w:style>
  <w:style w:type="paragraph" w:styleId="BodyText">
    <w:name w:val="Body Text"/>
    <w:basedOn w:val="Normal"/>
    <w:link w:val="BodyTextChar"/>
    <w:uiPriority w:val="1"/>
    <w:qFormat/>
    <w:rsid w:val="000B7771"/>
    <w:pPr>
      <w:widowControl w:val="0"/>
      <w:autoSpaceDE w:val="0"/>
      <w:autoSpaceDN w:val="0"/>
      <w:spacing w:before="160" w:after="0" w:line="240" w:lineRule="auto"/>
      <w:ind w:left="100"/>
    </w:pPr>
    <w:rPr>
      <w:rFonts w:ascii="Arial" w:eastAsia="Arial" w:hAnsi="Arial" w:cs="Arial"/>
      <w:sz w:val="24"/>
      <w:szCs w:val="24"/>
    </w:rPr>
  </w:style>
  <w:style w:type="character" w:customStyle="1" w:styleId="BodyTextChar">
    <w:name w:val="Body Text Char"/>
    <w:basedOn w:val="DefaultParagraphFont"/>
    <w:link w:val="BodyText"/>
    <w:uiPriority w:val="1"/>
    <w:rsid w:val="000B7771"/>
    <w:rPr>
      <w:rFonts w:ascii="Arial" w:eastAsia="Arial" w:hAnsi="Arial" w:cs="Arial"/>
      <w:sz w:val="24"/>
      <w:szCs w:val="24"/>
    </w:rPr>
  </w:style>
  <w:style w:type="character" w:styleId="CommentReference">
    <w:name w:val="annotation reference"/>
    <w:basedOn w:val="DefaultParagraphFont"/>
    <w:uiPriority w:val="99"/>
    <w:semiHidden/>
    <w:unhideWhenUsed/>
    <w:rsid w:val="00575550"/>
    <w:rPr>
      <w:sz w:val="16"/>
      <w:szCs w:val="16"/>
    </w:rPr>
  </w:style>
  <w:style w:type="paragraph" w:styleId="CommentText">
    <w:name w:val="annotation text"/>
    <w:basedOn w:val="Normal"/>
    <w:link w:val="CommentTextChar"/>
    <w:uiPriority w:val="99"/>
    <w:unhideWhenUsed/>
    <w:rsid w:val="00575550"/>
    <w:pPr>
      <w:spacing w:line="240" w:lineRule="auto"/>
    </w:pPr>
    <w:rPr>
      <w:sz w:val="20"/>
      <w:szCs w:val="20"/>
    </w:rPr>
  </w:style>
  <w:style w:type="character" w:customStyle="1" w:styleId="CommentTextChar">
    <w:name w:val="Comment Text Char"/>
    <w:basedOn w:val="DefaultParagraphFont"/>
    <w:link w:val="CommentText"/>
    <w:uiPriority w:val="99"/>
    <w:rsid w:val="00575550"/>
    <w:rPr>
      <w:sz w:val="20"/>
      <w:szCs w:val="20"/>
    </w:rPr>
  </w:style>
  <w:style w:type="paragraph" w:styleId="ListParagraph">
    <w:name w:val="List Paragraph"/>
    <w:basedOn w:val="Normal"/>
    <w:uiPriority w:val="34"/>
    <w:qFormat/>
    <w:rsid w:val="00287732"/>
    <w:pPr>
      <w:ind w:left="720"/>
      <w:contextualSpacing/>
    </w:pPr>
  </w:style>
  <w:style w:type="paragraph" w:styleId="CommentSubject">
    <w:name w:val="annotation subject"/>
    <w:basedOn w:val="CommentText"/>
    <w:next w:val="CommentText"/>
    <w:link w:val="CommentSubjectChar"/>
    <w:uiPriority w:val="99"/>
    <w:semiHidden/>
    <w:unhideWhenUsed/>
    <w:rsid w:val="004069AF"/>
    <w:rPr>
      <w:b/>
      <w:bCs/>
    </w:rPr>
  </w:style>
  <w:style w:type="character" w:customStyle="1" w:styleId="CommentSubjectChar">
    <w:name w:val="Comment Subject Char"/>
    <w:basedOn w:val="CommentTextChar"/>
    <w:link w:val="CommentSubject"/>
    <w:uiPriority w:val="99"/>
    <w:semiHidden/>
    <w:rsid w:val="004069AF"/>
    <w:rPr>
      <w:b/>
      <w:bCs/>
      <w:sz w:val="20"/>
      <w:szCs w:val="20"/>
    </w:rPr>
  </w:style>
  <w:style w:type="paragraph" w:styleId="FootnoteText">
    <w:name w:val="footnote text"/>
    <w:basedOn w:val="Normal"/>
    <w:link w:val="FootnoteTextChar"/>
    <w:uiPriority w:val="99"/>
    <w:semiHidden/>
    <w:unhideWhenUsed/>
    <w:rsid w:val="007072CF"/>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7072CF"/>
    <w:rPr>
      <w:rFonts w:ascii="Arial" w:eastAsia="Arial" w:hAnsi="Arial" w:cs="Arial"/>
      <w:sz w:val="20"/>
      <w:szCs w:val="20"/>
    </w:rPr>
  </w:style>
  <w:style w:type="character" w:styleId="FootnoteReference">
    <w:name w:val="footnote reference"/>
    <w:basedOn w:val="DefaultParagraphFont"/>
    <w:uiPriority w:val="99"/>
    <w:semiHidden/>
    <w:unhideWhenUsed/>
    <w:rsid w:val="007072CF"/>
    <w:rPr>
      <w:vertAlign w:val="superscript"/>
    </w:rPr>
  </w:style>
  <w:style w:type="table" w:styleId="TableGrid">
    <w:name w:val="Table Grid"/>
    <w:basedOn w:val="TableNormal"/>
    <w:uiPriority w:val="39"/>
    <w:rsid w:val="00D9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New OCC-IC Clearance Document" ma:contentTypeID="0x010100E067BE932D4F8941B61A6647FAA6438400C100567FC2C4AC4F8678092E41DA590C" ma:contentTypeVersion="253" ma:contentTypeDescription="" ma:contentTypeScope="" ma:versionID="0c3db526579e5ee1a4515c4e77948895">
  <xsd:schema xmlns:xsd="http://www.w3.org/2001/XMLSchema" xmlns:xs="http://www.w3.org/2001/XMLSchema" xmlns:p="http://schemas.microsoft.com/office/2006/metadata/properties" xmlns:ns1="c16dbad5-ff94-40e6-b5d4-f187519b511a" xmlns:ns3="5c1f64a2-b7c9-4fdd-969a-3e3c346bb36b" targetNamespace="http://schemas.microsoft.com/office/2006/metadata/properties" ma:root="true" ma:fieldsID="51db32793f5ed91ce0f77dc970ccdbf7" ns1:_="" ns3:_="">
    <xsd:import namespace="c16dbad5-ff94-40e6-b5d4-f187519b511a"/>
    <xsd:import namespace="5c1f64a2-b7c9-4fdd-969a-3e3c346bb36b"/>
    <xsd:element name="properties">
      <xsd:complexType>
        <xsd:sequence>
          <xsd:element name="documentManagement">
            <xsd:complexType>
              <xsd:all>
                <xsd:element ref="ns1:Subject_x0020_Line_x0020_of_x0020_Incoming_x0020_Email"/>
                <xsd:element ref="ns1:Sender_x0020_Name"/>
                <xsd:element ref="ns1:Proprietary" minOccurs="0"/>
                <xsd:element ref="ns1:OCCIC_x0020_Offices" minOccurs="0"/>
                <xsd:element ref="ns1:Clearance_x0020_Type" minOccurs="0"/>
                <xsd:element ref="ns1:Coordinator" minOccurs="0"/>
                <xsd:element ref="ns1:Assigned_x0020_Attorney_x0028_s_x0029_" minOccurs="0"/>
                <xsd:element ref="ns1:Notified_x0020_Attorney_x0028_s_x0029_" minOccurs="0"/>
                <xsd:element ref="ns1:Retain" minOccurs="0"/>
                <xsd:element ref="ns1:Litigation_x0020_Hold" minOccurs="0"/>
                <xsd:element ref="ns1:Notes1" minOccurs="0"/>
                <xsd:element ref="ns1:Clearance_x0020_Deletion_x0020_Initiator" minOccurs="0"/>
                <xsd:element ref="ns1:Clearance_x0020_ID_x0020_As_x0020_Number" minOccurs="0"/>
                <xsd:element ref="ns1:Clearance_x0020_Status" minOccurs="0"/>
                <xsd:element ref="ns1:Issue" minOccurs="0"/>
                <xsd:element ref="ns1:CC_x0020_Email_x0020_Addresse_x0028_s_x0029_" minOccurs="0"/>
                <xsd:element ref="ns3:MediaServiceMetadata" minOccurs="0"/>
                <xsd:element ref="ns3:MediaServiceFastMetadata" minOccurs="0"/>
                <xsd:element ref="ns3:MediaServiceObjectDetectorVersions" minOccurs="0"/>
                <xsd:element ref="ns3:MediaServiceSearchProperties" minOccurs="0"/>
                <xsd:element ref="ns1:Assigned_x0020_Attorney_x0028_s_x0029__x003a_Office_x0020_Email" minOccurs="0"/>
                <xsd:element ref="ns1:Notified_x0020_Attorney_x0028_s_x0029__x003a_Office_x0020_Email" minOccurs="0"/>
                <xsd:element ref="ns1:Sender_x0020_Name_x003a_Client_x0020_Email" minOccurs="0"/>
                <xsd:element ref="ns1:Coordinator_x003a_Office_x0020_Email" minOccurs="0"/>
                <xsd:element ref="ns1:FiscalYear" minOccurs="0"/>
                <xsd:element ref="ns1:DateTimeLoggedOut" minOccurs="0"/>
                <xsd:element ref="ns1:DateTimeSenderSentEmail" minOccurs="0"/>
                <xsd:element ref="ns1:DateTimeDeleted" minOccurs="0"/>
                <xsd:element ref="ns1:DateTimeDue" minOccurs="0"/>
                <xsd:element ref="ns1:DateTimeCleared" minOccurs="0"/>
                <xsd:element ref="ns3:lcf76f155ced4ddcb4097134ff3c332f" minOccurs="0"/>
                <xsd:element ref="ns1:TaxCatchAll" minOccurs="0"/>
                <xsd:element ref="ns3:MediaServiceDateTaken" minOccurs="0"/>
                <xsd:element ref="ns3:MediaServiceOCR" minOccurs="0"/>
                <xsd:element ref="ns3:MediaServiceGenerationTime" minOccurs="0"/>
                <xsd:element ref="ns3:MediaServiceEventHashCode" minOccurs="0"/>
                <xsd:element ref="ns3:ConfirmTimeChange" minOccurs="0"/>
                <xsd:element ref="ns3:TimeChange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dbad5-ff94-40e6-b5d4-f187519b511a" elementFormDefault="qualified">
    <xsd:import namespace="http://schemas.microsoft.com/office/2006/documentManagement/types"/>
    <xsd:import namespace="http://schemas.microsoft.com/office/infopath/2007/PartnerControls"/>
    <xsd:element name="Subject_x0020_Line_x0020_of_x0020_Incoming_x0020_Email" ma:index="0" ma:displayName="Subject Line of Incoming Email" ma:internalName="Subject_x0020_Line_x0020_of_x0020_Incoming_x0020_Email" ma:readOnly="false">
      <xsd:simpleType>
        <xsd:restriction base="dms:Text">
          <xsd:maxLength value="255"/>
        </xsd:restriction>
      </xsd:simpleType>
    </xsd:element>
    <xsd:element name="Sender_x0020_Name" ma:index="1" ma:displayName="Sender Name" ma:list="{a2ef3d47-b59c-472f-91c9-90c8870d6d88}" ma:internalName="Sender_x0020_Name" ma:readOnly="false" ma:showField="Client_x0020_Name" ma:web="c16dbad5-ff94-40e6-b5d4-f187519b511a">
      <xsd:simpleType>
        <xsd:restriction base="dms:Lookup"/>
      </xsd:simpleType>
    </xsd:element>
    <xsd:element name="Proprietary" ma:index="3" nillable="true" ma:displayName="Proprietary" ma:format="Dropdown" ma:internalName="Proprietary" ma:readOnly="false">
      <xsd:simpleType>
        <xsd:restriction base="dms:Choice">
          <xsd:enumeration value="Business-Confidential"/>
          <xsd:enumeration value="FOIA-Withholding"/>
          <xsd:enumeration value="Modified Handling"/>
          <xsd:enumeration value="PII"/>
          <xsd:enumeration value="Proprietary"/>
          <xsd:enumeration value="Sensitive"/>
        </xsd:restriction>
      </xsd:simpleType>
    </xsd:element>
    <xsd:element name="OCCIC_x0020_Offices" ma:index="4" nillable="true" ma:displayName="OCCIC Offices" ma:format="Dropdown" ma:internalName="OCCIC_x0020_Offices" ma:readOnly="false">
      <xsd:simpleType>
        <xsd:restriction base="dms:Choice">
          <xsd:enumeration value="Advocacy Center (ITA GM)"/>
          <xsd:enumeration value="Asia (except China) (ITA GM)"/>
          <xsd:enumeration value="CFIUS (ITA IA)"/>
          <xsd:enumeration value="Chief Financial and Administrative Officer (ITA)"/>
          <xsd:enumeration value="China (ITA GM)"/>
          <xsd:enumeration value="Enforcement &amp; Compliance (ITA EC)"/>
          <xsd:enumeration value="ETC Program (ITA IA)"/>
          <xsd:enumeration value="Europe (ITA GM)"/>
          <xsd:enumeration value="Global Markets (ITA GM)"/>
          <xsd:enumeration value="Industry &amp; Analysis (ITA IA)"/>
          <xsd:enumeration value="Industry Engagement (Industry Trade Advisory Committees) (ITA IA)"/>
          <xsd:enumeration value="Manufacturing (ITA IA)"/>
          <xsd:enumeration value="Middle East and Africa (ITA GM)"/>
          <xsd:enumeration value="Office of Strategic Planning (ITA GM)"/>
          <xsd:enumeration value="Office of the Under Secretary (ITA)"/>
          <xsd:enumeration value="OGC Front Office"/>
          <xsd:enumeration value="OGC Legislation and Regulation"/>
          <xsd:enumeration value="Other"/>
          <xsd:enumeration value="SelectUSA (ITA GM)"/>
          <xsd:enumeration value="Services (ITA IA)"/>
          <xsd:enumeration value="Technology, Services, and Innovation (ITA)"/>
          <xsd:enumeration value="Textiles, Consumer Goods, and Materials (ITA IA)"/>
          <xsd:enumeration value="Trade Agreements Negotiation and Compliance (ITA EC)"/>
          <xsd:enumeration value="Trade Agreements Secretariat (ITA IA)"/>
          <xsd:enumeration value="Trade Policy and Analysis (ITA IA)"/>
          <xsd:enumeration value="Trade Promotion Coordinating Committee (ITA)"/>
          <xsd:enumeration value="Travel and Tourism (ITA IA)"/>
          <xsd:enumeration value="U.S. Field (ITA GM)"/>
          <xsd:enumeration value="Western Hemisphere (ITA GM)"/>
        </xsd:restriction>
      </xsd:simpleType>
    </xsd:element>
    <xsd:element name="Clearance_x0020_Type" ma:index="5" nillable="true" ma:displayName="Clearance Type" ma:format="Dropdown" ma:internalName="Clearance_x0020_Type">
      <xsd:simpleType>
        <xsd:restriction base="dms:Choice">
          <xsd:enumeration value="ExecSec"/>
          <xsd:enumeration value="FOIA"/>
          <xsd:enumeration value="Project"/>
          <xsd:enumeration value="Routine"/>
        </xsd:restriction>
      </xsd:simpleType>
    </xsd:element>
    <xsd:element name="Coordinator" ma:index="6" nillable="true" ma:displayName="Coordinator" ma:indexed="true" ma:list="{03aaf92e-5720-4267-a32f-0c266d33539f}" ma:internalName="Coordinator" ma:showField="Full_x0020_Name" ma:web="c16dbad5-ff94-40e6-b5d4-f187519b511a">
      <xsd:simpleType>
        <xsd:restriction base="dms:Lookup"/>
      </xsd:simpleType>
    </xsd:element>
    <xsd:element name="Assigned_x0020_Attorney_x0028_s_x0029_" ma:index="7" nillable="true" ma:displayName="Assigned Attorney(s)" ma:list="{03aaf92e-5720-4267-a32f-0c266d33539f}" ma:internalName="Assigned_x0020_Attorney_x0028_s_x0029_" ma:showField="Full_x0020_Name" ma:web="c16dbad5-ff94-40e6-b5d4-f187519b511a">
      <xsd:complexType>
        <xsd:complexContent>
          <xsd:extension base="dms:MultiChoiceLookup">
            <xsd:sequence>
              <xsd:element name="Value" type="dms:Lookup" maxOccurs="unbounded" minOccurs="0" nillable="true"/>
            </xsd:sequence>
          </xsd:extension>
        </xsd:complexContent>
      </xsd:complexType>
    </xsd:element>
    <xsd:element name="Notified_x0020_Attorney_x0028_s_x0029_" ma:index="8" nillable="true" ma:displayName="Notified Attorney(s)" ma:list="{03aaf92e-5720-4267-a32f-0c266d33539f}" ma:internalName="Notified_x0020_Attorney_x0028_s_x0029_" ma:showField="Full_x0020_Name" ma:web="c16dbad5-ff94-40e6-b5d4-f187519b511a">
      <xsd:complexType>
        <xsd:complexContent>
          <xsd:extension base="dms:MultiChoiceLookup">
            <xsd:sequence>
              <xsd:element name="Value" type="dms:Lookup" maxOccurs="unbounded" minOccurs="0" nillable="true"/>
            </xsd:sequence>
          </xsd:extension>
        </xsd:complexContent>
      </xsd:complexType>
    </xsd:element>
    <xsd:element name="Retain" ma:index="9" nillable="true" ma:displayName="Retain" ma:default="0" ma:internalName="Retain" ma:readOnly="false">
      <xsd:simpleType>
        <xsd:restriction base="dms:Boolean"/>
      </xsd:simpleType>
    </xsd:element>
    <xsd:element name="Litigation_x0020_Hold" ma:index="10" nillable="true" ma:displayName="Litigation Hold" ma:default="0" ma:internalName="Litigation_x0020_Hold" ma:readOnly="false">
      <xsd:simpleType>
        <xsd:restriction base="dms:Boolean"/>
      </xsd:simpleType>
    </xsd:element>
    <xsd:element name="Notes1" ma:index="11" nillable="true" ma:displayName="Notes" ma:internalName="Notes1" ma:readOnly="false">
      <xsd:simpleType>
        <xsd:restriction base="dms:Note">
          <xsd:maxLength value="255"/>
        </xsd:restriction>
      </xsd:simpleType>
    </xsd:element>
    <xsd:element name="Clearance_x0020_Deletion_x0020_Initiator" ma:index="12" nillable="true" ma:displayName="Clearance Deletion Initiator" ma:internalName="Clearance_x0020_Deletion_x0020_Initiator" ma:readOnly="false">
      <xsd:simpleType>
        <xsd:restriction base="dms:Text">
          <xsd:maxLength value="255"/>
        </xsd:restriction>
      </xsd:simpleType>
    </xsd:element>
    <xsd:element name="Clearance_x0020_ID_x0020_As_x0020_Number" ma:index="13" nillable="true" ma:displayName="Clearance ID As Number" ma:decimals="0" ma:indexed="true" ma:internalName="Clearance_x0020_ID_x0020_As_x0020_Number" ma:percentage="FALSE">
      <xsd:simpleType>
        <xsd:restriction base="dms:Number"/>
      </xsd:simpleType>
    </xsd:element>
    <xsd:element name="Clearance_x0020_Status" ma:index="14" nillable="true" ma:displayName="Clearance Status" ma:default="Open" ma:format="Dropdown" ma:indexed="true" ma:internalName="Clearance_x0020_Status">
      <xsd:simpleType>
        <xsd:restriction base="dms:Choice">
          <xsd:enumeration value="Open"/>
          <xsd:enumeration value="Cleared"/>
          <xsd:enumeration value="Logged Out"/>
          <xsd:enumeration value="Deleted"/>
        </xsd:restriction>
      </xsd:simpleType>
    </xsd:element>
    <xsd:element name="Issue" ma:index="15" nillable="true" ma:displayName="Issue" ma:format="Dropdown" ma:internalName="Issue" ma:readOnly="false">
      <xsd:simpleType>
        <xsd:restriction base="dms:Choice">
          <xsd:enumeration value="Advisory Committees"/>
          <xsd:enumeration value="Awards"/>
          <xsd:enumeration value="Bilateral Affairs"/>
          <xsd:enumeration value="Corruption"/>
          <xsd:enumeration value="CSR"/>
          <xsd:enumeration value="CTS case"/>
          <xsd:enumeration value="Customs"/>
          <xsd:enumeration value="Disputes"/>
          <xsd:enumeration value="Environment"/>
          <xsd:enumeration value="ETC"/>
          <xsd:enumeration value="Finance"/>
          <xsd:enumeration value="GM Services"/>
          <xsd:enumeration value="GP"/>
          <xsd:enumeration value="Investigations"/>
          <xsd:enumeration value="Investment"/>
          <xsd:enumeration value="IPR"/>
          <xsd:enumeration value="Labor"/>
          <xsd:enumeration value="MOU/A"/>
          <xsd:enumeration value="Other"/>
          <xsd:enumeration value="Pharma"/>
          <xsd:enumeration value="Preference Programs"/>
          <xsd:enumeration value="Privacy"/>
          <xsd:enumeration value="Sanctions"/>
          <xsd:enumeration value="SEP"/>
          <xsd:enumeration value="Services"/>
          <xsd:enumeration value="Standards"/>
          <xsd:enumeration value="Testimony"/>
          <xsd:enumeration value="Textiles"/>
          <xsd:enumeration value="Tobacco"/>
          <xsd:enumeration value="Tourism"/>
          <xsd:enumeration value="Trade Agreements"/>
          <xsd:enumeration value="Trade Promotion"/>
          <xsd:enumeration value="Transportation"/>
          <xsd:enumeration value="Visas"/>
          <xsd:enumeration value="WTO"/>
        </xsd:restriction>
      </xsd:simpleType>
    </xsd:element>
    <xsd:element name="CC_x0020_Email_x0020_Addresse_x0028_s_x0029_" ma:index="16" nillable="true" ma:displayName="CC Email Addresse(s)" ma:internalName="CC_x0020_Email_x0020_Addresse_x0028_s_x0029_" ma:readOnly="false">
      <xsd:simpleType>
        <xsd:restriction base="dms:Text">
          <xsd:maxLength value="255"/>
        </xsd:restriction>
      </xsd:simpleType>
    </xsd:element>
    <xsd:element name="Assigned_x0020_Attorney_x0028_s_x0029__x003a_Office_x0020_Email" ma:index="27" nillable="true" ma:displayName="Assigned Attorney(s):Office Email" ma:list="{03aaf92e-5720-4267-a32f-0c266d33539f}" ma:internalName="Assigned_x0020_Attorney_x0028_s_x0029__x003A_Office_x0020_Email" ma:readOnly="true" ma:showField="Office_x0020_Email" ma:web="c16dbad5-ff94-40e6-b5d4-f187519b511a">
      <xsd:complexType>
        <xsd:complexContent>
          <xsd:extension base="dms:MultiChoiceLookup">
            <xsd:sequence>
              <xsd:element name="Value" type="dms:Lookup" maxOccurs="unbounded" minOccurs="0" nillable="true"/>
            </xsd:sequence>
          </xsd:extension>
        </xsd:complexContent>
      </xsd:complexType>
    </xsd:element>
    <xsd:element name="Notified_x0020_Attorney_x0028_s_x0029__x003a_Office_x0020_Email" ma:index="29" nillable="true" ma:displayName="Notified Attorney(s):Office Email" ma:list="{03aaf92e-5720-4267-a32f-0c266d33539f}" ma:internalName="Notified_x0020_Attorney_x0028_s_x0029__x003A_Office_x0020_Email" ma:readOnly="true" ma:showField="Office_x0020_Email" ma:web="c16dbad5-ff94-40e6-b5d4-f187519b511a">
      <xsd:complexType>
        <xsd:complexContent>
          <xsd:extension base="dms:MultiChoiceLookup">
            <xsd:sequence>
              <xsd:element name="Value" type="dms:Lookup" maxOccurs="unbounded" minOccurs="0" nillable="true"/>
            </xsd:sequence>
          </xsd:extension>
        </xsd:complexContent>
      </xsd:complexType>
    </xsd:element>
    <xsd:element name="Sender_x0020_Name_x003a_Client_x0020_Email" ma:index="30" nillable="true" ma:displayName="Sender Name:Client Email" ma:hidden="true" ma:list="{a2ef3d47-b59c-472f-91c9-90c8870d6d88}" ma:internalName="Sender_x0020_Name_x003A_Client_x0020_Email" ma:readOnly="true" ma:showField="Client_x0020_Email" ma:web="c16dbad5-ff94-40e6-b5d4-f187519b511a">
      <xsd:simpleType>
        <xsd:restriction base="dms:Lookup"/>
      </xsd:simpleType>
    </xsd:element>
    <xsd:element name="Coordinator_x003a_Office_x0020_Email" ma:index="31" nillable="true" ma:displayName="Coordinator:Office Email" ma:list="{03aaf92e-5720-4267-a32f-0c266d33539f}" ma:internalName="Coordinator_x003A_Office_x0020_Email" ma:readOnly="true" ma:showField="Office_x0020_Email" ma:web="c16dbad5-ff94-40e6-b5d4-f187519b511a">
      <xsd:simpleType>
        <xsd:restriction base="dms:Lookup"/>
      </xsd:simpleType>
    </xsd:element>
    <xsd:element name="FiscalYear" ma:index="32" nillable="true" ma:displayName="Fiscal Year" ma:indexed="true" ma:internalName="FiscalYear">
      <xsd:simpleType>
        <xsd:restriction base="dms:Text">
          <xsd:maxLength value="255"/>
        </xsd:restriction>
      </xsd:simpleType>
    </xsd:element>
    <xsd:element name="DateTimeLoggedOut" ma:index="33" nillable="true" ma:displayName="Date Logged Out" ma:format="DateTime" ma:internalName="DateTimeLoggedOut">
      <xsd:simpleType>
        <xsd:restriction base="dms:DateTime"/>
      </xsd:simpleType>
    </xsd:element>
    <xsd:element name="DateTimeSenderSentEmail" ma:index="34" nillable="true" ma:displayName="Date Sender Sent Email" ma:format="DateTime" ma:indexed="true" ma:internalName="DateTimeSenderSentEmail">
      <xsd:simpleType>
        <xsd:restriction base="dms:DateTime"/>
      </xsd:simpleType>
    </xsd:element>
    <xsd:element name="DateTimeDeleted" ma:index="35" nillable="true" ma:displayName="Date Deleted" ma:format="DateTime" ma:internalName="DateTimeDeleted">
      <xsd:simpleType>
        <xsd:restriction base="dms:DateTime"/>
      </xsd:simpleType>
    </xsd:element>
    <xsd:element name="DateTimeDue" ma:index="36" nillable="true" ma:displayName="Date Due" ma:format="DateTime" ma:indexed="true" ma:internalName="DateTimeDue">
      <xsd:simpleType>
        <xsd:restriction base="dms:DateTime"/>
      </xsd:simpleType>
    </xsd:element>
    <xsd:element name="DateTimeCleared" ma:index="37" nillable="true" ma:displayName="Date Cleared" ma:format="DateTime" ma:internalName="DateTimeCleared">
      <xsd:simpleType>
        <xsd:restriction base="dms:DateTime"/>
      </xsd:simpleType>
    </xsd:element>
    <xsd:element name="TaxCatchAll" ma:index="40" nillable="true" ma:displayName="Taxonomy Catch All Column" ma:hidden="true" ma:list="{01a04817-47b6-46dd-baf2-726da438070f}" ma:internalName="TaxCatchAll" ma:showField="CatchAllData" ma:web="c16dbad5-ff94-40e6-b5d4-f187519b51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1f64a2-b7c9-4fdd-969a-3e3c346bb36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DateTaken" ma:index="41" nillable="true" ma:displayName="MediaServiceDateTaken" ma:hidden="true" ma:indexed="true" ma:internalName="MediaServiceDateTaken"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ConfirmTimeChange" ma:index="45" nillable="true" ma:displayName="Confirm Time Change" ma:default="0" ma:internalName="ConfirmTimeChange">
      <xsd:simpleType>
        <xsd:restriction base="dms:Boolean"/>
      </xsd:simpleType>
    </xsd:element>
    <xsd:element name="TimeChangeFlag" ma:index="46" nillable="true" ma:displayName="TimeChangeFlag" ma:default="No" ma:format="Dropdown" ma:internalName="TimeChangeFlag">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6dbad5-ff94-40e6-b5d4-f187519b511a" xsi:nil="true"/>
    <lcf76f155ced4ddcb4097134ff3c332f xmlns="5c1f64a2-b7c9-4fdd-969a-3e3c346bb36b">
      <Terms xmlns="http://schemas.microsoft.com/office/infopath/2007/PartnerControls"/>
    </lcf76f155ced4ddcb4097134ff3c332f>
    <Sender_x0020_Name xmlns="c16dbad5-ff94-40e6-b5d4-f187519b511a">2790</Sender_x0020_Name>
    <DateTimeLoggedOut xmlns="c16dbad5-ff94-40e6-b5d4-f187519b511a" xsi:nil="true"/>
    <OCCIC_x0020_Offices xmlns="c16dbad5-ff94-40e6-b5d4-f187519b511a" xsi:nil="true"/>
    <DateTimeDeleted xmlns="c16dbad5-ff94-40e6-b5d4-f187519b511a" xsi:nil="true"/>
    <DateTimeCleared xmlns="c16dbad5-ff94-40e6-b5d4-f187519b511a" xsi:nil="true"/>
    <Proprietary xmlns="c16dbad5-ff94-40e6-b5d4-f187519b511a" xsi:nil="true"/>
    <Assigned_x0020_Attorney_x0028_s_x0029_ xmlns="c16dbad5-ff94-40e6-b5d4-f187519b511a" xsi:nil="true"/>
    <Issue xmlns="c16dbad5-ff94-40e6-b5d4-f187519b511a" xsi:nil="true"/>
    <Clearance_x0020_Deletion_x0020_Initiator xmlns="c16dbad5-ff94-40e6-b5d4-f187519b511a" xsi:nil="true"/>
    <CC_x0020_Email_x0020_Addresse_x0028_s_x0029_ xmlns="c16dbad5-ff94-40e6-b5d4-f187519b511a" xsi:nil="true"/>
    <TimeChangeFlag xmlns="5c1f64a2-b7c9-4fdd-969a-3e3c346bb36b">No</TimeChangeFlag>
    <Clearance_x0020_Status xmlns="c16dbad5-ff94-40e6-b5d4-f187519b511a">Open</Clearance_x0020_Status>
    <FiscalYear xmlns="c16dbad5-ff94-40e6-b5d4-f187519b511a">2025</FiscalYear>
    <Clearance_x0020_Type xmlns="c16dbad5-ff94-40e6-b5d4-f187519b511a">Routine</Clearance_x0020_Type>
    <Retain xmlns="c16dbad5-ff94-40e6-b5d4-f187519b511a">false</Retain>
    <Subject_x0020_Line_x0020_of_x0020_Incoming_x0020_Email xmlns="c16dbad5-ff94-40e6-b5d4-f187519b511a">RE: Request for emergency PRA package</Subject_x0020_Line_x0020_of_x0020_Incoming_x0020_Email>
    <Litigation_x0020_Hold xmlns="c16dbad5-ff94-40e6-b5d4-f187519b511a">false</Litigation_x0020_Hold>
    <Notes1 xmlns="c16dbad5-ff94-40e6-b5d4-f187519b511a" xsi:nil="true"/>
    <Clearance_x0020_ID_x0020_As_x0020_Number xmlns="c16dbad5-ff94-40e6-b5d4-f187519b511a">11406</Clearance_x0020_ID_x0020_As_x0020_Number>
    <DateTimeSenderSentEmail xmlns="c16dbad5-ff94-40e6-b5d4-f187519b511a">2025-05-29T16:00:00+00:00</DateTimeSenderSentEmail>
    <ConfirmTimeChange xmlns="5c1f64a2-b7c9-4fdd-969a-3e3c346bb36b">false</ConfirmTimeChange>
    <Notified_x0020_Attorney_x0028_s_x0029_ xmlns="c16dbad5-ff94-40e6-b5d4-f187519b511a" xsi:nil="true"/>
    <Coordinator xmlns="c16dbad5-ff94-40e6-b5d4-f187519b511a" xsi:nil="true"/>
    <DateTimeDue xmlns="c16dbad5-ff94-40e6-b5d4-f187519b511a">2025-05-29T19:00:00+00:00</DateTimeD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71DE7-8B9C-4AA0-8A18-191FDA4AC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dbad5-ff94-40e6-b5d4-f187519b511a"/>
    <ds:schemaRef ds:uri="5c1f64a2-b7c9-4fdd-969a-3e3c346bb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C98F8-A826-4159-AB0F-7470B44ED4A9}">
  <ds:schemaRefs>
    <ds:schemaRef ds:uri="http://schemas.microsoft.com/office/2006/metadata/properties"/>
    <ds:schemaRef ds:uri="http://schemas.microsoft.com/office/infopath/2007/PartnerControls"/>
    <ds:schemaRef ds:uri="c16dbad5-ff94-40e6-b5d4-f187519b511a"/>
    <ds:schemaRef ds:uri="5c1f64a2-b7c9-4fdd-969a-3e3c346bb36b"/>
  </ds:schemaRefs>
</ds:datastoreItem>
</file>

<file path=customXml/itemProps3.xml><?xml version="1.0" encoding="utf-8"?>
<ds:datastoreItem xmlns:ds="http://schemas.openxmlformats.org/officeDocument/2006/customXml" ds:itemID="{8AC19243-CC64-41EA-B913-CA33989CDD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2095</Words>
  <Characters>12238</Characters>
  <Application>Microsoft Office Word</Application>
  <DocSecurity>0</DocSecurity>
  <Lines>230</Lines>
  <Paragraphs>55</Paragraphs>
  <ScaleCrop>false</ScaleCrop>
  <Company>Department of Commerce</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Katelynn Byers (Contractor)</cp:lastModifiedBy>
  <cp:revision>3</cp:revision>
  <dcterms:created xsi:type="dcterms:W3CDTF">2025-05-29T19:43:00Z</dcterms:created>
  <dcterms:modified xsi:type="dcterms:W3CDTF">2025-05-29T19:44:00Z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0x010100E067BE932D4F8941B61A6647FAA6438400C100567FC2C4AC4F8678092E41DA590C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