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05211" w14:paraId="75B8F202" w14:textId="3F5214BE">
      <w:r>
        <w:rPr>
          <w:noProof/>
        </w:rPr>
        <w:drawing>
          <wp:inline distT="0" distB="0" distL="0" distR="0">
            <wp:extent cx="6633845" cy="4349750"/>
            <wp:effectExtent l="0" t="0" r="0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466" cy="435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92"/>
    <w:rsid w:val="00AF3F92"/>
    <w:rsid w:val="00B052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4A2FEF"/>
  <w15:chartTrackingRefBased/>
  <w15:docId w15:val="{38376B9C-4D65-47FC-8D7E-E94F81D9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Joshua T CIV WHS ESD (USA)</dc:creator>
  <cp:lastModifiedBy>Kim, Joshua T CIV WHS ESD (USA)</cp:lastModifiedBy>
  <cp:revision>1</cp:revision>
  <dcterms:created xsi:type="dcterms:W3CDTF">2023-10-12T13:11:00Z</dcterms:created>
  <dcterms:modified xsi:type="dcterms:W3CDTF">2023-10-12T13:12:00Z</dcterms:modified>
</cp:coreProperties>
</file>