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844AC78" w14:textId="304CAF52">
      <w:pPr>
        <w:pStyle w:val="Heading2"/>
        <w:tabs>
          <w:tab w:val="left" w:pos="900"/>
        </w:tabs>
        <w:ind w:right="-180"/>
      </w:pPr>
      <w:r>
        <w:rPr>
          <w:sz w:val="28"/>
        </w:rPr>
        <w:t xml:space="preserve">Request for Approval under the </w:t>
      </w:r>
      <w:r w:rsidRPr="00F06866">
        <w:rPr>
          <w:sz w:val="28"/>
        </w:rPr>
        <w:t>“</w:t>
      </w:r>
      <w:r w:rsidRPr="000B0660" w:rsidR="000B0660">
        <w:rPr>
          <w:sz w:val="28"/>
        </w:rPr>
        <w:t>Fast Track Generic Clearance for the Collection of Qualitative Feedback on Agency Service Delivery</w:t>
      </w:r>
      <w:r w:rsidRPr="00F06866">
        <w:rPr>
          <w:sz w:val="28"/>
        </w:rPr>
        <w:t>”</w:t>
      </w:r>
      <w:r w:rsidR="00BA373D">
        <w:rPr>
          <w:sz w:val="28"/>
        </w:rPr>
        <w:t xml:space="preserve"> (OMB Control Number: 0704-0553</w:t>
      </w:r>
      <w:r>
        <w:rPr>
          <w:sz w:val="28"/>
        </w:rPr>
        <w:t>)</w:t>
      </w:r>
    </w:p>
    <w:p w:rsidR="002135A4" w:rsidRPr="002135A4" w:rsidP="002135A4" w14:paraId="6D864959" w14:textId="4B6F9FF1">
      <w:pPr>
        <w:rPr>
          <w:b/>
          <w:color w:val="2F5496"/>
          <w:sz w:val="28"/>
          <w:szCs w:val="28"/>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2135A4">
        <w:rPr>
          <w:b/>
        </w:rPr>
        <w:t xml:space="preserve">Accredo </w:t>
      </w:r>
      <w:r w:rsidR="001A531C">
        <w:rPr>
          <w:b/>
        </w:rPr>
        <w:t xml:space="preserve">TRICARE </w:t>
      </w:r>
      <w:r w:rsidRPr="002135A4">
        <w:rPr>
          <w:b/>
        </w:rPr>
        <w:t>Specialty Pharmacy Survey</w:t>
      </w:r>
    </w:p>
    <w:p w:rsidR="00E50293" w:rsidRPr="009239AA" w:rsidP="00434E33" w14:paraId="6D993D0D" w14:textId="53B8BE50">
      <w:pPr>
        <w:rPr>
          <w:b/>
        </w:rPr>
      </w:pPr>
    </w:p>
    <w:p w:rsidR="005E714A" w14:paraId="2AC8042D" w14:textId="77777777"/>
    <w:p w:rsidR="002135A4" w:rsidP="002135A4" w14:paraId="7F5ABBE5" w14:textId="7A5236F8">
      <w:pPr>
        <w:rPr>
          <w:bCs/>
        </w:rPr>
      </w:pPr>
      <w:r>
        <w:rPr>
          <w:b/>
        </w:rPr>
        <w:t>PURPOSE</w:t>
      </w:r>
      <w:r w:rsidRPr="009239AA">
        <w:rPr>
          <w:b/>
        </w:rPr>
        <w:t>:</w:t>
      </w:r>
      <w:r w:rsidRPr="009239AA" w:rsidR="00C14CC4">
        <w:rPr>
          <w:b/>
        </w:rPr>
        <w:t xml:space="preserve">  </w:t>
      </w:r>
      <w:r w:rsidRPr="002135A4">
        <w:rPr>
          <w:bCs/>
        </w:rPr>
        <w:t xml:space="preserve">The objective of the Accredo Specialty </w:t>
      </w:r>
      <w:r>
        <w:rPr>
          <w:bCs/>
        </w:rPr>
        <w:t xml:space="preserve">Pharmacy </w:t>
      </w:r>
      <w:r w:rsidRPr="002135A4">
        <w:rPr>
          <w:bCs/>
        </w:rPr>
        <w:t>Survey is to establish a baseline and better understanding to improve the experience for TRICARE beneficiaries as it relates to specialty pharmacy services, including the expanded clinical support provided by the TRICARE primary specialty pharmacy. TRICARE beneficiaries filling specialty medications will have access to clinicians that are specialized in their condition and therapy. These condition specific specialists are available for all specialty conditions that the TRICARE primary specialty pharmacy serves. Currently, there are not resources or information gathered that spotlight the experience TRICARE beneficiaries have when filling specialty medications.</w:t>
      </w:r>
    </w:p>
    <w:p w:rsidR="002135A4" w:rsidRPr="002135A4" w:rsidP="002135A4" w14:paraId="241C8E39" w14:textId="77777777">
      <w:pPr>
        <w:rPr>
          <w:bCs/>
        </w:rPr>
      </w:pPr>
    </w:p>
    <w:p w:rsidR="002135A4" w:rsidP="002135A4" w14:paraId="56E74650" w14:textId="798EFA21">
      <w:pPr>
        <w:rPr>
          <w:bCs/>
        </w:rPr>
      </w:pPr>
      <w:r w:rsidRPr="002135A4">
        <w:rPr>
          <w:bCs/>
        </w:rPr>
        <w:t>Additionally, this survey will provide insights the TRICARE primary specialty pharmacy will use to meet utilization review accreditation commission (URAC) requirements. Each accrediting body has accreditation standards related to determining patient satisfaction as a measure of the quality of services provided. In order to be accredited, evidence of ongoing compliance must be shown as validation accreditation requirements are met. Each accrediting body expects continuous compliance to their accreditation standards for the entire accreditation period granted.</w:t>
      </w:r>
    </w:p>
    <w:p w:rsidR="00D73FE5" w:rsidP="002135A4" w14:paraId="7D1EACCF" w14:textId="1CD885E6">
      <w:pPr>
        <w:rPr>
          <w:bCs/>
        </w:rPr>
      </w:pPr>
    </w:p>
    <w:p w:rsidR="00D73FE5" w:rsidRPr="002135A4" w:rsidP="002135A4" w14:paraId="39959668" w14:textId="1C8CC7C4">
      <w:pPr>
        <w:rPr>
          <w:bCs/>
        </w:rPr>
      </w:pPr>
      <w:r w:rsidRPr="00D73FE5">
        <w:rPr>
          <w:bCs/>
        </w:rPr>
        <w:t>The survey includes a question used to capture Net Promoter Score (NPS). The NPS scale of 1-10 is an industry standard. An NPS score measures customer loyalty by looking at their likelihood of recommending a given business. The NPS score is measured with a single-question survey and is a commercial best practice.</w:t>
      </w:r>
    </w:p>
    <w:p w:rsidR="00C8488C" w:rsidP="00434E33" w14:paraId="00F5D83B" w14:textId="77777777">
      <w:pPr>
        <w:pStyle w:val="Header"/>
        <w:tabs>
          <w:tab w:val="clear" w:pos="4320"/>
          <w:tab w:val="clear" w:pos="8640"/>
        </w:tabs>
        <w:rPr>
          <w:b/>
        </w:rPr>
      </w:pPr>
    </w:p>
    <w:p w:rsidR="00C8488C" w:rsidP="00434E33" w14:paraId="7274FBF0" w14:textId="4726C50C">
      <w:pPr>
        <w:pStyle w:val="Header"/>
        <w:tabs>
          <w:tab w:val="clear" w:pos="4320"/>
          <w:tab w:val="clear" w:pos="8640"/>
        </w:tabs>
        <w:rPr>
          <w:b/>
        </w:rPr>
      </w:pPr>
    </w:p>
    <w:p w:rsidR="000038D0" w:rsidP="00434E33" w14:paraId="35622F68" w14:textId="77777777">
      <w:pPr>
        <w:pStyle w:val="Header"/>
        <w:tabs>
          <w:tab w:val="clear" w:pos="4320"/>
          <w:tab w:val="clear" w:pos="8640"/>
        </w:tabs>
        <w:rPr>
          <w:b/>
        </w:rPr>
      </w:pPr>
    </w:p>
    <w:p w:rsidR="00C8488C" w:rsidRPr="002135A4" w:rsidP="002135A4" w14:paraId="1DCBBB40" w14:textId="538ADCFB">
      <w:pPr>
        <w:pStyle w:val="Header"/>
        <w:tabs>
          <w:tab w:val="clear" w:pos="4320"/>
          <w:tab w:val="clear" w:pos="8640"/>
        </w:tabs>
        <w:rPr>
          <w:bCs/>
          <w:snapToGrid/>
        </w:rPr>
      </w:pPr>
      <w:r w:rsidRPr="00434E33">
        <w:rPr>
          <w:b/>
        </w:rPr>
        <w:t>DESCRIPTION OF RESPONDENTS</w:t>
      </w:r>
      <w:r>
        <w:t xml:space="preserve">: </w:t>
      </w:r>
      <w:r w:rsidR="002135A4">
        <w:t xml:space="preserve">The respondents are </w:t>
      </w:r>
      <w:r w:rsidR="000038D0">
        <w:t>Military Health System (</w:t>
      </w:r>
      <w:r w:rsidRPr="002135A4" w:rsidR="002135A4">
        <w:rPr>
          <w:bCs/>
          <w:snapToGrid/>
        </w:rPr>
        <w:t>MHS</w:t>
      </w:r>
      <w:r w:rsidR="000038D0">
        <w:rPr>
          <w:bCs/>
          <w:snapToGrid/>
        </w:rPr>
        <w:t>)</w:t>
      </w:r>
      <w:r w:rsidRPr="002135A4" w:rsidR="002135A4">
        <w:rPr>
          <w:bCs/>
          <w:snapToGrid/>
        </w:rPr>
        <w:t xml:space="preserve"> beneficiaries filling </w:t>
      </w:r>
      <w:r w:rsidR="002135A4">
        <w:rPr>
          <w:bCs/>
          <w:snapToGrid/>
        </w:rPr>
        <w:t xml:space="preserve">a prescription </w:t>
      </w:r>
      <w:r w:rsidRPr="002135A4" w:rsidR="002135A4">
        <w:rPr>
          <w:bCs/>
          <w:snapToGrid/>
        </w:rPr>
        <w:t>at their pharmacy for specialty services.</w:t>
      </w:r>
    </w:p>
    <w:p w:rsidR="00E26329" w14:paraId="678338D4" w14:textId="77777777">
      <w:pPr>
        <w:rPr>
          <w:b/>
        </w:rPr>
      </w:pPr>
    </w:p>
    <w:p w:rsidR="00E26329" w14:paraId="3028022C" w14:textId="12C17EA7">
      <w:pPr>
        <w:rPr>
          <w:b/>
        </w:rPr>
      </w:pPr>
    </w:p>
    <w:p w:rsidR="000038D0" w14:paraId="2424864A" w14:textId="77777777">
      <w:pPr>
        <w:rPr>
          <w:b/>
        </w:rPr>
      </w:pPr>
    </w:p>
    <w:p w:rsidR="00F06866" w:rsidRPr="00F06866" w14:paraId="09E80DB5" w14:textId="77777777">
      <w:pPr>
        <w:rPr>
          <w:b/>
        </w:rPr>
      </w:pPr>
      <w:r>
        <w:rPr>
          <w:b/>
        </w:rPr>
        <w:t>TYPE OF COLLECTION:</w:t>
      </w:r>
      <w:r w:rsidRPr="00F06866">
        <w:t xml:space="preserve"> (Check one)</w:t>
      </w:r>
    </w:p>
    <w:p w:rsidR="00441434" w:rsidRPr="00434E33" w:rsidP="0096108F" w14:paraId="26628351" w14:textId="77777777">
      <w:pPr>
        <w:pStyle w:val="BodyTextIndent"/>
        <w:tabs>
          <w:tab w:val="left" w:pos="360"/>
        </w:tabs>
        <w:ind w:left="0"/>
        <w:rPr>
          <w:bCs/>
          <w:sz w:val="16"/>
          <w:szCs w:val="16"/>
        </w:rPr>
      </w:pPr>
    </w:p>
    <w:p w:rsidR="00F06866" w:rsidRPr="00F06866" w:rsidP="0096108F" w14:paraId="2C54747F" w14:textId="553186B6">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135A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05FD3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3CFC89F"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5506AF5" w14:textId="28409283">
      <w:pPr>
        <w:pStyle w:val="Header"/>
        <w:tabs>
          <w:tab w:val="clear" w:pos="4320"/>
          <w:tab w:val="clear" w:pos="8640"/>
        </w:tabs>
      </w:pPr>
    </w:p>
    <w:p w:rsidR="000038D0" w14:paraId="504165F5" w14:textId="77777777">
      <w:pPr>
        <w:pStyle w:val="Header"/>
        <w:tabs>
          <w:tab w:val="clear" w:pos="4320"/>
          <w:tab w:val="clear" w:pos="8640"/>
        </w:tabs>
      </w:pPr>
    </w:p>
    <w:p w:rsidR="00CA2650" w14:paraId="692401C2" w14:textId="77777777">
      <w:pPr>
        <w:rPr>
          <w:b/>
        </w:rPr>
      </w:pPr>
      <w:r>
        <w:rPr>
          <w:b/>
        </w:rPr>
        <w:t>C</w:t>
      </w:r>
      <w:r w:rsidR="009C13B9">
        <w:rPr>
          <w:b/>
        </w:rPr>
        <w:t>ERTIFICATION:</w:t>
      </w:r>
    </w:p>
    <w:p w:rsidR="00441434" w14:paraId="256457A1" w14:textId="77777777">
      <w:pPr>
        <w:rPr>
          <w:sz w:val="16"/>
          <w:szCs w:val="16"/>
        </w:rPr>
      </w:pPr>
    </w:p>
    <w:p w:rsidR="008101A5" w:rsidRPr="009C13B9" w:rsidP="008101A5" w14:paraId="15828166" w14:textId="77777777">
      <w:r>
        <w:t xml:space="preserve">I certify the following to be true: </w:t>
      </w:r>
    </w:p>
    <w:p w:rsidR="008101A5" w:rsidP="008101A5" w14:paraId="4AAAEB96" w14:textId="77777777">
      <w:pPr>
        <w:pStyle w:val="ListParagraph"/>
        <w:numPr>
          <w:ilvl w:val="0"/>
          <w:numId w:val="14"/>
        </w:numPr>
      </w:pPr>
      <w:r>
        <w:t>The collection is voluntary.</w:t>
      </w:r>
      <w:r w:rsidRPr="00C14CC4">
        <w:t xml:space="preserve"> </w:t>
      </w:r>
    </w:p>
    <w:p w:rsidR="008101A5" w:rsidP="008101A5" w14:paraId="1A1CC8E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D5470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B653C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5C05E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FC34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971ABC1" w14:textId="77777777"/>
    <w:p w:rsidR="002135A4" w:rsidP="002135A4" w14:paraId="23A1044E" w14:textId="6F33D12F">
      <w:r>
        <w:t>Name</w:t>
      </w:r>
      <w:r>
        <w:t xml:space="preserve">  Marcy Opstal, </w:t>
      </w:r>
      <w:r w:rsidRPr="002135A4">
        <w:t>Sr. Program Analyst/Strategic Communications Lead</w:t>
      </w:r>
      <w:r>
        <w:t xml:space="preserve">, DHA </w:t>
      </w:r>
      <w:r w:rsidRPr="002135A4">
        <w:t>Healthcare Operations, Pharmacy Operations Division (POD)</w:t>
      </w:r>
    </w:p>
    <w:p w:rsidR="002135A4" w:rsidRPr="002135A4" w:rsidP="002135A4" w14:paraId="5BECF7F1" w14:textId="246C27B1">
      <w:r>
        <w:t xml:space="preserve">Dr. Kimberley Aiyelawo, </w:t>
      </w:r>
      <w:r w:rsidRPr="002135A4">
        <w:t>Chief, DHA Patient Experience Measurement</w:t>
      </w:r>
      <w:r>
        <w:t xml:space="preserve">, </w:t>
      </w:r>
      <w:r w:rsidRPr="002135A4">
        <w:t>Analytics and Evaluation Division</w:t>
      </w:r>
      <w:r>
        <w:t xml:space="preserve"> (AED)</w:t>
      </w:r>
    </w:p>
    <w:p w:rsidR="009C13B9" w:rsidP="002135A4" w14:paraId="12CA67FA" w14:textId="77777777">
      <w:pPr>
        <w:pStyle w:val="ListParagraph"/>
        <w:ind w:left="0"/>
      </w:pPr>
    </w:p>
    <w:p w:rsidR="009C13B9" w:rsidP="009C13B9" w14:paraId="7A039E6F" w14:textId="77777777">
      <w:r>
        <w:t>To assist review, please provide answers to the following question:</w:t>
      </w:r>
    </w:p>
    <w:p w:rsidR="009C13B9" w:rsidP="009C13B9" w14:paraId="77E20680" w14:textId="77777777">
      <w:pPr>
        <w:pStyle w:val="ListParagraph"/>
        <w:ind w:left="360"/>
      </w:pPr>
    </w:p>
    <w:p w:rsidR="009C13B9" w:rsidRPr="00C86E91" w:rsidP="00C86E91" w14:paraId="35205835" w14:textId="77777777">
      <w:pPr>
        <w:rPr>
          <w:b/>
        </w:rPr>
      </w:pPr>
      <w:r w:rsidRPr="00C86E91">
        <w:rPr>
          <w:b/>
        </w:rPr>
        <w:t>Personally Identifiable Information:</w:t>
      </w:r>
    </w:p>
    <w:p w:rsidR="00C86E91" w:rsidP="00C86E91" w14:paraId="34E4BEE6" w14:textId="58C9331B">
      <w:pPr>
        <w:pStyle w:val="ListParagraph"/>
        <w:numPr>
          <w:ilvl w:val="0"/>
          <w:numId w:val="18"/>
        </w:numPr>
      </w:pPr>
      <w:r>
        <w:t>Is</w:t>
      </w:r>
      <w:r w:rsidR="00237B48">
        <w:t xml:space="preserve"> personally identifiable information (PII) collected</w:t>
      </w:r>
      <w:r>
        <w:t xml:space="preserve">?  </w:t>
      </w:r>
      <w:r w:rsidR="009239AA">
        <w:t>[  ] Yes  [</w:t>
      </w:r>
      <w:r w:rsidR="002135A4">
        <w:t>X</w:t>
      </w:r>
      <w:r w:rsidR="009239AA">
        <w:t xml:space="preserve">]  No </w:t>
      </w:r>
    </w:p>
    <w:p w:rsidR="00C86E91" w:rsidP="00C86E91" w14:paraId="467C48A2" w14:textId="3372D44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0038D0">
        <w:t xml:space="preserve">  </w:t>
      </w:r>
      <w:r w:rsidR="009239AA">
        <w:t>] No</w:t>
      </w:r>
      <w:r>
        <w:t xml:space="preserve">   </w:t>
      </w:r>
    </w:p>
    <w:p w:rsidR="00C86E91" w:rsidP="00C86E91" w14:paraId="28FB48D8" w14:textId="7A1A1915">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038D0">
        <w:t xml:space="preserve">  </w:t>
      </w:r>
      <w:r>
        <w:t>] No</w:t>
      </w:r>
    </w:p>
    <w:p w:rsidR="00CF6542" w:rsidP="00C86E91" w14:paraId="4B263FB7" w14:textId="77777777">
      <w:pPr>
        <w:pStyle w:val="ListParagraph"/>
        <w:ind w:left="0"/>
        <w:rPr>
          <w:b/>
        </w:rPr>
      </w:pPr>
    </w:p>
    <w:p w:rsidR="00C86E91" w:rsidRPr="00C86E91" w:rsidP="00C86E91" w14:paraId="156720A1" w14:textId="77777777">
      <w:pPr>
        <w:pStyle w:val="ListParagraph"/>
        <w:ind w:left="0"/>
        <w:rPr>
          <w:b/>
        </w:rPr>
      </w:pPr>
      <w:r>
        <w:rPr>
          <w:b/>
        </w:rPr>
        <w:t>Gifts or Payments</w:t>
      </w:r>
      <w:r>
        <w:rPr>
          <w:b/>
        </w:rPr>
        <w:t>:</w:t>
      </w:r>
    </w:p>
    <w:p w:rsidR="00C86E91" w:rsidP="00C86E91" w14:paraId="305B8F77" w14:textId="0AC411BC">
      <w:r>
        <w:t>Is an incentive (e.g., money or reimbursement of expenses, token of appreciation) provided to participants?  [  ] Yes [</w:t>
      </w:r>
      <w:r w:rsidR="002135A4">
        <w:t>X</w:t>
      </w:r>
      <w:r>
        <w:t xml:space="preserve">] No  </w:t>
      </w:r>
    </w:p>
    <w:p w:rsidR="00C86E91" w14:paraId="1D8B71D8" w14:textId="77777777">
      <w:pPr>
        <w:rPr>
          <w:b/>
        </w:rPr>
      </w:pPr>
    </w:p>
    <w:p w:rsidR="00C86E91" w14:paraId="099B1CC6" w14:textId="1FF24B5A">
      <w:pPr>
        <w:rPr>
          <w:b/>
        </w:rPr>
      </w:pPr>
    </w:p>
    <w:p w:rsidR="000038D0" w14:paraId="2D418F64" w14:textId="77777777">
      <w:pPr>
        <w:rPr>
          <w:b/>
        </w:rPr>
      </w:pPr>
    </w:p>
    <w:p w:rsidR="005E714A" w:rsidP="00C86E91" w14:paraId="1EAB9F57" w14:textId="77777777">
      <w:pPr>
        <w:rPr>
          <w:i/>
        </w:rPr>
      </w:pPr>
      <w:r>
        <w:rPr>
          <w:b/>
        </w:rPr>
        <w:t>BURDEN HOUR</w:t>
      </w:r>
      <w:r w:rsidR="00441434">
        <w:rPr>
          <w:b/>
        </w:rPr>
        <w:t>S</w:t>
      </w:r>
      <w:r>
        <w:t xml:space="preserve"> </w:t>
      </w:r>
    </w:p>
    <w:p w:rsidR="006832D9" w:rsidRPr="006832D9" w:rsidP="00F3170F" w14:paraId="390C84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C6FCE7D"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3032D07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8738A92"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397BEC1" w14:textId="77777777">
            <w:pPr>
              <w:rPr>
                <w:b/>
              </w:rPr>
            </w:pPr>
            <w:r w:rsidRPr="0001027E">
              <w:rPr>
                <w:b/>
              </w:rPr>
              <w:t>Participation Time</w:t>
            </w:r>
          </w:p>
        </w:tc>
        <w:tc>
          <w:tcPr>
            <w:tcW w:w="1003" w:type="dxa"/>
          </w:tcPr>
          <w:p w:rsidR="006832D9" w:rsidRPr="0001027E" w:rsidP="00843796" w14:paraId="1F7DE967" w14:textId="77777777">
            <w:pPr>
              <w:rPr>
                <w:b/>
              </w:rPr>
            </w:pPr>
            <w:r w:rsidRPr="0001027E">
              <w:rPr>
                <w:b/>
              </w:rPr>
              <w:t>Burden</w:t>
            </w:r>
          </w:p>
        </w:tc>
      </w:tr>
      <w:tr w14:paraId="4D712FDA" w14:textId="77777777" w:rsidTr="0001027E">
        <w:tblPrEx>
          <w:tblW w:w="9661" w:type="dxa"/>
          <w:tblLayout w:type="fixed"/>
          <w:tblLook w:val="01E0"/>
        </w:tblPrEx>
        <w:trPr>
          <w:trHeight w:val="274"/>
        </w:trPr>
        <w:tc>
          <w:tcPr>
            <w:tcW w:w="5418" w:type="dxa"/>
          </w:tcPr>
          <w:p w:rsidR="006832D9" w:rsidP="00843796" w14:paraId="2851627C" w14:textId="32DA4C06">
            <w:r>
              <w:t>Individuals (TRICARE beneficiaries)</w:t>
            </w:r>
          </w:p>
        </w:tc>
        <w:tc>
          <w:tcPr>
            <w:tcW w:w="1530" w:type="dxa"/>
          </w:tcPr>
          <w:p w:rsidR="006832D9" w:rsidP="00843796" w14:paraId="553BF70D" w14:textId="76487CCF">
            <w:r>
              <w:t>1,600</w:t>
            </w:r>
          </w:p>
        </w:tc>
        <w:tc>
          <w:tcPr>
            <w:tcW w:w="1710" w:type="dxa"/>
          </w:tcPr>
          <w:p w:rsidR="006832D9" w:rsidP="00843796" w14:paraId="78819CEA" w14:textId="21A55AFC">
            <w:r>
              <w:t>15 minutes</w:t>
            </w:r>
          </w:p>
        </w:tc>
        <w:tc>
          <w:tcPr>
            <w:tcW w:w="1003" w:type="dxa"/>
          </w:tcPr>
          <w:p w:rsidR="006832D9" w:rsidP="00843796" w14:paraId="1F6DAC21" w14:textId="04DBAB75">
            <w:r>
              <w:t>4</w:t>
            </w:r>
            <w:r w:rsidR="005E3268">
              <w:t>00</w:t>
            </w:r>
            <w:r>
              <w:t xml:space="preserve"> hrs</w:t>
            </w:r>
          </w:p>
        </w:tc>
      </w:tr>
      <w:tr w14:paraId="663F8235" w14:textId="77777777" w:rsidTr="0001027E">
        <w:tblPrEx>
          <w:tblW w:w="9661" w:type="dxa"/>
          <w:tblLayout w:type="fixed"/>
          <w:tblLook w:val="01E0"/>
        </w:tblPrEx>
        <w:trPr>
          <w:trHeight w:val="274"/>
        </w:trPr>
        <w:tc>
          <w:tcPr>
            <w:tcW w:w="5418" w:type="dxa"/>
          </w:tcPr>
          <w:p w:rsidR="006832D9" w:rsidP="00843796" w14:paraId="0A458B13" w14:textId="77777777"/>
        </w:tc>
        <w:tc>
          <w:tcPr>
            <w:tcW w:w="1530" w:type="dxa"/>
          </w:tcPr>
          <w:p w:rsidR="006832D9" w:rsidP="00843796" w14:paraId="28F51951" w14:textId="77777777"/>
        </w:tc>
        <w:tc>
          <w:tcPr>
            <w:tcW w:w="1710" w:type="dxa"/>
          </w:tcPr>
          <w:p w:rsidR="006832D9" w:rsidP="00843796" w14:paraId="5DD901DB" w14:textId="77777777"/>
        </w:tc>
        <w:tc>
          <w:tcPr>
            <w:tcW w:w="1003" w:type="dxa"/>
          </w:tcPr>
          <w:p w:rsidR="006832D9" w:rsidP="00843796" w14:paraId="692908B2" w14:textId="77777777"/>
        </w:tc>
      </w:tr>
      <w:tr w14:paraId="58F8BAD3" w14:textId="77777777" w:rsidTr="0001027E">
        <w:tblPrEx>
          <w:tblW w:w="9661" w:type="dxa"/>
          <w:tblLayout w:type="fixed"/>
          <w:tblLook w:val="01E0"/>
        </w:tblPrEx>
        <w:trPr>
          <w:trHeight w:val="289"/>
        </w:trPr>
        <w:tc>
          <w:tcPr>
            <w:tcW w:w="5418" w:type="dxa"/>
          </w:tcPr>
          <w:p w:rsidR="006832D9" w:rsidRPr="0001027E" w:rsidP="00843796" w14:paraId="2D731A86" w14:textId="77777777">
            <w:pPr>
              <w:rPr>
                <w:b/>
              </w:rPr>
            </w:pPr>
            <w:r w:rsidRPr="0001027E">
              <w:rPr>
                <w:b/>
              </w:rPr>
              <w:t>Totals</w:t>
            </w:r>
          </w:p>
        </w:tc>
        <w:tc>
          <w:tcPr>
            <w:tcW w:w="1530" w:type="dxa"/>
          </w:tcPr>
          <w:p w:rsidR="006832D9" w:rsidRPr="0001027E" w:rsidP="00843796" w14:paraId="33CD5668" w14:textId="71A2D4C8">
            <w:pPr>
              <w:rPr>
                <w:b/>
              </w:rPr>
            </w:pPr>
            <w:r>
              <w:rPr>
                <w:b/>
              </w:rPr>
              <w:t xml:space="preserve">1,600 </w:t>
            </w:r>
          </w:p>
        </w:tc>
        <w:tc>
          <w:tcPr>
            <w:tcW w:w="1710" w:type="dxa"/>
          </w:tcPr>
          <w:p w:rsidR="006832D9" w:rsidP="00843796" w14:paraId="67789172" w14:textId="418CBF9C">
            <w:r>
              <w:t xml:space="preserve">15 minutes </w:t>
            </w:r>
          </w:p>
        </w:tc>
        <w:tc>
          <w:tcPr>
            <w:tcW w:w="1003" w:type="dxa"/>
          </w:tcPr>
          <w:p w:rsidR="006832D9" w:rsidRPr="0001027E" w:rsidP="00843796" w14:paraId="1770AF10" w14:textId="320C7F50">
            <w:pPr>
              <w:rPr>
                <w:b/>
              </w:rPr>
            </w:pPr>
            <w:r>
              <w:rPr>
                <w:b/>
              </w:rPr>
              <w:t xml:space="preserve">400 </w:t>
            </w:r>
            <w:r w:rsidR="000038D0">
              <w:rPr>
                <w:b/>
              </w:rPr>
              <w:t>hrs</w:t>
            </w:r>
          </w:p>
        </w:tc>
      </w:tr>
    </w:tbl>
    <w:p w:rsidR="00F3170F" w:rsidP="00F3170F" w14:paraId="59240B77" w14:textId="77777777"/>
    <w:p w:rsidR="005E714A" w14:paraId="56D8B3C3" w14:textId="4DA521DB">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5E3268">
        <w:t xml:space="preserve">$11,904.00. </w:t>
      </w:r>
    </w:p>
    <w:p w:rsidR="005E3268" w14:paraId="5310BD01" w14:textId="2086D3BE">
      <w:pPr>
        <w:rPr>
          <w:b/>
        </w:rPr>
      </w:pPr>
      <w:r>
        <w:t xml:space="preserve">This is calculated based off the May 2022 national mean hourly rate for all occupations. </w:t>
      </w:r>
    </w:p>
    <w:p w:rsidR="00ED6492" w14:paraId="52753062" w14:textId="77777777">
      <w:pPr>
        <w:rPr>
          <w:b/>
          <w:bCs/>
          <w:u w:val="single"/>
        </w:rPr>
      </w:pPr>
    </w:p>
    <w:p w:rsidR="0069403B" w:rsidP="00F06866" w14:paraId="74CDF2B2"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BE4815D" w14:textId="77777777">
      <w:pPr>
        <w:rPr>
          <w:b/>
        </w:rPr>
      </w:pPr>
    </w:p>
    <w:p w:rsidR="00F06866" w:rsidP="00F06866" w14:paraId="28439970" w14:textId="77777777">
      <w:pPr>
        <w:rPr>
          <w:b/>
        </w:rPr>
      </w:pPr>
      <w:r>
        <w:rPr>
          <w:b/>
        </w:rPr>
        <w:t>The</w:t>
      </w:r>
      <w:r w:rsidR="0069403B">
        <w:rPr>
          <w:b/>
        </w:rPr>
        <w:t xml:space="preserve"> select</w:t>
      </w:r>
      <w:r>
        <w:rPr>
          <w:b/>
        </w:rPr>
        <w:t>ion of your targeted respondents</w:t>
      </w:r>
    </w:p>
    <w:p w:rsidR="0069403B" w:rsidP="0069403B" w14:paraId="4462308F" w14:textId="4BD7A37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E3268">
        <w:t>X</w:t>
      </w:r>
      <w:r>
        <w:t>] Yes</w:t>
      </w:r>
      <w:r>
        <w:tab/>
        <w:t>[ ] No</w:t>
      </w:r>
    </w:p>
    <w:p w:rsidR="00A403BB" w:rsidP="000038D0" w14:paraId="4D05A661" w14:textId="77777777"/>
    <w:p w:rsidR="00A403BB" w:rsidP="00A403BB" w14:paraId="0A1F8706" w14:textId="4D70BC7C">
      <w:r>
        <w:t xml:space="preserve">At </w:t>
      </w:r>
      <w:r w:rsidRPr="00105252">
        <w:t xml:space="preserve">least 33,000 beneficiaries will be utilizing Accredo </w:t>
      </w:r>
      <w:r>
        <w:t xml:space="preserve">Specialty Pharmacy services </w:t>
      </w:r>
      <w:r w:rsidRPr="00105252">
        <w:t>under the TPharm5 contract</w:t>
      </w:r>
      <w:r>
        <w:t xml:space="preserve">. Quarterly, we will have a response pool of 3,000 beneficiaries that will be </w:t>
      </w:r>
      <w:r>
        <w:t>utilized to get 400 participants to complete the phone survey. Beneficiaries selected each quarter will only be eligible to participate in the survey one quarter per year.</w:t>
      </w:r>
    </w:p>
    <w:p w:rsidR="004D6E14" w:rsidP="00A403BB" w14:paraId="768BA195" w14:textId="166ED662">
      <w:pPr>
        <w:rPr>
          <w:b/>
        </w:rPr>
      </w:pPr>
    </w:p>
    <w:p w:rsidR="000038D0" w:rsidP="00A403BB" w14:paraId="35232294" w14:textId="77777777">
      <w:pPr>
        <w:rPr>
          <w:b/>
        </w:rPr>
      </w:pPr>
    </w:p>
    <w:p w:rsidR="00A403BB" w:rsidP="00A403BB" w14:paraId="65C2B801" w14:textId="77777777">
      <w:pPr>
        <w:rPr>
          <w:b/>
        </w:rPr>
      </w:pPr>
      <w:r>
        <w:rPr>
          <w:b/>
        </w:rPr>
        <w:t>Administration of the Instrument</w:t>
      </w:r>
    </w:p>
    <w:p w:rsidR="00A403BB" w:rsidP="00A403BB" w14:paraId="7A19E756" w14:textId="77777777">
      <w:pPr>
        <w:pStyle w:val="ListParagraph"/>
        <w:numPr>
          <w:ilvl w:val="0"/>
          <w:numId w:val="17"/>
        </w:numPr>
      </w:pPr>
      <w:r>
        <w:t>H</w:t>
      </w:r>
      <w:r>
        <w:t>ow will you collect the information? (Check all that apply)</w:t>
      </w:r>
    </w:p>
    <w:p w:rsidR="001B0AAA" w:rsidP="001B0AAA" w14:paraId="4ECCBA70" w14:textId="77777777">
      <w:pPr>
        <w:ind w:left="720"/>
      </w:pPr>
      <w:r>
        <w:t xml:space="preserve">[ </w:t>
      </w:r>
      <w:r>
        <w:t xml:space="preserve"> </w:t>
      </w:r>
      <w:r>
        <w:t>] Web-based</w:t>
      </w:r>
      <w:r>
        <w:t xml:space="preserve"> or other forms of Social Media </w:t>
      </w:r>
    </w:p>
    <w:p w:rsidR="001B0AAA" w:rsidP="001B0AAA" w14:paraId="1F193F9E" w14:textId="5AD2B308">
      <w:pPr>
        <w:ind w:left="720"/>
      </w:pPr>
      <w:r>
        <w:t>[</w:t>
      </w:r>
      <w:r w:rsidR="005E3268">
        <w:t>X</w:t>
      </w:r>
      <w:r>
        <w:t>] Telephone</w:t>
      </w:r>
      <w:r>
        <w:tab/>
      </w:r>
    </w:p>
    <w:p w:rsidR="001B0AAA" w:rsidP="001B0AAA" w14:paraId="26AA5D94" w14:textId="77777777">
      <w:pPr>
        <w:ind w:left="720"/>
      </w:pPr>
      <w:r>
        <w:t>[</w:t>
      </w:r>
      <w:r>
        <w:t xml:space="preserve"> </w:t>
      </w:r>
      <w:r>
        <w:t xml:space="preserve"> ] In-person</w:t>
      </w:r>
      <w:r>
        <w:tab/>
      </w:r>
    </w:p>
    <w:p w:rsidR="001B0AAA" w:rsidP="001B0AAA" w14:paraId="70D4ADAF" w14:textId="77777777">
      <w:pPr>
        <w:ind w:left="720"/>
      </w:pPr>
      <w:r>
        <w:t xml:space="preserve">[ </w:t>
      </w:r>
      <w:r>
        <w:t xml:space="preserve"> </w:t>
      </w:r>
      <w:r>
        <w:t>] Mail</w:t>
      </w:r>
      <w:r>
        <w:t xml:space="preserve"> </w:t>
      </w:r>
    </w:p>
    <w:p w:rsidR="001B0AAA" w:rsidP="001B0AAA" w14:paraId="2A18183F" w14:textId="77777777">
      <w:pPr>
        <w:ind w:left="720"/>
      </w:pPr>
      <w:r>
        <w:t xml:space="preserve">[ </w:t>
      </w:r>
      <w:r>
        <w:t xml:space="preserve"> </w:t>
      </w:r>
      <w:r>
        <w:t>] Other, Explain</w:t>
      </w:r>
    </w:p>
    <w:p w:rsidR="00F24CFC" w:rsidP="00F24CFC" w14:paraId="79670485" w14:textId="50BB2B43">
      <w:pPr>
        <w:pStyle w:val="ListParagraph"/>
        <w:numPr>
          <w:ilvl w:val="0"/>
          <w:numId w:val="17"/>
        </w:numPr>
      </w:pPr>
      <w:r>
        <w:t>Will interviewers or facilitators be used?  [</w:t>
      </w:r>
      <w:r w:rsidR="005E3268">
        <w:t>X</w:t>
      </w:r>
      <w:r>
        <w:t>] Yes [  ] No</w:t>
      </w:r>
    </w:p>
    <w:p w:rsidR="00F24CFC" w:rsidP="00F24CFC" w14:paraId="00256824" w14:textId="77777777">
      <w:pPr>
        <w:pStyle w:val="ListParagraph"/>
        <w:ind w:left="360"/>
      </w:pPr>
      <w:r>
        <w:t xml:space="preserve"> </w:t>
      </w:r>
    </w:p>
    <w:p w:rsidR="005E714A" w:rsidRPr="00A450B9" w:rsidP="00A450B9" w14:paraId="093EA491" w14:textId="56414459">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8DBCE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0CED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0"/>
  </w:num>
  <w:num w:numId="2" w16cid:durableId="1212687769">
    <w:abstractNumId w:val="16"/>
  </w:num>
  <w:num w:numId="3" w16cid:durableId="408163434">
    <w:abstractNumId w:val="15"/>
  </w:num>
  <w:num w:numId="4" w16cid:durableId="1382288892">
    <w:abstractNumId w:val="17"/>
  </w:num>
  <w:num w:numId="5" w16cid:durableId="825243898">
    <w:abstractNumId w:val="3"/>
  </w:num>
  <w:num w:numId="6" w16cid:durableId="481964837">
    <w:abstractNumId w:val="1"/>
  </w:num>
  <w:num w:numId="7" w16cid:durableId="1529873013">
    <w:abstractNumId w:val="8"/>
  </w:num>
  <w:num w:numId="8" w16cid:durableId="2078820003">
    <w:abstractNumId w:val="13"/>
  </w:num>
  <w:num w:numId="9" w16cid:durableId="783310279">
    <w:abstractNumId w:val="9"/>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4"/>
  </w:num>
  <w:num w:numId="15" w16cid:durableId="1133525413">
    <w:abstractNumId w:val="12"/>
  </w:num>
  <w:num w:numId="16" w16cid:durableId="845092566">
    <w:abstractNumId w:val="11"/>
  </w:num>
  <w:num w:numId="17" w16cid:durableId="1227718403">
    <w:abstractNumId w:val="4"/>
  </w:num>
  <w:num w:numId="18" w16cid:durableId="201749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8D0"/>
    <w:rsid w:val="0001027E"/>
    <w:rsid w:val="00023A57"/>
    <w:rsid w:val="00047A64"/>
    <w:rsid w:val="00067329"/>
    <w:rsid w:val="000B0660"/>
    <w:rsid w:val="000B2838"/>
    <w:rsid w:val="000D44CA"/>
    <w:rsid w:val="000E200B"/>
    <w:rsid w:val="000E55F9"/>
    <w:rsid w:val="000F68BE"/>
    <w:rsid w:val="00105252"/>
    <w:rsid w:val="00122326"/>
    <w:rsid w:val="001927A4"/>
    <w:rsid w:val="00194AC6"/>
    <w:rsid w:val="001A23B0"/>
    <w:rsid w:val="001A25CC"/>
    <w:rsid w:val="001A531C"/>
    <w:rsid w:val="001B0AAA"/>
    <w:rsid w:val="001B508F"/>
    <w:rsid w:val="001C39F7"/>
    <w:rsid w:val="002135A4"/>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76EC"/>
    <w:rsid w:val="004C6324"/>
    <w:rsid w:val="004D6E14"/>
    <w:rsid w:val="005009B0"/>
    <w:rsid w:val="005554DA"/>
    <w:rsid w:val="005A1006"/>
    <w:rsid w:val="005E3268"/>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D01A2"/>
    <w:rsid w:val="009F5923"/>
    <w:rsid w:val="00A17803"/>
    <w:rsid w:val="00A403BB"/>
    <w:rsid w:val="00A450B9"/>
    <w:rsid w:val="00A674DF"/>
    <w:rsid w:val="00A83AA6"/>
    <w:rsid w:val="00A934D6"/>
    <w:rsid w:val="00AE1809"/>
    <w:rsid w:val="00B632BA"/>
    <w:rsid w:val="00B80D76"/>
    <w:rsid w:val="00BA2105"/>
    <w:rsid w:val="00BA373D"/>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73FE5"/>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AB6F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f0">
    <w:name w:val="pf0"/>
    <w:basedOn w:val="Normal"/>
    <w:rsid w:val="002135A4"/>
    <w:pPr>
      <w:spacing w:before="100" w:beforeAutospacing="1" w:after="100" w:afterAutospacing="1"/>
      <w:ind w:left="720"/>
    </w:pPr>
  </w:style>
  <w:style w:type="character" w:customStyle="1" w:styleId="cf01">
    <w:name w:val="cf01"/>
    <w:rsid w:val="002135A4"/>
    <w:rPr>
      <w:rFonts w:ascii="Segoe UI" w:hAnsi="Segoe UI" w:cs="Segoe UI" w:hint="default"/>
      <w:sz w:val="18"/>
      <w:szCs w:val="18"/>
    </w:rPr>
  </w:style>
  <w:style w:type="paragraph" w:customStyle="1" w:styleId="DocLevel4ParagraphText">
    <w:name w:val="Doc_Level 4 Paragraph Text"/>
    <w:basedOn w:val="Normal"/>
    <w:link w:val="DocLevel4ParagraphTextChar"/>
    <w:rsid w:val="00105252"/>
    <w:pPr>
      <w:spacing w:before="240" w:after="240"/>
      <w:ind w:left="2880"/>
    </w:pPr>
  </w:style>
  <w:style w:type="character" w:customStyle="1" w:styleId="DocLevel4ParagraphTextChar">
    <w:name w:val="Doc_Level 4 Paragraph Text Char"/>
    <w:link w:val="DocLevel4ParagraphText"/>
    <w:rsid w:val="00105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748</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5</cp:revision>
  <cp:lastPrinted>2010-10-04T15:59:00Z</cp:lastPrinted>
  <dcterms:created xsi:type="dcterms:W3CDTF">2024-01-10T21:16:00Z</dcterms:created>
  <dcterms:modified xsi:type="dcterms:W3CDTF">2024-01-18T14:55:00Z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