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RPr="00AC0E86" w:rsidP="00257FE9" w14:paraId="26A9CC22" w14:textId="77777777">
      <w:pPr>
        <w:jc w:val="center"/>
        <w:rPr>
          <w:rFonts w:eastAsia="Calibri"/>
        </w:rPr>
      </w:pPr>
      <w:r w:rsidRPr="00AC0E86">
        <w:rPr>
          <w:rFonts w:eastAsia="Calibri"/>
        </w:rPr>
        <w:t>United States Food and Drug Administration</w:t>
      </w:r>
    </w:p>
    <w:p w:rsidR="00357C8A" w:rsidRPr="00AC0E86" w:rsidP="00257FE9" w14:paraId="5B08F743" w14:textId="77777777">
      <w:pPr>
        <w:jc w:val="center"/>
        <w:rPr>
          <w:rFonts w:eastAsia="Calibri"/>
        </w:rPr>
      </w:pPr>
    </w:p>
    <w:p w:rsidR="00357C8A" w:rsidRPr="00AC0E86" w:rsidP="00257FE9" w14:paraId="0202A70D" w14:textId="77777777">
      <w:pPr>
        <w:jc w:val="center"/>
        <w:rPr>
          <w:rFonts w:eastAsia="Calibri"/>
        </w:rPr>
      </w:pPr>
      <w:r w:rsidRPr="00AC0E86">
        <w:rPr>
          <w:rFonts w:eastAsia="Calibri"/>
        </w:rPr>
        <w:t xml:space="preserve">Obtaining Information to Understand and Challenges and Opportunities Encountered by </w:t>
      </w:r>
      <w:r w:rsidRPr="00AC0E86" w:rsidR="00A20647">
        <w:rPr>
          <w:rFonts w:eastAsia="Calibri"/>
        </w:rPr>
        <w:t>Compounding Outsourcing Facilities</w:t>
      </w:r>
    </w:p>
    <w:p w:rsidR="00357C8A" w:rsidRPr="00AC0E86" w:rsidP="00257FE9" w14:paraId="3ACF4BCE" w14:textId="77777777">
      <w:pPr>
        <w:jc w:val="center"/>
        <w:rPr>
          <w:rFonts w:eastAsia="Calibri"/>
        </w:rPr>
      </w:pPr>
    </w:p>
    <w:p w:rsidR="00357C8A" w:rsidRPr="00AC0E86" w:rsidP="00257FE9" w14:paraId="3D9BEC83" w14:textId="482591FB">
      <w:pPr>
        <w:jc w:val="center"/>
        <w:rPr>
          <w:rFonts w:eastAsia="Calibri"/>
        </w:rPr>
      </w:pPr>
      <w:r w:rsidRPr="00AC0E86">
        <w:rPr>
          <w:rFonts w:eastAsia="Calibri"/>
        </w:rPr>
        <w:t>OMB Control No. 0910-</w:t>
      </w:r>
      <w:r w:rsidRPr="00AC0E86" w:rsidR="003433FA">
        <w:rPr>
          <w:rFonts w:eastAsia="Calibri"/>
        </w:rPr>
        <w:t>0883</w:t>
      </w:r>
      <w:r w:rsidR="00B94459">
        <w:rPr>
          <w:rFonts w:eastAsia="Calibri"/>
        </w:rPr>
        <w:t xml:space="preserve"> - </w:t>
      </w:r>
      <w:r w:rsidR="005E390B">
        <w:rPr>
          <w:rFonts w:eastAsia="Calibri"/>
        </w:rPr>
        <w:t>Revision</w:t>
      </w:r>
    </w:p>
    <w:p w:rsidR="00357C8A" w:rsidRPr="00AC0E86" w:rsidP="00257FE9" w14:paraId="21CD43CB" w14:textId="77777777">
      <w:pPr>
        <w:jc w:val="center"/>
        <w:rPr>
          <w:rFonts w:eastAsia="Calibri"/>
        </w:rPr>
      </w:pPr>
    </w:p>
    <w:p w:rsidR="009B4DF2" w:rsidRPr="00AC0E86" w:rsidP="00257FE9" w14:paraId="5AAE934B" w14:textId="77777777">
      <w:pPr>
        <w:jc w:val="center"/>
        <w:rPr>
          <w:rFonts w:eastAsia="Calibri"/>
        </w:rPr>
      </w:pPr>
      <w:r w:rsidRPr="00AC0E86">
        <w:rPr>
          <w:rFonts w:eastAsia="Calibri"/>
        </w:rPr>
        <w:t>SUPPORTING STATEMENT</w:t>
      </w:r>
      <w:r w:rsidRPr="00AC0E86" w:rsidR="00D77E4B">
        <w:rPr>
          <w:rFonts w:eastAsia="Calibri"/>
        </w:rPr>
        <w:t xml:space="preserve"> </w:t>
      </w:r>
    </w:p>
    <w:p w:rsidR="00357C8A" w:rsidRPr="00AC0E86" w:rsidP="00257FE9" w14:paraId="76558833" w14:textId="77777777">
      <w:pPr>
        <w:rPr>
          <w:rFonts w:eastAsia="Calibri"/>
          <w:b/>
        </w:rPr>
      </w:pPr>
    </w:p>
    <w:p w:rsidR="00357C8A" w:rsidRPr="00AC0E86" w:rsidP="00257FE9" w14:paraId="4A56F234" w14:textId="77777777">
      <w:pPr>
        <w:rPr>
          <w:rFonts w:eastAsia="Calibri"/>
        </w:rPr>
      </w:pPr>
      <w:r w:rsidRPr="00AC0E86">
        <w:rPr>
          <w:rFonts w:eastAsia="Calibri"/>
          <w:b/>
        </w:rPr>
        <w:t>Part A:  Justification</w:t>
      </w:r>
      <w:r w:rsidRPr="00AC0E86">
        <w:rPr>
          <w:rFonts w:eastAsia="Calibri"/>
        </w:rPr>
        <w:t>:</w:t>
      </w:r>
    </w:p>
    <w:p w:rsidR="000D79CC" w:rsidRPr="00AC0E86" w:rsidP="00257FE9" w14:paraId="0496A177" w14:textId="77777777">
      <w:pPr>
        <w:rPr>
          <w:rFonts w:eastAsia="Calibri"/>
        </w:rPr>
      </w:pPr>
    </w:p>
    <w:p w:rsidR="00357C8A" w:rsidRPr="00AC0E86" w:rsidP="00257FE9" w14:paraId="21BD0D47" w14:textId="77777777">
      <w:pPr>
        <w:numPr>
          <w:ilvl w:val="0"/>
          <w:numId w:val="6"/>
        </w:numPr>
        <w:spacing w:line="276" w:lineRule="auto"/>
        <w:rPr>
          <w:rFonts w:eastAsia="Calibri"/>
        </w:rPr>
      </w:pPr>
      <w:r w:rsidRPr="00AC0E86">
        <w:rPr>
          <w:rFonts w:eastAsia="Calibri"/>
          <w:u w:val="single"/>
        </w:rPr>
        <w:t>Circumstances Making the Collection of Information Necessary</w:t>
      </w:r>
    </w:p>
    <w:p w:rsidR="00257FE9" w:rsidRPr="00AC0E86" w:rsidP="00257FE9" w14:paraId="5BF177EF" w14:textId="77777777">
      <w:pPr>
        <w:rPr>
          <w:rFonts w:eastAsia="Calibri"/>
        </w:rPr>
      </w:pPr>
    </w:p>
    <w:p w:rsidR="005D67EC" w:rsidRPr="00AC0E86" w:rsidP="00E65498" w14:paraId="5BD28101" w14:textId="3BA49106">
      <w:pPr>
        <w:ind w:left="360"/>
        <w:rPr>
          <w:rFonts w:eastAsia="Calibri"/>
        </w:rPr>
      </w:pPr>
      <w:bookmarkStart w:id="0" w:name="_Hlk75414537"/>
      <w:r w:rsidRPr="00AC0E86">
        <w:rPr>
          <w:rFonts w:eastAsia="Calibri"/>
        </w:rPr>
        <w:t xml:space="preserve">This information collection supports FDA research </w:t>
      </w:r>
      <w:r w:rsidR="009E5475">
        <w:rPr>
          <w:rFonts w:eastAsia="Calibri"/>
        </w:rPr>
        <w:t>to</w:t>
      </w:r>
      <w:r w:rsidRPr="00AC0E86">
        <w:rPr>
          <w:rFonts w:eastAsia="Calibri"/>
        </w:rPr>
        <w:t xml:space="preserve"> obtain information </w:t>
      </w:r>
      <w:r w:rsidR="00F44025">
        <w:rPr>
          <w:rFonts w:eastAsia="Calibri"/>
        </w:rPr>
        <w:t xml:space="preserve">about challenges and </w:t>
      </w:r>
      <w:r w:rsidR="001F7D42">
        <w:rPr>
          <w:rFonts w:eastAsia="Calibri"/>
        </w:rPr>
        <w:t xml:space="preserve">opportunities </w:t>
      </w:r>
      <w:r w:rsidRPr="00AC0E86">
        <w:rPr>
          <w:rFonts w:eastAsia="Calibri"/>
        </w:rPr>
        <w:t xml:space="preserve">pertaining to human prescription drug compounding by outsourcing facilities.  Generally, drug compounding is the practice of combining, mixing, or altering ingredients of a drug to create a medication tailored an individual patient’s needs.  Although compounded drugs can serve an important medical need for certain patients when an approved drug is not medically appropriate, compounded drugs also present </w:t>
      </w:r>
      <w:r w:rsidR="00974F96">
        <w:rPr>
          <w:rFonts w:eastAsia="Calibri"/>
        </w:rPr>
        <w:t xml:space="preserve">a </w:t>
      </w:r>
      <w:r w:rsidRPr="00AC0E86">
        <w:rPr>
          <w:rFonts w:eastAsia="Calibri"/>
        </w:rPr>
        <w:t xml:space="preserve">risk to patients.  Compounded drugs are not FDA-approved; </w:t>
      </w:r>
      <w:r w:rsidR="00974F96">
        <w:rPr>
          <w:rFonts w:eastAsia="Calibri"/>
        </w:rPr>
        <w:t xml:space="preserve">therefore, </w:t>
      </w:r>
      <w:r w:rsidRPr="00AC0E86">
        <w:rPr>
          <w:rFonts w:eastAsia="Calibri"/>
        </w:rPr>
        <w:t xml:space="preserve">they do not undergo FDA premarket review for safety, effectiveness, and quality.  </w:t>
      </w:r>
    </w:p>
    <w:p w:rsidR="00382B05" w:rsidRPr="00AC0E86" w:rsidP="00E65498" w14:paraId="65F27069" w14:textId="77777777">
      <w:pPr>
        <w:ind w:left="360"/>
        <w:rPr>
          <w:rFonts w:eastAsia="Calibri"/>
        </w:rPr>
      </w:pPr>
    </w:p>
    <w:p w:rsidR="005D67EC" w:rsidRPr="00AC0E86" w:rsidP="00E65498" w14:paraId="37F1B4EE" w14:textId="2ACD548A">
      <w:pPr>
        <w:ind w:left="360"/>
        <w:rPr>
          <w:rFonts w:eastAsia="Calibri"/>
        </w:rPr>
      </w:pPr>
      <w:r w:rsidRPr="00AC0E86">
        <w:rPr>
          <w:rFonts w:eastAsia="Calibri"/>
        </w:rPr>
        <w:t xml:space="preserve">Section 503A of the Federal Food, Drug, and Cosmetic Act (FD&amp;C Act) (21 U.S.C. 353a) describes the conditions that must be satisfied for compounded human prescription drug products to be exempt from certain sections of the FD&amp;C Act:  (1) section 501(a)(2)(B) </w:t>
      </w:r>
      <w:r w:rsidR="00512AB7">
        <w:rPr>
          <w:rFonts w:eastAsia="Calibri"/>
        </w:rPr>
        <w:t xml:space="preserve">of the FD&amp;C Act </w:t>
      </w:r>
      <w:r w:rsidRPr="00AC0E86">
        <w:rPr>
          <w:rFonts w:eastAsia="Calibri"/>
        </w:rPr>
        <w:t>(21 U.S.C. 351(a)(2)(B)) (current good manufacturing practice (CGMP) requirements)</w:t>
      </w:r>
      <w:r w:rsidR="0076305D">
        <w:rPr>
          <w:rFonts w:eastAsia="Calibri"/>
        </w:rPr>
        <w:t>;</w:t>
      </w:r>
      <w:r w:rsidRPr="00AC0E86">
        <w:rPr>
          <w:rFonts w:eastAsia="Calibri"/>
        </w:rPr>
        <w:t xml:space="preserve"> (2) section 502(f)(1)</w:t>
      </w:r>
      <w:r w:rsidRPr="0076305D" w:rsidR="0076305D">
        <w:rPr>
          <w:rFonts w:eastAsia="Calibri"/>
        </w:rPr>
        <w:t xml:space="preserve"> </w:t>
      </w:r>
      <w:r w:rsidR="0076305D">
        <w:rPr>
          <w:rFonts w:eastAsia="Calibri"/>
        </w:rPr>
        <w:t>of the FD&amp;C Act</w:t>
      </w:r>
      <w:r w:rsidRPr="00AC0E86">
        <w:rPr>
          <w:rFonts w:eastAsia="Calibri"/>
        </w:rPr>
        <w:t xml:space="preserve"> (21 U.S.C. 352(f)(1)) (labeling of drugs with adequate directions for use)</w:t>
      </w:r>
      <w:r w:rsidR="0076305D">
        <w:rPr>
          <w:rFonts w:eastAsia="Calibri"/>
        </w:rPr>
        <w:t>;</w:t>
      </w:r>
      <w:r w:rsidRPr="00AC0E86">
        <w:rPr>
          <w:rFonts w:eastAsia="Calibri"/>
        </w:rPr>
        <w:t xml:space="preserve"> and (3) section 505</w:t>
      </w:r>
      <w:r w:rsidRPr="0076305D" w:rsidR="0076305D">
        <w:rPr>
          <w:rFonts w:eastAsia="Calibri"/>
        </w:rPr>
        <w:t xml:space="preserve"> </w:t>
      </w:r>
      <w:r w:rsidR="0076305D">
        <w:rPr>
          <w:rFonts w:eastAsia="Calibri"/>
        </w:rPr>
        <w:t>of the FD&amp;C Act</w:t>
      </w:r>
      <w:r w:rsidRPr="00AC0E86">
        <w:rPr>
          <w:rFonts w:eastAsia="Calibri"/>
        </w:rPr>
        <w:t xml:space="preserve"> (21 U.S.C. 355) (approval of drugs under new drug applications or abbreviated new drug applications).  </w:t>
      </w:r>
    </w:p>
    <w:p w:rsidR="005D67EC" w:rsidRPr="00AC0E86" w:rsidP="00E65498" w14:paraId="3ADD921D" w14:textId="77777777">
      <w:pPr>
        <w:ind w:left="360"/>
        <w:rPr>
          <w:rFonts w:eastAsia="Calibri"/>
        </w:rPr>
      </w:pPr>
    </w:p>
    <w:p w:rsidR="005D67EC" w:rsidRPr="00AC0E86" w:rsidP="00E65498" w14:paraId="00E7C329" w14:textId="2A01E1F9">
      <w:pPr>
        <w:ind w:left="360"/>
        <w:rPr>
          <w:rFonts w:eastAsia="Calibri"/>
        </w:rPr>
      </w:pPr>
      <w:r w:rsidRPr="00AC0E86">
        <w:rPr>
          <w:rFonts w:eastAsia="Calibri"/>
        </w:rPr>
        <w:t>The Drug Quality and Security Act of 2013 (Pub. L. 113-54) created outsourcing facilities</w:t>
      </w:r>
      <w:r w:rsidR="00DA6892">
        <w:rPr>
          <w:rFonts w:eastAsia="Calibri"/>
        </w:rPr>
        <w:t xml:space="preserve">—a new industry sector of </w:t>
      </w:r>
      <w:r w:rsidRPr="00AC0E86">
        <w:rPr>
          <w:rFonts w:eastAsia="Calibri"/>
        </w:rPr>
        <w:t xml:space="preserve">drug compounders held to higher quality standards to </w:t>
      </w:r>
      <w:r w:rsidRPr="00AC0E86" w:rsidR="00382B05">
        <w:rPr>
          <w:rFonts w:eastAsia="Calibri"/>
        </w:rPr>
        <w:t xml:space="preserve">help </w:t>
      </w:r>
      <w:r w:rsidRPr="00AC0E86">
        <w:rPr>
          <w:rFonts w:eastAsia="Calibri"/>
        </w:rPr>
        <w:t xml:space="preserve">protect patient health.  Section 503B of the FD&amp;C Act (21 U.S.C. 353b) describes the conditions that outsourcing facilities must satisfy for drug products compounded in an outsourcing facility by or under the direct supervision of a licensed pharmacist to be exempt from the certain sections of the FD&amp;C Act.  Outsourcing facilities are intended to offer a more reliable supply of compounded drugs </w:t>
      </w:r>
      <w:r w:rsidR="00DA6892">
        <w:rPr>
          <w:rFonts w:eastAsia="Calibri"/>
        </w:rPr>
        <w:t>that</w:t>
      </w:r>
      <w:r w:rsidRPr="00AC0E86">
        <w:rPr>
          <w:rFonts w:eastAsia="Calibri"/>
        </w:rPr>
        <w:t xml:space="preserve"> hospitals, clinics, and other providers</w:t>
      </w:r>
      <w:r w:rsidR="00DA6892">
        <w:rPr>
          <w:rFonts w:eastAsia="Calibri"/>
        </w:rPr>
        <w:t xml:space="preserve"> need</w:t>
      </w:r>
      <w:r w:rsidRPr="00AC0E86">
        <w:rPr>
          <w:rFonts w:eastAsia="Calibri"/>
        </w:rPr>
        <w:t xml:space="preserve">.  </w:t>
      </w:r>
      <w:bookmarkEnd w:id="0"/>
    </w:p>
    <w:p w:rsidR="005D67EC" w:rsidRPr="00AC0E86" w:rsidP="00E65498" w14:paraId="0CA78D88" w14:textId="4B107158">
      <w:pPr>
        <w:ind w:left="360"/>
        <w:rPr>
          <w:rFonts w:eastAsia="Calibri"/>
        </w:rPr>
      </w:pPr>
    </w:p>
    <w:p w:rsidR="005D67EC" w:rsidRPr="00AC0E86" w:rsidP="00E65498" w14:paraId="38808D1C" w14:textId="6DEFA4F1">
      <w:pPr>
        <w:ind w:left="360"/>
        <w:rPr>
          <w:rFonts w:eastAsia="Calibri"/>
        </w:rPr>
      </w:pPr>
      <w:r w:rsidRPr="00AC0E86">
        <w:rPr>
          <w:rFonts w:eastAsia="Calibri"/>
        </w:rPr>
        <w:t>FDA continues to find concerning quality and safety problems during inspections of outsourcing facilities.  FDA has implemented and will continue to implement programs to support compounding quality and compliance.  One initiative is FDA’s Compounding Quality Center of Excellence (Center of Excellence), https://www.fda.gov/drugs/human-drug-compounding/compounding-quality-center-excellence, which was developed to focus on improving the quality of compounded human prescription drugs to promote patient safety.  One of our top priorities is to help ensure that compounded drugs are safe by focusing on quality.  FDA, state regulators, pharmacy associations, and compounders, including outsourcing facilities, share the responsibility of patient safety.</w:t>
      </w:r>
    </w:p>
    <w:p w:rsidR="005D67EC" w:rsidRPr="00AC0E86" w:rsidP="005D67EC" w14:paraId="1D9795CF" w14:textId="77777777">
      <w:pPr>
        <w:rPr>
          <w:rFonts w:eastAsia="Calibri"/>
        </w:rPr>
      </w:pPr>
    </w:p>
    <w:p w:rsidR="005D67EC" w:rsidRPr="00AC0E86" w:rsidP="00525ECF" w14:paraId="608FE808" w14:textId="658F5368">
      <w:pPr>
        <w:ind w:left="360"/>
        <w:rPr>
          <w:rFonts w:eastAsia="Calibri"/>
        </w:rPr>
      </w:pPr>
      <w:r w:rsidRPr="00AC0E86">
        <w:rPr>
          <w:rFonts w:eastAsia="Calibri"/>
        </w:rPr>
        <w:t>The Center of Excellence engages and collaborates with compounders, including outsourcing facilities, and other stakeholders to improve the overall quality of compounded drugs.  Furthermore, the Center of Excellence promotes collaboration to help compounders implement robust quality management systems that are better for business and the safety of patients.</w:t>
      </w:r>
    </w:p>
    <w:p w:rsidR="005D67EC" w:rsidRPr="00AC0E86" w:rsidP="00E65498" w14:paraId="30E5C04B" w14:textId="77777777">
      <w:pPr>
        <w:ind w:left="360"/>
        <w:rPr>
          <w:rFonts w:eastAsia="Calibri"/>
        </w:rPr>
      </w:pPr>
    </w:p>
    <w:p w:rsidR="00D03AE9" w:rsidP="00E65498" w14:paraId="183FEA27" w14:textId="6A98A8E2">
      <w:pPr>
        <w:ind w:left="360"/>
        <w:rPr>
          <w:rFonts w:eastAsia="Calibri"/>
        </w:rPr>
      </w:pPr>
      <w:r w:rsidRPr="00AC0E86">
        <w:rPr>
          <w:rFonts w:eastAsia="Calibri"/>
        </w:rPr>
        <w:t>In addition, the Center of Excellence is conducting in-depth research to better understand outsourcing facilities’ challenges and opportunities in different areas to help guide decisions regarding future training and other engagement.  Outsourcing facilities encounter the following challenges and opportunities</w:t>
      </w:r>
      <w:r w:rsidRPr="00AC0E86">
        <w:rPr>
          <w:rFonts w:eastAsia="Calibri"/>
        </w:rPr>
        <w:t>:  (</w:t>
      </w:r>
      <w:r w:rsidRPr="00AC0E86">
        <w:rPr>
          <w:rFonts w:eastAsia="Calibri"/>
        </w:rPr>
        <w:t>1) operational barriers and opportunities related to the outsourcing facility market and business viability</w:t>
      </w:r>
      <w:r w:rsidR="003C27A3">
        <w:rPr>
          <w:rFonts w:eastAsia="Calibri"/>
        </w:rPr>
        <w:t>;</w:t>
      </w:r>
      <w:r w:rsidRPr="00AC0E86">
        <w:rPr>
          <w:rFonts w:eastAsia="Calibri"/>
        </w:rPr>
        <w:t xml:space="preserve"> (2) knowledge and operational barriers and opportunities related to compliance with Federal policies and good quality drug production</w:t>
      </w:r>
      <w:r w:rsidR="003C27A3">
        <w:rPr>
          <w:rFonts w:eastAsia="Calibri"/>
        </w:rPr>
        <w:t>;</w:t>
      </w:r>
      <w:r w:rsidRPr="00AC0E86">
        <w:rPr>
          <w:rFonts w:eastAsia="Calibri"/>
        </w:rPr>
        <w:t xml:space="preserve"> and (3) </w:t>
      </w:r>
      <w:r w:rsidR="003C27A3">
        <w:t>barriers</w:t>
      </w:r>
      <w:r w:rsidRPr="00AC0E86" w:rsidR="00181B9C">
        <w:t xml:space="preserve"> and opportunities related to </w:t>
      </w:r>
      <w:r w:rsidR="003C27A3">
        <w:t>outsourcing facility</w:t>
      </w:r>
      <w:r w:rsidRPr="00AC0E86">
        <w:rPr>
          <w:rFonts w:eastAsia="Calibri"/>
        </w:rPr>
        <w:t xml:space="preserve"> interactions with FDA.</w:t>
      </w:r>
    </w:p>
    <w:p w:rsidR="00257FE9" w:rsidRPr="00AC0E86" w:rsidP="00525ECF" w14:paraId="1C3BC199" w14:textId="467FB93D">
      <w:pPr>
        <w:ind w:left="360"/>
        <w:rPr>
          <w:rFonts w:eastAsia="Calibri"/>
        </w:rPr>
      </w:pPr>
      <w:r w:rsidRPr="00AC0E86">
        <w:rPr>
          <w:rFonts w:eastAsia="Calibri"/>
        </w:rPr>
        <w:t xml:space="preserve">  </w:t>
      </w:r>
    </w:p>
    <w:p w:rsidR="005D67EC" w:rsidRPr="00AC0E86" w:rsidP="00E65498" w14:paraId="65B0B27F" w14:textId="77777777">
      <w:pPr>
        <w:ind w:left="360"/>
        <w:rPr>
          <w:rFonts w:eastAsia="Calibri"/>
        </w:rPr>
      </w:pPr>
      <w:r w:rsidRPr="00AC0E86">
        <w:rPr>
          <w:rFonts w:eastAsia="Calibri"/>
        </w:rPr>
        <w:t>We therefore request extension of OMB approval for the information collection that supports FDA research in obtaining a range of information about human prescription drug compounding by outsourcing facilities as discussed in this supporting statement.</w:t>
      </w:r>
    </w:p>
    <w:p w:rsidR="00257FE9" w:rsidRPr="00AC0E86" w:rsidP="00257FE9" w14:paraId="4145D750" w14:textId="77777777">
      <w:pPr>
        <w:spacing w:line="276" w:lineRule="auto"/>
        <w:rPr>
          <w:rFonts w:eastAsia="Calibri"/>
        </w:rPr>
      </w:pPr>
    </w:p>
    <w:p w:rsidR="00357C8A" w:rsidRPr="00AC0E86" w:rsidP="00257FE9" w14:paraId="2C7662E8" w14:textId="1CAC5A41">
      <w:pPr>
        <w:pStyle w:val="ListParagraph"/>
        <w:numPr>
          <w:ilvl w:val="0"/>
          <w:numId w:val="6"/>
        </w:numPr>
        <w:spacing w:line="276" w:lineRule="auto"/>
        <w:rPr>
          <w:rFonts w:eastAsia="Calibri"/>
          <w:u w:val="single"/>
        </w:rPr>
      </w:pPr>
      <w:r w:rsidRPr="00AC0E86">
        <w:rPr>
          <w:rFonts w:eastAsia="Calibri"/>
          <w:u w:val="single"/>
        </w:rPr>
        <w:t xml:space="preserve">Purpose and Use of the Information Collection </w:t>
      </w:r>
    </w:p>
    <w:p w:rsidR="00257FE9" w:rsidRPr="00AC0E86" w:rsidP="00257FE9" w14:paraId="16FEAC3B" w14:textId="77777777">
      <w:pPr>
        <w:rPr>
          <w:rFonts w:eastAsia="Calibri"/>
        </w:rPr>
      </w:pPr>
    </w:p>
    <w:p w:rsidR="00257FE9" w:rsidP="00525ECF" w14:paraId="62F20BF3" w14:textId="07DC58D1">
      <w:pPr>
        <w:ind w:left="360"/>
        <w:rPr>
          <w:rFonts w:eastAsia="Calibri"/>
        </w:rPr>
      </w:pPr>
      <w:r w:rsidRPr="00AC0E86">
        <w:rPr>
          <w:rFonts w:eastAsia="Calibri"/>
        </w:rPr>
        <w:t xml:space="preserve">FDA used previous research results under this information collection to develop an understanding of the outsourcing facility sector, the sector’s challenges, and opportunities for advancement.  The information collected was an essential tool to help FDA identify knowledge and information gaps, operational barriers, and views on interactions with FDA. </w:t>
      </w:r>
      <w:r w:rsidR="007A612F">
        <w:rPr>
          <w:rFonts w:eastAsia="Calibri"/>
        </w:rPr>
        <w:t xml:space="preserve">For example, </w:t>
      </w:r>
      <w:r w:rsidR="00834A1C">
        <w:rPr>
          <w:rFonts w:eastAsia="Calibri"/>
        </w:rPr>
        <w:t xml:space="preserve">through this information collection </w:t>
      </w:r>
      <w:r w:rsidR="00ED37F0">
        <w:rPr>
          <w:rFonts w:eastAsia="Calibri"/>
        </w:rPr>
        <w:t>FDA identified variability in outsourcing facilities’ experience</w:t>
      </w:r>
      <w:r w:rsidR="00834A1C">
        <w:rPr>
          <w:rFonts w:eastAsia="Calibri"/>
        </w:rPr>
        <w:t>s with quality systems</w:t>
      </w:r>
      <w:r w:rsidR="001F5573">
        <w:rPr>
          <w:rFonts w:eastAsia="Calibri"/>
        </w:rPr>
        <w:t>,</w:t>
      </w:r>
      <w:r w:rsidR="00834A1C">
        <w:rPr>
          <w:rFonts w:eastAsia="Calibri"/>
        </w:rPr>
        <w:t xml:space="preserve"> CGMP requirements</w:t>
      </w:r>
      <w:r w:rsidR="001F5573">
        <w:rPr>
          <w:rFonts w:eastAsia="Calibri"/>
        </w:rPr>
        <w:t>, and the FDA inspection process</w:t>
      </w:r>
      <w:r w:rsidR="00834A1C">
        <w:rPr>
          <w:rFonts w:eastAsia="Calibri"/>
        </w:rPr>
        <w:t>.</w:t>
      </w:r>
      <w:r w:rsidR="00CD5E99">
        <w:rPr>
          <w:rFonts w:eastAsia="Calibri"/>
        </w:rPr>
        <w:t xml:space="preserve"> </w:t>
      </w:r>
      <w:r w:rsidR="00642035">
        <w:rPr>
          <w:rFonts w:eastAsia="Calibri"/>
        </w:rPr>
        <w:t>To address this variability</w:t>
      </w:r>
      <w:r w:rsidR="00CD5E99">
        <w:rPr>
          <w:rFonts w:eastAsia="Calibri"/>
        </w:rPr>
        <w:t>, FDA expanded CGMP training opportunities</w:t>
      </w:r>
      <w:r w:rsidR="00642035">
        <w:rPr>
          <w:rFonts w:eastAsia="Calibri"/>
        </w:rPr>
        <w:t>,</w:t>
      </w:r>
      <w:r w:rsidR="00CD5E99">
        <w:rPr>
          <w:rFonts w:eastAsia="Calibri"/>
        </w:rPr>
        <w:t xml:space="preserve"> </w:t>
      </w:r>
      <w:r w:rsidR="00642035">
        <w:rPr>
          <w:rFonts w:eastAsia="Calibri"/>
        </w:rPr>
        <w:t>incorporated targeted sessions into the Compounding Quality Center of Excellence annual conference, and hosted webinars to provide additional information on the inspection process.</w:t>
      </w:r>
      <w:r w:rsidRPr="00AC0E86">
        <w:rPr>
          <w:rFonts w:eastAsia="Calibri"/>
        </w:rPr>
        <w:t xml:space="preserve"> FDA has presented this information in public settings such as stakeholder meetings.  </w:t>
      </w:r>
      <w:r w:rsidR="00631B60">
        <w:rPr>
          <w:rFonts w:eastAsia="Calibri"/>
        </w:rPr>
        <w:t xml:space="preserve">For example, </w:t>
      </w:r>
      <w:r w:rsidR="00B24ACC">
        <w:rPr>
          <w:rFonts w:eastAsia="Calibri"/>
        </w:rPr>
        <w:t xml:space="preserve">at the 2023 Compounding Quality Center of Excellence annual conference, </w:t>
      </w:r>
      <w:r w:rsidR="008E140A">
        <w:rPr>
          <w:rFonts w:eastAsia="Calibri"/>
        </w:rPr>
        <w:t xml:space="preserve">information on areas of customer need for outsourcing facility compounded drugs collected through this initiative was presented, </w:t>
      </w:r>
      <w:hyperlink r:id="rId5" w:history="1">
        <w:r w:rsidRPr="00BA5A02" w:rsidR="008D065B">
          <w:rPr>
            <w:rStyle w:val="Hyperlink"/>
            <w:rFonts w:eastAsia="Calibri"/>
          </w:rPr>
          <w:t>https://www.fda.gov/drugs/news-events-human-drugs/compounding-quality-center-excellence-annual-conference-09062022</w:t>
        </w:r>
      </w:hyperlink>
      <w:r w:rsidR="008D065B">
        <w:rPr>
          <w:rFonts w:eastAsia="Calibri"/>
        </w:rPr>
        <w:t xml:space="preserve">.  Information has also been presented at various listening sessions and inter-governmental meetings held annually. </w:t>
      </w:r>
      <w:r w:rsidR="00B24ACC">
        <w:rPr>
          <w:rFonts w:eastAsia="Calibri"/>
        </w:rPr>
        <w:t xml:space="preserve"> </w:t>
      </w:r>
      <w:r w:rsidRPr="00AC0E86">
        <w:rPr>
          <w:rFonts w:eastAsia="Calibri"/>
        </w:rPr>
        <w:t>Continuing this collection will enable FDA to deepen our understanding of the outsourcing facility sector and increase our efficacy in developing a Center of Excellence that is responsive to outsourcing facilities’ needs.  The research results will inform FDA’s future activities for the Center of Excellence in the areas of communication, education, training, and other engagement with outsourcing facilities to address challenges and support advancement.</w:t>
      </w:r>
    </w:p>
    <w:p w:rsidR="00E65498" w:rsidRPr="00AC0E86" w:rsidP="00257FE9" w14:paraId="717A600E" w14:textId="77777777">
      <w:pPr>
        <w:rPr>
          <w:rFonts w:eastAsia="Calibri"/>
        </w:rPr>
      </w:pPr>
    </w:p>
    <w:p w:rsidR="00357C8A" w:rsidRPr="00AC0E86" w:rsidP="00257FE9" w14:paraId="75256839" w14:textId="77777777">
      <w:pPr>
        <w:numPr>
          <w:ilvl w:val="0"/>
          <w:numId w:val="6"/>
        </w:numPr>
        <w:spacing w:line="276" w:lineRule="auto"/>
        <w:rPr>
          <w:rFonts w:eastAsia="Calibri"/>
          <w:u w:val="single"/>
        </w:rPr>
      </w:pPr>
      <w:r w:rsidRPr="00AC0E86">
        <w:rPr>
          <w:rFonts w:eastAsia="Calibri"/>
          <w:u w:val="single"/>
        </w:rPr>
        <w:t>Use of Improved Information Technology and Burden Reduction</w:t>
      </w:r>
    </w:p>
    <w:p w:rsidR="00257FE9" w:rsidRPr="00AC0E86" w:rsidP="00257FE9" w14:paraId="0C084377" w14:textId="77777777">
      <w:pPr>
        <w:pStyle w:val="NormalWeb"/>
        <w:spacing w:before="0" w:beforeAutospacing="0" w:after="0" w:afterAutospacing="0" w:line="288" w:lineRule="atLeast"/>
      </w:pPr>
      <w:bookmarkStart w:id="1" w:name="_Hlk25156801"/>
    </w:p>
    <w:p w:rsidR="001A2EE2" w:rsidP="00E65498" w14:paraId="371C42A7" w14:textId="622D8341">
      <w:pPr>
        <w:pStyle w:val="NormalWeb"/>
        <w:spacing w:before="0" w:beforeAutospacing="0" w:after="0" w:afterAutospacing="0" w:line="288" w:lineRule="atLeast"/>
        <w:ind w:left="360"/>
      </w:pPr>
      <w:r w:rsidRPr="00AC0E86">
        <w:t>We use a</w:t>
      </w:r>
      <w:r w:rsidRPr="00AC0E86" w:rsidR="00AF4488">
        <w:t>n electronic survey to administer the survey. The electronic survey use</w:t>
      </w:r>
      <w:r w:rsidRPr="00AC0E86" w:rsidR="005D67EC">
        <w:t>d</w:t>
      </w:r>
      <w:r w:rsidRPr="00AC0E86" w:rsidR="00AF4488">
        <w:t xml:space="preserve"> standardized questions submitted as part of this package. </w:t>
      </w:r>
      <w:r w:rsidRPr="00AC0E86" w:rsidR="005D67EC">
        <w:t>To reduce burden on the respondent, w</w:t>
      </w:r>
      <w:r w:rsidRPr="00AC0E86">
        <w:t>e appl</w:t>
      </w:r>
      <w:r w:rsidRPr="00AC0E86" w:rsidR="005D67EC">
        <w:t>ied</w:t>
      </w:r>
      <w:r w:rsidRPr="00AC0E86">
        <w:t xml:space="preserve"> s</w:t>
      </w:r>
      <w:r w:rsidRPr="00AC0E86" w:rsidR="005B0CD9">
        <w:t>kip patterns to tailor the survey questions</w:t>
      </w:r>
      <w:r w:rsidRPr="00AC0E86" w:rsidR="005D67EC">
        <w:t>.</w:t>
      </w:r>
    </w:p>
    <w:p w:rsidR="00FC6976" w:rsidP="00E65498" w14:paraId="0105B5A1" w14:textId="77777777">
      <w:pPr>
        <w:pStyle w:val="NormalWeb"/>
        <w:spacing w:before="0" w:beforeAutospacing="0" w:after="0" w:afterAutospacing="0" w:line="288" w:lineRule="atLeast"/>
        <w:ind w:left="360"/>
      </w:pPr>
    </w:p>
    <w:p w:rsidR="00FC6976" w:rsidRPr="00AC0E86" w:rsidP="00E65498" w14:paraId="7DB5DCC3" w14:textId="77777777">
      <w:pPr>
        <w:pStyle w:val="NormalWeb"/>
        <w:spacing w:before="0" w:beforeAutospacing="0" w:after="0" w:afterAutospacing="0" w:line="288" w:lineRule="atLeast"/>
        <w:ind w:left="360"/>
      </w:pPr>
    </w:p>
    <w:p w:rsidR="00257FE9" w:rsidRPr="00AC0E86" w:rsidP="00257FE9" w14:paraId="2ED87D7C" w14:textId="77777777">
      <w:pPr>
        <w:pStyle w:val="NormalWeb"/>
        <w:spacing w:before="0" w:beforeAutospacing="0" w:after="0" w:afterAutospacing="0" w:line="288" w:lineRule="atLeast"/>
        <w:rPr>
          <w:rFonts w:eastAsia="Calibri"/>
        </w:rPr>
      </w:pPr>
    </w:p>
    <w:bookmarkEnd w:id="1"/>
    <w:p w:rsidR="00357C8A" w:rsidRPr="00AC0E86" w:rsidP="00257FE9" w14:paraId="5235C287" w14:textId="77777777">
      <w:pPr>
        <w:numPr>
          <w:ilvl w:val="0"/>
          <w:numId w:val="6"/>
        </w:numPr>
        <w:spacing w:line="276" w:lineRule="auto"/>
        <w:rPr>
          <w:rFonts w:eastAsia="Calibri"/>
        </w:rPr>
      </w:pPr>
      <w:r w:rsidRPr="00AC0E86">
        <w:rPr>
          <w:rFonts w:eastAsia="Calibri"/>
          <w:u w:val="single"/>
        </w:rPr>
        <w:t xml:space="preserve">Efforts to Identify Duplication and Use of Similar Information </w:t>
      </w:r>
    </w:p>
    <w:p w:rsidR="00257FE9" w:rsidRPr="00AC0E86" w:rsidP="00257FE9" w14:paraId="081500E7" w14:textId="77777777">
      <w:bookmarkStart w:id="2" w:name="_Hlk25156831"/>
    </w:p>
    <w:p w:rsidR="00AF4488" w:rsidRPr="00AC0E86" w:rsidP="00E65498" w14:paraId="7374A848" w14:textId="3410EB05">
      <w:pPr>
        <w:ind w:left="360"/>
      </w:pPr>
      <w:r w:rsidRPr="00AC0E86">
        <w:t xml:space="preserve">The information obtained through this collection is unique and is not already available for use or adaptation from another cleared source. </w:t>
      </w:r>
      <w:bookmarkEnd w:id="2"/>
    </w:p>
    <w:p w:rsidR="001A2EE2" w:rsidRPr="00AC0E86" w:rsidP="00257FE9" w14:paraId="5D68B9EE" w14:textId="77777777"/>
    <w:p w:rsidR="00357C8A" w:rsidRPr="00AC0E86" w:rsidP="00257FE9" w14:paraId="15B1CF55" w14:textId="77777777">
      <w:pPr>
        <w:numPr>
          <w:ilvl w:val="0"/>
          <w:numId w:val="6"/>
        </w:numPr>
        <w:spacing w:line="276" w:lineRule="auto"/>
        <w:rPr>
          <w:rFonts w:eastAsia="Calibri"/>
        </w:rPr>
      </w:pPr>
      <w:r w:rsidRPr="00AC0E86">
        <w:rPr>
          <w:rFonts w:eastAsia="Calibri"/>
          <w:u w:val="single"/>
        </w:rPr>
        <w:t>Impact on Small Businesses or Other Small Entities</w:t>
      </w:r>
    </w:p>
    <w:p w:rsidR="00257FE9" w:rsidRPr="00AC0E86" w:rsidP="00257FE9" w14:paraId="597950C0" w14:textId="77777777">
      <w:pPr>
        <w:pStyle w:val="NormalWeb"/>
        <w:spacing w:before="0" w:beforeAutospacing="0" w:after="0" w:afterAutospacing="0" w:line="288" w:lineRule="atLeast"/>
      </w:pPr>
      <w:bookmarkStart w:id="3" w:name="_Hlk25156852"/>
    </w:p>
    <w:p w:rsidR="00525ECF" w:rsidRPr="00AC0E86" w:rsidP="00E65498" w14:paraId="711D2262" w14:textId="02752201">
      <w:pPr>
        <w:pStyle w:val="NormalWeb"/>
        <w:spacing w:before="0" w:beforeAutospacing="0" w:after="0" w:afterAutospacing="0" w:line="288" w:lineRule="atLeast"/>
        <w:ind w:left="360"/>
      </w:pPr>
      <w:r w:rsidRPr="00AC0E86">
        <w:t>This information collection does not impose a significant economic impact on a substantial number of small businesses or entities.</w:t>
      </w:r>
      <w:r w:rsidR="00B27CCE">
        <w:t xml:space="preserve"> </w:t>
      </w:r>
      <w:r w:rsidR="0043129E">
        <w:t xml:space="preserve"> </w:t>
      </w:r>
      <w:r w:rsidR="00024981">
        <w:t xml:space="preserve">FDA estimates that approximately 11 percent of outsourcing </w:t>
      </w:r>
      <w:r w:rsidR="00764AD6">
        <w:t xml:space="preserve">facilities </w:t>
      </w:r>
      <w:r w:rsidR="001D4EC3">
        <w:t xml:space="preserve">that will be surveyed </w:t>
      </w:r>
      <w:r w:rsidR="00764AD6">
        <w:t xml:space="preserve">are small businesses.  We base </w:t>
      </w:r>
      <w:r w:rsidR="00220528">
        <w:t xml:space="preserve">our estimate </w:t>
      </w:r>
      <w:r w:rsidR="005E432A">
        <w:t>on our projection that</w:t>
      </w:r>
      <w:r w:rsidR="00DF5FFC">
        <w:t xml:space="preserve"> </w:t>
      </w:r>
      <w:r w:rsidRPr="00E263D8" w:rsidR="00E263D8">
        <w:t xml:space="preserve">9 of the </w:t>
      </w:r>
      <w:r w:rsidR="007507F9">
        <w:t xml:space="preserve">84 </w:t>
      </w:r>
      <w:r w:rsidRPr="00E263D8" w:rsidR="00E263D8">
        <w:t xml:space="preserve">entities that </w:t>
      </w:r>
      <w:r w:rsidR="00220528">
        <w:t>we</w:t>
      </w:r>
      <w:r w:rsidRPr="00E263D8" w:rsidR="00E263D8">
        <w:t xml:space="preserve"> expect to register as outsourcing facilities </w:t>
      </w:r>
      <w:r w:rsidR="00904C19">
        <w:t>in</w:t>
      </w:r>
      <w:r w:rsidRPr="00E263D8" w:rsidR="00E263D8">
        <w:t xml:space="preserve"> FY 2026 </w:t>
      </w:r>
      <w:r w:rsidR="005E432A">
        <w:t xml:space="preserve">will </w:t>
      </w:r>
      <w:r w:rsidRPr="00E263D8" w:rsidR="00E263D8">
        <w:t xml:space="preserve">qualify for </w:t>
      </w:r>
      <w:r w:rsidR="007507F9">
        <w:t>a</w:t>
      </w:r>
      <w:r w:rsidRPr="00E263D8" w:rsidR="00E263D8">
        <w:t xml:space="preserve"> small business exception</w:t>
      </w:r>
      <w:r w:rsidR="00586930">
        <w:t xml:space="preserve"> </w:t>
      </w:r>
      <w:r w:rsidR="002C12A8">
        <w:t>(</w:t>
      </w:r>
      <w:r w:rsidR="001554B8">
        <w:t xml:space="preserve">90 FR </w:t>
      </w:r>
      <w:r w:rsidRPr="001554B8" w:rsidR="001554B8">
        <w:t>35903</w:t>
      </w:r>
      <w:r w:rsidR="001554B8">
        <w:t>, at</w:t>
      </w:r>
      <w:r w:rsidR="00FD393E">
        <w:t xml:space="preserve"> </w:t>
      </w:r>
      <w:r w:rsidRPr="00FD393E" w:rsidR="00FD393E">
        <w:t>35905</w:t>
      </w:r>
      <w:r w:rsidR="00FD393E">
        <w:t>).</w:t>
      </w:r>
    </w:p>
    <w:p w:rsidR="00257FE9" w:rsidRPr="00AC0E86" w:rsidP="00257FE9" w14:paraId="2B9B7272" w14:textId="77777777">
      <w:pPr>
        <w:pStyle w:val="NormalWeb"/>
        <w:spacing w:before="0" w:beforeAutospacing="0" w:after="0" w:afterAutospacing="0" w:line="288" w:lineRule="atLeast"/>
      </w:pPr>
    </w:p>
    <w:bookmarkEnd w:id="3"/>
    <w:p w:rsidR="00357C8A" w:rsidRPr="00AC0E86" w:rsidP="00257FE9" w14:paraId="7A7D7F2F" w14:textId="7DEE72E1">
      <w:pPr>
        <w:numPr>
          <w:ilvl w:val="0"/>
          <w:numId w:val="6"/>
        </w:numPr>
        <w:spacing w:line="276" w:lineRule="auto"/>
        <w:rPr>
          <w:rFonts w:eastAsia="Calibri"/>
          <w:u w:val="single"/>
        </w:rPr>
      </w:pPr>
      <w:r w:rsidRPr="00AC0E86">
        <w:rPr>
          <w:rFonts w:eastAsia="Calibri"/>
          <w:u w:val="single"/>
        </w:rPr>
        <w:t>Consequences of Collecting the Information Less Frequently</w:t>
      </w:r>
    </w:p>
    <w:p w:rsidR="00257FE9" w:rsidRPr="00AC0E86" w:rsidP="00257FE9" w14:paraId="11AF1AD2" w14:textId="77777777">
      <w:bookmarkStart w:id="4" w:name="_Hlk25156866"/>
    </w:p>
    <w:p w:rsidR="00AF4488" w:rsidRPr="00AC0E86" w:rsidP="00E65498" w14:paraId="3B851DB8" w14:textId="109BA449">
      <w:pPr>
        <w:ind w:left="360"/>
      </w:pPr>
      <w:r w:rsidRPr="00AC0E86">
        <w:t>The proposed survey represents a collection</w:t>
      </w:r>
      <w:r w:rsidRPr="00AC0E86" w:rsidR="00B309D2">
        <w:t xml:space="preserve"> </w:t>
      </w:r>
      <w:r w:rsidRPr="00AC0E86" w:rsidR="0008385D">
        <w:t>that will occur in</w:t>
      </w:r>
      <w:r w:rsidRPr="00AC0E86" w:rsidR="00B309D2">
        <w:t xml:space="preserve"> 202</w:t>
      </w:r>
      <w:r w:rsidR="008B387B">
        <w:t>6</w:t>
      </w:r>
      <w:r w:rsidRPr="00AC0E86" w:rsidR="0008385D">
        <w:t xml:space="preserve">. </w:t>
      </w:r>
      <w:r w:rsidRPr="00AC0E86" w:rsidR="00B309D2">
        <w:t xml:space="preserve">Understanding the unique perspectives of outsourcing facilities is essential to developing effective future approaches to communication, education, training, and other engagement with outsourcing facilities to address challenges and support advancement of the industry </w:t>
      </w:r>
      <w:r w:rsidRPr="00AC0E86" w:rsidR="00B309D2">
        <w:rPr>
          <w:rFonts w:eastAsia="Calibri"/>
        </w:rPr>
        <w:t xml:space="preserve">as they attempt to supply safe, high-quality drug products </w:t>
      </w:r>
      <w:r w:rsidRPr="00AC0E86" w:rsidR="00257FE9">
        <w:rPr>
          <w:rFonts w:eastAsia="Calibri"/>
        </w:rPr>
        <w:t xml:space="preserve">that patients </w:t>
      </w:r>
      <w:r w:rsidRPr="00AC0E86" w:rsidR="00B309D2">
        <w:rPr>
          <w:rFonts w:eastAsia="Calibri"/>
        </w:rPr>
        <w:t>need.</w:t>
      </w:r>
      <w:bookmarkEnd w:id="4"/>
      <w:r w:rsidRPr="00AC0E86" w:rsidR="003A38DD">
        <w:rPr>
          <w:rFonts w:eastAsia="Calibri"/>
        </w:rPr>
        <w:t xml:space="preserve"> </w:t>
      </w:r>
      <w:r w:rsidR="00B27CCE">
        <w:rPr>
          <w:rFonts w:eastAsia="Calibri"/>
        </w:rPr>
        <w:t xml:space="preserve"> </w:t>
      </w:r>
    </w:p>
    <w:p w:rsidR="001A2EE2" w:rsidRPr="00AC0E86" w:rsidP="00257FE9" w14:paraId="7CD1E831" w14:textId="77777777"/>
    <w:p w:rsidR="00357C8A" w:rsidRPr="00AC0E86" w:rsidP="00257FE9" w14:paraId="1BC5A387" w14:textId="77777777">
      <w:pPr>
        <w:numPr>
          <w:ilvl w:val="0"/>
          <w:numId w:val="6"/>
        </w:numPr>
        <w:spacing w:line="276" w:lineRule="auto"/>
        <w:rPr>
          <w:rFonts w:eastAsia="Calibri"/>
        </w:rPr>
      </w:pPr>
      <w:r w:rsidRPr="00AC0E86">
        <w:rPr>
          <w:rFonts w:eastAsia="Calibri"/>
          <w:u w:val="single"/>
        </w:rPr>
        <w:t>Special Circumstances Relating to the Guidelines of 5 CFR 1320.5</w:t>
      </w:r>
    </w:p>
    <w:p w:rsidR="00257FE9" w:rsidRPr="00AC0E86" w:rsidP="00257FE9" w14:paraId="5B516168" w14:textId="77777777">
      <w:bookmarkStart w:id="5" w:name="_Hlk25156886"/>
    </w:p>
    <w:p w:rsidR="00AF4488" w:rsidRPr="00AC0E86" w:rsidP="00E65498" w14:paraId="081F321C" w14:textId="6EBF488C">
      <w:pPr>
        <w:ind w:firstLine="360"/>
      </w:pPr>
      <w:r w:rsidRPr="00AC0E86">
        <w:t>No special circumstances are associated with this collection of information.</w:t>
      </w:r>
      <w:bookmarkEnd w:id="5"/>
      <w:r w:rsidR="00787CF7">
        <w:t xml:space="preserve"> </w:t>
      </w:r>
    </w:p>
    <w:p w:rsidR="00EA4010" w:rsidRPr="00AC0E86" w:rsidP="00257FE9" w14:paraId="2FD21B43" w14:textId="77777777"/>
    <w:p w:rsidR="00357C8A" w:rsidRPr="00AC0E86" w:rsidP="00257FE9" w14:paraId="2A6CB0EF" w14:textId="601817EE">
      <w:pPr>
        <w:numPr>
          <w:ilvl w:val="0"/>
          <w:numId w:val="6"/>
        </w:numPr>
        <w:spacing w:line="276" w:lineRule="auto"/>
        <w:rPr>
          <w:rFonts w:eastAsia="Calibri"/>
        </w:rPr>
      </w:pPr>
      <w:r w:rsidRPr="00AC0E86">
        <w:rPr>
          <w:rFonts w:eastAsia="Calibri"/>
          <w:u w:val="single"/>
        </w:rPr>
        <w:t>Comments in Response to the Federal Register Notice and Efforts to Consult Outside the Agency</w:t>
      </w:r>
    </w:p>
    <w:p w:rsidR="005D67EC" w:rsidRPr="00AC0E86" w:rsidP="005C56B3" w14:paraId="175AF076" w14:textId="77777777">
      <w:pPr>
        <w:spacing w:line="276" w:lineRule="auto"/>
        <w:ind w:left="360"/>
        <w:rPr>
          <w:rFonts w:eastAsia="Calibri"/>
        </w:rPr>
      </w:pPr>
    </w:p>
    <w:p w:rsidR="00D41AF5" w:rsidP="00D41AF5" w14:paraId="361FE558" w14:textId="783BB08F">
      <w:pPr>
        <w:ind w:left="360"/>
      </w:pPr>
      <w:bookmarkStart w:id="6" w:name="_Hlk89410263"/>
      <w:r>
        <w:t xml:space="preserve">In the </w:t>
      </w:r>
      <w:r w:rsidRPr="009C2566">
        <w:rPr>
          <w:i/>
          <w:iCs/>
        </w:rPr>
        <w:t>Federal Register</w:t>
      </w:r>
      <w:r>
        <w:t xml:space="preserve"> of September 5, 2024 (89 FR 72410), FDA published a 60-day notice requesting public comment on the proposed collection of information.  We received four comment letters from trade organizations and industry, each containing one or more comments on the proposed collection of information. </w:t>
      </w:r>
    </w:p>
    <w:p w:rsidR="009C2566" w:rsidP="00D41AF5" w14:paraId="526D1985" w14:textId="77777777">
      <w:pPr>
        <w:ind w:left="360"/>
      </w:pPr>
    </w:p>
    <w:p w:rsidR="00D41AF5" w:rsidP="00D41AF5" w14:paraId="00AE2B9A" w14:textId="33CC7AA4">
      <w:pPr>
        <w:ind w:left="360"/>
      </w:pPr>
      <w:r>
        <w:t>(Comment 1</w:t>
      </w:r>
      <w:r>
        <w:t>)  Several</w:t>
      </w:r>
      <w:r>
        <w:t xml:space="preserve"> comments expressed appreciation for FDA’s efforts in developing a comprehensive understanding of the outsourcing facility sector, its challenges, and opportunities for advancement.  Other comments expressed appreciation for FDA</w:t>
      </w:r>
      <w:r w:rsidR="00400ACD">
        <w:t>’</w:t>
      </w:r>
      <w:r>
        <w:t>s efforts to ensure that the survey questions capture the most important information from compounding outsourcing facilities and that the survey not place an undue burden on respondents.</w:t>
      </w:r>
    </w:p>
    <w:p w:rsidR="009C2566" w:rsidP="00D41AF5" w14:paraId="77478DF1" w14:textId="77777777">
      <w:pPr>
        <w:ind w:left="360"/>
      </w:pPr>
    </w:p>
    <w:p w:rsidR="00D41AF5" w:rsidP="00D41AF5" w14:paraId="34CB6320" w14:textId="77777777">
      <w:pPr>
        <w:ind w:left="360"/>
      </w:pPr>
      <w:r>
        <w:t>(Response 1</w:t>
      </w:r>
      <w:r>
        <w:t>)  We</w:t>
      </w:r>
      <w:r>
        <w:t xml:space="preserve"> agree that the information being collected has utility for understanding of the outsourcing facility sector, its challenges, and opportunities for advancement and that we are making an effort to not place an undue burden on respondents.</w:t>
      </w:r>
    </w:p>
    <w:p w:rsidR="00D6312A" w:rsidP="00D41AF5" w14:paraId="5571E600" w14:textId="77777777">
      <w:pPr>
        <w:ind w:left="360"/>
      </w:pPr>
    </w:p>
    <w:p w:rsidR="00D41AF5" w:rsidP="00D41AF5" w14:paraId="79A69498" w14:textId="77777777">
      <w:pPr>
        <w:ind w:left="360"/>
      </w:pPr>
      <w:r>
        <w:t>(Comment 2</w:t>
      </w:r>
      <w:r>
        <w:t>)  One</w:t>
      </w:r>
      <w:r>
        <w:t xml:space="preserve"> comment suggested that certain questions focus on financial considerations and economic consequences and argued that they are not necessary for FDA’s oversight of outsourcing facilities and are unrelated to FDA’s public health mission and the quality and safety of compounded drugs.</w:t>
      </w:r>
    </w:p>
    <w:p w:rsidR="00D6312A" w:rsidP="00D41AF5" w14:paraId="58C11713" w14:textId="77777777">
      <w:pPr>
        <w:ind w:left="360"/>
      </w:pPr>
    </w:p>
    <w:p w:rsidR="00D41AF5" w:rsidP="00D41AF5" w14:paraId="069F8BFD" w14:textId="6C3C97EE">
      <w:pPr>
        <w:ind w:left="360"/>
      </w:pPr>
      <w:r>
        <w:t>(Response 2</w:t>
      </w:r>
      <w:r>
        <w:t>)  We</w:t>
      </w:r>
      <w:r>
        <w:t xml:space="preserve"> have considered the comments and disagree.  As stated previously, the Center of Excellence is conducting this research to better understand outsourcing facilities’ challenges and opportunities in different areas to help guide decisions regarding future training and other engagement. We think that an important component to understanding the challenges and opportunities that outsourcing facilities face includes gaining insight into the financial considerations that impact outsourcing facilities’ operations and business models. </w:t>
      </w:r>
    </w:p>
    <w:p w:rsidR="007E2F09" w:rsidP="00D41AF5" w14:paraId="33F12E63" w14:textId="77777777">
      <w:pPr>
        <w:ind w:left="360"/>
      </w:pPr>
    </w:p>
    <w:p w:rsidR="00D41AF5" w:rsidP="00D41AF5" w14:paraId="31CA0F0D" w14:textId="77777777">
      <w:pPr>
        <w:ind w:left="360"/>
      </w:pPr>
      <w:r>
        <w:t>(Comment 3</w:t>
      </w:r>
      <w:r>
        <w:t>)  Several</w:t>
      </w:r>
      <w:r>
        <w:t xml:space="preserve"> comments proposed changes to existing questions or the inclusion of new questions.</w:t>
      </w:r>
    </w:p>
    <w:p w:rsidR="007E2F09" w:rsidP="00D41AF5" w14:paraId="658AB747" w14:textId="77777777">
      <w:pPr>
        <w:ind w:left="360"/>
      </w:pPr>
    </w:p>
    <w:p w:rsidR="00D41AF5" w:rsidRPr="00AC0E86" w:rsidP="00D41AF5" w14:paraId="3A6022C6" w14:textId="2F9EAC1A">
      <w:pPr>
        <w:ind w:left="360"/>
      </w:pPr>
      <w:r>
        <w:t>(Response 3</w:t>
      </w:r>
      <w:r>
        <w:t>)  We</w:t>
      </w:r>
      <w:r>
        <w:t xml:space="preserve"> have considered the comments requesting that the agency update the questionnaire and disagree that certain questions should be modified or added.  We believe that the information sought from the proposed questions will be captured within the existing questions or elsewhere in our research.</w:t>
      </w:r>
      <w:r w:rsidR="004534F4">
        <w:t xml:space="preserve"> </w:t>
      </w:r>
      <w:r w:rsidR="006042BE">
        <w:t xml:space="preserve"> We provided a Supplemental Document</w:t>
      </w:r>
      <w:r w:rsidR="00602A34">
        <w:t xml:space="preserve"> </w:t>
      </w:r>
      <w:r w:rsidR="00865D3C">
        <w:t xml:space="preserve">with </w:t>
      </w:r>
      <w:r w:rsidRPr="00C30BD7" w:rsidR="00C30BD7">
        <w:t>our explanation of why the current questions are sufficient.  In that document, we identify which existing questions we believe would capture the same information as the 36 questions proposed by the commenters for inclusion.</w:t>
      </w:r>
      <w:r w:rsidR="00C30BD7">
        <w:t xml:space="preserve">  </w:t>
      </w:r>
      <w:r w:rsidR="004534F4">
        <w:t xml:space="preserve">Additionally, </w:t>
      </w:r>
      <w:r w:rsidR="00824729">
        <w:t>t</w:t>
      </w:r>
      <w:r w:rsidR="00121CD9">
        <w:t xml:space="preserve">he response rate for the survey has historically been low </w:t>
      </w:r>
      <w:r w:rsidR="00824729">
        <w:t xml:space="preserve">and </w:t>
      </w:r>
      <w:r w:rsidR="00220B9B">
        <w:t xml:space="preserve">the </w:t>
      </w:r>
      <w:r w:rsidR="00F82ADD">
        <w:t xml:space="preserve">questions proposed by commenters would require </w:t>
      </w:r>
      <w:r w:rsidR="00D6716E">
        <w:t xml:space="preserve">the respondents to provide </w:t>
      </w:r>
      <w:r w:rsidR="00F82ADD">
        <w:t>an open response answer</w:t>
      </w:r>
      <w:r w:rsidR="00912A15">
        <w:t xml:space="preserve"> </w:t>
      </w:r>
      <w:r w:rsidR="00270C95">
        <w:t>which will</w:t>
      </w:r>
      <w:r w:rsidR="00D11B96">
        <w:t xml:space="preserve"> drastically increase the </w:t>
      </w:r>
      <w:r w:rsidR="006959FB">
        <w:t xml:space="preserve">time required to complete the survey </w:t>
      </w:r>
      <w:r w:rsidR="00562789">
        <w:t xml:space="preserve">and </w:t>
      </w:r>
      <w:r w:rsidR="00502103">
        <w:t xml:space="preserve">places an undue </w:t>
      </w:r>
      <w:r w:rsidR="00D11B96">
        <w:t>burden on the respondent</w:t>
      </w:r>
      <w:r w:rsidR="00502103">
        <w:t xml:space="preserve">. This </w:t>
      </w:r>
      <w:r w:rsidR="00562789">
        <w:t xml:space="preserve">will have a negative impact on the </w:t>
      </w:r>
      <w:r w:rsidR="00D54320">
        <w:t xml:space="preserve">overall </w:t>
      </w:r>
      <w:r w:rsidR="00562789">
        <w:t>response rate</w:t>
      </w:r>
      <w:r w:rsidR="00502103">
        <w:t xml:space="preserve"> and</w:t>
      </w:r>
      <w:r w:rsidR="00562789">
        <w:t xml:space="preserve"> </w:t>
      </w:r>
      <w:r w:rsidR="00A777FD">
        <w:t>reduce the quality of information gathered</w:t>
      </w:r>
      <w:r w:rsidR="0066391D">
        <w:t xml:space="preserve"> which will </w:t>
      </w:r>
      <w:r w:rsidR="00D97353">
        <w:t xml:space="preserve">ultimately </w:t>
      </w:r>
      <w:r w:rsidR="002B3877">
        <w:t>decrease the utility of the information collected</w:t>
      </w:r>
      <w:r w:rsidR="00A777FD">
        <w:t>.</w:t>
      </w:r>
      <w:r w:rsidR="00121CD9">
        <w:t xml:space="preserve"> </w:t>
      </w:r>
      <w:r w:rsidR="00172149">
        <w:t xml:space="preserve"> </w:t>
      </w:r>
    </w:p>
    <w:bookmarkEnd w:id="6"/>
    <w:p w:rsidR="00257FE9" w:rsidRPr="00AC0E86" w:rsidP="00E971C4" w14:paraId="52F6A720" w14:textId="043A656B">
      <w:pPr>
        <w:rPr>
          <w:rFonts w:eastAsia="Calibri"/>
        </w:rPr>
      </w:pPr>
    </w:p>
    <w:p w:rsidR="00357C8A" w:rsidRPr="00AC0E86" w:rsidP="00257FE9" w14:paraId="0E87C946" w14:textId="77777777">
      <w:pPr>
        <w:numPr>
          <w:ilvl w:val="0"/>
          <w:numId w:val="6"/>
        </w:numPr>
        <w:spacing w:line="276" w:lineRule="auto"/>
        <w:rPr>
          <w:rFonts w:eastAsia="Calibri"/>
        </w:rPr>
      </w:pPr>
      <w:r w:rsidRPr="00AC0E86">
        <w:rPr>
          <w:rFonts w:eastAsia="Calibri"/>
          <w:u w:val="single"/>
        </w:rPr>
        <w:t>Explanation of Any Payment or Gift to Respondents</w:t>
      </w:r>
    </w:p>
    <w:p w:rsidR="00257FE9" w:rsidRPr="00AC0E86" w:rsidP="00257FE9" w14:paraId="635609C8" w14:textId="77777777">
      <w:pPr>
        <w:rPr>
          <w:rFonts w:eastAsia="Calibri"/>
        </w:rPr>
      </w:pPr>
    </w:p>
    <w:p w:rsidR="001A2EE2" w:rsidRPr="00AC0E86" w:rsidP="00E65498" w14:paraId="0A41456B" w14:textId="35A9FB6D">
      <w:pPr>
        <w:ind w:firstLine="360"/>
        <w:rPr>
          <w:rFonts w:eastAsia="Calibri"/>
        </w:rPr>
      </w:pPr>
      <w:r w:rsidRPr="00AC0E86">
        <w:rPr>
          <w:rFonts w:eastAsia="Calibri"/>
        </w:rPr>
        <w:t xml:space="preserve">No </w:t>
      </w:r>
      <w:r w:rsidRPr="00AC0E86" w:rsidR="00AF4488">
        <w:rPr>
          <w:rFonts w:eastAsia="Calibri"/>
        </w:rPr>
        <w:t>incentives, payments</w:t>
      </w:r>
      <w:r w:rsidRPr="00AC0E86">
        <w:rPr>
          <w:rFonts w:eastAsia="Calibri"/>
        </w:rPr>
        <w:t>,</w:t>
      </w:r>
      <w:r w:rsidRPr="00AC0E86" w:rsidR="00AF4488">
        <w:rPr>
          <w:rFonts w:eastAsia="Calibri"/>
        </w:rPr>
        <w:t xml:space="preserve"> or gifts </w:t>
      </w:r>
      <w:r w:rsidRPr="00AC0E86">
        <w:rPr>
          <w:rFonts w:eastAsia="Calibri"/>
        </w:rPr>
        <w:t xml:space="preserve">are </w:t>
      </w:r>
      <w:r w:rsidRPr="00AC0E86" w:rsidR="00AF4488">
        <w:rPr>
          <w:rFonts w:eastAsia="Calibri"/>
        </w:rPr>
        <w:t xml:space="preserve">associated with this information collection. </w:t>
      </w:r>
      <w:r w:rsidR="00787CF7">
        <w:rPr>
          <w:rFonts w:eastAsia="Calibri"/>
        </w:rPr>
        <w:t xml:space="preserve"> </w:t>
      </w:r>
    </w:p>
    <w:p w:rsidR="00257FE9" w:rsidRPr="00AC0E86" w:rsidP="00257FE9" w14:paraId="12E90853" w14:textId="77777777">
      <w:pPr>
        <w:rPr>
          <w:rFonts w:eastAsia="Calibri"/>
        </w:rPr>
      </w:pPr>
    </w:p>
    <w:p w:rsidR="00E21DC8" w:rsidRPr="00AC0E86" w:rsidP="00257FE9" w14:paraId="0510DC30" w14:textId="77777777">
      <w:pPr>
        <w:numPr>
          <w:ilvl w:val="0"/>
          <w:numId w:val="6"/>
        </w:numPr>
        <w:spacing w:line="276" w:lineRule="auto"/>
        <w:rPr>
          <w:rFonts w:eastAsia="Calibri"/>
        </w:rPr>
      </w:pPr>
      <w:r w:rsidRPr="00AC0E86">
        <w:rPr>
          <w:rFonts w:eastAsia="Calibri"/>
          <w:u w:val="single"/>
        </w:rPr>
        <w:t>Assurance of Confidentiality Provided to Respondents</w:t>
      </w:r>
    </w:p>
    <w:p w:rsidR="00257FE9" w:rsidRPr="00AC0E86" w:rsidP="00257FE9" w14:paraId="7FE4389A" w14:textId="77777777"/>
    <w:p w:rsidR="00FD51F6" w:rsidRPr="00FD51F6" w:rsidP="002428A5" w14:paraId="24230FD1" w14:textId="22FE111F">
      <w:pPr>
        <w:pStyle w:val="NoSpacing"/>
        <w:ind w:left="360"/>
        <w:rPr>
          <w:rFonts w:eastAsiaTheme="minorHAnsi"/>
        </w:rPr>
      </w:pPr>
      <w:r w:rsidRPr="00FD51F6">
        <w:rPr>
          <w:rFonts w:eastAsiaTheme="minorHAnsi"/>
        </w:rPr>
        <w:t xml:space="preserve">In preparing this Supporting Statement, we consulted our Privacy Office to ensure appropriate identification and handling of information collected. </w:t>
      </w:r>
    </w:p>
    <w:p w:rsidR="00FD51F6" w:rsidRPr="00FD51F6" w:rsidP="00FD51F6" w14:paraId="70228DC1" w14:textId="77777777">
      <w:pPr>
        <w:ind w:left="720"/>
        <w:rPr>
          <w:rFonts w:eastAsiaTheme="minorHAnsi"/>
        </w:rPr>
      </w:pPr>
    </w:p>
    <w:p w:rsidR="00FD51F6" w:rsidRPr="00FD51F6" w:rsidP="002428A5" w14:paraId="78A5143B" w14:textId="77777777">
      <w:pPr>
        <w:ind w:left="360"/>
        <w:rPr>
          <w:rFonts w:eastAsiaTheme="minorHAnsi"/>
        </w:rPr>
      </w:pPr>
      <w:r w:rsidRPr="00FD51F6">
        <w:rPr>
          <w:rFonts w:eastAsiaTheme="minorHAnsi"/>
        </w:rPr>
        <w:t>This ICR will collect personally identifiable information (PII). The PII collected typically consists of name and contact information. PII is collected on behalf of the FDA by a contractor or vendor who conducts surveys.  PII is collected to gather information on compounding pharmacies to support the FDA compounding program. Information collected by the vendor or contractor will be summarized into aggregate form, sent in aggregate to FDA (no PII will be included), and destroyed after the study has been completed.  Collected PII is used to notify potential respondents of their selection and includes name and contact information.  All information collected will be kept secure by the vendor or contractor. FDA and any vendor or contractor will disclose identifiable information only to the extent authorized by the individual or required by law. Contractors or vendors maintaining information will destroy it in accordance with applicable records retention and other requirements per contract terms after the aggregate information has been provided to FDA and the survey has been completed. In keeping with IRB/Human Subjects Research protocols, the FDA clearance process ensures that study data is appropriately secured (e.g., housed on the Contractor’s servers, password protected, separate storage areas for each study, access controlled).</w:t>
      </w:r>
    </w:p>
    <w:p w:rsidR="00FD51F6" w:rsidRPr="00FD51F6" w:rsidP="00FD51F6" w14:paraId="700603A8" w14:textId="77777777">
      <w:pPr>
        <w:rPr>
          <w:rFonts w:eastAsiaTheme="minorHAnsi"/>
        </w:rPr>
      </w:pPr>
    </w:p>
    <w:p w:rsidR="00AF4488" w:rsidRPr="001D4616" w:rsidP="002428A5" w14:paraId="102BBE9E" w14:textId="4BC3B1A8">
      <w:pPr>
        <w:ind w:left="360"/>
        <w:rPr>
          <w:rFonts w:eastAsiaTheme="minorHAnsi"/>
        </w:rPr>
      </w:pPr>
      <w:r w:rsidRPr="00FD51F6">
        <w:rPr>
          <w:rFonts w:eastAsiaTheme="minorHAnsi"/>
        </w:rPr>
        <w:t xml:space="preserve">FDA determined that although PII is collected it is not subject to the Privacy Act of 1974 and the </w:t>
      </w:r>
      <w:r w:rsidRPr="00FD51F6">
        <w:rPr>
          <w:rFonts w:eastAsiaTheme="minorHAnsi"/>
        </w:rPr>
        <w:t>particular notice</w:t>
      </w:r>
      <w:r w:rsidRPr="00FD51F6">
        <w:rPr>
          <w:rFonts w:eastAsiaTheme="minorHAnsi"/>
        </w:rPr>
        <w:t xml:space="preserve"> and other requirements of the Act do not apply. Specifically, the contractor does not use name or any other personal identifier to retrieve records from the information collected.</w:t>
      </w:r>
      <w:r w:rsidRPr="00AC0E86">
        <w:t xml:space="preserve"> </w:t>
      </w:r>
    </w:p>
    <w:p w:rsidR="001A2EE2" w:rsidRPr="00AC0E86" w:rsidP="00257FE9" w14:paraId="793C6320" w14:textId="77777777"/>
    <w:p w:rsidR="00357C8A" w:rsidRPr="00AC0E86" w:rsidP="00257FE9" w14:paraId="1CB3B784" w14:textId="77777777">
      <w:pPr>
        <w:numPr>
          <w:ilvl w:val="0"/>
          <w:numId w:val="6"/>
        </w:numPr>
        <w:spacing w:line="276" w:lineRule="auto"/>
        <w:rPr>
          <w:rFonts w:eastAsia="Calibri"/>
        </w:rPr>
      </w:pPr>
      <w:r w:rsidRPr="00AC0E86">
        <w:rPr>
          <w:rFonts w:eastAsia="Calibri"/>
          <w:u w:val="single"/>
        </w:rPr>
        <w:t>Justification for Sensitive Questions</w:t>
      </w:r>
    </w:p>
    <w:p w:rsidR="00547B10" w:rsidRPr="00AC0E86" w:rsidP="00257FE9" w14:paraId="055B7119" w14:textId="77777777">
      <w:pPr>
        <w:rPr>
          <w:rFonts w:eastAsia="Calibri"/>
        </w:rPr>
      </w:pPr>
    </w:p>
    <w:p w:rsidR="001A2EE2" w:rsidRPr="00AC0E86" w:rsidP="002428A5" w14:paraId="35940437" w14:textId="0E3ED688">
      <w:pPr>
        <w:ind w:firstLine="360"/>
        <w:rPr>
          <w:rFonts w:eastAsia="Calibri"/>
        </w:rPr>
      </w:pPr>
      <w:r w:rsidRPr="00AC0E86">
        <w:rPr>
          <w:rFonts w:eastAsia="Calibri"/>
        </w:rPr>
        <w:t>Th</w:t>
      </w:r>
      <w:r w:rsidRPr="00AC0E86" w:rsidR="005D67EC">
        <w:rPr>
          <w:rFonts w:eastAsia="Calibri"/>
        </w:rPr>
        <w:t xml:space="preserve">is information </w:t>
      </w:r>
      <w:r w:rsidRPr="00AC0E86">
        <w:rPr>
          <w:rFonts w:eastAsia="Calibri"/>
        </w:rPr>
        <w:t xml:space="preserve">collection does not involve sensitive questions. </w:t>
      </w:r>
      <w:r w:rsidR="00787CF7">
        <w:rPr>
          <w:rFonts w:eastAsia="Calibri"/>
        </w:rPr>
        <w:t xml:space="preserve"> </w:t>
      </w:r>
    </w:p>
    <w:p w:rsidR="00547B10" w:rsidRPr="00AC0E86" w:rsidP="00257FE9" w14:paraId="65017C7C" w14:textId="77777777">
      <w:pPr>
        <w:rPr>
          <w:rFonts w:eastAsia="Calibri"/>
        </w:rPr>
      </w:pPr>
    </w:p>
    <w:p w:rsidR="00357C8A" w:rsidRPr="00AC0E86" w:rsidP="00257FE9" w14:paraId="0A7293D7" w14:textId="28D7EBBF">
      <w:pPr>
        <w:numPr>
          <w:ilvl w:val="0"/>
          <w:numId w:val="6"/>
        </w:numPr>
        <w:spacing w:line="276" w:lineRule="auto"/>
        <w:rPr>
          <w:rFonts w:eastAsia="Calibri"/>
          <w:u w:val="single"/>
        </w:rPr>
      </w:pPr>
      <w:r w:rsidRPr="00AC0E86">
        <w:rPr>
          <w:rFonts w:eastAsia="Calibri"/>
          <w:u w:val="single"/>
        </w:rPr>
        <w:t>Estimates of Annualized Burden Hours and Cost</w:t>
      </w:r>
    </w:p>
    <w:p w:rsidR="00547B10" w:rsidP="005C56B3" w14:paraId="444D568E" w14:textId="2A74D341">
      <w:pPr>
        <w:pStyle w:val="Default"/>
        <w:rPr>
          <w:color w:val="auto"/>
        </w:rPr>
      </w:pPr>
    </w:p>
    <w:p w:rsidR="00614B8A" w:rsidP="002428A5" w14:paraId="10C5B06E" w14:textId="77777777">
      <w:pPr>
        <w:ind w:left="360"/>
      </w:pPr>
      <w:r>
        <w:t>Description of Respondents: Respondents to this information collection are employees at outsourcing facilities and related human prescription drug compounding businesses.</w:t>
      </w:r>
    </w:p>
    <w:p w:rsidR="008E0EBF" w:rsidP="008E0EBF" w14:paraId="2A5EF4DE" w14:textId="77777777">
      <w:pPr>
        <w:ind w:firstLine="720"/>
      </w:pPr>
    </w:p>
    <w:p w:rsidR="00357C8A" w:rsidRPr="00AC0E86" w:rsidP="002428A5" w14:paraId="689E5B1F" w14:textId="77777777">
      <w:pPr>
        <w:ind w:left="360" w:firstLine="360"/>
        <w:rPr>
          <w:rFonts w:eastAsia="Calibri"/>
        </w:rPr>
      </w:pPr>
      <w:r w:rsidRPr="00AC0E86">
        <w:rPr>
          <w:rFonts w:eastAsia="Calibri"/>
        </w:rPr>
        <w:t>12a.  Annualized Hour Burden Estimate</w:t>
      </w:r>
    </w:p>
    <w:p w:rsidR="00AF4488" w:rsidP="00257FE9" w14:paraId="0A923F4C" w14:textId="7EC3F40A">
      <w:pPr>
        <w:rPr>
          <w:rFonts w:eastAsia="Calibri"/>
          <w:b/>
        </w:rPr>
      </w:pPr>
    </w:p>
    <w:p w:rsidR="008A1DE1" w:rsidP="002428A5" w14:paraId="7A2CB2A4" w14:textId="77777777">
      <w:pPr>
        <w:spacing w:line="480" w:lineRule="auto"/>
        <w:ind w:firstLine="360"/>
      </w:pPr>
      <w:r>
        <w:t>FDA estimates the burden of this collection of information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512"/>
        <w:gridCol w:w="2019"/>
        <w:gridCol w:w="1602"/>
        <w:gridCol w:w="1797"/>
        <w:gridCol w:w="935"/>
      </w:tblGrid>
      <w:tr w14:paraId="621724ED" w14:textId="77777777" w:rsidTr="0080179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jc w:val="center"/>
        </w:trPr>
        <w:tc>
          <w:tcPr>
            <w:tcW w:w="0" w:type="auto"/>
            <w:gridSpan w:val="6"/>
            <w:tcBorders>
              <w:top w:val="nil"/>
              <w:left w:val="nil"/>
              <w:right w:val="nil"/>
            </w:tcBorders>
            <w:shd w:val="clear" w:color="auto" w:fill="auto"/>
          </w:tcPr>
          <w:p w:rsidR="00CC51A7" w:rsidRPr="008E0EBF" w:rsidP="00801790" w14:paraId="696851CD" w14:textId="7FF568FD">
            <w:pPr>
              <w:jc w:val="center"/>
              <w:rPr>
                <w:sz w:val="20"/>
                <w:szCs w:val="20"/>
              </w:rPr>
            </w:pPr>
            <w:r w:rsidRPr="008E0EBF">
              <w:rPr>
                <w:sz w:val="20"/>
                <w:szCs w:val="20"/>
              </w:rPr>
              <w:t xml:space="preserve">Table </w:t>
            </w:r>
            <w:r w:rsidRPr="008E0EBF">
              <w:rPr>
                <w:sz w:val="20"/>
                <w:szCs w:val="20"/>
              </w:rPr>
              <w:t>1.--</w:t>
            </w:r>
            <w:r w:rsidRPr="008E0EBF">
              <w:rPr>
                <w:sz w:val="20"/>
                <w:szCs w:val="20"/>
              </w:rPr>
              <w:t>Estimated Annual Reporting Burden</w:t>
            </w:r>
          </w:p>
        </w:tc>
      </w:tr>
      <w:tr w14:paraId="2759E65E" w14:textId="77777777" w:rsidTr="00801790">
        <w:tblPrEx>
          <w:tblW w:w="0" w:type="auto"/>
          <w:jc w:val="center"/>
          <w:tblLook w:val="01E0"/>
        </w:tblPrEx>
        <w:trPr>
          <w:cantSplit/>
          <w:jc w:val="center"/>
        </w:trPr>
        <w:tc>
          <w:tcPr>
            <w:tcW w:w="0" w:type="auto"/>
            <w:tcBorders>
              <w:bottom w:val="single" w:sz="4" w:space="0" w:color="auto"/>
            </w:tcBorders>
            <w:shd w:val="clear" w:color="auto" w:fill="auto"/>
          </w:tcPr>
          <w:p w:rsidR="00CC51A7" w:rsidRPr="008E0EBF" w:rsidP="00801790" w14:paraId="2CF070D0" w14:textId="77777777">
            <w:pPr>
              <w:jc w:val="center"/>
              <w:rPr>
                <w:sz w:val="20"/>
                <w:szCs w:val="20"/>
              </w:rPr>
            </w:pPr>
            <w:r w:rsidRPr="008E0EBF">
              <w:rPr>
                <w:sz w:val="20"/>
                <w:szCs w:val="20"/>
              </w:rPr>
              <w:t>Activity</w:t>
            </w:r>
          </w:p>
        </w:tc>
        <w:tc>
          <w:tcPr>
            <w:tcW w:w="0" w:type="auto"/>
            <w:tcBorders>
              <w:bottom w:val="single" w:sz="4" w:space="0" w:color="auto"/>
            </w:tcBorders>
            <w:shd w:val="clear" w:color="auto" w:fill="auto"/>
          </w:tcPr>
          <w:p w:rsidR="00CC51A7" w:rsidRPr="008E0EBF" w:rsidP="00801790" w14:paraId="1F24B7CD" w14:textId="77777777">
            <w:pPr>
              <w:jc w:val="center"/>
              <w:rPr>
                <w:sz w:val="20"/>
                <w:szCs w:val="20"/>
              </w:rPr>
            </w:pPr>
            <w:r w:rsidRPr="008E0EBF">
              <w:rPr>
                <w:sz w:val="20"/>
                <w:szCs w:val="20"/>
              </w:rPr>
              <w:t>No. of Respondents</w:t>
            </w:r>
          </w:p>
        </w:tc>
        <w:tc>
          <w:tcPr>
            <w:tcW w:w="0" w:type="auto"/>
            <w:tcBorders>
              <w:bottom w:val="single" w:sz="4" w:space="0" w:color="auto"/>
            </w:tcBorders>
            <w:shd w:val="clear" w:color="auto" w:fill="auto"/>
          </w:tcPr>
          <w:p w:rsidR="00CC51A7" w:rsidRPr="008E0EBF" w:rsidP="00801790" w14:paraId="5EABFDF3" w14:textId="77777777">
            <w:pPr>
              <w:jc w:val="center"/>
              <w:rPr>
                <w:sz w:val="20"/>
                <w:szCs w:val="20"/>
              </w:rPr>
            </w:pPr>
            <w:r w:rsidRPr="008E0EBF">
              <w:rPr>
                <w:bCs/>
                <w:sz w:val="20"/>
                <w:szCs w:val="20"/>
              </w:rPr>
              <w:t>No. of Responses per Respondent</w:t>
            </w:r>
          </w:p>
        </w:tc>
        <w:tc>
          <w:tcPr>
            <w:tcW w:w="0" w:type="auto"/>
            <w:tcBorders>
              <w:bottom w:val="single" w:sz="4" w:space="0" w:color="auto"/>
            </w:tcBorders>
            <w:shd w:val="clear" w:color="auto" w:fill="auto"/>
          </w:tcPr>
          <w:p w:rsidR="00CC51A7" w:rsidRPr="008E0EBF" w:rsidP="00801790" w14:paraId="073A4240" w14:textId="77777777">
            <w:pPr>
              <w:jc w:val="center"/>
              <w:rPr>
                <w:sz w:val="20"/>
                <w:szCs w:val="20"/>
              </w:rPr>
            </w:pPr>
            <w:r w:rsidRPr="008E0EBF">
              <w:rPr>
                <w:sz w:val="20"/>
                <w:szCs w:val="20"/>
              </w:rPr>
              <w:t>Total Annual Responses</w:t>
            </w:r>
          </w:p>
        </w:tc>
        <w:tc>
          <w:tcPr>
            <w:tcW w:w="0" w:type="auto"/>
            <w:tcBorders>
              <w:bottom w:val="single" w:sz="4" w:space="0" w:color="auto"/>
            </w:tcBorders>
            <w:shd w:val="clear" w:color="auto" w:fill="auto"/>
          </w:tcPr>
          <w:p w:rsidR="00CC51A7" w:rsidRPr="008E0EBF" w:rsidP="00801790" w14:paraId="610C4519" w14:textId="77777777">
            <w:pPr>
              <w:jc w:val="center"/>
              <w:rPr>
                <w:sz w:val="20"/>
                <w:szCs w:val="20"/>
              </w:rPr>
            </w:pPr>
            <w:r w:rsidRPr="008E0EBF">
              <w:rPr>
                <w:sz w:val="20"/>
                <w:szCs w:val="20"/>
              </w:rPr>
              <w:t>Average Burden per Response</w:t>
            </w:r>
          </w:p>
        </w:tc>
        <w:tc>
          <w:tcPr>
            <w:tcW w:w="0" w:type="auto"/>
            <w:tcBorders>
              <w:bottom w:val="single" w:sz="4" w:space="0" w:color="auto"/>
            </w:tcBorders>
            <w:shd w:val="clear" w:color="auto" w:fill="auto"/>
          </w:tcPr>
          <w:p w:rsidR="00CC51A7" w:rsidRPr="008E0EBF" w:rsidP="00801790" w14:paraId="2EC3C499" w14:textId="77777777">
            <w:pPr>
              <w:jc w:val="center"/>
              <w:rPr>
                <w:sz w:val="20"/>
                <w:szCs w:val="20"/>
              </w:rPr>
            </w:pPr>
            <w:r w:rsidRPr="008E0EBF">
              <w:rPr>
                <w:sz w:val="20"/>
                <w:szCs w:val="20"/>
              </w:rPr>
              <w:t>Total Hours</w:t>
            </w:r>
          </w:p>
        </w:tc>
      </w:tr>
      <w:tr w14:paraId="469F300C" w14:textId="77777777" w:rsidTr="00801790">
        <w:tblPrEx>
          <w:tblW w:w="0" w:type="auto"/>
          <w:jc w:val="center"/>
          <w:tblLook w:val="01E0"/>
        </w:tblPrEx>
        <w:trPr>
          <w:cantSplit/>
          <w:jc w:val="center"/>
        </w:trPr>
        <w:tc>
          <w:tcPr>
            <w:tcW w:w="0" w:type="auto"/>
            <w:tcBorders>
              <w:bottom w:val="single" w:sz="4" w:space="0" w:color="auto"/>
            </w:tcBorders>
            <w:shd w:val="clear" w:color="auto" w:fill="auto"/>
          </w:tcPr>
          <w:p w:rsidR="00CC51A7" w:rsidRPr="008E0EBF" w:rsidP="00801790" w14:paraId="3EE7743F" w14:textId="77777777">
            <w:pPr>
              <w:rPr>
                <w:sz w:val="20"/>
                <w:szCs w:val="20"/>
              </w:rPr>
            </w:pPr>
            <w:r w:rsidRPr="008E0EBF">
              <w:rPr>
                <w:sz w:val="20"/>
                <w:szCs w:val="20"/>
              </w:rPr>
              <w:t>Survey Invitation</w:t>
            </w:r>
          </w:p>
        </w:tc>
        <w:tc>
          <w:tcPr>
            <w:tcW w:w="0" w:type="auto"/>
            <w:tcBorders>
              <w:bottom w:val="single" w:sz="4" w:space="0" w:color="auto"/>
            </w:tcBorders>
            <w:shd w:val="clear" w:color="auto" w:fill="auto"/>
          </w:tcPr>
          <w:p w:rsidR="00CC51A7" w:rsidRPr="008E0EBF" w:rsidP="00801790" w14:paraId="50637565" w14:textId="77777777">
            <w:pPr>
              <w:jc w:val="right"/>
              <w:rPr>
                <w:sz w:val="20"/>
                <w:szCs w:val="20"/>
              </w:rPr>
            </w:pPr>
            <w:r w:rsidRPr="008E0EBF">
              <w:rPr>
                <w:sz w:val="20"/>
                <w:szCs w:val="20"/>
              </w:rPr>
              <w:t>250</w:t>
            </w:r>
          </w:p>
        </w:tc>
        <w:tc>
          <w:tcPr>
            <w:tcW w:w="0" w:type="auto"/>
            <w:tcBorders>
              <w:bottom w:val="single" w:sz="4" w:space="0" w:color="auto"/>
            </w:tcBorders>
            <w:shd w:val="clear" w:color="auto" w:fill="auto"/>
          </w:tcPr>
          <w:p w:rsidR="00CC51A7" w:rsidRPr="008E0EBF" w:rsidP="00801790" w14:paraId="129B7BBC" w14:textId="77777777">
            <w:pPr>
              <w:jc w:val="right"/>
              <w:rPr>
                <w:sz w:val="20"/>
                <w:szCs w:val="20"/>
              </w:rPr>
            </w:pPr>
            <w:r w:rsidRPr="008E0EBF">
              <w:rPr>
                <w:sz w:val="20"/>
                <w:szCs w:val="20"/>
              </w:rPr>
              <w:t>1</w:t>
            </w:r>
          </w:p>
        </w:tc>
        <w:tc>
          <w:tcPr>
            <w:tcW w:w="0" w:type="auto"/>
            <w:tcBorders>
              <w:bottom w:val="single" w:sz="4" w:space="0" w:color="auto"/>
            </w:tcBorders>
            <w:shd w:val="clear" w:color="auto" w:fill="auto"/>
          </w:tcPr>
          <w:p w:rsidR="00CC51A7" w:rsidRPr="008E0EBF" w:rsidP="00801790" w14:paraId="71E69F2E" w14:textId="77777777">
            <w:pPr>
              <w:jc w:val="right"/>
              <w:rPr>
                <w:sz w:val="20"/>
                <w:szCs w:val="20"/>
              </w:rPr>
            </w:pPr>
            <w:r w:rsidRPr="008E0EBF">
              <w:rPr>
                <w:sz w:val="20"/>
                <w:szCs w:val="20"/>
              </w:rPr>
              <w:t>250</w:t>
            </w:r>
          </w:p>
        </w:tc>
        <w:tc>
          <w:tcPr>
            <w:tcW w:w="0" w:type="auto"/>
            <w:tcBorders>
              <w:bottom w:val="single" w:sz="4" w:space="0" w:color="auto"/>
            </w:tcBorders>
            <w:shd w:val="clear" w:color="auto" w:fill="auto"/>
          </w:tcPr>
          <w:p w:rsidR="00CC51A7" w:rsidRPr="008E0EBF" w:rsidP="00801790" w14:paraId="37759748" w14:textId="77777777">
            <w:pPr>
              <w:jc w:val="right"/>
              <w:rPr>
                <w:sz w:val="20"/>
                <w:szCs w:val="20"/>
              </w:rPr>
            </w:pPr>
            <w:r w:rsidRPr="008E0EBF">
              <w:rPr>
                <w:sz w:val="20"/>
                <w:szCs w:val="20"/>
              </w:rPr>
              <w:t>0.0833</w:t>
            </w:r>
          </w:p>
          <w:p w:rsidR="00CC51A7" w:rsidRPr="008E0EBF" w:rsidP="00801790" w14:paraId="35396A77" w14:textId="77777777">
            <w:pPr>
              <w:jc w:val="right"/>
              <w:rPr>
                <w:sz w:val="20"/>
                <w:szCs w:val="20"/>
              </w:rPr>
            </w:pPr>
            <w:r w:rsidRPr="008E0EBF">
              <w:rPr>
                <w:sz w:val="20"/>
                <w:szCs w:val="20"/>
              </w:rPr>
              <w:t>(5 mins)</w:t>
            </w:r>
          </w:p>
        </w:tc>
        <w:tc>
          <w:tcPr>
            <w:tcW w:w="0" w:type="auto"/>
            <w:tcBorders>
              <w:bottom w:val="single" w:sz="4" w:space="0" w:color="auto"/>
            </w:tcBorders>
            <w:shd w:val="clear" w:color="auto" w:fill="auto"/>
          </w:tcPr>
          <w:p w:rsidR="00CC51A7" w:rsidRPr="008E0EBF" w:rsidP="00801790" w14:paraId="76B631BE" w14:textId="77777777">
            <w:pPr>
              <w:jc w:val="right"/>
              <w:rPr>
                <w:sz w:val="20"/>
                <w:szCs w:val="20"/>
              </w:rPr>
            </w:pPr>
            <w:r w:rsidRPr="008E0EBF">
              <w:rPr>
                <w:sz w:val="20"/>
                <w:szCs w:val="20"/>
              </w:rPr>
              <w:t>21</w:t>
            </w:r>
          </w:p>
        </w:tc>
      </w:tr>
      <w:tr w14:paraId="54595BDA" w14:textId="77777777" w:rsidTr="00801790">
        <w:tblPrEx>
          <w:tblW w:w="0" w:type="auto"/>
          <w:jc w:val="center"/>
          <w:tblLook w:val="01E0"/>
        </w:tblPrEx>
        <w:trPr>
          <w:cantSplit/>
          <w:trHeight w:val="440"/>
          <w:jc w:val="center"/>
        </w:trPr>
        <w:tc>
          <w:tcPr>
            <w:tcW w:w="0" w:type="auto"/>
            <w:shd w:val="clear" w:color="auto" w:fill="auto"/>
          </w:tcPr>
          <w:p w:rsidR="00CC51A7" w:rsidRPr="008E0EBF" w:rsidP="00801790" w14:paraId="64031718" w14:textId="77777777">
            <w:pPr>
              <w:rPr>
                <w:sz w:val="20"/>
                <w:szCs w:val="20"/>
              </w:rPr>
            </w:pPr>
            <w:r w:rsidRPr="008E0EBF">
              <w:rPr>
                <w:sz w:val="20"/>
                <w:szCs w:val="20"/>
              </w:rPr>
              <w:t>Survey Questionnaire</w:t>
            </w:r>
          </w:p>
        </w:tc>
        <w:tc>
          <w:tcPr>
            <w:tcW w:w="0" w:type="auto"/>
            <w:shd w:val="clear" w:color="auto" w:fill="auto"/>
          </w:tcPr>
          <w:p w:rsidR="00CC51A7" w:rsidRPr="008E0EBF" w:rsidP="00801790" w14:paraId="6599F2A5" w14:textId="77777777">
            <w:pPr>
              <w:jc w:val="right"/>
              <w:rPr>
                <w:sz w:val="20"/>
                <w:szCs w:val="20"/>
              </w:rPr>
            </w:pPr>
            <w:r w:rsidRPr="008E0EBF">
              <w:rPr>
                <w:sz w:val="20"/>
                <w:szCs w:val="20"/>
              </w:rPr>
              <w:t>250</w:t>
            </w:r>
          </w:p>
        </w:tc>
        <w:tc>
          <w:tcPr>
            <w:tcW w:w="0" w:type="auto"/>
            <w:shd w:val="clear" w:color="auto" w:fill="auto"/>
          </w:tcPr>
          <w:p w:rsidR="00CC51A7" w:rsidRPr="008E0EBF" w:rsidP="00801790" w14:paraId="5DFE989A" w14:textId="77777777">
            <w:pPr>
              <w:jc w:val="right"/>
              <w:rPr>
                <w:sz w:val="20"/>
                <w:szCs w:val="20"/>
              </w:rPr>
            </w:pPr>
            <w:r w:rsidRPr="008E0EBF">
              <w:rPr>
                <w:sz w:val="20"/>
                <w:szCs w:val="20"/>
              </w:rPr>
              <w:t>1</w:t>
            </w:r>
          </w:p>
        </w:tc>
        <w:tc>
          <w:tcPr>
            <w:tcW w:w="0" w:type="auto"/>
            <w:shd w:val="clear" w:color="auto" w:fill="auto"/>
          </w:tcPr>
          <w:p w:rsidR="00CC51A7" w:rsidRPr="008E0EBF" w:rsidP="00801790" w14:paraId="0B314508" w14:textId="77777777">
            <w:pPr>
              <w:jc w:val="right"/>
              <w:rPr>
                <w:sz w:val="20"/>
                <w:szCs w:val="20"/>
              </w:rPr>
            </w:pPr>
            <w:r w:rsidRPr="008E0EBF">
              <w:rPr>
                <w:sz w:val="20"/>
                <w:szCs w:val="20"/>
              </w:rPr>
              <w:t xml:space="preserve">250 </w:t>
            </w:r>
          </w:p>
        </w:tc>
        <w:tc>
          <w:tcPr>
            <w:tcW w:w="0" w:type="auto"/>
            <w:shd w:val="clear" w:color="auto" w:fill="auto"/>
          </w:tcPr>
          <w:p w:rsidR="00CC51A7" w:rsidRPr="008E0EBF" w:rsidP="00801790" w14:paraId="7C320BC2" w14:textId="77777777">
            <w:pPr>
              <w:jc w:val="right"/>
              <w:rPr>
                <w:sz w:val="20"/>
                <w:szCs w:val="20"/>
              </w:rPr>
            </w:pPr>
            <w:r w:rsidRPr="008E0EBF">
              <w:rPr>
                <w:sz w:val="20"/>
                <w:szCs w:val="20"/>
              </w:rPr>
              <w:t xml:space="preserve">0.50 </w:t>
            </w:r>
          </w:p>
          <w:p w:rsidR="00CC51A7" w:rsidRPr="008E0EBF" w:rsidP="00801790" w14:paraId="26FA1919" w14:textId="77777777">
            <w:pPr>
              <w:jc w:val="right"/>
              <w:rPr>
                <w:sz w:val="20"/>
                <w:szCs w:val="20"/>
              </w:rPr>
            </w:pPr>
            <w:r w:rsidRPr="008E0EBF">
              <w:rPr>
                <w:sz w:val="20"/>
                <w:szCs w:val="20"/>
              </w:rPr>
              <w:t>(30 mins)</w:t>
            </w:r>
          </w:p>
        </w:tc>
        <w:tc>
          <w:tcPr>
            <w:tcW w:w="0" w:type="auto"/>
            <w:shd w:val="clear" w:color="auto" w:fill="auto"/>
          </w:tcPr>
          <w:p w:rsidR="00CC51A7" w:rsidRPr="008E0EBF" w:rsidP="00801790" w14:paraId="63A1A53A" w14:textId="77777777">
            <w:pPr>
              <w:jc w:val="right"/>
              <w:rPr>
                <w:sz w:val="20"/>
                <w:szCs w:val="20"/>
              </w:rPr>
            </w:pPr>
          </w:p>
          <w:p w:rsidR="00CC51A7" w:rsidRPr="008E0EBF" w:rsidP="00801790" w14:paraId="4B4C9768" w14:textId="77777777">
            <w:pPr>
              <w:jc w:val="right"/>
              <w:rPr>
                <w:sz w:val="20"/>
                <w:szCs w:val="20"/>
              </w:rPr>
            </w:pPr>
            <w:r w:rsidRPr="008E0EBF">
              <w:rPr>
                <w:sz w:val="20"/>
                <w:szCs w:val="20"/>
              </w:rPr>
              <w:t>125</w:t>
            </w:r>
          </w:p>
        </w:tc>
      </w:tr>
      <w:tr w14:paraId="7E63E802" w14:textId="77777777" w:rsidTr="00801790">
        <w:tblPrEx>
          <w:tblW w:w="0" w:type="auto"/>
          <w:jc w:val="center"/>
          <w:tblLook w:val="01E0"/>
        </w:tblPrEx>
        <w:trPr>
          <w:cantSplit/>
          <w:jc w:val="center"/>
        </w:trPr>
        <w:tc>
          <w:tcPr>
            <w:tcW w:w="0" w:type="auto"/>
            <w:tcBorders>
              <w:bottom w:val="single" w:sz="4" w:space="0" w:color="auto"/>
            </w:tcBorders>
            <w:shd w:val="clear" w:color="auto" w:fill="auto"/>
          </w:tcPr>
          <w:p w:rsidR="00CC51A7" w:rsidRPr="008E0EBF" w:rsidP="00801790" w14:paraId="0325A9B1" w14:textId="77777777">
            <w:pPr>
              <w:rPr>
                <w:sz w:val="20"/>
                <w:szCs w:val="20"/>
              </w:rPr>
            </w:pPr>
            <w:r w:rsidRPr="008E0EBF">
              <w:rPr>
                <w:sz w:val="20"/>
                <w:szCs w:val="20"/>
              </w:rPr>
              <w:t>Total</w:t>
            </w:r>
          </w:p>
        </w:tc>
        <w:tc>
          <w:tcPr>
            <w:tcW w:w="0" w:type="auto"/>
            <w:tcBorders>
              <w:bottom w:val="single" w:sz="4" w:space="0" w:color="auto"/>
            </w:tcBorders>
            <w:shd w:val="clear" w:color="auto" w:fill="auto"/>
          </w:tcPr>
          <w:p w:rsidR="00CC51A7" w:rsidRPr="008E0EBF" w:rsidP="00801790" w14:paraId="56EBA991" w14:textId="77777777">
            <w:pPr>
              <w:jc w:val="right"/>
              <w:rPr>
                <w:sz w:val="20"/>
                <w:szCs w:val="20"/>
              </w:rPr>
            </w:pPr>
          </w:p>
        </w:tc>
        <w:tc>
          <w:tcPr>
            <w:tcW w:w="0" w:type="auto"/>
            <w:tcBorders>
              <w:bottom w:val="single" w:sz="4" w:space="0" w:color="auto"/>
            </w:tcBorders>
            <w:shd w:val="clear" w:color="auto" w:fill="auto"/>
          </w:tcPr>
          <w:p w:rsidR="00CC51A7" w:rsidRPr="008E0EBF" w:rsidP="00801790" w14:paraId="29D4F759" w14:textId="77777777">
            <w:pPr>
              <w:jc w:val="right"/>
              <w:rPr>
                <w:sz w:val="20"/>
                <w:szCs w:val="20"/>
              </w:rPr>
            </w:pPr>
          </w:p>
        </w:tc>
        <w:tc>
          <w:tcPr>
            <w:tcW w:w="0" w:type="auto"/>
            <w:tcBorders>
              <w:bottom w:val="single" w:sz="4" w:space="0" w:color="auto"/>
            </w:tcBorders>
            <w:shd w:val="clear" w:color="auto" w:fill="auto"/>
          </w:tcPr>
          <w:p w:rsidR="00CC51A7" w:rsidRPr="008E0EBF" w:rsidP="00801790" w14:paraId="6A21C960" w14:textId="77777777">
            <w:pPr>
              <w:jc w:val="right"/>
              <w:rPr>
                <w:sz w:val="20"/>
                <w:szCs w:val="20"/>
              </w:rPr>
            </w:pPr>
            <w:r w:rsidRPr="008E0EBF">
              <w:rPr>
                <w:sz w:val="20"/>
                <w:szCs w:val="20"/>
              </w:rPr>
              <w:t>500</w:t>
            </w:r>
          </w:p>
        </w:tc>
        <w:tc>
          <w:tcPr>
            <w:tcW w:w="0" w:type="auto"/>
            <w:tcBorders>
              <w:bottom w:val="single" w:sz="4" w:space="0" w:color="auto"/>
            </w:tcBorders>
            <w:shd w:val="clear" w:color="auto" w:fill="auto"/>
          </w:tcPr>
          <w:p w:rsidR="00CC51A7" w:rsidRPr="008E0EBF" w:rsidP="00801790" w14:paraId="2D3762FC" w14:textId="77777777">
            <w:pPr>
              <w:jc w:val="right"/>
              <w:rPr>
                <w:sz w:val="20"/>
                <w:szCs w:val="20"/>
              </w:rPr>
            </w:pPr>
          </w:p>
        </w:tc>
        <w:tc>
          <w:tcPr>
            <w:tcW w:w="0" w:type="auto"/>
            <w:tcBorders>
              <w:bottom w:val="single" w:sz="4" w:space="0" w:color="auto"/>
            </w:tcBorders>
            <w:shd w:val="clear" w:color="auto" w:fill="auto"/>
          </w:tcPr>
          <w:p w:rsidR="00CC51A7" w:rsidRPr="008E0EBF" w:rsidP="00801790" w14:paraId="40DD21BB" w14:textId="77777777">
            <w:pPr>
              <w:jc w:val="right"/>
              <w:rPr>
                <w:sz w:val="20"/>
                <w:szCs w:val="20"/>
              </w:rPr>
            </w:pPr>
            <w:r w:rsidRPr="008E0EBF">
              <w:rPr>
                <w:sz w:val="20"/>
                <w:szCs w:val="20"/>
              </w:rPr>
              <w:t>146</w:t>
            </w:r>
          </w:p>
        </w:tc>
      </w:tr>
    </w:tbl>
    <w:p w:rsidR="00E65498" w:rsidP="00257FE9" w14:paraId="3E7626AF" w14:textId="55B6D593">
      <w:pPr>
        <w:rPr>
          <w:rFonts w:eastAsia="Calibri"/>
          <w:b/>
        </w:rPr>
      </w:pPr>
    </w:p>
    <w:p w:rsidR="00F2633F" w:rsidP="002428A5" w14:paraId="2F997572" w14:textId="3A2C5996">
      <w:pPr>
        <w:ind w:left="360"/>
      </w:pPr>
      <w:r>
        <w:t>T</w:t>
      </w:r>
      <w:r w:rsidRPr="00FB4EFB">
        <w:t xml:space="preserve">he </w:t>
      </w:r>
      <w:r>
        <w:t xml:space="preserve">universe of registered outsourcing facilities and related human prescription drug compounding businesses known to the </w:t>
      </w:r>
      <w:r>
        <w:rPr>
          <w:color w:val="000000"/>
        </w:rPr>
        <w:t xml:space="preserve">Center of Excellence </w:t>
      </w:r>
      <w:r w:rsidRPr="00FB4EFB">
        <w:t>will be</w:t>
      </w:r>
      <w:r>
        <w:t xml:space="preserve"> sent a survey invitation</w:t>
      </w:r>
      <w:r w:rsidRPr="00FB4EFB">
        <w:t xml:space="preserve">. </w:t>
      </w:r>
      <w:r>
        <w:t xml:space="preserve"> We reduced our estimate of the</w:t>
      </w:r>
      <w:r w:rsidRPr="00FB4EFB">
        <w:t xml:space="preserve"> number of respondents</w:t>
      </w:r>
      <w:r>
        <w:t xml:space="preserve"> from 300 to 250.  We</w:t>
      </w:r>
      <w:r w:rsidRPr="00FB4EFB">
        <w:t xml:space="preserve"> estimate that approximately </w:t>
      </w:r>
      <w:r>
        <w:t>250</w:t>
      </w:r>
      <w:r w:rsidRPr="00FB4EFB">
        <w:t xml:space="preserve"> </w:t>
      </w:r>
      <w:r>
        <w:t>respondents</w:t>
      </w:r>
      <w:r w:rsidRPr="00FB4EFB">
        <w:t xml:space="preserve"> will </w:t>
      </w:r>
      <w:r>
        <w:t>receive</w:t>
      </w:r>
      <w:r w:rsidRPr="00FB4EFB">
        <w:t xml:space="preserve"> a</w:t>
      </w:r>
      <w:r>
        <w:t>n</w:t>
      </w:r>
      <w:r w:rsidRPr="00FB4EFB">
        <w:t xml:space="preserve"> </w:t>
      </w:r>
      <w:r>
        <w:t>invitation</w:t>
      </w:r>
      <w:r w:rsidRPr="00FB4EFB">
        <w:t xml:space="preserve"> to participate in the </w:t>
      </w:r>
      <w:r>
        <w:t>survey and will spend 5 minutes reading the invitation and considering whether to take the survey, for a total of 20.825 burden hours per year, rounded to 21 hours</w:t>
      </w:r>
      <w:r w:rsidRPr="00FB4EFB">
        <w:t xml:space="preserve">. </w:t>
      </w:r>
      <w:r>
        <w:t xml:space="preserve"> </w:t>
      </w:r>
      <w:r w:rsidRPr="00216E5C">
        <w:t>Based on our historical experience</w:t>
      </w:r>
      <w:r>
        <w:t>,</w:t>
      </w:r>
      <w:r w:rsidRPr="00216E5C">
        <w:t xml:space="preserve"> we anticipate that all those invited to participate in the survey will complete the survey.</w:t>
      </w:r>
      <w:r>
        <w:t xml:space="preserve">  </w:t>
      </w:r>
      <w:r w:rsidR="00771CF7">
        <w:t>We estimate that respondents will spend 15-30 minutes to complete the revised survey.  Using the upper-bound estimate, w</w:t>
      </w:r>
      <w:r w:rsidRPr="00B64E78">
        <w:t xml:space="preserve">e </w:t>
      </w:r>
      <w:r w:rsidR="008E154E">
        <w:t>report</w:t>
      </w:r>
      <w:r w:rsidRPr="00B64E78">
        <w:t xml:space="preserve"> a reduction in burden hours to </w:t>
      </w:r>
      <w:r>
        <w:t>30</w:t>
      </w:r>
      <w:r w:rsidRPr="00B64E78">
        <w:t xml:space="preserve"> minutes (</w:t>
      </w:r>
      <w:r>
        <w:t>0</w:t>
      </w:r>
      <w:r w:rsidRPr="00B64E78">
        <w:t>.</w:t>
      </w:r>
      <w:r>
        <w:t>50</w:t>
      </w:r>
      <w:r w:rsidRPr="00B64E78">
        <w:t xml:space="preserve"> hour) per survey response from </w:t>
      </w:r>
      <w:r>
        <w:t xml:space="preserve">our previous estimate of </w:t>
      </w:r>
      <w:r w:rsidRPr="00B64E78">
        <w:t>1 hour per response</w:t>
      </w:r>
      <w:r>
        <w:t xml:space="preserve">. </w:t>
      </w:r>
      <w:r w:rsidRPr="00B64E78">
        <w:t xml:space="preserve"> </w:t>
      </w:r>
      <w:r>
        <w:t>We estimate that approximately 250 respondents</w:t>
      </w:r>
      <w:r w:rsidRPr="00FB4EFB">
        <w:t xml:space="preserve"> </w:t>
      </w:r>
      <w:r>
        <w:t>will spend 30 minutes completing the survey, for a total of</w:t>
      </w:r>
      <w:r w:rsidRPr="00FB4EFB">
        <w:t xml:space="preserve"> </w:t>
      </w:r>
      <w:r>
        <w:t>146</w:t>
      </w:r>
      <w:r w:rsidRPr="00FB4EFB">
        <w:t xml:space="preserve"> burden hours per year.</w:t>
      </w:r>
      <w:r>
        <w:t xml:space="preserve"> </w:t>
      </w:r>
    </w:p>
    <w:p w:rsidR="00E65498" w:rsidRPr="00AC0E86" w:rsidP="00257FE9" w14:paraId="622C459D" w14:textId="77777777">
      <w:pPr>
        <w:rPr>
          <w:rFonts w:eastAsia="Calibri"/>
          <w:b/>
        </w:rPr>
      </w:pPr>
    </w:p>
    <w:p w:rsidR="00357C8A" w:rsidRPr="00AC0E86" w:rsidP="002428A5" w14:paraId="2792FE35" w14:textId="77777777">
      <w:pPr>
        <w:ind w:left="360" w:firstLine="360"/>
        <w:rPr>
          <w:rFonts w:eastAsia="Calibri"/>
        </w:rPr>
      </w:pPr>
      <w:r w:rsidRPr="00AC0E86">
        <w:rPr>
          <w:rFonts w:eastAsia="Calibri"/>
        </w:rPr>
        <w:t>12b.  Annualized Cost Burden Estimate</w:t>
      </w:r>
    </w:p>
    <w:p w:rsidR="00A707CC" w:rsidRPr="00AC0E86" w:rsidP="00257FE9" w14:paraId="4D2F088D" w14:textId="77777777">
      <w:pPr>
        <w:rPr>
          <w:rFonts w:eastAsia="Calibri"/>
        </w:rPr>
      </w:pPr>
    </w:p>
    <w:tbl>
      <w:tblPr>
        <w:tblW w:w="92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2448"/>
        <w:gridCol w:w="2340"/>
        <w:gridCol w:w="2430"/>
      </w:tblGrid>
      <w:tr w14:paraId="5B429CE3" w14:textId="77777777" w:rsidTr="00547B10">
        <w:tblPrEx>
          <w:tblW w:w="92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985" w:type="dxa"/>
            <w:shd w:val="clear" w:color="auto" w:fill="auto"/>
          </w:tcPr>
          <w:p w:rsidR="00A707CC" w:rsidRPr="00AC0E86" w:rsidP="00257FE9" w14:paraId="2067E623" w14:textId="77777777">
            <w:pPr>
              <w:jc w:val="center"/>
              <w:rPr>
                <w:sz w:val="20"/>
                <w:szCs w:val="20"/>
              </w:rPr>
            </w:pPr>
            <w:r w:rsidRPr="00AC0E86">
              <w:rPr>
                <w:sz w:val="20"/>
                <w:szCs w:val="20"/>
              </w:rPr>
              <w:t>Type of Respondent</w:t>
            </w:r>
          </w:p>
        </w:tc>
        <w:tc>
          <w:tcPr>
            <w:tcW w:w="2448" w:type="dxa"/>
            <w:shd w:val="clear" w:color="auto" w:fill="auto"/>
          </w:tcPr>
          <w:p w:rsidR="00A707CC" w:rsidRPr="00AC0E86" w:rsidP="00257FE9" w14:paraId="4CF4892E" w14:textId="77777777">
            <w:pPr>
              <w:jc w:val="center"/>
              <w:rPr>
                <w:sz w:val="20"/>
                <w:szCs w:val="20"/>
              </w:rPr>
            </w:pPr>
            <w:r w:rsidRPr="00AC0E86">
              <w:rPr>
                <w:sz w:val="20"/>
                <w:szCs w:val="20"/>
              </w:rPr>
              <w:t>Total Burden Hours</w:t>
            </w:r>
          </w:p>
        </w:tc>
        <w:tc>
          <w:tcPr>
            <w:tcW w:w="2340" w:type="dxa"/>
            <w:shd w:val="clear" w:color="auto" w:fill="auto"/>
          </w:tcPr>
          <w:p w:rsidR="00A707CC" w:rsidRPr="00AC0E86" w:rsidP="00257FE9" w14:paraId="5C3F99F4" w14:textId="77777777">
            <w:pPr>
              <w:jc w:val="center"/>
              <w:rPr>
                <w:sz w:val="20"/>
                <w:szCs w:val="20"/>
              </w:rPr>
            </w:pPr>
            <w:r w:rsidRPr="00AC0E86">
              <w:rPr>
                <w:sz w:val="20"/>
                <w:szCs w:val="20"/>
              </w:rPr>
              <w:t>Hourly Wage Rate</w:t>
            </w:r>
          </w:p>
        </w:tc>
        <w:tc>
          <w:tcPr>
            <w:tcW w:w="2430" w:type="dxa"/>
            <w:shd w:val="clear" w:color="auto" w:fill="auto"/>
          </w:tcPr>
          <w:p w:rsidR="00A707CC" w:rsidRPr="00AC0E86" w:rsidP="00257FE9" w14:paraId="0F02033B" w14:textId="77777777">
            <w:pPr>
              <w:jc w:val="center"/>
              <w:rPr>
                <w:sz w:val="20"/>
                <w:szCs w:val="20"/>
              </w:rPr>
            </w:pPr>
            <w:r w:rsidRPr="00AC0E86">
              <w:rPr>
                <w:sz w:val="20"/>
                <w:szCs w:val="20"/>
              </w:rPr>
              <w:t>Total Respondent Costs</w:t>
            </w:r>
          </w:p>
        </w:tc>
      </w:tr>
      <w:tr w14:paraId="0B8D72FC" w14:textId="77777777" w:rsidTr="00547B10">
        <w:tblPrEx>
          <w:tblW w:w="9203" w:type="dxa"/>
          <w:tblInd w:w="535" w:type="dxa"/>
          <w:tblLook w:val="01E0"/>
        </w:tblPrEx>
        <w:tc>
          <w:tcPr>
            <w:tcW w:w="1985" w:type="dxa"/>
            <w:shd w:val="clear" w:color="auto" w:fill="auto"/>
          </w:tcPr>
          <w:p w:rsidR="00A707CC" w:rsidRPr="00AC0E86" w:rsidP="00257FE9" w14:paraId="2589A1FC" w14:textId="77777777">
            <w:pPr>
              <w:rPr>
                <w:sz w:val="20"/>
                <w:szCs w:val="20"/>
              </w:rPr>
            </w:pPr>
            <w:r w:rsidRPr="00AC0E86">
              <w:rPr>
                <w:sz w:val="20"/>
                <w:szCs w:val="20"/>
              </w:rPr>
              <w:t>Outsourcing Facility Manager</w:t>
            </w:r>
          </w:p>
        </w:tc>
        <w:tc>
          <w:tcPr>
            <w:tcW w:w="2448" w:type="dxa"/>
            <w:shd w:val="clear" w:color="auto" w:fill="auto"/>
          </w:tcPr>
          <w:p w:rsidR="00A707CC" w:rsidRPr="00AC0E86" w:rsidP="00547B10" w14:paraId="2C17FB24" w14:textId="7CD3353D">
            <w:pPr>
              <w:jc w:val="right"/>
              <w:rPr>
                <w:sz w:val="20"/>
                <w:szCs w:val="20"/>
              </w:rPr>
            </w:pPr>
            <w:r>
              <w:rPr>
                <w:sz w:val="20"/>
                <w:szCs w:val="20"/>
              </w:rPr>
              <w:t>146</w:t>
            </w:r>
          </w:p>
        </w:tc>
        <w:tc>
          <w:tcPr>
            <w:tcW w:w="2340" w:type="dxa"/>
            <w:shd w:val="clear" w:color="auto" w:fill="auto"/>
          </w:tcPr>
          <w:p w:rsidR="00A707CC" w:rsidRPr="00AC0E86" w:rsidP="00547B10" w14:paraId="2F0A6F91" w14:textId="7F73B1E5">
            <w:pPr>
              <w:jc w:val="right"/>
              <w:rPr>
                <w:sz w:val="20"/>
                <w:szCs w:val="20"/>
              </w:rPr>
            </w:pPr>
            <w:r w:rsidRPr="00AC0E86">
              <w:rPr>
                <w:sz w:val="20"/>
                <w:szCs w:val="20"/>
              </w:rPr>
              <w:t>$</w:t>
            </w:r>
            <w:r w:rsidR="002A4995">
              <w:rPr>
                <w:sz w:val="20"/>
                <w:szCs w:val="20"/>
              </w:rPr>
              <w:t>106</w:t>
            </w:r>
          </w:p>
        </w:tc>
        <w:tc>
          <w:tcPr>
            <w:tcW w:w="2430" w:type="dxa"/>
            <w:shd w:val="clear" w:color="auto" w:fill="auto"/>
          </w:tcPr>
          <w:p w:rsidR="00A707CC" w:rsidRPr="00AC0E86" w:rsidP="00547B10" w14:paraId="3E66DF33" w14:textId="0917F9FF">
            <w:pPr>
              <w:jc w:val="right"/>
              <w:rPr>
                <w:sz w:val="20"/>
                <w:szCs w:val="20"/>
              </w:rPr>
            </w:pPr>
            <w:r w:rsidRPr="00AC0E86">
              <w:rPr>
                <w:sz w:val="20"/>
                <w:szCs w:val="20"/>
              </w:rPr>
              <w:t>$</w:t>
            </w:r>
            <w:r w:rsidR="002A4995">
              <w:rPr>
                <w:sz w:val="20"/>
                <w:szCs w:val="20"/>
              </w:rPr>
              <w:t>15,476</w:t>
            </w:r>
          </w:p>
        </w:tc>
      </w:tr>
    </w:tbl>
    <w:p w:rsidR="005E1375" w:rsidRPr="00AC0E86" w:rsidP="00257FE9" w14:paraId="4C80DDA7" w14:textId="77777777">
      <w:pPr>
        <w:ind w:left="360"/>
      </w:pPr>
    </w:p>
    <w:p w:rsidR="00290E9C" w:rsidRPr="00AC0E86" w:rsidP="002428A5" w14:paraId="06C41AAD" w14:textId="2B2433FD">
      <w:pPr>
        <w:ind w:left="360"/>
      </w:pPr>
      <w:r w:rsidRPr="002A4995">
        <w:t>We assume an hourly wage rate of $</w:t>
      </w:r>
      <w:r>
        <w:t>106</w:t>
      </w:r>
      <w:r w:rsidRPr="002A4995">
        <w:t xml:space="preserve">.00 (rounded), including overhead and benefits, for employees in the private sector that prepare and submit </w:t>
      </w:r>
      <w:r>
        <w:t xml:space="preserve">survey </w:t>
      </w:r>
      <w:r w:rsidRPr="002A4995">
        <w:t>information</w:t>
      </w:r>
      <w:r w:rsidR="00116D6B">
        <w:t xml:space="preserve"> as described in this request</w:t>
      </w:r>
      <w:r w:rsidRPr="002A4995">
        <w:t>.  This figure is based on current data from the U.S. Bureau of Labor Statistics (BLS)</w:t>
      </w:r>
      <w:r w:rsidRPr="00AC0E86" w:rsidR="003D6F89">
        <w:t xml:space="preserve">, </w:t>
      </w:r>
      <w:r w:rsidRPr="00AC0E86" w:rsidR="003D6F89">
        <w:t xml:space="preserve">Occupational Outlook Handbook, </w:t>
      </w:r>
      <w:r>
        <w:t xml:space="preserve">for the occupational category </w:t>
      </w:r>
      <w:r w:rsidRPr="00AC0E86" w:rsidR="003D6F89">
        <w:t xml:space="preserve">Medical and Health Services Managers </w:t>
      </w:r>
      <w:r w:rsidR="00BC7F50">
        <w:t>(</w:t>
      </w:r>
      <w:hyperlink r:id="rId6" w:history="1">
        <w:r w:rsidRPr="00BC7F50" w:rsidR="00BC7F50">
          <w:rPr>
            <w:rStyle w:val="Hyperlink"/>
          </w:rPr>
          <w:t>https://www.bls.gov/ooh/management/medical-and-health-services-managers.htm</w:t>
        </w:r>
      </w:hyperlink>
      <w:r w:rsidR="00BC7F50">
        <w:t>)</w:t>
      </w:r>
      <w:r w:rsidRPr="00AC0E86" w:rsidR="003D6F89">
        <w:t>.</w:t>
      </w:r>
      <w:r w:rsidR="00787CF7">
        <w:t xml:space="preserve"> </w:t>
      </w:r>
    </w:p>
    <w:p w:rsidR="00290E9C" w:rsidRPr="00AC0E86" w:rsidP="00257FE9" w14:paraId="2C400B82" w14:textId="77777777">
      <w:pPr>
        <w:rPr>
          <w:rFonts w:eastAsia="Calibri"/>
        </w:rPr>
      </w:pPr>
    </w:p>
    <w:p w:rsidR="00357C8A" w:rsidRPr="00AC0E86" w:rsidP="00257FE9" w14:paraId="30063798" w14:textId="77777777">
      <w:pPr>
        <w:numPr>
          <w:ilvl w:val="0"/>
          <w:numId w:val="6"/>
        </w:numPr>
        <w:spacing w:line="276" w:lineRule="auto"/>
        <w:rPr>
          <w:rFonts w:eastAsia="Calibri"/>
        </w:rPr>
      </w:pPr>
      <w:r w:rsidRPr="00AC0E86">
        <w:rPr>
          <w:rFonts w:eastAsia="Calibri"/>
          <w:u w:val="single"/>
        </w:rPr>
        <w:t xml:space="preserve">Estimates of Other Total Annual Costs </w:t>
      </w:r>
      <w:r w:rsidRPr="00AC0E86" w:rsidR="00590E90">
        <w:rPr>
          <w:rFonts w:eastAsia="Calibri"/>
          <w:u w:val="single"/>
        </w:rPr>
        <w:t xml:space="preserve">to Respondents/Recordkeepers or </w:t>
      </w:r>
      <w:r w:rsidRPr="00AC0E86">
        <w:rPr>
          <w:rFonts w:eastAsia="Calibri"/>
          <w:u w:val="single"/>
        </w:rPr>
        <w:t xml:space="preserve">Capital Costs </w:t>
      </w:r>
    </w:p>
    <w:p w:rsidR="00787CF7" w:rsidP="005C56B3" w14:paraId="005971F7" w14:textId="77777777">
      <w:pPr>
        <w:ind w:left="360"/>
      </w:pPr>
    </w:p>
    <w:p w:rsidR="001A2EE2" w:rsidRPr="00AC0E86" w:rsidP="002428A5" w14:paraId="798F92FD" w14:textId="154E8538">
      <w:pPr>
        <w:ind w:left="360"/>
      </w:pPr>
      <w:r w:rsidRPr="00AC0E86">
        <w:t xml:space="preserve">No </w:t>
      </w:r>
      <w:r w:rsidRPr="00AC0E86" w:rsidR="00290E9C">
        <w:t xml:space="preserve">capital, start-up, operating or maintenance costs </w:t>
      </w:r>
      <w:r w:rsidRPr="00AC0E86">
        <w:t xml:space="preserve">are </w:t>
      </w:r>
      <w:r w:rsidRPr="00AC0E86" w:rsidR="00290E9C">
        <w:t>associated with this information collection.</w:t>
      </w:r>
    </w:p>
    <w:p w:rsidR="00EA4010" w:rsidRPr="00AC0E86" w:rsidP="00257FE9" w14:paraId="1406ECC6" w14:textId="77777777"/>
    <w:p w:rsidR="00357C8A" w:rsidRPr="00AC0E86" w:rsidP="00257FE9" w14:paraId="68B61AF4" w14:textId="0275C230">
      <w:pPr>
        <w:numPr>
          <w:ilvl w:val="0"/>
          <w:numId w:val="6"/>
        </w:numPr>
        <w:spacing w:line="276" w:lineRule="auto"/>
        <w:rPr>
          <w:rFonts w:eastAsia="Calibri"/>
          <w:u w:val="single"/>
        </w:rPr>
      </w:pPr>
      <w:r w:rsidRPr="00AC0E86">
        <w:rPr>
          <w:rFonts w:eastAsia="Calibri"/>
          <w:u w:val="single"/>
        </w:rPr>
        <w:t>Annualized Cost to the Federal Government</w:t>
      </w:r>
      <w:r w:rsidR="00787CF7">
        <w:rPr>
          <w:rFonts w:eastAsia="Calibri"/>
          <w:u w:val="single"/>
        </w:rPr>
        <w:t xml:space="preserve"> </w:t>
      </w:r>
    </w:p>
    <w:p w:rsidR="00547B10" w:rsidRPr="00AC0E86" w:rsidP="00257FE9" w14:paraId="11C50B12" w14:textId="77777777">
      <w:pPr>
        <w:rPr>
          <w:rFonts w:eastAsia="Calibri"/>
        </w:rPr>
      </w:pPr>
    </w:p>
    <w:p w:rsidR="00CA4CD8" w:rsidRPr="00AC0E86" w:rsidP="002428A5" w14:paraId="2D34F73B" w14:textId="157F3C9A">
      <w:pPr>
        <w:ind w:left="360"/>
        <w:rPr>
          <w:rFonts w:eastAsia="Calibri"/>
        </w:rPr>
      </w:pPr>
      <w:r w:rsidRPr="00AC0E86">
        <w:rPr>
          <w:rFonts w:eastAsia="Calibri"/>
        </w:rPr>
        <w:t xml:space="preserve">We calculated the annualized cost to the Federal Government by </w:t>
      </w:r>
      <w:r w:rsidRPr="00AC0E86" w:rsidR="00E50C93">
        <w:rPr>
          <w:rFonts w:eastAsia="Calibri"/>
        </w:rPr>
        <w:t>multipl</w:t>
      </w:r>
      <w:r w:rsidRPr="00AC0E86" w:rsidR="00F67F93">
        <w:rPr>
          <w:rFonts w:eastAsia="Calibri"/>
        </w:rPr>
        <w:t xml:space="preserve">ying the total number of </w:t>
      </w:r>
      <w:r w:rsidR="00477DA0">
        <w:rPr>
          <w:rFonts w:eastAsia="Calibri"/>
        </w:rPr>
        <w:t>500</w:t>
      </w:r>
      <w:r w:rsidRPr="00AC0E86" w:rsidR="005D67EC">
        <w:rPr>
          <w:rFonts w:eastAsia="Calibri"/>
        </w:rPr>
        <w:t xml:space="preserve"> </w:t>
      </w:r>
      <w:r w:rsidRPr="00AC0E86" w:rsidR="00F67F93">
        <w:rPr>
          <w:rFonts w:eastAsia="Calibri"/>
        </w:rPr>
        <w:t>responses</w:t>
      </w:r>
      <w:r w:rsidRPr="00AC0E86">
        <w:rPr>
          <w:rFonts w:eastAsia="Calibri"/>
        </w:rPr>
        <w:t xml:space="preserve"> </w:t>
      </w:r>
      <w:r w:rsidRPr="00AC0E86" w:rsidR="00C65C88">
        <w:rPr>
          <w:rFonts w:eastAsia="Calibri"/>
        </w:rPr>
        <w:t xml:space="preserve">by the </w:t>
      </w:r>
      <w:r w:rsidRPr="00AC0E86" w:rsidR="005D67EC">
        <w:rPr>
          <w:rFonts w:eastAsia="Calibri"/>
        </w:rPr>
        <w:t xml:space="preserve">$23.70 </w:t>
      </w:r>
      <w:r w:rsidRPr="00AC0E86" w:rsidR="00C65C88">
        <w:rPr>
          <w:rFonts w:eastAsia="Calibri"/>
        </w:rPr>
        <w:t>cost to process each response</w:t>
      </w:r>
      <w:r w:rsidRPr="00AC0E86">
        <w:rPr>
          <w:rFonts w:eastAsia="Calibri"/>
        </w:rPr>
        <w:t xml:space="preserve">, </w:t>
      </w:r>
      <w:r w:rsidRPr="00AC0E86" w:rsidR="005D67EC">
        <w:rPr>
          <w:rFonts w:eastAsia="Calibri"/>
        </w:rPr>
        <w:t xml:space="preserve">which results in </w:t>
      </w:r>
      <w:r w:rsidRPr="00AC0E86">
        <w:rPr>
          <w:rFonts w:eastAsia="Calibri"/>
        </w:rPr>
        <w:t>a total</w:t>
      </w:r>
      <w:r w:rsidRPr="00AC0E86" w:rsidR="004F6719">
        <w:rPr>
          <w:rFonts w:eastAsia="Calibri"/>
        </w:rPr>
        <w:t xml:space="preserve"> labor</w:t>
      </w:r>
      <w:r w:rsidRPr="00AC0E86">
        <w:rPr>
          <w:rFonts w:eastAsia="Calibri"/>
        </w:rPr>
        <w:t xml:space="preserve"> cost </w:t>
      </w:r>
      <w:r w:rsidRPr="00AC0E86" w:rsidR="004F6719">
        <w:rPr>
          <w:rFonts w:eastAsia="Calibri"/>
        </w:rPr>
        <w:t xml:space="preserve">to the </w:t>
      </w:r>
      <w:r w:rsidRPr="00AC0E86" w:rsidR="005D67EC">
        <w:rPr>
          <w:rFonts w:eastAsia="Calibri"/>
        </w:rPr>
        <w:t xml:space="preserve">Federal </w:t>
      </w:r>
      <w:r w:rsidRPr="00AC0E86" w:rsidR="004F6719">
        <w:rPr>
          <w:rFonts w:eastAsia="Calibri"/>
        </w:rPr>
        <w:t xml:space="preserve">government </w:t>
      </w:r>
      <w:r w:rsidRPr="00AC0E86">
        <w:rPr>
          <w:rFonts w:eastAsia="Calibri"/>
        </w:rPr>
        <w:t>of $</w:t>
      </w:r>
      <w:r w:rsidR="00B37BF4">
        <w:rPr>
          <w:rFonts w:eastAsia="Calibri"/>
        </w:rPr>
        <w:t>11,850</w:t>
      </w:r>
      <w:r w:rsidRPr="00AC0E86">
        <w:rPr>
          <w:rFonts w:eastAsia="Calibri"/>
        </w:rPr>
        <w:t>. We calculated t</w:t>
      </w:r>
      <w:r w:rsidRPr="00AC0E86" w:rsidR="00160749">
        <w:rPr>
          <w:rFonts w:eastAsia="Calibri"/>
        </w:rPr>
        <w:t xml:space="preserve">he cost to process </w:t>
      </w:r>
      <w:r w:rsidRPr="00AC0E86" w:rsidR="00C60782">
        <w:rPr>
          <w:rFonts w:eastAsia="Calibri"/>
        </w:rPr>
        <w:t xml:space="preserve">each response </w:t>
      </w:r>
      <w:r w:rsidRPr="00AC0E86" w:rsidR="00160749">
        <w:rPr>
          <w:rFonts w:eastAsia="Calibri"/>
        </w:rPr>
        <w:t xml:space="preserve">by multiplying the </w:t>
      </w:r>
      <w:r w:rsidRPr="00AC0E86" w:rsidR="005D67EC">
        <w:rPr>
          <w:rFonts w:eastAsia="Calibri"/>
        </w:rPr>
        <w:t xml:space="preserve">$94.80 </w:t>
      </w:r>
      <w:r w:rsidRPr="00AC0E86" w:rsidR="00160749">
        <w:rPr>
          <w:rFonts w:eastAsia="Calibri"/>
        </w:rPr>
        <w:t>hourly wage of worker’s processing the responses by the number of hours needed to process each response</w:t>
      </w:r>
      <w:r w:rsidRPr="00AC0E86">
        <w:rPr>
          <w:rFonts w:eastAsia="Calibri"/>
        </w:rPr>
        <w:t>,</w:t>
      </w:r>
      <w:r w:rsidRPr="00AC0E86" w:rsidR="00160749">
        <w:rPr>
          <w:rFonts w:eastAsia="Calibri"/>
        </w:rPr>
        <w:t xml:space="preserve"> .25</w:t>
      </w:r>
      <w:r w:rsidRPr="00AC0E86" w:rsidR="00C60782">
        <w:rPr>
          <w:rFonts w:eastAsia="Calibri"/>
        </w:rPr>
        <w:t>.</w:t>
      </w:r>
      <w:r w:rsidRPr="00AC0E86" w:rsidR="00160749">
        <w:rPr>
          <w:rFonts w:eastAsia="Calibri"/>
        </w:rPr>
        <w:t xml:space="preserve"> </w:t>
      </w:r>
      <w:r w:rsidRPr="00AC0E86" w:rsidR="004F6719">
        <w:rPr>
          <w:rFonts w:eastAsia="Calibri"/>
        </w:rPr>
        <w:t xml:space="preserve">There are no operational and maintenance costs to the government, so the total annualized cost to the </w:t>
      </w:r>
      <w:r w:rsidRPr="00AC0E86">
        <w:rPr>
          <w:rFonts w:eastAsia="Calibri"/>
        </w:rPr>
        <w:t>F</w:t>
      </w:r>
      <w:r w:rsidRPr="00AC0E86" w:rsidR="004F6719">
        <w:rPr>
          <w:rFonts w:eastAsia="Calibri"/>
        </w:rPr>
        <w:t xml:space="preserve">ederal </w:t>
      </w:r>
      <w:r w:rsidRPr="00AC0E86">
        <w:rPr>
          <w:rFonts w:eastAsia="Calibri"/>
        </w:rPr>
        <w:t>G</w:t>
      </w:r>
      <w:r w:rsidRPr="00AC0E86" w:rsidR="004F6719">
        <w:rPr>
          <w:rFonts w:eastAsia="Calibri"/>
        </w:rPr>
        <w:t>overnment is $</w:t>
      </w:r>
      <w:r w:rsidR="00B37BF4">
        <w:rPr>
          <w:rFonts w:eastAsia="Calibri"/>
        </w:rPr>
        <w:t>11,850</w:t>
      </w:r>
      <w:r w:rsidRPr="00AC0E86" w:rsidR="004F6719">
        <w:rPr>
          <w:rFonts w:eastAsia="Calibri"/>
        </w:rPr>
        <w:t xml:space="preserve">. </w:t>
      </w:r>
    </w:p>
    <w:p w:rsidR="00547B10" w:rsidRPr="00AC0E86" w:rsidP="00257FE9" w14:paraId="41DB5C23" w14:textId="77777777">
      <w:pPr>
        <w:rPr>
          <w:rFonts w:eastAsia="Calibri"/>
          <w:i/>
        </w:rPr>
      </w:pPr>
    </w:p>
    <w:p w:rsidR="00290E9C" w:rsidRPr="00AC0E86" w:rsidP="00E65498" w14:paraId="63FD5E2F" w14:textId="276F6E6C">
      <w:pPr>
        <w:ind w:firstLine="360"/>
        <w:rPr>
          <w:u w:val="single"/>
        </w:rPr>
      </w:pPr>
      <w:r w:rsidRPr="00AC0E86">
        <w:rPr>
          <w:u w:val="single"/>
        </w:rPr>
        <w:t>Labor Cost to the Federal Government (Contract Costs)</w:t>
      </w:r>
    </w:p>
    <w:p w:rsidR="00290E9C" w:rsidRPr="00AC0E86" w:rsidP="00257FE9" w14:paraId="0A13236B" w14:textId="77777777"/>
    <w:p w:rsidR="00290E9C" w:rsidRPr="00AC0E86" w:rsidP="00257FE9" w14:paraId="1B427A65" w14:textId="4D44AD7F">
      <w:pPr>
        <w:ind w:firstLine="720"/>
        <w:rPr>
          <w:rFonts w:eastAsia="Calibri"/>
          <w:szCs w:val="22"/>
        </w:rPr>
      </w:pPr>
      <w:r w:rsidRPr="00AC0E86">
        <w:rPr>
          <w:rFonts w:eastAsia="Calibri"/>
          <w:szCs w:val="22"/>
        </w:rPr>
        <w:t xml:space="preserve">a. Number of Total Annual Responses: </w:t>
      </w:r>
      <w:r w:rsidRPr="00AC0E86">
        <w:rPr>
          <w:rFonts w:eastAsia="Calibri"/>
          <w:szCs w:val="22"/>
        </w:rPr>
        <w:tab/>
      </w:r>
      <w:r w:rsidRPr="00AC0E86">
        <w:rPr>
          <w:rFonts w:eastAsia="Calibri"/>
          <w:szCs w:val="22"/>
        </w:rPr>
        <w:tab/>
      </w:r>
      <w:r w:rsidRPr="00AC0E86">
        <w:rPr>
          <w:rFonts w:eastAsia="Calibri"/>
          <w:szCs w:val="22"/>
        </w:rPr>
        <w:tab/>
      </w:r>
      <w:r w:rsidR="00477DA0">
        <w:rPr>
          <w:rFonts w:eastAsia="Calibri"/>
          <w:szCs w:val="22"/>
        </w:rPr>
        <w:t>500</w:t>
      </w:r>
    </w:p>
    <w:p w:rsidR="00290E9C" w:rsidRPr="00AC0E86" w:rsidP="00257FE9" w14:paraId="605E22D8" w14:textId="77777777">
      <w:pPr>
        <w:ind w:left="720"/>
        <w:rPr>
          <w:rFonts w:eastAsia="Calibri"/>
          <w:szCs w:val="22"/>
        </w:rPr>
      </w:pPr>
      <w:r w:rsidRPr="00AC0E86">
        <w:rPr>
          <w:rFonts w:eastAsia="Calibri"/>
          <w:szCs w:val="22"/>
        </w:rPr>
        <w:t xml:space="preserve">b. Processing Time per Response: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sidR="0097549F">
        <w:rPr>
          <w:rFonts w:eastAsia="Calibri"/>
          <w:szCs w:val="22"/>
        </w:rPr>
        <w:t>.25 hours</w:t>
      </w:r>
    </w:p>
    <w:p w:rsidR="00290E9C" w:rsidRPr="00AC0E86" w:rsidP="00257FE9" w14:paraId="166BB47A" w14:textId="77777777">
      <w:pPr>
        <w:rPr>
          <w:rFonts w:eastAsia="Calibri"/>
          <w:szCs w:val="22"/>
        </w:rPr>
      </w:pPr>
      <w:r w:rsidRPr="00AC0E86">
        <w:rPr>
          <w:rFonts w:eastAsia="Calibri"/>
          <w:szCs w:val="22"/>
        </w:rPr>
        <w:tab/>
        <w:t xml:space="preserve">c. Hourly Wage of Worker(s) Processing Responses: </w:t>
      </w:r>
      <w:r w:rsidRPr="00AC0E86">
        <w:rPr>
          <w:rFonts w:eastAsia="Calibri"/>
          <w:szCs w:val="22"/>
        </w:rPr>
        <w:tab/>
        <w:t>$94.80</w:t>
      </w:r>
    </w:p>
    <w:p w:rsidR="00290E9C" w:rsidRPr="00AC0E86" w:rsidP="00257FE9" w14:paraId="3CF77766" w14:textId="77777777">
      <w:pPr>
        <w:rPr>
          <w:rFonts w:eastAsia="Calibri"/>
          <w:szCs w:val="22"/>
        </w:rPr>
      </w:pPr>
      <w:r w:rsidRPr="00AC0E86">
        <w:rPr>
          <w:rFonts w:eastAsia="Calibri"/>
          <w:szCs w:val="22"/>
        </w:rPr>
        <w:tab/>
        <w:t xml:space="preserve">d. Cost to Process Each Response: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Pr="00AC0E86" w:rsidR="00BC753A">
        <w:rPr>
          <w:rFonts w:eastAsia="Calibri"/>
          <w:szCs w:val="22"/>
        </w:rPr>
        <w:t>23</w:t>
      </w:r>
      <w:r w:rsidRPr="00AC0E86">
        <w:rPr>
          <w:rFonts w:eastAsia="Calibri"/>
          <w:szCs w:val="22"/>
        </w:rPr>
        <w:t>.</w:t>
      </w:r>
      <w:r w:rsidRPr="00AC0E86" w:rsidR="00BC753A">
        <w:rPr>
          <w:rFonts w:eastAsia="Calibri"/>
          <w:szCs w:val="22"/>
        </w:rPr>
        <w:t>7</w:t>
      </w:r>
      <w:r w:rsidRPr="00AC0E86">
        <w:rPr>
          <w:rFonts w:eastAsia="Calibri"/>
          <w:szCs w:val="22"/>
        </w:rPr>
        <w:t>0</w:t>
      </w:r>
      <w:r w:rsidRPr="00AC0E86" w:rsidR="00F67F93">
        <w:rPr>
          <w:rFonts w:eastAsia="Calibri"/>
          <w:szCs w:val="22"/>
        </w:rPr>
        <w:t xml:space="preserve"> </w:t>
      </w:r>
      <w:r w:rsidRPr="00AC0E86" w:rsidR="00C65C88">
        <w:rPr>
          <w:rFonts w:eastAsia="Calibri"/>
          <w:szCs w:val="22"/>
        </w:rPr>
        <w:t>= ($94.80*.25)</w:t>
      </w:r>
    </w:p>
    <w:p w:rsidR="00290E9C" w:rsidRPr="00AC0E86" w:rsidP="00257FE9" w14:paraId="7CAC5E0A" w14:textId="12C5E249">
      <w:pPr>
        <w:ind w:firstLine="720"/>
        <w:rPr>
          <w:rFonts w:eastAsia="Calibri"/>
          <w:szCs w:val="22"/>
        </w:rPr>
      </w:pPr>
      <w:r w:rsidRPr="00AC0E86">
        <w:rPr>
          <w:rFonts w:eastAsia="Calibri"/>
          <w:szCs w:val="22"/>
        </w:rPr>
        <w:t xml:space="preserve">e. Total Cost to Process Responses: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00AE4544">
        <w:rPr>
          <w:rFonts w:eastAsia="Calibri"/>
          <w:szCs w:val="22"/>
        </w:rPr>
        <w:t>11,850</w:t>
      </w:r>
      <w:r w:rsidRPr="00AC0E86" w:rsidR="00C65C88">
        <w:rPr>
          <w:rFonts w:eastAsia="Calibri"/>
          <w:szCs w:val="22"/>
        </w:rPr>
        <w:t xml:space="preserve"> = (</w:t>
      </w:r>
      <w:r w:rsidR="00BD2975">
        <w:rPr>
          <w:rFonts w:eastAsia="Calibri"/>
          <w:szCs w:val="22"/>
        </w:rPr>
        <w:t>500</w:t>
      </w:r>
      <w:r w:rsidRPr="00AC0E86" w:rsidR="00C65C88">
        <w:rPr>
          <w:rFonts w:eastAsia="Calibri"/>
          <w:szCs w:val="22"/>
        </w:rPr>
        <w:t>*</w:t>
      </w:r>
      <w:r w:rsidRPr="00AC0E86" w:rsidR="00C60782">
        <w:rPr>
          <w:rFonts w:eastAsia="Calibri"/>
          <w:szCs w:val="22"/>
        </w:rPr>
        <w:t>$23.70</w:t>
      </w:r>
      <w:r w:rsidRPr="00AC0E86" w:rsidR="00C65C88">
        <w:rPr>
          <w:rFonts w:eastAsia="Calibri"/>
          <w:szCs w:val="22"/>
        </w:rPr>
        <w:t>)</w:t>
      </w:r>
    </w:p>
    <w:p w:rsidR="00290E9C" w:rsidRPr="00AC0E86" w:rsidP="00257FE9" w14:paraId="7BA0AB9A" w14:textId="77777777">
      <w:pPr>
        <w:ind w:firstLine="720"/>
        <w:rPr>
          <w:rFonts w:eastAsia="Calibri"/>
          <w:szCs w:val="22"/>
          <w:u w:val="single"/>
        </w:rPr>
      </w:pPr>
    </w:p>
    <w:p w:rsidR="00290E9C" w:rsidRPr="00AC0E86" w:rsidP="00E65498" w14:paraId="5DE42A74" w14:textId="29E409FD">
      <w:pPr>
        <w:ind w:firstLine="360"/>
        <w:rPr>
          <w:rFonts w:eastAsia="Calibri"/>
          <w:szCs w:val="22"/>
        </w:rPr>
      </w:pPr>
      <w:r w:rsidRPr="00AC0E86">
        <w:rPr>
          <w:rFonts w:eastAsia="Calibri"/>
          <w:szCs w:val="22"/>
          <w:u w:val="single"/>
        </w:rPr>
        <w:t>Overall</w:t>
      </w:r>
      <w:r w:rsidRPr="00AC0E86">
        <w:rPr>
          <w:rFonts w:eastAsia="Calibri"/>
          <w:szCs w:val="22"/>
          <w:u w:val="single"/>
        </w:rPr>
        <w:t xml:space="preserve"> Labor Burden to Federal Government </w:t>
      </w:r>
    </w:p>
    <w:p w:rsidR="00290E9C" w:rsidRPr="00AC0E86" w:rsidP="00257FE9" w14:paraId="153D998E" w14:textId="4C86B381">
      <w:pPr>
        <w:rPr>
          <w:rFonts w:eastAsia="Calibri"/>
          <w:szCs w:val="22"/>
        </w:rPr>
      </w:pPr>
      <w:r w:rsidRPr="00AC0E86">
        <w:rPr>
          <w:rFonts w:eastAsia="Calibri"/>
          <w:szCs w:val="22"/>
        </w:rPr>
        <w:tab/>
        <w:t>a. Total Number of Annual Responses:</w:t>
      </w:r>
      <w:r w:rsidRPr="00AC0E86">
        <w:rPr>
          <w:rFonts w:eastAsia="Calibri"/>
          <w:szCs w:val="22"/>
        </w:rPr>
        <w:tab/>
      </w:r>
      <w:r w:rsidRPr="00AC0E86">
        <w:rPr>
          <w:rFonts w:eastAsia="Calibri"/>
          <w:szCs w:val="22"/>
        </w:rPr>
        <w:tab/>
      </w:r>
      <w:r w:rsidRPr="00AC0E86">
        <w:rPr>
          <w:rFonts w:eastAsia="Calibri"/>
          <w:szCs w:val="22"/>
        </w:rPr>
        <w:tab/>
      </w:r>
      <w:r w:rsidR="00AE4544">
        <w:rPr>
          <w:rFonts w:eastAsia="Calibri"/>
          <w:szCs w:val="22"/>
        </w:rPr>
        <w:t>500</w:t>
      </w:r>
    </w:p>
    <w:p w:rsidR="00290E9C" w:rsidRPr="00AC0E86" w:rsidP="00257FE9" w14:paraId="7738A843" w14:textId="58AF4D31">
      <w:pPr>
        <w:rPr>
          <w:rFonts w:eastAsia="Calibri"/>
          <w:szCs w:val="22"/>
        </w:rPr>
      </w:pPr>
      <w:r w:rsidRPr="00AC0E86">
        <w:rPr>
          <w:rFonts w:eastAsia="Calibri"/>
          <w:szCs w:val="22"/>
        </w:rPr>
        <w:tab/>
        <w:t>b. Total Labor Burden</w:t>
      </w:r>
      <w:r w:rsidRPr="00AC0E86">
        <w:rPr>
          <w:rFonts w:eastAsia="Calibri"/>
          <w:i/>
          <w:szCs w:val="22"/>
        </w:rPr>
        <w:t>:</w:t>
      </w:r>
      <w:r w:rsidRPr="00AC0E86">
        <w:rPr>
          <w:rFonts w:eastAsia="Calibri"/>
          <w:i/>
          <w:szCs w:val="22"/>
        </w:rPr>
        <w:tab/>
      </w:r>
      <w:r w:rsidRPr="00AC0E86">
        <w:rPr>
          <w:rFonts w:eastAsia="Calibri"/>
          <w:i/>
          <w:szCs w:val="22"/>
        </w:rPr>
        <w:tab/>
      </w:r>
      <w:r w:rsidRPr="00AC0E86">
        <w:rPr>
          <w:rFonts w:eastAsia="Calibri"/>
          <w:i/>
          <w:szCs w:val="22"/>
        </w:rPr>
        <w:tab/>
      </w:r>
      <w:r w:rsidRPr="00AC0E86">
        <w:rPr>
          <w:rFonts w:eastAsia="Calibri"/>
          <w:i/>
          <w:szCs w:val="22"/>
        </w:rPr>
        <w:tab/>
      </w:r>
      <w:r w:rsidRPr="00AC0E86">
        <w:rPr>
          <w:rFonts w:eastAsia="Calibri"/>
          <w:i/>
          <w:szCs w:val="22"/>
        </w:rPr>
        <w:tab/>
      </w:r>
      <w:r w:rsidRPr="00AC0E86" w:rsidR="00020740">
        <w:rPr>
          <w:rFonts w:eastAsia="Calibri"/>
          <w:szCs w:val="22"/>
        </w:rPr>
        <w:t>$</w:t>
      </w:r>
      <w:r w:rsidR="00AE4544">
        <w:rPr>
          <w:rFonts w:eastAsia="Calibri"/>
          <w:szCs w:val="22"/>
        </w:rPr>
        <w:t>11,850</w:t>
      </w:r>
      <w:r w:rsidRPr="00AC0E86">
        <w:rPr>
          <w:rFonts w:eastAsia="Calibri"/>
          <w:szCs w:val="22"/>
        </w:rPr>
        <w:tab/>
      </w:r>
      <w:r w:rsidR="00F335F5">
        <w:rPr>
          <w:rFonts w:eastAsia="Calibri"/>
          <w:szCs w:val="22"/>
        </w:rPr>
        <w:t xml:space="preserve"> </w:t>
      </w:r>
    </w:p>
    <w:p w:rsidR="00290E9C" w:rsidRPr="00AC0E86" w:rsidP="00257FE9" w14:paraId="539BFDB6" w14:textId="77777777"/>
    <w:p w:rsidR="00290E9C" w:rsidRPr="00AC0E86" w:rsidP="00E65498" w14:paraId="22611433" w14:textId="005FF67B">
      <w:pPr>
        <w:ind w:firstLine="360"/>
        <w:rPr>
          <w:rFonts w:eastAsia="Calibri"/>
          <w:szCs w:val="22"/>
          <w:u w:val="single"/>
        </w:rPr>
      </w:pPr>
      <w:r w:rsidRPr="00AC0E86">
        <w:rPr>
          <w:rFonts w:eastAsia="Calibri"/>
          <w:szCs w:val="22"/>
          <w:u w:val="single"/>
        </w:rPr>
        <w:t>Operational and Maintenance Costs</w:t>
      </w:r>
      <w:r w:rsidR="00F335F5">
        <w:rPr>
          <w:rFonts w:eastAsia="Calibri"/>
          <w:szCs w:val="22"/>
          <w:u w:val="single"/>
        </w:rPr>
        <w:t xml:space="preserve"> </w:t>
      </w:r>
    </w:p>
    <w:p w:rsidR="00290E9C" w:rsidRPr="00AC0E86" w:rsidP="00E65498" w14:paraId="01509D48" w14:textId="13033196">
      <w:pPr>
        <w:numPr>
          <w:ilvl w:val="0"/>
          <w:numId w:val="9"/>
        </w:numPr>
        <w:spacing w:line="276" w:lineRule="auto"/>
        <w:ind w:left="360" w:firstLine="360"/>
        <w:contextualSpacing/>
        <w:rPr>
          <w:rFonts w:eastAsia="Calibri"/>
          <w:szCs w:val="22"/>
        </w:rPr>
      </w:pPr>
      <w:r w:rsidRPr="00AC0E86">
        <w:rPr>
          <w:rFonts w:eastAsia="Calibri"/>
          <w:szCs w:val="22"/>
        </w:rPr>
        <w:t>Equipment:</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0CAE81D7" w14:textId="7C920E72">
      <w:pPr>
        <w:numPr>
          <w:ilvl w:val="0"/>
          <w:numId w:val="9"/>
        </w:numPr>
        <w:spacing w:line="276" w:lineRule="auto"/>
        <w:ind w:left="360" w:firstLine="360"/>
        <w:contextualSpacing/>
        <w:rPr>
          <w:rFonts w:eastAsia="Calibri"/>
          <w:szCs w:val="22"/>
        </w:rPr>
      </w:pPr>
      <w:r w:rsidRPr="00AC0E86">
        <w:rPr>
          <w:rFonts w:eastAsia="Calibri"/>
          <w:szCs w:val="22"/>
        </w:rPr>
        <w:t xml:space="preserve">Printing: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1DB7CECE" w14:textId="0A412C25">
      <w:pPr>
        <w:numPr>
          <w:ilvl w:val="0"/>
          <w:numId w:val="9"/>
        </w:numPr>
        <w:spacing w:line="276" w:lineRule="auto"/>
        <w:ind w:left="360" w:firstLine="360"/>
        <w:contextualSpacing/>
        <w:rPr>
          <w:rFonts w:eastAsia="Calibri"/>
          <w:szCs w:val="22"/>
        </w:rPr>
      </w:pPr>
      <w:r w:rsidRPr="00AC0E86">
        <w:rPr>
          <w:rFonts w:eastAsia="Calibri"/>
          <w:szCs w:val="22"/>
        </w:rPr>
        <w:t xml:space="preserve">Postage: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2F856E92" w14:textId="01473D52">
      <w:pPr>
        <w:numPr>
          <w:ilvl w:val="0"/>
          <w:numId w:val="9"/>
        </w:numPr>
        <w:spacing w:line="276" w:lineRule="auto"/>
        <w:ind w:left="360" w:firstLine="360"/>
        <w:contextualSpacing/>
        <w:rPr>
          <w:rFonts w:eastAsia="Calibri"/>
          <w:szCs w:val="22"/>
        </w:rPr>
      </w:pPr>
      <w:r w:rsidRPr="00AC0E86">
        <w:rPr>
          <w:rFonts w:eastAsia="Calibri"/>
          <w:szCs w:val="22"/>
        </w:rPr>
        <w:t xml:space="preserve">Software Purchases: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2CEF9BF0" w14:textId="250816E8">
      <w:pPr>
        <w:numPr>
          <w:ilvl w:val="0"/>
          <w:numId w:val="9"/>
        </w:numPr>
        <w:spacing w:line="276" w:lineRule="auto"/>
        <w:ind w:left="360" w:firstLine="360"/>
        <w:contextualSpacing/>
        <w:rPr>
          <w:rFonts w:eastAsia="Calibri"/>
          <w:szCs w:val="22"/>
        </w:rPr>
      </w:pPr>
      <w:r w:rsidRPr="00AC0E86">
        <w:rPr>
          <w:rFonts w:eastAsia="Calibri"/>
          <w:szCs w:val="22"/>
        </w:rPr>
        <w:t xml:space="preserve">Licensing Costs: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E65498" w14:paraId="7F3E0D8E" w14:textId="42638AE3">
      <w:pPr>
        <w:numPr>
          <w:ilvl w:val="0"/>
          <w:numId w:val="9"/>
        </w:numPr>
        <w:spacing w:line="276" w:lineRule="auto"/>
        <w:ind w:left="360" w:firstLine="360"/>
        <w:contextualSpacing/>
        <w:rPr>
          <w:rFonts w:eastAsia="Calibri"/>
          <w:szCs w:val="22"/>
        </w:rPr>
      </w:pPr>
      <w:r w:rsidRPr="00AC0E86">
        <w:rPr>
          <w:rFonts w:eastAsia="Calibri"/>
          <w:szCs w:val="22"/>
        </w:rPr>
        <w:t xml:space="preserve">Other: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E65498" w:rsidP="00525ECF" w14:paraId="1C1EF2A3" w14:textId="05BCEBFC">
      <w:pPr>
        <w:ind w:left="360" w:firstLine="360"/>
        <w:rPr>
          <w:rFonts w:eastAsia="Calibri"/>
          <w:szCs w:val="22"/>
        </w:rPr>
      </w:pPr>
      <w:r w:rsidRPr="00AC0E86">
        <w:rPr>
          <w:rFonts w:eastAsia="Calibri"/>
          <w:szCs w:val="22"/>
        </w:rPr>
        <w:t xml:space="preserve">g. </w:t>
      </w:r>
      <w:r w:rsidRPr="00AC0E86">
        <w:rPr>
          <w:rFonts w:eastAsia="Calibri"/>
          <w:szCs w:val="22"/>
        </w:rPr>
        <w:tab/>
        <w:t xml:space="preserve">Total: </w:t>
      </w:r>
      <w:r w:rsidRPr="00AC0E86">
        <w:rPr>
          <w:rFonts w:eastAsia="Calibri"/>
          <w:szCs w:val="22"/>
        </w:rPr>
        <w:tab/>
      </w:r>
      <w:r w:rsidR="00F335F5">
        <w:rPr>
          <w:rFonts w:eastAsia="Calibri"/>
          <w:szCs w:val="22"/>
        </w:rPr>
        <w:t xml:space="preserve">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$0</w:t>
      </w:r>
    </w:p>
    <w:p w:rsidR="00E65498" w:rsidRPr="00AC0E86" w:rsidP="00257FE9" w14:paraId="762330EB" w14:textId="77777777">
      <w:pPr>
        <w:rPr>
          <w:rFonts w:eastAsia="Calibri"/>
          <w:szCs w:val="22"/>
        </w:rPr>
      </w:pPr>
    </w:p>
    <w:p w:rsidR="00290E9C" w:rsidRPr="00AC0E86" w:rsidP="001B3198" w14:paraId="02931A0E" w14:textId="77777777">
      <w:pPr>
        <w:ind w:firstLine="720"/>
        <w:rPr>
          <w:rFonts w:eastAsia="Calibri"/>
          <w:szCs w:val="22"/>
        </w:rPr>
      </w:pPr>
      <w:r w:rsidRPr="00AC0E86">
        <w:rPr>
          <w:rFonts w:eastAsia="Calibri"/>
          <w:szCs w:val="22"/>
        </w:rPr>
        <w:t xml:space="preserve">1. Total Operational and Maintenance Costs: </w:t>
      </w:r>
      <w:r w:rsidRPr="00AC0E86">
        <w:rPr>
          <w:rFonts w:eastAsia="Calibri"/>
          <w:szCs w:val="22"/>
        </w:rPr>
        <w:tab/>
      </w:r>
      <w:r w:rsidRPr="00AC0E86">
        <w:rPr>
          <w:rFonts w:eastAsia="Calibri"/>
          <w:szCs w:val="22"/>
        </w:rPr>
        <w:tab/>
      </w:r>
      <w:r w:rsidRPr="00AC0E86">
        <w:rPr>
          <w:rFonts w:eastAsia="Calibri"/>
          <w:szCs w:val="22"/>
        </w:rPr>
        <w:tab/>
        <w:t>$0</w:t>
      </w:r>
    </w:p>
    <w:p w:rsidR="00290E9C" w:rsidRPr="00AC0E86" w:rsidP="001B3198" w14:paraId="605B3AE3" w14:textId="58313D39">
      <w:pPr>
        <w:ind w:firstLine="720"/>
        <w:rPr>
          <w:rFonts w:eastAsia="Calibri"/>
          <w:szCs w:val="22"/>
        </w:rPr>
      </w:pPr>
      <w:r w:rsidRPr="00AC0E86">
        <w:rPr>
          <w:rFonts w:eastAsia="Calibri"/>
          <w:szCs w:val="22"/>
        </w:rPr>
        <w:t xml:space="preserve">2. Total Labor Cost to the Federal Government: </w:t>
      </w:r>
      <w:r w:rsidRPr="00AC0E86">
        <w:rPr>
          <w:rFonts w:eastAsia="Calibri"/>
          <w:szCs w:val="22"/>
        </w:rPr>
        <w:tab/>
      </w:r>
      <w:r w:rsidRPr="00AC0E86">
        <w:rPr>
          <w:rFonts w:eastAsia="Calibri"/>
          <w:szCs w:val="22"/>
        </w:rPr>
        <w:tab/>
      </w:r>
      <w:r w:rsidRPr="00AC0E86">
        <w:rPr>
          <w:rFonts w:eastAsia="Calibri"/>
          <w:szCs w:val="22"/>
        </w:rPr>
        <w:tab/>
        <w:t>$</w:t>
      </w:r>
      <w:r w:rsidR="00314BC4">
        <w:rPr>
          <w:rFonts w:eastAsia="Calibri"/>
          <w:szCs w:val="22"/>
        </w:rPr>
        <w:t>11,850</w:t>
      </w:r>
    </w:p>
    <w:p w:rsidR="001A2EE2" w:rsidRPr="00AC0E86" w:rsidP="001B3198" w14:paraId="26EF1253" w14:textId="7406872D">
      <w:pPr>
        <w:ind w:firstLine="720"/>
        <w:rPr>
          <w:rFonts w:eastAsia="Calibri"/>
          <w:szCs w:val="22"/>
        </w:rPr>
      </w:pPr>
      <w:r w:rsidRPr="00AC0E86">
        <w:rPr>
          <w:rFonts w:eastAsia="Calibri"/>
          <w:szCs w:val="22"/>
        </w:rPr>
        <w:t xml:space="preserve">3. Total Cost to the Federal Government: </w:t>
      </w:r>
      <w:r w:rsidRPr="00AC0E86">
        <w:rPr>
          <w:rFonts w:eastAsia="Calibri"/>
          <w:szCs w:val="22"/>
        </w:rPr>
        <w:tab/>
      </w:r>
      <w:r w:rsidRPr="00AC0E86">
        <w:rPr>
          <w:rFonts w:eastAsia="Calibri"/>
          <w:szCs w:val="22"/>
        </w:rPr>
        <w:tab/>
      </w:r>
      <w:r w:rsidRPr="00AC0E86">
        <w:rPr>
          <w:rFonts w:eastAsia="Calibri"/>
          <w:szCs w:val="22"/>
        </w:rPr>
        <w:tab/>
      </w:r>
      <w:r w:rsidRPr="00AC0E86">
        <w:rPr>
          <w:rFonts w:eastAsia="Calibri"/>
          <w:szCs w:val="22"/>
        </w:rPr>
        <w:tab/>
        <w:t>$</w:t>
      </w:r>
      <w:r w:rsidR="00314BC4">
        <w:rPr>
          <w:rFonts w:eastAsia="Calibri"/>
          <w:szCs w:val="22"/>
        </w:rPr>
        <w:t>11,850</w:t>
      </w:r>
    </w:p>
    <w:p w:rsidR="001A2EE2" w:rsidRPr="00AC0E86" w:rsidP="00257FE9" w14:paraId="3C9ECE4C" w14:textId="77777777">
      <w:pPr>
        <w:rPr>
          <w:rFonts w:eastAsia="Calibri"/>
        </w:rPr>
      </w:pPr>
    </w:p>
    <w:p w:rsidR="00357C8A" w:rsidRPr="00AC0E86" w:rsidP="00257FE9" w14:paraId="14A6159E" w14:textId="77777777">
      <w:pPr>
        <w:numPr>
          <w:ilvl w:val="0"/>
          <w:numId w:val="6"/>
        </w:numPr>
        <w:spacing w:line="276" w:lineRule="auto"/>
        <w:rPr>
          <w:rFonts w:eastAsia="Calibri"/>
          <w:u w:val="single"/>
        </w:rPr>
      </w:pPr>
      <w:r w:rsidRPr="00AC0E86">
        <w:rPr>
          <w:rFonts w:eastAsia="Calibri"/>
          <w:u w:val="single"/>
        </w:rPr>
        <w:t>Explanation for Program Changes or Adjustments</w:t>
      </w:r>
    </w:p>
    <w:p w:rsidR="00547B10" w:rsidRPr="00AC0E86" w:rsidP="00257FE9" w14:paraId="5D1FF7B0" w14:textId="77777777"/>
    <w:p w:rsidR="001801AF" w:rsidRPr="00AC0E86" w:rsidP="002428A5" w14:paraId="1253C930" w14:textId="70775A23">
      <w:pPr>
        <w:ind w:left="360"/>
      </w:pPr>
      <w:r>
        <w:t>We revised the survey to improve clarity and simplify the experience for participants.  We made grammatical, stylistic, format, and other editorial changes to the content</w:t>
      </w:r>
      <w:r w:rsidR="00D47E7C">
        <w:t xml:space="preserve">. </w:t>
      </w:r>
      <w:r w:rsidR="006B2697">
        <w:t>To increase response rate and reduce the overall time needed to complete the survey, w</w:t>
      </w:r>
      <w:r w:rsidR="00D47E7C">
        <w:t xml:space="preserve">e also </w:t>
      </w:r>
      <w:r w:rsidR="00C065EF">
        <w:t xml:space="preserve">removed </w:t>
      </w:r>
      <w:r w:rsidR="00C065EF">
        <w:t xml:space="preserve">several questions that </w:t>
      </w:r>
      <w:r w:rsidR="00BE469C">
        <w:t>were deemed to be redundant</w:t>
      </w:r>
      <w:r w:rsidR="00430CE8">
        <w:t xml:space="preserve"> (e.g., asking whether the respondent is the sole respondent and asking whether the outsourcing facility has previously submitted responses to the survey), </w:t>
      </w:r>
      <w:r w:rsidR="00381958">
        <w:t>no longer relevant</w:t>
      </w:r>
      <w:r w:rsidR="00D2006B">
        <w:t xml:space="preserve"> (e.g., questions related to the COVID-19 pandemic and use of the COVID-19 guidance</w:t>
      </w:r>
      <w:r w:rsidR="00C01DA0">
        <w:t xml:space="preserve"> document</w:t>
      </w:r>
      <w:r w:rsidR="00D2006B">
        <w:t>s</w:t>
      </w:r>
      <w:r w:rsidR="00381958">
        <w:t xml:space="preserve"> that have since been withdrawn</w:t>
      </w:r>
      <w:r w:rsidR="00D2006B">
        <w:t xml:space="preserve">), </w:t>
      </w:r>
      <w:r w:rsidR="001226A9">
        <w:t>or can be obtained via other avenues (</w:t>
      </w:r>
      <w:r w:rsidR="00A92FBD">
        <w:t>e.g., participation in Compounding Quality Center of Excellence trainings)</w:t>
      </w:r>
      <w:r>
        <w:t xml:space="preserve">.  In doing so, we reduced the number of questions from 31 to 20.  </w:t>
      </w:r>
      <w:r w:rsidR="00F90FA9">
        <w:t xml:space="preserve">As a result, we </w:t>
      </w:r>
      <w:r>
        <w:t>anticipate a reduction in burden hours to 30 minutes (.50 hour) per survey response from our previous estimate of 1 hour per response.</w:t>
      </w:r>
      <w:r w:rsidR="00A36347">
        <w:t xml:space="preserve"> </w:t>
      </w:r>
      <w:r w:rsidR="00B4346F">
        <w:t xml:space="preserve"> Additionally, we anticipate a decrease in the number of respondents</w:t>
      </w:r>
      <w:r w:rsidR="0006034D">
        <w:t xml:space="preserve"> from 300 to 250 </w:t>
      </w:r>
      <w:r w:rsidR="00B4346F">
        <w:t xml:space="preserve">based on </w:t>
      </w:r>
      <w:r w:rsidR="0030066F">
        <w:t xml:space="preserve">the number of currently registered outsourcing facilities </w:t>
      </w:r>
      <w:r w:rsidR="0006034D">
        <w:t xml:space="preserve">and the intention that </w:t>
      </w:r>
      <w:r w:rsidR="007F062E">
        <w:t>only one respondent complete the survey on behalf of their outsourcing facility.</w:t>
      </w:r>
    </w:p>
    <w:p w:rsidR="005D67EC" w14:paraId="2BE92561" w14:textId="04E41D7A"/>
    <w:p w:rsidR="00357C8A" w:rsidRPr="00AC0E86" w:rsidP="00257FE9" w14:paraId="365CE244" w14:textId="77777777">
      <w:pPr>
        <w:numPr>
          <w:ilvl w:val="0"/>
          <w:numId w:val="6"/>
        </w:numPr>
        <w:spacing w:line="276" w:lineRule="auto"/>
        <w:rPr>
          <w:rFonts w:eastAsia="Calibri"/>
          <w:u w:val="single"/>
        </w:rPr>
      </w:pPr>
      <w:r w:rsidRPr="00AC0E86">
        <w:rPr>
          <w:rFonts w:eastAsia="Calibri"/>
          <w:u w:val="single"/>
        </w:rPr>
        <w:t>Plans for Tabulation and Publication and Project Time Schedule</w:t>
      </w:r>
    </w:p>
    <w:p w:rsidR="00547B10" w:rsidRPr="00AC0E86" w:rsidP="00257FE9" w14:paraId="4CFDB4D3" w14:textId="77777777">
      <w:pPr>
        <w:rPr>
          <w:rFonts w:eastAsia="Calibri"/>
        </w:rPr>
      </w:pPr>
    </w:p>
    <w:p w:rsidR="00A775B0" w:rsidRPr="00AC0E86" w:rsidP="002428A5" w14:paraId="24611050" w14:textId="3349A5DE">
      <w:pPr>
        <w:ind w:left="360"/>
        <w:rPr>
          <w:rFonts w:eastAsia="Calibri"/>
        </w:rPr>
      </w:pPr>
      <w:r w:rsidRPr="00AC0E86">
        <w:rPr>
          <w:rFonts w:eastAsia="Calibri"/>
        </w:rPr>
        <w:t>We may s</w:t>
      </w:r>
      <w:r w:rsidRPr="00AC0E86" w:rsidR="00CE2ADA">
        <w:rPr>
          <w:rFonts w:eastAsia="Calibri"/>
        </w:rPr>
        <w:t>elect information collected as part</w:t>
      </w:r>
      <w:r w:rsidR="00045610">
        <w:rPr>
          <w:rFonts w:eastAsia="Calibri"/>
        </w:rPr>
        <w:t xml:space="preserve"> </w:t>
      </w:r>
      <w:r w:rsidRPr="00AC0E86" w:rsidR="00CE2ADA">
        <w:rPr>
          <w:rFonts w:eastAsia="Calibri"/>
        </w:rPr>
        <w:t>of this survey as part of FDA</w:t>
      </w:r>
      <w:r w:rsidRPr="00AC0E86">
        <w:rPr>
          <w:rFonts w:eastAsia="Calibri"/>
        </w:rPr>
        <w:t>’</w:t>
      </w:r>
      <w:r w:rsidRPr="00AC0E86" w:rsidR="00CE2ADA">
        <w:rPr>
          <w:rFonts w:eastAsia="Calibri"/>
        </w:rPr>
        <w:t xml:space="preserve">s future approaches to communication, education, training, and other engagement with outsourcing facilities to address challenges and support advancement. </w:t>
      </w:r>
      <w:r w:rsidRPr="00AC0E86">
        <w:rPr>
          <w:rFonts w:eastAsia="Calibri"/>
        </w:rPr>
        <w:t>We will combine t</w:t>
      </w:r>
      <w:r w:rsidRPr="00AC0E86" w:rsidR="00CE2ADA">
        <w:rPr>
          <w:rFonts w:eastAsia="Calibri"/>
        </w:rPr>
        <w:t xml:space="preserve">he collection and tabulation of the results with additional research to develop a comprehensive understanding of the outsourcing facility sector, its challenges and opportunities for advancement. </w:t>
      </w:r>
      <w:r w:rsidRPr="00AC0E86" w:rsidR="000F318D">
        <w:rPr>
          <w:rFonts w:eastAsia="Calibri"/>
        </w:rPr>
        <w:t>The c</w:t>
      </w:r>
      <w:r w:rsidRPr="00AC0E86" w:rsidR="004A2DB3">
        <w:rPr>
          <w:rFonts w:eastAsia="Calibri"/>
        </w:rPr>
        <w:t>urrent schedule</w:t>
      </w:r>
      <w:r w:rsidRPr="00AC0E86" w:rsidR="00F57ED4">
        <w:rPr>
          <w:rFonts w:eastAsia="Calibri"/>
        </w:rPr>
        <w:t xml:space="preserve"> for the survey</w:t>
      </w:r>
      <w:r w:rsidRPr="00AC0E86" w:rsidR="00B60372">
        <w:rPr>
          <w:rFonts w:eastAsia="Calibri"/>
        </w:rPr>
        <w:t xml:space="preserve"> (and potential repeat surveys)</w:t>
      </w:r>
      <w:r w:rsidRPr="00AC0E86" w:rsidR="00F57ED4">
        <w:rPr>
          <w:rFonts w:eastAsia="Calibri"/>
        </w:rPr>
        <w:t xml:space="preserve"> </w:t>
      </w:r>
      <w:r w:rsidRPr="00AC0E86" w:rsidR="004A2DB3">
        <w:rPr>
          <w:rFonts w:eastAsia="Calibri"/>
        </w:rPr>
        <w:t>follows</w:t>
      </w:r>
      <w:r w:rsidRPr="00AC0E86" w:rsidR="000949F7">
        <w:rPr>
          <w:rFonts w:eastAsia="Calibri"/>
        </w:rPr>
        <w:t>:</w:t>
      </w:r>
      <w:r w:rsidR="00F335F5">
        <w:rPr>
          <w:rFonts w:eastAsia="Calibri"/>
        </w:rPr>
        <w:t xml:space="preserve"> </w:t>
      </w:r>
    </w:p>
    <w:p w:rsidR="00547B10" w:rsidRPr="00AC0E86" w:rsidP="00257FE9" w14:paraId="351701AE" w14:textId="77777777">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4"/>
        <w:gridCol w:w="2155"/>
        <w:gridCol w:w="2155"/>
      </w:tblGrid>
      <w:tr w14:paraId="4A93EB8D" w14:textId="77777777" w:rsidTr="000D1E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184" w:type="dxa"/>
            <w:shd w:val="clear" w:color="auto" w:fill="auto"/>
          </w:tcPr>
          <w:p w:rsidR="00A74965" w:rsidRPr="00AC0E86" w:rsidP="00257FE9" w14:paraId="3ABB9D16" w14:textId="77777777">
            <w:pPr>
              <w:jc w:val="center"/>
              <w:rPr>
                <w:rFonts w:eastAsia="Calibri"/>
                <w:sz w:val="20"/>
              </w:rPr>
            </w:pPr>
            <w:bookmarkStart w:id="7" w:name="_Hlk29566720"/>
            <w:r w:rsidRPr="00AC0E86">
              <w:rPr>
                <w:rFonts w:eastAsia="Calibri"/>
                <w:sz w:val="20"/>
              </w:rPr>
              <w:t>Activity</w:t>
            </w:r>
          </w:p>
        </w:tc>
        <w:tc>
          <w:tcPr>
            <w:tcW w:w="2155" w:type="dxa"/>
            <w:shd w:val="clear" w:color="auto" w:fill="auto"/>
          </w:tcPr>
          <w:p w:rsidR="00A74965" w:rsidRPr="00AC0E86" w:rsidP="00257FE9" w14:paraId="4A862E88" w14:textId="77777777">
            <w:pPr>
              <w:jc w:val="center"/>
              <w:rPr>
                <w:rFonts w:eastAsia="Calibri"/>
                <w:sz w:val="20"/>
              </w:rPr>
            </w:pPr>
            <w:r w:rsidRPr="00AC0E86">
              <w:rPr>
                <w:rFonts w:eastAsia="Calibri"/>
                <w:sz w:val="20"/>
              </w:rPr>
              <w:t>Estimated Start Date</w:t>
            </w:r>
          </w:p>
        </w:tc>
        <w:tc>
          <w:tcPr>
            <w:tcW w:w="2155" w:type="dxa"/>
            <w:shd w:val="clear" w:color="auto" w:fill="auto"/>
          </w:tcPr>
          <w:p w:rsidR="00A74965" w:rsidRPr="00AC0E86" w:rsidP="00257FE9" w14:paraId="18B3F392" w14:textId="77777777">
            <w:pPr>
              <w:jc w:val="center"/>
              <w:rPr>
                <w:rFonts w:eastAsia="Calibri"/>
                <w:sz w:val="20"/>
              </w:rPr>
            </w:pPr>
            <w:r w:rsidRPr="00AC0E86">
              <w:rPr>
                <w:rFonts w:eastAsia="Calibri"/>
                <w:sz w:val="20"/>
              </w:rPr>
              <w:t>Estimated End Date</w:t>
            </w:r>
          </w:p>
        </w:tc>
      </w:tr>
      <w:tr w14:paraId="1D50AA6E" w14:textId="77777777" w:rsidTr="000D1EB7">
        <w:tblPrEx>
          <w:tblW w:w="0" w:type="auto"/>
          <w:tblLook w:val="04A0"/>
        </w:tblPrEx>
        <w:tc>
          <w:tcPr>
            <w:tcW w:w="5184" w:type="dxa"/>
            <w:shd w:val="clear" w:color="auto" w:fill="auto"/>
          </w:tcPr>
          <w:p w:rsidR="00A74965" w:rsidRPr="00AC0E86" w:rsidP="00257FE9" w14:paraId="27C04CF3" w14:textId="77777777">
            <w:pPr>
              <w:rPr>
                <w:rFonts w:eastAsia="Calibri"/>
                <w:sz w:val="20"/>
              </w:rPr>
            </w:pPr>
            <w:r w:rsidRPr="00AC0E86">
              <w:rPr>
                <w:rFonts w:eastAsia="Calibri"/>
                <w:sz w:val="20"/>
              </w:rPr>
              <w:t>OMB review of PRA package</w:t>
            </w:r>
          </w:p>
        </w:tc>
        <w:tc>
          <w:tcPr>
            <w:tcW w:w="2155" w:type="dxa"/>
            <w:shd w:val="clear" w:color="auto" w:fill="auto"/>
          </w:tcPr>
          <w:p w:rsidR="00A74965" w:rsidRPr="00AC0E86" w:rsidP="00547B10" w14:paraId="1754E01F" w14:textId="7259D655">
            <w:pPr>
              <w:jc w:val="right"/>
              <w:rPr>
                <w:rFonts w:eastAsia="Calibri"/>
                <w:sz w:val="20"/>
              </w:rPr>
            </w:pPr>
            <w:r w:rsidRPr="00AC0E86">
              <w:rPr>
                <w:rFonts w:eastAsia="Calibri"/>
                <w:sz w:val="20"/>
              </w:rPr>
              <w:t>1-</w:t>
            </w:r>
            <w:r w:rsidR="00556B04">
              <w:rPr>
                <w:rFonts w:eastAsia="Calibri"/>
                <w:sz w:val="20"/>
              </w:rPr>
              <w:t>31</w:t>
            </w:r>
            <w:r w:rsidRPr="00AC0E86">
              <w:rPr>
                <w:rFonts w:eastAsia="Calibri"/>
                <w:sz w:val="20"/>
              </w:rPr>
              <w:t>-20</w:t>
            </w:r>
            <w:r w:rsidR="00556B04">
              <w:rPr>
                <w:rFonts w:eastAsia="Calibri"/>
                <w:sz w:val="20"/>
              </w:rPr>
              <w:t>25</w:t>
            </w:r>
          </w:p>
        </w:tc>
        <w:tc>
          <w:tcPr>
            <w:tcW w:w="2155" w:type="dxa"/>
            <w:shd w:val="clear" w:color="auto" w:fill="auto"/>
          </w:tcPr>
          <w:p w:rsidR="00A74965" w:rsidRPr="00AC0E86" w:rsidP="00547B10" w14:paraId="2E26B092" w14:textId="5F22757A">
            <w:pPr>
              <w:jc w:val="right"/>
              <w:rPr>
                <w:rFonts w:eastAsia="Calibri"/>
                <w:sz w:val="20"/>
              </w:rPr>
            </w:pPr>
            <w:r w:rsidRPr="00AC0E86">
              <w:rPr>
                <w:rFonts w:eastAsia="Calibri"/>
                <w:sz w:val="20"/>
              </w:rPr>
              <w:t>3</w:t>
            </w:r>
            <w:r w:rsidRPr="00AC0E86" w:rsidR="00C34154">
              <w:rPr>
                <w:rFonts w:eastAsia="Calibri"/>
                <w:sz w:val="20"/>
              </w:rPr>
              <w:t>-</w:t>
            </w:r>
            <w:r w:rsidR="00444B92">
              <w:rPr>
                <w:rFonts w:eastAsia="Calibri"/>
                <w:sz w:val="20"/>
              </w:rPr>
              <w:t>28</w:t>
            </w:r>
            <w:r w:rsidRPr="00AC0E86" w:rsidR="00C34154">
              <w:rPr>
                <w:rFonts w:eastAsia="Calibri"/>
                <w:sz w:val="20"/>
              </w:rPr>
              <w:t>-20</w:t>
            </w:r>
            <w:r w:rsidR="00444B92">
              <w:rPr>
                <w:rFonts w:eastAsia="Calibri"/>
                <w:sz w:val="20"/>
              </w:rPr>
              <w:t>25</w:t>
            </w:r>
          </w:p>
        </w:tc>
      </w:tr>
      <w:tr w14:paraId="40CB4B2D" w14:textId="77777777" w:rsidTr="000D1EB7">
        <w:tblPrEx>
          <w:tblW w:w="0" w:type="auto"/>
          <w:tblLook w:val="04A0"/>
        </w:tblPrEx>
        <w:tc>
          <w:tcPr>
            <w:tcW w:w="5184" w:type="dxa"/>
            <w:shd w:val="clear" w:color="auto" w:fill="auto"/>
          </w:tcPr>
          <w:p w:rsidR="00A74965" w:rsidRPr="00AC0E86" w:rsidP="00257FE9" w14:paraId="3AA70C30" w14:textId="77777777">
            <w:pPr>
              <w:rPr>
                <w:rFonts w:eastAsia="Calibri"/>
                <w:sz w:val="20"/>
              </w:rPr>
            </w:pPr>
            <w:r w:rsidRPr="00AC0E86">
              <w:rPr>
                <w:rFonts w:eastAsia="Calibri"/>
                <w:sz w:val="20"/>
              </w:rPr>
              <w:t>Issue survey</w:t>
            </w:r>
            <w:r w:rsidRPr="00AC0E86" w:rsidR="00B60372">
              <w:rPr>
                <w:rFonts w:eastAsia="Calibri"/>
                <w:sz w:val="20"/>
              </w:rPr>
              <w:t>(s)</w:t>
            </w:r>
            <w:r w:rsidRPr="00AC0E86">
              <w:rPr>
                <w:rFonts w:eastAsia="Calibri"/>
                <w:sz w:val="20"/>
              </w:rPr>
              <w:t xml:space="preserve"> to registered outsourcing facilities </w:t>
            </w:r>
            <w:r w:rsidRPr="00AC0E86" w:rsidR="00B60372">
              <w:rPr>
                <w:rFonts w:eastAsia="Calibri"/>
                <w:sz w:val="20"/>
              </w:rPr>
              <w:t>and collect results</w:t>
            </w:r>
          </w:p>
        </w:tc>
        <w:tc>
          <w:tcPr>
            <w:tcW w:w="2155" w:type="dxa"/>
            <w:shd w:val="clear" w:color="auto" w:fill="auto"/>
          </w:tcPr>
          <w:p w:rsidR="00A74965" w:rsidRPr="00AC0E86" w:rsidP="00547B10" w14:paraId="358B5931" w14:textId="069D16DE">
            <w:pPr>
              <w:jc w:val="right"/>
              <w:rPr>
                <w:rFonts w:eastAsia="Calibri"/>
                <w:strike/>
                <w:sz w:val="20"/>
              </w:rPr>
            </w:pPr>
            <w:r w:rsidRPr="00AC0E86">
              <w:rPr>
                <w:rFonts w:eastAsia="Calibri"/>
                <w:sz w:val="20"/>
              </w:rPr>
              <w:t>4-01-20</w:t>
            </w:r>
            <w:r w:rsidR="006228C7">
              <w:rPr>
                <w:rFonts w:eastAsia="Calibri"/>
                <w:sz w:val="20"/>
              </w:rPr>
              <w:t>25</w:t>
            </w:r>
          </w:p>
        </w:tc>
        <w:tc>
          <w:tcPr>
            <w:tcW w:w="2155" w:type="dxa"/>
            <w:shd w:val="clear" w:color="auto" w:fill="auto"/>
          </w:tcPr>
          <w:p w:rsidR="00A74965" w:rsidRPr="00AC0E86" w:rsidP="00547B10" w14:paraId="3DE978C7" w14:textId="5F90F92B">
            <w:pPr>
              <w:jc w:val="right"/>
              <w:rPr>
                <w:rFonts w:eastAsia="Calibri"/>
                <w:strike/>
                <w:sz w:val="20"/>
              </w:rPr>
            </w:pPr>
            <w:r w:rsidRPr="00AC0E86">
              <w:rPr>
                <w:rFonts w:eastAsia="Calibri"/>
                <w:sz w:val="20"/>
              </w:rPr>
              <w:t>4-01-20</w:t>
            </w:r>
            <w:r w:rsidR="006228C7">
              <w:rPr>
                <w:rFonts w:eastAsia="Calibri"/>
                <w:sz w:val="20"/>
              </w:rPr>
              <w:t>2</w:t>
            </w:r>
            <w:r w:rsidR="001313B8">
              <w:rPr>
                <w:rFonts w:eastAsia="Calibri"/>
                <w:sz w:val="20"/>
              </w:rPr>
              <w:t>7</w:t>
            </w:r>
          </w:p>
        </w:tc>
      </w:tr>
      <w:bookmarkEnd w:id="7"/>
    </w:tbl>
    <w:p w:rsidR="009973AB" w:rsidRPr="00AC0E86" w:rsidP="00257FE9" w14:paraId="520FD1DE" w14:textId="77777777">
      <w:pPr>
        <w:rPr>
          <w:rFonts w:eastAsia="Calibri"/>
        </w:rPr>
      </w:pPr>
    </w:p>
    <w:p w:rsidR="00357C8A" w:rsidP="002428A5" w14:paraId="43F3074B" w14:textId="5EF89D6C">
      <w:pPr>
        <w:ind w:left="360"/>
        <w:rPr>
          <w:rFonts w:eastAsia="Calibri"/>
        </w:rPr>
      </w:pPr>
      <w:r w:rsidRPr="00AC0E86">
        <w:rPr>
          <w:rFonts w:eastAsia="Calibri"/>
        </w:rPr>
        <w:t xml:space="preserve">Upon completion of the internal FDA report, FDA will decide what portions, if any, should be published and included as part of communication, education, training, and engagement with outsourcing facilities. </w:t>
      </w:r>
    </w:p>
    <w:p w:rsidR="00547B10" w:rsidRPr="00AC0E86" w:rsidP="00257FE9" w14:paraId="02BC100E" w14:textId="77777777">
      <w:pPr>
        <w:rPr>
          <w:rFonts w:eastAsia="Calibri"/>
          <w:sz w:val="20"/>
        </w:rPr>
      </w:pPr>
    </w:p>
    <w:p w:rsidR="00357C8A" w:rsidRPr="00AC0E86" w:rsidP="00257FE9" w14:paraId="5D6B9353" w14:textId="77777777">
      <w:pPr>
        <w:numPr>
          <w:ilvl w:val="0"/>
          <w:numId w:val="6"/>
        </w:numPr>
        <w:spacing w:line="276" w:lineRule="auto"/>
        <w:rPr>
          <w:rFonts w:eastAsia="Calibri"/>
          <w:u w:val="single"/>
        </w:rPr>
      </w:pPr>
      <w:r w:rsidRPr="00AC0E86">
        <w:rPr>
          <w:rFonts w:eastAsia="Calibri"/>
          <w:u w:val="single"/>
        </w:rPr>
        <w:t>Reason(s) Display of OMB Expiration Date is Inappropriate</w:t>
      </w:r>
    </w:p>
    <w:p w:rsidR="00547B10" w:rsidRPr="00AC0E86" w:rsidP="00257FE9" w14:paraId="104E65F6" w14:textId="77777777"/>
    <w:p w:rsidR="001A2EE2" w:rsidRPr="00AC0E86" w:rsidP="002428A5" w14:paraId="02FFB125" w14:textId="03C0A389">
      <w:pPr>
        <w:ind w:firstLine="360"/>
      </w:pPr>
      <w:r w:rsidRPr="00AC0E86">
        <w:t>FDA will display the OMB expiration date as required by 5 CFR 1320.5.</w:t>
      </w:r>
    </w:p>
    <w:p w:rsidR="00EA4010" w:rsidRPr="00AC0E86" w:rsidP="00257FE9" w14:paraId="263B91B0" w14:textId="77777777"/>
    <w:p w:rsidR="00357C8A" w:rsidRPr="00AC0E86" w:rsidP="00257FE9" w14:paraId="5650DE16" w14:textId="77777777">
      <w:pPr>
        <w:numPr>
          <w:ilvl w:val="0"/>
          <w:numId w:val="6"/>
        </w:numPr>
        <w:spacing w:line="276" w:lineRule="auto"/>
        <w:rPr>
          <w:rFonts w:eastAsia="Calibri"/>
          <w:u w:val="single"/>
        </w:rPr>
      </w:pPr>
      <w:r w:rsidRPr="00AC0E86">
        <w:rPr>
          <w:rFonts w:eastAsia="Calibri"/>
          <w:u w:val="single"/>
        </w:rPr>
        <w:t>Exceptions to Certification for Paperwork Reduction Act Submissions</w:t>
      </w:r>
    </w:p>
    <w:p w:rsidR="00547B10" w:rsidRPr="00AC0E86" w:rsidP="00257FE9" w14:paraId="641C0997" w14:textId="77777777">
      <w:pPr>
        <w:rPr>
          <w:rFonts w:eastAsia="Calibri"/>
        </w:rPr>
      </w:pPr>
    </w:p>
    <w:p w:rsidR="00FF1D20" w:rsidRPr="00AC0E86" w:rsidP="002428A5" w14:paraId="7764D7F7" w14:textId="1C68F565">
      <w:pPr>
        <w:ind w:firstLine="360"/>
        <w:rPr>
          <w:rFonts w:eastAsia="Calibri"/>
        </w:rPr>
      </w:pPr>
      <w:r w:rsidRPr="00AC0E86">
        <w:rPr>
          <w:rFonts w:eastAsia="Calibri"/>
        </w:rPr>
        <w:t xml:space="preserve">No </w:t>
      </w:r>
      <w:r w:rsidRPr="00AC0E86" w:rsidR="00CE2ADA">
        <w:rPr>
          <w:rFonts w:eastAsia="Calibri"/>
        </w:rPr>
        <w:t>exceptions to the certification</w:t>
      </w:r>
      <w:r w:rsidRPr="00AC0E86">
        <w:rPr>
          <w:rFonts w:eastAsia="Calibri"/>
        </w:rPr>
        <w:t xml:space="preserve"> are associated with this information collection</w:t>
      </w:r>
      <w:r w:rsidRPr="00AC0E86" w:rsidR="00CE2ADA">
        <w:rPr>
          <w:rFonts w:eastAsia="Calibri"/>
        </w:rPr>
        <w:t>.</w:t>
      </w:r>
      <w:r w:rsidR="00F335F5">
        <w:rPr>
          <w:rFonts w:eastAsia="Calibri"/>
        </w:rPr>
        <w:t xml:space="preserve"> </w:t>
      </w:r>
    </w:p>
    <w:sectPr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E4668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E17C9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1BCD" w14:paraId="39A26D46" w14:textId="77777777">
    <w:pPr>
      <w:pStyle w:val="Footer"/>
      <w:jc w:val="center"/>
    </w:pPr>
    <w:r>
      <w:fldChar w:fldCharType="begin"/>
    </w:r>
    <w:r>
      <w:instrText xml:space="preserve"> PAGE   \* MERGEFORMAT </w:instrText>
    </w:r>
    <w:r>
      <w:fldChar w:fldCharType="separate"/>
    </w:r>
    <w:r w:rsidR="00EA262B">
      <w:rPr>
        <w:noProof/>
      </w:rPr>
      <w:t>1</w:t>
    </w:r>
    <w:r>
      <w:rPr>
        <w:noProof/>
      </w:rPr>
      <w:fldChar w:fldCharType="end"/>
    </w:r>
  </w:p>
  <w:p w:rsidR="00DA1BCD" w14:paraId="2746D8E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603786F"/>
    <w:multiLevelType w:val="hybridMultilevel"/>
    <w:tmpl w:val="0256F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3539BD"/>
    <w:multiLevelType w:val="hybridMultilevel"/>
    <w:tmpl w:val="1CC042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29731256">
    <w:abstractNumId w:val="8"/>
  </w:num>
  <w:num w:numId="2" w16cid:durableId="1481386491">
    <w:abstractNumId w:val="1"/>
  </w:num>
  <w:num w:numId="3" w16cid:durableId="913855533">
    <w:abstractNumId w:val="9"/>
  </w:num>
  <w:num w:numId="4" w16cid:durableId="1183011011">
    <w:abstractNumId w:val="4"/>
  </w:num>
  <w:num w:numId="5" w16cid:durableId="1781145132">
    <w:abstractNumId w:val="10"/>
  </w:num>
  <w:num w:numId="6" w16cid:durableId="2094013567">
    <w:abstractNumId w:val="0"/>
  </w:num>
  <w:num w:numId="7" w16cid:durableId="461770709">
    <w:abstractNumId w:val="2"/>
  </w:num>
  <w:num w:numId="8" w16cid:durableId="2048794137">
    <w:abstractNumId w:val="5"/>
  </w:num>
  <w:num w:numId="9" w16cid:durableId="75320997">
    <w:abstractNumId w:val="6"/>
  </w:num>
  <w:num w:numId="10" w16cid:durableId="404304964">
    <w:abstractNumId w:val="3"/>
  </w:num>
  <w:num w:numId="11" w16cid:durableId="22429634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F7E"/>
    <w:rsid w:val="00001FC6"/>
    <w:rsid w:val="00012F93"/>
    <w:rsid w:val="000136EF"/>
    <w:rsid w:val="00014861"/>
    <w:rsid w:val="00017EA5"/>
    <w:rsid w:val="00020740"/>
    <w:rsid w:val="00024981"/>
    <w:rsid w:val="00031A2C"/>
    <w:rsid w:val="00042B93"/>
    <w:rsid w:val="00043C7F"/>
    <w:rsid w:val="00045610"/>
    <w:rsid w:val="000467A8"/>
    <w:rsid w:val="00051139"/>
    <w:rsid w:val="0005437B"/>
    <w:rsid w:val="0006034D"/>
    <w:rsid w:val="0006488D"/>
    <w:rsid w:val="0006570F"/>
    <w:rsid w:val="00073536"/>
    <w:rsid w:val="00075DE8"/>
    <w:rsid w:val="0008385D"/>
    <w:rsid w:val="00087439"/>
    <w:rsid w:val="000949F7"/>
    <w:rsid w:val="000B7921"/>
    <w:rsid w:val="000C1260"/>
    <w:rsid w:val="000C560C"/>
    <w:rsid w:val="000D080B"/>
    <w:rsid w:val="000D1EB7"/>
    <w:rsid w:val="000D3182"/>
    <w:rsid w:val="000D42DE"/>
    <w:rsid w:val="000D48FD"/>
    <w:rsid w:val="000D6C48"/>
    <w:rsid w:val="000D79CC"/>
    <w:rsid w:val="000E1C64"/>
    <w:rsid w:val="000E28A4"/>
    <w:rsid w:val="000E41B5"/>
    <w:rsid w:val="000E49C9"/>
    <w:rsid w:val="000F318D"/>
    <w:rsid w:val="000F7119"/>
    <w:rsid w:val="00100739"/>
    <w:rsid w:val="0010493E"/>
    <w:rsid w:val="001075D3"/>
    <w:rsid w:val="00107885"/>
    <w:rsid w:val="00110B81"/>
    <w:rsid w:val="00111C34"/>
    <w:rsid w:val="00114FC4"/>
    <w:rsid w:val="00116D6B"/>
    <w:rsid w:val="00121CD9"/>
    <w:rsid w:val="001226A9"/>
    <w:rsid w:val="0012329C"/>
    <w:rsid w:val="001313B8"/>
    <w:rsid w:val="00134FA7"/>
    <w:rsid w:val="00137950"/>
    <w:rsid w:val="00140B52"/>
    <w:rsid w:val="00152F29"/>
    <w:rsid w:val="001554B8"/>
    <w:rsid w:val="00160749"/>
    <w:rsid w:val="00160E01"/>
    <w:rsid w:val="0016278A"/>
    <w:rsid w:val="00167688"/>
    <w:rsid w:val="00172149"/>
    <w:rsid w:val="00172DAF"/>
    <w:rsid w:val="0017444C"/>
    <w:rsid w:val="00174D54"/>
    <w:rsid w:val="00176D40"/>
    <w:rsid w:val="0017702C"/>
    <w:rsid w:val="001801AF"/>
    <w:rsid w:val="001804AD"/>
    <w:rsid w:val="00181B9C"/>
    <w:rsid w:val="00185270"/>
    <w:rsid w:val="00185B93"/>
    <w:rsid w:val="00185CCB"/>
    <w:rsid w:val="00193B14"/>
    <w:rsid w:val="001957E1"/>
    <w:rsid w:val="001A19D8"/>
    <w:rsid w:val="001A2933"/>
    <w:rsid w:val="001A2EE2"/>
    <w:rsid w:val="001A3B5A"/>
    <w:rsid w:val="001B0E7B"/>
    <w:rsid w:val="001B3198"/>
    <w:rsid w:val="001B7CE9"/>
    <w:rsid w:val="001D4616"/>
    <w:rsid w:val="001D495A"/>
    <w:rsid w:val="001D4EC3"/>
    <w:rsid w:val="001D51D4"/>
    <w:rsid w:val="001E244C"/>
    <w:rsid w:val="001E3D36"/>
    <w:rsid w:val="001F1437"/>
    <w:rsid w:val="001F5573"/>
    <w:rsid w:val="001F7D42"/>
    <w:rsid w:val="00201DD7"/>
    <w:rsid w:val="00204C32"/>
    <w:rsid w:val="00206799"/>
    <w:rsid w:val="002074FE"/>
    <w:rsid w:val="002141E0"/>
    <w:rsid w:val="00214D0E"/>
    <w:rsid w:val="00216E5C"/>
    <w:rsid w:val="00220528"/>
    <w:rsid w:val="00220B9B"/>
    <w:rsid w:val="00221523"/>
    <w:rsid w:val="0022425B"/>
    <w:rsid w:val="002259EF"/>
    <w:rsid w:val="002315E0"/>
    <w:rsid w:val="00237CC5"/>
    <w:rsid w:val="002428A5"/>
    <w:rsid w:val="00242ED1"/>
    <w:rsid w:val="002444BB"/>
    <w:rsid w:val="00254069"/>
    <w:rsid w:val="00257FE9"/>
    <w:rsid w:val="00262FF6"/>
    <w:rsid w:val="002672B3"/>
    <w:rsid w:val="00270623"/>
    <w:rsid w:val="00270748"/>
    <w:rsid w:val="00270C95"/>
    <w:rsid w:val="002734E5"/>
    <w:rsid w:val="002746DB"/>
    <w:rsid w:val="0027503A"/>
    <w:rsid w:val="00280CAF"/>
    <w:rsid w:val="00282F09"/>
    <w:rsid w:val="00284BBD"/>
    <w:rsid w:val="002901B4"/>
    <w:rsid w:val="00290E9C"/>
    <w:rsid w:val="00291810"/>
    <w:rsid w:val="00292359"/>
    <w:rsid w:val="00294D62"/>
    <w:rsid w:val="00297532"/>
    <w:rsid w:val="00297FFD"/>
    <w:rsid w:val="002A1210"/>
    <w:rsid w:val="002A47D2"/>
    <w:rsid w:val="002A4995"/>
    <w:rsid w:val="002A7FB5"/>
    <w:rsid w:val="002B2074"/>
    <w:rsid w:val="002B3877"/>
    <w:rsid w:val="002C12A8"/>
    <w:rsid w:val="002C5BBF"/>
    <w:rsid w:val="002C7772"/>
    <w:rsid w:val="002D14D8"/>
    <w:rsid w:val="002D3115"/>
    <w:rsid w:val="002D4799"/>
    <w:rsid w:val="002E0686"/>
    <w:rsid w:val="002E398B"/>
    <w:rsid w:val="002E3FA4"/>
    <w:rsid w:val="002E53A5"/>
    <w:rsid w:val="002E5CE5"/>
    <w:rsid w:val="002E64B8"/>
    <w:rsid w:val="002E6834"/>
    <w:rsid w:val="002E75AE"/>
    <w:rsid w:val="00300633"/>
    <w:rsid w:val="0030066F"/>
    <w:rsid w:val="003113FF"/>
    <w:rsid w:val="00312622"/>
    <w:rsid w:val="00314BBA"/>
    <w:rsid w:val="00314BC4"/>
    <w:rsid w:val="0032277F"/>
    <w:rsid w:val="00335023"/>
    <w:rsid w:val="00336B69"/>
    <w:rsid w:val="0034302B"/>
    <w:rsid w:val="003433FA"/>
    <w:rsid w:val="00350523"/>
    <w:rsid w:val="003507CB"/>
    <w:rsid w:val="0035189D"/>
    <w:rsid w:val="00355B62"/>
    <w:rsid w:val="00357C8A"/>
    <w:rsid w:val="003740BC"/>
    <w:rsid w:val="0037456B"/>
    <w:rsid w:val="00377A46"/>
    <w:rsid w:val="003801A3"/>
    <w:rsid w:val="00381958"/>
    <w:rsid w:val="00382B05"/>
    <w:rsid w:val="00383D90"/>
    <w:rsid w:val="003861B3"/>
    <w:rsid w:val="00386FD8"/>
    <w:rsid w:val="003870AE"/>
    <w:rsid w:val="003A1A27"/>
    <w:rsid w:val="003A2AFF"/>
    <w:rsid w:val="003A2F74"/>
    <w:rsid w:val="003A38DD"/>
    <w:rsid w:val="003A50CC"/>
    <w:rsid w:val="003A62B9"/>
    <w:rsid w:val="003B286A"/>
    <w:rsid w:val="003B42B3"/>
    <w:rsid w:val="003B6384"/>
    <w:rsid w:val="003C0FE2"/>
    <w:rsid w:val="003C27A3"/>
    <w:rsid w:val="003C3D2F"/>
    <w:rsid w:val="003C4EBB"/>
    <w:rsid w:val="003D1531"/>
    <w:rsid w:val="003D6F89"/>
    <w:rsid w:val="003E07A1"/>
    <w:rsid w:val="003E4EC6"/>
    <w:rsid w:val="003E527E"/>
    <w:rsid w:val="003E553E"/>
    <w:rsid w:val="003E7078"/>
    <w:rsid w:val="003F3852"/>
    <w:rsid w:val="003F3DF5"/>
    <w:rsid w:val="003F6E57"/>
    <w:rsid w:val="003F73B8"/>
    <w:rsid w:val="00400ACD"/>
    <w:rsid w:val="0040297E"/>
    <w:rsid w:val="00411D11"/>
    <w:rsid w:val="00414494"/>
    <w:rsid w:val="004155A0"/>
    <w:rsid w:val="00415E23"/>
    <w:rsid w:val="004162BC"/>
    <w:rsid w:val="0041670D"/>
    <w:rsid w:val="004167DB"/>
    <w:rsid w:val="00420490"/>
    <w:rsid w:val="004226DE"/>
    <w:rsid w:val="00423272"/>
    <w:rsid w:val="00424061"/>
    <w:rsid w:val="00430CE8"/>
    <w:rsid w:val="0043129E"/>
    <w:rsid w:val="00432C64"/>
    <w:rsid w:val="00442A3C"/>
    <w:rsid w:val="00443969"/>
    <w:rsid w:val="00444B92"/>
    <w:rsid w:val="00444DF7"/>
    <w:rsid w:val="00447D74"/>
    <w:rsid w:val="00450A74"/>
    <w:rsid w:val="004534F4"/>
    <w:rsid w:val="004546BF"/>
    <w:rsid w:val="0045690B"/>
    <w:rsid w:val="00463387"/>
    <w:rsid w:val="00463755"/>
    <w:rsid w:val="00465350"/>
    <w:rsid w:val="00465618"/>
    <w:rsid w:val="004737EA"/>
    <w:rsid w:val="00476B91"/>
    <w:rsid w:val="00477DA0"/>
    <w:rsid w:val="00480AB2"/>
    <w:rsid w:val="004846BF"/>
    <w:rsid w:val="004854E7"/>
    <w:rsid w:val="00494912"/>
    <w:rsid w:val="00496403"/>
    <w:rsid w:val="004A2DB3"/>
    <w:rsid w:val="004A5323"/>
    <w:rsid w:val="004A5A99"/>
    <w:rsid w:val="004C0531"/>
    <w:rsid w:val="004C22EA"/>
    <w:rsid w:val="004C6979"/>
    <w:rsid w:val="004D13A2"/>
    <w:rsid w:val="004D3E7A"/>
    <w:rsid w:val="004E3A3C"/>
    <w:rsid w:val="004F594B"/>
    <w:rsid w:val="004F61E1"/>
    <w:rsid w:val="004F6719"/>
    <w:rsid w:val="00502103"/>
    <w:rsid w:val="00502257"/>
    <w:rsid w:val="00505D1B"/>
    <w:rsid w:val="00511D5D"/>
    <w:rsid w:val="00512AB7"/>
    <w:rsid w:val="005172AD"/>
    <w:rsid w:val="00525ECF"/>
    <w:rsid w:val="005267C6"/>
    <w:rsid w:val="00532023"/>
    <w:rsid w:val="005336D2"/>
    <w:rsid w:val="005337DE"/>
    <w:rsid w:val="0053380B"/>
    <w:rsid w:val="00543194"/>
    <w:rsid w:val="00544138"/>
    <w:rsid w:val="00547B10"/>
    <w:rsid w:val="00554E34"/>
    <w:rsid w:val="00556B04"/>
    <w:rsid w:val="0056174D"/>
    <w:rsid w:val="00562789"/>
    <w:rsid w:val="005719C6"/>
    <w:rsid w:val="00584583"/>
    <w:rsid w:val="00586930"/>
    <w:rsid w:val="00590E90"/>
    <w:rsid w:val="00590EEB"/>
    <w:rsid w:val="00591926"/>
    <w:rsid w:val="00594449"/>
    <w:rsid w:val="005A0239"/>
    <w:rsid w:val="005A23E0"/>
    <w:rsid w:val="005A4099"/>
    <w:rsid w:val="005A5211"/>
    <w:rsid w:val="005B0CD9"/>
    <w:rsid w:val="005B5890"/>
    <w:rsid w:val="005C3843"/>
    <w:rsid w:val="005C38B2"/>
    <w:rsid w:val="005C5029"/>
    <w:rsid w:val="005C55C2"/>
    <w:rsid w:val="005C56B3"/>
    <w:rsid w:val="005C71CA"/>
    <w:rsid w:val="005C745C"/>
    <w:rsid w:val="005D4DF5"/>
    <w:rsid w:val="005D67EC"/>
    <w:rsid w:val="005E1375"/>
    <w:rsid w:val="005E390B"/>
    <w:rsid w:val="005E42BA"/>
    <w:rsid w:val="005E432A"/>
    <w:rsid w:val="005F3688"/>
    <w:rsid w:val="00602A34"/>
    <w:rsid w:val="006042BE"/>
    <w:rsid w:val="00606D75"/>
    <w:rsid w:val="00611D6B"/>
    <w:rsid w:val="00613B86"/>
    <w:rsid w:val="00614B8A"/>
    <w:rsid w:val="006228C7"/>
    <w:rsid w:val="0062296A"/>
    <w:rsid w:val="006229EB"/>
    <w:rsid w:val="00625A6B"/>
    <w:rsid w:val="00626332"/>
    <w:rsid w:val="00631B60"/>
    <w:rsid w:val="006326EC"/>
    <w:rsid w:val="00642035"/>
    <w:rsid w:val="00646421"/>
    <w:rsid w:val="006501AC"/>
    <w:rsid w:val="0066039A"/>
    <w:rsid w:val="006616AA"/>
    <w:rsid w:val="0066391D"/>
    <w:rsid w:val="00663A42"/>
    <w:rsid w:val="006641C7"/>
    <w:rsid w:val="00666A38"/>
    <w:rsid w:val="006705EA"/>
    <w:rsid w:val="00670BE2"/>
    <w:rsid w:val="00672360"/>
    <w:rsid w:val="006916D9"/>
    <w:rsid w:val="00692B9A"/>
    <w:rsid w:val="006959FB"/>
    <w:rsid w:val="006A0E05"/>
    <w:rsid w:val="006A26C6"/>
    <w:rsid w:val="006A465A"/>
    <w:rsid w:val="006A7D5D"/>
    <w:rsid w:val="006B0BFD"/>
    <w:rsid w:val="006B2697"/>
    <w:rsid w:val="006C2371"/>
    <w:rsid w:val="006D0C12"/>
    <w:rsid w:val="006D5D57"/>
    <w:rsid w:val="006E2538"/>
    <w:rsid w:val="006E302F"/>
    <w:rsid w:val="006E7E16"/>
    <w:rsid w:val="006F4861"/>
    <w:rsid w:val="006F4D6D"/>
    <w:rsid w:val="00705086"/>
    <w:rsid w:val="00712AC6"/>
    <w:rsid w:val="00716A39"/>
    <w:rsid w:val="00722001"/>
    <w:rsid w:val="00731D5E"/>
    <w:rsid w:val="007507F9"/>
    <w:rsid w:val="00751E66"/>
    <w:rsid w:val="00754497"/>
    <w:rsid w:val="00757B5A"/>
    <w:rsid w:val="00761658"/>
    <w:rsid w:val="0076305D"/>
    <w:rsid w:val="00764AD6"/>
    <w:rsid w:val="00767B3C"/>
    <w:rsid w:val="00770334"/>
    <w:rsid w:val="00771CF7"/>
    <w:rsid w:val="00775844"/>
    <w:rsid w:val="00784092"/>
    <w:rsid w:val="00787C39"/>
    <w:rsid w:val="00787CF7"/>
    <w:rsid w:val="00792947"/>
    <w:rsid w:val="00795DF3"/>
    <w:rsid w:val="007A373C"/>
    <w:rsid w:val="007A612F"/>
    <w:rsid w:val="007B225C"/>
    <w:rsid w:val="007C4C91"/>
    <w:rsid w:val="007C75B1"/>
    <w:rsid w:val="007D3DFC"/>
    <w:rsid w:val="007D72F6"/>
    <w:rsid w:val="007D746F"/>
    <w:rsid w:val="007E2F07"/>
    <w:rsid w:val="007E2F09"/>
    <w:rsid w:val="007E3D75"/>
    <w:rsid w:val="007E5008"/>
    <w:rsid w:val="007E59A8"/>
    <w:rsid w:val="007F062E"/>
    <w:rsid w:val="00801790"/>
    <w:rsid w:val="00802316"/>
    <w:rsid w:val="0080776D"/>
    <w:rsid w:val="00810145"/>
    <w:rsid w:val="008108FA"/>
    <w:rsid w:val="00810FF1"/>
    <w:rsid w:val="00814217"/>
    <w:rsid w:val="00822336"/>
    <w:rsid w:val="00823DFA"/>
    <w:rsid w:val="00824729"/>
    <w:rsid w:val="00827AE0"/>
    <w:rsid w:val="00834A1C"/>
    <w:rsid w:val="00842DB7"/>
    <w:rsid w:val="00843752"/>
    <w:rsid w:val="0084479F"/>
    <w:rsid w:val="008476E3"/>
    <w:rsid w:val="008478FD"/>
    <w:rsid w:val="00852AD1"/>
    <w:rsid w:val="00856B0A"/>
    <w:rsid w:val="0085725E"/>
    <w:rsid w:val="00860080"/>
    <w:rsid w:val="00863459"/>
    <w:rsid w:val="008655FA"/>
    <w:rsid w:val="00865D3C"/>
    <w:rsid w:val="00873835"/>
    <w:rsid w:val="00873D4F"/>
    <w:rsid w:val="008742AF"/>
    <w:rsid w:val="0087509F"/>
    <w:rsid w:val="00885B09"/>
    <w:rsid w:val="00892400"/>
    <w:rsid w:val="00895401"/>
    <w:rsid w:val="008A1BB7"/>
    <w:rsid w:val="008A1DE1"/>
    <w:rsid w:val="008A209D"/>
    <w:rsid w:val="008A22BB"/>
    <w:rsid w:val="008A4367"/>
    <w:rsid w:val="008A62D3"/>
    <w:rsid w:val="008B035D"/>
    <w:rsid w:val="008B0E29"/>
    <w:rsid w:val="008B0EFA"/>
    <w:rsid w:val="008B17DD"/>
    <w:rsid w:val="008B30AB"/>
    <w:rsid w:val="008B387B"/>
    <w:rsid w:val="008B444A"/>
    <w:rsid w:val="008C3BB8"/>
    <w:rsid w:val="008C4B65"/>
    <w:rsid w:val="008D065B"/>
    <w:rsid w:val="008D33A2"/>
    <w:rsid w:val="008D5BE6"/>
    <w:rsid w:val="008E0EBF"/>
    <w:rsid w:val="008E0F7A"/>
    <w:rsid w:val="008E140A"/>
    <w:rsid w:val="008E154E"/>
    <w:rsid w:val="008E5F55"/>
    <w:rsid w:val="008F10ED"/>
    <w:rsid w:val="008F25D8"/>
    <w:rsid w:val="009009E7"/>
    <w:rsid w:val="00904C19"/>
    <w:rsid w:val="00905DEF"/>
    <w:rsid w:val="00906056"/>
    <w:rsid w:val="0091221A"/>
    <w:rsid w:val="009122AE"/>
    <w:rsid w:val="00912A15"/>
    <w:rsid w:val="00913B43"/>
    <w:rsid w:val="00930203"/>
    <w:rsid w:val="009311D2"/>
    <w:rsid w:val="009311E6"/>
    <w:rsid w:val="00931275"/>
    <w:rsid w:val="00936AC7"/>
    <w:rsid w:val="009504D3"/>
    <w:rsid w:val="009508BB"/>
    <w:rsid w:val="00951236"/>
    <w:rsid w:val="00953B64"/>
    <w:rsid w:val="009646A7"/>
    <w:rsid w:val="00967944"/>
    <w:rsid w:val="00970A88"/>
    <w:rsid w:val="00974F96"/>
    <w:rsid w:val="0097549F"/>
    <w:rsid w:val="00980B74"/>
    <w:rsid w:val="009818A1"/>
    <w:rsid w:val="009855C9"/>
    <w:rsid w:val="00985DD3"/>
    <w:rsid w:val="00991888"/>
    <w:rsid w:val="00993A39"/>
    <w:rsid w:val="009973AB"/>
    <w:rsid w:val="009A1674"/>
    <w:rsid w:val="009A2675"/>
    <w:rsid w:val="009A5EC2"/>
    <w:rsid w:val="009B38BE"/>
    <w:rsid w:val="009B4DF2"/>
    <w:rsid w:val="009B7E63"/>
    <w:rsid w:val="009C2229"/>
    <w:rsid w:val="009C2566"/>
    <w:rsid w:val="009C27A9"/>
    <w:rsid w:val="009C684F"/>
    <w:rsid w:val="009D074C"/>
    <w:rsid w:val="009D6E73"/>
    <w:rsid w:val="009E21DF"/>
    <w:rsid w:val="009E4477"/>
    <w:rsid w:val="009E5475"/>
    <w:rsid w:val="009F1F1D"/>
    <w:rsid w:val="009F2B4F"/>
    <w:rsid w:val="009F3C63"/>
    <w:rsid w:val="009F404E"/>
    <w:rsid w:val="009F66B5"/>
    <w:rsid w:val="00A02F10"/>
    <w:rsid w:val="00A153E9"/>
    <w:rsid w:val="00A16221"/>
    <w:rsid w:val="00A20647"/>
    <w:rsid w:val="00A20A7D"/>
    <w:rsid w:val="00A300C3"/>
    <w:rsid w:val="00A35D42"/>
    <w:rsid w:val="00A36347"/>
    <w:rsid w:val="00A437D0"/>
    <w:rsid w:val="00A46CCF"/>
    <w:rsid w:val="00A47F81"/>
    <w:rsid w:val="00A506DE"/>
    <w:rsid w:val="00A51081"/>
    <w:rsid w:val="00A53451"/>
    <w:rsid w:val="00A63C83"/>
    <w:rsid w:val="00A65B80"/>
    <w:rsid w:val="00A70426"/>
    <w:rsid w:val="00A707CC"/>
    <w:rsid w:val="00A71410"/>
    <w:rsid w:val="00A74965"/>
    <w:rsid w:val="00A775B0"/>
    <w:rsid w:val="00A777FD"/>
    <w:rsid w:val="00A84114"/>
    <w:rsid w:val="00A9101D"/>
    <w:rsid w:val="00A91E56"/>
    <w:rsid w:val="00A91E9A"/>
    <w:rsid w:val="00A92FBD"/>
    <w:rsid w:val="00A93ED9"/>
    <w:rsid w:val="00A94606"/>
    <w:rsid w:val="00A96221"/>
    <w:rsid w:val="00A979A0"/>
    <w:rsid w:val="00AC0109"/>
    <w:rsid w:val="00AC0E86"/>
    <w:rsid w:val="00AC2DBB"/>
    <w:rsid w:val="00AC6A99"/>
    <w:rsid w:val="00AD02C8"/>
    <w:rsid w:val="00AD428C"/>
    <w:rsid w:val="00AD4E30"/>
    <w:rsid w:val="00AD6048"/>
    <w:rsid w:val="00AE0C4A"/>
    <w:rsid w:val="00AE0D5A"/>
    <w:rsid w:val="00AE3136"/>
    <w:rsid w:val="00AE4544"/>
    <w:rsid w:val="00AF4488"/>
    <w:rsid w:val="00B055EF"/>
    <w:rsid w:val="00B06B5B"/>
    <w:rsid w:val="00B1766C"/>
    <w:rsid w:val="00B21186"/>
    <w:rsid w:val="00B23769"/>
    <w:rsid w:val="00B24ACC"/>
    <w:rsid w:val="00B277E1"/>
    <w:rsid w:val="00B27CCE"/>
    <w:rsid w:val="00B309D2"/>
    <w:rsid w:val="00B32B1C"/>
    <w:rsid w:val="00B37BF4"/>
    <w:rsid w:val="00B41789"/>
    <w:rsid w:val="00B4346F"/>
    <w:rsid w:val="00B458AB"/>
    <w:rsid w:val="00B54FC5"/>
    <w:rsid w:val="00B56724"/>
    <w:rsid w:val="00B60372"/>
    <w:rsid w:val="00B646F4"/>
    <w:rsid w:val="00B64E78"/>
    <w:rsid w:val="00B74F5E"/>
    <w:rsid w:val="00B76948"/>
    <w:rsid w:val="00B81808"/>
    <w:rsid w:val="00B8526C"/>
    <w:rsid w:val="00B86DFA"/>
    <w:rsid w:val="00B936D0"/>
    <w:rsid w:val="00B94459"/>
    <w:rsid w:val="00BA5A02"/>
    <w:rsid w:val="00BA744D"/>
    <w:rsid w:val="00BB15FB"/>
    <w:rsid w:val="00BC149D"/>
    <w:rsid w:val="00BC15BD"/>
    <w:rsid w:val="00BC556D"/>
    <w:rsid w:val="00BC753A"/>
    <w:rsid w:val="00BC7F50"/>
    <w:rsid w:val="00BD10BB"/>
    <w:rsid w:val="00BD2655"/>
    <w:rsid w:val="00BD27D6"/>
    <w:rsid w:val="00BD2975"/>
    <w:rsid w:val="00BD3D5B"/>
    <w:rsid w:val="00BD7524"/>
    <w:rsid w:val="00BE3600"/>
    <w:rsid w:val="00BE469C"/>
    <w:rsid w:val="00BE4BF3"/>
    <w:rsid w:val="00C01DA0"/>
    <w:rsid w:val="00C01F6F"/>
    <w:rsid w:val="00C041EA"/>
    <w:rsid w:val="00C065EF"/>
    <w:rsid w:val="00C1079D"/>
    <w:rsid w:val="00C11D8C"/>
    <w:rsid w:val="00C13BBD"/>
    <w:rsid w:val="00C149AB"/>
    <w:rsid w:val="00C15184"/>
    <w:rsid w:val="00C164BB"/>
    <w:rsid w:val="00C16929"/>
    <w:rsid w:val="00C20690"/>
    <w:rsid w:val="00C252DA"/>
    <w:rsid w:val="00C30BD7"/>
    <w:rsid w:val="00C34154"/>
    <w:rsid w:val="00C36020"/>
    <w:rsid w:val="00C40694"/>
    <w:rsid w:val="00C479BF"/>
    <w:rsid w:val="00C5124B"/>
    <w:rsid w:val="00C53355"/>
    <w:rsid w:val="00C60782"/>
    <w:rsid w:val="00C643ED"/>
    <w:rsid w:val="00C65C88"/>
    <w:rsid w:val="00C677BE"/>
    <w:rsid w:val="00C70542"/>
    <w:rsid w:val="00C75CBF"/>
    <w:rsid w:val="00CA0021"/>
    <w:rsid w:val="00CA1CDC"/>
    <w:rsid w:val="00CA4CD8"/>
    <w:rsid w:val="00CC2894"/>
    <w:rsid w:val="00CC51A7"/>
    <w:rsid w:val="00CC6D86"/>
    <w:rsid w:val="00CD3DF9"/>
    <w:rsid w:val="00CD505A"/>
    <w:rsid w:val="00CD5E99"/>
    <w:rsid w:val="00CD77C3"/>
    <w:rsid w:val="00CE104B"/>
    <w:rsid w:val="00CE112C"/>
    <w:rsid w:val="00CE26F7"/>
    <w:rsid w:val="00CE2ADA"/>
    <w:rsid w:val="00CE51B2"/>
    <w:rsid w:val="00CF55D4"/>
    <w:rsid w:val="00D03AE9"/>
    <w:rsid w:val="00D11B96"/>
    <w:rsid w:val="00D2006B"/>
    <w:rsid w:val="00D3003A"/>
    <w:rsid w:val="00D34604"/>
    <w:rsid w:val="00D41AD7"/>
    <w:rsid w:val="00D41AF5"/>
    <w:rsid w:val="00D46C17"/>
    <w:rsid w:val="00D47E7C"/>
    <w:rsid w:val="00D54320"/>
    <w:rsid w:val="00D608DA"/>
    <w:rsid w:val="00D62DAD"/>
    <w:rsid w:val="00D6312A"/>
    <w:rsid w:val="00D64CF5"/>
    <w:rsid w:val="00D6716E"/>
    <w:rsid w:val="00D6746B"/>
    <w:rsid w:val="00D67CC7"/>
    <w:rsid w:val="00D730BF"/>
    <w:rsid w:val="00D77E4B"/>
    <w:rsid w:val="00D852F4"/>
    <w:rsid w:val="00D86AF2"/>
    <w:rsid w:val="00D922B7"/>
    <w:rsid w:val="00D96BA9"/>
    <w:rsid w:val="00D96FDC"/>
    <w:rsid w:val="00D97286"/>
    <w:rsid w:val="00D97353"/>
    <w:rsid w:val="00DA1BCD"/>
    <w:rsid w:val="00DA1EB6"/>
    <w:rsid w:val="00DA6892"/>
    <w:rsid w:val="00DB0E9E"/>
    <w:rsid w:val="00DB1110"/>
    <w:rsid w:val="00DB3730"/>
    <w:rsid w:val="00DC371B"/>
    <w:rsid w:val="00DC3788"/>
    <w:rsid w:val="00DC76C7"/>
    <w:rsid w:val="00DD09F5"/>
    <w:rsid w:val="00DD0E02"/>
    <w:rsid w:val="00DD4201"/>
    <w:rsid w:val="00DD5E9F"/>
    <w:rsid w:val="00DE2EDB"/>
    <w:rsid w:val="00DE37F3"/>
    <w:rsid w:val="00DE5711"/>
    <w:rsid w:val="00DF2EDA"/>
    <w:rsid w:val="00DF5FFC"/>
    <w:rsid w:val="00E00EA0"/>
    <w:rsid w:val="00E021CB"/>
    <w:rsid w:val="00E03138"/>
    <w:rsid w:val="00E06758"/>
    <w:rsid w:val="00E138F1"/>
    <w:rsid w:val="00E13F46"/>
    <w:rsid w:val="00E21DC8"/>
    <w:rsid w:val="00E221C1"/>
    <w:rsid w:val="00E2309D"/>
    <w:rsid w:val="00E263D8"/>
    <w:rsid w:val="00E26758"/>
    <w:rsid w:val="00E42346"/>
    <w:rsid w:val="00E429E0"/>
    <w:rsid w:val="00E4357B"/>
    <w:rsid w:val="00E443A7"/>
    <w:rsid w:val="00E45904"/>
    <w:rsid w:val="00E47C49"/>
    <w:rsid w:val="00E50C93"/>
    <w:rsid w:val="00E63DE5"/>
    <w:rsid w:val="00E647AF"/>
    <w:rsid w:val="00E647C7"/>
    <w:rsid w:val="00E65498"/>
    <w:rsid w:val="00E65A37"/>
    <w:rsid w:val="00E65EF7"/>
    <w:rsid w:val="00E73568"/>
    <w:rsid w:val="00E74D0D"/>
    <w:rsid w:val="00E76ACB"/>
    <w:rsid w:val="00E77B48"/>
    <w:rsid w:val="00E857FB"/>
    <w:rsid w:val="00E910E5"/>
    <w:rsid w:val="00E91799"/>
    <w:rsid w:val="00E971C4"/>
    <w:rsid w:val="00E97DF8"/>
    <w:rsid w:val="00EA21FE"/>
    <w:rsid w:val="00EA262B"/>
    <w:rsid w:val="00EA29C7"/>
    <w:rsid w:val="00EA34E3"/>
    <w:rsid w:val="00EA4010"/>
    <w:rsid w:val="00EA7516"/>
    <w:rsid w:val="00EB1C7D"/>
    <w:rsid w:val="00EB7538"/>
    <w:rsid w:val="00EC1868"/>
    <w:rsid w:val="00EC2199"/>
    <w:rsid w:val="00ED1F23"/>
    <w:rsid w:val="00ED371D"/>
    <w:rsid w:val="00ED37F0"/>
    <w:rsid w:val="00EE299D"/>
    <w:rsid w:val="00EE58AE"/>
    <w:rsid w:val="00EE6468"/>
    <w:rsid w:val="00EE6A2C"/>
    <w:rsid w:val="00F1299B"/>
    <w:rsid w:val="00F207A4"/>
    <w:rsid w:val="00F23A3C"/>
    <w:rsid w:val="00F25173"/>
    <w:rsid w:val="00F2633F"/>
    <w:rsid w:val="00F335F5"/>
    <w:rsid w:val="00F355AC"/>
    <w:rsid w:val="00F37F6E"/>
    <w:rsid w:val="00F401D3"/>
    <w:rsid w:val="00F40CF7"/>
    <w:rsid w:val="00F44025"/>
    <w:rsid w:val="00F44194"/>
    <w:rsid w:val="00F517C7"/>
    <w:rsid w:val="00F57519"/>
    <w:rsid w:val="00F57ED4"/>
    <w:rsid w:val="00F67F93"/>
    <w:rsid w:val="00F70ED2"/>
    <w:rsid w:val="00F71A5A"/>
    <w:rsid w:val="00F73A1A"/>
    <w:rsid w:val="00F7436F"/>
    <w:rsid w:val="00F769E0"/>
    <w:rsid w:val="00F82ADD"/>
    <w:rsid w:val="00F90FA9"/>
    <w:rsid w:val="00F94877"/>
    <w:rsid w:val="00FA4A46"/>
    <w:rsid w:val="00FA5ABA"/>
    <w:rsid w:val="00FA75FE"/>
    <w:rsid w:val="00FB1032"/>
    <w:rsid w:val="00FB38BB"/>
    <w:rsid w:val="00FB39BC"/>
    <w:rsid w:val="00FB4600"/>
    <w:rsid w:val="00FB4EFB"/>
    <w:rsid w:val="00FB6A53"/>
    <w:rsid w:val="00FC11CA"/>
    <w:rsid w:val="00FC6976"/>
    <w:rsid w:val="00FC6BDE"/>
    <w:rsid w:val="00FD393E"/>
    <w:rsid w:val="00FD51F6"/>
    <w:rsid w:val="00FE3F03"/>
    <w:rsid w:val="00FE61DA"/>
    <w:rsid w:val="00FE6C81"/>
    <w:rsid w:val="00FF1D20"/>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03BEE7"/>
  <w15:chartTrackingRefBased/>
  <w15:docId w15:val="{88D81F68-A339-433C-B628-877B6A9D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AF4488"/>
    <w:rPr>
      <w:sz w:val="16"/>
      <w:szCs w:val="16"/>
    </w:rPr>
  </w:style>
  <w:style w:type="paragraph" w:styleId="CommentText">
    <w:name w:val="annotation text"/>
    <w:basedOn w:val="Normal"/>
    <w:link w:val="CommentTextChar"/>
    <w:rsid w:val="00AF4488"/>
    <w:rPr>
      <w:sz w:val="20"/>
      <w:szCs w:val="20"/>
    </w:rPr>
  </w:style>
  <w:style w:type="character" w:customStyle="1" w:styleId="CommentTextChar">
    <w:name w:val="Comment Text Char"/>
    <w:basedOn w:val="DefaultParagraphFont"/>
    <w:link w:val="CommentText"/>
    <w:rsid w:val="00AF4488"/>
  </w:style>
  <w:style w:type="paragraph" w:styleId="CommentSubject">
    <w:name w:val="annotation subject"/>
    <w:basedOn w:val="CommentText"/>
    <w:next w:val="CommentText"/>
    <w:link w:val="CommentSubjectChar"/>
    <w:rsid w:val="00AF4488"/>
    <w:rPr>
      <w:b/>
      <w:bCs/>
    </w:rPr>
  </w:style>
  <w:style w:type="character" w:customStyle="1" w:styleId="CommentSubjectChar">
    <w:name w:val="Comment Subject Char"/>
    <w:link w:val="CommentSubject"/>
    <w:rsid w:val="00AF4488"/>
    <w:rPr>
      <w:b/>
      <w:bCs/>
    </w:rPr>
  </w:style>
  <w:style w:type="character" w:customStyle="1" w:styleId="FooterChar">
    <w:name w:val="Footer Char"/>
    <w:link w:val="Footer"/>
    <w:uiPriority w:val="99"/>
    <w:rsid w:val="00DA1BCD"/>
    <w:rPr>
      <w:sz w:val="24"/>
      <w:szCs w:val="24"/>
    </w:rPr>
  </w:style>
  <w:style w:type="paragraph" w:styleId="Revision">
    <w:name w:val="Revision"/>
    <w:hidden/>
    <w:uiPriority w:val="99"/>
    <w:semiHidden/>
    <w:rsid w:val="009E5475"/>
    <w:rPr>
      <w:sz w:val="24"/>
      <w:szCs w:val="24"/>
    </w:rPr>
  </w:style>
  <w:style w:type="paragraph" w:styleId="NoSpacing">
    <w:name w:val="No Spacing"/>
    <w:uiPriority w:val="1"/>
    <w:qFormat/>
    <w:rsid w:val="00FD51F6"/>
    <w:rPr>
      <w:sz w:val="24"/>
      <w:szCs w:val="24"/>
    </w:rPr>
  </w:style>
  <w:style w:type="paragraph" w:styleId="FootnoteText">
    <w:name w:val="footnote text"/>
    <w:basedOn w:val="Normal"/>
    <w:link w:val="FootnoteTextChar"/>
    <w:rsid w:val="0027503A"/>
    <w:rPr>
      <w:sz w:val="20"/>
      <w:szCs w:val="20"/>
    </w:rPr>
  </w:style>
  <w:style w:type="character" w:customStyle="1" w:styleId="FootnoteTextChar">
    <w:name w:val="Footnote Text Char"/>
    <w:basedOn w:val="DefaultParagraphFont"/>
    <w:link w:val="FootnoteText"/>
    <w:rsid w:val="0027503A"/>
  </w:style>
  <w:style w:type="character" w:styleId="FootnoteReference">
    <w:name w:val="footnote reference"/>
    <w:basedOn w:val="DefaultParagraphFont"/>
    <w:rsid w:val="002750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drugs/news-events-human-drugs/compounding-quality-center-excellence-annual-conference-09062022" TargetMode="External" /><Relationship Id="rId6" Type="http://schemas.openxmlformats.org/officeDocument/2006/relationships/hyperlink" Target="https://www.bls.gov/ooh/management/medical-and-health-services-managers.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4F3FC-9D65-4FB9-B559-380EEC51D8C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2760</Words>
  <Characters>16757</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3</cp:revision>
  <cp:lastPrinted>2019-07-03T16:25:00Z</cp:lastPrinted>
  <dcterms:created xsi:type="dcterms:W3CDTF">2026-02-27T18:18:00Z</dcterms:created>
  <dcterms:modified xsi:type="dcterms:W3CDTF">2026-02-27T18:18:00Z</dcterms:modified>
</cp:coreProperties>
</file>