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0473F" w:rsidP="00CB630A" w14:paraId="729C4B25" w14:textId="77777777">
      <w:pPr>
        <w:tabs>
          <w:tab w:val="left" w:pos="3876"/>
        </w:tabs>
        <w:jc w:val="center"/>
        <w:rPr>
          <w:rFonts w:eastAsia="Calibri"/>
        </w:rPr>
      </w:pPr>
    </w:p>
    <w:p w:rsidR="00357C8A" w:rsidP="00CB630A" w14:paraId="70FBB151" w14:textId="77777777">
      <w:pPr>
        <w:tabs>
          <w:tab w:val="left" w:pos="3876"/>
        </w:tabs>
        <w:jc w:val="center"/>
        <w:rPr>
          <w:rFonts w:eastAsia="Calibri"/>
        </w:rPr>
      </w:pPr>
      <w:r w:rsidRPr="00357C8A">
        <w:rPr>
          <w:rFonts w:eastAsia="Calibri"/>
        </w:rPr>
        <w:t>United States Food and Drug Administration</w:t>
      </w:r>
    </w:p>
    <w:p w:rsidR="00357C8A" w:rsidP="00357C8A" w14:paraId="02CE5968" w14:textId="77777777">
      <w:pPr>
        <w:jc w:val="center"/>
        <w:rPr>
          <w:rFonts w:eastAsia="Calibri"/>
        </w:rPr>
      </w:pPr>
    </w:p>
    <w:p w:rsidR="00A97E5E" w:rsidRPr="00A97E5E" w:rsidP="00A97E5E" w14:paraId="41488A54" w14:textId="77777777">
      <w:pPr>
        <w:jc w:val="center"/>
        <w:rPr>
          <w:rFonts w:eastAsia="Calibri"/>
          <w:b/>
          <w:bCs/>
        </w:rPr>
      </w:pPr>
      <w:r w:rsidRPr="00A97E5E">
        <w:rPr>
          <w:rFonts w:eastAsia="Calibri"/>
          <w:b/>
          <w:bCs/>
        </w:rPr>
        <w:t>Investigational Device Exemptions (IDEs</w:t>
      </w:r>
      <w:r>
        <w:rPr>
          <w:rFonts w:eastAsia="Calibri"/>
          <w:b/>
          <w:bCs/>
        </w:rPr>
        <w:t>)</w:t>
      </w:r>
    </w:p>
    <w:p w:rsidR="00357C8A" w:rsidP="00357C8A" w14:paraId="16EF7E0E" w14:textId="77777777">
      <w:pPr>
        <w:jc w:val="center"/>
        <w:rPr>
          <w:rFonts w:eastAsia="Calibri"/>
        </w:rPr>
      </w:pPr>
    </w:p>
    <w:p w:rsidR="00357C8A" w:rsidP="00357C8A" w14:paraId="7CC398C7" w14:textId="77777777">
      <w:pPr>
        <w:jc w:val="center"/>
        <w:rPr>
          <w:rFonts w:eastAsia="Calibri"/>
        </w:rPr>
      </w:pPr>
      <w:r w:rsidRPr="00357C8A">
        <w:rPr>
          <w:rFonts w:eastAsia="Calibri"/>
        </w:rPr>
        <w:t>OMB Control No. 0910-</w:t>
      </w:r>
      <w:r w:rsidR="00A97E5E">
        <w:rPr>
          <w:rFonts w:eastAsia="Calibri"/>
        </w:rPr>
        <w:t>0078</w:t>
      </w:r>
      <w:r w:rsidR="00727CDF">
        <w:rPr>
          <w:rFonts w:eastAsia="Calibri"/>
        </w:rPr>
        <w:t xml:space="preserve"> --EXTENSION</w:t>
      </w:r>
    </w:p>
    <w:p w:rsidR="00357C8A" w:rsidP="00357C8A" w14:paraId="76C9053F" w14:textId="77777777">
      <w:pPr>
        <w:jc w:val="center"/>
        <w:rPr>
          <w:rFonts w:eastAsia="Calibri"/>
        </w:rPr>
      </w:pPr>
    </w:p>
    <w:p w:rsidR="00357C8A" w:rsidP="00357C8A" w14:paraId="18DB44F0" w14:textId="77777777">
      <w:pPr>
        <w:jc w:val="center"/>
        <w:rPr>
          <w:rFonts w:eastAsia="Calibri"/>
        </w:rPr>
      </w:pPr>
      <w:r w:rsidRPr="00357C8A">
        <w:rPr>
          <w:rFonts w:eastAsia="Calibri"/>
        </w:rPr>
        <w:t>SUPPORTING STATEMENT</w:t>
      </w:r>
    </w:p>
    <w:p w:rsidR="009B4DF2" w:rsidP="00357C8A" w14:paraId="2EF07930" w14:textId="77777777">
      <w:pPr>
        <w:jc w:val="center"/>
        <w:rPr>
          <w:rFonts w:eastAsia="Calibri"/>
        </w:rPr>
      </w:pPr>
    </w:p>
    <w:p w:rsidR="00C71649" w:rsidP="009B4DF2" w14:paraId="5A6603A6" w14:textId="77777777"/>
    <w:p w:rsidR="00357C8A" w:rsidP="000D79CC" w14:paraId="16A6CFA6" w14:textId="77777777">
      <w:pPr>
        <w:rPr>
          <w:rFonts w:eastAsia="Calibri"/>
        </w:rPr>
      </w:pPr>
      <w:r w:rsidRPr="00357C8A">
        <w:rPr>
          <w:rFonts w:eastAsia="Calibri"/>
          <w:b/>
        </w:rPr>
        <w:t>Part A:  Justification</w:t>
      </w:r>
      <w:r w:rsidRPr="00357C8A">
        <w:rPr>
          <w:rFonts w:eastAsia="Calibri"/>
        </w:rPr>
        <w:t>:</w:t>
      </w:r>
    </w:p>
    <w:p w:rsidR="000D79CC" w:rsidRPr="00357C8A" w:rsidP="000D79CC" w14:paraId="1878CCB4" w14:textId="77777777">
      <w:pPr>
        <w:rPr>
          <w:rFonts w:eastAsia="Calibri"/>
        </w:rPr>
      </w:pPr>
    </w:p>
    <w:p w:rsidR="00357C8A" w:rsidRPr="00357C8A" w:rsidP="006705EA" w14:paraId="6D51CE1C"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A97E5E" w:rsidP="00A97E5E" w14:paraId="765CF544" w14:textId="77777777">
      <w:r>
        <w:t xml:space="preserve">This information collection supports Food and Drug Administration (FDA, the agency, us or we) implementation of statutory and regulatory requirements that govern investigational device exemptions (IDEs).  As we communicate on our website at </w:t>
      </w:r>
      <w:hyperlink r:id="rId9" w:history="1">
        <w:r w:rsidRPr="009A354E">
          <w:rPr>
            <w:rStyle w:val="Hyperlink"/>
          </w:rPr>
          <w:t>Investigational Device Exemption</w:t>
        </w:r>
      </w:hyperlink>
      <w:r>
        <w:t>, a</w:t>
      </w:r>
      <w:r w:rsidRPr="009A354E">
        <w:t xml:space="preserve">n </w:t>
      </w:r>
      <w:r>
        <w:t xml:space="preserve">IDE </w:t>
      </w:r>
      <w:r w:rsidRPr="009A354E">
        <w:t xml:space="preserve">allows </w:t>
      </w:r>
      <w:r>
        <w:t xml:space="preserve">an </w:t>
      </w:r>
      <w:r w:rsidRPr="009A354E">
        <w:t>investigational device to be used in a clinical study in order to collect safety and effectiveness data.</w:t>
      </w:r>
      <w:r>
        <w:t xml:space="preserve">  </w:t>
      </w:r>
      <w:r w:rsidRPr="009A354E">
        <w:t xml:space="preserve">Clinical studies are most often conducted to support a </w:t>
      </w:r>
      <w:r>
        <w:t>premarket approval application (</w:t>
      </w:r>
      <w:r w:rsidRPr="009A354E">
        <w:t>PMA</w:t>
      </w:r>
      <w:r>
        <w:t>)</w:t>
      </w:r>
      <w:r w:rsidRPr="009A354E">
        <w:t>.</w:t>
      </w:r>
      <w:r>
        <w:t xml:space="preserve">  </w:t>
      </w:r>
      <w:r w:rsidRPr="009A354E">
        <w:t xml:space="preserve">Only a small percentage of </w:t>
      </w:r>
      <w:r>
        <w:t>premarket notification submissions (</w:t>
      </w:r>
      <w:r w:rsidRPr="009A354E">
        <w:t>510(k)s</w:t>
      </w:r>
      <w:r>
        <w:t>)</w:t>
      </w:r>
      <w:r w:rsidRPr="009A354E">
        <w:t xml:space="preserve"> require clinical data to support </w:t>
      </w:r>
      <w:r>
        <w:t xml:space="preserve">an </w:t>
      </w:r>
      <w:r w:rsidRPr="009A354E">
        <w:t>application.</w:t>
      </w:r>
      <w:r>
        <w:t xml:space="preserve">  </w:t>
      </w:r>
      <w:r w:rsidRPr="009A354E">
        <w:t>Investigational use also includes clinical evaluation of certain modifications or new intended uses of legally marketed devices.</w:t>
      </w:r>
      <w:r>
        <w:t xml:space="preserve">  </w:t>
      </w:r>
      <w:r w:rsidRPr="009A354E">
        <w:t>All clinical evaluations of investigational devices, unless exempt, must have an approved IDE before</w:t>
      </w:r>
      <w:r>
        <w:t xml:space="preserve"> a</w:t>
      </w:r>
      <w:r w:rsidRPr="009A354E">
        <w:t xml:space="preserve"> study is initiated.</w:t>
      </w:r>
      <w:r>
        <w:t xml:space="preserve">  (Information collection associated with PMA and 510(k) submissions is approved in OMB control nos. 0910-0231 and 0910-0375, respectively.)  </w:t>
      </w:r>
      <w:r w:rsidRPr="009A354E">
        <w:t>An approved IDE permits a device to be shipped lawfully for the purpose of conducting investigations of the device without complying with other requirements of the Food, Drug, and Cosmetic Act (FD&amp;C Act) that would apply to devices in commercial distribution.</w:t>
      </w:r>
      <w:r>
        <w:t xml:space="preserve">  </w:t>
      </w:r>
      <w:r w:rsidRPr="009A354E">
        <w:t>Sponsors need not submit a PMA or Premarket Notification 510(k), register their establishment, or list the device while the device is under investigation.</w:t>
      </w:r>
      <w:r>
        <w:t xml:space="preserve">  </w:t>
      </w:r>
      <w:r w:rsidRPr="009A354E">
        <w:t xml:space="preserve">Sponsors of IDE's are also exempt from the Quality System (QS) Regulation </w:t>
      </w:r>
      <w:r>
        <w:t xml:space="preserve">(21 CFR part 820) </w:t>
      </w:r>
      <w:r w:rsidRPr="009A354E">
        <w:t>except for the requirements for design controls (21 CFR 820.30).</w:t>
      </w:r>
      <w:r>
        <w:t xml:space="preserve">  </w:t>
      </w:r>
    </w:p>
    <w:p w:rsidR="00A97E5E" w:rsidP="00A97E5E" w14:paraId="673A1D86" w14:textId="77777777"/>
    <w:p w:rsidR="00A97E5E" w:rsidP="00A97E5E" w14:paraId="3B8B8635" w14:textId="77777777">
      <w:r>
        <w:t xml:space="preserve">Applicable regulations in 21 CFR part 812 set forth general provisions (subpart A; 812.1 through 812.19) for labeling, waivers, import and export requirements, and IDE correspondence.  The regulations also provide for the format and content of IDE applications and explain FDA action on submissions (subpart B; 21 CFR 812.20 through 812.38).  We provide resources to respondents in this regard, and maintain a web-based application page at </w:t>
      </w:r>
      <w:hyperlink r:id="rId10" w:history="1">
        <w:r w:rsidRPr="003B46DF">
          <w:rPr>
            <w:rStyle w:val="Hyperlink"/>
          </w:rPr>
          <w:t>IDE Application</w:t>
        </w:r>
      </w:hyperlink>
      <w:r>
        <w:t xml:space="preserve">.  </w:t>
      </w:r>
      <w:r w:rsidRPr="009F1FD4">
        <w:t>There are no preprinted forms for an IDE application; however, an IDE application must include certain required information.</w:t>
      </w:r>
      <w:r>
        <w:t xml:space="preserve">  S</w:t>
      </w:r>
      <w:r w:rsidRPr="009F1FD4">
        <w:t>ponsor</w:t>
      </w:r>
      <w:r>
        <w:t>s</w:t>
      </w:r>
      <w:r w:rsidRPr="009F1FD4">
        <w:t xml:space="preserve"> must demonstrate there is reason to believe that the risks to human subjects from the proposed investigation are outweighed by the anticipated benefits to subjects and the importance of the knowledge to be gained, that the investigation is scientifically sound, and that there is reason to believe that the device as proposed for use will be effective.</w:t>
      </w:r>
      <w:r>
        <w:t xml:space="preserve">  Responsibilities of IDE sponsors, including the selection of investigators and monitoring of investigations are also covered in the regulations (subpart C; 21 CFR 812.40 through 812.47), along with Institutional Review Board (IRB) duties, functions, and continuing review (subpart D; 21 CFR 812.60 through 812.66).  Both general and specific responsibilities of investigators are prescribed in subpart E of the regulations (21 CFR 812.100, 812.110), in addition to FDA disqualification of an investigator (21 CFR 812.119).  Finally, regulations in subpart G (21 CFR 812.140 through 812.150) provide for associated recordkeeping and reporting by respondents.</w:t>
      </w:r>
    </w:p>
    <w:p w:rsidR="00A97E5E" w:rsidP="00A97E5E" w14:paraId="72A861A3" w14:textId="77777777"/>
    <w:p w:rsidR="00A97E5E" w:rsidP="00A97E5E" w14:paraId="40B6A7DF" w14:textId="77777777">
      <w:bookmarkStart w:id="0" w:name="_Hlk126650124"/>
      <w:r>
        <w:t>The information collection also includes recommended recordkeeping discussed in the document, “</w:t>
      </w:r>
      <w:r w:rsidRPr="00B7257F">
        <w:rPr>
          <w:i/>
          <w:iCs/>
        </w:rPr>
        <w:t>Guidance on Informed Consent for In Vitro Diagnostic Device Studies Using Leftover Human Specimens that are Not Individually Identifiable</w:t>
      </w:r>
      <w:r>
        <w:t xml:space="preserve">” (April 2006), available for download at </w:t>
      </w:r>
      <w:hyperlink r:id="rId11" w:history="1">
        <w:r w:rsidRPr="00156D17">
          <w:rPr>
            <w:rStyle w:val="Hyperlink"/>
          </w:rPr>
          <w:t>GFI IVD Leftover Specimens April 2006</w:t>
        </w:r>
      </w:hyperlink>
      <w:r>
        <w:t>, and previously approved under OMB control no. 0910-0582.</w:t>
      </w:r>
      <w:bookmarkEnd w:id="0"/>
      <w:r>
        <w:t xml:space="preserve">  The guidance document explains that FDA </w:t>
      </w:r>
      <w:r w:rsidRPr="00A85566">
        <w:t>does not intend to object to the use, without informed consent, of leftover human specimens -- remnants of specimens collected for routine clinical care or analysis that would otherwise have been discarded -- in investigations that meet the criteria for exemption</w:t>
      </w:r>
      <w:r>
        <w:t xml:space="preserve"> in</w:t>
      </w:r>
      <w:r w:rsidRPr="00A85566">
        <w:t xml:space="preserve"> 21 CFR 812.2(c)(3), as long as subject privacy is protected by using only specimens that are not individually identifiable.</w:t>
      </w:r>
      <w:r>
        <w:t xml:space="preserve">  The guidance document was developed and issued in accordance with our Good Guidance Practice regulations (21 CFR 10.115), which provide for public comment at any time.</w:t>
      </w:r>
    </w:p>
    <w:p w:rsidR="00A97E5E" w:rsidP="00A97E5E" w14:paraId="3A52E104" w14:textId="77777777"/>
    <w:p w:rsidR="00A97E5E" w:rsidP="00A97E5E" w14:paraId="188F297A" w14:textId="77777777">
      <w:r>
        <w:t>We are therefore requesting OMB approval for the information collection provisions set forth in 21 CFR part 812 and the associated guidance regarding IVD studies, as discussed in this supporting statement.</w:t>
      </w:r>
    </w:p>
    <w:p w:rsidR="00A97E5E" w:rsidP="00A97E5E" w14:paraId="4736EAB0" w14:textId="77777777"/>
    <w:p w:rsidR="00357C8A" w:rsidRPr="00357C8A" w:rsidP="006705EA" w14:paraId="20D632B6"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A97E5E" w:rsidP="00A97E5E" w14:paraId="5464429D" w14:textId="77777777">
      <w:r w:rsidRPr="004F73B3">
        <w:t xml:space="preserve">The purpose of </w:t>
      </w:r>
      <w:r>
        <w:t>the regulations, the attendant information, and FDA’s IDE program i</w:t>
      </w:r>
      <w:r w:rsidRPr="004F73B3">
        <w:t>s to encourage the discovery and development of useful devices intended for human use</w:t>
      </w:r>
      <w:r>
        <w:t xml:space="preserve">, while at the same time ensuring </w:t>
      </w:r>
      <w:r w:rsidRPr="003E3617">
        <w:t xml:space="preserve">the protection of public health and safety and </w:t>
      </w:r>
      <w:r>
        <w:t xml:space="preserve">adherence to </w:t>
      </w:r>
      <w:r w:rsidRPr="003E3617">
        <w:t>ethical standards</w:t>
      </w:r>
      <w:r>
        <w:t xml:space="preserve">.  </w:t>
      </w:r>
      <w:r w:rsidRPr="004958FE">
        <w:t xml:space="preserve">Respondents include private sector businesses and government agencies. Respondents to </w:t>
      </w:r>
      <w:r>
        <w:t xml:space="preserve">the </w:t>
      </w:r>
      <w:r w:rsidRPr="004958FE">
        <w:t xml:space="preserve">information collection </w:t>
      </w:r>
      <w:r>
        <w:t xml:space="preserve">are </w:t>
      </w:r>
      <w:r w:rsidRPr="004958FE">
        <w:t xml:space="preserve">domestic and foreign medical device sponsors or applicants, </w:t>
      </w:r>
      <w:r>
        <w:t xml:space="preserve">including </w:t>
      </w:r>
      <w:r w:rsidRPr="004958FE">
        <w:t xml:space="preserve">medical device manufacturers, investigators, hospitals, </w:t>
      </w:r>
      <w:r>
        <w:t xml:space="preserve">and other healthcare </w:t>
      </w:r>
      <w:r w:rsidRPr="004958FE">
        <w:t>organizations.</w:t>
      </w:r>
    </w:p>
    <w:p w:rsidR="00A97E5E" w:rsidP="00A97E5E" w14:paraId="255C5A5A" w14:textId="77777777"/>
    <w:p w:rsidR="00357C8A" w:rsidRPr="00357C8A" w:rsidP="006705EA" w14:paraId="6302F5F3"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A97E5E" w:rsidP="00A97E5E" w14:paraId="03A26185" w14:textId="77777777">
      <w:r>
        <w:t>Under section 745A of the Food, Drug, and Cosmetic Act, FDA has authority to require the electronic submission of information, including the establishment of format specifications, for certain submissions.  Accordingly, our Center for Devices and Radiological Health (CDRH) issued and has implemented the guidance, “</w:t>
      </w:r>
      <w:r w:rsidRPr="004D60B4">
        <w:rPr>
          <w:i/>
          <w:iCs/>
        </w:rPr>
        <w:t>Providing Regulatory Submissions for Medical Devices in Electronic Format--Submissions Under Section 745A(b) of the Federal Food, Drug, and Cosmetic Act</w:t>
      </w:r>
      <w:r>
        <w:t xml:space="preserve">,” (July 2020), available at </w:t>
      </w:r>
      <w:hyperlink r:id="rId12" w:history="1">
        <w:r w:rsidRPr="00B25B5A">
          <w:rPr>
            <w:rStyle w:val="Hyperlink"/>
          </w:rPr>
          <w:t>GFI eSubmissions CDRH under 745A JULY 2020</w:t>
        </w:r>
      </w:hyperlink>
      <w:r>
        <w:t xml:space="preserve">.   Our current authority and information technology infrastructure now allows respondents, previously required to submitted multiple copies of certain information, to satisfy requirements by submitting a single copy of information in an electronic format.  Information collection associated with electronic record submission requirements is currently approved in control no. 0910-0303. </w:t>
      </w:r>
    </w:p>
    <w:p w:rsidR="00A97E5E" w:rsidP="00A97E5E" w14:paraId="0783D08F" w14:textId="77777777">
      <w:r>
        <w:t xml:space="preserve">Agency regulations in 21 CFR part 11 provide for the submission of electronic records.  FDA is currently making significant efforts toward digital transformation, communicating to the public in this regard on our website at </w:t>
      </w:r>
      <w:hyperlink r:id="rId13" w:history="1">
        <w:r w:rsidRPr="007E2A60">
          <w:rPr>
            <w:rStyle w:val="Hyperlink"/>
          </w:rPr>
          <w:t>https://www.fda.gov/about-fda/office-commissioner/office-digital-transformation</w:t>
        </w:r>
      </w:hyperlink>
      <w:r>
        <w:t xml:space="preserve">.  We continue to develop instructional guidance regarding technical specifications for submitting information in an electronic format in accordance with section 745A of the FD&amp;C Act. </w:t>
      </w:r>
    </w:p>
    <w:p w:rsidR="00A97E5E" w:rsidP="00A97E5E" w14:paraId="66E4BBFD" w14:textId="77777777"/>
    <w:p w:rsidR="00A97E5E" w:rsidP="00A97E5E" w14:paraId="700CC208" w14:textId="77777777">
      <w:r>
        <w:t xml:space="preserve">Additionally, to facilitate the submission process and enhance the efficiency of FDA review, the information collection is also supported by CDRH’s </w:t>
      </w:r>
      <w:r w:rsidRPr="00F7029F">
        <w:t>Electronic Submission Template and Resource (eSTAR)</w:t>
      </w:r>
      <w:r>
        <w:t xml:space="preserve">, currently being piloted under control no. 0910-0120.  As communicated on our website, </w:t>
      </w:r>
      <w:hyperlink r:id="rId14" w:history="1">
        <w:r w:rsidRPr="00BA30EB">
          <w:rPr>
            <w:rStyle w:val="Hyperlink"/>
          </w:rPr>
          <w:t>eSTAR</w:t>
        </w:r>
      </w:hyperlink>
      <w:r>
        <w:t xml:space="preserve"> </w:t>
      </w:r>
      <w:r w:rsidRPr="00D261DF">
        <w:t>is an interactive PDF form that guides applicants through the process of preparing a comprehensive medical device submission</w:t>
      </w:r>
      <w:r>
        <w:t xml:space="preserve">, and is </w:t>
      </w:r>
      <w:r w:rsidRPr="00D261DF">
        <w:t xml:space="preserve">free and available for voluntary use by </w:t>
      </w:r>
      <w:r>
        <w:t xml:space="preserve">respondents who </w:t>
      </w:r>
      <w:r w:rsidRPr="00D261DF">
        <w:t>wish to submit </w:t>
      </w:r>
      <w:hyperlink r:id="rId15" w:tooltip="Premarket Notification 510(k)" w:history="1">
        <w:r w:rsidRPr="00D261DF">
          <w:rPr>
            <w:rStyle w:val="Hyperlink"/>
          </w:rPr>
          <w:t>510(k)s </w:t>
        </w:r>
      </w:hyperlink>
      <w:r w:rsidRPr="00D261DF">
        <w:t>and </w:t>
      </w:r>
      <w:hyperlink r:id="rId16" w:tooltip="De Novo Classification Request" w:history="1">
        <w:r w:rsidRPr="00D261DF">
          <w:rPr>
            <w:rStyle w:val="Hyperlink"/>
          </w:rPr>
          <w:t>De Novo</w:t>
        </w:r>
      </w:hyperlink>
      <w:r w:rsidRPr="00D261DF">
        <w:t xml:space="preserve"> requests to </w:t>
      </w:r>
      <w:r>
        <w:t xml:space="preserve">CDRH </w:t>
      </w:r>
      <w:r w:rsidRPr="00D261DF">
        <w:t xml:space="preserve">or </w:t>
      </w:r>
      <w:r>
        <w:t xml:space="preserve">our </w:t>
      </w:r>
      <w:r w:rsidRPr="00D261DF">
        <w:t xml:space="preserve">Center for </w:t>
      </w:r>
      <w:r w:rsidRPr="00D261DF">
        <w:t>Biologics Evaluation and Research (CBER).</w:t>
      </w:r>
      <w:r>
        <w:t xml:space="preserve">  The implementation and utilization of eSTAR helps fulfill CDRH continued commitment goals with industry regarding the development of agency templates and supporting process improvements.</w:t>
      </w:r>
    </w:p>
    <w:p w:rsidR="00A97E5E" w:rsidP="00A97E5E" w14:paraId="347CA70A" w14:textId="77777777"/>
    <w:p w:rsidR="00357C8A" w:rsidRPr="00357C8A" w:rsidP="006705EA" w14:paraId="2D210778"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A97E5E" w:rsidP="00A97E5E" w14:paraId="67286274" w14:textId="77777777">
      <w:r>
        <w:t xml:space="preserve">We are unaware of duplicative information collection.  </w:t>
      </w:r>
      <w:r w:rsidRPr="00211CAF">
        <w:t>Good Clinical Practices (GCP) refers to the regulations and requirements that must be complied with while conducting a clinical study. These regulations apply to the manufacturers, sponsors, clinical investigators, institutional review boards, and the medical device.</w:t>
      </w:r>
      <w:r>
        <w:t xml:space="preserve">  Other regulations applicable to</w:t>
      </w:r>
      <w:r w:rsidRPr="00211CAF">
        <w:t xml:space="preserve"> the conduct of clinical studies</w:t>
      </w:r>
      <w:r>
        <w:t xml:space="preserve"> include </w:t>
      </w:r>
      <w:r w:rsidRPr="00211CAF">
        <w:t xml:space="preserve">21 CFR </w:t>
      </w:r>
      <w:r>
        <w:t xml:space="preserve">parts </w:t>
      </w:r>
      <w:r w:rsidRPr="00211CAF">
        <w:t>50</w:t>
      </w:r>
      <w:r>
        <w:t xml:space="preserve"> (</w:t>
      </w:r>
      <w:r w:rsidRPr="00211CAF">
        <w:t>Protection of Human Subjects</w:t>
      </w:r>
      <w:r>
        <w:t>) and 56 (</w:t>
      </w:r>
      <w:r w:rsidRPr="00211CAF">
        <w:t>Institutional Review Boards</w:t>
      </w:r>
      <w:r>
        <w:t xml:space="preserve">) (information collection approved in control no. 0910-0130); </w:t>
      </w:r>
      <w:r w:rsidRPr="00211CAF">
        <w:t>21 CFR 54</w:t>
      </w:r>
      <w:r>
        <w:t xml:space="preserve"> (</w:t>
      </w:r>
      <w:r w:rsidRPr="00211CAF">
        <w:t>Financial Disclosure by Clinical Investigators</w:t>
      </w:r>
      <w:r>
        <w:t xml:space="preserve">) (information collection approved in control no. 0910-0396) and </w:t>
      </w:r>
      <w:r w:rsidRPr="00211CAF">
        <w:t xml:space="preserve">21 CFR 820 </w:t>
      </w:r>
      <w:r>
        <w:t>s</w:t>
      </w:r>
      <w:r w:rsidRPr="00211CAF">
        <w:t xml:space="preserve">ubpart C, Design Controls of the Quality System Regulation, </w:t>
      </w:r>
      <w:r>
        <w:t>(information collection approved in control no. 0910-0073).</w:t>
      </w:r>
    </w:p>
    <w:p w:rsidR="00A97E5E" w:rsidP="00A97E5E" w14:paraId="1355F082" w14:textId="77777777"/>
    <w:p w:rsidR="00357C8A" w:rsidRPr="00357C8A" w:rsidP="006705EA" w14:paraId="62F8621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A97E5E" w:rsidP="00A97E5E" w14:paraId="6DD74B3E" w14:textId="77777777">
      <w:r>
        <w:t xml:space="preserve">The information collection poses no undue burden on small entities. </w:t>
      </w:r>
    </w:p>
    <w:p w:rsidR="00A97E5E" w:rsidP="00A97E5E" w14:paraId="776E6947" w14:textId="77777777"/>
    <w:p w:rsidR="00357C8A" w:rsidRPr="00357C8A" w:rsidP="006705EA" w14:paraId="61C9CE63"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7C8A" w:rsidP="00357C8A" w14:paraId="15FFA713" w14:textId="77777777">
      <w:pPr>
        <w:spacing w:after="200"/>
        <w:rPr>
          <w:rFonts w:eastAsia="Calibri"/>
          <w:color w:val="FF0000"/>
        </w:rPr>
      </w:pPr>
      <w:r w:rsidRPr="00A97E5E">
        <w:rPr>
          <w:rFonts w:eastAsia="Calibri"/>
        </w:rPr>
        <w:t>The information collection is consistent with statutory and regulatory requirements</w:t>
      </w:r>
      <w:r>
        <w:rPr>
          <w:rFonts w:eastAsia="Calibri"/>
        </w:rPr>
        <w:t>.</w:t>
      </w:r>
    </w:p>
    <w:p w:rsidR="00357C8A" w:rsidRPr="00357C8A" w:rsidP="006705EA" w14:paraId="0BB94817"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A97E5E" w:rsidP="00A97E5E" w14:paraId="5E0F5912" w14:textId="77777777">
      <w:r>
        <w:t>There are no special circumstances associated with the information collection as</w:t>
      </w:r>
    </w:p>
    <w:p w:rsidR="00A97E5E" w:rsidP="00A97E5E" w14:paraId="0DD8E2A8" w14:textId="77777777"/>
    <w:p w:rsidR="00357C8A" w:rsidRPr="00357C8A" w:rsidP="006705EA" w14:paraId="547BF5B6"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792947" w:rsidRPr="00357C8A" w:rsidP="00357C8A" w14:paraId="328E272D" w14:textId="7DE2DB67">
      <w:pPr>
        <w:spacing w:after="200"/>
        <w:rPr>
          <w:rFonts w:eastAsia="Calibri"/>
        </w:rPr>
      </w:pPr>
      <w:r>
        <w:rPr>
          <w:rFonts w:eastAsia="Calibri"/>
        </w:rPr>
        <w:t xml:space="preserve">FDA </w:t>
      </w:r>
      <w:r>
        <w:rPr>
          <w:rFonts w:eastAsia="Calibri"/>
        </w:rPr>
        <w:t xml:space="preserve">published a 60-day notice for public comment in the </w:t>
      </w:r>
      <w:r w:rsidRPr="009009E7">
        <w:rPr>
          <w:rFonts w:eastAsia="Calibri"/>
          <w:i/>
        </w:rPr>
        <w:t>Federal Register</w:t>
      </w:r>
      <w:r>
        <w:rPr>
          <w:rFonts w:eastAsia="Calibri"/>
        </w:rPr>
        <w:t xml:space="preserve"> of </w:t>
      </w:r>
      <w:r w:rsidR="00965DAC">
        <w:rPr>
          <w:rFonts w:eastAsia="Calibri"/>
        </w:rPr>
        <w:t>August</w:t>
      </w:r>
      <w:r w:rsidR="00F459D2">
        <w:rPr>
          <w:rFonts w:eastAsia="Calibri"/>
        </w:rPr>
        <w:t xml:space="preserve"> </w:t>
      </w:r>
      <w:r w:rsidR="00965DAC">
        <w:rPr>
          <w:rFonts w:eastAsia="Calibri"/>
        </w:rPr>
        <w:t>22,</w:t>
      </w:r>
      <w:r w:rsidR="00904DF3">
        <w:rPr>
          <w:rFonts w:eastAsia="Calibri"/>
        </w:rPr>
        <w:t xml:space="preserve"> </w:t>
      </w:r>
      <w:r w:rsidR="00965DAC">
        <w:rPr>
          <w:rFonts w:eastAsia="Calibri"/>
        </w:rPr>
        <w:t>2025</w:t>
      </w:r>
      <w:r w:rsidR="009009E7">
        <w:rPr>
          <w:rFonts w:eastAsia="Calibri"/>
        </w:rPr>
        <w:t xml:space="preserve"> </w:t>
      </w:r>
      <w:r w:rsidR="00965DAC">
        <w:t>(90 FR 41087)</w:t>
      </w:r>
      <w:r w:rsidR="000137B6">
        <w:t xml:space="preserve">. </w:t>
      </w:r>
      <w:r w:rsidRPr="000137B6" w:rsidR="000137B6">
        <w:t xml:space="preserve">Although </w:t>
      </w:r>
      <w:r w:rsidR="000137B6">
        <w:t>2</w:t>
      </w:r>
      <w:r w:rsidRPr="000137B6" w:rsidR="000137B6">
        <w:t xml:space="preserve"> comment</w:t>
      </w:r>
      <w:r w:rsidR="000137B6">
        <w:t>s</w:t>
      </w:r>
      <w:r w:rsidRPr="000137B6" w:rsidR="000137B6">
        <w:t xml:space="preserve"> w</w:t>
      </w:r>
      <w:r w:rsidR="000137B6">
        <w:t>ere</w:t>
      </w:r>
      <w:r w:rsidRPr="000137B6" w:rsidR="000137B6">
        <w:t xml:space="preserve"> received, it was not responsive to the four collection of information topics solicited. </w:t>
      </w:r>
    </w:p>
    <w:p w:rsidR="00357C8A" w:rsidRPr="00357C8A" w:rsidP="006705EA" w14:paraId="1281BDF2"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A97E5E" w:rsidP="00A97E5E" w14:paraId="1660A32A" w14:textId="77777777">
      <w:r w:rsidRPr="00A97E5E">
        <w:t>No remuneration is offered to respondents.</w:t>
      </w:r>
    </w:p>
    <w:p w:rsidR="00965DAC" w:rsidP="00A97E5E" w14:paraId="14604938" w14:textId="77777777"/>
    <w:p w:rsidR="00965DAC" w:rsidRPr="00965DAC" w:rsidP="00965DAC" w14:paraId="4CE59D58" w14:textId="77777777">
      <w:pPr>
        <w:numPr>
          <w:ilvl w:val="0"/>
          <w:numId w:val="9"/>
        </w:numPr>
        <w:spacing w:after="200" w:line="276" w:lineRule="auto"/>
        <w:rPr>
          <w:rFonts w:eastAsia="Calibri"/>
        </w:rPr>
      </w:pPr>
      <w:r w:rsidRPr="00965DAC">
        <w:rPr>
          <w:rFonts w:eastAsia="Calibri"/>
          <w:u w:val="single"/>
        </w:rPr>
        <w:t>Assurance of Confidentiality Provided to Respondents</w:t>
      </w:r>
    </w:p>
    <w:p w:rsidR="00A97E5E" w:rsidRPr="00AD3B27" w:rsidP="00A97E5E" w14:paraId="1FD2150F" w14:textId="77777777">
      <w:pPr>
        <w:rPr>
          <w:i/>
          <w:iCs/>
        </w:rPr>
      </w:pPr>
      <w:r w:rsidRPr="00AD3B27">
        <w:rPr>
          <w:i/>
          <w:iCs/>
        </w:rPr>
        <w:t>The Privacy Act of 1974</w:t>
      </w:r>
    </w:p>
    <w:p w:rsidR="00A97E5E" w:rsidP="00A97E5E" w14:paraId="597E9CFD" w14:textId="77777777"/>
    <w:p w:rsidR="00A97E5E" w:rsidP="00A97E5E" w14:paraId="69598D1E" w14:textId="77777777">
      <w:r w:rsidRPr="00007D31">
        <w:t xml:space="preserve">In preparing this </w:t>
      </w:r>
      <w:r>
        <w:t>s</w:t>
      </w:r>
      <w:r w:rsidRPr="00007D31">
        <w:t xml:space="preserve">upporting </w:t>
      </w:r>
      <w:r>
        <w:t>s</w:t>
      </w:r>
      <w:r w:rsidRPr="00007D31">
        <w:t xml:space="preserve">tatement, </w:t>
      </w:r>
      <w:r>
        <w:t xml:space="preserve">we </w:t>
      </w:r>
      <w:r w:rsidRPr="00007D31">
        <w:t xml:space="preserve">consulted with </w:t>
      </w:r>
      <w:r>
        <w:t xml:space="preserve">our </w:t>
      </w:r>
      <w:r w:rsidRPr="00007D31">
        <w:t>Privacy Office to ensure appropriate handling of information collected.</w:t>
      </w:r>
      <w:r>
        <w:t xml:space="preserve">  Although the </w:t>
      </w:r>
      <w:r w:rsidRPr="00007D31">
        <w:t>ICR collects personally identifiable information (PII)</w:t>
      </w:r>
      <w:r>
        <w:t xml:space="preserve">, </w:t>
      </w:r>
      <w:r w:rsidRPr="00D161D2" w:rsidR="00121FAC">
        <w:t>it is</w:t>
      </w:r>
      <w:r>
        <w:t xml:space="preserve"> collected </w:t>
      </w:r>
      <w:r w:rsidRPr="00D161D2" w:rsidR="00121FAC">
        <w:t>in the context of</w:t>
      </w:r>
      <w:r>
        <w:t xml:space="preserve"> </w:t>
      </w:r>
      <w:r w:rsidRPr="00007D31">
        <w:t xml:space="preserve">the </w:t>
      </w:r>
      <w:r w:rsidRPr="00D161D2" w:rsidR="00121FAC">
        <w:t>subject individuals’ professional capacity</w:t>
      </w:r>
      <w:r w:rsidRPr="00007D31">
        <w:t xml:space="preserve"> and </w:t>
      </w:r>
      <w:r w:rsidRPr="00D161D2" w:rsidR="00121FAC">
        <w:t>the FDA-related work performed for their employer (e.g., point of contact at a regulated entity). </w:t>
      </w:r>
      <w:r w:rsidRPr="00007D31">
        <w:t xml:space="preserve">  The PII that may be submitted is name, work email address, work address</w:t>
      </w:r>
      <w:r w:rsidR="00121FAC">
        <w:t>,</w:t>
      </w:r>
      <w:r w:rsidRPr="00007D31">
        <w:t xml:space="preserve"> and work telephone number.</w:t>
      </w:r>
      <w:r>
        <w:t xml:space="preserve">  We have </w:t>
      </w:r>
      <w:r w:rsidRPr="00007D31">
        <w:t xml:space="preserve">determined that </w:t>
      </w:r>
      <w:r w:rsidR="00121FAC">
        <w:t>although</w:t>
      </w:r>
      <w:r>
        <w:t xml:space="preserve"> </w:t>
      </w:r>
      <w:r w:rsidRPr="00007D31">
        <w:t>PII</w:t>
      </w:r>
      <w:r w:rsidRPr="00007D31" w:rsidR="00121FAC">
        <w:t xml:space="preserve"> </w:t>
      </w:r>
      <w:r w:rsidR="00121FAC">
        <w:t>is</w:t>
      </w:r>
      <w:r w:rsidRPr="00007D31">
        <w:t xml:space="preserve"> collected</w:t>
      </w:r>
      <w:r w:rsidR="00121FAC">
        <w:t>, the collection</w:t>
      </w:r>
      <w:r w:rsidRPr="00007D31">
        <w:t xml:space="preserve"> is not subject to the Privacy Act of 1974 and the particular notice and other requirements of the Privacy Act do not apply.  Specifically, FDA does not use name or any other personal identifier to routinely retrieve records </w:t>
      </w:r>
      <w:r w:rsidRPr="00007D31">
        <w:t xml:space="preserve">from the information collected. </w:t>
      </w:r>
      <w:r w:rsidR="00121FAC">
        <w:t>Through appropriate design, FDA limited submission fields and minimized the PII collected to protect the privacy of individuals.</w:t>
      </w:r>
    </w:p>
    <w:p w:rsidR="00A97E5E" w:rsidP="00A97E5E" w14:paraId="2B87B7BA" w14:textId="77777777"/>
    <w:p w:rsidR="00A97E5E" w:rsidRPr="00AD3B27" w:rsidP="00A97E5E" w14:paraId="10A02FC4" w14:textId="77777777">
      <w:pPr>
        <w:rPr>
          <w:i/>
          <w:iCs/>
        </w:rPr>
      </w:pPr>
      <w:r w:rsidRPr="00AD3B27">
        <w:rPr>
          <w:i/>
          <w:iCs/>
        </w:rPr>
        <w:t>The Freedom of Information Act</w:t>
      </w:r>
    </w:p>
    <w:p w:rsidR="00A97E5E" w:rsidP="00A97E5E" w14:paraId="6C5539D5" w14:textId="77777777"/>
    <w:p w:rsidR="00121FAC" w:rsidP="00121FAC" w14:paraId="1C989319" w14:textId="77777777">
      <w:bookmarkStart w:id="1" w:name="_Hlk193178435"/>
      <w:r w:rsidRPr="00D161D2">
        <w:t>Under FOIA (5 U.S.C. 552), the public has broad access to government documents. However, FOIA provides certain exemptions from mandatory public disclosure of government records (5 U.S.C. 552(b)(1-9)).  FDA will make the fullest possible disclosure of records to the public (see 21 CFR 20), consistent with the rights of individuals to privacy, the property rights of persons in trade and confidential commercial or financial information.</w:t>
      </w:r>
    </w:p>
    <w:p w:rsidR="00121FAC" w:rsidRPr="004C1756" w:rsidP="00121FAC" w14:paraId="244FDD28" w14:textId="77777777"/>
    <w:bookmarkEnd w:id="1"/>
    <w:p w:rsidR="001075D3" w:rsidRPr="001075D3" w:rsidP="001075D3" w14:paraId="26E40E6A" w14:textId="77777777">
      <w:pPr>
        <w:ind w:left="720"/>
      </w:pPr>
    </w:p>
    <w:p w:rsidR="00357C8A" w:rsidRPr="00357C8A" w:rsidP="006705EA" w14:paraId="1609CBE8" w14:textId="77777777">
      <w:pPr>
        <w:numPr>
          <w:ilvl w:val="0"/>
          <w:numId w:val="6"/>
        </w:numPr>
        <w:spacing w:after="200" w:line="276" w:lineRule="auto"/>
        <w:rPr>
          <w:rFonts w:eastAsia="Calibri"/>
        </w:rPr>
      </w:pPr>
      <w:r w:rsidRPr="00357C8A">
        <w:rPr>
          <w:rFonts w:eastAsia="Calibri"/>
          <w:u w:val="single"/>
        </w:rPr>
        <w:t>Justification for Sensitive Questions</w:t>
      </w:r>
    </w:p>
    <w:p w:rsidR="00BB4426" w:rsidP="00BB4426" w14:paraId="10E03D21" w14:textId="77777777">
      <w:pPr>
        <w:tabs>
          <w:tab w:val="left" w:pos="-720"/>
        </w:tabs>
        <w:suppressAutoHyphens/>
      </w:pPr>
      <w:r>
        <w:t>The collection of information does not involve sensitive questions.</w:t>
      </w:r>
    </w:p>
    <w:p w:rsidR="00BB4426" w:rsidP="00BB4426" w14:paraId="0595D729" w14:textId="77777777">
      <w:pPr>
        <w:tabs>
          <w:tab w:val="left" w:pos="-720"/>
        </w:tabs>
        <w:suppressAutoHyphens/>
      </w:pPr>
    </w:p>
    <w:p w:rsidR="00965DAC" w:rsidP="00BB4426" w14:paraId="606BEDE6" w14:textId="77777777">
      <w:pPr>
        <w:tabs>
          <w:tab w:val="left" w:pos="-720"/>
        </w:tabs>
        <w:suppressAutoHyphens/>
      </w:pPr>
    </w:p>
    <w:p w:rsidR="00357C8A" w:rsidRPr="00357C8A" w:rsidP="006705EA" w14:paraId="27927EA0"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tbl>
      <w:tblPr>
        <w:tblpPr w:leftFromText="180" w:rightFromText="180" w:vertAnchor="page" w:horzAnchor="margin" w:tblpY="7179"/>
        <w:tblW w:w="9360" w:type="dxa"/>
        <w:tblLayout w:type="fixed"/>
        <w:tblCellMar>
          <w:left w:w="110" w:type="dxa"/>
          <w:right w:w="110" w:type="dxa"/>
        </w:tblCellMar>
        <w:tblLook w:val="0000"/>
      </w:tblPr>
      <w:tblGrid>
        <w:gridCol w:w="3330"/>
        <w:gridCol w:w="1350"/>
        <w:gridCol w:w="1350"/>
        <w:gridCol w:w="1080"/>
        <w:gridCol w:w="1440"/>
        <w:gridCol w:w="810"/>
      </w:tblGrid>
      <w:tr w14:paraId="28F555A8" w14:textId="77777777" w:rsidTr="0060092A">
        <w:tblPrEx>
          <w:tblW w:w="9360" w:type="dxa"/>
          <w:tblLayout w:type="fixed"/>
          <w:tblCellMar>
            <w:left w:w="110" w:type="dxa"/>
            <w:right w:w="110" w:type="dxa"/>
          </w:tblCellMar>
          <w:tblLook w:val="0000"/>
        </w:tblPrEx>
        <w:trPr>
          <w:cantSplit/>
          <w:trHeight w:val="20"/>
          <w:tblHeader/>
        </w:trPr>
        <w:tc>
          <w:tcPr>
            <w:tcW w:w="9360" w:type="dxa"/>
            <w:gridSpan w:val="6"/>
            <w:tcBorders>
              <w:bottom w:val="single" w:sz="6" w:space="0" w:color="FFFFFF"/>
            </w:tcBorders>
          </w:tcPr>
          <w:p w:rsidR="0060092A" w:rsidRPr="00844146" w:rsidP="0060092A" w14:paraId="3A109372" w14:textId="77777777">
            <w:pPr>
              <w:jc w:val="center"/>
              <w:rPr>
                <w:sz w:val="20"/>
                <w:szCs w:val="20"/>
              </w:rPr>
            </w:pPr>
            <w:r w:rsidRPr="00844146">
              <w:rPr>
                <w:sz w:val="20"/>
                <w:szCs w:val="20"/>
              </w:rPr>
              <w:t>Table 1.--Estimated Annual Reporting Burden</w:t>
            </w:r>
            <w:r w:rsidRPr="00844146">
              <w:rPr>
                <w:rFonts w:eastAsia="Calibri"/>
                <w:sz w:val="20"/>
                <w:szCs w:val="20"/>
                <w:vertAlign w:val="superscript"/>
              </w:rPr>
              <w:t>,1,2</w:t>
            </w:r>
          </w:p>
        </w:tc>
      </w:tr>
      <w:tr w14:paraId="1CB0E85B" w14:textId="77777777" w:rsidTr="0060092A">
        <w:tblPrEx>
          <w:tblW w:w="9360" w:type="dxa"/>
          <w:tblLayout w:type="fixed"/>
          <w:tblCellMar>
            <w:left w:w="110" w:type="dxa"/>
            <w:right w:w="110" w:type="dxa"/>
          </w:tblCellMar>
          <w:tblLook w:val="0000"/>
        </w:tblPrEx>
        <w:trPr>
          <w:cantSplit/>
          <w:trHeight w:val="20"/>
          <w:tblHeader/>
        </w:trPr>
        <w:tc>
          <w:tcPr>
            <w:tcW w:w="3330" w:type="dxa"/>
            <w:tcBorders>
              <w:top w:val="single" w:sz="6" w:space="0" w:color="000000"/>
              <w:left w:val="single" w:sz="6" w:space="0" w:color="000000"/>
              <w:bottom w:val="single" w:sz="6" w:space="0" w:color="FFFFFF"/>
              <w:right w:val="single" w:sz="6" w:space="0" w:color="FFFFFF"/>
            </w:tcBorders>
          </w:tcPr>
          <w:p w:rsidR="0060092A" w:rsidRPr="00844146" w:rsidP="0060092A" w14:paraId="66E3CE51" w14:textId="77777777">
            <w:pPr>
              <w:jc w:val="center"/>
              <w:rPr>
                <w:sz w:val="20"/>
                <w:szCs w:val="20"/>
              </w:rPr>
            </w:pPr>
            <w:r w:rsidRPr="00844146">
              <w:rPr>
                <w:sz w:val="20"/>
                <w:szCs w:val="20"/>
              </w:rPr>
              <w:t>Activity/21 CFR Section</w:t>
            </w:r>
          </w:p>
        </w:tc>
        <w:tc>
          <w:tcPr>
            <w:tcW w:w="1350" w:type="dxa"/>
            <w:tcBorders>
              <w:top w:val="single" w:sz="6" w:space="0" w:color="000000"/>
              <w:left w:val="single" w:sz="6" w:space="0" w:color="000000"/>
              <w:bottom w:val="single" w:sz="6" w:space="0" w:color="FFFFFF"/>
              <w:right w:val="single" w:sz="6" w:space="0" w:color="FFFFFF"/>
            </w:tcBorders>
          </w:tcPr>
          <w:p w:rsidR="0060092A" w:rsidRPr="00844146" w:rsidP="0060092A" w14:paraId="4C6EF3C9" w14:textId="77777777">
            <w:pPr>
              <w:jc w:val="center"/>
              <w:rPr>
                <w:sz w:val="20"/>
                <w:szCs w:val="20"/>
              </w:rPr>
            </w:pPr>
            <w:r w:rsidRPr="00844146">
              <w:rPr>
                <w:sz w:val="20"/>
                <w:szCs w:val="20"/>
              </w:rPr>
              <w:t>No. of Respondents</w:t>
            </w:r>
          </w:p>
        </w:tc>
        <w:tc>
          <w:tcPr>
            <w:tcW w:w="1350" w:type="dxa"/>
            <w:tcBorders>
              <w:top w:val="single" w:sz="6" w:space="0" w:color="000000"/>
              <w:left w:val="single" w:sz="6" w:space="0" w:color="000000"/>
              <w:bottom w:val="single" w:sz="6" w:space="0" w:color="FFFFFF"/>
              <w:right w:val="single" w:sz="6" w:space="0" w:color="FFFFFF"/>
            </w:tcBorders>
          </w:tcPr>
          <w:p w:rsidR="0060092A" w:rsidRPr="00844146" w:rsidP="0060092A" w14:paraId="578B313F" w14:textId="77777777">
            <w:pPr>
              <w:jc w:val="center"/>
              <w:rPr>
                <w:sz w:val="20"/>
                <w:szCs w:val="20"/>
              </w:rPr>
            </w:pPr>
            <w:r w:rsidRPr="00844146">
              <w:rPr>
                <w:sz w:val="20"/>
                <w:szCs w:val="20"/>
              </w:rPr>
              <w:t>No. of Responses per Respondent</w:t>
            </w:r>
          </w:p>
        </w:tc>
        <w:tc>
          <w:tcPr>
            <w:tcW w:w="1080" w:type="dxa"/>
            <w:tcBorders>
              <w:top w:val="single" w:sz="6" w:space="0" w:color="000000"/>
              <w:left w:val="single" w:sz="6" w:space="0" w:color="000000"/>
              <w:bottom w:val="single" w:sz="6" w:space="0" w:color="FFFFFF"/>
              <w:right w:val="single" w:sz="6" w:space="0" w:color="FFFFFF"/>
            </w:tcBorders>
          </w:tcPr>
          <w:p w:rsidR="0060092A" w:rsidRPr="00844146" w:rsidP="0060092A" w14:paraId="11ED25D1" w14:textId="77777777">
            <w:pPr>
              <w:jc w:val="center"/>
              <w:rPr>
                <w:sz w:val="20"/>
                <w:szCs w:val="20"/>
              </w:rPr>
            </w:pPr>
            <w:r w:rsidRPr="00844146">
              <w:rPr>
                <w:sz w:val="20"/>
                <w:szCs w:val="20"/>
              </w:rPr>
              <w:t>Total Annual Responses</w:t>
            </w:r>
          </w:p>
        </w:tc>
        <w:tc>
          <w:tcPr>
            <w:tcW w:w="1440" w:type="dxa"/>
            <w:tcBorders>
              <w:top w:val="single" w:sz="6" w:space="0" w:color="000000"/>
              <w:left w:val="single" w:sz="6" w:space="0" w:color="000000"/>
              <w:bottom w:val="single" w:sz="6" w:space="0" w:color="FFFFFF"/>
              <w:right w:val="single" w:sz="6" w:space="0" w:color="FFFFFF"/>
            </w:tcBorders>
          </w:tcPr>
          <w:p w:rsidR="0060092A" w:rsidRPr="00844146" w:rsidP="0060092A" w14:paraId="51D073EE" w14:textId="77777777">
            <w:pPr>
              <w:jc w:val="center"/>
              <w:rPr>
                <w:sz w:val="20"/>
                <w:szCs w:val="20"/>
              </w:rPr>
            </w:pPr>
            <w:r w:rsidRPr="00844146">
              <w:rPr>
                <w:sz w:val="20"/>
                <w:szCs w:val="20"/>
              </w:rPr>
              <w:t>Average Burden per Response</w:t>
            </w:r>
          </w:p>
        </w:tc>
        <w:tc>
          <w:tcPr>
            <w:tcW w:w="810" w:type="dxa"/>
            <w:tcBorders>
              <w:top w:val="single" w:sz="6" w:space="0" w:color="000000"/>
              <w:left w:val="single" w:sz="6" w:space="0" w:color="000000"/>
              <w:bottom w:val="single" w:sz="6" w:space="0" w:color="FFFFFF"/>
              <w:right w:val="single" w:sz="6" w:space="0" w:color="000000"/>
            </w:tcBorders>
          </w:tcPr>
          <w:p w:rsidR="0060092A" w:rsidRPr="00844146" w:rsidP="0060092A" w14:paraId="44FC435C" w14:textId="77777777">
            <w:pPr>
              <w:jc w:val="center"/>
              <w:rPr>
                <w:sz w:val="20"/>
                <w:szCs w:val="20"/>
              </w:rPr>
            </w:pPr>
            <w:r w:rsidRPr="00844146">
              <w:rPr>
                <w:sz w:val="20"/>
                <w:szCs w:val="20"/>
              </w:rPr>
              <w:t>Total Hours</w:t>
            </w:r>
          </w:p>
        </w:tc>
      </w:tr>
      <w:tr w14:paraId="1A8CF148" w14:textId="77777777" w:rsidTr="0060092A">
        <w:tblPrEx>
          <w:tblW w:w="9360" w:type="dxa"/>
          <w:tblLayout w:type="fixed"/>
          <w:tblCellMar>
            <w:left w:w="110" w:type="dxa"/>
            <w:right w:w="110" w:type="dxa"/>
          </w:tblCellMar>
          <w:tblLook w:val="0000"/>
        </w:tblPrEx>
        <w:trPr>
          <w:cantSplit/>
          <w:trHeight w:val="20"/>
        </w:trPr>
        <w:tc>
          <w:tcPr>
            <w:tcW w:w="3330" w:type="dxa"/>
            <w:tcBorders>
              <w:top w:val="single" w:sz="6" w:space="0" w:color="000000"/>
              <w:left w:val="single" w:sz="6" w:space="0" w:color="000000"/>
              <w:bottom w:val="single" w:sz="6" w:space="0" w:color="FFFFFF"/>
              <w:right w:val="single" w:sz="6" w:space="0" w:color="FFFFFF"/>
            </w:tcBorders>
          </w:tcPr>
          <w:p w:rsidR="0060092A" w:rsidRPr="00844146" w:rsidP="00CD2C94" w14:paraId="49CEACEC" w14:textId="77777777">
            <w:pPr>
              <w:rPr>
                <w:sz w:val="20"/>
                <w:szCs w:val="20"/>
              </w:rPr>
            </w:pPr>
            <w:r w:rsidRPr="00844146">
              <w:rPr>
                <w:sz w:val="20"/>
                <w:szCs w:val="20"/>
              </w:rPr>
              <w:t>812.10; waivers</w:t>
            </w:r>
          </w:p>
        </w:tc>
        <w:tc>
          <w:tcPr>
            <w:tcW w:w="1350" w:type="dxa"/>
            <w:tcBorders>
              <w:top w:val="single" w:sz="6" w:space="0" w:color="000000"/>
              <w:left w:val="single" w:sz="6" w:space="0" w:color="000000"/>
              <w:bottom w:val="single" w:sz="6" w:space="0" w:color="FFFFFF"/>
              <w:right w:val="single" w:sz="6" w:space="0" w:color="FFFFFF"/>
            </w:tcBorders>
            <w:shd w:val="clear" w:color="auto" w:fill="auto"/>
          </w:tcPr>
          <w:p w:rsidR="0060092A" w:rsidRPr="00844146" w:rsidP="0060092A" w14:paraId="18CCA69D" w14:textId="77777777">
            <w:pPr>
              <w:jc w:val="center"/>
              <w:rPr>
                <w:sz w:val="20"/>
                <w:szCs w:val="20"/>
              </w:rPr>
            </w:pPr>
            <w:r w:rsidRPr="00844146">
              <w:rPr>
                <w:sz w:val="20"/>
                <w:szCs w:val="20"/>
              </w:rPr>
              <w:t>1</w:t>
            </w:r>
          </w:p>
        </w:tc>
        <w:tc>
          <w:tcPr>
            <w:tcW w:w="1350" w:type="dxa"/>
            <w:tcBorders>
              <w:top w:val="single" w:sz="6" w:space="0" w:color="000000"/>
              <w:left w:val="single" w:sz="6" w:space="0" w:color="000000"/>
              <w:bottom w:val="single" w:sz="6" w:space="0" w:color="FFFFFF"/>
              <w:right w:val="single" w:sz="6" w:space="0" w:color="FFFFFF"/>
            </w:tcBorders>
            <w:shd w:val="clear" w:color="auto" w:fill="FFFFFF"/>
          </w:tcPr>
          <w:p w:rsidR="0060092A" w:rsidRPr="00844146" w:rsidP="0060092A" w14:paraId="7E209672" w14:textId="77777777">
            <w:pPr>
              <w:jc w:val="center"/>
              <w:rPr>
                <w:sz w:val="20"/>
                <w:szCs w:val="20"/>
              </w:rPr>
            </w:pPr>
            <w:r w:rsidRPr="00844146">
              <w:rPr>
                <w:sz w:val="20"/>
                <w:szCs w:val="20"/>
              </w:rPr>
              <w:t>1</w:t>
            </w:r>
          </w:p>
        </w:tc>
        <w:tc>
          <w:tcPr>
            <w:tcW w:w="1080" w:type="dxa"/>
            <w:tcBorders>
              <w:top w:val="single" w:sz="6" w:space="0" w:color="000000"/>
              <w:left w:val="single" w:sz="6" w:space="0" w:color="000000"/>
              <w:bottom w:val="single" w:sz="6" w:space="0" w:color="FFFFFF"/>
              <w:right w:val="single" w:sz="6" w:space="0" w:color="FFFFFF"/>
            </w:tcBorders>
            <w:shd w:val="clear" w:color="auto" w:fill="auto"/>
          </w:tcPr>
          <w:p w:rsidR="0060092A" w:rsidRPr="00844146" w:rsidP="0060092A" w14:paraId="43388335" w14:textId="77777777">
            <w:pPr>
              <w:jc w:val="center"/>
              <w:rPr>
                <w:sz w:val="20"/>
                <w:szCs w:val="20"/>
              </w:rPr>
            </w:pPr>
            <w:r w:rsidRPr="00844146">
              <w:rPr>
                <w:sz w:val="20"/>
                <w:szCs w:val="20"/>
              </w:rPr>
              <w:t>1</w:t>
            </w:r>
          </w:p>
        </w:tc>
        <w:tc>
          <w:tcPr>
            <w:tcW w:w="1440" w:type="dxa"/>
            <w:tcBorders>
              <w:top w:val="single" w:sz="6" w:space="0" w:color="000000"/>
              <w:left w:val="single" w:sz="6" w:space="0" w:color="000000"/>
              <w:bottom w:val="single" w:sz="6" w:space="0" w:color="FFFFFF"/>
              <w:right w:val="single" w:sz="6" w:space="0" w:color="FFFFFF"/>
            </w:tcBorders>
            <w:shd w:val="clear" w:color="auto" w:fill="FFFFFF"/>
          </w:tcPr>
          <w:p w:rsidR="0060092A" w:rsidRPr="00844146" w:rsidP="0060092A" w14:paraId="6A0E6264" w14:textId="77777777">
            <w:pPr>
              <w:jc w:val="center"/>
              <w:rPr>
                <w:sz w:val="20"/>
                <w:szCs w:val="20"/>
              </w:rPr>
            </w:pPr>
            <w:r w:rsidRPr="00844146">
              <w:rPr>
                <w:sz w:val="20"/>
                <w:szCs w:val="20"/>
              </w:rPr>
              <w:t>1</w:t>
            </w:r>
          </w:p>
        </w:tc>
        <w:tc>
          <w:tcPr>
            <w:tcW w:w="810" w:type="dxa"/>
            <w:tcBorders>
              <w:top w:val="single" w:sz="6" w:space="0" w:color="000000"/>
              <w:left w:val="single" w:sz="6" w:space="0" w:color="000000"/>
              <w:bottom w:val="single" w:sz="6" w:space="0" w:color="FFFFFF"/>
              <w:right w:val="single" w:sz="6" w:space="0" w:color="000000"/>
            </w:tcBorders>
            <w:shd w:val="clear" w:color="auto" w:fill="FFFFFF"/>
          </w:tcPr>
          <w:p w:rsidR="0060092A" w:rsidRPr="00844146" w:rsidP="0060092A" w14:paraId="44E183E0" w14:textId="77777777">
            <w:pPr>
              <w:jc w:val="center"/>
              <w:rPr>
                <w:sz w:val="20"/>
                <w:szCs w:val="20"/>
              </w:rPr>
            </w:pPr>
            <w:r w:rsidRPr="00844146">
              <w:rPr>
                <w:sz w:val="20"/>
                <w:szCs w:val="20"/>
              </w:rPr>
              <w:t>1</w:t>
            </w:r>
          </w:p>
        </w:tc>
      </w:tr>
      <w:tr w14:paraId="354C2498" w14:textId="77777777" w:rsidTr="0060092A">
        <w:tblPrEx>
          <w:tblW w:w="9360" w:type="dxa"/>
          <w:tblLayout w:type="fixed"/>
          <w:tblCellMar>
            <w:left w:w="110" w:type="dxa"/>
            <w:right w:w="110" w:type="dxa"/>
          </w:tblCellMar>
          <w:tblLook w:val="0000"/>
        </w:tblPrEx>
        <w:trPr>
          <w:cantSplit/>
          <w:trHeight w:val="20"/>
        </w:trPr>
        <w:tc>
          <w:tcPr>
            <w:tcW w:w="3330" w:type="dxa"/>
            <w:tcBorders>
              <w:top w:val="single" w:sz="6" w:space="0" w:color="000000"/>
              <w:left w:val="single" w:sz="6" w:space="0" w:color="000000"/>
              <w:bottom w:val="single" w:sz="6" w:space="0" w:color="FFFFFF"/>
              <w:right w:val="single" w:sz="6" w:space="0" w:color="FFFFFF"/>
            </w:tcBorders>
          </w:tcPr>
          <w:p w:rsidR="0060092A" w:rsidRPr="00844146" w:rsidP="00CD2C94" w14:paraId="2C1126E2" w14:textId="77777777">
            <w:pPr>
              <w:rPr>
                <w:sz w:val="20"/>
                <w:szCs w:val="20"/>
              </w:rPr>
            </w:pPr>
            <w:r w:rsidRPr="00844146">
              <w:rPr>
                <w:sz w:val="20"/>
                <w:szCs w:val="20"/>
              </w:rPr>
              <w:t>812.20, 812.25, and 812.27; applications, investigational plans, and supplements</w:t>
            </w:r>
          </w:p>
        </w:tc>
        <w:tc>
          <w:tcPr>
            <w:tcW w:w="1350" w:type="dxa"/>
            <w:tcBorders>
              <w:top w:val="single" w:sz="6" w:space="0" w:color="000000"/>
              <w:left w:val="single" w:sz="6" w:space="0" w:color="000000"/>
              <w:bottom w:val="single" w:sz="6" w:space="0" w:color="FFFFFF"/>
              <w:right w:val="single" w:sz="6" w:space="0" w:color="FFFFFF"/>
            </w:tcBorders>
            <w:shd w:val="clear" w:color="auto" w:fill="auto"/>
          </w:tcPr>
          <w:p w:rsidR="0060092A" w:rsidRPr="00844146" w:rsidP="0060092A" w14:paraId="290D69C5" w14:textId="77777777">
            <w:pPr>
              <w:jc w:val="center"/>
              <w:rPr>
                <w:sz w:val="20"/>
                <w:szCs w:val="20"/>
              </w:rPr>
            </w:pPr>
            <w:r w:rsidRPr="00844146">
              <w:rPr>
                <w:sz w:val="20"/>
                <w:szCs w:val="20"/>
              </w:rPr>
              <w:t>288</w:t>
            </w:r>
          </w:p>
        </w:tc>
        <w:tc>
          <w:tcPr>
            <w:tcW w:w="1350" w:type="dxa"/>
            <w:tcBorders>
              <w:top w:val="single" w:sz="6" w:space="0" w:color="000000"/>
              <w:left w:val="single" w:sz="6" w:space="0" w:color="000000"/>
              <w:bottom w:val="single" w:sz="6" w:space="0" w:color="FFFFFF"/>
              <w:right w:val="single" w:sz="6" w:space="0" w:color="FFFFFF"/>
            </w:tcBorders>
            <w:shd w:val="clear" w:color="auto" w:fill="FFFFFF"/>
          </w:tcPr>
          <w:p w:rsidR="0060092A" w:rsidRPr="00844146" w:rsidP="0060092A" w14:paraId="029F70DA" w14:textId="77777777">
            <w:pPr>
              <w:jc w:val="center"/>
              <w:rPr>
                <w:sz w:val="20"/>
                <w:szCs w:val="20"/>
              </w:rPr>
            </w:pPr>
            <w:r w:rsidRPr="00844146">
              <w:rPr>
                <w:sz w:val="20"/>
                <w:szCs w:val="20"/>
              </w:rPr>
              <w:t>1</w:t>
            </w:r>
          </w:p>
        </w:tc>
        <w:tc>
          <w:tcPr>
            <w:tcW w:w="1080" w:type="dxa"/>
            <w:tcBorders>
              <w:top w:val="single" w:sz="6" w:space="0" w:color="000000"/>
              <w:left w:val="single" w:sz="6" w:space="0" w:color="000000"/>
              <w:bottom w:val="single" w:sz="6" w:space="0" w:color="FFFFFF"/>
              <w:right w:val="single" w:sz="6" w:space="0" w:color="FFFFFF"/>
            </w:tcBorders>
            <w:shd w:val="clear" w:color="auto" w:fill="auto"/>
          </w:tcPr>
          <w:p w:rsidR="0060092A" w:rsidRPr="00844146" w:rsidP="0060092A" w14:paraId="39B91D35" w14:textId="77777777">
            <w:pPr>
              <w:jc w:val="center"/>
              <w:rPr>
                <w:sz w:val="20"/>
                <w:szCs w:val="20"/>
              </w:rPr>
            </w:pPr>
            <w:r w:rsidRPr="00844146">
              <w:rPr>
                <w:sz w:val="20"/>
                <w:szCs w:val="20"/>
              </w:rPr>
              <w:t>288</w:t>
            </w:r>
          </w:p>
        </w:tc>
        <w:tc>
          <w:tcPr>
            <w:tcW w:w="1440" w:type="dxa"/>
            <w:tcBorders>
              <w:top w:val="single" w:sz="6" w:space="0" w:color="000000"/>
              <w:left w:val="single" w:sz="6" w:space="0" w:color="000000"/>
              <w:bottom w:val="single" w:sz="6" w:space="0" w:color="FFFFFF"/>
              <w:right w:val="single" w:sz="6" w:space="0" w:color="FFFFFF"/>
            </w:tcBorders>
            <w:shd w:val="clear" w:color="auto" w:fill="FFFFFF"/>
          </w:tcPr>
          <w:p w:rsidR="0060092A" w:rsidRPr="00844146" w:rsidP="0060092A" w14:paraId="0DA25513" w14:textId="77777777">
            <w:pPr>
              <w:jc w:val="center"/>
              <w:rPr>
                <w:sz w:val="20"/>
                <w:szCs w:val="20"/>
              </w:rPr>
            </w:pPr>
            <w:r w:rsidRPr="00844146">
              <w:rPr>
                <w:sz w:val="20"/>
                <w:szCs w:val="20"/>
              </w:rPr>
              <w:t>80</w:t>
            </w:r>
          </w:p>
        </w:tc>
        <w:tc>
          <w:tcPr>
            <w:tcW w:w="810" w:type="dxa"/>
            <w:tcBorders>
              <w:top w:val="single" w:sz="6" w:space="0" w:color="000000"/>
              <w:left w:val="single" w:sz="6" w:space="0" w:color="000000"/>
              <w:bottom w:val="single" w:sz="6" w:space="0" w:color="FFFFFF"/>
              <w:right w:val="single" w:sz="6" w:space="0" w:color="000000"/>
            </w:tcBorders>
            <w:shd w:val="clear" w:color="auto" w:fill="FFFFFF"/>
          </w:tcPr>
          <w:p w:rsidR="0060092A" w:rsidRPr="00844146" w:rsidP="0060092A" w14:paraId="27A663B7" w14:textId="77777777">
            <w:pPr>
              <w:jc w:val="center"/>
              <w:rPr>
                <w:sz w:val="20"/>
                <w:szCs w:val="20"/>
              </w:rPr>
            </w:pPr>
            <w:r w:rsidRPr="00844146">
              <w:rPr>
                <w:sz w:val="20"/>
                <w:szCs w:val="20"/>
              </w:rPr>
              <w:t>23,040</w:t>
            </w:r>
          </w:p>
        </w:tc>
      </w:tr>
      <w:tr w14:paraId="48E89A82" w14:textId="77777777" w:rsidTr="0060092A">
        <w:tblPrEx>
          <w:tblW w:w="9360" w:type="dxa"/>
          <w:tblLayout w:type="fixed"/>
          <w:tblCellMar>
            <w:left w:w="110" w:type="dxa"/>
            <w:right w:w="110" w:type="dxa"/>
          </w:tblCellMar>
          <w:tblLook w:val="0000"/>
        </w:tblPrEx>
        <w:trPr>
          <w:cantSplit/>
          <w:trHeight w:val="20"/>
        </w:trPr>
        <w:tc>
          <w:tcPr>
            <w:tcW w:w="3330" w:type="dxa"/>
            <w:tcBorders>
              <w:top w:val="single" w:sz="6" w:space="0" w:color="000000"/>
              <w:left w:val="single" w:sz="6" w:space="0" w:color="000000"/>
              <w:bottom w:val="single" w:sz="6" w:space="0" w:color="FFFFFF"/>
              <w:right w:val="single" w:sz="6" w:space="0" w:color="FFFFFF"/>
            </w:tcBorders>
          </w:tcPr>
          <w:p w:rsidR="0060092A" w:rsidRPr="00844146" w:rsidP="00CD2C94" w14:paraId="4524AF23" w14:textId="77777777">
            <w:pPr>
              <w:rPr>
                <w:sz w:val="20"/>
                <w:szCs w:val="20"/>
              </w:rPr>
            </w:pPr>
            <w:r w:rsidRPr="00844146">
              <w:rPr>
                <w:sz w:val="20"/>
                <w:szCs w:val="20"/>
              </w:rPr>
              <w:t>812.27(b)(4)(</w:t>
            </w:r>
            <w:r w:rsidRPr="00844146">
              <w:rPr>
                <w:sz w:val="20"/>
                <w:szCs w:val="20"/>
              </w:rPr>
              <w:t>i</w:t>
            </w:r>
            <w:r w:rsidRPr="00844146">
              <w:rPr>
                <w:sz w:val="20"/>
                <w:szCs w:val="20"/>
              </w:rPr>
              <w:t>); prior investigations within the United States</w:t>
            </w:r>
          </w:p>
        </w:tc>
        <w:tc>
          <w:tcPr>
            <w:tcW w:w="1350" w:type="dxa"/>
            <w:tcBorders>
              <w:top w:val="single" w:sz="6" w:space="0" w:color="000000"/>
              <w:left w:val="single" w:sz="6" w:space="0" w:color="000000"/>
              <w:bottom w:val="single" w:sz="6" w:space="0" w:color="FFFFFF"/>
              <w:right w:val="single" w:sz="6" w:space="0" w:color="FFFFFF"/>
            </w:tcBorders>
            <w:shd w:val="clear" w:color="auto" w:fill="auto"/>
          </w:tcPr>
          <w:p w:rsidR="0060092A" w:rsidRPr="00844146" w:rsidP="0060092A" w14:paraId="2B5FBC57" w14:textId="77777777">
            <w:pPr>
              <w:jc w:val="center"/>
              <w:rPr>
                <w:sz w:val="20"/>
                <w:szCs w:val="20"/>
              </w:rPr>
            </w:pPr>
            <w:r w:rsidRPr="00844146">
              <w:rPr>
                <w:sz w:val="20"/>
                <w:szCs w:val="20"/>
              </w:rPr>
              <w:t>504</w:t>
            </w:r>
          </w:p>
        </w:tc>
        <w:tc>
          <w:tcPr>
            <w:tcW w:w="1350" w:type="dxa"/>
            <w:tcBorders>
              <w:top w:val="single" w:sz="6" w:space="0" w:color="000000"/>
              <w:left w:val="single" w:sz="6" w:space="0" w:color="000000"/>
              <w:bottom w:val="single" w:sz="6" w:space="0" w:color="FFFFFF"/>
              <w:right w:val="single" w:sz="6" w:space="0" w:color="FFFFFF"/>
            </w:tcBorders>
            <w:shd w:val="clear" w:color="auto" w:fill="FFFFFF"/>
          </w:tcPr>
          <w:p w:rsidR="0060092A" w:rsidRPr="00844146" w:rsidP="0060092A" w14:paraId="12C91B4B" w14:textId="77777777">
            <w:pPr>
              <w:jc w:val="center"/>
              <w:rPr>
                <w:sz w:val="20"/>
                <w:szCs w:val="20"/>
              </w:rPr>
            </w:pPr>
            <w:r w:rsidRPr="00844146">
              <w:rPr>
                <w:sz w:val="20"/>
                <w:szCs w:val="20"/>
              </w:rPr>
              <w:t>1</w:t>
            </w:r>
          </w:p>
        </w:tc>
        <w:tc>
          <w:tcPr>
            <w:tcW w:w="1080" w:type="dxa"/>
            <w:tcBorders>
              <w:top w:val="single" w:sz="6" w:space="0" w:color="000000"/>
              <w:left w:val="single" w:sz="6" w:space="0" w:color="000000"/>
              <w:bottom w:val="single" w:sz="6" w:space="0" w:color="FFFFFF"/>
              <w:right w:val="single" w:sz="6" w:space="0" w:color="FFFFFF"/>
            </w:tcBorders>
            <w:shd w:val="clear" w:color="auto" w:fill="auto"/>
          </w:tcPr>
          <w:p w:rsidR="0060092A" w:rsidRPr="00844146" w:rsidP="0060092A" w14:paraId="4828BCE0" w14:textId="77777777">
            <w:pPr>
              <w:jc w:val="center"/>
              <w:rPr>
                <w:sz w:val="20"/>
                <w:szCs w:val="20"/>
              </w:rPr>
            </w:pPr>
            <w:r w:rsidRPr="00844146">
              <w:rPr>
                <w:sz w:val="20"/>
                <w:szCs w:val="20"/>
              </w:rPr>
              <w:t>504</w:t>
            </w:r>
          </w:p>
        </w:tc>
        <w:tc>
          <w:tcPr>
            <w:tcW w:w="1440" w:type="dxa"/>
            <w:tcBorders>
              <w:top w:val="single" w:sz="6" w:space="0" w:color="000000"/>
              <w:left w:val="single" w:sz="6" w:space="0" w:color="000000"/>
              <w:bottom w:val="single" w:sz="6" w:space="0" w:color="FFFFFF"/>
              <w:right w:val="single" w:sz="6" w:space="0" w:color="FFFFFF"/>
            </w:tcBorders>
            <w:shd w:val="clear" w:color="auto" w:fill="FFFFFF"/>
          </w:tcPr>
          <w:p w:rsidR="0060092A" w:rsidRPr="00844146" w:rsidP="0060092A" w14:paraId="5DE2B2CB" w14:textId="77777777">
            <w:pPr>
              <w:jc w:val="center"/>
              <w:rPr>
                <w:sz w:val="20"/>
                <w:szCs w:val="20"/>
              </w:rPr>
            </w:pPr>
            <w:r w:rsidRPr="00844146">
              <w:rPr>
                <w:sz w:val="20"/>
                <w:szCs w:val="20"/>
              </w:rPr>
              <w:t>1</w:t>
            </w:r>
          </w:p>
        </w:tc>
        <w:tc>
          <w:tcPr>
            <w:tcW w:w="810" w:type="dxa"/>
            <w:tcBorders>
              <w:top w:val="single" w:sz="6" w:space="0" w:color="000000"/>
              <w:left w:val="single" w:sz="6" w:space="0" w:color="000000"/>
              <w:bottom w:val="single" w:sz="6" w:space="0" w:color="FFFFFF"/>
              <w:right w:val="single" w:sz="6" w:space="0" w:color="000000"/>
            </w:tcBorders>
            <w:shd w:val="clear" w:color="auto" w:fill="FFFFFF"/>
          </w:tcPr>
          <w:p w:rsidR="0060092A" w:rsidRPr="00844146" w:rsidP="0060092A" w14:paraId="5CF1F248" w14:textId="77777777">
            <w:pPr>
              <w:jc w:val="center"/>
              <w:rPr>
                <w:sz w:val="20"/>
                <w:szCs w:val="20"/>
              </w:rPr>
            </w:pPr>
            <w:r w:rsidRPr="00844146">
              <w:rPr>
                <w:sz w:val="20"/>
                <w:szCs w:val="20"/>
              </w:rPr>
              <w:t>504</w:t>
            </w:r>
          </w:p>
        </w:tc>
      </w:tr>
      <w:tr w14:paraId="235C220A" w14:textId="77777777" w:rsidTr="0060092A">
        <w:tblPrEx>
          <w:tblW w:w="9360" w:type="dxa"/>
          <w:tblLayout w:type="fixed"/>
          <w:tblCellMar>
            <w:left w:w="110" w:type="dxa"/>
            <w:right w:w="110" w:type="dxa"/>
          </w:tblCellMar>
          <w:tblLook w:val="0000"/>
        </w:tblPrEx>
        <w:trPr>
          <w:cantSplit/>
          <w:trHeight w:val="20"/>
        </w:trPr>
        <w:tc>
          <w:tcPr>
            <w:tcW w:w="3330" w:type="dxa"/>
            <w:tcBorders>
              <w:top w:val="single" w:sz="6" w:space="0" w:color="000000"/>
              <w:left w:val="single" w:sz="6" w:space="0" w:color="000000"/>
              <w:bottom w:val="single" w:sz="6" w:space="0" w:color="FFFFFF"/>
              <w:right w:val="single" w:sz="6" w:space="0" w:color="FFFFFF"/>
            </w:tcBorders>
          </w:tcPr>
          <w:p w:rsidR="0060092A" w:rsidRPr="00844146" w:rsidP="00CD2C94" w14:paraId="1E7C4BB7" w14:textId="77777777">
            <w:pPr>
              <w:rPr>
                <w:sz w:val="20"/>
                <w:szCs w:val="20"/>
              </w:rPr>
            </w:pPr>
            <w:r w:rsidRPr="00844146">
              <w:rPr>
                <w:sz w:val="20"/>
                <w:szCs w:val="20"/>
              </w:rPr>
              <w:t>812.27(b)(4)(ii); prior investigations outside the United States</w:t>
            </w:r>
          </w:p>
        </w:tc>
        <w:tc>
          <w:tcPr>
            <w:tcW w:w="1350" w:type="dxa"/>
            <w:tcBorders>
              <w:top w:val="single" w:sz="6" w:space="0" w:color="000000"/>
              <w:left w:val="single" w:sz="6" w:space="0" w:color="000000"/>
              <w:bottom w:val="single" w:sz="6" w:space="0" w:color="FFFFFF"/>
              <w:right w:val="single" w:sz="6" w:space="0" w:color="FFFFFF"/>
            </w:tcBorders>
            <w:shd w:val="clear" w:color="auto" w:fill="auto"/>
          </w:tcPr>
          <w:p w:rsidR="0060092A" w:rsidRPr="00844146" w:rsidP="0060092A" w14:paraId="217160D5" w14:textId="77777777">
            <w:pPr>
              <w:jc w:val="center"/>
              <w:rPr>
                <w:sz w:val="20"/>
                <w:szCs w:val="20"/>
              </w:rPr>
            </w:pPr>
            <w:r w:rsidRPr="00844146">
              <w:rPr>
                <w:sz w:val="20"/>
                <w:szCs w:val="20"/>
              </w:rPr>
              <w:t>126</w:t>
            </w:r>
          </w:p>
        </w:tc>
        <w:tc>
          <w:tcPr>
            <w:tcW w:w="1350" w:type="dxa"/>
            <w:tcBorders>
              <w:top w:val="single" w:sz="6" w:space="0" w:color="000000"/>
              <w:left w:val="single" w:sz="6" w:space="0" w:color="000000"/>
              <w:bottom w:val="single" w:sz="6" w:space="0" w:color="FFFFFF"/>
              <w:right w:val="single" w:sz="6" w:space="0" w:color="FFFFFF"/>
            </w:tcBorders>
            <w:shd w:val="clear" w:color="auto" w:fill="FFFFFF"/>
          </w:tcPr>
          <w:p w:rsidR="0060092A" w:rsidRPr="00844146" w:rsidP="0060092A" w14:paraId="159C8B72" w14:textId="77777777">
            <w:pPr>
              <w:jc w:val="center"/>
              <w:rPr>
                <w:sz w:val="20"/>
                <w:szCs w:val="20"/>
              </w:rPr>
            </w:pPr>
            <w:r w:rsidRPr="00844146">
              <w:rPr>
                <w:sz w:val="20"/>
                <w:szCs w:val="20"/>
              </w:rPr>
              <w:t>1</w:t>
            </w:r>
          </w:p>
        </w:tc>
        <w:tc>
          <w:tcPr>
            <w:tcW w:w="1080" w:type="dxa"/>
            <w:tcBorders>
              <w:top w:val="single" w:sz="6" w:space="0" w:color="000000"/>
              <w:left w:val="single" w:sz="6" w:space="0" w:color="000000"/>
              <w:bottom w:val="single" w:sz="6" w:space="0" w:color="FFFFFF"/>
              <w:right w:val="single" w:sz="6" w:space="0" w:color="FFFFFF"/>
            </w:tcBorders>
            <w:shd w:val="clear" w:color="auto" w:fill="auto"/>
          </w:tcPr>
          <w:p w:rsidR="0060092A" w:rsidRPr="00844146" w:rsidP="0060092A" w14:paraId="319E5381" w14:textId="77777777">
            <w:pPr>
              <w:jc w:val="center"/>
              <w:rPr>
                <w:sz w:val="20"/>
                <w:szCs w:val="20"/>
              </w:rPr>
            </w:pPr>
            <w:r w:rsidRPr="00844146">
              <w:rPr>
                <w:sz w:val="20"/>
                <w:szCs w:val="20"/>
              </w:rPr>
              <w:t>126</w:t>
            </w:r>
          </w:p>
        </w:tc>
        <w:tc>
          <w:tcPr>
            <w:tcW w:w="1440" w:type="dxa"/>
            <w:tcBorders>
              <w:top w:val="single" w:sz="6" w:space="0" w:color="000000"/>
              <w:left w:val="single" w:sz="6" w:space="0" w:color="000000"/>
              <w:bottom w:val="single" w:sz="6" w:space="0" w:color="FFFFFF"/>
              <w:right w:val="single" w:sz="6" w:space="0" w:color="FFFFFF"/>
            </w:tcBorders>
            <w:shd w:val="clear" w:color="auto" w:fill="FFFFFF"/>
          </w:tcPr>
          <w:p w:rsidR="0060092A" w:rsidRPr="00844146" w:rsidP="0060092A" w14:paraId="21F65375" w14:textId="77777777">
            <w:pPr>
              <w:jc w:val="center"/>
              <w:rPr>
                <w:sz w:val="20"/>
                <w:szCs w:val="20"/>
              </w:rPr>
            </w:pPr>
            <w:r w:rsidRPr="00844146">
              <w:rPr>
                <w:sz w:val="20"/>
                <w:szCs w:val="20"/>
              </w:rPr>
              <w:t>0.25</w:t>
            </w:r>
          </w:p>
          <w:p w:rsidR="0060092A" w:rsidRPr="00844146" w:rsidP="0060092A" w14:paraId="01EC6FF2" w14:textId="77777777">
            <w:pPr>
              <w:jc w:val="center"/>
              <w:rPr>
                <w:sz w:val="20"/>
                <w:szCs w:val="20"/>
              </w:rPr>
            </w:pPr>
            <w:r w:rsidRPr="00844146">
              <w:rPr>
                <w:sz w:val="20"/>
                <w:szCs w:val="20"/>
              </w:rPr>
              <w:t>(15 minutes)</w:t>
            </w:r>
          </w:p>
        </w:tc>
        <w:tc>
          <w:tcPr>
            <w:tcW w:w="810" w:type="dxa"/>
            <w:tcBorders>
              <w:top w:val="single" w:sz="6" w:space="0" w:color="000000"/>
              <w:left w:val="single" w:sz="6" w:space="0" w:color="000000"/>
              <w:bottom w:val="single" w:sz="6" w:space="0" w:color="FFFFFF"/>
              <w:right w:val="single" w:sz="6" w:space="0" w:color="000000"/>
            </w:tcBorders>
            <w:shd w:val="clear" w:color="auto" w:fill="FFFFFF"/>
          </w:tcPr>
          <w:p w:rsidR="0060092A" w:rsidRPr="00844146" w:rsidP="0060092A" w14:paraId="668F527B" w14:textId="77777777">
            <w:pPr>
              <w:jc w:val="center"/>
              <w:rPr>
                <w:sz w:val="20"/>
                <w:szCs w:val="20"/>
              </w:rPr>
            </w:pPr>
            <w:r w:rsidRPr="00844146">
              <w:rPr>
                <w:sz w:val="20"/>
                <w:szCs w:val="20"/>
              </w:rPr>
              <w:t>32</w:t>
            </w:r>
          </w:p>
        </w:tc>
      </w:tr>
      <w:tr w14:paraId="1D0D98AA" w14:textId="77777777" w:rsidTr="0060092A">
        <w:tblPrEx>
          <w:tblW w:w="9360" w:type="dxa"/>
          <w:tblLayout w:type="fixed"/>
          <w:tblCellMar>
            <w:left w:w="110" w:type="dxa"/>
            <w:right w:w="110" w:type="dxa"/>
          </w:tblCellMar>
          <w:tblLook w:val="0000"/>
        </w:tblPrEx>
        <w:trPr>
          <w:cantSplit/>
          <w:trHeight w:val="20"/>
        </w:trPr>
        <w:tc>
          <w:tcPr>
            <w:tcW w:w="3330" w:type="dxa"/>
            <w:tcBorders>
              <w:top w:val="single" w:sz="6" w:space="0" w:color="000000"/>
              <w:left w:val="single" w:sz="6" w:space="0" w:color="000000"/>
              <w:bottom w:val="single" w:sz="6" w:space="0" w:color="FFFFFF"/>
              <w:right w:val="single" w:sz="6" w:space="0" w:color="FFFFFF"/>
            </w:tcBorders>
          </w:tcPr>
          <w:p w:rsidR="0060092A" w:rsidRPr="00844146" w:rsidP="00CD2C94" w14:paraId="20928C96" w14:textId="77777777">
            <w:pPr>
              <w:rPr>
                <w:sz w:val="20"/>
                <w:szCs w:val="20"/>
              </w:rPr>
            </w:pPr>
            <w:r w:rsidRPr="00844146">
              <w:rPr>
                <w:sz w:val="20"/>
                <w:szCs w:val="20"/>
              </w:rPr>
              <w:t>812.28; acceptance of data from clinical investigations conducted outside the United States, and supporting information</w:t>
            </w:r>
          </w:p>
        </w:tc>
        <w:tc>
          <w:tcPr>
            <w:tcW w:w="1350" w:type="dxa"/>
            <w:tcBorders>
              <w:top w:val="single" w:sz="6" w:space="0" w:color="000000"/>
              <w:left w:val="single" w:sz="6" w:space="0" w:color="000000"/>
              <w:bottom w:val="single" w:sz="6" w:space="0" w:color="FFFFFF"/>
              <w:right w:val="single" w:sz="6" w:space="0" w:color="FFFFFF"/>
            </w:tcBorders>
            <w:shd w:val="clear" w:color="auto" w:fill="auto"/>
          </w:tcPr>
          <w:p w:rsidR="0060092A" w:rsidRPr="00844146" w:rsidP="0060092A" w14:paraId="31281DC0" w14:textId="77777777">
            <w:pPr>
              <w:jc w:val="center"/>
              <w:rPr>
                <w:sz w:val="20"/>
                <w:szCs w:val="20"/>
              </w:rPr>
            </w:pPr>
            <w:r w:rsidRPr="00844146">
              <w:rPr>
                <w:sz w:val="20"/>
                <w:szCs w:val="20"/>
              </w:rPr>
              <w:t>1,500</w:t>
            </w:r>
          </w:p>
        </w:tc>
        <w:tc>
          <w:tcPr>
            <w:tcW w:w="1350" w:type="dxa"/>
            <w:tcBorders>
              <w:top w:val="single" w:sz="6" w:space="0" w:color="000000"/>
              <w:left w:val="single" w:sz="6" w:space="0" w:color="000000"/>
              <w:bottom w:val="single" w:sz="6" w:space="0" w:color="FFFFFF"/>
              <w:right w:val="single" w:sz="6" w:space="0" w:color="FFFFFF"/>
            </w:tcBorders>
            <w:shd w:val="clear" w:color="auto" w:fill="FFFFFF"/>
          </w:tcPr>
          <w:p w:rsidR="0060092A" w:rsidRPr="00844146" w:rsidP="0060092A" w14:paraId="6B0A1E9F" w14:textId="77777777">
            <w:pPr>
              <w:jc w:val="center"/>
              <w:rPr>
                <w:sz w:val="20"/>
                <w:szCs w:val="20"/>
              </w:rPr>
            </w:pPr>
            <w:r w:rsidRPr="00844146">
              <w:rPr>
                <w:sz w:val="20"/>
                <w:szCs w:val="20"/>
              </w:rPr>
              <w:t>1</w:t>
            </w:r>
          </w:p>
        </w:tc>
        <w:tc>
          <w:tcPr>
            <w:tcW w:w="1080" w:type="dxa"/>
            <w:tcBorders>
              <w:top w:val="single" w:sz="6" w:space="0" w:color="000000"/>
              <w:left w:val="single" w:sz="6" w:space="0" w:color="000000"/>
              <w:bottom w:val="single" w:sz="6" w:space="0" w:color="FFFFFF"/>
              <w:right w:val="single" w:sz="6" w:space="0" w:color="FFFFFF"/>
            </w:tcBorders>
            <w:shd w:val="clear" w:color="auto" w:fill="auto"/>
          </w:tcPr>
          <w:p w:rsidR="0060092A" w:rsidRPr="00844146" w:rsidP="0060092A" w14:paraId="7E45ABB9" w14:textId="77777777">
            <w:pPr>
              <w:jc w:val="center"/>
              <w:rPr>
                <w:sz w:val="20"/>
                <w:szCs w:val="20"/>
              </w:rPr>
            </w:pPr>
            <w:r w:rsidRPr="00844146">
              <w:rPr>
                <w:sz w:val="20"/>
                <w:szCs w:val="20"/>
              </w:rPr>
              <w:t>1,500</w:t>
            </w:r>
          </w:p>
        </w:tc>
        <w:tc>
          <w:tcPr>
            <w:tcW w:w="1440" w:type="dxa"/>
            <w:tcBorders>
              <w:top w:val="single" w:sz="6" w:space="0" w:color="000000"/>
              <w:left w:val="single" w:sz="6" w:space="0" w:color="000000"/>
              <w:bottom w:val="single" w:sz="6" w:space="0" w:color="FFFFFF"/>
              <w:right w:val="single" w:sz="6" w:space="0" w:color="FFFFFF"/>
            </w:tcBorders>
            <w:shd w:val="clear" w:color="auto" w:fill="FFFFFF"/>
          </w:tcPr>
          <w:p w:rsidR="0060092A" w:rsidRPr="00844146" w:rsidP="0060092A" w14:paraId="51D9E30C" w14:textId="77777777">
            <w:pPr>
              <w:jc w:val="center"/>
              <w:rPr>
                <w:sz w:val="20"/>
                <w:szCs w:val="20"/>
              </w:rPr>
            </w:pPr>
            <w:r w:rsidRPr="00844146">
              <w:rPr>
                <w:sz w:val="20"/>
                <w:szCs w:val="20"/>
              </w:rPr>
              <w:t>10.25</w:t>
            </w:r>
          </w:p>
        </w:tc>
        <w:tc>
          <w:tcPr>
            <w:tcW w:w="810" w:type="dxa"/>
            <w:tcBorders>
              <w:top w:val="single" w:sz="6" w:space="0" w:color="000000"/>
              <w:left w:val="single" w:sz="6" w:space="0" w:color="000000"/>
              <w:bottom w:val="single" w:sz="6" w:space="0" w:color="FFFFFF"/>
              <w:right w:val="single" w:sz="6" w:space="0" w:color="000000"/>
            </w:tcBorders>
            <w:shd w:val="clear" w:color="auto" w:fill="FFFFFF"/>
          </w:tcPr>
          <w:p w:rsidR="0060092A" w:rsidRPr="00844146" w:rsidP="0060092A" w14:paraId="2EE83387" w14:textId="77777777">
            <w:pPr>
              <w:jc w:val="center"/>
              <w:rPr>
                <w:sz w:val="20"/>
                <w:szCs w:val="20"/>
              </w:rPr>
            </w:pPr>
            <w:r w:rsidRPr="00844146">
              <w:rPr>
                <w:sz w:val="20"/>
                <w:szCs w:val="20"/>
              </w:rPr>
              <w:t>15,375</w:t>
            </w:r>
          </w:p>
        </w:tc>
      </w:tr>
      <w:tr w14:paraId="7686A966" w14:textId="77777777" w:rsidTr="0060092A">
        <w:tblPrEx>
          <w:tblW w:w="9360" w:type="dxa"/>
          <w:tblLayout w:type="fixed"/>
          <w:tblCellMar>
            <w:left w:w="110" w:type="dxa"/>
            <w:right w:w="110" w:type="dxa"/>
          </w:tblCellMar>
          <w:tblLook w:val="0000"/>
        </w:tblPrEx>
        <w:trPr>
          <w:cantSplit/>
          <w:trHeight w:val="20"/>
        </w:trPr>
        <w:tc>
          <w:tcPr>
            <w:tcW w:w="3330" w:type="dxa"/>
            <w:tcBorders>
              <w:top w:val="single" w:sz="6" w:space="0" w:color="000000"/>
              <w:left w:val="single" w:sz="6" w:space="0" w:color="000000"/>
              <w:bottom w:val="single" w:sz="6" w:space="0" w:color="FFFFFF"/>
              <w:right w:val="single" w:sz="6" w:space="0" w:color="FFFFFF"/>
            </w:tcBorders>
          </w:tcPr>
          <w:p w:rsidR="0060092A" w:rsidRPr="00844146" w:rsidP="00CD2C94" w14:paraId="2DA66456" w14:textId="72175114">
            <w:pPr>
              <w:rPr>
                <w:sz w:val="20"/>
                <w:szCs w:val="20"/>
              </w:rPr>
            </w:pPr>
            <w:r w:rsidRPr="00844146">
              <w:rPr>
                <w:sz w:val="20"/>
                <w:szCs w:val="20"/>
              </w:rPr>
              <w:t>812.28(c);</w:t>
            </w:r>
            <w:r w:rsidR="00CD2C94">
              <w:rPr>
                <w:sz w:val="20"/>
                <w:szCs w:val="20"/>
              </w:rPr>
              <w:t xml:space="preserve"> </w:t>
            </w:r>
            <w:r w:rsidRPr="00844146">
              <w:rPr>
                <w:sz w:val="20"/>
                <w:szCs w:val="20"/>
              </w:rPr>
              <w:t>waivers</w:t>
            </w:r>
          </w:p>
        </w:tc>
        <w:tc>
          <w:tcPr>
            <w:tcW w:w="1350" w:type="dxa"/>
            <w:tcBorders>
              <w:top w:val="single" w:sz="6" w:space="0" w:color="000000"/>
              <w:left w:val="single" w:sz="6" w:space="0" w:color="000000"/>
              <w:bottom w:val="single" w:sz="6" w:space="0" w:color="FFFFFF"/>
              <w:right w:val="single" w:sz="6" w:space="0" w:color="FFFFFF"/>
            </w:tcBorders>
            <w:shd w:val="clear" w:color="auto" w:fill="auto"/>
          </w:tcPr>
          <w:p w:rsidR="0060092A" w:rsidRPr="00844146" w:rsidP="0060092A" w14:paraId="63640205" w14:textId="77777777">
            <w:pPr>
              <w:jc w:val="center"/>
              <w:rPr>
                <w:sz w:val="20"/>
                <w:szCs w:val="20"/>
              </w:rPr>
            </w:pPr>
            <w:r w:rsidRPr="00844146">
              <w:rPr>
                <w:sz w:val="20"/>
                <w:szCs w:val="20"/>
              </w:rPr>
              <w:t>10</w:t>
            </w:r>
          </w:p>
        </w:tc>
        <w:tc>
          <w:tcPr>
            <w:tcW w:w="1350" w:type="dxa"/>
            <w:tcBorders>
              <w:top w:val="single" w:sz="6" w:space="0" w:color="000000"/>
              <w:left w:val="single" w:sz="6" w:space="0" w:color="000000"/>
              <w:bottom w:val="single" w:sz="6" w:space="0" w:color="FFFFFF"/>
              <w:right w:val="single" w:sz="6" w:space="0" w:color="FFFFFF"/>
            </w:tcBorders>
            <w:shd w:val="clear" w:color="auto" w:fill="FFFFFF"/>
          </w:tcPr>
          <w:p w:rsidR="0060092A" w:rsidRPr="00844146" w:rsidP="0060092A" w14:paraId="0EAE5E4C" w14:textId="77777777">
            <w:pPr>
              <w:jc w:val="center"/>
              <w:rPr>
                <w:sz w:val="20"/>
                <w:szCs w:val="20"/>
              </w:rPr>
            </w:pPr>
            <w:r w:rsidRPr="00844146">
              <w:rPr>
                <w:sz w:val="20"/>
                <w:szCs w:val="20"/>
              </w:rPr>
              <w:t>1</w:t>
            </w:r>
          </w:p>
        </w:tc>
        <w:tc>
          <w:tcPr>
            <w:tcW w:w="1080" w:type="dxa"/>
            <w:tcBorders>
              <w:top w:val="single" w:sz="6" w:space="0" w:color="000000"/>
              <w:left w:val="single" w:sz="6" w:space="0" w:color="000000"/>
              <w:bottom w:val="single" w:sz="6" w:space="0" w:color="FFFFFF"/>
              <w:right w:val="single" w:sz="6" w:space="0" w:color="FFFFFF"/>
            </w:tcBorders>
            <w:shd w:val="clear" w:color="auto" w:fill="auto"/>
          </w:tcPr>
          <w:p w:rsidR="0060092A" w:rsidRPr="00844146" w:rsidP="0060092A" w14:paraId="52645357" w14:textId="77777777">
            <w:pPr>
              <w:jc w:val="center"/>
              <w:rPr>
                <w:sz w:val="20"/>
                <w:szCs w:val="20"/>
              </w:rPr>
            </w:pPr>
            <w:r w:rsidRPr="00844146">
              <w:rPr>
                <w:sz w:val="20"/>
                <w:szCs w:val="20"/>
              </w:rPr>
              <w:t>10</w:t>
            </w:r>
          </w:p>
        </w:tc>
        <w:tc>
          <w:tcPr>
            <w:tcW w:w="1440" w:type="dxa"/>
            <w:tcBorders>
              <w:top w:val="single" w:sz="6" w:space="0" w:color="000000"/>
              <w:left w:val="single" w:sz="6" w:space="0" w:color="000000"/>
              <w:bottom w:val="single" w:sz="6" w:space="0" w:color="FFFFFF"/>
              <w:right w:val="single" w:sz="6" w:space="0" w:color="FFFFFF"/>
            </w:tcBorders>
            <w:shd w:val="clear" w:color="auto" w:fill="FFFFFF"/>
          </w:tcPr>
          <w:p w:rsidR="0060092A" w:rsidRPr="00844146" w:rsidP="0060092A" w14:paraId="6DDE0040" w14:textId="77777777">
            <w:pPr>
              <w:jc w:val="center"/>
              <w:rPr>
                <w:sz w:val="20"/>
                <w:szCs w:val="20"/>
              </w:rPr>
            </w:pPr>
            <w:r w:rsidRPr="00844146">
              <w:rPr>
                <w:sz w:val="20"/>
                <w:szCs w:val="20"/>
              </w:rPr>
              <w:t>1</w:t>
            </w:r>
          </w:p>
        </w:tc>
        <w:tc>
          <w:tcPr>
            <w:tcW w:w="810" w:type="dxa"/>
            <w:tcBorders>
              <w:top w:val="single" w:sz="6" w:space="0" w:color="000000"/>
              <w:left w:val="single" w:sz="6" w:space="0" w:color="000000"/>
              <w:bottom w:val="single" w:sz="6" w:space="0" w:color="FFFFFF"/>
              <w:right w:val="single" w:sz="6" w:space="0" w:color="000000"/>
            </w:tcBorders>
            <w:shd w:val="clear" w:color="auto" w:fill="FFFFFF"/>
          </w:tcPr>
          <w:p w:rsidR="0060092A" w:rsidRPr="00844146" w:rsidP="0060092A" w14:paraId="78BC9AAC" w14:textId="77777777">
            <w:pPr>
              <w:jc w:val="center"/>
              <w:rPr>
                <w:sz w:val="20"/>
                <w:szCs w:val="20"/>
              </w:rPr>
            </w:pPr>
            <w:r w:rsidRPr="00844146">
              <w:rPr>
                <w:sz w:val="20"/>
                <w:szCs w:val="20"/>
              </w:rPr>
              <w:t>10</w:t>
            </w:r>
          </w:p>
        </w:tc>
      </w:tr>
      <w:tr w14:paraId="20F8DA98" w14:textId="77777777" w:rsidTr="0060092A">
        <w:tblPrEx>
          <w:tblW w:w="9360" w:type="dxa"/>
          <w:tblLayout w:type="fixed"/>
          <w:tblCellMar>
            <w:left w:w="110" w:type="dxa"/>
            <w:right w:w="110" w:type="dxa"/>
          </w:tblCellMar>
          <w:tblLook w:val="0000"/>
        </w:tblPrEx>
        <w:trPr>
          <w:cantSplit/>
          <w:trHeight w:val="20"/>
        </w:trPr>
        <w:tc>
          <w:tcPr>
            <w:tcW w:w="3330" w:type="dxa"/>
            <w:tcBorders>
              <w:top w:val="single" w:sz="6" w:space="0" w:color="000000"/>
              <w:left w:val="single" w:sz="6" w:space="0" w:color="000000"/>
              <w:bottom w:val="single" w:sz="6" w:space="0" w:color="000000"/>
              <w:right w:val="single" w:sz="6" w:space="0" w:color="FFFFFF"/>
            </w:tcBorders>
          </w:tcPr>
          <w:p w:rsidR="0060092A" w:rsidRPr="00844146" w:rsidP="00CD2C94" w14:paraId="271DA412" w14:textId="77777777">
            <w:pPr>
              <w:rPr>
                <w:sz w:val="20"/>
                <w:szCs w:val="20"/>
              </w:rPr>
            </w:pPr>
            <w:r w:rsidRPr="00844146">
              <w:rPr>
                <w:sz w:val="20"/>
                <w:szCs w:val="20"/>
              </w:rPr>
              <w:t>812.35 and 812.150; application supplements</w:t>
            </w:r>
          </w:p>
        </w:tc>
        <w:tc>
          <w:tcPr>
            <w:tcW w:w="1350" w:type="dxa"/>
            <w:tcBorders>
              <w:top w:val="single" w:sz="6" w:space="0" w:color="000000"/>
              <w:left w:val="single" w:sz="6" w:space="0" w:color="000000"/>
              <w:bottom w:val="single" w:sz="6" w:space="0" w:color="000000"/>
              <w:right w:val="single" w:sz="6" w:space="0" w:color="FFFFFF"/>
            </w:tcBorders>
            <w:shd w:val="clear" w:color="auto" w:fill="auto"/>
          </w:tcPr>
          <w:p w:rsidR="0060092A" w:rsidRPr="00844146" w:rsidP="0060092A" w14:paraId="372BFD50" w14:textId="77777777">
            <w:pPr>
              <w:jc w:val="center"/>
              <w:rPr>
                <w:sz w:val="20"/>
                <w:szCs w:val="20"/>
              </w:rPr>
            </w:pPr>
            <w:r w:rsidRPr="00844146">
              <w:rPr>
                <w:sz w:val="20"/>
                <w:szCs w:val="20"/>
              </w:rPr>
              <w:t>824</w:t>
            </w:r>
          </w:p>
        </w:tc>
        <w:tc>
          <w:tcPr>
            <w:tcW w:w="1350" w:type="dxa"/>
            <w:tcBorders>
              <w:top w:val="single" w:sz="6" w:space="0" w:color="000000"/>
              <w:left w:val="single" w:sz="6" w:space="0" w:color="000000"/>
              <w:bottom w:val="single" w:sz="6" w:space="0" w:color="000000"/>
              <w:right w:val="single" w:sz="6" w:space="0" w:color="FFFFFF"/>
            </w:tcBorders>
            <w:shd w:val="clear" w:color="auto" w:fill="FFFFFF"/>
          </w:tcPr>
          <w:p w:rsidR="0060092A" w:rsidRPr="00844146" w:rsidP="0060092A" w14:paraId="2DA1B770" w14:textId="77777777">
            <w:pPr>
              <w:jc w:val="center"/>
              <w:rPr>
                <w:sz w:val="20"/>
                <w:szCs w:val="20"/>
              </w:rPr>
            </w:pPr>
            <w:r w:rsidRPr="00844146">
              <w:rPr>
                <w:sz w:val="20"/>
                <w:szCs w:val="20"/>
              </w:rPr>
              <w:t>5</w:t>
            </w:r>
          </w:p>
        </w:tc>
        <w:tc>
          <w:tcPr>
            <w:tcW w:w="1080" w:type="dxa"/>
            <w:tcBorders>
              <w:top w:val="single" w:sz="6" w:space="0" w:color="000000"/>
              <w:left w:val="single" w:sz="6" w:space="0" w:color="000000"/>
              <w:bottom w:val="single" w:sz="6" w:space="0" w:color="000000"/>
              <w:right w:val="single" w:sz="6" w:space="0" w:color="FFFFFF"/>
            </w:tcBorders>
            <w:shd w:val="clear" w:color="auto" w:fill="auto"/>
          </w:tcPr>
          <w:p w:rsidR="0060092A" w:rsidRPr="00844146" w:rsidP="0060092A" w14:paraId="30070134" w14:textId="77777777">
            <w:pPr>
              <w:jc w:val="center"/>
              <w:rPr>
                <w:sz w:val="20"/>
                <w:szCs w:val="20"/>
              </w:rPr>
            </w:pPr>
            <w:r w:rsidRPr="00844146">
              <w:rPr>
                <w:sz w:val="20"/>
                <w:szCs w:val="20"/>
              </w:rPr>
              <w:t>4,120</w:t>
            </w:r>
          </w:p>
        </w:tc>
        <w:tc>
          <w:tcPr>
            <w:tcW w:w="1440" w:type="dxa"/>
            <w:tcBorders>
              <w:top w:val="single" w:sz="6" w:space="0" w:color="000000"/>
              <w:left w:val="single" w:sz="6" w:space="0" w:color="000000"/>
              <w:bottom w:val="single" w:sz="6" w:space="0" w:color="000000"/>
              <w:right w:val="single" w:sz="6" w:space="0" w:color="FFFFFF"/>
            </w:tcBorders>
            <w:shd w:val="clear" w:color="auto" w:fill="FFFFFF"/>
          </w:tcPr>
          <w:p w:rsidR="0060092A" w:rsidRPr="00844146" w:rsidP="0060092A" w14:paraId="17C6069A" w14:textId="77777777">
            <w:pPr>
              <w:jc w:val="center"/>
              <w:rPr>
                <w:sz w:val="20"/>
                <w:szCs w:val="20"/>
              </w:rPr>
            </w:pPr>
            <w:r w:rsidRPr="00844146">
              <w:rPr>
                <w:sz w:val="20"/>
                <w:szCs w:val="20"/>
              </w:rPr>
              <w:t>6</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60092A" w:rsidRPr="00844146" w:rsidP="0060092A" w14:paraId="22F80C34" w14:textId="77777777">
            <w:pPr>
              <w:jc w:val="center"/>
              <w:rPr>
                <w:sz w:val="20"/>
                <w:szCs w:val="20"/>
              </w:rPr>
            </w:pPr>
            <w:r w:rsidRPr="00844146">
              <w:rPr>
                <w:sz w:val="20"/>
                <w:szCs w:val="20"/>
              </w:rPr>
              <w:t>24,720</w:t>
            </w:r>
          </w:p>
        </w:tc>
      </w:tr>
      <w:tr w14:paraId="7B387016" w14:textId="77777777" w:rsidTr="0060092A">
        <w:tblPrEx>
          <w:tblW w:w="9360" w:type="dxa"/>
          <w:tblLayout w:type="fixed"/>
          <w:tblCellMar>
            <w:left w:w="110" w:type="dxa"/>
            <w:right w:w="110" w:type="dxa"/>
          </w:tblCellMar>
          <w:tblLook w:val="0000"/>
        </w:tblPrEx>
        <w:trPr>
          <w:cantSplit/>
          <w:trHeight w:val="20"/>
        </w:trPr>
        <w:tc>
          <w:tcPr>
            <w:tcW w:w="3330" w:type="dxa"/>
            <w:tcBorders>
              <w:top w:val="single" w:sz="6" w:space="0" w:color="000000"/>
              <w:left w:val="single" w:sz="6" w:space="0" w:color="000000"/>
              <w:bottom w:val="single" w:sz="6" w:space="0" w:color="000000"/>
              <w:right w:val="single" w:sz="6" w:space="0" w:color="FFFFFF"/>
            </w:tcBorders>
          </w:tcPr>
          <w:p w:rsidR="0060092A" w:rsidRPr="00844146" w:rsidP="00CD2C94" w14:paraId="05E6B970" w14:textId="77777777">
            <w:pPr>
              <w:rPr>
                <w:sz w:val="20"/>
                <w:szCs w:val="20"/>
              </w:rPr>
            </w:pPr>
            <w:r w:rsidRPr="00844146">
              <w:rPr>
                <w:sz w:val="20"/>
                <w:szCs w:val="20"/>
              </w:rPr>
              <w:t>812.36(c); treatment IDE applications</w:t>
            </w:r>
          </w:p>
        </w:tc>
        <w:tc>
          <w:tcPr>
            <w:tcW w:w="1350" w:type="dxa"/>
            <w:tcBorders>
              <w:top w:val="single" w:sz="6" w:space="0" w:color="000000"/>
              <w:left w:val="single" w:sz="6" w:space="0" w:color="000000"/>
              <w:bottom w:val="single" w:sz="6" w:space="0" w:color="000000"/>
              <w:right w:val="single" w:sz="6" w:space="0" w:color="FFFFFF"/>
            </w:tcBorders>
            <w:shd w:val="clear" w:color="auto" w:fill="auto"/>
          </w:tcPr>
          <w:p w:rsidR="0060092A" w:rsidRPr="00844146" w:rsidP="0060092A" w14:paraId="7F64A459" w14:textId="77777777">
            <w:pPr>
              <w:jc w:val="center"/>
              <w:rPr>
                <w:sz w:val="20"/>
                <w:szCs w:val="20"/>
              </w:rPr>
            </w:pPr>
            <w:r w:rsidRPr="00844146">
              <w:rPr>
                <w:sz w:val="20"/>
                <w:szCs w:val="20"/>
              </w:rPr>
              <w:t>1</w:t>
            </w:r>
          </w:p>
        </w:tc>
        <w:tc>
          <w:tcPr>
            <w:tcW w:w="1350" w:type="dxa"/>
            <w:tcBorders>
              <w:top w:val="single" w:sz="6" w:space="0" w:color="000000"/>
              <w:left w:val="single" w:sz="6" w:space="0" w:color="000000"/>
              <w:bottom w:val="single" w:sz="6" w:space="0" w:color="000000"/>
              <w:right w:val="single" w:sz="6" w:space="0" w:color="FFFFFF"/>
            </w:tcBorders>
            <w:shd w:val="clear" w:color="auto" w:fill="FFFFFF"/>
          </w:tcPr>
          <w:p w:rsidR="0060092A" w:rsidRPr="00844146" w:rsidP="0060092A" w14:paraId="5301E00B" w14:textId="77777777">
            <w:pPr>
              <w:jc w:val="center"/>
              <w:rPr>
                <w:sz w:val="20"/>
                <w:szCs w:val="20"/>
              </w:rPr>
            </w:pPr>
            <w:r w:rsidRPr="00844146">
              <w:rPr>
                <w:sz w:val="20"/>
                <w:szCs w:val="20"/>
              </w:rPr>
              <w:t>1</w:t>
            </w:r>
          </w:p>
        </w:tc>
        <w:tc>
          <w:tcPr>
            <w:tcW w:w="1080" w:type="dxa"/>
            <w:tcBorders>
              <w:top w:val="single" w:sz="6" w:space="0" w:color="000000"/>
              <w:left w:val="single" w:sz="6" w:space="0" w:color="000000"/>
              <w:bottom w:val="single" w:sz="6" w:space="0" w:color="000000"/>
              <w:right w:val="single" w:sz="6" w:space="0" w:color="FFFFFF"/>
            </w:tcBorders>
            <w:shd w:val="clear" w:color="auto" w:fill="auto"/>
          </w:tcPr>
          <w:p w:rsidR="0060092A" w:rsidRPr="00844146" w:rsidP="0060092A" w14:paraId="09FCEDA0" w14:textId="77777777">
            <w:pPr>
              <w:jc w:val="center"/>
              <w:rPr>
                <w:sz w:val="20"/>
                <w:szCs w:val="20"/>
              </w:rPr>
            </w:pPr>
            <w:r w:rsidRPr="00844146">
              <w:rPr>
                <w:sz w:val="20"/>
                <w:szCs w:val="20"/>
              </w:rPr>
              <w:t>1</w:t>
            </w:r>
          </w:p>
        </w:tc>
        <w:tc>
          <w:tcPr>
            <w:tcW w:w="1440" w:type="dxa"/>
            <w:tcBorders>
              <w:top w:val="single" w:sz="6" w:space="0" w:color="000000"/>
              <w:left w:val="single" w:sz="6" w:space="0" w:color="000000"/>
              <w:bottom w:val="single" w:sz="6" w:space="0" w:color="000000"/>
              <w:right w:val="single" w:sz="6" w:space="0" w:color="FFFFFF"/>
            </w:tcBorders>
            <w:shd w:val="clear" w:color="auto" w:fill="FFFFFF"/>
          </w:tcPr>
          <w:p w:rsidR="0060092A" w:rsidRPr="00844146" w:rsidP="0060092A" w14:paraId="4734CE9E" w14:textId="77777777">
            <w:pPr>
              <w:jc w:val="center"/>
              <w:rPr>
                <w:sz w:val="20"/>
                <w:szCs w:val="20"/>
              </w:rPr>
            </w:pPr>
            <w:r w:rsidRPr="00844146">
              <w:rPr>
                <w:sz w:val="20"/>
                <w:szCs w:val="20"/>
              </w:rPr>
              <w:t>120</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60092A" w:rsidRPr="00844146" w:rsidP="0060092A" w14:paraId="4FE765C7" w14:textId="77777777">
            <w:pPr>
              <w:jc w:val="center"/>
              <w:rPr>
                <w:sz w:val="20"/>
                <w:szCs w:val="20"/>
              </w:rPr>
            </w:pPr>
            <w:r w:rsidRPr="00844146">
              <w:rPr>
                <w:sz w:val="20"/>
                <w:szCs w:val="20"/>
              </w:rPr>
              <w:t>120</w:t>
            </w:r>
          </w:p>
        </w:tc>
      </w:tr>
      <w:tr w14:paraId="543177A5" w14:textId="77777777" w:rsidTr="0060092A">
        <w:tblPrEx>
          <w:tblW w:w="9360" w:type="dxa"/>
          <w:tblLayout w:type="fixed"/>
          <w:tblCellMar>
            <w:left w:w="110" w:type="dxa"/>
            <w:right w:w="110" w:type="dxa"/>
          </w:tblCellMar>
          <w:tblLook w:val="0000"/>
        </w:tblPrEx>
        <w:trPr>
          <w:cantSplit/>
          <w:trHeight w:val="20"/>
        </w:trPr>
        <w:tc>
          <w:tcPr>
            <w:tcW w:w="3330" w:type="dxa"/>
            <w:tcBorders>
              <w:top w:val="single" w:sz="6" w:space="0" w:color="000000"/>
              <w:left w:val="single" w:sz="6" w:space="0" w:color="000000"/>
              <w:bottom w:val="single" w:sz="6" w:space="0" w:color="000000"/>
              <w:right w:val="single" w:sz="6" w:space="0" w:color="FFFFFF"/>
            </w:tcBorders>
          </w:tcPr>
          <w:p w:rsidR="0060092A" w:rsidRPr="00844146" w:rsidP="00CD2C94" w14:paraId="3F30F24E" w14:textId="77777777">
            <w:pPr>
              <w:rPr>
                <w:sz w:val="20"/>
                <w:szCs w:val="20"/>
              </w:rPr>
            </w:pPr>
            <w:r w:rsidRPr="00844146">
              <w:rPr>
                <w:sz w:val="20"/>
                <w:szCs w:val="20"/>
              </w:rPr>
              <w:t>812.36(f); treatment IDE reports</w:t>
            </w:r>
          </w:p>
        </w:tc>
        <w:tc>
          <w:tcPr>
            <w:tcW w:w="1350" w:type="dxa"/>
            <w:tcBorders>
              <w:top w:val="single" w:sz="6" w:space="0" w:color="000000"/>
              <w:left w:val="single" w:sz="6" w:space="0" w:color="000000"/>
              <w:bottom w:val="single" w:sz="6" w:space="0" w:color="000000"/>
              <w:right w:val="single" w:sz="6" w:space="0" w:color="FFFFFF"/>
            </w:tcBorders>
            <w:shd w:val="clear" w:color="auto" w:fill="auto"/>
          </w:tcPr>
          <w:p w:rsidR="0060092A" w:rsidRPr="00844146" w:rsidP="0060092A" w14:paraId="53CC6CFB" w14:textId="77777777">
            <w:pPr>
              <w:jc w:val="center"/>
              <w:rPr>
                <w:sz w:val="20"/>
                <w:szCs w:val="20"/>
              </w:rPr>
            </w:pPr>
            <w:r w:rsidRPr="00844146">
              <w:rPr>
                <w:sz w:val="20"/>
                <w:szCs w:val="20"/>
              </w:rPr>
              <w:t>1</w:t>
            </w:r>
          </w:p>
        </w:tc>
        <w:tc>
          <w:tcPr>
            <w:tcW w:w="1350" w:type="dxa"/>
            <w:tcBorders>
              <w:top w:val="single" w:sz="6" w:space="0" w:color="000000"/>
              <w:left w:val="single" w:sz="6" w:space="0" w:color="000000"/>
              <w:bottom w:val="single" w:sz="6" w:space="0" w:color="000000"/>
              <w:right w:val="single" w:sz="6" w:space="0" w:color="FFFFFF"/>
            </w:tcBorders>
            <w:shd w:val="clear" w:color="auto" w:fill="FFFFFF"/>
          </w:tcPr>
          <w:p w:rsidR="0060092A" w:rsidRPr="00844146" w:rsidP="0060092A" w14:paraId="647DC06F" w14:textId="77777777">
            <w:pPr>
              <w:jc w:val="center"/>
              <w:rPr>
                <w:sz w:val="20"/>
                <w:szCs w:val="20"/>
              </w:rPr>
            </w:pPr>
            <w:r w:rsidRPr="00844146">
              <w:rPr>
                <w:sz w:val="20"/>
                <w:szCs w:val="20"/>
              </w:rPr>
              <w:t>1</w:t>
            </w:r>
          </w:p>
        </w:tc>
        <w:tc>
          <w:tcPr>
            <w:tcW w:w="1080" w:type="dxa"/>
            <w:tcBorders>
              <w:top w:val="single" w:sz="6" w:space="0" w:color="000000"/>
              <w:left w:val="single" w:sz="6" w:space="0" w:color="000000"/>
              <w:bottom w:val="single" w:sz="6" w:space="0" w:color="000000"/>
              <w:right w:val="single" w:sz="6" w:space="0" w:color="FFFFFF"/>
            </w:tcBorders>
            <w:shd w:val="clear" w:color="auto" w:fill="auto"/>
          </w:tcPr>
          <w:p w:rsidR="0060092A" w:rsidRPr="00844146" w:rsidP="0060092A" w14:paraId="474C47B4" w14:textId="77777777">
            <w:pPr>
              <w:jc w:val="center"/>
              <w:rPr>
                <w:sz w:val="20"/>
                <w:szCs w:val="20"/>
              </w:rPr>
            </w:pPr>
            <w:r w:rsidRPr="00844146">
              <w:rPr>
                <w:sz w:val="20"/>
                <w:szCs w:val="20"/>
              </w:rPr>
              <w:t>1</w:t>
            </w:r>
          </w:p>
        </w:tc>
        <w:tc>
          <w:tcPr>
            <w:tcW w:w="1440" w:type="dxa"/>
            <w:tcBorders>
              <w:top w:val="single" w:sz="6" w:space="0" w:color="000000"/>
              <w:left w:val="single" w:sz="6" w:space="0" w:color="000000"/>
              <w:bottom w:val="single" w:sz="6" w:space="0" w:color="000000"/>
              <w:right w:val="single" w:sz="6" w:space="0" w:color="FFFFFF"/>
            </w:tcBorders>
            <w:shd w:val="clear" w:color="auto" w:fill="FFFFFF"/>
          </w:tcPr>
          <w:p w:rsidR="0060092A" w:rsidRPr="00844146" w:rsidP="0060092A" w14:paraId="54679503" w14:textId="77777777">
            <w:pPr>
              <w:jc w:val="center"/>
              <w:rPr>
                <w:sz w:val="20"/>
                <w:szCs w:val="20"/>
              </w:rPr>
            </w:pPr>
            <w:r w:rsidRPr="00844146">
              <w:rPr>
                <w:sz w:val="20"/>
                <w:szCs w:val="20"/>
              </w:rPr>
              <w:t>20</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60092A" w:rsidRPr="00844146" w:rsidP="0060092A" w14:paraId="24CC7F04" w14:textId="77777777">
            <w:pPr>
              <w:jc w:val="center"/>
              <w:rPr>
                <w:sz w:val="20"/>
                <w:szCs w:val="20"/>
              </w:rPr>
            </w:pPr>
            <w:r w:rsidRPr="00844146">
              <w:rPr>
                <w:sz w:val="20"/>
                <w:szCs w:val="20"/>
              </w:rPr>
              <w:t>20</w:t>
            </w:r>
          </w:p>
        </w:tc>
      </w:tr>
      <w:tr w14:paraId="4F23B136" w14:textId="77777777" w:rsidTr="0060092A">
        <w:tblPrEx>
          <w:tblW w:w="9360" w:type="dxa"/>
          <w:tblLayout w:type="fixed"/>
          <w:tblCellMar>
            <w:left w:w="110" w:type="dxa"/>
            <w:right w:w="110" w:type="dxa"/>
          </w:tblCellMar>
          <w:tblLook w:val="0000"/>
        </w:tblPrEx>
        <w:trPr>
          <w:cantSplit/>
          <w:trHeight w:val="20"/>
        </w:trPr>
        <w:tc>
          <w:tcPr>
            <w:tcW w:w="3330" w:type="dxa"/>
            <w:tcBorders>
              <w:top w:val="single" w:sz="6" w:space="0" w:color="000000"/>
              <w:left w:val="single" w:sz="6" w:space="0" w:color="000000"/>
              <w:bottom w:val="single" w:sz="6" w:space="0" w:color="000000"/>
              <w:right w:val="single" w:sz="6" w:space="0" w:color="FFFFFF"/>
            </w:tcBorders>
          </w:tcPr>
          <w:p w:rsidR="0060092A" w:rsidRPr="00844146" w:rsidP="00CD2C94" w14:paraId="08C7E1D1" w14:textId="77777777">
            <w:pPr>
              <w:rPr>
                <w:sz w:val="20"/>
                <w:szCs w:val="20"/>
              </w:rPr>
            </w:pPr>
            <w:r w:rsidRPr="00844146">
              <w:rPr>
                <w:sz w:val="20"/>
                <w:szCs w:val="20"/>
              </w:rPr>
              <w:t>812.150; non-significant risk study reports to third parties</w:t>
            </w:r>
          </w:p>
        </w:tc>
        <w:tc>
          <w:tcPr>
            <w:tcW w:w="1350" w:type="dxa"/>
            <w:tcBorders>
              <w:top w:val="single" w:sz="6" w:space="0" w:color="000000"/>
              <w:left w:val="single" w:sz="6" w:space="0" w:color="000000"/>
              <w:bottom w:val="single" w:sz="6" w:space="0" w:color="000000"/>
              <w:right w:val="single" w:sz="6" w:space="0" w:color="FFFFFF"/>
            </w:tcBorders>
            <w:shd w:val="clear" w:color="auto" w:fill="auto"/>
          </w:tcPr>
          <w:p w:rsidR="0060092A" w:rsidRPr="00844146" w:rsidP="0060092A" w14:paraId="772EBF7A" w14:textId="77777777">
            <w:pPr>
              <w:jc w:val="center"/>
              <w:rPr>
                <w:sz w:val="20"/>
                <w:szCs w:val="20"/>
              </w:rPr>
            </w:pPr>
            <w:r w:rsidRPr="00844146">
              <w:rPr>
                <w:sz w:val="20"/>
                <w:szCs w:val="20"/>
              </w:rPr>
              <w:t>1</w:t>
            </w:r>
          </w:p>
        </w:tc>
        <w:tc>
          <w:tcPr>
            <w:tcW w:w="1350" w:type="dxa"/>
            <w:tcBorders>
              <w:top w:val="single" w:sz="6" w:space="0" w:color="000000"/>
              <w:left w:val="single" w:sz="6" w:space="0" w:color="000000"/>
              <w:bottom w:val="single" w:sz="6" w:space="0" w:color="000000"/>
              <w:right w:val="single" w:sz="6" w:space="0" w:color="FFFFFF"/>
            </w:tcBorders>
            <w:shd w:val="clear" w:color="auto" w:fill="FFFFFF"/>
          </w:tcPr>
          <w:p w:rsidR="0060092A" w:rsidRPr="00844146" w:rsidP="0060092A" w14:paraId="5774A022" w14:textId="77777777">
            <w:pPr>
              <w:jc w:val="center"/>
              <w:rPr>
                <w:sz w:val="20"/>
                <w:szCs w:val="20"/>
              </w:rPr>
            </w:pPr>
            <w:r w:rsidRPr="00844146">
              <w:rPr>
                <w:sz w:val="20"/>
                <w:szCs w:val="20"/>
              </w:rPr>
              <w:t>1</w:t>
            </w:r>
          </w:p>
        </w:tc>
        <w:tc>
          <w:tcPr>
            <w:tcW w:w="1080" w:type="dxa"/>
            <w:tcBorders>
              <w:top w:val="single" w:sz="6" w:space="0" w:color="000000"/>
              <w:left w:val="single" w:sz="6" w:space="0" w:color="000000"/>
              <w:bottom w:val="single" w:sz="6" w:space="0" w:color="000000"/>
              <w:right w:val="single" w:sz="6" w:space="0" w:color="FFFFFF"/>
            </w:tcBorders>
            <w:shd w:val="clear" w:color="auto" w:fill="auto"/>
          </w:tcPr>
          <w:p w:rsidR="0060092A" w:rsidRPr="00844146" w:rsidP="0060092A" w14:paraId="30301916" w14:textId="77777777">
            <w:pPr>
              <w:jc w:val="center"/>
              <w:rPr>
                <w:sz w:val="20"/>
                <w:szCs w:val="20"/>
              </w:rPr>
            </w:pPr>
            <w:r w:rsidRPr="00844146">
              <w:rPr>
                <w:sz w:val="20"/>
                <w:szCs w:val="20"/>
              </w:rPr>
              <w:t>1</w:t>
            </w:r>
          </w:p>
        </w:tc>
        <w:tc>
          <w:tcPr>
            <w:tcW w:w="1440" w:type="dxa"/>
            <w:tcBorders>
              <w:top w:val="single" w:sz="6" w:space="0" w:color="000000"/>
              <w:left w:val="single" w:sz="6" w:space="0" w:color="000000"/>
              <w:bottom w:val="single" w:sz="6" w:space="0" w:color="000000"/>
              <w:right w:val="single" w:sz="6" w:space="0" w:color="FFFFFF"/>
            </w:tcBorders>
            <w:shd w:val="clear" w:color="auto" w:fill="FFFFFF"/>
          </w:tcPr>
          <w:p w:rsidR="0060092A" w:rsidRPr="00844146" w:rsidP="0060092A" w14:paraId="403F2793" w14:textId="77777777">
            <w:pPr>
              <w:jc w:val="center"/>
              <w:rPr>
                <w:sz w:val="20"/>
                <w:szCs w:val="20"/>
              </w:rPr>
            </w:pPr>
            <w:r w:rsidRPr="00844146">
              <w:rPr>
                <w:sz w:val="20"/>
                <w:szCs w:val="20"/>
              </w:rPr>
              <w:t>6</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60092A" w:rsidRPr="00844146" w:rsidP="0060092A" w14:paraId="51DE1049" w14:textId="77777777">
            <w:pPr>
              <w:jc w:val="center"/>
              <w:rPr>
                <w:sz w:val="20"/>
                <w:szCs w:val="20"/>
              </w:rPr>
            </w:pPr>
            <w:r w:rsidRPr="00844146">
              <w:rPr>
                <w:sz w:val="20"/>
                <w:szCs w:val="20"/>
              </w:rPr>
              <w:t>6</w:t>
            </w:r>
          </w:p>
        </w:tc>
      </w:tr>
      <w:tr w14:paraId="2C2B4080" w14:textId="77777777" w:rsidTr="0060092A">
        <w:tblPrEx>
          <w:tblW w:w="9360" w:type="dxa"/>
          <w:tblLayout w:type="fixed"/>
          <w:tblCellMar>
            <w:left w:w="110" w:type="dxa"/>
            <w:right w:w="110" w:type="dxa"/>
          </w:tblCellMar>
          <w:tblLook w:val="0000"/>
        </w:tblPrEx>
        <w:trPr>
          <w:cantSplit/>
          <w:trHeight w:val="20"/>
        </w:trPr>
        <w:tc>
          <w:tcPr>
            <w:tcW w:w="3330" w:type="dxa"/>
            <w:tcBorders>
              <w:top w:val="single" w:sz="6" w:space="0" w:color="000000"/>
              <w:left w:val="single" w:sz="6" w:space="0" w:color="000000"/>
              <w:bottom w:val="single" w:sz="6" w:space="0" w:color="000000"/>
              <w:right w:val="single" w:sz="6" w:space="0" w:color="FFFFFF"/>
            </w:tcBorders>
          </w:tcPr>
          <w:p w:rsidR="0060092A" w:rsidRPr="00844146" w:rsidP="0060092A" w14:paraId="275245A7" w14:textId="77777777">
            <w:pPr>
              <w:jc w:val="center"/>
              <w:rPr>
                <w:sz w:val="20"/>
                <w:szCs w:val="20"/>
              </w:rPr>
            </w:pPr>
            <w:r w:rsidRPr="00844146">
              <w:rPr>
                <w:sz w:val="20"/>
                <w:szCs w:val="20"/>
              </w:rPr>
              <w:t>Total</w:t>
            </w:r>
          </w:p>
        </w:tc>
        <w:tc>
          <w:tcPr>
            <w:tcW w:w="1350" w:type="dxa"/>
            <w:tcBorders>
              <w:top w:val="single" w:sz="6" w:space="0" w:color="000000"/>
              <w:left w:val="single" w:sz="6" w:space="0" w:color="000000"/>
              <w:bottom w:val="single" w:sz="6" w:space="0" w:color="000000"/>
              <w:right w:val="single" w:sz="6" w:space="0" w:color="FFFFFF"/>
            </w:tcBorders>
            <w:shd w:val="clear" w:color="auto" w:fill="auto"/>
          </w:tcPr>
          <w:p w:rsidR="0060092A" w:rsidRPr="00844146" w:rsidP="0060092A" w14:paraId="1A46D3C3" w14:textId="77777777">
            <w:pPr>
              <w:jc w:val="center"/>
              <w:rPr>
                <w:sz w:val="20"/>
                <w:szCs w:val="20"/>
              </w:rPr>
            </w:pPr>
          </w:p>
        </w:tc>
        <w:tc>
          <w:tcPr>
            <w:tcW w:w="1350" w:type="dxa"/>
            <w:tcBorders>
              <w:top w:val="single" w:sz="6" w:space="0" w:color="000000"/>
              <w:left w:val="single" w:sz="6" w:space="0" w:color="000000"/>
              <w:bottom w:val="single" w:sz="6" w:space="0" w:color="000000"/>
              <w:right w:val="single" w:sz="6" w:space="0" w:color="FFFFFF"/>
            </w:tcBorders>
            <w:shd w:val="clear" w:color="auto" w:fill="FFFFFF"/>
          </w:tcPr>
          <w:p w:rsidR="0060092A" w:rsidRPr="00844146" w:rsidP="0060092A" w14:paraId="2A36AD3E" w14:textId="77777777">
            <w:pPr>
              <w:jc w:val="center"/>
              <w:rPr>
                <w:sz w:val="20"/>
                <w:szCs w:val="20"/>
              </w:rPr>
            </w:pPr>
          </w:p>
        </w:tc>
        <w:tc>
          <w:tcPr>
            <w:tcW w:w="1080" w:type="dxa"/>
            <w:tcBorders>
              <w:top w:val="single" w:sz="6" w:space="0" w:color="000000"/>
              <w:left w:val="single" w:sz="6" w:space="0" w:color="000000"/>
              <w:bottom w:val="single" w:sz="6" w:space="0" w:color="000000"/>
              <w:right w:val="single" w:sz="6" w:space="0" w:color="FFFFFF"/>
            </w:tcBorders>
            <w:shd w:val="clear" w:color="auto" w:fill="auto"/>
          </w:tcPr>
          <w:p w:rsidR="0060092A" w:rsidRPr="00844146" w:rsidP="0060092A" w14:paraId="0EA0EF5B" w14:textId="77777777">
            <w:pPr>
              <w:jc w:val="center"/>
              <w:rPr>
                <w:sz w:val="20"/>
                <w:szCs w:val="20"/>
              </w:rPr>
            </w:pPr>
            <w:r w:rsidRPr="00844146">
              <w:rPr>
                <w:sz w:val="20"/>
                <w:szCs w:val="20"/>
              </w:rPr>
              <w:t>6,552</w:t>
            </w:r>
          </w:p>
        </w:tc>
        <w:tc>
          <w:tcPr>
            <w:tcW w:w="1440" w:type="dxa"/>
            <w:tcBorders>
              <w:top w:val="single" w:sz="6" w:space="0" w:color="000000"/>
              <w:left w:val="single" w:sz="6" w:space="0" w:color="000000"/>
              <w:bottom w:val="single" w:sz="6" w:space="0" w:color="000000"/>
              <w:right w:val="single" w:sz="6" w:space="0" w:color="FFFFFF"/>
            </w:tcBorders>
            <w:shd w:val="clear" w:color="auto" w:fill="FFFFFF"/>
          </w:tcPr>
          <w:p w:rsidR="0060092A" w:rsidRPr="00844146" w:rsidP="0060092A" w14:paraId="4F0B22A4" w14:textId="77777777">
            <w:pPr>
              <w:jc w:val="center"/>
              <w:rPr>
                <w:sz w:val="20"/>
                <w:szCs w:val="20"/>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60092A" w:rsidRPr="00844146" w:rsidP="0060092A" w14:paraId="793CCA56" w14:textId="77777777">
            <w:pPr>
              <w:jc w:val="center"/>
              <w:rPr>
                <w:sz w:val="20"/>
                <w:szCs w:val="20"/>
              </w:rPr>
            </w:pPr>
            <w:r w:rsidRPr="00844146">
              <w:rPr>
                <w:sz w:val="20"/>
                <w:szCs w:val="20"/>
              </w:rPr>
              <w:t>63,828</w:t>
            </w:r>
          </w:p>
        </w:tc>
      </w:tr>
    </w:tbl>
    <w:p w:rsidR="00C41032" w:rsidP="00CD2C94" w14:paraId="11FCD079" w14:textId="10D23E66">
      <w:pPr>
        <w:spacing w:after="200"/>
        <w:ind w:left="360"/>
        <w:rPr>
          <w:sz w:val="20"/>
          <w:szCs w:val="20"/>
        </w:rPr>
      </w:pPr>
      <w:r w:rsidRPr="005C71CA">
        <w:rPr>
          <w:rFonts w:eastAsia="Calibri"/>
        </w:rPr>
        <w:t>12a.  Annualized Hour Burden Estimate</w:t>
      </w:r>
      <w:bookmarkStart w:id="2" w:name="_Hlk194586784"/>
    </w:p>
    <w:p w:rsidR="00965DAC" w:rsidRPr="00AB5194" w:rsidP="00C41032" w14:paraId="2AD66356" w14:textId="77777777">
      <w:pPr>
        <w:rPr>
          <w:sz w:val="20"/>
          <w:szCs w:val="20"/>
        </w:rPr>
      </w:pPr>
    </w:p>
    <w:p w:rsidR="0060092A" w:rsidRPr="0060092A" w:rsidP="0060092A" w14:paraId="7DADA89D" w14:textId="77777777">
      <w:pPr>
        <w:rPr>
          <w:sz w:val="20"/>
          <w:szCs w:val="20"/>
          <w:vertAlign w:val="superscript"/>
        </w:rPr>
      </w:pPr>
      <w:r w:rsidRPr="0060092A">
        <w:rPr>
          <w:sz w:val="20"/>
          <w:szCs w:val="20"/>
          <w:vertAlign w:val="superscript"/>
        </w:rPr>
        <w:t xml:space="preserve">  1</w:t>
      </w:r>
      <w:r w:rsidRPr="0060092A">
        <w:rPr>
          <w:sz w:val="20"/>
          <w:szCs w:val="20"/>
        </w:rPr>
        <w:t xml:space="preserve"> There are no capital costs or operating and maintenance costs associated with this collection of information.</w:t>
      </w:r>
      <w:r w:rsidRPr="0060092A">
        <w:rPr>
          <w:sz w:val="20"/>
          <w:szCs w:val="20"/>
          <w:vertAlign w:val="superscript"/>
        </w:rPr>
        <w:t xml:space="preserve">  </w:t>
      </w:r>
    </w:p>
    <w:p w:rsidR="0060092A" w:rsidRPr="0060092A" w:rsidP="0060092A" w14:paraId="0A2A8F17" w14:textId="77777777">
      <w:pPr>
        <w:rPr>
          <w:sz w:val="20"/>
          <w:szCs w:val="20"/>
        </w:rPr>
      </w:pPr>
      <w:r w:rsidRPr="0060092A">
        <w:rPr>
          <w:sz w:val="20"/>
          <w:szCs w:val="20"/>
          <w:vertAlign w:val="superscript"/>
        </w:rPr>
        <w:t xml:space="preserve"> 2</w:t>
      </w:r>
      <w:r w:rsidRPr="0060092A">
        <w:rPr>
          <w:sz w:val="20"/>
          <w:szCs w:val="20"/>
        </w:rPr>
        <w:t xml:space="preserve"> Numbers have been rounded</w:t>
      </w:r>
    </w:p>
    <w:p w:rsidR="0060092A" w:rsidP="00C41032" w14:paraId="1DC0292B" w14:textId="77777777"/>
    <w:p w:rsidR="00AB5194" w:rsidRPr="0060092A" w:rsidP="00C41032" w14:paraId="6FF818DB" w14:textId="77777777">
      <w:r w:rsidRPr="0060092A">
        <w:t xml:space="preserve">Our estimate of the average reporting burden is based on our continued experience with the information </w:t>
      </w:r>
      <w:r w:rsidRPr="0060092A" w:rsidR="00844146">
        <w:t>collection.</w:t>
      </w:r>
      <w:r w:rsidRPr="0060092A">
        <w:t xml:space="preserve"> Regulations in part 812 were amended to provide for reporting associated</w:t>
      </w:r>
      <w:r w:rsidRPr="00844146">
        <w:rPr>
          <w:rFonts w:eastAsia="Calibri"/>
        </w:rPr>
        <w:t xml:space="preserve"> </w:t>
      </w:r>
      <w:r w:rsidRPr="00C41032">
        <w:t>with the acceptance of data from clinical investigations conducted</w:t>
      </w:r>
      <w:r w:rsidRPr="00844146">
        <w:rPr>
          <w:rFonts w:eastAsia="Calibri"/>
        </w:rPr>
        <w:t xml:space="preserve"> </w:t>
      </w:r>
      <w:r w:rsidRPr="0060092A">
        <w:t xml:space="preserve">outside the United States.  Additionally, we note that the majority of investigator and sponsor reports established under </w:t>
      </w:r>
      <w:r w:rsidRPr="0060092A">
        <w:t>812.150 are not all submitted to FDA; a majority of reporting is performed by investigators and submitted to sponsors, and in some cases, sponsors and IRBs.  However, the regulations include certain provisions in this part require reporting to FDA, and we therefore include it here.</w:t>
      </w:r>
    </w:p>
    <w:p w:rsidR="00AB5194" w:rsidRPr="00AB5194" w:rsidP="00AB5194" w14:paraId="1BDE7947" w14:textId="77777777">
      <w:pPr>
        <w:spacing w:after="200"/>
        <w:ind w:left="360"/>
        <w:rPr>
          <w:rFonts w:eastAsia="Calibri"/>
        </w:rPr>
      </w:pPr>
    </w:p>
    <w:tbl>
      <w:tblPr>
        <w:tblW w:w="9360" w:type="dxa"/>
        <w:jc w:val="center"/>
        <w:tblLook w:val="0000"/>
      </w:tblPr>
      <w:tblGrid>
        <w:gridCol w:w="3135"/>
        <w:gridCol w:w="1405"/>
        <w:gridCol w:w="1332"/>
        <w:gridCol w:w="891"/>
        <w:gridCol w:w="1431"/>
        <w:gridCol w:w="1166"/>
      </w:tblGrid>
      <w:tr w14:paraId="56408DE7" w14:textId="77777777" w:rsidTr="00217CE5">
        <w:tblPrEx>
          <w:tblW w:w="9360" w:type="dxa"/>
          <w:jc w:val="center"/>
          <w:tblLook w:val="0000"/>
        </w:tblPrEx>
        <w:trPr>
          <w:cantSplit/>
          <w:trHeight w:val="20"/>
          <w:tblHeader/>
          <w:jc w:val="center"/>
        </w:trPr>
        <w:tc>
          <w:tcPr>
            <w:tcW w:w="9360" w:type="dxa"/>
            <w:gridSpan w:val="6"/>
            <w:tcBorders>
              <w:bottom w:val="single" w:sz="4" w:space="0" w:color="auto"/>
            </w:tcBorders>
            <w:shd w:val="clear" w:color="auto" w:fill="auto"/>
          </w:tcPr>
          <w:p w:rsidR="00965DAC" w:rsidRPr="00965DAC" w:rsidP="00965DAC" w14:paraId="40DF6C0A" w14:textId="77777777">
            <w:pPr>
              <w:jc w:val="center"/>
              <w:rPr>
                <w:sz w:val="20"/>
                <w:szCs w:val="20"/>
              </w:rPr>
            </w:pPr>
            <w:r w:rsidRPr="00965DAC">
              <w:rPr>
                <w:sz w:val="20"/>
                <w:szCs w:val="20"/>
              </w:rPr>
              <w:t xml:space="preserve">Table 2.--Estimated Annual Recordkeeping Burden </w:t>
            </w:r>
            <w:r w:rsidRPr="00965DAC">
              <w:rPr>
                <w:rFonts w:eastAsia="Calibri"/>
                <w:sz w:val="20"/>
                <w:szCs w:val="20"/>
                <w:vertAlign w:val="superscript"/>
              </w:rPr>
              <w:t>,1,2</w:t>
            </w:r>
          </w:p>
        </w:tc>
      </w:tr>
      <w:tr w14:paraId="5BAD8E19" w14:textId="77777777" w:rsidTr="00217CE5">
        <w:tblPrEx>
          <w:tblW w:w="9360" w:type="dxa"/>
          <w:jc w:val="center"/>
          <w:tblLook w:val="0000"/>
        </w:tblPrEx>
        <w:trPr>
          <w:cantSplit/>
          <w:trHeight w:val="20"/>
          <w:tblHeader/>
          <w:jc w:val="center"/>
        </w:trPr>
        <w:tc>
          <w:tcPr>
            <w:tcW w:w="3135" w:type="dxa"/>
            <w:tcBorders>
              <w:top w:val="single" w:sz="4" w:space="0" w:color="auto"/>
              <w:left w:val="single" w:sz="4" w:space="0" w:color="auto"/>
              <w:bottom w:val="single" w:sz="4" w:space="0" w:color="auto"/>
              <w:right w:val="single" w:sz="4" w:space="0" w:color="auto"/>
            </w:tcBorders>
            <w:shd w:val="clear" w:color="auto" w:fill="auto"/>
          </w:tcPr>
          <w:p w:rsidR="00965DAC" w:rsidRPr="00965DAC" w:rsidP="00965DAC" w14:paraId="0590C1B2" w14:textId="77777777">
            <w:pPr>
              <w:jc w:val="center"/>
              <w:rPr>
                <w:sz w:val="20"/>
                <w:szCs w:val="20"/>
              </w:rPr>
            </w:pPr>
            <w:r w:rsidRPr="00965DAC">
              <w:rPr>
                <w:sz w:val="20"/>
                <w:szCs w:val="20"/>
              </w:rPr>
              <w:t>Activity/21 CFR Section</w:t>
            </w:r>
          </w:p>
        </w:tc>
        <w:tc>
          <w:tcPr>
            <w:tcW w:w="1405" w:type="dxa"/>
            <w:tcBorders>
              <w:top w:val="single" w:sz="4" w:space="0" w:color="auto"/>
              <w:left w:val="nil"/>
              <w:bottom w:val="single" w:sz="4" w:space="0" w:color="auto"/>
              <w:right w:val="single" w:sz="4" w:space="0" w:color="auto"/>
            </w:tcBorders>
            <w:shd w:val="clear" w:color="auto" w:fill="auto"/>
          </w:tcPr>
          <w:p w:rsidR="00965DAC" w:rsidRPr="00965DAC" w:rsidP="00965DAC" w14:paraId="1D6376EC" w14:textId="77777777">
            <w:pPr>
              <w:jc w:val="center"/>
              <w:rPr>
                <w:sz w:val="20"/>
                <w:szCs w:val="20"/>
              </w:rPr>
            </w:pPr>
            <w:r w:rsidRPr="00965DAC">
              <w:rPr>
                <w:sz w:val="20"/>
                <w:szCs w:val="20"/>
              </w:rPr>
              <w:t>No. of Recordkeepers</w:t>
            </w:r>
          </w:p>
        </w:tc>
        <w:tc>
          <w:tcPr>
            <w:tcW w:w="1332" w:type="dxa"/>
            <w:tcBorders>
              <w:top w:val="single" w:sz="4" w:space="0" w:color="auto"/>
              <w:left w:val="nil"/>
              <w:bottom w:val="single" w:sz="4" w:space="0" w:color="auto"/>
              <w:right w:val="single" w:sz="4" w:space="0" w:color="auto"/>
            </w:tcBorders>
            <w:shd w:val="clear" w:color="auto" w:fill="auto"/>
          </w:tcPr>
          <w:p w:rsidR="00965DAC" w:rsidRPr="00965DAC" w:rsidP="00965DAC" w14:paraId="0BD60A7D" w14:textId="77777777">
            <w:pPr>
              <w:jc w:val="center"/>
              <w:rPr>
                <w:sz w:val="20"/>
                <w:szCs w:val="20"/>
              </w:rPr>
            </w:pPr>
            <w:r w:rsidRPr="00965DAC">
              <w:rPr>
                <w:sz w:val="20"/>
                <w:szCs w:val="20"/>
              </w:rPr>
              <w:t>No. of Records per Recordkeeper</w:t>
            </w:r>
          </w:p>
        </w:tc>
        <w:tc>
          <w:tcPr>
            <w:tcW w:w="891" w:type="dxa"/>
            <w:tcBorders>
              <w:top w:val="single" w:sz="4" w:space="0" w:color="auto"/>
              <w:left w:val="nil"/>
              <w:bottom w:val="single" w:sz="4" w:space="0" w:color="auto"/>
              <w:right w:val="single" w:sz="4" w:space="0" w:color="auto"/>
            </w:tcBorders>
            <w:shd w:val="clear" w:color="auto" w:fill="auto"/>
          </w:tcPr>
          <w:p w:rsidR="00965DAC" w:rsidRPr="00965DAC" w:rsidP="00965DAC" w14:paraId="2D5D0D37" w14:textId="77777777">
            <w:pPr>
              <w:jc w:val="center"/>
              <w:rPr>
                <w:sz w:val="20"/>
                <w:szCs w:val="20"/>
              </w:rPr>
            </w:pPr>
            <w:r w:rsidRPr="00965DAC">
              <w:rPr>
                <w:sz w:val="20"/>
                <w:szCs w:val="20"/>
              </w:rPr>
              <w:t>Total Annual Records</w:t>
            </w:r>
          </w:p>
        </w:tc>
        <w:tc>
          <w:tcPr>
            <w:tcW w:w="1431" w:type="dxa"/>
            <w:tcBorders>
              <w:top w:val="single" w:sz="4" w:space="0" w:color="auto"/>
              <w:left w:val="nil"/>
              <w:bottom w:val="single" w:sz="4" w:space="0" w:color="auto"/>
              <w:right w:val="single" w:sz="4" w:space="0" w:color="auto"/>
            </w:tcBorders>
            <w:shd w:val="clear" w:color="auto" w:fill="auto"/>
          </w:tcPr>
          <w:p w:rsidR="00965DAC" w:rsidRPr="00965DAC" w:rsidP="00965DAC" w14:paraId="65D0CC79" w14:textId="77777777">
            <w:pPr>
              <w:jc w:val="center"/>
              <w:rPr>
                <w:sz w:val="20"/>
                <w:szCs w:val="20"/>
              </w:rPr>
            </w:pPr>
            <w:r w:rsidRPr="00965DAC">
              <w:rPr>
                <w:sz w:val="20"/>
                <w:szCs w:val="20"/>
              </w:rPr>
              <w:t>Average Burden per Recordkeeping</w:t>
            </w:r>
          </w:p>
        </w:tc>
        <w:tc>
          <w:tcPr>
            <w:tcW w:w="1166" w:type="dxa"/>
            <w:tcBorders>
              <w:top w:val="single" w:sz="4" w:space="0" w:color="auto"/>
              <w:left w:val="nil"/>
              <w:bottom w:val="single" w:sz="4" w:space="0" w:color="auto"/>
              <w:right w:val="single" w:sz="4" w:space="0" w:color="auto"/>
            </w:tcBorders>
            <w:shd w:val="clear" w:color="auto" w:fill="auto"/>
          </w:tcPr>
          <w:p w:rsidR="00965DAC" w:rsidRPr="00965DAC" w:rsidP="00965DAC" w14:paraId="16412177" w14:textId="77777777">
            <w:pPr>
              <w:jc w:val="center"/>
              <w:rPr>
                <w:sz w:val="20"/>
                <w:szCs w:val="20"/>
              </w:rPr>
            </w:pPr>
            <w:r w:rsidRPr="00965DAC">
              <w:rPr>
                <w:sz w:val="20"/>
                <w:szCs w:val="20"/>
              </w:rPr>
              <w:t>Total Hours</w:t>
            </w:r>
          </w:p>
        </w:tc>
      </w:tr>
      <w:tr w14:paraId="19CAA7A5" w14:textId="77777777" w:rsidTr="00217CE5">
        <w:tblPrEx>
          <w:tblW w:w="9360" w:type="dxa"/>
          <w:jc w:val="center"/>
          <w:tblLook w:val="0000"/>
        </w:tblPrEx>
        <w:trPr>
          <w:cantSplit/>
          <w:trHeight w:val="20"/>
          <w:jc w:val="center"/>
        </w:trPr>
        <w:tc>
          <w:tcPr>
            <w:tcW w:w="3135" w:type="dxa"/>
            <w:tcBorders>
              <w:top w:val="nil"/>
              <w:left w:val="single" w:sz="4" w:space="0" w:color="auto"/>
              <w:bottom w:val="single" w:sz="4" w:space="0" w:color="auto"/>
              <w:right w:val="single" w:sz="4" w:space="0" w:color="auto"/>
            </w:tcBorders>
          </w:tcPr>
          <w:p w:rsidR="00965DAC" w:rsidRPr="00965DAC" w:rsidP="00965DAC" w14:paraId="2C3133F1" w14:textId="77777777">
            <w:pPr>
              <w:jc w:val="center"/>
              <w:rPr>
                <w:sz w:val="20"/>
                <w:szCs w:val="20"/>
              </w:rPr>
            </w:pPr>
            <w:r w:rsidRPr="00965DAC">
              <w:rPr>
                <w:sz w:val="20"/>
                <w:szCs w:val="20"/>
              </w:rPr>
              <w:t>812.2(c)(3); records regarding leftover specimens not individually identifiable used in certain studies</w:t>
            </w:r>
          </w:p>
        </w:tc>
        <w:tc>
          <w:tcPr>
            <w:tcW w:w="1405" w:type="dxa"/>
            <w:tcBorders>
              <w:top w:val="nil"/>
              <w:left w:val="nil"/>
              <w:bottom w:val="single" w:sz="4" w:space="0" w:color="auto"/>
              <w:right w:val="single" w:sz="4" w:space="0" w:color="auto"/>
            </w:tcBorders>
            <w:shd w:val="clear" w:color="auto" w:fill="auto"/>
          </w:tcPr>
          <w:p w:rsidR="00965DAC" w:rsidRPr="00965DAC" w:rsidP="00965DAC" w14:paraId="76A27CBD" w14:textId="77777777">
            <w:pPr>
              <w:jc w:val="center"/>
              <w:rPr>
                <w:sz w:val="20"/>
                <w:szCs w:val="20"/>
              </w:rPr>
            </w:pPr>
            <w:r w:rsidRPr="00965DAC">
              <w:rPr>
                <w:sz w:val="20"/>
                <w:szCs w:val="20"/>
              </w:rPr>
              <w:t>700</w:t>
            </w:r>
          </w:p>
        </w:tc>
        <w:tc>
          <w:tcPr>
            <w:tcW w:w="1332" w:type="dxa"/>
            <w:tcBorders>
              <w:top w:val="nil"/>
              <w:left w:val="nil"/>
              <w:bottom w:val="single" w:sz="4" w:space="0" w:color="auto"/>
              <w:right w:val="single" w:sz="4" w:space="0" w:color="auto"/>
            </w:tcBorders>
          </w:tcPr>
          <w:p w:rsidR="00965DAC" w:rsidRPr="00965DAC" w:rsidP="00965DAC" w14:paraId="529856D8" w14:textId="77777777">
            <w:pPr>
              <w:jc w:val="center"/>
              <w:rPr>
                <w:sz w:val="20"/>
                <w:szCs w:val="20"/>
              </w:rPr>
            </w:pPr>
            <w:r w:rsidRPr="00965DAC">
              <w:rPr>
                <w:sz w:val="20"/>
                <w:szCs w:val="20"/>
              </w:rPr>
              <w:t>1</w:t>
            </w:r>
          </w:p>
        </w:tc>
        <w:tc>
          <w:tcPr>
            <w:tcW w:w="891" w:type="dxa"/>
            <w:tcBorders>
              <w:top w:val="nil"/>
              <w:left w:val="nil"/>
              <w:bottom w:val="single" w:sz="4" w:space="0" w:color="auto"/>
              <w:right w:val="single" w:sz="4" w:space="0" w:color="auto"/>
            </w:tcBorders>
            <w:shd w:val="clear" w:color="auto" w:fill="auto"/>
          </w:tcPr>
          <w:p w:rsidR="00965DAC" w:rsidRPr="00965DAC" w:rsidP="00965DAC" w14:paraId="394883CC" w14:textId="77777777">
            <w:pPr>
              <w:jc w:val="center"/>
              <w:rPr>
                <w:sz w:val="20"/>
                <w:szCs w:val="20"/>
              </w:rPr>
            </w:pPr>
            <w:r w:rsidRPr="00965DAC">
              <w:rPr>
                <w:sz w:val="20"/>
                <w:szCs w:val="20"/>
              </w:rPr>
              <w:t>700</w:t>
            </w:r>
          </w:p>
        </w:tc>
        <w:tc>
          <w:tcPr>
            <w:tcW w:w="1431" w:type="dxa"/>
            <w:tcBorders>
              <w:top w:val="nil"/>
              <w:left w:val="nil"/>
              <w:bottom w:val="single" w:sz="4" w:space="0" w:color="auto"/>
              <w:right w:val="single" w:sz="4" w:space="0" w:color="auto"/>
            </w:tcBorders>
          </w:tcPr>
          <w:p w:rsidR="00965DAC" w:rsidRPr="00965DAC" w:rsidP="00965DAC" w14:paraId="2DF4EF18" w14:textId="77777777">
            <w:pPr>
              <w:jc w:val="center"/>
              <w:rPr>
                <w:sz w:val="20"/>
                <w:szCs w:val="20"/>
              </w:rPr>
            </w:pPr>
            <w:r w:rsidRPr="00965DAC">
              <w:rPr>
                <w:sz w:val="20"/>
                <w:szCs w:val="20"/>
              </w:rPr>
              <w:t>4</w:t>
            </w:r>
          </w:p>
        </w:tc>
        <w:tc>
          <w:tcPr>
            <w:tcW w:w="1166" w:type="dxa"/>
            <w:tcBorders>
              <w:top w:val="nil"/>
              <w:left w:val="nil"/>
              <w:bottom w:val="single" w:sz="4" w:space="0" w:color="auto"/>
              <w:right w:val="single" w:sz="4" w:space="0" w:color="auto"/>
            </w:tcBorders>
            <w:shd w:val="clear" w:color="auto" w:fill="FFFFFF"/>
          </w:tcPr>
          <w:p w:rsidR="00965DAC" w:rsidRPr="00965DAC" w:rsidP="00965DAC" w14:paraId="28853839" w14:textId="77777777">
            <w:pPr>
              <w:jc w:val="center"/>
              <w:rPr>
                <w:sz w:val="20"/>
                <w:szCs w:val="20"/>
              </w:rPr>
            </w:pPr>
            <w:r w:rsidRPr="00965DAC">
              <w:rPr>
                <w:sz w:val="20"/>
                <w:szCs w:val="20"/>
              </w:rPr>
              <w:t>2,800</w:t>
            </w:r>
          </w:p>
        </w:tc>
      </w:tr>
      <w:tr w14:paraId="6EF7B39F" w14:textId="77777777" w:rsidTr="00217CE5">
        <w:tblPrEx>
          <w:tblW w:w="9360" w:type="dxa"/>
          <w:jc w:val="center"/>
          <w:tblLook w:val="0000"/>
        </w:tblPrEx>
        <w:trPr>
          <w:cantSplit/>
          <w:trHeight w:val="20"/>
          <w:jc w:val="center"/>
        </w:trPr>
        <w:tc>
          <w:tcPr>
            <w:tcW w:w="3135" w:type="dxa"/>
            <w:tcBorders>
              <w:top w:val="nil"/>
              <w:left w:val="single" w:sz="4" w:space="0" w:color="auto"/>
              <w:bottom w:val="single" w:sz="4" w:space="0" w:color="auto"/>
              <w:right w:val="single" w:sz="4" w:space="0" w:color="auto"/>
            </w:tcBorders>
          </w:tcPr>
          <w:p w:rsidR="00965DAC" w:rsidRPr="00965DAC" w:rsidP="00965DAC" w14:paraId="0E8E1C9E" w14:textId="77777777">
            <w:pPr>
              <w:jc w:val="center"/>
              <w:rPr>
                <w:sz w:val="20"/>
                <w:szCs w:val="20"/>
              </w:rPr>
            </w:pPr>
            <w:r w:rsidRPr="00965DAC">
              <w:rPr>
                <w:sz w:val="20"/>
                <w:szCs w:val="20"/>
              </w:rPr>
              <w:t>812.28(d); records for clinical investigations conducted outside United States</w:t>
            </w:r>
          </w:p>
        </w:tc>
        <w:tc>
          <w:tcPr>
            <w:tcW w:w="1405" w:type="dxa"/>
            <w:tcBorders>
              <w:top w:val="nil"/>
              <w:left w:val="nil"/>
              <w:bottom w:val="single" w:sz="4" w:space="0" w:color="auto"/>
              <w:right w:val="single" w:sz="4" w:space="0" w:color="auto"/>
            </w:tcBorders>
            <w:shd w:val="clear" w:color="auto" w:fill="auto"/>
          </w:tcPr>
          <w:p w:rsidR="00965DAC" w:rsidRPr="00965DAC" w:rsidP="00965DAC" w14:paraId="7CEC8B4C" w14:textId="77777777">
            <w:pPr>
              <w:jc w:val="center"/>
              <w:rPr>
                <w:sz w:val="20"/>
                <w:szCs w:val="20"/>
              </w:rPr>
            </w:pPr>
            <w:r w:rsidRPr="00965DAC">
              <w:rPr>
                <w:sz w:val="20"/>
                <w:szCs w:val="20"/>
              </w:rPr>
              <w:t>1,500</w:t>
            </w:r>
          </w:p>
        </w:tc>
        <w:tc>
          <w:tcPr>
            <w:tcW w:w="1332" w:type="dxa"/>
            <w:tcBorders>
              <w:top w:val="nil"/>
              <w:left w:val="nil"/>
              <w:bottom w:val="single" w:sz="4" w:space="0" w:color="auto"/>
              <w:right w:val="single" w:sz="4" w:space="0" w:color="auto"/>
            </w:tcBorders>
          </w:tcPr>
          <w:p w:rsidR="00965DAC" w:rsidRPr="00965DAC" w:rsidP="00965DAC" w14:paraId="19A8E1C4" w14:textId="77777777">
            <w:pPr>
              <w:jc w:val="center"/>
              <w:rPr>
                <w:sz w:val="20"/>
                <w:szCs w:val="20"/>
              </w:rPr>
            </w:pPr>
            <w:r w:rsidRPr="00965DAC">
              <w:rPr>
                <w:sz w:val="20"/>
                <w:szCs w:val="20"/>
              </w:rPr>
              <w:t>1</w:t>
            </w:r>
          </w:p>
        </w:tc>
        <w:tc>
          <w:tcPr>
            <w:tcW w:w="891" w:type="dxa"/>
            <w:tcBorders>
              <w:top w:val="nil"/>
              <w:left w:val="nil"/>
              <w:bottom w:val="single" w:sz="4" w:space="0" w:color="auto"/>
              <w:right w:val="single" w:sz="4" w:space="0" w:color="auto"/>
            </w:tcBorders>
            <w:shd w:val="clear" w:color="auto" w:fill="auto"/>
          </w:tcPr>
          <w:p w:rsidR="00965DAC" w:rsidRPr="00965DAC" w:rsidP="00965DAC" w14:paraId="7EE9D91E" w14:textId="77777777">
            <w:pPr>
              <w:jc w:val="center"/>
              <w:rPr>
                <w:sz w:val="20"/>
                <w:szCs w:val="20"/>
              </w:rPr>
            </w:pPr>
            <w:r w:rsidRPr="00965DAC">
              <w:rPr>
                <w:sz w:val="20"/>
                <w:szCs w:val="20"/>
              </w:rPr>
              <w:t>1,500</w:t>
            </w:r>
          </w:p>
        </w:tc>
        <w:tc>
          <w:tcPr>
            <w:tcW w:w="1431" w:type="dxa"/>
            <w:tcBorders>
              <w:top w:val="nil"/>
              <w:left w:val="nil"/>
              <w:bottom w:val="single" w:sz="4" w:space="0" w:color="auto"/>
              <w:right w:val="single" w:sz="4" w:space="0" w:color="auto"/>
            </w:tcBorders>
          </w:tcPr>
          <w:p w:rsidR="00965DAC" w:rsidRPr="00965DAC" w:rsidP="00965DAC" w14:paraId="6C3B4796" w14:textId="77777777">
            <w:pPr>
              <w:jc w:val="center"/>
              <w:rPr>
                <w:sz w:val="20"/>
                <w:szCs w:val="20"/>
              </w:rPr>
            </w:pPr>
            <w:r w:rsidRPr="00965DAC">
              <w:rPr>
                <w:sz w:val="20"/>
                <w:szCs w:val="20"/>
              </w:rPr>
              <w:t>1</w:t>
            </w:r>
          </w:p>
        </w:tc>
        <w:tc>
          <w:tcPr>
            <w:tcW w:w="1166" w:type="dxa"/>
            <w:tcBorders>
              <w:top w:val="nil"/>
              <w:left w:val="nil"/>
              <w:bottom w:val="single" w:sz="4" w:space="0" w:color="auto"/>
              <w:right w:val="single" w:sz="4" w:space="0" w:color="auto"/>
            </w:tcBorders>
            <w:shd w:val="clear" w:color="auto" w:fill="FFFFFF"/>
          </w:tcPr>
          <w:p w:rsidR="00965DAC" w:rsidRPr="00965DAC" w:rsidP="00965DAC" w14:paraId="393630B7" w14:textId="77777777">
            <w:pPr>
              <w:jc w:val="center"/>
              <w:rPr>
                <w:sz w:val="20"/>
                <w:szCs w:val="20"/>
              </w:rPr>
            </w:pPr>
            <w:r w:rsidRPr="00965DAC">
              <w:rPr>
                <w:sz w:val="20"/>
                <w:szCs w:val="20"/>
              </w:rPr>
              <w:t>1,500</w:t>
            </w:r>
          </w:p>
        </w:tc>
      </w:tr>
      <w:tr w14:paraId="39BC04DC" w14:textId="77777777" w:rsidTr="00217CE5">
        <w:tblPrEx>
          <w:tblW w:w="9360" w:type="dxa"/>
          <w:jc w:val="center"/>
          <w:tblLook w:val="0000"/>
        </w:tblPrEx>
        <w:trPr>
          <w:cantSplit/>
          <w:trHeight w:val="20"/>
          <w:jc w:val="center"/>
        </w:trPr>
        <w:tc>
          <w:tcPr>
            <w:tcW w:w="3135" w:type="dxa"/>
            <w:tcBorders>
              <w:top w:val="nil"/>
              <w:left w:val="single" w:sz="4" w:space="0" w:color="auto"/>
              <w:bottom w:val="single" w:sz="4" w:space="0" w:color="auto"/>
              <w:right w:val="single" w:sz="4" w:space="0" w:color="auto"/>
            </w:tcBorders>
          </w:tcPr>
          <w:p w:rsidR="00965DAC" w:rsidRPr="00965DAC" w:rsidP="00965DAC" w14:paraId="2FB2BE1E" w14:textId="77777777">
            <w:pPr>
              <w:jc w:val="center"/>
              <w:rPr>
                <w:sz w:val="20"/>
                <w:szCs w:val="20"/>
              </w:rPr>
            </w:pPr>
            <w:r w:rsidRPr="00965DAC">
              <w:rPr>
                <w:sz w:val="20"/>
                <w:szCs w:val="20"/>
              </w:rPr>
              <w:t>812.140; retention of records</w:t>
            </w:r>
          </w:p>
        </w:tc>
        <w:tc>
          <w:tcPr>
            <w:tcW w:w="1405" w:type="dxa"/>
            <w:tcBorders>
              <w:top w:val="nil"/>
              <w:left w:val="nil"/>
              <w:bottom w:val="single" w:sz="4" w:space="0" w:color="auto"/>
              <w:right w:val="single" w:sz="4" w:space="0" w:color="auto"/>
            </w:tcBorders>
            <w:shd w:val="clear" w:color="auto" w:fill="auto"/>
          </w:tcPr>
          <w:p w:rsidR="00965DAC" w:rsidRPr="00965DAC" w:rsidP="00965DAC" w14:paraId="77345957" w14:textId="77777777">
            <w:pPr>
              <w:jc w:val="center"/>
              <w:rPr>
                <w:sz w:val="20"/>
                <w:szCs w:val="20"/>
              </w:rPr>
            </w:pPr>
            <w:r w:rsidRPr="00965DAC">
              <w:rPr>
                <w:sz w:val="20"/>
                <w:szCs w:val="20"/>
              </w:rPr>
              <w:t>1,249</w:t>
            </w:r>
          </w:p>
        </w:tc>
        <w:tc>
          <w:tcPr>
            <w:tcW w:w="1332" w:type="dxa"/>
            <w:tcBorders>
              <w:top w:val="nil"/>
              <w:left w:val="nil"/>
              <w:bottom w:val="single" w:sz="4" w:space="0" w:color="auto"/>
              <w:right w:val="single" w:sz="4" w:space="0" w:color="auto"/>
            </w:tcBorders>
          </w:tcPr>
          <w:p w:rsidR="00965DAC" w:rsidRPr="00965DAC" w:rsidP="00965DAC" w14:paraId="2E5453A5" w14:textId="77777777">
            <w:pPr>
              <w:jc w:val="center"/>
              <w:rPr>
                <w:sz w:val="20"/>
                <w:szCs w:val="20"/>
              </w:rPr>
            </w:pPr>
            <w:r w:rsidRPr="00965DAC">
              <w:rPr>
                <w:sz w:val="20"/>
                <w:szCs w:val="20"/>
              </w:rPr>
              <w:t>3.09</w:t>
            </w:r>
          </w:p>
        </w:tc>
        <w:tc>
          <w:tcPr>
            <w:tcW w:w="891" w:type="dxa"/>
            <w:tcBorders>
              <w:top w:val="nil"/>
              <w:left w:val="nil"/>
              <w:bottom w:val="single" w:sz="4" w:space="0" w:color="auto"/>
              <w:right w:val="single" w:sz="4" w:space="0" w:color="auto"/>
            </w:tcBorders>
            <w:shd w:val="clear" w:color="auto" w:fill="auto"/>
          </w:tcPr>
          <w:p w:rsidR="00965DAC" w:rsidRPr="00965DAC" w:rsidP="00965DAC" w14:paraId="7419B04A" w14:textId="77777777">
            <w:pPr>
              <w:jc w:val="center"/>
              <w:rPr>
                <w:sz w:val="20"/>
                <w:szCs w:val="20"/>
              </w:rPr>
            </w:pPr>
            <w:r w:rsidRPr="00965DAC">
              <w:rPr>
                <w:sz w:val="20"/>
                <w:szCs w:val="20"/>
              </w:rPr>
              <w:t>3,859</w:t>
            </w:r>
          </w:p>
        </w:tc>
        <w:tc>
          <w:tcPr>
            <w:tcW w:w="1431" w:type="dxa"/>
            <w:tcBorders>
              <w:top w:val="nil"/>
              <w:left w:val="nil"/>
              <w:bottom w:val="single" w:sz="4" w:space="0" w:color="auto"/>
              <w:right w:val="single" w:sz="4" w:space="0" w:color="auto"/>
            </w:tcBorders>
          </w:tcPr>
          <w:p w:rsidR="00965DAC" w:rsidRPr="00965DAC" w:rsidP="00965DAC" w14:paraId="188CEE70" w14:textId="77777777">
            <w:pPr>
              <w:jc w:val="center"/>
              <w:rPr>
                <w:sz w:val="20"/>
                <w:szCs w:val="20"/>
              </w:rPr>
            </w:pPr>
            <w:r w:rsidRPr="00965DAC">
              <w:rPr>
                <w:sz w:val="20"/>
                <w:szCs w:val="20"/>
              </w:rPr>
              <w:t>1.9937</w:t>
            </w:r>
          </w:p>
        </w:tc>
        <w:tc>
          <w:tcPr>
            <w:tcW w:w="1166" w:type="dxa"/>
            <w:tcBorders>
              <w:top w:val="nil"/>
              <w:left w:val="nil"/>
              <w:bottom w:val="single" w:sz="4" w:space="0" w:color="auto"/>
              <w:right w:val="single" w:sz="4" w:space="0" w:color="auto"/>
            </w:tcBorders>
            <w:shd w:val="clear" w:color="auto" w:fill="FFFFFF"/>
          </w:tcPr>
          <w:p w:rsidR="00965DAC" w:rsidRPr="00965DAC" w:rsidP="00965DAC" w14:paraId="71A3F35C" w14:textId="77777777">
            <w:pPr>
              <w:jc w:val="center"/>
              <w:rPr>
                <w:sz w:val="20"/>
                <w:szCs w:val="20"/>
              </w:rPr>
            </w:pPr>
            <w:r w:rsidRPr="00965DAC">
              <w:rPr>
                <w:sz w:val="20"/>
                <w:szCs w:val="20"/>
              </w:rPr>
              <w:t>7,694</w:t>
            </w:r>
          </w:p>
        </w:tc>
      </w:tr>
      <w:tr w14:paraId="66D9E06E" w14:textId="77777777" w:rsidTr="00217CE5">
        <w:tblPrEx>
          <w:tblW w:w="9360" w:type="dxa"/>
          <w:jc w:val="center"/>
          <w:tblLook w:val="0000"/>
        </w:tblPrEx>
        <w:trPr>
          <w:cantSplit/>
          <w:trHeight w:val="20"/>
          <w:jc w:val="center"/>
        </w:trPr>
        <w:tc>
          <w:tcPr>
            <w:tcW w:w="3135" w:type="dxa"/>
            <w:tcBorders>
              <w:top w:val="single" w:sz="4" w:space="0" w:color="auto"/>
              <w:left w:val="single" w:sz="4" w:space="0" w:color="auto"/>
              <w:bottom w:val="single" w:sz="4" w:space="0" w:color="auto"/>
              <w:right w:val="single" w:sz="4" w:space="0" w:color="auto"/>
            </w:tcBorders>
          </w:tcPr>
          <w:p w:rsidR="00965DAC" w:rsidRPr="00965DAC" w:rsidP="00965DAC" w14:paraId="7D13503F" w14:textId="77777777">
            <w:pPr>
              <w:jc w:val="center"/>
              <w:rPr>
                <w:sz w:val="20"/>
                <w:szCs w:val="20"/>
              </w:rPr>
            </w:pPr>
            <w:r w:rsidRPr="00965DAC">
              <w:rPr>
                <w:sz w:val="20"/>
                <w:szCs w:val="20"/>
              </w:rPr>
              <w:t>Total</w:t>
            </w:r>
          </w:p>
        </w:tc>
        <w:tc>
          <w:tcPr>
            <w:tcW w:w="1405" w:type="dxa"/>
            <w:tcBorders>
              <w:top w:val="single" w:sz="4" w:space="0" w:color="auto"/>
              <w:left w:val="single" w:sz="4" w:space="0" w:color="auto"/>
              <w:bottom w:val="single" w:sz="4" w:space="0" w:color="auto"/>
              <w:right w:val="single" w:sz="4" w:space="0" w:color="auto"/>
            </w:tcBorders>
          </w:tcPr>
          <w:p w:rsidR="00965DAC" w:rsidRPr="00965DAC" w:rsidP="00965DAC" w14:paraId="68FA8967" w14:textId="77777777">
            <w:pPr>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965DAC" w:rsidRPr="00965DAC" w:rsidP="00965DAC" w14:paraId="6E7632D2" w14:textId="77777777">
            <w:pPr>
              <w:jc w:val="center"/>
              <w:rPr>
                <w:sz w:val="20"/>
                <w:szCs w:val="20"/>
              </w:rPr>
            </w:pPr>
          </w:p>
        </w:tc>
        <w:tc>
          <w:tcPr>
            <w:tcW w:w="891" w:type="dxa"/>
            <w:tcBorders>
              <w:top w:val="single" w:sz="4" w:space="0" w:color="auto"/>
              <w:left w:val="single" w:sz="4" w:space="0" w:color="auto"/>
              <w:bottom w:val="single" w:sz="4" w:space="0" w:color="auto"/>
              <w:right w:val="single" w:sz="4" w:space="0" w:color="auto"/>
            </w:tcBorders>
          </w:tcPr>
          <w:p w:rsidR="00965DAC" w:rsidRPr="00965DAC" w:rsidP="00965DAC" w14:paraId="47888C8A" w14:textId="77777777">
            <w:pPr>
              <w:jc w:val="center"/>
              <w:rPr>
                <w:sz w:val="20"/>
                <w:szCs w:val="20"/>
              </w:rPr>
            </w:pPr>
            <w:r w:rsidRPr="00965DAC">
              <w:rPr>
                <w:sz w:val="20"/>
                <w:szCs w:val="20"/>
              </w:rPr>
              <w:t>6,059</w:t>
            </w:r>
          </w:p>
        </w:tc>
        <w:tc>
          <w:tcPr>
            <w:tcW w:w="1431" w:type="dxa"/>
            <w:tcBorders>
              <w:top w:val="single" w:sz="4" w:space="0" w:color="auto"/>
              <w:left w:val="single" w:sz="4" w:space="0" w:color="auto"/>
              <w:bottom w:val="single" w:sz="4" w:space="0" w:color="auto"/>
              <w:right w:val="single" w:sz="4" w:space="0" w:color="auto"/>
            </w:tcBorders>
          </w:tcPr>
          <w:p w:rsidR="00965DAC" w:rsidRPr="00965DAC" w:rsidP="00965DAC" w14:paraId="5C84537C" w14:textId="77777777">
            <w:pPr>
              <w:jc w:val="center"/>
              <w:rPr>
                <w:sz w:val="20"/>
                <w:szCs w:val="20"/>
              </w:rPr>
            </w:pPr>
          </w:p>
        </w:tc>
        <w:tc>
          <w:tcPr>
            <w:tcW w:w="1166" w:type="dxa"/>
            <w:tcBorders>
              <w:top w:val="single" w:sz="4" w:space="0" w:color="auto"/>
              <w:left w:val="nil"/>
              <w:bottom w:val="single" w:sz="4" w:space="0" w:color="auto"/>
              <w:right w:val="single" w:sz="4" w:space="0" w:color="auto"/>
            </w:tcBorders>
            <w:shd w:val="clear" w:color="auto" w:fill="FFFFFF"/>
            <w:noWrap/>
          </w:tcPr>
          <w:p w:rsidR="00965DAC" w:rsidRPr="00965DAC" w:rsidP="00965DAC" w14:paraId="5B83B594" w14:textId="77777777">
            <w:pPr>
              <w:jc w:val="center"/>
              <w:rPr>
                <w:sz w:val="20"/>
                <w:szCs w:val="20"/>
              </w:rPr>
            </w:pPr>
            <w:r w:rsidRPr="00965DAC">
              <w:rPr>
                <w:sz w:val="20"/>
                <w:szCs w:val="20"/>
              </w:rPr>
              <w:t>11,994</w:t>
            </w:r>
          </w:p>
        </w:tc>
      </w:tr>
    </w:tbl>
    <w:p w:rsidR="00965DAC" w:rsidRPr="00965DAC" w:rsidP="00965DAC" w14:paraId="4F83CADB" w14:textId="77777777">
      <w:pPr>
        <w:rPr>
          <w:sz w:val="20"/>
          <w:szCs w:val="20"/>
          <w:vertAlign w:val="superscript"/>
        </w:rPr>
      </w:pPr>
      <w:r w:rsidRPr="00965DAC">
        <w:rPr>
          <w:sz w:val="20"/>
          <w:szCs w:val="20"/>
          <w:vertAlign w:val="superscript"/>
        </w:rPr>
        <w:t xml:space="preserve">  1</w:t>
      </w:r>
      <w:r w:rsidRPr="00965DAC">
        <w:rPr>
          <w:sz w:val="20"/>
          <w:szCs w:val="20"/>
        </w:rPr>
        <w:t xml:space="preserve"> There are no capital co</w:t>
      </w:r>
      <w:r w:rsidRPr="00965DAC">
        <w:rPr>
          <w:rFonts w:eastAsia="Calibri"/>
          <w:sz w:val="20"/>
          <w:szCs w:val="20"/>
        </w:rPr>
        <w:t xml:space="preserve">sts or operating and maintenance costs associated with this collection of </w:t>
      </w:r>
      <w:r w:rsidRPr="00965DAC">
        <w:rPr>
          <w:sz w:val="20"/>
          <w:szCs w:val="20"/>
        </w:rPr>
        <w:t>information.</w:t>
      </w:r>
      <w:r w:rsidRPr="00965DAC">
        <w:rPr>
          <w:sz w:val="20"/>
          <w:szCs w:val="20"/>
          <w:vertAlign w:val="superscript"/>
        </w:rPr>
        <w:t xml:space="preserve">  </w:t>
      </w:r>
    </w:p>
    <w:p w:rsidR="00965DAC" w:rsidRPr="00965DAC" w:rsidP="00965DAC" w14:paraId="0E0A06CF" w14:textId="77777777">
      <w:pPr>
        <w:rPr>
          <w:sz w:val="20"/>
          <w:szCs w:val="20"/>
        </w:rPr>
      </w:pPr>
      <w:r w:rsidRPr="00965DAC">
        <w:rPr>
          <w:vertAlign w:val="superscript"/>
        </w:rPr>
        <w:t xml:space="preserve"> 2</w:t>
      </w:r>
      <w:r w:rsidRPr="00965DAC">
        <w:rPr>
          <w:sz w:val="20"/>
          <w:szCs w:val="20"/>
        </w:rPr>
        <w:t xml:space="preserve"> Numbers have been rounded. </w:t>
      </w:r>
    </w:p>
    <w:p w:rsidR="00AB5194" w:rsidRPr="00AB5194" w:rsidP="00AB5194" w14:paraId="31B3DF1C" w14:textId="77777777">
      <w:pPr>
        <w:jc w:val="center"/>
        <w:rPr>
          <w:sz w:val="20"/>
          <w:szCs w:val="20"/>
        </w:rPr>
      </w:pPr>
    </w:p>
    <w:p w:rsidR="00965DAC" w:rsidP="00CD2C94" w14:paraId="27AD9CC0" w14:textId="73194C80">
      <w:pPr>
        <w:spacing w:after="200"/>
      </w:pPr>
      <w:r w:rsidRPr="0060092A">
        <w:t>To account for recommendation discussed in the guidance document “</w:t>
      </w:r>
      <w:bookmarkStart w:id="3" w:name="_Hlk100578818"/>
      <w:r w:rsidRPr="0060092A">
        <w:t>Informed Consent For In Vitro Diagnostic Device Studies Using Leftover Human Specimens That Are Not Individually Identifiable</w:t>
      </w:r>
      <w:bookmarkEnd w:id="3"/>
      <w:r w:rsidRPr="0060092A">
        <w:t>” (April 2006), we include burden incurred by sponsors of studies who document recommended information, in table 2, row</w:t>
      </w:r>
      <w:r w:rsidR="0060092A">
        <w:t xml:space="preserve"> </w:t>
      </w:r>
      <w:r w:rsidRPr="0060092A">
        <w:t xml:space="preserve">1. </w:t>
      </w:r>
    </w:p>
    <w:p w:rsidR="0048396F" w:rsidRPr="00AB5194" w:rsidP="00CD2C94" w14:paraId="4DDEAB53" w14:textId="33DC7E90">
      <w:pPr>
        <w:spacing w:after="200"/>
        <w:rPr>
          <w:rFonts w:eastAsia="Calibri"/>
        </w:rPr>
      </w:pPr>
      <w:r w:rsidRPr="0048396F">
        <w:rPr>
          <w:rFonts w:eastAsia="Calibri"/>
        </w:rPr>
        <w:t xml:space="preserve">The estimated total annual burden for this information collection is </w:t>
      </w:r>
      <w:r>
        <w:rPr>
          <w:rFonts w:eastAsia="Calibri"/>
        </w:rPr>
        <w:t xml:space="preserve">75,822 </w:t>
      </w:r>
      <w:r w:rsidRPr="0048396F">
        <w:rPr>
          <w:rFonts w:eastAsia="Calibri"/>
        </w:rPr>
        <w:t>hours.</w:t>
      </w:r>
    </w:p>
    <w:p w:rsidR="00AB5194" w:rsidRPr="00AB5194" w:rsidP="000137B6" w14:paraId="5CAE44AB" w14:textId="329DB46D">
      <w:pPr>
        <w:spacing w:after="200"/>
        <w:ind w:left="360"/>
        <w:rPr>
          <w:sz w:val="20"/>
          <w:szCs w:val="20"/>
        </w:rPr>
      </w:pPr>
      <w:r w:rsidRPr="00AB5194">
        <w:rPr>
          <w:rFonts w:eastAsia="Calibri"/>
        </w:rPr>
        <w:tab/>
      </w:r>
      <w:r w:rsidRPr="00AB5194">
        <w:rPr>
          <w:rFonts w:eastAsia="Calibri"/>
          <w:i/>
          <w:iCs/>
        </w:rPr>
        <w:t>12b.  Annualized Burden Costs</w:t>
      </w:r>
    </w:p>
    <w:p w:rsidR="00AB5194" w:rsidRPr="00AB5194" w:rsidP="00AB5194" w14:paraId="248D299E" w14:textId="77777777">
      <w:pPr>
        <w:jc w:val="center"/>
        <w:rPr>
          <w:sz w:val="20"/>
          <w:szCs w:val="20"/>
        </w:rPr>
      </w:pPr>
      <w:r w:rsidRPr="00AB5194">
        <w:rPr>
          <w:sz w:val="20"/>
          <w:szCs w:val="20"/>
        </w:rPr>
        <w:t>Table 3. – Annualized Burden Costs</w:t>
      </w:r>
      <w:r w:rsidR="00AA5AA1">
        <w:rPr>
          <w:sz w:val="20"/>
          <w:szCs w:val="20"/>
        </w:rPr>
        <w:t xml:space="preserve"> </w:t>
      </w:r>
      <w:r w:rsidRPr="00AB5194">
        <w:rPr>
          <w:sz w:val="20"/>
          <w:szCs w:val="20"/>
        </w:rPr>
        <w:t>1</w:t>
      </w:r>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4"/>
        <w:gridCol w:w="1880"/>
        <w:gridCol w:w="1934"/>
        <w:gridCol w:w="2032"/>
      </w:tblGrid>
      <w:tr w14:paraId="2DD9012D" w14:textId="77777777" w:rsidTr="00850E66">
        <w:tblPrEx>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24" w:type="dxa"/>
            <w:shd w:val="clear" w:color="auto" w:fill="auto"/>
          </w:tcPr>
          <w:p w:rsidR="00AB5194" w:rsidRPr="00AB5194" w:rsidP="00AB5194" w14:paraId="56824F8A" w14:textId="77777777">
            <w:pPr>
              <w:jc w:val="center"/>
              <w:rPr>
                <w:sz w:val="20"/>
                <w:szCs w:val="20"/>
              </w:rPr>
            </w:pPr>
            <w:r w:rsidRPr="00AB5194">
              <w:rPr>
                <w:sz w:val="20"/>
                <w:szCs w:val="20"/>
              </w:rPr>
              <w:t>Type of Respondent</w:t>
            </w:r>
          </w:p>
        </w:tc>
        <w:tc>
          <w:tcPr>
            <w:tcW w:w="1880" w:type="dxa"/>
            <w:shd w:val="clear" w:color="auto" w:fill="auto"/>
          </w:tcPr>
          <w:p w:rsidR="00AB5194" w:rsidRPr="00AB5194" w:rsidP="00AB5194" w14:paraId="6032435D" w14:textId="77777777">
            <w:pPr>
              <w:jc w:val="center"/>
              <w:rPr>
                <w:sz w:val="20"/>
                <w:szCs w:val="20"/>
              </w:rPr>
            </w:pPr>
            <w:r w:rsidRPr="00AB5194">
              <w:rPr>
                <w:sz w:val="20"/>
                <w:szCs w:val="20"/>
              </w:rPr>
              <w:t>Total Burden Hours</w:t>
            </w:r>
          </w:p>
        </w:tc>
        <w:tc>
          <w:tcPr>
            <w:tcW w:w="1934" w:type="dxa"/>
            <w:shd w:val="clear" w:color="auto" w:fill="auto"/>
          </w:tcPr>
          <w:p w:rsidR="00AB5194" w:rsidRPr="00AB5194" w:rsidP="00AB5194" w14:paraId="034F25A6" w14:textId="77777777">
            <w:pPr>
              <w:jc w:val="center"/>
              <w:rPr>
                <w:sz w:val="20"/>
                <w:szCs w:val="20"/>
              </w:rPr>
            </w:pPr>
            <w:r w:rsidRPr="00AB5194">
              <w:rPr>
                <w:sz w:val="20"/>
                <w:szCs w:val="20"/>
              </w:rPr>
              <w:t>Hourly Wage Rate</w:t>
            </w:r>
          </w:p>
        </w:tc>
        <w:tc>
          <w:tcPr>
            <w:tcW w:w="2032" w:type="dxa"/>
            <w:shd w:val="clear" w:color="auto" w:fill="auto"/>
          </w:tcPr>
          <w:p w:rsidR="00AB5194" w:rsidRPr="00AB5194" w:rsidP="00AB5194" w14:paraId="0E640323" w14:textId="77777777">
            <w:pPr>
              <w:jc w:val="center"/>
              <w:rPr>
                <w:sz w:val="20"/>
                <w:szCs w:val="20"/>
              </w:rPr>
            </w:pPr>
            <w:r w:rsidRPr="00AB5194">
              <w:rPr>
                <w:sz w:val="20"/>
                <w:szCs w:val="20"/>
              </w:rPr>
              <w:t>Total Respondent Costs</w:t>
            </w:r>
          </w:p>
        </w:tc>
      </w:tr>
      <w:tr w14:paraId="00C22C8E" w14:textId="77777777" w:rsidTr="00850E66">
        <w:tblPrEx>
          <w:tblW w:w="9270" w:type="dxa"/>
          <w:tblInd w:w="-95" w:type="dxa"/>
          <w:tblLook w:val="01E0"/>
        </w:tblPrEx>
        <w:tc>
          <w:tcPr>
            <w:tcW w:w="3424" w:type="dxa"/>
            <w:shd w:val="clear" w:color="auto" w:fill="auto"/>
          </w:tcPr>
          <w:p w:rsidR="00AB5194" w:rsidRPr="00AB5194" w:rsidP="00AB5194" w14:paraId="790EF34F" w14:textId="77777777">
            <w:pPr>
              <w:jc w:val="center"/>
              <w:rPr>
                <w:sz w:val="20"/>
                <w:szCs w:val="20"/>
              </w:rPr>
            </w:pPr>
            <w:r w:rsidRPr="00AB5194">
              <w:rPr>
                <w:sz w:val="20"/>
                <w:szCs w:val="20"/>
              </w:rPr>
              <w:t>Regulatory Affairs Professional</w:t>
            </w:r>
          </w:p>
        </w:tc>
        <w:tc>
          <w:tcPr>
            <w:tcW w:w="1880" w:type="dxa"/>
            <w:shd w:val="clear" w:color="auto" w:fill="auto"/>
          </w:tcPr>
          <w:p w:rsidR="00AB5194" w:rsidRPr="00AB5194" w:rsidP="00AB5194" w14:paraId="4D992758" w14:textId="402067C0">
            <w:pPr>
              <w:jc w:val="center"/>
              <w:rPr>
                <w:sz w:val="20"/>
                <w:szCs w:val="20"/>
              </w:rPr>
            </w:pPr>
            <w:r>
              <w:rPr>
                <w:sz w:val="20"/>
                <w:szCs w:val="20"/>
              </w:rPr>
              <w:t>75,8</w:t>
            </w:r>
            <w:r w:rsidR="003F1566">
              <w:rPr>
                <w:sz w:val="20"/>
                <w:szCs w:val="20"/>
              </w:rPr>
              <w:t>2</w:t>
            </w:r>
            <w:r w:rsidR="006E422C">
              <w:rPr>
                <w:sz w:val="20"/>
                <w:szCs w:val="20"/>
              </w:rPr>
              <w:t>2</w:t>
            </w:r>
          </w:p>
        </w:tc>
        <w:tc>
          <w:tcPr>
            <w:tcW w:w="1934" w:type="dxa"/>
            <w:shd w:val="clear" w:color="auto" w:fill="auto"/>
          </w:tcPr>
          <w:p w:rsidR="00AB5194" w:rsidRPr="00AB5194" w:rsidP="00AB5194" w14:paraId="07872860" w14:textId="77777777">
            <w:pPr>
              <w:jc w:val="center"/>
              <w:rPr>
                <w:sz w:val="20"/>
                <w:szCs w:val="20"/>
              </w:rPr>
            </w:pPr>
            <w:r>
              <w:rPr>
                <w:sz w:val="20"/>
                <w:szCs w:val="20"/>
              </w:rPr>
              <w:t>$176</w:t>
            </w:r>
          </w:p>
        </w:tc>
        <w:tc>
          <w:tcPr>
            <w:tcW w:w="2032" w:type="dxa"/>
            <w:shd w:val="clear" w:color="auto" w:fill="auto"/>
          </w:tcPr>
          <w:p w:rsidR="00AB5194" w:rsidRPr="00AB5194" w:rsidP="00726EF3" w14:paraId="67249056" w14:textId="093A4F89">
            <w:pPr>
              <w:jc w:val="center"/>
              <w:rPr>
                <w:sz w:val="20"/>
                <w:szCs w:val="20"/>
              </w:rPr>
            </w:pPr>
            <w:r>
              <w:rPr>
                <w:sz w:val="20"/>
                <w:szCs w:val="20"/>
              </w:rPr>
              <w:t>$13,344,</w:t>
            </w:r>
            <w:r w:rsidR="009B4513">
              <w:rPr>
                <w:sz w:val="20"/>
                <w:szCs w:val="20"/>
              </w:rPr>
              <w:t>672</w:t>
            </w:r>
          </w:p>
        </w:tc>
      </w:tr>
      <w:tr w14:paraId="32E0506F" w14:textId="77777777" w:rsidTr="00850E66">
        <w:tblPrEx>
          <w:tblW w:w="9270" w:type="dxa"/>
          <w:tblInd w:w="-95" w:type="dxa"/>
          <w:tblLook w:val="01E0"/>
        </w:tblPrEx>
        <w:tc>
          <w:tcPr>
            <w:tcW w:w="3424" w:type="dxa"/>
            <w:shd w:val="clear" w:color="auto" w:fill="auto"/>
          </w:tcPr>
          <w:p w:rsidR="00AB5194" w:rsidRPr="00AB5194" w:rsidP="00AB5194" w14:paraId="3433F9FC" w14:textId="77777777">
            <w:pPr>
              <w:jc w:val="center"/>
              <w:rPr>
                <w:sz w:val="20"/>
                <w:szCs w:val="20"/>
              </w:rPr>
            </w:pPr>
            <w:r w:rsidRPr="00AB5194">
              <w:rPr>
                <w:sz w:val="20"/>
                <w:szCs w:val="20"/>
              </w:rPr>
              <w:t>Natural Sciences Manager</w:t>
            </w:r>
          </w:p>
        </w:tc>
        <w:tc>
          <w:tcPr>
            <w:tcW w:w="1880" w:type="dxa"/>
            <w:shd w:val="clear" w:color="auto" w:fill="auto"/>
          </w:tcPr>
          <w:p w:rsidR="00AB5194" w:rsidRPr="00AB5194" w:rsidP="00AB5194" w14:paraId="490A0D71" w14:textId="77777777">
            <w:pPr>
              <w:jc w:val="center"/>
              <w:rPr>
                <w:sz w:val="20"/>
                <w:szCs w:val="20"/>
              </w:rPr>
            </w:pPr>
            <w:r>
              <w:rPr>
                <w:sz w:val="20"/>
                <w:szCs w:val="20"/>
              </w:rPr>
              <w:t>37,917</w:t>
            </w:r>
          </w:p>
        </w:tc>
        <w:tc>
          <w:tcPr>
            <w:tcW w:w="1934" w:type="dxa"/>
            <w:shd w:val="clear" w:color="auto" w:fill="auto"/>
          </w:tcPr>
          <w:p w:rsidR="00AB5194" w:rsidRPr="00AB5194" w:rsidP="00AB5194" w14:paraId="21B285AD" w14:textId="77777777">
            <w:pPr>
              <w:jc w:val="center"/>
              <w:rPr>
                <w:sz w:val="20"/>
                <w:szCs w:val="20"/>
              </w:rPr>
            </w:pPr>
            <w:r>
              <w:rPr>
                <w:sz w:val="20"/>
                <w:szCs w:val="20"/>
              </w:rPr>
              <w:t>$</w:t>
            </w:r>
            <w:r w:rsidR="003944FD">
              <w:rPr>
                <w:sz w:val="20"/>
                <w:szCs w:val="20"/>
              </w:rPr>
              <w:t>167</w:t>
            </w:r>
          </w:p>
        </w:tc>
        <w:tc>
          <w:tcPr>
            <w:tcW w:w="2032" w:type="dxa"/>
            <w:shd w:val="clear" w:color="auto" w:fill="auto"/>
          </w:tcPr>
          <w:p w:rsidR="00AB5194" w:rsidRPr="00AB5194" w:rsidP="00AB5194" w14:paraId="58BF02EE" w14:textId="77777777">
            <w:pPr>
              <w:jc w:val="center"/>
              <w:rPr>
                <w:sz w:val="20"/>
                <w:szCs w:val="20"/>
              </w:rPr>
            </w:pPr>
            <w:r>
              <w:rPr>
                <w:sz w:val="20"/>
                <w:szCs w:val="20"/>
              </w:rPr>
              <w:t>$6,332,139</w:t>
            </w:r>
          </w:p>
        </w:tc>
      </w:tr>
      <w:tr w14:paraId="7AB76DA5" w14:textId="77777777" w:rsidTr="00850E66">
        <w:tblPrEx>
          <w:tblW w:w="9270" w:type="dxa"/>
          <w:tblInd w:w="-95" w:type="dxa"/>
          <w:tblLook w:val="01E0"/>
        </w:tblPrEx>
        <w:tc>
          <w:tcPr>
            <w:tcW w:w="3424" w:type="dxa"/>
            <w:shd w:val="clear" w:color="auto" w:fill="auto"/>
          </w:tcPr>
          <w:p w:rsidR="00AB5194" w:rsidRPr="00AB5194" w:rsidP="00AB5194" w14:paraId="627A8259" w14:textId="77777777">
            <w:pPr>
              <w:jc w:val="center"/>
              <w:rPr>
                <w:sz w:val="20"/>
                <w:szCs w:val="20"/>
              </w:rPr>
            </w:pPr>
            <w:r w:rsidRPr="00AB5194">
              <w:rPr>
                <w:sz w:val="20"/>
                <w:szCs w:val="20"/>
              </w:rPr>
              <w:t>Office and Administrative Support</w:t>
            </w:r>
          </w:p>
        </w:tc>
        <w:tc>
          <w:tcPr>
            <w:tcW w:w="1880" w:type="dxa"/>
            <w:shd w:val="clear" w:color="auto" w:fill="auto"/>
          </w:tcPr>
          <w:p w:rsidR="00AB5194" w:rsidRPr="00AB5194" w:rsidP="00AB5194" w14:paraId="10E769E0" w14:textId="77777777">
            <w:pPr>
              <w:jc w:val="center"/>
              <w:rPr>
                <w:sz w:val="20"/>
                <w:szCs w:val="20"/>
              </w:rPr>
            </w:pPr>
            <w:r>
              <w:rPr>
                <w:sz w:val="20"/>
                <w:szCs w:val="20"/>
              </w:rPr>
              <w:t>3,792</w:t>
            </w:r>
          </w:p>
        </w:tc>
        <w:tc>
          <w:tcPr>
            <w:tcW w:w="1934" w:type="dxa"/>
            <w:shd w:val="clear" w:color="auto" w:fill="auto"/>
          </w:tcPr>
          <w:p w:rsidR="003944FD" w:rsidRPr="00AB5194" w:rsidP="003944FD" w14:paraId="18D56C2D" w14:textId="77777777">
            <w:pPr>
              <w:jc w:val="center"/>
              <w:rPr>
                <w:sz w:val="20"/>
                <w:szCs w:val="20"/>
              </w:rPr>
            </w:pPr>
            <w:r>
              <w:rPr>
                <w:sz w:val="20"/>
                <w:szCs w:val="20"/>
              </w:rPr>
              <w:t>$</w:t>
            </w:r>
            <w:r>
              <w:rPr>
                <w:sz w:val="20"/>
                <w:szCs w:val="20"/>
              </w:rPr>
              <w:t>48.24</w:t>
            </w:r>
          </w:p>
        </w:tc>
        <w:tc>
          <w:tcPr>
            <w:tcW w:w="2032" w:type="dxa"/>
            <w:shd w:val="clear" w:color="auto" w:fill="auto"/>
          </w:tcPr>
          <w:p w:rsidR="00AB5194" w:rsidRPr="00AB5194" w:rsidP="00AB5194" w14:paraId="4EA3BDDC" w14:textId="77777777">
            <w:pPr>
              <w:jc w:val="center"/>
              <w:rPr>
                <w:sz w:val="20"/>
                <w:szCs w:val="20"/>
              </w:rPr>
            </w:pPr>
            <w:r>
              <w:rPr>
                <w:sz w:val="20"/>
                <w:szCs w:val="20"/>
              </w:rPr>
              <w:t>$182,926.08</w:t>
            </w:r>
          </w:p>
        </w:tc>
      </w:tr>
      <w:tr w14:paraId="253C05CC" w14:textId="77777777" w:rsidTr="00850E66">
        <w:tblPrEx>
          <w:tblW w:w="9270" w:type="dxa"/>
          <w:tblInd w:w="-95" w:type="dxa"/>
          <w:tblLook w:val="01E0"/>
        </w:tblPrEx>
        <w:tc>
          <w:tcPr>
            <w:tcW w:w="7238" w:type="dxa"/>
            <w:gridSpan w:val="3"/>
            <w:shd w:val="clear" w:color="auto" w:fill="auto"/>
          </w:tcPr>
          <w:p w:rsidR="00AB5194" w:rsidRPr="00AB5194" w:rsidP="0060092A" w14:paraId="69F65324" w14:textId="77777777">
            <w:pPr>
              <w:rPr>
                <w:sz w:val="20"/>
                <w:szCs w:val="20"/>
              </w:rPr>
            </w:pPr>
            <w:r w:rsidRPr="00AB5194">
              <w:rPr>
                <w:sz w:val="20"/>
                <w:szCs w:val="20"/>
              </w:rPr>
              <w:t>Total</w:t>
            </w:r>
          </w:p>
        </w:tc>
        <w:tc>
          <w:tcPr>
            <w:tcW w:w="2032" w:type="dxa"/>
            <w:shd w:val="clear" w:color="auto" w:fill="auto"/>
          </w:tcPr>
          <w:p w:rsidR="00AB5194" w:rsidRPr="00AB5194" w:rsidP="00AB5194" w14:paraId="29E08431" w14:textId="6453F036">
            <w:pPr>
              <w:jc w:val="center"/>
              <w:rPr>
                <w:sz w:val="20"/>
                <w:szCs w:val="20"/>
              </w:rPr>
            </w:pPr>
            <w:r>
              <w:rPr>
                <w:sz w:val="20"/>
                <w:szCs w:val="20"/>
              </w:rPr>
              <w:t>$19,859,</w:t>
            </w:r>
            <w:r w:rsidR="009B4513">
              <w:rPr>
                <w:sz w:val="20"/>
                <w:szCs w:val="20"/>
              </w:rPr>
              <w:t>737</w:t>
            </w:r>
            <w:r>
              <w:rPr>
                <w:sz w:val="20"/>
                <w:szCs w:val="20"/>
              </w:rPr>
              <w:t>.08</w:t>
            </w:r>
          </w:p>
        </w:tc>
      </w:tr>
    </w:tbl>
    <w:p w:rsidR="00AB5194" w:rsidRPr="00AB5194" w:rsidP="0060092A" w14:paraId="0AB72D38" w14:textId="77777777">
      <w:pPr>
        <w:rPr>
          <w:sz w:val="20"/>
          <w:szCs w:val="20"/>
        </w:rPr>
      </w:pPr>
      <w:r w:rsidRPr="00AB5194">
        <w:rPr>
          <w:sz w:val="20"/>
          <w:szCs w:val="20"/>
        </w:rPr>
        <w:t>1  Figures rounded to the nearest whole dollar.</w:t>
      </w:r>
    </w:p>
    <w:p w:rsidR="00AB5194" w:rsidRPr="0060092A" w:rsidP="0060092A" w14:paraId="304E631C" w14:textId="77777777"/>
    <w:p w:rsidR="0060092A" w:rsidRPr="00844146" w:rsidP="0060092A" w14:paraId="1F0E79C5" w14:textId="221B47DE">
      <w:pPr>
        <w:rPr>
          <w:rFonts w:eastAsia="Calibri"/>
        </w:rPr>
      </w:pPr>
      <w:r w:rsidRPr="0060092A">
        <w:t>We assume the majority of activities identified in Question-12a will be completed by regulatory affairs professionals and use a wage rate of $</w:t>
      </w:r>
      <w:r w:rsidR="003604E1">
        <w:t>87.86</w:t>
      </w:r>
      <w:r w:rsidRPr="003604E1">
        <w:t xml:space="preserve"> (occupation code 23-1011), doubled to account for overhead ($</w:t>
      </w:r>
      <w:r w:rsidR="003604E1">
        <w:t>176</w:t>
      </w:r>
      <w:r w:rsidRPr="003604E1">
        <w:t>).  We assume the remaining activities will be conducted by occupations in the medical equipment and supplies industry and use a mean wage of $</w:t>
      </w:r>
      <w:r w:rsidR="003604E1">
        <w:t>83.41</w:t>
      </w:r>
      <w:r w:rsidRPr="003604E1">
        <w:t xml:space="preserve"> (occupation code </w:t>
      </w:r>
      <w:r w:rsidR="003604E1">
        <w:t>11-9121</w:t>
      </w:r>
      <w:r w:rsidRPr="0060092A">
        <w:t>), doubled to account for overhead ($</w:t>
      </w:r>
      <w:r w:rsidR="003944FD">
        <w:t>167</w:t>
      </w:r>
      <w:r w:rsidRPr="0060092A">
        <w:t>).</w:t>
      </w:r>
      <w:r w:rsidRPr="00844146">
        <w:rPr>
          <w:rFonts w:eastAsia="Calibri"/>
        </w:rPr>
        <w:t xml:space="preserve">  </w:t>
      </w:r>
      <w:r w:rsidRPr="0060092A">
        <w:t>Finally, we assume administrative wage rates for submitting necessary reports, filing waivers, and any other ministerial activities in the amount of $2</w:t>
      </w:r>
      <w:r w:rsidR="003604E1">
        <w:t>4</w:t>
      </w:r>
      <w:r w:rsidRPr="0060092A">
        <w:t>.</w:t>
      </w:r>
      <w:r w:rsidR="003604E1">
        <w:t>1</w:t>
      </w:r>
      <w:r w:rsidRPr="0060092A">
        <w:t>2 (occupation code 43-0000), doubled to account for overhead.</w:t>
      </w:r>
    </w:p>
    <w:bookmarkEnd w:id="2"/>
    <w:p w:rsidR="00BB4426" w:rsidRPr="00357C8A" w:rsidP="00357C8A" w14:paraId="09622A99" w14:textId="77777777">
      <w:pPr>
        <w:rPr>
          <w:rFonts w:eastAsia="Calibri"/>
        </w:rPr>
      </w:pPr>
    </w:p>
    <w:p w:rsidR="00BB4426" w:rsidRPr="00BB4426" w:rsidP="00BB4426" w14:paraId="1608F39F"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BB4426" w:rsidP="00BB4426" w14:paraId="7076CB8A" w14:textId="77777777">
      <w:pPr>
        <w:tabs>
          <w:tab w:val="left" w:pos="-720"/>
        </w:tabs>
        <w:suppressAutoHyphens/>
      </w:pPr>
      <w:r>
        <w:t>There are no capital or operating and maintenance costs associated with the information collection.</w:t>
      </w:r>
    </w:p>
    <w:p w:rsidR="00BB4426" w:rsidP="00BB4426" w14:paraId="3B30633C" w14:textId="77777777">
      <w:pPr>
        <w:tabs>
          <w:tab w:val="left" w:pos="-720"/>
        </w:tabs>
        <w:suppressAutoHyphens/>
      </w:pPr>
    </w:p>
    <w:p w:rsidR="000137B6" w:rsidP="00BB4426" w14:paraId="4198DF29" w14:textId="77777777">
      <w:pPr>
        <w:tabs>
          <w:tab w:val="left" w:pos="-720"/>
        </w:tabs>
        <w:suppressAutoHyphens/>
      </w:pPr>
    </w:p>
    <w:p w:rsidR="000137B6" w:rsidP="00BB4426" w14:paraId="025BF03D" w14:textId="77777777">
      <w:pPr>
        <w:tabs>
          <w:tab w:val="left" w:pos="-720"/>
        </w:tabs>
        <w:suppressAutoHyphens/>
      </w:pPr>
    </w:p>
    <w:p w:rsidR="000137B6" w:rsidP="00BB4426" w14:paraId="7AC8251A" w14:textId="77777777">
      <w:pPr>
        <w:tabs>
          <w:tab w:val="left" w:pos="-720"/>
        </w:tabs>
        <w:suppressAutoHyphens/>
      </w:pPr>
    </w:p>
    <w:p w:rsidR="000137B6" w:rsidRPr="00BB4426" w:rsidP="00BB4426" w14:paraId="3583C9A9" w14:textId="77777777">
      <w:pPr>
        <w:tabs>
          <w:tab w:val="left" w:pos="-720"/>
        </w:tabs>
        <w:suppressAutoHyphens/>
      </w:pPr>
    </w:p>
    <w:p w:rsidR="00357C8A" w:rsidRPr="00357C8A" w:rsidP="006705EA" w14:paraId="4A5BC3FF"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P="00BB4426" w14:paraId="3D7AE740" w14:textId="6FAB9991">
      <w:pPr>
        <w:tabs>
          <w:tab w:val="left" w:pos="-720"/>
        </w:tabs>
        <w:suppressAutoHyphens/>
      </w:pPr>
      <w:r>
        <w:t>Based on an allocation of 87 full-time equivalent employees (FTEs) who process and review IDE applications, including amendments and supplements, and assuming a fully-loaded, wage rate of $</w:t>
      </w:r>
      <w:r w:rsidR="00726EF3">
        <w:t xml:space="preserve">362,272 </w:t>
      </w:r>
      <w:r>
        <w:t>annually, we calculate the annualized cost to the Federal government to be $</w:t>
      </w:r>
      <w:r w:rsidR="00726EF3">
        <w:t>31,517,664</w:t>
      </w:r>
      <w:r w:rsidR="00CD2C94">
        <w:t>.</w:t>
      </w:r>
    </w:p>
    <w:p w:rsidR="00BB4426" w:rsidRPr="00BB4426" w:rsidP="00BB4426" w14:paraId="2F066562" w14:textId="77777777">
      <w:pPr>
        <w:tabs>
          <w:tab w:val="left" w:pos="-720"/>
        </w:tabs>
        <w:suppressAutoHyphens/>
      </w:pPr>
    </w:p>
    <w:p w:rsidR="00357C8A" w:rsidP="006705EA" w14:paraId="236C1FFE" w14:textId="252F4949">
      <w:pPr>
        <w:numPr>
          <w:ilvl w:val="0"/>
          <w:numId w:val="6"/>
        </w:numPr>
        <w:spacing w:after="200" w:line="276" w:lineRule="auto"/>
        <w:rPr>
          <w:rFonts w:eastAsia="Calibri"/>
          <w:u w:val="single"/>
        </w:rPr>
      </w:pPr>
      <w:r w:rsidRPr="00357C8A">
        <w:rPr>
          <w:rFonts w:eastAsia="Calibri"/>
          <w:u w:val="single"/>
        </w:rPr>
        <w:t>Explanation for Program Changes or Adjustments</w:t>
      </w:r>
    </w:p>
    <w:p w:rsidR="00CD2C94" w:rsidP="00133FB9" w14:paraId="2E21DF2A" w14:textId="5E4AEA96">
      <w:r w:rsidRPr="00133FB9">
        <w:t>Our estimated burden for the information collection reflects an overall increase of 9,919 hours and a corresponding increase of 1,033 responses. We attribute this adjustment to an increase in the number of submissions we received over the last few years.</w:t>
      </w:r>
    </w:p>
    <w:p w:rsidR="00133FB9" w:rsidP="00CD2C94" w14:paraId="714B08DD" w14:textId="77777777">
      <w:pPr>
        <w:jc w:val="center"/>
        <w:rPr>
          <w:sz w:val="20"/>
          <w:szCs w:val="20"/>
        </w:rPr>
      </w:pPr>
    </w:p>
    <w:p w:rsidR="00357C8A" w:rsidRPr="00357C8A" w:rsidP="006705EA" w14:paraId="7FDB103A" w14:textId="690F3513">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BB4426" w:rsidRPr="00E757E3" w:rsidP="00BB4426" w14:paraId="120A82B3" w14:textId="77777777">
      <w:pPr>
        <w:tabs>
          <w:tab w:val="left" w:pos="-720"/>
        </w:tabs>
        <w:suppressAutoHyphens/>
      </w:pPr>
      <w:r w:rsidRPr="00E757E3">
        <w:t>This information collection will not be published or tabulated.</w:t>
      </w:r>
    </w:p>
    <w:p w:rsidR="00A506DE" w:rsidP="00A506DE" w14:paraId="3844C9CC" w14:textId="77777777">
      <w:pPr>
        <w:pStyle w:val="Default"/>
        <w:rPr>
          <w:sz w:val="23"/>
          <w:szCs w:val="23"/>
        </w:rPr>
      </w:pPr>
    </w:p>
    <w:p w:rsidR="00357C8A" w:rsidRPr="00357C8A" w:rsidP="006705EA" w14:paraId="41FE5680"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BB4426" w:rsidRPr="00BB4426" w:rsidP="00BB4426" w14:paraId="5549399A" w14:textId="77777777">
      <w:pPr>
        <w:spacing w:after="200"/>
        <w:rPr>
          <w:rFonts w:eastAsia="Calibri"/>
        </w:rPr>
      </w:pPr>
      <w:r w:rsidRPr="00357C8A">
        <w:rPr>
          <w:rFonts w:eastAsia="Calibri"/>
        </w:rPr>
        <w:t>I</w:t>
      </w:r>
      <w:r w:rsidRPr="00BB4426">
        <w:t xml:space="preserve"> </w:t>
      </w:r>
      <w:r w:rsidRPr="00BB4426">
        <w:rPr>
          <w:rFonts w:eastAsia="Calibri"/>
        </w:rPr>
        <w:t xml:space="preserve">Consistent with established FDA practice, we will publish a </w:t>
      </w:r>
      <w:r w:rsidRPr="00BB4426">
        <w:rPr>
          <w:rFonts w:eastAsia="Calibri"/>
          <w:i/>
          <w:iCs/>
        </w:rPr>
        <w:t>Federal Register</w:t>
      </w:r>
      <w:r w:rsidRPr="00BB4426">
        <w:rPr>
          <w:rFonts w:eastAsia="Calibri"/>
        </w:rPr>
        <w:t xml:space="preserve"> notice announcing OMB approval of any information collection discussed in applicable guidance documents and will display in that notice both the OMB control number, its current expiration date, and the significance of this information. In addition, the OMB control number will be displayed on the guidance document cover page and include a link to www.reginfo.gov to identify the current expiration date.</w:t>
      </w:r>
    </w:p>
    <w:p w:rsidR="00357C8A" w:rsidRPr="00357C8A" w:rsidP="00BB4426" w14:paraId="75339F43" w14:textId="77777777">
      <w:pPr>
        <w:numPr>
          <w:ilvl w:val="0"/>
          <w:numId w:val="6"/>
        </w:numPr>
        <w:spacing w:after="200"/>
        <w:rPr>
          <w:rFonts w:eastAsia="Calibri"/>
          <w:u w:val="single"/>
        </w:rPr>
      </w:pPr>
      <w:r w:rsidRPr="00357C8A">
        <w:rPr>
          <w:rFonts w:eastAsia="Calibri"/>
          <w:u w:val="single"/>
        </w:rPr>
        <w:t>Exceptions to Certification for Paperwork Reduction Act Submissions</w:t>
      </w:r>
    </w:p>
    <w:p w:rsidR="00BB4426" w:rsidRPr="002E0BD0" w:rsidP="00BB4426" w14:paraId="5871B0C5" w14:textId="77777777">
      <w:pPr>
        <w:tabs>
          <w:tab w:val="left" w:pos="-720"/>
        </w:tabs>
        <w:suppressAutoHyphens/>
      </w:pPr>
      <w:r w:rsidRPr="00E757E3">
        <w:t>There are no exceptions to the certification.</w:t>
      </w:r>
    </w:p>
    <w:p w:rsidR="00544138" w:rsidRPr="00C20690" w:rsidP="00BB4426" w14:paraId="1C9750E8" w14:textId="77777777">
      <w:pPr>
        <w:spacing w:after="200"/>
        <w:rPr>
          <w:rFonts w:eastAsia="Calibri"/>
        </w:rPr>
      </w:pPr>
    </w:p>
    <w:sectPr w:rsidSect="005C71CA">
      <w:headerReference w:type="default" r:id="rId17"/>
      <w:footerReference w:type="even" r:id="rId18"/>
      <w:footerReference w:type="default" r:id="rId19"/>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5EBB31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3E42E1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AC885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9A9CD3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7939" w:rsidP="00CD2C94" w14:paraId="00CA55EC" w14:textId="6903758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E676F65E"/>
    <w:lvl w:ilvl="0">
      <w:start w:val="1"/>
      <w:numFmt w:val="decimal"/>
      <w:lvlText w:val="%1."/>
      <w:lvlJc w:val="left"/>
      <w:pPr>
        <w:ind w:left="360" w:hanging="360"/>
      </w:pPr>
      <w:rPr>
        <w:rFonts w:hint="default"/>
      </w:r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27230072">
    <w:abstractNumId w:val="5"/>
  </w:num>
  <w:num w:numId="2" w16cid:durableId="793211797">
    <w:abstractNumId w:val="1"/>
  </w:num>
  <w:num w:numId="3" w16cid:durableId="1786465650">
    <w:abstractNumId w:val="6"/>
  </w:num>
  <w:num w:numId="4" w16cid:durableId="1535729300">
    <w:abstractNumId w:val="3"/>
  </w:num>
  <w:num w:numId="5" w16cid:durableId="301276875">
    <w:abstractNumId w:val="7"/>
  </w:num>
  <w:num w:numId="6" w16cid:durableId="325279317">
    <w:abstractNumId w:val="0"/>
  </w:num>
  <w:num w:numId="7" w16cid:durableId="509610261">
    <w:abstractNumId w:val="2"/>
    <w:lvlOverride w:ilvl="0"/>
    <w:lvlOverride w:ilvl="1"/>
    <w:lvlOverride w:ilvl="2"/>
    <w:lvlOverride w:ilvl="3"/>
    <w:lvlOverride w:ilvl="4"/>
    <w:lvlOverride w:ilvl="5"/>
    <w:lvlOverride w:ilvl="6"/>
    <w:lvlOverride w:ilvl="7"/>
    <w:lvlOverride w:ilvl="8"/>
  </w:num>
  <w:num w:numId="8" w16cid:durableId="223378273">
    <w:abstractNumId w:val="4"/>
  </w:num>
  <w:num w:numId="9" w16cid:durableId="4876969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07477"/>
    <w:rsid w:val="00007D31"/>
    <w:rsid w:val="000137B6"/>
    <w:rsid w:val="000161E3"/>
    <w:rsid w:val="00031A2C"/>
    <w:rsid w:val="0004292F"/>
    <w:rsid w:val="00042B93"/>
    <w:rsid w:val="00043C7F"/>
    <w:rsid w:val="000467A8"/>
    <w:rsid w:val="0006570F"/>
    <w:rsid w:val="00075DE8"/>
    <w:rsid w:val="00087439"/>
    <w:rsid w:val="000967CE"/>
    <w:rsid w:val="000C1260"/>
    <w:rsid w:val="000C560C"/>
    <w:rsid w:val="000D080B"/>
    <w:rsid w:val="000D48FD"/>
    <w:rsid w:val="000D7036"/>
    <w:rsid w:val="000D79CC"/>
    <w:rsid w:val="000E1C64"/>
    <w:rsid w:val="000F7119"/>
    <w:rsid w:val="00100739"/>
    <w:rsid w:val="0010493E"/>
    <w:rsid w:val="001075D3"/>
    <w:rsid w:val="00107885"/>
    <w:rsid w:val="00114FC4"/>
    <w:rsid w:val="00121FAC"/>
    <w:rsid w:val="0012329C"/>
    <w:rsid w:val="00133FB9"/>
    <w:rsid w:val="00134FA7"/>
    <w:rsid w:val="00137950"/>
    <w:rsid w:val="00140762"/>
    <w:rsid w:val="00144749"/>
    <w:rsid w:val="00152F29"/>
    <w:rsid w:val="00156D17"/>
    <w:rsid w:val="00174D54"/>
    <w:rsid w:val="0017702C"/>
    <w:rsid w:val="00185270"/>
    <w:rsid w:val="001A3B5A"/>
    <w:rsid w:val="001A458C"/>
    <w:rsid w:val="001B7CE9"/>
    <w:rsid w:val="001D495A"/>
    <w:rsid w:val="001E244C"/>
    <w:rsid w:val="001F1437"/>
    <w:rsid w:val="00206799"/>
    <w:rsid w:val="002074FE"/>
    <w:rsid w:val="00211CAF"/>
    <w:rsid w:val="00217CE5"/>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D7695"/>
    <w:rsid w:val="002E0BD0"/>
    <w:rsid w:val="002E3FA4"/>
    <w:rsid w:val="002E53A5"/>
    <w:rsid w:val="002E64B8"/>
    <w:rsid w:val="002E6834"/>
    <w:rsid w:val="003113FF"/>
    <w:rsid w:val="00312622"/>
    <w:rsid w:val="0032277F"/>
    <w:rsid w:val="00336B69"/>
    <w:rsid w:val="0034302B"/>
    <w:rsid w:val="00350523"/>
    <w:rsid w:val="0035189D"/>
    <w:rsid w:val="00355B62"/>
    <w:rsid w:val="00357C8A"/>
    <w:rsid w:val="003604E1"/>
    <w:rsid w:val="00360B3A"/>
    <w:rsid w:val="003740BC"/>
    <w:rsid w:val="0037456B"/>
    <w:rsid w:val="003801A3"/>
    <w:rsid w:val="00383D90"/>
    <w:rsid w:val="003870AE"/>
    <w:rsid w:val="003944FD"/>
    <w:rsid w:val="003A1A27"/>
    <w:rsid w:val="003A50CC"/>
    <w:rsid w:val="003B42B3"/>
    <w:rsid w:val="003B46DF"/>
    <w:rsid w:val="003B6384"/>
    <w:rsid w:val="003C0FE2"/>
    <w:rsid w:val="003C4EBB"/>
    <w:rsid w:val="003C65A6"/>
    <w:rsid w:val="003D1531"/>
    <w:rsid w:val="003E3617"/>
    <w:rsid w:val="003E4EC6"/>
    <w:rsid w:val="003E527E"/>
    <w:rsid w:val="003E553E"/>
    <w:rsid w:val="003E7078"/>
    <w:rsid w:val="003F1566"/>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3E66"/>
    <w:rsid w:val="00476B91"/>
    <w:rsid w:val="0048396F"/>
    <w:rsid w:val="004846BF"/>
    <w:rsid w:val="00494912"/>
    <w:rsid w:val="004958FE"/>
    <w:rsid w:val="004A5323"/>
    <w:rsid w:val="004A5A99"/>
    <w:rsid w:val="004A7939"/>
    <w:rsid w:val="004C1756"/>
    <w:rsid w:val="004C6979"/>
    <w:rsid w:val="004D13A2"/>
    <w:rsid w:val="004D3E7A"/>
    <w:rsid w:val="004D60B4"/>
    <w:rsid w:val="004F594B"/>
    <w:rsid w:val="004F61E1"/>
    <w:rsid w:val="004F73B3"/>
    <w:rsid w:val="00516A80"/>
    <w:rsid w:val="0053380B"/>
    <w:rsid w:val="00543194"/>
    <w:rsid w:val="00544138"/>
    <w:rsid w:val="00554E34"/>
    <w:rsid w:val="005640B4"/>
    <w:rsid w:val="00584583"/>
    <w:rsid w:val="00590E90"/>
    <w:rsid w:val="00590EEB"/>
    <w:rsid w:val="005A4099"/>
    <w:rsid w:val="005C38B2"/>
    <w:rsid w:val="005C5029"/>
    <w:rsid w:val="005C55C2"/>
    <w:rsid w:val="005C71CA"/>
    <w:rsid w:val="005C745C"/>
    <w:rsid w:val="005D4DF5"/>
    <w:rsid w:val="005E42BA"/>
    <w:rsid w:val="0060092A"/>
    <w:rsid w:val="00611D6B"/>
    <w:rsid w:val="00625CFD"/>
    <w:rsid w:val="006326EC"/>
    <w:rsid w:val="00663A42"/>
    <w:rsid w:val="006641C7"/>
    <w:rsid w:val="006705EA"/>
    <w:rsid w:val="00670BE2"/>
    <w:rsid w:val="006916D9"/>
    <w:rsid w:val="006A0E05"/>
    <w:rsid w:val="006A26C6"/>
    <w:rsid w:val="006A465A"/>
    <w:rsid w:val="006A7D5D"/>
    <w:rsid w:val="006D0C12"/>
    <w:rsid w:val="006D5D57"/>
    <w:rsid w:val="006E2538"/>
    <w:rsid w:val="006E302F"/>
    <w:rsid w:val="006E422C"/>
    <w:rsid w:val="006F4D6D"/>
    <w:rsid w:val="00705086"/>
    <w:rsid w:val="00722001"/>
    <w:rsid w:val="00726EF3"/>
    <w:rsid w:val="00727CDF"/>
    <w:rsid w:val="00744525"/>
    <w:rsid w:val="00751E66"/>
    <w:rsid w:val="00754497"/>
    <w:rsid w:val="00773201"/>
    <w:rsid w:val="00787C39"/>
    <w:rsid w:val="00792947"/>
    <w:rsid w:val="00795DF3"/>
    <w:rsid w:val="007A373C"/>
    <w:rsid w:val="007B225C"/>
    <w:rsid w:val="007C75B1"/>
    <w:rsid w:val="007D3DFC"/>
    <w:rsid w:val="007E2A60"/>
    <w:rsid w:val="007E2F07"/>
    <w:rsid w:val="007E59A8"/>
    <w:rsid w:val="0080776D"/>
    <w:rsid w:val="00810145"/>
    <w:rsid w:val="008108FA"/>
    <w:rsid w:val="00810FF1"/>
    <w:rsid w:val="0081216B"/>
    <w:rsid w:val="00822336"/>
    <w:rsid w:val="00823DFA"/>
    <w:rsid w:val="00824D98"/>
    <w:rsid w:val="00824DE0"/>
    <w:rsid w:val="00830BC7"/>
    <w:rsid w:val="008353F2"/>
    <w:rsid w:val="00842DB7"/>
    <w:rsid w:val="00843752"/>
    <w:rsid w:val="00844146"/>
    <w:rsid w:val="0084479F"/>
    <w:rsid w:val="00850E66"/>
    <w:rsid w:val="0085725E"/>
    <w:rsid w:val="00865C1B"/>
    <w:rsid w:val="00873D4F"/>
    <w:rsid w:val="0087509F"/>
    <w:rsid w:val="00885B09"/>
    <w:rsid w:val="00892400"/>
    <w:rsid w:val="008A209D"/>
    <w:rsid w:val="008A22BB"/>
    <w:rsid w:val="008B035D"/>
    <w:rsid w:val="008B0E29"/>
    <w:rsid w:val="008B0EFA"/>
    <w:rsid w:val="008B30AB"/>
    <w:rsid w:val="008C3BB8"/>
    <w:rsid w:val="008C4B65"/>
    <w:rsid w:val="008E1C59"/>
    <w:rsid w:val="008E5F55"/>
    <w:rsid w:val="009009E7"/>
    <w:rsid w:val="0090473F"/>
    <w:rsid w:val="00904DF3"/>
    <w:rsid w:val="00905DEF"/>
    <w:rsid w:val="00906056"/>
    <w:rsid w:val="009122AE"/>
    <w:rsid w:val="00913B43"/>
    <w:rsid w:val="00930203"/>
    <w:rsid w:val="009311D2"/>
    <w:rsid w:val="009311E6"/>
    <w:rsid w:val="00931275"/>
    <w:rsid w:val="00936AC7"/>
    <w:rsid w:val="00947761"/>
    <w:rsid w:val="00953B64"/>
    <w:rsid w:val="009646A7"/>
    <w:rsid w:val="00965DAC"/>
    <w:rsid w:val="00970A88"/>
    <w:rsid w:val="009818A1"/>
    <w:rsid w:val="009A1674"/>
    <w:rsid w:val="009A354E"/>
    <w:rsid w:val="009B38BE"/>
    <w:rsid w:val="009B4513"/>
    <w:rsid w:val="009B4DF2"/>
    <w:rsid w:val="009C684F"/>
    <w:rsid w:val="009D074C"/>
    <w:rsid w:val="009D6E73"/>
    <w:rsid w:val="009F1F1D"/>
    <w:rsid w:val="009F1FD4"/>
    <w:rsid w:val="009F2B4F"/>
    <w:rsid w:val="009F3C63"/>
    <w:rsid w:val="009F66B5"/>
    <w:rsid w:val="00A02F10"/>
    <w:rsid w:val="00A1060C"/>
    <w:rsid w:val="00A16221"/>
    <w:rsid w:val="00A20A7D"/>
    <w:rsid w:val="00A35D42"/>
    <w:rsid w:val="00A36F23"/>
    <w:rsid w:val="00A46CCF"/>
    <w:rsid w:val="00A506DE"/>
    <w:rsid w:val="00A53451"/>
    <w:rsid w:val="00A53917"/>
    <w:rsid w:val="00A56F03"/>
    <w:rsid w:val="00A70426"/>
    <w:rsid w:val="00A707CC"/>
    <w:rsid w:val="00A71410"/>
    <w:rsid w:val="00A85566"/>
    <w:rsid w:val="00A86799"/>
    <w:rsid w:val="00A91E9A"/>
    <w:rsid w:val="00A93ED9"/>
    <w:rsid w:val="00A96221"/>
    <w:rsid w:val="00A97E5E"/>
    <w:rsid w:val="00AA5AA1"/>
    <w:rsid w:val="00AB5194"/>
    <w:rsid w:val="00AC2DBB"/>
    <w:rsid w:val="00AC6A99"/>
    <w:rsid w:val="00AD3B27"/>
    <w:rsid w:val="00AD6048"/>
    <w:rsid w:val="00AF0A45"/>
    <w:rsid w:val="00AF7173"/>
    <w:rsid w:val="00B055EF"/>
    <w:rsid w:val="00B06B5B"/>
    <w:rsid w:val="00B23769"/>
    <w:rsid w:val="00B25B5A"/>
    <w:rsid w:val="00B41789"/>
    <w:rsid w:val="00B7257F"/>
    <w:rsid w:val="00B81808"/>
    <w:rsid w:val="00B86DFA"/>
    <w:rsid w:val="00B86F71"/>
    <w:rsid w:val="00B936D0"/>
    <w:rsid w:val="00BA30EB"/>
    <w:rsid w:val="00BB15FB"/>
    <w:rsid w:val="00BB4426"/>
    <w:rsid w:val="00BD3D5B"/>
    <w:rsid w:val="00BE3600"/>
    <w:rsid w:val="00C01F6F"/>
    <w:rsid w:val="00C041EA"/>
    <w:rsid w:val="00C07B39"/>
    <w:rsid w:val="00C13BBD"/>
    <w:rsid w:val="00C149AB"/>
    <w:rsid w:val="00C16929"/>
    <w:rsid w:val="00C20690"/>
    <w:rsid w:val="00C2648F"/>
    <w:rsid w:val="00C36020"/>
    <w:rsid w:val="00C36E77"/>
    <w:rsid w:val="00C40694"/>
    <w:rsid w:val="00C40A0D"/>
    <w:rsid w:val="00C41032"/>
    <w:rsid w:val="00C479BF"/>
    <w:rsid w:val="00C5124B"/>
    <w:rsid w:val="00C70542"/>
    <w:rsid w:val="00C71649"/>
    <w:rsid w:val="00C75CBF"/>
    <w:rsid w:val="00C87A1A"/>
    <w:rsid w:val="00CB630A"/>
    <w:rsid w:val="00CC2894"/>
    <w:rsid w:val="00CD2C94"/>
    <w:rsid w:val="00CD77C3"/>
    <w:rsid w:val="00CE112C"/>
    <w:rsid w:val="00CF55D4"/>
    <w:rsid w:val="00D0402C"/>
    <w:rsid w:val="00D10A2B"/>
    <w:rsid w:val="00D161D2"/>
    <w:rsid w:val="00D261DF"/>
    <w:rsid w:val="00D608DA"/>
    <w:rsid w:val="00D70795"/>
    <w:rsid w:val="00D730BF"/>
    <w:rsid w:val="00D852F4"/>
    <w:rsid w:val="00DB1110"/>
    <w:rsid w:val="00DB3730"/>
    <w:rsid w:val="00DC371B"/>
    <w:rsid w:val="00DC3788"/>
    <w:rsid w:val="00DC76C7"/>
    <w:rsid w:val="00DD09F5"/>
    <w:rsid w:val="00DD0E02"/>
    <w:rsid w:val="00DD4201"/>
    <w:rsid w:val="00DD5E9F"/>
    <w:rsid w:val="00DE5711"/>
    <w:rsid w:val="00E00EA0"/>
    <w:rsid w:val="00E021CB"/>
    <w:rsid w:val="00E138F1"/>
    <w:rsid w:val="00E155DE"/>
    <w:rsid w:val="00E2309D"/>
    <w:rsid w:val="00E26758"/>
    <w:rsid w:val="00E351D4"/>
    <w:rsid w:val="00E4357B"/>
    <w:rsid w:val="00E443A7"/>
    <w:rsid w:val="00E45904"/>
    <w:rsid w:val="00E63DE5"/>
    <w:rsid w:val="00E647AF"/>
    <w:rsid w:val="00E647C7"/>
    <w:rsid w:val="00E65A37"/>
    <w:rsid w:val="00E65EF7"/>
    <w:rsid w:val="00E757E3"/>
    <w:rsid w:val="00E77B48"/>
    <w:rsid w:val="00E857FB"/>
    <w:rsid w:val="00E91799"/>
    <w:rsid w:val="00E97DF8"/>
    <w:rsid w:val="00EA21FE"/>
    <w:rsid w:val="00EA34E3"/>
    <w:rsid w:val="00EB7538"/>
    <w:rsid w:val="00EC1868"/>
    <w:rsid w:val="00EE59F5"/>
    <w:rsid w:val="00EE6468"/>
    <w:rsid w:val="00F1299B"/>
    <w:rsid w:val="00F17CB0"/>
    <w:rsid w:val="00F207A4"/>
    <w:rsid w:val="00F25173"/>
    <w:rsid w:val="00F355AC"/>
    <w:rsid w:val="00F40CF7"/>
    <w:rsid w:val="00F44194"/>
    <w:rsid w:val="00F459D2"/>
    <w:rsid w:val="00F7029F"/>
    <w:rsid w:val="00F71A5A"/>
    <w:rsid w:val="00F73A1A"/>
    <w:rsid w:val="00F769E0"/>
    <w:rsid w:val="00FA4A46"/>
    <w:rsid w:val="00FA75FE"/>
    <w:rsid w:val="00FB1032"/>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889A58"/>
  <w15:chartTrackingRefBased/>
  <w15:docId w15:val="{EE9389EF-C013-4E36-9EAB-8AC12E74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uiPriority w:val="99"/>
    <w:unhideWhenUsed/>
    <w:rsid w:val="00AB5194"/>
    <w:rPr>
      <w:rFonts w:ascii="Calibri" w:eastAsia="Calibri" w:hAnsi="Calibri"/>
      <w:sz w:val="20"/>
      <w:szCs w:val="20"/>
    </w:rPr>
  </w:style>
  <w:style w:type="character" w:customStyle="1" w:styleId="FootnoteTextChar">
    <w:name w:val="Footnote Text Char"/>
    <w:link w:val="FootnoteText"/>
    <w:uiPriority w:val="99"/>
    <w:rsid w:val="00AB5194"/>
    <w:rPr>
      <w:rFonts w:ascii="Calibri" w:eastAsia="Calibri" w:hAnsi="Calibri"/>
    </w:rPr>
  </w:style>
  <w:style w:type="character" w:styleId="FootnoteReference">
    <w:name w:val="footnote reference"/>
    <w:uiPriority w:val="99"/>
    <w:unhideWhenUsed/>
    <w:rsid w:val="00AB5194"/>
    <w:rPr>
      <w:vertAlign w:val="superscript"/>
    </w:rPr>
  </w:style>
  <w:style w:type="character" w:styleId="CommentReference">
    <w:name w:val="annotation reference"/>
    <w:uiPriority w:val="99"/>
    <w:unhideWhenUsed/>
    <w:rsid w:val="00AB5194"/>
    <w:rPr>
      <w:sz w:val="16"/>
      <w:szCs w:val="16"/>
    </w:rPr>
  </w:style>
  <w:style w:type="paragraph" w:styleId="CommentText">
    <w:name w:val="annotation text"/>
    <w:basedOn w:val="Normal"/>
    <w:link w:val="CommentTextChar"/>
    <w:uiPriority w:val="99"/>
    <w:unhideWhenUsed/>
    <w:rsid w:val="00AB5194"/>
    <w:pPr>
      <w:spacing w:after="160"/>
    </w:pPr>
    <w:rPr>
      <w:rFonts w:ascii="Calibri" w:eastAsia="Calibri" w:hAnsi="Calibri"/>
      <w:sz w:val="20"/>
      <w:szCs w:val="20"/>
    </w:rPr>
  </w:style>
  <w:style w:type="character" w:customStyle="1" w:styleId="CommentTextChar">
    <w:name w:val="Comment Text Char"/>
    <w:link w:val="CommentText"/>
    <w:uiPriority w:val="99"/>
    <w:rsid w:val="00AB5194"/>
    <w:rPr>
      <w:rFonts w:ascii="Calibri" w:eastAsia="Calibri" w:hAnsi="Calibri"/>
    </w:rPr>
  </w:style>
  <w:style w:type="paragraph" w:styleId="Revision">
    <w:name w:val="Revision"/>
    <w:hidden/>
    <w:uiPriority w:val="99"/>
    <w:semiHidden/>
    <w:rsid w:val="004A7939"/>
    <w:rPr>
      <w:sz w:val="24"/>
      <w:szCs w:val="24"/>
    </w:rPr>
  </w:style>
  <w:style w:type="paragraph" w:styleId="CommentSubject">
    <w:name w:val="annotation subject"/>
    <w:basedOn w:val="CommentText"/>
    <w:next w:val="CommentText"/>
    <w:link w:val="CommentSubjectChar"/>
    <w:rsid w:val="00830BC7"/>
    <w:pPr>
      <w:spacing w:after="0"/>
    </w:pPr>
    <w:rPr>
      <w:rFonts w:ascii="Times New Roman" w:eastAsia="Times New Roman" w:hAnsi="Times New Roman"/>
      <w:b/>
      <w:bCs/>
    </w:rPr>
  </w:style>
  <w:style w:type="character" w:customStyle="1" w:styleId="CommentSubjectChar">
    <w:name w:val="Comment Subject Char"/>
    <w:link w:val="CommentSubject"/>
    <w:rsid w:val="00830BC7"/>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medical-devices/investigational-device-exemption-ide/ide-application" TargetMode="External" /><Relationship Id="rId11" Type="http://schemas.openxmlformats.org/officeDocument/2006/relationships/hyperlink" Target="https://www.fda.gov/regulatory-information/search-fda-guidance-documents/guidance-informed-consent-in-vitro-diagnostic-device-studies-using-leftover-human-specimens-are-not" TargetMode="External" /><Relationship Id="rId12" Type="http://schemas.openxmlformats.org/officeDocument/2006/relationships/hyperlink" Target="https://www.fda.gov/regulatory-information/search-fda-guidance-documents/providing-regulatory-submissions-medical-devices-electronic-format-submissions-under-section-745ab" TargetMode="External" /><Relationship Id="rId13" Type="http://schemas.openxmlformats.org/officeDocument/2006/relationships/hyperlink" Target="https://www.fda.gov/about-fda/office-commissioner/office-digital-transformation" TargetMode="External" /><Relationship Id="rId14" Type="http://schemas.openxmlformats.org/officeDocument/2006/relationships/hyperlink" Target="https://www.fda.gov/medical-devices/how-study-and-market-your-device/voluntary-estar-program" TargetMode="External" /><Relationship Id="rId15" Type="http://schemas.openxmlformats.org/officeDocument/2006/relationships/hyperlink" Target="https://www.fda.gov/medical-devices/premarket-submissions-selecting-and-preparing-correct-submission/premarket-notification-510k" TargetMode="External" /><Relationship Id="rId16" Type="http://schemas.openxmlformats.org/officeDocument/2006/relationships/hyperlink" Target="https://www.fda.gov/medical-devices/premarket-submissions-selecting-and-preparing-correct-submission/de-novo-classification-request"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da.gov/medical-devices/premarket-submissions-selecting-and-preparing-correct-submission/investigational-device-exemption-i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10" ma:contentTypeDescription="Create a new document." ma:contentTypeScope="" ma:versionID="6098b3856380be01844975062a29d424">
  <xsd:schema xmlns:xsd="http://www.w3.org/2001/XMLSchema" xmlns:xs="http://www.w3.org/2001/XMLSchema" xmlns:p="http://schemas.microsoft.com/office/2006/metadata/properties" xmlns:ns2="7389913f-922f-4e80-b417-8e04b3f2c4f9" xmlns:ns3="dc5bc271-7e60-4bc3-821c-602e6e911f84" targetNamespace="http://schemas.microsoft.com/office/2006/metadata/properties" ma:root="true" ma:fieldsID="724ebd4775debfca2fe5114790e12a24" ns2:_="" ns3:_="">
    <xsd:import namespace="7389913f-922f-4e80-b417-8e04b3f2c4f9"/>
    <xsd:import namespace="dc5bc271-7e60-4bc3-821c-602e6e911f84"/>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bc271-7e60-4bc3-821c-602e6e911f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5e6b734-bea8-4568-8408-eb26dc17e4f2"/>
    <lcf76f155ced4ddcb4097134ff3c332f xmlns="8aef85e0-c016-497a-95bc-1a7340a5b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248836-5629-48F1-B6F4-6019D9D77B68}">
  <ds:schemaRefs>
    <ds:schemaRef ds:uri="http://schemas.microsoft.com/sharepoint/v3/contenttype/forms"/>
  </ds:schemaRefs>
</ds:datastoreItem>
</file>

<file path=customXml/itemProps2.xml><?xml version="1.0" encoding="utf-8"?>
<ds:datastoreItem xmlns:ds="http://schemas.openxmlformats.org/officeDocument/2006/customXml" ds:itemID="{A4EA08A2-9E3F-49B9-997D-8DA8B60CE084}">
  <ds:schemaRefs>
    <ds:schemaRef ds:uri="http://schemas.microsoft.com/sharepoint/v3/contenttype/forms"/>
  </ds:schemaRefs>
</ds:datastoreItem>
</file>

<file path=customXml/itemProps3.xml><?xml version="1.0" encoding="utf-8"?>
<ds:datastoreItem xmlns:ds="http://schemas.openxmlformats.org/officeDocument/2006/customXml" ds:itemID="{9BF57ABE-E088-40F6-9BEB-FBB68BCCB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C2AC9-A1FA-42BC-8A4A-8B9C8228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dc5bc271-7e60-4bc3-821c-602e6e91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1010B9-CF91-471F-8345-74F5237A88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2606</Words>
  <Characters>14859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4</cp:revision>
  <cp:lastPrinted>2019-07-03T16:25:00Z</cp:lastPrinted>
  <dcterms:created xsi:type="dcterms:W3CDTF">2026-02-27T14:59:00Z</dcterms:created>
  <dcterms:modified xsi:type="dcterms:W3CDTF">2026-02-27T15:00:00Z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foreICRFlag">
    <vt:lpwstr>0</vt:lpwstr>
  </property>
</Properties>
</file>